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
        <w:rPr>
          <w:rFonts w:ascii="Times New Roman"/>
          <w:sz w:val="8"/>
        </w:rPr>
      </w:pPr>
    </w:p>
    <w:p>
      <w:pPr>
        <w:spacing w:line="240" w:lineRule="auto"/>
        <w:ind w:left="3649" w:right="0" w:firstLine="0"/>
        <w:rPr>
          <w:rFonts w:ascii="Times New Roman"/>
          <w:sz w:val="20"/>
        </w:rPr>
      </w:pPr>
      <w:r>
        <w:rPr>
          <w:rFonts w:ascii="Times New Roman"/>
          <w:sz w:val="20"/>
        </w:rPr>
        <w:drawing>
          <wp:inline distT="0" distB="0" distL="0" distR="0">
            <wp:extent cx="1291422" cy="1347977"/>
            <wp:effectExtent l="0" t="0" r="0" b="0"/>
            <wp:docPr id="1" name="Image 1" descr="D:\logos\EMB_LXIV_PROV-05.PNG"/>
            <wp:cNvGraphicFramePr>
              <a:graphicFrameLocks/>
            </wp:cNvGraphicFramePr>
            <a:graphic>
              <a:graphicData uri="http://schemas.openxmlformats.org/drawingml/2006/picture">
                <pic:pic>
                  <pic:nvPicPr>
                    <pic:cNvPr id="1" name="Image 1" descr="D:\logos\EMB_LXIV_PROV-05.PNG"/>
                    <pic:cNvPicPr/>
                  </pic:nvPicPr>
                  <pic:blipFill>
                    <a:blip r:embed="rId5" cstate="print"/>
                    <a:stretch>
                      <a:fillRect/>
                    </a:stretch>
                  </pic:blipFill>
                  <pic:spPr>
                    <a:xfrm>
                      <a:off x="0" y="0"/>
                      <a:ext cx="1291422" cy="1347977"/>
                    </a:xfrm>
                    <a:prstGeom prst="rect">
                      <a:avLst/>
                    </a:prstGeom>
                  </pic:spPr>
                </pic:pic>
              </a:graphicData>
            </a:graphic>
          </wp:inline>
        </w:drawing>
      </w:r>
      <w:r>
        <w:rPr>
          <w:rFonts w:ascii="Times New Roman"/>
          <w:sz w:val="20"/>
        </w:rPr>
      </w:r>
    </w:p>
    <w:p>
      <w:pPr>
        <w:pStyle w:val="BodyText"/>
        <w:rPr>
          <w:rFonts w:ascii="Times New Roman"/>
          <w:sz w:val="24"/>
        </w:rPr>
      </w:pPr>
    </w:p>
    <w:p>
      <w:pPr>
        <w:pStyle w:val="BodyText"/>
        <w:spacing w:before="29"/>
        <w:rPr>
          <w:rFonts w:ascii="Times New Roman"/>
          <w:sz w:val="24"/>
        </w:rPr>
      </w:pPr>
    </w:p>
    <w:p>
      <w:pPr>
        <w:spacing w:line="441" w:lineRule="auto" w:before="0"/>
        <w:ind w:left="3500" w:right="0" w:hanging="1950"/>
        <w:jc w:val="left"/>
        <w:rPr>
          <w:rFonts w:ascii="Arial"/>
          <w:b/>
          <w:sz w:val="24"/>
        </w:rPr>
      </w:pPr>
      <w:r>
        <w:rPr>
          <w:rFonts w:ascii="Arial"/>
          <w:b/>
          <w:sz w:val="24"/>
        </w:rPr>
        <w:t>INSTITUTO</w:t>
      </w:r>
      <w:r>
        <w:rPr>
          <w:rFonts w:ascii="Arial"/>
          <w:b/>
          <w:spacing w:val="-8"/>
          <w:sz w:val="24"/>
        </w:rPr>
        <w:t> </w:t>
      </w:r>
      <w:r>
        <w:rPr>
          <w:rFonts w:ascii="Arial"/>
          <w:b/>
          <w:sz w:val="24"/>
        </w:rPr>
        <w:t>DE</w:t>
      </w:r>
      <w:r>
        <w:rPr>
          <w:rFonts w:ascii="Arial"/>
          <w:b/>
          <w:spacing w:val="-8"/>
          <w:sz w:val="24"/>
        </w:rPr>
        <w:t> </w:t>
      </w:r>
      <w:r>
        <w:rPr>
          <w:rFonts w:ascii="Arial"/>
          <w:b/>
          <w:sz w:val="24"/>
        </w:rPr>
        <w:t>INVESTIGACION</w:t>
      </w:r>
      <w:r>
        <w:rPr>
          <w:rFonts w:ascii="Arial"/>
          <w:b/>
          <w:spacing w:val="-10"/>
          <w:sz w:val="24"/>
        </w:rPr>
        <w:t> </w:t>
      </w:r>
      <w:r>
        <w:rPr>
          <w:rFonts w:ascii="Arial"/>
          <w:b/>
          <w:sz w:val="24"/>
        </w:rPr>
        <w:t>Y</w:t>
      </w:r>
      <w:r>
        <w:rPr>
          <w:rFonts w:ascii="Arial"/>
          <w:b/>
          <w:spacing w:val="-8"/>
          <w:sz w:val="24"/>
        </w:rPr>
        <w:t> </w:t>
      </w:r>
      <w:r>
        <w:rPr>
          <w:rFonts w:ascii="Arial"/>
          <w:b/>
          <w:sz w:val="24"/>
        </w:rPr>
        <w:t>EVALUACION</w:t>
      </w:r>
      <w:r>
        <w:rPr>
          <w:rFonts w:ascii="Arial"/>
          <w:b/>
          <w:spacing w:val="-4"/>
          <w:sz w:val="24"/>
        </w:rPr>
        <w:t> </w:t>
      </w:r>
      <w:r>
        <w:rPr>
          <w:rFonts w:ascii="Arial"/>
          <w:b/>
          <w:sz w:val="24"/>
        </w:rPr>
        <w:t>LEGISLATIVA INFORMATICA LEGISLATIVA</w:t>
      </w:r>
    </w:p>
    <w:p>
      <w:pPr>
        <w:pStyle w:val="BodyText"/>
        <w:rPr>
          <w:rFonts w:ascii="Arial"/>
          <w:b/>
        </w:rPr>
      </w:pPr>
    </w:p>
    <w:p>
      <w:pPr>
        <w:pStyle w:val="BodyText"/>
        <w:rPr>
          <w:rFonts w:ascii="Arial"/>
          <w:b/>
        </w:rPr>
      </w:pPr>
    </w:p>
    <w:p>
      <w:pPr>
        <w:pStyle w:val="BodyText"/>
        <w:rPr>
          <w:rFonts w:ascii="Arial"/>
          <w:b/>
        </w:rPr>
      </w:pPr>
    </w:p>
    <w:p>
      <w:pPr>
        <w:pStyle w:val="BodyText"/>
        <w:spacing w:before="98"/>
        <w:rPr>
          <w:rFonts w:ascii="Arial"/>
          <w:b/>
        </w:rPr>
      </w:pPr>
      <w:r>
        <w:rPr>
          <w:rFonts w:ascii="Arial"/>
          <w:b/>
        </w:rPr>
        <mc:AlternateContent>
          <mc:Choice Requires="wps">
            <w:drawing>
              <wp:anchor distT="0" distB="0" distL="0" distR="0" allowOverlap="1" layoutInCell="1" locked="0" behindDoc="1" simplePos="0" relativeHeight="487587840">
                <wp:simplePos x="0" y="0"/>
                <wp:positionH relativeFrom="page">
                  <wp:posOffset>1082675</wp:posOffset>
                </wp:positionH>
                <wp:positionV relativeFrom="paragraph">
                  <wp:posOffset>223614</wp:posOffset>
                </wp:positionV>
                <wp:extent cx="5664200" cy="34925"/>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664200" cy="34925"/>
                          <a:chExt cx="5664200" cy="34925"/>
                        </a:xfrm>
                      </wpg:grpSpPr>
                      <wps:wsp>
                        <wps:cNvPr id="3" name="Graphic 3"/>
                        <wps:cNvSpPr/>
                        <wps:spPr>
                          <a:xfrm>
                            <a:off x="0" y="0"/>
                            <a:ext cx="5638800" cy="9525"/>
                          </a:xfrm>
                          <a:custGeom>
                            <a:avLst/>
                            <a:gdLst/>
                            <a:ahLst/>
                            <a:cxnLst/>
                            <a:rect l="l" t="t" r="r" b="b"/>
                            <a:pathLst>
                              <a:path w="5638800" h="9525">
                                <a:moveTo>
                                  <a:pt x="5638800" y="0"/>
                                </a:moveTo>
                                <a:lnTo>
                                  <a:pt x="0" y="0"/>
                                </a:lnTo>
                                <a:lnTo>
                                  <a:pt x="0" y="9525"/>
                                </a:lnTo>
                                <a:lnTo>
                                  <a:pt x="5638800" y="9525"/>
                                </a:lnTo>
                                <a:lnTo>
                                  <a:pt x="5638800" y="0"/>
                                </a:lnTo>
                                <a:close/>
                              </a:path>
                            </a:pathLst>
                          </a:custGeom>
                          <a:solidFill>
                            <a:srgbClr val="B3B3B3"/>
                          </a:solidFill>
                        </wps:spPr>
                        <wps:bodyPr wrap="square" lIns="0" tIns="0" rIns="0" bIns="0" rtlCol="0">
                          <a:prstTxWarp prst="textNoShape">
                            <a:avLst/>
                          </a:prstTxWarp>
                          <a:noAutofit/>
                        </wps:bodyPr>
                      </wps:wsp>
                      <wps:wsp>
                        <wps:cNvPr id="4" name="Graphic 4"/>
                        <wps:cNvSpPr/>
                        <wps:spPr>
                          <a:xfrm>
                            <a:off x="25400" y="25400"/>
                            <a:ext cx="5638800" cy="9525"/>
                          </a:xfrm>
                          <a:custGeom>
                            <a:avLst/>
                            <a:gdLst/>
                            <a:ahLst/>
                            <a:cxnLst/>
                            <a:rect l="l" t="t" r="r" b="b"/>
                            <a:pathLst>
                              <a:path w="5638800" h="9525">
                                <a:moveTo>
                                  <a:pt x="5638800" y="0"/>
                                </a:moveTo>
                                <a:lnTo>
                                  <a:pt x="0" y="0"/>
                                </a:lnTo>
                                <a:lnTo>
                                  <a:pt x="0" y="9525"/>
                                </a:lnTo>
                                <a:lnTo>
                                  <a:pt x="5638800" y="9525"/>
                                </a:lnTo>
                                <a:lnTo>
                                  <a:pt x="5638800" y="0"/>
                                </a:lnTo>
                                <a:close/>
                              </a:path>
                            </a:pathLst>
                          </a:custGeom>
                          <a:solidFill>
                            <a:srgbClr val="4D4D4D"/>
                          </a:solidFill>
                        </wps:spPr>
                        <wps:bodyPr wrap="square" lIns="0" tIns="0" rIns="0" bIns="0" rtlCol="0">
                          <a:prstTxWarp prst="textNoShape">
                            <a:avLst/>
                          </a:prstTxWarp>
                          <a:noAutofit/>
                        </wps:bodyPr>
                      </wps:wsp>
                      <wps:wsp>
                        <wps:cNvPr id="5" name="Graphic 5"/>
                        <wps:cNvSpPr/>
                        <wps:spPr>
                          <a:xfrm>
                            <a:off x="12700" y="17525"/>
                            <a:ext cx="5638800" cy="1270"/>
                          </a:xfrm>
                          <a:custGeom>
                            <a:avLst/>
                            <a:gdLst/>
                            <a:ahLst/>
                            <a:cxnLst/>
                            <a:rect l="l" t="t" r="r" b="b"/>
                            <a:pathLst>
                              <a:path w="5638800" h="0">
                                <a:moveTo>
                                  <a:pt x="0" y="0"/>
                                </a:moveTo>
                                <a:lnTo>
                                  <a:pt x="5638800" y="0"/>
                                </a:lnTo>
                              </a:path>
                            </a:pathLst>
                          </a:custGeom>
                          <a:ln w="952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5.25pt;margin-top:17.607456pt;width:446pt;height:2.75pt;mso-position-horizontal-relative:page;mso-position-vertical-relative:paragraph;z-index:-15728640;mso-wrap-distance-left:0;mso-wrap-distance-right:0" id="docshapegroup1" coordorigin="1705,352" coordsize="8920,55">
                <v:rect style="position:absolute;left:1705;top:352;width:8880;height:15" id="docshape2" filled="true" fillcolor="#b3b3b3" stroked="false">
                  <v:fill type="solid"/>
                </v:rect>
                <v:rect style="position:absolute;left:1745;top:392;width:8880;height:15" id="docshape3" filled="true" fillcolor="#4d4d4d" stroked="false">
                  <v:fill type="solid"/>
                </v:rect>
                <v:line style="position:absolute" from="1725,380" to="10605,380" stroked="true" strokeweight=".75pt" strokecolor="#808080">
                  <v:stroke dashstyle="solid"/>
                </v:line>
                <w10:wrap type="topAndBottom"/>
              </v:group>
            </w:pict>
          </mc:Fallback>
        </mc:AlternateContent>
      </w:r>
    </w:p>
    <w:p>
      <w:pPr>
        <w:pStyle w:val="BodyText"/>
        <w:rPr>
          <w:rFonts w:ascii="Arial"/>
          <w:b/>
          <w:sz w:val="36"/>
        </w:rPr>
      </w:pPr>
    </w:p>
    <w:p>
      <w:pPr>
        <w:pStyle w:val="BodyText"/>
        <w:spacing w:before="238"/>
        <w:rPr>
          <w:rFonts w:ascii="Arial"/>
          <w:b/>
          <w:sz w:val="36"/>
        </w:rPr>
      </w:pPr>
    </w:p>
    <w:p>
      <w:pPr>
        <w:pStyle w:val="Title"/>
        <w:ind w:left="1479" w:right="844"/>
      </w:pPr>
      <w:r>
        <w:rPr/>
        <w:t>LEY</w:t>
      </w:r>
      <w:r>
        <w:rPr>
          <w:spacing w:val="-12"/>
        </w:rPr>
        <w:t> </w:t>
      </w:r>
      <w:r>
        <w:rPr/>
        <w:t>DE</w:t>
      </w:r>
      <w:r>
        <w:rPr>
          <w:spacing w:val="-13"/>
        </w:rPr>
        <w:t> </w:t>
      </w:r>
      <w:r>
        <w:rPr/>
        <w:t>ORDENAMIENTO</w:t>
      </w:r>
      <w:r>
        <w:rPr>
          <w:spacing w:val="-13"/>
        </w:rPr>
        <w:t> </w:t>
      </w:r>
      <w:r>
        <w:rPr/>
        <w:t>TERRITORIAL Y DESARROLLO URBANO DEL</w:t>
      </w:r>
    </w:p>
    <w:p>
      <w:pPr>
        <w:pStyle w:val="Title"/>
        <w:spacing w:before="3"/>
      </w:pPr>
      <w:r>
        <w:rPr/>
        <w:t>ESTADO</w:t>
      </w:r>
      <w:r>
        <w:rPr>
          <w:spacing w:val="-2"/>
        </w:rPr>
        <w:t> </w:t>
      </w:r>
      <w:r>
        <w:rPr/>
        <w:t>Y</w:t>
      </w:r>
      <w:r>
        <w:rPr>
          <w:spacing w:val="-3"/>
        </w:rPr>
        <w:t> </w:t>
      </w:r>
      <w:r>
        <w:rPr/>
        <w:t>MUNICIPIOS DE</w:t>
      </w:r>
      <w:r>
        <w:rPr>
          <w:spacing w:val="-1"/>
        </w:rPr>
        <w:t> </w:t>
      </w:r>
      <w:r>
        <w:rPr/>
        <w:t>SAN</w:t>
      </w:r>
      <w:r>
        <w:rPr>
          <w:spacing w:val="-3"/>
        </w:rPr>
        <w:t> </w:t>
      </w:r>
      <w:r>
        <w:rPr/>
        <w:t>LUIS</w:t>
      </w:r>
      <w:r>
        <w:rPr>
          <w:spacing w:val="-1"/>
        </w:rPr>
        <w:t> </w:t>
      </w:r>
      <w:r>
        <w:rPr>
          <w:spacing w:val="-2"/>
        </w:rPr>
        <w:t>POTOSI</w:t>
      </w:r>
    </w:p>
    <w:p>
      <w:pPr>
        <w:pStyle w:val="BodyText"/>
        <w:rPr>
          <w:rFonts w:ascii="Arial"/>
          <w:b/>
        </w:rPr>
      </w:pPr>
    </w:p>
    <w:p>
      <w:pPr>
        <w:pStyle w:val="BodyText"/>
        <w:rPr>
          <w:rFonts w:ascii="Arial"/>
          <w:b/>
        </w:rPr>
      </w:pPr>
    </w:p>
    <w:p>
      <w:pPr>
        <w:pStyle w:val="BodyText"/>
        <w:rPr>
          <w:rFonts w:ascii="Arial"/>
          <w:b/>
        </w:rPr>
      </w:pPr>
    </w:p>
    <w:p>
      <w:pPr>
        <w:pStyle w:val="BodyText"/>
        <w:spacing w:before="23"/>
        <w:rPr>
          <w:rFonts w:ascii="Arial"/>
          <w:b/>
        </w:rPr>
      </w:pPr>
      <w:r>
        <w:rPr>
          <w:rFonts w:ascii="Arial"/>
          <w:b/>
        </w:rPr>
        <mc:AlternateContent>
          <mc:Choice Requires="wps">
            <w:drawing>
              <wp:anchor distT="0" distB="0" distL="0" distR="0" allowOverlap="1" layoutInCell="1" locked="0" behindDoc="1" simplePos="0" relativeHeight="487588352">
                <wp:simplePos x="0" y="0"/>
                <wp:positionH relativeFrom="page">
                  <wp:posOffset>1066800</wp:posOffset>
                </wp:positionH>
                <wp:positionV relativeFrom="paragraph">
                  <wp:posOffset>176424</wp:posOffset>
                </wp:positionV>
                <wp:extent cx="5664200" cy="3492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664200" cy="34925"/>
                          <a:chExt cx="5664200" cy="34925"/>
                        </a:xfrm>
                      </wpg:grpSpPr>
                      <wps:wsp>
                        <wps:cNvPr id="7" name="Graphic 7"/>
                        <wps:cNvSpPr/>
                        <wps:spPr>
                          <a:xfrm>
                            <a:off x="0" y="0"/>
                            <a:ext cx="5638800" cy="9525"/>
                          </a:xfrm>
                          <a:custGeom>
                            <a:avLst/>
                            <a:gdLst/>
                            <a:ahLst/>
                            <a:cxnLst/>
                            <a:rect l="l" t="t" r="r" b="b"/>
                            <a:pathLst>
                              <a:path w="5638800" h="9525">
                                <a:moveTo>
                                  <a:pt x="5638800" y="0"/>
                                </a:moveTo>
                                <a:lnTo>
                                  <a:pt x="0" y="0"/>
                                </a:lnTo>
                                <a:lnTo>
                                  <a:pt x="0" y="9525"/>
                                </a:lnTo>
                                <a:lnTo>
                                  <a:pt x="5638800" y="9525"/>
                                </a:lnTo>
                                <a:lnTo>
                                  <a:pt x="5638800" y="0"/>
                                </a:lnTo>
                                <a:close/>
                              </a:path>
                            </a:pathLst>
                          </a:custGeom>
                          <a:solidFill>
                            <a:srgbClr val="B3B3B3"/>
                          </a:solidFill>
                        </wps:spPr>
                        <wps:bodyPr wrap="square" lIns="0" tIns="0" rIns="0" bIns="0" rtlCol="0">
                          <a:prstTxWarp prst="textNoShape">
                            <a:avLst/>
                          </a:prstTxWarp>
                          <a:noAutofit/>
                        </wps:bodyPr>
                      </wps:wsp>
                      <wps:wsp>
                        <wps:cNvPr id="8" name="Graphic 8"/>
                        <wps:cNvSpPr/>
                        <wps:spPr>
                          <a:xfrm>
                            <a:off x="25400" y="25400"/>
                            <a:ext cx="5638800" cy="9525"/>
                          </a:xfrm>
                          <a:custGeom>
                            <a:avLst/>
                            <a:gdLst/>
                            <a:ahLst/>
                            <a:cxnLst/>
                            <a:rect l="l" t="t" r="r" b="b"/>
                            <a:pathLst>
                              <a:path w="5638800" h="9525">
                                <a:moveTo>
                                  <a:pt x="5638800" y="0"/>
                                </a:moveTo>
                                <a:lnTo>
                                  <a:pt x="0" y="0"/>
                                </a:lnTo>
                                <a:lnTo>
                                  <a:pt x="0" y="9525"/>
                                </a:lnTo>
                                <a:lnTo>
                                  <a:pt x="5638800" y="9525"/>
                                </a:lnTo>
                                <a:lnTo>
                                  <a:pt x="5638800" y="0"/>
                                </a:lnTo>
                                <a:close/>
                              </a:path>
                            </a:pathLst>
                          </a:custGeom>
                          <a:solidFill>
                            <a:srgbClr val="4D4D4D"/>
                          </a:solidFill>
                        </wps:spPr>
                        <wps:bodyPr wrap="square" lIns="0" tIns="0" rIns="0" bIns="0" rtlCol="0">
                          <a:prstTxWarp prst="textNoShape">
                            <a:avLst/>
                          </a:prstTxWarp>
                          <a:noAutofit/>
                        </wps:bodyPr>
                      </wps:wsp>
                      <wps:wsp>
                        <wps:cNvPr id="9" name="Graphic 9"/>
                        <wps:cNvSpPr/>
                        <wps:spPr>
                          <a:xfrm>
                            <a:off x="12700" y="17525"/>
                            <a:ext cx="5638800" cy="1270"/>
                          </a:xfrm>
                          <a:custGeom>
                            <a:avLst/>
                            <a:gdLst/>
                            <a:ahLst/>
                            <a:cxnLst/>
                            <a:rect l="l" t="t" r="r" b="b"/>
                            <a:pathLst>
                              <a:path w="5638800" h="0">
                                <a:moveTo>
                                  <a:pt x="0" y="0"/>
                                </a:moveTo>
                                <a:lnTo>
                                  <a:pt x="5638800" y="0"/>
                                </a:lnTo>
                              </a:path>
                            </a:pathLst>
                          </a:custGeom>
                          <a:ln w="952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4pt;margin-top:13.891719pt;width:446pt;height:2.75pt;mso-position-horizontal-relative:page;mso-position-vertical-relative:paragraph;z-index:-15728128;mso-wrap-distance-left:0;mso-wrap-distance-right:0" id="docshapegroup4" coordorigin="1680,278" coordsize="8920,55">
                <v:rect style="position:absolute;left:1680;top:277;width:8880;height:15" id="docshape5" filled="true" fillcolor="#b3b3b3" stroked="false">
                  <v:fill type="solid"/>
                </v:rect>
                <v:rect style="position:absolute;left:1720;top:317;width:8880;height:15" id="docshape6" filled="true" fillcolor="#4d4d4d" stroked="false">
                  <v:fill type="solid"/>
                </v:rect>
                <v:line style="position:absolute" from="1700,305" to="10580,305" stroked="true" strokeweight=".75pt" strokecolor="#808080">
                  <v:stroke dashstyle="solid"/>
                </v:line>
                <w10:wrap type="topAndBottom"/>
              </v:group>
            </w:pict>
          </mc:Fallback>
        </mc:AlternateConten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83" w:after="1"/>
        <w:rPr>
          <w:rFonts w:ascii="Arial"/>
          <w:b/>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4"/>
        <w:gridCol w:w="4405"/>
      </w:tblGrid>
      <w:tr>
        <w:trPr>
          <w:trHeight w:val="230" w:hRule="atLeast"/>
        </w:trPr>
        <w:tc>
          <w:tcPr>
            <w:tcW w:w="4424" w:type="dxa"/>
          </w:tcPr>
          <w:p>
            <w:pPr>
              <w:pStyle w:val="TableParagraph"/>
              <w:spacing w:line="210" w:lineRule="exact"/>
              <w:ind w:right="99"/>
              <w:jc w:val="right"/>
              <w:rPr>
                <w:rFonts w:ascii="Arial" w:hAnsi="Arial"/>
                <w:b/>
                <w:sz w:val="20"/>
              </w:rPr>
            </w:pPr>
            <w:r>
              <w:rPr>
                <w:rFonts w:ascii="Arial" w:hAnsi="Arial"/>
                <w:b/>
                <w:sz w:val="20"/>
              </w:rPr>
              <w:t>Fecha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Aprobación</w:t>
            </w:r>
          </w:p>
        </w:tc>
        <w:tc>
          <w:tcPr>
            <w:tcW w:w="4405" w:type="dxa"/>
          </w:tcPr>
          <w:p>
            <w:pPr>
              <w:pStyle w:val="TableParagraph"/>
              <w:spacing w:line="210" w:lineRule="exact"/>
              <w:ind w:left="105"/>
              <w:rPr>
                <w:rFonts w:ascii="Arial MT"/>
                <w:sz w:val="20"/>
              </w:rPr>
            </w:pPr>
            <w:r>
              <w:rPr>
                <w:rFonts w:ascii="Arial MT"/>
                <w:sz w:val="20"/>
              </w:rPr>
              <w:t>12</w:t>
            </w:r>
            <w:r>
              <w:rPr>
                <w:rFonts w:ascii="Arial MT"/>
                <w:spacing w:val="-5"/>
                <w:sz w:val="20"/>
              </w:rPr>
              <w:t> </w:t>
            </w:r>
            <w:r>
              <w:rPr>
                <w:rFonts w:ascii="Arial MT"/>
                <w:sz w:val="20"/>
              </w:rPr>
              <w:t>DE</w:t>
            </w:r>
            <w:r>
              <w:rPr>
                <w:rFonts w:ascii="Arial MT"/>
                <w:spacing w:val="-4"/>
                <w:sz w:val="20"/>
              </w:rPr>
              <w:t> </w:t>
            </w:r>
            <w:r>
              <w:rPr>
                <w:rFonts w:ascii="Arial MT"/>
                <w:sz w:val="20"/>
              </w:rPr>
              <w:t>JULIO</w:t>
            </w:r>
            <w:r>
              <w:rPr>
                <w:rFonts w:ascii="Arial MT"/>
                <w:spacing w:val="-2"/>
                <w:sz w:val="20"/>
              </w:rPr>
              <w:t> </w:t>
            </w:r>
            <w:r>
              <w:rPr>
                <w:rFonts w:ascii="Arial MT"/>
                <w:sz w:val="20"/>
              </w:rPr>
              <w:t>DE</w:t>
            </w:r>
            <w:r>
              <w:rPr>
                <w:rFonts w:ascii="Arial MT"/>
                <w:spacing w:val="-4"/>
                <w:sz w:val="20"/>
              </w:rPr>
              <w:t> 2018</w:t>
            </w:r>
          </w:p>
        </w:tc>
      </w:tr>
      <w:tr>
        <w:trPr>
          <w:trHeight w:val="230" w:hRule="atLeast"/>
        </w:trPr>
        <w:tc>
          <w:tcPr>
            <w:tcW w:w="4424" w:type="dxa"/>
          </w:tcPr>
          <w:p>
            <w:pPr>
              <w:pStyle w:val="TableParagraph"/>
              <w:spacing w:line="210" w:lineRule="exact"/>
              <w:ind w:right="101"/>
              <w:jc w:val="right"/>
              <w:rPr>
                <w:rFonts w:ascii="Arial" w:hAnsi="Arial"/>
                <w:b/>
                <w:sz w:val="20"/>
              </w:rPr>
            </w:pPr>
            <w:r>
              <w:rPr>
                <w:rFonts w:ascii="Arial" w:hAnsi="Arial"/>
                <w:b/>
                <w:sz w:val="20"/>
              </w:rPr>
              <w:t>Fecha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Promulgación</w:t>
            </w:r>
          </w:p>
        </w:tc>
        <w:tc>
          <w:tcPr>
            <w:tcW w:w="4405" w:type="dxa"/>
          </w:tcPr>
          <w:p>
            <w:pPr>
              <w:pStyle w:val="TableParagraph"/>
              <w:spacing w:line="210" w:lineRule="exact"/>
              <w:ind w:left="105"/>
              <w:rPr>
                <w:rFonts w:ascii="Arial MT"/>
                <w:sz w:val="20"/>
              </w:rPr>
            </w:pPr>
            <w:r>
              <w:rPr>
                <w:rFonts w:ascii="Arial MT"/>
                <w:sz w:val="20"/>
              </w:rPr>
              <w:t>16</w:t>
            </w:r>
            <w:r>
              <w:rPr>
                <w:rFonts w:ascii="Arial MT"/>
                <w:spacing w:val="-5"/>
                <w:sz w:val="20"/>
              </w:rPr>
              <w:t> </w:t>
            </w:r>
            <w:r>
              <w:rPr>
                <w:rFonts w:ascii="Arial MT"/>
                <w:sz w:val="20"/>
              </w:rPr>
              <w:t>DE</w:t>
            </w:r>
            <w:r>
              <w:rPr>
                <w:rFonts w:ascii="Arial MT"/>
                <w:spacing w:val="-4"/>
                <w:sz w:val="20"/>
              </w:rPr>
              <w:t> </w:t>
            </w:r>
            <w:r>
              <w:rPr>
                <w:rFonts w:ascii="Arial MT"/>
                <w:sz w:val="20"/>
              </w:rPr>
              <w:t>JULIO</w:t>
            </w:r>
            <w:r>
              <w:rPr>
                <w:rFonts w:ascii="Arial MT"/>
                <w:spacing w:val="-2"/>
                <w:sz w:val="20"/>
              </w:rPr>
              <w:t> </w:t>
            </w:r>
            <w:r>
              <w:rPr>
                <w:rFonts w:ascii="Arial MT"/>
                <w:sz w:val="20"/>
              </w:rPr>
              <w:t>DE</w:t>
            </w:r>
            <w:r>
              <w:rPr>
                <w:rFonts w:ascii="Arial MT"/>
                <w:spacing w:val="-4"/>
                <w:sz w:val="20"/>
              </w:rPr>
              <w:t> 2018</w:t>
            </w:r>
          </w:p>
        </w:tc>
      </w:tr>
      <w:tr>
        <w:trPr>
          <w:trHeight w:val="230" w:hRule="atLeast"/>
        </w:trPr>
        <w:tc>
          <w:tcPr>
            <w:tcW w:w="4424" w:type="dxa"/>
          </w:tcPr>
          <w:p>
            <w:pPr>
              <w:pStyle w:val="TableParagraph"/>
              <w:spacing w:line="210" w:lineRule="exact"/>
              <w:ind w:right="102"/>
              <w:jc w:val="right"/>
              <w:rPr>
                <w:rFonts w:ascii="Arial" w:hAnsi="Arial"/>
                <w:b/>
                <w:sz w:val="20"/>
              </w:rPr>
            </w:pPr>
            <w:r>
              <w:rPr>
                <w:rFonts w:ascii="Arial" w:hAnsi="Arial"/>
                <w:b/>
                <w:sz w:val="20"/>
              </w:rPr>
              <w:t>Fecha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Publicación</w:t>
            </w:r>
          </w:p>
        </w:tc>
        <w:tc>
          <w:tcPr>
            <w:tcW w:w="4405" w:type="dxa"/>
          </w:tcPr>
          <w:p>
            <w:pPr>
              <w:pStyle w:val="TableParagraph"/>
              <w:spacing w:line="210" w:lineRule="exact"/>
              <w:ind w:left="105"/>
              <w:rPr>
                <w:rFonts w:ascii="Arial MT"/>
                <w:sz w:val="20"/>
              </w:rPr>
            </w:pPr>
            <w:r>
              <w:rPr>
                <w:rFonts w:ascii="Arial MT"/>
                <w:sz w:val="20"/>
              </w:rPr>
              <w:t>17</w:t>
            </w:r>
            <w:r>
              <w:rPr>
                <w:rFonts w:ascii="Arial MT"/>
                <w:spacing w:val="-5"/>
                <w:sz w:val="20"/>
              </w:rPr>
              <w:t> </w:t>
            </w:r>
            <w:r>
              <w:rPr>
                <w:rFonts w:ascii="Arial MT"/>
                <w:sz w:val="20"/>
              </w:rPr>
              <w:t>DE</w:t>
            </w:r>
            <w:r>
              <w:rPr>
                <w:rFonts w:ascii="Arial MT"/>
                <w:spacing w:val="-4"/>
                <w:sz w:val="20"/>
              </w:rPr>
              <w:t> </w:t>
            </w:r>
            <w:r>
              <w:rPr>
                <w:rFonts w:ascii="Arial MT"/>
                <w:sz w:val="20"/>
              </w:rPr>
              <w:t>JULIO</w:t>
            </w:r>
            <w:r>
              <w:rPr>
                <w:rFonts w:ascii="Arial MT"/>
                <w:spacing w:val="-2"/>
                <w:sz w:val="20"/>
              </w:rPr>
              <w:t> </w:t>
            </w:r>
            <w:r>
              <w:rPr>
                <w:rFonts w:ascii="Arial MT"/>
                <w:sz w:val="20"/>
              </w:rPr>
              <w:t>DE</w:t>
            </w:r>
            <w:r>
              <w:rPr>
                <w:rFonts w:ascii="Arial MT"/>
                <w:spacing w:val="-4"/>
                <w:sz w:val="20"/>
              </w:rPr>
              <w:t> 2018</w:t>
            </w:r>
          </w:p>
        </w:tc>
      </w:tr>
      <w:tr>
        <w:trPr>
          <w:trHeight w:val="229" w:hRule="atLeast"/>
        </w:trPr>
        <w:tc>
          <w:tcPr>
            <w:tcW w:w="4424" w:type="dxa"/>
          </w:tcPr>
          <w:p>
            <w:pPr>
              <w:pStyle w:val="TableParagraph"/>
              <w:spacing w:line="210" w:lineRule="exact"/>
              <w:ind w:right="100"/>
              <w:jc w:val="right"/>
              <w:rPr>
                <w:rFonts w:ascii="Arial"/>
                <w:b/>
                <w:sz w:val="20"/>
              </w:rPr>
            </w:pPr>
            <w:r>
              <w:rPr>
                <w:rFonts w:ascii="Arial"/>
                <w:b/>
                <w:sz w:val="20"/>
              </w:rPr>
              <w:t>Fecha</w:t>
            </w:r>
            <w:r>
              <w:rPr>
                <w:rFonts w:ascii="Arial"/>
                <w:b/>
                <w:spacing w:val="-9"/>
                <w:sz w:val="20"/>
              </w:rPr>
              <w:t> </w:t>
            </w:r>
            <w:r>
              <w:rPr>
                <w:rFonts w:ascii="Arial"/>
                <w:b/>
                <w:sz w:val="20"/>
              </w:rPr>
              <w:t>Ultima</w:t>
            </w:r>
            <w:r>
              <w:rPr>
                <w:rFonts w:ascii="Arial"/>
                <w:b/>
                <w:spacing w:val="-9"/>
                <w:sz w:val="20"/>
              </w:rPr>
              <w:t> </w:t>
            </w:r>
            <w:r>
              <w:rPr>
                <w:rFonts w:ascii="Arial"/>
                <w:b/>
                <w:spacing w:val="-2"/>
                <w:sz w:val="20"/>
              </w:rPr>
              <w:t>Reforma</w:t>
            </w:r>
          </w:p>
        </w:tc>
        <w:tc>
          <w:tcPr>
            <w:tcW w:w="4405" w:type="dxa"/>
          </w:tcPr>
          <w:p>
            <w:pPr>
              <w:pStyle w:val="TableParagraph"/>
              <w:spacing w:line="210" w:lineRule="exact"/>
              <w:ind w:left="105"/>
              <w:rPr>
                <w:rFonts w:ascii="Arial MT"/>
                <w:sz w:val="20"/>
              </w:rPr>
            </w:pPr>
            <w:r>
              <w:rPr>
                <w:rFonts w:ascii="Arial MT"/>
                <w:sz w:val="20"/>
              </w:rPr>
              <w:t>22</w:t>
            </w:r>
            <w:r>
              <w:rPr>
                <w:rFonts w:ascii="Arial MT"/>
                <w:spacing w:val="-5"/>
                <w:sz w:val="20"/>
              </w:rPr>
              <w:t> </w:t>
            </w:r>
            <w:r>
              <w:rPr>
                <w:rFonts w:ascii="Arial MT"/>
                <w:sz w:val="20"/>
              </w:rPr>
              <w:t>DE</w:t>
            </w:r>
            <w:r>
              <w:rPr>
                <w:rFonts w:ascii="Arial MT"/>
                <w:spacing w:val="-4"/>
                <w:sz w:val="20"/>
              </w:rPr>
              <w:t> </w:t>
            </w:r>
            <w:r>
              <w:rPr>
                <w:rFonts w:ascii="Arial MT"/>
                <w:sz w:val="20"/>
              </w:rPr>
              <w:t>MAYO</w:t>
            </w:r>
            <w:r>
              <w:rPr>
                <w:rFonts w:ascii="Arial MT"/>
                <w:spacing w:val="-1"/>
                <w:sz w:val="20"/>
              </w:rPr>
              <w:t> </w:t>
            </w:r>
            <w:r>
              <w:rPr>
                <w:rFonts w:ascii="Arial MT"/>
                <w:sz w:val="20"/>
              </w:rPr>
              <w:t>DE</w:t>
            </w:r>
            <w:r>
              <w:rPr>
                <w:rFonts w:ascii="Arial MT"/>
                <w:spacing w:val="-2"/>
                <w:sz w:val="20"/>
              </w:rPr>
              <w:t> </w:t>
            </w:r>
            <w:r>
              <w:rPr>
                <w:rFonts w:ascii="Arial MT"/>
                <w:spacing w:val="-4"/>
                <w:sz w:val="20"/>
              </w:rPr>
              <w:t>2026</w:t>
            </w:r>
          </w:p>
        </w:tc>
      </w:tr>
    </w:tbl>
    <w:p>
      <w:pPr>
        <w:pStyle w:val="BodyText"/>
        <w:spacing w:before="88"/>
        <w:rPr>
          <w:rFonts w:ascii="Arial"/>
          <w:b/>
          <w:sz w:val="12"/>
        </w:rPr>
      </w:pPr>
    </w:p>
    <w:p>
      <w:pPr>
        <w:spacing w:line="137" w:lineRule="exact" w:before="0"/>
        <w:ind w:left="262" w:right="0" w:firstLine="0"/>
        <w:jc w:val="both"/>
        <w:rPr>
          <w:sz w:val="12"/>
        </w:rPr>
      </w:pPr>
      <w:r>
        <w:rPr>
          <w:sz w:val="12"/>
        </w:rPr>
        <w:t>Estimado</w:t>
      </w:r>
      <w:r>
        <w:rPr>
          <w:spacing w:val="-1"/>
          <w:sz w:val="12"/>
        </w:rPr>
        <w:t> </w:t>
      </w:r>
      <w:r>
        <w:rPr>
          <w:spacing w:val="-2"/>
          <w:sz w:val="12"/>
        </w:rPr>
        <w:t>Usuario:</w:t>
      </w:r>
    </w:p>
    <w:p>
      <w:pPr>
        <w:spacing w:before="0"/>
        <w:ind w:left="262" w:right="254" w:firstLine="0"/>
        <w:jc w:val="both"/>
        <w:rPr>
          <w:sz w:val="12"/>
        </w:rPr>
      </w:pPr>
      <w:r>
        <w:rPr>
          <w:sz w:val="12"/>
        </w:rPr>
        <w:t>La edición de las disposiciones jurídicas del ámbito Federal o Estatal, en medios electrónicos no representa una versión oficial, ya que de acuerdo al artículo 3º del</w:t>
      </w:r>
      <w:r>
        <w:rPr>
          <w:spacing w:val="40"/>
          <w:sz w:val="12"/>
        </w:rPr>
        <w:t> </w:t>
      </w:r>
      <w:r>
        <w:rPr>
          <w:sz w:val="12"/>
        </w:rPr>
        <w:t>Código Civil Federal;</w:t>
      </w:r>
      <w:r>
        <w:rPr>
          <w:spacing w:val="-1"/>
          <w:sz w:val="12"/>
        </w:rPr>
        <w:t> </w:t>
      </w:r>
      <w:r>
        <w:rPr>
          <w:sz w:val="12"/>
        </w:rPr>
        <w:t>los artículos 2º,</w:t>
      </w:r>
      <w:r>
        <w:rPr>
          <w:spacing w:val="-1"/>
          <w:sz w:val="12"/>
        </w:rPr>
        <w:t> </w:t>
      </w:r>
      <w:r>
        <w:rPr>
          <w:sz w:val="12"/>
        </w:rPr>
        <w:t>3º, 4º y</w:t>
      </w:r>
      <w:r>
        <w:rPr>
          <w:spacing w:val="-1"/>
          <w:sz w:val="12"/>
        </w:rPr>
        <w:t> </w:t>
      </w:r>
      <w:r>
        <w:rPr>
          <w:sz w:val="12"/>
        </w:rPr>
        <w:t>8º de la Ley del Diario Oficial</w:t>
      </w:r>
      <w:r>
        <w:rPr>
          <w:spacing w:val="-2"/>
          <w:sz w:val="12"/>
        </w:rPr>
        <w:t> </w:t>
      </w:r>
      <w:r>
        <w:rPr>
          <w:sz w:val="12"/>
        </w:rPr>
        <w:t>de la</w:t>
      </w:r>
      <w:r>
        <w:rPr>
          <w:spacing w:val="-1"/>
          <w:sz w:val="12"/>
        </w:rPr>
        <w:t> </w:t>
      </w:r>
      <w:r>
        <w:rPr>
          <w:sz w:val="12"/>
        </w:rPr>
        <w:t>Federación; los artículos 3º,</w:t>
      </w:r>
      <w:r>
        <w:rPr>
          <w:spacing w:val="-1"/>
          <w:sz w:val="12"/>
        </w:rPr>
        <w:t> </w:t>
      </w:r>
      <w:r>
        <w:rPr>
          <w:sz w:val="12"/>
        </w:rPr>
        <w:t>4º y 5º de la</w:t>
      </w:r>
      <w:r>
        <w:rPr>
          <w:spacing w:val="-1"/>
          <w:sz w:val="12"/>
        </w:rPr>
        <w:t> </w:t>
      </w:r>
      <w:r>
        <w:rPr>
          <w:sz w:val="12"/>
        </w:rPr>
        <w:t>Ley del</w:t>
      </w:r>
      <w:r>
        <w:rPr>
          <w:spacing w:val="-2"/>
          <w:sz w:val="12"/>
        </w:rPr>
        <w:t> </w:t>
      </w:r>
      <w:r>
        <w:rPr>
          <w:sz w:val="12"/>
        </w:rPr>
        <w:t>Periódico Oficial del Estado de</w:t>
      </w:r>
      <w:r>
        <w:rPr>
          <w:spacing w:val="-1"/>
          <w:sz w:val="12"/>
        </w:rPr>
        <w:t> </w:t>
      </w:r>
      <w:r>
        <w:rPr>
          <w:sz w:val="12"/>
        </w:rPr>
        <w:t>San</w:t>
      </w:r>
      <w:r>
        <w:rPr>
          <w:spacing w:val="40"/>
          <w:sz w:val="12"/>
        </w:rPr>
        <w:t> </w:t>
      </w:r>
      <w:r>
        <w:rPr>
          <w:sz w:val="12"/>
        </w:rPr>
        <w:t>Luis</w:t>
      </w:r>
      <w:r>
        <w:rPr>
          <w:spacing w:val="-1"/>
          <w:sz w:val="12"/>
        </w:rPr>
        <w:t> </w:t>
      </w:r>
      <w:r>
        <w:rPr>
          <w:sz w:val="12"/>
        </w:rPr>
        <w:t>Potosí;</w:t>
      </w:r>
      <w:r>
        <w:rPr>
          <w:spacing w:val="-1"/>
          <w:sz w:val="12"/>
        </w:rPr>
        <w:t> </w:t>
      </w:r>
      <w:r>
        <w:rPr>
          <w:sz w:val="12"/>
        </w:rPr>
        <w:t>y</w:t>
      </w:r>
      <w:r>
        <w:rPr>
          <w:spacing w:val="-4"/>
          <w:sz w:val="12"/>
        </w:rPr>
        <w:t> </w:t>
      </w:r>
      <w:r>
        <w:rPr>
          <w:sz w:val="12"/>
        </w:rPr>
        <w:t>el</w:t>
      </w:r>
      <w:r>
        <w:rPr>
          <w:spacing w:val="-4"/>
          <w:sz w:val="12"/>
        </w:rPr>
        <w:t> </w:t>
      </w:r>
      <w:r>
        <w:rPr>
          <w:sz w:val="12"/>
        </w:rPr>
        <w:t>artículo</w:t>
      </w:r>
      <w:r>
        <w:rPr>
          <w:spacing w:val="-4"/>
          <w:sz w:val="12"/>
        </w:rPr>
        <w:t> </w:t>
      </w:r>
      <w:r>
        <w:rPr>
          <w:sz w:val="12"/>
        </w:rPr>
        <w:t>2º</w:t>
      </w:r>
      <w:r>
        <w:rPr>
          <w:spacing w:val="-2"/>
          <w:sz w:val="12"/>
        </w:rPr>
        <w:t> </w:t>
      </w:r>
      <w:r>
        <w:rPr>
          <w:sz w:val="12"/>
        </w:rPr>
        <w:t>del</w:t>
      </w:r>
      <w:r>
        <w:rPr>
          <w:spacing w:val="-1"/>
          <w:sz w:val="12"/>
        </w:rPr>
        <w:t> </w:t>
      </w:r>
      <w:r>
        <w:rPr>
          <w:sz w:val="12"/>
        </w:rPr>
        <w:t>Código</w:t>
      </w:r>
      <w:r>
        <w:rPr>
          <w:spacing w:val="-1"/>
          <w:sz w:val="12"/>
        </w:rPr>
        <w:t> </w:t>
      </w:r>
      <w:r>
        <w:rPr>
          <w:sz w:val="12"/>
        </w:rPr>
        <w:t>Civil</w:t>
      </w:r>
      <w:r>
        <w:rPr>
          <w:spacing w:val="-1"/>
          <w:sz w:val="12"/>
        </w:rPr>
        <w:t> </w:t>
      </w:r>
      <w:r>
        <w:rPr>
          <w:sz w:val="12"/>
        </w:rPr>
        <w:t>para</w:t>
      </w:r>
      <w:r>
        <w:rPr>
          <w:spacing w:val="-1"/>
          <w:sz w:val="12"/>
        </w:rPr>
        <w:t> </w:t>
      </w:r>
      <w:r>
        <w:rPr>
          <w:sz w:val="12"/>
        </w:rPr>
        <w:t>el</w:t>
      </w:r>
      <w:r>
        <w:rPr>
          <w:spacing w:val="-4"/>
          <w:sz w:val="12"/>
        </w:rPr>
        <w:t> </w:t>
      </w:r>
      <w:r>
        <w:rPr>
          <w:sz w:val="12"/>
        </w:rPr>
        <w:t>Estado</w:t>
      </w:r>
      <w:r>
        <w:rPr>
          <w:spacing w:val="-1"/>
          <w:sz w:val="12"/>
        </w:rPr>
        <w:t> </w:t>
      </w:r>
      <w:r>
        <w:rPr>
          <w:sz w:val="12"/>
        </w:rPr>
        <w:t>de</w:t>
      </w:r>
      <w:r>
        <w:rPr>
          <w:spacing w:val="-1"/>
          <w:sz w:val="12"/>
        </w:rPr>
        <w:t> </w:t>
      </w:r>
      <w:r>
        <w:rPr>
          <w:sz w:val="12"/>
        </w:rPr>
        <w:t>San</w:t>
      </w:r>
      <w:r>
        <w:rPr>
          <w:spacing w:val="-3"/>
          <w:sz w:val="12"/>
        </w:rPr>
        <w:t> </w:t>
      </w:r>
      <w:r>
        <w:rPr>
          <w:sz w:val="12"/>
        </w:rPr>
        <w:t>Luis</w:t>
      </w:r>
      <w:r>
        <w:rPr>
          <w:spacing w:val="-1"/>
          <w:sz w:val="12"/>
        </w:rPr>
        <w:t> </w:t>
      </w:r>
      <w:r>
        <w:rPr>
          <w:sz w:val="12"/>
        </w:rPr>
        <w:t>Potosí,</w:t>
      </w:r>
      <w:r>
        <w:rPr>
          <w:spacing w:val="-1"/>
          <w:sz w:val="12"/>
        </w:rPr>
        <w:t> </w:t>
      </w:r>
      <w:r>
        <w:rPr>
          <w:sz w:val="12"/>
        </w:rPr>
        <w:t>las</w:t>
      </w:r>
      <w:r>
        <w:rPr>
          <w:spacing w:val="-4"/>
          <w:sz w:val="12"/>
        </w:rPr>
        <w:t> </w:t>
      </w:r>
      <w:r>
        <w:rPr>
          <w:sz w:val="12"/>
        </w:rPr>
        <w:t>únicas</w:t>
      </w:r>
      <w:r>
        <w:rPr>
          <w:spacing w:val="-3"/>
          <w:sz w:val="12"/>
        </w:rPr>
        <w:t> </w:t>
      </w:r>
      <w:r>
        <w:rPr>
          <w:sz w:val="12"/>
        </w:rPr>
        <w:t>publicaciones</w:t>
      </w:r>
      <w:r>
        <w:rPr>
          <w:spacing w:val="-1"/>
          <w:sz w:val="12"/>
        </w:rPr>
        <w:t> </w:t>
      </w:r>
      <w:r>
        <w:rPr>
          <w:sz w:val="12"/>
        </w:rPr>
        <w:t>que</w:t>
      </w:r>
      <w:r>
        <w:rPr>
          <w:spacing w:val="-1"/>
          <w:sz w:val="12"/>
        </w:rPr>
        <w:t> </w:t>
      </w:r>
      <w:r>
        <w:rPr>
          <w:sz w:val="12"/>
        </w:rPr>
        <w:t>dan</w:t>
      </w:r>
      <w:r>
        <w:rPr>
          <w:spacing w:val="-1"/>
          <w:sz w:val="12"/>
        </w:rPr>
        <w:t> </w:t>
      </w:r>
      <w:r>
        <w:rPr>
          <w:sz w:val="12"/>
        </w:rPr>
        <w:t>validez</w:t>
      </w:r>
      <w:r>
        <w:rPr>
          <w:spacing w:val="-4"/>
          <w:sz w:val="12"/>
        </w:rPr>
        <w:t> </w:t>
      </w:r>
      <w:r>
        <w:rPr>
          <w:sz w:val="12"/>
        </w:rPr>
        <w:t>jurídica</w:t>
      </w:r>
      <w:r>
        <w:rPr>
          <w:spacing w:val="-1"/>
          <w:sz w:val="12"/>
        </w:rPr>
        <w:t> </w:t>
      </w:r>
      <w:r>
        <w:rPr>
          <w:sz w:val="12"/>
        </w:rPr>
        <w:t>a</w:t>
      </w:r>
      <w:r>
        <w:rPr>
          <w:spacing w:val="-3"/>
          <w:sz w:val="12"/>
        </w:rPr>
        <w:t> </w:t>
      </w:r>
      <w:r>
        <w:rPr>
          <w:sz w:val="12"/>
        </w:rPr>
        <w:t>una</w:t>
      </w:r>
      <w:r>
        <w:rPr>
          <w:spacing w:val="-3"/>
          <w:sz w:val="12"/>
        </w:rPr>
        <w:t> </w:t>
      </w:r>
      <w:r>
        <w:rPr>
          <w:sz w:val="12"/>
        </w:rPr>
        <w:t>norma</w:t>
      </w:r>
      <w:r>
        <w:rPr>
          <w:spacing w:val="-1"/>
          <w:sz w:val="12"/>
        </w:rPr>
        <w:t> </w:t>
      </w:r>
      <w:r>
        <w:rPr>
          <w:sz w:val="12"/>
        </w:rPr>
        <w:t>es</w:t>
      </w:r>
      <w:r>
        <w:rPr>
          <w:spacing w:val="-4"/>
          <w:sz w:val="12"/>
        </w:rPr>
        <w:t> </w:t>
      </w:r>
      <w:r>
        <w:rPr>
          <w:sz w:val="12"/>
        </w:rPr>
        <w:t>el</w:t>
      </w:r>
      <w:r>
        <w:rPr>
          <w:spacing w:val="-1"/>
          <w:sz w:val="12"/>
        </w:rPr>
        <w:t> </w:t>
      </w:r>
      <w:r>
        <w:rPr>
          <w:sz w:val="12"/>
        </w:rPr>
        <w:t>propio</w:t>
      </w:r>
      <w:r>
        <w:rPr>
          <w:spacing w:val="-4"/>
          <w:sz w:val="12"/>
        </w:rPr>
        <w:t> </w:t>
      </w:r>
      <w:r>
        <w:rPr>
          <w:sz w:val="12"/>
        </w:rPr>
        <w:t>Diario</w:t>
      </w:r>
      <w:r>
        <w:rPr>
          <w:spacing w:val="-3"/>
          <w:sz w:val="12"/>
        </w:rPr>
        <w:t> </w:t>
      </w:r>
      <w:r>
        <w:rPr>
          <w:sz w:val="12"/>
        </w:rPr>
        <w:t>Oficial</w:t>
      </w:r>
      <w:r>
        <w:rPr>
          <w:spacing w:val="40"/>
          <w:sz w:val="12"/>
        </w:rPr>
        <w:t> </w:t>
      </w:r>
      <w:r>
        <w:rPr>
          <w:sz w:val="12"/>
        </w:rPr>
        <w:t>de la Federación, la Gaceta Oficial del Distrito</w:t>
      </w:r>
      <w:r>
        <w:rPr>
          <w:spacing w:val="-1"/>
          <w:sz w:val="12"/>
        </w:rPr>
        <w:t> </w:t>
      </w:r>
      <w:r>
        <w:rPr>
          <w:sz w:val="12"/>
        </w:rPr>
        <w:t>Federal o los Periódicos Oficiales Estatales,</w:t>
      </w:r>
      <w:r>
        <w:rPr>
          <w:spacing w:val="-1"/>
          <w:sz w:val="12"/>
        </w:rPr>
        <w:t> </w:t>
      </w:r>
      <w:r>
        <w:rPr>
          <w:sz w:val="12"/>
        </w:rPr>
        <w:t>en este caso</w:t>
      </w:r>
      <w:r>
        <w:rPr>
          <w:spacing w:val="-1"/>
          <w:sz w:val="12"/>
        </w:rPr>
        <w:t> </w:t>
      </w:r>
      <w:r>
        <w:rPr>
          <w:sz w:val="12"/>
        </w:rPr>
        <w:t>el Periódico</w:t>
      </w:r>
      <w:r>
        <w:rPr>
          <w:spacing w:val="-1"/>
          <w:sz w:val="12"/>
        </w:rPr>
        <w:t> </w:t>
      </w:r>
      <w:r>
        <w:rPr>
          <w:sz w:val="12"/>
        </w:rPr>
        <w:t>Oficial del Estado</w:t>
      </w:r>
      <w:r>
        <w:rPr>
          <w:spacing w:val="-1"/>
          <w:sz w:val="12"/>
        </w:rPr>
        <w:t> </w:t>
      </w:r>
      <w:r>
        <w:rPr>
          <w:sz w:val="12"/>
        </w:rPr>
        <w:t>de San Luis Potosí.</w:t>
      </w:r>
    </w:p>
    <w:p>
      <w:pPr>
        <w:spacing w:after="0"/>
        <w:jc w:val="both"/>
        <w:rPr>
          <w:sz w:val="12"/>
        </w:rPr>
        <w:sectPr>
          <w:type w:val="continuous"/>
          <w:pgSz w:w="12240" w:h="15840"/>
          <w:pgMar w:top="1820" w:bottom="280" w:left="1440" w:right="1440"/>
        </w:sectPr>
      </w:pPr>
    </w:p>
    <w:p>
      <w:pPr>
        <w:pStyle w:val="BodyText"/>
      </w:pPr>
    </w:p>
    <w:p>
      <w:pPr>
        <w:pStyle w:val="BodyText"/>
      </w:pPr>
    </w:p>
    <w:p>
      <w:pPr>
        <w:pStyle w:val="BodyText"/>
        <w:spacing w:before="72"/>
      </w:pPr>
    </w:p>
    <w:p>
      <w:pPr>
        <w:spacing w:before="0"/>
        <w:ind w:left="262" w:right="263" w:firstLine="0"/>
        <w:jc w:val="both"/>
        <w:rPr>
          <w:sz w:val="20"/>
        </w:rPr>
      </w:pPr>
      <w:r>
        <w:rPr>
          <w:rFonts w:ascii="Arial" w:hAnsi="Arial"/>
          <w:b/>
          <w:sz w:val="22"/>
        </w:rPr>
        <w:t>JUAN MANUEL CARRERAS LOPEZ,</w:t>
      </w:r>
      <w:r>
        <w:rPr>
          <w:rFonts w:ascii="Arial" w:hAnsi="Arial"/>
          <w:b/>
          <w:spacing w:val="-5"/>
          <w:sz w:val="22"/>
        </w:rPr>
        <w:t> </w:t>
      </w:r>
      <w:r>
        <w:rPr>
          <w:sz w:val="20"/>
        </w:rPr>
        <w:t>Gobernador Constitucional del Estado</w:t>
      </w:r>
      <w:r>
        <w:rPr>
          <w:spacing w:val="-1"/>
          <w:sz w:val="20"/>
        </w:rPr>
        <w:t> </w:t>
      </w:r>
      <w:r>
        <w:rPr>
          <w:sz w:val="20"/>
        </w:rPr>
        <w:t>Libre y Soberano de San Luis Potosí, a sus habitantes sabed:</w:t>
      </w:r>
    </w:p>
    <w:p>
      <w:pPr>
        <w:pStyle w:val="BodyText"/>
        <w:spacing w:before="229"/>
        <w:ind w:left="262" w:right="263"/>
        <w:jc w:val="both"/>
      </w:pPr>
      <w:r>
        <w:rPr/>
        <w:t>Que la Sexagésima Primera Legislatura Constitucional del Estado se ha servido dirigirme el </w:t>
      </w:r>
      <w:r>
        <w:rPr>
          <w:spacing w:val="-2"/>
        </w:rPr>
        <w:t>siguiente:</w:t>
      </w:r>
    </w:p>
    <w:p>
      <w:pPr>
        <w:pStyle w:val="BodyText"/>
      </w:pPr>
    </w:p>
    <w:p>
      <w:pPr>
        <w:pStyle w:val="BodyText"/>
        <w:spacing w:before="2"/>
      </w:pPr>
    </w:p>
    <w:p>
      <w:pPr>
        <w:spacing w:before="0"/>
        <w:ind w:left="0" w:right="0" w:firstLine="0"/>
        <w:jc w:val="center"/>
        <w:rPr>
          <w:rFonts w:ascii="Arial"/>
          <w:b/>
          <w:sz w:val="20"/>
        </w:rPr>
      </w:pPr>
      <w:r>
        <w:rPr>
          <w:rFonts w:ascii="Arial"/>
          <w:b/>
          <w:sz w:val="20"/>
        </w:rPr>
        <w:t>DECRETO</w:t>
      </w:r>
      <w:r>
        <w:rPr>
          <w:rFonts w:ascii="Arial"/>
          <w:b/>
          <w:spacing w:val="-11"/>
          <w:sz w:val="20"/>
        </w:rPr>
        <w:t> </w:t>
      </w:r>
      <w:r>
        <w:rPr>
          <w:rFonts w:ascii="Arial"/>
          <w:b/>
          <w:spacing w:val="-4"/>
          <w:sz w:val="20"/>
        </w:rPr>
        <w:t>1017</w:t>
      </w:r>
    </w:p>
    <w:p>
      <w:pPr>
        <w:spacing w:before="229"/>
        <w:ind w:left="1479" w:right="1486" w:firstLine="0"/>
        <w:jc w:val="center"/>
        <w:rPr>
          <w:rFonts w:ascii="Arial"/>
          <w:b/>
          <w:sz w:val="20"/>
        </w:rPr>
      </w:pPr>
      <w:r>
        <w:rPr>
          <w:rFonts w:ascii="Arial"/>
          <w:b/>
          <w:color w:val="00AF50"/>
          <w:sz w:val="20"/>
        </w:rPr>
        <w:t>LEY</w:t>
      </w:r>
      <w:r>
        <w:rPr>
          <w:rFonts w:ascii="Arial"/>
          <w:b/>
          <w:color w:val="00AF50"/>
          <w:spacing w:val="-8"/>
          <w:sz w:val="20"/>
        </w:rPr>
        <w:t> </w:t>
      </w:r>
      <w:r>
        <w:rPr>
          <w:rFonts w:ascii="Arial"/>
          <w:b/>
          <w:color w:val="00AF50"/>
          <w:sz w:val="20"/>
        </w:rPr>
        <w:t>DE</w:t>
      </w:r>
      <w:r>
        <w:rPr>
          <w:rFonts w:ascii="Arial"/>
          <w:b/>
          <w:color w:val="00AF50"/>
          <w:spacing w:val="-8"/>
          <w:sz w:val="20"/>
        </w:rPr>
        <w:t> </w:t>
      </w:r>
      <w:r>
        <w:rPr>
          <w:rFonts w:ascii="Arial"/>
          <w:b/>
          <w:color w:val="00AF50"/>
          <w:sz w:val="20"/>
        </w:rPr>
        <w:t>ORDENAMIENTO</w:t>
      </w:r>
      <w:r>
        <w:rPr>
          <w:rFonts w:ascii="Arial"/>
          <w:b/>
          <w:color w:val="00AF50"/>
          <w:spacing w:val="-8"/>
          <w:sz w:val="20"/>
        </w:rPr>
        <w:t> </w:t>
      </w:r>
      <w:r>
        <w:rPr>
          <w:rFonts w:ascii="Arial"/>
          <w:b/>
          <w:color w:val="00AF50"/>
          <w:sz w:val="20"/>
        </w:rPr>
        <w:t>TERRITORIAL</w:t>
      </w:r>
      <w:r>
        <w:rPr>
          <w:rFonts w:ascii="Arial"/>
          <w:b/>
          <w:color w:val="00AF50"/>
          <w:spacing w:val="-6"/>
          <w:sz w:val="20"/>
        </w:rPr>
        <w:t> </w:t>
      </w:r>
      <w:r>
        <w:rPr>
          <w:rFonts w:ascii="Arial"/>
          <w:b/>
          <w:color w:val="00AF50"/>
          <w:sz w:val="20"/>
        </w:rPr>
        <w:t>Y</w:t>
      </w:r>
      <w:r>
        <w:rPr>
          <w:rFonts w:ascii="Arial"/>
          <w:b/>
          <w:color w:val="00AF50"/>
          <w:spacing w:val="-8"/>
          <w:sz w:val="20"/>
        </w:rPr>
        <w:t> </w:t>
      </w:r>
      <w:r>
        <w:rPr>
          <w:rFonts w:ascii="Arial"/>
          <w:b/>
          <w:color w:val="00AF50"/>
          <w:sz w:val="20"/>
        </w:rPr>
        <w:t>DESARROLLO</w:t>
      </w:r>
      <w:r>
        <w:rPr>
          <w:rFonts w:ascii="Arial"/>
          <w:b/>
          <w:color w:val="00AF50"/>
          <w:spacing w:val="-8"/>
          <w:sz w:val="20"/>
        </w:rPr>
        <w:t> </w:t>
      </w:r>
      <w:r>
        <w:rPr>
          <w:rFonts w:ascii="Arial"/>
          <w:b/>
          <w:color w:val="00AF50"/>
          <w:sz w:val="20"/>
        </w:rPr>
        <w:t>URBANO DEL ESTADO DE SAN LUIS POTOSI</w:t>
      </w:r>
    </w:p>
    <w:p>
      <w:pPr>
        <w:pStyle w:val="BodyText"/>
        <w:spacing w:before="229"/>
        <w:rPr>
          <w:rFonts w:ascii="Arial"/>
          <w:b/>
        </w:rPr>
      </w:pPr>
    </w:p>
    <w:p>
      <w:pPr>
        <w:spacing w:before="0"/>
        <w:ind w:left="0" w:right="15" w:firstLine="0"/>
        <w:jc w:val="center"/>
        <w:rPr>
          <w:rFonts w:ascii="Arial" w:hAnsi="Arial"/>
          <w:b/>
          <w:sz w:val="20"/>
        </w:rPr>
      </w:pPr>
      <w:r>
        <w:rPr>
          <w:rFonts w:ascii="Arial" w:hAnsi="Arial"/>
          <w:b/>
          <w:sz w:val="20"/>
        </w:rPr>
        <w:t>EXPOSICIÓN</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pacing w:val="-2"/>
          <w:sz w:val="20"/>
        </w:rPr>
        <w:t>MOTIVOS</w:t>
      </w:r>
    </w:p>
    <w:p>
      <w:pPr>
        <w:pStyle w:val="BodyText"/>
        <w:rPr>
          <w:rFonts w:ascii="Arial"/>
          <w:b/>
        </w:rPr>
      </w:pPr>
    </w:p>
    <w:p>
      <w:pPr>
        <w:pStyle w:val="BodyText"/>
        <w:spacing w:before="1"/>
        <w:rPr>
          <w:rFonts w:ascii="Arial"/>
          <w:b/>
        </w:rPr>
      </w:pPr>
    </w:p>
    <w:p>
      <w:pPr>
        <w:pStyle w:val="BodyText"/>
        <w:ind w:left="262" w:right="286"/>
        <w:jc w:val="both"/>
      </w:pPr>
      <w:r>
        <w:rPr/>
        <w:t>La nueva Ley General de Asentamientos Humanos, Ordenamiento Territorial y Desarrollo Urbano, publicada en el Diario Oficial de la Federación el pasado 28 de noviembre de 2016, ordena en su artículo tercero transitorio lo siguiente:</w:t>
      </w:r>
    </w:p>
    <w:p>
      <w:pPr>
        <w:spacing w:before="230"/>
        <w:ind w:left="262" w:right="277" w:firstLine="0"/>
        <w:jc w:val="both"/>
        <w:rPr>
          <w:rFonts w:ascii="Arial" w:hAnsi="Arial"/>
          <w:b/>
          <w:i/>
          <w:sz w:val="20"/>
        </w:rPr>
      </w:pPr>
      <w:r>
        <w:rPr>
          <w:rFonts w:ascii="Arial" w:hAnsi="Arial"/>
          <w:b/>
          <w:i/>
          <w:sz w:val="20"/>
        </w:rPr>
        <w:t>“TERCERO. En un plazo de un año contado a partir de la entrada en vigor del presente Decreto, las autoridades de los tres órdenes de gobierno deberán crear o adecuar todas las disposiciones</w:t>
      </w:r>
      <w:r>
        <w:rPr>
          <w:rFonts w:ascii="Arial" w:hAnsi="Arial"/>
          <w:b/>
          <w:i/>
          <w:spacing w:val="-14"/>
          <w:sz w:val="20"/>
        </w:rPr>
        <w:t> </w:t>
      </w:r>
      <w:r>
        <w:rPr>
          <w:rFonts w:ascii="Arial" w:hAnsi="Arial"/>
          <w:b/>
          <w:i/>
          <w:sz w:val="20"/>
        </w:rPr>
        <w:t>legales</w:t>
      </w:r>
      <w:r>
        <w:rPr>
          <w:rFonts w:ascii="Arial" w:hAnsi="Arial"/>
          <w:b/>
          <w:i/>
          <w:spacing w:val="-14"/>
          <w:sz w:val="20"/>
        </w:rPr>
        <w:t> </w:t>
      </w:r>
      <w:r>
        <w:rPr>
          <w:rFonts w:ascii="Arial" w:hAnsi="Arial"/>
          <w:b/>
          <w:i/>
          <w:sz w:val="20"/>
        </w:rPr>
        <w:t>y</w:t>
      </w:r>
      <w:r>
        <w:rPr>
          <w:rFonts w:ascii="Arial" w:hAnsi="Arial"/>
          <w:b/>
          <w:i/>
          <w:spacing w:val="-14"/>
          <w:sz w:val="20"/>
        </w:rPr>
        <w:t> </w:t>
      </w:r>
      <w:r>
        <w:rPr>
          <w:rFonts w:ascii="Arial" w:hAnsi="Arial"/>
          <w:b/>
          <w:i/>
          <w:sz w:val="20"/>
        </w:rPr>
        <w:t>reglamentarias</w:t>
      </w:r>
      <w:r>
        <w:rPr>
          <w:rFonts w:ascii="Arial" w:hAnsi="Arial"/>
          <w:b/>
          <w:i/>
          <w:spacing w:val="-14"/>
          <w:sz w:val="20"/>
        </w:rPr>
        <w:t> </w:t>
      </w:r>
      <w:r>
        <w:rPr>
          <w:rFonts w:ascii="Arial" w:hAnsi="Arial"/>
          <w:b/>
          <w:i/>
          <w:sz w:val="20"/>
        </w:rPr>
        <w:t>relacionadas</w:t>
      </w:r>
      <w:r>
        <w:rPr>
          <w:rFonts w:ascii="Arial" w:hAnsi="Arial"/>
          <w:b/>
          <w:i/>
          <w:spacing w:val="-13"/>
          <w:sz w:val="20"/>
        </w:rPr>
        <w:t> </w:t>
      </w:r>
      <w:r>
        <w:rPr>
          <w:rFonts w:ascii="Arial" w:hAnsi="Arial"/>
          <w:b/>
          <w:i/>
          <w:sz w:val="20"/>
        </w:rPr>
        <w:t>con</w:t>
      </w:r>
      <w:r>
        <w:rPr>
          <w:rFonts w:ascii="Arial" w:hAnsi="Arial"/>
          <w:b/>
          <w:i/>
          <w:spacing w:val="-14"/>
          <w:sz w:val="20"/>
        </w:rPr>
        <w:t> </w:t>
      </w:r>
      <w:r>
        <w:rPr>
          <w:rFonts w:ascii="Arial" w:hAnsi="Arial"/>
          <w:b/>
          <w:i/>
          <w:sz w:val="20"/>
        </w:rPr>
        <w:t>los</w:t>
      </w:r>
      <w:r>
        <w:rPr>
          <w:rFonts w:ascii="Arial" w:hAnsi="Arial"/>
          <w:b/>
          <w:i/>
          <w:spacing w:val="-13"/>
          <w:sz w:val="20"/>
        </w:rPr>
        <w:t> </w:t>
      </w:r>
      <w:r>
        <w:rPr>
          <w:rFonts w:ascii="Arial" w:hAnsi="Arial"/>
          <w:b/>
          <w:i/>
          <w:sz w:val="20"/>
        </w:rPr>
        <w:t>contenidos</w:t>
      </w:r>
      <w:r>
        <w:rPr>
          <w:rFonts w:ascii="Arial" w:hAnsi="Arial"/>
          <w:b/>
          <w:i/>
          <w:spacing w:val="-14"/>
          <w:sz w:val="20"/>
        </w:rPr>
        <w:t> </w:t>
      </w:r>
      <w:r>
        <w:rPr>
          <w:rFonts w:ascii="Arial" w:hAnsi="Arial"/>
          <w:b/>
          <w:i/>
          <w:sz w:val="20"/>
        </w:rPr>
        <w:t>de</w:t>
      </w:r>
      <w:r>
        <w:rPr>
          <w:rFonts w:ascii="Arial" w:hAnsi="Arial"/>
          <w:b/>
          <w:i/>
          <w:spacing w:val="-12"/>
          <w:sz w:val="20"/>
        </w:rPr>
        <w:t> </w:t>
      </w:r>
      <w:r>
        <w:rPr>
          <w:rFonts w:ascii="Arial" w:hAnsi="Arial"/>
          <w:b/>
          <w:i/>
          <w:sz w:val="20"/>
        </w:rPr>
        <w:t>este</w:t>
      </w:r>
      <w:r>
        <w:rPr>
          <w:rFonts w:ascii="Arial" w:hAnsi="Arial"/>
          <w:b/>
          <w:i/>
          <w:spacing w:val="-13"/>
          <w:sz w:val="20"/>
        </w:rPr>
        <w:t> </w:t>
      </w:r>
      <w:r>
        <w:rPr>
          <w:rFonts w:ascii="Arial" w:hAnsi="Arial"/>
          <w:b/>
          <w:i/>
          <w:spacing w:val="-2"/>
          <w:sz w:val="20"/>
        </w:rPr>
        <w:t>instrumento.</w:t>
      </w:r>
    </w:p>
    <w:p>
      <w:pPr>
        <w:pStyle w:val="BodyText"/>
        <w:spacing w:before="2"/>
        <w:rPr>
          <w:rFonts w:ascii="Arial"/>
          <w:b/>
          <w:i/>
        </w:rPr>
      </w:pPr>
    </w:p>
    <w:p>
      <w:pPr>
        <w:spacing w:before="0"/>
        <w:ind w:left="262" w:right="278" w:firstLine="0"/>
        <w:jc w:val="both"/>
        <w:rPr>
          <w:rFonts w:ascii="Arial" w:hAnsi="Arial"/>
          <w:b/>
          <w:i/>
          <w:sz w:val="20"/>
        </w:rPr>
      </w:pPr>
      <w:r>
        <w:rPr>
          <w:rFonts w:ascii="Arial" w:hAnsi="Arial"/>
          <w:b/>
          <w:i/>
          <w:sz w:val="20"/>
        </w:rPr>
        <w:t>“En el caso de la Ciudad de México, la Legislatura de la Ciudad de México, las autoridades del</w:t>
      </w:r>
      <w:r>
        <w:rPr>
          <w:rFonts w:ascii="Arial" w:hAnsi="Arial"/>
          <w:b/>
          <w:i/>
          <w:spacing w:val="-14"/>
          <w:sz w:val="20"/>
        </w:rPr>
        <w:t> </w:t>
      </w:r>
      <w:r>
        <w:rPr>
          <w:rFonts w:ascii="Arial" w:hAnsi="Arial"/>
          <w:b/>
          <w:i/>
          <w:sz w:val="20"/>
        </w:rPr>
        <w:t>gobierno</w:t>
      </w:r>
      <w:r>
        <w:rPr>
          <w:rFonts w:ascii="Arial" w:hAnsi="Arial"/>
          <w:b/>
          <w:i/>
          <w:spacing w:val="-13"/>
          <w:sz w:val="20"/>
        </w:rPr>
        <w:t> </w:t>
      </w:r>
      <w:r>
        <w:rPr>
          <w:rFonts w:ascii="Arial" w:hAnsi="Arial"/>
          <w:b/>
          <w:i/>
          <w:sz w:val="20"/>
        </w:rPr>
        <w:t>central</w:t>
      </w:r>
      <w:r>
        <w:rPr>
          <w:rFonts w:ascii="Arial" w:hAnsi="Arial"/>
          <w:b/>
          <w:i/>
          <w:spacing w:val="-13"/>
          <w:sz w:val="20"/>
        </w:rPr>
        <w:t> </w:t>
      </w:r>
      <w:r>
        <w:rPr>
          <w:rFonts w:ascii="Arial" w:hAnsi="Arial"/>
          <w:b/>
          <w:i/>
          <w:sz w:val="20"/>
        </w:rPr>
        <w:t>y</w:t>
      </w:r>
      <w:r>
        <w:rPr>
          <w:rFonts w:ascii="Arial" w:hAnsi="Arial"/>
          <w:b/>
          <w:i/>
          <w:spacing w:val="-13"/>
          <w:sz w:val="20"/>
        </w:rPr>
        <w:t> </w:t>
      </w:r>
      <w:r>
        <w:rPr>
          <w:rFonts w:ascii="Arial" w:hAnsi="Arial"/>
          <w:b/>
          <w:i/>
          <w:sz w:val="20"/>
        </w:rPr>
        <w:t>de</w:t>
      </w:r>
      <w:r>
        <w:rPr>
          <w:rFonts w:ascii="Arial" w:hAnsi="Arial"/>
          <w:b/>
          <w:i/>
          <w:spacing w:val="-13"/>
          <w:sz w:val="20"/>
        </w:rPr>
        <w:t> </w:t>
      </w:r>
      <w:r>
        <w:rPr>
          <w:rFonts w:ascii="Arial" w:hAnsi="Arial"/>
          <w:b/>
          <w:i/>
          <w:sz w:val="20"/>
        </w:rPr>
        <w:t>las</w:t>
      </w:r>
      <w:r>
        <w:rPr>
          <w:rFonts w:ascii="Arial" w:hAnsi="Arial"/>
          <w:b/>
          <w:i/>
          <w:spacing w:val="-13"/>
          <w:sz w:val="20"/>
        </w:rPr>
        <w:t> </w:t>
      </w:r>
      <w:r>
        <w:rPr>
          <w:rFonts w:ascii="Arial" w:hAnsi="Arial"/>
          <w:b/>
          <w:i/>
          <w:sz w:val="20"/>
        </w:rPr>
        <w:t>Demarcaciones</w:t>
      </w:r>
      <w:r>
        <w:rPr>
          <w:rFonts w:ascii="Arial" w:hAnsi="Arial"/>
          <w:b/>
          <w:i/>
          <w:spacing w:val="-13"/>
          <w:sz w:val="20"/>
        </w:rPr>
        <w:t> </w:t>
      </w:r>
      <w:r>
        <w:rPr>
          <w:rFonts w:ascii="Arial" w:hAnsi="Arial"/>
          <w:b/>
          <w:i/>
          <w:sz w:val="20"/>
        </w:rPr>
        <w:t>Territoriales</w:t>
      </w:r>
      <w:r>
        <w:rPr>
          <w:rFonts w:ascii="Arial" w:hAnsi="Arial"/>
          <w:b/>
          <w:i/>
          <w:spacing w:val="-12"/>
          <w:sz w:val="20"/>
        </w:rPr>
        <w:t> </w:t>
      </w:r>
      <w:r>
        <w:rPr>
          <w:rFonts w:ascii="Arial" w:hAnsi="Arial"/>
          <w:b/>
          <w:i/>
          <w:sz w:val="20"/>
        </w:rPr>
        <w:t>correspondientes,</w:t>
      </w:r>
      <w:r>
        <w:rPr>
          <w:rFonts w:ascii="Arial" w:hAnsi="Arial"/>
          <w:b/>
          <w:i/>
          <w:spacing w:val="-10"/>
          <w:sz w:val="20"/>
        </w:rPr>
        <w:t> </w:t>
      </w:r>
      <w:r>
        <w:rPr>
          <w:rFonts w:ascii="Arial" w:hAnsi="Arial"/>
          <w:b/>
          <w:i/>
          <w:sz w:val="20"/>
        </w:rPr>
        <w:t>deberán</w:t>
      </w:r>
      <w:r>
        <w:rPr>
          <w:rFonts w:ascii="Arial" w:hAnsi="Arial"/>
          <w:b/>
          <w:i/>
          <w:spacing w:val="-12"/>
          <w:sz w:val="20"/>
        </w:rPr>
        <w:t> </w:t>
      </w:r>
      <w:r>
        <w:rPr>
          <w:rFonts w:ascii="Arial" w:hAnsi="Arial"/>
          <w:b/>
          <w:i/>
          <w:sz w:val="20"/>
        </w:rPr>
        <w:t>efectuar las</w:t>
      </w:r>
      <w:r>
        <w:rPr>
          <w:rFonts w:ascii="Arial" w:hAnsi="Arial"/>
          <w:b/>
          <w:i/>
          <w:spacing w:val="-13"/>
          <w:sz w:val="20"/>
        </w:rPr>
        <w:t> </w:t>
      </w:r>
      <w:r>
        <w:rPr>
          <w:rFonts w:ascii="Arial" w:hAnsi="Arial"/>
          <w:b/>
          <w:i/>
          <w:sz w:val="20"/>
        </w:rPr>
        <w:t>adecuaciones</w:t>
      </w:r>
      <w:r>
        <w:rPr>
          <w:rFonts w:ascii="Arial" w:hAnsi="Arial"/>
          <w:b/>
          <w:i/>
          <w:spacing w:val="-14"/>
          <w:sz w:val="20"/>
        </w:rPr>
        <w:t> </w:t>
      </w:r>
      <w:r>
        <w:rPr>
          <w:rFonts w:ascii="Arial" w:hAnsi="Arial"/>
          <w:b/>
          <w:i/>
          <w:sz w:val="20"/>
        </w:rPr>
        <w:t>legislativas</w:t>
      </w:r>
      <w:r>
        <w:rPr>
          <w:rFonts w:ascii="Arial" w:hAnsi="Arial"/>
          <w:b/>
          <w:i/>
          <w:spacing w:val="-13"/>
          <w:sz w:val="20"/>
        </w:rPr>
        <w:t> </w:t>
      </w:r>
      <w:r>
        <w:rPr>
          <w:rFonts w:ascii="Arial" w:hAnsi="Arial"/>
          <w:b/>
          <w:i/>
          <w:sz w:val="20"/>
        </w:rPr>
        <w:t>y</w:t>
      </w:r>
      <w:r>
        <w:rPr>
          <w:rFonts w:ascii="Arial" w:hAnsi="Arial"/>
          <w:b/>
          <w:i/>
          <w:spacing w:val="-12"/>
          <w:sz w:val="20"/>
        </w:rPr>
        <w:t> </w:t>
      </w:r>
      <w:r>
        <w:rPr>
          <w:rFonts w:ascii="Arial" w:hAnsi="Arial"/>
          <w:b/>
          <w:i/>
          <w:sz w:val="20"/>
        </w:rPr>
        <w:t>reglamentarias</w:t>
      </w:r>
      <w:r>
        <w:rPr>
          <w:rFonts w:ascii="Arial" w:hAnsi="Arial"/>
          <w:b/>
          <w:i/>
          <w:spacing w:val="-13"/>
          <w:sz w:val="20"/>
        </w:rPr>
        <w:t> </w:t>
      </w:r>
      <w:r>
        <w:rPr>
          <w:rFonts w:ascii="Arial" w:hAnsi="Arial"/>
          <w:b/>
          <w:i/>
          <w:sz w:val="20"/>
        </w:rPr>
        <w:t>de</w:t>
      </w:r>
      <w:r>
        <w:rPr>
          <w:rFonts w:ascii="Arial" w:hAnsi="Arial"/>
          <w:b/>
          <w:i/>
          <w:spacing w:val="-12"/>
          <w:sz w:val="20"/>
        </w:rPr>
        <w:t> </w:t>
      </w:r>
      <w:r>
        <w:rPr>
          <w:rFonts w:ascii="Arial" w:hAnsi="Arial"/>
          <w:b/>
          <w:i/>
          <w:sz w:val="20"/>
        </w:rPr>
        <w:t>conformidad</w:t>
      </w:r>
      <w:r>
        <w:rPr>
          <w:rFonts w:ascii="Arial" w:hAnsi="Arial"/>
          <w:b/>
          <w:i/>
          <w:spacing w:val="-14"/>
          <w:sz w:val="20"/>
        </w:rPr>
        <w:t> </w:t>
      </w:r>
      <w:r>
        <w:rPr>
          <w:rFonts w:ascii="Arial" w:hAnsi="Arial"/>
          <w:b/>
          <w:i/>
          <w:sz w:val="20"/>
        </w:rPr>
        <w:t>con</w:t>
      </w:r>
      <w:r>
        <w:rPr>
          <w:rFonts w:ascii="Arial" w:hAnsi="Arial"/>
          <w:b/>
          <w:i/>
          <w:spacing w:val="-11"/>
          <w:sz w:val="20"/>
        </w:rPr>
        <w:t> </w:t>
      </w:r>
      <w:r>
        <w:rPr>
          <w:rFonts w:ascii="Arial" w:hAnsi="Arial"/>
          <w:b/>
          <w:i/>
          <w:sz w:val="20"/>
        </w:rPr>
        <w:t>lo</w:t>
      </w:r>
      <w:r>
        <w:rPr>
          <w:rFonts w:ascii="Arial" w:hAnsi="Arial"/>
          <w:b/>
          <w:i/>
          <w:spacing w:val="-14"/>
          <w:sz w:val="20"/>
        </w:rPr>
        <w:t> </w:t>
      </w:r>
      <w:r>
        <w:rPr>
          <w:rFonts w:ascii="Arial" w:hAnsi="Arial"/>
          <w:b/>
          <w:i/>
          <w:sz w:val="20"/>
        </w:rPr>
        <w:t>dispuesto</w:t>
      </w:r>
      <w:r>
        <w:rPr>
          <w:rFonts w:ascii="Arial" w:hAnsi="Arial"/>
          <w:b/>
          <w:i/>
          <w:spacing w:val="-13"/>
          <w:sz w:val="20"/>
        </w:rPr>
        <w:t> </w:t>
      </w:r>
      <w:r>
        <w:rPr>
          <w:rFonts w:ascii="Arial" w:hAnsi="Arial"/>
          <w:b/>
          <w:i/>
          <w:sz w:val="20"/>
        </w:rPr>
        <w:t>en</w:t>
      </w:r>
      <w:r>
        <w:rPr>
          <w:rFonts w:ascii="Arial" w:hAnsi="Arial"/>
          <w:b/>
          <w:i/>
          <w:spacing w:val="-12"/>
          <w:sz w:val="20"/>
        </w:rPr>
        <w:t> </w:t>
      </w:r>
      <w:r>
        <w:rPr>
          <w:rFonts w:ascii="Arial" w:hAnsi="Arial"/>
          <w:b/>
          <w:i/>
          <w:sz w:val="20"/>
        </w:rPr>
        <w:t>el</w:t>
      </w:r>
      <w:r>
        <w:rPr>
          <w:rFonts w:ascii="Arial" w:hAnsi="Arial"/>
          <w:b/>
          <w:i/>
          <w:spacing w:val="-13"/>
          <w:sz w:val="20"/>
        </w:rPr>
        <w:t> </w:t>
      </w:r>
      <w:r>
        <w:rPr>
          <w:rFonts w:ascii="Arial" w:hAnsi="Arial"/>
          <w:b/>
          <w:i/>
          <w:sz w:val="20"/>
        </w:rPr>
        <w:t>artículo 122 de la Constitución Política de los Estados Unidos Mexicanos y con las disposiciones de la Constitución de la Ciudad de México una vez que entren en vigor.”</w:t>
      </w:r>
    </w:p>
    <w:p>
      <w:pPr>
        <w:pStyle w:val="BodyText"/>
        <w:spacing w:before="227"/>
        <w:ind w:left="262" w:right="280"/>
        <w:jc w:val="both"/>
      </w:pPr>
      <w:r>
        <w:rPr/>
        <w:t>Es así que con el propósito de armonizar la legislación estatal con la Ley General referida, y en cumplimiento</w:t>
      </w:r>
      <w:r>
        <w:rPr>
          <w:spacing w:val="-2"/>
        </w:rPr>
        <w:t> </w:t>
      </w:r>
      <w:r>
        <w:rPr/>
        <w:t>de</w:t>
      </w:r>
      <w:r>
        <w:rPr>
          <w:spacing w:val="-2"/>
        </w:rPr>
        <w:t> </w:t>
      </w:r>
      <w:r>
        <w:rPr/>
        <w:t>lo</w:t>
      </w:r>
      <w:r>
        <w:rPr>
          <w:spacing w:val="-2"/>
        </w:rPr>
        <w:t> </w:t>
      </w:r>
      <w:r>
        <w:rPr/>
        <w:t>ordenado</w:t>
      </w:r>
      <w:r>
        <w:rPr>
          <w:spacing w:val="-3"/>
        </w:rPr>
        <w:t> </w:t>
      </w:r>
      <w:r>
        <w:rPr/>
        <w:t>por</w:t>
      </w:r>
      <w:r>
        <w:rPr>
          <w:spacing w:val="-1"/>
        </w:rPr>
        <w:t> </w:t>
      </w:r>
      <w:r>
        <w:rPr/>
        <w:t>la</w:t>
      </w:r>
      <w:r>
        <w:rPr>
          <w:spacing w:val="-2"/>
        </w:rPr>
        <w:t> </w:t>
      </w:r>
      <w:r>
        <w:rPr/>
        <w:t>misma,</w:t>
      </w:r>
      <w:r>
        <w:rPr>
          <w:spacing w:val="-2"/>
        </w:rPr>
        <w:t> </w:t>
      </w:r>
      <w:r>
        <w:rPr/>
        <w:t>se</w:t>
      </w:r>
      <w:r>
        <w:rPr>
          <w:spacing w:val="-2"/>
        </w:rPr>
        <w:t> </w:t>
      </w:r>
      <w:r>
        <w:rPr/>
        <w:t>expide</w:t>
      </w:r>
      <w:r>
        <w:rPr>
          <w:spacing w:val="-3"/>
        </w:rPr>
        <w:t> </w:t>
      </w:r>
      <w:r>
        <w:rPr/>
        <w:t>esta</w:t>
      </w:r>
      <w:r>
        <w:rPr>
          <w:spacing w:val="-5"/>
        </w:rPr>
        <w:t> </w:t>
      </w:r>
      <w:r>
        <w:rPr/>
        <w:t>nueva</w:t>
      </w:r>
      <w:r>
        <w:rPr>
          <w:spacing w:val="-2"/>
        </w:rPr>
        <w:t> </w:t>
      </w:r>
      <w:r>
        <w:rPr/>
        <w:t>Ley de</w:t>
      </w:r>
      <w:r>
        <w:rPr>
          <w:spacing w:val="-2"/>
        </w:rPr>
        <w:t> </w:t>
      </w:r>
      <w:r>
        <w:rPr/>
        <w:t>Ordenamiento</w:t>
      </w:r>
      <w:r>
        <w:rPr>
          <w:spacing w:val="-2"/>
        </w:rPr>
        <w:t> </w:t>
      </w:r>
      <w:r>
        <w:rPr/>
        <w:t>Territorial</w:t>
      </w:r>
      <w:r>
        <w:rPr>
          <w:spacing w:val="-5"/>
        </w:rPr>
        <w:t> </w:t>
      </w:r>
      <w:r>
        <w:rPr/>
        <w:t>y Desarrollo Urbano del Estado, que abroga la vigente Ley de Desarrollo Urbano del</w:t>
      </w:r>
      <w:r>
        <w:rPr>
          <w:spacing w:val="-1"/>
        </w:rPr>
        <w:t> </w:t>
      </w:r>
      <w:r>
        <w:rPr/>
        <w:t>Estado, a fin de fortalecer la legislación urbana y los sistemas de gobernanza, con disposiciones que proporcionen seguridad y estabilidad; que promuevan la inclusión social y económica; y den certeza jurídica y equidad en el proceso de urbanización.</w:t>
      </w:r>
    </w:p>
    <w:p>
      <w:pPr>
        <w:pStyle w:val="BodyText"/>
        <w:spacing w:before="1"/>
      </w:pPr>
    </w:p>
    <w:p>
      <w:pPr>
        <w:pStyle w:val="BodyText"/>
        <w:ind w:left="262" w:right="280"/>
        <w:jc w:val="both"/>
      </w:pPr>
      <w:r>
        <w:rPr/>
        <w:t>Esta Ley impulsa nuevas condiciones de gobernanza y coordinación entre los distintos órdenes de gobierno, con especial énfasis en la participación social, particularmente en zonas metropolitanas; formula y adecúa los programas de ordenamiento territorial, desarrollo urbano y metropolitano. Asimismo, regula</w:t>
      </w:r>
      <w:r>
        <w:rPr>
          <w:spacing w:val="40"/>
        </w:rPr>
        <w:t> </w:t>
      </w:r>
      <w:r>
        <w:rPr/>
        <w:t>el control, vigilancia, autorización y regularización de las acciones urbanísticas, entendidas éstas como los fraccionamientos, subdivisiones, fusiones, relotificaciones y modificaciones de los inmuebles, así como de los desarrollos en régimen de propiedad en condominio, en</w:t>
      </w:r>
      <w:r>
        <w:rPr>
          <w:spacing w:val="-2"/>
        </w:rPr>
        <w:t> </w:t>
      </w:r>
      <w:r>
        <w:rPr/>
        <w:t>virtud</w:t>
      </w:r>
      <w:r>
        <w:rPr>
          <w:spacing w:val="-1"/>
        </w:rPr>
        <w:t> </w:t>
      </w:r>
      <w:r>
        <w:rPr/>
        <w:t>de</w:t>
      </w:r>
      <w:r>
        <w:rPr>
          <w:spacing w:val="-2"/>
        </w:rPr>
        <w:t> </w:t>
      </w:r>
      <w:r>
        <w:rPr/>
        <w:t>que</w:t>
      </w:r>
      <w:r>
        <w:rPr>
          <w:spacing w:val="-2"/>
        </w:rPr>
        <w:t> </w:t>
      </w:r>
      <w:r>
        <w:rPr/>
        <w:t>son</w:t>
      </w:r>
      <w:r>
        <w:rPr>
          <w:spacing w:val="-2"/>
        </w:rPr>
        <w:t> </w:t>
      </w:r>
      <w:r>
        <w:rPr/>
        <w:t>parte</w:t>
      </w:r>
      <w:r>
        <w:rPr>
          <w:spacing w:val="-1"/>
        </w:rPr>
        <w:t> </w:t>
      </w:r>
      <w:r>
        <w:rPr/>
        <w:t>fundamental para</w:t>
      </w:r>
      <w:r>
        <w:rPr>
          <w:spacing w:val="-1"/>
        </w:rPr>
        <w:t> </w:t>
      </w:r>
      <w:r>
        <w:rPr/>
        <w:t>el</w:t>
      </w:r>
      <w:r>
        <w:rPr>
          <w:spacing w:val="-2"/>
        </w:rPr>
        <w:t> </w:t>
      </w:r>
      <w:r>
        <w:rPr/>
        <w:t>crecimiento</w:t>
      </w:r>
      <w:r>
        <w:rPr>
          <w:spacing w:val="-2"/>
        </w:rPr>
        <w:t> </w:t>
      </w:r>
      <w:r>
        <w:rPr/>
        <w:t>organizado</w:t>
      </w:r>
      <w:r>
        <w:rPr>
          <w:spacing w:val="-2"/>
        </w:rPr>
        <w:t> </w:t>
      </w:r>
      <w:r>
        <w:rPr/>
        <w:t>del</w:t>
      </w:r>
      <w:r>
        <w:rPr>
          <w:spacing w:val="-2"/>
        </w:rPr>
        <w:t> </w:t>
      </w:r>
      <w:r>
        <w:rPr/>
        <w:t>territorio de nuestro Estado.</w:t>
      </w:r>
    </w:p>
    <w:p>
      <w:pPr>
        <w:pStyle w:val="BodyText"/>
        <w:spacing w:before="2"/>
      </w:pPr>
    </w:p>
    <w:p>
      <w:pPr>
        <w:pStyle w:val="BodyText"/>
        <w:ind w:left="262" w:right="287"/>
        <w:jc w:val="both"/>
      </w:pPr>
      <w:r>
        <w:rPr/>
        <w:t>Esta nueva Ley tiene como antecedentes, en el ámbito federal, la expedición de la Ley General de Asentamientos</w:t>
      </w:r>
      <w:r>
        <w:rPr>
          <w:spacing w:val="-4"/>
        </w:rPr>
        <w:t> </w:t>
      </w:r>
      <w:r>
        <w:rPr/>
        <w:t>Humanos</w:t>
      </w:r>
      <w:r>
        <w:rPr>
          <w:spacing w:val="-4"/>
        </w:rPr>
        <w:t> </w:t>
      </w:r>
      <w:r>
        <w:rPr/>
        <w:t>del</w:t>
      </w:r>
      <w:r>
        <w:rPr>
          <w:spacing w:val="-4"/>
        </w:rPr>
        <w:t> </w:t>
      </w:r>
      <w:r>
        <w:rPr/>
        <w:t>26</w:t>
      </w:r>
      <w:r>
        <w:rPr>
          <w:spacing w:val="-3"/>
        </w:rPr>
        <w:t> </w:t>
      </w:r>
      <w:r>
        <w:rPr/>
        <w:t>mayo</w:t>
      </w:r>
      <w:r>
        <w:rPr>
          <w:spacing w:val="-3"/>
        </w:rPr>
        <w:t> </w:t>
      </w:r>
      <w:r>
        <w:rPr/>
        <w:t>de</w:t>
      </w:r>
      <w:r>
        <w:rPr>
          <w:spacing w:val="-4"/>
        </w:rPr>
        <w:t> </w:t>
      </w:r>
      <w:r>
        <w:rPr/>
        <w:t>1976;</w:t>
      </w:r>
      <w:r>
        <w:rPr>
          <w:spacing w:val="-3"/>
        </w:rPr>
        <w:t> </w:t>
      </w:r>
      <w:r>
        <w:rPr/>
        <w:t>las</w:t>
      </w:r>
      <w:r>
        <w:rPr>
          <w:spacing w:val="-2"/>
        </w:rPr>
        <w:t> </w:t>
      </w:r>
      <w:r>
        <w:rPr/>
        <w:t>modificaciones</w:t>
      </w:r>
      <w:r>
        <w:rPr>
          <w:spacing w:val="-2"/>
        </w:rPr>
        <w:t> </w:t>
      </w:r>
      <w:r>
        <w:rPr/>
        <w:t>al</w:t>
      </w:r>
      <w:r>
        <w:rPr>
          <w:spacing w:val="-4"/>
        </w:rPr>
        <w:t> </w:t>
      </w:r>
      <w:r>
        <w:rPr/>
        <w:t>artículo</w:t>
      </w:r>
      <w:r>
        <w:rPr>
          <w:spacing w:val="-3"/>
        </w:rPr>
        <w:t> </w:t>
      </w:r>
      <w:r>
        <w:rPr/>
        <w:t>115</w:t>
      </w:r>
      <w:r>
        <w:rPr>
          <w:spacing w:val="-5"/>
        </w:rPr>
        <w:t> </w:t>
      </w:r>
      <w:r>
        <w:rPr/>
        <w:t>Constitucional</w:t>
      </w:r>
      <w:r>
        <w:rPr>
          <w:spacing w:val="-4"/>
        </w:rPr>
        <w:t> </w:t>
      </w:r>
      <w:r>
        <w:rPr/>
        <w:t>en</w:t>
      </w:r>
    </w:p>
    <w:p>
      <w:pPr>
        <w:pStyle w:val="BodyText"/>
        <w:spacing w:after="0"/>
        <w:jc w:val="both"/>
        <w:sectPr>
          <w:headerReference w:type="default" r:id="rId6"/>
          <w:footerReference w:type="default" r:id="rId7"/>
          <w:pgSz w:w="12240" w:h="15840"/>
          <w:pgMar w:header="720" w:footer="697" w:top="2100" w:bottom="880" w:left="1440" w:right="1440"/>
          <w:pgNumType w:start="1"/>
        </w:sectPr>
      </w:pPr>
    </w:p>
    <w:p>
      <w:pPr>
        <w:pStyle w:val="BodyText"/>
      </w:pPr>
    </w:p>
    <w:p>
      <w:pPr>
        <w:pStyle w:val="BodyText"/>
        <w:spacing w:before="71"/>
      </w:pPr>
    </w:p>
    <w:p>
      <w:pPr>
        <w:pStyle w:val="BodyText"/>
        <w:ind w:left="262" w:right="279"/>
        <w:jc w:val="both"/>
      </w:pPr>
      <w:r>
        <w:rPr/>
        <w:t>materia</w:t>
      </w:r>
      <w:r>
        <w:rPr>
          <w:spacing w:val="-14"/>
        </w:rPr>
        <w:t> </w:t>
      </w:r>
      <w:r>
        <w:rPr/>
        <w:t>municipal</w:t>
      </w:r>
      <w:r>
        <w:rPr>
          <w:spacing w:val="-14"/>
        </w:rPr>
        <w:t> </w:t>
      </w:r>
      <w:r>
        <w:rPr/>
        <w:t>de</w:t>
      </w:r>
      <w:r>
        <w:rPr>
          <w:spacing w:val="-14"/>
        </w:rPr>
        <w:t> </w:t>
      </w:r>
      <w:r>
        <w:rPr/>
        <w:t>1982;</w:t>
      </w:r>
      <w:r>
        <w:rPr>
          <w:spacing w:val="-14"/>
        </w:rPr>
        <w:t> </w:t>
      </w:r>
      <w:r>
        <w:rPr/>
        <w:t>la</w:t>
      </w:r>
      <w:r>
        <w:rPr>
          <w:spacing w:val="-14"/>
        </w:rPr>
        <w:t> </w:t>
      </w:r>
      <w:r>
        <w:rPr/>
        <w:t>segunda</w:t>
      </w:r>
      <w:r>
        <w:rPr>
          <w:spacing w:val="-14"/>
        </w:rPr>
        <w:t> </w:t>
      </w:r>
      <w:r>
        <w:rPr/>
        <w:t>Ley</w:t>
      </w:r>
      <w:r>
        <w:rPr>
          <w:spacing w:val="-14"/>
        </w:rPr>
        <w:t> </w:t>
      </w:r>
      <w:r>
        <w:rPr/>
        <w:t>General</w:t>
      </w:r>
      <w:r>
        <w:rPr>
          <w:spacing w:val="-14"/>
        </w:rPr>
        <w:t> </w:t>
      </w:r>
      <w:r>
        <w:rPr/>
        <w:t>de</w:t>
      </w:r>
      <w:r>
        <w:rPr>
          <w:spacing w:val="-14"/>
        </w:rPr>
        <w:t> </w:t>
      </w:r>
      <w:r>
        <w:rPr/>
        <w:t>Asentamientos</w:t>
      </w:r>
      <w:r>
        <w:rPr>
          <w:spacing w:val="-13"/>
        </w:rPr>
        <w:t> </w:t>
      </w:r>
      <w:r>
        <w:rPr/>
        <w:t>Humanos</w:t>
      </w:r>
      <w:r>
        <w:rPr>
          <w:spacing w:val="-14"/>
        </w:rPr>
        <w:t> </w:t>
      </w:r>
      <w:r>
        <w:rPr/>
        <w:t>del</w:t>
      </w:r>
      <w:r>
        <w:rPr>
          <w:spacing w:val="-14"/>
        </w:rPr>
        <w:t> </w:t>
      </w:r>
      <w:r>
        <w:rPr/>
        <w:t>21</w:t>
      </w:r>
      <w:r>
        <w:rPr>
          <w:spacing w:val="-14"/>
        </w:rPr>
        <w:t> </w:t>
      </w:r>
      <w:r>
        <w:rPr/>
        <w:t>julio</w:t>
      </w:r>
      <w:r>
        <w:rPr>
          <w:spacing w:val="-14"/>
        </w:rPr>
        <w:t> </w:t>
      </w:r>
      <w:r>
        <w:rPr/>
        <w:t>de</w:t>
      </w:r>
      <w:r>
        <w:rPr>
          <w:spacing w:val="-14"/>
        </w:rPr>
        <w:t> </w:t>
      </w:r>
      <w:r>
        <w:rPr/>
        <w:t>1993; y la precitada Ley General del 28 de noviembre de 2016; y en el ámbito estatal, la Ley de Asentamientos Humanos del Estado de San Luis Potosí del 15 de febrero de 1977; la Ley de Fraccionamientos</w:t>
      </w:r>
      <w:r>
        <w:rPr>
          <w:spacing w:val="-1"/>
        </w:rPr>
        <w:t> </w:t>
      </w:r>
      <w:r>
        <w:rPr/>
        <w:t>y Subdivisión de</w:t>
      </w:r>
      <w:r>
        <w:rPr>
          <w:spacing w:val="-2"/>
        </w:rPr>
        <w:t> </w:t>
      </w:r>
      <w:r>
        <w:rPr/>
        <w:t>Inmuebles del</w:t>
      </w:r>
      <w:r>
        <w:rPr>
          <w:spacing w:val="-1"/>
        </w:rPr>
        <w:t> </w:t>
      </w:r>
      <w:r>
        <w:rPr/>
        <w:t>Estado</w:t>
      </w:r>
      <w:r>
        <w:rPr>
          <w:spacing w:val="-2"/>
        </w:rPr>
        <w:t> </w:t>
      </w:r>
      <w:r>
        <w:rPr/>
        <w:t>de San Luis Potosí</w:t>
      </w:r>
      <w:r>
        <w:rPr>
          <w:spacing w:val="-2"/>
        </w:rPr>
        <w:t> </w:t>
      </w:r>
      <w:r>
        <w:rPr/>
        <w:t>del 5</w:t>
      </w:r>
      <w:r>
        <w:rPr>
          <w:spacing w:val="-2"/>
        </w:rPr>
        <w:t> </w:t>
      </w:r>
      <w:r>
        <w:rPr/>
        <w:t>abril</w:t>
      </w:r>
      <w:r>
        <w:rPr>
          <w:spacing w:val="-1"/>
        </w:rPr>
        <w:t> </w:t>
      </w:r>
      <w:r>
        <w:rPr/>
        <w:t>de 1983; el Código Ecológico y Urbano del Estado de San Luis Potosí del 3 julio de 1990; la Ley de Desarrollo Urbano del Estado de San Luis Potosí del 7 octubre de 2000; y la última reforma a la Ley de Desarrollo Urbano del 3 noviembre de 2016.</w:t>
      </w:r>
    </w:p>
    <w:p>
      <w:pPr>
        <w:pStyle w:val="BodyText"/>
        <w:spacing w:before="1"/>
      </w:pPr>
    </w:p>
    <w:p>
      <w:pPr>
        <w:pStyle w:val="BodyText"/>
        <w:ind w:left="262" w:right="278"/>
        <w:jc w:val="both"/>
      </w:pPr>
      <w:r>
        <w:rPr/>
        <w:t>En la presente Ley y, de acuerdo con la Ley General de Asentamientos Humanos, Ordenamiento Territorial</w:t>
      </w:r>
      <w:r>
        <w:rPr>
          <w:spacing w:val="-12"/>
        </w:rPr>
        <w:t> </w:t>
      </w:r>
      <w:r>
        <w:rPr/>
        <w:t>y</w:t>
      </w:r>
      <w:r>
        <w:rPr>
          <w:spacing w:val="-8"/>
        </w:rPr>
        <w:t> </w:t>
      </w:r>
      <w:r>
        <w:rPr/>
        <w:t>Desarrollo</w:t>
      </w:r>
      <w:r>
        <w:rPr>
          <w:spacing w:val="-11"/>
        </w:rPr>
        <w:t> </w:t>
      </w:r>
      <w:r>
        <w:rPr/>
        <w:t>Urbano,</w:t>
      </w:r>
      <w:r>
        <w:rPr>
          <w:spacing w:val="-9"/>
        </w:rPr>
        <w:t> </w:t>
      </w:r>
      <w:r>
        <w:rPr/>
        <w:t>destacan</w:t>
      </w:r>
      <w:r>
        <w:rPr>
          <w:spacing w:val="-11"/>
        </w:rPr>
        <w:t> </w:t>
      </w:r>
      <w:r>
        <w:rPr/>
        <w:t>como</w:t>
      </w:r>
      <w:r>
        <w:rPr>
          <w:spacing w:val="-9"/>
        </w:rPr>
        <w:t> </w:t>
      </w:r>
      <w:r>
        <w:rPr/>
        <w:t>objetivos</w:t>
      </w:r>
      <w:r>
        <w:rPr>
          <w:spacing w:val="-10"/>
        </w:rPr>
        <w:t> </w:t>
      </w:r>
      <w:r>
        <w:rPr/>
        <w:t>generales:</w:t>
      </w:r>
      <w:r>
        <w:rPr>
          <w:spacing w:val="-11"/>
        </w:rPr>
        <w:t> </w:t>
      </w:r>
      <w:r>
        <w:rPr/>
        <w:t>consolidar</w:t>
      </w:r>
      <w:r>
        <w:rPr>
          <w:spacing w:val="-8"/>
        </w:rPr>
        <w:t> </w:t>
      </w:r>
      <w:r>
        <w:rPr/>
        <w:t>la</w:t>
      </w:r>
      <w:r>
        <w:rPr>
          <w:spacing w:val="-9"/>
        </w:rPr>
        <w:t> </w:t>
      </w:r>
      <w:r>
        <w:rPr/>
        <w:t>rectoría</w:t>
      </w:r>
      <w:r>
        <w:rPr>
          <w:spacing w:val="-9"/>
        </w:rPr>
        <w:t> </w:t>
      </w:r>
      <w:r>
        <w:rPr/>
        <w:t>del</w:t>
      </w:r>
      <w:r>
        <w:rPr>
          <w:spacing w:val="-10"/>
        </w:rPr>
        <w:t> </w:t>
      </w:r>
      <w:r>
        <w:rPr/>
        <w:t>Estado en materia de ordenamiento territorial y desarrollo urbano fortaleciendo el marco jurídico, bases, criterios, normas y lineamientos; crear las condiciones para que el ordenamiento territorial, el desarrollo</w:t>
      </w:r>
      <w:r>
        <w:rPr>
          <w:spacing w:val="-14"/>
        </w:rPr>
        <w:t> </w:t>
      </w:r>
      <w:r>
        <w:rPr/>
        <w:t>urbano,</w:t>
      </w:r>
      <w:r>
        <w:rPr>
          <w:spacing w:val="-14"/>
        </w:rPr>
        <w:t> </w:t>
      </w:r>
      <w:r>
        <w:rPr/>
        <w:t>la</w:t>
      </w:r>
      <w:r>
        <w:rPr>
          <w:spacing w:val="-14"/>
        </w:rPr>
        <w:t> </w:t>
      </w:r>
      <w:r>
        <w:rPr/>
        <w:t>gestión</w:t>
      </w:r>
      <w:r>
        <w:rPr>
          <w:spacing w:val="-14"/>
        </w:rPr>
        <w:t> </w:t>
      </w:r>
      <w:r>
        <w:rPr/>
        <w:t>integral</w:t>
      </w:r>
      <w:r>
        <w:rPr>
          <w:spacing w:val="-14"/>
        </w:rPr>
        <w:t> </w:t>
      </w:r>
      <w:r>
        <w:rPr/>
        <w:t>del</w:t>
      </w:r>
      <w:r>
        <w:rPr>
          <w:spacing w:val="-14"/>
        </w:rPr>
        <w:t> </w:t>
      </w:r>
      <w:r>
        <w:rPr/>
        <w:t>riesgo</w:t>
      </w:r>
      <w:r>
        <w:rPr>
          <w:spacing w:val="-14"/>
        </w:rPr>
        <w:t> </w:t>
      </w:r>
      <w:r>
        <w:rPr/>
        <w:t>y</w:t>
      </w:r>
      <w:r>
        <w:rPr>
          <w:spacing w:val="-14"/>
        </w:rPr>
        <w:t> </w:t>
      </w:r>
      <w:r>
        <w:rPr/>
        <w:t>la</w:t>
      </w:r>
      <w:r>
        <w:rPr>
          <w:spacing w:val="-14"/>
        </w:rPr>
        <w:t> </w:t>
      </w:r>
      <w:r>
        <w:rPr/>
        <w:t>gobernanza</w:t>
      </w:r>
      <w:r>
        <w:rPr>
          <w:spacing w:val="-13"/>
        </w:rPr>
        <w:t> </w:t>
      </w:r>
      <w:r>
        <w:rPr/>
        <w:t>de</w:t>
      </w:r>
      <w:r>
        <w:rPr>
          <w:spacing w:val="-14"/>
        </w:rPr>
        <w:t> </w:t>
      </w:r>
      <w:r>
        <w:rPr/>
        <w:t>las</w:t>
      </w:r>
      <w:r>
        <w:rPr>
          <w:spacing w:val="-14"/>
        </w:rPr>
        <w:t> </w:t>
      </w:r>
      <w:r>
        <w:rPr/>
        <w:t>zonas</w:t>
      </w:r>
      <w:r>
        <w:rPr>
          <w:spacing w:val="-14"/>
        </w:rPr>
        <w:t> </w:t>
      </w:r>
      <w:r>
        <w:rPr/>
        <w:t>metropolitanas</w:t>
      </w:r>
      <w:r>
        <w:rPr>
          <w:spacing w:val="-14"/>
        </w:rPr>
        <w:t> </w:t>
      </w:r>
      <w:r>
        <w:rPr/>
        <w:t>y</w:t>
      </w:r>
      <w:r>
        <w:rPr>
          <w:spacing w:val="-14"/>
        </w:rPr>
        <w:t> </w:t>
      </w:r>
      <w:r>
        <w:rPr/>
        <w:t>demás temas asociados al territorio, tengan una visión armónica en los tres órdenes de gobierno, para la ejecución de las políticas nacionales; y establecer nuevas bases institucionales para el uso y aprovechamiento</w:t>
      </w:r>
      <w:r>
        <w:rPr>
          <w:spacing w:val="-3"/>
        </w:rPr>
        <w:t> </w:t>
      </w:r>
      <w:r>
        <w:rPr/>
        <w:t>del</w:t>
      </w:r>
      <w:r>
        <w:rPr>
          <w:spacing w:val="-4"/>
        </w:rPr>
        <w:t> </w:t>
      </w:r>
      <w:r>
        <w:rPr/>
        <w:t>territorio,</w:t>
      </w:r>
      <w:r>
        <w:rPr>
          <w:spacing w:val="-3"/>
        </w:rPr>
        <w:t> </w:t>
      </w:r>
      <w:r>
        <w:rPr/>
        <w:t>así</w:t>
      </w:r>
      <w:r>
        <w:rPr>
          <w:spacing w:val="-5"/>
        </w:rPr>
        <w:t> </w:t>
      </w:r>
      <w:r>
        <w:rPr/>
        <w:t>como</w:t>
      </w:r>
      <w:r>
        <w:rPr>
          <w:spacing w:val="-3"/>
        </w:rPr>
        <w:t> </w:t>
      </w:r>
      <w:r>
        <w:rPr/>
        <w:t>dotar</w:t>
      </w:r>
      <w:r>
        <w:rPr>
          <w:spacing w:val="-2"/>
        </w:rPr>
        <w:t> </w:t>
      </w:r>
      <w:r>
        <w:rPr/>
        <w:t>de</w:t>
      </w:r>
      <w:r>
        <w:rPr>
          <w:spacing w:val="-4"/>
        </w:rPr>
        <w:t> </w:t>
      </w:r>
      <w:r>
        <w:rPr/>
        <w:t>instrumentos</w:t>
      </w:r>
      <w:r>
        <w:rPr>
          <w:spacing w:val="-4"/>
        </w:rPr>
        <w:t> </w:t>
      </w:r>
      <w:r>
        <w:rPr/>
        <w:t>y</w:t>
      </w:r>
      <w:r>
        <w:rPr>
          <w:spacing w:val="-1"/>
        </w:rPr>
        <w:t> </w:t>
      </w:r>
      <w:r>
        <w:rPr/>
        <w:t>herramientas</w:t>
      </w:r>
      <w:r>
        <w:rPr>
          <w:spacing w:val="-1"/>
        </w:rPr>
        <w:t> </w:t>
      </w:r>
      <w:r>
        <w:rPr/>
        <w:t>a</w:t>
      </w:r>
      <w:r>
        <w:rPr>
          <w:spacing w:val="-3"/>
        </w:rPr>
        <w:t> </w:t>
      </w:r>
      <w:r>
        <w:rPr/>
        <w:t>los gobiernos</w:t>
      </w:r>
      <w:r>
        <w:rPr>
          <w:spacing w:val="-2"/>
        </w:rPr>
        <w:t> </w:t>
      </w:r>
      <w:r>
        <w:rPr/>
        <w:t>para conducir los procesos urbanos.</w:t>
      </w:r>
    </w:p>
    <w:p>
      <w:pPr>
        <w:pStyle w:val="BodyText"/>
      </w:pPr>
    </w:p>
    <w:p>
      <w:pPr>
        <w:pStyle w:val="BodyText"/>
        <w:ind w:left="262" w:right="281"/>
        <w:jc w:val="both"/>
      </w:pPr>
      <w:r>
        <w:rPr/>
        <w:t>Esta</w:t>
      </w:r>
      <w:r>
        <w:rPr>
          <w:spacing w:val="-4"/>
        </w:rPr>
        <w:t> </w:t>
      </w:r>
      <w:r>
        <w:rPr/>
        <w:t>Ley</w:t>
      </w:r>
      <w:r>
        <w:rPr>
          <w:spacing w:val="-2"/>
        </w:rPr>
        <w:t> </w:t>
      </w:r>
      <w:r>
        <w:rPr/>
        <w:t>tiene</w:t>
      </w:r>
      <w:r>
        <w:rPr>
          <w:spacing w:val="-1"/>
        </w:rPr>
        <w:t> </w:t>
      </w:r>
      <w:r>
        <w:rPr/>
        <w:t>un</w:t>
      </w:r>
      <w:r>
        <w:rPr>
          <w:spacing w:val="-4"/>
        </w:rPr>
        <w:t> </w:t>
      </w:r>
      <w:r>
        <w:rPr/>
        <w:t>conjunto de</w:t>
      </w:r>
      <w:r>
        <w:rPr>
          <w:spacing w:val="-4"/>
        </w:rPr>
        <w:t> </w:t>
      </w:r>
      <w:r>
        <w:rPr/>
        <w:t>principios</w:t>
      </w:r>
      <w:r>
        <w:rPr>
          <w:spacing w:val="-2"/>
        </w:rPr>
        <w:t> </w:t>
      </w:r>
      <w:r>
        <w:rPr/>
        <w:t>que</w:t>
      </w:r>
      <w:r>
        <w:rPr>
          <w:spacing w:val="-4"/>
        </w:rPr>
        <w:t> </w:t>
      </w:r>
      <w:r>
        <w:rPr/>
        <w:t>son</w:t>
      </w:r>
      <w:r>
        <w:rPr>
          <w:spacing w:val="-3"/>
        </w:rPr>
        <w:t> </w:t>
      </w:r>
      <w:r>
        <w:rPr/>
        <w:t>los</w:t>
      </w:r>
      <w:r>
        <w:rPr>
          <w:spacing w:val="-2"/>
        </w:rPr>
        <w:t> </w:t>
      </w:r>
      <w:r>
        <w:rPr/>
        <w:t>que</w:t>
      </w:r>
      <w:r>
        <w:rPr>
          <w:spacing w:val="-4"/>
        </w:rPr>
        <w:t> </w:t>
      </w:r>
      <w:r>
        <w:rPr/>
        <w:t>rigen</w:t>
      </w:r>
      <w:r>
        <w:rPr>
          <w:spacing w:val="-3"/>
        </w:rPr>
        <w:t> </w:t>
      </w:r>
      <w:r>
        <w:rPr/>
        <w:t>su</w:t>
      </w:r>
      <w:r>
        <w:rPr>
          <w:spacing w:val="-1"/>
        </w:rPr>
        <w:t> </w:t>
      </w:r>
      <w:r>
        <w:rPr/>
        <w:t>contenido:</w:t>
      </w:r>
      <w:r>
        <w:rPr>
          <w:spacing w:val="-1"/>
        </w:rPr>
        <w:t> </w:t>
      </w:r>
      <w:r>
        <w:rPr/>
        <w:t>el</w:t>
      </w:r>
      <w:r>
        <w:rPr>
          <w:spacing w:val="-2"/>
        </w:rPr>
        <w:t> </w:t>
      </w:r>
      <w:r>
        <w:rPr/>
        <w:t>derecho</w:t>
      </w:r>
      <w:r>
        <w:rPr>
          <w:spacing w:val="-4"/>
        </w:rPr>
        <w:t> </w:t>
      </w:r>
      <w:r>
        <w:rPr/>
        <w:t>a</w:t>
      </w:r>
      <w:r>
        <w:rPr>
          <w:spacing w:val="-1"/>
        </w:rPr>
        <w:t> </w:t>
      </w:r>
      <w:r>
        <w:rPr/>
        <w:t>la</w:t>
      </w:r>
      <w:r>
        <w:rPr>
          <w:spacing w:val="-1"/>
        </w:rPr>
        <w:t> </w:t>
      </w:r>
      <w:r>
        <w:rPr/>
        <w:t>ciudad, principio rector del ordenamiento, que busca garantizar a todos los habitantes de un asentamiento humano o centros de población, conurbaciones metropolitanas, zonas con valores históricos y culturales,</w:t>
      </w:r>
      <w:r>
        <w:rPr>
          <w:spacing w:val="-10"/>
        </w:rPr>
        <w:t> </w:t>
      </w:r>
      <w:r>
        <w:rPr/>
        <w:t>centros</w:t>
      </w:r>
      <w:r>
        <w:rPr>
          <w:spacing w:val="-9"/>
        </w:rPr>
        <w:t> </w:t>
      </w:r>
      <w:r>
        <w:rPr/>
        <w:t>históricos,</w:t>
      </w:r>
      <w:r>
        <w:rPr>
          <w:spacing w:val="-10"/>
        </w:rPr>
        <w:t> </w:t>
      </w:r>
      <w:r>
        <w:rPr/>
        <w:t>así</w:t>
      </w:r>
      <w:r>
        <w:rPr>
          <w:spacing w:val="-10"/>
        </w:rPr>
        <w:t> </w:t>
      </w:r>
      <w:r>
        <w:rPr/>
        <w:t>como</w:t>
      </w:r>
      <w:r>
        <w:rPr>
          <w:spacing w:val="-8"/>
        </w:rPr>
        <w:t> </w:t>
      </w:r>
      <w:r>
        <w:rPr/>
        <w:t>los</w:t>
      </w:r>
      <w:r>
        <w:rPr>
          <w:spacing w:val="-9"/>
        </w:rPr>
        <w:t> </w:t>
      </w:r>
      <w:r>
        <w:rPr/>
        <w:t>asentamientos</w:t>
      </w:r>
      <w:r>
        <w:rPr>
          <w:spacing w:val="-9"/>
        </w:rPr>
        <w:t> </w:t>
      </w:r>
      <w:r>
        <w:rPr/>
        <w:t>denominados</w:t>
      </w:r>
      <w:r>
        <w:rPr>
          <w:spacing w:val="-9"/>
        </w:rPr>
        <w:t> </w:t>
      </w:r>
      <w:r>
        <w:rPr/>
        <w:t>como</w:t>
      </w:r>
      <w:r>
        <w:rPr>
          <w:spacing w:val="-10"/>
        </w:rPr>
        <w:t> </w:t>
      </w:r>
      <w:r>
        <w:rPr/>
        <w:t>pueblos</w:t>
      </w:r>
      <w:r>
        <w:rPr>
          <w:spacing w:val="-9"/>
        </w:rPr>
        <w:t> </w:t>
      </w:r>
      <w:r>
        <w:rPr/>
        <w:t>mágicos,</w:t>
      </w:r>
      <w:r>
        <w:rPr>
          <w:spacing w:val="-10"/>
        </w:rPr>
        <w:t> </w:t>
      </w:r>
      <w:r>
        <w:rPr/>
        <w:t>por declaratoria del Gobierno de la República, el acceso a la vivienda, infraestructura, equipamiento y servicios</w:t>
      </w:r>
      <w:r>
        <w:rPr>
          <w:spacing w:val="-10"/>
        </w:rPr>
        <w:t> </w:t>
      </w:r>
      <w:r>
        <w:rPr/>
        <w:t>básicos;</w:t>
      </w:r>
      <w:r>
        <w:rPr>
          <w:spacing w:val="-9"/>
        </w:rPr>
        <w:t> </w:t>
      </w:r>
      <w:r>
        <w:rPr/>
        <w:t>la</w:t>
      </w:r>
      <w:r>
        <w:rPr>
          <w:spacing w:val="-11"/>
        </w:rPr>
        <w:t> </w:t>
      </w:r>
      <w:r>
        <w:rPr/>
        <w:t>accesibilidad</w:t>
      </w:r>
      <w:r>
        <w:rPr>
          <w:spacing w:val="-12"/>
        </w:rPr>
        <w:t> </w:t>
      </w:r>
      <w:r>
        <w:rPr/>
        <w:t>y</w:t>
      </w:r>
      <w:r>
        <w:rPr>
          <w:spacing w:val="-10"/>
        </w:rPr>
        <w:t> </w:t>
      </w:r>
      <w:r>
        <w:rPr/>
        <w:t>conectividad</w:t>
      </w:r>
      <w:r>
        <w:rPr>
          <w:spacing w:val="-11"/>
        </w:rPr>
        <w:t> </w:t>
      </w:r>
      <w:r>
        <w:rPr/>
        <w:t>urbana,</w:t>
      </w:r>
      <w:r>
        <w:rPr>
          <w:spacing w:val="-12"/>
        </w:rPr>
        <w:t> </w:t>
      </w:r>
      <w:r>
        <w:rPr/>
        <w:t>a</w:t>
      </w:r>
      <w:r>
        <w:rPr>
          <w:spacing w:val="-9"/>
        </w:rPr>
        <w:t> </w:t>
      </w:r>
      <w:r>
        <w:rPr/>
        <w:t>través</w:t>
      </w:r>
      <w:r>
        <w:rPr>
          <w:spacing w:val="-10"/>
        </w:rPr>
        <w:t> </w:t>
      </w:r>
      <w:r>
        <w:rPr/>
        <w:t>de</w:t>
      </w:r>
      <w:r>
        <w:rPr>
          <w:spacing w:val="-11"/>
        </w:rPr>
        <w:t> </w:t>
      </w:r>
      <w:r>
        <w:rPr/>
        <w:t>una</w:t>
      </w:r>
      <w:r>
        <w:rPr>
          <w:spacing w:val="-10"/>
        </w:rPr>
        <w:t> </w:t>
      </w:r>
      <w:r>
        <w:rPr/>
        <w:t>eficiente</w:t>
      </w:r>
      <w:r>
        <w:rPr>
          <w:spacing w:val="-9"/>
        </w:rPr>
        <w:t> </w:t>
      </w:r>
      <w:r>
        <w:rPr/>
        <w:t>movilidad</w:t>
      </w:r>
      <w:r>
        <w:rPr>
          <w:spacing w:val="-9"/>
        </w:rPr>
        <w:t> </w:t>
      </w:r>
      <w:r>
        <w:rPr/>
        <w:t>urbana; un</w:t>
      </w:r>
      <w:r>
        <w:rPr>
          <w:spacing w:val="-3"/>
        </w:rPr>
        <w:t> </w:t>
      </w:r>
      <w:r>
        <w:rPr/>
        <w:t>patrón</w:t>
      </w:r>
      <w:r>
        <w:rPr>
          <w:spacing w:val="-3"/>
        </w:rPr>
        <w:t> </w:t>
      </w:r>
      <w:r>
        <w:rPr/>
        <w:t>coherente</w:t>
      </w:r>
      <w:r>
        <w:rPr>
          <w:spacing w:val="-2"/>
        </w:rPr>
        <w:t> </w:t>
      </w:r>
      <w:r>
        <w:rPr/>
        <w:t>de</w:t>
      </w:r>
      <w:r>
        <w:rPr>
          <w:spacing w:val="-4"/>
        </w:rPr>
        <w:t> </w:t>
      </w:r>
      <w:r>
        <w:rPr/>
        <w:t>redes</w:t>
      </w:r>
      <w:r>
        <w:rPr>
          <w:spacing w:val="-3"/>
        </w:rPr>
        <w:t> </w:t>
      </w:r>
      <w:r>
        <w:rPr/>
        <w:t>viales</w:t>
      </w:r>
      <w:r>
        <w:rPr>
          <w:spacing w:val="-3"/>
        </w:rPr>
        <w:t> </w:t>
      </w:r>
      <w:r>
        <w:rPr/>
        <w:t>y</w:t>
      </w:r>
      <w:r>
        <w:rPr>
          <w:spacing w:val="-1"/>
        </w:rPr>
        <w:t> </w:t>
      </w:r>
      <w:r>
        <w:rPr/>
        <w:t>la</w:t>
      </w:r>
      <w:r>
        <w:rPr>
          <w:spacing w:val="-2"/>
        </w:rPr>
        <w:t> </w:t>
      </w:r>
      <w:r>
        <w:rPr/>
        <w:t>flexibilidad</w:t>
      </w:r>
      <w:r>
        <w:rPr>
          <w:spacing w:val="-2"/>
        </w:rPr>
        <w:t> </w:t>
      </w:r>
      <w:r>
        <w:rPr/>
        <w:t>de</w:t>
      </w:r>
      <w:r>
        <w:rPr>
          <w:spacing w:val="-2"/>
        </w:rPr>
        <w:t> </w:t>
      </w:r>
      <w:r>
        <w:rPr/>
        <w:t>usos</w:t>
      </w:r>
      <w:r>
        <w:rPr>
          <w:spacing w:val="-3"/>
        </w:rPr>
        <w:t> </w:t>
      </w:r>
      <w:r>
        <w:rPr/>
        <w:t>del</w:t>
      </w:r>
      <w:r>
        <w:rPr>
          <w:spacing w:val="-3"/>
        </w:rPr>
        <w:t> </w:t>
      </w:r>
      <w:r>
        <w:rPr/>
        <w:t>suelo;</w:t>
      </w:r>
      <w:r>
        <w:rPr>
          <w:spacing w:val="-2"/>
        </w:rPr>
        <w:t> </w:t>
      </w:r>
      <w:r>
        <w:rPr/>
        <w:t>la</w:t>
      </w:r>
      <w:r>
        <w:rPr>
          <w:spacing w:val="-3"/>
        </w:rPr>
        <w:t> </w:t>
      </w:r>
      <w:r>
        <w:rPr/>
        <w:t>competitividad</w:t>
      </w:r>
      <w:r>
        <w:rPr>
          <w:spacing w:val="-3"/>
        </w:rPr>
        <w:t> </w:t>
      </w:r>
      <w:r>
        <w:rPr/>
        <w:t>y</w:t>
      </w:r>
      <w:r>
        <w:rPr>
          <w:spacing w:val="-1"/>
        </w:rPr>
        <w:t> </w:t>
      </w:r>
      <w:r>
        <w:rPr/>
        <w:t>eficiencia de las ciudades; el posicionamiento de las ciudades en el entorno socioeconómico; la mejora en la competitividad local y regional y en los retos ambientales sostenibles; el derecho a la propiedad urbana; los derechos y obligaciones de los propietarios, y el predominio del interés público en el aprovechamiento del territorio.</w:t>
      </w:r>
    </w:p>
    <w:p>
      <w:pPr>
        <w:pStyle w:val="BodyText"/>
      </w:pPr>
    </w:p>
    <w:p>
      <w:pPr>
        <w:pStyle w:val="BodyText"/>
        <w:spacing w:before="1"/>
        <w:ind w:left="262" w:right="275"/>
        <w:jc w:val="both"/>
      </w:pPr>
      <w:r>
        <w:rPr/>
        <w:t>San Luis Potosí ha recuperado su dinámica de desarrollo económico, acelerándose con ello, especialmente, el proceso de urbanización y de crecimiento demográfico de las zonas metropolitanas de San Luis Potosí-Soledad de Graciano Sánchez, y Rioverde-Ciudad Fernández, así</w:t>
      </w:r>
      <w:r>
        <w:rPr>
          <w:spacing w:val="-3"/>
        </w:rPr>
        <w:t> </w:t>
      </w:r>
      <w:r>
        <w:rPr/>
        <w:t>como</w:t>
      </w:r>
      <w:r>
        <w:rPr>
          <w:spacing w:val="-1"/>
        </w:rPr>
        <w:t> </w:t>
      </w:r>
      <w:r>
        <w:rPr/>
        <w:t>de</w:t>
      </w:r>
      <w:r>
        <w:rPr>
          <w:spacing w:val="-2"/>
        </w:rPr>
        <w:t> </w:t>
      </w:r>
      <w:r>
        <w:rPr/>
        <w:t>las</w:t>
      </w:r>
      <w:r>
        <w:rPr>
          <w:spacing w:val="-2"/>
        </w:rPr>
        <w:t> </w:t>
      </w:r>
      <w:r>
        <w:rPr/>
        <w:t>principales</w:t>
      </w:r>
      <w:r>
        <w:rPr>
          <w:spacing w:val="-2"/>
        </w:rPr>
        <w:t> </w:t>
      </w:r>
      <w:r>
        <w:rPr/>
        <w:t>cabeceras</w:t>
      </w:r>
      <w:r>
        <w:rPr>
          <w:spacing w:val="-1"/>
        </w:rPr>
        <w:t> </w:t>
      </w:r>
      <w:r>
        <w:rPr/>
        <w:t>municipales</w:t>
      </w:r>
      <w:r>
        <w:rPr>
          <w:spacing w:val="-2"/>
        </w:rPr>
        <w:t> </w:t>
      </w:r>
      <w:r>
        <w:rPr/>
        <w:t>de</w:t>
      </w:r>
      <w:r>
        <w:rPr>
          <w:spacing w:val="-1"/>
        </w:rPr>
        <w:t> </w:t>
      </w:r>
      <w:r>
        <w:rPr/>
        <w:t>la</w:t>
      </w:r>
      <w:r>
        <w:rPr>
          <w:spacing w:val="-1"/>
        </w:rPr>
        <w:t> </w:t>
      </w:r>
      <w:r>
        <w:rPr/>
        <w:t>Entidad</w:t>
      </w:r>
      <w:r>
        <w:rPr>
          <w:spacing w:val="-3"/>
        </w:rPr>
        <w:t> </w:t>
      </w:r>
      <w:r>
        <w:rPr/>
        <w:t>con</w:t>
      </w:r>
      <w:r>
        <w:rPr>
          <w:spacing w:val="-2"/>
        </w:rPr>
        <w:t> </w:t>
      </w:r>
      <w:r>
        <w:rPr/>
        <w:t>mayor</w:t>
      </w:r>
      <w:r>
        <w:rPr>
          <w:spacing w:val="-3"/>
        </w:rPr>
        <w:t> </w:t>
      </w:r>
      <w:r>
        <w:rPr/>
        <w:t>grado</w:t>
      </w:r>
      <w:r>
        <w:rPr>
          <w:spacing w:val="-1"/>
        </w:rPr>
        <w:t> </w:t>
      </w:r>
      <w:r>
        <w:rPr/>
        <w:t>de</w:t>
      </w:r>
      <w:r>
        <w:rPr>
          <w:spacing w:val="-4"/>
        </w:rPr>
        <w:t> </w:t>
      </w:r>
      <w:r>
        <w:rPr/>
        <w:t>urbanización.</w:t>
      </w:r>
    </w:p>
    <w:p>
      <w:pPr>
        <w:pStyle w:val="BodyText"/>
        <w:spacing w:before="229"/>
        <w:ind w:left="262" w:right="278"/>
        <w:jc w:val="both"/>
      </w:pPr>
      <w:r>
        <w:rPr/>
        <w:t>El reto ahora, para que la Entidad mantenga un liderazgo económico, que posibilite incrementar la captación de inversiones externas y locales generadoras de empleo, es propiciar condiciones e intensificar la aplicación de políticas públicas que permitan garantizar la calidad de vida de sus habitantes y de las migraciones venideras, en congruencia con un desarrollo regional, urbano, ambiental y social equitativo y equilibrado. El bienestar social y el progreso económico, requieren con prioridad y oportunidad, de la regulación eficiente y sostenible del desarrollo urbano de los centros</w:t>
      </w:r>
      <w:r>
        <w:rPr>
          <w:spacing w:val="-2"/>
        </w:rPr>
        <w:t> </w:t>
      </w:r>
      <w:r>
        <w:rPr/>
        <w:t>de</w:t>
      </w:r>
      <w:r>
        <w:rPr>
          <w:spacing w:val="-3"/>
        </w:rPr>
        <w:t> </w:t>
      </w:r>
      <w:r>
        <w:rPr/>
        <w:t>población</w:t>
      </w:r>
      <w:r>
        <w:rPr>
          <w:spacing w:val="-1"/>
        </w:rPr>
        <w:t> </w:t>
      </w:r>
      <w:r>
        <w:rPr/>
        <w:t>del</w:t>
      </w:r>
      <w:r>
        <w:rPr>
          <w:spacing w:val="-2"/>
        </w:rPr>
        <w:t> </w:t>
      </w:r>
      <w:r>
        <w:rPr/>
        <w:t>Estado,</w:t>
      </w:r>
      <w:r>
        <w:rPr>
          <w:spacing w:val="-1"/>
        </w:rPr>
        <w:t> </w:t>
      </w:r>
      <w:r>
        <w:rPr/>
        <w:t>a</w:t>
      </w:r>
      <w:r>
        <w:rPr>
          <w:spacing w:val="-1"/>
        </w:rPr>
        <w:t> </w:t>
      </w:r>
      <w:r>
        <w:rPr/>
        <w:t>fin</w:t>
      </w:r>
      <w:r>
        <w:rPr>
          <w:spacing w:val="-1"/>
        </w:rPr>
        <w:t> </w:t>
      </w:r>
      <w:r>
        <w:rPr/>
        <w:t>de</w:t>
      </w:r>
      <w:r>
        <w:rPr>
          <w:spacing w:val="-3"/>
        </w:rPr>
        <w:t> </w:t>
      </w:r>
      <w:r>
        <w:rPr/>
        <w:t>que</w:t>
      </w:r>
      <w:r>
        <w:rPr>
          <w:spacing w:val="-1"/>
        </w:rPr>
        <w:t> </w:t>
      </w:r>
      <w:r>
        <w:rPr/>
        <w:t>con</w:t>
      </w:r>
      <w:r>
        <w:rPr>
          <w:spacing w:val="-1"/>
        </w:rPr>
        <w:t> </w:t>
      </w:r>
      <w:r>
        <w:rPr/>
        <w:t>oportunidad</w:t>
      </w:r>
      <w:r>
        <w:rPr>
          <w:spacing w:val="-1"/>
        </w:rPr>
        <w:t> </w:t>
      </w:r>
      <w:r>
        <w:rPr/>
        <w:t>y</w:t>
      </w:r>
      <w:r>
        <w:rPr>
          <w:spacing w:val="-2"/>
        </w:rPr>
        <w:t> </w:t>
      </w:r>
      <w:r>
        <w:rPr/>
        <w:t>suficiencia</w:t>
      </w:r>
      <w:r>
        <w:rPr>
          <w:spacing w:val="-3"/>
        </w:rPr>
        <w:t> </w:t>
      </w:r>
      <w:r>
        <w:rPr/>
        <w:t>se</w:t>
      </w:r>
      <w:r>
        <w:rPr>
          <w:spacing w:val="-1"/>
        </w:rPr>
        <w:t> </w:t>
      </w:r>
      <w:r>
        <w:rPr/>
        <w:t>proyecte</w:t>
      </w:r>
      <w:r>
        <w:rPr>
          <w:spacing w:val="-4"/>
        </w:rPr>
        <w:t> </w:t>
      </w:r>
      <w:r>
        <w:rPr/>
        <w:t>y</w:t>
      </w:r>
      <w:r>
        <w:rPr>
          <w:spacing w:val="-2"/>
        </w:rPr>
        <w:t> </w:t>
      </w:r>
      <w:r>
        <w:rPr/>
        <w:t>construya la vivienda, infraestructura y equipamiento urbano, así como que se presten adecuadamente los servicios públicos que demandan la población y las actividades productivas.</w:t>
      </w:r>
    </w:p>
    <w:p>
      <w:pPr>
        <w:pStyle w:val="BodyText"/>
      </w:pPr>
    </w:p>
    <w:p>
      <w:pPr>
        <w:pStyle w:val="BodyText"/>
        <w:ind w:left="262" w:right="285"/>
        <w:jc w:val="both"/>
      </w:pPr>
      <w:r>
        <w:rPr/>
        <w:t>Este</w:t>
      </w:r>
      <w:r>
        <w:rPr>
          <w:spacing w:val="-6"/>
        </w:rPr>
        <w:t> </w:t>
      </w:r>
      <w:r>
        <w:rPr/>
        <w:t>nuevo</w:t>
      </w:r>
      <w:r>
        <w:rPr>
          <w:spacing w:val="-5"/>
        </w:rPr>
        <w:t> </w:t>
      </w:r>
      <w:r>
        <w:rPr/>
        <w:t>Ordenamiento</w:t>
      </w:r>
      <w:r>
        <w:rPr>
          <w:spacing w:val="-3"/>
        </w:rPr>
        <w:t> </w:t>
      </w:r>
      <w:r>
        <w:rPr/>
        <w:t>contiene</w:t>
      </w:r>
      <w:r>
        <w:rPr>
          <w:spacing w:val="-6"/>
        </w:rPr>
        <w:t> </w:t>
      </w:r>
      <w:r>
        <w:rPr/>
        <w:t>en</w:t>
      </w:r>
      <w:r>
        <w:rPr>
          <w:spacing w:val="-5"/>
        </w:rPr>
        <w:t> </w:t>
      </w:r>
      <w:r>
        <w:rPr/>
        <w:t>consecuencia</w:t>
      </w:r>
      <w:r>
        <w:rPr>
          <w:spacing w:val="-3"/>
        </w:rPr>
        <w:t> </w:t>
      </w:r>
      <w:r>
        <w:rPr/>
        <w:t>normas</w:t>
      </w:r>
      <w:r>
        <w:rPr>
          <w:spacing w:val="-4"/>
        </w:rPr>
        <w:t> </w:t>
      </w:r>
      <w:r>
        <w:rPr/>
        <w:t>que</w:t>
      </w:r>
      <w:r>
        <w:rPr>
          <w:spacing w:val="-5"/>
        </w:rPr>
        <w:t> </w:t>
      </w:r>
      <w:r>
        <w:rPr/>
        <w:t>impulsarán</w:t>
      </w:r>
      <w:r>
        <w:rPr>
          <w:spacing w:val="-3"/>
        </w:rPr>
        <w:t> </w:t>
      </w:r>
      <w:r>
        <w:rPr/>
        <w:t>el</w:t>
      </w:r>
      <w:r>
        <w:rPr>
          <w:spacing w:val="-4"/>
        </w:rPr>
        <w:t> </w:t>
      </w:r>
      <w:r>
        <w:rPr/>
        <w:t>desarrollo</w:t>
      </w:r>
      <w:r>
        <w:rPr>
          <w:spacing w:val="-5"/>
        </w:rPr>
        <w:t> </w:t>
      </w:r>
      <w:r>
        <w:rPr/>
        <w:t>local</w:t>
      </w:r>
      <w:r>
        <w:rPr>
          <w:spacing w:val="-6"/>
        </w:rPr>
        <w:t> </w:t>
      </w:r>
      <w:r>
        <w:rPr/>
        <w:t>a</w:t>
      </w:r>
      <w:r>
        <w:rPr>
          <w:spacing w:val="-3"/>
        </w:rPr>
        <w:t> </w:t>
      </w:r>
      <w:r>
        <w:rPr/>
        <w:t>la par</w:t>
      </w:r>
      <w:r>
        <w:rPr>
          <w:spacing w:val="-4"/>
        </w:rPr>
        <w:t> </w:t>
      </w:r>
      <w:r>
        <w:rPr/>
        <w:t>del</w:t>
      </w:r>
      <w:r>
        <w:rPr>
          <w:spacing w:val="-6"/>
        </w:rPr>
        <w:t> </w:t>
      </w:r>
      <w:r>
        <w:rPr/>
        <w:t>crecimiento</w:t>
      </w:r>
      <w:r>
        <w:rPr>
          <w:spacing w:val="-5"/>
        </w:rPr>
        <w:t> </w:t>
      </w:r>
      <w:r>
        <w:rPr/>
        <w:t>económico</w:t>
      </w:r>
      <w:r>
        <w:rPr>
          <w:spacing w:val="-5"/>
        </w:rPr>
        <w:t> </w:t>
      </w:r>
      <w:r>
        <w:rPr/>
        <w:t>y</w:t>
      </w:r>
      <w:r>
        <w:rPr>
          <w:spacing w:val="-4"/>
        </w:rPr>
        <w:t> </w:t>
      </w:r>
      <w:r>
        <w:rPr/>
        <w:t>cambio</w:t>
      </w:r>
      <w:r>
        <w:rPr>
          <w:spacing w:val="-5"/>
        </w:rPr>
        <w:t> </w:t>
      </w:r>
      <w:r>
        <w:rPr/>
        <w:t>estructural,</w:t>
      </w:r>
      <w:r>
        <w:rPr>
          <w:spacing w:val="-5"/>
        </w:rPr>
        <w:t> </w:t>
      </w:r>
      <w:r>
        <w:rPr/>
        <w:t>la</w:t>
      </w:r>
      <w:r>
        <w:rPr>
          <w:spacing w:val="-3"/>
        </w:rPr>
        <w:t> </w:t>
      </w:r>
      <w:r>
        <w:rPr/>
        <w:t>utilización</w:t>
      </w:r>
      <w:r>
        <w:rPr>
          <w:spacing w:val="-6"/>
        </w:rPr>
        <w:t> </w:t>
      </w:r>
      <w:r>
        <w:rPr/>
        <w:t>de</w:t>
      </w:r>
      <w:r>
        <w:rPr>
          <w:spacing w:val="-5"/>
        </w:rPr>
        <w:t> </w:t>
      </w:r>
      <w:r>
        <w:rPr/>
        <w:t>recursos</w:t>
      </w:r>
      <w:r>
        <w:rPr>
          <w:spacing w:val="-4"/>
        </w:rPr>
        <w:t> </w:t>
      </w:r>
      <w:r>
        <w:rPr/>
        <w:t>endógenos,</w:t>
      </w:r>
      <w:r>
        <w:rPr>
          <w:spacing w:val="-5"/>
        </w:rPr>
        <w:t> </w:t>
      </w:r>
      <w:r>
        <w:rPr/>
        <w:t>así</w:t>
      </w:r>
      <w:r>
        <w:rPr>
          <w:spacing w:val="-5"/>
        </w:rPr>
        <w:t> </w:t>
      </w:r>
      <w:r>
        <w:rPr/>
        <w:t>como la mejora sociocultural, calidad y equilibrio espacial.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9"/>
        <w:jc w:val="both"/>
      </w:pPr>
      <w:r>
        <w:rPr/>
        <w:t>Con</w:t>
      </w:r>
      <w:r>
        <w:rPr>
          <w:spacing w:val="-9"/>
        </w:rPr>
        <w:t> </w:t>
      </w:r>
      <w:r>
        <w:rPr/>
        <w:t>el</w:t>
      </w:r>
      <w:r>
        <w:rPr>
          <w:spacing w:val="-10"/>
        </w:rPr>
        <w:t> </w:t>
      </w:r>
      <w:r>
        <w:rPr/>
        <w:t>mismo</w:t>
      </w:r>
      <w:r>
        <w:rPr>
          <w:spacing w:val="-7"/>
        </w:rPr>
        <w:t> </w:t>
      </w:r>
      <w:r>
        <w:rPr/>
        <w:t>propósito</w:t>
      </w:r>
      <w:r>
        <w:rPr>
          <w:spacing w:val="-9"/>
        </w:rPr>
        <w:t> </w:t>
      </w:r>
      <w:r>
        <w:rPr/>
        <w:t>se</w:t>
      </w:r>
      <w:r>
        <w:rPr>
          <w:spacing w:val="-7"/>
        </w:rPr>
        <w:t> </w:t>
      </w:r>
      <w:r>
        <w:rPr/>
        <w:t>sientan</w:t>
      </w:r>
      <w:r>
        <w:rPr>
          <w:spacing w:val="-9"/>
        </w:rPr>
        <w:t> </w:t>
      </w:r>
      <w:r>
        <w:rPr/>
        <w:t>las</w:t>
      </w:r>
      <w:r>
        <w:rPr>
          <w:spacing w:val="-8"/>
        </w:rPr>
        <w:t> </w:t>
      </w:r>
      <w:r>
        <w:rPr/>
        <w:t>bases</w:t>
      </w:r>
      <w:r>
        <w:rPr>
          <w:spacing w:val="-8"/>
        </w:rPr>
        <w:t> </w:t>
      </w:r>
      <w:r>
        <w:rPr/>
        <w:t>que</w:t>
      </w:r>
      <w:r>
        <w:rPr>
          <w:spacing w:val="-9"/>
        </w:rPr>
        <w:t> </w:t>
      </w:r>
      <w:r>
        <w:rPr/>
        <w:t>generen</w:t>
      </w:r>
      <w:r>
        <w:rPr>
          <w:spacing w:val="-9"/>
        </w:rPr>
        <w:t> </w:t>
      </w:r>
      <w:r>
        <w:rPr/>
        <w:t>condiciones</w:t>
      </w:r>
      <w:r>
        <w:rPr>
          <w:spacing w:val="-8"/>
        </w:rPr>
        <w:t> </w:t>
      </w:r>
      <w:r>
        <w:rPr/>
        <w:t>para</w:t>
      </w:r>
      <w:r>
        <w:rPr>
          <w:spacing w:val="-9"/>
        </w:rPr>
        <w:t> </w:t>
      </w:r>
      <w:r>
        <w:rPr/>
        <w:t>una</w:t>
      </w:r>
      <w:r>
        <w:rPr>
          <w:spacing w:val="-9"/>
        </w:rPr>
        <w:t> </w:t>
      </w:r>
      <w:r>
        <w:rPr/>
        <w:t>mejor</w:t>
      </w:r>
      <w:r>
        <w:rPr>
          <w:spacing w:val="40"/>
        </w:rPr>
        <w:t> </w:t>
      </w:r>
      <w:r>
        <w:rPr/>
        <w:t>habitabilidad urbana con vida digna, y que propicie mayores oportunidades para el desarrollo de sus habitantes, así</w:t>
      </w:r>
      <w:r>
        <w:rPr>
          <w:spacing w:val="-14"/>
        </w:rPr>
        <w:t> </w:t>
      </w:r>
      <w:r>
        <w:rPr/>
        <w:t>como</w:t>
      </w:r>
      <w:r>
        <w:rPr>
          <w:spacing w:val="-14"/>
        </w:rPr>
        <w:t> </w:t>
      </w:r>
      <w:r>
        <w:rPr/>
        <w:t>una</w:t>
      </w:r>
      <w:r>
        <w:rPr>
          <w:spacing w:val="-14"/>
        </w:rPr>
        <w:t> </w:t>
      </w:r>
      <w:r>
        <w:rPr/>
        <w:t>nueva</w:t>
      </w:r>
      <w:r>
        <w:rPr>
          <w:spacing w:val="-14"/>
        </w:rPr>
        <w:t> </w:t>
      </w:r>
      <w:r>
        <w:rPr/>
        <w:t>visión</w:t>
      </w:r>
      <w:r>
        <w:rPr>
          <w:spacing w:val="-14"/>
        </w:rPr>
        <w:t> </w:t>
      </w:r>
      <w:r>
        <w:rPr/>
        <w:t>sobre</w:t>
      </w:r>
      <w:r>
        <w:rPr>
          <w:spacing w:val="-14"/>
        </w:rPr>
        <w:t> </w:t>
      </w:r>
      <w:r>
        <w:rPr/>
        <w:t>la</w:t>
      </w:r>
      <w:r>
        <w:rPr>
          <w:spacing w:val="-14"/>
        </w:rPr>
        <w:t> </w:t>
      </w:r>
      <w:r>
        <w:rPr/>
        <w:t>movilidad</w:t>
      </w:r>
      <w:r>
        <w:rPr>
          <w:spacing w:val="-14"/>
        </w:rPr>
        <w:t> </w:t>
      </w:r>
      <w:r>
        <w:rPr/>
        <w:t>urbana,</w:t>
      </w:r>
      <w:r>
        <w:rPr>
          <w:spacing w:val="-14"/>
        </w:rPr>
        <w:t> </w:t>
      </w:r>
      <w:r>
        <w:rPr/>
        <w:t>a</w:t>
      </w:r>
      <w:r>
        <w:rPr>
          <w:spacing w:val="-13"/>
        </w:rPr>
        <w:t> </w:t>
      </w:r>
      <w:r>
        <w:rPr/>
        <w:t>través</w:t>
      </w:r>
      <w:r>
        <w:rPr>
          <w:spacing w:val="-14"/>
        </w:rPr>
        <w:t> </w:t>
      </w:r>
      <w:r>
        <w:rPr/>
        <w:t>de</w:t>
      </w:r>
      <w:r>
        <w:rPr>
          <w:spacing w:val="-14"/>
        </w:rPr>
        <w:t> </w:t>
      </w:r>
      <w:r>
        <w:rPr/>
        <w:t>un</w:t>
      </w:r>
      <w:r>
        <w:rPr>
          <w:spacing w:val="-14"/>
        </w:rPr>
        <w:t> </w:t>
      </w:r>
      <w:r>
        <w:rPr/>
        <w:t>sistema</w:t>
      </w:r>
      <w:r>
        <w:rPr>
          <w:spacing w:val="-14"/>
        </w:rPr>
        <w:t> </w:t>
      </w:r>
      <w:r>
        <w:rPr/>
        <w:t>de</w:t>
      </w:r>
      <w:r>
        <w:rPr>
          <w:spacing w:val="-14"/>
        </w:rPr>
        <w:t> </w:t>
      </w:r>
      <w:r>
        <w:rPr/>
        <w:t>movilidad</w:t>
      </w:r>
      <w:r>
        <w:rPr>
          <w:spacing w:val="-14"/>
        </w:rPr>
        <w:t> </w:t>
      </w:r>
      <w:r>
        <w:rPr/>
        <w:t>intermodal que</w:t>
      </w:r>
      <w:r>
        <w:rPr>
          <w:spacing w:val="-7"/>
        </w:rPr>
        <w:t> </w:t>
      </w:r>
      <w:r>
        <w:rPr/>
        <w:t>propicie</w:t>
      </w:r>
      <w:r>
        <w:rPr>
          <w:spacing w:val="-7"/>
        </w:rPr>
        <w:t> </w:t>
      </w:r>
      <w:r>
        <w:rPr/>
        <w:t>el</w:t>
      </w:r>
      <w:r>
        <w:rPr>
          <w:spacing w:val="-8"/>
        </w:rPr>
        <w:t> </w:t>
      </w:r>
      <w:r>
        <w:rPr/>
        <w:t>efectivo</w:t>
      </w:r>
      <w:r>
        <w:rPr>
          <w:spacing w:val="-9"/>
        </w:rPr>
        <w:t> </w:t>
      </w:r>
      <w:r>
        <w:rPr/>
        <w:t>desplazamiento</w:t>
      </w:r>
      <w:r>
        <w:rPr>
          <w:spacing w:val="-7"/>
        </w:rPr>
        <w:t> </w:t>
      </w:r>
      <w:r>
        <w:rPr/>
        <w:t>de</w:t>
      </w:r>
      <w:r>
        <w:rPr>
          <w:spacing w:val="-7"/>
        </w:rPr>
        <w:t> </w:t>
      </w:r>
      <w:r>
        <w:rPr/>
        <w:t>bienes</w:t>
      </w:r>
      <w:r>
        <w:rPr>
          <w:spacing w:val="-8"/>
        </w:rPr>
        <w:t> </w:t>
      </w:r>
      <w:r>
        <w:rPr/>
        <w:t>y</w:t>
      </w:r>
      <w:r>
        <w:rPr>
          <w:spacing w:val="-6"/>
        </w:rPr>
        <w:t> </w:t>
      </w:r>
      <w:r>
        <w:rPr/>
        <w:t>personas,</w:t>
      </w:r>
      <w:r>
        <w:rPr>
          <w:spacing w:val="-9"/>
        </w:rPr>
        <w:t> </w:t>
      </w:r>
      <w:r>
        <w:rPr/>
        <w:t>considerando</w:t>
      </w:r>
      <w:r>
        <w:rPr>
          <w:spacing w:val="-7"/>
        </w:rPr>
        <w:t> </w:t>
      </w:r>
      <w:r>
        <w:rPr/>
        <w:t>a</w:t>
      </w:r>
      <w:r>
        <w:rPr>
          <w:spacing w:val="-9"/>
        </w:rPr>
        <w:t> </w:t>
      </w:r>
      <w:r>
        <w:rPr/>
        <w:t>las</w:t>
      </w:r>
      <w:r>
        <w:rPr>
          <w:spacing w:val="-6"/>
        </w:rPr>
        <w:t> </w:t>
      </w:r>
      <w:r>
        <w:rPr/>
        <w:t>personas</w:t>
      </w:r>
      <w:r>
        <w:rPr>
          <w:spacing w:val="-8"/>
        </w:rPr>
        <w:t> </w:t>
      </w:r>
      <w:r>
        <w:rPr/>
        <w:t>como</w:t>
      </w:r>
      <w:r>
        <w:rPr>
          <w:spacing w:val="-9"/>
        </w:rPr>
        <w:t> </w:t>
      </w:r>
      <w:r>
        <w:rPr/>
        <w:t>el eje y el objeto de la misma.</w:t>
      </w:r>
    </w:p>
    <w:p>
      <w:pPr>
        <w:pStyle w:val="BodyText"/>
      </w:pPr>
    </w:p>
    <w:p>
      <w:pPr>
        <w:pStyle w:val="BodyText"/>
        <w:ind w:left="262" w:right="279"/>
        <w:jc w:val="both"/>
      </w:pPr>
      <w:r>
        <w:rPr/>
        <w:t>La participación social en la planeación de las ciudades y el territorio, y en derecho para la vinculación y apropiación de</w:t>
      </w:r>
      <w:r>
        <w:rPr>
          <w:spacing w:val="-1"/>
        </w:rPr>
        <w:t> </w:t>
      </w:r>
      <w:r>
        <w:rPr/>
        <w:t>los habitantes,</w:t>
      </w:r>
      <w:r>
        <w:rPr>
          <w:spacing w:val="-1"/>
        </w:rPr>
        <w:t> </w:t>
      </w:r>
      <w:r>
        <w:rPr/>
        <w:t>son un</w:t>
      </w:r>
      <w:r>
        <w:rPr>
          <w:spacing w:val="-1"/>
        </w:rPr>
        <w:t> </w:t>
      </w:r>
      <w:r>
        <w:rPr/>
        <w:t>eje estratégico que</w:t>
      </w:r>
      <w:r>
        <w:rPr>
          <w:spacing w:val="-1"/>
        </w:rPr>
        <w:t> </w:t>
      </w:r>
      <w:r>
        <w:rPr/>
        <w:t>garantiza la</w:t>
      </w:r>
      <w:r>
        <w:rPr>
          <w:spacing w:val="-1"/>
        </w:rPr>
        <w:t> </w:t>
      </w:r>
      <w:r>
        <w:rPr/>
        <w:t>inclusión de las necesidades, la pluralidad de propuestas y visión social.</w:t>
      </w:r>
    </w:p>
    <w:p>
      <w:pPr>
        <w:pStyle w:val="BodyText"/>
        <w:spacing w:before="2"/>
      </w:pPr>
    </w:p>
    <w:p>
      <w:pPr>
        <w:pStyle w:val="BodyText"/>
        <w:ind w:left="262" w:right="279"/>
        <w:jc w:val="both"/>
      </w:pPr>
      <w:r>
        <w:rPr/>
        <w:t>La resiliencia de las ciudades, entendida como la capacidad de un sistema, comunidad o sociedad potencialmente</w:t>
      </w:r>
      <w:r>
        <w:rPr>
          <w:spacing w:val="-5"/>
        </w:rPr>
        <w:t> </w:t>
      </w:r>
      <w:r>
        <w:rPr/>
        <w:t>expuesta</w:t>
      </w:r>
      <w:r>
        <w:rPr>
          <w:spacing w:val="-7"/>
        </w:rPr>
        <w:t> </w:t>
      </w:r>
      <w:r>
        <w:rPr/>
        <w:t>a</w:t>
      </w:r>
      <w:r>
        <w:rPr>
          <w:spacing w:val="-4"/>
        </w:rPr>
        <w:t> </w:t>
      </w:r>
      <w:r>
        <w:rPr/>
        <w:t>un</w:t>
      </w:r>
      <w:r>
        <w:rPr>
          <w:spacing w:val="-7"/>
        </w:rPr>
        <w:t> </w:t>
      </w:r>
      <w:r>
        <w:rPr/>
        <w:t>peligro</w:t>
      </w:r>
      <w:r>
        <w:rPr>
          <w:spacing w:val="-4"/>
        </w:rPr>
        <w:t> </w:t>
      </w:r>
      <w:r>
        <w:rPr/>
        <w:t>para</w:t>
      </w:r>
      <w:r>
        <w:rPr>
          <w:spacing w:val="-7"/>
        </w:rPr>
        <w:t> </w:t>
      </w:r>
      <w:r>
        <w:rPr/>
        <w:t>resistir,</w:t>
      </w:r>
      <w:r>
        <w:rPr>
          <w:spacing w:val="-6"/>
        </w:rPr>
        <w:t> </w:t>
      </w:r>
      <w:r>
        <w:rPr/>
        <w:t>asimilar,</w:t>
      </w:r>
      <w:r>
        <w:rPr>
          <w:spacing w:val="-6"/>
        </w:rPr>
        <w:t> </w:t>
      </w:r>
      <w:r>
        <w:rPr/>
        <w:t>adaptarse</w:t>
      </w:r>
      <w:r>
        <w:rPr>
          <w:spacing w:val="-7"/>
        </w:rPr>
        <w:t> </w:t>
      </w:r>
      <w:r>
        <w:rPr/>
        <w:t>y</w:t>
      </w:r>
      <w:r>
        <w:rPr>
          <w:spacing w:val="-5"/>
        </w:rPr>
        <w:t> </w:t>
      </w:r>
      <w:r>
        <w:rPr/>
        <w:t>recuperarse</w:t>
      </w:r>
      <w:r>
        <w:rPr>
          <w:spacing w:val="-7"/>
        </w:rPr>
        <w:t> </w:t>
      </w:r>
      <w:r>
        <w:rPr/>
        <w:t>de</w:t>
      </w:r>
      <w:r>
        <w:rPr>
          <w:spacing w:val="-7"/>
        </w:rPr>
        <w:t> </w:t>
      </w:r>
      <w:r>
        <w:rPr/>
        <w:t>sus</w:t>
      </w:r>
      <w:r>
        <w:rPr>
          <w:spacing w:val="-6"/>
        </w:rPr>
        <w:t> </w:t>
      </w:r>
      <w:r>
        <w:rPr/>
        <w:t>efectos en</w:t>
      </w:r>
      <w:r>
        <w:rPr>
          <w:spacing w:val="-14"/>
        </w:rPr>
        <w:t> </w:t>
      </w:r>
      <w:r>
        <w:rPr/>
        <w:t>un</w:t>
      </w:r>
      <w:r>
        <w:rPr>
          <w:spacing w:val="-14"/>
        </w:rPr>
        <w:t> </w:t>
      </w:r>
      <w:r>
        <w:rPr/>
        <w:t>corto</w:t>
      </w:r>
      <w:r>
        <w:rPr>
          <w:spacing w:val="-14"/>
        </w:rPr>
        <w:t> </w:t>
      </w:r>
      <w:r>
        <w:rPr/>
        <w:t>plazo</w:t>
      </w:r>
      <w:r>
        <w:rPr>
          <w:spacing w:val="-14"/>
        </w:rPr>
        <w:t> </w:t>
      </w:r>
      <w:r>
        <w:rPr/>
        <w:t>y</w:t>
      </w:r>
      <w:r>
        <w:rPr>
          <w:spacing w:val="-14"/>
        </w:rPr>
        <w:t> </w:t>
      </w:r>
      <w:r>
        <w:rPr/>
        <w:t>de</w:t>
      </w:r>
      <w:r>
        <w:rPr>
          <w:spacing w:val="-14"/>
        </w:rPr>
        <w:t> </w:t>
      </w:r>
      <w:r>
        <w:rPr/>
        <w:t>manera</w:t>
      </w:r>
      <w:r>
        <w:rPr>
          <w:spacing w:val="-14"/>
        </w:rPr>
        <w:t> </w:t>
      </w:r>
      <w:r>
        <w:rPr/>
        <w:t>eficiente,</w:t>
      </w:r>
      <w:r>
        <w:rPr>
          <w:spacing w:val="-14"/>
        </w:rPr>
        <w:t> </w:t>
      </w:r>
      <w:r>
        <w:rPr/>
        <w:t>a</w:t>
      </w:r>
      <w:r>
        <w:rPr>
          <w:spacing w:val="-14"/>
        </w:rPr>
        <w:t> </w:t>
      </w:r>
      <w:r>
        <w:rPr/>
        <w:t>través</w:t>
      </w:r>
      <w:r>
        <w:rPr>
          <w:spacing w:val="-13"/>
        </w:rPr>
        <w:t> </w:t>
      </w:r>
      <w:r>
        <w:rPr/>
        <w:t>de</w:t>
      </w:r>
      <w:r>
        <w:rPr>
          <w:spacing w:val="-14"/>
        </w:rPr>
        <w:t> </w:t>
      </w:r>
      <w:r>
        <w:rPr/>
        <w:t>la</w:t>
      </w:r>
      <w:r>
        <w:rPr>
          <w:spacing w:val="-14"/>
        </w:rPr>
        <w:t> </w:t>
      </w:r>
      <w:r>
        <w:rPr/>
        <w:t>preservación</w:t>
      </w:r>
      <w:r>
        <w:rPr>
          <w:spacing w:val="-14"/>
        </w:rPr>
        <w:t> </w:t>
      </w:r>
      <w:r>
        <w:rPr/>
        <w:t>y</w:t>
      </w:r>
      <w:r>
        <w:rPr>
          <w:spacing w:val="-14"/>
        </w:rPr>
        <w:t> </w:t>
      </w:r>
      <w:r>
        <w:rPr/>
        <w:t>restauración</w:t>
      </w:r>
      <w:r>
        <w:rPr>
          <w:spacing w:val="-14"/>
        </w:rPr>
        <w:t> </w:t>
      </w:r>
      <w:r>
        <w:rPr/>
        <w:t>de</w:t>
      </w:r>
      <w:r>
        <w:rPr>
          <w:spacing w:val="-14"/>
        </w:rPr>
        <w:t> </w:t>
      </w:r>
      <w:r>
        <w:rPr/>
        <w:t>sus</w:t>
      </w:r>
      <w:r>
        <w:rPr>
          <w:spacing w:val="-14"/>
        </w:rPr>
        <w:t> </w:t>
      </w:r>
      <w:r>
        <w:rPr/>
        <w:t>estructuras básicas</w:t>
      </w:r>
      <w:r>
        <w:rPr>
          <w:spacing w:val="-14"/>
        </w:rPr>
        <w:t> </w:t>
      </w:r>
      <w:r>
        <w:rPr/>
        <w:t>y</w:t>
      </w:r>
      <w:r>
        <w:rPr>
          <w:spacing w:val="-13"/>
        </w:rPr>
        <w:t> </w:t>
      </w:r>
      <w:r>
        <w:rPr/>
        <w:t>funcionales,</w:t>
      </w:r>
      <w:r>
        <w:rPr>
          <w:spacing w:val="-14"/>
        </w:rPr>
        <w:t> </w:t>
      </w:r>
      <w:r>
        <w:rPr/>
        <w:t>para</w:t>
      </w:r>
      <w:r>
        <w:rPr>
          <w:spacing w:val="-12"/>
        </w:rPr>
        <w:t> </w:t>
      </w:r>
      <w:r>
        <w:rPr/>
        <w:t>lograr</w:t>
      </w:r>
      <w:r>
        <w:rPr>
          <w:spacing w:val="-14"/>
        </w:rPr>
        <w:t> </w:t>
      </w:r>
      <w:r>
        <w:rPr/>
        <w:t>una</w:t>
      </w:r>
      <w:r>
        <w:rPr>
          <w:spacing w:val="-14"/>
        </w:rPr>
        <w:t> </w:t>
      </w:r>
      <w:r>
        <w:rPr/>
        <w:t>acertada</w:t>
      </w:r>
      <w:r>
        <w:rPr>
          <w:spacing w:val="-12"/>
        </w:rPr>
        <w:t> </w:t>
      </w:r>
      <w:r>
        <w:rPr/>
        <w:t>protección</w:t>
      </w:r>
      <w:r>
        <w:rPr>
          <w:spacing w:val="-14"/>
        </w:rPr>
        <w:t> </w:t>
      </w:r>
      <w:r>
        <w:rPr/>
        <w:t>futura</w:t>
      </w:r>
      <w:r>
        <w:rPr>
          <w:spacing w:val="-14"/>
        </w:rPr>
        <w:t> </w:t>
      </w:r>
      <w:r>
        <w:rPr/>
        <w:t>y</w:t>
      </w:r>
      <w:r>
        <w:rPr>
          <w:spacing w:val="-12"/>
        </w:rPr>
        <w:t> </w:t>
      </w:r>
      <w:r>
        <w:rPr/>
        <w:t>mejorar</w:t>
      </w:r>
      <w:r>
        <w:rPr>
          <w:spacing w:val="-14"/>
        </w:rPr>
        <w:t> </w:t>
      </w:r>
      <w:r>
        <w:rPr/>
        <w:t>las</w:t>
      </w:r>
      <w:r>
        <w:rPr>
          <w:spacing w:val="-13"/>
        </w:rPr>
        <w:t> </w:t>
      </w:r>
      <w:r>
        <w:rPr/>
        <w:t>medidas</w:t>
      </w:r>
      <w:r>
        <w:rPr>
          <w:spacing w:val="-13"/>
        </w:rPr>
        <w:t> </w:t>
      </w:r>
      <w:r>
        <w:rPr/>
        <w:t>de</w:t>
      </w:r>
      <w:r>
        <w:rPr>
          <w:spacing w:val="-14"/>
        </w:rPr>
        <w:t> </w:t>
      </w:r>
      <w:r>
        <w:rPr/>
        <w:t>reducción de riesgos, así como la detección, prevención y atención de dichos riesgos urbanos, la protección frente a riesgos naturales y antropogénicos, y la prohibición de la ocupación en zonas de riesgo; la sostenibilidad</w:t>
      </w:r>
      <w:r>
        <w:rPr>
          <w:spacing w:val="-14"/>
        </w:rPr>
        <w:t> </w:t>
      </w:r>
      <w:r>
        <w:rPr/>
        <w:t>ambiental,</w:t>
      </w:r>
      <w:r>
        <w:rPr>
          <w:spacing w:val="-14"/>
        </w:rPr>
        <w:t> </w:t>
      </w:r>
      <w:r>
        <w:rPr/>
        <w:t>la</w:t>
      </w:r>
      <w:r>
        <w:rPr>
          <w:spacing w:val="-14"/>
        </w:rPr>
        <w:t> </w:t>
      </w:r>
      <w:r>
        <w:rPr/>
        <w:t>preservación</w:t>
      </w:r>
      <w:r>
        <w:rPr>
          <w:spacing w:val="-14"/>
        </w:rPr>
        <w:t> </w:t>
      </w:r>
      <w:r>
        <w:rPr/>
        <w:t>del</w:t>
      </w:r>
      <w:r>
        <w:rPr>
          <w:spacing w:val="-14"/>
        </w:rPr>
        <w:t> </w:t>
      </w:r>
      <w:r>
        <w:rPr/>
        <w:t>entorno</w:t>
      </w:r>
      <w:r>
        <w:rPr>
          <w:spacing w:val="-14"/>
        </w:rPr>
        <w:t> </w:t>
      </w:r>
      <w:r>
        <w:rPr/>
        <w:t>natural</w:t>
      </w:r>
      <w:r>
        <w:rPr>
          <w:spacing w:val="-14"/>
        </w:rPr>
        <w:t> </w:t>
      </w:r>
      <w:r>
        <w:rPr/>
        <w:t>y</w:t>
      </w:r>
      <w:r>
        <w:rPr>
          <w:spacing w:val="-14"/>
        </w:rPr>
        <w:t> </w:t>
      </w:r>
      <w:r>
        <w:rPr/>
        <w:t>el</w:t>
      </w:r>
      <w:r>
        <w:rPr>
          <w:spacing w:val="-14"/>
        </w:rPr>
        <w:t> </w:t>
      </w:r>
      <w:r>
        <w:rPr/>
        <w:t>uso</w:t>
      </w:r>
      <w:r>
        <w:rPr>
          <w:spacing w:val="-13"/>
        </w:rPr>
        <w:t> </w:t>
      </w:r>
      <w:r>
        <w:rPr/>
        <w:t>racional</w:t>
      </w:r>
      <w:r>
        <w:rPr>
          <w:spacing w:val="-14"/>
        </w:rPr>
        <w:t> </w:t>
      </w:r>
      <w:r>
        <w:rPr/>
        <w:t>de</w:t>
      </w:r>
      <w:r>
        <w:rPr>
          <w:spacing w:val="-14"/>
        </w:rPr>
        <w:t> </w:t>
      </w:r>
      <w:r>
        <w:rPr/>
        <w:t>recursos</w:t>
      </w:r>
      <w:r>
        <w:rPr>
          <w:spacing w:val="-14"/>
        </w:rPr>
        <w:t> </w:t>
      </w:r>
      <w:r>
        <w:rPr/>
        <w:t>renovables y no renovables, son sin duda materia fundamental de esta Ley.</w:t>
      </w:r>
    </w:p>
    <w:p>
      <w:pPr>
        <w:pStyle w:val="BodyText"/>
        <w:spacing w:before="229"/>
        <w:ind w:left="262" w:right="281"/>
        <w:jc w:val="both"/>
      </w:pPr>
      <w:r>
        <w:rPr>
          <w:color w:val="333333"/>
        </w:rPr>
        <w:t>Los desastres naturales, como incendios, terremotos e inundaciones, y los problemas que pueden presentar ciertos sistemas, como el de agua potable y el de movilidad urbana, son algunas de las crisis a las que se pueden enfrentar las ciudades, además de</w:t>
      </w:r>
      <w:r>
        <w:rPr>
          <w:color w:val="333333"/>
          <w:spacing w:val="40"/>
        </w:rPr>
        <w:t> </w:t>
      </w:r>
      <w:r>
        <w:rPr>
          <w:color w:val="333333"/>
        </w:rPr>
        <w:t>sequías y huracanes que obligan a las comunidades a desarrollar estrategias para recomponerse luego de las catástrofes, y para revertir las pérdidas y deterioros.</w:t>
      </w:r>
    </w:p>
    <w:p>
      <w:pPr>
        <w:pStyle w:val="BodyText"/>
        <w:spacing w:before="1"/>
      </w:pPr>
    </w:p>
    <w:p>
      <w:pPr>
        <w:pStyle w:val="BodyText"/>
        <w:ind w:left="262" w:right="274"/>
        <w:jc w:val="both"/>
      </w:pPr>
      <w:r>
        <w:rPr/>
        <w:t>De esta forma, las urbes resilientes cuentan con sistemas públicos, prácticas sostenibles y desarrollan</w:t>
      </w:r>
      <w:r>
        <w:rPr>
          <w:spacing w:val="-14"/>
        </w:rPr>
        <w:t> </w:t>
      </w:r>
      <w:r>
        <w:rPr/>
        <w:t>procesos</w:t>
      </w:r>
      <w:r>
        <w:rPr>
          <w:spacing w:val="-14"/>
        </w:rPr>
        <w:t> </w:t>
      </w:r>
      <w:r>
        <w:rPr/>
        <w:t>de</w:t>
      </w:r>
      <w:r>
        <w:rPr>
          <w:spacing w:val="-14"/>
        </w:rPr>
        <w:t> </w:t>
      </w:r>
      <w:r>
        <w:rPr/>
        <w:t>gestión</w:t>
      </w:r>
      <w:r>
        <w:rPr>
          <w:spacing w:val="-14"/>
        </w:rPr>
        <w:t> </w:t>
      </w:r>
      <w:r>
        <w:rPr/>
        <w:t>para</w:t>
      </w:r>
      <w:r>
        <w:rPr>
          <w:spacing w:val="-14"/>
        </w:rPr>
        <w:t> </w:t>
      </w:r>
      <w:r>
        <w:rPr/>
        <w:t>la</w:t>
      </w:r>
      <w:r>
        <w:rPr>
          <w:spacing w:val="-14"/>
        </w:rPr>
        <w:t> </w:t>
      </w:r>
      <w:r>
        <w:rPr/>
        <w:t>prevención</w:t>
      </w:r>
      <w:r>
        <w:rPr>
          <w:spacing w:val="-14"/>
        </w:rPr>
        <w:t> </w:t>
      </w:r>
      <w:r>
        <w:rPr/>
        <w:t>de</w:t>
      </w:r>
      <w:r>
        <w:rPr>
          <w:spacing w:val="-14"/>
        </w:rPr>
        <w:t> </w:t>
      </w:r>
      <w:r>
        <w:rPr/>
        <w:t>riesgos</w:t>
      </w:r>
      <w:r>
        <w:rPr>
          <w:spacing w:val="-14"/>
        </w:rPr>
        <w:t> </w:t>
      </w:r>
      <w:r>
        <w:rPr/>
        <w:t>ante</w:t>
      </w:r>
      <w:r>
        <w:rPr>
          <w:spacing w:val="-13"/>
        </w:rPr>
        <w:t> </w:t>
      </w:r>
      <w:r>
        <w:rPr/>
        <w:t>desastres</w:t>
      </w:r>
      <w:r>
        <w:rPr>
          <w:spacing w:val="-14"/>
        </w:rPr>
        <w:t> </w:t>
      </w:r>
      <w:r>
        <w:rPr/>
        <w:t>y</w:t>
      </w:r>
      <w:r>
        <w:rPr>
          <w:spacing w:val="-14"/>
        </w:rPr>
        <w:t> </w:t>
      </w:r>
      <w:r>
        <w:rPr/>
        <w:t>adaptación</w:t>
      </w:r>
      <w:r>
        <w:rPr>
          <w:spacing w:val="-14"/>
        </w:rPr>
        <w:t> </w:t>
      </w:r>
      <w:r>
        <w:rPr/>
        <w:t>al</w:t>
      </w:r>
      <w:r>
        <w:rPr>
          <w:spacing w:val="-14"/>
        </w:rPr>
        <w:t> </w:t>
      </w:r>
      <w:r>
        <w:rPr/>
        <w:t>cambio climático. Es así que este concepto de resiliencia, adopta como uno de sus elementos fundamentales,</w:t>
      </w:r>
      <w:r>
        <w:rPr>
          <w:spacing w:val="-12"/>
        </w:rPr>
        <w:t> </w:t>
      </w:r>
      <w:r>
        <w:rPr/>
        <w:t>al</w:t>
      </w:r>
      <w:r>
        <w:rPr>
          <w:spacing w:val="-13"/>
        </w:rPr>
        <w:t> </w:t>
      </w:r>
      <w:r>
        <w:rPr/>
        <w:t>de</w:t>
      </w:r>
      <w:r>
        <w:rPr>
          <w:spacing w:val="-12"/>
        </w:rPr>
        <w:t> </w:t>
      </w:r>
      <w:r>
        <w:rPr/>
        <w:t>sustentabilidad</w:t>
      </w:r>
      <w:r>
        <w:rPr>
          <w:spacing w:val="-12"/>
        </w:rPr>
        <w:t> </w:t>
      </w:r>
      <w:r>
        <w:rPr/>
        <w:t>o</w:t>
      </w:r>
      <w:r>
        <w:rPr>
          <w:spacing w:val="-12"/>
        </w:rPr>
        <w:t> </w:t>
      </w:r>
      <w:r>
        <w:rPr/>
        <w:t>sostenibilidad</w:t>
      </w:r>
      <w:r>
        <w:rPr>
          <w:spacing w:val="-12"/>
        </w:rPr>
        <w:t> </w:t>
      </w:r>
      <w:r>
        <w:rPr/>
        <w:t>urbana,</w:t>
      </w:r>
      <w:r>
        <w:rPr>
          <w:spacing w:val="-12"/>
        </w:rPr>
        <w:t> </w:t>
      </w:r>
      <w:r>
        <w:rPr/>
        <w:t>y</w:t>
      </w:r>
      <w:r>
        <w:rPr>
          <w:spacing w:val="-6"/>
        </w:rPr>
        <w:t> </w:t>
      </w:r>
      <w:r>
        <w:rPr>
          <w:color w:val="333333"/>
        </w:rPr>
        <w:t>tiene</w:t>
      </w:r>
      <w:r>
        <w:rPr>
          <w:color w:val="333333"/>
          <w:spacing w:val="-13"/>
        </w:rPr>
        <w:t> </w:t>
      </w:r>
      <w:r>
        <w:rPr>
          <w:color w:val="333333"/>
        </w:rPr>
        <w:t>como</w:t>
      </w:r>
      <w:r>
        <w:rPr>
          <w:color w:val="333333"/>
          <w:spacing w:val="-12"/>
        </w:rPr>
        <w:t> </w:t>
      </w:r>
      <w:r>
        <w:rPr>
          <w:color w:val="333333"/>
        </w:rPr>
        <w:t>enfoque</w:t>
      </w:r>
      <w:r>
        <w:rPr>
          <w:color w:val="333333"/>
          <w:spacing w:val="-12"/>
        </w:rPr>
        <w:t> </w:t>
      </w:r>
      <w:r>
        <w:rPr>
          <w:color w:val="333333"/>
        </w:rPr>
        <w:t>enfrentarse</w:t>
      </w:r>
      <w:r>
        <w:rPr>
          <w:color w:val="333333"/>
          <w:spacing w:val="-12"/>
        </w:rPr>
        <w:t> </w:t>
      </w:r>
      <w:r>
        <w:rPr>
          <w:color w:val="333333"/>
        </w:rPr>
        <w:t>a</w:t>
      </w:r>
      <w:r>
        <w:rPr>
          <w:color w:val="333333"/>
          <w:spacing w:val="-12"/>
        </w:rPr>
        <w:t> </w:t>
      </w:r>
      <w:r>
        <w:rPr>
          <w:color w:val="333333"/>
        </w:rPr>
        <w:t>los retos a nivel global, como urbanización, cambio climático y urbanización. El concepto integrado de resiliencia cuenta con importante componente de participación local, comunitaria y sociedad civil. Teniendo</w:t>
      </w:r>
      <w:r>
        <w:rPr>
          <w:color w:val="333333"/>
          <w:spacing w:val="-10"/>
        </w:rPr>
        <w:t> </w:t>
      </w:r>
      <w:r>
        <w:rPr>
          <w:color w:val="333333"/>
        </w:rPr>
        <w:t>como</w:t>
      </w:r>
      <w:r>
        <w:rPr>
          <w:color w:val="333333"/>
          <w:spacing w:val="-10"/>
        </w:rPr>
        <w:t> </w:t>
      </w:r>
      <w:r>
        <w:rPr>
          <w:color w:val="333333"/>
        </w:rPr>
        <w:t>pilares</w:t>
      </w:r>
      <w:r>
        <w:rPr>
          <w:color w:val="333333"/>
          <w:spacing w:val="-9"/>
        </w:rPr>
        <w:t> </w:t>
      </w:r>
      <w:r>
        <w:rPr>
          <w:color w:val="333333"/>
        </w:rPr>
        <w:t>fundamentales</w:t>
      </w:r>
      <w:r>
        <w:rPr>
          <w:color w:val="333333"/>
          <w:spacing w:val="-9"/>
        </w:rPr>
        <w:t> </w:t>
      </w:r>
      <w:r>
        <w:rPr>
          <w:color w:val="333333"/>
        </w:rPr>
        <w:t>el</w:t>
      </w:r>
      <w:r>
        <w:rPr>
          <w:color w:val="333333"/>
          <w:spacing w:val="-11"/>
        </w:rPr>
        <w:t> </w:t>
      </w:r>
      <w:r>
        <w:rPr>
          <w:color w:val="333333"/>
        </w:rPr>
        <w:t>manejo</w:t>
      </w:r>
      <w:r>
        <w:rPr>
          <w:color w:val="333333"/>
          <w:spacing w:val="-9"/>
        </w:rPr>
        <w:t> </w:t>
      </w:r>
      <w:r>
        <w:rPr>
          <w:color w:val="333333"/>
        </w:rPr>
        <w:t>de</w:t>
      </w:r>
      <w:r>
        <w:rPr>
          <w:color w:val="333333"/>
          <w:spacing w:val="-11"/>
        </w:rPr>
        <w:t> </w:t>
      </w:r>
      <w:r>
        <w:rPr>
          <w:color w:val="333333"/>
        </w:rPr>
        <w:t>riesgo,</w:t>
      </w:r>
      <w:r>
        <w:rPr>
          <w:color w:val="333333"/>
          <w:spacing w:val="-10"/>
        </w:rPr>
        <w:t> </w:t>
      </w:r>
      <w:r>
        <w:rPr>
          <w:color w:val="333333"/>
        </w:rPr>
        <w:t>la</w:t>
      </w:r>
      <w:r>
        <w:rPr>
          <w:color w:val="333333"/>
          <w:spacing w:val="-10"/>
        </w:rPr>
        <w:t> </w:t>
      </w:r>
      <w:r>
        <w:rPr>
          <w:color w:val="333333"/>
        </w:rPr>
        <w:t>adaptación</w:t>
      </w:r>
      <w:r>
        <w:rPr>
          <w:color w:val="333333"/>
          <w:spacing w:val="-10"/>
        </w:rPr>
        <w:t> </w:t>
      </w:r>
      <w:r>
        <w:rPr>
          <w:color w:val="333333"/>
        </w:rPr>
        <w:t>de</w:t>
      </w:r>
      <w:r>
        <w:rPr>
          <w:color w:val="333333"/>
          <w:spacing w:val="-10"/>
        </w:rPr>
        <w:t> </w:t>
      </w:r>
      <w:r>
        <w:rPr>
          <w:color w:val="333333"/>
        </w:rPr>
        <w:t>largo</w:t>
      </w:r>
      <w:r>
        <w:rPr>
          <w:color w:val="333333"/>
          <w:spacing w:val="-9"/>
        </w:rPr>
        <w:t> </w:t>
      </w:r>
      <w:r>
        <w:rPr>
          <w:color w:val="333333"/>
        </w:rPr>
        <w:t>plazo</w:t>
      </w:r>
      <w:r>
        <w:rPr>
          <w:color w:val="333333"/>
          <w:spacing w:val="-10"/>
        </w:rPr>
        <w:t> </w:t>
      </w:r>
      <w:r>
        <w:rPr>
          <w:color w:val="333333"/>
        </w:rPr>
        <w:t>y</w:t>
      </w:r>
      <w:r>
        <w:rPr>
          <w:color w:val="333333"/>
          <w:spacing w:val="-8"/>
        </w:rPr>
        <w:t> </w:t>
      </w:r>
      <w:r>
        <w:rPr>
          <w:color w:val="333333"/>
        </w:rPr>
        <w:t>mitigación para</w:t>
      </w:r>
      <w:r>
        <w:rPr>
          <w:color w:val="333333"/>
          <w:spacing w:val="-2"/>
        </w:rPr>
        <w:t> </w:t>
      </w:r>
      <w:r>
        <w:rPr>
          <w:color w:val="333333"/>
        </w:rPr>
        <w:t>prevenir.</w:t>
      </w:r>
      <w:r>
        <w:rPr>
          <w:color w:val="333333"/>
          <w:spacing w:val="-2"/>
        </w:rPr>
        <w:t> </w:t>
      </w:r>
      <w:r>
        <w:rPr>
          <w:color w:val="333333"/>
        </w:rPr>
        <w:t>También</w:t>
      </w:r>
      <w:r>
        <w:rPr>
          <w:color w:val="333333"/>
          <w:spacing w:val="-3"/>
        </w:rPr>
        <w:t> </w:t>
      </w:r>
      <w:r>
        <w:rPr>
          <w:color w:val="333333"/>
        </w:rPr>
        <w:t>se incorpora</w:t>
      </w:r>
      <w:r>
        <w:rPr>
          <w:color w:val="333333"/>
          <w:spacing w:val="-2"/>
        </w:rPr>
        <w:t> </w:t>
      </w:r>
      <w:r>
        <w:rPr>
          <w:color w:val="333333"/>
        </w:rPr>
        <w:t>un</w:t>
      </w:r>
      <w:r>
        <w:rPr>
          <w:color w:val="333333"/>
          <w:spacing w:val="-2"/>
        </w:rPr>
        <w:t> </w:t>
      </w:r>
      <w:r>
        <w:rPr>
          <w:color w:val="333333"/>
        </w:rPr>
        <w:t>sistema</w:t>
      </w:r>
      <w:r>
        <w:rPr>
          <w:color w:val="333333"/>
          <w:spacing w:val="-2"/>
        </w:rPr>
        <w:t> </w:t>
      </w:r>
      <w:r>
        <w:rPr>
          <w:color w:val="333333"/>
        </w:rPr>
        <w:t>de planeación</w:t>
      </w:r>
      <w:r>
        <w:rPr>
          <w:color w:val="333333"/>
          <w:spacing w:val="-3"/>
        </w:rPr>
        <w:t> </w:t>
      </w:r>
      <w:r>
        <w:rPr>
          <w:color w:val="333333"/>
        </w:rPr>
        <w:t>integral basada</w:t>
      </w:r>
      <w:r>
        <w:rPr>
          <w:color w:val="333333"/>
          <w:spacing w:val="-2"/>
        </w:rPr>
        <w:t> </w:t>
      </w:r>
      <w:r>
        <w:rPr>
          <w:color w:val="333333"/>
        </w:rPr>
        <w:t>en una</w:t>
      </w:r>
      <w:r>
        <w:rPr>
          <w:color w:val="333333"/>
          <w:spacing w:val="-2"/>
        </w:rPr>
        <w:t> </w:t>
      </w:r>
      <w:r>
        <w:rPr>
          <w:color w:val="333333"/>
        </w:rPr>
        <w:t>metodología de diseño de proceso, fundamentada en predicciones de escenarios futuros, y conectada a la planificación urbana.</w:t>
      </w:r>
    </w:p>
    <w:p>
      <w:pPr>
        <w:pStyle w:val="BodyText"/>
        <w:spacing w:before="230"/>
        <w:ind w:left="262" w:right="280"/>
        <w:jc w:val="both"/>
      </w:pPr>
      <w:r>
        <w:rPr/>
        <w:t>Por otra parte, esta nueva Ley establece políticas: en materia de ordenamiento territorial, de protección, restauración, preservación para el mejor aprovechamiento del territorio y sus recursos; en materia de desarrollo urbano, de control, impulso, consolidación y arraigo a los centros de población;</w:t>
      </w:r>
      <w:r>
        <w:rPr>
          <w:spacing w:val="-5"/>
        </w:rPr>
        <w:t> </w:t>
      </w:r>
      <w:r>
        <w:rPr/>
        <w:t>y</w:t>
      </w:r>
      <w:r>
        <w:rPr>
          <w:spacing w:val="-4"/>
        </w:rPr>
        <w:t> </w:t>
      </w:r>
      <w:r>
        <w:rPr/>
        <w:t>de</w:t>
      </w:r>
      <w:r>
        <w:rPr>
          <w:spacing w:val="-5"/>
        </w:rPr>
        <w:t> </w:t>
      </w:r>
      <w:r>
        <w:rPr/>
        <w:t>crecimiento,</w:t>
      </w:r>
      <w:r>
        <w:rPr>
          <w:spacing w:val="-5"/>
        </w:rPr>
        <w:t> </w:t>
      </w:r>
      <w:r>
        <w:rPr/>
        <w:t>conservación</w:t>
      </w:r>
      <w:r>
        <w:rPr>
          <w:spacing w:val="-5"/>
        </w:rPr>
        <w:t> </w:t>
      </w:r>
      <w:r>
        <w:rPr/>
        <w:t>y</w:t>
      </w:r>
      <w:r>
        <w:rPr>
          <w:spacing w:val="-4"/>
        </w:rPr>
        <w:t> </w:t>
      </w:r>
      <w:r>
        <w:rPr/>
        <w:t>mejoramiento</w:t>
      </w:r>
      <w:r>
        <w:rPr>
          <w:spacing w:val="-5"/>
        </w:rPr>
        <w:t> </w:t>
      </w:r>
      <w:r>
        <w:rPr/>
        <w:t>a</w:t>
      </w:r>
      <w:r>
        <w:rPr>
          <w:spacing w:val="-3"/>
        </w:rPr>
        <w:t> </w:t>
      </w:r>
      <w:r>
        <w:rPr/>
        <w:t>los</w:t>
      </w:r>
      <w:r>
        <w:rPr>
          <w:spacing w:val="-4"/>
        </w:rPr>
        <w:t> </w:t>
      </w:r>
      <w:r>
        <w:rPr/>
        <w:t>sectores</w:t>
      </w:r>
      <w:r>
        <w:rPr>
          <w:spacing w:val="-4"/>
        </w:rPr>
        <w:t> </w:t>
      </w:r>
      <w:r>
        <w:rPr/>
        <w:t>urbanos</w:t>
      </w:r>
      <w:r>
        <w:rPr>
          <w:spacing w:val="-4"/>
        </w:rPr>
        <w:t> </w:t>
      </w:r>
      <w:r>
        <w:rPr/>
        <w:t>de</w:t>
      </w:r>
      <w:r>
        <w:rPr>
          <w:spacing w:val="-5"/>
        </w:rPr>
        <w:t> </w:t>
      </w:r>
      <w:r>
        <w:rPr/>
        <w:t>dichos</w:t>
      </w:r>
      <w:r>
        <w:rPr>
          <w:spacing w:val="-4"/>
        </w:rPr>
        <w:t> </w:t>
      </w:r>
      <w:r>
        <w:rPr/>
        <w:t>centros de población.</w:t>
      </w:r>
    </w:p>
    <w:p>
      <w:pPr>
        <w:pStyle w:val="BodyText"/>
      </w:pPr>
    </w:p>
    <w:p>
      <w:pPr>
        <w:pStyle w:val="BodyText"/>
        <w:ind w:left="262" w:right="279"/>
        <w:jc w:val="both"/>
      </w:pPr>
      <w:r>
        <w:rPr/>
        <w:t>El</w:t>
      </w:r>
      <w:r>
        <w:rPr>
          <w:spacing w:val="-1"/>
        </w:rPr>
        <w:t> </w:t>
      </w:r>
      <w:r>
        <w:rPr/>
        <w:t>Sistema</w:t>
      </w:r>
      <w:r>
        <w:rPr>
          <w:spacing w:val="-1"/>
        </w:rPr>
        <w:t> </w:t>
      </w:r>
      <w:r>
        <w:rPr/>
        <w:t>Estatal</w:t>
      </w:r>
      <w:r>
        <w:rPr>
          <w:spacing w:val="-4"/>
        </w:rPr>
        <w:t> </w:t>
      </w:r>
      <w:r>
        <w:rPr/>
        <w:t>de</w:t>
      </w:r>
      <w:r>
        <w:rPr>
          <w:spacing w:val="-3"/>
        </w:rPr>
        <w:t> </w:t>
      </w:r>
      <w:r>
        <w:rPr/>
        <w:t>Planeación</w:t>
      </w:r>
      <w:r>
        <w:rPr>
          <w:spacing w:val="-3"/>
        </w:rPr>
        <w:t> </w:t>
      </w:r>
      <w:r>
        <w:rPr/>
        <w:t>de</w:t>
      </w:r>
      <w:r>
        <w:rPr>
          <w:spacing w:val="-1"/>
        </w:rPr>
        <w:t> </w:t>
      </w:r>
      <w:r>
        <w:rPr/>
        <w:t>los</w:t>
      </w:r>
      <w:r>
        <w:rPr>
          <w:spacing w:val="-2"/>
        </w:rPr>
        <w:t> </w:t>
      </w:r>
      <w:r>
        <w:rPr/>
        <w:t>Asentamientos</w:t>
      </w:r>
      <w:r>
        <w:rPr>
          <w:spacing w:val="-2"/>
        </w:rPr>
        <w:t> </w:t>
      </w:r>
      <w:r>
        <w:rPr/>
        <w:t>Humanos</w:t>
      </w:r>
      <w:r>
        <w:rPr>
          <w:spacing w:val="-2"/>
        </w:rPr>
        <w:t> </w:t>
      </w:r>
      <w:r>
        <w:rPr/>
        <w:t>requiere</w:t>
      </w:r>
      <w:r>
        <w:rPr>
          <w:spacing w:val="-3"/>
        </w:rPr>
        <w:t> </w:t>
      </w:r>
      <w:r>
        <w:rPr/>
        <w:t>de</w:t>
      </w:r>
      <w:r>
        <w:rPr>
          <w:spacing w:val="-1"/>
        </w:rPr>
        <w:t> </w:t>
      </w:r>
      <w:r>
        <w:rPr/>
        <w:t>nuevos</w:t>
      </w:r>
      <w:r>
        <w:rPr>
          <w:spacing w:val="-2"/>
        </w:rPr>
        <w:t> </w:t>
      </w:r>
      <w:r>
        <w:rPr/>
        <w:t>instrumentos de gestión y participación social que, en su conjunto, establezcan las bases de una nueva gobernanza metropolitana: criterios para la delimitación y caracterización de las zonas metropolitanas;</w:t>
      </w:r>
      <w:r>
        <w:rPr>
          <w:spacing w:val="-6"/>
        </w:rPr>
        <w:t> </w:t>
      </w:r>
      <w:r>
        <w:rPr/>
        <w:t>en</w:t>
      </w:r>
      <w:r>
        <w:rPr>
          <w:spacing w:val="-7"/>
        </w:rPr>
        <w:t> </w:t>
      </w:r>
      <w:r>
        <w:rPr/>
        <w:t>su</w:t>
      </w:r>
      <w:r>
        <w:rPr>
          <w:spacing w:val="-7"/>
        </w:rPr>
        <w:t> </w:t>
      </w:r>
      <w:r>
        <w:rPr/>
        <w:t>contenido</w:t>
      </w:r>
      <w:r>
        <w:rPr>
          <w:spacing w:val="-7"/>
        </w:rPr>
        <w:t> </w:t>
      </w:r>
      <w:r>
        <w:rPr/>
        <w:t>la</w:t>
      </w:r>
      <w:r>
        <w:rPr>
          <w:spacing w:val="-7"/>
        </w:rPr>
        <w:t> </w:t>
      </w:r>
      <w:r>
        <w:rPr/>
        <w:t>forma</w:t>
      </w:r>
      <w:r>
        <w:rPr>
          <w:spacing w:val="-6"/>
        </w:rPr>
        <w:t> </w:t>
      </w:r>
      <w:r>
        <w:rPr/>
        <w:t>y</w:t>
      </w:r>
      <w:r>
        <w:rPr>
          <w:spacing w:val="-5"/>
        </w:rPr>
        <w:t> </w:t>
      </w:r>
      <w:r>
        <w:rPr/>
        <w:t>procedimientos</w:t>
      </w:r>
      <w:r>
        <w:rPr>
          <w:spacing w:val="-6"/>
        </w:rPr>
        <w:t> </w:t>
      </w:r>
      <w:r>
        <w:rPr/>
        <w:t>para</w:t>
      </w:r>
      <w:r>
        <w:rPr>
          <w:spacing w:val="-7"/>
        </w:rPr>
        <w:t> </w:t>
      </w:r>
      <w:r>
        <w:rPr/>
        <w:t>que,</w:t>
      </w:r>
      <w:r>
        <w:rPr>
          <w:spacing w:val="-7"/>
        </w:rPr>
        <w:t> </w:t>
      </w:r>
      <w:r>
        <w:rPr/>
        <w:t>de</w:t>
      </w:r>
      <w:r>
        <w:rPr>
          <w:spacing w:val="-7"/>
        </w:rPr>
        <w:t> </w:t>
      </w:r>
      <w:r>
        <w:rPr/>
        <w:t>acuerdo</w:t>
      </w:r>
      <w:r>
        <w:rPr>
          <w:spacing w:val="-7"/>
        </w:rPr>
        <w:t> </w:t>
      </w:r>
      <w:r>
        <w:rPr/>
        <w:t>a</w:t>
      </w:r>
      <w:r>
        <w:rPr>
          <w:spacing w:val="-4"/>
        </w:rPr>
        <w:t> </w:t>
      </w:r>
      <w:r>
        <w:rPr/>
        <w:t>sus</w:t>
      </w:r>
      <w:r>
        <w:rPr>
          <w:spacing w:val="-6"/>
        </w:rPr>
        <w:t> </w:t>
      </w:r>
      <w:r>
        <w:rPr/>
        <w:t>atribuciones, la</w:t>
      </w:r>
      <w:r>
        <w:rPr>
          <w:spacing w:val="-2"/>
        </w:rPr>
        <w:t> </w:t>
      </w:r>
      <w:r>
        <w:rPr/>
        <w:t>Federación,</w:t>
      </w:r>
      <w:r>
        <w:rPr>
          <w:spacing w:val="-2"/>
        </w:rPr>
        <w:t> </w:t>
      </w:r>
      <w:r>
        <w:rPr/>
        <w:t>el</w:t>
      </w:r>
      <w:r>
        <w:rPr>
          <w:spacing w:val="-3"/>
        </w:rPr>
        <w:t> </w:t>
      </w:r>
      <w:r>
        <w:rPr/>
        <w:t>Estado</w:t>
      </w:r>
      <w:r>
        <w:rPr>
          <w:spacing w:val="-2"/>
        </w:rPr>
        <w:t> </w:t>
      </w:r>
      <w:r>
        <w:rPr/>
        <w:t>y</w:t>
      </w:r>
      <w:r>
        <w:rPr>
          <w:spacing w:val="-1"/>
        </w:rPr>
        <w:t> </w:t>
      </w:r>
      <w:r>
        <w:rPr/>
        <w:t>los</w:t>
      </w:r>
      <w:r>
        <w:rPr>
          <w:spacing w:val="-1"/>
        </w:rPr>
        <w:t> </w:t>
      </w:r>
      <w:r>
        <w:rPr/>
        <w:t>municipios</w:t>
      </w:r>
      <w:r>
        <w:rPr>
          <w:spacing w:val="-1"/>
        </w:rPr>
        <w:t> </w:t>
      </w:r>
      <w:r>
        <w:rPr/>
        <w:t>se</w:t>
      </w:r>
      <w:r>
        <w:rPr>
          <w:spacing w:val="-2"/>
        </w:rPr>
        <w:t> </w:t>
      </w:r>
      <w:r>
        <w:rPr/>
        <w:t>coordinen en</w:t>
      </w:r>
      <w:r>
        <w:rPr>
          <w:spacing w:val="-3"/>
        </w:rPr>
        <w:t> </w:t>
      </w:r>
      <w:r>
        <w:rPr/>
        <w:t>la</w:t>
      </w:r>
      <w:r>
        <w:rPr>
          <w:spacing w:val="-2"/>
        </w:rPr>
        <w:t> </w:t>
      </w:r>
      <w:r>
        <w:rPr/>
        <w:t>planeación</w:t>
      </w:r>
      <w:r>
        <w:rPr>
          <w:spacing w:val="-3"/>
        </w:rPr>
        <w:t> </w:t>
      </w:r>
      <w:r>
        <w:rPr/>
        <w:t>y</w:t>
      </w:r>
      <w:r>
        <w:rPr>
          <w:spacing w:val="-1"/>
        </w:rPr>
        <w:t> </w:t>
      </w:r>
      <w:r>
        <w:rPr/>
        <w:t>gestión metropolitana;</w:t>
      </w:r>
      <w:r>
        <w:rPr>
          <w:spacing w:val="-2"/>
        </w:rPr>
        <w:t> </w:t>
      </w:r>
      <w:r>
        <w:rPr/>
        <w:t>de igual</w:t>
      </w:r>
      <w:r>
        <w:rPr>
          <w:spacing w:val="-3"/>
        </w:rPr>
        <w:t> </w:t>
      </w:r>
      <w:r>
        <w:rPr/>
        <w:t>manera</w:t>
      </w:r>
      <w:r>
        <w:rPr>
          <w:spacing w:val="-2"/>
        </w:rPr>
        <w:t> </w:t>
      </w:r>
      <w:r>
        <w:rPr/>
        <w:t>en</w:t>
      </w:r>
      <w:r>
        <w:rPr>
          <w:spacing w:val="-2"/>
        </w:rPr>
        <w:t> </w:t>
      </w:r>
      <w:r>
        <w:rPr/>
        <w:t>la</w:t>
      </w:r>
      <w:r>
        <w:rPr>
          <w:spacing w:val="-2"/>
        </w:rPr>
        <w:t> </w:t>
      </w:r>
      <w:r>
        <w:rPr/>
        <w:t>definición</w:t>
      </w:r>
      <w:r>
        <w:rPr>
          <w:spacing w:val="-4"/>
        </w:rPr>
        <w:t> </w:t>
      </w:r>
      <w:r>
        <w:rPr/>
        <w:t>de</w:t>
      </w:r>
      <w:r>
        <w:rPr>
          <w:spacing w:val="-2"/>
        </w:rPr>
        <w:t> </w:t>
      </w:r>
      <w:r>
        <w:rPr/>
        <w:t>las</w:t>
      </w:r>
      <w:r>
        <w:rPr>
          <w:spacing w:val="-1"/>
        </w:rPr>
        <w:t> </w:t>
      </w:r>
      <w:r>
        <w:rPr/>
        <w:t>materias</w:t>
      </w:r>
      <w:r>
        <w:rPr>
          <w:spacing w:val="-1"/>
        </w:rPr>
        <w:t> </w:t>
      </w:r>
      <w:r>
        <w:rPr/>
        <w:t>de</w:t>
      </w:r>
      <w:r>
        <w:rPr>
          <w:spacing w:val="-3"/>
        </w:rPr>
        <w:t> </w:t>
      </w:r>
      <w:r>
        <w:rPr/>
        <w:t>interés</w:t>
      </w:r>
      <w:r>
        <w:rPr>
          <w:spacing w:val="-3"/>
        </w:rPr>
        <w:t> </w:t>
      </w:r>
      <w:r>
        <w:rPr/>
        <w:t>metropolitano,</w:t>
      </w:r>
      <w:r>
        <w:rPr>
          <w:spacing w:val="-2"/>
        </w:rPr>
        <w:t> </w:t>
      </w:r>
      <w:r>
        <w:rPr/>
        <w:t>y</w:t>
      </w:r>
      <w:r>
        <w:rPr>
          <w:spacing w:val="-3"/>
        </w:rPr>
        <w:t> </w:t>
      </w:r>
      <w:r>
        <w:rPr/>
        <w:t>de</w:t>
      </w:r>
      <w:r>
        <w:rPr>
          <w:spacing w:val="-2"/>
        </w:rPr>
        <w:t> </w:t>
      </w:r>
      <w:r>
        <w:rPr/>
        <w:t>los</w:t>
      </w:r>
      <w:r>
        <w:rPr>
          <w:spacing w:val="-1"/>
        </w:rPr>
        <w:t> </w:t>
      </w:r>
      <w:r>
        <w:rPr/>
        <w:t>mecanismos</w:t>
      </w:r>
      <w:r>
        <w:rPr>
          <w:spacing w:val="-3"/>
        </w:rPr>
        <w:t> </w:t>
      </w:r>
      <w:r>
        <w:rPr/>
        <w:t>para</w:t>
      </w:r>
      <w:r>
        <w:rPr>
          <w:spacing w:val="-2"/>
        </w:rPr>
        <w:t> </w:t>
      </w:r>
      <w:r>
        <w:rPr/>
        <w:t>la participación social en la formulación, seguimiento y evaluación de programas.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0"/>
        <w:jc w:val="both"/>
      </w:pPr>
      <w:r>
        <w:rPr/>
        <w:t>Para fortalecer este Sistema Estatal de Planeación de los Asentamientos Humanos, se detalla un nuevo modelo de urbanización que tiene como propósito definir las prioridades de desarrollo del Estado, que promuevan el desarrollo urbano y metropolitano; de igual manera los alcances, instrumentos y contenidos de los programas de ordenamiento territorial, desarrollo urbano y de zonas metropolitanas. Se establece la jerarquía, articulación y coherencia obligatoria, entre los referidos</w:t>
      </w:r>
      <w:r>
        <w:rPr>
          <w:spacing w:val="-9"/>
        </w:rPr>
        <w:t> </w:t>
      </w:r>
      <w:r>
        <w:rPr/>
        <w:t>programas,</w:t>
      </w:r>
      <w:r>
        <w:rPr>
          <w:spacing w:val="-7"/>
        </w:rPr>
        <w:t> </w:t>
      </w:r>
      <w:r>
        <w:rPr/>
        <w:t>así</w:t>
      </w:r>
      <w:r>
        <w:rPr>
          <w:spacing w:val="-10"/>
        </w:rPr>
        <w:t> </w:t>
      </w:r>
      <w:r>
        <w:rPr/>
        <w:t>como</w:t>
      </w:r>
      <w:r>
        <w:rPr>
          <w:spacing w:val="-10"/>
        </w:rPr>
        <w:t> </w:t>
      </w:r>
      <w:r>
        <w:rPr/>
        <w:t>mediante</w:t>
      </w:r>
      <w:r>
        <w:rPr>
          <w:spacing w:val="-4"/>
        </w:rPr>
        <w:t> </w:t>
      </w:r>
      <w:r>
        <w:rPr/>
        <w:t>la</w:t>
      </w:r>
      <w:r>
        <w:rPr>
          <w:spacing w:val="-10"/>
        </w:rPr>
        <w:t> </w:t>
      </w:r>
      <w:r>
        <w:rPr/>
        <w:t>formulación</w:t>
      </w:r>
      <w:r>
        <w:rPr>
          <w:spacing w:val="-8"/>
        </w:rPr>
        <w:t> </w:t>
      </w:r>
      <w:r>
        <w:rPr/>
        <w:t>de</w:t>
      </w:r>
      <w:r>
        <w:rPr>
          <w:spacing w:val="-8"/>
        </w:rPr>
        <w:t> </w:t>
      </w:r>
      <w:r>
        <w:rPr/>
        <w:t>dictámenes</w:t>
      </w:r>
      <w:r>
        <w:rPr>
          <w:spacing w:val="-9"/>
        </w:rPr>
        <w:t> </w:t>
      </w:r>
      <w:r>
        <w:rPr/>
        <w:t>de</w:t>
      </w:r>
      <w:r>
        <w:rPr>
          <w:spacing w:val="-8"/>
        </w:rPr>
        <w:t> </w:t>
      </w:r>
      <w:r>
        <w:rPr/>
        <w:t>congruencia</w:t>
      </w:r>
      <w:r>
        <w:rPr>
          <w:spacing w:val="-10"/>
        </w:rPr>
        <w:t> </w:t>
      </w:r>
      <w:r>
        <w:rPr/>
        <w:t>a</w:t>
      </w:r>
      <w:r>
        <w:rPr>
          <w:spacing w:val="-8"/>
        </w:rPr>
        <w:t> </w:t>
      </w:r>
      <w:r>
        <w:rPr/>
        <w:t>cargo</w:t>
      </w:r>
      <w:r>
        <w:rPr>
          <w:spacing w:val="-7"/>
        </w:rPr>
        <w:t> </w:t>
      </w:r>
      <w:r>
        <w:rPr/>
        <w:t>de</w:t>
      </w:r>
      <w:r>
        <w:rPr>
          <w:spacing w:val="-8"/>
        </w:rPr>
        <w:t> </w:t>
      </w:r>
      <w:r>
        <w:rPr/>
        <w:t>la Secretaría de Desarrollo Urbano, Vivienda y Obras Públicas del Estado.</w:t>
      </w:r>
    </w:p>
    <w:p>
      <w:pPr>
        <w:pStyle w:val="BodyText"/>
        <w:spacing w:before="1"/>
      </w:pPr>
    </w:p>
    <w:p>
      <w:pPr>
        <w:pStyle w:val="BodyText"/>
        <w:ind w:left="262" w:right="279"/>
        <w:jc w:val="both"/>
      </w:pPr>
      <w:r>
        <w:rPr/>
        <w:t>Derivado de la Ley General de Asentamientos Humanos, Ordenamiento Territorial y Desarrollo Urbano, se incluyen principios que orientarán el ordenamiento territorial y el desarrollo urbano; definición y alcances de los Programas de Conurbación y Zona Metropolitana, su administración, y la coordinación de las diversas autoridades para la elaboración y ejecución de las estrategias; medidas de seguridad necesarias para evitar y mitigar riesgos urbanos y naturales, así como las acciones para la resiliencia urbana, y políticas para la creación, recuperación, mantenimiento y defensa del espacio público; así como para asegurar la libre movilidad de las personas.</w:t>
      </w:r>
    </w:p>
    <w:p>
      <w:pPr>
        <w:pStyle w:val="BodyText"/>
        <w:spacing w:before="1"/>
      </w:pPr>
    </w:p>
    <w:p>
      <w:pPr>
        <w:pStyle w:val="BodyText"/>
        <w:ind w:left="262" w:right="280"/>
        <w:jc w:val="both"/>
      </w:pPr>
      <w:r>
        <w:rPr/>
        <w:t>De</w:t>
      </w:r>
      <w:r>
        <w:rPr>
          <w:spacing w:val="-6"/>
        </w:rPr>
        <w:t> </w:t>
      </w:r>
      <w:r>
        <w:rPr/>
        <w:t>igual</w:t>
      </w:r>
      <w:r>
        <w:rPr>
          <w:spacing w:val="-7"/>
        </w:rPr>
        <w:t> </w:t>
      </w:r>
      <w:r>
        <w:rPr/>
        <w:t>manera</w:t>
      </w:r>
      <w:r>
        <w:rPr>
          <w:spacing w:val="-7"/>
        </w:rPr>
        <w:t> </w:t>
      </w:r>
      <w:r>
        <w:rPr/>
        <w:t>como</w:t>
      </w:r>
      <w:r>
        <w:rPr>
          <w:spacing w:val="-7"/>
        </w:rPr>
        <w:t> </w:t>
      </w:r>
      <w:r>
        <w:rPr/>
        <w:t>aportaciones</w:t>
      </w:r>
      <w:r>
        <w:rPr>
          <w:spacing w:val="-3"/>
        </w:rPr>
        <w:t> </w:t>
      </w:r>
      <w:r>
        <w:rPr/>
        <w:t>locales:</w:t>
      </w:r>
      <w:r>
        <w:rPr>
          <w:spacing w:val="-4"/>
        </w:rPr>
        <w:t> </w:t>
      </w:r>
      <w:r>
        <w:rPr/>
        <w:t>la</w:t>
      </w:r>
      <w:r>
        <w:rPr>
          <w:spacing w:val="-7"/>
        </w:rPr>
        <w:t> </w:t>
      </w:r>
      <w:r>
        <w:rPr/>
        <w:t>formulación</w:t>
      </w:r>
      <w:r>
        <w:rPr>
          <w:spacing w:val="-5"/>
        </w:rPr>
        <w:t> </w:t>
      </w:r>
      <w:r>
        <w:rPr/>
        <w:t>de</w:t>
      </w:r>
      <w:r>
        <w:rPr>
          <w:spacing w:val="-5"/>
        </w:rPr>
        <w:t> </w:t>
      </w:r>
      <w:r>
        <w:rPr/>
        <w:t>esquemas</w:t>
      </w:r>
      <w:r>
        <w:rPr>
          <w:spacing w:val="-5"/>
        </w:rPr>
        <w:t> </w:t>
      </w:r>
      <w:r>
        <w:rPr/>
        <w:t>de</w:t>
      </w:r>
      <w:r>
        <w:rPr>
          <w:spacing w:val="-7"/>
        </w:rPr>
        <w:t> </w:t>
      </w:r>
      <w:r>
        <w:rPr/>
        <w:t>desarrollo</w:t>
      </w:r>
      <w:r>
        <w:rPr>
          <w:spacing w:val="-7"/>
        </w:rPr>
        <w:t> </w:t>
      </w:r>
      <w:r>
        <w:rPr/>
        <w:t>urbano</w:t>
      </w:r>
      <w:r>
        <w:rPr>
          <w:spacing w:val="-4"/>
        </w:rPr>
        <w:t> </w:t>
      </w:r>
      <w:r>
        <w:rPr/>
        <w:t>para los municipios con poca población y baja dinámica urbana; la definición de las diferentes tipologías de zonificaciones del territorio y su aplicación en los Programas de Desarrollo Urbano según su alcance; y el fomento a la participación social, a través de los Consejos Municipales de Desarrollo Urbano y Vivienda y, en su caso, de los Consejos Consultivos de Desarrollo Metropolitano y Zona Conurbada, y Consejos de Centros Históricos, como órganos auxiliares de los ayuntamientos.</w:t>
      </w:r>
    </w:p>
    <w:p>
      <w:pPr>
        <w:pStyle w:val="BodyText"/>
        <w:spacing w:before="229"/>
        <w:ind w:left="262" w:right="280"/>
        <w:jc w:val="both"/>
      </w:pPr>
      <w:r>
        <w:rPr/>
        <w:t>Esta Ley, respetuosa de la autonomía municipal, establece disposiciones de carácter general, y corresponderá a los ayuntamientos proponer y expedir con base en ella, sus propios reglamentos; no obstante, establece bases generales en materia de características de los fraccionamientos, construcción,</w:t>
      </w:r>
      <w:r>
        <w:rPr>
          <w:spacing w:val="40"/>
        </w:rPr>
        <w:t> </w:t>
      </w:r>
      <w:r>
        <w:rPr/>
        <w:t>densidades, vialidades y demás normas que deberán aplicar los municipios que no cuenten con sus respectivos programas de desarrollo urbano, programas de centro de población o programas parciales, a fin de que puedan operar en estas materias.</w:t>
      </w:r>
    </w:p>
    <w:p>
      <w:pPr>
        <w:pStyle w:val="BodyText"/>
      </w:pPr>
    </w:p>
    <w:p>
      <w:pPr>
        <w:pStyle w:val="BodyText"/>
        <w:spacing w:before="1"/>
        <w:ind w:left="262" w:right="279"/>
        <w:jc w:val="both"/>
      </w:pPr>
      <w:r>
        <w:rPr/>
        <w:t>Este</w:t>
      </w:r>
      <w:r>
        <w:rPr>
          <w:spacing w:val="-9"/>
        </w:rPr>
        <w:t> </w:t>
      </w:r>
      <w:r>
        <w:rPr/>
        <w:t>nuevo</w:t>
      </w:r>
      <w:r>
        <w:rPr>
          <w:spacing w:val="-9"/>
        </w:rPr>
        <w:t> </w:t>
      </w:r>
      <w:r>
        <w:rPr/>
        <w:t>Ordenamiento</w:t>
      </w:r>
      <w:r>
        <w:rPr>
          <w:spacing w:val="-7"/>
        </w:rPr>
        <w:t> </w:t>
      </w:r>
      <w:r>
        <w:rPr/>
        <w:t>estipula</w:t>
      </w:r>
      <w:r>
        <w:rPr>
          <w:spacing w:val="-7"/>
        </w:rPr>
        <w:t> </w:t>
      </w:r>
      <w:r>
        <w:rPr/>
        <w:t>las</w:t>
      </w:r>
      <w:r>
        <w:rPr>
          <w:spacing w:val="-8"/>
        </w:rPr>
        <w:t> </w:t>
      </w:r>
      <w:r>
        <w:rPr/>
        <w:t>bases</w:t>
      </w:r>
      <w:r>
        <w:rPr>
          <w:spacing w:val="-8"/>
        </w:rPr>
        <w:t> </w:t>
      </w:r>
      <w:r>
        <w:rPr/>
        <w:t>para</w:t>
      </w:r>
      <w:r>
        <w:rPr>
          <w:spacing w:val="-8"/>
        </w:rPr>
        <w:t> </w:t>
      </w:r>
      <w:r>
        <w:rPr/>
        <w:t>el</w:t>
      </w:r>
      <w:r>
        <w:rPr>
          <w:spacing w:val="-8"/>
        </w:rPr>
        <w:t> </w:t>
      </w:r>
      <w:r>
        <w:rPr/>
        <w:t>otorgamiento</w:t>
      </w:r>
      <w:r>
        <w:rPr>
          <w:spacing w:val="-9"/>
        </w:rPr>
        <w:t> </w:t>
      </w:r>
      <w:r>
        <w:rPr/>
        <w:t>de</w:t>
      </w:r>
      <w:r>
        <w:rPr>
          <w:spacing w:val="-9"/>
        </w:rPr>
        <w:t> </w:t>
      </w:r>
      <w:r>
        <w:rPr/>
        <w:t>licencias</w:t>
      </w:r>
      <w:r>
        <w:rPr>
          <w:spacing w:val="-8"/>
        </w:rPr>
        <w:t> </w:t>
      </w:r>
      <w:r>
        <w:rPr/>
        <w:t>de</w:t>
      </w:r>
      <w:r>
        <w:rPr>
          <w:spacing w:val="-7"/>
        </w:rPr>
        <w:t> </w:t>
      </w:r>
      <w:r>
        <w:rPr/>
        <w:t>uso</w:t>
      </w:r>
      <w:r>
        <w:rPr>
          <w:spacing w:val="-9"/>
        </w:rPr>
        <w:t> </w:t>
      </w:r>
      <w:r>
        <w:rPr/>
        <w:t>del</w:t>
      </w:r>
      <w:r>
        <w:rPr>
          <w:spacing w:val="-10"/>
        </w:rPr>
        <w:t> </w:t>
      </w:r>
      <w:r>
        <w:rPr/>
        <w:t>suelo</w:t>
      </w:r>
      <w:r>
        <w:rPr>
          <w:spacing w:val="-9"/>
        </w:rPr>
        <w:t> </w:t>
      </w:r>
      <w:r>
        <w:rPr/>
        <w:t>y</w:t>
      </w:r>
      <w:r>
        <w:rPr>
          <w:spacing w:val="-8"/>
        </w:rPr>
        <w:t> </w:t>
      </w:r>
      <w:r>
        <w:rPr/>
        <w:t>de construcción; determina la superficie de lotes para el desarrollo de viviendas; protege y preserva el medio</w:t>
      </w:r>
      <w:r>
        <w:rPr>
          <w:spacing w:val="-8"/>
        </w:rPr>
        <w:t> </w:t>
      </w:r>
      <w:r>
        <w:rPr/>
        <w:t>ambiente;</w:t>
      </w:r>
      <w:r>
        <w:rPr>
          <w:spacing w:val="-5"/>
        </w:rPr>
        <w:t> </w:t>
      </w:r>
      <w:r>
        <w:rPr/>
        <w:t>promueve</w:t>
      </w:r>
      <w:r>
        <w:rPr>
          <w:spacing w:val="-6"/>
        </w:rPr>
        <w:t> </w:t>
      </w:r>
      <w:r>
        <w:rPr/>
        <w:t>la</w:t>
      </w:r>
      <w:r>
        <w:rPr>
          <w:spacing w:val="-8"/>
        </w:rPr>
        <w:t> </w:t>
      </w:r>
      <w:r>
        <w:rPr/>
        <w:t>donación</w:t>
      </w:r>
      <w:r>
        <w:rPr>
          <w:spacing w:val="-6"/>
        </w:rPr>
        <w:t> </w:t>
      </w:r>
      <w:r>
        <w:rPr/>
        <w:t>de</w:t>
      </w:r>
      <w:r>
        <w:rPr>
          <w:spacing w:val="-6"/>
        </w:rPr>
        <w:t> </w:t>
      </w:r>
      <w:r>
        <w:rPr/>
        <w:t>manera</w:t>
      </w:r>
      <w:r>
        <w:rPr>
          <w:spacing w:val="-7"/>
        </w:rPr>
        <w:t> </w:t>
      </w:r>
      <w:r>
        <w:rPr/>
        <w:t>proporcional</w:t>
      </w:r>
      <w:r>
        <w:rPr>
          <w:spacing w:val="-6"/>
        </w:rPr>
        <w:t> </w:t>
      </w:r>
      <w:r>
        <w:rPr/>
        <w:t>al</w:t>
      </w:r>
      <w:r>
        <w:rPr>
          <w:spacing w:val="-9"/>
        </w:rPr>
        <w:t> </w:t>
      </w:r>
      <w:r>
        <w:rPr/>
        <w:t>tamaño</w:t>
      </w:r>
      <w:r>
        <w:rPr>
          <w:spacing w:val="-5"/>
        </w:rPr>
        <w:t> </w:t>
      </w:r>
      <w:r>
        <w:rPr/>
        <w:t>del</w:t>
      </w:r>
      <w:r>
        <w:rPr>
          <w:spacing w:val="-8"/>
        </w:rPr>
        <w:t> </w:t>
      </w:r>
      <w:r>
        <w:rPr/>
        <w:t>fraccionamiento</w:t>
      </w:r>
      <w:r>
        <w:rPr>
          <w:spacing w:val="-6"/>
        </w:rPr>
        <w:t> </w:t>
      </w:r>
      <w:r>
        <w:rPr/>
        <w:t>para destinarla para áreas verdes y al equipamiento necesario de la zona; protege a los ciudadanos estableciendo garantías por parte de los fraccionadores, al tiempo que otorga certidumbre a los fraccionadores</w:t>
      </w:r>
      <w:r>
        <w:rPr>
          <w:spacing w:val="-9"/>
        </w:rPr>
        <w:t> </w:t>
      </w:r>
      <w:r>
        <w:rPr/>
        <w:t>y</w:t>
      </w:r>
      <w:r>
        <w:rPr>
          <w:spacing w:val="-9"/>
        </w:rPr>
        <w:t> </w:t>
      </w:r>
      <w:r>
        <w:rPr/>
        <w:t>ciudadanos</w:t>
      </w:r>
      <w:r>
        <w:rPr>
          <w:spacing w:val="-9"/>
        </w:rPr>
        <w:t> </w:t>
      </w:r>
      <w:r>
        <w:rPr/>
        <w:t>en</w:t>
      </w:r>
      <w:r>
        <w:rPr>
          <w:spacing w:val="-10"/>
        </w:rPr>
        <w:t> </w:t>
      </w:r>
      <w:r>
        <w:rPr/>
        <w:t>general,</w:t>
      </w:r>
      <w:r>
        <w:rPr>
          <w:spacing w:val="-8"/>
        </w:rPr>
        <w:t> </w:t>
      </w:r>
      <w:r>
        <w:rPr/>
        <w:t>al</w:t>
      </w:r>
      <w:r>
        <w:rPr>
          <w:spacing w:val="-9"/>
        </w:rPr>
        <w:t> </w:t>
      </w:r>
      <w:r>
        <w:rPr/>
        <w:t>establecer</w:t>
      </w:r>
      <w:r>
        <w:rPr>
          <w:spacing w:val="-9"/>
        </w:rPr>
        <w:t> </w:t>
      </w:r>
      <w:r>
        <w:rPr/>
        <w:t>requisitos</w:t>
      </w:r>
      <w:r>
        <w:rPr>
          <w:spacing w:val="-9"/>
        </w:rPr>
        <w:t> </w:t>
      </w:r>
      <w:r>
        <w:rPr/>
        <w:t>y</w:t>
      </w:r>
      <w:r>
        <w:rPr>
          <w:spacing w:val="-6"/>
        </w:rPr>
        <w:t> </w:t>
      </w:r>
      <w:r>
        <w:rPr/>
        <w:t>procedimientos</w:t>
      </w:r>
      <w:r>
        <w:rPr>
          <w:spacing w:val="-7"/>
        </w:rPr>
        <w:t> </w:t>
      </w:r>
      <w:r>
        <w:rPr/>
        <w:t>claros</w:t>
      </w:r>
      <w:r>
        <w:rPr>
          <w:spacing w:val="-8"/>
        </w:rPr>
        <w:t> </w:t>
      </w:r>
      <w:r>
        <w:rPr/>
        <w:t>y</w:t>
      </w:r>
      <w:r>
        <w:rPr>
          <w:spacing w:val="-9"/>
        </w:rPr>
        <w:t> </w:t>
      </w:r>
      <w:r>
        <w:rPr/>
        <w:t>precisos.</w:t>
      </w:r>
    </w:p>
    <w:p>
      <w:pPr>
        <w:pStyle w:val="BodyText"/>
      </w:pPr>
    </w:p>
    <w:p>
      <w:pPr>
        <w:pStyle w:val="BodyText"/>
        <w:ind w:left="262" w:right="279"/>
        <w:jc w:val="both"/>
      </w:pPr>
      <w:r>
        <w:rPr/>
        <w:t>Esta</w:t>
      </w:r>
      <w:r>
        <w:rPr>
          <w:spacing w:val="-9"/>
        </w:rPr>
        <w:t> </w:t>
      </w:r>
      <w:r>
        <w:rPr/>
        <w:t>nueva</w:t>
      </w:r>
      <w:r>
        <w:rPr>
          <w:spacing w:val="-7"/>
        </w:rPr>
        <w:t> </w:t>
      </w:r>
      <w:r>
        <w:rPr/>
        <w:t>Norma</w:t>
      </w:r>
      <w:r>
        <w:rPr>
          <w:spacing w:val="-9"/>
        </w:rPr>
        <w:t> </w:t>
      </w:r>
      <w:r>
        <w:rPr/>
        <w:t>se</w:t>
      </w:r>
      <w:r>
        <w:rPr>
          <w:spacing w:val="-7"/>
        </w:rPr>
        <w:t> </w:t>
      </w:r>
      <w:r>
        <w:rPr/>
        <w:t>estructura</w:t>
      </w:r>
      <w:r>
        <w:rPr>
          <w:spacing w:val="-9"/>
        </w:rPr>
        <w:t> </w:t>
      </w:r>
      <w:r>
        <w:rPr/>
        <w:t>bajo</w:t>
      </w:r>
      <w:r>
        <w:rPr>
          <w:spacing w:val="-7"/>
        </w:rPr>
        <w:t> </w:t>
      </w:r>
      <w:r>
        <w:rPr/>
        <w:t>el</w:t>
      </w:r>
      <w:r>
        <w:rPr>
          <w:spacing w:val="-8"/>
        </w:rPr>
        <w:t> </w:t>
      </w:r>
      <w:r>
        <w:rPr/>
        <w:t>siguiente</w:t>
      </w:r>
      <w:r>
        <w:rPr>
          <w:spacing w:val="-7"/>
        </w:rPr>
        <w:t> </w:t>
      </w:r>
      <w:r>
        <w:rPr/>
        <w:t>esquema</w:t>
      </w:r>
      <w:r>
        <w:rPr>
          <w:spacing w:val="-7"/>
        </w:rPr>
        <w:t> </w:t>
      </w:r>
      <w:r>
        <w:rPr/>
        <w:t>general:</w:t>
      </w:r>
      <w:r>
        <w:rPr>
          <w:spacing w:val="-9"/>
        </w:rPr>
        <w:t> </w:t>
      </w:r>
      <w:r>
        <w:rPr/>
        <w:t>disposiciones</w:t>
      </w:r>
      <w:r>
        <w:rPr>
          <w:spacing w:val="-8"/>
        </w:rPr>
        <w:t> </w:t>
      </w:r>
      <w:r>
        <w:rPr/>
        <w:t>generales,</w:t>
      </w:r>
      <w:r>
        <w:rPr>
          <w:spacing w:val="-9"/>
        </w:rPr>
        <w:t> </w:t>
      </w:r>
      <w:r>
        <w:rPr/>
        <w:t>objeto y principios, causas de utilidad pública; concurrencia y coordinación de autoridades; órganos deliberativos y auxiliares; Sistema Estatal de Planeación para el Ordenamiento Territorial y el Desarrollo Urbano y Metropolitano, que incluye la gobernanza metropolitana; regulaciones de la propiedad;</w:t>
      </w:r>
      <w:r>
        <w:rPr>
          <w:spacing w:val="-5"/>
        </w:rPr>
        <w:t> </w:t>
      </w:r>
      <w:r>
        <w:rPr/>
        <w:t>resiliencia</w:t>
      </w:r>
      <w:r>
        <w:rPr>
          <w:spacing w:val="-5"/>
        </w:rPr>
        <w:t> </w:t>
      </w:r>
      <w:r>
        <w:rPr/>
        <w:t>urbana</w:t>
      </w:r>
      <w:r>
        <w:rPr>
          <w:spacing w:val="-5"/>
        </w:rPr>
        <w:t> </w:t>
      </w:r>
      <w:r>
        <w:rPr/>
        <w:t>y</w:t>
      </w:r>
      <w:r>
        <w:rPr>
          <w:spacing w:val="-4"/>
        </w:rPr>
        <w:t> </w:t>
      </w:r>
      <w:r>
        <w:rPr/>
        <w:t>prevención</w:t>
      </w:r>
      <w:r>
        <w:rPr>
          <w:spacing w:val="-5"/>
        </w:rPr>
        <w:t> </w:t>
      </w:r>
      <w:r>
        <w:rPr/>
        <w:t>de</w:t>
      </w:r>
      <w:r>
        <w:rPr>
          <w:spacing w:val="-5"/>
        </w:rPr>
        <w:t> </w:t>
      </w:r>
      <w:r>
        <w:rPr/>
        <w:t>riesgos;</w:t>
      </w:r>
      <w:r>
        <w:rPr>
          <w:spacing w:val="-3"/>
        </w:rPr>
        <w:t> </w:t>
      </w:r>
      <w:r>
        <w:rPr/>
        <w:t>movilidad</w:t>
      </w:r>
      <w:r>
        <w:rPr>
          <w:spacing w:val="-3"/>
        </w:rPr>
        <w:t> </w:t>
      </w:r>
      <w:r>
        <w:rPr/>
        <w:t>urbana;</w:t>
      </w:r>
      <w:r>
        <w:rPr>
          <w:spacing w:val="-3"/>
        </w:rPr>
        <w:t> </w:t>
      </w:r>
      <w:r>
        <w:rPr/>
        <w:t>instrumentos</w:t>
      </w:r>
      <w:r>
        <w:rPr>
          <w:spacing w:val="-4"/>
        </w:rPr>
        <w:t> </w:t>
      </w:r>
      <w:r>
        <w:rPr/>
        <w:t>normativos</w:t>
      </w:r>
      <w:r>
        <w:rPr>
          <w:spacing w:val="-4"/>
        </w:rPr>
        <w:t> </w:t>
      </w:r>
      <w:r>
        <w:rPr/>
        <w:t>y de control; gestión</w:t>
      </w:r>
      <w:r>
        <w:rPr>
          <w:spacing w:val="40"/>
        </w:rPr>
        <w:t> </w:t>
      </w:r>
      <w:r>
        <w:rPr/>
        <w:t>e instrumentos de suelo para el desarrollo urbano; instrumentos para el financiamiento del desarrollo urbano; instrumentos de participación democrática y transparencia; financiamiento</w:t>
      </w:r>
      <w:r>
        <w:rPr>
          <w:spacing w:val="-6"/>
        </w:rPr>
        <w:t> </w:t>
      </w:r>
      <w:r>
        <w:rPr/>
        <w:t>al</w:t>
      </w:r>
      <w:r>
        <w:rPr>
          <w:spacing w:val="-8"/>
        </w:rPr>
        <w:t> </w:t>
      </w:r>
      <w:r>
        <w:rPr/>
        <w:t>desarrollo</w:t>
      </w:r>
      <w:r>
        <w:rPr>
          <w:spacing w:val="-6"/>
        </w:rPr>
        <w:t> </w:t>
      </w:r>
      <w:r>
        <w:rPr/>
        <w:t>urbano;</w:t>
      </w:r>
      <w:r>
        <w:rPr>
          <w:spacing w:val="-6"/>
        </w:rPr>
        <w:t> </w:t>
      </w:r>
      <w:r>
        <w:rPr/>
        <w:t>fomento</w:t>
      </w:r>
      <w:r>
        <w:rPr>
          <w:spacing w:val="-8"/>
        </w:rPr>
        <w:t> </w:t>
      </w:r>
      <w:r>
        <w:rPr/>
        <w:t>al</w:t>
      </w:r>
      <w:r>
        <w:rPr>
          <w:spacing w:val="-6"/>
        </w:rPr>
        <w:t> </w:t>
      </w:r>
      <w:r>
        <w:rPr/>
        <w:t>desarrollo</w:t>
      </w:r>
      <w:r>
        <w:rPr>
          <w:spacing w:val="-6"/>
        </w:rPr>
        <w:t> </w:t>
      </w:r>
      <w:r>
        <w:rPr/>
        <w:t>urbano;</w:t>
      </w:r>
      <w:r>
        <w:rPr>
          <w:spacing w:val="-6"/>
        </w:rPr>
        <w:t> </w:t>
      </w:r>
      <w:r>
        <w:rPr/>
        <w:t>denuncia</w:t>
      </w:r>
      <w:r>
        <w:rPr>
          <w:spacing w:val="-6"/>
        </w:rPr>
        <w:t> </w:t>
      </w:r>
      <w:r>
        <w:rPr/>
        <w:t>ciudadana;</w:t>
      </w:r>
      <w:r>
        <w:rPr>
          <w:spacing w:val="-6"/>
        </w:rPr>
        <w:t> </w:t>
      </w:r>
      <w:r>
        <w:rPr/>
        <w:t>sanciones y nulidades;</w:t>
      </w:r>
      <w:r>
        <w:rPr>
          <w:spacing w:val="-12"/>
        </w:rPr>
        <w:t> </w:t>
      </w:r>
      <w:r>
        <w:rPr/>
        <w:t>notificaciones,</w:t>
      </w:r>
      <w:r>
        <w:rPr>
          <w:spacing w:val="-10"/>
        </w:rPr>
        <w:t> </w:t>
      </w:r>
      <w:r>
        <w:rPr/>
        <w:t>inspecciones</w:t>
      </w:r>
      <w:r>
        <w:rPr>
          <w:spacing w:val="-11"/>
        </w:rPr>
        <w:t> </w:t>
      </w:r>
      <w:r>
        <w:rPr/>
        <w:t>y</w:t>
      </w:r>
      <w:r>
        <w:rPr>
          <w:spacing w:val="-11"/>
        </w:rPr>
        <w:t> </w:t>
      </w:r>
      <w:r>
        <w:rPr/>
        <w:t>verificaciones,</w:t>
      </w:r>
      <w:r>
        <w:rPr>
          <w:spacing w:val="-12"/>
        </w:rPr>
        <w:t> </w:t>
      </w:r>
      <w:r>
        <w:rPr/>
        <w:t>y</w:t>
      </w:r>
      <w:r>
        <w:rPr>
          <w:spacing w:val="-11"/>
        </w:rPr>
        <w:t> </w:t>
      </w:r>
      <w:r>
        <w:rPr/>
        <w:t>de</w:t>
      </w:r>
      <w:r>
        <w:rPr>
          <w:spacing w:val="-13"/>
        </w:rPr>
        <w:t> </w:t>
      </w:r>
      <w:r>
        <w:rPr/>
        <w:t>los</w:t>
      </w:r>
      <w:r>
        <w:rPr>
          <w:spacing w:val="-11"/>
        </w:rPr>
        <w:t> </w:t>
      </w:r>
      <w:r>
        <w:rPr/>
        <w:t>medios</w:t>
      </w:r>
      <w:r>
        <w:rPr>
          <w:spacing w:val="-11"/>
        </w:rPr>
        <w:t> </w:t>
      </w:r>
      <w:r>
        <w:rPr/>
        <w:t>de</w:t>
      </w:r>
      <w:r>
        <w:rPr>
          <w:spacing w:val="-12"/>
        </w:rPr>
        <w:t> </w:t>
      </w:r>
      <w:r>
        <w:rPr/>
        <w:t>impugnación.</w:t>
      </w:r>
      <w:r>
        <w:rPr>
          <w:spacing w:val="-10"/>
        </w:rPr>
        <w:t> </w:t>
      </w:r>
      <w:r>
        <w:rPr/>
        <w:t>En</w:t>
      </w:r>
      <w:r>
        <w:rPr>
          <w:spacing w:val="-10"/>
        </w:rPr>
        <w:t> </w:t>
      </w:r>
      <w:r>
        <w:rPr/>
        <w:t>la</w:t>
      </w:r>
      <w:r>
        <w:rPr>
          <w:spacing w:val="-10"/>
        </w:rPr>
        <w:t> </w:t>
      </w:r>
      <w:r>
        <w:rPr/>
        <w:t>parte operativa se regulan los actos relacionados con el fraccionamiento de inmuebles, así como de los desarrollos en régimen de propiedad en condominio, e integra glosario de términos, precisando su ámbito de aplicación; se determina la concurrencia y las autoridades competentes, establece sus atribuciones,</w:t>
      </w:r>
      <w:r>
        <w:rPr>
          <w:spacing w:val="-11"/>
        </w:rPr>
        <w:t> </w:t>
      </w:r>
      <w:r>
        <w:rPr/>
        <w:t>especificando</w:t>
      </w:r>
      <w:r>
        <w:rPr>
          <w:spacing w:val="-9"/>
        </w:rPr>
        <w:t> </w:t>
      </w:r>
      <w:r>
        <w:rPr/>
        <w:t>las</w:t>
      </w:r>
      <w:r>
        <w:rPr>
          <w:spacing w:val="-10"/>
        </w:rPr>
        <w:t> </w:t>
      </w:r>
      <w:r>
        <w:rPr/>
        <w:t>funciones</w:t>
      </w:r>
      <w:r>
        <w:rPr>
          <w:spacing w:val="-10"/>
        </w:rPr>
        <w:t> </w:t>
      </w:r>
      <w:r>
        <w:rPr/>
        <w:t>y</w:t>
      </w:r>
      <w:r>
        <w:rPr>
          <w:spacing w:val="-10"/>
        </w:rPr>
        <w:t> </w:t>
      </w:r>
      <w:r>
        <w:rPr/>
        <w:t>obligaciones</w:t>
      </w:r>
      <w:r>
        <w:rPr>
          <w:spacing w:val="-10"/>
        </w:rPr>
        <w:t> </w:t>
      </w:r>
      <w:r>
        <w:rPr/>
        <w:t>de</w:t>
      </w:r>
      <w:r>
        <w:rPr>
          <w:spacing w:val="-11"/>
        </w:rPr>
        <w:t> </w:t>
      </w:r>
      <w:r>
        <w:rPr/>
        <w:t>los</w:t>
      </w:r>
      <w:r>
        <w:rPr>
          <w:spacing w:val="-10"/>
        </w:rPr>
        <w:t> </w:t>
      </w:r>
      <w:r>
        <w:rPr/>
        <w:t>ayuntamientos;</w:t>
      </w:r>
      <w:r>
        <w:rPr>
          <w:spacing w:val="-11"/>
        </w:rPr>
        <w:t> </w:t>
      </w:r>
      <w:r>
        <w:rPr/>
        <w:t>asimismo,</w:t>
      </w:r>
      <w:r>
        <w:rPr>
          <w:spacing w:val="-11"/>
        </w:rPr>
        <w:t> </w:t>
      </w:r>
      <w:r>
        <w:rPr/>
        <w:t>destaca</w:t>
      </w:r>
      <w:r>
        <w:rPr>
          <w:spacing w:val="-11"/>
        </w:rPr>
        <w:t> </w:t>
      </w:r>
      <w:r>
        <w:rPr/>
        <w:t>la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coordinación,</w:t>
      </w:r>
      <w:r>
        <w:rPr>
          <w:spacing w:val="-14"/>
        </w:rPr>
        <w:t> </w:t>
      </w:r>
      <w:r>
        <w:rPr/>
        <w:t>apoyo</w:t>
      </w:r>
      <w:r>
        <w:rPr>
          <w:spacing w:val="-14"/>
        </w:rPr>
        <w:t> </w:t>
      </w:r>
      <w:r>
        <w:rPr/>
        <w:t>y</w:t>
      </w:r>
      <w:r>
        <w:rPr>
          <w:spacing w:val="-10"/>
        </w:rPr>
        <w:t> </w:t>
      </w:r>
      <w:r>
        <w:rPr/>
        <w:t>asesoría</w:t>
      </w:r>
      <w:r>
        <w:rPr>
          <w:spacing w:val="-13"/>
        </w:rPr>
        <w:t> </w:t>
      </w:r>
      <w:r>
        <w:rPr/>
        <w:t>que</w:t>
      </w:r>
      <w:r>
        <w:rPr>
          <w:spacing w:val="-14"/>
        </w:rPr>
        <w:t> </w:t>
      </w:r>
      <w:r>
        <w:rPr/>
        <w:t>corresponde</w:t>
      </w:r>
      <w:r>
        <w:rPr>
          <w:spacing w:val="-12"/>
        </w:rPr>
        <w:t> </w:t>
      </w:r>
      <w:r>
        <w:rPr/>
        <w:t>al</w:t>
      </w:r>
      <w:r>
        <w:rPr>
          <w:spacing w:val="-14"/>
        </w:rPr>
        <w:t> </w:t>
      </w:r>
      <w:r>
        <w:rPr/>
        <w:t>Estado</w:t>
      </w:r>
      <w:r>
        <w:rPr>
          <w:spacing w:val="-11"/>
        </w:rPr>
        <w:t> </w:t>
      </w:r>
      <w:r>
        <w:rPr/>
        <w:t>hacia</w:t>
      </w:r>
      <w:r>
        <w:rPr>
          <w:spacing w:val="-14"/>
        </w:rPr>
        <w:t> </w:t>
      </w:r>
      <w:r>
        <w:rPr/>
        <w:t>los</w:t>
      </w:r>
      <w:r>
        <w:rPr>
          <w:spacing w:val="-13"/>
        </w:rPr>
        <w:t> </w:t>
      </w:r>
      <w:r>
        <w:rPr/>
        <w:t>municipios</w:t>
      </w:r>
      <w:r>
        <w:rPr>
          <w:spacing w:val="-13"/>
        </w:rPr>
        <w:t> </w:t>
      </w:r>
      <w:r>
        <w:rPr/>
        <w:t>que</w:t>
      </w:r>
      <w:r>
        <w:rPr>
          <w:spacing w:val="-14"/>
        </w:rPr>
        <w:t> </w:t>
      </w:r>
      <w:r>
        <w:rPr/>
        <w:t>lo</w:t>
      </w:r>
      <w:r>
        <w:rPr>
          <w:spacing w:val="-12"/>
        </w:rPr>
        <w:t> </w:t>
      </w:r>
      <w:r>
        <w:rPr/>
        <w:t>soliciten,</w:t>
      </w:r>
      <w:r>
        <w:rPr>
          <w:spacing w:val="-12"/>
        </w:rPr>
        <w:t> </w:t>
      </w:r>
      <w:r>
        <w:rPr/>
        <w:t>para la elaboración de sus reglamentos.</w:t>
      </w:r>
    </w:p>
    <w:p>
      <w:pPr>
        <w:pStyle w:val="BodyText"/>
        <w:spacing w:before="1"/>
      </w:pPr>
    </w:p>
    <w:p>
      <w:pPr>
        <w:pStyle w:val="BodyText"/>
        <w:ind w:left="262" w:right="281"/>
        <w:jc w:val="both"/>
      </w:pPr>
      <w:r>
        <w:rPr/>
        <w:t>En</w:t>
      </w:r>
      <w:r>
        <w:rPr>
          <w:spacing w:val="-7"/>
        </w:rPr>
        <w:t> </w:t>
      </w:r>
      <w:r>
        <w:rPr/>
        <w:t>términos</w:t>
      </w:r>
      <w:r>
        <w:rPr>
          <w:spacing w:val="-6"/>
        </w:rPr>
        <w:t> </w:t>
      </w:r>
      <w:r>
        <w:rPr/>
        <w:t>de</w:t>
      </w:r>
      <w:r>
        <w:rPr>
          <w:spacing w:val="-7"/>
        </w:rPr>
        <w:t> </w:t>
      </w:r>
      <w:r>
        <w:rPr/>
        <w:t>lo</w:t>
      </w:r>
      <w:r>
        <w:rPr>
          <w:spacing w:val="-7"/>
        </w:rPr>
        <w:t> </w:t>
      </w:r>
      <w:r>
        <w:rPr/>
        <w:t>dispuesto</w:t>
      </w:r>
      <w:r>
        <w:rPr>
          <w:spacing w:val="-5"/>
        </w:rPr>
        <w:t> </w:t>
      </w:r>
      <w:r>
        <w:rPr/>
        <w:t>por</w:t>
      </w:r>
      <w:r>
        <w:rPr>
          <w:spacing w:val="-6"/>
        </w:rPr>
        <w:t> </w:t>
      </w:r>
      <w:r>
        <w:rPr/>
        <w:t>la</w:t>
      </w:r>
      <w:r>
        <w:rPr>
          <w:spacing w:val="-7"/>
        </w:rPr>
        <w:t> </w:t>
      </w:r>
      <w:r>
        <w:rPr/>
        <w:t>Ley</w:t>
      </w:r>
      <w:r>
        <w:rPr>
          <w:spacing w:val="-6"/>
        </w:rPr>
        <w:t> </w:t>
      </w:r>
      <w:r>
        <w:rPr/>
        <w:t>General,</w:t>
      </w:r>
      <w:r>
        <w:rPr>
          <w:spacing w:val="-6"/>
        </w:rPr>
        <w:t> </w:t>
      </w:r>
      <w:r>
        <w:rPr/>
        <w:t>se</w:t>
      </w:r>
      <w:r>
        <w:rPr>
          <w:spacing w:val="-7"/>
        </w:rPr>
        <w:t> </w:t>
      </w:r>
      <w:r>
        <w:rPr/>
        <w:t>establecen</w:t>
      </w:r>
      <w:r>
        <w:rPr>
          <w:spacing w:val="-7"/>
        </w:rPr>
        <w:t> </w:t>
      </w:r>
      <w:r>
        <w:rPr/>
        <w:t>en</w:t>
      </w:r>
      <w:r>
        <w:rPr>
          <w:spacing w:val="-7"/>
        </w:rPr>
        <w:t> </w:t>
      </w:r>
      <w:r>
        <w:rPr/>
        <w:t>esta</w:t>
      </w:r>
      <w:r>
        <w:rPr>
          <w:spacing w:val="-7"/>
        </w:rPr>
        <w:t> </w:t>
      </w:r>
      <w:r>
        <w:rPr/>
        <w:t>Ley</w:t>
      </w:r>
      <w:r>
        <w:rPr>
          <w:spacing w:val="-5"/>
        </w:rPr>
        <w:t> </w:t>
      </w:r>
      <w:r>
        <w:rPr/>
        <w:t>los</w:t>
      </w:r>
      <w:r>
        <w:rPr>
          <w:spacing w:val="-6"/>
        </w:rPr>
        <w:t> </w:t>
      </w:r>
      <w:r>
        <w:rPr/>
        <w:t>órganos</w:t>
      </w:r>
      <w:r>
        <w:rPr>
          <w:spacing w:val="-5"/>
        </w:rPr>
        <w:t> </w:t>
      </w:r>
      <w:r>
        <w:rPr/>
        <w:t>auxiliares</w:t>
      </w:r>
      <w:r>
        <w:rPr>
          <w:spacing w:val="-6"/>
        </w:rPr>
        <w:t> </w:t>
      </w:r>
      <w:r>
        <w:rPr/>
        <w:t>de coordinación, entre los que se encuentran, el Consejo Estatal de Ordenamiento Territorial y Desarrollo Urbano; los Consejos Municipales de Desarrollo Urbano y Vivienda; las Comisiones Metropolitanas</w:t>
      </w:r>
      <w:r>
        <w:rPr>
          <w:spacing w:val="-9"/>
        </w:rPr>
        <w:t> </w:t>
      </w:r>
      <w:r>
        <w:rPr/>
        <w:t>y</w:t>
      </w:r>
      <w:r>
        <w:rPr>
          <w:spacing w:val="-9"/>
        </w:rPr>
        <w:t> </w:t>
      </w:r>
      <w:r>
        <w:rPr/>
        <w:t>de</w:t>
      </w:r>
      <w:r>
        <w:rPr>
          <w:spacing w:val="-10"/>
        </w:rPr>
        <w:t> </w:t>
      </w:r>
      <w:r>
        <w:rPr/>
        <w:t>Conurbación;</w:t>
      </w:r>
      <w:r>
        <w:rPr>
          <w:spacing w:val="-7"/>
        </w:rPr>
        <w:t> </w:t>
      </w:r>
      <w:r>
        <w:rPr/>
        <w:t>el</w:t>
      </w:r>
      <w:r>
        <w:rPr>
          <w:spacing w:val="-9"/>
        </w:rPr>
        <w:t> </w:t>
      </w:r>
      <w:r>
        <w:rPr/>
        <w:t>Instituto</w:t>
      </w:r>
      <w:r>
        <w:rPr>
          <w:spacing w:val="-8"/>
        </w:rPr>
        <w:t> </w:t>
      </w:r>
      <w:r>
        <w:rPr/>
        <w:t>de</w:t>
      </w:r>
      <w:r>
        <w:rPr>
          <w:spacing w:val="-8"/>
        </w:rPr>
        <w:t> </w:t>
      </w:r>
      <w:r>
        <w:rPr/>
        <w:t>Planeación</w:t>
      </w:r>
      <w:r>
        <w:rPr>
          <w:spacing w:val="-10"/>
        </w:rPr>
        <w:t> </w:t>
      </w:r>
      <w:r>
        <w:rPr/>
        <w:t>del</w:t>
      </w:r>
      <w:r>
        <w:rPr>
          <w:spacing w:val="-9"/>
        </w:rPr>
        <w:t> </w:t>
      </w:r>
      <w:r>
        <w:rPr/>
        <w:t>Estado;</w:t>
      </w:r>
      <w:r>
        <w:rPr>
          <w:spacing w:val="-8"/>
        </w:rPr>
        <w:t> </w:t>
      </w:r>
      <w:r>
        <w:rPr/>
        <w:t>los</w:t>
      </w:r>
      <w:r>
        <w:rPr>
          <w:spacing w:val="-9"/>
        </w:rPr>
        <w:t> </w:t>
      </w:r>
      <w:r>
        <w:rPr/>
        <w:t>institutos</w:t>
      </w:r>
      <w:r>
        <w:rPr>
          <w:spacing w:val="-9"/>
        </w:rPr>
        <w:t> </w:t>
      </w:r>
      <w:r>
        <w:rPr/>
        <w:t>municipales</w:t>
      </w:r>
      <w:r>
        <w:rPr>
          <w:spacing w:val="-9"/>
        </w:rPr>
        <w:t> </w:t>
      </w:r>
      <w:r>
        <w:rPr/>
        <w:t>de planeación, el Instituto Catastral y Registral del Estado, los Sistemas Estatal y Municipal de Protección Civil; la Comisión Estatal de Agua; y los Organismos Operadores de Agua; todos ellos, dada</w:t>
      </w:r>
      <w:r>
        <w:rPr>
          <w:spacing w:val="-5"/>
        </w:rPr>
        <w:t> </w:t>
      </w:r>
      <w:r>
        <w:rPr/>
        <w:t>la</w:t>
      </w:r>
      <w:r>
        <w:rPr>
          <w:spacing w:val="-4"/>
        </w:rPr>
        <w:t> </w:t>
      </w:r>
      <w:r>
        <w:rPr/>
        <w:t>naturaleza</w:t>
      </w:r>
      <w:r>
        <w:rPr>
          <w:spacing w:val="-5"/>
        </w:rPr>
        <w:t> </w:t>
      </w:r>
      <w:r>
        <w:rPr/>
        <w:t>de</w:t>
      </w:r>
      <w:r>
        <w:rPr>
          <w:spacing w:val="-7"/>
        </w:rPr>
        <w:t> </w:t>
      </w:r>
      <w:r>
        <w:rPr/>
        <w:t>sus</w:t>
      </w:r>
      <w:r>
        <w:rPr>
          <w:spacing w:val="-6"/>
        </w:rPr>
        <w:t> </w:t>
      </w:r>
      <w:r>
        <w:rPr/>
        <w:t>funciones,</w:t>
      </w:r>
      <w:r>
        <w:rPr>
          <w:spacing w:val="-6"/>
        </w:rPr>
        <w:t> </w:t>
      </w:r>
      <w:r>
        <w:rPr/>
        <w:t>realizarán</w:t>
      </w:r>
      <w:r>
        <w:rPr>
          <w:spacing w:val="-4"/>
        </w:rPr>
        <w:t> </w:t>
      </w:r>
      <w:r>
        <w:rPr/>
        <w:t>sus</w:t>
      </w:r>
      <w:r>
        <w:rPr>
          <w:spacing w:val="-6"/>
        </w:rPr>
        <w:t> </w:t>
      </w:r>
      <w:r>
        <w:rPr/>
        <w:t>dictámenes,</w:t>
      </w:r>
      <w:r>
        <w:rPr>
          <w:spacing w:val="-6"/>
        </w:rPr>
        <w:t> </w:t>
      </w:r>
      <w:r>
        <w:rPr/>
        <w:t>resoluciones</w:t>
      </w:r>
      <w:r>
        <w:rPr>
          <w:spacing w:val="-3"/>
        </w:rPr>
        <w:t> </w:t>
      </w:r>
      <w:r>
        <w:rPr/>
        <w:t>u</w:t>
      </w:r>
      <w:r>
        <w:rPr>
          <w:spacing w:val="-7"/>
        </w:rPr>
        <w:t> </w:t>
      </w:r>
      <w:r>
        <w:rPr/>
        <w:t>opiniones</w:t>
      </w:r>
      <w:r>
        <w:rPr>
          <w:spacing w:val="-6"/>
        </w:rPr>
        <w:t> </w:t>
      </w:r>
      <w:r>
        <w:rPr/>
        <w:t>conforme a su competencia, los que serán de gran importancia y trascendencia para otorgar o negar las licencias y autorizaciones que establece la ley.</w:t>
      </w:r>
    </w:p>
    <w:p>
      <w:pPr>
        <w:pStyle w:val="BodyText"/>
      </w:pPr>
    </w:p>
    <w:p>
      <w:pPr>
        <w:pStyle w:val="BodyText"/>
        <w:ind w:left="262" w:right="277"/>
        <w:jc w:val="both"/>
      </w:pPr>
      <w:r>
        <w:rPr/>
        <w:t>Asimismo, para apoyar a las personas afectadas por el ordenamiento territorial y el desarrollo urbano, se crea la Procuraduría Urbana, encargada de prestar asesoría y acompañamiento a las y los ciudadanos o personas morales que se vean afectadas con motivo del desarrollo urbano, o por resoluciones de autoridades que violen en su perjuicio, las disposiciones de esta Ley.</w:t>
      </w:r>
    </w:p>
    <w:p>
      <w:pPr>
        <w:pStyle w:val="BodyText"/>
      </w:pPr>
    </w:p>
    <w:p>
      <w:pPr>
        <w:pStyle w:val="BodyText"/>
        <w:ind w:left="262" w:right="280"/>
        <w:jc w:val="both"/>
      </w:pPr>
      <w:r>
        <w:rPr/>
        <w:t>En</w:t>
      </w:r>
      <w:r>
        <w:rPr>
          <w:spacing w:val="-11"/>
        </w:rPr>
        <w:t> </w:t>
      </w:r>
      <w:r>
        <w:rPr/>
        <w:t>este</w:t>
      </w:r>
      <w:r>
        <w:rPr>
          <w:spacing w:val="-12"/>
        </w:rPr>
        <w:t> </w:t>
      </w:r>
      <w:r>
        <w:rPr/>
        <w:t>Ordenamiento</w:t>
      </w:r>
      <w:r>
        <w:rPr>
          <w:spacing w:val="-12"/>
        </w:rPr>
        <w:t> </w:t>
      </w:r>
      <w:r>
        <w:rPr/>
        <w:t>se</w:t>
      </w:r>
      <w:r>
        <w:rPr>
          <w:spacing w:val="-11"/>
        </w:rPr>
        <w:t> </w:t>
      </w:r>
      <w:r>
        <w:rPr/>
        <w:t>regula</w:t>
      </w:r>
      <w:r>
        <w:rPr>
          <w:spacing w:val="-11"/>
        </w:rPr>
        <w:t> </w:t>
      </w:r>
      <w:r>
        <w:rPr/>
        <w:t>además,</w:t>
      </w:r>
      <w:r>
        <w:rPr>
          <w:spacing w:val="-11"/>
        </w:rPr>
        <w:t> </w:t>
      </w:r>
      <w:r>
        <w:rPr/>
        <w:t>la</w:t>
      </w:r>
      <w:r>
        <w:rPr>
          <w:spacing w:val="-10"/>
        </w:rPr>
        <w:t> </w:t>
      </w:r>
      <w:r>
        <w:rPr/>
        <w:t>gestión</w:t>
      </w:r>
      <w:r>
        <w:rPr>
          <w:spacing w:val="-12"/>
        </w:rPr>
        <w:t> </w:t>
      </w:r>
      <w:r>
        <w:rPr/>
        <w:t>urbanística</w:t>
      </w:r>
      <w:r>
        <w:rPr>
          <w:spacing w:val="-11"/>
        </w:rPr>
        <w:t> </w:t>
      </w:r>
      <w:r>
        <w:rPr/>
        <w:t>de</w:t>
      </w:r>
      <w:r>
        <w:rPr>
          <w:spacing w:val="-10"/>
        </w:rPr>
        <w:t> </w:t>
      </w:r>
      <w:r>
        <w:rPr/>
        <w:t>los</w:t>
      </w:r>
      <w:r>
        <w:rPr>
          <w:spacing w:val="-10"/>
        </w:rPr>
        <w:t> </w:t>
      </w:r>
      <w:r>
        <w:rPr/>
        <w:t>actos</w:t>
      </w:r>
      <w:r>
        <w:rPr>
          <w:spacing w:val="-11"/>
        </w:rPr>
        <w:t> </w:t>
      </w:r>
      <w:r>
        <w:rPr/>
        <w:t>o</w:t>
      </w:r>
      <w:r>
        <w:rPr>
          <w:spacing w:val="-11"/>
        </w:rPr>
        <w:t> </w:t>
      </w:r>
      <w:r>
        <w:rPr/>
        <w:t>actividades</w:t>
      </w:r>
      <w:r>
        <w:rPr>
          <w:spacing w:val="-10"/>
        </w:rPr>
        <w:t> </w:t>
      </w:r>
      <w:r>
        <w:rPr/>
        <w:t>tendentes al uso y aprovechamiento del suelo dentro de áreas urbanizadas o urbanizables de un centro de población;</w:t>
      </w:r>
      <w:r>
        <w:rPr>
          <w:spacing w:val="-2"/>
        </w:rPr>
        <w:t> </w:t>
      </w:r>
      <w:r>
        <w:rPr/>
        <w:t>la</w:t>
      </w:r>
      <w:r>
        <w:rPr>
          <w:spacing w:val="-2"/>
        </w:rPr>
        <w:t> </w:t>
      </w:r>
      <w:r>
        <w:rPr/>
        <w:t>Licencia</w:t>
      </w:r>
      <w:r>
        <w:rPr>
          <w:spacing w:val="-4"/>
        </w:rPr>
        <w:t> </w:t>
      </w:r>
      <w:r>
        <w:rPr/>
        <w:t>de</w:t>
      </w:r>
      <w:r>
        <w:rPr>
          <w:spacing w:val="-2"/>
        </w:rPr>
        <w:t> </w:t>
      </w:r>
      <w:r>
        <w:rPr/>
        <w:t>Uso</w:t>
      </w:r>
      <w:r>
        <w:rPr>
          <w:spacing w:val="-4"/>
        </w:rPr>
        <w:t> </w:t>
      </w:r>
      <w:r>
        <w:rPr/>
        <w:t>del</w:t>
      </w:r>
      <w:r>
        <w:rPr>
          <w:spacing w:val="-3"/>
        </w:rPr>
        <w:t> </w:t>
      </w:r>
      <w:r>
        <w:rPr/>
        <w:t>Suelo</w:t>
      </w:r>
      <w:r>
        <w:rPr>
          <w:spacing w:val="-2"/>
        </w:rPr>
        <w:t> </w:t>
      </w:r>
      <w:r>
        <w:rPr/>
        <w:t>es</w:t>
      </w:r>
      <w:r>
        <w:rPr>
          <w:spacing w:val="-1"/>
        </w:rPr>
        <w:t> </w:t>
      </w:r>
      <w:r>
        <w:rPr/>
        <w:t>el</w:t>
      </w:r>
      <w:r>
        <w:rPr>
          <w:spacing w:val="-3"/>
        </w:rPr>
        <w:t> </w:t>
      </w:r>
      <w:r>
        <w:rPr/>
        <w:t>documento</w:t>
      </w:r>
      <w:r>
        <w:rPr>
          <w:spacing w:val="-3"/>
        </w:rPr>
        <w:t> </w:t>
      </w:r>
      <w:r>
        <w:rPr/>
        <w:t>que</w:t>
      </w:r>
      <w:r>
        <w:rPr>
          <w:spacing w:val="-2"/>
        </w:rPr>
        <w:t> </w:t>
      </w:r>
      <w:r>
        <w:rPr/>
        <w:t>certifica</w:t>
      </w:r>
      <w:r>
        <w:rPr>
          <w:spacing w:val="-2"/>
        </w:rPr>
        <w:t> </w:t>
      </w:r>
      <w:r>
        <w:rPr/>
        <w:t>que</w:t>
      </w:r>
      <w:r>
        <w:rPr>
          <w:spacing w:val="-2"/>
        </w:rPr>
        <w:t> </w:t>
      </w:r>
      <w:r>
        <w:rPr/>
        <w:t>la</w:t>
      </w:r>
      <w:r>
        <w:rPr>
          <w:spacing w:val="-2"/>
        </w:rPr>
        <w:t> </w:t>
      </w:r>
      <w:r>
        <w:rPr/>
        <w:t>acción,</w:t>
      </w:r>
      <w:r>
        <w:rPr>
          <w:spacing w:val="-2"/>
        </w:rPr>
        <w:t> </w:t>
      </w:r>
      <w:r>
        <w:rPr/>
        <w:t>obra,</w:t>
      </w:r>
      <w:r>
        <w:rPr>
          <w:spacing w:val="-2"/>
        </w:rPr>
        <w:t> </w:t>
      </w:r>
      <w:r>
        <w:rPr/>
        <w:t>inversión o</w:t>
      </w:r>
      <w:r>
        <w:rPr>
          <w:spacing w:val="-14"/>
        </w:rPr>
        <w:t> </w:t>
      </w:r>
      <w:r>
        <w:rPr/>
        <w:t>servicio</w:t>
      </w:r>
      <w:r>
        <w:rPr>
          <w:spacing w:val="-11"/>
        </w:rPr>
        <w:t> </w:t>
      </w:r>
      <w:r>
        <w:rPr/>
        <w:t>que</w:t>
      </w:r>
      <w:r>
        <w:rPr>
          <w:spacing w:val="-12"/>
        </w:rPr>
        <w:t> </w:t>
      </w:r>
      <w:r>
        <w:rPr/>
        <w:t>se</w:t>
      </w:r>
      <w:r>
        <w:rPr>
          <w:spacing w:val="-14"/>
        </w:rPr>
        <w:t> </w:t>
      </w:r>
      <w:r>
        <w:rPr/>
        <w:t>pretenda</w:t>
      </w:r>
      <w:r>
        <w:rPr>
          <w:spacing w:val="-14"/>
        </w:rPr>
        <w:t> </w:t>
      </w:r>
      <w:r>
        <w:rPr/>
        <w:t>realizar</w:t>
      </w:r>
      <w:r>
        <w:rPr>
          <w:spacing w:val="-13"/>
        </w:rPr>
        <w:t> </w:t>
      </w:r>
      <w:r>
        <w:rPr/>
        <w:t>es</w:t>
      </w:r>
      <w:r>
        <w:rPr>
          <w:spacing w:val="-13"/>
        </w:rPr>
        <w:t> </w:t>
      </w:r>
      <w:r>
        <w:rPr/>
        <w:t>compatible</w:t>
      </w:r>
      <w:r>
        <w:rPr>
          <w:spacing w:val="-14"/>
        </w:rPr>
        <w:t> </w:t>
      </w:r>
      <w:r>
        <w:rPr/>
        <w:t>con</w:t>
      </w:r>
      <w:r>
        <w:rPr>
          <w:spacing w:val="-14"/>
        </w:rPr>
        <w:t> </w:t>
      </w:r>
      <w:r>
        <w:rPr/>
        <w:t>la</w:t>
      </w:r>
      <w:r>
        <w:rPr>
          <w:spacing w:val="-12"/>
        </w:rPr>
        <w:t> </w:t>
      </w:r>
      <w:r>
        <w:rPr/>
        <w:t>legislación</w:t>
      </w:r>
      <w:r>
        <w:rPr>
          <w:spacing w:val="-12"/>
        </w:rPr>
        <w:t> </w:t>
      </w:r>
      <w:r>
        <w:rPr/>
        <w:t>y</w:t>
      </w:r>
      <w:r>
        <w:rPr>
          <w:spacing w:val="-12"/>
        </w:rPr>
        <w:t> </w:t>
      </w:r>
      <w:r>
        <w:rPr/>
        <w:t>los</w:t>
      </w:r>
      <w:r>
        <w:rPr>
          <w:spacing w:val="-10"/>
        </w:rPr>
        <w:t> </w:t>
      </w:r>
      <w:r>
        <w:rPr/>
        <w:t>programas</w:t>
      </w:r>
      <w:r>
        <w:rPr>
          <w:spacing w:val="-10"/>
        </w:rPr>
        <w:t> </w:t>
      </w:r>
      <w:r>
        <w:rPr/>
        <w:t>de</w:t>
      </w:r>
      <w:r>
        <w:rPr>
          <w:spacing w:val="-14"/>
        </w:rPr>
        <w:t> </w:t>
      </w:r>
      <w:r>
        <w:rPr/>
        <w:t>ordenamiento del territorial y desarrollo urbano, señalando las limitaciones, restricciones, afectaciones, características y aprovechamientos de las áreas o predio materia de la misma.</w:t>
      </w:r>
    </w:p>
    <w:p>
      <w:pPr>
        <w:pStyle w:val="BodyText"/>
        <w:spacing w:before="1"/>
      </w:pPr>
    </w:p>
    <w:p>
      <w:pPr>
        <w:pStyle w:val="BodyText"/>
        <w:ind w:left="262" w:right="278"/>
        <w:jc w:val="both"/>
      </w:pPr>
      <w:r>
        <w:rPr/>
        <w:t>Los</w:t>
      </w:r>
      <w:r>
        <w:rPr>
          <w:spacing w:val="-8"/>
        </w:rPr>
        <w:t> </w:t>
      </w:r>
      <w:r>
        <w:rPr/>
        <w:t>estudios</w:t>
      </w:r>
      <w:r>
        <w:rPr>
          <w:spacing w:val="-6"/>
        </w:rPr>
        <w:t> </w:t>
      </w:r>
      <w:r>
        <w:rPr/>
        <w:t>de</w:t>
      </w:r>
      <w:r>
        <w:rPr>
          <w:spacing w:val="-7"/>
        </w:rPr>
        <w:t> </w:t>
      </w:r>
      <w:r>
        <w:rPr/>
        <w:t>impacto</w:t>
      </w:r>
      <w:r>
        <w:rPr>
          <w:spacing w:val="-8"/>
        </w:rPr>
        <w:t> </w:t>
      </w:r>
      <w:r>
        <w:rPr/>
        <w:t>urbano,</w:t>
      </w:r>
      <w:r>
        <w:rPr>
          <w:spacing w:val="-8"/>
        </w:rPr>
        <w:t> </w:t>
      </w:r>
      <w:r>
        <w:rPr/>
        <w:t>vial,</w:t>
      </w:r>
      <w:r>
        <w:rPr>
          <w:spacing w:val="40"/>
        </w:rPr>
        <w:t> </w:t>
      </w:r>
      <w:r>
        <w:rPr/>
        <w:t>ambiental</w:t>
      </w:r>
      <w:r>
        <w:rPr>
          <w:spacing w:val="-9"/>
        </w:rPr>
        <w:t> </w:t>
      </w:r>
      <w:r>
        <w:rPr/>
        <w:t>y</w:t>
      </w:r>
      <w:r>
        <w:rPr>
          <w:spacing w:val="-8"/>
        </w:rPr>
        <w:t> </w:t>
      </w:r>
      <w:r>
        <w:rPr/>
        <w:t>de</w:t>
      </w:r>
      <w:r>
        <w:rPr>
          <w:spacing w:val="-7"/>
        </w:rPr>
        <w:t> </w:t>
      </w:r>
      <w:r>
        <w:rPr/>
        <w:t>imagen</w:t>
      </w:r>
      <w:r>
        <w:rPr>
          <w:spacing w:val="-8"/>
        </w:rPr>
        <w:t> </w:t>
      </w:r>
      <w:r>
        <w:rPr/>
        <w:t>urbana,</w:t>
      </w:r>
      <w:r>
        <w:rPr>
          <w:spacing w:val="-8"/>
        </w:rPr>
        <w:t> </w:t>
      </w:r>
      <w:r>
        <w:rPr/>
        <w:t>son</w:t>
      </w:r>
      <w:r>
        <w:rPr>
          <w:spacing w:val="-7"/>
        </w:rPr>
        <w:t> </w:t>
      </w:r>
      <w:r>
        <w:rPr/>
        <w:t>aquellos</w:t>
      </w:r>
      <w:r>
        <w:rPr>
          <w:spacing w:val="-8"/>
        </w:rPr>
        <w:t> </w:t>
      </w:r>
      <w:r>
        <w:rPr/>
        <w:t>que</w:t>
      </w:r>
      <w:r>
        <w:rPr>
          <w:spacing w:val="-8"/>
        </w:rPr>
        <w:t> </w:t>
      </w:r>
      <w:r>
        <w:rPr/>
        <w:t>se</w:t>
      </w:r>
      <w:r>
        <w:rPr>
          <w:spacing w:val="-8"/>
        </w:rPr>
        <w:t> </w:t>
      </w:r>
      <w:r>
        <w:rPr/>
        <w:t>requieren en los casos que prevén la presente Ley, la Ley Ambiental del Estado, y los demás ordenamientos aplicables. Se establecen las normas generales de construcción, diseño, infraestructura y sustentabilidad a</w:t>
      </w:r>
      <w:r>
        <w:rPr>
          <w:spacing w:val="-2"/>
        </w:rPr>
        <w:t> </w:t>
      </w:r>
      <w:r>
        <w:rPr/>
        <w:t>las</w:t>
      </w:r>
      <w:r>
        <w:rPr>
          <w:spacing w:val="-1"/>
        </w:rPr>
        <w:t> </w:t>
      </w:r>
      <w:r>
        <w:rPr/>
        <w:t>que deben ajustarse</w:t>
      </w:r>
      <w:r>
        <w:rPr>
          <w:spacing w:val="-2"/>
        </w:rPr>
        <w:t> </w:t>
      </w:r>
      <w:r>
        <w:rPr/>
        <w:t>las</w:t>
      </w:r>
      <w:r>
        <w:rPr>
          <w:spacing w:val="-1"/>
        </w:rPr>
        <w:t> </w:t>
      </w:r>
      <w:r>
        <w:rPr/>
        <w:t>obras por</w:t>
      </w:r>
      <w:r>
        <w:rPr>
          <w:spacing w:val="-1"/>
        </w:rPr>
        <w:t> </w:t>
      </w:r>
      <w:r>
        <w:rPr/>
        <w:t>realizarse.</w:t>
      </w:r>
      <w:r>
        <w:rPr>
          <w:spacing w:val="-2"/>
        </w:rPr>
        <w:t> </w:t>
      </w:r>
      <w:r>
        <w:rPr/>
        <w:t>Respecto</w:t>
      </w:r>
      <w:r>
        <w:rPr>
          <w:spacing w:val="-2"/>
        </w:rPr>
        <w:t> </w:t>
      </w:r>
      <w:r>
        <w:rPr/>
        <w:t>a las</w:t>
      </w:r>
      <w:r>
        <w:rPr>
          <w:spacing w:val="-1"/>
        </w:rPr>
        <w:t> </w:t>
      </w:r>
      <w:r>
        <w:rPr/>
        <w:t>vías</w:t>
      </w:r>
      <w:r>
        <w:rPr>
          <w:spacing w:val="-1"/>
        </w:rPr>
        <w:t> </w:t>
      </w:r>
      <w:r>
        <w:rPr/>
        <w:t>públicas,</w:t>
      </w:r>
      <w:r>
        <w:rPr>
          <w:spacing w:val="-2"/>
        </w:rPr>
        <w:t> </w:t>
      </w:r>
      <w:r>
        <w:rPr/>
        <w:t>se caracteriza cada una de ellas, y se establecen las normas básicas para su construcción.</w:t>
      </w:r>
    </w:p>
    <w:p>
      <w:pPr>
        <w:pStyle w:val="BodyText"/>
      </w:pPr>
    </w:p>
    <w:p>
      <w:pPr>
        <w:pStyle w:val="BodyText"/>
        <w:ind w:left="262" w:right="275"/>
        <w:jc w:val="both"/>
      </w:pPr>
      <w:r>
        <w:rPr/>
        <w:t>En</w:t>
      </w:r>
      <w:r>
        <w:rPr>
          <w:spacing w:val="-6"/>
        </w:rPr>
        <w:t> </w:t>
      </w:r>
      <w:r>
        <w:rPr/>
        <w:t>cuanto</w:t>
      </w:r>
      <w:r>
        <w:rPr>
          <w:spacing w:val="-6"/>
        </w:rPr>
        <w:t> </w:t>
      </w:r>
      <w:r>
        <w:rPr/>
        <w:t>a</w:t>
      </w:r>
      <w:r>
        <w:rPr>
          <w:spacing w:val="-3"/>
        </w:rPr>
        <w:t> </w:t>
      </w:r>
      <w:r>
        <w:rPr/>
        <w:t>la</w:t>
      </w:r>
      <w:r>
        <w:rPr>
          <w:spacing w:val="-6"/>
        </w:rPr>
        <w:t> </w:t>
      </w:r>
      <w:r>
        <w:rPr/>
        <w:t>función</w:t>
      </w:r>
      <w:r>
        <w:rPr>
          <w:spacing w:val="-6"/>
        </w:rPr>
        <w:t> </w:t>
      </w:r>
      <w:r>
        <w:rPr/>
        <w:t>pericial</w:t>
      </w:r>
      <w:r>
        <w:rPr>
          <w:spacing w:val="-4"/>
        </w:rPr>
        <w:t> </w:t>
      </w:r>
      <w:r>
        <w:rPr/>
        <w:t>urbanística</w:t>
      </w:r>
      <w:r>
        <w:rPr>
          <w:spacing w:val="-6"/>
        </w:rPr>
        <w:t> </w:t>
      </w:r>
      <w:r>
        <w:rPr/>
        <w:t>y</w:t>
      </w:r>
      <w:r>
        <w:rPr>
          <w:spacing w:val="-4"/>
        </w:rPr>
        <w:t> </w:t>
      </w:r>
      <w:r>
        <w:rPr/>
        <w:t>de</w:t>
      </w:r>
      <w:r>
        <w:rPr>
          <w:spacing w:val="-6"/>
        </w:rPr>
        <w:t> </w:t>
      </w:r>
      <w:r>
        <w:rPr/>
        <w:t>supervisión</w:t>
      </w:r>
      <w:r>
        <w:rPr>
          <w:spacing w:val="-6"/>
        </w:rPr>
        <w:t> </w:t>
      </w:r>
      <w:r>
        <w:rPr/>
        <w:t>de</w:t>
      </w:r>
      <w:r>
        <w:rPr>
          <w:spacing w:val="-6"/>
        </w:rPr>
        <w:t> </w:t>
      </w:r>
      <w:r>
        <w:rPr/>
        <w:t>las</w:t>
      </w:r>
      <w:r>
        <w:rPr>
          <w:spacing w:val="-5"/>
        </w:rPr>
        <w:t> </w:t>
      </w:r>
      <w:r>
        <w:rPr/>
        <w:t>obras,</w:t>
      </w:r>
      <w:r>
        <w:rPr>
          <w:spacing w:val="-5"/>
        </w:rPr>
        <w:t> </w:t>
      </w:r>
      <w:r>
        <w:rPr/>
        <w:t>de</w:t>
      </w:r>
      <w:r>
        <w:rPr>
          <w:spacing w:val="-4"/>
        </w:rPr>
        <w:t> </w:t>
      </w:r>
      <w:r>
        <w:rPr/>
        <w:t>acuerdo</w:t>
      </w:r>
      <w:r>
        <w:rPr>
          <w:spacing w:val="-6"/>
        </w:rPr>
        <w:t> </w:t>
      </w:r>
      <w:r>
        <w:rPr/>
        <w:t>a</w:t>
      </w:r>
      <w:r>
        <w:rPr>
          <w:spacing w:val="-6"/>
        </w:rPr>
        <w:t> </w:t>
      </w:r>
      <w:r>
        <w:rPr/>
        <w:t>lo</w:t>
      </w:r>
      <w:r>
        <w:rPr>
          <w:spacing w:val="-3"/>
        </w:rPr>
        <w:t> </w:t>
      </w:r>
      <w:r>
        <w:rPr/>
        <w:t>que</w:t>
      </w:r>
      <w:r>
        <w:rPr>
          <w:spacing w:val="-6"/>
        </w:rPr>
        <w:t> </w:t>
      </w:r>
      <w:r>
        <w:rPr/>
        <w:t>señala la</w:t>
      </w:r>
      <w:r>
        <w:rPr>
          <w:spacing w:val="-4"/>
        </w:rPr>
        <w:t> </w:t>
      </w:r>
      <w:r>
        <w:rPr/>
        <w:t>presente</w:t>
      </w:r>
      <w:r>
        <w:rPr>
          <w:spacing w:val="-2"/>
        </w:rPr>
        <w:t> </w:t>
      </w:r>
      <w:r>
        <w:rPr/>
        <w:t>Ley,</w:t>
      </w:r>
      <w:r>
        <w:rPr>
          <w:spacing w:val="-4"/>
        </w:rPr>
        <w:t> </w:t>
      </w:r>
      <w:r>
        <w:rPr/>
        <w:t>compete</w:t>
      </w:r>
      <w:r>
        <w:rPr>
          <w:spacing w:val="-3"/>
        </w:rPr>
        <w:t> </w:t>
      </w:r>
      <w:r>
        <w:rPr/>
        <w:t>a</w:t>
      </w:r>
      <w:r>
        <w:rPr>
          <w:spacing w:val="-2"/>
        </w:rPr>
        <w:t> </w:t>
      </w:r>
      <w:r>
        <w:rPr/>
        <w:t>los</w:t>
      </w:r>
      <w:r>
        <w:rPr>
          <w:spacing w:val="-3"/>
        </w:rPr>
        <w:t> </w:t>
      </w:r>
      <w:r>
        <w:rPr/>
        <w:t>ayuntamientos</w:t>
      </w:r>
      <w:r>
        <w:rPr>
          <w:spacing w:val="-1"/>
        </w:rPr>
        <w:t> </w:t>
      </w:r>
      <w:r>
        <w:rPr/>
        <w:t>organizar,</w:t>
      </w:r>
      <w:r>
        <w:rPr>
          <w:spacing w:val="-4"/>
        </w:rPr>
        <w:t> </w:t>
      </w:r>
      <w:r>
        <w:rPr/>
        <w:t>llevar</w:t>
      </w:r>
      <w:r>
        <w:rPr>
          <w:spacing w:val="-4"/>
        </w:rPr>
        <w:t> </w:t>
      </w:r>
      <w:r>
        <w:rPr/>
        <w:t>y</w:t>
      </w:r>
      <w:r>
        <w:rPr>
          <w:spacing w:val="-2"/>
        </w:rPr>
        <w:t> </w:t>
      </w:r>
      <w:r>
        <w:rPr/>
        <w:t>actualizar</w:t>
      </w:r>
      <w:r>
        <w:rPr>
          <w:spacing w:val="-4"/>
        </w:rPr>
        <w:t> </w:t>
      </w:r>
      <w:r>
        <w:rPr/>
        <w:t>el</w:t>
      </w:r>
      <w:r>
        <w:rPr>
          <w:spacing w:val="-5"/>
        </w:rPr>
        <w:t> </w:t>
      </w:r>
      <w:r>
        <w:rPr/>
        <w:t>Registro</w:t>
      </w:r>
      <w:r>
        <w:rPr>
          <w:spacing w:val="-4"/>
        </w:rPr>
        <w:t> </w:t>
      </w:r>
      <w:r>
        <w:rPr/>
        <w:t>Municipal</w:t>
      </w:r>
      <w:r>
        <w:rPr>
          <w:spacing w:val="-3"/>
        </w:rPr>
        <w:t> </w:t>
      </w:r>
      <w:r>
        <w:rPr/>
        <w:t>de Directores</w:t>
      </w:r>
      <w:r>
        <w:rPr>
          <w:spacing w:val="-14"/>
        </w:rPr>
        <w:t> </w:t>
      </w:r>
      <w:r>
        <w:rPr/>
        <w:t>Responsables</w:t>
      </w:r>
      <w:r>
        <w:rPr>
          <w:spacing w:val="-14"/>
        </w:rPr>
        <w:t> </w:t>
      </w:r>
      <w:r>
        <w:rPr/>
        <w:t>de</w:t>
      </w:r>
      <w:r>
        <w:rPr>
          <w:spacing w:val="-14"/>
        </w:rPr>
        <w:t> </w:t>
      </w:r>
      <w:r>
        <w:rPr/>
        <w:t>Obras,</w:t>
      </w:r>
      <w:r>
        <w:rPr>
          <w:spacing w:val="-14"/>
        </w:rPr>
        <w:t> </w:t>
      </w:r>
      <w:r>
        <w:rPr/>
        <w:t>y</w:t>
      </w:r>
      <w:r>
        <w:rPr>
          <w:spacing w:val="-14"/>
        </w:rPr>
        <w:t> </w:t>
      </w:r>
      <w:r>
        <w:rPr/>
        <w:t>Corresponsables;</w:t>
      </w:r>
      <w:r>
        <w:rPr>
          <w:spacing w:val="-14"/>
        </w:rPr>
        <w:t> </w:t>
      </w:r>
      <w:r>
        <w:rPr/>
        <w:t>rehabilitación</w:t>
      </w:r>
      <w:r>
        <w:rPr>
          <w:spacing w:val="-14"/>
        </w:rPr>
        <w:t> </w:t>
      </w:r>
      <w:r>
        <w:rPr/>
        <w:t>y</w:t>
      </w:r>
      <w:r>
        <w:rPr>
          <w:spacing w:val="-14"/>
        </w:rPr>
        <w:t> </w:t>
      </w:r>
      <w:r>
        <w:rPr/>
        <w:t>restauración</w:t>
      </w:r>
      <w:r>
        <w:rPr>
          <w:spacing w:val="-14"/>
        </w:rPr>
        <w:t> </w:t>
      </w:r>
      <w:r>
        <w:rPr/>
        <w:t>para</w:t>
      </w:r>
      <w:r>
        <w:rPr>
          <w:spacing w:val="-13"/>
        </w:rPr>
        <w:t> </w:t>
      </w:r>
      <w:r>
        <w:rPr/>
        <w:t>dar</w:t>
      </w:r>
      <w:r>
        <w:rPr>
          <w:spacing w:val="-14"/>
        </w:rPr>
        <w:t> </w:t>
      </w:r>
      <w:r>
        <w:rPr/>
        <w:t>cuenta de su idoneidad; se crea una Comisión Estatal de Acreditación, Evaluación y Certificación de Directores</w:t>
      </w:r>
      <w:r>
        <w:rPr>
          <w:spacing w:val="-9"/>
        </w:rPr>
        <w:t> </w:t>
      </w:r>
      <w:r>
        <w:rPr/>
        <w:t>Responsables</w:t>
      </w:r>
      <w:r>
        <w:rPr>
          <w:spacing w:val="-9"/>
        </w:rPr>
        <w:t> </w:t>
      </w:r>
      <w:r>
        <w:rPr/>
        <w:t>de</w:t>
      </w:r>
      <w:r>
        <w:rPr>
          <w:spacing w:val="-10"/>
        </w:rPr>
        <w:t> </w:t>
      </w:r>
      <w:r>
        <w:rPr/>
        <w:t>Obra</w:t>
      </w:r>
      <w:r>
        <w:rPr>
          <w:spacing w:val="-9"/>
        </w:rPr>
        <w:t> </w:t>
      </w:r>
      <w:r>
        <w:rPr/>
        <w:t>y</w:t>
      </w:r>
      <w:r>
        <w:rPr>
          <w:spacing w:val="-9"/>
        </w:rPr>
        <w:t> </w:t>
      </w:r>
      <w:r>
        <w:rPr/>
        <w:t>Corresponsables,</w:t>
      </w:r>
      <w:r>
        <w:rPr>
          <w:spacing w:val="-10"/>
        </w:rPr>
        <w:t> </w:t>
      </w:r>
      <w:r>
        <w:rPr/>
        <w:t>integrada</w:t>
      </w:r>
      <w:r>
        <w:rPr>
          <w:spacing w:val="-10"/>
        </w:rPr>
        <w:t> </w:t>
      </w:r>
      <w:r>
        <w:rPr/>
        <w:t>de</w:t>
      </w:r>
      <w:r>
        <w:rPr>
          <w:spacing w:val="-10"/>
        </w:rPr>
        <w:t> </w:t>
      </w:r>
      <w:r>
        <w:rPr/>
        <w:t>manera</w:t>
      </w:r>
      <w:r>
        <w:rPr>
          <w:spacing w:val="-10"/>
        </w:rPr>
        <w:t> </w:t>
      </w:r>
      <w:r>
        <w:rPr/>
        <w:t>plural</w:t>
      </w:r>
      <w:r>
        <w:rPr>
          <w:spacing w:val="-8"/>
        </w:rPr>
        <w:t> </w:t>
      </w:r>
      <w:r>
        <w:rPr/>
        <w:t>por</w:t>
      </w:r>
      <w:r>
        <w:rPr>
          <w:spacing w:val="-9"/>
        </w:rPr>
        <w:t> </w:t>
      </w:r>
      <w:r>
        <w:rPr/>
        <w:t>dependencias estatales, por los municipios representados, a través de las cuatro regiones del Estado, y por los Colegios de profesionistas y Cámaras relacionados con la materia, que tendrá por objeto la capacitación, a través de los Colegios de Profesionistas, de la experiencia y conocimiento de las personas físicas profesionales del ramo de la construcción, así como de su acreditación ante los municipios de los nuevos Directores Responsables de Obra y Corresponsables; dicha información se integrará en un Padrón Estatal de Directores Responsables de Obras y Corresponsables.</w:t>
      </w:r>
    </w:p>
    <w:p>
      <w:pPr>
        <w:pStyle w:val="BodyText"/>
        <w:spacing w:before="1"/>
      </w:pPr>
    </w:p>
    <w:p>
      <w:pPr>
        <w:pStyle w:val="BodyText"/>
        <w:ind w:left="262" w:right="279"/>
        <w:jc w:val="both"/>
      </w:pPr>
      <w:r>
        <w:rPr/>
        <w:t>Por lo que toca a los fraccionamientos se determinan las normas generales para su autorización, clasificación, tipo y características de cada uno de ellos, y se les clasifica. En este apartado se incluyen</w:t>
      </w:r>
      <w:r>
        <w:rPr>
          <w:spacing w:val="-8"/>
        </w:rPr>
        <w:t> </w:t>
      </w:r>
      <w:r>
        <w:rPr/>
        <w:t>los</w:t>
      </w:r>
      <w:r>
        <w:rPr>
          <w:spacing w:val="-7"/>
        </w:rPr>
        <w:t> </w:t>
      </w:r>
      <w:r>
        <w:rPr/>
        <w:t>cuadros</w:t>
      </w:r>
      <w:r>
        <w:rPr>
          <w:spacing w:val="-6"/>
        </w:rPr>
        <w:t> </w:t>
      </w:r>
      <w:r>
        <w:rPr/>
        <w:t>con</w:t>
      </w:r>
      <w:r>
        <w:rPr>
          <w:spacing w:val="-8"/>
        </w:rPr>
        <w:t> </w:t>
      </w:r>
      <w:r>
        <w:rPr/>
        <w:t>las</w:t>
      </w:r>
      <w:r>
        <w:rPr>
          <w:spacing w:val="-6"/>
        </w:rPr>
        <w:t> </w:t>
      </w:r>
      <w:r>
        <w:rPr/>
        <w:t>especificaciones</w:t>
      </w:r>
      <w:r>
        <w:rPr>
          <w:spacing w:val="-7"/>
        </w:rPr>
        <w:t> </w:t>
      </w:r>
      <w:r>
        <w:rPr/>
        <w:t>para</w:t>
      </w:r>
      <w:r>
        <w:rPr>
          <w:spacing w:val="-7"/>
        </w:rPr>
        <w:t> </w:t>
      </w:r>
      <w:r>
        <w:rPr/>
        <w:t>cada</w:t>
      </w:r>
      <w:r>
        <w:rPr>
          <w:spacing w:val="-8"/>
        </w:rPr>
        <w:t> </w:t>
      </w:r>
      <w:r>
        <w:rPr/>
        <w:t>una de</w:t>
      </w:r>
      <w:r>
        <w:rPr>
          <w:spacing w:val="-8"/>
        </w:rPr>
        <w:t> </w:t>
      </w:r>
      <w:r>
        <w:rPr/>
        <w:t>las</w:t>
      </w:r>
      <w:r>
        <w:rPr>
          <w:spacing w:val="-7"/>
        </w:rPr>
        <w:t> </w:t>
      </w:r>
      <w:r>
        <w:rPr/>
        <w:t>clases</w:t>
      </w:r>
      <w:r>
        <w:rPr>
          <w:spacing w:val="-7"/>
        </w:rPr>
        <w:t> </w:t>
      </w:r>
      <w:r>
        <w:rPr/>
        <w:t>de</w:t>
      </w:r>
      <w:r>
        <w:rPr>
          <w:spacing w:val="-8"/>
        </w:rPr>
        <w:t> </w:t>
      </w:r>
      <w:r>
        <w:rPr/>
        <w:t>fraccionamientos,</w:t>
      </w:r>
      <w:r>
        <w:rPr>
          <w:spacing w:val="-7"/>
        </w:rPr>
        <w:t> </w:t>
      </w:r>
      <w:r>
        <w:rPr/>
        <w:t>que deberán aplicar sólo aquellos municipios que carezcan de programas de desarrollo urbano de centros de población.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6"/>
        <w:jc w:val="both"/>
      </w:pPr>
      <w:r>
        <w:rPr/>
        <w:t>Se regulan así mismo las autorizaciones de las subdivisiones, fusiones, relotificaciones y cambios de</w:t>
      </w:r>
      <w:r>
        <w:rPr>
          <w:spacing w:val="-2"/>
        </w:rPr>
        <w:t> </w:t>
      </w:r>
      <w:r>
        <w:rPr/>
        <w:t>intensidad en</w:t>
      </w:r>
      <w:r>
        <w:rPr>
          <w:spacing w:val="-2"/>
        </w:rPr>
        <w:t> </w:t>
      </w:r>
      <w:r>
        <w:rPr/>
        <w:t>el</w:t>
      </w:r>
      <w:r>
        <w:rPr>
          <w:spacing w:val="-2"/>
        </w:rPr>
        <w:t> </w:t>
      </w:r>
      <w:r>
        <w:rPr/>
        <w:t>uso</w:t>
      </w:r>
      <w:r>
        <w:rPr>
          <w:spacing w:val="-1"/>
        </w:rPr>
        <w:t> </w:t>
      </w:r>
      <w:r>
        <w:rPr/>
        <w:t>habitacional</w:t>
      </w:r>
      <w:r>
        <w:rPr>
          <w:spacing w:val="-2"/>
        </w:rPr>
        <w:t> </w:t>
      </w:r>
      <w:r>
        <w:rPr/>
        <w:t>de los predios,</w:t>
      </w:r>
      <w:r>
        <w:rPr>
          <w:spacing w:val="-1"/>
        </w:rPr>
        <w:t> </w:t>
      </w:r>
      <w:r>
        <w:rPr/>
        <w:t>cualquiera</w:t>
      </w:r>
      <w:r>
        <w:rPr>
          <w:spacing w:val="-1"/>
        </w:rPr>
        <w:t> </w:t>
      </w:r>
      <w:r>
        <w:rPr/>
        <w:t>que</w:t>
      </w:r>
      <w:r>
        <w:rPr>
          <w:spacing w:val="-1"/>
        </w:rPr>
        <w:t> </w:t>
      </w:r>
      <w:r>
        <w:rPr/>
        <w:t>sea</w:t>
      </w:r>
      <w:r>
        <w:rPr>
          <w:spacing w:val="-1"/>
        </w:rPr>
        <w:t> </w:t>
      </w:r>
      <w:r>
        <w:rPr/>
        <w:t>su</w:t>
      </w:r>
      <w:r>
        <w:rPr>
          <w:spacing w:val="-1"/>
        </w:rPr>
        <w:t> </w:t>
      </w:r>
      <w:r>
        <w:rPr/>
        <w:t>extensión.</w:t>
      </w:r>
      <w:r>
        <w:rPr>
          <w:spacing w:val="-1"/>
        </w:rPr>
        <w:t> </w:t>
      </w:r>
      <w:r>
        <w:rPr/>
        <w:t>Se</w:t>
      </w:r>
      <w:r>
        <w:rPr>
          <w:spacing w:val="-1"/>
        </w:rPr>
        <w:t> </w:t>
      </w:r>
      <w:r>
        <w:rPr/>
        <w:t>suprime</w:t>
      </w:r>
      <w:r>
        <w:rPr>
          <w:spacing w:val="-1"/>
        </w:rPr>
        <w:t> </w:t>
      </w:r>
      <w:r>
        <w:rPr/>
        <w:t>el doble requerimiento de donaciones en los desarrollos inmobiliarios que deriven de subdivisiones, fraccionamientos</w:t>
      </w:r>
      <w:r>
        <w:rPr>
          <w:spacing w:val="-8"/>
        </w:rPr>
        <w:t> </w:t>
      </w:r>
      <w:r>
        <w:rPr/>
        <w:t>y/o</w:t>
      </w:r>
      <w:r>
        <w:rPr>
          <w:spacing w:val="-9"/>
        </w:rPr>
        <w:t> </w:t>
      </w:r>
      <w:r>
        <w:rPr/>
        <w:t>condominios.</w:t>
      </w:r>
      <w:r>
        <w:rPr>
          <w:spacing w:val="-9"/>
        </w:rPr>
        <w:t> </w:t>
      </w:r>
      <w:r>
        <w:rPr/>
        <w:t>Igualmente,</w:t>
      </w:r>
      <w:r>
        <w:rPr>
          <w:spacing w:val="-9"/>
        </w:rPr>
        <w:t> </w:t>
      </w:r>
      <w:r>
        <w:rPr/>
        <w:t>los</w:t>
      </w:r>
      <w:r>
        <w:rPr>
          <w:spacing w:val="-8"/>
        </w:rPr>
        <w:t> </w:t>
      </w:r>
      <w:r>
        <w:rPr/>
        <w:t>desarrollos</w:t>
      </w:r>
      <w:r>
        <w:rPr>
          <w:spacing w:val="-8"/>
        </w:rPr>
        <w:t> </w:t>
      </w:r>
      <w:r>
        <w:rPr/>
        <w:t>en</w:t>
      </w:r>
      <w:r>
        <w:rPr>
          <w:spacing w:val="-9"/>
        </w:rPr>
        <w:t> </w:t>
      </w:r>
      <w:r>
        <w:rPr/>
        <w:t>condominio,</w:t>
      </w:r>
      <w:r>
        <w:rPr>
          <w:spacing w:val="-9"/>
        </w:rPr>
        <w:t> </w:t>
      </w:r>
      <w:r>
        <w:rPr/>
        <w:t>los</w:t>
      </w:r>
      <w:r>
        <w:rPr>
          <w:spacing w:val="-6"/>
        </w:rPr>
        <w:t> </w:t>
      </w:r>
      <w:r>
        <w:rPr/>
        <w:t>requisitos</w:t>
      </w:r>
      <w:r>
        <w:rPr>
          <w:spacing w:val="-8"/>
        </w:rPr>
        <w:t> </w:t>
      </w:r>
      <w:r>
        <w:rPr/>
        <w:t>para</w:t>
      </w:r>
      <w:r>
        <w:rPr>
          <w:spacing w:val="-8"/>
        </w:rPr>
        <w:t> </w:t>
      </w:r>
      <w:r>
        <w:rPr/>
        <w:t>su aprobación, así como su ubicación, instalaciones, servicios, áreas de donación, espacios libres, zonas comerciales y demás requerimientos propios de los mismos; los define como al conjunto de departamentos, viviendas, locales y naves de un inmueble, construido en forma vertical, horizontal o</w:t>
      </w:r>
      <w:r>
        <w:rPr>
          <w:spacing w:val="-12"/>
        </w:rPr>
        <w:t> </w:t>
      </w:r>
      <w:r>
        <w:rPr/>
        <w:t>mixta,</w:t>
      </w:r>
      <w:r>
        <w:rPr>
          <w:spacing w:val="-13"/>
        </w:rPr>
        <w:t> </w:t>
      </w:r>
      <w:r>
        <w:rPr/>
        <w:t>susceptible</w:t>
      </w:r>
      <w:r>
        <w:rPr>
          <w:spacing w:val="-12"/>
        </w:rPr>
        <w:t> </w:t>
      </w:r>
      <w:r>
        <w:rPr/>
        <w:t>de</w:t>
      </w:r>
      <w:r>
        <w:rPr>
          <w:spacing w:val="-12"/>
        </w:rPr>
        <w:t> </w:t>
      </w:r>
      <w:r>
        <w:rPr/>
        <w:t>aprovecharse</w:t>
      </w:r>
      <w:r>
        <w:rPr>
          <w:spacing w:val="-12"/>
        </w:rPr>
        <w:t> </w:t>
      </w:r>
      <w:r>
        <w:rPr/>
        <w:t>independientemente,</w:t>
      </w:r>
      <w:r>
        <w:rPr>
          <w:spacing w:val="-13"/>
        </w:rPr>
        <w:t> </w:t>
      </w:r>
      <w:r>
        <w:rPr/>
        <w:t>por</w:t>
      </w:r>
      <w:r>
        <w:rPr>
          <w:spacing w:val="-11"/>
        </w:rPr>
        <w:t> </w:t>
      </w:r>
      <w:r>
        <w:rPr/>
        <w:t>tener</w:t>
      </w:r>
      <w:r>
        <w:rPr>
          <w:spacing w:val="-11"/>
        </w:rPr>
        <w:t> </w:t>
      </w:r>
      <w:r>
        <w:rPr/>
        <w:t>una</w:t>
      </w:r>
      <w:r>
        <w:rPr>
          <w:spacing w:val="-12"/>
        </w:rPr>
        <w:t> </w:t>
      </w:r>
      <w:r>
        <w:rPr/>
        <w:t>salida</w:t>
      </w:r>
      <w:r>
        <w:rPr>
          <w:spacing w:val="-12"/>
        </w:rPr>
        <w:t> </w:t>
      </w:r>
      <w:r>
        <w:rPr/>
        <w:t>propia</w:t>
      </w:r>
      <w:r>
        <w:rPr>
          <w:spacing w:val="-12"/>
        </w:rPr>
        <w:t> </w:t>
      </w:r>
      <w:r>
        <w:rPr/>
        <w:t>de</w:t>
      </w:r>
      <w:r>
        <w:rPr>
          <w:spacing w:val="-12"/>
        </w:rPr>
        <w:t> </w:t>
      </w:r>
      <w:r>
        <w:rPr/>
        <w:t>elementos comunes a la vía pública, pertenecientes a distintos propietarios, los cuales tendrán un derecho singular y exclusivo de propiedad sobre su área privativa, y de copropiedad sobre los elementos y partes comunes del inmueble, necesario para un adecuado uso. Los clasifica en Habitacional, Comercial, Industrial, y Mixto; y de acuerdo a su tipo de construcción, en condominio vertical, condominio horizontal, y condominio mixto.</w:t>
      </w:r>
    </w:p>
    <w:p>
      <w:pPr>
        <w:pStyle w:val="BodyText"/>
        <w:spacing w:before="1"/>
      </w:pPr>
    </w:p>
    <w:p>
      <w:pPr>
        <w:pStyle w:val="BodyText"/>
        <w:spacing w:before="1"/>
        <w:ind w:left="262" w:right="286"/>
        <w:jc w:val="both"/>
      </w:pPr>
      <w:r>
        <w:rPr/>
        <w:t>Se establecen disposiciones comunes a fraccionamientos, condominios y desarrollos inmobiliarios especiales, las normas técnicas del proyecto, áreas de donación; sistemas de agua potable alcantarillado y drenaje, e infraestructura.</w:t>
      </w:r>
    </w:p>
    <w:p>
      <w:pPr>
        <w:pStyle w:val="BodyText"/>
        <w:spacing w:before="229"/>
        <w:ind w:left="262" w:right="277"/>
        <w:jc w:val="both"/>
      </w:pPr>
      <w:r>
        <w:rPr/>
        <w:t>En</w:t>
      </w:r>
      <w:r>
        <w:rPr>
          <w:spacing w:val="-14"/>
        </w:rPr>
        <w:t> </w:t>
      </w:r>
      <w:r>
        <w:rPr/>
        <w:t>relación</w:t>
      </w:r>
      <w:r>
        <w:rPr>
          <w:spacing w:val="-14"/>
        </w:rPr>
        <w:t> </w:t>
      </w:r>
      <w:r>
        <w:rPr/>
        <w:t>con</w:t>
      </w:r>
      <w:r>
        <w:rPr>
          <w:spacing w:val="-14"/>
        </w:rPr>
        <w:t> </w:t>
      </w:r>
      <w:r>
        <w:rPr/>
        <w:t>la</w:t>
      </w:r>
      <w:r>
        <w:rPr>
          <w:spacing w:val="-14"/>
        </w:rPr>
        <w:t> </w:t>
      </w:r>
      <w:r>
        <w:rPr/>
        <w:t>autorización</w:t>
      </w:r>
      <w:r>
        <w:rPr>
          <w:spacing w:val="-14"/>
        </w:rPr>
        <w:t> </w:t>
      </w:r>
      <w:r>
        <w:rPr/>
        <w:t>de</w:t>
      </w:r>
      <w:r>
        <w:rPr>
          <w:spacing w:val="-14"/>
        </w:rPr>
        <w:t> </w:t>
      </w:r>
      <w:r>
        <w:rPr/>
        <w:t>los</w:t>
      </w:r>
      <w:r>
        <w:rPr>
          <w:spacing w:val="-14"/>
        </w:rPr>
        <w:t> </w:t>
      </w:r>
      <w:r>
        <w:rPr/>
        <w:t>fraccionamientos,</w:t>
      </w:r>
      <w:r>
        <w:rPr>
          <w:spacing w:val="-14"/>
        </w:rPr>
        <w:t> </w:t>
      </w:r>
      <w:r>
        <w:rPr/>
        <w:t>se</w:t>
      </w:r>
      <w:r>
        <w:rPr>
          <w:spacing w:val="-14"/>
        </w:rPr>
        <w:t> </w:t>
      </w:r>
      <w:r>
        <w:rPr/>
        <w:t>establecen</w:t>
      </w:r>
      <w:r>
        <w:rPr>
          <w:spacing w:val="-13"/>
        </w:rPr>
        <w:t> </w:t>
      </w:r>
      <w:r>
        <w:rPr/>
        <w:t>los</w:t>
      </w:r>
      <w:r>
        <w:rPr>
          <w:spacing w:val="-14"/>
        </w:rPr>
        <w:t> </w:t>
      </w:r>
      <w:r>
        <w:rPr/>
        <w:t>requisitos,</w:t>
      </w:r>
      <w:r>
        <w:rPr>
          <w:spacing w:val="-14"/>
        </w:rPr>
        <w:t> </w:t>
      </w:r>
      <w:r>
        <w:rPr/>
        <w:t>y</w:t>
      </w:r>
      <w:r>
        <w:rPr>
          <w:spacing w:val="-14"/>
        </w:rPr>
        <w:t> </w:t>
      </w:r>
      <w:r>
        <w:rPr/>
        <w:t>procedimiento para su autorización, sus modificaciones, garantías, su tramitación, y la cesión de derechos y obligaciones.</w:t>
      </w:r>
      <w:r>
        <w:rPr>
          <w:spacing w:val="-7"/>
        </w:rPr>
        <w:t> </w:t>
      </w:r>
      <w:r>
        <w:rPr/>
        <w:t>Se</w:t>
      </w:r>
      <w:r>
        <w:rPr>
          <w:spacing w:val="-8"/>
        </w:rPr>
        <w:t> </w:t>
      </w:r>
      <w:r>
        <w:rPr/>
        <w:t>dispone</w:t>
      </w:r>
      <w:r>
        <w:rPr>
          <w:spacing w:val="-8"/>
        </w:rPr>
        <w:t> </w:t>
      </w:r>
      <w:r>
        <w:rPr/>
        <w:t>que</w:t>
      </w:r>
      <w:r>
        <w:rPr>
          <w:spacing w:val="-8"/>
        </w:rPr>
        <w:t> </w:t>
      </w:r>
      <w:r>
        <w:rPr/>
        <w:t>la</w:t>
      </w:r>
      <w:r>
        <w:rPr>
          <w:spacing w:val="-8"/>
        </w:rPr>
        <w:t> </w:t>
      </w:r>
      <w:r>
        <w:rPr/>
        <w:t>autorización</w:t>
      </w:r>
      <w:r>
        <w:rPr>
          <w:spacing w:val="-6"/>
        </w:rPr>
        <w:t> </w:t>
      </w:r>
      <w:r>
        <w:rPr/>
        <w:t>municipal</w:t>
      </w:r>
      <w:r>
        <w:rPr>
          <w:spacing w:val="-8"/>
        </w:rPr>
        <w:t> </w:t>
      </w:r>
      <w:r>
        <w:rPr/>
        <w:t>de los</w:t>
      </w:r>
      <w:r>
        <w:rPr>
          <w:spacing w:val="-7"/>
        </w:rPr>
        <w:t> </w:t>
      </w:r>
      <w:r>
        <w:rPr/>
        <w:t>fraccionamientos</w:t>
      </w:r>
      <w:r>
        <w:rPr>
          <w:spacing w:val="-6"/>
        </w:rPr>
        <w:t> </w:t>
      </w:r>
      <w:r>
        <w:rPr/>
        <w:t>y</w:t>
      </w:r>
      <w:r>
        <w:rPr>
          <w:spacing w:val="-4"/>
        </w:rPr>
        <w:t> </w:t>
      </w:r>
      <w:r>
        <w:rPr/>
        <w:t>condominios</w:t>
      </w:r>
      <w:r>
        <w:rPr>
          <w:spacing w:val="-7"/>
        </w:rPr>
        <w:t> </w:t>
      </w:r>
      <w:r>
        <w:rPr/>
        <w:t>debe otorgarse por la</w:t>
      </w:r>
      <w:r>
        <w:rPr>
          <w:spacing w:val="-2"/>
        </w:rPr>
        <w:t> </w:t>
      </w:r>
      <w:r>
        <w:rPr/>
        <w:t>Dirección Municipal</w:t>
      </w:r>
      <w:r>
        <w:rPr>
          <w:spacing w:val="-1"/>
        </w:rPr>
        <w:t> </w:t>
      </w:r>
      <w:r>
        <w:rPr/>
        <w:t>de</w:t>
      </w:r>
      <w:r>
        <w:rPr>
          <w:spacing w:val="-3"/>
        </w:rPr>
        <w:t> </w:t>
      </w:r>
      <w:r>
        <w:rPr/>
        <w:t>Desarrollo</w:t>
      </w:r>
      <w:r>
        <w:rPr>
          <w:spacing w:val="-2"/>
        </w:rPr>
        <w:t> </w:t>
      </w:r>
      <w:r>
        <w:rPr/>
        <w:t>Urbano o</w:t>
      </w:r>
      <w:r>
        <w:rPr>
          <w:spacing w:val="-2"/>
        </w:rPr>
        <w:t> </w:t>
      </w:r>
      <w:r>
        <w:rPr/>
        <w:t>su equivalente,</w:t>
      </w:r>
      <w:r>
        <w:rPr>
          <w:spacing w:val="-2"/>
        </w:rPr>
        <w:t> </w:t>
      </w:r>
      <w:r>
        <w:rPr/>
        <w:t>contando</w:t>
      </w:r>
      <w:r>
        <w:rPr>
          <w:spacing w:val="-2"/>
        </w:rPr>
        <w:t> </w:t>
      </w:r>
      <w:r>
        <w:rPr/>
        <w:t>con el</w:t>
      </w:r>
      <w:r>
        <w:rPr>
          <w:spacing w:val="-1"/>
        </w:rPr>
        <w:t> </w:t>
      </w:r>
      <w:r>
        <w:rPr/>
        <w:t>apoyo de una mesa de dictaminación de proyectos, como órgano auxiliar del ayuntamiento de carácter técnico y colegiado, con objeto de dar transparencia y despolitizar las autorizaciones, evitando abusos</w:t>
      </w:r>
      <w:r>
        <w:rPr>
          <w:spacing w:val="-11"/>
        </w:rPr>
        <w:t> </w:t>
      </w:r>
      <w:r>
        <w:rPr/>
        <w:t>de</w:t>
      </w:r>
      <w:r>
        <w:rPr>
          <w:spacing w:val="-13"/>
        </w:rPr>
        <w:t> </w:t>
      </w:r>
      <w:r>
        <w:rPr/>
        <w:t>autoridad</w:t>
      </w:r>
      <w:r>
        <w:rPr>
          <w:spacing w:val="-12"/>
        </w:rPr>
        <w:t> </w:t>
      </w:r>
      <w:r>
        <w:rPr/>
        <w:t>o</w:t>
      </w:r>
      <w:r>
        <w:rPr>
          <w:spacing w:val="-12"/>
        </w:rPr>
        <w:t> </w:t>
      </w:r>
      <w:r>
        <w:rPr/>
        <w:t>corrupción.</w:t>
      </w:r>
      <w:r>
        <w:rPr>
          <w:spacing w:val="-13"/>
        </w:rPr>
        <w:t> </w:t>
      </w:r>
      <w:r>
        <w:rPr/>
        <w:t>Igualmente</w:t>
      </w:r>
      <w:r>
        <w:rPr>
          <w:spacing w:val="-12"/>
        </w:rPr>
        <w:t> </w:t>
      </w:r>
      <w:r>
        <w:rPr/>
        <w:t>se</w:t>
      </w:r>
      <w:r>
        <w:rPr>
          <w:spacing w:val="-12"/>
        </w:rPr>
        <w:t> </w:t>
      </w:r>
      <w:r>
        <w:rPr/>
        <w:t>establecen</w:t>
      </w:r>
      <w:r>
        <w:rPr>
          <w:spacing w:val="-12"/>
        </w:rPr>
        <w:t> </w:t>
      </w:r>
      <w:r>
        <w:rPr/>
        <w:t>las</w:t>
      </w:r>
      <w:r>
        <w:rPr>
          <w:spacing w:val="-11"/>
        </w:rPr>
        <w:t> </w:t>
      </w:r>
      <w:r>
        <w:rPr/>
        <w:t>condiciones,</w:t>
      </w:r>
      <w:r>
        <w:rPr>
          <w:spacing w:val="-12"/>
        </w:rPr>
        <w:t> </w:t>
      </w:r>
      <w:r>
        <w:rPr/>
        <w:t>para</w:t>
      </w:r>
      <w:r>
        <w:rPr>
          <w:spacing w:val="-12"/>
        </w:rPr>
        <w:t> </w:t>
      </w:r>
      <w:r>
        <w:rPr/>
        <w:t>mejorar</w:t>
      </w:r>
      <w:r>
        <w:rPr>
          <w:spacing w:val="-11"/>
        </w:rPr>
        <w:t> </w:t>
      </w:r>
      <w:r>
        <w:rPr/>
        <w:t>la</w:t>
      </w:r>
      <w:r>
        <w:rPr>
          <w:spacing w:val="-12"/>
        </w:rPr>
        <w:t> </w:t>
      </w:r>
      <w:r>
        <w:rPr/>
        <w:t>calidad de</w:t>
      </w:r>
      <w:r>
        <w:rPr>
          <w:spacing w:val="-3"/>
        </w:rPr>
        <w:t> </w:t>
      </w:r>
      <w:r>
        <w:rPr/>
        <w:t>vida</w:t>
      </w:r>
      <w:r>
        <w:rPr>
          <w:spacing w:val="-2"/>
        </w:rPr>
        <w:t> </w:t>
      </w:r>
      <w:r>
        <w:rPr/>
        <w:t>y</w:t>
      </w:r>
      <w:r>
        <w:rPr>
          <w:spacing w:val="-1"/>
        </w:rPr>
        <w:t> </w:t>
      </w:r>
      <w:r>
        <w:rPr/>
        <w:t>las</w:t>
      </w:r>
      <w:r>
        <w:rPr>
          <w:spacing w:val="-1"/>
        </w:rPr>
        <w:t> </w:t>
      </w:r>
      <w:r>
        <w:rPr/>
        <w:t>condiciones</w:t>
      </w:r>
      <w:r>
        <w:rPr>
          <w:spacing w:val="-1"/>
        </w:rPr>
        <w:t> </w:t>
      </w:r>
      <w:r>
        <w:rPr/>
        <w:t>de</w:t>
      </w:r>
      <w:r>
        <w:rPr>
          <w:spacing w:val="-2"/>
        </w:rPr>
        <w:t> </w:t>
      </w:r>
      <w:r>
        <w:rPr/>
        <w:t>habitabilidad de los</w:t>
      </w:r>
      <w:r>
        <w:rPr>
          <w:spacing w:val="-1"/>
        </w:rPr>
        <w:t> </w:t>
      </w:r>
      <w:r>
        <w:rPr/>
        <w:t>beneficiarios</w:t>
      </w:r>
      <w:r>
        <w:rPr>
          <w:spacing w:val="-1"/>
        </w:rPr>
        <w:t> </w:t>
      </w:r>
      <w:r>
        <w:rPr/>
        <w:t>con</w:t>
      </w:r>
      <w:r>
        <w:rPr>
          <w:spacing w:val="-3"/>
        </w:rPr>
        <w:t> </w:t>
      </w:r>
      <w:r>
        <w:rPr/>
        <w:t>ingresos</w:t>
      </w:r>
      <w:r>
        <w:rPr>
          <w:spacing w:val="-1"/>
        </w:rPr>
        <w:t> </w:t>
      </w:r>
      <w:r>
        <w:rPr/>
        <w:t>menores a</w:t>
      </w:r>
      <w:r>
        <w:rPr>
          <w:spacing w:val="-2"/>
        </w:rPr>
        <w:t> </w:t>
      </w:r>
      <w:r>
        <w:rPr/>
        <w:t>uno</w:t>
      </w:r>
      <w:r>
        <w:rPr>
          <w:spacing w:val="-2"/>
        </w:rPr>
        <w:t> </w:t>
      </w:r>
      <w:r>
        <w:rPr/>
        <w:t>y</w:t>
      </w:r>
      <w:r>
        <w:rPr>
          <w:spacing w:val="-1"/>
        </w:rPr>
        <w:t> </w:t>
      </w:r>
      <w:r>
        <w:rPr/>
        <w:t>medio salarios mínimos, que no cuentan con INFONAVIT, FOVISSSTE o no son sujetos de crédito en la Banca o en organismos públicos de vivienda; y se determina que únicamente se podrá autorizar la urbanización progresiva en los fraccionamientos habitacionales urbanos de interés social, para impedir</w:t>
      </w:r>
      <w:r>
        <w:rPr>
          <w:spacing w:val="-3"/>
        </w:rPr>
        <w:t> </w:t>
      </w:r>
      <w:r>
        <w:rPr/>
        <w:t>la</w:t>
      </w:r>
      <w:r>
        <w:rPr>
          <w:spacing w:val="-2"/>
        </w:rPr>
        <w:t> </w:t>
      </w:r>
      <w:r>
        <w:rPr/>
        <w:t>defraudación</w:t>
      </w:r>
      <w:r>
        <w:rPr>
          <w:spacing w:val="-2"/>
        </w:rPr>
        <w:t> </w:t>
      </w:r>
      <w:r>
        <w:rPr/>
        <w:t>de los</w:t>
      </w:r>
      <w:r>
        <w:rPr>
          <w:spacing w:val="-3"/>
        </w:rPr>
        <w:t> </w:t>
      </w:r>
      <w:r>
        <w:rPr/>
        <w:t>adquirentes</w:t>
      </w:r>
      <w:r>
        <w:rPr>
          <w:spacing w:val="-3"/>
        </w:rPr>
        <w:t> </w:t>
      </w:r>
      <w:r>
        <w:rPr/>
        <w:t>de</w:t>
      </w:r>
      <w:r>
        <w:rPr>
          <w:spacing w:val="-3"/>
        </w:rPr>
        <w:t> </w:t>
      </w:r>
      <w:r>
        <w:rPr/>
        <w:t>lotes,</w:t>
      </w:r>
      <w:r>
        <w:rPr>
          <w:spacing w:val="-4"/>
        </w:rPr>
        <w:t> </w:t>
      </w:r>
      <w:r>
        <w:rPr/>
        <w:t>pero</w:t>
      </w:r>
      <w:r>
        <w:rPr>
          <w:spacing w:val="-4"/>
        </w:rPr>
        <w:t> </w:t>
      </w:r>
      <w:r>
        <w:rPr/>
        <w:t>aclarando</w:t>
      </w:r>
      <w:r>
        <w:rPr>
          <w:spacing w:val="-2"/>
        </w:rPr>
        <w:t> </w:t>
      </w:r>
      <w:r>
        <w:rPr/>
        <w:t>que,</w:t>
      </w:r>
      <w:r>
        <w:rPr>
          <w:spacing w:val="-4"/>
        </w:rPr>
        <w:t> </w:t>
      </w:r>
      <w:r>
        <w:rPr/>
        <w:t>en</w:t>
      </w:r>
      <w:r>
        <w:rPr>
          <w:spacing w:val="-4"/>
        </w:rPr>
        <w:t> </w:t>
      </w:r>
      <w:r>
        <w:rPr/>
        <w:t>este</w:t>
      </w:r>
      <w:r>
        <w:rPr>
          <w:spacing w:val="-2"/>
        </w:rPr>
        <w:t> </w:t>
      </w:r>
      <w:r>
        <w:rPr/>
        <w:t>tipo</w:t>
      </w:r>
      <w:r>
        <w:rPr>
          <w:spacing w:val="-5"/>
        </w:rPr>
        <w:t> </w:t>
      </w:r>
      <w:r>
        <w:rPr/>
        <w:t>de</w:t>
      </w:r>
      <w:r>
        <w:rPr>
          <w:spacing w:val="-4"/>
        </w:rPr>
        <w:t> </w:t>
      </w:r>
      <w:r>
        <w:rPr/>
        <w:t>desarrollos inmobiliarios, podrán participar los particulares o empresas sociales, en coordinación con una autoridad u organismo público de vivienda o de desarrollo urbano, previo estudio socioeconómico del caso, ajustándose a los lineamientos previstos en los programas de desarrollo urbano, y garantizando</w:t>
      </w:r>
      <w:r>
        <w:rPr>
          <w:spacing w:val="-4"/>
        </w:rPr>
        <w:t> </w:t>
      </w:r>
      <w:r>
        <w:rPr/>
        <w:t>fehacientemente</w:t>
      </w:r>
      <w:r>
        <w:rPr>
          <w:spacing w:val="-1"/>
        </w:rPr>
        <w:t> </w:t>
      </w:r>
      <w:r>
        <w:rPr/>
        <w:t>la</w:t>
      </w:r>
      <w:r>
        <w:rPr>
          <w:spacing w:val="-1"/>
        </w:rPr>
        <w:t> </w:t>
      </w:r>
      <w:r>
        <w:rPr/>
        <w:t>ejecución</w:t>
      </w:r>
      <w:r>
        <w:rPr>
          <w:spacing w:val="-3"/>
        </w:rPr>
        <w:t> </w:t>
      </w:r>
      <w:r>
        <w:rPr/>
        <w:t>de</w:t>
      </w:r>
      <w:r>
        <w:rPr>
          <w:spacing w:val="-1"/>
        </w:rPr>
        <w:t> </w:t>
      </w:r>
      <w:r>
        <w:rPr/>
        <w:t>las</w:t>
      </w:r>
      <w:r>
        <w:rPr>
          <w:spacing w:val="-2"/>
        </w:rPr>
        <w:t> </w:t>
      </w:r>
      <w:r>
        <w:rPr/>
        <w:t>obras</w:t>
      </w:r>
      <w:r>
        <w:rPr>
          <w:spacing w:val="-2"/>
        </w:rPr>
        <w:t> </w:t>
      </w:r>
      <w:r>
        <w:rPr/>
        <w:t>mínimas de</w:t>
      </w:r>
      <w:r>
        <w:rPr>
          <w:spacing w:val="-1"/>
        </w:rPr>
        <w:t> </w:t>
      </w:r>
      <w:r>
        <w:rPr/>
        <w:t>urbanización</w:t>
      </w:r>
      <w:r>
        <w:rPr>
          <w:spacing w:val="-1"/>
        </w:rPr>
        <w:t> </w:t>
      </w:r>
      <w:r>
        <w:rPr/>
        <w:t>que</w:t>
      </w:r>
      <w:r>
        <w:rPr>
          <w:spacing w:val="-3"/>
        </w:rPr>
        <w:t> </w:t>
      </w:r>
      <w:r>
        <w:rPr/>
        <w:t>se requieran en la autorización respectiva.</w:t>
      </w:r>
    </w:p>
    <w:p>
      <w:pPr>
        <w:pStyle w:val="BodyText"/>
      </w:pPr>
    </w:p>
    <w:p>
      <w:pPr>
        <w:pStyle w:val="BodyText"/>
        <w:spacing w:before="1"/>
        <w:ind w:left="262" w:right="276"/>
        <w:jc w:val="both"/>
      </w:pPr>
      <w:r>
        <w:rPr/>
        <w:t>Se consignan las bases normativas para promover por cuestiones de redensificación y sustentabilidad urbana, el aprovechamiento óptimo de infraestructura, equipamiento y servicios, seguridad y diseño, la edificación de vivienda multifamiliar o en edificios en los diversos tipos de fraccionamientos</w:t>
      </w:r>
      <w:r>
        <w:rPr>
          <w:spacing w:val="-10"/>
        </w:rPr>
        <w:t> </w:t>
      </w:r>
      <w:r>
        <w:rPr/>
        <w:t>habitacionales</w:t>
      </w:r>
      <w:r>
        <w:rPr>
          <w:spacing w:val="-13"/>
        </w:rPr>
        <w:t> </w:t>
      </w:r>
      <w:r>
        <w:rPr/>
        <w:t>en</w:t>
      </w:r>
      <w:r>
        <w:rPr>
          <w:spacing w:val="-12"/>
        </w:rPr>
        <w:t> </w:t>
      </w:r>
      <w:r>
        <w:rPr/>
        <w:t>las</w:t>
      </w:r>
      <w:r>
        <w:rPr>
          <w:spacing w:val="-13"/>
        </w:rPr>
        <w:t> </w:t>
      </w:r>
      <w:r>
        <w:rPr/>
        <w:t>zonas</w:t>
      </w:r>
      <w:r>
        <w:rPr>
          <w:spacing w:val="-12"/>
        </w:rPr>
        <w:t> </w:t>
      </w:r>
      <w:r>
        <w:rPr/>
        <w:t>que</w:t>
      </w:r>
      <w:r>
        <w:rPr>
          <w:spacing w:val="-14"/>
        </w:rPr>
        <w:t> </w:t>
      </w:r>
      <w:r>
        <w:rPr/>
        <w:t>se</w:t>
      </w:r>
      <w:r>
        <w:rPr>
          <w:spacing w:val="-14"/>
        </w:rPr>
        <w:t> </w:t>
      </w:r>
      <w:r>
        <w:rPr/>
        <w:t>señalen</w:t>
      </w:r>
      <w:r>
        <w:rPr>
          <w:spacing w:val="-12"/>
        </w:rPr>
        <w:t> </w:t>
      </w:r>
      <w:r>
        <w:rPr/>
        <w:t>en</w:t>
      </w:r>
      <w:r>
        <w:rPr>
          <w:spacing w:val="-12"/>
        </w:rPr>
        <w:t> </w:t>
      </w:r>
      <w:r>
        <w:rPr/>
        <w:t>la</w:t>
      </w:r>
      <w:r>
        <w:rPr>
          <w:spacing w:val="-12"/>
        </w:rPr>
        <w:t> </w:t>
      </w:r>
      <w:r>
        <w:rPr/>
        <w:t>autorización,</w:t>
      </w:r>
      <w:r>
        <w:rPr>
          <w:spacing w:val="-14"/>
        </w:rPr>
        <w:t> </w:t>
      </w:r>
      <w:r>
        <w:rPr/>
        <w:t>y</w:t>
      </w:r>
      <w:r>
        <w:rPr>
          <w:spacing w:val="-10"/>
        </w:rPr>
        <w:t> </w:t>
      </w:r>
      <w:r>
        <w:rPr/>
        <w:t>en</w:t>
      </w:r>
      <w:r>
        <w:rPr>
          <w:spacing w:val="-14"/>
        </w:rPr>
        <w:t> </w:t>
      </w:r>
      <w:r>
        <w:rPr/>
        <w:t>los</w:t>
      </w:r>
      <w:r>
        <w:rPr>
          <w:spacing w:val="-13"/>
        </w:rPr>
        <w:t> </w:t>
      </w:r>
      <w:r>
        <w:rPr/>
        <w:t>porcentajes de superficie vendible que procedan, tomando en cuenta las densidades de población y construcción, así como la suficiente y adecuada prestación de servicios urbanos; al tiempo que de acuerdo a la política nacional en la materia, se genera el enlace con la Ley Federal de Vivienda, a fin de buscar que las ciudades se redensifiquen y crezcan sin generar la expansión que tradicionalmente no ha permitido la adecuada prestación de los servicios públicos municipales.</w:t>
      </w:r>
    </w:p>
    <w:p>
      <w:pPr>
        <w:pStyle w:val="BodyText"/>
        <w:spacing w:before="230"/>
        <w:ind w:left="262" w:right="280"/>
        <w:jc w:val="both"/>
      </w:pPr>
      <w:r>
        <w:rPr/>
        <w:t>Se</w:t>
      </w:r>
      <w:r>
        <w:rPr>
          <w:spacing w:val="-4"/>
        </w:rPr>
        <w:t> </w:t>
      </w:r>
      <w:r>
        <w:rPr/>
        <w:t>incluye</w:t>
      </w:r>
      <w:r>
        <w:rPr>
          <w:spacing w:val="-7"/>
        </w:rPr>
        <w:t> </w:t>
      </w:r>
      <w:r>
        <w:rPr/>
        <w:t>también</w:t>
      </w:r>
      <w:r>
        <w:rPr>
          <w:spacing w:val="-5"/>
        </w:rPr>
        <w:t> </w:t>
      </w:r>
      <w:r>
        <w:rPr/>
        <w:t>la</w:t>
      </w:r>
      <w:r>
        <w:rPr>
          <w:spacing w:val="-7"/>
        </w:rPr>
        <w:t> </w:t>
      </w:r>
      <w:r>
        <w:rPr/>
        <w:t>regulación</w:t>
      </w:r>
      <w:r>
        <w:rPr>
          <w:spacing w:val="-5"/>
        </w:rPr>
        <w:t> </w:t>
      </w:r>
      <w:r>
        <w:rPr/>
        <w:t>relativa</w:t>
      </w:r>
      <w:r>
        <w:rPr>
          <w:spacing w:val="-5"/>
        </w:rPr>
        <w:t> </w:t>
      </w:r>
      <w:r>
        <w:rPr/>
        <w:t>a</w:t>
      </w:r>
      <w:r>
        <w:rPr>
          <w:spacing w:val="40"/>
        </w:rPr>
        <w:t> </w:t>
      </w:r>
      <w:r>
        <w:rPr/>
        <w:t>la</w:t>
      </w:r>
      <w:r>
        <w:rPr>
          <w:spacing w:val="-5"/>
        </w:rPr>
        <w:t> </w:t>
      </w:r>
      <w:r>
        <w:rPr/>
        <w:t>urbanización,</w:t>
      </w:r>
      <w:r>
        <w:rPr>
          <w:spacing w:val="-6"/>
        </w:rPr>
        <w:t> </w:t>
      </w:r>
      <w:r>
        <w:rPr/>
        <w:t>supervisión</w:t>
      </w:r>
      <w:r>
        <w:rPr>
          <w:spacing w:val="-7"/>
        </w:rPr>
        <w:t> </w:t>
      </w:r>
      <w:r>
        <w:rPr/>
        <w:t>y</w:t>
      </w:r>
      <w:r>
        <w:rPr>
          <w:spacing w:val="-3"/>
        </w:rPr>
        <w:t> </w:t>
      </w:r>
      <w:r>
        <w:rPr/>
        <w:t>prestación</w:t>
      </w:r>
      <w:r>
        <w:rPr>
          <w:spacing w:val="-7"/>
        </w:rPr>
        <w:t> </w:t>
      </w:r>
      <w:r>
        <w:rPr/>
        <w:t>de</w:t>
      </w:r>
      <w:r>
        <w:rPr>
          <w:spacing w:val="-7"/>
        </w:rPr>
        <w:t> </w:t>
      </w:r>
      <w:r>
        <w:rPr/>
        <w:t>servicios</w:t>
      </w:r>
      <w:r>
        <w:rPr>
          <w:spacing w:val="-6"/>
        </w:rPr>
        <w:t> </w:t>
      </w:r>
      <w:r>
        <w:rPr/>
        <w:t>en los fraccionamientos, condominios y desarrollos inmobiliarios especiales;</w:t>
      </w:r>
      <w:r>
        <w:rPr>
          <w:spacing w:val="40"/>
        </w:rPr>
        <w:t> </w:t>
      </w:r>
      <w:r>
        <w:rPr/>
        <w:t>sobre las obras de urbanización señala que los fraccionamientos deben contar con dichas obras, de conformidad con lo</w:t>
      </w:r>
      <w:r>
        <w:rPr>
          <w:spacing w:val="38"/>
        </w:rPr>
        <w:t> </w:t>
      </w:r>
      <w:r>
        <w:rPr/>
        <w:t>que</w:t>
      </w:r>
      <w:r>
        <w:rPr>
          <w:spacing w:val="38"/>
        </w:rPr>
        <w:t> </w:t>
      </w:r>
      <w:r>
        <w:rPr/>
        <w:t>a</w:t>
      </w:r>
      <w:r>
        <w:rPr>
          <w:spacing w:val="38"/>
        </w:rPr>
        <w:t> </w:t>
      </w:r>
      <w:r>
        <w:rPr/>
        <w:t>cada</w:t>
      </w:r>
      <w:r>
        <w:rPr>
          <w:spacing w:val="38"/>
        </w:rPr>
        <w:t> </w:t>
      </w:r>
      <w:r>
        <w:rPr/>
        <w:t>autoridad</w:t>
      </w:r>
      <w:r>
        <w:rPr>
          <w:spacing w:val="38"/>
        </w:rPr>
        <w:t> </w:t>
      </w:r>
      <w:r>
        <w:rPr/>
        <w:t>corresponda;</w:t>
      </w:r>
      <w:r>
        <w:rPr>
          <w:spacing w:val="40"/>
        </w:rPr>
        <w:t> </w:t>
      </w:r>
      <w:r>
        <w:rPr/>
        <w:t>igualmente</w:t>
      </w:r>
      <w:r>
        <w:rPr>
          <w:spacing w:val="38"/>
        </w:rPr>
        <w:t> </w:t>
      </w:r>
      <w:r>
        <w:rPr/>
        <w:t>se</w:t>
      </w:r>
      <w:r>
        <w:rPr>
          <w:spacing w:val="38"/>
        </w:rPr>
        <w:t> </w:t>
      </w:r>
      <w:r>
        <w:rPr/>
        <w:t>establece</w:t>
      </w:r>
      <w:r>
        <w:rPr>
          <w:spacing w:val="38"/>
        </w:rPr>
        <w:t> </w:t>
      </w:r>
      <w:r>
        <w:rPr/>
        <w:t>la</w:t>
      </w:r>
      <w:r>
        <w:rPr>
          <w:spacing w:val="38"/>
        </w:rPr>
        <w:t> </w:t>
      </w:r>
      <w:r>
        <w:rPr/>
        <w:t>supervisión</w:t>
      </w:r>
      <w:r>
        <w:rPr>
          <w:spacing w:val="40"/>
        </w:rPr>
        <w:t> </w:t>
      </w:r>
      <w:r>
        <w:rPr/>
        <w:t>de</w:t>
      </w:r>
      <w:r>
        <w:rPr>
          <w:spacing w:val="38"/>
        </w:rPr>
        <w:t> </w:t>
      </w:r>
      <w:r>
        <w:rPr/>
        <w:t>las</w:t>
      </w:r>
      <w:r>
        <w:rPr>
          <w:spacing w:val="39"/>
        </w:rPr>
        <w:t> </w:t>
      </w:r>
      <w:r>
        <w:rPr/>
        <w:t>obras</w:t>
      </w:r>
      <w:r>
        <w:rPr>
          <w:spacing w:val="39"/>
        </w:rPr>
        <w:t> </w:t>
      </w:r>
      <w:r>
        <w:rPr/>
        <w:t>de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0"/>
        <w:jc w:val="both"/>
      </w:pPr>
      <w:r>
        <w:rPr/>
        <w:t>urbanización</w:t>
      </w:r>
      <w:r>
        <w:rPr>
          <w:spacing w:val="-14"/>
        </w:rPr>
        <w:t> </w:t>
      </w:r>
      <w:r>
        <w:rPr/>
        <w:t>por</w:t>
      </w:r>
      <w:r>
        <w:rPr>
          <w:spacing w:val="-14"/>
        </w:rPr>
        <w:t> </w:t>
      </w:r>
      <w:r>
        <w:rPr/>
        <w:t>parte</w:t>
      </w:r>
      <w:r>
        <w:rPr>
          <w:spacing w:val="-14"/>
        </w:rPr>
        <w:t> </w:t>
      </w:r>
      <w:r>
        <w:rPr/>
        <w:t>de</w:t>
      </w:r>
      <w:r>
        <w:rPr>
          <w:spacing w:val="-12"/>
        </w:rPr>
        <w:t> </w:t>
      </w:r>
      <w:r>
        <w:rPr/>
        <w:t>los</w:t>
      </w:r>
      <w:r>
        <w:rPr>
          <w:spacing w:val="-13"/>
        </w:rPr>
        <w:t> </w:t>
      </w:r>
      <w:r>
        <w:rPr/>
        <w:t>ayuntamientos,</w:t>
      </w:r>
      <w:r>
        <w:rPr>
          <w:spacing w:val="-12"/>
        </w:rPr>
        <w:t> </w:t>
      </w:r>
      <w:r>
        <w:rPr/>
        <w:t>a</w:t>
      </w:r>
      <w:r>
        <w:rPr>
          <w:spacing w:val="-14"/>
        </w:rPr>
        <w:t> </w:t>
      </w:r>
      <w:r>
        <w:rPr/>
        <w:t>fin</w:t>
      </w:r>
      <w:r>
        <w:rPr>
          <w:spacing w:val="-12"/>
        </w:rPr>
        <w:t> </w:t>
      </w:r>
      <w:r>
        <w:rPr/>
        <w:t>de</w:t>
      </w:r>
      <w:r>
        <w:rPr>
          <w:spacing w:val="-13"/>
        </w:rPr>
        <w:t> </w:t>
      </w:r>
      <w:r>
        <w:rPr/>
        <w:t>garantizar</w:t>
      </w:r>
      <w:r>
        <w:rPr>
          <w:spacing w:val="-11"/>
        </w:rPr>
        <w:t> </w:t>
      </w:r>
      <w:r>
        <w:rPr/>
        <w:t>que</w:t>
      </w:r>
      <w:r>
        <w:rPr>
          <w:spacing w:val="-14"/>
        </w:rPr>
        <w:t> </w:t>
      </w:r>
      <w:r>
        <w:rPr/>
        <w:t>se</w:t>
      </w:r>
      <w:r>
        <w:rPr>
          <w:spacing w:val="-13"/>
        </w:rPr>
        <w:t> </w:t>
      </w:r>
      <w:r>
        <w:rPr/>
        <w:t>cumplan</w:t>
      </w:r>
      <w:r>
        <w:rPr>
          <w:spacing w:val="-12"/>
        </w:rPr>
        <w:t> </w:t>
      </w:r>
      <w:r>
        <w:rPr/>
        <w:t>las</w:t>
      </w:r>
      <w:r>
        <w:rPr>
          <w:spacing w:val="-11"/>
        </w:rPr>
        <w:t> </w:t>
      </w:r>
      <w:r>
        <w:rPr/>
        <w:t>especificaciones técnicas del proyecto, así como con la calidad de los materiales, obras y servicios, y requisitos de seguridad que corresponde; y se disponen las reglas para su dictaminación y conclusión. Finalmente, se señala lo relativo a los servicios mínimos con que deberán contar, y se regula su </w:t>
      </w:r>
      <w:r>
        <w:rPr>
          <w:spacing w:val="-2"/>
        </w:rPr>
        <w:t>prestación.</w:t>
      </w:r>
    </w:p>
    <w:p>
      <w:pPr>
        <w:pStyle w:val="BodyText"/>
      </w:pPr>
    </w:p>
    <w:p>
      <w:pPr>
        <w:pStyle w:val="BodyText"/>
        <w:ind w:left="262" w:right="278"/>
        <w:jc w:val="both"/>
      </w:pPr>
      <w:r>
        <w:rPr/>
        <w:t>Se</w:t>
      </w:r>
      <w:r>
        <w:rPr>
          <w:spacing w:val="-14"/>
        </w:rPr>
        <w:t> </w:t>
      </w:r>
      <w:r>
        <w:rPr/>
        <w:t>determinan</w:t>
      </w:r>
      <w:r>
        <w:rPr>
          <w:spacing w:val="-12"/>
        </w:rPr>
        <w:t> </w:t>
      </w:r>
      <w:r>
        <w:rPr/>
        <w:t>los</w:t>
      </w:r>
      <w:r>
        <w:rPr>
          <w:spacing w:val="-13"/>
        </w:rPr>
        <w:t> </w:t>
      </w:r>
      <w:r>
        <w:rPr/>
        <w:t>derechos</w:t>
      </w:r>
      <w:r>
        <w:rPr>
          <w:spacing w:val="-12"/>
        </w:rPr>
        <w:t> </w:t>
      </w:r>
      <w:r>
        <w:rPr/>
        <w:t>y</w:t>
      </w:r>
      <w:r>
        <w:rPr>
          <w:spacing w:val="-12"/>
        </w:rPr>
        <w:t> </w:t>
      </w:r>
      <w:r>
        <w:rPr/>
        <w:t>obligaciones</w:t>
      </w:r>
      <w:r>
        <w:rPr>
          <w:spacing w:val="-10"/>
        </w:rPr>
        <w:t> </w:t>
      </w:r>
      <w:r>
        <w:rPr/>
        <w:t>del</w:t>
      </w:r>
      <w:r>
        <w:rPr>
          <w:spacing w:val="-12"/>
        </w:rPr>
        <w:t> </w:t>
      </w:r>
      <w:r>
        <w:rPr/>
        <w:t>fraccionador,</w:t>
      </w:r>
      <w:r>
        <w:rPr>
          <w:spacing w:val="-14"/>
        </w:rPr>
        <w:t> </w:t>
      </w:r>
      <w:r>
        <w:rPr/>
        <w:t>y</w:t>
      </w:r>
      <w:r>
        <w:rPr>
          <w:spacing w:val="-10"/>
        </w:rPr>
        <w:t> </w:t>
      </w:r>
      <w:r>
        <w:rPr/>
        <w:t>de</w:t>
      </w:r>
      <w:r>
        <w:rPr>
          <w:spacing w:val="-12"/>
        </w:rPr>
        <w:t> </w:t>
      </w:r>
      <w:r>
        <w:rPr/>
        <w:t>los</w:t>
      </w:r>
      <w:r>
        <w:rPr>
          <w:spacing w:val="-13"/>
        </w:rPr>
        <w:t> </w:t>
      </w:r>
      <w:r>
        <w:rPr/>
        <w:t>propietarios</w:t>
      </w:r>
      <w:r>
        <w:rPr>
          <w:spacing w:val="-10"/>
        </w:rPr>
        <w:t> </w:t>
      </w:r>
      <w:r>
        <w:rPr/>
        <w:t>de</w:t>
      </w:r>
      <w:r>
        <w:rPr>
          <w:spacing w:val="-14"/>
        </w:rPr>
        <w:t> </w:t>
      </w:r>
      <w:r>
        <w:rPr/>
        <w:t>lotes</w:t>
      </w:r>
      <w:r>
        <w:rPr>
          <w:spacing w:val="-12"/>
        </w:rPr>
        <w:t> </w:t>
      </w:r>
      <w:r>
        <w:rPr/>
        <w:t>y,</w:t>
      </w:r>
      <w:r>
        <w:rPr>
          <w:spacing w:val="-14"/>
        </w:rPr>
        <w:t> </w:t>
      </w:r>
      <w:r>
        <w:rPr/>
        <w:t>al</w:t>
      </w:r>
      <w:r>
        <w:rPr>
          <w:spacing w:val="-14"/>
        </w:rPr>
        <w:t> </w:t>
      </w:r>
      <w:r>
        <w:rPr/>
        <w:t>efecto señala que éstos deberán sujetarse estrictamente a las normas aplicables en la materia, observándose, en todo caso, las limitaciones de dominio, servidumbres, uso de suelo y características especiales de arquitectura y ornato, así como las restricciones propias del fraccionamiento a que se refiere la presente Ley.</w:t>
      </w:r>
    </w:p>
    <w:p>
      <w:pPr>
        <w:pStyle w:val="BodyText"/>
        <w:spacing w:before="1"/>
      </w:pPr>
    </w:p>
    <w:p>
      <w:pPr>
        <w:pStyle w:val="BodyText"/>
        <w:ind w:left="262" w:right="279"/>
        <w:jc w:val="both"/>
      </w:pPr>
      <w:r>
        <w:rPr/>
        <w:t>Igualmente se contemplan disposiciones sobre la venta, escrituración pública y registro de los fraccionamientos, condominios y demás desarrollos inmobiliarios, con el propósito de garantizar la certeza y seguridad jurídica de los adquirentes, e impulsar la inversión y el desarrollo inmobiliario. La</w:t>
      </w:r>
      <w:r>
        <w:rPr>
          <w:spacing w:val="-3"/>
        </w:rPr>
        <w:t> </w:t>
      </w:r>
      <w:r>
        <w:rPr/>
        <w:t>escrituración</w:t>
      </w:r>
      <w:r>
        <w:rPr>
          <w:spacing w:val="-4"/>
        </w:rPr>
        <w:t> </w:t>
      </w:r>
      <w:r>
        <w:rPr/>
        <w:t>y</w:t>
      </w:r>
      <w:r>
        <w:rPr>
          <w:spacing w:val="-1"/>
        </w:rPr>
        <w:t> </w:t>
      </w:r>
      <w:r>
        <w:rPr/>
        <w:t>registro,</w:t>
      </w:r>
      <w:r>
        <w:rPr>
          <w:spacing w:val="-2"/>
        </w:rPr>
        <w:t> </w:t>
      </w:r>
      <w:r>
        <w:rPr/>
        <w:t>responsabiliza</w:t>
      </w:r>
      <w:r>
        <w:rPr>
          <w:spacing w:val="-2"/>
        </w:rPr>
        <w:t> </w:t>
      </w:r>
      <w:r>
        <w:rPr/>
        <w:t>a</w:t>
      </w:r>
      <w:r>
        <w:rPr>
          <w:spacing w:val="40"/>
        </w:rPr>
        <w:t> </w:t>
      </w:r>
      <w:r>
        <w:rPr/>
        <w:t>los</w:t>
      </w:r>
      <w:r>
        <w:rPr>
          <w:spacing w:val="-3"/>
        </w:rPr>
        <w:t> </w:t>
      </w:r>
      <w:r>
        <w:rPr/>
        <w:t>Notarios</w:t>
      </w:r>
      <w:r>
        <w:rPr>
          <w:spacing w:val="-3"/>
        </w:rPr>
        <w:t> </w:t>
      </w:r>
      <w:r>
        <w:rPr/>
        <w:t>Públicos</w:t>
      </w:r>
      <w:r>
        <w:rPr>
          <w:spacing w:val="-1"/>
        </w:rPr>
        <w:t> </w:t>
      </w:r>
      <w:r>
        <w:rPr/>
        <w:t>para</w:t>
      </w:r>
      <w:r>
        <w:rPr>
          <w:spacing w:val="-2"/>
        </w:rPr>
        <w:t> </w:t>
      </w:r>
      <w:r>
        <w:rPr/>
        <w:t>autorizar</w:t>
      </w:r>
      <w:r>
        <w:rPr>
          <w:spacing w:val="-1"/>
        </w:rPr>
        <w:t> </w:t>
      </w:r>
      <w:r>
        <w:rPr/>
        <w:t>o</w:t>
      </w:r>
      <w:r>
        <w:rPr>
          <w:spacing w:val="-4"/>
        </w:rPr>
        <w:t> </w:t>
      </w:r>
      <w:r>
        <w:rPr/>
        <w:t>autenticar</w:t>
      </w:r>
      <w:r>
        <w:rPr>
          <w:spacing w:val="-1"/>
        </w:rPr>
        <w:t> </w:t>
      </w:r>
      <w:r>
        <w:rPr/>
        <w:t>actos, </w:t>
      </w:r>
      <w:r>
        <w:rPr>
          <w:spacing w:val="-2"/>
        </w:rPr>
        <w:t>convenios</w:t>
      </w:r>
      <w:r>
        <w:rPr>
          <w:spacing w:val="-4"/>
        </w:rPr>
        <w:t> </w:t>
      </w:r>
      <w:r>
        <w:rPr>
          <w:spacing w:val="-2"/>
        </w:rPr>
        <w:t>y</w:t>
      </w:r>
      <w:r>
        <w:rPr>
          <w:spacing w:val="-3"/>
        </w:rPr>
        <w:t> </w:t>
      </w:r>
      <w:r>
        <w:rPr>
          <w:spacing w:val="-2"/>
        </w:rPr>
        <w:t>contratos</w:t>
      </w:r>
      <w:r>
        <w:rPr>
          <w:spacing w:val="-4"/>
        </w:rPr>
        <w:t> </w:t>
      </w:r>
      <w:r>
        <w:rPr>
          <w:spacing w:val="-2"/>
        </w:rPr>
        <w:t>para que verifiquen</w:t>
      </w:r>
      <w:r>
        <w:rPr>
          <w:spacing w:val="-3"/>
        </w:rPr>
        <w:t> </w:t>
      </w:r>
      <w:r>
        <w:rPr>
          <w:spacing w:val="-2"/>
        </w:rPr>
        <w:t>que cuentan con</w:t>
      </w:r>
      <w:r>
        <w:rPr>
          <w:spacing w:val="-6"/>
        </w:rPr>
        <w:t> </w:t>
      </w:r>
      <w:r>
        <w:rPr>
          <w:spacing w:val="-2"/>
        </w:rPr>
        <w:t>las</w:t>
      </w:r>
      <w:r>
        <w:rPr>
          <w:spacing w:val="-4"/>
        </w:rPr>
        <w:t> </w:t>
      </w:r>
      <w:r>
        <w:rPr>
          <w:spacing w:val="-2"/>
        </w:rPr>
        <w:t>constancias, autorizaciones,</w:t>
      </w:r>
      <w:r>
        <w:rPr>
          <w:spacing w:val="-4"/>
        </w:rPr>
        <w:t> </w:t>
      </w:r>
      <w:r>
        <w:rPr>
          <w:spacing w:val="-2"/>
        </w:rPr>
        <w:t>permisos </w:t>
      </w:r>
      <w:r>
        <w:rPr/>
        <w:t>y licencias que las autoridades competentes expidan conforme a la Ley y sus disposiciones </w:t>
      </w:r>
      <w:r>
        <w:rPr>
          <w:spacing w:val="-2"/>
        </w:rPr>
        <w:t>reglamentarias.</w:t>
      </w:r>
    </w:p>
    <w:p>
      <w:pPr>
        <w:pStyle w:val="BodyText"/>
        <w:spacing w:before="1"/>
      </w:pPr>
    </w:p>
    <w:p>
      <w:pPr>
        <w:pStyle w:val="BodyText"/>
        <w:ind w:left="262" w:right="280"/>
        <w:jc w:val="both"/>
      </w:pPr>
      <w:r>
        <w:rPr/>
        <w:t>Se regula la municipalización de los fraccionamientos, señalando que el fraccionador queda sujeto en todo momento a la obligación de municipalizar las obras de urbanización, según el proyecto definitivo autorizado, comprendiendo la entrega recepción final de un fraccionamiento al municipio, de los bienes inmuebles, equipo e instalaciones destinados a los servicios públicos, y de las obras de urbanización comprendidas en las áreas de dominio público del fraccionamiento, para que puedan operar los servicios públicos.</w:t>
      </w:r>
    </w:p>
    <w:p>
      <w:pPr>
        <w:pStyle w:val="BodyText"/>
      </w:pPr>
    </w:p>
    <w:p>
      <w:pPr>
        <w:pStyle w:val="BodyText"/>
        <w:spacing w:before="1"/>
        <w:ind w:left="262" w:right="275"/>
        <w:jc w:val="both"/>
      </w:pPr>
      <w:r>
        <w:rPr/>
        <w:t>Se incorporan en este ordenamiento, las medidas de seguridad y las sanciones, y se establecen como medidas preventivas, desde una visita de inspección a los fraccionamientos, sus subdivisiones, fusiones y relotificación de terrenos, así como en los desarrollos en régimen de propiedad</w:t>
      </w:r>
      <w:r>
        <w:rPr>
          <w:spacing w:val="-8"/>
        </w:rPr>
        <w:t> </w:t>
      </w:r>
      <w:r>
        <w:rPr/>
        <w:t>en</w:t>
      </w:r>
      <w:r>
        <w:rPr>
          <w:spacing w:val="-8"/>
        </w:rPr>
        <w:t> </w:t>
      </w:r>
      <w:r>
        <w:rPr/>
        <w:t>condominio,</w:t>
      </w:r>
      <w:r>
        <w:rPr>
          <w:spacing w:val="-8"/>
        </w:rPr>
        <w:t> </w:t>
      </w:r>
      <w:r>
        <w:rPr/>
        <w:t>con</w:t>
      </w:r>
      <w:r>
        <w:rPr>
          <w:spacing w:val="-6"/>
        </w:rPr>
        <w:t> </w:t>
      </w:r>
      <w:r>
        <w:rPr/>
        <w:t>la</w:t>
      </w:r>
      <w:r>
        <w:rPr>
          <w:spacing w:val="-8"/>
        </w:rPr>
        <w:t> </w:t>
      </w:r>
      <w:r>
        <w:rPr/>
        <w:t>finalidad</w:t>
      </w:r>
      <w:r>
        <w:rPr>
          <w:spacing w:val="-8"/>
        </w:rPr>
        <w:t> </w:t>
      </w:r>
      <w:r>
        <w:rPr/>
        <w:t>de</w:t>
      </w:r>
      <w:r>
        <w:rPr>
          <w:spacing w:val="-8"/>
        </w:rPr>
        <w:t> </w:t>
      </w:r>
      <w:r>
        <w:rPr/>
        <w:t>vigilar</w:t>
      </w:r>
      <w:r>
        <w:rPr>
          <w:spacing w:val="-7"/>
        </w:rPr>
        <w:t> </w:t>
      </w:r>
      <w:r>
        <w:rPr/>
        <w:t>y</w:t>
      </w:r>
      <w:r>
        <w:rPr>
          <w:spacing w:val="-7"/>
        </w:rPr>
        <w:t> </w:t>
      </w:r>
      <w:r>
        <w:rPr/>
        <w:t>constatar</w:t>
      </w:r>
      <w:r>
        <w:rPr>
          <w:spacing w:val="-5"/>
        </w:rPr>
        <w:t> </w:t>
      </w:r>
      <w:r>
        <w:rPr/>
        <w:t>que</w:t>
      </w:r>
      <w:r>
        <w:rPr>
          <w:spacing w:val="-8"/>
        </w:rPr>
        <w:t> </w:t>
      </w:r>
      <w:r>
        <w:rPr/>
        <w:t>se</w:t>
      </w:r>
      <w:r>
        <w:rPr>
          <w:spacing w:val="-8"/>
        </w:rPr>
        <w:t> </w:t>
      </w:r>
      <w:r>
        <w:rPr/>
        <w:t>cumpla</w:t>
      </w:r>
      <w:r>
        <w:rPr>
          <w:spacing w:val="-8"/>
        </w:rPr>
        <w:t> </w:t>
      </w:r>
      <w:r>
        <w:rPr/>
        <w:t>con</w:t>
      </w:r>
      <w:r>
        <w:rPr>
          <w:spacing w:val="-6"/>
        </w:rPr>
        <w:t> </w:t>
      </w:r>
      <w:r>
        <w:rPr/>
        <w:t>las</w:t>
      </w:r>
      <w:r>
        <w:rPr>
          <w:spacing w:val="-5"/>
        </w:rPr>
        <w:t> </w:t>
      </w:r>
      <w:r>
        <w:rPr/>
        <w:t>disposiciones previstas</w:t>
      </w:r>
      <w:r>
        <w:rPr>
          <w:spacing w:val="-2"/>
        </w:rPr>
        <w:t> </w:t>
      </w:r>
      <w:r>
        <w:rPr/>
        <w:t>en</w:t>
      </w:r>
      <w:r>
        <w:rPr>
          <w:spacing w:val="-2"/>
        </w:rPr>
        <w:t> </w:t>
      </w:r>
      <w:r>
        <w:rPr/>
        <w:t>la</w:t>
      </w:r>
      <w:r>
        <w:rPr>
          <w:spacing w:val="-3"/>
        </w:rPr>
        <w:t> </w:t>
      </w:r>
      <w:r>
        <w:rPr/>
        <w:t>ley,</w:t>
      </w:r>
      <w:r>
        <w:rPr>
          <w:spacing w:val="-3"/>
        </w:rPr>
        <w:t> </w:t>
      </w:r>
      <w:r>
        <w:rPr/>
        <w:t>así</w:t>
      </w:r>
      <w:r>
        <w:rPr>
          <w:spacing w:val="-3"/>
        </w:rPr>
        <w:t> </w:t>
      </w:r>
      <w:r>
        <w:rPr/>
        <w:t>como</w:t>
      </w:r>
      <w:r>
        <w:rPr>
          <w:spacing w:val="-3"/>
        </w:rPr>
        <w:t> </w:t>
      </w:r>
      <w:r>
        <w:rPr/>
        <w:t>la</w:t>
      </w:r>
      <w:r>
        <w:rPr>
          <w:spacing w:val="-2"/>
        </w:rPr>
        <w:t> </w:t>
      </w:r>
      <w:r>
        <w:rPr/>
        <w:t>suspensión</w:t>
      </w:r>
      <w:r>
        <w:rPr>
          <w:spacing w:val="-2"/>
        </w:rPr>
        <w:t> </w:t>
      </w:r>
      <w:r>
        <w:rPr/>
        <w:t>de</w:t>
      </w:r>
      <w:r>
        <w:rPr>
          <w:spacing w:val="-2"/>
        </w:rPr>
        <w:t> </w:t>
      </w:r>
      <w:r>
        <w:rPr/>
        <w:t>obras,</w:t>
      </w:r>
      <w:r>
        <w:rPr>
          <w:spacing w:val="-3"/>
        </w:rPr>
        <w:t> </w:t>
      </w:r>
      <w:r>
        <w:rPr/>
        <w:t>servicios</w:t>
      </w:r>
      <w:r>
        <w:rPr>
          <w:spacing w:val="-2"/>
        </w:rPr>
        <w:t> </w:t>
      </w:r>
      <w:r>
        <w:rPr/>
        <w:t>y</w:t>
      </w:r>
      <w:r>
        <w:rPr>
          <w:spacing w:val="-2"/>
        </w:rPr>
        <w:t> </w:t>
      </w:r>
      <w:r>
        <w:rPr/>
        <w:t>actividades;</w:t>
      </w:r>
      <w:r>
        <w:rPr>
          <w:spacing w:val="-2"/>
        </w:rPr>
        <w:t> </w:t>
      </w:r>
      <w:r>
        <w:rPr/>
        <w:t>la</w:t>
      </w:r>
      <w:r>
        <w:rPr>
          <w:spacing w:val="-3"/>
        </w:rPr>
        <w:t> </w:t>
      </w:r>
      <w:r>
        <w:rPr/>
        <w:t>clausura</w:t>
      </w:r>
      <w:r>
        <w:rPr>
          <w:spacing w:val="-3"/>
        </w:rPr>
        <w:t> </w:t>
      </w:r>
      <w:r>
        <w:rPr/>
        <w:t>temporal</w:t>
      </w:r>
      <w:r>
        <w:rPr>
          <w:spacing w:val="-2"/>
        </w:rPr>
        <w:t> </w:t>
      </w:r>
      <w:r>
        <w:rPr/>
        <w:t>o definitiva,</w:t>
      </w:r>
      <w:r>
        <w:rPr>
          <w:spacing w:val="-9"/>
        </w:rPr>
        <w:t> </w:t>
      </w:r>
      <w:r>
        <w:rPr/>
        <w:t>total</w:t>
      </w:r>
      <w:r>
        <w:rPr>
          <w:spacing w:val="-10"/>
        </w:rPr>
        <w:t> </w:t>
      </w:r>
      <w:r>
        <w:rPr/>
        <w:t>o</w:t>
      </w:r>
      <w:r>
        <w:rPr>
          <w:spacing w:val="-9"/>
        </w:rPr>
        <w:t> </w:t>
      </w:r>
      <w:r>
        <w:rPr/>
        <w:t>parcial,</w:t>
      </w:r>
      <w:r>
        <w:rPr>
          <w:spacing w:val="-9"/>
        </w:rPr>
        <w:t> </w:t>
      </w:r>
      <w:r>
        <w:rPr/>
        <w:t>de</w:t>
      </w:r>
      <w:r>
        <w:rPr>
          <w:spacing w:val="-9"/>
        </w:rPr>
        <w:t> </w:t>
      </w:r>
      <w:r>
        <w:rPr/>
        <w:t>las</w:t>
      </w:r>
      <w:r>
        <w:rPr>
          <w:spacing w:val="-8"/>
        </w:rPr>
        <w:t> </w:t>
      </w:r>
      <w:r>
        <w:rPr/>
        <w:t>instalaciones,</w:t>
      </w:r>
      <w:r>
        <w:rPr>
          <w:spacing w:val="-9"/>
        </w:rPr>
        <w:t> </w:t>
      </w:r>
      <w:r>
        <w:rPr/>
        <w:t>construcciones</w:t>
      </w:r>
      <w:r>
        <w:rPr>
          <w:spacing w:val="-10"/>
        </w:rPr>
        <w:t> </w:t>
      </w:r>
      <w:r>
        <w:rPr/>
        <w:t>y</w:t>
      </w:r>
      <w:r>
        <w:rPr>
          <w:spacing w:val="-10"/>
        </w:rPr>
        <w:t> </w:t>
      </w:r>
      <w:r>
        <w:rPr/>
        <w:t>obras;</w:t>
      </w:r>
      <w:r>
        <w:rPr>
          <w:spacing w:val="-9"/>
        </w:rPr>
        <w:t> </w:t>
      </w:r>
      <w:r>
        <w:rPr/>
        <w:t>la</w:t>
      </w:r>
      <w:r>
        <w:rPr>
          <w:spacing w:val="-9"/>
        </w:rPr>
        <w:t> </w:t>
      </w:r>
      <w:r>
        <w:rPr/>
        <w:t>desocupación</w:t>
      </w:r>
      <w:r>
        <w:rPr>
          <w:spacing w:val="-10"/>
        </w:rPr>
        <w:t> </w:t>
      </w:r>
      <w:r>
        <w:rPr/>
        <w:t>o</w:t>
      </w:r>
      <w:r>
        <w:rPr>
          <w:spacing w:val="-9"/>
        </w:rPr>
        <w:t> </w:t>
      </w:r>
      <w:r>
        <w:rPr/>
        <w:t>desalojo</w:t>
      </w:r>
      <w:r>
        <w:rPr>
          <w:spacing w:val="-9"/>
        </w:rPr>
        <w:t> </w:t>
      </w:r>
      <w:r>
        <w:rPr/>
        <w:t>de inmuebles,</w:t>
      </w:r>
      <w:r>
        <w:rPr>
          <w:spacing w:val="-9"/>
        </w:rPr>
        <w:t> </w:t>
      </w:r>
      <w:r>
        <w:rPr/>
        <w:t>hasta</w:t>
      </w:r>
      <w:r>
        <w:rPr>
          <w:spacing w:val="-7"/>
        </w:rPr>
        <w:t> </w:t>
      </w:r>
      <w:r>
        <w:rPr/>
        <w:t>la</w:t>
      </w:r>
      <w:r>
        <w:rPr>
          <w:spacing w:val="-9"/>
        </w:rPr>
        <w:t> </w:t>
      </w:r>
      <w:r>
        <w:rPr/>
        <w:t>demolición</w:t>
      </w:r>
      <w:r>
        <w:rPr>
          <w:spacing w:val="-7"/>
        </w:rPr>
        <w:t> </w:t>
      </w:r>
      <w:r>
        <w:rPr/>
        <w:t>de</w:t>
      </w:r>
      <w:r>
        <w:rPr>
          <w:spacing w:val="-9"/>
        </w:rPr>
        <w:t> </w:t>
      </w:r>
      <w:r>
        <w:rPr/>
        <w:t>construcciones,</w:t>
      </w:r>
      <w:r>
        <w:rPr>
          <w:spacing w:val="-9"/>
        </w:rPr>
        <w:t> </w:t>
      </w:r>
      <w:r>
        <w:rPr/>
        <w:t>todas</w:t>
      </w:r>
      <w:r>
        <w:rPr>
          <w:spacing w:val="-8"/>
        </w:rPr>
        <w:t> </w:t>
      </w:r>
      <w:r>
        <w:rPr/>
        <w:t>ellas</w:t>
      </w:r>
      <w:r>
        <w:rPr>
          <w:spacing w:val="-8"/>
        </w:rPr>
        <w:t> </w:t>
      </w:r>
      <w:r>
        <w:rPr/>
        <w:t>dirigidas</w:t>
      </w:r>
      <w:r>
        <w:rPr>
          <w:spacing w:val="-8"/>
        </w:rPr>
        <w:t> </w:t>
      </w:r>
      <w:r>
        <w:rPr/>
        <w:t>a</w:t>
      </w:r>
      <w:r>
        <w:rPr>
          <w:spacing w:val="-7"/>
        </w:rPr>
        <w:t> </w:t>
      </w:r>
      <w:r>
        <w:rPr/>
        <w:t>evitar</w:t>
      </w:r>
      <w:r>
        <w:rPr>
          <w:spacing w:val="-8"/>
        </w:rPr>
        <w:t> </w:t>
      </w:r>
      <w:r>
        <w:rPr/>
        <w:t>daños</w:t>
      </w:r>
      <w:r>
        <w:rPr>
          <w:spacing w:val="-8"/>
        </w:rPr>
        <w:t> </w:t>
      </w:r>
      <w:r>
        <w:rPr/>
        <w:t>inminentes</w:t>
      </w:r>
      <w:r>
        <w:rPr>
          <w:spacing w:val="-6"/>
        </w:rPr>
        <w:t> </w:t>
      </w:r>
      <w:r>
        <w:rPr/>
        <w:t>de difícil reposición, que puedan causar las instalaciones, las construcciones, las obras y acciones, tanto públicas como privadas, que originen perjuicio al interés social o contravengan disposiciones de orden público, respetando en todo momento los principios de legalidad.</w:t>
      </w:r>
    </w:p>
    <w:p>
      <w:pPr>
        <w:pStyle w:val="BodyText"/>
        <w:spacing w:before="229"/>
        <w:ind w:left="262" w:right="279"/>
        <w:jc w:val="both"/>
      </w:pPr>
      <w:r>
        <w:rPr/>
        <w:t>Se determinan sanciones acordes a las infracciones cometidas, a fin de que la autoridad pueda hacer</w:t>
      </w:r>
      <w:r>
        <w:rPr>
          <w:spacing w:val="-9"/>
        </w:rPr>
        <w:t> </w:t>
      </w:r>
      <w:r>
        <w:rPr/>
        <w:t>valer</w:t>
      </w:r>
      <w:r>
        <w:rPr>
          <w:spacing w:val="-9"/>
        </w:rPr>
        <w:t> </w:t>
      </w:r>
      <w:r>
        <w:rPr/>
        <w:t>sus</w:t>
      </w:r>
      <w:r>
        <w:rPr>
          <w:spacing w:val="-9"/>
        </w:rPr>
        <w:t> </w:t>
      </w:r>
      <w:r>
        <w:rPr/>
        <w:t>determinaciones</w:t>
      </w:r>
      <w:r>
        <w:rPr>
          <w:spacing w:val="-9"/>
        </w:rPr>
        <w:t> </w:t>
      </w:r>
      <w:r>
        <w:rPr/>
        <w:t>legales,</w:t>
      </w:r>
      <w:r>
        <w:rPr>
          <w:spacing w:val="-10"/>
        </w:rPr>
        <w:t> </w:t>
      </w:r>
      <w:r>
        <w:rPr/>
        <w:t>y</w:t>
      </w:r>
      <w:r>
        <w:rPr>
          <w:spacing w:val="-9"/>
        </w:rPr>
        <w:t> </w:t>
      </w:r>
      <w:r>
        <w:rPr/>
        <w:t>resarcir</w:t>
      </w:r>
      <w:r>
        <w:rPr>
          <w:spacing w:val="-9"/>
        </w:rPr>
        <w:t> </w:t>
      </w:r>
      <w:r>
        <w:rPr/>
        <w:t>el</w:t>
      </w:r>
      <w:r>
        <w:rPr>
          <w:spacing w:val="-11"/>
        </w:rPr>
        <w:t> </w:t>
      </w:r>
      <w:r>
        <w:rPr/>
        <w:t>daño</w:t>
      </w:r>
      <w:r>
        <w:rPr>
          <w:spacing w:val="-10"/>
        </w:rPr>
        <w:t> </w:t>
      </w:r>
      <w:r>
        <w:rPr/>
        <w:t>ocasionado</w:t>
      </w:r>
      <w:r>
        <w:rPr>
          <w:spacing w:val="-10"/>
        </w:rPr>
        <w:t> </w:t>
      </w:r>
      <w:r>
        <w:rPr/>
        <w:t>por</w:t>
      </w:r>
      <w:r>
        <w:rPr>
          <w:spacing w:val="-9"/>
        </w:rPr>
        <w:t> </w:t>
      </w:r>
      <w:r>
        <w:rPr/>
        <w:t>la</w:t>
      </w:r>
      <w:r>
        <w:rPr>
          <w:spacing w:val="-10"/>
        </w:rPr>
        <w:t> </w:t>
      </w:r>
      <w:r>
        <w:rPr/>
        <w:t>conducta</w:t>
      </w:r>
      <w:r>
        <w:rPr>
          <w:spacing w:val="-10"/>
        </w:rPr>
        <w:t> </w:t>
      </w:r>
      <w:r>
        <w:rPr/>
        <w:t>transgresora de la ley. Igualmente se establecen responsabilidades para los servidores públicos y los Notarios Públicos, previendo la responsabilidad solidaria de los daños y perjuicios que se causen por la violación de las disposiciones de esta Ley.</w:t>
      </w:r>
    </w:p>
    <w:p>
      <w:pPr>
        <w:pStyle w:val="BodyText"/>
        <w:spacing w:before="1"/>
      </w:pPr>
    </w:p>
    <w:p>
      <w:pPr>
        <w:pStyle w:val="BodyText"/>
        <w:ind w:left="262" w:right="288"/>
        <w:jc w:val="both"/>
      </w:pPr>
      <w:r>
        <w:rPr/>
        <w:t>Así mismo, en relación con las notificaciones y recursos, se hace la remisión en ambos temas al Código Procesal Administrativo del Estado de San Luis Potosí.</w:t>
      </w:r>
    </w:p>
    <w:p>
      <w:pPr>
        <w:pStyle w:val="BodyText"/>
        <w:spacing w:before="229"/>
        <w:ind w:left="262" w:right="277"/>
        <w:jc w:val="both"/>
      </w:pPr>
      <w:r>
        <w:rPr/>
        <w:t>Por último, es capital destacar la participación de los Colegios de Profesionistas del ramo, las Cámaras, Consejos de Centros Históricos, las instituciones académicas y demás entes de la sociedad</w:t>
      </w:r>
      <w:r>
        <w:rPr>
          <w:spacing w:val="24"/>
        </w:rPr>
        <w:t> </w:t>
      </w:r>
      <w:r>
        <w:rPr/>
        <w:t>civil</w:t>
      </w:r>
      <w:r>
        <w:rPr>
          <w:spacing w:val="24"/>
        </w:rPr>
        <w:t> </w:t>
      </w:r>
      <w:r>
        <w:rPr/>
        <w:t>que</w:t>
      </w:r>
      <w:r>
        <w:rPr>
          <w:spacing w:val="24"/>
        </w:rPr>
        <w:t> </w:t>
      </w:r>
      <w:r>
        <w:rPr/>
        <w:t>conforman</w:t>
      </w:r>
      <w:r>
        <w:rPr>
          <w:spacing w:val="26"/>
        </w:rPr>
        <w:t> </w:t>
      </w:r>
      <w:r>
        <w:rPr/>
        <w:t>el</w:t>
      </w:r>
      <w:r>
        <w:rPr>
          <w:spacing w:val="24"/>
        </w:rPr>
        <w:t> </w:t>
      </w:r>
      <w:r>
        <w:rPr/>
        <w:t>FORO</w:t>
      </w:r>
      <w:r>
        <w:rPr>
          <w:spacing w:val="26"/>
        </w:rPr>
        <w:t> </w:t>
      </w:r>
      <w:r>
        <w:rPr/>
        <w:t>“PENSAR</w:t>
      </w:r>
      <w:r>
        <w:rPr>
          <w:spacing w:val="27"/>
        </w:rPr>
        <w:t> </w:t>
      </w:r>
      <w:r>
        <w:rPr/>
        <w:t>NUESTRA</w:t>
      </w:r>
      <w:r>
        <w:rPr>
          <w:spacing w:val="27"/>
        </w:rPr>
        <w:t> </w:t>
      </w:r>
      <w:r>
        <w:rPr/>
        <w:t>CIUDAD”,</w:t>
      </w:r>
      <w:r>
        <w:rPr>
          <w:spacing w:val="24"/>
        </w:rPr>
        <w:t> </w:t>
      </w:r>
      <w:r>
        <w:rPr/>
        <w:t>quienes</w:t>
      </w:r>
      <w:r>
        <w:rPr>
          <w:spacing w:val="33"/>
        </w:rPr>
        <w:t> </w:t>
      </w:r>
      <w:r>
        <w:rPr/>
        <w:t>realizaron</w:t>
      </w:r>
      <w:r>
        <w:rPr>
          <w:spacing w:val="25"/>
        </w:rPr>
        <w:t> </w:t>
      </w:r>
      <w:r>
        <w:rPr>
          <w:spacing w:val="-5"/>
        </w:rPr>
        <w:t>muy</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importantes y valiosas aportaciones para la expedición de esta Ley, enriqueciéndola con su visión social, técnica, y de derechos humanos; así como la experiencia y aportaciones del Consejo del Centro Histórico de la Ciudad de San Luis Potosí.</w:t>
      </w:r>
    </w:p>
    <w:p>
      <w:pPr>
        <w:pStyle w:val="BodyText"/>
        <w:spacing w:before="1"/>
      </w:pPr>
    </w:p>
    <w:p>
      <w:pPr>
        <w:pStyle w:val="BodyText"/>
        <w:spacing w:before="1"/>
        <w:ind w:left="262" w:right="282"/>
        <w:jc w:val="both"/>
      </w:pPr>
      <w:r>
        <w:rPr/>
        <w:t>Esta nueva Ley Local de Ordenamiento Territorial y Desarrollo Urbano, propiciará un crecimiento planeado, ordenado, sostenible, resiliente, equilibrado, con mayor participación social, movilidad adecuada y que atienda a las necesidades primordiales de la sociedad, y coloque el bienestar de las personas y a los derechos humanos que rigen en esta materia, como su objeto primordial.</w:t>
      </w:r>
    </w:p>
    <w:p>
      <w:pPr>
        <w:pStyle w:val="BodyText"/>
      </w:pPr>
    </w:p>
    <w:p>
      <w:pPr>
        <w:pStyle w:val="BodyText"/>
        <w:spacing w:before="228"/>
      </w:pPr>
    </w:p>
    <w:p>
      <w:pPr>
        <w:pStyle w:val="Heading1"/>
        <w:ind w:left="1312" w:right="1333"/>
      </w:pPr>
      <w:r>
        <w:rPr/>
        <w:t>LEY</w:t>
      </w:r>
      <w:r>
        <w:rPr>
          <w:spacing w:val="-8"/>
        </w:rPr>
        <w:t> </w:t>
      </w:r>
      <w:r>
        <w:rPr/>
        <w:t>DE</w:t>
      </w:r>
      <w:r>
        <w:rPr>
          <w:spacing w:val="-8"/>
        </w:rPr>
        <w:t> </w:t>
      </w:r>
      <w:r>
        <w:rPr/>
        <w:t>ORDENAMIENTO</w:t>
      </w:r>
      <w:r>
        <w:rPr>
          <w:spacing w:val="-8"/>
        </w:rPr>
        <w:t> </w:t>
      </w:r>
      <w:r>
        <w:rPr/>
        <w:t>TERRITORIAL</w:t>
      </w:r>
      <w:r>
        <w:rPr>
          <w:spacing w:val="-6"/>
        </w:rPr>
        <w:t> </w:t>
      </w:r>
      <w:r>
        <w:rPr/>
        <w:t>Y</w:t>
      </w:r>
      <w:r>
        <w:rPr>
          <w:spacing w:val="-8"/>
        </w:rPr>
        <w:t> </w:t>
      </w:r>
      <w:r>
        <w:rPr/>
        <w:t>DESARROLLO</w:t>
      </w:r>
      <w:r>
        <w:rPr>
          <w:spacing w:val="-8"/>
        </w:rPr>
        <w:t> </w:t>
      </w:r>
      <w:r>
        <w:rPr/>
        <w:t>URBANO DEL ESTADO DE SAN LUIS POTOSÍ</w:t>
      </w:r>
    </w:p>
    <w:p>
      <w:pPr>
        <w:pStyle w:val="BodyText"/>
        <w:spacing w:before="1"/>
        <w:rPr>
          <w:rFonts w:ascii="Arial"/>
          <w:b/>
        </w:rPr>
      </w:pPr>
    </w:p>
    <w:p>
      <w:pPr>
        <w:spacing w:before="1"/>
        <w:ind w:left="3233" w:right="3249" w:hanging="3"/>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spacing w:before="229"/>
        <w:rPr>
          <w:rFonts w:ascii="Arial"/>
          <w:b/>
        </w:rPr>
      </w:pPr>
    </w:p>
    <w:p>
      <w:pPr>
        <w:pStyle w:val="Heading2"/>
        <w:spacing w:line="480" w:lineRule="auto"/>
        <w:ind w:left="3898" w:right="3917"/>
      </w:pPr>
      <w:r>
        <w:rPr/>
        <w:t>Capítulo I Objeto</w:t>
      </w:r>
      <w:r>
        <w:rPr>
          <w:spacing w:val="-13"/>
        </w:rPr>
        <w:t> </w:t>
      </w:r>
      <w:r>
        <w:rPr/>
        <w:t>de</w:t>
      </w:r>
      <w:r>
        <w:rPr>
          <w:spacing w:val="-14"/>
        </w:rPr>
        <w:t> </w:t>
      </w:r>
      <w:r>
        <w:rPr/>
        <w:t>la</w:t>
      </w:r>
      <w:r>
        <w:rPr>
          <w:spacing w:val="-14"/>
        </w:rPr>
        <w:t> </w:t>
      </w:r>
      <w:r>
        <w:rPr/>
        <w:t>Ley</w:t>
      </w:r>
    </w:p>
    <w:p>
      <w:pPr>
        <w:pStyle w:val="BodyText"/>
        <w:ind w:left="262" w:right="287"/>
        <w:jc w:val="both"/>
      </w:pPr>
      <w:r>
        <w:rPr>
          <w:rFonts w:ascii="Arial" w:hAnsi="Arial"/>
          <w:b/>
        </w:rPr>
        <w:t>ARTÍCULO 1°. </w:t>
      </w:r>
      <w:r>
        <w:rPr/>
        <w:t>Las disposiciones de esta Ley son de orden público e interés social y tienen por </w:t>
      </w:r>
      <w:r>
        <w:rPr>
          <w:spacing w:val="-2"/>
        </w:rPr>
        <w:t>objeto:</w:t>
      </w:r>
    </w:p>
    <w:p>
      <w:pPr>
        <w:pStyle w:val="BodyText"/>
        <w:spacing w:before="1"/>
      </w:pPr>
    </w:p>
    <w:p>
      <w:pPr>
        <w:pStyle w:val="ListParagraph"/>
        <w:numPr>
          <w:ilvl w:val="0"/>
          <w:numId w:val="1"/>
        </w:numPr>
        <w:tabs>
          <w:tab w:pos="688" w:val="left" w:leader="none"/>
        </w:tabs>
        <w:spacing w:line="240" w:lineRule="auto" w:before="0" w:after="0"/>
        <w:ind w:left="262" w:right="279" w:firstLine="0"/>
        <w:jc w:val="both"/>
        <w:rPr>
          <w:sz w:val="20"/>
        </w:rPr>
      </w:pPr>
      <w:r>
        <w:rPr>
          <w:sz w:val="20"/>
        </w:rPr>
        <w:t>Fijar</w:t>
      </w:r>
      <w:r>
        <w:rPr>
          <w:spacing w:val="-8"/>
          <w:sz w:val="20"/>
        </w:rPr>
        <w:t> </w:t>
      </w:r>
      <w:r>
        <w:rPr>
          <w:sz w:val="20"/>
        </w:rPr>
        <w:t>las</w:t>
      </w:r>
      <w:r>
        <w:rPr>
          <w:spacing w:val="-6"/>
          <w:sz w:val="20"/>
        </w:rPr>
        <w:t> </w:t>
      </w:r>
      <w:r>
        <w:rPr>
          <w:sz w:val="20"/>
        </w:rPr>
        <w:t>normas</w:t>
      </w:r>
      <w:r>
        <w:rPr>
          <w:spacing w:val="-8"/>
          <w:sz w:val="20"/>
        </w:rPr>
        <w:t> </w:t>
      </w:r>
      <w:r>
        <w:rPr>
          <w:sz w:val="20"/>
        </w:rPr>
        <w:t>básicas</w:t>
      </w:r>
      <w:r>
        <w:rPr>
          <w:spacing w:val="-8"/>
          <w:sz w:val="20"/>
        </w:rPr>
        <w:t> </w:t>
      </w:r>
      <w:r>
        <w:rPr>
          <w:sz w:val="20"/>
        </w:rPr>
        <w:t>e</w:t>
      </w:r>
      <w:r>
        <w:rPr>
          <w:spacing w:val="-7"/>
          <w:sz w:val="20"/>
        </w:rPr>
        <w:t> </w:t>
      </w:r>
      <w:r>
        <w:rPr>
          <w:sz w:val="20"/>
        </w:rPr>
        <w:t>instrumentos</w:t>
      </w:r>
      <w:r>
        <w:rPr>
          <w:spacing w:val="-8"/>
          <w:sz w:val="20"/>
        </w:rPr>
        <w:t> </w:t>
      </w:r>
      <w:r>
        <w:rPr>
          <w:sz w:val="20"/>
        </w:rPr>
        <w:t>para</w:t>
      </w:r>
      <w:r>
        <w:rPr>
          <w:spacing w:val="-6"/>
          <w:sz w:val="20"/>
        </w:rPr>
        <w:t> </w:t>
      </w:r>
      <w:r>
        <w:rPr>
          <w:sz w:val="20"/>
        </w:rPr>
        <w:t>planear</w:t>
      </w:r>
      <w:r>
        <w:rPr>
          <w:spacing w:val="-8"/>
          <w:sz w:val="20"/>
        </w:rPr>
        <w:t> </w:t>
      </w:r>
      <w:r>
        <w:rPr>
          <w:sz w:val="20"/>
        </w:rPr>
        <w:t>y</w:t>
      </w:r>
      <w:r>
        <w:rPr>
          <w:spacing w:val="-5"/>
          <w:sz w:val="20"/>
        </w:rPr>
        <w:t> </w:t>
      </w:r>
      <w:r>
        <w:rPr>
          <w:sz w:val="20"/>
        </w:rPr>
        <w:t>regular</w:t>
      </w:r>
      <w:r>
        <w:rPr>
          <w:spacing w:val="-6"/>
          <w:sz w:val="20"/>
        </w:rPr>
        <w:t> </w:t>
      </w:r>
      <w:r>
        <w:rPr>
          <w:sz w:val="20"/>
        </w:rPr>
        <w:t>el</w:t>
      </w:r>
      <w:r>
        <w:rPr>
          <w:spacing w:val="-8"/>
          <w:sz w:val="20"/>
        </w:rPr>
        <w:t> </w:t>
      </w:r>
      <w:r>
        <w:rPr>
          <w:sz w:val="20"/>
        </w:rPr>
        <w:t>ordenamiento</w:t>
      </w:r>
      <w:r>
        <w:rPr>
          <w:spacing w:val="-7"/>
          <w:sz w:val="20"/>
        </w:rPr>
        <w:t> </w:t>
      </w:r>
      <w:r>
        <w:rPr>
          <w:sz w:val="20"/>
        </w:rPr>
        <w:t>territorial</w:t>
      </w:r>
      <w:r>
        <w:rPr>
          <w:spacing w:val="-7"/>
          <w:sz w:val="20"/>
        </w:rPr>
        <w:t> </w:t>
      </w:r>
      <w:r>
        <w:rPr>
          <w:sz w:val="20"/>
        </w:rPr>
        <w:t>de</w:t>
      </w:r>
      <w:r>
        <w:rPr>
          <w:spacing w:val="-7"/>
          <w:sz w:val="20"/>
        </w:rPr>
        <w:t> </w:t>
      </w:r>
      <w:r>
        <w:rPr>
          <w:sz w:val="20"/>
        </w:rPr>
        <w:t>los asentamientos humanos y el desarrollo urbano sostenible en el Estado, a través de la fundación, conservación, mejoramiento y crecimiento de los centros de población, con pleno respeto a los derechos humanos, así como el cumplimiento de las obligaciones que tiene el Estado para promoverlos, respetarlos, protegerlos y garantizarlos plenamente;</w:t>
      </w:r>
    </w:p>
    <w:p>
      <w:pPr>
        <w:pStyle w:val="BodyText"/>
      </w:pPr>
    </w:p>
    <w:p>
      <w:pPr>
        <w:pStyle w:val="ListParagraph"/>
        <w:numPr>
          <w:ilvl w:val="0"/>
          <w:numId w:val="1"/>
        </w:numPr>
        <w:tabs>
          <w:tab w:pos="686" w:val="left" w:leader="none"/>
        </w:tabs>
        <w:spacing w:line="240" w:lineRule="auto" w:before="0" w:after="0"/>
        <w:ind w:left="262" w:right="280" w:firstLine="0"/>
        <w:jc w:val="both"/>
        <w:rPr>
          <w:sz w:val="20"/>
        </w:rPr>
      </w:pPr>
      <w:r>
        <w:rPr>
          <w:sz w:val="20"/>
        </w:rPr>
        <w:t>Establecer la concurrencia entre el Estado con la Federación y los municipios, para la ordenación y</w:t>
      </w:r>
      <w:r>
        <w:rPr>
          <w:spacing w:val="-1"/>
          <w:sz w:val="20"/>
        </w:rPr>
        <w:t> </w:t>
      </w:r>
      <w:r>
        <w:rPr>
          <w:sz w:val="20"/>
        </w:rPr>
        <w:t>regulación de los asentamientos</w:t>
      </w:r>
      <w:r>
        <w:rPr>
          <w:spacing w:val="-1"/>
          <w:sz w:val="20"/>
        </w:rPr>
        <w:t> </w:t>
      </w:r>
      <w:r>
        <w:rPr>
          <w:sz w:val="20"/>
        </w:rPr>
        <w:t>humanos</w:t>
      </w:r>
      <w:r>
        <w:rPr>
          <w:spacing w:val="-1"/>
          <w:sz w:val="20"/>
        </w:rPr>
        <w:t> </w:t>
      </w:r>
      <w:r>
        <w:rPr>
          <w:sz w:val="20"/>
        </w:rPr>
        <w:t>en</w:t>
      </w:r>
      <w:r>
        <w:rPr>
          <w:spacing w:val="-3"/>
          <w:sz w:val="20"/>
        </w:rPr>
        <w:t> </w:t>
      </w:r>
      <w:r>
        <w:rPr>
          <w:sz w:val="20"/>
        </w:rPr>
        <w:t>el</w:t>
      </w:r>
      <w:r>
        <w:rPr>
          <w:spacing w:val="-3"/>
          <w:sz w:val="20"/>
        </w:rPr>
        <w:t> </w:t>
      </w:r>
      <w:r>
        <w:rPr>
          <w:sz w:val="20"/>
        </w:rPr>
        <w:t>territorio</w:t>
      </w:r>
      <w:r>
        <w:rPr>
          <w:spacing w:val="-2"/>
          <w:sz w:val="20"/>
        </w:rPr>
        <w:t> </w:t>
      </w:r>
      <w:r>
        <w:rPr>
          <w:sz w:val="20"/>
        </w:rPr>
        <w:t>estatal,</w:t>
      </w:r>
      <w:r>
        <w:rPr>
          <w:spacing w:val="-2"/>
          <w:sz w:val="20"/>
        </w:rPr>
        <w:t> </w:t>
      </w:r>
      <w:r>
        <w:rPr>
          <w:sz w:val="20"/>
        </w:rPr>
        <w:t>para</w:t>
      </w:r>
      <w:r>
        <w:rPr>
          <w:spacing w:val="-2"/>
          <w:sz w:val="20"/>
        </w:rPr>
        <w:t> </w:t>
      </w:r>
      <w:r>
        <w:rPr>
          <w:sz w:val="20"/>
        </w:rPr>
        <w:t>la</w:t>
      </w:r>
      <w:r>
        <w:rPr>
          <w:spacing w:val="-2"/>
          <w:sz w:val="20"/>
        </w:rPr>
        <w:t> </w:t>
      </w:r>
      <w:r>
        <w:rPr>
          <w:sz w:val="20"/>
        </w:rPr>
        <w:t>coordinación y gestión de las conurbaciones, así como las zonas metropolitanas, y el desarrollo urbano de los centros de población;</w:t>
      </w:r>
    </w:p>
    <w:p>
      <w:pPr>
        <w:pStyle w:val="ListParagraph"/>
        <w:numPr>
          <w:ilvl w:val="0"/>
          <w:numId w:val="1"/>
        </w:numPr>
        <w:tabs>
          <w:tab w:pos="741" w:val="left" w:leader="none"/>
        </w:tabs>
        <w:spacing w:line="240" w:lineRule="auto" w:before="230" w:after="0"/>
        <w:ind w:left="262" w:right="283" w:firstLine="0"/>
        <w:jc w:val="both"/>
        <w:rPr>
          <w:sz w:val="20"/>
        </w:rPr>
      </w:pPr>
      <w:r>
        <w:rPr>
          <w:sz w:val="20"/>
        </w:rPr>
        <w:t>Asignar</w:t>
      </w:r>
      <w:r>
        <w:rPr>
          <w:spacing w:val="-9"/>
          <w:sz w:val="20"/>
        </w:rPr>
        <w:t> </w:t>
      </w:r>
      <w:r>
        <w:rPr>
          <w:sz w:val="20"/>
        </w:rPr>
        <w:t>las</w:t>
      </w:r>
      <w:r>
        <w:rPr>
          <w:spacing w:val="-9"/>
          <w:sz w:val="20"/>
        </w:rPr>
        <w:t> </w:t>
      </w:r>
      <w:r>
        <w:rPr>
          <w:sz w:val="20"/>
        </w:rPr>
        <w:t>atribuciones</w:t>
      </w:r>
      <w:r>
        <w:rPr>
          <w:spacing w:val="-9"/>
          <w:sz w:val="20"/>
        </w:rPr>
        <w:t> </w:t>
      </w:r>
      <w:r>
        <w:rPr>
          <w:sz w:val="20"/>
        </w:rPr>
        <w:t>y</w:t>
      </w:r>
      <w:r>
        <w:rPr>
          <w:spacing w:val="-9"/>
          <w:sz w:val="20"/>
        </w:rPr>
        <w:t> </w:t>
      </w:r>
      <w:r>
        <w:rPr>
          <w:sz w:val="20"/>
        </w:rPr>
        <w:t>responsabilidades</w:t>
      </w:r>
      <w:r>
        <w:rPr>
          <w:spacing w:val="-7"/>
          <w:sz w:val="20"/>
        </w:rPr>
        <w:t> </w:t>
      </w:r>
      <w:r>
        <w:rPr>
          <w:sz w:val="20"/>
        </w:rPr>
        <w:t>del</w:t>
      </w:r>
      <w:r>
        <w:rPr>
          <w:spacing w:val="-8"/>
          <w:sz w:val="20"/>
        </w:rPr>
        <w:t> </w:t>
      </w:r>
      <w:r>
        <w:rPr>
          <w:sz w:val="20"/>
        </w:rPr>
        <w:t>Estado</w:t>
      </w:r>
      <w:r>
        <w:rPr>
          <w:spacing w:val="-10"/>
          <w:sz w:val="20"/>
        </w:rPr>
        <w:t> </w:t>
      </w:r>
      <w:r>
        <w:rPr>
          <w:sz w:val="20"/>
        </w:rPr>
        <w:t>y</w:t>
      </w:r>
      <w:r>
        <w:rPr>
          <w:spacing w:val="-9"/>
          <w:sz w:val="20"/>
        </w:rPr>
        <w:t> </w:t>
      </w:r>
      <w:r>
        <w:rPr>
          <w:sz w:val="20"/>
        </w:rPr>
        <w:t>de</w:t>
      </w:r>
      <w:r>
        <w:rPr>
          <w:spacing w:val="-8"/>
          <w:sz w:val="20"/>
        </w:rPr>
        <w:t> </w:t>
      </w:r>
      <w:r>
        <w:rPr>
          <w:sz w:val="20"/>
        </w:rPr>
        <w:t>los</w:t>
      </w:r>
      <w:r>
        <w:rPr>
          <w:spacing w:val="-9"/>
          <w:sz w:val="20"/>
        </w:rPr>
        <w:t> </w:t>
      </w:r>
      <w:r>
        <w:rPr>
          <w:sz w:val="20"/>
        </w:rPr>
        <w:t>municipios</w:t>
      </w:r>
      <w:r>
        <w:rPr>
          <w:spacing w:val="-9"/>
          <w:sz w:val="20"/>
        </w:rPr>
        <w:t> </w:t>
      </w:r>
      <w:r>
        <w:rPr>
          <w:sz w:val="20"/>
        </w:rPr>
        <w:t>en</w:t>
      </w:r>
      <w:r>
        <w:rPr>
          <w:spacing w:val="-8"/>
          <w:sz w:val="20"/>
        </w:rPr>
        <w:t> </w:t>
      </w:r>
      <w:r>
        <w:rPr>
          <w:sz w:val="20"/>
        </w:rPr>
        <w:t>la</w:t>
      </w:r>
      <w:r>
        <w:rPr>
          <w:spacing w:val="-6"/>
          <w:sz w:val="20"/>
        </w:rPr>
        <w:t> </w:t>
      </w:r>
      <w:r>
        <w:rPr>
          <w:sz w:val="20"/>
        </w:rPr>
        <w:t>aplicación</w:t>
      </w:r>
      <w:r>
        <w:rPr>
          <w:spacing w:val="-10"/>
          <w:sz w:val="20"/>
        </w:rPr>
        <w:t> </w:t>
      </w:r>
      <w:r>
        <w:rPr>
          <w:sz w:val="20"/>
        </w:rPr>
        <w:t>de este Ley y fijar los criterios para que, en el ámbito de sus respectivas competencias, exista una efectiva congruencia, coordinación y participación entre ambos ámbitos de gobierno;</w:t>
      </w:r>
    </w:p>
    <w:p>
      <w:pPr>
        <w:pStyle w:val="ListParagraph"/>
        <w:numPr>
          <w:ilvl w:val="0"/>
          <w:numId w:val="1"/>
        </w:numPr>
        <w:tabs>
          <w:tab w:pos="688" w:val="left" w:leader="none"/>
        </w:tabs>
        <w:spacing w:line="240" w:lineRule="auto" w:before="229" w:after="0"/>
        <w:ind w:left="262" w:right="283" w:firstLine="0"/>
        <w:jc w:val="both"/>
        <w:rPr>
          <w:sz w:val="20"/>
        </w:rPr>
      </w:pPr>
      <w:r>
        <w:rPr>
          <w:sz w:val="20"/>
        </w:rPr>
        <w:t>Definir</w:t>
      </w:r>
      <w:r>
        <w:rPr>
          <w:spacing w:val="-14"/>
          <w:sz w:val="20"/>
        </w:rPr>
        <w:t> </w:t>
      </w:r>
      <w:r>
        <w:rPr>
          <w:sz w:val="20"/>
        </w:rPr>
        <w:t>los</w:t>
      </w:r>
      <w:r>
        <w:rPr>
          <w:spacing w:val="-14"/>
          <w:sz w:val="20"/>
        </w:rPr>
        <w:t> </w:t>
      </w:r>
      <w:r>
        <w:rPr>
          <w:sz w:val="20"/>
        </w:rPr>
        <w:t>principios</w:t>
      </w:r>
      <w:r>
        <w:rPr>
          <w:spacing w:val="-14"/>
          <w:sz w:val="20"/>
        </w:rPr>
        <w:t> </w:t>
      </w:r>
      <w:r>
        <w:rPr>
          <w:sz w:val="20"/>
        </w:rPr>
        <w:t>conforme</w:t>
      </w:r>
      <w:r>
        <w:rPr>
          <w:spacing w:val="-14"/>
          <w:sz w:val="20"/>
        </w:rPr>
        <w:t> </w:t>
      </w:r>
      <w:r>
        <w:rPr>
          <w:sz w:val="20"/>
        </w:rPr>
        <w:t>a</w:t>
      </w:r>
      <w:r>
        <w:rPr>
          <w:spacing w:val="-14"/>
          <w:sz w:val="20"/>
        </w:rPr>
        <w:t> </w:t>
      </w:r>
      <w:r>
        <w:rPr>
          <w:sz w:val="20"/>
        </w:rPr>
        <w:t>los</w:t>
      </w:r>
      <w:r>
        <w:rPr>
          <w:spacing w:val="-14"/>
          <w:sz w:val="20"/>
        </w:rPr>
        <w:t> </w:t>
      </w:r>
      <w:r>
        <w:rPr>
          <w:sz w:val="20"/>
        </w:rPr>
        <w:t>cuales</w:t>
      </w:r>
      <w:r>
        <w:rPr>
          <w:spacing w:val="-13"/>
          <w:sz w:val="20"/>
        </w:rPr>
        <w:t> </w:t>
      </w:r>
      <w:r>
        <w:rPr>
          <w:sz w:val="20"/>
        </w:rPr>
        <w:t>el</w:t>
      </w:r>
      <w:r>
        <w:rPr>
          <w:spacing w:val="-14"/>
          <w:sz w:val="20"/>
        </w:rPr>
        <w:t> </w:t>
      </w:r>
      <w:r>
        <w:rPr>
          <w:sz w:val="20"/>
        </w:rPr>
        <w:t>Estado</w:t>
      </w:r>
      <w:r>
        <w:rPr>
          <w:spacing w:val="-14"/>
          <w:sz w:val="20"/>
        </w:rPr>
        <w:t> </w:t>
      </w:r>
      <w:r>
        <w:rPr>
          <w:sz w:val="20"/>
        </w:rPr>
        <w:t>y</w:t>
      </w:r>
      <w:r>
        <w:rPr>
          <w:spacing w:val="-11"/>
          <w:sz w:val="20"/>
        </w:rPr>
        <w:t> </w:t>
      </w:r>
      <w:r>
        <w:rPr>
          <w:sz w:val="20"/>
        </w:rPr>
        <w:t>los</w:t>
      </w:r>
      <w:r>
        <w:rPr>
          <w:spacing w:val="-14"/>
          <w:sz w:val="20"/>
        </w:rPr>
        <w:t> </w:t>
      </w:r>
      <w:r>
        <w:rPr>
          <w:sz w:val="20"/>
        </w:rPr>
        <w:t>municipios</w:t>
      </w:r>
      <w:r>
        <w:rPr>
          <w:spacing w:val="-14"/>
          <w:sz w:val="20"/>
        </w:rPr>
        <w:t> </w:t>
      </w:r>
      <w:r>
        <w:rPr>
          <w:sz w:val="20"/>
        </w:rPr>
        <w:t>ejercerán</w:t>
      </w:r>
      <w:r>
        <w:rPr>
          <w:spacing w:val="-14"/>
          <w:sz w:val="20"/>
        </w:rPr>
        <w:t> </w:t>
      </w:r>
      <w:r>
        <w:rPr>
          <w:sz w:val="20"/>
        </w:rPr>
        <w:t>sus</w:t>
      </w:r>
      <w:r>
        <w:rPr>
          <w:spacing w:val="-12"/>
          <w:sz w:val="20"/>
        </w:rPr>
        <w:t> </w:t>
      </w:r>
      <w:r>
        <w:rPr>
          <w:sz w:val="20"/>
        </w:rPr>
        <w:t>atribuciones para determinar las provisiones, reservas, usos y destinos de áreas y predios que regulen la propiedad en los centros de población;</w:t>
      </w:r>
    </w:p>
    <w:p>
      <w:pPr>
        <w:pStyle w:val="BodyText"/>
        <w:spacing w:before="2"/>
      </w:pPr>
    </w:p>
    <w:p>
      <w:pPr>
        <w:pStyle w:val="ListParagraph"/>
        <w:numPr>
          <w:ilvl w:val="0"/>
          <w:numId w:val="1"/>
        </w:numPr>
        <w:tabs>
          <w:tab w:pos="688" w:val="left" w:leader="none"/>
        </w:tabs>
        <w:spacing w:line="240" w:lineRule="auto" w:before="0" w:after="0"/>
        <w:ind w:left="262" w:right="278" w:firstLine="0"/>
        <w:jc w:val="both"/>
        <w:rPr>
          <w:sz w:val="20"/>
        </w:rPr>
      </w:pPr>
      <w:r>
        <w:rPr>
          <w:sz w:val="20"/>
        </w:rPr>
        <w:t>Propiciar mecanismos que permitan la participación social, en particular para las mujeres, jóvenes y personas en situación de vulnerabilidad, en los procesos de planeación y gestión del territorio, con base en el acceso a información transparente, completa y oportuna, así como la creación de espacios e instrumentos que garanticen la corresponsabilidad del gobierno y la ciudadanía en la formulación, seguimiento y evaluación de la política pública en la materia;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
        </w:numPr>
        <w:tabs>
          <w:tab w:pos="688" w:val="left" w:leader="none"/>
        </w:tabs>
        <w:spacing w:line="240" w:lineRule="auto" w:before="0" w:after="0"/>
        <w:ind w:left="262" w:right="278" w:firstLine="0"/>
        <w:jc w:val="both"/>
        <w:rPr>
          <w:sz w:val="20"/>
        </w:rPr>
      </w:pPr>
      <w:r>
        <w:rPr>
          <w:sz w:val="20"/>
        </w:rPr>
        <w:t>El control, vigilancia y autorización de los actos relacionados con el fraccionamiento, subdivisión, fusión, relotificación y modificaciones de los inmuebles, de los desarrollos en régimen </w:t>
      </w:r>
      <w:r>
        <w:rPr>
          <w:spacing w:val="-2"/>
          <w:sz w:val="20"/>
        </w:rPr>
        <w:t>de</w:t>
      </w:r>
      <w:r>
        <w:rPr>
          <w:spacing w:val="-9"/>
          <w:sz w:val="20"/>
        </w:rPr>
        <w:t> </w:t>
      </w:r>
      <w:r>
        <w:rPr>
          <w:spacing w:val="-2"/>
          <w:sz w:val="20"/>
        </w:rPr>
        <w:t>propiedad</w:t>
      </w:r>
      <w:r>
        <w:rPr>
          <w:spacing w:val="-5"/>
          <w:sz w:val="20"/>
        </w:rPr>
        <w:t> </w:t>
      </w:r>
      <w:r>
        <w:rPr>
          <w:spacing w:val="-2"/>
          <w:sz w:val="20"/>
        </w:rPr>
        <w:t>en</w:t>
      </w:r>
      <w:r>
        <w:rPr>
          <w:spacing w:val="-9"/>
          <w:sz w:val="20"/>
        </w:rPr>
        <w:t> </w:t>
      </w:r>
      <w:r>
        <w:rPr>
          <w:spacing w:val="-2"/>
          <w:sz w:val="20"/>
        </w:rPr>
        <w:t>condominio,</w:t>
      </w:r>
      <w:r>
        <w:rPr>
          <w:spacing w:val="-9"/>
          <w:sz w:val="20"/>
        </w:rPr>
        <w:t> </w:t>
      </w:r>
      <w:r>
        <w:rPr>
          <w:spacing w:val="-2"/>
          <w:sz w:val="20"/>
        </w:rPr>
        <w:t>así</w:t>
      </w:r>
      <w:r>
        <w:rPr>
          <w:spacing w:val="-7"/>
          <w:sz w:val="20"/>
        </w:rPr>
        <w:t> </w:t>
      </w:r>
      <w:r>
        <w:rPr>
          <w:spacing w:val="-2"/>
          <w:sz w:val="20"/>
        </w:rPr>
        <w:t>como</w:t>
      </w:r>
      <w:r>
        <w:rPr>
          <w:spacing w:val="-6"/>
          <w:sz w:val="20"/>
        </w:rPr>
        <w:t> </w:t>
      </w:r>
      <w:r>
        <w:rPr>
          <w:spacing w:val="-2"/>
          <w:sz w:val="20"/>
        </w:rPr>
        <w:t>las</w:t>
      </w:r>
      <w:r>
        <w:rPr>
          <w:spacing w:val="-4"/>
          <w:sz w:val="20"/>
        </w:rPr>
        <w:t> </w:t>
      </w:r>
      <w:r>
        <w:rPr>
          <w:spacing w:val="-2"/>
          <w:sz w:val="20"/>
        </w:rPr>
        <w:t>demás acciones</w:t>
      </w:r>
      <w:r>
        <w:rPr>
          <w:spacing w:val="-6"/>
          <w:sz w:val="20"/>
        </w:rPr>
        <w:t> </w:t>
      </w:r>
      <w:r>
        <w:rPr>
          <w:spacing w:val="-2"/>
          <w:sz w:val="20"/>
        </w:rPr>
        <w:t>urbanísticas en</w:t>
      </w:r>
      <w:r>
        <w:rPr>
          <w:spacing w:val="-6"/>
          <w:sz w:val="20"/>
        </w:rPr>
        <w:t> </w:t>
      </w:r>
      <w:r>
        <w:rPr>
          <w:spacing w:val="-2"/>
          <w:sz w:val="20"/>
        </w:rPr>
        <w:t>el</w:t>
      </w:r>
      <w:r>
        <w:rPr>
          <w:spacing w:val="-6"/>
          <w:sz w:val="20"/>
        </w:rPr>
        <w:t> </w:t>
      </w:r>
      <w:r>
        <w:rPr>
          <w:spacing w:val="-2"/>
          <w:sz w:val="20"/>
        </w:rPr>
        <w:t>Estado</w:t>
      </w:r>
      <w:r>
        <w:rPr>
          <w:spacing w:val="-9"/>
          <w:sz w:val="20"/>
        </w:rPr>
        <w:t> </w:t>
      </w:r>
      <w:r>
        <w:rPr>
          <w:spacing w:val="-2"/>
          <w:sz w:val="20"/>
        </w:rPr>
        <w:t>y</w:t>
      </w:r>
      <w:r>
        <w:rPr>
          <w:spacing w:val="-4"/>
          <w:sz w:val="20"/>
        </w:rPr>
        <w:t> </w:t>
      </w:r>
      <w:r>
        <w:rPr>
          <w:spacing w:val="-2"/>
          <w:sz w:val="20"/>
        </w:rPr>
        <w:t>los</w:t>
      </w:r>
      <w:r>
        <w:rPr>
          <w:spacing w:val="-7"/>
          <w:sz w:val="20"/>
        </w:rPr>
        <w:t> </w:t>
      </w:r>
      <w:r>
        <w:rPr>
          <w:spacing w:val="-2"/>
          <w:sz w:val="20"/>
        </w:rPr>
        <w:t>municipios </w:t>
      </w:r>
      <w:r>
        <w:rPr>
          <w:sz w:val="20"/>
        </w:rPr>
        <w:t>de San Luis Potosí;</w:t>
      </w:r>
    </w:p>
    <w:p>
      <w:pPr>
        <w:pStyle w:val="ListParagraph"/>
        <w:numPr>
          <w:ilvl w:val="0"/>
          <w:numId w:val="1"/>
        </w:numPr>
        <w:tabs>
          <w:tab w:pos="688" w:val="left" w:leader="none"/>
        </w:tabs>
        <w:spacing w:line="240" w:lineRule="auto" w:before="230" w:after="0"/>
        <w:ind w:left="262" w:right="286" w:firstLine="0"/>
        <w:jc w:val="both"/>
        <w:rPr>
          <w:sz w:val="20"/>
        </w:rPr>
      </w:pPr>
      <w:r>
        <w:rPr>
          <w:sz w:val="20"/>
        </w:rPr>
        <w:t>El</w:t>
      </w:r>
      <w:r>
        <w:rPr>
          <w:spacing w:val="-1"/>
          <w:sz w:val="20"/>
        </w:rPr>
        <w:t> </w:t>
      </w:r>
      <w:r>
        <w:rPr>
          <w:sz w:val="20"/>
        </w:rPr>
        <w:t>control, vigilancia</w:t>
      </w:r>
      <w:r>
        <w:rPr>
          <w:spacing w:val="-1"/>
          <w:sz w:val="20"/>
        </w:rPr>
        <w:t> </w:t>
      </w:r>
      <w:r>
        <w:rPr>
          <w:sz w:val="20"/>
        </w:rPr>
        <w:t>y autorización de</w:t>
      </w:r>
      <w:r>
        <w:rPr>
          <w:spacing w:val="-1"/>
          <w:sz w:val="20"/>
        </w:rPr>
        <w:t> </w:t>
      </w:r>
      <w:r>
        <w:rPr>
          <w:sz w:val="20"/>
        </w:rPr>
        <w:t>las acciones y obras relacionadas de</w:t>
      </w:r>
      <w:r>
        <w:rPr>
          <w:spacing w:val="-1"/>
          <w:sz w:val="20"/>
        </w:rPr>
        <w:t> </w:t>
      </w:r>
      <w:r>
        <w:rPr>
          <w:sz w:val="20"/>
        </w:rPr>
        <w:t>zonas con</w:t>
      </w:r>
      <w:r>
        <w:rPr>
          <w:spacing w:val="-1"/>
          <w:sz w:val="20"/>
        </w:rPr>
        <w:t> </w:t>
      </w:r>
      <w:r>
        <w:rPr>
          <w:sz w:val="20"/>
        </w:rPr>
        <w:t>valores históricos y culturales, así como la planeación y gestión de las demás acciones de protección, mejoramiento y preservación del patrimonio cultural y natural, y</w:t>
      </w:r>
    </w:p>
    <w:p>
      <w:pPr>
        <w:pStyle w:val="BodyText"/>
        <w:spacing w:before="1"/>
      </w:pPr>
    </w:p>
    <w:p>
      <w:pPr>
        <w:pStyle w:val="ListParagraph"/>
        <w:numPr>
          <w:ilvl w:val="0"/>
          <w:numId w:val="1"/>
        </w:numPr>
        <w:tabs>
          <w:tab w:pos="968" w:val="left" w:leader="none"/>
        </w:tabs>
        <w:spacing w:line="240" w:lineRule="auto" w:before="0" w:after="0"/>
        <w:ind w:left="262" w:right="282" w:firstLine="0"/>
        <w:jc w:val="both"/>
        <w:rPr>
          <w:sz w:val="20"/>
        </w:rPr>
      </w:pPr>
      <w:r>
        <w:rPr>
          <w:sz w:val="20"/>
        </w:rPr>
        <w:t>Fijar</w:t>
      </w:r>
      <w:r>
        <w:rPr>
          <w:spacing w:val="-9"/>
          <w:sz w:val="20"/>
        </w:rPr>
        <w:t> </w:t>
      </w:r>
      <w:r>
        <w:rPr>
          <w:sz w:val="20"/>
        </w:rPr>
        <w:t>las</w:t>
      </w:r>
      <w:r>
        <w:rPr>
          <w:spacing w:val="-9"/>
          <w:sz w:val="20"/>
        </w:rPr>
        <w:t> </w:t>
      </w:r>
      <w:r>
        <w:rPr>
          <w:sz w:val="20"/>
        </w:rPr>
        <w:t>medidas</w:t>
      </w:r>
      <w:r>
        <w:rPr>
          <w:spacing w:val="-9"/>
          <w:sz w:val="20"/>
        </w:rPr>
        <w:t> </w:t>
      </w:r>
      <w:r>
        <w:rPr>
          <w:sz w:val="20"/>
        </w:rPr>
        <w:t>de</w:t>
      </w:r>
      <w:r>
        <w:rPr>
          <w:spacing w:val="-10"/>
          <w:sz w:val="20"/>
        </w:rPr>
        <w:t> </w:t>
      </w:r>
      <w:r>
        <w:rPr>
          <w:sz w:val="20"/>
        </w:rPr>
        <w:t>seguridad,</w:t>
      </w:r>
      <w:r>
        <w:rPr>
          <w:spacing w:val="-9"/>
          <w:sz w:val="20"/>
        </w:rPr>
        <w:t> </w:t>
      </w:r>
      <w:r>
        <w:rPr>
          <w:sz w:val="20"/>
        </w:rPr>
        <w:t>infracciones,</w:t>
      </w:r>
      <w:r>
        <w:rPr>
          <w:spacing w:val="-10"/>
          <w:sz w:val="20"/>
        </w:rPr>
        <w:t> </w:t>
      </w:r>
      <w:r>
        <w:rPr>
          <w:sz w:val="20"/>
        </w:rPr>
        <w:t>responsabilidades</w:t>
      </w:r>
      <w:r>
        <w:rPr>
          <w:spacing w:val="-9"/>
          <w:sz w:val="20"/>
        </w:rPr>
        <w:t> </w:t>
      </w:r>
      <w:r>
        <w:rPr>
          <w:sz w:val="20"/>
        </w:rPr>
        <w:t>y</w:t>
      </w:r>
      <w:r>
        <w:rPr>
          <w:spacing w:val="-9"/>
          <w:sz w:val="20"/>
        </w:rPr>
        <w:t> </w:t>
      </w:r>
      <w:r>
        <w:rPr>
          <w:sz w:val="20"/>
        </w:rPr>
        <w:t>sanciones</w:t>
      </w:r>
      <w:r>
        <w:rPr>
          <w:spacing w:val="-9"/>
          <w:sz w:val="20"/>
        </w:rPr>
        <w:t> </w:t>
      </w:r>
      <w:r>
        <w:rPr>
          <w:sz w:val="20"/>
        </w:rPr>
        <w:t>que</w:t>
      </w:r>
      <w:r>
        <w:rPr>
          <w:spacing w:val="-10"/>
          <w:sz w:val="20"/>
        </w:rPr>
        <w:t> </w:t>
      </w:r>
      <w:r>
        <w:rPr>
          <w:sz w:val="20"/>
        </w:rPr>
        <w:t>permitan</w:t>
      </w:r>
      <w:r>
        <w:rPr>
          <w:spacing w:val="-10"/>
          <w:sz w:val="20"/>
        </w:rPr>
        <w:t> </w:t>
      </w:r>
      <w:r>
        <w:rPr>
          <w:sz w:val="20"/>
        </w:rPr>
        <w:t>la aplicación de esta Ley.</w:t>
      </w:r>
    </w:p>
    <w:p>
      <w:pPr>
        <w:pStyle w:val="BodyText"/>
      </w:pPr>
    </w:p>
    <w:p>
      <w:pPr>
        <w:pStyle w:val="BodyText"/>
        <w:ind w:left="262" w:right="277"/>
        <w:jc w:val="both"/>
      </w:pPr>
      <w:r>
        <w:rPr>
          <w:rFonts w:ascii="Arial" w:hAnsi="Arial"/>
          <w:b/>
        </w:rPr>
        <w:t>ARTÍCULO 2º.</w:t>
      </w:r>
      <w:r>
        <w:rPr>
          <w:rFonts w:ascii="Arial" w:hAnsi="Arial"/>
          <w:b/>
          <w:spacing w:val="40"/>
        </w:rPr>
        <w:t> </w:t>
      </w:r>
      <w:r>
        <w:rPr/>
        <w:t>Todas las personas sin distinción de sexo, raza, etnia, edad, limitación física, orientación sexual, tienen derecho a vivir y disfrutar ciudades y asentamientos humanos en condiciones sustentables, resilientes, saludables, productivos, equitativos, justos, incluyentes, democráticos y seguros.</w:t>
      </w:r>
    </w:p>
    <w:p>
      <w:pPr>
        <w:pStyle w:val="BodyText"/>
        <w:spacing w:before="229"/>
        <w:ind w:left="262" w:right="286"/>
        <w:jc w:val="both"/>
      </w:pPr>
      <w:r>
        <w:rPr/>
        <w:t>Las</w:t>
      </w:r>
      <w:r>
        <w:rPr>
          <w:spacing w:val="-9"/>
        </w:rPr>
        <w:t> </w:t>
      </w:r>
      <w:r>
        <w:rPr/>
        <w:t>actividades</w:t>
      </w:r>
      <w:r>
        <w:rPr>
          <w:spacing w:val="-9"/>
        </w:rPr>
        <w:t> </w:t>
      </w:r>
      <w:r>
        <w:rPr/>
        <w:t>que</w:t>
      </w:r>
      <w:r>
        <w:rPr>
          <w:spacing w:val="-10"/>
        </w:rPr>
        <w:t> </w:t>
      </w:r>
      <w:r>
        <w:rPr/>
        <w:t>realicen</w:t>
      </w:r>
      <w:r>
        <w:rPr>
          <w:spacing w:val="-10"/>
        </w:rPr>
        <w:t> </w:t>
      </w:r>
      <w:r>
        <w:rPr/>
        <w:t>el</w:t>
      </w:r>
      <w:r>
        <w:rPr>
          <w:spacing w:val="-11"/>
        </w:rPr>
        <w:t> </w:t>
      </w:r>
      <w:r>
        <w:rPr/>
        <w:t>Estado</w:t>
      </w:r>
      <w:r>
        <w:rPr>
          <w:spacing w:val="-10"/>
        </w:rPr>
        <w:t> </w:t>
      </w:r>
      <w:r>
        <w:rPr/>
        <w:t>y</w:t>
      </w:r>
      <w:r>
        <w:rPr>
          <w:spacing w:val="-9"/>
        </w:rPr>
        <w:t> </w:t>
      </w:r>
      <w:r>
        <w:rPr/>
        <w:t>los</w:t>
      </w:r>
      <w:r>
        <w:rPr>
          <w:spacing w:val="-9"/>
        </w:rPr>
        <w:t> </w:t>
      </w:r>
      <w:r>
        <w:rPr/>
        <w:t>municipios</w:t>
      </w:r>
      <w:r>
        <w:rPr>
          <w:spacing w:val="-9"/>
        </w:rPr>
        <w:t> </w:t>
      </w:r>
      <w:r>
        <w:rPr/>
        <w:t>para</w:t>
      </w:r>
      <w:r>
        <w:rPr>
          <w:spacing w:val="-10"/>
        </w:rPr>
        <w:t> </w:t>
      </w:r>
      <w:r>
        <w:rPr/>
        <w:t>ordenar</w:t>
      </w:r>
      <w:r>
        <w:rPr>
          <w:spacing w:val="-9"/>
        </w:rPr>
        <w:t> </w:t>
      </w:r>
      <w:r>
        <w:rPr/>
        <w:t>el</w:t>
      </w:r>
      <w:r>
        <w:rPr>
          <w:spacing w:val="-11"/>
        </w:rPr>
        <w:t> </w:t>
      </w:r>
      <w:r>
        <w:rPr/>
        <w:t>territorio</w:t>
      </w:r>
      <w:r>
        <w:rPr>
          <w:spacing w:val="-10"/>
        </w:rPr>
        <w:t> </w:t>
      </w:r>
      <w:r>
        <w:rPr/>
        <w:t>y</w:t>
      </w:r>
      <w:r>
        <w:rPr>
          <w:spacing w:val="-9"/>
        </w:rPr>
        <w:t> </w:t>
      </w:r>
      <w:r>
        <w:rPr/>
        <w:t>los</w:t>
      </w:r>
      <w:r>
        <w:rPr>
          <w:spacing w:val="-9"/>
        </w:rPr>
        <w:t> </w:t>
      </w:r>
      <w:r>
        <w:rPr/>
        <w:t>asentamientos humanos, deberá realizarse observando las condiciones señaladas en el párrafo anterior.</w:t>
      </w:r>
    </w:p>
    <w:p>
      <w:pPr>
        <w:pStyle w:val="BodyText"/>
        <w:spacing w:before="2"/>
      </w:pPr>
    </w:p>
    <w:p>
      <w:pPr>
        <w:pStyle w:val="BodyText"/>
        <w:ind w:left="262" w:right="290"/>
        <w:jc w:val="both"/>
      </w:pPr>
      <w:r>
        <w:rPr/>
        <w:t>Es obligación del Estado y de los municipios a través de sus dependencias y entidades promover una cultura de corresponsabilidad cívica y social en las materias que regula la presente Ley.</w:t>
      </w:r>
    </w:p>
    <w:p>
      <w:pPr>
        <w:pStyle w:val="BodyText"/>
        <w:spacing w:before="229"/>
        <w:ind w:left="262" w:right="282"/>
        <w:jc w:val="both"/>
      </w:pPr>
      <w:r>
        <w:rPr>
          <w:rFonts w:ascii="Arial" w:hAnsi="Arial"/>
          <w:b/>
        </w:rPr>
        <w:t>ARTÍCULO 3°. </w:t>
      </w:r>
      <w:r>
        <w:rPr/>
        <w:t>El ordenamiento</w:t>
      </w:r>
      <w:r>
        <w:rPr>
          <w:spacing w:val="-1"/>
        </w:rPr>
        <w:t> </w:t>
      </w:r>
      <w:r>
        <w:rPr/>
        <w:t>territorial</w:t>
      </w:r>
      <w:r>
        <w:rPr>
          <w:spacing w:val="-1"/>
        </w:rPr>
        <w:t> </w:t>
      </w:r>
      <w:r>
        <w:rPr/>
        <w:t>de</w:t>
      </w:r>
      <w:r>
        <w:rPr>
          <w:spacing w:val="-1"/>
        </w:rPr>
        <w:t> </w:t>
      </w:r>
      <w:r>
        <w:rPr/>
        <w:t>los asentamientos humanos y el desarrollo</w:t>
      </w:r>
      <w:r>
        <w:rPr>
          <w:spacing w:val="-1"/>
        </w:rPr>
        <w:t> </w:t>
      </w:r>
      <w:r>
        <w:rPr/>
        <w:t>urbano</w:t>
      </w:r>
      <w:r>
        <w:rPr>
          <w:spacing w:val="-1"/>
        </w:rPr>
        <w:t> </w:t>
      </w:r>
      <w:r>
        <w:rPr/>
        <w:t>de los centros de población tendrá como propósito la utilización racional del territorio, el desarrollo equilibrado del Estado y la promoción de la certidumbre jurídica en la tenencia, uso y aprovechamiento del suelo, a fin de mejorar la calidad de vida de la población, mediante:</w:t>
      </w:r>
    </w:p>
    <w:p>
      <w:pPr>
        <w:pStyle w:val="ListParagraph"/>
        <w:numPr>
          <w:ilvl w:val="0"/>
          <w:numId w:val="2"/>
        </w:numPr>
        <w:tabs>
          <w:tab w:pos="543" w:val="left" w:leader="none"/>
        </w:tabs>
        <w:spacing w:line="240" w:lineRule="auto" w:before="230" w:after="0"/>
        <w:ind w:left="262" w:right="288" w:firstLine="0"/>
        <w:jc w:val="both"/>
        <w:rPr>
          <w:sz w:val="20"/>
        </w:rPr>
      </w:pPr>
      <w:r>
        <w:rPr>
          <w:sz w:val="20"/>
        </w:rPr>
        <w:t>La planeación urbana centrada en la persona, en el respeto a los derechos humanos fundamentales, en la movilidad activa y en la provisión de espacios públicos;</w:t>
      </w:r>
    </w:p>
    <w:p>
      <w:pPr>
        <w:pStyle w:val="BodyText"/>
        <w:spacing w:before="1"/>
      </w:pPr>
    </w:p>
    <w:p>
      <w:pPr>
        <w:pStyle w:val="ListParagraph"/>
        <w:numPr>
          <w:ilvl w:val="0"/>
          <w:numId w:val="2"/>
        </w:numPr>
        <w:tabs>
          <w:tab w:pos="543" w:val="left" w:leader="none"/>
        </w:tabs>
        <w:spacing w:line="240" w:lineRule="auto" w:before="0" w:after="0"/>
        <w:ind w:left="262" w:right="288" w:firstLine="0"/>
        <w:jc w:val="both"/>
        <w:rPr>
          <w:sz w:val="20"/>
        </w:rPr>
      </w:pPr>
      <w:r>
        <w:rPr>
          <w:sz w:val="20"/>
        </w:rPr>
        <w:t>La coordinación, gestión y coordinación de los agentes públicos, privados y sociales en la planeación del desarrollo urbano regional sostenible;</w:t>
      </w:r>
    </w:p>
    <w:p>
      <w:pPr>
        <w:pStyle w:val="ListParagraph"/>
        <w:numPr>
          <w:ilvl w:val="0"/>
          <w:numId w:val="2"/>
        </w:numPr>
        <w:tabs>
          <w:tab w:pos="597" w:val="left" w:leader="none"/>
        </w:tabs>
        <w:spacing w:line="240" w:lineRule="auto" w:before="229" w:after="0"/>
        <w:ind w:left="262" w:right="289" w:firstLine="0"/>
        <w:jc w:val="both"/>
        <w:rPr>
          <w:sz w:val="20"/>
        </w:rPr>
      </w:pPr>
      <w:r>
        <w:rPr>
          <w:sz w:val="20"/>
        </w:rPr>
        <w:t>La vinculación del desarrollo regional y urbano con el bienestar social de la población, procurando mantener, proteger y mejorar los ecosistemas de cada zona;</w:t>
      </w:r>
    </w:p>
    <w:p>
      <w:pPr>
        <w:pStyle w:val="BodyText"/>
        <w:spacing w:before="1"/>
      </w:pPr>
    </w:p>
    <w:p>
      <w:pPr>
        <w:pStyle w:val="ListParagraph"/>
        <w:numPr>
          <w:ilvl w:val="0"/>
          <w:numId w:val="2"/>
        </w:numPr>
        <w:tabs>
          <w:tab w:pos="688" w:val="left" w:leader="none"/>
        </w:tabs>
        <w:spacing w:line="240" w:lineRule="auto" w:before="0" w:after="0"/>
        <w:ind w:left="262" w:right="282" w:firstLine="0"/>
        <w:jc w:val="both"/>
        <w:rPr>
          <w:sz w:val="20"/>
        </w:rPr>
      </w:pPr>
      <w:r>
        <w:rPr>
          <w:sz w:val="20"/>
        </w:rPr>
        <w:t>El</w:t>
      </w:r>
      <w:r>
        <w:rPr>
          <w:spacing w:val="-6"/>
          <w:sz w:val="20"/>
        </w:rPr>
        <w:t> </w:t>
      </w:r>
      <w:r>
        <w:rPr>
          <w:sz w:val="20"/>
        </w:rPr>
        <w:t>desarrollo</w:t>
      </w:r>
      <w:r>
        <w:rPr>
          <w:spacing w:val="-5"/>
          <w:sz w:val="20"/>
        </w:rPr>
        <w:t> </w:t>
      </w:r>
      <w:r>
        <w:rPr>
          <w:sz w:val="20"/>
        </w:rPr>
        <w:t>de</w:t>
      </w:r>
      <w:r>
        <w:rPr>
          <w:spacing w:val="-3"/>
          <w:sz w:val="20"/>
        </w:rPr>
        <w:t> </w:t>
      </w:r>
      <w:r>
        <w:rPr>
          <w:sz w:val="20"/>
        </w:rPr>
        <w:t>los</w:t>
      </w:r>
      <w:r>
        <w:rPr>
          <w:spacing w:val="-4"/>
          <w:sz w:val="20"/>
        </w:rPr>
        <w:t> </w:t>
      </w:r>
      <w:r>
        <w:rPr>
          <w:sz w:val="20"/>
        </w:rPr>
        <w:t>asentamientos</w:t>
      </w:r>
      <w:r>
        <w:rPr>
          <w:spacing w:val="-4"/>
          <w:sz w:val="20"/>
        </w:rPr>
        <w:t> </w:t>
      </w:r>
      <w:r>
        <w:rPr>
          <w:sz w:val="20"/>
        </w:rPr>
        <w:t>humanos</w:t>
      </w:r>
      <w:r>
        <w:rPr>
          <w:spacing w:val="-4"/>
          <w:sz w:val="20"/>
        </w:rPr>
        <w:t> </w:t>
      </w:r>
      <w:r>
        <w:rPr>
          <w:sz w:val="20"/>
        </w:rPr>
        <w:t>que</w:t>
      </w:r>
      <w:r>
        <w:rPr>
          <w:spacing w:val="-5"/>
          <w:sz w:val="20"/>
        </w:rPr>
        <w:t> </w:t>
      </w:r>
      <w:r>
        <w:rPr>
          <w:sz w:val="20"/>
        </w:rPr>
        <w:t>articule</w:t>
      </w:r>
      <w:r>
        <w:rPr>
          <w:spacing w:val="-3"/>
          <w:sz w:val="20"/>
        </w:rPr>
        <w:t> </w:t>
      </w:r>
      <w:r>
        <w:rPr>
          <w:sz w:val="20"/>
        </w:rPr>
        <w:t>la</w:t>
      </w:r>
      <w:r>
        <w:rPr>
          <w:spacing w:val="-5"/>
          <w:sz w:val="20"/>
        </w:rPr>
        <w:t> </w:t>
      </w:r>
      <w:r>
        <w:rPr>
          <w:sz w:val="20"/>
        </w:rPr>
        <w:t>interrelación</w:t>
      </w:r>
      <w:r>
        <w:rPr>
          <w:spacing w:val="-5"/>
          <w:sz w:val="20"/>
        </w:rPr>
        <w:t> </w:t>
      </w:r>
      <w:r>
        <w:rPr>
          <w:sz w:val="20"/>
        </w:rPr>
        <w:t>entre</w:t>
      </w:r>
      <w:r>
        <w:rPr>
          <w:spacing w:val="-5"/>
          <w:sz w:val="20"/>
        </w:rPr>
        <w:t> </w:t>
      </w:r>
      <w:r>
        <w:rPr>
          <w:sz w:val="20"/>
        </w:rPr>
        <w:t>ciudad</w:t>
      </w:r>
      <w:r>
        <w:rPr>
          <w:spacing w:val="-5"/>
          <w:sz w:val="20"/>
        </w:rPr>
        <w:t> </w:t>
      </w:r>
      <w:r>
        <w:rPr>
          <w:sz w:val="20"/>
        </w:rPr>
        <w:t>y</w:t>
      </w:r>
      <w:r>
        <w:rPr>
          <w:spacing w:val="-4"/>
          <w:sz w:val="20"/>
        </w:rPr>
        <w:t> </w:t>
      </w:r>
      <w:r>
        <w:rPr>
          <w:sz w:val="20"/>
        </w:rPr>
        <w:t>campo, distribuyendo equitativamente los beneficios y cargas del proceso de urbanización;</w:t>
      </w:r>
    </w:p>
    <w:p>
      <w:pPr>
        <w:pStyle w:val="ListParagraph"/>
        <w:numPr>
          <w:ilvl w:val="0"/>
          <w:numId w:val="2"/>
        </w:numPr>
        <w:tabs>
          <w:tab w:pos="688" w:val="left" w:leader="none"/>
        </w:tabs>
        <w:spacing w:line="240" w:lineRule="auto" w:before="229" w:after="0"/>
        <w:ind w:left="262" w:right="285" w:firstLine="0"/>
        <w:jc w:val="both"/>
        <w:rPr>
          <w:sz w:val="20"/>
        </w:rPr>
      </w:pPr>
      <w:r>
        <w:rPr>
          <w:sz w:val="20"/>
        </w:rPr>
        <w:t>La distribución equilibrada y sustentable de la población, las actividades económicas y los servicios en el territorio;</w:t>
      </w:r>
    </w:p>
    <w:p>
      <w:pPr>
        <w:pStyle w:val="BodyText"/>
        <w:spacing w:before="1"/>
      </w:pPr>
    </w:p>
    <w:p>
      <w:pPr>
        <w:pStyle w:val="ListParagraph"/>
        <w:numPr>
          <w:ilvl w:val="0"/>
          <w:numId w:val="2"/>
        </w:numPr>
        <w:tabs>
          <w:tab w:pos="688" w:val="left" w:leader="none"/>
        </w:tabs>
        <w:spacing w:line="240" w:lineRule="auto" w:before="1" w:after="0"/>
        <w:ind w:left="688" w:right="0" w:hanging="426"/>
        <w:jc w:val="both"/>
        <w:rPr>
          <w:sz w:val="20"/>
        </w:rPr>
      </w:pPr>
      <w:r>
        <w:rPr>
          <w:sz w:val="20"/>
        </w:rPr>
        <w:t>La</w:t>
      </w:r>
      <w:r>
        <w:rPr>
          <w:spacing w:val="-10"/>
          <w:sz w:val="20"/>
        </w:rPr>
        <w:t> </w:t>
      </w:r>
      <w:r>
        <w:rPr>
          <w:sz w:val="20"/>
        </w:rPr>
        <w:t>adecuada</w:t>
      </w:r>
      <w:r>
        <w:rPr>
          <w:spacing w:val="-8"/>
          <w:sz w:val="20"/>
        </w:rPr>
        <w:t> </w:t>
      </w:r>
      <w:r>
        <w:rPr>
          <w:sz w:val="20"/>
        </w:rPr>
        <w:t>interrelación</w:t>
      </w:r>
      <w:r>
        <w:rPr>
          <w:spacing w:val="-8"/>
          <w:sz w:val="20"/>
        </w:rPr>
        <w:t> </w:t>
      </w:r>
      <w:r>
        <w:rPr>
          <w:sz w:val="20"/>
        </w:rPr>
        <w:t>socioeconómica</w:t>
      </w:r>
      <w:r>
        <w:rPr>
          <w:spacing w:val="-8"/>
          <w:sz w:val="20"/>
        </w:rPr>
        <w:t> </w:t>
      </w:r>
      <w:r>
        <w:rPr>
          <w:sz w:val="20"/>
        </w:rPr>
        <w:t>de</w:t>
      </w:r>
      <w:r>
        <w:rPr>
          <w:spacing w:val="-7"/>
          <w:sz w:val="20"/>
        </w:rPr>
        <w:t> </w:t>
      </w:r>
      <w:r>
        <w:rPr>
          <w:sz w:val="20"/>
        </w:rPr>
        <w:t>los</w:t>
      </w:r>
      <w:r>
        <w:rPr>
          <w:spacing w:val="-8"/>
          <w:sz w:val="20"/>
        </w:rPr>
        <w:t> </w:t>
      </w:r>
      <w:r>
        <w:rPr>
          <w:sz w:val="20"/>
        </w:rPr>
        <w:t>centros</w:t>
      </w:r>
      <w:r>
        <w:rPr>
          <w:spacing w:val="-8"/>
          <w:sz w:val="20"/>
        </w:rPr>
        <w:t> </w:t>
      </w:r>
      <w:r>
        <w:rPr>
          <w:sz w:val="20"/>
        </w:rPr>
        <w:t>de</w:t>
      </w:r>
      <w:r>
        <w:rPr>
          <w:spacing w:val="-9"/>
          <w:sz w:val="20"/>
        </w:rPr>
        <w:t> </w:t>
      </w:r>
      <w:r>
        <w:rPr>
          <w:spacing w:val="-2"/>
          <w:sz w:val="20"/>
        </w:rPr>
        <w:t>población;</w:t>
      </w:r>
    </w:p>
    <w:p>
      <w:pPr>
        <w:pStyle w:val="ListParagraph"/>
        <w:numPr>
          <w:ilvl w:val="0"/>
          <w:numId w:val="2"/>
        </w:numPr>
        <w:tabs>
          <w:tab w:pos="688" w:val="left" w:leader="none"/>
        </w:tabs>
        <w:spacing w:line="240" w:lineRule="auto" w:before="228" w:after="0"/>
        <w:ind w:left="262" w:right="287" w:firstLine="0"/>
        <w:jc w:val="both"/>
        <w:rPr>
          <w:sz w:val="20"/>
        </w:rPr>
      </w:pPr>
      <w:r>
        <w:rPr>
          <w:sz w:val="20"/>
        </w:rPr>
        <w:t>La creación de condiciones favorables para una adecuada relación entre zonas industriales y de vivienda para trabajadores, la movilidad entre ambas y el justo equilibrio entre el trabajo, los servicios y el equipamiento;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2"/>
        </w:numPr>
        <w:tabs>
          <w:tab w:pos="827" w:val="left" w:leader="none"/>
        </w:tabs>
        <w:spacing w:line="240" w:lineRule="auto" w:before="0" w:after="0"/>
        <w:ind w:left="262" w:right="286" w:firstLine="0"/>
        <w:jc w:val="both"/>
        <w:rPr>
          <w:sz w:val="20"/>
        </w:rPr>
      </w:pPr>
      <w:r>
        <w:rPr>
          <w:sz w:val="20"/>
        </w:rPr>
        <w:t>El fomento de centros de población de tamaño medio, a fin de evitar los que, por su desproporción, producen impactos económicos negativos y un grave deterioro social, humano y </w:t>
      </w:r>
      <w:r>
        <w:rPr>
          <w:spacing w:val="-2"/>
          <w:sz w:val="20"/>
        </w:rPr>
        <w:t>ecológico;</w:t>
      </w:r>
    </w:p>
    <w:p>
      <w:pPr>
        <w:pStyle w:val="BodyText"/>
        <w:spacing w:before="1"/>
      </w:pPr>
    </w:p>
    <w:p>
      <w:pPr>
        <w:pStyle w:val="ListParagraph"/>
        <w:numPr>
          <w:ilvl w:val="0"/>
          <w:numId w:val="2"/>
        </w:numPr>
        <w:tabs>
          <w:tab w:pos="827" w:val="left" w:leader="none"/>
        </w:tabs>
        <w:spacing w:line="240" w:lineRule="auto" w:before="1" w:after="0"/>
        <w:ind w:left="262" w:right="284" w:firstLine="0"/>
        <w:jc w:val="both"/>
        <w:rPr>
          <w:sz w:val="20"/>
        </w:rPr>
      </w:pPr>
      <w:r>
        <w:rPr>
          <w:sz w:val="20"/>
        </w:rPr>
        <w:t>La preservación y mejoramiento del medioambiente en los asentamientos humanos, previniendo y controlando la contaminación y el impacto urbano y ambiental;</w:t>
      </w:r>
    </w:p>
    <w:p>
      <w:pPr>
        <w:pStyle w:val="ListParagraph"/>
        <w:numPr>
          <w:ilvl w:val="0"/>
          <w:numId w:val="2"/>
        </w:numPr>
        <w:tabs>
          <w:tab w:pos="688" w:val="left" w:leader="none"/>
        </w:tabs>
        <w:spacing w:line="240" w:lineRule="auto" w:before="228" w:after="0"/>
        <w:ind w:left="688" w:right="0" w:hanging="426"/>
        <w:jc w:val="both"/>
        <w:rPr>
          <w:sz w:val="20"/>
        </w:rPr>
      </w:pPr>
      <w:r>
        <w:rPr>
          <w:spacing w:val="-2"/>
          <w:sz w:val="20"/>
        </w:rPr>
        <w:t>El</w:t>
      </w:r>
      <w:r>
        <w:rPr>
          <w:spacing w:val="-7"/>
          <w:sz w:val="20"/>
        </w:rPr>
        <w:t> </w:t>
      </w:r>
      <w:r>
        <w:rPr>
          <w:spacing w:val="-2"/>
          <w:sz w:val="20"/>
        </w:rPr>
        <w:t>desarrollo</w:t>
      </w:r>
      <w:r>
        <w:rPr>
          <w:spacing w:val="-8"/>
          <w:sz w:val="20"/>
        </w:rPr>
        <w:t> </w:t>
      </w:r>
      <w:r>
        <w:rPr>
          <w:spacing w:val="-2"/>
          <w:sz w:val="20"/>
        </w:rPr>
        <w:t>equilibrado</w:t>
      </w:r>
      <w:r>
        <w:rPr>
          <w:spacing w:val="-5"/>
          <w:sz w:val="20"/>
        </w:rPr>
        <w:t> </w:t>
      </w:r>
      <w:r>
        <w:rPr>
          <w:spacing w:val="-2"/>
          <w:sz w:val="20"/>
        </w:rPr>
        <w:t>de</w:t>
      </w:r>
      <w:r>
        <w:rPr>
          <w:spacing w:val="-4"/>
          <w:sz w:val="20"/>
        </w:rPr>
        <w:t> </w:t>
      </w:r>
      <w:r>
        <w:rPr>
          <w:spacing w:val="-2"/>
          <w:sz w:val="20"/>
        </w:rPr>
        <w:t>las</w:t>
      </w:r>
      <w:r>
        <w:rPr>
          <w:spacing w:val="-6"/>
          <w:sz w:val="20"/>
        </w:rPr>
        <w:t> </w:t>
      </w:r>
      <w:r>
        <w:rPr>
          <w:spacing w:val="-2"/>
          <w:sz w:val="20"/>
        </w:rPr>
        <w:t>diversas</w:t>
      </w:r>
      <w:r>
        <w:rPr>
          <w:spacing w:val="-7"/>
          <w:sz w:val="20"/>
        </w:rPr>
        <w:t> </w:t>
      </w:r>
      <w:r>
        <w:rPr>
          <w:spacing w:val="-2"/>
          <w:sz w:val="20"/>
        </w:rPr>
        <w:t>regiones</w:t>
      </w:r>
      <w:r>
        <w:rPr>
          <w:spacing w:val="-6"/>
          <w:sz w:val="20"/>
        </w:rPr>
        <w:t> </w:t>
      </w:r>
      <w:r>
        <w:rPr>
          <w:spacing w:val="-2"/>
          <w:sz w:val="20"/>
        </w:rPr>
        <w:t>del</w:t>
      </w:r>
      <w:r>
        <w:rPr>
          <w:spacing w:val="-7"/>
          <w:sz w:val="20"/>
        </w:rPr>
        <w:t> </w:t>
      </w:r>
      <w:r>
        <w:rPr>
          <w:spacing w:val="-2"/>
          <w:sz w:val="20"/>
        </w:rPr>
        <w:t>Estado</w:t>
      </w:r>
      <w:r>
        <w:rPr>
          <w:spacing w:val="-6"/>
          <w:sz w:val="20"/>
        </w:rPr>
        <w:t> </w:t>
      </w:r>
      <w:r>
        <w:rPr>
          <w:spacing w:val="-2"/>
          <w:sz w:val="20"/>
        </w:rPr>
        <w:t>y</w:t>
      </w:r>
      <w:r>
        <w:rPr>
          <w:spacing w:val="-6"/>
          <w:sz w:val="20"/>
        </w:rPr>
        <w:t> </w:t>
      </w:r>
      <w:r>
        <w:rPr>
          <w:spacing w:val="-2"/>
          <w:sz w:val="20"/>
        </w:rPr>
        <w:t>micro-regiones</w:t>
      </w:r>
      <w:r>
        <w:rPr>
          <w:spacing w:val="-5"/>
          <w:sz w:val="20"/>
        </w:rPr>
        <w:t> </w:t>
      </w:r>
      <w:r>
        <w:rPr>
          <w:spacing w:val="-2"/>
          <w:sz w:val="20"/>
        </w:rPr>
        <w:t>de</w:t>
      </w:r>
      <w:r>
        <w:rPr>
          <w:spacing w:val="-5"/>
          <w:sz w:val="20"/>
        </w:rPr>
        <w:t> </w:t>
      </w:r>
      <w:r>
        <w:rPr>
          <w:spacing w:val="-2"/>
          <w:sz w:val="20"/>
        </w:rPr>
        <w:t>los</w:t>
      </w:r>
      <w:r>
        <w:rPr>
          <w:spacing w:val="-7"/>
          <w:sz w:val="20"/>
        </w:rPr>
        <w:t> </w:t>
      </w:r>
      <w:r>
        <w:rPr>
          <w:spacing w:val="-2"/>
          <w:sz w:val="20"/>
        </w:rPr>
        <w:t>municipios;</w:t>
      </w:r>
    </w:p>
    <w:p>
      <w:pPr>
        <w:pStyle w:val="BodyText"/>
        <w:spacing w:before="1"/>
      </w:pPr>
    </w:p>
    <w:p>
      <w:pPr>
        <w:pStyle w:val="ListParagraph"/>
        <w:numPr>
          <w:ilvl w:val="0"/>
          <w:numId w:val="2"/>
        </w:numPr>
        <w:tabs>
          <w:tab w:pos="688" w:val="left" w:leader="none"/>
        </w:tabs>
        <w:spacing w:line="240" w:lineRule="auto" w:before="0" w:after="0"/>
        <w:ind w:left="262" w:right="286" w:firstLine="0"/>
        <w:jc w:val="both"/>
        <w:rPr>
          <w:sz w:val="20"/>
        </w:rPr>
      </w:pPr>
      <w:r>
        <w:rPr>
          <w:sz w:val="20"/>
        </w:rPr>
        <w:t>La</w:t>
      </w:r>
      <w:r>
        <w:rPr>
          <w:spacing w:val="-5"/>
          <w:sz w:val="20"/>
        </w:rPr>
        <w:t> </w:t>
      </w:r>
      <w:r>
        <w:rPr>
          <w:sz w:val="20"/>
        </w:rPr>
        <w:t>utilización</w:t>
      </w:r>
      <w:r>
        <w:rPr>
          <w:spacing w:val="-5"/>
          <w:sz w:val="20"/>
        </w:rPr>
        <w:t> </w:t>
      </w:r>
      <w:r>
        <w:rPr>
          <w:sz w:val="20"/>
        </w:rPr>
        <w:t>racional</w:t>
      </w:r>
      <w:r>
        <w:rPr>
          <w:spacing w:val="-3"/>
          <w:sz w:val="20"/>
        </w:rPr>
        <w:t> </w:t>
      </w:r>
      <w:r>
        <w:rPr>
          <w:sz w:val="20"/>
        </w:rPr>
        <w:t>del</w:t>
      </w:r>
      <w:r>
        <w:rPr>
          <w:spacing w:val="-3"/>
          <w:sz w:val="20"/>
        </w:rPr>
        <w:t> </w:t>
      </w:r>
      <w:r>
        <w:rPr>
          <w:sz w:val="20"/>
        </w:rPr>
        <w:t>agua</w:t>
      </w:r>
      <w:r>
        <w:rPr>
          <w:spacing w:val="-4"/>
          <w:sz w:val="20"/>
        </w:rPr>
        <w:t> </w:t>
      </w:r>
      <w:r>
        <w:rPr>
          <w:sz w:val="20"/>
        </w:rPr>
        <w:t>y</w:t>
      </w:r>
      <w:r>
        <w:rPr>
          <w:spacing w:val="-1"/>
          <w:sz w:val="20"/>
        </w:rPr>
        <w:t> </w:t>
      </w:r>
      <w:r>
        <w:rPr>
          <w:sz w:val="20"/>
        </w:rPr>
        <w:t>de</w:t>
      </w:r>
      <w:r>
        <w:rPr>
          <w:spacing w:val="-2"/>
          <w:sz w:val="20"/>
        </w:rPr>
        <w:t> </w:t>
      </w:r>
      <w:r>
        <w:rPr>
          <w:sz w:val="20"/>
        </w:rPr>
        <w:t>los</w:t>
      </w:r>
      <w:r>
        <w:rPr>
          <w:spacing w:val="-3"/>
          <w:sz w:val="20"/>
        </w:rPr>
        <w:t> </w:t>
      </w:r>
      <w:r>
        <w:rPr>
          <w:sz w:val="20"/>
        </w:rPr>
        <w:t>recursos</w:t>
      </w:r>
      <w:r>
        <w:rPr>
          <w:spacing w:val="-3"/>
          <w:sz w:val="20"/>
        </w:rPr>
        <w:t> </w:t>
      </w:r>
      <w:r>
        <w:rPr>
          <w:sz w:val="20"/>
        </w:rPr>
        <w:t>renovables</w:t>
      </w:r>
      <w:r>
        <w:rPr>
          <w:spacing w:val="-3"/>
          <w:sz w:val="20"/>
        </w:rPr>
        <w:t> </w:t>
      </w:r>
      <w:r>
        <w:rPr>
          <w:sz w:val="20"/>
        </w:rPr>
        <w:t>y</w:t>
      </w:r>
      <w:r>
        <w:rPr>
          <w:spacing w:val="-1"/>
          <w:sz w:val="20"/>
        </w:rPr>
        <w:t> </w:t>
      </w:r>
      <w:r>
        <w:rPr>
          <w:sz w:val="20"/>
        </w:rPr>
        <w:t>no</w:t>
      </w:r>
      <w:r>
        <w:rPr>
          <w:spacing w:val="-2"/>
          <w:sz w:val="20"/>
        </w:rPr>
        <w:t> </w:t>
      </w:r>
      <w:r>
        <w:rPr>
          <w:sz w:val="20"/>
        </w:rPr>
        <w:t>renovables</w:t>
      </w:r>
      <w:r>
        <w:rPr>
          <w:spacing w:val="-3"/>
          <w:sz w:val="20"/>
        </w:rPr>
        <w:t> </w:t>
      </w:r>
      <w:r>
        <w:rPr>
          <w:sz w:val="20"/>
        </w:rPr>
        <w:t>en</w:t>
      </w:r>
      <w:r>
        <w:rPr>
          <w:spacing w:val="-2"/>
          <w:sz w:val="20"/>
        </w:rPr>
        <w:t> </w:t>
      </w:r>
      <w:r>
        <w:rPr>
          <w:sz w:val="20"/>
        </w:rPr>
        <w:t>los</w:t>
      </w:r>
      <w:r>
        <w:rPr>
          <w:spacing w:val="-3"/>
          <w:sz w:val="20"/>
        </w:rPr>
        <w:t> </w:t>
      </w:r>
      <w:r>
        <w:rPr>
          <w:sz w:val="20"/>
        </w:rPr>
        <w:t>centros</w:t>
      </w:r>
      <w:r>
        <w:rPr>
          <w:spacing w:val="-1"/>
          <w:sz w:val="20"/>
        </w:rPr>
        <w:t> </w:t>
      </w:r>
      <w:r>
        <w:rPr>
          <w:sz w:val="20"/>
        </w:rPr>
        <w:t>de </w:t>
      </w:r>
      <w:r>
        <w:rPr>
          <w:spacing w:val="-2"/>
          <w:sz w:val="20"/>
        </w:rPr>
        <w:t>población;</w:t>
      </w:r>
    </w:p>
    <w:p>
      <w:pPr>
        <w:pStyle w:val="BodyText"/>
      </w:pPr>
    </w:p>
    <w:p>
      <w:pPr>
        <w:pStyle w:val="ListParagraph"/>
        <w:numPr>
          <w:ilvl w:val="0"/>
          <w:numId w:val="2"/>
        </w:numPr>
        <w:tabs>
          <w:tab w:pos="688" w:val="left" w:leader="none"/>
        </w:tabs>
        <w:spacing w:line="240" w:lineRule="auto" w:before="0" w:after="0"/>
        <w:ind w:left="688" w:right="0" w:hanging="426"/>
        <w:jc w:val="both"/>
        <w:rPr>
          <w:sz w:val="20"/>
        </w:rPr>
      </w:pPr>
      <w:r>
        <w:rPr>
          <w:sz w:val="20"/>
        </w:rPr>
        <w:t>La</w:t>
      </w:r>
      <w:r>
        <w:rPr>
          <w:spacing w:val="-8"/>
          <w:sz w:val="20"/>
        </w:rPr>
        <w:t> </w:t>
      </w:r>
      <w:r>
        <w:rPr>
          <w:sz w:val="20"/>
        </w:rPr>
        <w:t>protección</w:t>
      </w:r>
      <w:r>
        <w:rPr>
          <w:spacing w:val="-5"/>
          <w:sz w:val="20"/>
        </w:rPr>
        <w:t> </w:t>
      </w:r>
      <w:r>
        <w:rPr>
          <w:sz w:val="20"/>
        </w:rPr>
        <w:t>del</w:t>
      </w:r>
      <w:r>
        <w:rPr>
          <w:spacing w:val="-8"/>
          <w:sz w:val="20"/>
        </w:rPr>
        <w:t> </w:t>
      </w:r>
      <w:r>
        <w:rPr>
          <w:sz w:val="20"/>
        </w:rPr>
        <w:t>asentamiento</w:t>
      </w:r>
      <w:r>
        <w:rPr>
          <w:spacing w:val="-8"/>
          <w:sz w:val="20"/>
        </w:rPr>
        <w:t> </w:t>
      </w:r>
      <w:r>
        <w:rPr>
          <w:sz w:val="20"/>
        </w:rPr>
        <w:t>rural</w:t>
      </w:r>
      <w:r>
        <w:rPr>
          <w:spacing w:val="-8"/>
          <w:sz w:val="20"/>
        </w:rPr>
        <w:t> </w:t>
      </w:r>
      <w:r>
        <w:rPr>
          <w:sz w:val="20"/>
        </w:rPr>
        <w:t>y</w:t>
      </w:r>
      <w:r>
        <w:rPr>
          <w:spacing w:val="-6"/>
          <w:sz w:val="20"/>
        </w:rPr>
        <w:t> </w:t>
      </w:r>
      <w:r>
        <w:rPr>
          <w:sz w:val="20"/>
        </w:rPr>
        <w:t>de</w:t>
      </w:r>
      <w:r>
        <w:rPr>
          <w:spacing w:val="-6"/>
          <w:sz w:val="20"/>
        </w:rPr>
        <w:t> </w:t>
      </w:r>
      <w:r>
        <w:rPr>
          <w:sz w:val="20"/>
        </w:rPr>
        <w:t>las</w:t>
      </w:r>
      <w:r>
        <w:rPr>
          <w:spacing w:val="-6"/>
          <w:sz w:val="20"/>
        </w:rPr>
        <w:t> </w:t>
      </w:r>
      <w:r>
        <w:rPr>
          <w:sz w:val="20"/>
        </w:rPr>
        <w:t>comunidades</w:t>
      </w:r>
      <w:r>
        <w:rPr>
          <w:spacing w:val="-6"/>
          <w:sz w:val="20"/>
        </w:rPr>
        <w:t> </w:t>
      </w:r>
      <w:r>
        <w:rPr>
          <w:spacing w:val="-2"/>
          <w:sz w:val="20"/>
        </w:rPr>
        <w:t>indígenas;</w:t>
      </w:r>
    </w:p>
    <w:p>
      <w:pPr>
        <w:pStyle w:val="BodyText"/>
      </w:pPr>
    </w:p>
    <w:p>
      <w:pPr>
        <w:pStyle w:val="ListParagraph"/>
        <w:numPr>
          <w:ilvl w:val="0"/>
          <w:numId w:val="2"/>
        </w:numPr>
        <w:tabs>
          <w:tab w:pos="688" w:val="left" w:leader="none"/>
        </w:tabs>
        <w:spacing w:line="240" w:lineRule="auto" w:before="1" w:after="0"/>
        <w:ind w:left="262" w:right="287" w:firstLine="0"/>
        <w:jc w:val="both"/>
        <w:rPr>
          <w:sz w:val="20"/>
        </w:rPr>
      </w:pPr>
      <w:r>
        <w:rPr>
          <w:sz w:val="20"/>
        </w:rPr>
        <w:t>La</w:t>
      </w:r>
      <w:r>
        <w:rPr>
          <w:spacing w:val="-4"/>
          <w:sz w:val="20"/>
        </w:rPr>
        <w:t> </w:t>
      </w:r>
      <w:r>
        <w:rPr>
          <w:sz w:val="20"/>
        </w:rPr>
        <w:t>eficiente</w:t>
      </w:r>
      <w:r>
        <w:rPr>
          <w:spacing w:val="-3"/>
          <w:sz w:val="20"/>
        </w:rPr>
        <w:t> </w:t>
      </w:r>
      <w:r>
        <w:rPr>
          <w:sz w:val="20"/>
        </w:rPr>
        <w:t>interacción</w:t>
      </w:r>
      <w:r>
        <w:rPr>
          <w:spacing w:val="-3"/>
          <w:sz w:val="20"/>
        </w:rPr>
        <w:t> </w:t>
      </w:r>
      <w:r>
        <w:rPr>
          <w:sz w:val="20"/>
        </w:rPr>
        <w:t>entre</w:t>
      </w:r>
      <w:r>
        <w:rPr>
          <w:spacing w:val="-5"/>
          <w:sz w:val="20"/>
        </w:rPr>
        <w:t> </w:t>
      </w:r>
      <w:r>
        <w:rPr>
          <w:sz w:val="20"/>
        </w:rPr>
        <w:t>los</w:t>
      </w:r>
      <w:r>
        <w:rPr>
          <w:spacing w:val="-4"/>
          <w:sz w:val="20"/>
        </w:rPr>
        <w:t> </w:t>
      </w:r>
      <w:r>
        <w:rPr>
          <w:sz w:val="20"/>
        </w:rPr>
        <w:t>espacios</w:t>
      </w:r>
      <w:r>
        <w:rPr>
          <w:spacing w:val="-2"/>
          <w:sz w:val="20"/>
        </w:rPr>
        <w:t> </w:t>
      </w:r>
      <w:r>
        <w:rPr>
          <w:sz w:val="20"/>
        </w:rPr>
        <w:t>públicos,</w:t>
      </w:r>
      <w:r>
        <w:rPr>
          <w:spacing w:val="-5"/>
          <w:sz w:val="20"/>
        </w:rPr>
        <w:t> </w:t>
      </w:r>
      <w:r>
        <w:rPr>
          <w:sz w:val="20"/>
        </w:rPr>
        <w:t>la</w:t>
      </w:r>
      <w:r>
        <w:rPr>
          <w:spacing w:val="-3"/>
          <w:sz w:val="20"/>
        </w:rPr>
        <w:t> </w:t>
      </w:r>
      <w:r>
        <w:rPr>
          <w:sz w:val="20"/>
        </w:rPr>
        <w:t>vivienda,</w:t>
      </w:r>
      <w:r>
        <w:rPr>
          <w:spacing w:val="-5"/>
          <w:sz w:val="20"/>
        </w:rPr>
        <w:t> </w:t>
      </w:r>
      <w:r>
        <w:rPr>
          <w:sz w:val="20"/>
        </w:rPr>
        <w:t>circulación,</w:t>
      </w:r>
      <w:r>
        <w:rPr>
          <w:spacing w:val="-3"/>
          <w:sz w:val="20"/>
        </w:rPr>
        <w:t> </w:t>
      </w:r>
      <w:r>
        <w:rPr>
          <w:sz w:val="20"/>
        </w:rPr>
        <w:t>trabajo,</w:t>
      </w:r>
      <w:r>
        <w:rPr>
          <w:spacing w:val="-5"/>
          <w:sz w:val="20"/>
        </w:rPr>
        <w:t> </w:t>
      </w:r>
      <w:r>
        <w:rPr>
          <w:sz w:val="20"/>
        </w:rPr>
        <w:t>recreación y servicios en los centros de población;</w:t>
      </w:r>
    </w:p>
    <w:p>
      <w:pPr>
        <w:pStyle w:val="ListParagraph"/>
        <w:numPr>
          <w:ilvl w:val="0"/>
          <w:numId w:val="2"/>
        </w:numPr>
        <w:tabs>
          <w:tab w:pos="828" w:val="left" w:leader="none"/>
        </w:tabs>
        <w:spacing w:line="240" w:lineRule="auto" w:before="228" w:after="0"/>
        <w:ind w:left="262" w:right="290" w:firstLine="0"/>
        <w:jc w:val="both"/>
        <w:rPr>
          <w:sz w:val="20"/>
        </w:rPr>
      </w:pPr>
      <w:r>
        <w:rPr>
          <w:sz w:val="20"/>
        </w:rPr>
        <w:t>El establecimiento de desarrollos urbanos integrales para controlar e intensificar los usos y destinos del suelo y optimizar la infraestructura, el equipamiento y los servicios urbanos;</w:t>
      </w:r>
    </w:p>
    <w:p>
      <w:pPr>
        <w:pStyle w:val="BodyText"/>
        <w:spacing w:before="2"/>
      </w:pPr>
    </w:p>
    <w:p>
      <w:pPr>
        <w:pStyle w:val="ListParagraph"/>
        <w:numPr>
          <w:ilvl w:val="0"/>
          <w:numId w:val="2"/>
        </w:numPr>
        <w:tabs>
          <w:tab w:pos="827" w:val="left" w:leader="none"/>
        </w:tabs>
        <w:spacing w:line="240" w:lineRule="auto" w:before="0" w:after="0"/>
        <w:ind w:left="262" w:right="285" w:firstLine="0"/>
        <w:jc w:val="both"/>
        <w:rPr>
          <w:sz w:val="20"/>
        </w:rPr>
      </w:pPr>
      <w:r>
        <w:rPr>
          <w:sz w:val="20"/>
        </w:rPr>
        <w:t>La estructuración interna de los centros de población y la dotación suficiente y oportuna de infraestructura, equipamiento y servicios urbanos;</w:t>
      </w:r>
    </w:p>
    <w:p>
      <w:pPr>
        <w:pStyle w:val="ListParagraph"/>
        <w:numPr>
          <w:ilvl w:val="0"/>
          <w:numId w:val="2"/>
        </w:numPr>
        <w:tabs>
          <w:tab w:pos="827" w:val="left" w:leader="none"/>
        </w:tabs>
        <w:spacing w:line="240" w:lineRule="auto" w:before="229" w:after="0"/>
        <w:ind w:left="262" w:right="287" w:firstLine="0"/>
        <w:jc w:val="both"/>
        <w:rPr>
          <w:sz w:val="20"/>
        </w:rPr>
      </w:pPr>
      <w:r>
        <w:rPr>
          <w:sz w:val="20"/>
        </w:rPr>
        <w:t>La participación social en las propuestas de solución de los problemas que genera la convivencia en los asentamientos humanos;</w:t>
      </w:r>
    </w:p>
    <w:p>
      <w:pPr>
        <w:pStyle w:val="BodyText"/>
        <w:spacing w:before="1"/>
      </w:pPr>
    </w:p>
    <w:p>
      <w:pPr>
        <w:pStyle w:val="ListParagraph"/>
        <w:numPr>
          <w:ilvl w:val="0"/>
          <w:numId w:val="2"/>
        </w:numPr>
        <w:tabs>
          <w:tab w:pos="881" w:val="left" w:leader="none"/>
        </w:tabs>
        <w:spacing w:line="240" w:lineRule="auto" w:before="0" w:after="0"/>
        <w:ind w:left="881" w:right="0" w:hanging="619"/>
        <w:jc w:val="both"/>
        <w:rPr>
          <w:sz w:val="20"/>
        </w:rPr>
      </w:pPr>
      <w:r>
        <w:rPr>
          <w:spacing w:val="-2"/>
          <w:sz w:val="20"/>
        </w:rPr>
        <w:t>La</w:t>
      </w:r>
      <w:r>
        <w:rPr>
          <w:spacing w:val="-11"/>
          <w:sz w:val="20"/>
        </w:rPr>
        <w:t> </w:t>
      </w:r>
      <w:r>
        <w:rPr>
          <w:spacing w:val="-2"/>
          <w:sz w:val="20"/>
        </w:rPr>
        <w:t>promoción</w:t>
      </w:r>
      <w:r>
        <w:rPr>
          <w:spacing w:val="-7"/>
          <w:sz w:val="20"/>
        </w:rPr>
        <w:t> </w:t>
      </w:r>
      <w:r>
        <w:rPr>
          <w:spacing w:val="-2"/>
          <w:sz w:val="20"/>
        </w:rPr>
        <w:t>de</w:t>
      </w:r>
      <w:r>
        <w:rPr>
          <w:spacing w:val="-7"/>
          <w:sz w:val="20"/>
        </w:rPr>
        <w:t> </w:t>
      </w:r>
      <w:r>
        <w:rPr>
          <w:spacing w:val="-2"/>
          <w:sz w:val="20"/>
        </w:rPr>
        <w:t>obras</w:t>
      </w:r>
      <w:r>
        <w:rPr>
          <w:spacing w:val="-8"/>
          <w:sz w:val="20"/>
        </w:rPr>
        <w:t> </w:t>
      </w:r>
      <w:r>
        <w:rPr>
          <w:spacing w:val="-2"/>
          <w:sz w:val="20"/>
        </w:rPr>
        <w:t>y</w:t>
      </w:r>
      <w:r>
        <w:rPr>
          <w:spacing w:val="-8"/>
          <w:sz w:val="20"/>
        </w:rPr>
        <w:t> </w:t>
      </w:r>
      <w:r>
        <w:rPr>
          <w:spacing w:val="-2"/>
          <w:sz w:val="20"/>
        </w:rPr>
        <w:t>servicios</w:t>
      </w:r>
      <w:r>
        <w:rPr>
          <w:spacing w:val="-8"/>
          <w:sz w:val="20"/>
        </w:rPr>
        <w:t> </w:t>
      </w:r>
      <w:r>
        <w:rPr>
          <w:spacing w:val="-2"/>
          <w:sz w:val="20"/>
        </w:rPr>
        <w:t>para</w:t>
      </w:r>
      <w:r>
        <w:rPr>
          <w:spacing w:val="-9"/>
          <w:sz w:val="20"/>
        </w:rPr>
        <w:t> </w:t>
      </w:r>
      <w:r>
        <w:rPr>
          <w:spacing w:val="-2"/>
          <w:sz w:val="20"/>
        </w:rPr>
        <w:t>que</w:t>
      </w:r>
      <w:r>
        <w:rPr>
          <w:spacing w:val="-7"/>
          <w:sz w:val="20"/>
        </w:rPr>
        <w:t> </w:t>
      </w:r>
      <w:r>
        <w:rPr>
          <w:spacing w:val="-2"/>
          <w:sz w:val="20"/>
        </w:rPr>
        <w:t>la</w:t>
      </w:r>
      <w:r>
        <w:rPr>
          <w:spacing w:val="-9"/>
          <w:sz w:val="20"/>
        </w:rPr>
        <w:t> </w:t>
      </w:r>
      <w:r>
        <w:rPr>
          <w:spacing w:val="-2"/>
          <w:sz w:val="20"/>
        </w:rPr>
        <w:t>sociedad</w:t>
      </w:r>
      <w:r>
        <w:rPr>
          <w:spacing w:val="-9"/>
          <w:sz w:val="20"/>
        </w:rPr>
        <w:t> </w:t>
      </w:r>
      <w:r>
        <w:rPr>
          <w:spacing w:val="-2"/>
          <w:sz w:val="20"/>
        </w:rPr>
        <w:t>tenga</w:t>
      </w:r>
      <w:r>
        <w:rPr>
          <w:spacing w:val="-7"/>
          <w:sz w:val="20"/>
        </w:rPr>
        <w:t> </w:t>
      </w:r>
      <w:r>
        <w:rPr>
          <w:spacing w:val="-2"/>
          <w:sz w:val="20"/>
        </w:rPr>
        <w:t>una</w:t>
      </w:r>
      <w:r>
        <w:rPr>
          <w:spacing w:val="-7"/>
          <w:sz w:val="20"/>
        </w:rPr>
        <w:t> </w:t>
      </w:r>
      <w:r>
        <w:rPr>
          <w:spacing w:val="-2"/>
          <w:sz w:val="20"/>
        </w:rPr>
        <w:t>vivienda</w:t>
      </w:r>
      <w:r>
        <w:rPr>
          <w:spacing w:val="-9"/>
          <w:sz w:val="20"/>
        </w:rPr>
        <w:t> </w:t>
      </w:r>
      <w:r>
        <w:rPr>
          <w:spacing w:val="-2"/>
          <w:sz w:val="20"/>
        </w:rPr>
        <w:t>digna</w:t>
      </w:r>
      <w:r>
        <w:rPr>
          <w:spacing w:val="-7"/>
          <w:sz w:val="20"/>
        </w:rPr>
        <w:t> </w:t>
      </w:r>
      <w:r>
        <w:rPr>
          <w:spacing w:val="-2"/>
          <w:sz w:val="20"/>
        </w:rPr>
        <w:t>y</w:t>
      </w:r>
      <w:r>
        <w:rPr>
          <w:spacing w:val="-9"/>
          <w:sz w:val="20"/>
        </w:rPr>
        <w:t> </w:t>
      </w:r>
      <w:r>
        <w:rPr>
          <w:spacing w:val="-2"/>
          <w:sz w:val="20"/>
        </w:rPr>
        <w:t>adecuada;</w:t>
      </w:r>
    </w:p>
    <w:p>
      <w:pPr>
        <w:pStyle w:val="ListParagraph"/>
        <w:numPr>
          <w:ilvl w:val="0"/>
          <w:numId w:val="2"/>
        </w:numPr>
        <w:tabs>
          <w:tab w:pos="826" w:val="left" w:leader="none"/>
        </w:tabs>
        <w:spacing w:line="240" w:lineRule="auto" w:before="229" w:after="0"/>
        <w:ind w:left="262" w:right="288" w:firstLine="0"/>
        <w:jc w:val="both"/>
        <w:rPr>
          <w:sz w:val="20"/>
        </w:rPr>
      </w:pPr>
      <w:r>
        <w:rPr>
          <w:sz w:val="20"/>
        </w:rPr>
        <w:t>La</w:t>
      </w:r>
      <w:r>
        <w:rPr>
          <w:spacing w:val="-3"/>
          <w:sz w:val="20"/>
        </w:rPr>
        <w:t> </w:t>
      </w:r>
      <w:r>
        <w:rPr>
          <w:sz w:val="20"/>
        </w:rPr>
        <w:t>planeación del</w:t>
      </w:r>
      <w:r>
        <w:rPr>
          <w:spacing w:val="-1"/>
          <w:sz w:val="20"/>
        </w:rPr>
        <w:t> </w:t>
      </w:r>
      <w:r>
        <w:rPr>
          <w:sz w:val="20"/>
        </w:rPr>
        <w:t>desarrollo</w:t>
      </w:r>
      <w:r>
        <w:rPr>
          <w:spacing w:val="-2"/>
          <w:sz w:val="20"/>
        </w:rPr>
        <w:t> </w:t>
      </w:r>
      <w:r>
        <w:rPr>
          <w:sz w:val="20"/>
        </w:rPr>
        <w:t>urbano</w:t>
      </w:r>
      <w:r>
        <w:rPr>
          <w:spacing w:val="-3"/>
          <w:sz w:val="20"/>
        </w:rPr>
        <w:t> </w:t>
      </w:r>
      <w:r>
        <w:rPr>
          <w:sz w:val="20"/>
        </w:rPr>
        <w:t>sostenible,</w:t>
      </w:r>
      <w:r>
        <w:rPr>
          <w:spacing w:val="-2"/>
          <w:sz w:val="20"/>
        </w:rPr>
        <w:t> </w:t>
      </w:r>
      <w:r>
        <w:rPr>
          <w:sz w:val="20"/>
        </w:rPr>
        <w:t>con base</w:t>
      </w:r>
      <w:r>
        <w:rPr>
          <w:spacing w:val="-2"/>
          <w:sz w:val="20"/>
        </w:rPr>
        <w:t> </w:t>
      </w:r>
      <w:r>
        <w:rPr>
          <w:sz w:val="20"/>
        </w:rPr>
        <w:t>en las leyes</w:t>
      </w:r>
      <w:r>
        <w:rPr>
          <w:spacing w:val="-1"/>
          <w:sz w:val="20"/>
        </w:rPr>
        <w:t> </w:t>
      </w:r>
      <w:r>
        <w:rPr>
          <w:sz w:val="20"/>
        </w:rPr>
        <w:t>generales y</w:t>
      </w:r>
      <w:r>
        <w:rPr>
          <w:spacing w:val="-1"/>
          <w:sz w:val="20"/>
        </w:rPr>
        <w:t> </w:t>
      </w:r>
      <w:r>
        <w:rPr>
          <w:sz w:val="20"/>
        </w:rPr>
        <w:t>locales</w:t>
      </w:r>
      <w:r>
        <w:rPr>
          <w:spacing w:val="-1"/>
          <w:sz w:val="20"/>
        </w:rPr>
        <w:t> </w:t>
      </w:r>
      <w:r>
        <w:rPr>
          <w:sz w:val="20"/>
        </w:rPr>
        <w:t>en la materia, tomando en cuenta los instrumentos y directrices que emanen de acuerdos internacionales de los que México forme parte o haya participado;</w:t>
      </w:r>
    </w:p>
    <w:p>
      <w:pPr>
        <w:pStyle w:val="BodyText"/>
        <w:spacing w:before="1"/>
      </w:pPr>
    </w:p>
    <w:p>
      <w:pPr>
        <w:pStyle w:val="ListParagraph"/>
        <w:numPr>
          <w:ilvl w:val="0"/>
          <w:numId w:val="2"/>
        </w:numPr>
        <w:tabs>
          <w:tab w:pos="828" w:val="left" w:leader="none"/>
        </w:tabs>
        <w:spacing w:line="240" w:lineRule="auto" w:before="0" w:after="0"/>
        <w:ind w:left="828" w:right="0" w:hanging="566"/>
        <w:jc w:val="both"/>
        <w:rPr>
          <w:sz w:val="20"/>
        </w:rPr>
      </w:pPr>
      <w:r>
        <w:rPr>
          <w:sz w:val="20"/>
        </w:rPr>
        <w:t>La</w:t>
      </w:r>
      <w:r>
        <w:rPr>
          <w:spacing w:val="-8"/>
          <w:sz w:val="20"/>
        </w:rPr>
        <w:t> </w:t>
      </w:r>
      <w:r>
        <w:rPr>
          <w:sz w:val="20"/>
        </w:rPr>
        <w:t>regulación</w:t>
      </w:r>
      <w:r>
        <w:rPr>
          <w:spacing w:val="-5"/>
          <w:sz w:val="20"/>
        </w:rPr>
        <w:t> </w:t>
      </w:r>
      <w:r>
        <w:rPr>
          <w:sz w:val="20"/>
        </w:rPr>
        <w:t>de</w:t>
      </w:r>
      <w:r>
        <w:rPr>
          <w:spacing w:val="-6"/>
          <w:sz w:val="20"/>
        </w:rPr>
        <w:t> </w:t>
      </w:r>
      <w:r>
        <w:rPr>
          <w:sz w:val="20"/>
        </w:rPr>
        <w:t>las</w:t>
      </w:r>
      <w:r>
        <w:rPr>
          <w:spacing w:val="-6"/>
          <w:sz w:val="20"/>
        </w:rPr>
        <w:t> </w:t>
      </w:r>
      <w:r>
        <w:rPr>
          <w:sz w:val="20"/>
        </w:rPr>
        <w:t>provisiones</w:t>
      </w:r>
      <w:r>
        <w:rPr>
          <w:spacing w:val="-6"/>
          <w:sz w:val="20"/>
        </w:rPr>
        <w:t> </w:t>
      </w:r>
      <w:r>
        <w:rPr>
          <w:sz w:val="20"/>
        </w:rPr>
        <w:t>y</w:t>
      </w:r>
      <w:r>
        <w:rPr>
          <w:spacing w:val="-6"/>
          <w:sz w:val="20"/>
        </w:rPr>
        <w:t> </w:t>
      </w:r>
      <w:r>
        <w:rPr>
          <w:sz w:val="20"/>
        </w:rPr>
        <w:t>reservas</w:t>
      </w:r>
      <w:r>
        <w:rPr>
          <w:spacing w:val="-6"/>
          <w:sz w:val="20"/>
        </w:rPr>
        <w:t> </w:t>
      </w:r>
      <w:r>
        <w:rPr>
          <w:sz w:val="20"/>
        </w:rPr>
        <w:t>territoriales</w:t>
      </w:r>
      <w:r>
        <w:rPr>
          <w:spacing w:val="-6"/>
          <w:sz w:val="20"/>
        </w:rPr>
        <w:t> </w:t>
      </w:r>
      <w:r>
        <w:rPr>
          <w:sz w:val="20"/>
        </w:rPr>
        <w:t>de</w:t>
      </w:r>
      <w:r>
        <w:rPr>
          <w:spacing w:val="-8"/>
          <w:sz w:val="20"/>
        </w:rPr>
        <w:t> </w:t>
      </w:r>
      <w:r>
        <w:rPr>
          <w:sz w:val="20"/>
        </w:rPr>
        <w:t>los</w:t>
      </w:r>
      <w:r>
        <w:rPr>
          <w:spacing w:val="-6"/>
          <w:sz w:val="20"/>
        </w:rPr>
        <w:t> </w:t>
      </w:r>
      <w:r>
        <w:rPr>
          <w:sz w:val="20"/>
        </w:rPr>
        <w:t>centros</w:t>
      </w:r>
      <w:r>
        <w:rPr>
          <w:spacing w:val="-6"/>
          <w:sz w:val="20"/>
        </w:rPr>
        <w:t> </w:t>
      </w:r>
      <w:r>
        <w:rPr>
          <w:sz w:val="20"/>
        </w:rPr>
        <w:t>de</w:t>
      </w:r>
      <w:r>
        <w:rPr>
          <w:spacing w:val="-7"/>
          <w:sz w:val="20"/>
        </w:rPr>
        <w:t> </w:t>
      </w:r>
      <w:r>
        <w:rPr>
          <w:spacing w:val="-2"/>
          <w:sz w:val="20"/>
        </w:rPr>
        <w:t>población;</w:t>
      </w:r>
    </w:p>
    <w:p>
      <w:pPr>
        <w:pStyle w:val="ListParagraph"/>
        <w:numPr>
          <w:ilvl w:val="0"/>
          <w:numId w:val="2"/>
        </w:numPr>
        <w:tabs>
          <w:tab w:pos="827" w:val="left" w:leader="none"/>
        </w:tabs>
        <w:spacing w:line="240" w:lineRule="auto" w:before="229" w:after="0"/>
        <w:ind w:left="827" w:right="0" w:hanging="565"/>
        <w:jc w:val="both"/>
        <w:rPr>
          <w:sz w:val="20"/>
        </w:rPr>
      </w:pPr>
      <w:r>
        <w:rPr>
          <w:sz w:val="20"/>
        </w:rPr>
        <w:t>La</w:t>
      </w:r>
      <w:r>
        <w:rPr>
          <w:spacing w:val="-8"/>
          <w:sz w:val="20"/>
        </w:rPr>
        <w:t> </w:t>
      </w:r>
      <w:r>
        <w:rPr>
          <w:sz w:val="20"/>
        </w:rPr>
        <w:t>zonificación</w:t>
      </w:r>
      <w:r>
        <w:rPr>
          <w:spacing w:val="-7"/>
          <w:sz w:val="20"/>
        </w:rPr>
        <w:t> </w:t>
      </w:r>
      <w:r>
        <w:rPr>
          <w:sz w:val="20"/>
        </w:rPr>
        <w:t>y</w:t>
      </w:r>
      <w:r>
        <w:rPr>
          <w:spacing w:val="-5"/>
          <w:sz w:val="20"/>
        </w:rPr>
        <w:t> </w:t>
      </w:r>
      <w:r>
        <w:rPr>
          <w:sz w:val="20"/>
        </w:rPr>
        <w:t>control</w:t>
      </w:r>
      <w:r>
        <w:rPr>
          <w:spacing w:val="-5"/>
          <w:sz w:val="20"/>
        </w:rPr>
        <w:t> </w:t>
      </w:r>
      <w:r>
        <w:rPr>
          <w:sz w:val="20"/>
        </w:rPr>
        <w:t>de</w:t>
      </w:r>
      <w:r>
        <w:rPr>
          <w:spacing w:val="-5"/>
          <w:sz w:val="20"/>
        </w:rPr>
        <w:t> </w:t>
      </w:r>
      <w:r>
        <w:rPr>
          <w:sz w:val="20"/>
        </w:rPr>
        <w:t>los</w:t>
      </w:r>
      <w:r>
        <w:rPr>
          <w:spacing w:val="-5"/>
          <w:sz w:val="20"/>
        </w:rPr>
        <w:t> </w:t>
      </w:r>
      <w:r>
        <w:rPr>
          <w:sz w:val="20"/>
        </w:rPr>
        <w:t>usos</w:t>
      </w:r>
      <w:r>
        <w:rPr>
          <w:spacing w:val="-5"/>
          <w:sz w:val="20"/>
        </w:rPr>
        <w:t> </w:t>
      </w:r>
      <w:r>
        <w:rPr>
          <w:sz w:val="20"/>
        </w:rPr>
        <w:t>y</w:t>
      </w:r>
      <w:r>
        <w:rPr>
          <w:spacing w:val="-6"/>
          <w:sz w:val="20"/>
        </w:rPr>
        <w:t> </w:t>
      </w:r>
      <w:r>
        <w:rPr>
          <w:sz w:val="20"/>
        </w:rPr>
        <w:t>destinos</w:t>
      </w:r>
      <w:r>
        <w:rPr>
          <w:spacing w:val="-5"/>
          <w:sz w:val="20"/>
        </w:rPr>
        <w:t> </w:t>
      </w:r>
      <w:r>
        <w:rPr>
          <w:sz w:val="20"/>
        </w:rPr>
        <w:t>del</w:t>
      </w:r>
      <w:r>
        <w:rPr>
          <w:spacing w:val="-7"/>
          <w:sz w:val="20"/>
        </w:rPr>
        <w:t> </w:t>
      </w:r>
      <w:r>
        <w:rPr>
          <w:spacing w:val="-2"/>
          <w:sz w:val="20"/>
        </w:rPr>
        <w:t>suelo;</w:t>
      </w:r>
    </w:p>
    <w:p>
      <w:pPr>
        <w:pStyle w:val="BodyText"/>
      </w:pPr>
    </w:p>
    <w:p>
      <w:pPr>
        <w:pStyle w:val="ListParagraph"/>
        <w:numPr>
          <w:ilvl w:val="0"/>
          <w:numId w:val="2"/>
        </w:numPr>
        <w:tabs>
          <w:tab w:pos="827" w:val="left" w:leader="none"/>
        </w:tabs>
        <w:spacing w:line="240" w:lineRule="auto" w:before="1" w:after="0"/>
        <w:ind w:left="827" w:right="0" w:hanging="565"/>
        <w:jc w:val="both"/>
        <w:rPr>
          <w:sz w:val="20"/>
        </w:rPr>
      </w:pPr>
      <w:r>
        <w:rPr>
          <w:sz w:val="20"/>
        </w:rPr>
        <w:t>El</w:t>
      </w:r>
      <w:r>
        <w:rPr>
          <w:spacing w:val="-7"/>
          <w:sz w:val="20"/>
        </w:rPr>
        <w:t> </w:t>
      </w:r>
      <w:r>
        <w:rPr>
          <w:sz w:val="20"/>
        </w:rPr>
        <w:t>destinar</w:t>
      </w:r>
      <w:r>
        <w:rPr>
          <w:spacing w:val="-6"/>
          <w:sz w:val="20"/>
        </w:rPr>
        <w:t> </w:t>
      </w:r>
      <w:r>
        <w:rPr>
          <w:sz w:val="20"/>
        </w:rPr>
        <w:t>terrenos</w:t>
      </w:r>
      <w:r>
        <w:rPr>
          <w:spacing w:val="-6"/>
          <w:sz w:val="20"/>
        </w:rPr>
        <w:t> </w:t>
      </w:r>
      <w:r>
        <w:rPr>
          <w:sz w:val="20"/>
        </w:rPr>
        <w:t>a</w:t>
      </w:r>
      <w:r>
        <w:rPr>
          <w:spacing w:val="-5"/>
          <w:sz w:val="20"/>
        </w:rPr>
        <w:t> </w:t>
      </w:r>
      <w:r>
        <w:rPr>
          <w:sz w:val="20"/>
        </w:rPr>
        <w:t>la</w:t>
      </w:r>
      <w:r>
        <w:rPr>
          <w:spacing w:val="-7"/>
          <w:sz w:val="20"/>
        </w:rPr>
        <w:t> </w:t>
      </w:r>
      <w:r>
        <w:rPr>
          <w:sz w:val="20"/>
        </w:rPr>
        <w:t>vivienda</w:t>
      </w:r>
      <w:r>
        <w:rPr>
          <w:spacing w:val="-8"/>
          <w:sz w:val="20"/>
        </w:rPr>
        <w:t> </w:t>
      </w:r>
      <w:r>
        <w:rPr>
          <w:sz w:val="20"/>
        </w:rPr>
        <w:t>social,</w:t>
      </w:r>
      <w:r>
        <w:rPr>
          <w:spacing w:val="-5"/>
          <w:sz w:val="20"/>
        </w:rPr>
        <w:t> </w:t>
      </w:r>
      <w:r>
        <w:rPr>
          <w:sz w:val="20"/>
        </w:rPr>
        <w:t>para</w:t>
      </w:r>
      <w:r>
        <w:rPr>
          <w:spacing w:val="-5"/>
          <w:sz w:val="20"/>
        </w:rPr>
        <w:t> </w:t>
      </w:r>
      <w:r>
        <w:rPr>
          <w:sz w:val="20"/>
        </w:rPr>
        <w:t>asegurar</w:t>
      </w:r>
      <w:r>
        <w:rPr>
          <w:spacing w:val="-7"/>
          <w:sz w:val="20"/>
        </w:rPr>
        <w:t> </w:t>
      </w:r>
      <w:r>
        <w:rPr>
          <w:sz w:val="20"/>
        </w:rPr>
        <w:t>su</w:t>
      </w:r>
      <w:r>
        <w:rPr>
          <w:spacing w:val="-7"/>
          <w:sz w:val="20"/>
        </w:rPr>
        <w:t> </w:t>
      </w:r>
      <w:r>
        <w:rPr>
          <w:spacing w:val="-2"/>
          <w:sz w:val="20"/>
        </w:rPr>
        <w:t>disponibilidad;</w:t>
      </w:r>
    </w:p>
    <w:p>
      <w:pPr>
        <w:pStyle w:val="BodyText"/>
      </w:pPr>
    </w:p>
    <w:p>
      <w:pPr>
        <w:pStyle w:val="ListParagraph"/>
        <w:numPr>
          <w:ilvl w:val="0"/>
          <w:numId w:val="2"/>
        </w:numPr>
        <w:tabs>
          <w:tab w:pos="881" w:val="left" w:leader="none"/>
        </w:tabs>
        <w:spacing w:line="240" w:lineRule="auto" w:before="0" w:after="0"/>
        <w:ind w:left="262" w:right="288" w:firstLine="0"/>
        <w:jc w:val="both"/>
        <w:rPr>
          <w:sz w:val="20"/>
        </w:rPr>
      </w:pPr>
      <w:r>
        <w:rPr>
          <w:sz w:val="20"/>
        </w:rPr>
        <w:t>La protección del</w:t>
      </w:r>
      <w:r>
        <w:rPr>
          <w:spacing w:val="-1"/>
          <w:sz w:val="20"/>
        </w:rPr>
        <w:t> </w:t>
      </w:r>
      <w:r>
        <w:rPr>
          <w:sz w:val="20"/>
        </w:rPr>
        <w:t>patrimonio natural y cultural, así como de la imagen urbana de los centros de población;</w:t>
      </w:r>
    </w:p>
    <w:p>
      <w:pPr>
        <w:pStyle w:val="BodyText"/>
      </w:pPr>
    </w:p>
    <w:p>
      <w:pPr>
        <w:pStyle w:val="ListParagraph"/>
        <w:numPr>
          <w:ilvl w:val="0"/>
          <w:numId w:val="2"/>
        </w:numPr>
        <w:tabs>
          <w:tab w:pos="968" w:val="left" w:leader="none"/>
        </w:tabs>
        <w:spacing w:line="240" w:lineRule="auto" w:before="0" w:after="0"/>
        <w:ind w:left="262" w:right="288" w:firstLine="0"/>
        <w:jc w:val="both"/>
        <w:rPr>
          <w:sz w:val="20"/>
        </w:rPr>
      </w:pPr>
      <w:r>
        <w:rPr>
          <w:sz w:val="20"/>
        </w:rPr>
        <w:t>El</w:t>
      </w:r>
      <w:r>
        <w:rPr>
          <w:spacing w:val="-12"/>
          <w:sz w:val="20"/>
        </w:rPr>
        <w:t> </w:t>
      </w:r>
      <w:r>
        <w:rPr>
          <w:sz w:val="20"/>
        </w:rPr>
        <w:t>control</w:t>
      </w:r>
      <w:r>
        <w:rPr>
          <w:spacing w:val="-12"/>
          <w:sz w:val="20"/>
        </w:rPr>
        <w:t> </w:t>
      </w:r>
      <w:r>
        <w:rPr>
          <w:sz w:val="20"/>
        </w:rPr>
        <w:t>de</w:t>
      </w:r>
      <w:r>
        <w:rPr>
          <w:spacing w:val="-12"/>
          <w:sz w:val="20"/>
        </w:rPr>
        <w:t> </w:t>
      </w:r>
      <w:r>
        <w:rPr>
          <w:sz w:val="20"/>
        </w:rPr>
        <w:t>la</w:t>
      </w:r>
      <w:r>
        <w:rPr>
          <w:spacing w:val="-11"/>
          <w:sz w:val="20"/>
        </w:rPr>
        <w:t> </w:t>
      </w:r>
      <w:r>
        <w:rPr>
          <w:sz w:val="20"/>
        </w:rPr>
        <w:t>especulación</w:t>
      </w:r>
      <w:r>
        <w:rPr>
          <w:spacing w:val="-14"/>
          <w:sz w:val="20"/>
        </w:rPr>
        <w:t> </w:t>
      </w:r>
      <w:r>
        <w:rPr>
          <w:sz w:val="20"/>
        </w:rPr>
        <w:t>inmobiliaria</w:t>
      </w:r>
      <w:r>
        <w:rPr>
          <w:spacing w:val="-12"/>
          <w:sz w:val="20"/>
        </w:rPr>
        <w:t> </w:t>
      </w:r>
      <w:r>
        <w:rPr>
          <w:sz w:val="20"/>
        </w:rPr>
        <w:t>y</w:t>
      </w:r>
      <w:r>
        <w:rPr>
          <w:spacing w:val="-10"/>
          <w:sz w:val="20"/>
        </w:rPr>
        <w:t> </w:t>
      </w:r>
      <w:r>
        <w:rPr>
          <w:sz w:val="20"/>
        </w:rPr>
        <w:t>de</w:t>
      </w:r>
      <w:r>
        <w:rPr>
          <w:spacing w:val="-12"/>
          <w:sz w:val="20"/>
        </w:rPr>
        <w:t> </w:t>
      </w:r>
      <w:r>
        <w:rPr>
          <w:sz w:val="20"/>
        </w:rPr>
        <w:t>la</w:t>
      </w:r>
      <w:r>
        <w:rPr>
          <w:spacing w:val="-12"/>
          <w:sz w:val="20"/>
        </w:rPr>
        <w:t> </w:t>
      </w:r>
      <w:r>
        <w:rPr>
          <w:sz w:val="20"/>
        </w:rPr>
        <w:t>expansión</w:t>
      </w:r>
      <w:r>
        <w:rPr>
          <w:spacing w:val="-12"/>
          <w:sz w:val="20"/>
        </w:rPr>
        <w:t> </w:t>
      </w:r>
      <w:r>
        <w:rPr>
          <w:sz w:val="20"/>
        </w:rPr>
        <w:t>física</w:t>
      </w:r>
      <w:r>
        <w:rPr>
          <w:spacing w:val="-12"/>
          <w:sz w:val="20"/>
        </w:rPr>
        <w:t> </w:t>
      </w:r>
      <w:r>
        <w:rPr>
          <w:sz w:val="20"/>
        </w:rPr>
        <w:t>de</w:t>
      </w:r>
      <w:r>
        <w:rPr>
          <w:spacing w:val="-12"/>
          <w:sz w:val="20"/>
        </w:rPr>
        <w:t> </w:t>
      </w:r>
      <w:r>
        <w:rPr>
          <w:sz w:val="20"/>
        </w:rPr>
        <w:t>los</w:t>
      </w:r>
      <w:r>
        <w:rPr>
          <w:spacing w:val="-13"/>
          <w:sz w:val="20"/>
        </w:rPr>
        <w:t> </w:t>
      </w:r>
      <w:r>
        <w:rPr>
          <w:sz w:val="20"/>
        </w:rPr>
        <w:t>centros</w:t>
      </w:r>
      <w:r>
        <w:rPr>
          <w:spacing w:val="-13"/>
          <w:sz w:val="20"/>
        </w:rPr>
        <w:t> </w:t>
      </w:r>
      <w:r>
        <w:rPr>
          <w:sz w:val="20"/>
        </w:rPr>
        <w:t>de</w:t>
      </w:r>
      <w:r>
        <w:rPr>
          <w:spacing w:val="-12"/>
          <w:sz w:val="20"/>
        </w:rPr>
        <w:t> </w:t>
      </w:r>
      <w:r>
        <w:rPr>
          <w:sz w:val="20"/>
        </w:rPr>
        <w:t>población en terrenos no aptos para el desarrollo urbano;</w:t>
      </w:r>
    </w:p>
    <w:p>
      <w:pPr>
        <w:pStyle w:val="BodyText"/>
        <w:spacing w:before="1"/>
      </w:pPr>
    </w:p>
    <w:p>
      <w:pPr>
        <w:pStyle w:val="ListParagraph"/>
        <w:numPr>
          <w:ilvl w:val="0"/>
          <w:numId w:val="2"/>
        </w:numPr>
        <w:tabs>
          <w:tab w:pos="968" w:val="left" w:leader="none"/>
        </w:tabs>
        <w:spacing w:line="240" w:lineRule="auto" w:before="0" w:after="0"/>
        <w:ind w:left="968" w:right="0" w:hanging="706"/>
        <w:jc w:val="both"/>
        <w:rPr>
          <w:sz w:val="20"/>
        </w:rPr>
      </w:pPr>
      <w:r>
        <w:rPr>
          <w:sz w:val="20"/>
        </w:rPr>
        <w:t>La</w:t>
      </w:r>
      <w:r>
        <w:rPr>
          <w:spacing w:val="-9"/>
          <w:sz w:val="20"/>
        </w:rPr>
        <w:t> </w:t>
      </w:r>
      <w:r>
        <w:rPr>
          <w:sz w:val="20"/>
        </w:rPr>
        <w:t>promoción</w:t>
      </w:r>
      <w:r>
        <w:rPr>
          <w:spacing w:val="-8"/>
          <w:sz w:val="20"/>
        </w:rPr>
        <w:t> </w:t>
      </w:r>
      <w:r>
        <w:rPr>
          <w:sz w:val="20"/>
        </w:rPr>
        <w:t>de</w:t>
      </w:r>
      <w:r>
        <w:rPr>
          <w:spacing w:val="-7"/>
          <w:sz w:val="20"/>
        </w:rPr>
        <w:t> </w:t>
      </w:r>
      <w:r>
        <w:rPr>
          <w:sz w:val="20"/>
        </w:rPr>
        <w:t>créditos</w:t>
      </w:r>
      <w:r>
        <w:rPr>
          <w:spacing w:val="-6"/>
          <w:sz w:val="20"/>
        </w:rPr>
        <w:t> </w:t>
      </w:r>
      <w:r>
        <w:rPr>
          <w:sz w:val="20"/>
        </w:rPr>
        <w:t>y</w:t>
      </w:r>
      <w:r>
        <w:rPr>
          <w:spacing w:val="-4"/>
          <w:sz w:val="20"/>
        </w:rPr>
        <w:t> </w:t>
      </w:r>
      <w:r>
        <w:rPr>
          <w:sz w:val="20"/>
        </w:rPr>
        <w:t>financiamientos</w:t>
      </w:r>
      <w:r>
        <w:rPr>
          <w:spacing w:val="-6"/>
          <w:sz w:val="20"/>
        </w:rPr>
        <w:t> </w:t>
      </w:r>
      <w:r>
        <w:rPr>
          <w:sz w:val="20"/>
        </w:rPr>
        <w:t>para</w:t>
      </w:r>
      <w:r>
        <w:rPr>
          <w:spacing w:val="-6"/>
          <w:sz w:val="20"/>
        </w:rPr>
        <w:t> </w:t>
      </w:r>
      <w:r>
        <w:rPr>
          <w:sz w:val="20"/>
        </w:rPr>
        <w:t>el</w:t>
      </w:r>
      <w:r>
        <w:rPr>
          <w:spacing w:val="-6"/>
          <w:sz w:val="20"/>
        </w:rPr>
        <w:t> </w:t>
      </w:r>
      <w:r>
        <w:rPr>
          <w:sz w:val="20"/>
        </w:rPr>
        <w:t>desarrollo</w:t>
      </w:r>
      <w:r>
        <w:rPr>
          <w:spacing w:val="-6"/>
          <w:sz w:val="20"/>
        </w:rPr>
        <w:t> </w:t>
      </w:r>
      <w:r>
        <w:rPr>
          <w:sz w:val="20"/>
        </w:rPr>
        <w:t>urbano</w:t>
      </w:r>
      <w:r>
        <w:rPr>
          <w:spacing w:val="-8"/>
          <w:sz w:val="20"/>
        </w:rPr>
        <w:t> </w:t>
      </w:r>
      <w:r>
        <w:rPr>
          <w:sz w:val="20"/>
        </w:rPr>
        <w:t>y</w:t>
      </w:r>
      <w:r>
        <w:rPr>
          <w:spacing w:val="-6"/>
          <w:sz w:val="20"/>
        </w:rPr>
        <w:t> </w:t>
      </w:r>
      <w:r>
        <w:rPr>
          <w:sz w:val="20"/>
        </w:rPr>
        <w:t>la</w:t>
      </w:r>
      <w:r>
        <w:rPr>
          <w:spacing w:val="-7"/>
          <w:sz w:val="20"/>
        </w:rPr>
        <w:t> </w:t>
      </w:r>
      <w:r>
        <w:rPr>
          <w:spacing w:val="-2"/>
          <w:sz w:val="20"/>
        </w:rPr>
        <w:t>vivienda;</w:t>
      </w:r>
    </w:p>
    <w:p>
      <w:pPr>
        <w:pStyle w:val="ListParagraph"/>
        <w:numPr>
          <w:ilvl w:val="0"/>
          <w:numId w:val="2"/>
        </w:numPr>
        <w:tabs>
          <w:tab w:pos="968" w:val="left" w:leader="none"/>
        </w:tabs>
        <w:spacing w:line="240" w:lineRule="auto" w:before="229" w:after="0"/>
        <w:ind w:left="262" w:right="286" w:firstLine="0"/>
        <w:jc w:val="both"/>
        <w:rPr>
          <w:sz w:val="20"/>
        </w:rPr>
      </w:pPr>
      <w:r>
        <w:rPr>
          <w:sz w:val="20"/>
        </w:rPr>
        <w:t>La estricta aplicación de la legislación y programas de desarrollo y ordenamiento territorial </w:t>
      </w:r>
      <w:r>
        <w:rPr>
          <w:spacing w:val="-2"/>
          <w:sz w:val="20"/>
        </w:rPr>
        <w:t>urbano;</w:t>
      </w:r>
    </w:p>
    <w:p>
      <w:pPr>
        <w:pStyle w:val="BodyText"/>
        <w:spacing w:before="1"/>
      </w:pPr>
    </w:p>
    <w:p>
      <w:pPr>
        <w:pStyle w:val="ListParagraph"/>
        <w:numPr>
          <w:ilvl w:val="0"/>
          <w:numId w:val="2"/>
        </w:numPr>
        <w:tabs>
          <w:tab w:pos="1538" w:val="left" w:leader="none"/>
        </w:tabs>
        <w:spacing w:line="240" w:lineRule="auto" w:before="0" w:after="0"/>
        <w:ind w:left="1538" w:right="0" w:hanging="1276"/>
        <w:jc w:val="both"/>
        <w:rPr>
          <w:sz w:val="20"/>
        </w:rPr>
      </w:pPr>
      <w:r>
        <w:rPr>
          <w:sz w:val="20"/>
        </w:rPr>
        <w:t>El</w:t>
      </w:r>
      <w:r>
        <w:rPr>
          <w:spacing w:val="-8"/>
          <w:sz w:val="20"/>
        </w:rPr>
        <w:t> </w:t>
      </w:r>
      <w:r>
        <w:rPr>
          <w:sz w:val="20"/>
        </w:rPr>
        <w:t>fomento</w:t>
      </w:r>
      <w:r>
        <w:rPr>
          <w:spacing w:val="-4"/>
          <w:sz w:val="20"/>
        </w:rPr>
        <w:t> </w:t>
      </w:r>
      <w:r>
        <w:rPr>
          <w:sz w:val="20"/>
        </w:rPr>
        <w:t>de</w:t>
      </w:r>
      <w:r>
        <w:rPr>
          <w:spacing w:val="-5"/>
          <w:sz w:val="20"/>
        </w:rPr>
        <w:t> </w:t>
      </w:r>
      <w:r>
        <w:rPr>
          <w:sz w:val="20"/>
        </w:rPr>
        <w:t>obras</w:t>
      </w:r>
      <w:r>
        <w:rPr>
          <w:spacing w:val="-6"/>
          <w:sz w:val="20"/>
        </w:rPr>
        <w:t> </w:t>
      </w:r>
      <w:r>
        <w:rPr>
          <w:sz w:val="20"/>
        </w:rPr>
        <w:t>y</w:t>
      </w:r>
      <w:r>
        <w:rPr>
          <w:spacing w:val="-5"/>
          <w:sz w:val="20"/>
        </w:rPr>
        <w:t> </w:t>
      </w:r>
      <w:r>
        <w:rPr>
          <w:sz w:val="20"/>
        </w:rPr>
        <w:t>servicios</w:t>
      </w:r>
      <w:r>
        <w:rPr>
          <w:spacing w:val="-5"/>
          <w:sz w:val="20"/>
        </w:rPr>
        <w:t> </w:t>
      </w:r>
      <w:r>
        <w:rPr>
          <w:sz w:val="20"/>
        </w:rPr>
        <w:t>por</w:t>
      </w:r>
      <w:r>
        <w:rPr>
          <w:spacing w:val="-6"/>
          <w:sz w:val="20"/>
        </w:rPr>
        <w:t> </w:t>
      </w:r>
      <w:r>
        <w:rPr>
          <w:sz w:val="20"/>
        </w:rPr>
        <w:t>cooperación</w:t>
      </w:r>
      <w:r>
        <w:rPr>
          <w:spacing w:val="-5"/>
          <w:sz w:val="20"/>
        </w:rPr>
        <w:t> </w:t>
      </w:r>
      <w:r>
        <w:rPr>
          <w:sz w:val="20"/>
        </w:rPr>
        <w:t>o</w:t>
      </w:r>
      <w:r>
        <w:rPr>
          <w:spacing w:val="-6"/>
          <w:sz w:val="20"/>
        </w:rPr>
        <w:t> </w:t>
      </w:r>
      <w:r>
        <w:rPr>
          <w:spacing w:val="-2"/>
          <w:sz w:val="20"/>
        </w:rPr>
        <w:t>plusvalía;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2"/>
        </w:numPr>
        <w:tabs>
          <w:tab w:pos="968" w:val="left" w:leader="none"/>
        </w:tabs>
        <w:spacing w:line="240" w:lineRule="auto" w:before="0" w:after="0"/>
        <w:ind w:left="262" w:right="290" w:firstLine="0"/>
        <w:jc w:val="both"/>
        <w:rPr>
          <w:sz w:val="20"/>
        </w:rPr>
      </w:pPr>
      <w:r>
        <w:rPr>
          <w:sz w:val="20"/>
        </w:rPr>
        <w:t>La prevención, control y atención de riesgos y contingencias ambientales y urbanas en los centros de población;</w:t>
      </w:r>
    </w:p>
    <w:p>
      <w:pPr>
        <w:pStyle w:val="BodyText"/>
        <w:spacing w:before="1"/>
      </w:pPr>
    </w:p>
    <w:p>
      <w:pPr>
        <w:pStyle w:val="ListParagraph"/>
        <w:numPr>
          <w:ilvl w:val="0"/>
          <w:numId w:val="2"/>
        </w:numPr>
        <w:tabs>
          <w:tab w:pos="1112" w:val="left" w:leader="none"/>
        </w:tabs>
        <w:spacing w:line="240" w:lineRule="auto" w:before="1" w:after="0"/>
        <w:ind w:left="262" w:right="282" w:firstLine="0"/>
        <w:jc w:val="both"/>
        <w:rPr>
          <w:sz w:val="20"/>
        </w:rPr>
      </w:pPr>
      <w:r>
        <w:rPr>
          <w:sz w:val="20"/>
        </w:rPr>
        <w:t>La prevención del establecimiento de asentamientos humanos irregulares y fraccionamientos o condominios al margen de la ley;</w:t>
      </w:r>
    </w:p>
    <w:p>
      <w:pPr>
        <w:pStyle w:val="ListParagraph"/>
        <w:numPr>
          <w:ilvl w:val="0"/>
          <w:numId w:val="2"/>
        </w:numPr>
        <w:tabs>
          <w:tab w:pos="1112" w:val="left" w:leader="none"/>
        </w:tabs>
        <w:spacing w:line="240" w:lineRule="auto" w:before="228" w:after="0"/>
        <w:ind w:left="262" w:right="288" w:firstLine="0"/>
        <w:jc w:val="both"/>
        <w:rPr>
          <w:sz w:val="20"/>
        </w:rPr>
      </w:pPr>
      <w:r>
        <w:rPr>
          <w:sz w:val="20"/>
        </w:rPr>
        <w:t>El</w:t>
      </w:r>
      <w:r>
        <w:rPr>
          <w:spacing w:val="-1"/>
          <w:sz w:val="20"/>
        </w:rPr>
        <w:t> </w:t>
      </w:r>
      <w:r>
        <w:rPr>
          <w:sz w:val="20"/>
        </w:rPr>
        <w:t>control</w:t>
      </w:r>
      <w:r>
        <w:rPr>
          <w:spacing w:val="-1"/>
          <w:sz w:val="20"/>
        </w:rPr>
        <w:t> </w:t>
      </w:r>
      <w:r>
        <w:rPr>
          <w:sz w:val="20"/>
        </w:rPr>
        <w:t>de</w:t>
      </w:r>
      <w:r>
        <w:rPr>
          <w:spacing w:val="-1"/>
          <w:sz w:val="20"/>
        </w:rPr>
        <w:t> </w:t>
      </w:r>
      <w:r>
        <w:rPr>
          <w:sz w:val="20"/>
        </w:rPr>
        <w:t>las</w:t>
      </w:r>
      <w:r>
        <w:rPr>
          <w:spacing w:val="-1"/>
          <w:sz w:val="20"/>
        </w:rPr>
        <w:t> </w:t>
      </w:r>
      <w:r>
        <w:rPr>
          <w:sz w:val="20"/>
        </w:rPr>
        <w:t>obras de construcción, instalación,</w:t>
      </w:r>
      <w:r>
        <w:rPr>
          <w:spacing w:val="-1"/>
          <w:sz w:val="20"/>
        </w:rPr>
        <w:t> </w:t>
      </w:r>
      <w:r>
        <w:rPr>
          <w:sz w:val="20"/>
        </w:rPr>
        <w:t>operación, ampliación, remodelación, reconstrucción y demolición;</w:t>
      </w:r>
    </w:p>
    <w:p>
      <w:pPr>
        <w:pStyle w:val="BodyText"/>
        <w:spacing w:before="2"/>
      </w:pPr>
    </w:p>
    <w:p>
      <w:pPr>
        <w:pStyle w:val="ListParagraph"/>
        <w:numPr>
          <w:ilvl w:val="0"/>
          <w:numId w:val="2"/>
        </w:numPr>
        <w:tabs>
          <w:tab w:pos="1167" w:val="left" w:leader="none"/>
        </w:tabs>
        <w:spacing w:line="240" w:lineRule="auto" w:before="0" w:after="0"/>
        <w:ind w:left="262" w:right="289" w:firstLine="0"/>
        <w:jc w:val="both"/>
        <w:rPr>
          <w:sz w:val="20"/>
        </w:rPr>
      </w:pPr>
      <w:r>
        <w:rPr>
          <w:sz w:val="20"/>
        </w:rPr>
        <w:t>La regulación de la infraestructura vial, el tránsito de vehículos y peatones, los espacios para estacionamiento y el sistema de transporte público y su vinculación con la traza urbana;</w:t>
      </w:r>
    </w:p>
    <w:p>
      <w:pPr>
        <w:pStyle w:val="ListParagraph"/>
        <w:numPr>
          <w:ilvl w:val="0"/>
          <w:numId w:val="2"/>
        </w:numPr>
        <w:tabs>
          <w:tab w:pos="826" w:val="left" w:leader="none"/>
        </w:tabs>
        <w:spacing w:line="240" w:lineRule="auto" w:before="229" w:after="0"/>
        <w:ind w:left="262" w:right="288" w:firstLine="0"/>
        <w:jc w:val="both"/>
        <w:rPr>
          <w:sz w:val="20"/>
        </w:rPr>
      </w:pPr>
      <w:r>
        <w:rPr>
          <w:sz w:val="20"/>
        </w:rPr>
        <w:t>El desarrollo y adecuación en los centros de población</w:t>
      </w:r>
      <w:r>
        <w:rPr>
          <w:spacing w:val="-1"/>
          <w:sz w:val="20"/>
        </w:rPr>
        <w:t> </w:t>
      </w:r>
      <w:r>
        <w:rPr>
          <w:sz w:val="20"/>
        </w:rPr>
        <w:t>de la infraestructura, el equipamiento y los servicios urbanos que garanticen la seguridad, libre tránsito y accesibilidad que requieren las personas con discapacidad;</w:t>
      </w:r>
    </w:p>
    <w:p>
      <w:pPr>
        <w:pStyle w:val="ListParagraph"/>
        <w:numPr>
          <w:ilvl w:val="0"/>
          <w:numId w:val="2"/>
        </w:numPr>
        <w:tabs>
          <w:tab w:pos="1023" w:val="left" w:leader="none"/>
        </w:tabs>
        <w:spacing w:line="240" w:lineRule="auto" w:before="229" w:after="0"/>
        <w:ind w:left="262" w:right="279" w:firstLine="0"/>
        <w:jc w:val="both"/>
        <w:rPr>
          <w:sz w:val="20"/>
        </w:rPr>
      </w:pPr>
      <w:r>
        <w:rPr>
          <w:sz w:val="20"/>
        </w:rPr>
        <w:t>Observar la conservación y protección de los pavimentos de adoquín o cantera de las vialidades</w:t>
      </w:r>
      <w:r>
        <w:rPr>
          <w:spacing w:val="-4"/>
          <w:sz w:val="20"/>
        </w:rPr>
        <w:t> </w:t>
      </w:r>
      <w:r>
        <w:rPr>
          <w:sz w:val="20"/>
        </w:rPr>
        <w:t>de</w:t>
      </w:r>
      <w:r>
        <w:rPr>
          <w:spacing w:val="-3"/>
          <w:sz w:val="20"/>
        </w:rPr>
        <w:t> </w:t>
      </w:r>
      <w:r>
        <w:rPr>
          <w:sz w:val="20"/>
        </w:rPr>
        <w:t>los</w:t>
      </w:r>
      <w:r>
        <w:rPr>
          <w:spacing w:val="-5"/>
          <w:sz w:val="20"/>
        </w:rPr>
        <w:t> </w:t>
      </w:r>
      <w:r>
        <w:rPr>
          <w:sz w:val="20"/>
        </w:rPr>
        <w:t>centros</w:t>
      </w:r>
      <w:r>
        <w:rPr>
          <w:spacing w:val="-4"/>
          <w:sz w:val="20"/>
        </w:rPr>
        <w:t> </w:t>
      </w:r>
      <w:r>
        <w:rPr>
          <w:sz w:val="20"/>
        </w:rPr>
        <w:t>históricos,</w:t>
      </w:r>
      <w:r>
        <w:rPr>
          <w:spacing w:val="-5"/>
          <w:sz w:val="20"/>
        </w:rPr>
        <w:t> </w:t>
      </w:r>
      <w:r>
        <w:rPr>
          <w:sz w:val="20"/>
        </w:rPr>
        <w:t>en</w:t>
      </w:r>
      <w:r>
        <w:rPr>
          <w:spacing w:val="-4"/>
          <w:sz w:val="20"/>
        </w:rPr>
        <w:t> </w:t>
      </w:r>
      <w:r>
        <w:rPr>
          <w:sz w:val="20"/>
        </w:rPr>
        <w:t>especial</w:t>
      </w:r>
      <w:r>
        <w:rPr>
          <w:spacing w:val="-6"/>
          <w:sz w:val="20"/>
        </w:rPr>
        <w:t> </w:t>
      </w:r>
      <w:r>
        <w:rPr>
          <w:sz w:val="20"/>
        </w:rPr>
        <w:t>a</w:t>
      </w:r>
      <w:r>
        <w:rPr>
          <w:spacing w:val="-4"/>
          <w:sz w:val="20"/>
        </w:rPr>
        <w:t> </w:t>
      </w:r>
      <w:r>
        <w:rPr>
          <w:sz w:val="20"/>
        </w:rPr>
        <w:t>los</w:t>
      </w:r>
      <w:r>
        <w:rPr>
          <w:spacing w:val="-5"/>
          <w:sz w:val="20"/>
        </w:rPr>
        <w:t> </w:t>
      </w:r>
      <w:r>
        <w:rPr>
          <w:sz w:val="20"/>
        </w:rPr>
        <w:t>que</w:t>
      </w:r>
      <w:r>
        <w:rPr>
          <w:spacing w:val="-6"/>
          <w:sz w:val="20"/>
        </w:rPr>
        <w:t> </w:t>
      </w:r>
      <w:r>
        <w:rPr>
          <w:sz w:val="20"/>
        </w:rPr>
        <w:t>corresponde</w:t>
      </w:r>
      <w:r>
        <w:rPr>
          <w:spacing w:val="-4"/>
          <w:sz w:val="20"/>
        </w:rPr>
        <w:t> </w:t>
      </w:r>
      <w:r>
        <w:rPr>
          <w:sz w:val="20"/>
        </w:rPr>
        <w:t>a</w:t>
      </w:r>
      <w:r>
        <w:rPr>
          <w:spacing w:val="-4"/>
          <w:sz w:val="20"/>
        </w:rPr>
        <w:t> </w:t>
      </w:r>
      <w:r>
        <w:rPr>
          <w:sz w:val="20"/>
        </w:rPr>
        <w:t>los</w:t>
      </w:r>
      <w:r>
        <w:rPr>
          <w:spacing w:val="-5"/>
          <w:sz w:val="20"/>
        </w:rPr>
        <w:t> </w:t>
      </w:r>
      <w:r>
        <w:rPr>
          <w:sz w:val="20"/>
        </w:rPr>
        <w:t>perímetros</w:t>
      </w:r>
      <w:r>
        <w:rPr>
          <w:spacing w:val="-4"/>
          <w:sz w:val="20"/>
        </w:rPr>
        <w:t> </w:t>
      </w:r>
      <w:r>
        <w:rPr>
          <w:sz w:val="20"/>
        </w:rPr>
        <w:t>A,</w:t>
      </w:r>
      <w:r>
        <w:rPr>
          <w:spacing w:val="-1"/>
          <w:sz w:val="20"/>
        </w:rPr>
        <w:t> </w:t>
      </w:r>
      <w:r>
        <w:rPr>
          <w:sz w:val="20"/>
        </w:rPr>
        <w:t>B</w:t>
      </w:r>
      <w:r>
        <w:rPr>
          <w:spacing w:val="-6"/>
          <w:sz w:val="20"/>
        </w:rPr>
        <w:t> </w:t>
      </w:r>
      <w:r>
        <w:rPr>
          <w:sz w:val="20"/>
        </w:rPr>
        <w:t>y</w:t>
      </w:r>
      <w:r>
        <w:rPr>
          <w:spacing w:val="-4"/>
          <w:sz w:val="20"/>
        </w:rPr>
        <w:t> </w:t>
      </w:r>
      <w:r>
        <w:rPr>
          <w:sz w:val="20"/>
        </w:rPr>
        <w:t>C</w:t>
      </w:r>
      <w:r>
        <w:rPr>
          <w:spacing w:val="-3"/>
          <w:sz w:val="20"/>
        </w:rPr>
        <w:t> </w:t>
      </w:r>
      <w:r>
        <w:rPr>
          <w:sz w:val="20"/>
        </w:rPr>
        <w:t>del Plan Parcial para la Conservación del Centro Histórico de San Luis Potosí, en el caso de rehabilitación y recolocación de adoquines, se deberán efectuar los procedimientos de limpieza, cincelado o relabrado y perfilado de cada una de las piezas, retiradas, para su recolocación;</w:t>
      </w:r>
    </w:p>
    <w:p>
      <w:pPr>
        <w:pStyle w:val="BodyText"/>
      </w:pPr>
    </w:p>
    <w:p>
      <w:pPr>
        <w:pStyle w:val="ListParagraph"/>
        <w:numPr>
          <w:ilvl w:val="0"/>
          <w:numId w:val="2"/>
        </w:numPr>
        <w:tabs>
          <w:tab w:pos="1167" w:val="left" w:leader="none"/>
        </w:tabs>
        <w:spacing w:line="240" w:lineRule="auto" w:before="1" w:after="0"/>
        <w:ind w:left="262" w:right="284" w:firstLine="0"/>
        <w:jc w:val="both"/>
        <w:rPr>
          <w:sz w:val="20"/>
        </w:rPr>
      </w:pPr>
      <w:r>
        <w:rPr>
          <w:sz w:val="20"/>
        </w:rPr>
        <w:t>La conservación, rehabilitación, protección, preservación y mejoramiento de zonas con valores históricos y culturales, centros históricos y pueblos mágicos;</w:t>
      </w:r>
    </w:p>
    <w:p>
      <w:pPr>
        <w:pStyle w:val="BodyText"/>
        <w:spacing w:before="1"/>
      </w:pPr>
    </w:p>
    <w:p>
      <w:pPr>
        <w:pStyle w:val="ListParagraph"/>
        <w:numPr>
          <w:ilvl w:val="0"/>
          <w:numId w:val="2"/>
        </w:numPr>
        <w:tabs>
          <w:tab w:pos="1112" w:val="left" w:leader="none"/>
        </w:tabs>
        <w:spacing w:line="240" w:lineRule="auto" w:before="0" w:after="0"/>
        <w:ind w:left="262" w:right="287" w:firstLine="0"/>
        <w:jc w:val="both"/>
        <w:rPr>
          <w:sz w:val="20"/>
        </w:rPr>
      </w:pPr>
      <w:r>
        <w:rPr>
          <w:sz w:val="20"/>
        </w:rPr>
        <w:t>La introducción de vivienda que promueva el re densificación de zonas con valores históricos y culturales, centros históricos y pueblos mágicos;</w:t>
      </w:r>
    </w:p>
    <w:p>
      <w:pPr>
        <w:spacing w:before="229"/>
        <w:ind w:left="26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16</w:t>
      </w:r>
      <w:r>
        <w:rPr>
          <w:rFonts w:ascii="Arial"/>
          <w:i/>
          <w:spacing w:val="-7"/>
          <w:sz w:val="20"/>
        </w:rPr>
        <w:t> </w:t>
      </w:r>
      <w:r>
        <w:rPr>
          <w:rFonts w:ascii="Arial"/>
          <w:i/>
          <w:sz w:val="20"/>
        </w:rPr>
        <w:t>DE</w:t>
      </w:r>
      <w:r>
        <w:rPr>
          <w:rFonts w:ascii="Arial"/>
          <w:i/>
          <w:spacing w:val="-6"/>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4"/>
          <w:sz w:val="20"/>
        </w:rPr>
        <w:t>2020)</w:t>
      </w:r>
    </w:p>
    <w:p>
      <w:pPr>
        <w:pStyle w:val="ListParagraph"/>
        <w:numPr>
          <w:ilvl w:val="0"/>
          <w:numId w:val="2"/>
        </w:numPr>
        <w:tabs>
          <w:tab w:pos="967" w:val="left" w:leader="none"/>
        </w:tabs>
        <w:spacing w:line="240" w:lineRule="auto" w:before="0" w:after="0"/>
        <w:ind w:left="262" w:right="283" w:firstLine="0"/>
        <w:jc w:val="both"/>
        <w:rPr>
          <w:sz w:val="20"/>
        </w:rPr>
      </w:pPr>
      <w:r>
        <w:rPr>
          <w:sz w:val="20"/>
        </w:rPr>
        <w:t>La</w:t>
      </w:r>
      <w:r>
        <w:rPr>
          <w:spacing w:val="-5"/>
          <w:sz w:val="20"/>
        </w:rPr>
        <w:t> </w:t>
      </w:r>
      <w:r>
        <w:rPr>
          <w:sz w:val="20"/>
        </w:rPr>
        <w:t>concertación</w:t>
      </w:r>
      <w:r>
        <w:rPr>
          <w:spacing w:val="-5"/>
          <w:sz w:val="20"/>
        </w:rPr>
        <w:t> </w:t>
      </w:r>
      <w:r>
        <w:rPr>
          <w:sz w:val="20"/>
        </w:rPr>
        <w:t>de</w:t>
      </w:r>
      <w:r>
        <w:rPr>
          <w:spacing w:val="-3"/>
          <w:sz w:val="20"/>
        </w:rPr>
        <w:t> </w:t>
      </w:r>
      <w:r>
        <w:rPr>
          <w:sz w:val="20"/>
        </w:rPr>
        <w:t>la</w:t>
      </w:r>
      <w:r>
        <w:rPr>
          <w:spacing w:val="-4"/>
          <w:sz w:val="20"/>
        </w:rPr>
        <w:t> </w:t>
      </w:r>
      <w:r>
        <w:rPr>
          <w:sz w:val="20"/>
        </w:rPr>
        <w:t>inversión</w:t>
      </w:r>
      <w:r>
        <w:rPr>
          <w:spacing w:val="-5"/>
          <w:sz w:val="20"/>
        </w:rPr>
        <w:t> </w:t>
      </w:r>
      <w:r>
        <w:rPr>
          <w:sz w:val="20"/>
        </w:rPr>
        <w:t>pública</w:t>
      </w:r>
      <w:r>
        <w:rPr>
          <w:spacing w:val="-4"/>
          <w:sz w:val="20"/>
        </w:rPr>
        <w:t> </w:t>
      </w:r>
      <w:r>
        <w:rPr>
          <w:sz w:val="20"/>
        </w:rPr>
        <w:t>y</w:t>
      </w:r>
      <w:r>
        <w:rPr>
          <w:spacing w:val="-3"/>
          <w:sz w:val="20"/>
        </w:rPr>
        <w:t> </w:t>
      </w:r>
      <w:r>
        <w:rPr>
          <w:sz w:val="20"/>
        </w:rPr>
        <w:t>privada</w:t>
      </w:r>
      <w:r>
        <w:rPr>
          <w:spacing w:val="-4"/>
          <w:sz w:val="20"/>
        </w:rPr>
        <w:t> </w:t>
      </w:r>
      <w:r>
        <w:rPr>
          <w:sz w:val="20"/>
        </w:rPr>
        <w:t>e</w:t>
      </w:r>
      <w:r>
        <w:rPr>
          <w:spacing w:val="-5"/>
          <w:sz w:val="20"/>
        </w:rPr>
        <w:t> </w:t>
      </w:r>
      <w:r>
        <w:rPr>
          <w:sz w:val="20"/>
        </w:rPr>
        <w:t>incentivos</w:t>
      </w:r>
      <w:r>
        <w:rPr>
          <w:spacing w:val="-3"/>
          <w:sz w:val="20"/>
        </w:rPr>
        <w:t> </w:t>
      </w:r>
      <w:r>
        <w:rPr>
          <w:sz w:val="20"/>
        </w:rPr>
        <w:t>para</w:t>
      </w:r>
      <w:r>
        <w:rPr>
          <w:spacing w:val="-4"/>
          <w:sz w:val="20"/>
        </w:rPr>
        <w:t> </w:t>
      </w:r>
      <w:r>
        <w:rPr>
          <w:sz w:val="20"/>
        </w:rPr>
        <w:t>la</w:t>
      </w:r>
      <w:r>
        <w:rPr>
          <w:spacing w:val="-4"/>
          <w:sz w:val="20"/>
        </w:rPr>
        <w:t> </w:t>
      </w:r>
      <w:r>
        <w:rPr>
          <w:sz w:val="20"/>
        </w:rPr>
        <w:t>vivienda</w:t>
      </w:r>
      <w:r>
        <w:rPr>
          <w:spacing w:val="-4"/>
          <w:sz w:val="20"/>
        </w:rPr>
        <w:t> </w:t>
      </w:r>
      <w:r>
        <w:rPr>
          <w:sz w:val="20"/>
        </w:rPr>
        <w:t>de</w:t>
      </w:r>
      <w:r>
        <w:rPr>
          <w:spacing w:val="-3"/>
          <w:sz w:val="20"/>
        </w:rPr>
        <w:t> </w:t>
      </w:r>
      <w:r>
        <w:rPr>
          <w:sz w:val="20"/>
        </w:rPr>
        <w:t>zonas</w:t>
      </w:r>
      <w:r>
        <w:rPr>
          <w:spacing w:val="-3"/>
          <w:sz w:val="20"/>
        </w:rPr>
        <w:t> </w:t>
      </w:r>
      <w:r>
        <w:rPr>
          <w:sz w:val="20"/>
        </w:rPr>
        <w:t>con valores históricos y culturales, centros históricos y pueblos mágicos;</w:t>
      </w:r>
    </w:p>
    <w:p>
      <w:pPr>
        <w:pStyle w:val="BodyText"/>
        <w:spacing w:before="2"/>
      </w:pPr>
    </w:p>
    <w:p>
      <w:pPr>
        <w:spacing w:line="229" w:lineRule="exact" w:before="0"/>
        <w:ind w:left="26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ListParagraph"/>
        <w:numPr>
          <w:ilvl w:val="0"/>
          <w:numId w:val="2"/>
        </w:numPr>
        <w:tabs>
          <w:tab w:pos="1112" w:val="left" w:leader="none"/>
        </w:tabs>
        <w:spacing w:line="240" w:lineRule="auto" w:before="0" w:after="0"/>
        <w:ind w:left="262" w:right="285" w:firstLine="0"/>
        <w:jc w:val="both"/>
        <w:rPr>
          <w:sz w:val="20"/>
        </w:rPr>
      </w:pPr>
      <w:r>
        <w:rPr>
          <w:sz w:val="20"/>
        </w:rPr>
        <w:t>El</w:t>
      </w:r>
      <w:r>
        <w:rPr>
          <w:spacing w:val="-12"/>
          <w:sz w:val="20"/>
        </w:rPr>
        <w:t> </w:t>
      </w:r>
      <w:r>
        <w:rPr>
          <w:sz w:val="20"/>
        </w:rPr>
        <w:t>fomento,</w:t>
      </w:r>
      <w:r>
        <w:rPr>
          <w:spacing w:val="-11"/>
          <w:sz w:val="20"/>
        </w:rPr>
        <w:t> </w:t>
      </w:r>
      <w:r>
        <w:rPr>
          <w:sz w:val="20"/>
        </w:rPr>
        <w:t>coordinación</w:t>
      </w:r>
      <w:r>
        <w:rPr>
          <w:spacing w:val="-10"/>
          <w:sz w:val="20"/>
        </w:rPr>
        <w:t> </w:t>
      </w:r>
      <w:r>
        <w:rPr>
          <w:sz w:val="20"/>
        </w:rPr>
        <w:t>y</w:t>
      </w:r>
      <w:r>
        <w:rPr>
          <w:spacing w:val="-10"/>
          <w:sz w:val="20"/>
        </w:rPr>
        <w:t> </w:t>
      </w:r>
      <w:r>
        <w:rPr>
          <w:sz w:val="20"/>
        </w:rPr>
        <w:t>concertación</w:t>
      </w:r>
      <w:r>
        <w:rPr>
          <w:spacing w:val="-11"/>
          <w:sz w:val="20"/>
        </w:rPr>
        <w:t> </w:t>
      </w:r>
      <w:r>
        <w:rPr>
          <w:sz w:val="20"/>
        </w:rPr>
        <w:t>de</w:t>
      </w:r>
      <w:r>
        <w:rPr>
          <w:spacing w:val="-10"/>
          <w:sz w:val="20"/>
        </w:rPr>
        <w:t> </w:t>
      </w:r>
      <w:r>
        <w:rPr>
          <w:sz w:val="20"/>
        </w:rPr>
        <w:t>la</w:t>
      </w:r>
      <w:r>
        <w:rPr>
          <w:spacing w:val="-9"/>
          <w:sz w:val="20"/>
        </w:rPr>
        <w:t> </w:t>
      </w:r>
      <w:r>
        <w:rPr>
          <w:sz w:val="20"/>
        </w:rPr>
        <w:t>inversión</w:t>
      </w:r>
      <w:r>
        <w:rPr>
          <w:spacing w:val="-11"/>
          <w:sz w:val="20"/>
        </w:rPr>
        <w:t> </w:t>
      </w:r>
      <w:r>
        <w:rPr>
          <w:sz w:val="20"/>
        </w:rPr>
        <w:t>pública</w:t>
      </w:r>
      <w:r>
        <w:rPr>
          <w:spacing w:val="-11"/>
          <w:sz w:val="20"/>
        </w:rPr>
        <w:t> </w:t>
      </w:r>
      <w:r>
        <w:rPr>
          <w:sz w:val="20"/>
        </w:rPr>
        <w:t>y</w:t>
      </w:r>
      <w:r>
        <w:rPr>
          <w:spacing w:val="-10"/>
          <w:sz w:val="20"/>
        </w:rPr>
        <w:t> </w:t>
      </w:r>
      <w:r>
        <w:rPr>
          <w:sz w:val="20"/>
        </w:rPr>
        <w:t>privada</w:t>
      </w:r>
      <w:r>
        <w:rPr>
          <w:spacing w:val="-12"/>
          <w:sz w:val="20"/>
        </w:rPr>
        <w:t> </w:t>
      </w:r>
      <w:r>
        <w:rPr>
          <w:sz w:val="20"/>
        </w:rPr>
        <w:t>con</w:t>
      </w:r>
      <w:r>
        <w:rPr>
          <w:spacing w:val="-11"/>
          <w:sz w:val="20"/>
        </w:rPr>
        <w:t> </w:t>
      </w:r>
      <w:r>
        <w:rPr>
          <w:sz w:val="20"/>
        </w:rPr>
        <w:t>la</w:t>
      </w:r>
      <w:r>
        <w:rPr>
          <w:spacing w:val="-11"/>
          <w:sz w:val="20"/>
        </w:rPr>
        <w:t> </w:t>
      </w:r>
      <w:r>
        <w:rPr>
          <w:sz w:val="20"/>
        </w:rPr>
        <w:t>planeación del desarrollo regional y urbano, y</w:t>
      </w:r>
    </w:p>
    <w:p>
      <w:pPr>
        <w:pStyle w:val="BodyText"/>
      </w:pPr>
    </w:p>
    <w:p>
      <w:pPr>
        <w:spacing w:before="0"/>
        <w:ind w:left="262"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4"/>
          <w:sz w:val="20"/>
        </w:rPr>
        <w:t> </w:t>
      </w:r>
      <w:r>
        <w:rPr>
          <w:rFonts w:ascii="Arial"/>
          <w:i/>
          <w:sz w:val="20"/>
        </w:rPr>
        <w:t>16</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ListParagraph"/>
        <w:numPr>
          <w:ilvl w:val="0"/>
          <w:numId w:val="2"/>
        </w:numPr>
        <w:tabs>
          <w:tab w:pos="1026" w:val="left" w:leader="none"/>
        </w:tabs>
        <w:spacing w:line="240" w:lineRule="auto" w:before="0" w:after="0"/>
        <w:ind w:left="262" w:right="288" w:firstLine="0"/>
        <w:jc w:val="both"/>
        <w:rPr>
          <w:sz w:val="20"/>
        </w:rPr>
      </w:pPr>
      <w:r>
        <w:rPr>
          <w:sz w:val="20"/>
        </w:rPr>
        <w:t>La homologación de la información que deben contener las placas de la nomenclatura de las vialidades.</w:t>
      </w:r>
    </w:p>
    <w:p>
      <w:pPr>
        <w:pStyle w:val="BodyText"/>
      </w:pPr>
    </w:p>
    <w:p>
      <w:pPr>
        <w:pStyle w:val="BodyText"/>
      </w:pPr>
    </w:p>
    <w:p>
      <w:pPr>
        <w:pStyle w:val="Heading2"/>
        <w:spacing w:line="480" w:lineRule="auto"/>
        <w:ind w:left="4076" w:right="4094" w:firstLine="2"/>
      </w:pPr>
      <w:r>
        <w:rPr/>
        <w:t>Capítulo II </w:t>
      </w:r>
      <w:r>
        <w:rPr>
          <w:spacing w:val="-2"/>
        </w:rPr>
        <w:t>Definiciones</w:t>
      </w:r>
    </w:p>
    <w:p>
      <w:pPr>
        <w:spacing w:line="229" w:lineRule="exact" w:before="0"/>
        <w:ind w:left="26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4º.</w:t>
      </w:r>
      <w:r>
        <w:rPr>
          <w:rFonts w:ascii="Arial" w:hAnsi="Arial"/>
          <w:b/>
          <w:spacing w:val="-5"/>
          <w:sz w:val="20"/>
        </w:rPr>
        <w:t> </w:t>
      </w:r>
      <w:r>
        <w:rPr>
          <w:sz w:val="20"/>
        </w:rPr>
        <w:t>Para</w:t>
      </w:r>
      <w:r>
        <w:rPr>
          <w:spacing w:val="-6"/>
          <w:sz w:val="20"/>
        </w:rPr>
        <w:t> </w:t>
      </w:r>
      <w:r>
        <w:rPr>
          <w:sz w:val="20"/>
        </w:rPr>
        <w:t>los</w:t>
      </w:r>
      <w:r>
        <w:rPr>
          <w:spacing w:val="-5"/>
          <w:sz w:val="20"/>
        </w:rPr>
        <w:t> </w:t>
      </w:r>
      <w:r>
        <w:rPr>
          <w:sz w:val="20"/>
        </w:rPr>
        <w:t>efectos</w:t>
      </w:r>
      <w:r>
        <w:rPr>
          <w:spacing w:val="-5"/>
          <w:sz w:val="20"/>
        </w:rPr>
        <w:t> </w:t>
      </w:r>
      <w:r>
        <w:rPr>
          <w:sz w:val="20"/>
        </w:rPr>
        <w:t>de</w:t>
      </w:r>
      <w:r>
        <w:rPr>
          <w:spacing w:val="-7"/>
          <w:sz w:val="20"/>
        </w:rPr>
        <w:t> </w:t>
      </w:r>
      <w:r>
        <w:rPr>
          <w:sz w:val="20"/>
        </w:rPr>
        <w:t>esta</w:t>
      </w:r>
      <w:r>
        <w:rPr>
          <w:spacing w:val="-4"/>
          <w:sz w:val="20"/>
        </w:rPr>
        <w:t> </w:t>
      </w:r>
      <w:r>
        <w:rPr>
          <w:sz w:val="20"/>
        </w:rPr>
        <w:t>Ley,</w:t>
      </w:r>
      <w:r>
        <w:rPr>
          <w:spacing w:val="-6"/>
          <w:sz w:val="20"/>
        </w:rPr>
        <w:t> </w:t>
      </w:r>
      <w:r>
        <w:rPr>
          <w:sz w:val="20"/>
        </w:rPr>
        <w:t>se</w:t>
      </w:r>
      <w:r>
        <w:rPr>
          <w:spacing w:val="-4"/>
          <w:sz w:val="20"/>
        </w:rPr>
        <w:t> </w:t>
      </w:r>
      <w:r>
        <w:rPr>
          <w:sz w:val="20"/>
        </w:rPr>
        <w:t>entenderá</w:t>
      </w:r>
      <w:r>
        <w:rPr>
          <w:spacing w:val="-6"/>
          <w:sz w:val="20"/>
        </w:rPr>
        <w:t> </w:t>
      </w:r>
      <w:r>
        <w:rPr>
          <w:spacing w:val="-4"/>
          <w:sz w:val="20"/>
        </w:rPr>
        <w:t>por:</w:t>
      </w:r>
    </w:p>
    <w:p>
      <w:pPr>
        <w:pStyle w:val="BodyText"/>
        <w:spacing w:before="1"/>
      </w:pPr>
    </w:p>
    <w:p>
      <w:pPr>
        <w:pStyle w:val="ListParagraph"/>
        <w:numPr>
          <w:ilvl w:val="0"/>
          <w:numId w:val="3"/>
        </w:numPr>
        <w:tabs>
          <w:tab w:pos="688" w:val="left" w:leader="none"/>
        </w:tabs>
        <w:spacing w:line="240" w:lineRule="auto" w:before="0" w:after="0"/>
        <w:ind w:left="262" w:right="285" w:firstLine="0"/>
        <w:jc w:val="both"/>
        <w:rPr>
          <w:sz w:val="20"/>
        </w:rPr>
      </w:pPr>
      <w:r>
        <w:rPr>
          <w:rFonts w:ascii="Arial" w:hAnsi="Arial"/>
          <w:b/>
          <w:sz w:val="20"/>
        </w:rPr>
        <w:t>Acción</w:t>
      </w:r>
      <w:r>
        <w:rPr>
          <w:rFonts w:ascii="Arial" w:hAnsi="Arial"/>
          <w:b/>
          <w:spacing w:val="-2"/>
          <w:sz w:val="20"/>
        </w:rPr>
        <w:t> </w:t>
      </w:r>
      <w:r>
        <w:rPr>
          <w:rFonts w:ascii="Arial" w:hAnsi="Arial"/>
          <w:b/>
          <w:sz w:val="20"/>
        </w:rPr>
        <w:t>urbanística: </w:t>
      </w:r>
      <w:r>
        <w:rPr>
          <w:sz w:val="20"/>
        </w:rPr>
        <w:t>actos</w:t>
      </w:r>
      <w:r>
        <w:rPr>
          <w:spacing w:val="-2"/>
          <w:sz w:val="20"/>
        </w:rPr>
        <w:t> </w:t>
      </w:r>
      <w:r>
        <w:rPr>
          <w:sz w:val="20"/>
        </w:rPr>
        <w:t>o</w:t>
      </w:r>
      <w:r>
        <w:rPr>
          <w:spacing w:val="-3"/>
          <w:sz w:val="20"/>
        </w:rPr>
        <w:t> </w:t>
      </w:r>
      <w:r>
        <w:rPr>
          <w:sz w:val="20"/>
        </w:rPr>
        <w:t>actividades</w:t>
      </w:r>
      <w:r>
        <w:rPr>
          <w:spacing w:val="-2"/>
          <w:sz w:val="20"/>
        </w:rPr>
        <w:t> </w:t>
      </w:r>
      <w:r>
        <w:rPr>
          <w:sz w:val="20"/>
        </w:rPr>
        <w:t>tendentes</w:t>
      </w:r>
      <w:r>
        <w:rPr>
          <w:spacing w:val="-2"/>
          <w:sz w:val="20"/>
        </w:rPr>
        <w:t> </w:t>
      </w:r>
      <w:r>
        <w:rPr>
          <w:sz w:val="20"/>
        </w:rPr>
        <w:t>al</w:t>
      </w:r>
      <w:r>
        <w:rPr>
          <w:spacing w:val="-2"/>
          <w:sz w:val="20"/>
        </w:rPr>
        <w:t> </w:t>
      </w:r>
      <w:r>
        <w:rPr>
          <w:sz w:val="20"/>
        </w:rPr>
        <w:t>uso</w:t>
      </w:r>
      <w:r>
        <w:rPr>
          <w:spacing w:val="-3"/>
          <w:sz w:val="20"/>
        </w:rPr>
        <w:t> </w:t>
      </w:r>
      <w:r>
        <w:rPr>
          <w:sz w:val="20"/>
        </w:rPr>
        <w:t>o</w:t>
      </w:r>
      <w:r>
        <w:rPr>
          <w:spacing w:val="-3"/>
          <w:sz w:val="20"/>
        </w:rPr>
        <w:t> </w:t>
      </w:r>
      <w:r>
        <w:rPr>
          <w:sz w:val="20"/>
        </w:rPr>
        <w:t>aprovechamiento</w:t>
      </w:r>
      <w:r>
        <w:rPr>
          <w:spacing w:val="-3"/>
          <w:sz w:val="20"/>
        </w:rPr>
        <w:t> </w:t>
      </w:r>
      <w:r>
        <w:rPr>
          <w:sz w:val="20"/>
        </w:rPr>
        <w:t>del</w:t>
      </w:r>
      <w:r>
        <w:rPr>
          <w:spacing w:val="-2"/>
          <w:sz w:val="20"/>
        </w:rPr>
        <w:t> </w:t>
      </w:r>
      <w:r>
        <w:rPr>
          <w:sz w:val="20"/>
        </w:rPr>
        <w:t>suelo</w:t>
      </w:r>
      <w:r>
        <w:rPr>
          <w:spacing w:val="-3"/>
          <w:sz w:val="20"/>
        </w:rPr>
        <w:t> </w:t>
      </w:r>
      <w:r>
        <w:rPr>
          <w:sz w:val="20"/>
        </w:rPr>
        <w:t>dentro de</w:t>
      </w:r>
      <w:r>
        <w:rPr>
          <w:spacing w:val="80"/>
          <w:sz w:val="20"/>
        </w:rPr>
        <w:t> </w:t>
      </w:r>
      <w:r>
        <w:rPr>
          <w:sz w:val="20"/>
        </w:rPr>
        <w:t>áreas</w:t>
      </w:r>
      <w:r>
        <w:rPr>
          <w:spacing w:val="80"/>
          <w:sz w:val="20"/>
        </w:rPr>
        <w:t> </w:t>
      </w:r>
      <w:r>
        <w:rPr>
          <w:sz w:val="20"/>
        </w:rPr>
        <w:t>urbanizadas</w:t>
      </w:r>
      <w:r>
        <w:rPr>
          <w:spacing w:val="80"/>
          <w:sz w:val="20"/>
        </w:rPr>
        <w:t> </w:t>
      </w:r>
      <w:r>
        <w:rPr>
          <w:sz w:val="20"/>
        </w:rPr>
        <w:t>o</w:t>
      </w:r>
      <w:r>
        <w:rPr>
          <w:spacing w:val="80"/>
          <w:sz w:val="20"/>
        </w:rPr>
        <w:t> </w:t>
      </w:r>
      <w:r>
        <w:rPr>
          <w:sz w:val="20"/>
        </w:rPr>
        <w:t>urbanizables,</w:t>
      </w:r>
      <w:r>
        <w:rPr>
          <w:spacing w:val="80"/>
          <w:sz w:val="20"/>
        </w:rPr>
        <w:t> </w:t>
      </w:r>
      <w:r>
        <w:rPr>
          <w:sz w:val="20"/>
        </w:rPr>
        <w:t>tales</w:t>
      </w:r>
      <w:r>
        <w:rPr>
          <w:spacing w:val="80"/>
          <w:sz w:val="20"/>
        </w:rPr>
        <w:t> </w:t>
      </w:r>
      <w:r>
        <w:rPr>
          <w:sz w:val="20"/>
        </w:rPr>
        <w:t>como</w:t>
      </w:r>
      <w:r>
        <w:rPr>
          <w:spacing w:val="80"/>
          <w:sz w:val="20"/>
        </w:rPr>
        <w:t> </w:t>
      </w:r>
      <w:r>
        <w:rPr>
          <w:sz w:val="20"/>
        </w:rPr>
        <w:t>subdivisiones,</w:t>
      </w:r>
      <w:r>
        <w:rPr>
          <w:spacing w:val="80"/>
          <w:sz w:val="20"/>
        </w:rPr>
        <w:t> </w:t>
      </w:r>
      <w:r>
        <w:rPr>
          <w:sz w:val="20"/>
        </w:rPr>
        <w:t>fusiones,</w:t>
      </w:r>
      <w:r>
        <w:rPr>
          <w:spacing w:val="80"/>
          <w:sz w:val="20"/>
        </w:rPr>
        <w:t> </w:t>
      </w:r>
      <w:r>
        <w:rPr>
          <w:sz w:val="20"/>
        </w:rPr>
        <w:t>relotificaciones,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78"/>
        <w:jc w:val="both"/>
      </w:pPr>
      <w:r>
        <w:rPr/>
        <w:t>fraccionamientos, condominios, conjuntos urbanos o urbanizaciones en general, así como de construcción, ampliación, remodelación, reparación, demolición o reconstrucción de inmuebles, de propiedad pública o privada, que por su naturaleza están determinadas en los programas de desarrollo urbano o</w:t>
      </w:r>
      <w:r>
        <w:rPr>
          <w:spacing w:val="-2"/>
        </w:rPr>
        <w:t> </w:t>
      </w:r>
      <w:r>
        <w:rPr/>
        <w:t>cuentan</w:t>
      </w:r>
      <w:r>
        <w:rPr>
          <w:spacing w:val="-2"/>
        </w:rPr>
        <w:t> </w:t>
      </w:r>
      <w:r>
        <w:rPr/>
        <w:t>con los</w:t>
      </w:r>
      <w:r>
        <w:rPr>
          <w:spacing w:val="-1"/>
        </w:rPr>
        <w:t> </w:t>
      </w:r>
      <w:r>
        <w:rPr/>
        <w:t>permisos</w:t>
      </w:r>
      <w:r>
        <w:rPr>
          <w:spacing w:val="-1"/>
        </w:rPr>
        <w:t> </w:t>
      </w:r>
      <w:r>
        <w:rPr/>
        <w:t>correspondientes.</w:t>
      </w:r>
      <w:r>
        <w:rPr>
          <w:spacing w:val="-2"/>
        </w:rPr>
        <w:t> </w:t>
      </w:r>
      <w:r>
        <w:rPr/>
        <w:t>Comprende</w:t>
      </w:r>
      <w:r>
        <w:rPr>
          <w:spacing w:val="-2"/>
        </w:rPr>
        <w:t> </w:t>
      </w:r>
      <w:r>
        <w:rPr/>
        <w:t>también la</w:t>
      </w:r>
      <w:r>
        <w:rPr>
          <w:spacing w:val="-2"/>
        </w:rPr>
        <w:t> </w:t>
      </w:r>
      <w:r>
        <w:rPr/>
        <w:t>realización de obras de equipamiento, infraestructura o servicios urbanos;</w:t>
      </w:r>
    </w:p>
    <w:p>
      <w:pPr>
        <w:pStyle w:val="BodyText"/>
      </w:pPr>
    </w:p>
    <w:p>
      <w:pPr>
        <w:pStyle w:val="ListParagraph"/>
        <w:numPr>
          <w:ilvl w:val="0"/>
          <w:numId w:val="3"/>
        </w:numPr>
        <w:tabs>
          <w:tab w:pos="686" w:val="left" w:leader="none"/>
        </w:tabs>
        <w:spacing w:line="240" w:lineRule="auto" w:before="0" w:after="0"/>
        <w:ind w:left="262" w:right="283" w:firstLine="0"/>
        <w:jc w:val="both"/>
        <w:rPr>
          <w:sz w:val="20"/>
        </w:rPr>
      </w:pPr>
      <w:r>
        <w:rPr>
          <w:rFonts w:ascii="Arial" w:hAnsi="Arial"/>
          <w:b/>
          <w:sz w:val="20"/>
        </w:rPr>
        <w:t>Alineamiento</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z w:val="20"/>
        </w:rPr>
        <w:t>predio:</w:t>
      </w:r>
      <w:r>
        <w:rPr>
          <w:rFonts w:ascii="Arial" w:hAnsi="Arial"/>
          <w:b/>
          <w:spacing w:val="-5"/>
          <w:sz w:val="20"/>
        </w:rPr>
        <w:t> </w:t>
      </w:r>
      <w:r>
        <w:rPr>
          <w:sz w:val="20"/>
        </w:rPr>
        <w:t>línea</w:t>
      </w:r>
      <w:r>
        <w:rPr>
          <w:spacing w:val="-7"/>
          <w:sz w:val="20"/>
        </w:rPr>
        <w:t> </w:t>
      </w:r>
      <w:r>
        <w:rPr>
          <w:sz w:val="20"/>
        </w:rPr>
        <w:t>real</w:t>
      </w:r>
      <w:r>
        <w:rPr>
          <w:spacing w:val="-9"/>
          <w:sz w:val="20"/>
        </w:rPr>
        <w:t> </w:t>
      </w:r>
      <w:r>
        <w:rPr>
          <w:sz w:val="20"/>
        </w:rPr>
        <w:t>o</w:t>
      </w:r>
      <w:r>
        <w:rPr>
          <w:spacing w:val="-7"/>
          <w:sz w:val="20"/>
        </w:rPr>
        <w:t> </w:t>
      </w:r>
      <w:r>
        <w:rPr>
          <w:sz w:val="20"/>
        </w:rPr>
        <w:t>virtual</w:t>
      </w:r>
      <w:r>
        <w:rPr>
          <w:spacing w:val="-7"/>
          <w:sz w:val="20"/>
        </w:rPr>
        <w:t> </w:t>
      </w:r>
      <w:r>
        <w:rPr>
          <w:sz w:val="20"/>
        </w:rPr>
        <w:t>definida</w:t>
      </w:r>
      <w:r>
        <w:rPr>
          <w:spacing w:val="-7"/>
          <w:sz w:val="20"/>
        </w:rPr>
        <w:t> </w:t>
      </w:r>
      <w:r>
        <w:rPr>
          <w:sz w:val="20"/>
        </w:rPr>
        <w:t>sobre</w:t>
      </w:r>
      <w:r>
        <w:rPr>
          <w:spacing w:val="-7"/>
          <w:sz w:val="20"/>
        </w:rPr>
        <w:t> </w:t>
      </w:r>
      <w:r>
        <w:rPr>
          <w:sz w:val="20"/>
        </w:rPr>
        <w:t>un</w:t>
      </w:r>
      <w:r>
        <w:rPr>
          <w:spacing w:val="-7"/>
          <w:sz w:val="20"/>
        </w:rPr>
        <w:t> </w:t>
      </w:r>
      <w:r>
        <w:rPr>
          <w:sz w:val="20"/>
        </w:rPr>
        <w:t>lote</w:t>
      </w:r>
      <w:r>
        <w:rPr>
          <w:spacing w:val="-8"/>
          <w:sz w:val="20"/>
        </w:rPr>
        <w:t> </w:t>
      </w:r>
      <w:r>
        <w:rPr>
          <w:sz w:val="20"/>
        </w:rPr>
        <w:t>o</w:t>
      </w:r>
      <w:r>
        <w:rPr>
          <w:spacing w:val="-7"/>
          <w:sz w:val="20"/>
        </w:rPr>
        <w:t> </w:t>
      </w:r>
      <w:r>
        <w:rPr>
          <w:sz w:val="20"/>
        </w:rPr>
        <w:t>predio</w:t>
      </w:r>
      <w:r>
        <w:rPr>
          <w:spacing w:val="-7"/>
          <w:sz w:val="20"/>
        </w:rPr>
        <w:t> </w:t>
      </w:r>
      <w:r>
        <w:rPr>
          <w:sz w:val="20"/>
        </w:rPr>
        <w:t>en</w:t>
      </w:r>
      <w:r>
        <w:rPr>
          <w:spacing w:val="-7"/>
          <w:sz w:val="20"/>
        </w:rPr>
        <w:t> </w:t>
      </w:r>
      <w:r>
        <w:rPr>
          <w:sz w:val="20"/>
        </w:rPr>
        <w:t>el</w:t>
      </w:r>
      <w:r>
        <w:rPr>
          <w:spacing w:val="-9"/>
          <w:sz w:val="20"/>
        </w:rPr>
        <w:t> </w:t>
      </w:r>
      <w:r>
        <w:rPr>
          <w:sz w:val="20"/>
        </w:rPr>
        <w:t>frente</w:t>
      </w:r>
      <w:r>
        <w:rPr>
          <w:spacing w:val="-7"/>
          <w:sz w:val="20"/>
        </w:rPr>
        <w:t> </w:t>
      </w:r>
      <w:r>
        <w:rPr>
          <w:sz w:val="20"/>
        </w:rPr>
        <w:t>a</w:t>
      </w:r>
      <w:r>
        <w:rPr>
          <w:spacing w:val="-7"/>
          <w:sz w:val="20"/>
        </w:rPr>
        <w:t> </w:t>
      </w:r>
      <w:r>
        <w:rPr>
          <w:sz w:val="20"/>
        </w:rPr>
        <w:t>la</w:t>
      </w:r>
      <w:r>
        <w:rPr>
          <w:spacing w:val="-8"/>
          <w:sz w:val="20"/>
        </w:rPr>
        <w:t> </w:t>
      </w:r>
      <w:r>
        <w:rPr>
          <w:sz w:val="20"/>
        </w:rPr>
        <w:t>vía pública,</w:t>
      </w:r>
      <w:r>
        <w:rPr>
          <w:spacing w:val="-2"/>
          <w:sz w:val="20"/>
        </w:rPr>
        <w:t> </w:t>
      </w:r>
      <w:r>
        <w:rPr>
          <w:sz w:val="20"/>
        </w:rPr>
        <w:t>que</w:t>
      </w:r>
      <w:r>
        <w:rPr>
          <w:spacing w:val="-4"/>
          <w:sz w:val="20"/>
        </w:rPr>
        <w:t> </w:t>
      </w:r>
      <w:r>
        <w:rPr>
          <w:sz w:val="20"/>
        </w:rPr>
        <w:t>determina</w:t>
      </w:r>
      <w:r>
        <w:rPr>
          <w:spacing w:val="-2"/>
          <w:sz w:val="20"/>
        </w:rPr>
        <w:t> </w:t>
      </w:r>
      <w:r>
        <w:rPr>
          <w:sz w:val="20"/>
        </w:rPr>
        <w:t>el</w:t>
      </w:r>
      <w:r>
        <w:rPr>
          <w:spacing w:val="-3"/>
          <w:sz w:val="20"/>
        </w:rPr>
        <w:t> </w:t>
      </w:r>
      <w:r>
        <w:rPr>
          <w:sz w:val="20"/>
        </w:rPr>
        <w:t>límite</w:t>
      </w:r>
      <w:r>
        <w:rPr>
          <w:spacing w:val="-2"/>
          <w:sz w:val="20"/>
        </w:rPr>
        <w:t> </w:t>
      </w:r>
      <w:r>
        <w:rPr>
          <w:sz w:val="20"/>
        </w:rPr>
        <w:t>a</w:t>
      </w:r>
      <w:r>
        <w:rPr>
          <w:spacing w:val="-2"/>
          <w:sz w:val="20"/>
        </w:rPr>
        <w:t> </w:t>
      </w:r>
      <w:r>
        <w:rPr>
          <w:sz w:val="20"/>
        </w:rPr>
        <w:t>partir</w:t>
      </w:r>
      <w:r>
        <w:rPr>
          <w:spacing w:val="-1"/>
          <w:sz w:val="20"/>
        </w:rPr>
        <w:t> </w:t>
      </w:r>
      <w:r>
        <w:rPr>
          <w:sz w:val="20"/>
        </w:rPr>
        <w:t>del</w:t>
      </w:r>
      <w:r>
        <w:rPr>
          <w:spacing w:val="-5"/>
          <w:sz w:val="20"/>
        </w:rPr>
        <w:t> </w:t>
      </w:r>
      <w:r>
        <w:rPr>
          <w:sz w:val="20"/>
        </w:rPr>
        <w:t>cual</w:t>
      </w:r>
      <w:r>
        <w:rPr>
          <w:spacing w:val="-5"/>
          <w:sz w:val="20"/>
        </w:rPr>
        <w:t> </w:t>
      </w:r>
      <w:r>
        <w:rPr>
          <w:sz w:val="20"/>
        </w:rPr>
        <w:t>se</w:t>
      </w:r>
      <w:r>
        <w:rPr>
          <w:spacing w:val="-4"/>
          <w:sz w:val="20"/>
        </w:rPr>
        <w:t> </w:t>
      </w:r>
      <w:r>
        <w:rPr>
          <w:sz w:val="20"/>
        </w:rPr>
        <w:t>permite</w:t>
      </w:r>
      <w:r>
        <w:rPr>
          <w:spacing w:val="-2"/>
          <w:sz w:val="20"/>
        </w:rPr>
        <w:t> </w:t>
      </w:r>
      <w:r>
        <w:rPr>
          <w:sz w:val="20"/>
        </w:rPr>
        <w:t>la</w:t>
      </w:r>
      <w:r>
        <w:rPr>
          <w:spacing w:val="-4"/>
          <w:sz w:val="20"/>
        </w:rPr>
        <w:t> </w:t>
      </w:r>
      <w:r>
        <w:rPr>
          <w:sz w:val="20"/>
        </w:rPr>
        <w:t>traza</w:t>
      </w:r>
      <w:r>
        <w:rPr>
          <w:spacing w:val="-2"/>
          <w:sz w:val="20"/>
        </w:rPr>
        <w:t> </w:t>
      </w:r>
      <w:r>
        <w:rPr>
          <w:sz w:val="20"/>
        </w:rPr>
        <w:t>o</w:t>
      </w:r>
      <w:r>
        <w:rPr>
          <w:spacing w:val="-4"/>
          <w:sz w:val="20"/>
        </w:rPr>
        <w:t> </w:t>
      </w:r>
      <w:r>
        <w:rPr>
          <w:sz w:val="20"/>
        </w:rPr>
        <w:t>edificación</w:t>
      </w:r>
      <w:r>
        <w:rPr>
          <w:spacing w:val="-4"/>
          <w:sz w:val="20"/>
        </w:rPr>
        <w:t> </w:t>
      </w:r>
      <w:r>
        <w:rPr>
          <w:sz w:val="20"/>
        </w:rPr>
        <w:t>de</w:t>
      </w:r>
      <w:r>
        <w:rPr>
          <w:spacing w:val="-4"/>
          <w:sz w:val="20"/>
        </w:rPr>
        <w:t> </w:t>
      </w:r>
      <w:r>
        <w:rPr>
          <w:sz w:val="20"/>
        </w:rPr>
        <w:t>un</w:t>
      </w:r>
      <w:r>
        <w:rPr>
          <w:spacing w:val="-2"/>
          <w:sz w:val="20"/>
        </w:rPr>
        <w:t> </w:t>
      </w:r>
      <w:r>
        <w:rPr>
          <w:sz w:val="20"/>
        </w:rPr>
        <w:t>inmueble,</w:t>
      </w:r>
      <w:r>
        <w:rPr>
          <w:spacing w:val="-4"/>
          <w:sz w:val="20"/>
        </w:rPr>
        <w:t> </w:t>
      </w:r>
      <w:r>
        <w:rPr>
          <w:sz w:val="20"/>
        </w:rPr>
        <w:t>de acuerdo a los programas o proyectos de desarrollo urbano legalmente aprobados;</w:t>
      </w:r>
    </w:p>
    <w:p>
      <w:pPr>
        <w:pStyle w:val="BodyText"/>
        <w:spacing w:before="2"/>
      </w:pPr>
    </w:p>
    <w:p>
      <w:pPr>
        <w:pStyle w:val="ListParagraph"/>
        <w:numPr>
          <w:ilvl w:val="0"/>
          <w:numId w:val="3"/>
        </w:numPr>
        <w:tabs>
          <w:tab w:pos="741" w:val="left" w:leader="none"/>
        </w:tabs>
        <w:spacing w:line="240" w:lineRule="auto" w:before="0" w:after="0"/>
        <w:ind w:left="262" w:right="283" w:firstLine="0"/>
        <w:jc w:val="both"/>
        <w:rPr>
          <w:sz w:val="20"/>
        </w:rPr>
      </w:pPr>
      <w:r>
        <w:rPr>
          <w:rFonts w:ascii="Arial" w:hAnsi="Arial"/>
          <w:b/>
          <w:sz w:val="20"/>
        </w:rPr>
        <w:t>Análisis de riesgo: </w:t>
      </w:r>
      <w:r>
        <w:rPr>
          <w:sz w:val="20"/>
        </w:rPr>
        <w:t>integración, evaluación, registro y difusión de información para formular recomendaciones orientadas a la adopción de medidas para la atención de un riesgo determinado;</w:t>
      </w:r>
    </w:p>
    <w:p>
      <w:pPr>
        <w:pStyle w:val="ListParagraph"/>
        <w:numPr>
          <w:ilvl w:val="0"/>
          <w:numId w:val="3"/>
        </w:numPr>
        <w:tabs>
          <w:tab w:pos="688" w:val="left" w:leader="none"/>
        </w:tabs>
        <w:spacing w:line="240" w:lineRule="auto" w:before="229" w:after="0"/>
        <w:ind w:left="688" w:right="0" w:hanging="426"/>
        <w:jc w:val="both"/>
        <w:rPr>
          <w:sz w:val="20"/>
        </w:rPr>
      </w:pPr>
      <w:r>
        <w:rPr>
          <w:rFonts w:ascii="Arial" w:hAnsi="Arial"/>
          <w:b/>
          <w:sz w:val="20"/>
        </w:rPr>
        <w:t>Área:</w:t>
      </w:r>
      <w:r>
        <w:rPr>
          <w:rFonts w:ascii="Arial" w:hAnsi="Arial"/>
          <w:b/>
          <w:spacing w:val="-4"/>
          <w:sz w:val="20"/>
        </w:rPr>
        <w:t> </w:t>
      </w:r>
      <w:r>
        <w:rPr>
          <w:sz w:val="20"/>
        </w:rPr>
        <w:t>espacio</w:t>
      </w:r>
      <w:r>
        <w:rPr>
          <w:spacing w:val="-4"/>
          <w:sz w:val="20"/>
        </w:rPr>
        <w:t> </w:t>
      </w:r>
      <w:r>
        <w:rPr>
          <w:sz w:val="20"/>
        </w:rPr>
        <w:t>de</w:t>
      </w:r>
      <w:r>
        <w:rPr>
          <w:spacing w:val="-6"/>
          <w:sz w:val="20"/>
        </w:rPr>
        <w:t> </w:t>
      </w:r>
      <w:r>
        <w:rPr>
          <w:sz w:val="20"/>
        </w:rPr>
        <w:t>cualquier</w:t>
      </w:r>
      <w:r>
        <w:rPr>
          <w:spacing w:val="-4"/>
          <w:sz w:val="20"/>
        </w:rPr>
        <w:t> </w:t>
      </w:r>
      <w:r>
        <w:rPr>
          <w:sz w:val="20"/>
        </w:rPr>
        <w:t>superficie</w:t>
      </w:r>
      <w:r>
        <w:rPr>
          <w:spacing w:val="-5"/>
          <w:sz w:val="20"/>
        </w:rPr>
        <w:t> </w:t>
      </w:r>
      <w:r>
        <w:rPr>
          <w:sz w:val="20"/>
        </w:rPr>
        <w:t>de</w:t>
      </w:r>
      <w:r>
        <w:rPr>
          <w:spacing w:val="-6"/>
          <w:sz w:val="20"/>
        </w:rPr>
        <w:t> </w:t>
      </w:r>
      <w:r>
        <w:rPr>
          <w:sz w:val="20"/>
        </w:rPr>
        <w:t>suelo</w:t>
      </w:r>
      <w:r>
        <w:rPr>
          <w:spacing w:val="-4"/>
          <w:sz w:val="20"/>
        </w:rPr>
        <w:t> </w:t>
      </w:r>
      <w:r>
        <w:rPr>
          <w:sz w:val="20"/>
        </w:rPr>
        <w:t>o</w:t>
      </w:r>
      <w:r>
        <w:rPr>
          <w:spacing w:val="-6"/>
          <w:sz w:val="20"/>
        </w:rPr>
        <w:t> </w:t>
      </w:r>
      <w:r>
        <w:rPr>
          <w:sz w:val="20"/>
        </w:rPr>
        <w:t>tierra</w:t>
      </w:r>
      <w:r>
        <w:rPr>
          <w:spacing w:val="-4"/>
          <w:sz w:val="20"/>
        </w:rPr>
        <w:t> </w:t>
      </w:r>
      <w:r>
        <w:rPr>
          <w:sz w:val="20"/>
        </w:rPr>
        <w:t>urbana</w:t>
      </w:r>
      <w:r>
        <w:rPr>
          <w:spacing w:val="-6"/>
          <w:sz w:val="20"/>
        </w:rPr>
        <w:t> </w:t>
      </w:r>
      <w:r>
        <w:rPr>
          <w:sz w:val="20"/>
        </w:rPr>
        <w:t>o</w:t>
      </w:r>
      <w:r>
        <w:rPr>
          <w:spacing w:val="-7"/>
          <w:sz w:val="20"/>
        </w:rPr>
        <w:t> </w:t>
      </w:r>
      <w:r>
        <w:rPr>
          <w:sz w:val="20"/>
        </w:rPr>
        <w:t>rural</w:t>
      </w:r>
      <w:r>
        <w:rPr>
          <w:spacing w:val="-7"/>
          <w:sz w:val="20"/>
        </w:rPr>
        <w:t> </w:t>
      </w:r>
      <w:r>
        <w:rPr>
          <w:sz w:val="20"/>
        </w:rPr>
        <w:t>con</w:t>
      </w:r>
      <w:r>
        <w:rPr>
          <w:spacing w:val="-6"/>
          <w:sz w:val="20"/>
        </w:rPr>
        <w:t> </w:t>
      </w:r>
      <w:r>
        <w:rPr>
          <w:sz w:val="20"/>
        </w:rPr>
        <w:t>o</w:t>
      </w:r>
      <w:r>
        <w:rPr>
          <w:spacing w:val="-6"/>
          <w:sz w:val="20"/>
        </w:rPr>
        <w:t> </w:t>
      </w:r>
      <w:r>
        <w:rPr>
          <w:sz w:val="20"/>
        </w:rPr>
        <w:t>sin</w:t>
      </w:r>
      <w:r>
        <w:rPr>
          <w:spacing w:val="-6"/>
          <w:sz w:val="20"/>
        </w:rPr>
        <w:t> </w:t>
      </w:r>
      <w:r>
        <w:rPr>
          <w:spacing w:val="-2"/>
          <w:sz w:val="20"/>
        </w:rPr>
        <w:t>urbanización;</w:t>
      </w:r>
    </w:p>
    <w:p>
      <w:pPr>
        <w:pStyle w:val="BodyText"/>
        <w:spacing w:before="1"/>
      </w:pPr>
    </w:p>
    <w:p>
      <w:pPr>
        <w:pStyle w:val="ListParagraph"/>
        <w:numPr>
          <w:ilvl w:val="0"/>
          <w:numId w:val="3"/>
        </w:numPr>
        <w:tabs>
          <w:tab w:pos="688" w:val="left" w:leader="none"/>
        </w:tabs>
        <w:spacing w:line="240" w:lineRule="auto" w:before="0" w:after="0"/>
        <w:ind w:left="262" w:right="278" w:firstLine="0"/>
        <w:jc w:val="both"/>
        <w:rPr>
          <w:sz w:val="20"/>
        </w:rPr>
      </w:pPr>
      <w:r>
        <w:rPr>
          <w:rFonts w:ascii="Arial" w:hAnsi="Arial"/>
          <w:b/>
          <w:sz w:val="20"/>
        </w:rPr>
        <w:t>Área</w:t>
      </w:r>
      <w:r>
        <w:rPr>
          <w:rFonts w:ascii="Arial" w:hAnsi="Arial"/>
          <w:b/>
          <w:spacing w:val="-2"/>
          <w:sz w:val="20"/>
        </w:rPr>
        <w:t> </w:t>
      </w:r>
      <w:r>
        <w:rPr>
          <w:rFonts w:ascii="Arial" w:hAnsi="Arial"/>
          <w:b/>
          <w:sz w:val="20"/>
        </w:rPr>
        <w:t>común: </w:t>
      </w:r>
      <w:r>
        <w:rPr>
          <w:sz w:val="20"/>
        </w:rPr>
        <w:t>es</w:t>
      </w:r>
      <w:r>
        <w:rPr>
          <w:spacing w:val="-3"/>
          <w:sz w:val="20"/>
        </w:rPr>
        <w:t> </w:t>
      </w:r>
      <w:r>
        <w:rPr>
          <w:sz w:val="20"/>
        </w:rPr>
        <w:t>la</w:t>
      </w:r>
      <w:r>
        <w:rPr>
          <w:spacing w:val="-4"/>
          <w:sz w:val="20"/>
        </w:rPr>
        <w:t> </w:t>
      </w:r>
      <w:r>
        <w:rPr>
          <w:sz w:val="20"/>
        </w:rPr>
        <w:t>propiedad</w:t>
      </w:r>
      <w:r>
        <w:rPr>
          <w:spacing w:val="-5"/>
          <w:sz w:val="20"/>
        </w:rPr>
        <w:t> </w:t>
      </w:r>
      <w:r>
        <w:rPr>
          <w:sz w:val="20"/>
        </w:rPr>
        <w:t>común</w:t>
      </w:r>
      <w:r>
        <w:rPr>
          <w:spacing w:val="-2"/>
          <w:sz w:val="20"/>
        </w:rPr>
        <w:t> </w:t>
      </w:r>
      <w:r>
        <w:rPr>
          <w:sz w:val="20"/>
        </w:rPr>
        <w:t>de</w:t>
      </w:r>
      <w:r>
        <w:rPr>
          <w:spacing w:val="-2"/>
          <w:sz w:val="20"/>
        </w:rPr>
        <w:t> </w:t>
      </w:r>
      <w:r>
        <w:rPr>
          <w:sz w:val="20"/>
        </w:rPr>
        <w:t>los</w:t>
      </w:r>
      <w:r>
        <w:rPr>
          <w:spacing w:val="-3"/>
          <w:sz w:val="20"/>
        </w:rPr>
        <w:t> </w:t>
      </w:r>
      <w:r>
        <w:rPr>
          <w:sz w:val="20"/>
        </w:rPr>
        <w:t>condóminos</w:t>
      </w:r>
      <w:r>
        <w:rPr>
          <w:spacing w:val="-3"/>
          <w:sz w:val="20"/>
        </w:rPr>
        <w:t> </w:t>
      </w:r>
      <w:r>
        <w:rPr>
          <w:sz w:val="20"/>
        </w:rPr>
        <w:t>colindantes,</w:t>
      </w:r>
      <w:r>
        <w:rPr>
          <w:spacing w:val="-2"/>
          <w:sz w:val="20"/>
        </w:rPr>
        <w:t> </w:t>
      </w:r>
      <w:r>
        <w:rPr>
          <w:sz w:val="20"/>
        </w:rPr>
        <w:t>como</w:t>
      </w:r>
      <w:r>
        <w:rPr>
          <w:spacing w:val="-4"/>
          <w:sz w:val="20"/>
        </w:rPr>
        <w:t> </w:t>
      </w:r>
      <w:r>
        <w:rPr>
          <w:sz w:val="20"/>
        </w:rPr>
        <w:t>son</w:t>
      </w:r>
      <w:r>
        <w:rPr>
          <w:spacing w:val="-2"/>
          <w:sz w:val="20"/>
        </w:rPr>
        <w:t> </w:t>
      </w:r>
      <w:r>
        <w:rPr>
          <w:sz w:val="20"/>
        </w:rPr>
        <w:t>los</w:t>
      </w:r>
      <w:r>
        <w:rPr>
          <w:spacing w:val="-3"/>
          <w:sz w:val="20"/>
        </w:rPr>
        <w:t> </w:t>
      </w:r>
      <w:r>
        <w:rPr>
          <w:sz w:val="20"/>
        </w:rPr>
        <w:t>pasillos</w:t>
      </w:r>
      <w:r>
        <w:rPr>
          <w:spacing w:val="-3"/>
          <w:sz w:val="20"/>
        </w:rPr>
        <w:t> </w:t>
      </w:r>
      <w:r>
        <w:rPr>
          <w:sz w:val="20"/>
        </w:rPr>
        <w:t>de las casas, las privadas y vialidades de circulación, así como las áreas verdes y recreativas y las demás</w:t>
      </w:r>
      <w:r>
        <w:rPr>
          <w:spacing w:val="-10"/>
          <w:sz w:val="20"/>
        </w:rPr>
        <w:t> </w:t>
      </w:r>
      <w:r>
        <w:rPr>
          <w:sz w:val="20"/>
        </w:rPr>
        <w:t>que</w:t>
      </w:r>
      <w:r>
        <w:rPr>
          <w:spacing w:val="-14"/>
          <w:sz w:val="20"/>
        </w:rPr>
        <w:t> </w:t>
      </w:r>
      <w:r>
        <w:rPr>
          <w:sz w:val="20"/>
        </w:rPr>
        <w:t>se</w:t>
      </w:r>
      <w:r>
        <w:rPr>
          <w:spacing w:val="-12"/>
          <w:sz w:val="20"/>
        </w:rPr>
        <w:t> </w:t>
      </w:r>
      <w:r>
        <w:rPr>
          <w:sz w:val="20"/>
        </w:rPr>
        <w:t>establezcan</w:t>
      </w:r>
      <w:r>
        <w:rPr>
          <w:spacing w:val="-11"/>
          <w:sz w:val="20"/>
        </w:rPr>
        <w:t> </w:t>
      </w:r>
      <w:r>
        <w:rPr>
          <w:sz w:val="20"/>
        </w:rPr>
        <w:t>en</w:t>
      </w:r>
      <w:r>
        <w:rPr>
          <w:spacing w:val="-12"/>
          <w:sz w:val="20"/>
        </w:rPr>
        <w:t> </w:t>
      </w:r>
      <w:r>
        <w:rPr>
          <w:sz w:val="20"/>
        </w:rPr>
        <w:t>el</w:t>
      </w:r>
      <w:r>
        <w:rPr>
          <w:spacing w:val="-13"/>
          <w:sz w:val="20"/>
        </w:rPr>
        <w:t> </w:t>
      </w:r>
      <w:r>
        <w:rPr>
          <w:sz w:val="20"/>
        </w:rPr>
        <w:t>régimen</w:t>
      </w:r>
      <w:r>
        <w:rPr>
          <w:spacing w:val="-11"/>
          <w:sz w:val="20"/>
        </w:rPr>
        <w:t> </w:t>
      </w:r>
      <w:r>
        <w:rPr>
          <w:sz w:val="20"/>
        </w:rPr>
        <w:t>de</w:t>
      </w:r>
      <w:r>
        <w:rPr>
          <w:spacing w:val="-12"/>
          <w:sz w:val="20"/>
        </w:rPr>
        <w:t> </w:t>
      </w:r>
      <w:r>
        <w:rPr>
          <w:sz w:val="20"/>
        </w:rPr>
        <w:t>propiedad</w:t>
      </w:r>
      <w:r>
        <w:rPr>
          <w:spacing w:val="-10"/>
          <w:sz w:val="20"/>
        </w:rPr>
        <w:t> </w:t>
      </w:r>
      <w:r>
        <w:rPr>
          <w:sz w:val="20"/>
        </w:rPr>
        <w:t>en</w:t>
      </w:r>
      <w:r>
        <w:rPr>
          <w:spacing w:val="-14"/>
          <w:sz w:val="20"/>
        </w:rPr>
        <w:t> </w:t>
      </w:r>
      <w:r>
        <w:rPr>
          <w:sz w:val="20"/>
        </w:rPr>
        <w:t>condominio,</w:t>
      </w:r>
      <w:r>
        <w:rPr>
          <w:spacing w:val="-14"/>
          <w:sz w:val="20"/>
        </w:rPr>
        <w:t> </w:t>
      </w:r>
      <w:r>
        <w:rPr>
          <w:sz w:val="20"/>
        </w:rPr>
        <w:t>y</w:t>
      </w:r>
      <w:r>
        <w:rPr>
          <w:spacing w:val="-10"/>
          <w:sz w:val="20"/>
        </w:rPr>
        <w:t> </w:t>
      </w:r>
      <w:r>
        <w:rPr>
          <w:sz w:val="20"/>
        </w:rPr>
        <w:t>que</w:t>
      </w:r>
      <w:r>
        <w:rPr>
          <w:spacing w:val="-12"/>
          <w:sz w:val="20"/>
        </w:rPr>
        <w:t> </w:t>
      </w:r>
      <w:r>
        <w:rPr>
          <w:sz w:val="20"/>
        </w:rPr>
        <w:t>pertenecen</w:t>
      </w:r>
      <w:r>
        <w:rPr>
          <w:spacing w:val="-12"/>
          <w:sz w:val="20"/>
        </w:rPr>
        <w:t> </w:t>
      </w:r>
      <w:r>
        <w:rPr>
          <w:sz w:val="20"/>
        </w:rPr>
        <w:t>pro</w:t>
      </w:r>
      <w:r>
        <w:rPr>
          <w:spacing w:val="-11"/>
          <w:sz w:val="20"/>
        </w:rPr>
        <w:t> </w:t>
      </w:r>
      <w:r>
        <w:rPr>
          <w:sz w:val="20"/>
        </w:rPr>
        <w:t>indiviso a los condóminos;</w:t>
      </w:r>
    </w:p>
    <w:p>
      <w:pPr>
        <w:pStyle w:val="BodyText"/>
      </w:pPr>
    </w:p>
    <w:p>
      <w:pPr>
        <w:pStyle w:val="ListParagraph"/>
        <w:numPr>
          <w:ilvl w:val="0"/>
          <w:numId w:val="3"/>
        </w:numPr>
        <w:tabs>
          <w:tab w:pos="827" w:val="left" w:leader="none"/>
        </w:tabs>
        <w:spacing w:line="240" w:lineRule="auto" w:before="0" w:after="0"/>
        <w:ind w:left="262" w:right="286" w:firstLine="0"/>
        <w:jc w:val="both"/>
        <w:rPr>
          <w:sz w:val="20"/>
        </w:rPr>
      </w:pPr>
      <w:r>
        <w:rPr>
          <w:rFonts w:ascii="Arial" w:hAnsi="Arial"/>
          <w:b/>
          <w:sz w:val="20"/>
        </w:rPr>
        <w:t>Área de donación: </w:t>
      </w:r>
      <w:r>
        <w:rPr>
          <w:sz w:val="20"/>
        </w:rPr>
        <w:t>es la superficie de terreno que los fraccionadores deberán donar a título gratuito al Ayuntamiento, en términos de lo previsto en esta Ley, y en los programas de desarrollo urbano vigentes, para a áreas verdes y equipamiento;</w:t>
      </w:r>
    </w:p>
    <w:p>
      <w:pPr>
        <w:pStyle w:val="ListParagraph"/>
        <w:numPr>
          <w:ilvl w:val="0"/>
          <w:numId w:val="3"/>
        </w:numPr>
        <w:tabs>
          <w:tab w:pos="827" w:val="left" w:leader="none"/>
        </w:tabs>
        <w:spacing w:line="240" w:lineRule="auto" w:before="229" w:after="0"/>
        <w:ind w:left="262" w:right="284" w:firstLine="0"/>
        <w:jc w:val="both"/>
        <w:rPr>
          <w:sz w:val="20"/>
        </w:rPr>
      </w:pPr>
      <w:r>
        <w:rPr>
          <w:rFonts w:ascii="Arial" w:hAnsi="Arial"/>
          <w:b/>
          <w:sz w:val="20"/>
        </w:rPr>
        <w:t>Áreas de restricción: </w:t>
      </w:r>
      <w:r>
        <w:rPr>
          <w:sz w:val="20"/>
        </w:rPr>
        <w:t>las áreas que por razones de seguridad o requerimiento de infraestructura</w:t>
      </w:r>
      <w:r>
        <w:rPr>
          <w:spacing w:val="-2"/>
          <w:sz w:val="20"/>
        </w:rPr>
        <w:t> </w:t>
      </w:r>
      <w:r>
        <w:rPr>
          <w:sz w:val="20"/>
        </w:rPr>
        <w:t>y</w:t>
      </w:r>
      <w:r>
        <w:rPr>
          <w:spacing w:val="-1"/>
          <w:sz w:val="20"/>
        </w:rPr>
        <w:t> </w:t>
      </w:r>
      <w:r>
        <w:rPr>
          <w:sz w:val="20"/>
        </w:rPr>
        <w:t>servicios</w:t>
      </w:r>
      <w:r>
        <w:rPr>
          <w:spacing w:val="-1"/>
          <w:sz w:val="20"/>
        </w:rPr>
        <w:t> </w:t>
      </w:r>
      <w:r>
        <w:rPr>
          <w:sz w:val="20"/>
        </w:rPr>
        <w:t>está</w:t>
      </w:r>
      <w:r>
        <w:rPr>
          <w:spacing w:val="-3"/>
          <w:sz w:val="20"/>
        </w:rPr>
        <w:t> </w:t>
      </w:r>
      <w:r>
        <w:rPr>
          <w:sz w:val="20"/>
        </w:rPr>
        <w:t>condicionada a usos</w:t>
      </w:r>
      <w:r>
        <w:rPr>
          <w:spacing w:val="-1"/>
          <w:sz w:val="20"/>
        </w:rPr>
        <w:t> </w:t>
      </w:r>
      <w:r>
        <w:rPr>
          <w:sz w:val="20"/>
        </w:rPr>
        <w:t>y</w:t>
      </w:r>
      <w:r>
        <w:rPr>
          <w:spacing w:val="-1"/>
          <w:sz w:val="20"/>
        </w:rPr>
        <w:t> </w:t>
      </w:r>
      <w:r>
        <w:rPr>
          <w:sz w:val="20"/>
        </w:rPr>
        <w:t>giros</w:t>
      </w:r>
      <w:r>
        <w:rPr>
          <w:spacing w:val="-1"/>
          <w:sz w:val="20"/>
        </w:rPr>
        <w:t> </w:t>
      </w:r>
      <w:r>
        <w:rPr>
          <w:sz w:val="20"/>
        </w:rPr>
        <w:t>diferentes</w:t>
      </w:r>
      <w:r>
        <w:rPr>
          <w:spacing w:val="-1"/>
          <w:sz w:val="20"/>
        </w:rPr>
        <w:t> </w:t>
      </w:r>
      <w:r>
        <w:rPr>
          <w:sz w:val="20"/>
        </w:rPr>
        <w:t>a las</w:t>
      </w:r>
      <w:r>
        <w:rPr>
          <w:spacing w:val="-1"/>
          <w:sz w:val="20"/>
        </w:rPr>
        <w:t> </w:t>
      </w:r>
      <w:r>
        <w:rPr>
          <w:sz w:val="20"/>
        </w:rPr>
        <w:t>áreas que la</w:t>
      </w:r>
      <w:r>
        <w:rPr>
          <w:spacing w:val="-2"/>
          <w:sz w:val="20"/>
        </w:rPr>
        <w:t> </w:t>
      </w:r>
      <w:r>
        <w:rPr>
          <w:sz w:val="20"/>
        </w:rPr>
        <w:t>circundan;</w:t>
      </w:r>
    </w:p>
    <w:p>
      <w:pPr>
        <w:pStyle w:val="BodyText"/>
        <w:spacing w:before="1"/>
      </w:pPr>
    </w:p>
    <w:p>
      <w:pPr>
        <w:pStyle w:val="ListParagraph"/>
        <w:numPr>
          <w:ilvl w:val="0"/>
          <w:numId w:val="3"/>
        </w:numPr>
        <w:tabs>
          <w:tab w:pos="827" w:val="left" w:leader="none"/>
        </w:tabs>
        <w:spacing w:line="240" w:lineRule="auto" w:before="1" w:after="0"/>
        <w:ind w:left="262" w:right="274" w:firstLine="0"/>
        <w:jc w:val="both"/>
        <w:rPr>
          <w:sz w:val="20"/>
        </w:rPr>
      </w:pPr>
      <w:r>
        <w:rPr>
          <w:rFonts w:ascii="Arial" w:hAnsi="Arial"/>
          <w:b/>
          <w:sz w:val="20"/>
        </w:rPr>
        <w:t>Áreas no urbanizables: </w:t>
      </w:r>
      <w:r>
        <w:rPr>
          <w:sz w:val="20"/>
        </w:rPr>
        <w:t>son aquellas que se excluyen del desarrollo urbano por contener elementos constitutivos del equilibrio ecológico o para la prevención de riesgos; tierras de alto o mediano rendimiento agrícola o pecuario, bosques y demás recursos naturales en explotación o susceptibles de serlo; zonas arqueológicas y demás bienes del patrimonio histórico, artístico y cultural, así como, en general, las no aptas para su urbanización;</w:t>
      </w:r>
    </w:p>
    <w:p>
      <w:pPr>
        <w:pStyle w:val="BodyText"/>
      </w:pPr>
    </w:p>
    <w:p>
      <w:pPr>
        <w:pStyle w:val="ListParagraph"/>
        <w:numPr>
          <w:ilvl w:val="0"/>
          <w:numId w:val="3"/>
        </w:numPr>
        <w:tabs>
          <w:tab w:pos="688" w:val="left" w:leader="none"/>
        </w:tabs>
        <w:spacing w:line="240" w:lineRule="auto" w:before="0" w:after="0"/>
        <w:ind w:left="262" w:right="288" w:firstLine="0"/>
        <w:jc w:val="both"/>
        <w:rPr>
          <w:sz w:val="20"/>
        </w:rPr>
      </w:pPr>
      <w:r>
        <w:rPr>
          <w:rFonts w:ascii="Arial" w:hAnsi="Arial"/>
          <w:b/>
          <w:sz w:val="20"/>
        </w:rPr>
        <w:t>Áreas urbanas: </w:t>
      </w:r>
      <w:r>
        <w:rPr>
          <w:sz w:val="20"/>
        </w:rPr>
        <w:t>son aquellas que cuentan con los servicios de agua potable, drenaje, y alumbrado público, cuando menos;</w:t>
      </w:r>
    </w:p>
    <w:p>
      <w:pPr>
        <w:pStyle w:val="ListParagraph"/>
        <w:numPr>
          <w:ilvl w:val="0"/>
          <w:numId w:val="3"/>
        </w:numPr>
        <w:tabs>
          <w:tab w:pos="688" w:val="left" w:leader="none"/>
        </w:tabs>
        <w:spacing w:line="240" w:lineRule="auto" w:before="229" w:after="0"/>
        <w:ind w:left="262" w:right="285" w:firstLine="0"/>
        <w:jc w:val="both"/>
        <w:rPr>
          <w:sz w:val="20"/>
        </w:rPr>
      </w:pPr>
      <w:r>
        <w:rPr>
          <w:rFonts w:ascii="Arial" w:hAnsi="Arial"/>
          <w:b/>
          <w:sz w:val="20"/>
        </w:rPr>
        <w:t>Áreas urbanizables: </w:t>
      </w:r>
      <w:r>
        <w:rPr>
          <w:sz w:val="20"/>
        </w:rPr>
        <w:t>son aquellas que, por reunir condiciones para ser dotadas de servicios, se</w:t>
      </w:r>
      <w:r>
        <w:rPr>
          <w:spacing w:val="-4"/>
          <w:sz w:val="20"/>
        </w:rPr>
        <w:t> </w:t>
      </w:r>
      <w:r>
        <w:rPr>
          <w:sz w:val="20"/>
        </w:rPr>
        <w:t>reservan</w:t>
      </w:r>
      <w:r>
        <w:rPr>
          <w:spacing w:val="-5"/>
          <w:sz w:val="20"/>
        </w:rPr>
        <w:t> </w:t>
      </w:r>
      <w:r>
        <w:rPr>
          <w:sz w:val="20"/>
        </w:rPr>
        <w:t>para</w:t>
      </w:r>
      <w:r>
        <w:rPr>
          <w:spacing w:val="-4"/>
          <w:sz w:val="20"/>
        </w:rPr>
        <w:t> </w:t>
      </w:r>
      <w:r>
        <w:rPr>
          <w:sz w:val="20"/>
        </w:rPr>
        <w:t>el</w:t>
      </w:r>
      <w:r>
        <w:rPr>
          <w:spacing w:val="-5"/>
          <w:sz w:val="20"/>
        </w:rPr>
        <w:t> </w:t>
      </w:r>
      <w:r>
        <w:rPr>
          <w:sz w:val="20"/>
        </w:rPr>
        <w:t>futuro</w:t>
      </w:r>
      <w:r>
        <w:rPr>
          <w:spacing w:val="-4"/>
          <w:sz w:val="20"/>
        </w:rPr>
        <w:t> </w:t>
      </w:r>
      <w:r>
        <w:rPr>
          <w:sz w:val="20"/>
        </w:rPr>
        <w:t>crecimiento</w:t>
      </w:r>
      <w:r>
        <w:rPr>
          <w:spacing w:val="-2"/>
          <w:sz w:val="20"/>
        </w:rPr>
        <w:t> </w:t>
      </w:r>
      <w:r>
        <w:rPr>
          <w:sz w:val="20"/>
        </w:rPr>
        <w:t>de</w:t>
      </w:r>
      <w:r>
        <w:rPr>
          <w:spacing w:val="-2"/>
          <w:sz w:val="20"/>
        </w:rPr>
        <w:t> </w:t>
      </w:r>
      <w:r>
        <w:rPr>
          <w:sz w:val="20"/>
        </w:rPr>
        <w:t>los</w:t>
      </w:r>
      <w:r>
        <w:rPr>
          <w:spacing w:val="-3"/>
          <w:sz w:val="20"/>
        </w:rPr>
        <w:t> </w:t>
      </w:r>
      <w:r>
        <w:rPr>
          <w:sz w:val="20"/>
        </w:rPr>
        <w:t>centros</w:t>
      </w:r>
      <w:r>
        <w:rPr>
          <w:spacing w:val="-3"/>
          <w:sz w:val="20"/>
        </w:rPr>
        <w:t> </w:t>
      </w:r>
      <w:r>
        <w:rPr>
          <w:sz w:val="20"/>
        </w:rPr>
        <w:t>de</w:t>
      </w:r>
      <w:r>
        <w:rPr>
          <w:spacing w:val="-4"/>
          <w:sz w:val="20"/>
        </w:rPr>
        <w:t> </w:t>
      </w:r>
      <w:r>
        <w:rPr>
          <w:sz w:val="20"/>
        </w:rPr>
        <w:t>población</w:t>
      </w:r>
      <w:r>
        <w:rPr>
          <w:spacing w:val="-2"/>
          <w:sz w:val="20"/>
        </w:rPr>
        <w:t> </w:t>
      </w:r>
      <w:r>
        <w:rPr>
          <w:sz w:val="20"/>
        </w:rPr>
        <w:t>o</w:t>
      </w:r>
      <w:r>
        <w:rPr>
          <w:spacing w:val="-5"/>
          <w:sz w:val="20"/>
        </w:rPr>
        <w:t> </w:t>
      </w:r>
      <w:r>
        <w:rPr>
          <w:sz w:val="20"/>
        </w:rPr>
        <w:t>se</w:t>
      </w:r>
      <w:r>
        <w:rPr>
          <w:spacing w:val="-2"/>
          <w:sz w:val="20"/>
        </w:rPr>
        <w:t> </w:t>
      </w:r>
      <w:r>
        <w:rPr>
          <w:sz w:val="20"/>
        </w:rPr>
        <w:t>prevén</w:t>
      </w:r>
      <w:r>
        <w:rPr>
          <w:spacing w:val="-3"/>
          <w:sz w:val="20"/>
        </w:rPr>
        <w:t> </w:t>
      </w:r>
      <w:r>
        <w:rPr>
          <w:sz w:val="20"/>
        </w:rPr>
        <w:t>para</w:t>
      </w:r>
      <w:r>
        <w:rPr>
          <w:spacing w:val="-4"/>
          <w:sz w:val="20"/>
        </w:rPr>
        <w:t> </w:t>
      </w:r>
      <w:r>
        <w:rPr>
          <w:sz w:val="20"/>
        </w:rPr>
        <w:t>la</w:t>
      </w:r>
      <w:r>
        <w:rPr>
          <w:spacing w:val="-2"/>
          <w:sz w:val="20"/>
        </w:rPr>
        <w:t> </w:t>
      </w:r>
      <w:r>
        <w:rPr>
          <w:sz w:val="20"/>
        </w:rPr>
        <w:t>fundación</w:t>
      </w:r>
      <w:r>
        <w:rPr>
          <w:spacing w:val="-4"/>
          <w:sz w:val="20"/>
        </w:rPr>
        <w:t> </w:t>
      </w:r>
      <w:r>
        <w:rPr>
          <w:sz w:val="20"/>
        </w:rPr>
        <w:t>de nuevos asentamientos humanos, según se establezca en programas de desarrollo urbano;</w:t>
      </w:r>
    </w:p>
    <w:p>
      <w:pPr>
        <w:pStyle w:val="ListParagraph"/>
        <w:numPr>
          <w:ilvl w:val="0"/>
          <w:numId w:val="3"/>
        </w:numPr>
        <w:tabs>
          <w:tab w:pos="688" w:val="left" w:leader="none"/>
        </w:tabs>
        <w:spacing w:line="240" w:lineRule="auto" w:before="229" w:after="0"/>
        <w:ind w:left="262" w:right="276" w:firstLine="0"/>
        <w:jc w:val="both"/>
        <w:rPr>
          <w:sz w:val="20"/>
        </w:rPr>
      </w:pPr>
      <w:r>
        <w:rPr>
          <w:rFonts w:ascii="Arial" w:hAnsi="Arial"/>
          <w:b/>
          <w:sz w:val="20"/>
        </w:rPr>
        <w:t>Área verde: </w:t>
      </w:r>
      <w:r>
        <w:rPr>
          <w:sz w:val="20"/>
        </w:rPr>
        <w:t>superficie predominantemente ocupada con árboles, arbustos o plantas y otros elementos complementarios, que pueden tener diferentes usos, ya sea cumplir funciones de esparcimiento,</w:t>
      </w:r>
      <w:r>
        <w:rPr>
          <w:spacing w:val="-4"/>
          <w:sz w:val="20"/>
        </w:rPr>
        <w:t> </w:t>
      </w:r>
      <w:r>
        <w:rPr>
          <w:sz w:val="20"/>
        </w:rPr>
        <w:t>recreación,</w:t>
      </w:r>
      <w:r>
        <w:rPr>
          <w:spacing w:val="-2"/>
          <w:sz w:val="20"/>
        </w:rPr>
        <w:t> </w:t>
      </w:r>
      <w:r>
        <w:rPr>
          <w:sz w:val="20"/>
        </w:rPr>
        <w:t>ecológicas,</w:t>
      </w:r>
      <w:r>
        <w:rPr>
          <w:spacing w:val="-1"/>
          <w:sz w:val="20"/>
        </w:rPr>
        <w:t> </w:t>
      </w:r>
      <w:r>
        <w:rPr>
          <w:sz w:val="20"/>
        </w:rPr>
        <w:t>ornamentación,</w:t>
      </w:r>
      <w:r>
        <w:rPr>
          <w:spacing w:val="-2"/>
          <w:sz w:val="20"/>
        </w:rPr>
        <w:t> </w:t>
      </w:r>
      <w:r>
        <w:rPr>
          <w:sz w:val="20"/>
        </w:rPr>
        <w:t>protección,</w:t>
      </w:r>
      <w:r>
        <w:rPr>
          <w:spacing w:val="-2"/>
          <w:sz w:val="20"/>
        </w:rPr>
        <w:t> </w:t>
      </w:r>
      <w:r>
        <w:rPr>
          <w:sz w:val="20"/>
        </w:rPr>
        <w:t>recuperación</w:t>
      </w:r>
      <w:r>
        <w:rPr>
          <w:spacing w:val="-2"/>
          <w:sz w:val="20"/>
        </w:rPr>
        <w:t> </w:t>
      </w:r>
      <w:r>
        <w:rPr>
          <w:sz w:val="20"/>
        </w:rPr>
        <w:t>y rehabilitación</w:t>
      </w:r>
      <w:r>
        <w:rPr>
          <w:spacing w:val="-4"/>
          <w:sz w:val="20"/>
        </w:rPr>
        <w:t> </w:t>
      </w:r>
      <w:r>
        <w:rPr>
          <w:sz w:val="20"/>
        </w:rPr>
        <w:t>del entorno, destinada preferentemente al esparcimiento o circulación peatonal;</w:t>
      </w:r>
    </w:p>
    <w:p>
      <w:pPr>
        <w:pStyle w:val="BodyText"/>
      </w:pPr>
    </w:p>
    <w:p>
      <w:pPr>
        <w:pStyle w:val="ListParagraph"/>
        <w:numPr>
          <w:ilvl w:val="0"/>
          <w:numId w:val="3"/>
        </w:numPr>
        <w:tabs>
          <w:tab w:pos="827" w:val="left" w:leader="none"/>
        </w:tabs>
        <w:spacing w:line="240" w:lineRule="auto" w:before="0" w:after="0"/>
        <w:ind w:left="262" w:right="281" w:firstLine="0"/>
        <w:jc w:val="both"/>
        <w:rPr>
          <w:sz w:val="20"/>
        </w:rPr>
      </w:pPr>
      <w:r>
        <w:rPr>
          <w:rFonts w:ascii="Arial" w:hAnsi="Arial"/>
          <w:b/>
          <w:sz w:val="20"/>
        </w:rPr>
        <w:t>Áreas</w:t>
      </w:r>
      <w:r>
        <w:rPr>
          <w:rFonts w:ascii="Arial" w:hAnsi="Arial"/>
          <w:b/>
          <w:spacing w:val="-10"/>
          <w:sz w:val="20"/>
        </w:rPr>
        <w:t> </w:t>
      </w:r>
      <w:r>
        <w:rPr>
          <w:rFonts w:ascii="Arial" w:hAnsi="Arial"/>
          <w:b/>
          <w:sz w:val="20"/>
        </w:rPr>
        <w:t>y</w:t>
      </w:r>
      <w:r>
        <w:rPr>
          <w:rFonts w:ascii="Arial" w:hAnsi="Arial"/>
          <w:b/>
          <w:spacing w:val="-10"/>
          <w:sz w:val="20"/>
        </w:rPr>
        <w:t> </w:t>
      </w:r>
      <w:r>
        <w:rPr>
          <w:rFonts w:ascii="Arial" w:hAnsi="Arial"/>
          <w:b/>
          <w:sz w:val="20"/>
        </w:rPr>
        <w:t>predios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conservación</w:t>
      </w:r>
      <w:r>
        <w:rPr>
          <w:rFonts w:ascii="Arial" w:hAnsi="Arial"/>
          <w:b/>
          <w:spacing w:val="-9"/>
          <w:sz w:val="20"/>
        </w:rPr>
        <w:t> </w:t>
      </w:r>
      <w:r>
        <w:rPr>
          <w:rFonts w:ascii="Arial" w:hAnsi="Arial"/>
          <w:b/>
          <w:sz w:val="20"/>
        </w:rPr>
        <w:t>ecológica:</w:t>
      </w:r>
      <w:r>
        <w:rPr>
          <w:rFonts w:ascii="Arial" w:hAnsi="Arial"/>
          <w:b/>
          <w:spacing w:val="-6"/>
          <w:sz w:val="20"/>
        </w:rPr>
        <w:t> </w:t>
      </w:r>
      <w:r>
        <w:rPr>
          <w:sz w:val="20"/>
        </w:rPr>
        <w:t>son</w:t>
      </w:r>
      <w:r>
        <w:rPr>
          <w:spacing w:val="-10"/>
          <w:sz w:val="20"/>
        </w:rPr>
        <w:t> </w:t>
      </w:r>
      <w:r>
        <w:rPr>
          <w:sz w:val="20"/>
        </w:rPr>
        <w:t>aquellas</w:t>
      </w:r>
      <w:r>
        <w:rPr>
          <w:spacing w:val="-9"/>
          <w:sz w:val="20"/>
        </w:rPr>
        <w:t> </w:t>
      </w:r>
      <w:r>
        <w:rPr>
          <w:sz w:val="20"/>
        </w:rPr>
        <w:t>tierras,</w:t>
      </w:r>
      <w:r>
        <w:rPr>
          <w:spacing w:val="-10"/>
          <w:sz w:val="20"/>
        </w:rPr>
        <w:t> </w:t>
      </w:r>
      <w:r>
        <w:rPr>
          <w:sz w:val="20"/>
        </w:rPr>
        <w:t>aguas</w:t>
      </w:r>
      <w:r>
        <w:rPr>
          <w:spacing w:val="-9"/>
          <w:sz w:val="20"/>
        </w:rPr>
        <w:t> </w:t>
      </w:r>
      <w:r>
        <w:rPr>
          <w:sz w:val="20"/>
        </w:rPr>
        <w:t>y</w:t>
      </w:r>
      <w:r>
        <w:rPr>
          <w:spacing w:val="-9"/>
          <w:sz w:val="20"/>
        </w:rPr>
        <w:t> </w:t>
      </w:r>
      <w:r>
        <w:rPr>
          <w:sz w:val="20"/>
        </w:rPr>
        <w:t>bosques</w:t>
      </w:r>
      <w:r>
        <w:rPr>
          <w:spacing w:val="-9"/>
          <w:sz w:val="20"/>
        </w:rPr>
        <w:t> </w:t>
      </w:r>
      <w:r>
        <w:rPr>
          <w:sz w:val="20"/>
        </w:rPr>
        <w:t>que</w:t>
      </w:r>
      <w:r>
        <w:rPr>
          <w:spacing w:val="-10"/>
          <w:sz w:val="20"/>
        </w:rPr>
        <w:t> </w:t>
      </w:r>
      <w:r>
        <w:rPr>
          <w:sz w:val="20"/>
        </w:rPr>
        <w:t>por sus características de valor científico, ambiental o paisajístico deben de ser conservadas;</w:t>
      </w:r>
    </w:p>
    <w:p>
      <w:pPr>
        <w:pStyle w:val="BodyText"/>
        <w:spacing w:before="1"/>
      </w:pPr>
    </w:p>
    <w:p>
      <w:pPr>
        <w:pStyle w:val="ListParagraph"/>
        <w:numPr>
          <w:ilvl w:val="0"/>
          <w:numId w:val="3"/>
        </w:numPr>
        <w:tabs>
          <w:tab w:pos="827" w:val="left" w:leader="none"/>
        </w:tabs>
        <w:spacing w:line="240" w:lineRule="auto" w:before="0" w:after="0"/>
        <w:ind w:left="262" w:right="284" w:firstLine="0"/>
        <w:jc w:val="both"/>
        <w:rPr>
          <w:sz w:val="20"/>
        </w:rPr>
      </w:pPr>
      <w:r>
        <w:rPr>
          <w:rFonts w:ascii="Arial" w:hAnsi="Arial"/>
          <w:b/>
          <w:sz w:val="20"/>
        </w:rPr>
        <w:t>Asentamiento humano: </w:t>
      </w:r>
      <w:r>
        <w:rPr>
          <w:sz w:val="20"/>
        </w:rPr>
        <w:t>establecimiento de un conglomerado demográfico, con el conjunto de</w:t>
      </w:r>
      <w:r>
        <w:rPr>
          <w:spacing w:val="-14"/>
          <w:sz w:val="20"/>
        </w:rPr>
        <w:t> </w:t>
      </w:r>
      <w:r>
        <w:rPr>
          <w:sz w:val="20"/>
        </w:rPr>
        <w:t>sus</w:t>
      </w:r>
      <w:r>
        <w:rPr>
          <w:spacing w:val="-14"/>
          <w:sz w:val="20"/>
        </w:rPr>
        <w:t> </w:t>
      </w:r>
      <w:r>
        <w:rPr>
          <w:sz w:val="20"/>
        </w:rPr>
        <w:t>sistemas</w:t>
      </w:r>
      <w:r>
        <w:rPr>
          <w:spacing w:val="-14"/>
          <w:sz w:val="20"/>
        </w:rPr>
        <w:t> </w:t>
      </w:r>
      <w:r>
        <w:rPr>
          <w:sz w:val="20"/>
        </w:rPr>
        <w:t>de</w:t>
      </w:r>
      <w:r>
        <w:rPr>
          <w:spacing w:val="-14"/>
          <w:sz w:val="20"/>
        </w:rPr>
        <w:t> </w:t>
      </w:r>
      <w:r>
        <w:rPr>
          <w:sz w:val="20"/>
        </w:rPr>
        <w:t>convivencia,</w:t>
      </w:r>
      <w:r>
        <w:rPr>
          <w:spacing w:val="-14"/>
          <w:sz w:val="20"/>
        </w:rPr>
        <w:t> </w:t>
      </w:r>
      <w:r>
        <w:rPr>
          <w:sz w:val="20"/>
        </w:rPr>
        <w:t>en</w:t>
      </w:r>
      <w:r>
        <w:rPr>
          <w:spacing w:val="-14"/>
          <w:sz w:val="20"/>
        </w:rPr>
        <w:t> </w:t>
      </w:r>
      <w:r>
        <w:rPr>
          <w:sz w:val="20"/>
        </w:rPr>
        <w:t>un</w:t>
      </w:r>
      <w:r>
        <w:rPr>
          <w:spacing w:val="-14"/>
          <w:sz w:val="20"/>
        </w:rPr>
        <w:t> </w:t>
      </w:r>
      <w:r>
        <w:rPr>
          <w:sz w:val="20"/>
        </w:rPr>
        <w:t>área</w:t>
      </w:r>
      <w:r>
        <w:rPr>
          <w:spacing w:val="-14"/>
          <w:sz w:val="20"/>
        </w:rPr>
        <w:t> </w:t>
      </w:r>
      <w:r>
        <w:rPr>
          <w:sz w:val="20"/>
        </w:rPr>
        <w:t>físicamente</w:t>
      </w:r>
      <w:r>
        <w:rPr>
          <w:spacing w:val="-14"/>
          <w:sz w:val="20"/>
        </w:rPr>
        <w:t> </w:t>
      </w:r>
      <w:r>
        <w:rPr>
          <w:sz w:val="20"/>
        </w:rPr>
        <w:t>localizada,</w:t>
      </w:r>
      <w:r>
        <w:rPr>
          <w:spacing w:val="-14"/>
          <w:sz w:val="20"/>
        </w:rPr>
        <w:t> </w:t>
      </w:r>
      <w:r>
        <w:rPr>
          <w:sz w:val="20"/>
        </w:rPr>
        <w:t>considerando</w:t>
      </w:r>
      <w:r>
        <w:rPr>
          <w:spacing w:val="-13"/>
          <w:sz w:val="20"/>
        </w:rPr>
        <w:t> </w:t>
      </w:r>
      <w:r>
        <w:rPr>
          <w:sz w:val="20"/>
        </w:rPr>
        <w:t>dentro</w:t>
      </w:r>
      <w:r>
        <w:rPr>
          <w:spacing w:val="-14"/>
          <w:sz w:val="20"/>
        </w:rPr>
        <w:t> </w:t>
      </w:r>
      <w:r>
        <w:rPr>
          <w:sz w:val="20"/>
        </w:rPr>
        <w:t>de</w:t>
      </w:r>
      <w:r>
        <w:rPr>
          <w:spacing w:val="-14"/>
          <w:sz w:val="20"/>
        </w:rPr>
        <w:t> </w:t>
      </w:r>
      <w:r>
        <w:rPr>
          <w:sz w:val="20"/>
        </w:rPr>
        <w:t>la</w:t>
      </w:r>
      <w:r>
        <w:rPr>
          <w:spacing w:val="-14"/>
          <w:sz w:val="20"/>
        </w:rPr>
        <w:t> </w:t>
      </w:r>
      <w:r>
        <w:rPr>
          <w:sz w:val="20"/>
        </w:rPr>
        <w:t>misma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pPr>
      <w:r>
        <w:rPr/>
        <w:t>los</w:t>
      </w:r>
      <w:r>
        <w:rPr>
          <w:spacing w:val="-7"/>
        </w:rPr>
        <w:t> </w:t>
      </w:r>
      <w:r>
        <w:rPr/>
        <w:t>elementos</w:t>
      </w:r>
      <w:r>
        <w:rPr>
          <w:spacing w:val="-6"/>
        </w:rPr>
        <w:t> </w:t>
      </w:r>
      <w:r>
        <w:rPr/>
        <w:t>naturales</w:t>
      </w:r>
      <w:r>
        <w:rPr>
          <w:spacing w:val="-6"/>
        </w:rPr>
        <w:t> </w:t>
      </w:r>
      <w:r>
        <w:rPr/>
        <w:t>y</w:t>
      </w:r>
      <w:r>
        <w:rPr>
          <w:spacing w:val="-6"/>
        </w:rPr>
        <w:t> </w:t>
      </w:r>
      <w:r>
        <w:rPr/>
        <w:t>las</w:t>
      </w:r>
      <w:r>
        <w:rPr>
          <w:spacing w:val="-6"/>
        </w:rPr>
        <w:t> </w:t>
      </w:r>
      <w:r>
        <w:rPr/>
        <w:t>obras</w:t>
      </w:r>
      <w:r>
        <w:rPr>
          <w:spacing w:val="-6"/>
        </w:rPr>
        <w:t> </w:t>
      </w:r>
      <w:r>
        <w:rPr/>
        <w:t>materiales</w:t>
      </w:r>
      <w:r>
        <w:rPr>
          <w:spacing w:val="-6"/>
        </w:rPr>
        <w:t> </w:t>
      </w:r>
      <w:r>
        <w:rPr/>
        <w:t>que</w:t>
      </w:r>
      <w:r>
        <w:rPr>
          <w:spacing w:val="-5"/>
        </w:rPr>
        <w:t> </w:t>
      </w:r>
      <w:r>
        <w:rPr/>
        <w:t>la</w:t>
      </w:r>
      <w:r>
        <w:rPr>
          <w:spacing w:val="-5"/>
        </w:rPr>
        <w:t> </w:t>
      </w:r>
      <w:r>
        <w:rPr>
          <w:spacing w:val="-2"/>
        </w:rPr>
        <w:t>integran;</w:t>
      </w:r>
    </w:p>
    <w:p>
      <w:pPr>
        <w:pStyle w:val="BodyText"/>
        <w:spacing w:before="1"/>
      </w:pPr>
    </w:p>
    <w:p>
      <w:pPr>
        <w:pStyle w:val="ListParagraph"/>
        <w:numPr>
          <w:ilvl w:val="0"/>
          <w:numId w:val="3"/>
        </w:numPr>
        <w:tabs>
          <w:tab w:pos="828" w:val="left" w:leader="none"/>
        </w:tabs>
        <w:spacing w:line="240" w:lineRule="auto" w:before="0" w:after="0"/>
        <w:ind w:left="262" w:right="279" w:firstLine="0"/>
        <w:jc w:val="both"/>
        <w:rPr>
          <w:sz w:val="20"/>
        </w:rPr>
      </w:pPr>
      <w:r>
        <w:rPr>
          <w:rFonts w:ascii="Arial" w:hAnsi="Arial"/>
          <w:b/>
          <w:sz w:val="20"/>
        </w:rPr>
        <w:t>Asentamiento</w:t>
      </w:r>
      <w:r>
        <w:rPr>
          <w:rFonts w:ascii="Arial" w:hAnsi="Arial"/>
          <w:b/>
          <w:spacing w:val="-10"/>
          <w:sz w:val="20"/>
        </w:rPr>
        <w:t> </w:t>
      </w:r>
      <w:r>
        <w:rPr>
          <w:rFonts w:ascii="Arial" w:hAnsi="Arial"/>
          <w:b/>
          <w:sz w:val="20"/>
        </w:rPr>
        <w:t>humano</w:t>
      </w:r>
      <w:r>
        <w:rPr>
          <w:rFonts w:ascii="Arial" w:hAnsi="Arial"/>
          <w:b/>
          <w:spacing w:val="-10"/>
          <w:sz w:val="20"/>
        </w:rPr>
        <w:t> </w:t>
      </w:r>
      <w:r>
        <w:rPr>
          <w:rFonts w:ascii="Arial" w:hAnsi="Arial"/>
          <w:b/>
          <w:sz w:val="20"/>
        </w:rPr>
        <w:t>irregular:</w:t>
      </w:r>
      <w:r>
        <w:rPr>
          <w:rFonts w:ascii="Arial" w:hAnsi="Arial"/>
          <w:b/>
          <w:spacing w:val="-5"/>
          <w:sz w:val="20"/>
        </w:rPr>
        <w:t> </w:t>
      </w:r>
      <w:r>
        <w:rPr>
          <w:sz w:val="20"/>
        </w:rPr>
        <w:t>la</w:t>
      </w:r>
      <w:r>
        <w:rPr>
          <w:spacing w:val="-10"/>
          <w:sz w:val="20"/>
        </w:rPr>
        <w:t> </w:t>
      </w:r>
      <w:r>
        <w:rPr>
          <w:sz w:val="20"/>
        </w:rPr>
        <w:t>ocupación</w:t>
      </w:r>
      <w:r>
        <w:rPr>
          <w:spacing w:val="-9"/>
          <w:sz w:val="20"/>
        </w:rPr>
        <w:t> </w:t>
      </w:r>
      <w:r>
        <w:rPr>
          <w:sz w:val="20"/>
        </w:rPr>
        <w:t>de</w:t>
      </w:r>
      <w:r>
        <w:rPr>
          <w:spacing w:val="-10"/>
          <w:sz w:val="20"/>
        </w:rPr>
        <w:t> </w:t>
      </w:r>
      <w:r>
        <w:rPr>
          <w:sz w:val="20"/>
        </w:rPr>
        <w:t>un</w:t>
      </w:r>
      <w:r>
        <w:rPr>
          <w:spacing w:val="-9"/>
          <w:sz w:val="20"/>
        </w:rPr>
        <w:t> </w:t>
      </w:r>
      <w:r>
        <w:rPr>
          <w:sz w:val="20"/>
        </w:rPr>
        <w:t>conglomerado</w:t>
      </w:r>
      <w:r>
        <w:rPr>
          <w:spacing w:val="-9"/>
          <w:sz w:val="20"/>
        </w:rPr>
        <w:t> </w:t>
      </w:r>
      <w:r>
        <w:rPr>
          <w:sz w:val="20"/>
        </w:rPr>
        <w:t>humano</w:t>
      </w:r>
      <w:r>
        <w:rPr>
          <w:spacing w:val="-10"/>
          <w:sz w:val="20"/>
        </w:rPr>
        <w:t> </w:t>
      </w:r>
      <w:r>
        <w:rPr>
          <w:sz w:val="20"/>
        </w:rPr>
        <w:t>de</w:t>
      </w:r>
      <w:r>
        <w:rPr>
          <w:spacing w:val="-7"/>
          <w:sz w:val="20"/>
        </w:rPr>
        <w:t> </w:t>
      </w:r>
      <w:r>
        <w:rPr>
          <w:sz w:val="20"/>
        </w:rPr>
        <w:t>una</w:t>
      </w:r>
      <w:r>
        <w:rPr>
          <w:spacing w:val="-9"/>
          <w:sz w:val="20"/>
        </w:rPr>
        <w:t> </w:t>
      </w:r>
      <w:r>
        <w:rPr>
          <w:sz w:val="20"/>
        </w:rPr>
        <w:t>porción de suelo o tierra determinada, sin autorización y al margen de las leyes y de los programas de ordenamiento territorial y desarrollo urbano;</w:t>
      </w:r>
    </w:p>
    <w:p>
      <w:pPr>
        <w:pStyle w:val="ListParagraph"/>
        <w:numPr>
          <w:ilvl w:val="0"/>
          <w:numId w:val="3"/>
        </w:numPr>
        <w:tabs>
          <w:tab w:pos="827" w:val="left" w:leader="none"/>
        </w:tabs>
        <w:spacing w:line="240" w:lineRule="auto" w:before="229" w:after="0"/>
        <w:ind w:left="262" w:right="286" w:firstLine="0"/>
        <w:jc w:val="both"/>
        <w:rPr>
          <w:sz w:val="20"/>
        </w:rPr>
      </w:pPr>
      <w:r>
        <w:rPr>
          <w:rFonts w:ascii="Arial" w:hAnsi="Arial"/>
          <w:b/>
          <w:sz w:val="20"/>
        </w:rPr>
        <w:t>Barrio: </w:t>
      </w:r>
      <w:r>
        <w:rPr>
          <w:sz w:val="20"/>
        </w:rPr>
        <w:t>zona urbanizada de un Centro de Población dotado de identidad y características </w:t>
      </w:r>
      <w:r>
        <w:rPr>
          <w:spacing w:val="-2"/>
          <w:sz w:val="20"/>
        </w:rPr>
        <w:t>propias;</w:t>
      </w:r>
    </w:p>
    <w:p>
      <w:pPr>
        <w:pStyle w:val="BodyText"/>
        <w:spacing w:before="1"/>
      </w:pPr>
    </w:p>
    <w:p>
      <w:pPr>
        <w:pStyle w:val="ListParagraph"/>
        <w:numPr>
          <w:ilvl w:val="0"/>
          <w:numId w:val="3"/>
        </w:numPr>
        <w:tabs>
          <w:tab w:pos="827" w:val="left" w:leader="none"/>
        </w:tabs>
        <w:spacing w:line="240" w:lineRule="auto" w:before="0" w:after="0"/>
        <w:ind w:left="262" w:right="286" w:firstLine="0"/>
        <w:jc w:val="both"/>
        <w:rPr>
          <w:sz w:val="20"/>
        </w:rPr>
      </w:pPr>
      <w:r>
        <w:rPr>
          <w:rFonts w:ascii="Arial" w:hAnsi="Arial"/>
          <w:b/>
          <w:sz w:val="20"/>
        </w:rPr>
        <w:t>CADROC: </w:t>
      </w:r>
      <w:r>
        <w:rPr>
          <w:sz w:val="20"/>
        </w:rPr>
        <w:t>Comisión Estatal de Acreditación de Directores Responsables de Obra y </w:t>
      </w:r>
      <w:r>
        <w:rPr>
          <w:spacing w:val="-2"/>
          <w:sz w:val="20"/>
        </w:rPr>
        <w:t>Corresponsables;</w:t>
      </w:r>
    </w:p>
    <w:p>
      <w:pPr>
        <w:pStyle w:val="BodyText"/>
      </w:pPr>
    </w:p>
    <w:p>
      <w:pPr>
        <w:pStyle w:val="ListParagraph"/>
        <w:numPr>
          <w:ilvl w:val="0"/>
          <w:numId w:val="3"/>
        </w:numPr>
        <w:tabs>
          <w:tab w:pos="826" w:val="left" w:leader="none"/>
        </w:tabs>
        <w:spacing w:line="240" w:lineRule="auto" w:before="0" w:after="0"/>
        <w:ind w:left="262" w:right="279" w:firstLine="0"/>
        <w:jc w:val="both"/>
        <w:rPr>
          <w:sz w:val="20"/>
        </w:rPr>
      </w:pPr>
      <w:r>
        <w:rPr>
          <w:rFonts w:ascii="Arial" w:hAnsi="Arial"/>
          <w:b/>
          <w:sz w:val="20"/>
        </w:rPr>
        <w:t>Cámaras:</w:t>
      </w:r>
      <w:r>
        <w:rPr>
          <w:rFonts w:ascii="Arial" w:hAnsi="Arial"/>
          <w:b/>
          <w:spacing w:val="-6"/>
          <w:sz w:val="20"/>
        </w:rPr>
        <w:t> </w:t>
      </w:r>
      <w:r>
        <w:rPr>
          <w:sz w:val="20"/>
        </w:rPr>
        <w:t>organizaciones</w:t>
      </w:r>
      <w:r>
        <w:rPr>
          <w:spacing w:val="-6"/>
          <w:sz w:val="20"/>
        </w:rPr>
        <w:t> </w:t>
      </w:r>
      <w:r>
        <w:rPr>
          <w:sz w:val="20"/>
        </w:rPr>
        <w:t>civiles</w:t>
      </w:r>
      <w:r>
        <w:rPr>
          <w:spacing w:val="-4"/>
          <w:sz w:val="20"/>
        </w:rPr>
        <w:t> </w:t>
      </w:r>
      <w:r>
        <w:rPr>
          <w:sz w:val="20"/>
        </w:rPr>
        <w:t>de</w:t>
      </w:r>
      <w:r>
        <w:rPr>
          <w:spacing w:val="-8"/>
          <w:sz w:val="20"/>
        </w:rPr>
        <w:t> </w:t>
      </w:r>
      <w:r>
        <w:rPr>
          <w:sz w:val="20"/>
        </w:rPr>
        <w:t>interés</w:t>
      </w:r>
      <w:r>
        <w:rPr>
          <w:spacing w:val="-8"/>
          <w:sz w:val="20"/>
        </w:rPr>
        <w:t> </w:t>
      </w:r>
      <w:r>
        <w:rPr>
          <w:sz w:val="20"/>
        </w:rPr>
        <w:t>público</w:t>
      </w:r>
      <w:r>
        <w:rPr>
          <w:spacing w:val="-6"/>
          <w:sz w:val="20"/>
        </w:rPr>
        <w:t> </w:t>
      </w:r>
      <w:r>
        <w:rPr>
          <w:sz w:val="20"/>
        </w:rPr>
        <w:t>que</w:t>
      </w:r>
      <w:r>
        <w:rPr>
          <w:spacing w:val="-10"/>
          <w:sz w:val="20"/>
        </w:rPr>
        <w:t> </w:t>
      </w:r>
      <w:r>
        <w:rPr>
          <w:sz w:val="20"/>
        </w:rPr>
        <w:t>agrupan</w:t>
      </w:r>
      <w:r>
        <w:rPr>
          <w:spacing w:val="-10"/>
          <w:sz w:val="20"/>
        </w:rPr>
        <w:t> </w:t>
      </w:r>
      <w:r>
        <w:rPr>
          <w:sz w:val="20"/>
        </w:rPr>
        <w:t>a</w:t>
      </w:r>
      <w:r>
        <w:rPr>
          <w:spacing w:val="-8"/>
          <w:sz w:val="20"/>
        </w:rPr>
        <w:t> </w:t>
      </w:r>
      <w:r>
        <w:rPr>
          <w:sz w:val="20"/>
        </w:rPr>
        <w:t>personas</w:t>
      </w:r>
      <w:r>
        <w:rPr>
          <w:spacing w:val="-9"/>
          <w:sz w:val="20"/>
        </w:rPr>
        <w:t> </w:t>
      </w:r>
      <w:r>
        <w:rPr>
          <w:sz w:val="20"/>
        </w:rPr>
        <w:t>físicas</w:t>
      </w:r>
      <w:r>
        <w:rPr>
          <w:spacing w:val="-9"/>
          <w:sz w:val="20"/>
        </w:rPr>
        <w:t> </w:t>
      </w:r>
      <w:r>
        <w:rPr>
          <w:sz w:val="20"/>
        </w:rPr>
        <w:t>y</w:t>
      </w:r>
      <w:r>
        <w:rPr>
          <w:spacing w:val="-9"/>
          <w:sz w:val="20"/>
        </w:rPr>
        <w:t> </w:t>
      </w:r>
      <w:r>
        <w:rPr>
          <w:sz w:val="20"/>
        </w:rPr>
        <w:t>morales relacionadas con el desarrollo urbano, la construcción, el comercio, y los servicios; constituidas conforme a lo dispuesto en la Ley de Cámaras Empresariales y sus Confederaciones;</w:t>
      </w:r>
    </w:p>
    <w:p>
      <w:pPr>
        <w:pStyle w:val="BodyText"/>
        <w:spacing w:before="1"/>
      </w:pPr>
    </w:p>
    <w:p>
      <w:pPr>
        <w:pStyle w:val="ListParagraph"/>
        <w:numPr>
          <w:ilvl w:val="0"/>
          <w:numId w:val="3"/>
        </w:numPr>
        <w:tabs>
          <w:tab w:pos="826" w:val="left" w:leader="none"/>
        </w:tabs>
        <w:spacing w:line="240" w:lineRule="auto" w:before="0" w:after="0"/>
        <w:ind w:left="262" w:right="285" w:firstLine="0"/>
        <w:jc w:val="both"/>
        <w:rPr>
          <w:sz w:val="20"/>
        </w:rPr>
      </w:pPr>
      <w:r>
        <w:rPr>
          <w:rFonts w:ascii="Arial" w:hAnsi="Arial"/>
          <w:b/>
          <w:sz w:val="20"/>
        </w:rPr>
        <w:t>Centro de población: </w:t>
      </w:r>
      <w:r>
        <w:rPr>
          <w:sz w:val="20"/>
        </w:rPr>
        <w:t>es el conjunto de áreas urbanizadas ocupadas por las instalaciones necesarias para su vida normal; las</w:t>
      </w:r>
      <w:r>
        <w:rPr>
          <w:spacing w:val="-1"/>
          <w:sz w:val="20"/>
        </w:rPr>
        <w:t> </w:t>
      </w:r>
      <w:r>
        <w:rPr>
          <w:sz w:val="20"/>
        </w:rPr>
        <w:t>que se</w:t>
      </w:r>
      <w:r>
        <w:rPr>
          <w:spacing w:val="-1"/>
          <w:sz w:val="20"/>
        </w:rPr>
        <w:t> </w:t>
      </w:r>
      <w:r>
        <w:rPr>
          <w:sz w:val="20"/>
        </w:rPr>
        <w:t>reserven para</w:t>
      </w:r>
      <w:r>
        <w:rPr>
          <w:spacing w:val="-1"/>
          <w:sz w:val="20"/>
        </w:rPr>
        <w:t> </w:t>
      </w:r>
      <w:r>
        <w:rPr>
          <w:sz w:val="20"/>
        </w:rPr>
        <w:t>su expansión</w:t>
      </w:r>
      <w:r>
        <w:rPr>
          <w:spacing w:val="-1"/>
          <w:sz w:val="20"/>
        </w:rPr>
        <w:t> </w:t>
      </w:r>
      <w:r>
        <w:rPr>
          <w:sz w:val="20"/>
        </w:rPr>
        <w:t>y las que se</w:t>
      </w:r>
      <w:r>
        <w:rPr>
          <w:spacing w:val="-1"/>
          <w:sz w:val="20"/>
        </w:rPr>
        <w:t> </w:t>
      </w:r>
      <w:r>
        <w:rPr>
          <w:sz w:val="20"/>
        </w:rPr>
        <w:t>consideren no urbanizables por causas de preservación ecológica, prevención de riesgos y conservación de actividades</w:t>
      </w:r>
      <w:r>
        <w:rPr>
          <w:spacing w:val="-5"/>
          <w:sz w:val="20"/>
        </w:rPr>
        <w:t> </w:t>
      </w:r>
      <w:r>
        <w:rPr>
          <w:sz w:val="20"/>
        </w:rPr>
        <w:t>productivas</w:t>
      </w:r>
      <w:r>
        <w:rPr>
          <w:spacing w:val="-7"/>
          <w:sz w:val="20"/>
        </w:rPr>
        <w:t> </w:t>
      </w:r>
      <w:r>
        <w:rPr>
          <w:sz w:val="20"/>
        </w:rPr>
        <w:t>agropecuarias,</w:t>
      </w:r>
      <w:r>
        <w:rPr>
          <w:spacing w:val="-6"/>
          <w:sz w:val="20"/>
        </w:rPr>
        <w:t> </w:t>
      </w:r>
      <w:r>
        <w:rPr>
          <w:sz w:val="20"/>
        </w:rPr>
        <w:t>forestales</w:t>
      </w:r>
      <w:r>
        <w:rPr>
          <w:spacing w:val="-5"/>
          <w:sz w:val="20"/>
        </w:rPr>
        <w:t> </w:t>
      </w:r>
      <w:r>
        <w:rPr>
          <w:sz w:val="20"/>
        </w:rPr>
        <w:t>o</w:t>
      </w:r>
      <w:r>
        <w:rPr>
          <w:spacing w:val="-8"/>
          <w:sz w:val="20"/>
        </w:rPr>
        <w:t> </w:t>
      </w:r>
      <w:r>
        <w:rPr>
          <w:sz w:val="20"/>
        </w:rPr>
        <w:t>mineras</w:t>
      </w:r>
      <w:r>
        <w:rPr>
          <w:spacing w:val="-7"/>
          <w:sz w:val="20"/>
        </w:rPr>
        <w:t> </w:t>
      </w:r>
      <w:r>
        <w:rPr>
          <w:sz w:val="20"/>
        </w:rPr>
        <w:t>dentro</w:t>
      </w:r>
      <w:r>
        <w:rPr>
          <w:spacing w:val="-6"/>
          <w:sz w:val="20"/>
        </w:rPr>
        <w:t> </w:t>
      </w:r>
      <w:r>
        <w:rPr>
          <w:sz w:val="20"/>
        </w:rPr>
        <w:t>de</w:t>
      </w:r>
      <w:r>
        <w:rPr>
          <w:spacing w:val="-6"/>
          <w:sz w:val="20"/>
        </w:rPr>
        <w:t> </w:t>
      </w:r>
      <w:r>
        <w:rPr>
          <w:sz w:val="20"/>
        </w:rPr>
        <w:t>los</w:t>
      </w:r>
      <w:r>
        <w:rPr>
          <w:spacing w:val="-5"/>
          <w:sz w:val="20"/>
        </w:rPr>
        <w:t> </w:t>
      </w:r>
      <w:r>
        <w:rPr>
          <w:sz w:val="20"/>
        </w:rPr>
        <w:t>límites</w:t>
      </w:r>
      <w:r>
        <w:rPr>
          <w:spacing w:val="-5"/>
          <w:sz w:val="20"/>
        </w:rPr>
        <w:t> </w:t>
      </w:r>
      <w:r>
        <w:rPr>
          <w:sz w:val="20"/>
        </w:rPr>
        <w:t>de</w:t>
      </w:r>
      <w:r>
        <w:rPr>
          <w:spacing w:val="-6"/>
          <w:sz w:val="20"/>
        </w:rPr>
        <w:t> </w:t>
      </w:r>
      <w:r>
        <w:rPr>
          <w:sz w:val="20"/>
        </w:rPr>
        <w:t>dichos</w:t>
      </w:r>
      <w:r>
        <w:rPr>
          <w:spacing w:val="-5"/>
          <w:sz w:val="20"/>
        </w:rPr>
        <w:t> </w:t>
      </w:r>
      <w:r>
        <w:rPr>
          <w:sz w:val="20"/>
        </w:rPr>
        <w:t>centros; así como las que por resolución de la autoridad competente se provean para la fundación de los </w:t>
      </w:r>
      <w:r>
        <w:rPr>
          <w:spacing w:val="-2"/>
          <w:sz w:val="20"/>
        </w:rPr>
        <w:t>mismos;</w:t>
      </w:r>
    </w:p>
    <w:p>
      <w:pPr>
        <w:pStyle w:val="ListParagraph"/>
        <w:numPr>
          <w:ilvl w:val="0"/>
          <w:numId w:val="3"/>
        </w:numPr>
        <w:tabs>
          <w:tab w:pos="828" w:val="left" w:leader="none"/>
        </w:tabs>
        <w:spacing w:line="240" w:lineRule="auto" w:before="229" w:after="0"/>
        <w:ind w:left="262" w:right="280" w:firstLine="0"/>
        <w:jc w:val="both"/>
        <w:rPr>
          <w:sz w:val="20"/>
        </w:rPr>
      </w:pPr>
      <w:r>
        <w:rPr>
          <w:rFonts w:ascii="Arial" w:hAnsi="Arial"/>
          <w:b/>
          <w:spacing w:val="-2"/>
          <w:sz w:val="20"/>
        </w:rPr>
        <w:t>Centro</w:t>
      </w:r>
      <w:r>
        <w:rPr>
          <w:rFonts w:ascii="Arial" w:hAnsi="Arial"/>
          <w:b/>
          <w:spacing w:val="-7"/>
          <w:sz w:val="20"/>
        </w:rPr>
        <w:t> </w:t>
      </w:r>
      <w:r>
        <w:rPr>
          <w:rFonts w:ascii="Arial" w:hAnsi="Arial"/>
          <w:b/>
          <w:spacing w:val="-2"/>
          <w:sz w:val="20"/>
        </w:rPr>
        <w:t>Histórico</w:t>
      </w:r>
      <w:r>
        <w:rPr>
          <w:rFonts w:ascii="Arial" w:hAnsi="Arial"/>
          <w:b/>
          <w:spacing w:val="-5"/>
          <w:sz w:val="20"/>
        </w:rPr>
        <w:t> </w:t>
      </w:r>
      <w:r>
        <w:rPr>
          <w:rFonts w:ascii="Arial" w:hAnsi="Arial"/>
          <w:b/>
          <w:spacing w:val="-2"/>
          <w:sz w:val="20"/>
        </w:rPr>
        <w:t>de</w:t>
      </w:r>
      <w:r>
        <w:rPr>
          <w:rFonts w:ascii="Arial" w:hAnsi="Arial"/>
          <w:b/>
          <w:spacing w:val="-5"/>
          <w:sz w:val="20"/>
        </w:rPr>
        <w:t> </w:t>
      </w:r>
      <w:r>
        <w:rPr>
          <w:rFonts w:ascii="Arial" w:hAnsi="Arial"/>
          <w:b/>
          <w:spacing w:val="-2"/>
          <w:sz w:val="20"/>
        </w:rPr>
        <w:t>la</w:t>
      </w:r>
      <w:r>
        <w:rPr>
          <w:rFonts w:ascii="Arial" w:hAnsi="Arial"/>
          <w:b/>
          <w:spacing w:val="-6"/>
          <w:sz w:val="20"/>
        </w:rPr>
        <w:t> </w:t>
      </w:r>
      <w:r>
        <w:rPr>
          <w:rFonts w:ascii="Arial" w:hAnsi="Arial"/>
          <w:b/>
          <w:spacing w:val="-2"/>
          <w:sz w:val="20"/>
        </w:rPr>
        <w:t>Ciudad</w:t>
      </w:r>
      <w:r>
        <w:rPr>
          <w:rFonts w:ascii="Arial" w:hAnsi="Arial"/>
          <w:b/>
          <w:spacing w:val="-7"/>
          <w:sz w:val="20"/>
        </w:rPr>
        <w:t> </w:t>
      </w:r>
      <w:r>
        <w:rPr>
          <w:rFonts w:ascii="Arial" w:hAnsi="Arial"/>
          <w:b/>
          <w:spacing w:val="-2"/>
          <w:sz w:val="20"/>
        </w:rPr>
        <w:t>de</w:t>
      </w:r>
      <w:r>
        <w:rPr>
          <w:rFonts w:ascii="Arial" w:hAnsi="Arial"/>
          <w:b/>
          <w:spacing w:val="-5"/>
          <w:sz w:val="20"/>
        </w:rPr>
        <w:t> </w:t>
      </w:r>
      <w:r>
        <w:rPr>
          <w:rFonts w:ascii="Arial" w:hAnsi="Arial"/>
          <w:b/>
          <w:spacing w:val="-2"/>
          <w:sz w:val="20"/>
        </w:rPr>
        <w:t>San</w:t>
      </w:r>
      <w:r>
        <w:rPr>
          <w:rFonts w:ascii="Arial" w:hAnsi="Arial"/>
          <w:b/>
          <w:spacing w:val="-7"/>
          <w:sz w:val="20"/>
        </w:rPr>
        <w:t> </w:t>
      </w:r>
      <w:r>
        <w:rPr>
          <w:rFonts w:ascii="Arial" w:hAnsi="Arial"/>
          <w:b/>
          <w:spacing w:val="-2"/>
          <w:sz w:val="20"/>
        </w:rPr>
        <w:t>Luis</w:t>
      </w:r>
      <w:r>
        <w:rPr>
          <w:rFonts w:ascii="Arial" w:hAnsi="Arial"/>
          <w:b/>
          <w:spacing w:val="-3"/>
          <w:sz w:val="20"/>
        </w:rPr>
        <w:t> </w:t>
      </w:r>
      <w:r>
        <w:rPr>
          <w:rFonts w:ascii="Arial" w:hAnsi="Arial"/>
          <w:b/>
          <w:spacing w:val="-2"/>
          <w:sz w:val="20"/>
        </w:rPr>
        <w:t>Potosí: </w:t>
      </w:r>
      <w:r>
        <w:rPr>
          <w:spacing w:val="-2"/>
          <w:sz w:val="20"/>
        </w:rPr>
        <w:t>zona</w:t>
      </w:r>
      <w:r>
        <w:rPr>
          <w:spacing w:val="-5"/>
          <w:sz w:val="20"/>
        </w:rPr>
        <w:t> </w:t>
      </w:r>
      <w:r>
        <w:rPr>
          <w:spacing w:val="-2"/>
          <w:sz w:val="20"/>
        </w:rPr>
        <w:t>creada</w:t>
      </w:r>
      <w:r>
        <w:rPr>
          <w:spacing w:val="-3"/>
          <w:sz w:val="20"/>
        </w:rPr>
        <w:t> </w:t>
      </w:r>
      <w:r>
        <w:rPr>
          <w:spacing w:val="-2"/>
          <w:sz w:val="20"/>
        </w:rPr>
        <w:t>mediante</w:t>
      </w:r>
      <w:r>
        <w:rPr>
          <w:spacing w:val="-6"/>
          <w:sz w:val="20"/>
        </w:rPr>
        <w:t> </w:t>
      </w:r>
      <w:r>
        <w:rPr>
          <w:spacing w:val="-2"/>
          <w:sz w:val="20"/>
        </w:rPr>
        <w:t>Decreto</w:t>
      </w:r>
      <w:r>
        <w:rPr>
          <w:spacing w:val="-9"/>
          <w:sz w:val="20"/>
        </w:rPr>
        <w:t> </w:t>
      </w:r>
      <w:r>
        <w:rPr>
          <w:spacing w:val="-2"/>
          <w:sz w:val="20"/>
        </w:rPr>
        <w:t>publicado </w:t>
      </w:r>
      <w:r>
        <w:rPr>
          <w:sz w:val="20"/>
        </w:rPr>
        <w:t>en el diario oficial de la Federación el diecinueve de diciembre de mil novecientos noventa, que declara una zona de monumentos históricos en la ciudad de San Luis Potosí, con el perímetro, características y condiciones por el señaladas; así como Declaratoria de Patrimonio Mundial de la Humanidad,</w:t>
      </w:r>
      <w:r>
        <w:rPr>
          <w:spacing w:val="-2"/>
          <w:sz w:val="20"/>
        </w:rPr>
        <w:t> </w:t>
      </w:r>
      <w:r>
        <w:rPr>
          <w:sz w:val="20"/>
        </w:rPr>
        <w:t>del</w:t>
      </w:r>
      <w:r>
        <w:rPr>
          <w:spacing w:val="-5"/>
          <w:sz w:val="20"/>
        </w:rPr>
        <w:t> </w:t>
      </w:r>
      <w:r>
        <w:rPr>
          <w:sz w:val="20"/>
        </w:rPr>
        <w:t>Centro</w:t>
      </w:r>
      <w:r>
        <w:rPr>
          <w:spacing w:val="-4"/>
          <w:sz w:val="20"/>
        </w:rPr>
        <w:t> </w:t>
      </w:r>
      <w:r>
        <w:rPr>
          <w:sz w:val="20"/>
        </w:rPr>
        <w:t>Histórico</w:t>
      </w:r>
      <w:r>
        <w:rPr>
          <w:spacing w:val="-4"/>
          <w:sz w:val="20"/>
        </w:rPr>
        <w:t> </w:t>
      </w:r>
      <w:r>
        <w:rPr>
          <w:sz w:val="20"/>
        </w:rPr>
        <w:t>de</w:t>
      </w:r>
      <w:r>
        <w:rPr>
          <w:spacing w:val="-2"/>
          <w:sz w:val="20"/>
        </w:rPr>
        <w:t> </w:t>
      </w:r>
      <w:r>
        <w:rPr>
          <w:sz w:val="20"/>
        </w:rPr>
        <w:t>la</w:t>
      </w:r>
      <w:r>
        <w:rPr>
          <w:spacing w:val="-4"/>
          <w:sz w:val="20"/>
        </w:rPr>
        <w:t> </w:t>
      </w:r>
      <w:r>
        <w:rPr>
          <w:sz w:val="20"/>
        </w:rPr>
        <w:t>Ciudad</w:t>
      </w:r>
      <w:r>
        <w:rPr>
          <w:spacing w:val="-5"/>
          <w:sz w:val="20"/>
        </w:rPr>
        <w:t> </w:t>
      </w:r>
      <w:r>
        <w:rPr>
          <w:sz w:val="20"/>
        </w:rPr>
        <w:t>de</w:t>
      </w:r>
      <w:r>
        <w:rPr>
          <w:spacing w:val="-4"/>
          <w:sz w:val="20"/>
        </w:rPr>
        <w:t> </w:t>
      </w:r>
      <w:r>
        <w:rPr>
          <w:sz w:val="20"/>
        </w:rPr>
        <w:t>San</w:t>
      </w:r>
      <w:r>
        <w:rPr>
          <w:spacing w:val="-3"/>
          <w:sz w:val="20"/>
        </w:rPr>
        <w:t> </w:t>
      </w:r>
      <w:r>
        <w:rPr>
          <w:sz w:val="20"/>
        </w:rPr>
        <w:t>Luis</w:t>
      </w:r>
      <w:r>
        <w:rPr>
          <w:spacing w:val="-3"/>
          <w:sz w:val="20"/>
        </w:rPr>
        <w:t> </w:t>
      </w:r>
      <w:r>
        <w:rPr>
          <w:sz w:val="20"/>
        </w:rPr>
        <w:t>Potosí,</w:t>
      </w:r>
      <w:r>
        <w:rPr>
          <w:spacing w:val="-2"/>
          <w:sz w:val="20"/>
        </w:rPr>
        <w:t> </w:t>
      </w:r>
      <w:r>
        <w:rPr>
          <w:sz w:val="20"/>
        </w:rPr>
        <w:t>de</w:t>
      </w:r>
      <w:r>
        <w:rPr>
          <w:spacing w:val="-5"/>
          <w:sz w:val="20"/>
        </w:rPr>
        <w:t> </w:t>
      </w:r>
      <w:r>
        <w:rPr>
          <w:sz w:val="20"/>
        </w:rPr>
        <w:t>10</w:t>
      </w:r>
      <w:r>
        <w:rPr>
          <w:spacing w:val="-4"/>
          <w:sz w:val="20"/>
        </w:rPr>
        <w:t> </w:t>
      </w:r>
      <w:r>
        <w:rPr>
          <w:sz w:val="20"/>
        </w:rPr>
        <w:t>de</w:t>
      </w:r>
      <w:r>
        <w:rPr>
          <w:spacing w:val="-2"/>
          <w:sz w:val="20"/>
        </w:rPr>
        <w:t> </w:t>
      </w:r>
      <w:r>
        <w:rPr>
          <w:sz w:val="20"/>
        </w:rPr>
        <w:t>Agosto</w:t>
      </w:r>
      <w:r>
        <w:rPr>
          <w:spacing w:val="-4"/>
          <w:sz w:val="20"/>
        </w:rPr>
        <w:t> </w:t>
      </w:r>
      <w:r>
        <w:rPr>
          <w:sz w:val="20"/>
        </w:rPr>
        <w:t>de</w:t>
      </w:r>
      <w:r>
        <w:rPr>
          <w:spacing w:val="-4"/>
          <w:sz w:val="20"/>
        </w:rPr>
        <w:t> </w:t>
      </w:r>
      <w:r>
        <w:rPr>
          <w:sz w:val="20"/>
        </w:rPr>
        <w:t>2010,</w:t>
      </w:r>
      <w:r>
        <w:rPr>
          <w:spacing w:val="-2"/>
          <w:sz w:val="20"/>
        </w:rPr>
        <w:t> </w:t>
      </w:r>
      <w:r>
        <w:rPr>
          <w:sz w:val="20"/>
        </w:rPr>
        <w:t>dentro del Itinerario Cultural Camino Real de Tierra Adentro, por la UNESCO;</w:t>
      </w:r>
    </w:p>
    <w:p>
      <w:pPr>
        <w:pStyle w:val="BodyText"/>
      </w:pPr>
    </w:p>
    <w:p>
      <w:pPr>
        <w:pStyle w:val="ListParagraph"/>
        <w:numPr>
          <w:ilvl w:val="0"/>
          <w:numId w:val="3"/>
        </w:numPr>
        <w:tabs>
          <w:tab w:pos="827" w:val="left" w:leader="none"/>
        </w:tabs>
        <w:spacing w:line="240" w:lineRule="auto" w:before="0" w:after="0"/>
        <w:ind w:left="262" w:right="281" w:firstLine="0"/>
        <w:jc w:val="both"/>
        <w:rPr>
          <w:sz w:val="20"/>
        </w:rPr>
      </w:pPr>
      <w:r>
        <w:rPr>
          <w:rFonts w:ascii="Arial" w:hAnsi="Arial"/>
          <w:b/>
          <w:sz w:val="20"/>
        </w:rPr>
        <w:t>Consejos</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1"/>
          <w:sz w:val="20"/>
        </w:rPr>
        <w:t> </w:t>
      </w:r>
      <w:r>
        <w:rPr>
          <w:rFonts w:ascii="Arial" w:hAnsi="Arial"/>
          <w:b/>
          <w:sz w:val="20"/>
        </w:rPr>
        <w:t>Centros</w:t>
      </w:r>
      <w:r>
        <w:rPr>
          <w:rFonts w:ascii="Arial" w:hAnsi="Arial"/>
          <w:b/>
          <w:spacing w:val="-9"/>
          <w:sz w:val="20"/>
        </w:rPr>
        <w:t> </w:t>
      </w:r>
      <w:r>
        <w:rPr>
          <w:rFonts w:ascii="Arial" w:hAnsi="Arial"/>
          <w:b/>
          <w:sz w:val="20"/>
        </w:rPr>
        <w:t>Históricos:</w:t>
      </w:r>
      <w:r>
        <w:rPr>
          <w:rFonts w:ascii="Arial" w:hAnsi="Arial"/>
          <w:b/>
          <w:spacing w:val="-11"/>
          <w:sz w:val="20"/>
        </w:rPr>
        <w:t> </w:t>
      </w:r>
      <w:r>
        <w:rPr>
          <w:sz w:val="20"/>
        </w:rPr>
        <w:t>es</w:t>
      </w:r>
      <w:r>
        <w:rPr>
          <w:spacing w:val="-13"/>
          <w:sz w:val="20"/>
        </w:rPr>
        <w:t> </w:t>
      </w:r>
      <w:r>
        <w:rPr>
          <w:sz w:val="20"/>
        </w:rPr>
        <w:t>el</w:t>
      </w:r>
      <w:r>
        <w:rPr>
          <w:spacing w:val="-14"/>
          <w:sz w:val="20"/>
        </w:rPr>
        <w:t> </w:t>
      </w:r>
      <w:r>
        <w:rPr>
          <w:sz w:val="20"/>
        </w:rPr>
        <w:t>Consejo</w:t>
      </w:r>
      <w:r>
        <w:rPr>
          <w:spacing w:val="-14"/>
          <w:sz w:val="20"/>
        </w:rPr>
        <w:t> </w:t>
      </w:r>
      <w:r>
        <w:rPr>
          <w:sz w:val="20"/>
        </w:rPr>
        <w:t>del</w:t>
      </w:r>
      <w:r>
        <w:rPr>
          <w:spacing w:val="-14"/>
          <w:sz w:val="20"/>
        </w:rPr>
        <w:t> </w:t>
      </w:r>
      <w:r>
        <w:rPr>
          <w:sz w:val="20"/>
        </w:rPr>
        <w:t>Centro</w:t>
      </w:r>
      <w:r>
        <w:rPr>
          <w:spacing w:val="-12"/>
          <w:sz w:val="20"/>
        </w:rPr>
        <w:t> </w:t>
      </w:r>
      <w:r>
        <w:rPr>
          <w:sz w:val="20"/>
        </w:rPr>
        <w:t>Histórico</w:t>
      </w:r>
      <w:r>
        <w:rPr>
          <w:spacing w:val="-14"/>
          <w:sz w:val="20"/>
        </w:rPr>
        <w:t> </w:t>
      </w:r>
      <w:r>
        <w:rPr>
          <w:sz w:val="20"/>
        </w:rPr>
        <w:t>de</w:t>
      </w:r>
      <w:r>
        <w:rPr>
          <w:spacing w:val="-14"/>
          <w:sz w:val="20"/>
        </w:rPr>
        <w:t> </w:t>
      </w:r>
      <w:r>
        <w:rPr>
          <w:sz w:val="20"/>
        </w:rPr>
        <w:t>la</w:t>
      </w:r>
      <w:r>
        <w:rPr>
          <w:spacing w:val="-14"/>
          <w:sz w:val="20"/>
        </w:rPr>
        <w:t> </w:t>
      </w:r>
      <w:r>
        <w:rPr>
          <w:sz w:val="20"/>
        </w:rPr>
        <w:t>Ciudad</w:t>
      </w:r>
      <w:r>
        <w:rPr>
          <w:spacing w:val="-11"/>
          <w:sz w:val="20"/>
        </w:rPr>
        <w:t> </w:t>
      </w:r>
      <w:r>
        <w:rPr>
          <w:sz w:val="20"/>
        </w:rPr>
        <w:t>de</w:t>
      </w:r>
      <w:r>
        <w:rPr>
          <w:spacing w:val="-12"/>
          <w:sz w:val="20"/>
        </w:rPr>
        <w:t> </w:t>
      </w:r>
      <w:r>
        <w:rPr>
          <w:sz w:val="20"/>
        </w:rPr>
        <w:t>San Luis Potosí;</w:t>
      </w:r>
    </w:p>
    <w:p>
      <w:pPr>
        <w:pStyle w:val="BodyText"/>
        <w:spacing w:before="2"/>
      </w:pPr>
    </w:p>
    <w:p>
      <w:pPr>
        <w:pStyle w:val="ListParagraph"/>
        <w:numPr>
          <w:ilvl w:val="0"/>
          <w:numId w:val="3"/>
        </w:numPr>
        <w:tabs>
          <w:tab w:pos="827" w:val="left" w:leader="none"/>
        </w:tabs>
        <w:spacing w:line="240" w:lineRule="auto" w:before="0" w:after="0"/>
        <w:ind w:left="262" w:right="285" w:firstLine="0"/>
        <w:jc w:val="both"/>
        <w:rPr>
          <w:sz w:val="20"/>
        </w:rPr>
      </w:pPr>
      <w:r>
        <w:rPr>
          <w:rFonts w:ascii="Arial" w:hAnsi="Arial"/>
          <w:b/>
          <w:sz w:val="20"/>
        </w:rPr>
        <w:t>Consejo Estatal: </w:t>
      </w:r>
      <w:r>
        <w:rPr>
          <w:sz w:val="20"/>
        </w:rPr>
        <w:t>es el Consejo Estatal de Ordenamiento Territorial y Desarrollo Urbano del Estado de San Luis Potosí;</w:t>
      </w:r>
    </w:p>
    <w:p>
      <w:pPr>
        <w:pStyle w:val="ListParagraph"/>
        <w:numPr>
          <w:ilvl w:val="0"/>
          <w:numId w:val="3"/>
        </w:numPr>
        <w:tabs>
          <w:tab w:pos="968" w:val="left" w:leader="none"/>
        </w:tabs>
        <w:spacing w:line="240" w:lineRule="auto" w:before="229" w:after="0"/>
        <w:ind w:left="262" w:right="282" w:firstLine="0"/>
        <w:jc w:val="both"/>
        <w:rPr>
          <w:sz w:val="20"/>
        </w:rPr>
      </w:pPr>
      <w:r>
        <w:rPr>
          <w:rFonts w:ascii="Arial"/>
          <w:b/>
          <w:sz w:val="20"/>
        </w:rPr>
        <w:t>Consejo</w:t>
      </w:r>
      <w:r>
        <w:rPr>
          <w:rFonts w:ascii="Arial"/>
          <w:b/>
          <w:spacing w:val="-9"/>
          <w:sz w:val="20"/>
        </w:rPr>
        <w:t> </w:t>
      </w:r>
      <w:r>
        <w:rPr>
          <w:rFonts w:ascii="Arial"/>
          <w:b/>
          <w:sz w:val="20"/>
        </w:rPr>
        <w:t>Municipal:</w:t>
      </w:r>
      <w:r>
        <w:rPr>
          <w:rFonts w:ascii="Arial"/>
          <w:b/>
          <w:spacing w:val="-9"/>
          <w:sz w:val="20"/>
        </w:rPr>
        <w:t> </w:t>
      </w:r>
      <w:r>
        <w:rPr>
          <w:sz w:val="20"/>
        </w:rPr>
        <w:t>el</w:t>
      </w:r>
      <w:r>
        <w:rPr>
          <w:spacing w:val="-11"/>
          <w:sz w:val="20"/>
        </w:rPr>
        <w:t> </w:t>
      </w:r>
      <w:r>
        <w:rPr>
          <w:sz w:val="20"/>
        </w:rPr>
        <w:t>Consejo</w:t>
      </w:r>
      <w:r>
        <w:rPr>
          <w:spacing w:val="-10"/>
          <w:sz w:val="20"/>
        </w:rPr>
        <w:t> </w:t>
      </w:r>
      <w:r>
        <w:rPr>
          <w:sz w:val="20"/>
        </w:rPr>
        <w:t>Municipal</w:t>
      </w:r>
      <w:r>
        <w:rPr>
          <w:spacing w:val="-11"/>
          <w:sz w:val="20"/>
        </w:rPr>
        <w:t> </w:t>
      </w:r>
      <w:r>
        <w:rPr>
          <w:sz w:val="20"/>
        </w:rPr>
        <w:t>de</w:t>
      </w:r>
      <w:r>
        <w:rPr>
          <w:spacing w:val="-10"/>
          <w:sz w:val="20"/>
        </w:rPr>
        <w:t> </w:t>
      </w:r>
      <w:r>
        <w:rPr>
          <w:sz w:val="20"/>
        </w:rPr>
        <w:t>Desarrollo</w:t>
      </w:r>
      <w:r>
        <w:rPr>
          <w:spacing w:val="-10"/>
          <w:sz w:val="20"/>
        </w:rPr>
        <w:t> </w:t>
      </w:r>
      <w:r>
        <w:rPr>
          <w:sz w:val="20"/>
        </w:rPr>
        <w:t>Urbano</w:t>
      </w:r>
      <w:r>
        <w:rPr>
          <w:spacing w:val="-10"/>
          <w:sz w:val="20"/>
        </w:rPr>
        <w:t> </w:t>
      </w:r>
      <w:r>
        <w:rPr>
          <w:sz w:val="20"/>
        </w:rPr>
        <w:t>y</w:t>
      </w:r>
      <w:r>
        <w:rPr>
          <w:spacing w:val="-9"/>
          <w:sz w:val="20"/>
        </w:rPr>
        <w:t> </w:t>
      </w:r>
      <w:r>
        <w:rPr>
          <w:sz w:val="20"/>
        </w:rPr>
        <w:t>Vivienda</w:t>
      </w:r>
      <w:r>
        <w:rPr>
          <w:spacing w:val="-10"/>
          <w:sz w:val="20"/>
        </w:rPr>
        <w:t> </w:t>
      </w:r>
      <w:r>
        <w:rPr>
          <w:sz w:val="20"/>
        </w:rPr>
        <w:t>o</w:t>
      </w:r>
      <w:r>
        <w:rPr>
          <w:spacing w:val="-10"/>
          <w:sz w:val="20"/>
        </w:rPr>
        <w:t> </w:t>
      </w:r>
      <w:r>
        <w:rPr>
          <w:sz w:val="20"/>
        </w:rPr>
        <w:t>su</w:t>
      </w:r>
      <w:r>
        <w:rPr>
          <w:spacing w:val="-10"/>
          <w:sz w:val="20"/>
        </w:rPr>
        <w:t> </w:t>
      </w:r>
      <w:r>
        <w:rPr>
          <w:sz w:val="20"/>
        </w:rPr>
        <w:t>equivalente en cada Municipio de la Entidad;</w:t>
      </w:r>
    </w:p>
    <w:p>
      <w:pPr>
        <w:pStyle w:val="BodyText"/>
        <w:spacing w:before="1"/>
      </w:pPr>
    </w:p>
    <w:p>
      <w:pPr>
        <w:pStyle w:val="ListParagraph"/>
        <w:numPr>
          <w:ilvl w:val="0"/>
          <w:numId w:val="3"/>
        </w:numPr>
        <w:tabs>
          <w:tab w:pos="968" w:val="left" w:leader="none"/>
        </w:tabs>
        <w:spacing w:line="240" w:lineRule="auto" w:before="0" w:after="0"/>
        <w:ind w:left="262" w:right="287" w:firstLine="0"/>
        <w:jc w:val="both"/>
        <w:rPr>
          <w:sz w:val="20"/>
        </w:rPr>
      </w:pPr>
      <w:r>
        <w:rPr>
          <w:rFonts w:ascii="Arial" w:hAnsi="Arial"/>
          <w:b/>
          <w:sz w:val="20"/>
        </w:rPr>
        <w:t>Conservación: </w:t>
      </w:r>
      <w:r>
        <w:rPr>
          <w:sz w:val="20"/>
        </w:rPr>
        <w:t>política tendente a mantener el medio ambiente, preservar el buen estado de la infraestructura, equipamiento, vivienda y servicios urbanos de los centros de población, incluyendo su patrimonio cultural y natural;</w:t>
      </w:r>
    </w:p>
    <w:p>
      <w:pPr>
        <w:pStyle w:val="BodyText"/>
      </w:pPr>
    </w:p>
    <w:p>
      <w:pPr>
        <w:pStyle w:val="ListParagraph"/>
        <w:numPr>
          <w:ilvl w:val="0"/>
          <w:numId w:val="3"/>
        </w:numPr>
        <w:tabs>
          <w:tab w:pos="968" w:val="left" w:leader="none"/>
        </w:tabs>
        <w:spacing w:line="240" w:lineRule="auto" w:before="0" w:after="0"/>
        <w:ind w:left="262" w:right="284" w:firstLine="0"/>
        <w:jc w:val="both"/>
        <w:rPr>
          <w:sz w:val="20"/>
        </w:rPr>
      </w:pPr>
      <w:r>
        <w:rPr>
          <w:rFonts w:ascii="Arial" w:hAnsi="Arial"/>
          <w:b/>
          <w:sz w:val="20"/>
        </w:rPr>
        <w:t>Conurbación:</w:t>
      </w:r>
      <w:r>
        <w:rPr>
          <w:rFonts w:ascii="Arial" w:hAnsi="Arial"/>
          <w:b/>
          <w:spacing w:val="-5"/>
          <w:sz w:val="20"/>
        </w:rPr>
        <w:t> </w:t>
      </w:r>
      <w:r>
        <w:rPr>
          <w:sz w:val="20"/>
        </w:rPr>
        <w:t>dinámica</w:t>
      </w:r>
      <w:r>
        <w:rPr>
          <w:spacing w:val="-7"/>
          <w:sz w:val="20"/>
        </w:rPr>
        <w:t> </w:t>
      </w:r>
      <w:r>
        <w:rPr>
          <w:sz w:val="20"/>
        </w:rPr>
        <w:t>mediante</w:t>
      </w:r>
      <w:r>
        <w:rPr>
          <w:spacing w:val="-6"/>
          <w:sz w:val="20"/>
        </w:rPr>
        <w:t> </w:t>
      </w:r>
      <w:r>
        <w:rPr>
          <w:sz w:val="20"/>
        </w:rPr>
        <w:t>la</w:t>
      </w:r>
      <w:r>
        <w:rPr>
          <w:spacing w:val="-9"/>
          <w:sz w:val="20"/>
        </w:rPr>
        <w:t> </w:t>
      </w:r>
      <w:r>
        <w:rPr>
          <w:sz w:val="20"/>
        </w:rPr>
        <w:t>cual</w:t>
      </w:r>
      <w:r>
        <w:rPr>
          <w:spacing w:val="-8"/>
          <w:sz w:val="20"/>
        </w:rPr>
        <w:t> </w:t>
      </w:r>
      <w:r>
        <w:rPr>
          <w:sz w:val="20"/>
        </w:rPr>
        <w:t>dos</w:t>
      </w:r>
      <w:r>
        <w:rPr>
          <w:spacing w:val="-8"/>
          <w:sz w:val="20"/>
        </w:rPr>
        <w:t> </w:t>
      </w:r>
      <w:r>
        <w:rPr>
          <w:sz w:val="20"/>
        </w:rPr>
        <w:t>o</w:t>
      </w:r>
      <w:r>
        <w:rPr>
          <w:spacing w:val="-7"/>
          <w:sz w:val="20"/>
        </w:rPr>
        <w:t> </w:t>
      </w:r>
      <w:r>
        <w:rPr>
          <w:sz w:val="20"/>
        </w:rPr>
        <w:t>más</w:t>
      </w:r>
      <w:r>
        <w:rPr>
          <w:spacing w:val="-8"/>
          <w:sz w:val="20"/>
        </w:rPr>
        <w:t> </w:t>
      </w:r>
      <w:r>
        <w:rPr>
          <w:sz w:val="20"/>
        </w:rPr>
        <w:t>centros</w:t>
      </w:r>
      <w:r>
        <w:rPr>
          <w:spacing w:val="-7"/>
          <w:sz w:val="20"/>
        </w:rPr>
        <w:t> </w:t>
      </w:r>
      <w:r>
        <w:rPr>
          <w:sz w:val="20"/>
        </w:rPr>
        <w:t>de</w:t>
      </w:r>
      <w:r>
        <w:rPr>
          <w:spacing w:val="-7"/>
          <w:sz w:val="20"/>
        </w:rPr>
        <w:t> </w:t>
      </w:r>
      <w:r>
        <w:rPr>
          <w:sz w:val="20"/>
        </w:rPr>
        <w:t>población,</w:t>
      </w:r>
      <w:r>
        <w:rPr>
          <w:spacing w:val="-7"/>
          <w:sz w:val="20"/>
        </w:rPr>
        <w:t> </w:t>
      </w:r>
      <w:r>
        <w:rPr>
          <w:sz w:val="20"/>
        </w:rPr>
        <w:t>forman</w:t>
      </w:r>
      <w:r>
        <w:rPr>
          <w:spacing w:val="-9"/>
          <w:sz w:val="20"/>
        </w:rPr>
        <w:t> </w:t>
      </w:r>
      <w:r>
        <w:rPr>
          <w:sz w:val="20"/>
        </w:rPr>
        <w:t>o</w:t>
      </w:r>
      <w:r>
        <w:rPr>
          <w:spacing w:val="-7"/>
          <w:sz w:val="20"/>
        </w:rPr>
        <w:t> </w:t>
      </w:r>
      <w:r>
        <w:rPr>
          <w:sz w:val="20"/>
        </w:rPr>
        <w:t>tienden a formar una continuidad física y demográfica;</w:t>
      </w:r>
    </w:p>
    <w:p>
      <w:pPr>
        <w:pStyle w:val="ListParagraph"/>
        <w:numPr>
          <w:ilvl w:val="0"/>
          <w:numId w:val="3"/>
        </w:numPr>
        <w:tabs>
          <w:tab w:pos="1023" w:val="left" w:leader="none"/>
        </w:tabs>
        <w:spacing w:line="240" w:lineRule="auto" w:before="229" w:after="0"/>
        <w:ind w:left="262" w:right="286" w:firstLine="0"/>
        <w:jc w:val="both"/>
        <w:rPr>
          <w:sz w:val="20"/>
        </w:rPr>
      </w:pPr>
      <w:r>
        <w:rPr>
          <w:rFonts w:ascii="Arial" w:hAnsi="Arial"/>
          <w:b/>
          <w:sz w:val="20"/>
        </w:rPr>
        <w:t>Consolidación: </w:t>
      </w:r>
      <w:r>
        <w:rPr>
          <w:sz w:val="20"/>
        </w:rPr>
        <w:t>política tendente al ordenamiento de la estructura básica de un centro de población</w:t>
      </w:r>
      <w:r>
        <w:rPr>
          <w:spacing w:val="-13"/>
          <w:sz w:val="20"/>
        </w:rPr>
        <w:t> </w:t>
      </w:r>
      <w:r>
        <w:rPr>
          <w:sz w:val="20"/>
        </w:rPr>
        <w:t>sin</w:t>
      </w:r>
      <w:r>
        <w:rPr>
          <w:spacing w:val="-13"/>
          <w:sz w:val="20"/>
        </w:rPr>
        <w:t> </w:t>
      </w:r>
      <w:r>
        <w:rPr>
          <w:sz w:val="20"/>
        </w:rPr>
        <w:t>afectar</w:t>
      </w:r>
      <w:r>
        <w:rPr>
          <w:spacing w:val="-13"/>
          <w:sz w:val="20"/>
        </w:rPr>
        <w:t> </w:t>
      </w:r>
      <w:r>
        <w:rPr>
          <w:sz w:val="20"/>
        </w:rPr>
        <w:t>su</w:t>
      </w:r>
      <w:r>
        <w:rPr>
          <w:spacing w:val="-13"/>
          <w:sz w:val="20"/>
        </w:rPr>
        <w:t> </w:t>
      </w:r>
      <w:r>
        <w:rPr>
          <w:sz w:val="20"/>
        </w:rPr>
        <w:t>dinámica</w:t>
      </w:r>
      <w:r>
        <w:rPr>
          <w:spacing w:val="-13"/>
          <w:sz w:val="20"/>
        </w:rPr>
        <w:t> </w:t>
      </w:r>
      <w:r>
        <w:rPr>
          <w:sz w:val="20"/>
        </w:rPr>
        <w:t>actual,</w:t>
      </w:r>
      <w:r>
        <w:rPr>
          <w:spacing w:val="-13"/>
          <w:sz w:val="20"/>
        </w:rPr>
        <w:t> </w:t>
      </w:r>
      <w:r>
        <w:rPr>
          <w:sz w:val="20"/>
        </w:rPr>
        <w:t>procurando</w:t>
      </w:r>
      <w:r>
        <w:rPr>
          <w:spacing w:val="-13"/>
          <w:sz w:val="20"/>
        </w:rPr>
        <w:t> </w:t>
      </w:r>
      <w:r>
        <w:rPr>
          <w:sz w:val="20"/>
        </w:rPr>
        <w:t>evitar</w:t>
      </w:r>
      <w:r>
        <w:rPr>
          <w:spacing w:val="-13"/>
          <w:sz w:val="20"/>
        </w:rPr>
        <w:t> </w:t>
      </w:r>
      <w:r>
        <w:rPr>
          <w:sz w:val="20"/>
        </w:rPr>
        <w:t>los</w:t>
      </w:r>
      <w:r>
        <w:rPr>
          <w:spacing w:val="-12"/>
          <w:sz w:val="20"/>
        </w:rPr>
        <w:t> </w:t>
      </w:r>
      <w:r>
        <w:rPr>
          <w:sz w:val="20"/>
        </w:rPr>
        <w:t>efectos</w:t>
      </w:r>
      <w:r>
        <w:rPr>
          <w:spacing w:val="-13"/>
          <w:sz w:val="20"/>
        </w:rPr>
        <w:t> </w:t>
      </w:r>
      <w:r>
        <w:rPr>
          <w:sz w:val="20"/>
        </w:rPr>
        <w:t>negativos</w:t>
      </w:r>
      <w:r>
        <w:rPr>
          <w:spacing w:val="-12"/>
          <w:sz w:val="20"/>
        </w:rPr>
        <w:t> </w:t>
      </w:r>
      <w:r>
        <w:rPr>
          <w:sz w:val="20"/>
        </w:rPr>
        <w:t>de</w:t>
      </w:r>
      <w:r>
        <w:rPr>
          <w:spacing w:val="-13"/>
          <w:sz w:val="20"/>
        </w:rPr>
        <w:t> </w:t>
      </w:r>
      <w:r>
        <w:rPr>
          <w:sz w:val="20"/>
        </w:rPr>
        <w:t>la</w:t>
      </w:r>
      <w:r>
        <w:rPr>
          <w:spacing w:val="-13"/>
          <w:sz w:val="20"/>
        </w:rPr>
        <w:t> </w:t>
      </w:r>
      <w:r>
        <w:rPr>
          <w:sz w:val="20"/>
        </w:rPr>
        <w:t>concentración </w:t>
      </w:r>
      <w:r>
        <w:rPr>
          <w:spacing w:val="-2"/>
          <w:sz w:val="20"/>
        </w:rPr>
        <w:t>urbana;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3"/>
        </w:numPr>
        <w:tabs>
          <w:tab w:pos="968" w:val="left" w:leader="none"/>
        </w:tabs>
        <w:spacing w:line="240" w:lineRule="auto" w:before="0" w:after="0"/>
        <w:ind w:left="262" w:right="279" w:firstLine="0"/>
        <w:jc w:val="both"/>
        <w:rPr>
          <w:sz w:val="20"/>
        </w:rPr>
      </w:pPr>
      <w:r>
        <w:rPr>
          <w:rFonts w:ascii="Arial" w:hAnsi="Arial"/>
          <w:b/>
          <w:sz w:val="20"/>
        </w:rPr>
        <w:t>Colegios: </w:t>
      </w:r>
      <w:r>
        <w:rPr>
          <w:sz w:val="20"/>
        </w:rPr>
        <w:t>asociaciones civiles integradas por profesionistas de una misma actividad profesional y grado académico o especialidad, relacionados con el ámbito del ordenamiento territorial, el desarrollo urbano y la construcción, tales como ingenieros civiles, arquitectos, mecánicos electricistas, geomáticos y geoinformáticos,</w:t>
      </w:r>
      <w:r>
        <w:rPr>
          <w:spacing w:val="40"/>
          <w:sz w:val="20"/>
        </w:rPr>
        <w:t> </w:t>
      </w:r>
      <w:r>
        <w:rPr>
          <w:sz w:val="20"/>
        </w:rPr>
        <w:t>edificadores, topógrafos, diseñadores urbanos y del paisaje, restauradores, y demás relacionados con la materia, registrados legalmente ante la autoridad educativa competente, en los términos de la ley de la materia;</w:t>
      </w:r>
    </w:p>
    <w:p>
      <w:pPr>
        <w:pStyle w:val="BodyText"/>
      </w:pPr>
    </w:p>
    <w:p>
      <w:pPr>
        <w:pStyle w:val="ListParagraph"/>
        <w:numPr>
          <w:ilvl w:val="0"/>
          <w:numId w:val="3"/>
        </w:numPr>
        <w:tabs>
          <w:tab w:pos="1168" w:val="left" w:leader="none"/>
        </w:tabs>
        <w:spacing w:line="240" w:lineRule="auto" w:before="0" w:after="0"/>
        <w:ind w:left="1168" w:right="0" w:hanging="906"/>
        <w:jc w:val="both"/>
        <w:rPr>
          <w:sz w:val="20"/>
        </w:rPr>
      </w:pPr>
      <w:r>
        <w:rPr>
          <w:rFonts w:ascii="Arial" w:hAnsi="Arial"/>
          <w:b/>
          <w:sz w:val="20"/>
        </w:rPr>
        <w:t>Comisiones</w:t>
      </w:r>
      <w:r>
        <w:rPr>
          <w:rFonts w:ascii="Arial" w:hAnsi="Arial"/>
          <w:b/>
          <w:spacing w:val="-10"/>
          <w:sz w:val="20"/>
        </w:rPr>
        <w:t> </w:t>
      </w:r>
      <w:r>
        <w:rPr>
          <w:rFonts w:ascii="Arial" w:hAnsi="Arial"/>
          <w:b/>
          <w:sz w:val="20"/>
        </w:rPr>
        <w:t>Metropolitanas:</w:t>
      </w:r>
      <w:r>
        <w:rPr>
          <w:rFonts w:ascii="Arial" w:hAnsi="Arial"/>
          <w:b/>
          <w:spacing w:val="-7"/>
          <w:sz w:val="20"/>
        </w:rPr>
        <w:t> </w:t>
      </w:r>
      <w:r>
        <w:rPr>
          <w:sz w:val="20"/>
        </w:rPr>
        <w:t>las</w:t>
      </w:r>
      <w:r>
        <w:rPr>
          <w:spacing w:val="-9"/>
          <w:sz w:val="20"/>
        </w:rPr>
        <w:t> </w:t>
      </w:r>
      <w:r>
        <w:rPr>
          <w:sz w:val="20"/>
        </w:rPr>
        <w:t>Comisiones</w:t>
      </w:r>
      <w:r>
        <w:rPr>
          <w:spacing w:val="-9"/>
          <w:sz w:val="20"/>
        </w:rPr>
        <w:t> </w:t>
      </w:r>
      <w:r>
        <w:rPr>
          <w:sz w:val="20"/>
        </w:rPr>
        <w:t>Metropolitanas</w:t>
      </w:r>
      <w:r>
        <w:rPr>
          <w:spacing w:val="-9"/>
          <w:sz w:val="20"/>
        </w:rPr>
        <w:t> </w:t>
      </w:r>
      <w:r>
        <w:rPr>
          <w:sz w:val="20"/>
        </w:rPr>
        <w:t>y</w:t>
      </w:r>
      <w:r>
        <w:rPr>
          <w:spacing w:val="-9"/>
          <w:sz w:val="20"/>
        </w:rPr>
        <w:t> </w:t>
      </w:r>
      <w:r>
        <w:rPr>
          <w:sz w:val="20"/>
        </w:rPr>
        <w:t>de</w:t>
      </w:r>
      <w:r>
        <w:rPr>
          <w:spacing w:val="-10"/>
          <w:sz w:val="20"/>
        </w:rPr>
        <w:t> </w:t>
      </w:r>
      <w:r>
        <w:rPr>
          <w:spacing w:val="-2"/>
          <w:sz w:val="20"/>
        </w:rPr>
        <w:t>Conurbación;</w:t>
      </w:r>
    </w:p>
    <w:p>
      <w:pPr>
        <w:pStyle w:val="BodyText"/>
        <w:spacing w:before="1"/>
      </w:pPr>
    </w:p>
    <w:p>
      <w:pPr>
        <w:pStyle w:val="ListParagraph"/>
        <w:numPr>
          <w:ilvl w:val="0"/>
          <w:numId w:val="3"/>
        </w:numPr>
        <w:tabs>
          <w:tab w:pos="1112" w:val="left" w:leader="none"/>
        </w:tabs>
        <w:spacing w:line="240" w:lineRule="auto" w:before="0" w:after="0"/>
        <w:ind w:left="262" w:right="280" w:firstLine="0"/>
        <w:jc w:val="both"/>
        <w:rPr>
          <w:sz w:val="20"/>
        </w:rPr>
      </w:pPr>
      <w:r>
        <w:rPr>
          <w:rFonts w:ascii="Arial" w:hAnsi="Arial"/>
          <w:b/>
          <w:sz w:val="20"/>
        </w:rPr>
        <w:t>COS: Coeficiente de ocupación del suelo: </w:t>
      </w:r>
      <w:r>
        <w:rPr>
          <w:sz w:val="20"/>
        </w:rPr>
        <w:t>relación aritmética existente entre la superficie construida en planta baja y la superficie total del terreno, excluyendo voladizos y estructuras reversibles;</w:t>
      </w:r>
    </w:p>
    <w:p>
      <w:pPr>
        <w:pStyle w:val="BodyText"/>
      </w:pPr>
    </w:p>
    <w:p>
      <w:pPr>
        <w:pStyle w:val="ListParagraph"/>
        <w:numPr>
          <w:ilvl w:val="0"/>
          <w:numId w:val="3"/>
        </w:numPr>
        <w:tabs>
          <w:tab w:pos="1112" w:val="left" w:leader="none"/>
        </w:tabs>
        <w:spacing w:line="240" w:lineRule="auto" w:before="0" w:after="0"/>
        <w:ind w:left="262" w:right="276" w:firstLine="0"/>
        <w:jc w:val="both"/>
        <w:rPr>
          <w:sz w:val="20"/>
        </w:rPr>
      </w:pPr>
      <w:r>
        <w:rPr>
          <w:rFonts w:ascii="Arial" w:hAnsi="Arial"/>
          <w:b/>
          <w:sz w:val="20"/>
        </w:rPr>
        <w:t>Crecimiento: </w:t>
      </w:r>
      <w:r>
        <w:rPr>
          <w:sz w:val="20"/>
        </w:rPr>
        <w:t>acción tendente a ordenar y regular la expansión física de los centros de población, evitando la ocupación con usos de suelo que alteren las áreas con valor ambiental o productivo, así como, que invadan zonas de riesgo, a fin de alojar el crecimiento poblacional o dar soporte a actividades industriales, comerciales y de servicios;</w:t>
      </w:r>
    </w:p>
    <w:p>
      <w:pPr>
        <w:pStyle w:val="BodyText"/>
      </w:pPr>
    </w:p>
    <w:p>
      <w:pPr>
        <w:pStyle w:val="ListParagraph"/>
        <w:numPr>
          <w:ilvl w:val="0"/>
          <w:numId w:val="3"/>
        </w:numPr>
        <w:tabs>
          <w:tab w:pos="1023" w:val="left" w:leader="none"/>
        </w:tabs>
        <w:spacing w:line="240" w:lineRule="auto" w:before="0" w:after="0"/>
        <w:ind w:left="262" w:right="280" w:firstLine="0"/>
        <w:jc w:val="both"/>
        <w:rPr>
          <w:sz w:val="20"/>
        </w:rPr>
      </w:pPr>
      <w:r>
        <w:rPr>
          <w:rFonts w:ascii="Arial" w:hAnsi="Arial"/>
          <w:b/>
          <w:sz w:val="20"/>
        </w:rPr>
        <w:t>CUS: Coeficiente de utilización del suelo: </w:t>
      </w:r>
      <w:r>
        <w:rPr>
          <w:sz w:val="20"/>
        </w:rPr>
        <w:t>la relación aritmética existente entre la superficie total construida en todos los niveles de la construcción y la superficie total del terreno;</w:t>
      </w:r>
    </w:p>
    <w:p>
      <w:pPr>
        <w:pStyle w:val="BodyText"/>
        <w:spacing w:before="1"/>
      </w:pPr>
    </w:p>
    <w:p>
      <w:pPr>
        <w:pStyle w:val="ListParagraph"/>
        <w:numPr>
          <w:ilvl w:val="0"/>
          <w:numId w:val="3"/>
        </w:numPr>
        <w:tabs>
          <w:tab w:pos="968" w:val="left" w:leader="none"/>
        </w:tabs>
        <w:spacing w:line="240" w:lineRule="auto" w:before="0" w:after="0"/>
        <w:ind w:left="262" w:right="288" w:firstLine="0"/>
        <w:jc w:val="both"/>
        <w:rPr>
          <w:sz w:val="20"/>
        </w:rPr>
      </w:pPr>
      <w:r>
        <w:rPr>
          <w:rFonts w:ascii="Arial" w:hAnsi="Arial"/>
          <w:b/>
          <w:sz w:val="20"/>
        </w:rPr>
        <w:t>Densificación: </w:t>
      </w:r>
      <w:r>
        <w:rPr>
          <w:sz w:val="20"/>
        </w:rPr>
        <w:t>acción urbanística cuya</w:t>
      </w:r>
      <w:r>
        <w:rPr>
          <w:spacing w:val="-1"/>
          <w:sz w:val="20"/>
        </w:rPr>
        <w:t> </w:t>
      </w:r>
      <w:r>
        <w:rPr>
          <w:sz w:val="20"/>
        </w:rPr>
        <w:t>finalidad</w:t>
      </w:r>
      <w:r>
        <w:rPr>
          <w:spacing w:val="-1"/>
          <w:sz w:val="20"/>
        </w:rPr>
        <w:t> </w:t>
      </w:r>
      <w:r>
        <w:rPr>
          <w:sz w:val="20"/>
        </w:rPr>
        <w:t>es incrementar el número de habitantes y la</w:t>
      </w:r>
      <w:r>
        <w:rPr>
          <w:spacing w:val="-2"/>
          <w:sz w:val="20"/>
        </w:rPr>
        <w:t> </w:t>
      </w:r>
      <w:r>
        <w:rPr>
          <w:sz w:val="20"/>
        </w:rPr>
        <w:t>población</w:t>
      </w:r>
      <w:r>
        <w:rPr>
          <w:spacing w:val="-3"/>
          <w:sz w:val="20"/>
        </w:rPr>
        <w:t> </w:t>
      </w:r>
      <w:r>
        <w:rPr>
          <w:sz w:val="20"/>
        </w:rPr>
        <w:t>flotante por unidad</w:t>
      </w:r>
      <w:r>
        <w:rPr>
          <w:spacing w:val="-2"/>
          <w:sz w:val="20"/>
        </w:rPr>
        <w:t> </w:t>
      </w:r>
      <w:r>
        <w:rPr>
          <w:sz w:val="20"/>
        </w:rPr>
        <w:t>de superficie,</w:t>
      </w:r>
      <w:r>
        <w:rPr>
          <w:spacing w:val="-2"/>
          <w:sz w:val="20"/>
        </w:rPr>
        <w:t> </w:t>
      </w:r>
      <w:r>
        <w:rPr>
          <w:sz w:val="20"/>
        </w:rPr>
        <w:t>considerando la capacidad</w:t>
      </w:r>
      <w:r>
        <w:rPr>
          <w:spacing w:val="-2"/>
          <w:sz w:val="20"/>
        </w:rPr>
        <w:t> </w:t>
      </w:r>
      <w:r>
        <w:rPr>
          <w:sz w:val="20"/>
        </w:rPr>
        <w:t>de</w:t>
      </w:r>
      <w:r>
        <w:rPr>
          <w:spacing w:val="-2"/>
          <w:sz w:val="20"/>
        </w:rPr>
        <w:t> </w:t>
      </w:r>
      <w:r>
        <w:rPr>
          <w:sz w:val="20"/>
        </w:rPr>
        <w:t>soporte</w:t>
      </w:r>
      <w:r>
        <w:rPr>
          <w:spacing w:val="-2"/>
          <w:sz w:val="20"/>
        </w:rPr>
        <w:t> </w:t>
      </w:r>
      <w:r>
        <w:rPr>
          <w:sz w:val="20"/>
        </w:rPr>
        <w:t>del</w:t>
      </w:r>
      <w:r>
        <w:rPr>
          <w:spacing w:val="-3"/>
          <w:sz w:val="20"/>
        </w:rPr>
        <w:t> </w:t>
      </w:r>
      <w:r>
        <w:rPr>
          <w:sz w:val="20"/>
        </w:rPr>
        <w:t>territorio</w:t>
      </w:r>
      <w:r>
        <w:rPr>
          <w:spacing w:val="-2"/>
          <w:sz w:val="20"/>
        </w:rPr>
        <w:t> </w:t>
      </w:r>
      <w:r>
        <w:rPr>
          <w:sz w:val="20"/>
        </w:rPr>
        <w:t>y. en su caso, adecuando los espacios públicos y sus infraestructuras;</w:t>
      </w:r>
    </w:p>
    <w:p>
      <w:pPr>
        <w:pStyle w:val="BodyText"/>
      </w:pPr>
    </w:p>
    <w:p>
      <w:pPr>
        <w:pStyle w:val="ListParagraph"/>
        <w:numPr>
          <w:ilvl w:val="0"/>
          <w:numId w:val="3"/>
        </w:numPr>
        <w:tabs>
          <w:tab w:pos="1023" w:val="left" w:leader="none"/>
        </w:tabs>
        <w:spacing w:line="240" w:lineRule="auto" w:before="0" w:after="0"/>
        <w:ind w:left="262" w:right="287" w:firstLine="0"/>
        <w:jc w:val="both"/>
        <w:rPr>
          <w:sz w:val="20"/>
        </w:rPr>
      </w:pPr>
      <w:r>
        <w:rPr>
          <w:rFonts w:ascii="Arial" w:hAnsi="Arial"/>
          <w:b/>
          <w:sz w:val="20"/>
        </w:rPr>
        <w:t>Derecho de vía: </w:t>
      </w:r>
      <w:r>
        <w:rPr>
          <w:sz w:val="20"/>
        </w:rPr>
        <w:t>la franja de terreno de restricción federal, estatal o municipal que, en las dimensiones correspondientes, se requiere para la construcción, conservación, ampliación, protección y en general para el uso adecuado de una vía de comunicación terrestre;</w:t>
      </w:r>
    </w:p>
    <w:p>
      <w:pPr>
        <w:pStyle w:val="ListParagraph"/>
        <w:numPr>
          <w:ilvl w:val="0"/>
          <w:numId w:val="3"/>
        </w:numPr>
        <w:tabs>
          <w:tab w:pos="1112" w:val="left" w:leader="none"/>
        </w:tabs>
        <w:spacing w:line="240" w:lineRule="auto" w:before="229" w:after="0"/>
        <w:ind w:left="262" w:right="282" w:firstLine="0"/>
        <w:jc w:val="both"/>
        <w:rPr>
          <w:sz w:val="20"/>
        </w:rPr>
      </w:pPr>
      <w:r>
        <w:rPr>
          <w:rFonts w:ascii="Arial" w:hAnsi="Arial"/>
          <w:b/>
          <w:sz w:val="20"/>
        </w:rPr>
        <w:t>Desarrollo metropolitano: </w:t>
      </w:r>
      <w:r>
        <w:rPr>
          <w:sz w:val="20"/>
        </w:rPr>
        <w:t>proceso de planeación, regulación, gestión, financiamiento y ejecución</w:t>
      </w:r>
      <w:r>
        <w:rPr>
          <w:spacing w:val="-3"/>
          <w:sz w:val="20"/>
        </w:rPr>
        <w:t> </w:t>
      </w:r>
      <w:r>
        <w:rPr>
          <w:sz w:val="20"/>
        </w:rPr>
        <w:t>de</w:t>
      </w:r>
      <w:r>
        <w:rPr>
          <w:spacing w:val="-2"/>
          <w:sz w:val="20"/>
        </w:rPr>
        <w:t> </w:t>
      </w:r>
      <w:r>
        <w:rPr>
          <w:sz w:val="20"/>
        </w:rPr>
        <w:t>acciones,</w:t>
      </w:r>
      <w:r>
        <w:rPr>
          <w:spacing w:val="-2"/>
          <w:sz w:val="20"/>
        </w:rPr>
        <w:t> </w:t>
      </w:r>
      <w:r>
        <w:rPr>
          <w:sz w:val="20"/>
        </w:rPr>
        <w:t>obras</w:t>
      </w:r>
      <w:r>
        <w:rPr>
          <w:spacing w:val="-1"/>
          <w:sz w:val="20"/>
        </w:rPr>
        <w:t> </w:t>
      </w:r>
      <w:r>
        <w:rPr>
          <w:sz w:val="20"/>
        </w:rPr>
        <w:t>y</w:t>
      </w:r>
      <w:r>
        <w:rPr>
          <w:spacing w:val="-1"/>
          <w:sz w:val="20"/>
        </w:rPr>
        <w:t> </w:t>
      </w:r>
      <w:r>
        <w:rPr>
          <w:sz w:val="20"/>
        </w:rPr>
        <w:t>servicios,</w:t>
      </w:r>
      <w:r>
        <w:rPr>
          <w:spacing w:val="-2"/>
          <w:sz w:val="20"/>
        </w:rPr>
        <w:t> </w:t>
      </w:r>
      <w:r>
        <w:rPr>
          <w:sz w:val="20"/>
        </w:rPr>
        <w:t>en</w:t>
      </w:r>
      <w:r>
        <w:rPr>
          <w:spacing w:val="-3"/>
          <w:sz w:val="20"/>
        </w:rPr>
        <w:t> </w:t>
      </w:r>
      <w:r>
        <w:rPr>
          <w:sz w:val="20"/>
        </w:rPr>
        <w:t>zonas</w:t>
      </w:r>
      <w:r>
        <w:rPr>
          <w:spacing w:val="-1"/>
          <w:sz w:val="20"/>
        </w:rPr>
        <w:t> </w:t>
      </w:r>
      <w:r>
        <w:rPr>
          <w:sz w:val="20"/>
        </w:rPr>
        <w:t>metropolitanas,</w:t>
      </w:r>
      <w:r>
        <w:rPr>
          <w:spacing w:val="-2"/>
          <w:sz w:val="20"/>
        </w:rPr>
        <w:t> </w:t>
      </w:r>
      <w:r>
        <w:rPr>
          <w:sz w:val="20"/>
        </w:rPr>
        <w:t>que por</w:t>
      </w:r>
      <w:r>
        <w:rPr>
          <w:spacing w:val="-1"/>
          <w:sz w:val="20"/>
        </w:rPr>
        <w:t> </w:t>
      </w:r>
      <w:r>
        <w:rPr>
          <w:sz w:val="20"/>
        </w:rPr>
        <w:t>su</w:t>
      </w:r>
      <w:r>
        <w:rPr>
          <w:spacing w:val="-2"/>
          <w:sz w:val="20"/>
        </w:rPr>
        <w:t> </w:t>
      </w:r>
      <w:r>
        <w:rPr>
          <w:sz w:val="20"/>
        </w:rPr>
        <w:t>población,</w:t>
      </w:r>
      <w:r>
        <w:rPr>
          <w:spacing w:val="-2"/>
          <w:sz w:val="20"/>
        </w:rPr>
        <w:t> </w:t>
      </w:r>
      <w:r>
        <w:rPr>
          <w:sz w:val="20"/>
        </w:rPr>
        <w:t>extensión y complejidad, deberán participar en forma coordinada los tres órdenes de gobierno de acuerdo a sus atribuciones;</w:t>
      </w:r>
    </w:p>
    <w:p>
      <w:pPr>
        <w:pStyle w:val="BodyText"/>
      </w:pPr>
    </w:p>
    <w:p>
      <w:pPr>
        <w:pStyle w:val="ListParagraph"/>
        <w:numPr>
          <w:ilvl w:val="0"/>
          <w:numId w:val="3"/>
        </w:numPr>
        <w:tabs>
          <w:tab w:pos="1112" w:val="left" w:leader="none"/>
        </w:tabs>
        <w:spacing w:line="240" w:lineRule="auto" w:before="0" w:after="0"/>
        <w:ind w:left="262" w:right="278" w:firstLine="0"/>
        <w:jc w:val="both"/>
        <w:rPr>
          <w:sz w:val="20"/>
        </w:rPr>
      </w:pPr>
      <w:r>
        <w:rPr>
          <w:rFonts w:ascii="Arial" w:hAnsi="Arial"/>
          <w:b/>
          <w:sz w:val="20"/>
        </w:rPr>
        <w:t>Desarrollo urbano sostenible: </w:t>
      </w:r>
      <w:r>
        <w:rPr>
          <w:sz w:val="20"/>
        </w:rPr>
        <w:t>proceso de planeación y regulación de la fundación, conservación, mejoramiento y crecimiento de los centros de población; </w:t>
      </w:r>
      <w:r>
        <w:rPr>
          <w:color w:val="212121"/>
          <w:sz w:val="20"/>
        </w:rPr>
        <w:t>que procura la mejora duradera</w:t>
      </w:r>
      <w:r>
        <w:rPr>
          <w:color w:val="212121"/>
          <w:spacing w:val="-6"/>
          <w:sz w:val="20"/>
        </w:rPr>
        <w:t> </w:t>
      </w:r>
      <w:r>
        <w:rPr>
          <w:color w:val="212121"/>
          <w:sz w:val="20"/>
        </w:rPr>
        <w:t>y</w:t>
      </w:r>
      <w:r>
        <w:rPr>
          <w:color w:val="212121"/>
          <w:spacing w:val="-5"/>
          <w:sz w:val="20"/>
        </w:rPr>
        <w:t> </w:t>
      </w:r>
      <w:r>
        <w:rPr>
          <w:color w:val="212121"/>
          <w:sz w:val="20"/>
        </w:rPr>
        <w:t>a</w:t>
      </w:r>
      <w:r>
        <w:rPr>
          <w:color w:val="212121"/>
          <w:spacing w:val="-5"/>
          <w:sz w:val="20"/>
        </w:rPr>
        <w:t> </w:t>
      </w:r>
      <w:r>
        <w:rPr>
          <w:color w:val="212121"/>
          <w:sz w:val="20"/>
        </w:rPr>
        <w:t>largo</w:t>
      </w:r>
      <w:r>
        <w:rPr>
          <w:color w:val="212121"/>
          <w:spacing w:val="-7"/>
          <w:sz w:val="20"/>
        </w:rPr>
        <w:t> </w:t>
      </w:r>
      <w:r>
        <w:rPr>
          <w:color w:val="212121"/>
          <w:sz w:val="20"/>
        </w:rPr>
        <w:t>plazo</w:t>
      </w:r>
      <w:r>
        <w:rPr>
          <w:color w:val="212121"/>
          <w:spacing w:val="-5"/>
          <w:sz w:val="20"/>
        </w:rPr>
        <w:t> </w:t>
      </w:r>
      <w:r>
        <w:rPr>
          <w:color w:val="212121"/>
          <w:sz w:val="20"/>
        </w:rPr>
        <w:t>de</w:t>
      </w:r>
      <w:r>
        <w:rPr>
          <w:color w:val="212121"/>
          <w:spacing w:val="-5"/>
          <w:sz w:val="20"/>
        </w:rPr>
        <w:t> </w:t>
      </w:r>
      <w:r>
        <w:rPr>
          <w:color w:val="212121"/>
          <w:sz w:val="20"/>
        </w:rPr>
        <w:t>las</w:t>
      </w:r>
      <w:r>
        <w:rPr>
          <w:color w:val="212121"/>
          <w:spacing w:val="-6"/>
          <w:sz w:val="20"/>
        </w:rPr>
        <w:t> </w:t>
      </w:r>
      <w:r>
        <w:rPr>
          <w:color w:val="212121"/>
          <w:sz w:val="20"/>
        </w:rPr>
        <w:t>condiciones</w:t>
      </w:r>
      <w:r>
        <w:rPr>
          <w:color w:val="212121"/>
          <w:spacing w:val="-6"/>
          <w:sz w:val="20"/>
        </w:rPr>
        <w:t> </w:t>
      </w:r>
      <w:r>
        <w:rPr>
          <w:color w:val="212121"/>
          <w:sz w:val="20"/>
        </w:rPr>
        <w:t>sociales,</w:t>
      </w:r>
      <w:r>
        <w:rPr>
          <w:color w:val="212121"/>
          <w:spacing w:val="-6"/>
          <w:sz w:val="20"/>
        </w:rPr>
        <w:t> </w:t>
      </w:r>
      <w:r>
        <w:rPr>
          <w:color w:val="212121"/>
          <w:sz w:val="20"/>
        </w:rPr>
        <w:t>económicas</w:t>
      </w:r>
      <w:r>
        <w:rPr>
          <w:color w:val="212121"/>
          <w:spacing w:val="-6"/>
          <w:sz w:val="20"/>
        </w:rPr>
        <w:t> </w:t>
      </w:r>
      <w:r>
        <w:rPr>
          <w:color w:val="212121"/>
          <w:sz w:val="20"/>
        </w:rPr>
        <w:t>y</w:t>
      </w:r>
      <w:r>
        <w:rPr>
          <w:color w:val="212121"/>
          <w:spacing w:val="-5"/>
          <w:sz w:val="20"/>
        </w:rPr>
        <w:t> </w:t>
      </w:r>
      <w:r>
        <w:rPr>
          <w:color w:val="212121"/>
          <w:sz w:val="20"/>
        </w:rPr>
        <w:t>ambientales</w:t>
      </w:r>
      <w:r>
        <w:rPr>
          <w:color w:val="212121"/>
          <w:spacing w:val="-3"/>
          <w:sz w:val="20"/>
        </w:rPr>
        <w:t> </w:t>
      </w:r>
      <w:r>
        <w:rPr>
          <w:color w:val="212121"/>
          <w:sz w:val="20"/>
        </w:rPr>
        <w:t>de</w:t>
      </w:r>
      <w:r>
        <w:rPr>
          <w:color w:val="212121"/>
          <w:spacing w:val="-7"/>
          <w:sz w:val="20"/>
        </w:rPr>
        <w:t> </w:t>
      </w:r>
      <w:r>
        <w:rPr>
          <w:color w:val="212121"/>
          <w:sz w:val="20"/>
        </w:rPr>
        <w:t>un</w:t>
      </w:r>
      <w:r>
        <w:rPr>
          <w:color w:val="212121"/>
          <w:spacing w:val="-5"/>
          <w:sz w:val="20"/>
        </w:rPr>
        <w:t> </w:t>
      </w:r>
      <w:r>
        <w:rPr>
          <w:color w:val="212121"/>
          <w:sz w:val="20"/>
        </w:rPr>
        <w:t>área urbana;</w:t>
      </w:r>
    </w:p>
    <w:p>
      <w:pPr>
        <w:pStyle w:val="BodyText"/>
        <w:spacing w:before="1"/>
      </w:pPr>
    </w:p>
    <w:p>
      <w:pPr>
        <w:pStyle w:val="ListParagraph"/>
        <w:numPr>
          <w:ilvl w:val="0"/>
          <w:numId w:val="3"/>
        </w:numPr>
        <w:tabs>
          <w:tab w:pos="1337" w:val="left" w:leader="none"/>
        </w:tabs>
        <w:spacing w:line="240" w:lineRule="auto" w:before="0" w:after="0"/>
        <w:ind w:left="262" w:right="284" w:firstLine="0"/>
        <w:jc w:val="both"/>
        <w:rPr>
          <w:sz w:val="20"/>
        </w:rPr>
      </w:pPr>
      <w:r>
        <w:rPr>
          <w:rFonts w:ascii="Arial" w:hAnsi="Arial"/>
          <w:b/>
          <w:sz w:val="20"/>
        </w:rPr>
        <w:t>Destinos: </w:t>
      </w:r>
      <w:r>
        <w:rPr>
          <w:sz w:val="20"/>
        </w:rPr>
        <w:t>fines públicos a que se prevea dedicar determinadas zonas o predios de un centro de población;</w:t>
      </w:r>
    </w:p>
    <w:p>
      <w:pPr>
        <w:pStyle w:val="BodyText"/>
      </w:pPr>
    </w:p>
    <w:p>
      <w:pPr>
        <w:pStyle w:val="ListParagraph"/>
        <w:numPr>
          <w:ilvl w:val="0"/>
          <w:numId w:val="3"/>
        </w:numPr>
        <w:tabs>
          <w:tab w:pos="1112" w:val="left" w:leader="none"/>
        </w:tabs>
        <w:spacing w:line="240" w:lineRule="auto" w:before="0" w:after="0"/>
        <w:ind w:left="1112" w:right="0" w:hanging="850"/>
        <w:jc w:val="both"/>
        <w:rPr>
          <w:sz w:val="20"/>
        </w:rPr>
      </w:pPr>
      <w:r>
        <w:rPr>
          <w:rFonts w:ascii="Arial" w:hAnsi="Arial"/>
          <w:b/>
          <w:sz w:val="20"/>
        </w:rPr>
        <w:t>Densidad</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vivienda:</w:t>
      </w:r>
      <w:r>
        <w:rPr>
          <w:rFonts w:ascii="Arial" w:hAnsi="Arial"/>
          <w:b/>
          <w:spacing w:val="-5"/>
          <w:sz w:val="20"/>
        </w:rPr>
        <w:t> </w:t>
      </w:r>
      <w:r>
        <w:rPr>
          <w:sz w:val="20"/>
        </w:rPr>
        <w:t>número</w:t>
      </w:r>
      <w:r>
        <w:rPr>
          <w:spacing w:val="-7"/>
          <w:sz w:val="20"/>
        </w:rPr>
        <w:t> </w:t>
      </w:r>
      <w:r>
        <w:rPr>
          <w:sz w:val="20"/>
        </w:rPr>
        <w:t>total</w:t>
      </w:r>
      <w:r>
        <w:rPr>
          <w:spacing w:val="-8"/>
          <w:sz w:val="20"/>
        </w:rPr>
        <w:t> </w:t>
      </w:r>
      <w:r>
        <w:rPr>
          <w:sz w:val="20"/>
        </w:rPr>
        <w:t>de</w:t>
      </w:r>
      <w:r>
        <w:rPr>
          <w:spacing w:val="-6"/>
          <w:sz w:val="20"/>
        </w:rPr>
        <w:t> </w:t>
      </w:r>
      <w:r>
        <w:rPr>
          <w:sz w:val="20"/>
        </w:rPr>
        <w:t>viviendas</w:t>
      </w:r>
      <w:r>
        <w:rPr>
          <w:spacing w:val="-4"/>
          <w:sz w:val="20"/>
        </w:rPr>
        <w:t> </w:t>
      </w:r>
      <w:r>
        <w:rPr>
          <w:sz w:val="20"/>
        </w:rPr>
        <w:t>por</w:t>
      </w:r>
      <w:r>
        <w:rPr>
          <w:spacing w:val="-5"/>
          <w:sz w:val="20"/>
        </w:rPr>
        <w:t> </w:t>
      </w:r>
      <w:r>
        <w:rPr>
          <w:spacing w:val="-2"/>
          <w:sz w:val="20"/>
        </w:rPr>
        <w:t>hectáreas;</w:t>
      </w:r>
    </w:p>
    <w:p>
      <w:pPr>
        <w:pStyle w:val="BodyText"/>
        <w:spacing w:before="1"/>
      </w:pPr>
    </w:p>
    <w:p>
      <w:pPr>
        <w:pStyle w:val="ListParagraph"/>
        <w:numPr>
          <w:ilvl w:val="0"/>
          <w:numId w:val="3"/>
        </w:numPr>
        <w:tabs>
          <w:tab w:pos="1167" w:val="left" w:leader="none"/>
        </w:tabs>
        <w:spacing w:line="240" w:lineRule="auto" w:before="0" w:after="0"/>
        <w:ind w:left="262" w:right="286" w:firstLine="0"/>
        <w:jc w:val="both"/>
        <w:rPr>
          <w:sz w:val="20"/>
        </w:rPr>
      </w:pPr>
      <w:r>
        <w:rPr>
          <w:rFonts w:ascii="Arial" w:hAnsi="Arial"/>
          <w:b/>
          <w:sz w:val="20"/>
        </w:rPr>
        <w:t>Dirección Municipal: </w:t>
      </w:r>
      <w:r>
        <w:rPr>
          <w:sz w:val="20"/>
        </w:rPr>
        <w:t>la Dirección de Desarrollo Urbano o la que haga sus veces en las administración Pública Municipal;</w:t>
      </w:r>
    </w:p>
    <w:p>
      <w:pPr>
        <w:pStyle w:val="ListParagraph"/>
        <w:numPr>
          <w:ilvl w:val="0"/>
          <w:numId w:val="3"/>
        </w:numPr>
        <w:tabs>
          <w:tab w:pos="1337" w:val="left" w:leader="none"/>
        </w:tabs>
        <w:spacing w:line="240" w:lineRule="auto" w:before="229" w:after="0"/>
        <w:ind w:left="262" w:right="283" w:firstLine="0"/>
        <w:jc w:val="both"/>
        <w:rPr>
          <w:sz w:val="20"/>
        </w:rPr>
      </w:pPr>
      <w:r>
        <w:rPr>
          <w:rFonts w:ascii="Arial" w:hAnsi="Arial"/>
          <w:b/>
          <w:sz w:val="20"/>
        </w:rPr>
        <w:t>Director responsable de obra DRO: </w:t>
      </w:r>
      <w:r>
        <w:rPr>
          <w:sz w:val="20"/>
        </w:rPr>
        <w:t>son los profesionales auxiliares de la administración</w:t>
      </w:r>
      <w:r>
        <w:rPr>
          <w:spacing w:val="-8"/>
          <w:sz w:val="20"/>
        </w:rPr>
        <w:t> </w:t>
      </w:r>
      <w:r>
        <w:rPr>
          <w:sz w:val="20"/>
        </w:rPr>
        <w:t>municipal</w:t>
      </w:r>
      <w:r>
        <w:rPr>
          <w:spacing w:val="-8"/>
          <w:sz w:val="20"/>
        </w:rPr>
        <w:t> </w:t>
      </w:r>
      <w:r>
        <w:rPr>
          <w:sz w:val="20"/>
        </w:rPr>
        <w:t>que</w:t>
      </w:r>
      <w:r>
        <w:rPr>
          <w:spacing w:val="-9"/>
          <w:sz w:val="20"/>
        </w:rPr>
        <w:t> </w:t>
      </w:r>
      <w:r>
        <w:rPr>
          <w:sz w:val="20"/>
        </w:rPr>
        <w:t>facultados</w:t>
      </w:r>
      <w:r>
        <w:rPr>
          <w:spacing w:val="-8"/>
          <w:sz w:val="20"/>
        </w:rPr>
        <w:t> </w:t>
      </w:r>
      <w:r>
        <w:rPr>
          <w:sz w:val="20"/>
        </w:rPr>
        <w:t>por</w:t>
      </w:r>
      <w:r>
        <w:rPr>
          <w:spacing w:val="-8"/>
          <w:sz w:val="20"/>
        </w:rPr>
        <w:t> </w:t>
      </w:r>
      <w:r>
        <w:rPr>
          <w:sz w:val="20"/>
        </w:rPr>
        <w:t>la</w:t>
      </w:r>
      <w:r>
        <w:rPr>
          <w:spacing w:val="-8"/>
          <w:sz w:val="20"/>
        </w:rPr>
        <w:t> </w:t>
      </w:r>
      <w:r>
        <w:rPr>
          <w:sz w:val="20"/>
        </w:rPr>
        <w:t>Ley,</w:t>
      </w:r>
      <w:r>
        <w:rPr>
          <w:spacing w:val="-9"/>
          <w:sz w:val="20"/>
        </w:rPr>
        <w:t> </w:t>
      </w:r>
      <w:r>
        <w:rPr>
          <w:sz w:val="20"/>
        </w:rPr>
        <w:t>y</w:t>
      </w:r>
      <w:r>
        <w:rPr>
          <w:spacing w:val="-4"/>
          <w:sz w:val="20"/>
        </w:rPr>
        <w:t> </w:t>
      </w:r>
      <w:r>
        <w:rPr>
          <w:sz w:val="20"/>
        </w:rPr>
        <w:t>avalados</w:t>
      </w:r>
      <w:r>
        <w:rPr>
          <w:spacing w:val="-6"/>
          <w:sz w:val="20"/>
        </w:rPr>
        <w:t> </w:t>
      </w:r>
      <w:r>
        <w:rPr>
          <w:sz w:val="20"/>
        </w:rPr>
        <w:t>por</w:t>
      </w:r>
      <w:r>
        <w:rPr>
          <w:spacing w:val="-7"/>
          <w:sz w:val="20"/>
        </w:rPr>
        <w:t> </w:t>
      </w:r>
      <w:r>
        <w:rPr>
          <w:sz w:val="20"/>
        </w:rPr>
        <w:t>la</w:t>
      </w:r>
      <w:r>
        <w:rPr>
          <w:spacing w:val="-8"/>
          <w:sz w:val="20"/>
        </w:rPr>
        <w:t> </w:t>
      </w:r>
      <w:r>
        <w:rPr>
          <w:sz w:val="20"/>
        </w:rPr>
        <w:t>Comisión</w:t>
      </w:r>
      <w:r>
        <w:rPr>
          <w:spacing w:val="-8"/>
          <w:sz w:val="20"/>
        </w:rPr>
        <w:t> </w:t>
      </w:r>
      <w:r>
        <w:rPr>
          <w:sz w:val="20"/>
        </w:rPr>
        <w:t>Estatal</w:t>
      </w:r>
      <w:r>
        <w:rPr>
          <w:spacing w:val="-8"/>
          <w:sz w:val="20"/>
        </w:rPr>
        <w:t> </w:t>
      </w:r>
      <w:r>
        <w:rPr>
          <w:sz w:val="20"/>
        </w:rPr>
        <w:t>de</w:t>
      </w:r>
      <w:r>
        <w:rPr>
          <w:spacing w:val="-6"/>
          <w:sz w:val="20"/>
        </w:rPr>
        <w:t> </w:t>
      </w:r>
      <w:r>
        <w:rPr>
          <w:sz w:val="20"/>
        </w:rPr>
        <w:t>Admisión, Evaluación y Certificación de Directores Responsables de Obra y Especialistas Corresponsables, tienen</w:t>
      </w:r>
      <w:r>
        <w:rPr>
          <w:spacing w:val="16"/>
          <w:sz w:val="20"/>
        </w:rPr>
        <w:t> </w:t>
      </w:r>
      <w:r>
        <w:rPr>
          <w:sz w:val="20"/>
        </w:rPr>
        <w:t>la</w:t>
      </w:r>
      <w:r>
        <w:rPr>
          <w:spacing w:val="16"/>
          <w:sz w:val="20"/>
        </w:rPr>
        <w:t> </w:t>
      </w:r>
      <w:r>
        <w:rPr>
          <w:sz w:val="20"/>
        </w:rPr>
        <w:t>capacidad</w:t>
      </w:r>
      <w:r>
        <w:rPr>
          <w:spacing w:val="19"/>
          <w:sz w:val="20"/>
        </w:rPr>
        <w:t> </w:t>
      </w:r>
      <w:r>
        <w:rPr>
          <w:sz w:val="20"/>
        </w:rPr>
        <w:t>para</w:t>
      </w:r>
      <w:r>
        <w:rPr>
          <w:spacing w:val="16"/>
          <w:sz w:val="20"/>
        </w:rPr>
        <w:t> </w:t>
      </w:r>
      <w:r>
        <w:rPr>
          <w:sz w:val="20"/>
        </w:rPr>
        <w:t>asumir</w:t>
      </w:r>
      <w:r>
        <w:rPr>
          <w:spacing w:val="17"/>
          <w:sz w:val="20"/>
        </w:rPr>
        <w:t> </w:t>
      </w:r>
      <w:r>
        <w:rPr>
          <w:sz w:val="20"/>
        </w:rPr>
        <w:t>la</w:t>
      </w:r>
      <w:r>
        <w:rPr>
          <w:spacing w:val="16"/>
          <w:sz w:val="20"/>
        </w:rPr>
        <w:t> </w:t>
      </w:r>
      <w:r>
        <w:rPr>
          <w:sz w:val="20"/>
        </w:rPr>
        <w:t>responsabilidad</w:t>
      </w:r>
      <w:r>
        <w:rPr>
          <w:spacing w:val="16"/>
          <w:sz w:val="20"/>
        </w:rPr>
        <w:t> </w:t>
      </w:r>
      <w:r>
        <w:rPr>
          <w:sz w:val="20"/>
        </w:rPr>
        <w:t>técnica</w:t>
      </w:r>
      <w:r>
        <w:rPr>
          <w:spacing w:val="16"/>
          <w:sz w:val="20"/>
        </w:rPr>
        <w:t> </w:t>
      </w:r>
      <w:r>
        <w:rPr>
          <w:sz w:val="20"/>
        </w:rPr>
        <w:t>para</w:t>
      </w:r>
      <w:r>
        <w:rPr>
          <w:spacing w:val="16"/>
          <w:sz w:val="20"/>
        </w:rPr>
        <w:t> </w:t>
      </w:r>
      <w:r>
        <w:rPr>
          <w:sz w:val="20"/>
        </w:rPr>
        <w:t>elaborar</w:t>
      </w:r>
      <w:r>
        <w:rPr>
          <w:spacing w:val="17"/>
          <w:sz w:val="20"/>
        </w:rPr>
        <w:t> </w:t>
      </w:r>
      <w:r>
        <w:rPr>
          <w:sz w:val="20"/>
        </w:rPr>
        <w:t>o</w:t>
      </w:r>
      <w:r>
        <w:rPr>
          <w:spacing w:val="16"/>
          <w:sz w:val="20"/>
        </w:rPr>
        <w:t> </w:t>
      </w:r>
      <w:r>
        <w:rPr>
          <w:sz w:val="20"/>
        </w:rPr>
        <w:t>revisar</w:t>
      </w:r>
      <w:r>
        <w:rPr>
          <w:spacing w:val="17"/>
          <w:sz w:val="20"/>
        </w:rPr>
        <w:t> </w:t>
      </w:r>
      <w:r>
        <w:rPr>
          <w:sz w:val="20"/>
        </w:rPr>
        <w:t>los</w:t>
      </w:r>
      <w:r>
        <w:rPr>
          <w:spacing w:val="17"/>
          <w:sz w:val="20"/>
        </w:rPr>
        <w:t> </w:t>
      </w:r>
      <w:r>
        <w:rPr>
          <w:sz w:val="20"/>
        </w:rPr>
        <w:t>proyectos,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3"/>
        <w:jc w:val="both"/>
      </w:pPr>
      <w:r>
        <w:rPr/>
        <w:t>promover su autorización, supervisar las obras de edificación y urbanización, avalando que estas cumplan con lo establecido por esta Ley, los programas de ordenamiento territorial y desarrollo urbano y reglamentos de la materia;</w:t>
      </w:r>
    </w:p>
    <w:p>
      <w:pPr>
        <w:pStyle w:val="BodyText"/>
        <w:spacing w:before="1"/>
      </w:pPr>
    </w:p>
    <w:p>
      <w:pPr>
        <w:spacing w:line="229" w:lineRule="exact" w:before="1"/>
        <w:ind w:left="262" w:right="0" w:firstLine="0"/>
        <w:jc w:val="both"/>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20</w:t>
      </w:r>
      <w:r>
        <w:rPr>
          <w:rFonts w:ascii="Arial"/>
          <w:i/>
          <w:spacing w:val="-8"/>
          <w:sz w:val="20"/>
        </w:rPr>
        <w:t> </w:t>
      </w:r>
      <w:r>
        <w:rPr>
          <w:rFonts w:ascii="Arial"/>
          <w:i/>
          <w:sz w:val="20"/>
        </w:rPr>
        <w:t>FEBRERO</w:t>
      </w:r>
      <w:r>
        <w:rPr>
          <w:rFonts w:ascii="Arial"/>
          <w:i/>
          <w:spacing w:val="-7"/>
          <w:sz w:val="20"/>
        </w:rPr>
        <w:t> </w:t>
      </w:r>
      <w:r>
        <w:rPr>
          <w:rFonts w:ascii="Arial"/>
          <w:i/>
          <w:sz w:val="20"/>
        </w:rPr>
        <w:t>DE</w:t>
      </w:r>
      <w:r>
        <w:rPr>
          <w:rFonts w:ascii="Arial"/>
          <w:i/>
          <w:spacing w:val="-5"/>
          <w:sz w:val="20"/>
        </w:rPr>
        <w:t> </w:t>
      </w:r>
      <w:r>
        <w:rPr>
          <w:rFonts w:ascii="Arial"/>
          <w:i/>
          <w:spacing w:val="-4"/>
          <w:sz w:val="20"/>
        </w:rPr>
        <w:t>2024)</w:t>
      </w:r>
    </w:p>
    <w:p>
      <w:pPr>
        <w:pStyle w:val="ListParagraph"/>
        <w:numPr>
          <w:ilvl w:val="0"/>
          <w:numId w:val="3"/>
        </w:numPr>
        <w:tabs>
          <w:tab w:pos="1337" w:val="left" w:leader="none"/>
        </w:tabs>
        <w:spacing w:line="240" w:lineRule="auto" w:before="0" w:after="0"/>
        <w:ind w:left="262" w:right="276" w:firstLine="0"/>
        <w:jc w:val="both"/>
        <w:rPr>
          <w:sz w:val="20"/>
        </w:rPr>
      </w:pPr>
      <w:r>
        <w:rPr>
          <w:rFonts w:ascii="Arial" w:hAnsi="Arial"/>
          <w:b/>
          <w:sz w:val="20"/>
        </w:rPr>
        <w:t>Equipamiento urbano: </w:t>
      </w:r>
      <w:r>
        <w:rPr>
          <w:sz w:val="20"/>
        </w:rPr>
        <w:t>el conjunto de inmuebles, instalaciones, construcciones, destinadas a prestar a la población servicios públicos de: administración, educación, cultura; comercio, salud y asistencia; deporte, recreación, traslado, transporte, comunicación, y otros, para satisfacer sus necesidades y su bienestar.</w:t>
      </w:r>
    </w:p>
    <w:p>
      <w:pPr>
        <w:pStyle w:val="BodyText"/>
        <w:spacing w:before="1"/>
      </w:pPr>
    </w:p>
    <w:p>
      <w:pPr>
        <w:pStyle w:val="BodyText"/>
        <w:ind w:left="262" w:right="278"/>
        <w:jc w:val="both"/>
      </w:pPr>
      <w:r>
        <w:rPr>
          <w:rFonts w:ascii="Arial" w:hAnsi="Arial"/>
          <w:b/>
        </w:rPr>
        <w:t>XL.</w:t>
      </w:r>
      <w:r>
        <w:rPr>
          <w:rFonts w:ascii="Arial" w:hAnsi="Arial"/>
          <w:b/>
          <w:spacing w:val="40"/>
        </w:rPr>
        <w:t> </w:t>
      </w:r>
      <w:r>
        <w:rPr>
          <w:rFonts w:ascii="Arial" w:hAnsi="Arial"/>
          <w:b/>
        </w:rPr>
        <w:t>Espacio público: </w:t>
      </w:r>
      <w:r>
        <w:rPr/>
        <w:t>áreas o predios destinados al uso, disfrute o aprovechamiento colectivo de acceso generalizado y libre tránsito; Son esenciales para el acceso a la cultura, la convivencia urbana, la cohesión social y para garantizar la movilidad, sustentabilidad, equidad y el sentido incluyente y democrático de las ciudades, que define el derecho a la ciudad;</w:t>
      </w:r>
    </w:p>
    <w:p>
      <w:pPr>
        <w:pStyle w:val="BodyText"/>
      </w:pPr>
    </w:p>
    <w:p>
      <w:pPr>
        <w:pStyle w:val="BodyText"/>
        <w:ind w:left="262" w:right="282"/>
        <w:jc w:val="both"/>
      </w:pPr>
      <w:r>
        <w:rPr>
          <w:rFonts w:ascii="Arial" w:hAnsi="Arial"/>
          <w:b/>
        </w:rPr>
        <w:t>XLI. Estudio de impacto urbano: </w:t>
      </w:r>
      <w:r>
        <w:rPr/>
        <w:t>documento mediante el cual se analizan las externalidades e impactos que genera una obra o proyecto que por su proceso constructivo, funcionamiento o magnitud, rebase la capacidad de la infraestructura, los servicios públicos o los equipamientos urbanos existentes; así como las medidas de mitigación, restauración o compensación necesarias;</w:t>
      </w:r>
    </w:p>
    <w:p>
      <w:pPr>
        <w:pStyle w:val="BodyText"/>
      </w:pPr>
    </w:p>
    <w:p>
      <w:pPr>
        <w:pStyle w:val="BodyText"/>
        <w:ind w:left="262" w:right="286"/>
        <w:jc w:val="both"/>
      </w:pPr>
      <w:r>
        <w:rPr>
          <w:rFonts w:ascii="Arial" w:hAnsi="Arial"/>
          <w:b/>
        </w:rPr>
        <w:t>XLII.</w:t>
      </w:r>
      <w:r>
        <w:rPr>
          <w:rFonts w:ascii="Arial" w:hAnsi="Arial"/>
          <w:b/>
          <w:spacing w:val="80"/>
        </w:rPr>
        <w:t> </w:t>
      </w:r>
      <w:r>
        <w:rPr>
          <w:rFonts w:ascii="Arial" w:hAnsi="Arial"/>
          <w:b/>
        </w:rPr>
        <w:t>Fraccionador: </w:t>
      </w:r>
      <w:r>
        <w:rPr/>
        <w:t>solicitante de una autorización de fraccionamiento o relotificación de un </w:t>
      </w:r>
      <w:r>
        <w:rPr>
          <w:spacing w:val="-2"/>
        </w:rPr>
        <w:t>terreno;</w:t>
      </w:r>
    </w:p>
    <w:p>
      <w:pPr>
        <w:pStyle w:val="BodyText"/>
        <w:spacing w:before="229"/>
        <w:ind w:left="262" w:right="277"/>
        <w:jc w:val="both"/>
      </w:pPr>
      <w:r>
        <w:rPr>
          <w:rFonts w:ascii="Arial" w:hAnsi="Arial"/>
          <w:b/>
        </w:rPr>
        <w:t>XLIII.</w:t>
      </w:r>
      <w:r>
        <w:rPr>
          <w:rFonts w:ascii="Arial" w:hAnsi="Arial"/>
          <w:b/>
          <w:spacing w:val="80"/>
          <w:w w:val="150"/>
        </w:rPr>
        <w:t> </w:t>
      </w:r>
      <w:r>
        <w:rPr>
          <w:rFonts w:ascii="Arial" w:hAnsi="Arial"/>
          <w:b/>
        </w:rPr>
        <w:t>Fraccionamiento: </w:t>
      </w:r>
      <w:r>
        <w:rPr/>
        <w:t>división de un terreno en manzanas y lotes, que requiera del trazo de una o más vías públicas, así como de la ejecución de obras de urbanización que le permitan la dotación</w:t>
      </w:r>
      <w:r>
        <w:rPr>
          <w:spacing w:val="-5"/>
        </w:rPr>
        <w:t> </w:t>
      </w:r>
      <w:r>
        <w:rPr/>
        <w:t>adecuada</w:t>
      </w:r>
      <w:r>
        <w:rPr>
          <w:spacing w:val="-7"/>
        </w:rPr>
        <w:t> </w:t>
      </w:r>
      <w:r>
        <w:rPr/>
        <w:t>de</w:t>
      </w:r>
      <w:r>
        <w:rPr>
          <w:spacing w:val="-4"/>
        </w:rPr>
        <w:t> </w:t>
      </w:r>
      <w:r>
        <w:rPr/>
        <w:t>infraestructura,</w:t>
      </w:r>
      <w:r>
        <w:rPr>
          <w:spacing w:val="-6"/>
        </w:rPr>
        <w:t> </w:t>
      </w:r>
      <w:r>
        <w:rPr/>
        <w:t>equipamiento</w:t>
      </w:r>
      <w:r>
        <w:rPr>
          <w:spacing w:val="-7"/>
        </w:rPr>
        <w:t> </w:t>
      </w:r>
      <w:r>
        <w:rPr/>
        <w:t>y</w:t>
      </w:r>
      <w:r>
        <w:rPr>
          <w:spacing w:val="-3"/>
        </w:rPr>
        <w:t> </w:t>
      </w:r>
      <w:r>
        <w:rPr/>
        <w:t>servicios</w:t>
      </w:r>
      <w:r>
        <w:rPr>
          <w:spacing w:val="-6"/>
        </w:rPr>
        <w:t> </w:t>
      </w:r>
      <w:r>
        <w:rPr/>
        <w:t>urbanos,</w:t>
      </w:r>
      <w:r>
        <w:rPr>
          <w:spacing w:val="-6"/>
        </w:rPr>
        <w:t> </w:t>
      </w:r>
      <w:r>
        <w:rPr/>
        <w:t>conforme</w:t>
      </w:r>
      <w:r>
        <w:rPr>
          <w:spacing w:val="-7"/>
        </w:rPr>
        <w:t> </w:t>
      </w:r>
      <w:r>
        <w:rPr/>
        <w:t>a</w:t>
      </w:r>
      <w:r>
        <w:rPr>
          <w:spacing w:val="-5"/>
        </w:rPr>
        <w:t> </w:t>
      </w:r>
      <w:r>
        <w:rPr/>
        <w:t>la</w:t>
      </w:r>
      <w:r>
        <w:rPr>
          <w:spacing w:val="-5"/>
        </w:rPr>
        <w:t> </w:t>
      </w:r>
      <w:r>
        <w:rPr/>
        <w:t>clasificación y el tipo de fraccionamientos previstos en esta Ley;</w:t>
      </w:r>
    </w:p>
    <w:p>
      <w:pPr>
        <w:pStyle w:val="BodyText"/>
        <w:spacing w:before="230"/>
        <w:ind w:left="262" w:right="285"/>
        <w:jc w:val="both"/>
      </w:pPr>
      <w:r>
        <w:rPr>
          <w:rFonts w:ascii="Arial" w:hAnsi="Arial"/>
          <w:b/>
        </w:rPr>
        <w:t>XLIV.</w:t>
      </w:r>
      <w:r>
        <w:rPr>
          <w:rFonts w:ascii="Arial" w:hAnsi="Arial"/>
          <w:b/>
          <w:spacing w:val="40"/>
        </w:rPr>
        <w:t> </w:t>
      </w:r>
      <w:r>
        <w:rPr>
          <w:rFonts w:ascii="Arial" w:hAnsi="Arial"/>
          <w:b/>
        </w:rPr>
        <w:t>Fundación: </w:t>
      </w:r>
      <w:r>
        <w:rPr/>
        <w:t>acción de establecer un nuevo asentamiento humano en áreas o predios susceptibles</w:t>
      </w:r>
      <w:r>
        <w:rPr>
          <w:spacing w:val="-14"/>
        </w:rPr>
        <w:t> </w:t>
      </w:r>
      <w:r>
        <w:rPr/>
        <w:t>de</w:t>
      </w:r>
      <w:r>
        <w:rPr>
          <w:spacing w:val="-14"/>
        </w:rPr>
        <w:t> </w:t>
      </w:r>
      <w:r>
        <w:rPr/>
        <w:t>aprovechamiento</w:t>
      </w:r>
      <w:r>
        <w:rPr>
          <w:spacing w:val="-14"/>
        </w:rPr>
        <w:t> </w:t>
      </w:r>
      <w:r>
        <w:rPr/>
        <w:t>urbano,</w:t>
      </w:r>
      <w:r>
        <w:rPr>
          <w:spacing w:val="-14"/>
        </w:rPr>
        <w:t> </w:t>
      </w:r>
      <w:r>
        <w:rPr/>
        <w:t>de</w:t>
      </w:r>
      <w:r>
        <w:rPr>
          <w:spacing w:val="-14"/>
        </w:rPr>
        <w:t> </w:t>
      </w:r>
      <w:r>
        <w:rPr/>
        <w:t>conformidad</w:t>
      </w:r>
      <w:r>
        <w:rPr>
          <w:spacing w:val="-14"/>
        </w:rPr>
        <w:t> </w:t>
      </w:r>
      <w:r>
        <w:rPr/>
        <w:t>con</w:t>
      </w:r>
      <w:r>
        <w:rPr>
          <w:spacing w:val="-14"/>
        </w:rPr>
        <w:t> </w:t>
      </w:r>
      <w:r>
        <w:rPr/>
        <w:t>el</w:t>
      </w:r>
      <w:r>
        <w:rPr>
          <w:spacing w:val="-14"/>
        </w:rPr>
        <w:t> </w:t>
      </w:r>
      <w:r>
        <w:rPr/>
        <w:t>Programa</w:t>
      </w:r>
      <w:r>
        <w:rPr>
          <w:spacing w:val="-14"/>
        </w:rPr>
        <w:t> </w:t>
      </w:r>
      <w:r>
        <w:rPr/>
        <w:t>Estatal</w:t>
      </w:r>
      <w:r>
        <w:rPr>
          <w:spacing w:val="-13"/>
        </w:rPr>
        <w:t> </w:t>
      </w:r>
      <w:r>
        <w:rPr/>
        <w:t>de</w:t>
      </w:r>
      <w:r>
        <w:rPr>
          <w:spacing w:val="-14"/>
        </w:rPr>
        <w:t> </w:t>
      </w:r>
      <w:r>
        <w:rPr/>
        <w:t>Ordenamiento Territorial y Desarrollo Urbano;</w:t>
      </w:r>
    </w:p>
    <w:p>
      <w:pPr>
        <w:pStyle w:val="BodyText"/>
        <w:spacing w:before="1"/>
      </w:pPr>
    </w:p>
    <w:p>
      <w:pPr>
        <w:pStyle w:val="BodyText"/>
        <w:ind w:left="262" w:right="286"/>
        <w:jc w:val="both"/>
      </w:pPr>
      <w:r>
        <w:rPr>
          <w:rFonts w:ascii="Arial" w:hAnsi="Arial"/>
          <w:b/>
        </w:rPr>
        <w:t>XLV.</w:t>
      </w:r>
      <w:r>
        <w:rPr>
          <w:rFonts w:ascii="Arial" w:hAnsi="Arial"/>
          <w:b/>
          <w:spacing w:val="80"/>
          <w:w w:val="150"/>
        </w:rPr>
        <w:t> </w:t>
      </w:r>
      <w:r>
        <w:rPr>
          <w:rFonts w:ascii="Arial" w:hAnsi="Arial"/>
          <w:b/>
        </w:rPr>
        <w:t>Fusión: </w:t>
      </w:r>
      <w:r>
        <w:rPr/>
        <w:t>unión de dos o más terrenos, lotes, áreas o predios colindantes para formar uno </w:t>
      </w:r>
      <w:r>
        <w:rPr>
          <w:spacing w:val="-2"/>
        </w:rPr>
        <w:t>solo;</w:t>
      </w:r>
    </w:p>
    <w:p>
      <w:pPr>
        <w:pStyle w:val="BodyText"/>
        <w:spacing w:before="229"/>
        <w:ind w:left="262" w:right="274"/>
        <w:jc w:val="both"/>
      </w:pPr>
      <w:r>
        <w:rPr>
          <w:rFonts w:ascii="Arial" w:hAnsi="Arial"/>
          <w:b/>
        </w:rPr>
        <w:t>XLVI.</w:t>
      </w:r>
      <w:r>
        <w:rPr>
          <w:rFonts w:ascii="Arial" w:hAnsi="Arial"/>
          <w:b/>
          <w:spacing w:val="40"/>
        </w:rPr>
        <w:t> </w:t>
      </w:r>
      <w:r>
        <w:rPr>
          <w:rFonts w:ascii="Arial" w:hAnsi="Arial"/>
          <w:b/>
        </w:rPr>
        <w:t>Gestión integral de riesgos: </w:t>
      </w:r>
      <w:r>
        <w:rPr/>
        <w:t>el conjunto de acciones encaminadas a la identificación, análisis, evaluación, control</w:t>
      </w:r>
      <w:r>
        <w:rPr>
          <w:spacing w:val="-1"/>
        </w:rPr>
        <w:t> </w:t>
      </w:r>
      <w:r>
        <w:rPr/>
        <w:t>y</w:t>
      </w:r>
      <w:r>
        <w:rPr>
          <w:spacing w:val="-1"/>
        </w:rPr>
        <w:t> </w:t>
      </w:r>
      <w:r>
        <w:rPr/>
        <w:t>reducción de los</w:t>
      </w:r>
      <w:r>
        <w:rPr>
          <w:spacing w:val="-1"/>
        </w:rPr>
        <w:t> </w:t>
      </w:r>
      <w:r>
        <w:rPr/>
        <w:t>riesgos, considerándolos</w:t>
      </w:r>
      <w:r>
        <w:rPr>
          <w:spacing w:val="-1"/>
        </w:rPr>
        <w:t> </w:t>
      </w:r>
      <w:r>
        <w:rPr/>
        <w:t>por su</w:t>
      </w:r>
      <w:r>
        <w:rPr>
          <w:spacing w:val="-2"/>
        </w:rPr>
        <w:t> </w:t>
      </w:r>
      <w:r>
        <w:rPr/>
        <w:t>origen multifactorial y</w:t>
      </w:r>
      <w:r>
        <w:rPr>
          <w:spacing w:val="-9"/>
        </w:rPr>
        <w:t> </w:t>
      </w:r>
      <w:r>
        <w:rPr/>
        <w:t>en</w:t>
      </w:r>
      <w:r>
        <w:rPr>
          <w:spacing w:val="-11"/>
        </w:rPr>
        <w:t> </w:t>
      </w:r>
      <w:r>
        <w:rPr/>
        <w:t>un</w:t>
      </w:r>
      <w:r>
        <w:rPr>
          <w:spacing w:val="-10"/>
        </w:rPr>
        <w:t> </w:t>
      </w:r>
      <w:r>
        <w:rPr/>
        <w:t>proceso</w:t>
      </w:r>
      <w:r>
        <w:rPr>
          <w:spacing w:val="-10"/>
        </w:rPr>
        <w:t> </w:t>
      </w:r>
      <w:r>
        <w:rPr/>
        <w:t>permanente</w:t>
      </w:r>
      <w:r>
        <w:rPr>
          <w:spacing w:val="-10"/>
        </w:rPr>
        <w:t> </w:t>
      </w:r>
      <w:r>
        <w:rPr/>
        <w:t>de</w:t>
      </w:r>
      <w:r>
        <w:rPr>
          <w:spacing w:val="-9"/>
        </w:rPr>
        <w:t> </w:t>
      </w:r>
      <w:r>
        <w:rPr/>
        <w:t>construcción</w:t>
      </w:r>
      <w:r>
        <w:rPr>
          <w:spacing w:val="-10"/>
        </w:rPr>
        <w:t> </w:t>
      </w:r>
      <w:r>
        <w:rPr/>
        <w:t>que</w:t>
      </w:r>
      <w:r>
        <w:rPr>
          <w:spacing w:val="-8"/>
        </w:rPr>
        <w:t> </w:t>
      </w:r>
      <w:r>
        <w:rPr/>
        <w:t>involucra</w:t>
      </w:r>
      <w:r>
        <w:rPr>
          <w:spacing w:val="-10"/>
        </w:rPr>
        <w:t> </w:t>
      </w:r>
      <w:r>
        <w:rPr/>
        <w:t>a</w:t>
      </w:r>
      <w:r>
        <w:rPr>
          <w:spacing w:val="-8"/>
        </w:rPr>
        <w:t> </w:t>
      </w:r>
      <w:r>
        <w:rPr/>
        <w:t>los</w:t>
      </w:r>
      <w:r>
        <w:rPr>
          <w:spacing w:val="-9"/>
        </w:rPr>
        <w:t> </w:t>
      </w:r>
      <w:r>
        <w:rPr/>
        <w:t>tres</w:t>
      </w:r>
      <w:r>
        <w:rPr>
          <w:spacing w:val="-7"/>
        </w:rPr>
        <w:t> </w:t>
      </w:r>
      <w:r>
        <w:rPr/>
        <w:t>órdenes</w:t>
      </w:r>
      <w:r>
        <w:rPr>
          <w:spacing w:val="-9"/>
        </w:rPr>
        <w:t> </w:t>
      </w:r>
      <w:r>
        <w:rPr/>
        <w:t>de</w:t>
      </w:r>
      <w:r>
        <w:rPr>
          <w:spacing w:val="-9"/>
        </w:rPr>
        <w:t> </w:t>
      </w:r>
      <w:r>
        <w:rPr/>
        <w:t>gobierno,</w:t>
      </w:r>
      <w:r>
        <w:rPr>
          <w:spacing w:val="-8"/>
        </w:rPr>
        <w:t> </w:t>
      </w:r>
      <w:r>
        <w:rPr/>
        <w:t>así</w:t>
      </w:r>
      <w:r>
        <w:rPr>
          <w:spacing w:val="-10"/>
        </w:rPr>
        <w:t> </w:t>
      </w:r>
      <w:r>
        <w:rPr/>
        <w:t>como a los sectores de la sociedad, lo que facilita la implementación de políticas públicas, estrategias y procedimientos que combatan las causas estructurales de los desastres y fortalezcan las capacidades de resiliencia o resistencia de la sociedad. Comprende la identificación de los riesgos y, en su caso, su proceso de formación, previsión, prevención, mitigación, preparación, auxilio, recuperación y reconstrucción;</w:t>
      </w:r>
    </w:p>
    <w:p>
      <w:pPr>
        <w:pStyle w:val="BodyText"/>
        <w:spacing w:before="2"/>
      </w:pPr>
    </w:p>
    <w:p>
      <w:pPr>
        <w:spacing w:before="0"/>
        <w:ind w:left="262" w:right="0" w:firstLine="0"/>
        <w:jc w:val="both"/>
        <w:rPr>
          <w:sz w:val="20"/>
        </w:rPr>
      </w:pPr>
      <w:r>
        <w:rPr>
          <w:rFonts w:ascii="Arial" w:hAnsi="Arial"/>
          <w:b/>
          <w:sz w:val="20"/>
        </w:rPr>
        <w:t>XLVII.</w:t>
      </w:r>
      <w:r>
        <w:rPr>
          <w:rFonts w:ascii="Arial" w:hAnsi="Arial"/>
          <w:b/>
          <w:spacing w:val="55"/>
          <w:w w:val="150"/>
          <w:sz w:val="20"/>
        </w:rPr>
        <w:t> </w:t>
      </w:r>
      <w:r>
        <w:rPr>
          <w:rFonts w:ascii="Arial" w:hAnsi="Arial"/>
          <w:b/>
          <w:sz w:val="20"/>
        </w:rPr>
        <w:t>INAH:</w:t>
      </w:r>
      <w:r>
        <w:rPr>
          <w:rFonts w:ascii="Arial" w:hAnsi="Arial"/>
          <w:b/>
          <w:spacing w:val="-5"/>
          <w:sz w:val="20"/>
        </w:rPr>
        <w:t> </w:t>
      </w:r>
      <w:r>
        <w:rPr>
          <w:sz w:val="20"/>
        </w:rPr>
        <w:t>Instituto</w:t>
      </w:r>
      <w:r>
        <w:rPr>
          <w:spacing w:val="-5"/>
          <w:sz w:val="20"/>
        </w:rPr>
        <w:t> </w:t>
      </w:r>
      <w:r>
        <w:rPr>
          <w:sz w:val="20"/>
        </w:rPr>
        <w:t>Nacional</w:t>
      </w:r>
      <w:r>
        <w:rPr>
          <w:spacing w:val="-7"/>
          <w:sz w:val="20"/>
        </w:rPr>
        <w:t> </w:t>
      </w:r>
      <w:r>
        <w:rPr>
          <w:sz w:val="20"/>
        </w:rPr>
        <w:t>de</w:t>
      </w:r>
      <w:r>
        <w:rPr>
          <w:spacing w:val="-4"/>
          <w:sz w:val="20"/>
        </w:rPr>
        <w:t> </w:t>
      </w:r>
      <w:r>
        <w:rPr>
          <w:sz w:val="20"/>
        </w:rPr>
        <w:t>Antropología</w:t>
      </w:r>
      <w:r>
        <w:rPr>
          <w:spacing w:val="-7"/>
          <w:sz w:val="20"/>
        </w:rPr>
        <w:t> </w:t>
      </w:r>
      <w:r>
        <w:rPr>
          <w:sz w:val="20"/>
        </w:rPr>
        <w:t>e</w:t>
      </w:r>
      <w:r>
        <w:rPr>
          <w:spacing w:val="-5"/>
          <w:sz w:val="20"/>
        </w:rPr>
        <w:t> </w:t>
      </w:r>
      <w:r>
        <w:rPr>
          <w:spacing w:val="-2"/>
          <w:sz w:val="20"/>
        </w:rPr>
        <w:t>Historia;</w:t>
      </w:r>
    </w:p>
    <w:p>
      <w:pPr>
        <w:pStyle w:val="BodyText"/>
        <w:spacing w:before="229"/>
        <w:ind w:left="262" w:right="283"/>
        <w:jc w:val="both"/>
      </w:pPr>
      <w:r>
        <w:rPr>
          <w:rFonts w:ascii="Arial" w:hAnsi="Arial"/>
          <w:b/>
        </w:rPr>
        <w:t>XLVIII. Infraestructura urbana: </w:t>
      </w:r>
      <w:r>
        <w:rPr/>
        <w:t>sistemas, redes de organización y distribución de bienes y servicios, flujos y elementos de organización funcional, incluyendo aquellas relativas a las telecomunicaciones y radiodifusión, que permite la construcción de espacios adaptados y su articulación para el desarrollo de las actividades sociales, productivas y culturales que se realizan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jc w:val="both"/>
      </w:pPr>
      <w:r>
        <w:rPr/>
        <w:t>en</w:t>
      </w:r>
      <w:r>
        <w:rPr>
          <w:spacing w:val="-6"/>
        </w:rPr>
        <w:t> </w:t>
      </w:r>
      <w:r>
        <w:rPr/>
        <w:t>y</w:t>
      </w:r>
      <w:r>
        <w:rPr>
          <w:spacing w:val="-5"/>
        </w:rPr>
        <w:t> </w:t>
      </w:r>
      <w:r>
        <w:rPr/>
        <w:t>entre</w:t>
      </w:r>
      <w:r>
        <w:rPr>
          <w:spacing w:val="-5"/>
        </w:rPr>
        <w:t> </w:t>
      </w:r>
      <w:r>
        <w:rPr/>
        <w:t>centros</w:t>
      </w:r>
      <w:r>
        <w:rPr>
          <w:spacing w:val="-2"/>
        </w:rPr>
        <w:t> </w:t>
      </w:r>
      <w:r>
        <w:rPr/>
        <w:t>de</w:t>
      </w:r>
      <w:r>
        <w:rPr>
          <w:spacing w:val="-6"/>
        </w:rPr>
        <w:t> </w:t>
      </w:r>
      <w:r>
        <w:rPr>
          <w:spacing w:val="-2"/>
        </w:rPr>
        <w:t>población;</w:t>
      </w:r>
    </w:p>
    <w:p>
      <w:pPr>
        <w:pStyle w:val="BodyText"/>
        <w:spacing w:before="1"/>
      </w:pPr>
    </w:p>
    <w:p>
      <w:pPr>
        <w:pStyle w:val="BodyText"/>
        <w:ind w:left="262" w:right="287"/>
        <w:jc w:val="both"/>
      </w:pPr>
      <w:r>
        <w:rPr>
          <w:rFonts w:ascii="Arial"/>
          <w:b/>
        </w:rPr>
        <w:t>XLIX.</w:t>
      </w:r>
      <w:r>
        <w:rPr>
          <w:rFonts w:ascii="Arial"/>
          <w:b/>
          <w:spacing w:val="40"/>
        </w:rPr>
        <w:t> </w:t>
      </w:r>
      <w:r>
        <w:rPr>
          <w:rFonts w:ascii="Arial"/>
          <w:b/>
        </w:rPr>
        <w:t>Ley General: </w:t>
      </w:r>
      <w:r>
        <w:rPr/>
        <w:t>la Ley General de Asentamientos Humanos, Ordenamiento Territorial y Desarrollo Urbano;</w:t>
      </w:r>
    </w:p>
    <w:p>
      <w:pPr>
        <w:pStyle w:val="BodyText"/>
        <w:spacing w:before="229"/>
        <w:ind w:left="262" w:right="283"/>
        <w:jc w:val="both"/>
      </w:pPr>
      <w:r>
        <w:rPr>
          <w:rFonts w:ascii="Arial" w:hAnsi="Arial"/>
          <w:b/>
        </w:rPr>
        <w:t>L.</w:t>
      </w:r>
      <w:r>
        <w:rPr>
          <w:rFonts w:ascii="Arial" w:hAnsi="Arial"/>
          <w:b/>
          <w:spacing w:val="40"/>
        </w:rPr>
        <w:t> </w:t>
      </w:r>
      <w:r>
        <w:rPr>
          <w:rFonts w:ascii="Arial" w:hAnsi="Arial"/>
          <w:b/>
        </w:rPr>
        <w:t>Licencia de construcción</w:t>
      </w:r>
      <w:r>
        <w:rPr/>
        <w:t>: autorización municipal para la ejecución, modificación, adaptación de una edificación, instalación u obra o alguno de los servicios específicos que señalan esta Ley y demás disposiciones jurídicas aplicables;</w:t>
      </w:r>
    </w:p>
    <w:p>
      <w:pPr>
        <w:pStyle w:val="BodyText"/>
        <w:spacing w:before="1"/>
      </w:pPr>
    </w:p>
    <w:p>
      <w:pPr>
        <w:pStyle w:val="BodyText"/>
        <w:ind w:left="262" w:right="284"/>
        <w:jc w:val="both"/>
      </w:pPr>
      <w:r>
        <w:rPr>
          <w:rFonts w:ascii="Arial"/>
          <w:b/>
        </w:rPr>
        <w:t>LI.</w:t>
      </w:r>
      <w:r>
        <w:rPr>
          <w:rFonts w:ascii="Arial"/>
          <w:b/>
          <w:spacing w:val="-9"/>
        </w:rPr>
        <w:t> </w:t>
      </w:r>
      <w:r>
        <w:rPr>
          <w:rFonts w:ascii="Arial"/>
          <w:b/>
        </w:rPr>
        <w:t>Lote:</w:t>
      </w:r>
      <w:r>
        <w:rPr>
          <w:rFonts w:ascii="Arial"/>
          <w:b/>
          <w:spacing w:val="-8"/>
        </w:rPr>
        <w:t> </w:t>
      </w:r>
      <w:r>
        <w:rPr/>
        <w:t>parte</w:t>
      </w:r>
      <w:r>
        <w:rPr>
          <w:spacing w:val="-9"/>
        </w:rPr>
        <w:t> </w:t>
      </w:r>
      <w:r>
        <w:rPr/>
        <w:t>de</w:t>
      </w:r>
      <w:r>
        <w:rPr>
          <w:spacing w:val="-9"/>
        </w:rPr>
        <w:t> </w:t>
      </w:r>
      <w:r>
        <w:rPr/>
        <w:t>un</w:t>
      </w:r>
      <w:r>
        <w:rPr>
          <w:spacing w:val="-9"/>
        </w:rPr>
        <w:t> </w:t>
      </w:r>
      <w:r>
        <w:rPr/>
        <w:t>terreno</w:t>
      </w:r>
      <w:r>
        <w:rPr>
          <w:spacing w:val="-9"/>
        </w:rPr>
        <w:t> </w:t>
      </w:r>
      <w:r>
        <w:rPr/>
        <w:t>urbanizado,</w:t>
      </w:r>
      <w:r>
        <w:rPr>
          <w:spacing w:val="-9"/>
        </w:rPr>
        <w:t> </w:t>
      </w:r>
      <w:r>
        <w:rPr/>
        <w:t>resultado</w:t>
      </w:r>
      <w:r>
        <w:rPr>
          <w:spacing w:val="-9"/>
        </w:rPr>
        <w:t> </w:t>
      </w:r>
      <w:r>
        <w:rPr/>
        <w:t>de</w:t>
      </w:r>
      <w:r>
        <w:rPr>
          <w:spacing w:val="-9"/>
        </w:rPr>
        <w:t> </w:t>
      </w:r>
      <w:r>
        <w:rPr/>
        <w:t>su</w:t>
      </w:r>
      <w:r>
        <w:rPr>
          <w:spacing w:val="-9"/>
        </w:rPr>
        <w:t> </w:t>
      </w:r>
      <w:r>
        <w:rPr/>
        <w:t>fraccionamiento,</w:t>
      </w:r>
      <w:r>
        <w:rPr>
          <w:spacing w:val="-9"/>
        </w:rPr>
        <w:t> </w:t>
      </w:r>
      <w:r>
        <w:rPr/>
        <w:t>deslindado</w:t>
      </w:r>
      <w:r>
        <w:rPr>
          <w:spacing w:val="-9"/>
        </w:rPr>
        <w:t> </w:t>
      </w:r>
      <w:r>
        <w:rPr/>
        <w:t>dentro</w:t>
      </w:r>
      <w:r>
        <w:rPr>
          <w:spacing w:val="-7"/>
        </w:rPr>
        <w:t> </w:t>
      </w:r>
      <w:r>
        <w:rPr/>
        <w:t>de</w:t>
      </w:r>
      <w:r>
        <w:rPr>
          <w:spacing w:val="-9"/>
        </w:rPr>
        <w:t> </w:t>
      </w:r>
      <w:r>
        <w:rPr/>
        <w:t>una </w:t>
      </w:r>
      <w:r>
        <w:rPr>
          <w:spacing w:val="-2"/>
        </w:rPr>
        <w:t>manzana;</w:t>
      </w:r>
    </w:p>
    <w:p>
      <w:pPr>
        <w:pStyle w:val="BodyText"/>
      </w:pPr>
    </w:p>
    <w:p>
      <w:pPr>
        <w:pStyle w:val="BodyText"/>
        <w:ind w:left="262" w:right="286"/>
        <w:jc w:val="both"/>
      </w:pPr>
      <w:r>
        <w:rPr>
          <w:rFonts w:ascii="Arial" w:hAnsi="Arial"/>
          <w:b/>
        </w:rPr>
        <w:t>LII.</w:t>
      </w:r>
      <w:r>
        <w:rPr>
          <w:rFonts w:ascii="Arial" w:hAnsi="Arial"/>
          <w:b/>
          <w:spacing w:val="76"/>
        </w:rPr>
        <w:t> </w:t>
      </w:r>
      <w:r>
        <w:rPr>
          <w:rFonts w:ascii="Arial" w:hAnsi="Arial"/>
          <w:b/>
        </w:rPr>
        <w:t>Lote mínimo: </w:t>
      </w:r>
      <w:r>
        <w:rPr/>
        <w:t>fracción de terreno con la superficie más pequeña permitida por las normas de la zonificación secundaria correspondiente según el programa de desarrollo urbano aplicable;</w:t>
      </w:r>
    </w:p>
    <w:p>
      <w:pPr>
        <w:pStyle w:val="BodyText"/>
        <w:spacing w:before="1"/>
      </w:pPr>
    </w:p>
    <w:p>
      <w:pPr>
        <w:spacing w:before="0"/>
        <w:ind w:left="262" w:right="0" w:firstLine="0"/>
        <w:jc w:val="both"/>
        <w:rPr>
          <w:sz w:val="20"/>
        </w:rPr>
      </w:pPr>
      <w:r>
        <w:rPr>
          <w:rFonts w:ascii="Arial" w:hAnsi="Arial"/>
          <w:b/>
          <w:sz w:val="20"/>
        </w:rPr>
        <w:t>LIII.</w:t>
      </w:r>
      <w:r>
        <w:rPr>
          <w:rFonts w:ascii="Arial" w:hAnsi="Arial"/>
          <w:b/>
          <w:spacing w:val="18"/>
          <w:sz w:val="20"/>
        </w:rPr>
        <w:t> </w:t>
      </w:r>
      <w:r>
        <w:rPr>
          <w:rFonts w:ascii="Arial" w:hAnsi="Arial"/>
          <w:b/>
          <w:sz w:val="20"/>
        </w:rPr>
        <w:t>Manzana:</w:t>
      </w:r>
      <w:r>
        <w:rPr>
          <w:rFonts w:ascii="Arial" w:hAnsi="Arial"/>
          <w:b/>
          <w:spacing w:val="-5"/>
          <w:sz w:val="20"/>
        </w:rPr>
        <w:t> </w:t>
      </w:r>
      <w:r>
        <w:rPr>
          <w:sz w:val="20"/>
        </w:rPr>
        <w:t>la</w:t>
      </w:r>
      <w:r>
        <w:rPr>
          <w:spacing w:val="-7"/>
          <w:sz w:val="20"/>
        </w:rPr>
        <w:t> </w:t>
      </w:r>
      <w:r>
        <w:rPr>
          <w:sz w:val="20"/>
        </w:rPr>
        <w:t>superficie</w:t>
      </w:r>
      <w:r>
        <w:rPr>
          <w:spacing w:val="-6"/>
          <w:sz w:val="20"/>
        </w:rPr>
        <w:t> </w:t>
      </w:r>
      <w:r>
        <w:rPr>
          <w:sz w:val="20"/>
        </w:rPr>
        <w:t>de</w:t>
      </w:r>
      <w:r>
        <w:rPr>
          <w:spacing w:val="-5"/>
          <w:sz w:val="20"/>
        </w:rPr>
        <w:t> </w:t>
      </w:r>
      <w:r>
        <w:rPr>
          <w:sz w:val="20"/>
        </w:rPr>
        <w:t>terreno</w:t>
      </w:r>
      <w:r>
        <w:rPr>
          <w:spacing w:val="-6"/>
          <w:sz w:val="20"/>
        </w:rPr>
        <w:t> </w:t>
      </w:r>
      <w:r>
        <w:rPr>
          <w:sz w:val="20"/>
        </w:rPr>
        <w:t>delimitada</w:t>
      </w:r>
      <w:r>
        <w:rPr>
          <w:spacing w:val="-7"/>
          <w:sz w:val="20"/>
        </w:rPr>
        <w:t> </w:t>
      </w:r>
      <w:r>
        <w:rPr>
          <w:sz w:val="20"/>
        </w:rPr>
        <w:t>por</w:t>
      </w:r>
      <w:r>
        <w:rPr>
          <w:spacing w:val="-7"/>
          <w:sz w:val="20"/>
        </w:rPr>
        <w:t> </w:t>
      </w:r>
      <w:r>
        <w:rPr>
          <w:sz w:val="20"/>
        </w:rPr>
        <w:t>vías</w:t>
      </w:r>
      <w:r>
        <w:rPr>
          <w:spacing w:val="-3"/>
          <w:sz w:val="20"/>
        </w:rPr>
        <w:t> </w:t>
      </w:r>
      <w:r>
        <w:rPr>
          <w:spacing w:val="-2"/>
          <w:sz w:val="20"/>
        </w:rPr>
        <w:t>públicas;</w:t>
      </w:r>
    </w:p>
    <w:p>
      <w:pPr>
        <w:pStyle w:val="BodyText"/>
        <w:spacing w:before="228"/>
        <w:ind w:left="262" w:right="283"/>
        <w:jc w:val="both"/>
      </w:pPr>
      <w:r>
        <w:rPr>
          <w:rFonts w:ascii="Arial" w:hAnsi="Arial"/>
          <w:b/>
        </w:rPr>
        <w:t>LIV. Medidas de seguridad: </w:t>
      </w:r>
      <w:r>
        <w:rPr/>
        <w:t>adopción y ejecución de las acciones preventivas que con apoyo en esta Ley y las demás disposiciones jurídicas aplicables, sean ordenadas por autoridades competentes, mismas que tendrán por objeto evitar daños, que pongan en riesgo la integridad o seguridad</w:t>
      </w:r>
      <w:r>
        <w:rPr>
          <w:spacing w:val="-6"/>
        </w:rPr>
        <w:t> </w:t>
      </w:r>
      <w:r>
        <w:rPr/>
        <w:t>de</w:t>
      </w:r>
      <w:r>
        <w:rPr>
          <w:spacing w:val="-6"/>
        </w:rPr>
        <w:t> </w:t>
      </w:r>
      <w:r>
        <w:rPr/>
        <w:t>las</w:t>
      </w:r>
      <w:r>
        <w:rPr>
          <w:spacing w:val="-7"/>
        </w:rPr>
        <w:t> </w:t>
      </w:r>
      <w:r>
        <w:rPr/>
        <w:t>personas</w:t>
      </w:r>
      <w:r>
        <w:rPr>
          <w:spacing w:val="-4"/>
        </w:rPr>
        <w:t> </w:t>
      </w:r>
      <w:r>
        <w:rPr/>
        <w:t>o</w:t>
      </w:r>
      <w:r>
        <w:rPr>
          <w:spacing w:val="-8"/>
        </w:rPr>
        <w:t> </w:t>
      </w:r>
      <w:r>
        <w:rPr/>
        <w:t>bienes</w:t>
      </w:r>
      <w:r>
        <w:rPr>
          <w:spacing w:val="-4"/>
        </w:rPr>
        <w:t> </w:t>
      </w:r>
      <w:r>
        <w:rPr/>
        <w:t>o</w:t>
      </w:r>
      <w:r>
        <w:rPr>
          <w:spacing w:val="-8"/>
        </w:rPr>
        <w:t> </w:t>
      </w:r>
      <w:r>
        <w:rPr/>
        <w:t>contravengan</w:t>
      </w:r>
      <w:r>
        <w:rPr>
          <w:spacing w:val="-6"/>
        </w:rPr>
        <w:t> </w:t>
      </w:r>
      <w:r>
        <w:rPr/>
        <w:t>la</w:t>
      </w:r>
      <w:r>
        <w:rPr>
          <w:spacing w:val="-5"/>
        </w:rPr>
        <w:t> </w:t>
      </w:r>
      <w:r>
        <w:rPr/>
        <w:t>legislación</w:t>
      </w:r>
      <w:r>
        <w:rPr>
          <w:spacing w:val="-8"/>
        </w:rPr>
        <w:t> </w:t>
      </w:r>
      <w:r>
        <w:rPr/>
        <w:t>y</w:t>
      </w:r>
      <w:r>
        <w:rPr>
          <w:spacing w:val="-4"/>
        </w:rPr>
        <w:t> </w:t>
      </w:r>
      <w:r>
        <w:rPr/>
        <w:t>programas</w:t>
      </w:r>
      <w:r>
        <w:rPr>
          <w:spacing w:val="-6"/>
        </w:rPr>
        <w:t> </w:t>
      </w:r>
      <w:r>
        <w:rPr/>
        <w:t>de</w:t>
      </w:r>
      <w:r>
        <w:rPr>
          <w:spacing w:val="-5"/>
        </w:rPr>
        <w:t> </w:t>
      </w:r>
      <w:r>
        <w:rPr/>
        <w:t>desarrollo</w:t>
      </w:r>
      <w:r>
        <w:rPr>
          <w:spacing w:val="-5"/>
        </w:rPr>
        <w:t> </w:t>
      </w:r>
      <w:r>
        <w:rPr/>
        <w:t>urbano y ordenamiento territorial;</w:t>
      </w:r>
    </w:p>
    <w:p>
      <w:pPr>
        <w:pStyle w:val="BodyText"/>
      </w:pPr>
    </w:p>
    <w:p>
      <w:pPr>
        <w:pStyle w:val="BodyText"/>
        <w:spacing w:before="1"/>
        <w:ind w:left="262" w:right="285"/>
        <w:jc w:val="both"/>
      </w:pPr>
      <w:r>
        <w:rPr>
          <w:rFonts w:ascii="Arial" w:hAnsi="Arial"/>
          <w:b/>
        </w:rPr>
        <w:t>LV.</w:t>
      </w:r>
      <w:r>
        <w:rPr>
          <w:rFonts w:ascii="Arial" w:hAnsi="Arial"/>
          <w:b/>
          <w:spacing w:val="80"/>
        </w:rPr>
        <w:t> </w:t>
      </w:r>
      <w:r>
        <w:rPr>
          <w:rFonts w:ascii="Arial" w:hAnsi="Arial"/>
          <w:b/>
        </w:rPr>
        <w:t>Mejoramiento: </w:t>
      </w:r>
      <w:r>
        <w:rPr/>
        <w:t>acción dirigida a reordenar, regularizar, restaurar o renovar las zonas de un centro de población de incipiente desarrollo o deterioradas física o funcionalmente;</w:t>
      </w:r>
    </w:p>
    <w:p>
      <w:pPr>
        <w:pStyle w:val="BodyText"/>
        <w:spacing w:before="1"/>
      </w:pPr>
    </w:p>
    <w:p>
      <w:pPr>
        <w:spacing w:before="0"/>
        <w:ind w:left="262"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20</w:t>
      </w:r>
      <w:r>
        <w:rPr>
          <w:rFonts w:ascii="Arial"/>
          <w:i/>
          <w:spacing w:val="-8"/>
          <w:sz w:val="20"/>
        </w:rPr>
        <w:t> </w:t>
      </w:r>
      <w:r>
        <w:rPr>
          <w:rFonts w:ascii="Arial"/>
          <w:i/>
          <w:sz w:val="20"/>
        </w:rPr>
        <w:t>FEBRERO</w:t>
      </w:r>
      <w:r>
        <w:rPr>
          <w:rFonts w:ascii="Arial"/>
          <w:i/>
          <w:spacing w:val="-7"/>
          <w:sz w:val="20"/>
        </w:rPr>
        <w:t> </w:t>
      </w:r>
      <w:r>
        <w:rPr>
          <w:rFonts w:ascii="Arial"/>
          <w:i/>
          <w:sz w:val="20"/>
        </w:rPr>
        <w:t>DE</w:t>
      </w:r>
      <w:r>
        <w:rPr>
          <w:rFonts w:ascii="Arial"/>
          <w:i/>
          <w:spacing w:val="-5"/>
          <w:sz w:val="20"/>
        </w:rPr>
        <w:t> </w:t>
      </w:r>
      <w:r>
        <w:rPr>
          <w:rFonts w:ascii="Arial"/>
          <w:i/>
          <w:spacing w:val="-4"/>
          <w:sz w:val="20"/>
        </w:rPr>
        <w:t>2024)</w:t>
      </w:r>
    </w:p>
    <w:p>
      <w:pPr>
        <w:pStyle w:val="BodyText"/>
        <w:spacing w:before="1"/>
        <w:ind w:left="262" w:right="276"/>
        <w:jc w:val="both"/>
      </w:pPr>
      <w:r>
        <w:rPr>
          <w:rFonts w:ascii="Arial" w:hAnsi="Arial"/>
          <w:b/>
        </w:rPr>
        <w:t>LVI.</w:t>
      </w:r>
      <w:r>
        <w:rPr>
          <w:rFonts w:ascii="Arial" w:hAnsi="Arial"/>
          <w:b/>
          <w:spacing w:val="40"/>
        </w:rPr>
        <w:t> </w:t>
      </w:r>
      <w:r>
        <w:rPr>
          <w:rFonts w:ascii="Arial" w:hAnsi="Arial"/>
          <w:b/>
        </w:rPr>
        <w:t>Mobiliario Urbano: </w:t>
      </w:r>
      <w:r>
        <w:rPr/>
        <w:t>los objetos complementarios al equipamiento urbano, ya sean fijos, móviles, permanentes o temporales, ubicados en la vía pública o en espacios públicos, los que, según</w:t>
      </w:r>
      <w:r>
        <w:rPr>
          <w:spacing w:val="-14"/>
        </w:rPr>
        <w:t> </w:t>
      </w:r>
      <w:r>
        <w:rPr/>
        <w:t>su</w:t>
      </w:r>
      <w:r>
        <w:rPr>
          <w:spacing w:val="-14"/>
        </w:rPr>
        <w:t> </w:t>
      </w:r>
      <w:r>
        <w:rPr/>
        <w:t>función,</w:t>
      </w:r>
      <w:r>
        <w:rPr>
          <w:spacing w:val="-14"/>
        </w:rPr>
        <w:t> </w:t>
      </w:r>
      <w:r>
        <w:rPr/>
        <w:t>se</w:t>
      </w:r>
      <w:r>
        <w:rPr>
          <w:spacing w:val="-14"/>
        </w:rPr>
        <w:t> </w:t>
      </w:r>
      <w:r>
        <w:rPr/>
        <w:t>aplican</w:t>
      </w:r>
      <w:r>
        <w:rPr>
          <w:spacing w:val="-14"/>
        </w:rPr>
        <w:t> </w:t>
      </w:r>
      <w:r>
        <w:rPr/>
        <w:t>para</w:t>
      </w:r>
      <w:r>
        <w:rPr>
          <w:spacing w:val="-14"/>
        </w:rPr>
        <w:t> </w:t>
      </w:r>
      <w:r>
        <w:rPr/>
        <w:t>el</w:t>
      </w:r>
      <w:r>
        <w:rPr>
          <w:spacing w:val="-14"/>
        </w:rPr>
        <w:t> </w:t>
      </w:r>
      <w:r>
        <w:rPr/>
        <w:t>descanso,</w:t>
      </w:r>
      <w:r>
        <w:rPr>
          <w:spacing w:val="-14"/>
        </w:rPr>
        <w:t> </w:t>
      </w:r>
      <w:r>
        <w:rPr/>
        <w:t>comunicación</w:t>
      </w:r>
      <w:r>
        <w:rPr>
          <w:spacing w:val="-14"/>
        </w:rPr>
        <w:t> </w:t>
      </w:r>
      <w:r>
        <w:rPr/>
        <w:t>,</w:t>
      </w:r>
      <w:r>
        <w:rPr>
          <w:spacing w:val="-13"/>
        </w:rPr>
        <w:t> </w:t>
      </w:r>
      <w:r>
        <w:rPr/>
        <w:t>información,</w:t>
      </w:r>
      <w:r>
        <w:rPr>
          <w:spacing w:val="-14"/>
        </w:rPr>
        <w:t> </w:t>
      </w:r>
      <w:r>
        <w:rPr/>
        <w:t>necesidades</w:t>
      </w:r>
      <w:r>
        <w:rPr>
          <w:spacing w:val="-14"/>
        </w:rPr>
        <w:t> </w:t>
      </w:r>
      <w:r>
        <w:rPr/>
        <w:t>fisiológicas, comercio,</w:t>
      </w:r>
      <w:r>
        <w:rPr>
          <w:spacing w:val="-9"/>
        </w:rPr>
        <w:t> </w:t>
      </w:r>
      <w:r>
        <w:rPr/>
        <w:t>seguridad,</w:t>
      </w:r>
      <w:r>
        <w:rPr>
          <w:spacing w:val="-9"/>
        </w:rPr>
        <w:t> </w:t>
      </w:r>
      <w:r>
        <w:rPr/>
        <w:t>higiene,</w:t>
      </w:r>
      <w:r>
        <w:rPr>
          <w:spacing w:val="-12"/>
        </w:rPr>
        <w:t> </w:t>
      </w:r>
      <w:r>
        <w:rPr/>
        <w:t>servicio,</w:t>
      </w:r>
      <w:r>
        <w:rPr>
          <w:spacing w:val="-12"/>
        </w:rPr>
        <w:t> </w:t>
      </w:r>
      <w:r>
        <w:rPr/>
        <w:t>jardinería.</w:t>
      </w:r>
      <w:r>
        <w:rPr>
          <w:spacing w:val="-12"/>
        </w:rPr>
        <w:t> </w:t>
      </w:r>
      <w:r>
        <w:rPr/>
        <w:t>Tales</w:t>
      </w:r>
      <w:r>
        <w:rPr>
          <w:spacing w:val="-8"/>
        </w:rPr>
        <w:t> </w:t>
      </w:r>
      <w:r>
        <w:rPr/>
        <w:t>como</w:t>
      </w:r>
      <w:r>
        <w:rPr>
          <w:spacing w:val="-9"/>
        </w:rPr>
        <w:t> </w:t>
      </w:r>
      <w:r>
        <w:rPr/>
        <w:t>basureros,</w:t>
      </w:r>
      <w:r>
        <w:rPr>
          <w:spacing w:val="-11"/>
        </w:rPr>
        <w:t> </w:t>
      </w:r>
      <w:r>
        <w:rPr/>
        <w:t>semáforos,</w:t>
      </w:r>
      <w:r>
        <w:rPr>
          <w:spacing w:val="-11"/>
        </w:rPr>
        <w:t> </w:t>
      </w:r>
      <w:r>
        <w:rPr/>
        <w:t>bancas,</w:t>
      </w:r>
      <w:r>
        <w:rPr>
          <w:spacing w:val="-9"/>
        </w:rPr>
        <w:t> </w:t>
      </w:r>
      <w:r>
        <w:rPr/>
        <w:t>juegos infantiles, fuentes, luminarias rejillas, cables, coladeras y cualquier derivado de aleación metálica y otros similares, y</w:t>
      </w:r>
    </w:p>
    <w:p>
      <w:pPr>
        <w:spacing w:before="228"/>
        <w:ind w:left="262" w:right="0" w:firstLine="0"/>
        <w:jc w:val="left"/>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5"/>
          <w:sz w:val="20"/>
        </w:rPr>
        <w:t> </w:t>
      </w:r>
      <w:r>
        <w:rPr>
          <w:rFonts w:ascii="Arial"/>
          <w:i/>
          <w:spacing w:val="-4"/>
          <w:sz w:val="20"/>
        </w:rPr>
        <w:t>2024)</w:t>
      </w:r>
    </w:p>
    <w:p>
      <w:pPr>
        <w:pStyle w:val="BodyText"/>
        <w:ind w:left="262" w:right="286"/>
        <w:jc w:val="both"/>
      </w:pPr>
      <w:r>
        <w:rPr>
          <w:rFonts w:ascii="Arial" w:hAnsi="Arial"/>
          <w:b/>
        </w:rPr>
        <w:t>LVII.</w:t>
      </w:r>
      <w:r>
        <w:rPr>
          <w:rFonts w:ascii="Arial" w:hAnsi="Arial"/>
          <w:b/>
          <w:spacing w:val="40"/>
        </w:rPr>
        <w:t> </w:t>
      </w:r>
      <w:r>
        <w:rPr/>
        <w:t>Movilidad: El conjunto de desplazamientos de personas, bienes y mercancías, a través de diversos modos, orientado a satisfacer las necesidades de las personas;</w:t>
      </w:r>
    </w:p>
    <w:p>
      <w:pPr>
        <w:pStyle w:val="BodyText"/>
        <w:spacing w:before="1"/>
      </w:pPr>
    </w:p>
    <w:p>
      <w:pPr>
        <w:pStyle w:val="BodyText"/>
        <w:ind w:left="262" w:right="276"/>
        <w:jc w:val="both"/>
      </w:pPr>
      <w:r>
        <w:rPr>
          <w:rFonts w:ascii="Arial" w:hAnsi="Arial"/>
          <w:b/>
        </w:rPr>
        <w:t>LVIII.</w:t>
      </w:r>
      <w:r>
        <w:rPr>
          <w:rFonts w:ascii="Arial" w:hAnsi="Arial"/>
          <w:b/>
          <w:spacing w:val="40"/>
        </w:rPr>
        <w:t> </w:t>
      </w:r>
      <w:r>
        <w:rPr>
          <w:rFonts w:ascii="Arial" w:hAnsi="Arial"/>
          <w:b/>
        </w:rPr>
        <w:t>Municipalización</w:t>
      </w:r>
      <w:r>
        <w:rPr/>
        <w:t>: acto mediante el cual se realiza la entrega recepción por parte del fraccionador al Ayuntamiento, de los bienes inmuebles, equipo, mobiliario e instalaciones de un fraccionamiento destinados a los servicios públicos y de las obras de urbanización del mismo, habiendo</w:t>
      </w:r>
      <w:r>
        <w:rPr>
          <w:spacing w:val="-9"/>
        </w:rPr>
        <w:t> </w:t>
      </w:r>
      <w:r>
        <w:rPr/>
        <w:t>cumplido</w:t>
      </w:r>
      <w:r>
        <w:rPr>
          <w:spacing w:val="-9"/>
        </w:rPr>
        <w:t> </w:t>
      </w:r>
      <w:r>
        <w:rPr/>
        <w:t>con</w:t>
      </w:r>
      <w:r>
        <w:rPr>
          <w:spacing w:val="-7"/>
        </w:rPr>
        <w:t> </w:t>
      </w:r>
      <w:r>
        <w:rPr/>
        <w:t>lo</w:t>
      </w:r>
      <w:r>
        <w:rPr>
          <w:spacing w:val="-7"/>
        </w:rPr>
        <w:t> </w:t>
      </w:r>
      <w:r>
        <w:rPr/>
        <w:t>dispuesto</w:t>
      </w:r>
      <w:r>
        <w:rPr>
          <w:spacing w:val="-7"/>
        </w:rPr>
        <w:t> </w:t>
      </w:r>
      <w:r>
        <w:rPr/>
        <w:t>en</w:t>
      </w:r>
      <w:r>
        <w:rPr>
          <w:spacing w:val="-7"/>
        </w:rPr>
        <w:t> </w:t>
      </w:r>
      <w:r>
        <w:rPr/>
        <w:t>esta</w:t>
      </w:r>
      <w:r>
        <w:rPr>
          <w:spacing w:val="-7"/>
        </w:rPr>
        <w:t> </w:t>
      </w:r>
      <w:r>
        <w:rPr/>
        <w:t>Ley</w:t>
      </w:r>
      <w:r>
        <w:rPr>
          <w:spacing w:val="-8"/>
        </w:rPr>
        <w:t> </w:t>
      </w:r>
      <w:r>
        <w:rPr/>
        <w:t>y</w:t>
      </w:r>
      <w:r>
        <w:rPr>
          <w:spacing w:val="-8"/>
        </w:rPr>
        <w:t> </w:t>
      </w:r>
      <w:r>
        <w:rPr/>
        <w:t>demás</w:t>
      </w:r>
      <w:r>
        <w:rPr>
          <w:spacing w:val="-8"/>
        </w:rPr>
        <w:t> </w:t>
      </w:r>
      <w:r>
        <w:rPr/>
        <w:t>disposiciones</w:t>
      </w:r>
      <w:r>
        <w:rPr>
          <w:spacing w:val="-8"/>
        </w:rPr>
        <w:t> </w:t>
      </w:r>
      <w:r>
        <w:rPr/>
        <w:t>aplicables</w:t>
      </w:r>
      <w:r>
        <w:rPr>
          <w:spacing w:val="-6"/>
        </w:rPr>
        <w:t> </w:t>
      </w:r>
      <w:r>
        <w:rPr/>
        <w:t>se</w:t>
      </w:r>
      <w:r>
        <w:rPr>
          <w:spacing w:val="-9"/>
        </w:rPr>
        <w:t> </w:t>
      </w:r>
      <w:r>
        <w:rPr/>
        <w:t>encuentran</w:t>
      </w:r>
      <w:r>
        <w:rPr>
          <w:spacing w:val="-7"/>
        </w:rPr>
        <w:t> </w:t>
      </w:r>
      <w:r>
        <w:rPr/>
        <w:t>en posibilidad</w:t>
      </w:r>
      <w:r>
        <w:rPr>
          <w:spacing w:val="-9"/>
        </w:rPr>
        <w:t> </w:t>
      </w:r>
      <w:r>
        <w:rPr/>
        <w:t>de</w:t>
      </w:r>
      <w:r>
        <w:rPr>
          <w:spacing w:val="-7"/>
        </w:rPr>
        <w:t> </w:t>
      </w:r>
      <w:r>
        <w:rPr/>
        <w:t>operar,</w:t>
      </w:r>
      <w:r>
        <w:rPr>
          <w:spacing w:val="-8"/>
        </w:rPr>
        <w:t> </w:t>
      </w:r>
      <w:r>
        <w:rPr/>
        <w:t>permitiendo</w:t>
      </w:r>
      <w:r>
        <w:rPr>
          <w:spacing w:val="-9"/>
        </w:rPr>
        <w:t> </w:t>
      </w:r>
      <w:r>
        <w:rPr/>
        <w:t>al</w:t>
      </w:r>
      <w:r>
        <w:rPr>
          <w:spacing w:val="-10"/>
        </w:rPr>
        <w:t> </w:t>
      </w:r>
      <w:r>
        <w:rPr/>
        <w:t>Municipio,</w:t>
      </w:r>
      <w:r>
        <w:rPr>
          <w:spacing w:val="-9"/>
        </w:rPr>
        <w:t> </w:t>
      </w:r>
      <w:r>
        <w:rPr/>
        <w:t>en</w:t>
      </w:r>
      <w:r>
        <w:rPr>
          <w:spacing w:val="-9"/>
        </w:rPr>
        <w:t> </w:t>
      </w:r>
      <w:r>
        <w:rPr/>
        <w:t>la</w:t>
      </w:r>
      <w:r>
        <w:rPr>
          <w:spacing w:val="-7"/>
        </w:rPr>
        <w:t> </w:t>
      </w:r>
      <w:r>
        <w:rPr/>
        <w:t>esfera</w:t>
      </w:r>
      <w:r>
        <w:rPr>
          <w:spacing w:val="-9"/>
        </w:rPr>
        <w:t> </w:t>
      </w:r>
      <w:r>
        <w:rPr/>
        <w:t>de</w:t>
      </w:r>
      <w:r>
        <w:rPr>
          <w:spacing w:val="-9"/>
        </w:rPr>
        <w:t> </w:t>
      </w:r>
      <w:r>
        <w:rPr/>
        <w:t>su</w:t>
      </w:r>
      <w:r>
        <w:rPr>
          <w:spacing w:val="-9"/>
        </w:rPr>
        <w:t> </w:t>
      </w:r>
      <w:r>
        <w:rPr/>
        <w:t>competencia,</w:t>
      </w:r>
      <w:r>
        <w:rPr>
          <w:spacing w:val="-9"/>
        </w:rPr>
        <w:t> </w:t>
      </w:r>
      <w:r>
        <w:rPr/>
        <w:t>prestar</w:t>
      </w:r>
      <w:r>
        <w:rPr>
          <w:spacing w:val="-8"/>
        </w:rPr>
        <w:t> </w:t>
      </w:r>
      <w:r>
        <w:rPr/>
        <w:t>los</w:t>
      </w:r>
      <w:r>
        <w:rPr>
          <w:spacing w:val="-8"/>
        </w:rPr>
        <w:t> </w:t>
      </w:r>
      <w:r>
        <w:rPr/>
        <w:t>servicios públicos necesarios;</w:t>
      </w:r>
    </w:p>
    <w:p>
      <w:pPr>
        <w:spacing w:before="229"/>
        <w:ind w:left="262"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4"/>
          <w:sz w:val="20"/>
        </w:rPr>
        <w:t> </w:t>
      </w:r>
      <w:r>
        <w:rPr>
          <w:rFonts w:ascii="Arial"/>
          <w:i/>
          <w:sz w:val="20"/>
        </w:rPr>
        <w:t>16</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BodyText"/>
        <w:spacing w:before="1"/>
        <w:ind w:left="262" w:right="284"/>
        <w:jc w:val="both"/>
      </w:pPr>
      <w:r>
        <w:rPr>
          <w:rFonts w:ascii="Arial" w:hAnsi="Arial"/>
          <w:b/>
        </w:rPr>
        <w:t>LVIII</w:t>
      </w:r>
      <w:r>
        <w:rPr>
          <w:rFonts w:ascii="Arial" w:hAnsi="Arial"/>
          <w:b/>
          <w:spacing w:val="-8"/>
        </w:rPr>
        <w:t> </w:t>
      </w:r>
      <w:r>
        <w:rPr>
          <w:rFonts w:ascii="Arial" w:hAnsi="Arial"/>
          <w:b/>
        </w:rPr>
        <w:t>BIS.</w:t>
      </w:r>
      <w:r>
        <w:rPr>
          <w:rFonts w:ascii="Arial" w:hAnsi="Arial"/>
          <w:b/>
          <w:spacing w:val="-7"/>
        </w:rPr>
        <w:t> </w:t>
      </w:r>
      <w:r>
        <w:rPr/>
        <w:t>Nomenclatura</w:t>
      </w:r>
      <w:r>
        <w:rPr>
          <w:spacing w:val="-7"/>
        </w:rPr>
        <w:t> </w:t>
      </w:r>
      <w:r>
        <w:rPr/>
        <w:t>de</w:t>
      </w:r>
      <w:r>
        <w:rPr>
          <w:spacing w:val="-6"/>
        </w:rPr>
        <w:t> </w:t>
      </w:r>
      <w:r>
        <w:rPr/>
        <w:t>las</w:t>
      </w:r>
      <w:r>
        <w:rPr>
          <w:spacing w:val="-7"/>
        </w:rPr>
        <w:t> </w:t>
      </w:r>
      <w:r>
        <w:rPr/>
        <w:t>calles</w:t>
      </w:r>
      <w:r>
        <w:rPr>
          <w:spacing w:val="-7"/>
        </w:rPr>
        <w:t> </w:t>
      </w:r>
      <w:r>
        <w:rPr/>
        <w:t>y</w:t>
      </w:r>
      <w:r>
        <w:rPr>
          <w:spacing w:val="-6"/>
        </w:rPr>
        <w:t> </w:t>
      </w:r>
      <w:r>
        <w:rPr/>
        <w:t>vialidades</w:t>
      </w:r>
      <w:r>
        <w:rPr>
          <w:spacing w:val="-6"/>
        </w:rPr>
        <w:t> </w:t>
      </w:r>
      <w:r>
        <w:rPr/>
        <w:t>urbanas:</w:t>
      </w:r>
      <w:r>
        <w:rPr>
          <w:spacing w:val="-7"/>
        </w:rPr>
        <w:t> </w:t>
      </w:r>
      <w:r>
        <w:rPr/>
        <w:t>es</w:t>
      </w:r>
      <w:r>
        <w:rPr>
          <w:spacing w:val="-7"/>
        </w:rPr>
        <w:t> </w:t>
      </w:r>
      <w:r>
        <w:rPr/>
        <w:t>la</w:t>
      </w:r>
      <w:r>
        <w:rPr>
          <w:spacing w:val="-5"/>
        </w:rPr>
        <w:t> </w:t>
      </w:r>
      <w:r>
        <w:rPr/>
        <w:t>información</w:t>
      </w:r>
      <w:r>
        <w:rPr>
          <w:spacing w:val="-8"/>
        </w:rPr>
        <w:t> </w:t>
      </w:r>
      <w:r>
        <w:rPr/>
        <w:t>urbanística</w:t>
      </w:r>
      <w:r>
        <w:rPr>
          <w:spacing w:val="-8"/>
        </w:rPr>
        <w:t> </w:t>
      </w:r>
      <w:r>
        <w:rPr/>
        <w:t>que</w:t>
      </w:r>
      <w:r>
        <w:rPr>
          <w:spacing w:val="-8"/>
        </w:rPr>
        <w:t> </w:t>
      </w:r>
      <w:r>
        <w:rPr/>
        <w:t>deben contener las placas que identifican a las calles y vialidades del perímetro urbano;</w:t>
      </w:r>
    </w:p>
    <w:p>
      <w:pPr>
        <w:pStyle w:val="BodyText"/>
        <w:spacing w:before="1"/>
      </w:pPr>
    </w:p>
    <w:p>
      <w:pPr>
        <w:spacing w:before="0"/>
        <w:ind w:left="262" w:right="0" w:firstLine="0"/>
        <w:jc w:val="both"/>
        <w:rPr>
          <w:sz w:val="20"/>
        </w:rPr>
      </w:pPr>
      <w:r>
        <w:rPr>
          <w:rFonts w:ascii="Arial" w:hAnsi="Arial"/>
          <w:b/>
          <w:sz w:val="20"/>
        </w:rPr>
        <w:t>LIX.</w:t>
      </w:r>
      <w:r>
        <w:rPr>
          <w:rFonts w:ascii="Arial" w:hAnsi="Arial"/>
          <w:b/>
          <w:spacing w:val="73"/>
          <w:w w:val="150"/>
          <w:sz w:val="20"/>
        </w:rPr>
        <w:t>  </w:t>
      </w:r>
      <w:r>
        <w:rPr>
          <w:rFonts w:ascii="Arial" w:hAnsi="Arial"/>
          <w:b/>
          <w:sz w:val="20"/>
        </w:rPr>
        <w:t>Obras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edificación:</w:t>
      </w:r>
      <w:r>
        <w:rPr>
          <w:rFonts w:ascii="Arial" w:hAnsi="Arial"/>
          <w:b/>
          <w:spacing w:val="5"/>
          <w:sz w:val="20"/>
        </w:rPr>
        <w:t> </w:t>
      </w:r>
      <w:r>
        <w:rPr>
          <w:sz w:val="20"/>
        </w:rPr>
        <w:t>construcciones</w:t>
      </w:r>
      <w:r>
        <w:rPr>
          <w:spacing w:val="3"/>
          <w:sz w:val="20"/>
        </w:rPr>
        <w:t> </w:t>
      </w:r>
      <w:r>
        <w:rPr>
          <w:sz w:val="20"/>
        </w:rPr>
        <w:t>e</w:t>
      </w:r>
      <w:r>
        <w:rPr>
          <w:spacing w:val="3"/>
          <w:sz w:val="20"/>
        </w:rPr>
        <w:t> </w:t>
      </w:r>
      <w:r>
        <w:rPr>
          <w:sz w:val="20"/>
        </w:rPr>
        <w:t>instalaciones</w:t>
      </w:r>
      <w:r>
        <w:rPr>
          <w:spacing w:val="6"/>
          <w:sz w:val="20"/>
        </w:rPr>
        <w:t> </w:t>
      </w:r>
      <w:r>
        <w:rPr>
          <w:sz w:val="20"/>
        </w:rPr>
        <w:t>de</w:t>
      </w:r>
      <w:r>
        <w:rPr>
          <w:spacing w:val="3"/>
          <w:sz w:val="20"/>
        </w:rPr>
        <w:t> </w:t>
      </w:r>
      <w:r>
        <w:rPr>
          <w:sz w:val="20"/>
        </w:rPr>
        <w:t>adecuación</w:t>
      </w:r>
      <w:r>
        <w:rPr>
          <w:spacing w:val="3"/>
          <w:sz w:val="20"/>
        </w:rPr>
        <w:t> </w:t>
      </w:r>
      <w:r>
        <w:rPr>
          <w:sz w:val="20"/>
        </w:rPr>
        <w:t>espacial</w:t>
      </w:r>
      <w:r>
        <w:rPr>
          <w:spacing w:val="2"/>
          <w:sz w:val="20"/>
        </w:rPr>
        <w:t> </w:t>
      </w:r>
      <w:r>
        <w:rPr>
          <w:spacing w:val="-2"/>
          <w:sz w:val="20"/>
        </w:rPr>
        <w:t>necesarias,</w:t>
      </w:r>
    </w:p>
    <w:p>
      <w:pPr>
        <w:spacing w:after="0"/>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jc w:val="both"/>
      </w:pPr>
      <w:r>
        <w:rPr/>
        <w:t>para</w:t>
      </w:r>
      <w:r>
        <w:rPr>
          <w:spacing w:val="-6"/>
        </w:rPr>
        <w:t> </w:t>
      </w:r>
      <w:r>
        <w:rPr/>
        <w:t>permitir</w:t>
      </w:r>
      <w:r>
        <w:rPr>
          <w:spacing w:val="-5"/>
        </w:rPr>
        <w:t> </w:t>
      </w:r>
      <w:r>
        <w:rPr/>
        <w:t>su</w:t>
      </w:r>
      <w:r>
        <w:rPr>
          <w:spacing w:val="-5"/>
        </w:rPr>
        <w:t> </w:t>
      </w:r>
      <w:r>
        <w:rPr/>
        <w:t>uso</w:t>
      </w:r>
      <w:r>
        <w:rPr>
          <w:spacing w:val="-4"/>
        </w:rPr>
        <w:t> </w:t>
      </w:r>
      <w:r>
        <w:rPr/>
        <w:t>o</w:t>
      </w:r>
      <w:r>
        <w:rPr>
          <w:spacing w:val="-7"/>
        </w:rPr>
        <w:t> </w:t>
      </w:r>
      <w:r>
        <w:rPr>
          <w:spacing w:val="-2"/>
        </w:rPr>
        <w:t>destino;</w:t>
      </w:r>
    </w:p>
    <w:p>
      <w:pPr>
        <w:pStyle w:val="BodyText"/>
        <w:spacing w:before="1"/>
      </w:pPr>
    </w:p>
    <w:p>
      <w:pPr>
        <w:pStyle w:val="BodyText"/>
        <w:ind w:left="262" w:right="284"/>
        <w:jc w:val="both"/>
      </w:pPr>
      <w:r>
        <w:rPr>
          <w:rFonts w:ascii="Arial" w:hAnsi="Arial"/>
          <w:b/>
        </w:rPr>
        <w:t>LX.</w:t>
      </w:r>
      <w:r>
        <w:rPr>
          <w:rFonts w:ascii="Arial" w:hAnsi="Arial"/>
          <w:b/>
          <w:spacing w:val="40"/>
        </w:rPr>
        <w:t>  </w:t>
      </w:r>
      <w:r>
        <w:rPr>
          <w:rFonts w:ascii="Arial" w:hAnsi="Arial"/>
          <w:b/>
        </w:rPr>
        <w:t>Obras de urbanización: </w:t>
      </w:r>
      <w:r>
        <w:rPr/>
        <w:t>construcciones para la instalación de los sistemas infraestructura urbana y pavimentos para desarrollo inmobiliario;</w:t>
      </w:r>
    </w:p>
    <w:p>
      <w:pPr>
        <w:spacing w:before="229"/>
        <w:ind w:left="262" w:right="286" w:firstLine="0"/>
        <w:jc w:val="both"/>
        <w:rPr>
          <w:sz w:val="20"/>
        </w:rPr>
      </w:pPr>
      <w:r>
        <w:rPr>
          <w:rFonts w:ascii="Arial" w:hAnsi="Arial"/>
          <w:b/>
          <w:sz w:val="20"/>
        </w:rPr>
        <w:t>LXI.</w:t>
      </w:r>
      <w:r>
        <w:rPr>
          <w:rFonts w:ascii="Arial" w:hAnsi="Arial"/>
          <w:b/>
          <w:spacing w:val="80"/>
          <w:w w:val="150"/>
          <w:sz w:val="20"/>
        </w:rPr>
        <w:t> </w:t>
      </w:r>
      <w:r>
        <w:rPr>
          <w:rFonts w:ascii="Arial" w:hAnsi="Arial"/>
          <w:b/>
          <w:sz w:val="20"/>
        </w:rPr>
        <w:t>Organismos</w:t>
      </w:r>
      <w:r>
        <w:rPr>
          <w:rFonts w:ascii="Arial" w:hAnsi="Arial"/>
          <w:b/>
          <w:spacing w:val="-1"/>
          <w:sz w:val="20"/>
        </w:rPr>
        <w:t> </w:t>
      </w:r>
      <w:r>
        <w:rPr>
          <w:rFonts w:ascii="Arial" w:hAnsi="Arial"/>
          <w:b/>
          <w:sz w:val="20"/>
        </w:rPr>
        <w:t>regularizadores: </w:t>
      </w:r>
      <w:r>
        <w:rPr>
          <w:sz w:val="20"/>
        </w:rPr>
        <w:t>las instituciones que</w:t>
      </w:r>
      <w:r>
        <w:rPr>
          <w:spacing w:val="-2"/>
          <w:sz w:val="20"/>
        </w:rPr>
        <w:t> </w:t>
      </w:r>
      <w:r>
        <w:rPr>
          <w:sz w:val="20"/>
        </w:rPr>
        <w:t>cuentan</w:t>
      </w:r>
      <w:r>
        <w:rPr>
          <w:spacing w:val="-3"/>
          <w:sz w:val="20"/>
        </w:rPr>
        <w:t> </w:t>
      </w:r>
      <w:r>
        <w:rPr>
          <w:sz w:val="20"/>
        </w:rPr>
        <w:t>con</w:t>
      </w:r>
      <w:r>
        <w:rPr>
          <w:spacing w:val="-1"/>
          <w:sz w:val="20"/>
        </w:rPr>
        <w:t> </w:t>
      </w:r>
      <w:r>
        <w:rPr>
          <w:sz w:val="20"/>
        </w:rPr>
        <w:t>la</w:t>
      </w:r>
      <w:r>
        <w:rPr>
          <w:spacing w:val="-1"/>
          <w:sz w:val="20"/>
        </w:rPr>
        <w:t> </w:t>
      </w:r>
      <w:r>
        <w:rPr>
          <w:sz w:val="20"/>
        </w:rPr>
        <w:t>facultad</w:t>
      </w:r>
      <w:r>
        <w:rPr>
          <w:spacing w:val="-1"/>
          <w:sz w:val="20"/>
        </w:rPr>
        <w:t> </w:t>
      </w:r>
      <w:r>
        <w:rPr>
          <w:sz w:val="20"/>
        </w:rPr>
        <w:t>legal</w:t>
      </w:r>
      <w:r>
        <w:rPr>
          <w:spacing w:val="-1"/>
          <w:sz w:val="20"/>
        </w:rPr>
        <w:t> </w:t>
      </w:r>
      <w:r>
        <w:rPr>
          <w:sz w:val="20"/>
        </w:rPr>
        <w:t>para</w:t>
      </w:r>
      <w:r>
        <w:rPr>
          <w:spacing w:val="-1"/>
          <w:sz w:val="20"/>
        </w:rPr>
        <w:t> </w:t>
      </w:r>
      <w:r>
        <w:rPr>
          <w:sz w:val="20"/>
        </w:rPr>
        <w:t>llevar a cabo la regularización de la tenencia de la tierra en la Entidad;</w:t>
      </w:r>
    </w:p>
    <w:p>
      <w:pPr>
        <w:pStyle w:val="BodyText"/>
        <w:spacing w:before="1"/>
      </w:pPr>
    </w:p>
    <w:p>
      <w:pPr>
        <w:pStyle w:val="BodyText"/>
        <w:ind w:left="262" w:right="279"/>
        <w:jc w:val="both"/>
      </w:pPr>
      <w:r>
        <w:rPr>
          <w:rFonts w:ascii="Arial" w:hAnsi="Arial"/>
          <w:b/>
        </w:rPr>
        <w:t>LXII.</w:t>
      </w:r>
      <w:r>
        <w:rPr>
          <w:rFonts w:ascii="Arial" w:hAnsi="Arial"/>
          <w:b/>
          <w:spacing w:val="79"/>
        </w:rPr>
        <w:t> </w:t>
      </w:r>
      <w:r>
        <w:rPr>
          <w:rFonts w:ascii="Arial" w:hAnsi="Arial"/>
          <w:b/>
        </w:rPr>
        <w:t>Ordenamiento</w:t>
      </w:r>
      <w:r>
        <w:rPr>
          <w:rFonts w:ascii="Arial" w:hAnsi="Arial"/>
          <w:b/>
          <w:spacing w:val="-9"/>
        </w:rPr>
        <w:t> </w:t>
      </w:r>
      <w:r>
        <w:rPr>
          <w:rFonts w:ascii="Arial" w:hAnsi="Arial"/>
          <w:b/>
        </w:rPr>
        <w:t>territorial</w:t>
      </w:r>
      <w:r>
        <w:rPr>
          <w:rFonts w:ascii="Arial" w:hAnsi="Arial"/>
          <w:b/>
          <w:spacing w:val="-8"/>
        </w:rPr>
        <w:t> </w:t>
      </w:r>
      <w:r>
        <w:rPr>
          <w:rFonts w:ascii="Arial" w:hAnsi="Arial"/>
          <w:b/>
        </w:rPr>
        <w:t>de</w:t>
      </w:r>
      <w:r>
        <w:rPr>
          <w:rFonts w:ascii="Arial" w:hAnsi="Arial"/>
          <w:b/>
          <w:spacing w:val="-10"/>
        </w:rPr>
        <w:t> </w:t>
      </w:r>
      <w:r>
        <w:rPr>
          <w:rFonts w:ascii="Arial" w:hAnsi="Arial"/>
          <w:b/>
        </w:rPr>
        <w:t>los</w:t>
      </w:r>
      <w:r>
        <w:rPr>
          <w:rFonts w:ascii="Arial" w:hAnsi="Arial"/>
          <w:b/>
          <w:spacing w:val="-7"/>
        </w:rPr>
        <w:t> </w:t>
      </w:r>
      <w:r>
        <w:rPr>
          <w:rFonts w:ascii="Arial" w:hAnsi="Arial"/>
          <w:b/>
        </w:rPr>
        <w:t>asentamientos</w:t>
      </w:r>
      <w:r>
        <w:rPr>
          <w:rFonts w:ascii="Arial" w:hAnsi="Arial"/>
          <w:b/>
          <w:spacing w:val="-10"/>
        </w:rPr>
        <w:t> </w:t>
      </w:r>
      <w:r>
        <w:rPr>
          <w:rFonts w:ascii="Arial" w:hAnsi="Arial"/>
          <w:b/>
        </w:rPr>
        <w:t>humanos:</w:t>
      </w:r>
      <w:r>
        <w:rPr>
          <w:rFonts w:ascii="Arial" w:hAnsi="Arial"/>
          <w:b/>
          <w:spacing w:val="-5"/>
        </w:rPr>
        <w:t> </w:t>
      </w:r>
      <w:r>
        <w:rPr/>
        <w:t>proceso</w:t>
      </w:r>
      <w:r>
        <w:rPr>
          <w:spacing w:val="-8"/>
        </w:rPr>
        <w:t> </w:t>
      </w:r>
      <w:r>
        <w:rPr/>
        <w:t>de</w:t>
      </w:r>
      <w:r>
        <w:rPr>
          <w:spacing w:val="-8"/>
        </w:rPr>
        <w:t> </w:t>
      </w:r>
      <w:r>
        <w:rPr/>
        <w:t>distribución</w:t>
      </w:r>
      <w:r>
        <w:rPr>
          <w:spacing w:val="-8"/>
        </w:rPr>
        <w:t> </w:t>
      </w:r>
      <w:r>
        <w:rPr/>
        <w:t>espacial de la población, en función del aprovechamiento sustentable de los recursos naturales, de la infraestructura y el equipamiento existentes, con el fin de lograr la mayor rentabilidad social y económica de las inversiones públicas y privadas que favorezcan las actividades productivas, culturales, recreativas y funcionales;</w:t>
      </w:r>
    </w:p>
    <w:p>
      <w:pPr>
        <w:pStyle w:val="BodyText"/>
      </w:pPr>
    </w:p>
    <w:p>
      <w:pPr>
        <w:pStyle w:val="BodyText"/>
        <w:spacing w:before="1"/>
        <w:ind w:left="262" w:right="282"/>
        <w:jc w:val="both"/>
      </w:pPr>
      <w:r>
        <w:rPr>
          <w:rFonts w:ascii="Arial" w:hAnsi="Arial"/>
          <w:b/>
        </w:rPr>
        <w:t>LXIII. Patrimonio cultural y natural: </w:t>
      </w:r>
      <w:r>
        <w:rPr/>
        <w:t>sitios, lugares o edificaciones con valor arqueológico, histórico, artístico, ambiental o de otra naturaleza, definidos y regulados por la legislación </w:t>
      </w:r>
      <w:r>
        <w:rPr>
          <w:spacing w:val="-2"/>
        </w:rPr>
        <w:t>correspondiente;</w:t>
      </w:r>
    </w:p>
    <w:p>
      <w:pPr>
        <w:spacing w:before="229"/>
        <w:ind w:left="262" w:right="0" w:firstLine="0"/>
        <w:jc w:val="both"/>
        <w:rPr>
          <w:sz w:val="20"/>
        </w:rPr>
      </w:pPr>
      <w:r>
        <w:rPr>
          <w:rFonts w:ascii="Arial" w:hAnsi="Arial"/>
          <w:b/>
          <w:sz w:val="20"/>
        </w:rPr>
        <w:t>LXIV.</w:t>
      </w:r>
      <w:r>
        <w:rPr>
          <w:rFonts w:ascii="Arial" w:hAnsi="Arial"/>
          <w:b/>
          <w:spacing w:val="5"/>
          <w:sz w:val="20"/>
        </w:rPr>
        <w:t> </w:t>
      </w:r>
      <w:r>
        <w:rPr>
          <w:rFonts w:ascii="Arial" w:hAnsi="Arial"/>
          <w:b/>
          <w:sz w:val="20"/>
        </w:rPr>
        <w:t>Predio:</w:t>
      </w:r>
      <w:r>
        <w:rPr>
          <w:rFonts w:ascii="Arial" w:hAnsi="Arial"/>
          <w:b/>
          <w:spacing w:val="-7"/>
          <w:sz w:val="20"/>
        </w:rPr>
        <w:t> </w:t>
      </w:r>
      <w:r>
        <w:rPr>
          <w:sz w:val="20"/>
        </w:rPr>
        <w:t>terreno</w:t>
      </w:r>
      <w:r>
        <w:rPr>
          <w:spacing w:val="-6"/>
          <w:sz w:val="20"/>
        </w:rPr>
        <w:t> </w:t>
      </w:r>
      <w:r>
        <w:rPr>
          <w:sz w:val="20"/>
        </w:rPr>
        <w:t>debidamente</w:t>
      </w:r>
      <w:r>
        <w:rPr>
          <w:spacing w:val="-8"/>
          <w:sz w:val="20"/>
        </w:rPr>
        <w:t> </w:t>
      </w:r>
      <w:r>
        <w:rPr>
          <w:sz w:val="20"/>
        </w:rPr>
        <w:t>delimitado,</w:t>
      </w:r>
      <w:r>
        <w:rPr>
          <w:spacing w:val="-8"/>
          <w:sz w:val="20"/>
        </w:rPr>
        <w:t> </w:t>
      </w:r>
      <w:r>
        <w:rPr>
          <w:sz w:val="20"/>
        </w:rPr>
        <w:t>con</w:t>
      </w:r>
      <w:r>
        <w:rPr>
          <w:spacing w:val="-6"/>
          <w:sz w:val="20"/>
        </w:rPr>
        <w:t> </w:t>
      </w:r>
      <w:r>
        <w:rPr>
          <w:sz w:val="20"/>
        </w:rPr>
        <w:t>o</w:t>
      </w:r>
      <w:r>
        <w:rPr>
          <w:spacing w:val="-8"/>
          <w:sz w:val="20"/>
        </w:rPr>
        <w:t> </w:t>
      </w:r>
      <w:r>
        <w:rPr>
          <w:sz w:val="20"/>
        </w:rPr>
        <w:t>sin</w:t>
      </w:r>
      <w:r>
        <w:rPr>
          <w:spacing w:val="-6"/>
          <w:sz w:val="20"/>
        </w:rPr>
        <w:t> </w:t>
      </w:r>
      <w:r>
        <w:rPr>
          <w:spacing w:val="-2"/>
          <w:sz w:val="20"/>
        </w:rPr>
        <w:t>urbanización;</w:t>
      </w:r>
    </w:p>
    <w:p>
      <w:pPr>
        <w:pStyle w:val="BodyText"/>
        <w:spacing w:before="1"/>
      </w:pPr>
    </w:p>
    <w:p>
      <w:pPr>
        <w:pStyle w:val="BodyText"/>
        <w:ind w:left="262" w:right="282"/>
        <w:jc w:val="both"/>
      </w:pPr>
      <w:r>
        <w:rPr>
          <w:rFonts w:ascii="Arial" w:hAnsi="Arial"/>
          <w:b/>
        </w:rPr>
        <w:t>LXV.</w:t>
      </w:r>
      <w:r>
        <w:rPr>
          <w:rFonts w:ascii="Arial" w:hAnsi="Arial"/>
          <w:b/>
          <w:spacing w:val="80"/>
        </w:rPr>
        <w:t> </w:t>
      </w:r>
      <w:r>
        <w:rPr>
          <w:rFonts w:ascii="Arial" w:hAnsi="Arial"/>
          <w:b/>
        </w:rPr>
        <w:t>Predios</w:t>
      </w:r>
      <w:r>
        <w:rPr>
          <w:rFonts w:ascii="Arial" w:hAnsi="Arial"/>
          <w:b/>
          <w:spacing w:val="-14"/>
        </w:rPr>
        <w:t> </w:t>
      </w:r>
      <w:r>
        <w:rPr>
          <w:rFonts w:ascii="Arial" w:hAnsi="Arial"/>
          <w:b/>
        </w:rPr>
        <w:t>rústicos:</w:t>
      </w:r>
      <w:r>
        <w:rPr>
          <w:rFonts w:ascii="Arial" w:hAnsi="Arial"/>
          <w:b/>
          <w:spacing w:val="-13"/>
        </w:rPr>
        <w:t> </w:t>
      </w:r>
      <w:r>
        <w:rPr/>
        <w:t>son</w:t>
      </w:r>
      <w:r>
        <w:rPr>
          <w:spacing w:val="-13"/>
        </w:rPr>
        <w:t> </w:t>
      </w:r>
      <w:r>
        <w:rPr/>
        <w:t>aquellas</w:t>
      </w:r>
      <w:r>
        <w:rPr>
          <w:spacing w:val="-14"/>
        </w:rPr>
        <w:t> </w:t>
      </w:r>
      <w:r>
        <w:rPr/>
        <w:t>tierras,</w:t>
      </w:r>
      <w:r>
        <w:rPr>
          <w:spacing w:val="-12"/>
        </w:rPr>
        <w:t> </w:t>
      </w:r>
      <w:r>
        <w:rPr/>
        <w:t>aguas</w:t>
      </w:r>
      <w:r>
        <w:rPr>
          <w:spacing w:val="-14"/>
        </w:rPr>
        <w:t> </w:t>
      </w:r>
      <w:r>
        <w:rPr/>
        <w:t>y</w:t>
      </w:r>
      <w:r>
        <w:rPr>
          <w:spacing w:val="-13"/>
        </w:rPr>
        <w:t> </w:t>
      </w:r>
      <w:r>
        <w:rPr/>
        <w:t>bosques</w:t>
      </w:r>
      <w:r>
        <w:rPr>
          <w:spacing w:val="-14"/>
        </w:rPr>
        <w:t> </w:t>
      </w:r>
      <w:r>
        <w:rPr/>
        <w:t>susceptibles</w:t>
      </w:r>
      <w:r>
        <w:rPr>
          <w:spacing w:val="-13"/>
        </w:rPr>
        <w:t> </w:t>
      </w:r>
      <w:r>
        <w:rPr/>
        <w:t>de</w:t>
      </w:r>
      <w:r>
        <w:rPr>
          <w:spacing w:val="-13"/>
        </w:rPr>
        <w:t> </w:t>
      </w:r>
      <w:r>
        <w:rPr/>
        <w:t>explotación</w:t>
      </w:r>
      <w:r>
        <w:rPr>
          <w:spacing w:val="-14"/>
        </w:rPr>
        <w:t> </w:t>
      </w:r>
      <w:r>
        <w:rPr/>
        <w:t>racional y</w:t>
      </w:r>
      <w:r>
        <w:rPr>
          <w:spacing w:val="-12"/>
        </w:rPr>
        <w:t> </w:t>
      </w:r>
      <w:r>
        <w:rPr/>
        <w:t>sustentable</w:t>
      </w:r>
      <w:r>
        <w:rPr>
          <w:spacing w:val="-13"/>
        </w:rPr>
        <w:t> </w:t>
      </w:r>
      <w:r>
        <w:rPr/>
        <w:t>agropecuaria,</w:t>
      </w:r>
      <w:r>
        <w:rPr>
          <w:spacing w:val="-11"/>
        </w:rPr>
        <w:t> </w:t>
      </w:r>
      <w:r>
        <w:rPr/>
        <w:t>piscícola,</w:t>
      </w:r>
      <w:r>
        <w:rPr>
          <w:spacing w:val="-14"/>
        </w:rPr>
        <w:t> </w:t>
      </w:r>
      <w:r>
        <w:rPr/>
        <w:t>minera</w:t>
      </w:r>
      <w:r>
        <w:rPr>
          <w:spacing w:val="-13"/>
        </w:rPr>
        <w:t> </w:t>
      </w:r>
      <w:r>
        <w:rPr/>
        <w:t>o</w:t>
      </w:r>
      <w:r>
        <w:rPr>
          <w:spacing w:val="-13"/>
        </w:rPr>
        <w:t> </w:t>
      </w:r>
      <w:r>
        <w:rPr/>
        <w:t>forestal,</w:t>
      </w:r>
      <w:r>
        <w:rPr>
          <w:spacing w:val="-13"/>
        </w:rPr>
        <w:t> </w:t>
      </w:r>
      <w:r>
        <w:rPr/>
        <w:t>así</w:t>
      </w:r>
      <w:r>
        <w:rPr>
          <w:spacing w:val="-13"/>
        </w:rPr>
        <w:t> </w:t>
      </w:r>
      <w:r>
        <w:rPr/>
        <w:t>como</w:t>
      </w:r>
      <w:r>
        <w:rPr>
          <w:spacing w:val="-13"/>
        </w:rPr>
        <w:t> </w:t>
      </w:r>
      <w:r>
        <w:rPr/>
        <w:t>las</w:t>
      </w:r>
      <w:r>
        <w:rPr>
          <w:spacing w:val="-12"/>
        </w:rPr>
        <w:t> </w:t>
      </w:r>
      <w:r>
        <w:rPr/>
        <w:t>ubicadas</w:t>
      </w:r>
      <w:r>
        <w:rPr>
          <w:spacing w:val="-12"/>
        </w:rPr>
        <w:t> </w:t>
      </w:r>
      <w:r>
        <w:rPr/>
        <w:t>en</w:t>
      </w:r>
      <w:r>
        <w:rPr>
          <w:spacing w:val="-11"/>
        </w:rPr>
        <w:t> </w:t>
      </w:r>
      <w:r>
        <w:rPr/>
        <w:t>los</w:t>
      </w:r>
      <w:r>
        <w:rPr>
          <w:spacing w:val="-12"/>
        </w:rPr>
        <w:t> </w:t>
      </w:r>
      <w:r>
        <w:rPr/>
        <w:t>asentamientos humanos rural;</w:t>
      </w:r>
    </w:p>
    <w:p>
      <w:pPr>
        <w:spacing w:before="229"/>
        <w:ind w:left="262" w:right="0" w:firstLine="0"/>
        <w:jc w:val="both"/>
        <w:rPr>
          <w:sz w:val="20"/>
        </w:rPr>
      </w:pPr>
      <w:r>
        <w:rPr>
          <w:rFonts w:ascii="Arial" w:hAnsi="Arial"/>
          <w:b/>
          <w:sz w:val="20"/>
        </w:rPr>
        <w:t>LXVI.</w:t>
      </w:r>
      <w:r>
        <w:rPr>
          <w:rFonts w:ascii="Arial" w:hAnsi="Arial"/>
          <w:b/>
          <w:spacing w:val="4"/>
          <w:sz w:val="20"/>
        </w:rPr>
        <w:t> </w:t>
      </w:r>
      <w:r>
        <w:rPr>
          <w:rFonts w:ascii="Arial" w:hAnsi="Arial"/>
          <w:b/>
          <w:sz w:val="20"/>
        </w:rPr>
        <w:t>Procuraduría</w:t>
      </w:r>
      <w:r>
        <w:rPr>
          <w:rFonts w:ascii="Arial" w:hAnsi="Arial"/>
          <w:b/>
          <w:spacing w:val="-7"/>
          <w:sz w:val="20"/>
        </w:rPr>
        <w:t> </w:t>
      </w:r>
      <w:r>
        <w:rPr>
          <w:rFonts w:ascii="Arial" w:hAnsi="Arial"/>
          <w:b/>
          <w:sz w:val="20"/>
        </w:rPr>
        <w:t>Urbana:</w:t>
      </w:r>
      <w:r>
        <w:rPr>
          <w:rFonts w:ascii="Arial" w:hAnsi="Arial"/>
          <w:b/>
          <w:spacing w:val="-6"/>
          <w:sz w:val="20"/>
        </w:rPr>
        <w:t> </w:t>
      </w:r>
      <w:r>
        <w:rPr>
          <w:sz w:val="20"/>
        </w:rPr>
        <w:t>la</w:t>
      </w:r>
      <w:r>
        <w:rPr>
          <w:spacing w:val="-6"/>
          <w:sz w:val="20"/>
        </w:rPr>
        <w:t> </w:t>
      </w:r>
      <w:r>
        <w:rPr>
          <w:sz w:val="20"/>
        </w:rPr>
        <w:t>Procuraduría</w:t>
      </w:r>
      <w:r>
        <w:rPr>
          <w:spacing w:val="-7"/>
          <w:sz w:val="20"/>
        </w:rPr>
        <w:t> </w:t>
      </w:r>
      <w:r>
        <w:rPr>
          <w:sz w:val="20"/>
        </w:rPr>
        <w:t>Urbana</w:t>
      </w:r>
      <w:r>
        <w:rPr>
          <w:spacing w:val="-6"/>
          <w:sz w:val="20"/>
        </w:rPr>
        <w:t> </w:t>
      </w:r>
      <w:r>
        <w:rPr>
          <w:sz w:val="20"/>
        </w:rPr>
        <w:t>del</w:t>
      </w:r>
      <w:r>
        <w:rPr>
          <w:spacing w:val="-8"/>
          <w:sz w:val="20"/>
        </w:rPr>
        <w:t> </w:t>
      </w:r>
      <w:r>
        <w:rPr>
          <w:sz w:val="20"/>
        </w:rPr>
        <w:t>Estado</w:t>
      </w:r>
      <w:r>
        <w:rPr>
          <w:spacing w:val="-8"/>
          <w:sz w:val="20"/>
        </w:rPr>
        <w:t> </w:t>
      </w:r>
      <w:r>
        <w:rPr>
          <w:sz w:val="20"/>
        </w:rPr>
        <w:t>de</w:t>
      </w:r>
      <w:r>
        <w:rPr>
          <w:spacing w:val="-7"/>
          <w:sz w:val="20"/>
        </w:rPr>
        <w:t> </w:t>
      </w:r>
      <w:r>
        <w:rPr>
          <w:sz w:val="20"/>
        </w:rPr>
        <w:t>San</w:t>
      </w:r>
      <w:r>
        <w:rPr>
          <w:spacing w:val="-7"/>
          <w:sz w:val="20"/>
        </w:rPr>
        <w:t> </w:t>
      </w:r>
      <w:r>
        <w:rPr>
          <w:sz w:val="20"/>
        </w:rPr>
        <w:t>Luis</w:t>
      </w:r>
      <w:r>
        <w:rPr>
          <w:spacing w:val="-7"/>
          <w:sz w:val="20"/>
        </w:rPr>
        <w:t> </w:t>
      </w:r>
      <w:r>
        <w:rPr>
          <w:spacing w:val="-2"/>
          <w:sz w:val="20"/>
        </w:rPr>
        <w:t>Potosí;</w:t>
      </w:r>
    </w:p>
    <w:p>
      <w:pPr>
        <w:pStyle w:val="BodyText"/>
        <w:spacing w:before="1"/>
      </w:pPr>
    </w:p>
    <w:p>
      <w:pPr>
        <w:pStyle w:val="BodyText"/>
        <w:ind w:left="262" w:right="287"/>
        <w:jc w:val="both"/>
      </w:pPr>
      <w:r>
        <w:rPr>
          <w:rFonts w:ascii="Arial" w:hAnsi="Arial"/>
          <w:b/>
        </w:rPr>
        <w:t>LXVII.</w:t>
      </w:r>
      <w:r>
        <w:rPr>
          <w:rFonts w:ascii="Arial" w:hAnsi="Arial"/>
          <w:b/>
          <w:spacing w:val="40"/>
        </w:rPr>
        <w:t> </w:t>
      </w:r>
      <w:r>
        <w:rPr>
          <w:rFonts w:ascii="Arial" w:hAnsi="Arial"/>
          <w:b/>
        </w:rPr>
        <w:t>Promotor: </w:t>
      </w:r>
      <w:r>
        <w:rPr/>
        <w:t>solicitante de una autorización de constitución, modificación o extinción de un régimen de propiedad en condominio o de un desarrollo inmobiliario;</w:t>
      </w:r>
    </w:p>
    <w:p>
      <w:pPr>
        <w:spacing w:before="229"/>
        <w:ind w:left="262" w:right="0" w:firstLine="0"/>
        <w:jc w:val="both"/>
        <w:rPr>
          <w:sz w:val="20"/>
        </w:rPr>
      </w:pPr>
      <w:r>
        <w:rPr>
          <w:rFonts w:ascii="Arial" w:hAnsi="Arial"/>
          <w:b/>
          <w:sz w:val="20"/>
        </w:rPr>
        <w:t>LXVIII.</w:t>
      </w:r>
      <w:r>
        <w:rPr>
          <w:rFonts w:ascii="Arial" w:hAnsi="Arial"/>
          <w:b/>
          <w:spacing w:val="31"/>
          <w:sz w:val="20"/>
        </w:rPr>
        <w:t> </w:t>
      </w:r>
      <w:r>
        <w:rPr>
          <w:rFonts w:ascii="Arial" w:hAnsi="Arial"/>
          <w:b/>
          <w:sz w:val="20"/>
        </w:rPr>
        <w:t>Promotora</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z w:val="20"/>
        </w:rPr>
        <w:t>Estado:</w:t>
      </w:r>
      <w:r>
        <w:rPr>
          <w:rFonts w:ascii="Arial" w:hAnsi="Arial"/>
          <w:b/>
          <w:spacing w:val="-4"/>
          <w:sz w:val="20"/>
        </w:rPr>
        <w:t> </w:t>
      </w:r>
      <w:r>
        <w:rPr>
          <w:sz w:val="20"/>
        </w:rPr>
        <w:t>la</w:t>
      </w:r>
      <w:r>
        <w:rPr>
          <w:spacing w:val="-4"/>
          <w:sz w:val="20"/>
        </w:rPr>
        <w:t> </w:t>
      </w:r>
      <w:r>
        <w:rPr>
          <w:sz w:val="20"/>
        </w:rPr>
        <w:t>Promotora</w:t>
      </w:r>
      <w:r>
        <w:rPr>
          <w:spacing w:val="-5"/>
          <w:sz w:val="20"/>
        </w:rPr>
        <w:t> </w:t>
      </w:r>
      <w:r>
        <w:rPr>
          <w:sz w:val="20"/>
        </w:rPr>
        <w:t>del</w:t>
      </w:r>
      <w:r>
        <w:rPr>
          <w:spacing w:val="-6"/>
          <w:sz w:val="20"/>
        </w:rPr>
        <w:t> </w:t>
      </w:r>
      <w:r>
        <w:rPr>
          <w:sz w:val="20"/>
        </w:rPr>
        <w:t>Estado</w:t>
      </w:r>
      <w:r>
        <w:rPr>
          <w:spacing w:val="-6"/>
          <w:sz w:val="20"/>
        </w:rPr>
        <w:t> </w:t>
      </w:r>
      <w:r>
        <w:rPr>
          <w:sz w:val="20"/>
        </w:rPr>
        <w:t>de</w:t>
      </w:r>
      <w:r>
        <w:rPr>
          <w:spacing w:val="-6"/>
          <w:sz w:val="20"/>
        </w:rPr>
        <w:t> </w:t>
      </w:r>
      <w:r>
        <w:rPr>
          <w:sz w:val="20"/>
        </w:rPr>
        <w:t>San</w:t>
      </w:r>
      <w:r>
        <w:rPr>
          <w:spacing w:val="-7"/>
          <w:sz w:val="20"/>
        </w:rPr>
        <w:t> </w:t>
      </w:r>
      <w:r>
        <w:rPr>
          <w:sz w:val="20"/>
        </w:rPr>
        <w:t>Luis</w:t>
      </w:r>
      <w:r>
        <w:rPr>
          <w:spacing w:val="-6"/>
          <w:sz w:val="20"/>
        </w:rPr>
        <w:t> </w:t>
      </w:r>
      <w:r>
        <w:rPr>
          <w:spacing w:val="-2"/>
          <w:sz w:val="20"/>
        </w:rPr>
        <w:t>Potosí;</w:t>
      </w:r>
    </w:p>
    <w:p>
      <w:pPr>
        <w:pStyle w:val="BodyText"/>
        <w:spacing w:before="1"/>
      </w:pPr>
    </w:p>
    <w:p>
      <w:pPr>
        <w:spacing w:before="0"/>
        <w:ind w:left="262" w:right="0" w:firstLine="0"/>
        <w:jc w:val="both"/>
        <w:rPr>
          <w:sz w:val="20"/>
        </w:rPr>
      </w:pPr>
      <w:r>
        <w:rPr>
          <w:rFonts w:ascii="Arial" w:hAnsi="Arial"/>
          <w:b/>
          <w:sz w:val="20"/>
        </w:rPr>
        <w:t>LXIX.</w:t>
      </w:r>
      <w:r>
        <w:rPr>
          <w:rFonts w:ascii="Arial" w:hAnsi="Arial"/>
          <w:b/>
          <w:spacing w:val="39"/>
          <w:sz w:val="20"/>
        </w:rPr>
        <w:t>  </w:t>
      </w:r>
      <w:r>
        <w:rPr>
          <w:rFonts w:ascii="Arial" w:hAnsi="Arial"/>
          <w:b/>
          <w:sz w:val="20"/>
        </w:rPr>
        <w:t>Provisiones:</w:t>
      </w:r>
      <w:r>
        <w:rPr>
          <w:rFonts w:ascii="Arial" w:hAnsi="Arial"/>
          <w:b/>
          <w:spacing w:val="-1"/>
          <w:sz w:val="20"/>
        </w:rPr>
        <w:t> </w:t>
      </w:r>
      <w:r>
        <w:rPr>
          <w:sz w:val="20"/>
        </w:rPr>
        <w:t>áreas</w:t>
      </w:r>
      <w:r>
        <w:rPr>
          <w:spacing w:val="-5"/>
          <w:sz w:val="20"/>
        </w:rPr>
        <w:t> </w:t>
      </w:r>
      <w:r>
        <w:rPr>
          <w:sz w:val="20"/>
        </w:rPr>
        <w:t>que</w:t>
      </w:r>
      <w:r>
        <w:rPr>
          <w:spacing w:val="-7"/>
          <w:sz w:val="20"/>
        </w:rPr>
        <w:t> </w:t>
      </w:r>
      <w:r>
        <w:rPr>
          <w:sz w:val="20"/>
        </w:rPr>
        <w:t>serán</w:t>
      </w:r>
      <w:r>
        <w:rPr>
          <w:spacing w:val="-7"/>
          <w:sz w:val="20"/>
        </w:rPr>
        <w:t> </w:t>
      </w:r>
      <w:r>
        <w:rPr>
          <w:sz w:val="20"/>
        </w:rPr>
        <w:t>utilizadas</w:t>
      </w:r>
      <w:r>
        <w:rPr>
          <w:spacing w:val="-3"/>
          <w:sz w:val="20"/>
        </w:rPr>
        <w:t> </w:t>
      </w:r>
      <w:r>
        <w:rPr>
          <w:sz w:val="20"/>
        </w:rPr>
        <w:t>para</w:t>
      </w:r>
      <w:r>
        <w:rPr>
          <w:spacing w:val="-4"/>
          <w:sz w:val="20"/>
        </w:rPr>
        <w:t> </w:t>
      </w:r>
      <w:r>
        <w:rPr>
          <w:sz w:val="20"/>
        </w:rPr>
        <w:t>la</w:t>
      </w:r>
      <w:r>
        <w:rPr>
          <w:spacing w:val="-6"/>
          <w:sz w:val="20"/>
        </w:rPr>
        <w:t> </w:t>
      </w:r>
      <w:r>
        <w:rPr>
          <w:sz w:val="20"/>
        </w:rPr>
        <w:t>fundación</w:t>
      </w:r>
      <w:r>
        <w:rPr>
          <w:spacing w:val="-7"/>
          <w:sz w:val="20"/>
        </w:rPr>
        <w:t> </w:t>
      </w:r>
      <w:r>
        <w:rPr>
          <w:sz w:val="20"/>
        </w:rPr>
        <w:t>de</w:t>
      </w:r>
      <w:r>
        <w:rPr>
          <w:spacing w:val="-6"/>
          <w:sz w:val="20"/>
        </w:rPr>
        <w:t> </w:t>
      </w:r>
      <w:r>
        <w:rPr>
          <w:sz w:val="20"/>
        </w:rPr>
        <w:t>un</w:t>
      </w:r>
      <w:r>
        <w:rPr>
          <w:spacing w:val="-6"/>
          <w:sz w:val="20"/>
        </w:rPr>
        <w:t> </w:t>
      </w:r>
      <w:r>
        <w:rPr>
          <w:sz w:val="20"/>
        </w:rPr>
        <w:t>centro</w:t>
      </w:r>
      <w:r>
        <w:rPr>
          <w:spacing w:val="-4"/>
          <w:sz w:val="20"/>
        </w:rPr>
        <w:t> </w:t>
      </w:r>
      <w:r>
        <w:rPr>
          <w:sz w:val="20"/>
        </w:rPr>
        <w:t>de</w:t>
      </w:r>
      <w:r>
        <w:rPr>
          <w:spacing w:val="-5"/>
          <w:sz w:val="20"/>
        </w:rPr>
        <w:t> </w:t>
      </w:r>
      <w:r>
        <w:rPr>
          <w:spacing w:val="-2"/>
          <w:sz w:val="20"/>
        </w:rPr>
        <w:t>población;</w:t>
      </w:r>
    </w:p>
    <w:p>
      <w:pPr>
        <w:pStyle w:val="BodyText"/>
        <w:spacing w:before="1"/>
      </w:pPr>
    </w:p>
    <w:p>
      <w:pPr>
        <w:pStyle w:val="BodyText"/>
        <w:ind w:left="262" w:right="284"/>
        <w:jc w:val="both"/>
      </w:pPr>
      <w:r>
        <w:rPr>
          <w:rFonts w:ascii="Arial" w:hAnsi="Arial"/>
          <w:b/>
        </w:rPr>
        <w:t>LXX.</w:t>
      </w:r>
      <w:r>
        <w:rPr>
          <w:rFonts w:ascii="Arial" w:hAnsi="Arial"/>
          <w:b/>
          <w:spacing w:val="80"/>
          <w:w w:val="150"/>
        </w:rPr>
        <w:t> </w:t>
      </w:r>
      <w:r>
        <w:rPr>
          <w:rFonts w:ascii="Arial" w:hAnsi="Arial"/>
          <w:b/>
        </w:rPr>
        <w:t>Pueblo Mágico: </w:t>
      </w:r>
      <w:r>
        <w:rPr/>
        <w:t>son las poblaciones que incluye el Gobierno de la República en su programa de Pueblos Mágicos;</w:t>
      </w:r>
    </w:p>
    <w:p>
      <w:pPr>
        <w:pStyle w:val="BodyText"/>
        <w:spacing w:before="229"/>
        <w:ind w:left="262" w:right="283"/>
        <w:jc w:val="both"/>
      </w:pPr>
      <w:r>
        <w:rPr>
          <w:rFonts w:ascii="Arial" w:hAnsi="Arial"/>
          <w:b/>
        </w:rPr>
        <w:t>LXXI.</w:t>
      </w:r>
      <w:r>
        <w:rPr>
          <w:rFonts w:ascii="Arial" w:hAnsi="Arial"/>
          <w:b/>
          <w:spacing w:val="80"/>
        </w:rPr>
        <w:t> </w:t>
      </w:r>
      <w:r>
        <w:rPr>
          <w:rFonts w:ascii="Arial" w:hAnsi="Arial"/>
          <w:b/>
        </w:rPr>
        <w:t>Reducción</w:t>
      </w:r>
      <w:r>
        <w:rPr>
          <w:rFonts w:ascii="Arial" w:hAnsi="Arial"/>
          <w:b/>
          <w:spacing w:val="-1"/>
        </w:rPr>
        <w:t> </w:t>
      </w:r>
      <w:r>
        <w:rPr>
          <w:rFonts w:ascii="Arial" w:hAnsi="Arial"/>
          <w:b/>
        </w:rPr>
        <w:t>de riesgos</w:t>
      </w:r>
      <w:r>
        <w:rPr>
          <w:rFonts w:ascii="Arial" w:hAnsi="Arial"/>
          <w:b/>
          <w:spacing w:val="-2"/>
        </w:rPr>
        <w:t> </w:t>
      </w:r>
      <w:r>
        <w:rPr>
          <w:rFonts w:ascii="Arial" w:hAnsi="Arial"/>
          <w:b/>
        </w:rPr>
        <w:t>de desastres: </w:t>
      </w:r>
      <w:r>
        <w:rPr/>
        <w:t>los</w:t>
      </w:r>
      <w:r>
        <w:rPr>
          <w:spacing w:val="-1"/>
        </w:rPr>
        <w:t> </w:t>
      </w:r>
      <w:r>
        <w:rPr/>
        <w:t>esfuerzos</w:t>
      </w:r>
      <w:r>
        <w:rPr>
          <w:spacing w:val="-1"/>
        </w:rPr>
        <w:t> </w:t>
      </w:r>
      <w:r>
        <w:rPr/>
        <w:t>sistemáticos</w:t>
      </w:r>
      <w:r>
        <w:rPr>
          <w:spacing w:val="-1"/>
        </w:rPr>
        <w:t> </w:t>
      </w:r>
      <w:r>
        <w:rPr/>
        <w:t>dirigidos</w:t>
      </w:r>
      <w:r>
        <w:rPr>
          <w:spacing w:val="-1"/>
        </w:rPr>
        <w:t> </w:t>
      </w:r>
      <w:r>
        <w:rPr/>
        <w:t>al</w:t>
      </w:r>
      <w:r>
        <w:rPr>
          <w:spacing w:val="-3"/>
        </w:rPr>
        <w:t> </w:t>
      </w:r>
      <w:r>
        <w:rPr/>
        <w:t>análisis</w:t>
      </w:r>
      <w:r>
        <w:rPr>
          <w:spacing w:val="-1"/>
        </w:rPr>
        <w:t> </w:t>
      </w:r>
      <w:r>
        <w:rPr/>
        <w:t>y</w:t>
      </w:r>
      <w:r>
        <w:rPr>
          <w:spacing w:val="-1"/>
        </w:rPr>
        <w:t> </w:t>
      </w:r>
      <w:r>
        <w:rPr/>
        <w:t>a</w:t>
      </w:r>
      <w:r>
        <w:rPr>
          <w:spacing w:val="-2"/>
        </w:rPr>
        <w:t> </w:t>
      </w:r>
      <w:r>
        <w:rPr/>
        <w:t>la gestión</w:t>
      </w:r>
      <w:r>
        <w:rPr>
          <w:spacing w:val="-14"/>
        </w:rPr>
        <w:t> </w:t>
      </w:r>
      <w:r>
        <w:rPr/>
        <w:t>de</w:t>
      </w:r>
      <w:r>
        <w:rPr>
          <w:spacing w:val="-14"/>
        </w:rPr>
        <w:t> </w:t>
      </w:r>
      <w:r>
        <w:rPr/>
        <w:t>los</w:t>
      </w:r>
      <w:r>
        <w:rPr>
          <w:spacing w:val="-14"/>
        </w:rPr>
        <w:t> </w:t>
      </w:r>
      <w:r>
        <w:rPr/>
        <w:t>factores</w:t>
      </w:r>
      <w:r>
        <w:rPr>
          <w:spacing w:val="-14"/>
        </w:rPr>
        <w:t> </w:t>
      </w:r>
      <w:r>
        <w:rPr/>
        <w:t>causales</w:t>
      </w:r>
      <w:r>
        <w:rPr>
          <w:spacing w:val="-14"/>
        </w:rPr>
        <w:t> </w:t>
      </w:r>
      <w:r>
        <w:rPr/>
        <w:t>de</w:t>
      </w:r>
      <w:r>
        <w:rPr>
          <w:spacing w:val="-14"/>
        </w:rPr>
        <w:t> </w:t>
      </w:r>
      <w:r>
        <w:rPr/>
        <w:t>los</w:t>
      </w:r>
      <w:r>
        <w:rPr>
          <w:spacing w:val="-14"/>
        </w:rPr>
        <w:t> </w:t>
      </w:r>
      <w:r>
        <w:rPr/>
        <w:t>desastres,</w:t>
      </w:r>
      <w:r>
        <w:rPr>
          <w:spacing w:val="-14"/>
        </w:rPr>
        <w:t> </w:t>
      </w:r>
      <w:r>
        <w:rPr/>
        <w:t>lo</w:t>
      </w:r>
      <w:r>
        <w:rPr>
          <w:spacing w:val="-14"/>
        </w:rPr>
        <w:t> </w:t>
      </w:r>
      <w:r>
        <w:rPr/>
        <w:t>que</w:t>
      </w:r>
      <w:r>
        <w:rPr>
          <w:spacing w:val="-13"/>
        </w:rPr>
        <w:t> </w:t>
      </w:r>
      <w:r>
        <w:rPr/>
        <w:t>incluye</w:t>
      </w:r>
      <w:r>
        <w:rPr>
          <w:spacing w:val="-14"/>
        </w:rPr>
        <w:t> </w:t>
      </w:r>
      <w:r>
        <w:rPr/>
        <w:t>la</w:t>
      </w:r>
      <w:r>
        <w:rPr>
          <w:spacing w:val="-14"/>
        </w:rPr>
        <w:t> </w:t>
      </w:r>
      <w:r>
        <w:rPr/>
        <w:t>reducción</w:t>
      </w:r>
      <w:r>
        <w:rPr>
          <w:spacing w:val="-13"/>
        </w:rPr>
        <w:t> </w:t>
      </w:r>
      <w:r>
        <w:rPr/>
        <w:t>del</w:t>
      </w:r>
      <w:r>
        <w:rPr>
          <w:spacing w:val="-14"/>
        </w:rPr>
        <w:t> </w:t>
      </w:r>
      <w:r>
        <w:rPr/>
        <w:t>grado</w:t>
      </w:r>
      <w:r>
        <w:rPr>
          <w:spacing w:val="-13"/>
        </w:rPr>
        <w:t> </w:t>
      </w:r>
      <w:r>
        <w:rPr/>
        <w:t>de</w:t>
      </w:r>
      <w:r>
        <w:rPr>
          <w:spacing w:val="-13"/>
        </w:rPr>
        <w:t> </w:t>
      </w:r>
      <w:r>
        <w:rPr/>
        <w:t>exposición a las amenazas, la disminución de la vulnerabilidad de la población y la propiedad, y una gestión sensata de los suelos y del medio ambiente;</w:t>
      </w:r>
    </w:p>
    <w:p>
      <w:pPr>
        <w:pStyle w:val="BodyText"/>
      </w:pPr>
    </w:p>
    <w:p>
      <w:pPr>
        <w:pStyle w:val="BodyText"/>
        <w:ind w:left="262" w:right="276"/>
        <w:jc w:val="both"/>
      </w:pPr>
      <w:r>
        <w:rPr>
          <w:rFonts w:ascii="Arial" w:hAnsi="Arial"/>
          <w:b/>
        </w:rPr>
        <w:t>LXXII.</w:t>
      </w:r>
      <w:r>
        <w:rPr>
          <w:rFonts w:ascii="Arial" w:hAnsi="Arial"/>
          <w:b/>
          <w:spacing w:val="80"/>
        </w:rPr>
        <w:t> </w:t>
      </w:r>
      <w:r>
        <w:rPr>
          <w:rFonts w:ascii="Arial" w:hAnsi="Arial"/>
          <w:b/>
        </w:rPr>
        <w:t>Régimen</w:t>
      </w:r>
      <w:r>
        <w:rPr>
          <w:rFonts w:ascii="Arial" w:hAnsi="Arial"/>
          <w:b/>
          <w:spacing w:val="-6"/>
        </w:rPr>
        <w:t> </w:t>
      </w:r>
      <w:r>
        <w:rPr>
          <w:rFonts w:ascii="Arial" w:hAnsi="Arial"/>
          <w:b/>
        </w:rPr>
        <w:t>de</w:t>
      </w:r>
      <w:r>
        <w:rPr>
          <w:rFonts w:ascii="Arial" w:hAnsi="Arial"/>
          <w:b/>
          <w:spacing w:val="-7"/>
        </w:rPr>
        <w:t> </w:t>
      </w:r>
      <w:r>
        <w:rPr>
          <w:rFonts w:ascii="Arial" w:hAnsi="Arial"/>
          <w:b/>
        </w:rPr>
        <w:t>Condominio: </w:t>
      </w:r>
      <w:r>
        <w:rPr/>
        <w:t>acto</w:t>
      </w:r>
      <w:r>
        <w:rPr>
          <w:spacing w:val="-7"/>
        </w:rPr>
        <w:t> </w:t>
      </w:r>
      <w:r>
        <w:rPr/>
        <w:t>jurídico,</w:t>
      </w:r>
      <w:r>
        <w:rPr>
          <w:spacing w:val="-7"/>
        </w:rPr>
        <w:t> </w:t>
      </w:r>
      <w:r>
        <w:rPr/>
        <w:t>por</w:t>
      </w:r>
      <w:r>
        <w:rPr>
          <w:spacing w:val="-6"/>
        </w:rPr>
        <w:t> </w:t>
      </w:r>
      <w:r>
        <w:rPr/>
        <w:t>el</w:t>
      </w:r>
      <w:r>
        <w:rPr>
          <w:spacing w:val="-8"/>
        </w:rPr>
        <w:t> </w:t>
      </w:r>
      <w:r>
        <w:rPr/>
        <w:t>cual</w:t>
      </w:r>
      <w:r>
        <w:rPr>
          <w:spacing w:val="-7"/>
        </w:rPr>
        <w:t> </w:t>
      </w:r>
      <w:r>
        <w:rPr/>
        <w:t>los</w:t>
      </w:r>
      <w:r>
        <w:rPr>
          <w:spacing w:val="-5"/>
        </w:rPr>
        <w:t> </w:t>
      </w:r>
      <w:r>
        <w:rPr/>
        <w:t>interesados</w:t>
      </w:r>
      <w:r>
        <w:rPr>
          <w:spacing w:val="-6"/>
        </w:rPr>
        <w:t> </w:t>
      </w:r>
      <w:r>
        <w:rPr/>
        <w:t>manifiestan</w:t>
      </w:r>
      <w:r>
        <w:rPr>
          <w:spacing w:val="-7"/>
        </w:rPr>
        <w:t> </w:t>
      </w:r>
      <w:r>
        <w:rPr/>
        <w:t>su</w:t>
      </w:r>
      <w:r>
        <w:rPr>
          <w:spacing w:val="-7"/>
        </w:rPr>
        <w:t> </w:t>
      </w:r>
      <w:r>
        <w:rPr/>
        <w:t>voluntad de que en su propiedad, coexista un derecho singular y exclusivo sobre cada una de las unidades en que se divida un inmueble, susceptible de aprovechamiento individual, por tener salida propia a la</w:t>
      </w:r>
      <w:r>
        <w:rPr>
          <w:spacing w:val="-14"/>
        </w:rPr>
        <w:t> </w:t>
      </w:r>
      <w:r>
        <w:rPr/>
        <w:t>vía</w:t>
      </w:r>
      <w:r>
        <w:rPr>
          <w:spacing w:val="-14"/>
        </w:rPr>
        <w:t> </w:t>
      </w:r>
      <w:r>
        <w:rPr/>
        <w:t>pública</w:t>
      </w:r>
      <w:r>
        <w:rPr>
          <w:spacing w:val="-14"/>
        </w:rPr>
        <w:t> </w:t>
      </w:r>
      <w:r>
        <w:rPr/>
        <w:t>o</w:t>
      </w:r>
      <w:r>
        <w:rPr>
          <w:spacing w:val="-14"/>
        </w:rPr>
        <w:t> </w:t>
      </w:r>
      <w:r>
        <w:rPr/>
        <w:t>a</w:t>
      </w:r>
      <w:r>
        <w:rPr>
          <w:spacing w:val="-14"/>
        </w:rPr>
        <w:t> </w:t>
      </w:r>
      <w:r>
        <w:rPr/>
        <w:t>un</w:t>
      </w:r>
      <w:r>
        <w:rPr>
          <w:spacing w:val="-14"/>
        </w:rPr>
        <w:t> </w:t>
      </w:r>
      <w:r>
        <w:rPr/>
        <w:t>elemento</w:t>
      </w:r>
      <w:r>
        <w:rPr>
          <w:spacing w:val="-14"/>
        </w:rPr>
        <w:t> </w:t>
      </w:r>
      <w:r>
        <w:rPr/>
        <w:t>común</w:t>
      </w:r>
      <w:r>
        <w:rPr>
          <w:spacing w:val="-14"/>
        </w:rPr>
        <w:t> </w:t>
      </w:r>
      <w:r>
        <w:rPr/>
        <w:t>del</w:t>
      </w:r>
      <w:r>
        <w:rPr>
          <w:spacing w:val="-14"/>
        </w:rPr>
        <w:t> </w:t>
      </w:r>
      <w:r>
        <w:rPr/>
        <w:t>inmueble</w:t>
      </w:r>
      <w:r>
        <w:rPr>
          <w:spacing w:val="-13"/>
        </w:rPr>
        <w:t> </w:t>
      </w:r>
      <w:r>
        <w:rPr/>
        <w:t>y</w:t>
      </w:r>
      <w:r>
        <w:rPr>
          <w:spacing w:val="-14"/>
        </w:rPr>
        <w:t> </w:t>
      </w:r>
      <w:r>
        <w:rPr/>
        <w:t>un</w:t>
      </w:r>
      <w:r>
        <w:rPr>
          <w:spacing w:val="-14"/>
        </w:rPr>
        <w:t> </w:t>
      </w:r>
      <w:r>
        <w:rPr/>
        <w:t>derecho</w:t>
      </w:r>
      <w:r>
        <w:rPr>
          <w:spacing w:val="-14"/>
        </w:rPr>
        <w:t> </w:t>
      </w:r>
      <w:r>
        <w:rPr/>
        <w:t>proporcional</w:t>
      </w:r>
      <w:r>
        <w:rPr>
          <w:spacing w:val="-14"/>
        </w:rPr>
        <w:t> </w:t>
      </w:r>
      <w:r>
        <w:rPr/>
        <w:t>de</w:t>
      </w:r>
      <w:r>
        <w:rPr>
          <w:spacing w:val="-14"/>
        </w:rPr>
        <w:t> </w:t>
      </w:r>
      <w:r>
        <w:rPr/>
        <w:t>copropiedad</w:t>
      </w:r>
      <w:r>
        <w:rPr>
          <w:spacing w:val="-14"/>
        </w:rPr>
        <w:t> </w:t>
      </w:r>
      <w:r>
        <w:rPr/>
        <w:t>forzosa e indivisible sobre los elementos y partes comunes del inmueble, necesarios para el adecuado uso y disfrute de las unidades de propiedad singular y exclusiva;</w:t>
      </w:r>
    </w:p>
    <w:p>
      <w:pPr>
        <w:pStyle w:val="BodyText"/>
      </w:pPr>
    </w:p>
    <w:p>
      <w:pPr>
        <w:spacing w:before="0"/>
        <w:ind w:left="262" w:right="280" w:firstLine="0"/>
        <w:jc w:val="both"/>
        <w:rPr>
          <w:sz w:val="20"/>
        </w:rPr>
      </w:pPr>
      <w:r>
        <w:rPr>
          <w:rFonts w:ascii="Arial" w:hAnsi="Arial"/>
          <w:b/>
          <w:sz w:val="20"/>
        </w:rPr>
        <w:t>LXXIII.</w:t>
      </w:r>
      <w:r>
        <w:rPr>
          <w:rFonts w:ascii="Arial" w:hAnsi="Arial"/>
          <w:b/>
          <w:spacing w:val="40"/>
          <w:sz w:val="20"/>
        </w:rPr>
        <w:t> </w:t>
      </w:r>
      <w:r>
        <w:rPr>
          <w:rFonts w:ascii="Arial" w:hAnsi="Arial"/>
          <w:b/>
          <w:sz w:val="20"/>
        </w:rPr>
        <w:t>Regularización de la tenencia de la tierra urbana: </w:t>
      </w:r>
      <w:r>
        <w:rPr>
          <w:sz w:val="20"/>
        </w:rPr>
        <w:t>legitimación de la posesión o propiedad</w:t>
      </w:r>
      <w:r>
        <w:rPr>
          <w:spacing w:val="-5"/>
          <w:sz w:val="20"/>
        </w:rPr>
        <w:t> </w:t>
      </w:r>
      <w:r>
        <w:rPr>
          <w:sz w:val="20"/>
        </w:rPr>
        <w:t>del</w:t>
      </w:r>
      <w:r>
        <w:rPr>
          <w:spacing w:val="-6"/>
          <w:sz w:val="20"/>
        </w:rPr>
        <w:t> </w:t>
      </w:r>
      <w:r>
        <w:rPr>
          <w:sz w:val="20"/>
        </w:rPr>
        <w:t>suelo</w:t>
      </w:r>
      <w:r>
        <w:rPr>
          <w:spacing w:val="-5"/>
          <w:sz w:val="20"/>
        </w:rPr>
        <w:t> </w:t>
      </w:r>
      <w:r>
        <w:rPr>
          <w:sz w:val="20"/>
        </w:rPr>
        <w:t>urbano</w:t>
      </w:r>
      <w:r>
        <w:rPr>
          <w:spacing w:val="-3"/>
          <w:sz w:val="20"/>
        </w:rPr>
        <w:t> </w:t>
      </w:r>
      <w:r>
        <w:rPr>
          <w:sz w:val="20"/>
        </w:rPr>
        <w:t>a</w:t>
      </w:r>
      <w:r>
        <w:rPr>
          <w:spacing w:val="-6"/>
          <w:sz w:val="20"/>
        </w:rPr>
        <w:t> </w:t>
      </w:r>
      <w:r>
        <w:rPr>
          <w:sz w:val="20"/>
        </w:rPr>
        <w:t>las</w:t>
      </w:r>
      <w:r>
        <w:rPr>
          <w:spacing w:val="-4"/>
          <w:sz w:val="20"/>
        </w:rPr>
        <w:t> </w:t>
      </w:r>
      <w:r>
        <w:rPr>
          <w:sz w:val="20"/>
        </w:rPr>
        <w:t>personas</w:t>
      </w:r>
      <w:r>
        <w:rPr>
          <w:spacing w:val="-4"/>
          <w:sz w:val="20"/>
        </w:rPr>
        <w:t> </w:t>
      </w:r>
      <w:r>
        <w:rPr>
          <w:sz w:val="20"/>
        </w:rPr>
        <w:t>asentadas</w:t>
      </w:r>
      <w:r>
        <w:rPr>
          <w:spacing w:val="-4"/>
          <w:sz w:val="20"/>
        </w:rPr>
        <w:t> </w:t>
      </w:r>
      <w:r>
        <w:rPr>
          <w:sz w:val="20"/>
        </w:rPr>
        <w:t>irregularmente;</w:t>
      </w:r>
      <w:r>
        <w:rPr>
          <w:spacing w:val="-5"/>
          <w:sz w:val="20"/>
        </w:rPr>
        <w:t> </w:t>
      </w:r>
      <w:r>
        <w:rPr>
          <w:sz w:val="20"/>
        </w:rPr>
        <w:t>así</w:t>
      </w:r>
      <w:r>
        <w:rPr>
          <w:spacing w:val="-5"/>
          <w:sz w:val="20"/>
        </w:rPr>
        <w:t> </w:t>
      </w:r>
      <w:r>
        <w:rPr>
          <w:sz w:val="20"/>
        </w:rPr>
        <w:t>como,</w:t>
      </w:r>
      <w:r>
        <w:rPr>
          <w:spacing w:val="-5"/>
          <w:sz w:val="20"/>
        </w:rPr>
        <w:t> </w:t>
      </w:r>
      <w:r>
        <w:rPr>
          <w:sz w:val="20"/>
        </w:rPr>
        <w:t>la</w:t>
      </w:r>
      <w:r>
        <w:rPr>
          <w:spacing w:val="-3"/>
          <w:sz w:val="20"/>
        </w:rPr>
        <w:t> </w:t>
      </w:r>
      <w:r>
        <w:rPr>
          <w:sz w:val="20"/>
        </w:rPr>
        <w:t>incorporación</w:t>
      </w:r>
      <w:r>
        <w:rPr>
          <w:spacing w:val="-6"/>
          <w:sz w:val="20"/>
        </w:rPr>
        <w:t> </w:t>
      </w:r>
      <w:r>
        <w:rPr>
          <w:sz w:val="20"/>
        </w:rPr>
        <w:t>de</w:t>
      </w:r>
    </w:p>
    <w:p>
      <w:pPr>
        <w:spacing w:after="0"/>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tal</w:t>
      </w:r>
      <w:r>
        <w:rPr>
          <w:spacing w:val="-4"/>
        </w:rPr>
        <w:t> </w:t>
      </w:r>
      <w:r>
        <w:rPr/>
        <w:t>asentamiento</w:t>
      </w:r>
      <w:r>
        <w:rPr>
          <w:spacing w:val="-1"/>
        </w:rPr>
        <w:t> </w:t>
      </w:r>
      <w:r>
        <w:rPr/>
        <w:t>humano</w:t>
      </w:r>
      <w:r>
        <w:rPr>
          <w:spacing w:val="-1"/>
        </w:rPr>
        <w:t> </w:t>
      </w:r>
      <w:r>
        <w:rPr/>
        <w:t>a</w:t>
      </w:r>
      <w:r>
        <w:rPr>
          <w:spacing w:val="-1"/>
        </w:rPr>
        <w:t> </w:t>
      </w:r>
      <w:r>
        <w:rPr/>
        <w:t>los</w:t>
      </w:r>
      <w:r>
        <w:rPr>
          <w:spacing w:val="-2"/>
        </w:rPr>
        <w:t> </w:t>
      </w:r>
      <w:r>
        <w:rPr/>
        <w:t>programas</w:t>
      </w:r>
      <w:r>
        <w:rPr>
          <w:spacing w:val="-2"/>
        </w:rPr>
        <w:t> </w:t>
      </w:r>
      <w:r>
        <w:rPr/>
        <w:t>de</w:t>
      </w:r>
      <w:r>
        <w:rPr>
          <w:spacing w:val="-1"/>
        </w:rPr>
        <w:t> </w:t>
      </w:r>
      <w:r>
        <w:rPr/>
        <w:t>desarrollo</w:t>
      </w:r>
      <w:r>
        <w:rPr>
          <w:spacing w:val="-3"/>
        </w:rPr>
        <w:t> </w:t>
      </w:r>
      <w:r>
        <w:rPr/>
        <w:t>urbano,</w:t>
      </w:r>
      <w:r>
        <w:rPr>
          <w:spacing w:val="-3"/>
        </w:rPr>
        <w:t> </w:t>
      </w:r>
      <w:r>
        <w:rPr/>
        <w:t>como</w:t>
      </w:r>
      <w:r>
        <w:rPr>
          <w:spacing w:val="-3"/>
        </w:rPr>
        <w:t> </w:t>
      </w:r>
      <w:r>
        <w:rPr/>
        <w:t>una</w:t>
      </w:r>
      <w:r>
        <w:rPr>
          <w:spacing w:val="-3"/>
        </w:rPr>
        <w:t> </w:t>
      </w:r>
      <w:r>
        <w:rPr/>
        <w:t>acción</w:t>
      </w:r>
      <w:r>
        <w:rPr>
          <w:spacing w:val="-1"/>
        </w:rPr>
        <w:t> </w:t>
      </w:r>
      <w:r>
        <w:rPr/>
        <w:t>de</w:t>
      </w:r>
      <w:r>
        <w:rPr>
          <w:spacing w:val="-4"/>
        </w:rPr>
        <w:t> </w:t>
      </w:r>
      <w:r>
        <w:rPr/>
        <w:t>mejoramiento de los centros de población;</w:t>
      </w:r>
    </w:p>
    <w:p>
      <w:pPr>
        <w:pStyle w:val="BodyText"/>
        <w:spacing w:before="1"/>
      </w:pPr>
    </w:p>
    <w:p>
      <w:pPr>
        <w:pStyle w:val="BodyText"/>
        <w:ind w:left="262" w:right="284"/>
        <w:jc w:val="both"/>
      </w:pPr>
      <w:r>
        <w:rPr>
          <w:rFonts w:ascii="Arial" w:hAnsi="Arial"/>
          <w:b/>
        </w:rPr>
        <w:t>LXXIV.</w:t>
      </w:r>
      <w:r>
        <w:rPr>
          <w:rFonts w:ascii="Arial" w:hAnsi="Arial"/>
          <w:b/>
          <w:spacing w:val="40"/>
        </w:rPr>
        <w:t> </w:t>
      </w:r>
      <w:r>
        <w:rPr>
          <w:rFonts w:ascii="Arial" w:hAnsi="Arial"/>
          <w:b/>
        </w:rPr>
        <w:t>Reservas territoriales: </w:t>
      </w:r>
      <w:r>
        <w:rPr/>
        <w:t>áreas de un centro de población que serán utilizadas para su crecimiento o consolidación de acuerdo a los programas de desarrollo urbano;</w:t>
      </w:r>
    </w:p>
    <w:p>
      <w:pPr>
        <w:pStyle w:val="BodyText"/>
        <w:spacing w:before="229"/>
        <w:ind w:left="262" w:right="279"/>
        <w:jc w:val="both"/>
      </w:pPr>
      <w:r>
        <w:rPr>
          <w:rFonts w:ascii="Arial" w:hAnsi="Arial"/>
          <w:b/>
        </w:rPr>
        <w:t>LXXV.</w:t>
      </w:r>
      <w:r>
        <w:rPr>
          <w:rFonts w:ascii="Arial" w:hAnsi="Arial"/>
          <w:b/>
          <w:spacing w:val="47"/>
        </w:rPr>
        <w:t> </w:t>
      </w:r>
      <w:r>
        <w:rPr>
          <w:rFonts w:ascii="Arial" w:hAnsi="Arial"/>
          <w:b/>
        </w:rPr>
        <w:t>Resiliencia:</w:t>
      </w:r>
      <w:r>
        <w:rPr>
          <w:rFonts w:ascii="Arial" w:hAnsi="Arial"/>
          <w:b/>
          <w:spacing w:val="-13"/>
        </w:rPr>
        <w:t> </w:t>
      </w:r>
      <w:r>
        <w:rPr/>
        <w:t>es</w:t>
      </w:r>
      <w:r>
        <w:rPr>
          <w:spacing w:val="-14"/>
        </w:rPr>
        <w:t> </w:t>
      </w:r>
      <w:r>
        <w:rPr/>
        <w:t>la</w:t>
      </w:r>
      <w:r>
        <w:rPr>
          <w:spacing w:val="-14"/>
        </w:rPr>
        <w:t> </w:t>
      </w:r>
      <w:r>
        <w:rPr/>
        <w:t>capacidad</w:t>
      </w:r>
      <w:r>
        <w:rPr>
          <w:spacing w:val="-14"/>
        </w:rPr>
        <w:t> </w:t>
      </w:r>
      <w:r>
        <w:rPr/>
        <w:t>de</w:t>
      </w:r>
      <w:r>
        <w:rPr>
          <w:spacing w:val="-14"/>
        </w:rPr>
        <w:t> </w:t>
      </w:r>
      <w:r>
        <w:rPr/>
        <w:t>un</w:t>
      </w:r>
      <w:r>
        <w:rPr>
          <w:spacing w:val="-14"/>
        </w:rPr>
        <w:t> </w:t>
      </w:r>
      <w:r>
        <w:rPr/>
        <w:t>sistema,</w:t>
      </w:r>
      <w:r>
        <w:rPr>
          <w:spacing w:val="-14"/>
        </w:rPr>
        <w:t> </w:t>
      </w:r>
      <w:r>
        <w:rPr/>
        <w:t>comunidad</w:t>
      </w:r>
      <w:r>
        <w:rPr>
          <w:spacing w:val="-14"/>
        </w:rPr>
        <w:t> </w:t>
      </w:r>
      <w:r>
        <w:rPr/>
        <w:t>o</w:t>
      </w:r>
      <w:r>
        <w:rPr>
          <w:spacing w:val="-14"/>
        </w:rPr>
        <w:t> </w:t>
      </w:r>
      <w:r>
        <w:rPr/>
        <w:t>sociedad</w:t>
      </w:r>
      <w:r>
        <w:rPr>
          <w:spacing w:val="-13"/>
        </w:rPr>
        <w:t> </w:t>
      </w:r>
      <w:r>
        <w:rPr/>
        <w:t>potencialmente</w:t>
      </w:r>
      <w:r>
        <w:rPr>
          <w:spacing w:val="-14"/>
        </w:rPr>
        <w:t> </w:t>
      </w:r>
      <w:r>
        <w:rPr/>
        <w:t>expuesta a un peligro para resistir, asimilar, adaptarse y recuperarse de sus efectos en un corto plazo y de </w:t>
      </w:r>
      <w:r>
        <w:rPr>
          <w:spacing w:val="-2"/>
        </w:rPr>
        <w:t>manera</w:t>
      </w:r>
      <w:r>
        <w:rPr>
          <w:spacing w:val="-4"/>
        </w:rPr>
        <w:t> </w:t>
      </w:r>
      <w:r>
        <w:rPr>
          <w:spacing w:val="-2"/>
        </w:rPr>
        <w:t>eficiente,</w:t>
      </w:r>
      <w:r>
        <w:rPr>
          <w:spacing w:val="-4"/>
        </w:rPr>
        <w:t> </w:t>
      </w:r>
      <w:r>
        <w:rPr>
          <w:spacing w:val="-2"/>
        </w:rPr>
        <w:t>a</w:t>
      </w:r>
      <w:r>
        <w:rPr>
          <w:spacing w:val="-4"/>
        </w:rPr>
        <w:t> </w:t>
      </w:r>
      <w:r>
        <w:rPr>
          <w:spacing w:val="-2"/>
        </w:rPr>
        <w:t>través</w:t>
      </w:r>
      <w:r>
        <w:rPr>
          <w:spacing w:val="-6"/>
        </w:rPr>
        <w:t> </w:t>
      </w:r>
      <w:r>
        <w:rPr>
          <w:spacing w:val="-2"/>
        </w:rPr>
        <w:t>de</w:t>
      </w:r>
      <w:r>
        <w:rPr>
          <w:spacing w:val="-7"/>
        </w:rPr>
        <w:t> </w:t>
      </w:r>
      <w:r>
        <w:rPr>
          <w:spacing w:val="-2"/>
        </w:rPr>
        <w:t>la</w:t>
      </w:r>
      <w:r>
        <w:rPr>
          <w:spacing w:val="-4"/>
        </w:rPr>
        <w:t> </w:t>
      </w:r>
      <w:r>
        <w:rPr>
          <w:spacing w:val="-2"/>
        </w:rPr>
        <w:t>preservación</w:t>
      </w:r>
      <w:r>
        <w:rPr>
          <w:spacing w:val="-7"/>
        </w:rPr>
        <w:t> </w:t>
      </w:r>
      <w:r>
        <w:rPr>
          <w:spacing w:val="-2"/>
        </w:rPr>
        <w:t>y restauración</w:t>
      </w:r>
      <w:r>
        <w:rPr>
          <w:spacing w:val="-5"/>
        </w:rPr>
        <w:t> </w:t>
      </w:r>
      <w:r>
        <w:rPr>
          <w:spacing w:val="-2"/>
        </w:rPr>
        <w:t>de</w:t>
      </w:r>
      <w:r>
        <w:rPr>
          <w:spacing w:val="-5"/>
        </w:rPr>
        <w:t> </w:t>
      </w:r>
      <w:r>
        <w:rPr>
          <w:spacing w:val="-2"/>
        </w:rPr>
        <w:t>sus estructuras básicas</w:t>
      </w:r>
      <w:r>
        <w:rPr>
          <w:spacing w:val="-6"/>
        </w:rPr>
        <w:t> </w:t>
      </w:r>
      <w:r>
        <w:rPr>
          <w:spacing w:val="-2"/>
        </w:rPr>
        <w:t>y</w:t>
      </w:r>
      <w:r>
        <w:rPr>
          <w:spacing w:val="-5"/>
        </w:rPr>
        <w:t> </w:t>
      </w:r>
      <w:r>
        <w:rPr>
          <w:spacing w:val="-2"/>
        </w:rPr>
        <w:t>funcionales, </w:t>
      </w:r>
      <w:r>
        <w:rPr/>
        <w:t>para lograr una mejor protección futura y mejorar las medidas de reducción de riesgos;</w:t>
      </w:r>
    </w:p>
    <w:p>
      <w:pPr>
        <w:pStyle w:val="BodyText"/>
      </w:pPr>
    </w:p>
    <w:p>
      <w:pPr>
        <w:pStyle w:val="BodyText"/>
        <w:ind w:left="262" w:right="284"/>
        <w:jc w:val="both"/>
      </w:pPr>
      <w:r>
        <w:rPr>
          <w:rFonts w:ascii="Arial" w:hAnsi="Arial"/>
          <w:b/>
        </w:rPr>
        <w:t>LXXVI.</w:t>
      </w:r>
      <w:r>
        <w:rPr>
          <w:rFonts w:ascii="Arial" w:hAnsi="Arial"/>
          <w:b/>
          <w:spacing w:val="40"/>
        </w:rPr>
        <w:t> </w:t>
      </w:r>
      <w:r>
        <w:rPr>
          <w:rFonts w:ascii="Arial" w:hAnsi="Arial"/>
          <w:b/>
        </w:rPr>
        <w:t>Riesgo urbano: </w:t>
      </w:r>
      <w:r>
        <w:rPr/>
        <w:t>vulnerabilidad a la que puede estar sujeta un centro de población o asentamiento humano, por fenómenos naturales o la actividad humana;</w:t>
      </w:r>
    </w:p>
    <w:p>
      <w:pPr>
        <w:pStyle w:val="BodyText"/>
        <w:spacing w:before="1"/>
      </w:pPr>
    </w:p>
    <w:p>
      <w:pPr>
        <w:pStyle w:val="BodyText"/>
        <w:spacing w:before="1"/>
        <w:ind w:left="262" w:right="281"/>
        <w:jc w:val="both"/>
      </w:pPr>
      <w:r>
        <w:rPr>
          <w:rFonts w:ascii="Arial" w:hAnsi="Arial"/>
          <w:b/>
        </w:rPr>
        <w:t>LXXVII.</w:t>
      </w:r>
      <w:r>
        <w:rPr>
          <w:rFonts w:ascii="Arial" w:hAnsi="Arial"/>
          <w:b/>
          <w:spacing w:val="80"/>
          <w:w w:val="150"/>
        </w:rPr>
        <w:t> </w:t>
      </w:r>
      <w:r>
        <w:rPr>
          <w:rFonts w:ascii="Arial" w:hAnsi="Arial"/>
          <w:b/>
        </w:rPr>
        <w:t>Secretaría:</w:t>
      </w:r>
      <w:r>
        <w:rPr>
          <w:rFonts w:ascii="Arial" w:hAnsi="Arial"/>
          <w:b/>
          <w:spacing w:val="-3"/>
        </w:rPr>
        <w:t> </w:t>
      </w:r>
      <w:r>
        <w:rPr/>
        <w:t>Secretaría</w:t>
      </w:r>
      <w:r>
        <w:rPr>
          <w:spacing w:val="-7"/>
        </w:rPr>
        <w:t> </w:t>
      </w:r>
      <w:r>
        <w:rPr/>
        <w:t>de</w:t>
      </w:r>
      <w:r>
        <w:rPr>
          <w:spacing w:val="-4"/>
        </w:rPr>
        <w:t> </w:t>
      </w:r>
      <w:r>
        <w:rPr/>
        <w:t>Desarrollo</w:t>
      </w:r>
      <w:r>
        <w:rPr>
          <w:spacing w:val="-7"/>
        </w:rPr>
        <w:t> </w:t>
      </w:r>
      <w:r>
        <w:rPr/>
        <w:t>Urbano,</w:t>
      </w:r>
      <w:r>
        <w:rPr>
          <w:spacing w:val="-5"/>
        </w:rPr>
        <w:t> </w:t>
      </w:r>
      <w:r>
        <w:rPr/>
        <w:t>Vivienda</w:t>
      </w:r>
      <w:r>
        <w:rPr>
          <w:spacing w:val="-7"/>
        </w:rPr>
        <w:t> </w:t>
      </w:r>
      <w:r>
        <w:rPr/>
        <w:t>y</w:t>
      </w:r>
      <w:r>
        <w:rPr>
          <w:spacing w:val="-5"/>
        </w:rPr>
        <w:t> </w:t>
      </w:r>
      <w:r>
        <w:rPr/>
        <w:t>Obras</w:t>
      </w:r>
      <w:r>
        <w:rPr>
          <w:spacing w:val="-5"/>
        </w:rPr>
        <w:t> </w:t>
      </w:r>
      <w:r>
        <w:rPr/>
        <w:t>Públicas</w:t>
      </w:r>
      <w:r>
        <w:rPr>
          <w:spacing w:val="-6"/>
        </w:rPr>
        <w:t> </w:t>
      </w:r>
      <w:r>
        <w:rPr/>
        <w:t>del</w:t>
      </w:r>
      <w:r>
        <w:rPr>
          <w:spacing w:val="-7"/>
        </w:rPr>
        <w:t> </w:t>
      </w:r>
      <w:r>
        <w:rPr/>
        <w:t>Gobierno</w:t>
      </w:r>
      <w:r>
        <w:rPr>
          <w:spacing w:val="-4"/>
        </w:rPr>
        <w:t> </w:t>
      </w:r>
      <w:r>
        <w:rPr/>
        <w:t>del </w:t>
      </w:r>
      <w:r>
        <w:rPr>
          <w:spacing w:val="-2"/>
        </w:rPr>
        <w:t>Estado;</w:t>
      </w:r>
    </w:p>
    <w:p>
      <w:pPr>
        <w:spacing w:before="228"/>
        <w:ind w:left="262" w:right="0" w:firstLine="0"/>
        <w:jc w:val="both"/>
        <w:rPr>
          <w:sz w:val="20"/>
        </w:rPr>
      </w:pPr>
      <w:r>
        <w:rPr>
          <w:rFonts w:ascii="Arial" w:hAnsi="Arial"/>
          <w:b/>
          <w:sz w:val="20"/>
        </w:rPr>
        <w:t>LXXVIII.</w:t>
      </w:r>
      <w:r>
        <w:rPr>
          <w:rFonts w:ascii="Arial" w:hAnsi="Arial"/>
          <w:b/>
          <w:spacing w:val="57"/>
          <w:sz w:val="20"/>
        </w:rPr>
        <w:t>  </w:t>
      </w:r>
      <w:r>
        <w:rPr>
          <w:rFonts w:ascii="Arial" w:hAnsi="Arial"/>
          <w:b/>
          <w:sz w:val="20"/>
        </w:rPr>
        <w:t>SEDATU:</w:t>
      </w:r>
      <w:r>
        <w:rPr>
          <w:rFonts w:ascii="Arial" w:hAnsi="Arial"/>
          <w:b/>
          <w:spacing w:val="-4"/>
          <w:sz w:val="20"/>
        </w:rPr>
        <w:t> </w:t>
      </w:r>
      <w:r>
        <w:rPr>
          <w:sz w:val="20"/>
        </w:rPr>
        <w:t>Secretaría</w:t>
      </w:r>
      <w:r>
        <w:rPr>
          <w:spacing w:val="-4"/>
          <w:sz w:val="20"/>
        </w:rPr>
        <w:t> </w:t>
      </w:r>
      <w:r>
        <w:rPr>
          <w:sz w:val="20"/>
        </w:rPr>
        <w:t>de</w:t>
      </w:r>
      <w:r>
        <w:rPr>
          <w:spacing w:val="-8"/>
          <w:sz w:val="20"/>
        </w:rPr>
        <w:t> </w:t>
      </w:r>
      <w:r>
        <w:rPr>
          <w:sz w:val="20"/>
        </w:rPr>
        <w:t>Desarrollo</w:t>
      </w:r>
      <w:r>
        <w:rPr>
          <w:spacing w:val="-6"/>
          <w:sz w:val="20"/>
        </w:rPr>
        <w:t> </w:t>
      </w:r>
      <w:r>
        <w:rPr>
          <w:sz w:val="20"/>
        </w:rPr>
        <w:t>Agrario,</w:t>
      </w:r>
      <w:r>
        <w:rPr>
          <w:spacing w:val="-6"/>
          <w:sz w:val="20"/>
        </w:rPr>
        <w:t> </w:t>
      </w:r>
      <w:r>
        <w:rPr>
          <w:sz w:val="20"/>
        </w:rPr>
        <w:t>Territorial</w:t>
      </w:r>
      <w:r>
        <w:rPr>
          <w:spacing w:val="-5"/>
          <w:sz w:val="20"/>
        </w:rPr>
        <w:t> </w:t>
      </w:r>
      <w:r>
        <w:rPr>
          <w:sz w:val="20"/>
        </w:rPr>
        <w:t>y</w:t>
      </w:r>
      <w:r>
        <w:rPr>
          <w:spacing w:val="-5"/>
          <w:sz w:val="20"/>
        </w:rPr>
        <w:t> </w:t>
      </w:r>
      <w:r>
        <w:rPr>
          <w:spacing w:val="-2"/>
          <w:sz w:val="20"/>
        </w:rPr>
        <w:t>Urbano;</w:t>
      </w:r>
    </w:p>
    <w:p>
      <w:pPr>
        <w:pStyle w:val="BodyText"/>
        <w:spacing w:before="1"/>
      </w:pPr>
    </w:p>
    <w:p>
      <w:pPr>
        <w:spacing w:before="0"/>
        <w:ind w:left="262" w:right="0" w:firstLine="0"/>
        <w:jc w:val="both"/>
        <w:rPr>
          <w:sz w:val="20"/>
        </w:rPr>
      </w:pPr>
      <w:r>
        <w:rPr>
          <w:rFonts w:ascii="Arial" w:hAnsi="Arial"/>
          <w:b/>
          <w:sz w:val="20"/>
        </w:rPr>
        <w:t>LXXIX.</w:t>
      </w:r>
      <w:r>
        <w:rPr>
          <w:rFonts w:ascii="Arial" w:hAnsi="Arial"/>
          <w:b/>
          <w:spacing w:val="44"/>
          <w:sz w:val="20"/>
        </w:rPr>
        <w:t>  </w:t>
      </w:r>
      <w:r>
        <w:rPr>
          <w:rFonts w:ascii="Arial" w:hAnsi="Arial"/>
          <w:b/>
          <w:sz w:val="20"/>
        </w:rPr>
        <w:t>SEGAM:</w:t>
      </w:r>
      <w:r>
        <w:rPr>
          <w:rFonts w:ascii="Arial" w:hAnsi="Arial"/>
          <w:b/>
          <w:spacing w:val="-5"/>
          <w:sz w:val="20"/>
        </w:rPr>
        <w:t> </w:t>
      </w:r>
      <w:r>
        <w:rPr>
          <w:sz w:val="20"/>
        </w:rPr>
        <w:t>Secretaría</w:t>
      </w:r>
      <w:r>
        <w:rPr>
          <w:spacing w:val="-6"/>
          <w:sz w:val="20"/>
        </w:rPr>
        <w:t> </w:t>
      </w:r>
      <w:r>
        <w:rPr>
          <w:sz w:val="20"/>
        </w:rPr>
        <w:t>de</w:t>
      </w:r>
      <w:r>
        <w:rPr>
          <w:spacing w:val="-4"/>
          <w:sz w:val="20"/>
        </w:rPr>
        <w:t> </w:t>
      </w:r>
      <w:r>
        <w:rPr>
          <w:sz w:val="20"/>
        </w:rPr>
        <w:t>Ecología</w:t>
      </w:r>
      <w:r>
        <w:rPr>
          <w:spacing w:val="-7"/>
          <w:sz w:val="20"/>
        </w:rPr>
        <w:t> </w:t>
      </w:r>
      <w:r>
        <w:rPr>
          <w:sz w:val="20"/>
        </w:rPr>
        <w:t>y</w:t>
      </w:r>
      <w:r>
        <w:rPr>
          <w:spacing w:val="-5"/>
          <w:sz w:val="20"/>
        </w:rPr>
        <w:t> </w:t>
      </w:r>
      <w:r>
        <w:rPr>
          <w:sz w:val="20"/>
        </w:rPr>
        <w:t>Gestión</w:t>
      </w:r>
      <w:r>
        <w:rPr>
          <w:spacing w:val="-5"/>
          <w:sz w:val="20"/>
        </w:rPr>
        <w:t> </w:t>
      </w:r>
      <w:r>
        <w:rPr>
          <w:spacing w:val="-2"/>
          <w:sz w:val="20"/>
        </w:rPr>
        <w:t>Ambiental;</w:t>
      </w:r>
    </w:p>
    <w:p>
      <w:pPr>
        <w:pStyle w:val="BodyText"/>
        <w:spacing w:before="1"/>
      </w:pPr>
    </w:p>
    <w:p>
      <w:pPr>
        <w:pStyle w:val="BodyText"/>
        <w:ind w:left="262"/>
        <w:jc w:val="both"/>
      </w:pPr>
      <w:r>
        <w:rPr>
          <w:rFonts w:ascii="Arial" w:hAnsi="Arial"/>
          <w:b/>
        </w:rPr>
        <w:t>LXXX.</w:t>
      </w:r>
      <w:r>
        <w:rPr>
          <w:rFonts w:ascii="Arial" w:hAnsi="Arial"/>
          <w:b/>
          <w:spacing w:val="59"/>
        </w:rPr>
        <w:t> </w:t>
      </w:r>
      <w:r>
        <w:rPr>
          <w:rFonts w:ascii="Arial" w:hAnsi="Arial"/>
          <w:b/>
        </w:rPr>
        <w:t>SCT:</w:t>
      </w:r>
      <w:r>
        <w:rPr>
          <w:rFonts w:ascii="Arial" w:hAnsi="Arial"/>
          <w:b/>
          <w:spacing w:val="-7"/>
        </w:rPr>
        <w:t> </w:t>
      </w:r>
      <w:r>
        <w:rPr/>
        <w:t>Secretaría</w:t>
      </w:r>
      <w:r>
        <w:rPr>
          <w:spacing w:val="-6"/>
        </w:rPr>
        <w:t> </w:t>
      </w:r>
      <w:r>
        <w:rPr/>
        <w:t>de</w:t>
      </w:r>
      <w:r>
        <w:rPr>
          <w:spacing w:val="-9"/>
        </w:rPr>
        <w:t> </w:t>
      </w:r>
      <w:r>
        <w:rPr/>
        <w:t>Comunicaciones</w:t>
      </w:r>
      <w:r>
        <w:rPr>
          <w:spacing w:val="-6"/>
        </w:rPr>
        <w:t> </w:t>
      </w:r>
      <w:r>
        <w:rPr/>
        <w:t>y</w:t>
      </w:r>
      <w:r>
        <w:rPr>
          <w:spacing w:val="-7"/>
        </w:rPr>
        <w:t> </w:t>
      </w:r>
      <w:r>
        <w:rPr/>
        <w:t>Transportes</w:t>
      </w:r>
      <w:r>
        <w:rPr>
          <w:spacing w:val="-7"/>
        </w:rPr>
        <w:t> </w:t>
      </w:r>
      <w:r>
        <w:rPr>
          <w:spacing w:val="-2"/>
        </w:rPr>
        <w:t>Federal;</w:t>
      </w:r>
    </w:p>
    <w:p>
      <w:pPr>
        <w:pStyle w:val="BodyText"/>
        <w:spacing w:before="229"/>
        <w:ind w:left="262" w:right="283"/>
        <w:jc w:val="both"/>
      </w:pPr>
      <w:r>
        <w:rPr>
          <w:rFonts w:ascii="Arial" w:hAnsi="Arial"/>
          <w:b/>
        </w:rPr>
        <w:t>LXXXI.</w:t>
      </w:r>
      <w:r>
        <w:rPr>
          <w:rFonts w:ascii="Arial" w:hAnsi="Arial"/>
          <w:b/>
          <w:spacing w:val="80"/>
        </w:rPr>
        <w:t> </w:t>
      </w:r>
      <w:r>
        <w:rPr>
          <w:rFonts w:ascii="Arial" w:hAnsi="Arial"/>
          <w:b/>
        </w:rPr>
        <w:t>Servicios urbanos: </w:t>
      </w:r>
      <w:r>
        <w:rPr/>
        <w:t>actividades operativas públicas prestadas directamente por la autoridad competente o concesionada, para satisfacer necesidades colectivas en los centros de </w:t>
      </w:r>
      <w:r>
        <w:rPr>
          <w:spacing w:val="-2"/>
        </w:rPr>
        <w:t>población;</w:t>
      </w:r>
    </w:p>
    <w:p>
      <w:pPr>
        <w:pStyle w:val="BodyText"/>
        <w:spacing w:before="1"/>
      </w:pPr>
    </w:p>
    <w:p>
      <w:pPr>
        <w:pStyle w:val="BodyText"/>
        <w:spacing w:before="1"/>
        <w:ind w:left="262" w:right="281"/>
        <w:jc w:val="both"/>
      </w:pPr>
      <w:r>
        <w:rPr>
          <w:rFonts w:ascii="Arial" w:hAnsi="Arial"/>
          <w:b/>
        </w:rPr>
        <w:t>LXXXII.</w:t>
      </w:r>
      <w:r>
        <w:rPr>
          <w:rFonts w:ascii="Arial" w:hAnsi="Arial"/>
          <w:b/>
          <w:spacing w:val="80"/>
        </w:rPr>
        <w:t> </w:t>
      </w:r>
      <w:r>
        <w:rPr>
          <w:rFonts w:ascii="Arial" w:hAnsi="Arial"/>
          <w:b/>
        </w:rPr>
        <w:t>Servidumbre de paso: </w:t>
      </w:r>
      <w:r>
        <w:rPr/>
        <w:t>el gravamen real, impuesto sobre un inmueble en beneficio de otro inmueble perteneciente a distinto dueño, de conformidad con el Código Civil del Estado;</w:t>
      </w:r>
    </w:p>
    <w:p>
      <w:pPr>
        <w:pStyle w:val="BodyText"/>
        <w:spacing w:before="228"/>
        <w:ind w:left="262" w:right="279"/>
        <w:jc w:val="both"/>
      </w:pPr>
      <w:r>
        <w:rPr>
          <w:rFonts w:ascii="Arial" w:hAnsi="Arial"/>
          <w:b/>
        </w:rPr>
        <w:t>LXXXIII.</w:t>
      </w:r>
      <w:r>
        <w:rPr>
          <w:rFonts w:ascii="Arial" w:hAnsi="Arial"/>
          <w:b/>
          <w:spacing w:val="80"/>
          <w:w w:val="150"/>
        </w:rPr>
        <w:t> </w:t>
      </w:r>
      <w:r>
        <w:rPr>
          <w:rFonts w:ascii="Arial" w:hAnsi="Arial"/>
          <w:b/>
        </w:rPr>
        <w:t>Sistema</w:t>
      </w:r>
      <w:r>
        <w:rPr>
          <w:rFonts w:ascii="Arial" w:hAnsi="Arial"/>
          <w:b/>
          <w:spacing w:val="-3"/>
        </w:rPr>
        <w:t> </w:t>
      </w:r>
      <w:r>
        <w:rPr>
          <w:rFonts w:ascii="Arial" w:hAnsi="Arial"/>
          <w:b/>
        </w:rPr>
        <w:t>Estatal</w:t>
      </w:r>
      <w:r>
        <w:rPr>
          <w:rFonts w:ascii="Arial" w:hAnsi="Arial"/>
          <w:b/>
          <w:spacing w:val="-4"/>
        </w:rPr>
        <w:t> </w:t>
      </w:r>
      <w:r>
        <w:rPr>
          <w:rFonts w:ascii="Arial" w:hAnsi="Arial"/>
          <w:b/>
        </w:rPr>
        <w:t>de</w:t>
      </w:r>
      <w:r>
        <w:rPr>
          <w:rFonts w:ascii="Arial" w:hAnsi="Arial"/>
          <w:b/>
          <w:spacing w:val="-1"/>
        </w:rPr>
        <w:t> </w:t>
      </w:r>
      <w:r>
        <w:rPr>
          <w:rFonts w:ascii="Arial" w:hAnsi="Arial"/>
          <w:b/>
        </w:rPr>
        <w:t>Suelo y</w:t>
      </w:r>
      <w:r>
        <w:rPr>
          <w:rFonts w:ascii="Arial" w:hAnsi="Arial"/>
          <w:b/>
          <w:spacing w:val="-4"/>
        </w:rPr>
        <w:t> </w:t>
      </w:r>
      <w:r>
        <w:rPr>
          <w:rFonts w:ascii="Arial" w:hAnsi="Arial"/>
          <w:b/>
        </w:rPr>
        <w:t>Reservas</w:t>
      </w:r>
      <w:r>
        <w:rPr>
          <w:rFonts w:ascii="Arial" w:hAnsi="Arial"/>
          <w:b/>
          <w:spacing w:val="-4"/>
        </w:rPr>
        <w:t> </w:t>
      </w:r>
      <w:r>
        <w:rPr>
          <w:rFonts w:ascii="Arial" w:hAnsi="Arial"/>
          <w:b/>
        </w:rPr>
        <w:t>Territoriales: </w:t>
      </w:r>
      <w:r>
        <w:rPr/>
        <w:t>mecanismo</w:t>
      </w:r>
      <w:r>
        <w:rPr>
          <w:spacing w:val="-3"/>
        </w:rPr>
        <w:t> </w:t>
      </w:r>
      <w:r>
        <w:rPr/>
        <w:t>de</w:t>
      </w:r>
      <w:r>
        <w:rPr>
          <w:spacing w:val="-3"/>
        </w:rPr>
        <w:t> </w:t>
      </w:r>
      <w:r>
        <w:rPr/>
        <w:t>coordinación</w:t>
      </w:r>
      <w:r>
        <w:rPr>
          <w:spacing w:val="-4"/>
        </w:rPr>
        <w:t> </w:t>
      </w:r>
      <w:r>
        <w:rPr/>
        <w:t>entre los</w:t>
      </w:r>
      <w:r>
        <w:rPr>
          <w:spacing w:val="-10"/>
        </w:rPr>
        <w:t> </w:t>
      </w:r>
      <w:r>
        <w:rPr/>
        <w:t>tres</w:t>
      </w:r>
      <w:r>
        <w:rPr>
          <w:spacing w:val="-8"/>
        </w:rPr>
        <w:t> </w:t>
      </w:r>
      <w:r>
        <w:rPr/>
        <w:t>órdenes</w:t>
      </w:r>
      <w:r>
        <w:rPr>
          <w:spacing w:val="-8"/>
        </w:rPr>
        <w:t> </w:t>
      </w:r>
      <w:r>
        <w:rPr/>
        <w:t>de</w:t>
      </w:r>
      <w:r>
        <w:rPr>
          <w:spacing w:val="-9"/>
        </w:rPr>
        <w:t> </w:t>
      </w:r>
      <w:r>
        <w:rPr/>
        <w:t>gobierno</w:t>
      </w:r>
      <w:r>
        <w:rPr>
          <w:spacing w:val="-11"/>
        </w:rPr>
        <w:t> </w:t>
      </w:r>
      <w:r>
        <w:rPr/>
        <w:t>y</w:t>
      </w:r>
      <w:r>
        <w:rPr>
          <w:spacing w:val="-10"/>
        </w:rPr>
        <w:t> </w:t>
      </w:r>
      <w:r>
        <w:rPr/>
        <w:t>de</w:t>
      </w:r>
      <w:r>
        <w:rPr>
          <w:spacing w:val="-11"/>
        </w:rPr>
        <w:t> </w:t>
      </w:r>
      <w:r>
        <w:rPr/>
        <w:t>concertación</w:t>
      </w:r>
      <w:r>
        <w:rPr>
          <w:spacing w:val="-11"/>
        </w:rPr>
        <w:t> </w:t>
      </w:r>
      <w:r>
        <w:rPr/>
        <w:t>con</w:t>
      </w:r>
      <w:r>
        <w:rPr>
          <w:spacing w:val="-9"/>
        </w:rPr>
        <w:t> </w:t>
      </w:r>
      <w:r>
        <w:rPr/>
        <w:t>los</w:t>
      </w:r>
      <w:r>
        <w:rPr>
          <w:spacing w:val="-8"/>
        </w:rPr>
        <w:t> </w:t>
      </w:r>
      <w:r>
        <w:rPr/>
        <w:t>sectores</w:t>
      </w:r>
      <w:r>
        <w:rPr>
          <w:spacing w:val="-10"/>
        </w:rPr>
        <w:t> </w:t>
      </w:r>
      <w:r>
        <w:rPr/>
        <w:t>social</w:t>
      </w:r>
      <w:r>
        <w:rPr>
          <w:spacing w:val="-12"/>
        </w:rPr>
        <w:t> </w:t>
      </w:r>
      <w:r>
        <w:rPr/>
        <w:t>y</w:t>
      </w:r>
      <w:r>
        <w:rPr>
          <w:spacing w:val="-8"/>
        </w:rPr>
        <w:t> </w:t>
      </w:r>
      <w:r>
        <w:rPr/>
        <w:t>privado,</w:t>
      </w:r>
      <w:r>
        <w:rPr>
          <w:spacing w:val="-9"/>
        </w:rPr>
        <w:t> </w:t>
      </w:r>
      <w:r>
        <w:rPr/>
        <w:t>a</w:t>
      </w:r>
      <w:r>
        <w:rPr>
          <w:spacing w:val="-9"/>
        </w:rPr>
        <w:t> </w:t>
      </w:r>
      <w:r>
        <w:rPr/>
        <w:t>fin</w:t>
      </w:r>
      <w:r>
        <w:rPr>
          <w:spacing w:val="-9"/>
        </w:rPr>
        <w:t> </w:t>
      </w:r>
      <w:r>
        <w:rPr/>
        <w:t>de</w:t>
      </w:r>
      <w:r>
        <w:rPr>
          <w:spacing w:val="-10"/>
        </w:rPr>
        <w:t> </w:t>
      </w:r>
      <w:r>
        <w:rPr/>
        <w:t>determinar, aportar</w:t>
      </w:r>
      <w:r>
        <w:rPr>
          <w:spacing w:val="-11"/>
        </w:rPr>
        <w:t> </w:t>
      </w:r>
      <w:r>
        <w:rPr/>
        <w:t>y</w:t>
      </w:r>
      <w:r>
        <w:rPr>
          <w:spacing w:val="-11"/>
        </w:rPr>
        <w:t> </w:t>
      </w:r>
      <w:r>
        <w:rPr/>
        <w:t>adquirir</w:t>
      </w:r>
      <w:r>
        <w:rPr>
          <w:spacing w:val="-11"/>
        </w:rPr>
        <w:t> </w:t>
      </w:r>
      <w:r>
        <w:rPr/>
        <w:t>el</w:t>
      </w:r>
      <w:r>
        <w:rPr>
          <w:spacing w:val="-13"/>
        </w:rPr>
        <w:t> </w:t>
      </w:r>
      <w:r>
        <w:rPr/>
        <w:t>suelo</w:t>
      </w:r>
      <w:r>
        <w:rPr>
          <w:spacing w:val="-12"/>
        </w:rPr>
        <w:t> </w:t>
      </w:r>
      <w:r>
        <w:rPr/>
        <w:t>y</w:t>
      </w:r>
      <w:r>
        <w:rPr>
          <w:spacing w:val="-11"/>
        </w:rPr>
        <w:t> </w:t>
      </w:r>
      <w:r>
        <w:rPr/>
        <w:t>las</w:t>
      </w:r>
      <w:r>
        <w:rPr>
          <w:spacing w:val="-11"/>
        </w:rPr>
        <w:t> </w:t>
      </w:r>
      <w:r>
        <w:rPr/>
        <w:t>reservas</w:t>
      </w:r>
      <w:r>
        <w:rPr>
          <w:spacing w:val="-11"/>
        </w:rPr>
        <w:t> </w:t>
      </w:r>
      <w:r>
        <w:rPr/>
        <w:t>territoriales</w:t>
      </w:r>
      <w:r>
        <w:rPr>
          <w:spacing w:val="-11"/>
        </w:rPr>
        <w:t> </w:t>
      </w:r>
      <w:r>
        <w:rPr/>
        <w:t>que</w:t>
      </w:r>
      <w:r>
        <w:rPr>
          <w:spacing w:val="-12"/>
        </w:rPr>
        <w:t> </w:t>
      </w:r>
      <w:r>
        <w:rPr/>
        <w:t>se</w:t>
      </w:r>
      <w:r>
        <w:rPr>
          <w:spacing w:val="-12"/>
        </w:rPr>
        <w:t> </w:t>
      </w:r>
      <w:r>
        <w:rPr/>
        <w:t>requieran</w:t>
      </w:r>
      <w:r>
        <w:rPr>
          <w:spacing w:val="-13"/>
        </w:rPr>
        <w:t> </w:t>
      </w:r>
      <w:r>
        <w:rPr/>
        <w:t>para</w:t>
      </w:r>
      <w:r>
        <w:rPr>
          <w:spacing w:val="-12"/>
        </w:rPr>
        <w:t> </w:t>
      </w:r>
      <w:r>
        <w:rPr/>
        <w:t>planear</w:t>
      </w:r>
      <w:r>
        <w:rPr>
          <w:spacing w:val="-9"/>
        </w:rPr>
        <w:t> </w:t>
      </w:r>
      <w:r>
        <w:rPr/>
        <w:t>y</w:t>
      </w:r>
      <w:r>
        <w:rPr>
          <w:spacing w:val="-11"/>
        </w:rPr>
        <w:t> </w:t>
      </w:r>
      <w:r>
        <w:rPr/>
        <w:t>regular</w:t>
      </w:r>
      <w:r>
        <w:rPr>
          <w:spacing w:val="-11"/>
        </w:rPr>
        <w:t> </w:t>
      </w:r>
      <w:r>
        <w:rPr/>
        <w:t>el</w:t>
      </w:r>
      <w:r>
        <w:rPr>
          <w:spacing w:val="-13"/>
        </w:rPr>
        <w:t> </w:t>
      </w:r>
      <w:r>
        <w:rPr/>
        <w:t>actual desarrollo</w:t>
      </w:r>
      <w:r>
        <w:rPr>
          <w:spacing w:val="-11"/>
        </w:rPr>
        <w:t> </w:t>
      </w:r>
      <w:r>
        <w:rPr/>
        <w:t>y</w:t>
      </w:r>
      <w:r>
        <w:rPr>
          <w:spacing w:val="-9"/>
        </w:rPr>
        <w:t> </w:t>
      </w:r>
      <w:r>
        <w:rPr/>
        <w:t>futuro</w:t>
      </w:r>
      <w:r>
        <w:rPr>
          <w:spacing w:val="-11"/>
        </w:rPr>
        <w:t> </w:t>
      </w:r>
      <w:r>
        <w:rPr/>
        <w:t>crecimiento</w:t>
      </w:r>
      <w:r>
        <w:rPr>
          <w:spacing w:val="-12"/>
        </w:rPr>
        <w:t> </w:t>
      </w:r>
      <w:r>
        <w:rPr/>
        <w:t>de</w:t>
      </w:r>
      <w:r>
        <w:rPr>
          <w:spacing w:val="-11"/>
        </w:rPr>
        <w:t> </w:t>
      </w:r>
      <w:r>
        <w:rPr/>
        <w:t>los</w:t>
      </w:r>
      <w:r>
        <w:rPr>
          <w:spacing w:val="-10"/>
        </w:rPr>
        <w:t> </w:t>
      </w:r>
      <w:r>
        <w:rPr/>
        <w:t>centros</w:t>
      </w:r>
      <w:r>
        <w:rPr>
          <w:spacing w:val="-10"/>
        </w:rPr>
        <w:t> </w:t>
      </w:r>
      <w:r>
        <w:rPr/>
        <w:t>de</w:t>
      </w:r>
      <w:r>
        <w:rPr>
          <w:spacing w:val="-11"/>
        </w:rPr>
        <w:t> </w:t>
      </w:r>
      <w:r>
        <w:rPr/>
        <w:t>población</w:t>
      </w:r>
      <w:r>
        <w:rPr>
          <w:spacing w:val="-12"/>
        </w:rPr>
        <w:t> </w:t>
      </w:r>
      <w:r>
        <w:rPr/>
        <w:t>y</w:t>
      </w:r>
      <w:r>
        <w:rPr>
          <w:spacing w:val="-10"/>
        </w:rPr>
        <w:t> </w:t>
      </w:r>
      <w:r>
        <w:rPr/>
        <w:t>el</w:t>
      </w:r>
      <w:r>
        <w:rPr>
          <w:spacing w:val="-12"/>
        </w:rPr>
        <w:t> </w:t>
      </w:r>
      <w:r>
        <w:rPr/>
        <w:t>ordenamiento</w:t>
      </w:r>
      <w:r>
        <w:rPr>
          <w:spacing w:val="-11"/>
        </w:rPr>
        <w:t> </w:t>
      </w:r>
      <w:r>
        <w:rPr/>
        <w:t>territorial</w:t>
      </w:r>
      <w:r>
        <w:rPr>
          <w:spacing w:val="-10"/>
        </w:rPr>
        <w:t> </w:t>
      </w:r>
      <w:r>
        <w:rPr/>
        <w:t>de</w:t>
      </w:r>
      <w:r>
        <w:rPr>
          <w:spacing w:val="-9"/>
        </w:rPr>
        <w:t> </w:t>
      </w:r>
      <w:r>
        <w:rPr/>
        <w:t>la</w:t>
      </w:r>
      <w:r>
        <w:rPr>
          <w:spacing w:val="-9"/>
        </w:rPr>
        <w:t> </w:t>
      </w:r>
      <w:r>
        <w:rPr/>
        <w:t>Entidad;</w:t>
      </w:r>
    </w:p>
    <w:p>
      <w:pPr>
        <w:pStyle w:val="BodyText"/>
      </w:pPr>
    </w:p>
    <w:p>
      <w:pPr>
        <w:spacing w:before="0"/>
        <w:ind w:left="262" w:right="0" w:firstLine="0"/>
        <w:jc w:val="both"/>
        <w:rPr>
          <w:sz w:val="20"/>
        </w:rPr>
      </w:pPr>
      <w:r>
        <w:rPr>
          <w:rFonts w:ascii="Arial" w:hAnsi="Arial"/>
          <w:b/>
          <w:sz w:val="20"/>
        </w:rPr>
        <w:t>LXXXIV.</w:t>
      </w:r>
      <w:r>
        <w:rPr>
          <w:rFonts w:ascii="Arial" w:hAnsi="Arial"/>
          <w:b/>
          <w:spacing w:val="47"/>
          <w:sz w:val="20"/>
        </w:rPr>
        <w:t>  </w:t>
      </w:r>
      <w:r>
        <w:rPr>
          <w:rFonts w:ascii="Arial" w:hAnsi="Arial"/>
          <w:b/>
          <w:sz w:val="20"/>
        </w:rPr>
        <w:t>SITU:</w:t>
      </w:r>
      <w:r>
        <w:rPr>
          <w:rFonts w:ascii="Arial" w:hAnsi="Arial"/>
          <w:b/>
          <w:spacing w:val="-4"/>
          <w:sz w:val="20"/>
        </w:rPr>
        <w:t> </w:t>
      </w:r>
      <w:r>
        <w:rPr>
          <w:sz w:val="20"/>
        </w:rPr>
        <w:t>sistema</w:t>
      </w:r>
      <w:r>
        <w:rPr>
          <w:spacing w:val="-6"/>
          <w:sz w:val="20"/>
        </w:rPr>
        <w:t> </w:t>
      </w:r>
      <w:r>
        <w:rPr>
          <w:sz w:val="20"/>
        </w:rPr>
        <w:t>de</w:t>
      </w:r>
      <w:r>
        <w:rPr>
          <w:spacing w:val="-5"/>
          <w:sz w:val="20"/>
        </w:rPr>
        <w:t> </w:t>
      </w:r>
      <w:r>
        <w:rPr>
          <w:sz w:val="20"/>
        </w:rPr>
        <w:t>información</w:t>
      </w:r>
      <w:r>
        <w:rPr>
          <w:spacing w:val="-7"/>
          <w:sz w:val="20"/>
        </w:rPr>
        <w:t> </w:t>
      </w:r>
      <w:r>
        <w:rPr>
          <w:sz w:val="20"/>
        </w:rPr>
        <w:t>territorial</w:t>
      </w:r>
      <w:r>
        <w:rPr>
          <w:spacing w:val="-7"/>
          <w:sz w:val="20"/>
        </w:rPr>
        <w:t> </w:t>
      </w:r>
      <w:r>
        <w:rPr>
          <w:sz w:val="20"/>
        </w:rPr>
        <w:t>y</w:t>
      </w:r>
      <w:r>
        <w:rPr>
          <w:spacing w:val="-5"/>
          <w:sz w:val="20"/>
        </w:rPr>
        <w:t> </w:t>
      </w:r>
      <w:r>
        <w:rPr>
          <w:spacing w:val="-2"/>
          <w:sz w:val="20"/>
        </w:rPr>
        <w:t>urbano;</w:t>
      </w:r>
    </w:p>
    <w:p>
      <w:pPr>
        <w:pStyle w:val="BodyText"/>
        <w:spacing w:before="1"/>
      </w:pPr>
    </w:p>
    <w:p>
      <w:pPr>
        <w:pStyle w:val="BodyText"/>
        <w:ind w:left="262" w:right="284"/>
        <w:jc w:val="both"/>
      </w:pPr>
      <w:r>
        <w:rPr>
          <w:rFonts w:ascii="Arial" w:hAnsi="Arial"/>
          <w:b/>
        </w:rPr>
        <w:t>LXXXV.</w:t>
      </w:r>
      <w:r>
        <w:rPr>
          <w:rFonts w:ascii="Arial" w:hAnsi="Arial"/>
          <w:b/>
          <w:spacing w:val="80"/>
        </w:rPr>
        <w:t>  </w:t>
      </w:r>
      <w:r>
        <w:rPr>
          <w:rFonts w:ascii="Arial" w:hAnsi="Arial"/>
          <w:b/>
        </w:rPr>
        <w:t>Subdivisión de áreas, lotes o predios rústicos: </w:t>
      </w:r>
      <w:r>
        <w:rPr/>
        <w:t>partición de un predio en dos o más fracciones, ubicado fuera de los límites de un centro de población o de las zonas no urbanizables del mismo, conforme a los programas de desarrollo urbano y ordenamiento territorial aplicables;</w:t>
      </w:r>
    </w:p>
    <w:p>
      <w:pPr>
        <w:pStyle w:val="BodyText"/>
      </w:pPr>
    </w:p>
    <w:p>
      <w:pPr>
        <w:spacing w:before="0"/>
        <w:ind w:left="262" w:right="278" w:firstLine="0"/>
        <w:jc w:val="both"/>
        <w:rPr>
          <w:sz w:val="20"/>
        </w:rPr>
      </w:pPr>
      <w:r>
        <w:rPr>
          <w:rFonts w:ascii="Arial" w:hAnsi="Arial"/>
          <w:b/>
          <w:sz w:val="20"/>
        </w:rPr>
        <w:t>LXXXVI.</w:t>
      </w:r>
      <w:r>
        <w:rPr>
          <w:rFonts w:ascii="Arial" w:hAnsi="Arial"/>
          <w:b/>
          <w:spacing w:val="40"/>
          <w:sz w:val="20"/>
        </w:rPr>
        <w:t>  </w:t>
      </w:r>
      <w:r>
        <w:rPr>
          <w:rFonts w:ascii="Arial" w:hAnsi="Arial"/>
          <w:b/>
          <w:sz w:val="20"/>
        </w:rPr>
        <w:t>Subdivisión</w:t>
      </w:r>
      <w:r>
        <w:rPr>
          <w:rFonts w:ascii="Arial" w:hAnsi="Arial"/>
          <w:b/>
          <w:spacing w:val="-2"/>
          <w:sz w:val="20"/>
        </w:rPr>
        <w:t> </w:t>
      </w:r>
      <w:r>
        <w:rPr>
          <w:rFonts w:ascii="Arial" w:hAnsi="Arial"/>
          <w:b/>
          <w:sz w:val="20"/>
        </w:rPr>
        <w:t>de</w:t>
      </w:r>
      <w:r>
        <w:rPr>
          <w:rFonts w:ascii="Arial" w:hAnsi="Arial"/>
          <w:b/>
          <w:spacing w:val="-6"/>
          <w:sz w:val="20"/>
        </w:rPr>
        <w:t> </w:t>
      </w:r>
      <w:r>
        <w:rPr>
          <w:rFonts w:ascii="Arial" w:hAnsi="Arial"/>
          <w:b/>
          <w:sz w:val="20"/>
        </w:rPr>
        <w:t>áreas,</w:t>
      </w:r>
      <w:r>
        <w:rPr>
          <w:rFonts w:ascii="Arial" w:hAnsi="Arial"/>
          <w:b/>
          <w:spacing w:val="-5"/>
          <w:sz w:val="20"/>
        </w:rPr>
        <w:t> </w:t>
      </w:r>
      <w:r>
        <w:rPr>
          <w:rFonts w:ascii="Arial" w:hAnsi="Arial"/>
          <w:b/>
          <w:sz w:val="20"/>
        </w:rPr>
        <w:t>lotes</w:t>
      </w:r>
      <w:r>
        <w:rPr>
          <w:rFonts w:ascii="Arial" w:hAnsi="Arial"/>
          <w:b/>
          <w:spacing w:val="-6"/>
          <w:sz w:val="20"/>
        </w:rPr>
        <w:t> </w:t>
      </w:r>
      <w:r>
        <w:rPr>
          <w:rFonts w:ascii="Arial" w:hAnsi="Arial"/>
          <w:b/>
          <w:sz w:val="20"/>
        </w:rPr>
        <w:t>o</w:t>
      </w:r>
      <w:r>
        <w:rPr>
          <w:rFonts w:ascii="Arial" w:hAnsi="Arial"/>
          <w:b/>
          <w:spacing w:val="-5"/>
          <w:sz w:val="20"/>
        </w:rPr>
        <w:t> </w:t>
      </w:r>
      <w:r>
        <w:rPr>
          <w:rFonts w:ascii="Arial" w:hAnsi="Arial"/>
          <w:b/>
          <w:sz w:val="20"/>
        </w:rPr>
        <w:t>predios</w:t>
      </w:r>
      <w:r>
        <w:rPr>
          <w:rFonts w:ascii="Arial" w:hAnsi="Arial"/>
          <w:b/>
          <w:spacing w:val="-6"/>
          <w:sz w:val="20"/>
        </w:rPr>
        <w:t> </w:t>
      </w:r>
      <w:r>
        <w:rPr>
          <w:rFonts w:ascii="Arial" w:hAnsi="Arial"/>
          <w:b/>
          <w:sz w:val="20"/>
        </w:rPr>
        <w:t>urbanos:</w:t>
      </w:r>
      <w:r>
        <w:rPr>
          <w:rFonts w:ascii="Arial" w:hAnsi="Arial"/>
          <w:b/>
          <w:spacing w:val="-2"/>
          <w:sz w:val="20"/>
        </w:rPr>
        <w:t> </w:t>
      </w:r>
      <w:r>
        <w:rPr>
          <w:sz w:val="20"/>
        </w:rPr>
        <w:t>partición</w:t>
      </w:r>
      <w:r>
        <w:rPr>
          <w:spacing w:val="-6"/>
          <w:sz w:val="20"/>
        </w:rPr>
        <w:t> </w:t>
      </w:r>
      <w:r>
        <w:rPr>
          <w:sz w:val="20"/>
        </w:rPr>
        <w:t>de</w:t>
      </w:r>
      <w:r>
        <w:rPr>
          <w:spacing w:val="-6"/>
          <w:sz w:val="20"/>
        </w:rPr>
        <w:t> </w:t>
      </w:r>
      <w:r>
        <w:rPr>
          <w:sz w:val="20"/>
        </w:rPr>
        <w:t>un</w:t>
      </w:r>
      <w:r>
        <w:rPr>
          <w:spacing w:val="-4"/>
          <w:sz w:val="20"/>
        </w:rPr>
        <w:t> </w:t>
      </w:r>
      <w:r>
        <w:rPr>
          <w:sz w:val="20"/>
        </w:rPr>
        <w:t>predio</w:t>
      </w:r>
      <w:r>
        <w:rPr>
          <w:spacing w:val="-4"/>
          <w:sz w:val="20"/>
        </w:rPr>
        <w:t> </w:t>
      </w:r>
      <w:r>
        <w:rPr>
          <w:sz w:val="20"/>
        </w:rPr>
        <w:t>ubicado</w:t>
      </w:r>
      <w:r>
        <w:rPr>
          <w:spacing w:val="-3"/>
          <w:sz w:val="20"/>
        </w:rPr>
        <w:t> </w:t>
      </w:r>
      <w:r>
        <w:rPr>
          <w:sz w:val="20"/>
        </w:rPr>
        <w:t>en</w:t>
      </w:r>
      <w:r>
        <w:rPr>
          <w:spacing w:val="-6"/>
          <w:sz w:val="20"/>
        </w:rPr>
        <w:t> </w:t>
      </w:r>
      <w:r>
        <w:rPr>
          <w:sz w:val="20"/>
        </w:rPr>
        <w:t>las zonas</w:t>
      </w:r>
      <w:r>
        <w:rPr>
          <w:spacing w:val="-10"/>
          <w:sz w:val="20"/>
        </w:rPr>
        <w:t> </w:t>
      </w:r>
      <w:r>
        <w:rPr>
          <w:sz w:val="20"/>
        </w:rPr>
        <w:t>urbanas</w:t>
      </w:r>
      <w:r>
        <w:rPr>
          <w:spacing w:val="-8"/>
          <w:sz w:val="20"/>
        </w:rPr>
        <w:t> </w:t>
      </w:r>
      <w:r>
        <w:rPr>
          <w:sz w:val="20"/>
        </w:rPr>
        <w:t>o</w:t>
      </w:r>
      <w:r>
        <w:rPr>
          <w:spacing w:val="-11"/>
          <w:sz w:val="20"/>
        </w:rPr>
        <w:t> </w:t>
      </w:r>
      <w:r>
        <w:rPr>
          <w:sz w:val="20"/>
        </w:rPr>
        <w:t>urbanizables</w:t>
      </w:r>
      <w:r>
        <w:rPr>
          <w:spacing w:val="-10"/>
          <w:sz w:val="20"/>
        </w:rPr>
        <w:t> </w:t>
      </w:r>
      <w:r>
        <w:rPr>
          <w:sz w:val="20"/>
        </w:rPr>
        <w:t>de</w:t>
      </w:r>
      <w:r>
        <w:rPr>
          <w:spacing w:val="-9"/>
          <w:sz w:val="20"/>
        </w:rPr>
        <w:t> </w:t>
      </w:r>
      <w:r>
        <w:rPr>
          <w:sz w:val="20"/>
        </w:rPr>
        <w:t>un</w:t>
      </w:r>
      <w:r>
        <w:rPr>
          <w:spacing w:val="-12"/>
          <w:sz w:val="20"/>
        </w:rPr>
        <w:t> </w:t>
      </w:r>
      <w:r>
        <w:rPr>
          <w:sz w:val="20"/>
        </w:rPr>
        <w:t>centro</w:t>
      </w:r>
      <w:r>
        <w:rPr>
          <w:spacing w:val="-9"/>
          <w:sz w:val="20"/>
        </w:rPr>
        <w:t> </w:t>
      </w:r>
      <w:r>
        <w:rPr>
          <w:sz w:val="20"/>
        </w:rPr>
        <w:t>de</w:t>
      </w:r>
      <w:r>
        <w:rPr>
          <w:spacing w:val="-9"/>
          <w:sz w:val="20"/>
        </w:rPr>
        <w:t> </w:t>
      </w:r>
      <w:r>
        <w:rPr>
          <w:sz w:val="20"/>
        </w:rPr>
        <w:t>población,</w:t>
      </w:r>
      <w:r>
        <w:rPr>
          <w:spacing w:val="-12"/>
          <w:sz w:val="20"/>
        </w:rPr>
        <w:t> </w:t>
      </w:r>
      <w:r>
        <w:rPr>
          <w:sz w:val="20"/>
        </w:rPr>
        <w:t>en</w:t>
      </w:r>
      <w:r>
        <w:rPr>
          <w:spacing w:val="-11"/>
          <w:sz w:val="20"/>
        </w:rPr>
        <w:t> </w:t>
      </w:r>
      <w:r>
        <w:rPr>
          <w:sz w:val="20"/>
        </w:rPr>
        <w:t>dos</w:t>
      </w:r>
      <w:r>
        <w:rPr>
          <w:spacing w:val="-10"/>
          <w:sz w:val="20"/>
        </w:rPr>
        <w:t> </w:t>
      </w:r>
      <w:r>
        <w:rPr>
          <w:sz w:val="20"/>
        </w:rPr>
        <w:t>o</w:t>
      </w:r>
      <w:r>
        <w:rPr>
          <w:spacing w:val="-9"/>
          <w:sz w:val="20"/>
        </w:rPr>
        <w:t> </w:t>
      </w:r>
      <w:r>
        <w:rPr>
          <w:sz w:val="20"/>
        </w:rPr>
        <w:t>más</w:t>
      </w:r>
      <w:r>
        <w:rPr>
          <w:spacing w:val="-10"/>
          <w:sz w:val="20"/>
        </w:rPr>
        <w:t> </w:t>
      </w:r>
      <w:r>
        <w:rPr>
          <w:sz w:val="20"/>
        </w:rPr>
        <w:t>fracciones,</w:t>
      </w:r>
      <w:r>
        <w:rPr>
          <w:spacing w:val="-9"/>
          <w:sz w:val="20"/>
        </w:rPr>
        <w:t> </w:t>
      </w:r>
      <w:r>
        <w:rPr>
          <w:sz w:val="20"/>
        </w:rPr>
        <w:t>que</w:t>
      </w:r>
      <w:r>
        <w:rPr>
          <w:spacing w:val="-9"/>
          <w:sz w:val="20"/>
        </w:rPr>
        <w:t> </w:t>
      </w:r>
      <w:r>
        <w:rPr>
          <w:sz w:val="20"/>
        </w:rPr>
        <w:t>no</w:t>
      </w:r>
      <w:r>
        <w:rPr>
          <w:spacing w:val="-10"/>
          <w:sz w:val="20"/>
        </w:rPr>
        <w:t> </w:t>
      </w:r>
      <w:r>
        <w:rPr>
          <w:sz w:val="20"/>
        </w:rPr>
        <w:t>requieren de la apertura de una vía pública;</w:t>
      </w:r>
    </w:p>
    <w:p>
      <w:pPr>
        <w:pStyle w:val="BodyText"/>
        <w:spacing w:before="229"/>
        <w:ind w:left="262" w:right="281"/>
        <w:jc w:val="both"/>
      </w:pPr>
      <w:r>
        <w:rPr>
          <w:rFonts w:ascii="Arial" w:hAnsi="Arial"/>
          <w:b/>
        </w:rPr>
        <w:t>LXXXVII.</w:t>
      </w:r>
      <w:r>
        <w:rPr>
          <w:rFonts w:ascii="Arial" w:hAnsi="Arial"/>
          <w:b/>
          <w:spacing w:val="80"/>
        </w:rPr>
        <w:t> </w:t>
      </w:r>
      <w:r>
        <w:rPr>
          <w:rFonts w:ascii="Arial" w:hAnsi="Arial"/>
          <w:b/>
        </w:rPr>
        <w:t>Supervisor municipal de obra: </w:t>
      </w:r>
      <w:r>
        <w:rPr/>
        <w:t>servidor público de la Dirección Municipal que está facultado</w:t>
      </w:r>
      <w:r>
        <w:rPr>
          <w:spacing w:val="-4"/>
        </w:rPr>
        <w:t> </w:t>
      </w:r>
      <w:r>
        <w:rPr/>
        <w:t>por</w:t>
      </w:r>
      <w:r>
        <w:rPr>
          <w:spacing w:val="-6"/>
        </w:rPr>
        <w:t> </w:t>
      </w:r>
      <w:r>
        <w:rPr/>
        <w:t>la</w:t>
      </w:r>
      <w:r>
        <w:rPr>
          <w:spacing w:val="-7"/>
        </w:rPr>
        <w:t> </w:t>
      </w:r>
      <w:r>
        <w:rPr/>
        <w:t>autoridad</w:t>
      </w:r>
      <w:r>
        <w:rPr>
          <w:spacing w:val="-5"/>
        </w:rPr>
        <w:t> </w:t>
      </w:r>
      <w:r>
        <w:rPr/>
        <w:t>municipal</w:t>
      </w:r>
      <w:r>
        <w:rPr>
          <w:spacing w:val="-8"/>
        </w:rPr>
        <w:t> </w:t>
      </w:r>
      <w:r>
        <w:rPr/>
        <w:t>para</w:t>
      </w:r>
      <w:r>
        <w:rPr>
          <w:spacing w:val="-6"/>
        </w:rPr>
        <w:t> </w:t>
      </w:r>
      <w:r>
        <w:rPr/>
        <w:t>realizar</w:t>
      </w:r>
      <w:r>
        <w:rPr>
          <w:spacing w:val="-4"/>
        </w:rPr>
        <w:t> </w:t>
      </w:r>
      <w:r>
        <w:rPr/>
        <w:t>la</w:t>
      </w:r>
      <w:r>
        <w:rPr>
          <w:spacing w:val="-7"/>
        </w:rPr>
        <w:t> </w:t>
      </w:r>
      <w:r>
        <w:rPr/>
        <w:t>supervisión</w:t>
      </w:r>
      <w:r>
        <w:rPr>
          <w:spacing w:val="-7"/>
        </w:rPr>
        <w:t> </w:t>
      </w:r>
      <w:r>
        <w:rPr/>
        <w:t>y</w:t>
      </w:r>
      <w:r>
        <w:rPr>
          <w:spacing w:val="-5"/>
        </w:rPr>
        <w:t> </w:t>
      </w:r>
      <w:r>
        <w:rPr/>
        <w:t>vigilancia</w:t>
      </w:r>
      <w:r>
        <w:rPr>
          <w:spacing w:val="-4"/>
        </w:rPr>
        <w:t> </w:t>
      </w:r>
      <w:r>
        <w:rPr/>
        <w:t>de</w:t>
      </w:r>
      <w:r>
        <w:rPr>
          <w:spacing w:val="-4"/>
        </w:rPr>
        <w:t> </w:t>
      </w:r>
      <w:r>
        <w:rPr/>
        <w:t>la</w:t>
      </w:r>
      <w:r>
        <w:rPr>
          <w:spacing w:val="-5"/>
        </w:rPr>
        <w:t> </w:t>
      </w:r>
      <w:r>
        <w:rPr/>
        <w:t>ejecución</w:t>
      </w:r>
      <w:r>
        <w:rPr>
          <w:spacing w:val="-7"/>
        </w:rPr>
        <w:t> </w:t>
      </w:r>
      <w:r>
        <w:rPr/>
        <w:t>de</w:t>
      </w:r>
      <w:r>
        <w:rPr>
          <w:spacing w:val="-7"/>
        </w:rPr>
        <w:t> </w:t>
      </w:r>
      <w:r>
        <w:rPr/>
        <w:t>obras de edificación, instalaciones o urbanización;</w:t>
      </w:r>
    </w:p>
    <w:p>
      <w:pPr>
        <w:pStyle w:val="BodyText"/>
        <w:spacing w:before="2"/>
      </w:pPr>
    </w:p>
    <w:p>
      <w:pPr>
        <w:pStyle w:val="BodyText"/>
        <w:ind w:left="262"/>
        <w:jc w:val="both"/>
      </w:pPr>
      <w:r>
        <w:rPr>
          <w:rFonts w:ascii="Arial" w:hAnsi="Arial"/>
          <w:b/>
        </w:rPr>
        <w:t>LXXXVIII.</w:t>
      </w:r>
      <w:r>
        <w:rPr>
          <w:rFonts w:ascii="Arial" w:hAnsi="Arial"/>
          <w:b/>
          <w:spacing w:val="36"/>
        </w:rPr>
        <w:t>  </w:t>
      </w:r>
      <w:r>
        <w:rPr>
          <w:rFonts w:ascii="Arial" w:hAnsi="Arial"/>
          <w:b/>
        </w:rPr>
        <w:t>UMA:</w:t>
      </w:r>
      <w:r>
        <w:rPr>
          <w:rFonts w:ascii="Arial" w:hAnsi="Arial"/>
          <w:b/>
          <w:spacing w:val="19"/>
        </w:rPr>
        <w:t> </w:t>
      </w:r>
      <w:r>
        <w:rPr/>
        <w:t>Unidad</w:t>
      </w:r>
      <w:r>
        <w:rPr>
          <w:spacing w:val="19"/>
        </w:rPr>
        <w:t> </w:t>
      </w:r>
      <w:r>
        <w:rPr/>
        <w:t>de</w:t>
      </w:r>
      <w:r>
        <w:rPr>
          <w:spacing w:val="19"/>
        </w:rPr>
        <w:t> </w:t>
      </w:r>
      <w:r>
        <w:rPr/>
        <w:t>Medida</w:t>
      </w:r>
      <w:r>
        <w:rPr>
          <w:spacing w:val="17"/>
        </w:rPr>
        <w:t> </w:t>
      </w:r>
      <w:r>
        <w:rPr/>
        <w:t>y</w:t>
      </w:r>
      <w:r>
        <w:rPr>
          <w:spacing w:val="20"/>
        </w:rPr>
        <w:t> </w:t>
      </w:r>
      <w:r>
        <w:rPr/>
        <w:t>Actualización,</w:t>
      </w:r>
      <w:r>
        <w:rPr>
          <w:spacing w:val="16"/>
        </w:rPr>
        <w:t> </w:t>
      </w:r>
      <w:r>
        <w:rPr/>
        <w:t>entendida</w:t>
      </w:r>
      <w:r>
        <w:rPr>
          <w:spacing w:val="17"/>
        </w:rPr>
        <w:t> </w:t>
      </w:r>
      <w:r>
        <w:rPr/>
        <w:t>como</w:t>
      </w:r>
      <w:r>
        <w:rPr>
          <w:spacing w:val="18"/>
        </w:rPr>
        <w:t> </w:t>
      </w:r>
      <w:r>
        <w:rPr/>
        <w:t>el</w:t>
      </w:r>
      <w:r>
        <w:rPr>
          <w:spacing w:val="18"/>
        </w:rPr>
        <w:t> </w:t>
      </w:r>
      <w:r>
        <w:rPr/>
        <w:t>valor</w:t>
      </w:r>
      <w:r>
        <w:rPr>
          <w:spacing w:val="17"/>
        </w:rPr>
        <w:t> </w:t>
      </w:r>
      <w:r>
        <w:rPr/>
        <w:t>establecido</w:t>
      </w:r>
      <w:r>
        <w:rPr>
          <w:spacing w:val="18"/>
        </w:rPr>
        <w:t> </w:t>
      </w:r>
      <w:r>
        <w:rPr/>
        <w:t>por</w:t>
      </w:r>
      <w:r>
        <w:rPr>
          <w:spacing w:val="17"/>
        </w:rPr>
        <w:t> </w:t>
      </w:r>
      <w:r>
        <w:rPr>
          <w:spacing w:val="-5"/>
        </w:rPr>
        <w:t>el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3"/>
        <w:jc w:val="both"/>
      </w:pPr>
      <w:r>
        <w:rPr/>
        <w:t>Instituto Nacional de Estadística y Geografía, en términos del artículo 26, apartado B, de la Constitución</w:t>
      </w:r>
      <w:r>
        <w:rPr>
          <w:spacing w:val="-12"/>
        </w:rPr>
        <w:t> </w:t>
      </w:r>
      <w:r>
        <w:rPr/>
        <w:t>Política</w:t>
      </w:r>
      <w:r>
        <w:rPr>
          <w:spacing w:val="-13"/>
        </w:rPr>
        <w:t> </w:t>
      </w:r>
      <w:r>
        <w:rPr/>
        <w:t>de</w:t>
      </w:r>
      <w:r>
        <w:rPr>
          <w:spacing w:val="-12"/>
        </w:rPr>
        <w:t> </w:t>
      </w:r>
      <w:r>
        <w:rPr/>
        <w:t>los</w:t>
      </w:r>
      <w:r>
        <w:rPr>
          <w:spacing w:val="-11"/>
        </w:rPr>
        <w:t> </w:t>
      </w:r>
      <w:r>
        <w:rPr/>
        <w:t>Estados</w:t>
      </w:r>
      <w:r>
        <w:rPr>
          <w:spacing w:val="-11"/>
        </w:rPr>
        <w:t> </w:t>
      </w:r>
      <w:r>
        <w:rPr/>
        <w:t>Unidos</w:t>
      </w:r>
      <w:r>
        <w:rPr>
          <w:spacing w:val="-11"/>
        </w:rPr>
        <w:t> </w:t>
      </w:r>
      <w:r>
        <w:rPr/>
        <w:t>Mexicanos</w:t>
      </w:r>
      <w:r>
        <w:rPr>
          <w:spacing w:val="-9"/>
        </w:rPr>
        <w:t> </w:t>
      </w:r>
      <w:r>
        <w:rPr/>
        <w:t>y</w:t>
      </w:r>
      <w:r>
        <w:rPr>
          <w:spacing w:val="-13"/>
        </w:rPr>
        <w:t> </w:t>
      </w:r>
      <w:r>
        <w:rPr/>
        <w:t>la</w:t>
      </w:r>
      <w:r>
        <w:rPr>
          <w:spacing w:val="-13"/>
        </w:rPr>
        <w:t> </w:t>
      </w:r>
      <w:r>
        <w:rPr/>
        <w:t>ley</w:t>
      </w:r>
      <w:r>
        <w:rPr>
          <w:spacing w:val="-11"/>
        </w:rPr>
        <w:t> </w:t>
      </w:r>
      <w:r>
        <w:rPr/>
        <w:t>federal</w:t>
      </w:r>
      <w:r>
        <w:rPr>
          <w:spacing w:val="-14"/>
        </w:rPr>
        <w:t> </w:t>
      </w:r>
      <w:r>
        <w:rPr/>
        <w:t>en</w:t>
      </w:r>
      <w:r>
        <w:rPr>
          <w:spacing w:val="-12"/>
        </w:rPr>
        <w:t> </w:t>
      </w:r>
      <w:r>
        <w:rPr/>
        <w:t>la</w:t>
      </w:r>
      <w:r>
        <w:rPr>
          <w:spacing w:val="-13"/>
        </w:rPr>
        <w:t> </w:t>
      </w:r>
      <w:r>
        <w:rPr/>
        <w:t>materia,</w:t>
      </w:r>
      <w:r>
        <w:rPr>
          <w:spacing w:val="-14"/>
        </w:rPr>
        <w:t> </w:t>
      </w:r>
      <w:r>
        <w:rPr/>
        <w:t>para</w:t>
      </w:r>
      <w:r>
        <w:rPr>
          <w:spacing w:val="-14"/>
        </w:rPr>
        <w:t> </w:t>
      </w:r>
      <w:r>
        <w:rPr/>
        <w:t>determinar la cuantía del pago de las obligaciones y supuestos previstos en las leyes;</w:t>
      </w:r>
    </w:p>
    <w:p>
      <w:pPr>
        <w:pStyle w:val="BodyText"/>
        <w:spacing w:before="1"/>
      </w:pPr>
    </w:p>
    <w:p>
      <w:pPr>
        <w:pStyle w:val="BodyText"/>
        <w:spacing w:before="1"/>
        <w:ind w:left="262" w:right="279"/>
        <w:jc w:val="both"/>
      </w:pPr>
      <w:r>
        <w:rPr>
          <w:rFonts w:ascii="Arial" w:hAnsi="Arial"/>
          <w:b/>
        </w:rPr>
        <w:t>LXXXIX.</w:t>
      </w:r>
      <w:r>
        <w:rPr>
          <w:rFonts w:ascii="Arial" w:hAnsi="Arial"/>
          <w:b/>
          <w:spacing w:val="80"/>
        </w:rPr>
        <w:t> </w:t>
      </w:r>
      <w:r>
        <w:rPr>
          <w:rFonts w:ascii="Arial" w:hAnsi="Arial"/>
          <w:b/>
        </w:rPr>
        <w:t>Usos de impacto significativo: </w:t>
      </w:r>
      <w:r>
        <w:rPr/>
        <w:t>aquellos que generan las construcciones e</w:t>
      </w:r>
      <w:r>
        <w:rPr>
          <w:spacing w:val="40"/>
        </w:rPr>
        <w:t> </w:t>
      </w:r>
      <w:r>
        <w:rPr/>
        <w:t>instalaciones destinadas a usos industriales, comerciales, de servicio o habitacionales que por sus dimensiones,</w:t>
      </w:r>
      <w:r>
        <w:rPr>
          <w:spacing w:val="-8"/>
        </w:rPr>
        <w:t> </w:t>
      </w:r>
      <w:r>
        <w:rPr/>
        <w:t>necesidades</w:t>
      </w:r>
      <w:r>
        <w:rPr>
          <w:spacing w:val="-8"/>
        </w:rPr>
        <w:t> </w:t>
      </w:r>
      <w:r>
        <w:rPr/>
        <w:t>de</w:t>
      </w:r>
      <w:r>
        <w:rPr>
          <w:spacing w:val="-9"/>
        </w:rPr>
        <w:t> </w:t>
      </w:r>
      <w:r>
        <w:rPr/>
        <w:t>infraestructura,</w:t>
      </w:r>
      <w:r>
        <w:rPr>
          <w:spacing w:val="-8"/>
        </w:rPr>
        <w:t> </w:t>
      </w:r>
      <w:r>
        <w:rPr/>
        <w:t>transporte</w:t>
      </w:r>
      <w:r>
        <w:rPr>
          <w:spacing w:val="-10"/>
        </w:rPr>
        <w:t> </w:t>
      </w:r>
      <w:r>
        <w:rPr/>
        <w:t>o</w:t>
      </w:r>
      <w:r>
        <w:rPr>
          <w:spacing w:val="-9"/>
        </w:rPr>
        <w:t> </w:t>
      </w:r>
      <w:r>
        <w:rPr/>
        <w:t>riesgos</w:t>
      </w:r>
      <w:r>
        <w:rPr>
          <w:spacing w:val="-9"/>
        </w:rPr>
        <w:t> </w:t>
      </w:r>
      <w:r>
        <w:rPr/>
        <w:t>de</w:t>
      </w:r>
      <w:r>
        <w:rPr>
          <w:spacing w:val="-9"/>
        </w:rPr>
        <w:t> </w:t>
      </w:r>
      <w:r>
        <w:rPr/>
        <w:t>contaminación</w:t>
      </w:r>
      <w:r>
        <w:rPr>
          <w:spacing w:val="-10"/>
        </w:rPr>
        <w:t> </w:t>
      </w:r>
      <w:r>
        <w:rPr/>
        <w:t>puedan</w:t>
      </w:r>
      <w:r>
        <w:rPr>
          <w:spacing w:val="-9"/>
        </w:rPr>
        <w:t> </w:t>
      </w:r>
      <w:r>
        <w:rPr/>
        <w:t>afectar gravemente las condiciones de vida de los habitantes, el contexto urbano, ecológico y paisajístico, así como el normal funcionamiento de los servicios;</w:t>
      </w:r>
    </w:p>
    <w:p>
      <w:pPr>
        <w:pStyle w:val="BodyText"/>
      </w:pPr>
    </w:p>
    <w:p>
      <w:pPr>
        <w:pStyle w:val="BodyText"/>
        <w:ind w:left="262" w:right="286"/>
        <w:jc w:val="both"/>
      </w:pPr>
      <w:r>
        <w:rPr>
          <w:rFonts w:ascii="Arial" w:hAnsi="Arial"/>
          <w:b/>
        </w:rPr>
        <w:t>XC.</w:t>
      </w:r>
      <w:r>
        <w:rPr>
          <w:rFonts w:ascii="Arial" w:hAnsi="Arial"/>
          <w:b/>
          <w:spacing w:val="80"/>
          <w:w w:val="150"/>
        </w:rPr>
        <w:t>  </w:t>
      </w:r>
      <w:r>
        <w:rPr>
          <w:rFonts w:ascii="Arial" w:hAnsi="Arial"/>
          <w:b/>
        </w:rPr>
        <w:t>Usos del suelo: </w:t>
      </w:r>
      <w:r>
        <w:rPr/>
        <w:t>fines particulares a que podrán dedicarse determinadas zonas o predios de un centro de población, determinados en el Programa de Desarrollo Urbano correspondiente;</w:t>
      </w:r>
    </w:p>
    <w:p>
      <w:pPr>
        <w:spacing w:before="229"/>
        <w:ind w:left="262" w:right="0" w:firstLine="0"/>
        <w:jc w:val="both"/>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5"/>
          <w:sz w:val="20"/>
        </w:rPr>
        <w:t> </w:t>
      </w:r>
      <w:r>
        <w:rPr>
          <w:rFonts w:ascii="Arial"/>
          <w:i/>
          <w:spacing w:val="-4"/>
          <w:sz w:val="20"/>
        </w:rPr>
        <w:t>2024)</w:t>
      </w:r>
    </w:p>
    <w:p>
      <w:pPr>
        <w:pStyle w:val="BodyText"/>
        <w:spacing w:before="1"/>
        <w:ind w:left="262" w:right="277"/>
        <w:jc w:val="both"/>
      </w:pPr>
      <w:r>
        <w:rPr>
          <w:rFonts w:ascii="Arial" w:hAnsi="Arial"/>
          <w:b/>
        </w:rPr>
        <w:t>XCI.</w:t>
      </w:r>
      <w:r>
        <w:rPr>
          <w:rFonts w:ascii="Arial" w:hAnsi="Arial"/>
          <w:b/>
          <w:spacing w:val="80"/>
        </w:rPr>
        <w:t>  </w:t>
      </w:r>
      <w:r>
        <w:rPr/>
        <w:t>Vía</w:t>
      </w:r>
      <w:r>
        <w:rPr>
          <w:spacing w:val="-11"/>
        </w:rPr>
        <w:t> </w:t>
      </w:r>
      <w:r>
        <w:rPr/>
        <w:t>pública:</w:t>
      </w:r>
      <w:r>
        <w:rPr>
          <w:spacing w:val="-10"/>
        </w:rPr>
        <w:t> </w:t>
      </w:r>
      <w:r>
        <w:rPr/>
        <w:t>Todo</w:t>
      </w:r>
      <w:r>
        <w:rPr>
          <w:spacing w:val="-8"/>
        </w:rPr>
        <w:t> </w:t>
      </w:r>
      <w:r>
        <w:rPr/>
        <w:t>espacio</w:t>
      </w:r>
      <w:r>
        <w:rPr>
          <w:spacing w:val="-10"/>
        </w:rPr>
        <w:t> </w:t>
      </w:r>
      <w:r>
        <w:rPr/>
        <w:t>de</w:t>
      </w:r>
      <w:r>
        <w:rPr>
          <w:spacing w:val="-10"/>
        </w:rPr>
        <w:t> </w:t>
      </w:r>
      <w:r>
        <w:rPr/>
        <w:t>dominio</w:t>
      </w:r>
      <w:r>
        <w:rPr>
          <w:spacing w:val="-8"/>
        </w:rPr>
        <w:t> </w:t>
      </w:r>
      <w:r>
        <w:rPr/>
        <w:t>público</w:t>
      </w:r>
      <w:r>
        <w:rPr>
          <w:spacing w:val="-10"/>
        </w:rPr>
        <w:t> </w:t>
      </w:r>
      <w:r>
        <w:rPr/>
        <w:t>y</w:t>
      </w:r>
      <w:r>
        <w:rPr>
          <w:spacing w:val="-9"/>
        </w:rPr>
        <w:t> </w:t>
      </w:r>
      <w:r>
        <w:rPr/>
        <w:t>uso</w:t>
      </w:r>
      <w:r>
        <w:rPr>
          <w:spacing w:val="-10"/>
        </w:rPr>
        <w:t> </w:t>
      </w:r>
      <w:r>
        <w:rPr/>
        <w:t>común</w:t>
      </w:r>
      <w:r>
        <w:rPr>
          <w:spacing w:val="-10"/>
        </w:rPr>
        <w:t> </w:t>
      </w:r>
      <w:r>
        <w:rPr/>
        <w:t>destinado</w:t>
      </w:r>
      <w:r>
        <w:rPr>
          <w:spacing w:val="-10"/>
        </w:rPr>
        <w:t> </w:t>
      </w:r>
      <w:r>
        <w:rPr/>
        <w:t>al</w:t>
      </w:r>
      <w:r>
        <w:rPr>
          <w:spacing w:val="-9"/>
        </w:rPr>
        <w:t> </w:t>
      </w:r>
      <w:r>
        <w:rPr/>
        <w:t>tránsito</w:t>
      </w:r>
      <w:r>
        <w:rPr>
          <w:spacing w:val="-10"/>
        </w:rPr>
        <w:t> </w:t>
      </w:r>
      <w:r>
        <w:rPr/>
        <w:t>de</w:t>
      </w:r>
      <w:r>
        <w:rPr>
          <w:spacing w:val="-10"/>
        </w:rPr>
        <w:t> </w:t>
      </w:r>
      <w:r>
        <w:rPr/>
        <w:t>personas peatonas y vehículos, así como a la prestación de servicios públicos y la instalación de infraestructura y mobiliario, en la que se deberán considerarse las vocaciones de movilidad y visibilidad a que se refiere la Ley General de Movilidad y Seguridad Vial;</w:t>
      </w:r>
    </w:p>
    <w:p>
      <w:pPr>
        <w:pStyle w:val="BodyText"/>
        <w:spacing w:before="229"/>
        <w:ind w:left="262" w:right="283"/>
        <w:jc w:val="both"/>
      </w:pPr>
      <w:r>
        <w:rPr>
          <w:rFonts w:ascii="Arial" w:hAnsi="Arial"/>
          <w:b/>
        </w:rPr>
        <w:t>XCII.</w:t>
      </w:r>
      <w:r>
        <w:rPr>
          <w:rFonts w:ascii="Arial" w:hAnsi="Arial"/>
          <w:b/>
          <w:spacing w:val="80"/>
        </w:rPr>
        <w:t> </w:t>
      </w:r>
      <w:r>
        <w:rPr>
          <w:rFonts w:ascii="Arial" w:hAnsi="Arial"/>
          <w:b/>
        </w:rPr>
        <w:t>Vivienda plurifamiliar: </w:t>
      </w:r>
      <w:r>
        <w:rPr/>
        <w:t>es aquella que da alojamiento a dos o más familias y que se encuentra</w:t>
      </w:r>
      <w:r>
        <w:rPr>
          <w:spacing w:val="-2"/>
        </w:rPr>
        <w:t> </w:t>
      </w:r>
      <w:r>
        <w:rPr/>
        <w:t>en un predio</w:t>
      </w:r>
      <w:r>
        <w:rPr>
          <w:spacing w:val="-2"/>
        </w:rPr>
        <w:t> </w:t>
      </w:r>
      <w:r>
        <w:rPr/>
        <w:t>común a</w:t>
      </w:r>
      <w:r>
        <w:rPr>
          <w:spacing w:val="-2"/>
        </w:rPr>
        <w:t> </w:t>
      </w:r>
      <w:r>
        <w:rPr/>
        <w:t>las</w:t>
      </w:r>
      <w:r>
        <w:rPr>
          <w:spacing w:val="-1"/>
        </w:rPr>
        <w:t> </w:t>
      </w:r>
      <w:r>
        <w:rPr/>
        <w:t>viviendas</w:t>
      </w:r>
      <w:r>
        <w:rPr>
          <w:spacing w:val="-1"/>
        </w:rPr>
        <w:t> </w:t>
      </w:r>
      <w:r>
        <w:rPr/>
        <w:t>que</w:t>
      </w:r>
      <w:r>
        <w:rPr>
          <w:spacing w:val="-2"/>
        </w:rPr>
        <w:t> </w:t>
      </w:r>
      <w:r>
        <w:rPr/>
        <w:t>contiene. Se</w:t>
      </w:r>
      <w:r>
        <w:rPr>
          <w:spacing w:val="-2"/>
        </w:rPr>
        <w:t> </w:t>
      </w:r>
      <w:r>
        <w:rPr/>
        <w:t>caracteriza</w:t>
      </w:r>
      <w:r>
        <w:rPr>
          <w:spacing w:val="-2"/>
        </w:rPr>
        <w:t> </w:t>
      </w:r>
      <w:r>
        <w:rPr/>
        <w:t>por</w:t>
      </w:r>
      <w:r>
        <w:rPr>
          <w:spacing w:val="-1"/>
        </w:rPr>
        <w:t> </w:t>
      </w:r>
      <w:r>
        <w:rPr/>
        <w:t>estar</w:t>
      </w:r>
      <w:r>
        <w:rPr>
          <w:spacing w:val="-1"/>
        </w:rPr>
        <w:t> </w:t>
      </w:r>
      <w:r>
        <w:rPr/>
        <w:t>basada en un régimen de propiedad en condominio;</w:t>
      </w:r>
    </w:p>
    <w:p>
      <w:pPr>
        <w:spacing w:before="230"/>
        <w:ind w:left="262" w:right="283" w:firstLine="0"/>
        <w:jc w:val="both"/>
        <w:rPr>
          <w:sz w:val="20"/>
        </w:rPr>
      </w:pPr>
      <w:r>
        <w:rPr>
          <w:rFonts w:ascii="Arial"/>
          <w:b/>
          <w:sz w:val="20"/>
        </w:rPr>
        <w:t>XCIII.</w:t>
      </w:r>
      <w:r>
        <w:rPr>
          <w:rFonts w:ascii="Arial"/>
          <w:b/>
          <w:spacing w:val="80"/>
          <w:w w:val="150"/>
          <w:sz w:val="20"/>
        </w:rPr>
        <w:t> </w:t>
      </w:r>
      <w:r>
        <w:rPr>
          <w:rFonts w:ascii="Arial"/>
          <w:b/>
          <w:sz w:val="20"/>
        </w:rPr>
        <w:t>Vivienda</w:t>
      </w:r>
      <w:r>
        <w:rPr>
          <w:rFonts w:ascii="Arial"/>
          <w:b/>
          <w:spacing w:val="-9"/>
          <w:sz w:val="20"/>
        </w:rPr>
        <w:t> </w:t>
      </w:r>
      <w:r>
        <w:rPr>
          <w:rFonts w:ascii="Arial"/>
          <w:b/>
          <w:sz w:val="20"/>
        </w:rPr>
        <w:t>unifamiliar:</w:t>
      </w:r>
      <w:r>
        <w:rPr>
          <w:rFonts w:ascii="Arial"/>
          <w:b/>
          <w:spacing w:val="-8"/>
          <w:sz w:val="20"/>
        </w:rPr>
        <w:t> </w:t>
      </w:r>
      <w:r>
        <w:rPr>
          <w:sz w:val="20"/>
        </w:rPr>
        <w:t>es</w:t>
      </w:r>
      <w:r>
        <w:rPr>
          <w:spacing w:val="-8"/>
          <w:sz w:val="20"/>
        </w:rPr>
        <w:t> </w:t>
      </w:r>
      <w:r>
        <w:rPr>
          <w:sz w:val="20"/>
        </w:rPr>
        <w:t>aquella</w:t>
      </w:r>
      <w:r>
        <w:rPr>
          <w:spacing w:val="-7"/>
          <w:sz w:val="20"/>
        </w:rPr>
        <w:t> </w:t>
      </w:r>
      <w:r>
        <w:rPr>
          <w:sz w:val="20"/>
        </w:rPr>
        <w:t>que</w:t>
      </w:r>
      <w:r>
        <w:rPr>
          <w:spacing w:val="-7"/>
          <w:sz w:val="20"/>
        </w:rPr>
        <w:t> </w:t>
      </w:r>
      <w:r>
        <w:rPr>
          <w:sz w:val="20"/>
        </w:rPr>
        <w:t>da</w:t>
      </w:r>
      <w:r>
        <w:rPr>
          <w:spacing w:val="-7"/>
          <w:sz w:val="20"/>
        </w:rPr>
        <w:t> </w:t>
      </w:r>
      <w:r>
        <w:rPr>
          <w:sz w:val="20"/>
        </w:rPr>
        <w:t>alojamiento</w:t>
      </w:r>
      <w:r>
        <w:rPr>
          <w:spacing w:val="-7"/>
          <w:sz w:val="20"/>
        </w:rPr>
        <w:t> </w:t>
      </w:r>
      <w:r>
        <w:rPr>
          <w:sz w:val="20"/>
        </w:rPr>
        <w:t>a</w:t>
      </w:r>
      <w:r>
        <w:rPr>
          <w:spacing w:val="-7"/>
          <w:sz w:val="20"/>
        </w:rPr>
        <w:t> </w:t>
      </w:r>
      <w:r>
        <w:rPr>
          <w:sz w:val="20"/>
        </w:rPr>
        <w:t>una</w:t>
      </w:r>
      <w:r>
        <w:rPr>
          <w:spacing w:val="-9"/>
          <w:sz w:val="20"/>
        </w:rPr>
        <w:t> </w:t>
      </w:r>
      <w:r>
        <w:rPr>
          <w:sz w:val="20"/>
        </w:rPr>
        <w:t>familia</w:t>
      </w:r>
      <w:r>
        <w:rPr>
          <w:spacing w:val="-9"/>
          <w:sz w:val="20"/>
        </w:rPr>
        <w:t> </w:t>
      </w:r>
      <w:r>
        <w:rPr>
          <w:sz w:val="20"/>
        </w:rPr>
        <w:t>o</w:t>
      </w:r>
      <w:r>
        <w:rPr>
          <w:spacing w:val="-7"/>
          <w:sz w:val="20"/>
        </w:rPr>
        <w:t> </w:t>
      </w:r>
      <w:r>
        <w:rPr>
          <w:sz w:val="20"/>
        </w:rPr>
        <w:t>persona</w:t>
      </w:r>
      <w:r>
        <w:rPr>
          <w:spacing w:val="-7"/>
          <w:sz w:val="20"/>
        </w:rPr>
        <w:t> </w:t>
      </w:r>
      <w:r>
        <w:rPr>
          <w:sz w:val="20"/>
        </w:rPr>
        <w:t>en</w:t>
      </w:r>
      <w:r>
        <w:rPr>
          <w:spacing w:val="-7"/>
          <w:sz w:val="20"/>
        </w:rPr>
        <w:t> </w:t>
      </w:r>
      <w:r>
        <w:rPr>
          <w:sz w:val="20"/>
        </w:rPr>
        <w:t>lo</w:t>
      </w:r>
      <w:r>
        <w:rPr>
          <w:spacing w:val="-7"/>
          <w:sz w:val="20"/>
        </w:rPr>
        <w:t> </w:t>
      </w:r>
      <w:r>
        <w:rPr>
          <w:sz w:val="20"/>
        </w:rPr>
        <w:t>individual y que se encuentra en un predio;</w:t>
      </w:r>
    </w:p>
    <w:p>
      <w:pPr>
        <w:pStyle w:val="BodyText"/>
        <w:spacing w:before="1"/>
      </w:pPr>
    </w:p>
    <w:p>
      <w:pPr>
        <w:pStyle w:val="BodyText"/>
        <w:ind w:left="262" w:right="278"/>
        <w:jc w:val="both"/>
      </w:pPr>
      <w:r>
        <w:rPr>
          <w:rFonts w:ascii="Arial" w:hAnsi="Arial"/>
          <w:b/>
        </w:rPr>
        <w:t>XCIV.</w:t>
      </w:r>
      <w:r>
        <w:rPr>
          <w:rFonts w:ascii="Arial" w:hAnsi="Arial"/>
          <w:b/>
          <w:spacing w:val="80"/>
        </w:rPr>
        <w:t> </w:t>
      </w:r>
      <w:r>
        <w:rPr>
          <w:rFonts w:ascii="Arial" w:hAnsi="Arial"/>
          <w:b/>
        </w:rPr>
        <w:t>Vivienda:</w:t>
      </w:r>
      <w:r>
        <w:rPr>
          <w:rFonts w:ascii="Arial" w:hAnsi="Arial"/>
          <w:b/>
          <w:spacing w:val="-1"/>
        </w:rPr>
        <w:t> </w:t>
      </w:r>
      <w:r>
        <w:rPr/>
        <w:t>es</w:t>
      </w:r>
      <w:r>
        <w:rPr>
          <w:spacing w:val="-1"/>
        </w:rPr>
        <w:t> </w:t>
      </w:r>
      <w:r>
        <w:rPr/>
        <w:t>aquella que</w:t>
      </w:r>
      <w:r>
        <w:rPr>
          <w:spacing w:val="-2"/>
        </w:rPr>
        <w:t> </w:t>
      </w:r>
      <w:r>
        <w:rPr/>
        <w:t>cumple</w:t>
      </w:r>
      <w:r>
        <w:rPr>
          <w:spacing w:val="-2"/>
        </w:rPr>
        <w:t> </w:t>
      </w:r>
      <w:r>
        <w:rPr/>
        <w:t>con las</w:t>
      </w:r>
      <w:r>
        <w:rPr>
          <w:spacing w:val="-1"/>
        </w:rPr>
        <w:t> </w:t>
      </w:r>
      <w:r>
        <w:rPr/>
        <w:t>funciones</w:t>
      </w:r>
      <w:r>
        <w:rPr>
          <w:spacing w:val="-1"/>
        </w:rPr>
        <w:t> </w:t>
      </w:r>
      <w:r>
        <w:rPr/>
        <w:t>básicas</w:t>
      </w:r>
      <w:r>
        <w:rPr>
          <w:spacing w:val="-1"/>
        </w:rPr>
        <w:t> </w:t>
      </w:r>
      <w:r>
        <w:rPr/>
        <w:t>de</w:t>
      </w:r>
      <w:r>
        <w:rPr>
          <w:spacing w:val="-3"/>
        </w:rPr>
        <w:t> </w:t>
      </w:r>
      <w:r>
        <w:rPr/>
        <w:t>habitabilidad</w:t>
      </w:r>
      <w:r>
        <w:rPr>
          <w:spacing w:val="-2"/>
        </w:rPr>
        <w:t> </w:t>
      </w:r>
      <w:r>
        <w:rPr/>
        <w:t>y</w:t>
      </w:r>
      <w:r>
        <w:rPr>
          <w:spacing w:val="-1"/>
        </w:rPr>
        <w:t> </w:t>
      </w:r>
      <w:r>
        <w:rPr/>
        <w:t>salubridad, y cuenta</w:t>
      </w:r>
      <w:r>
        <w:rPr>
          <w:spacing w:val="-9"/>
        </w:rPr>
        <w:t> </w:t>
      </w:r>
      <w:r>
        <w:rPr/>
        <w:t>con</w:t>
      </w:r>
      <w:r>
        <w:rPr>
          <w:spacing w:val="-9"/>
        </w:rPr>
        <w:t> </w:t>
      </w:r>
      <w:r>
        <w:rPr/>
        <w:t>los</w:t>
      </w:r>
      <w:r>
        <w:rPr>
          <w:spacing w:val="-9"/>
        </w:rPr>
        <w:t> </w:t>
      </w:r>
      <w:r>
        <w:rPr/>
        <w:t>servicios</w:t>
      </w:r>
      <w:r>
        <w:rPr>
          <w:spacing w:val="-8"/>
        </w:rPr>
        <w:t> </w:t>
      </w:r>
      <w:r>
        <w:rPr/>
        <w:t>básicos.</w:t>
      </w:r>
      <w:r>
        <w:rPr>
          <w:spacing w:val="-10"/>
        </w:rPr>
        <w:t> </w:t>
      </w:r>
      <w:r>
        <w:rPr/>
        <w:t>Este</w:t>
      </w:r>
      <w:r>
        <w:rPr>
          <w:spacing w:val="-9"/>
        </w:rPr>
        <w:t> </w:t>
      </w:r>
      <w:r>
        <w:rPr/>
        <w:t>concepto</w:t>
      </w:r>
      <w:r>
        <w:rPr>
          <w:spacing w:val="-9"/>
        </w:rPr>
        <w:t> </w:t>
      </w:r>
      <w:r>
        <w:rPr/>
        <w:t>implica</w:t>
      </w:r>
      <w:r>
        <w:rPr>
          <w:spacing w:val="-10"/>
        </w:rPr>
        <w:t> </w:t>
      </w:r>
      <w:r>
        <w:rPr/>
        <w:t>tanto</w:t>
      </w:r>
      <w:r>
        <w:rPr>
          <w:spacing w:val="-9"/>
        </w:rPr>
        <w:t> </w:t>
      </w:r>
      <w:r>
        <w:rPr/>
        <w:t>la</w:t>
      </w:r>
      <w:r>
        <w:rPr>
          <w:spacing w:val="-10"/>
        </w:rPr>
        <w:t> </w:t>
      </w:r>
      <w:r>
        <w:rPr/>
        <w:t>vivienda</w:t>
      </w:r>
      <w:r>
        <w:rPr>
          <w:spacing w:val="-9"/>
        </w:rPr>
        <w:t> </w:t>
      </w:r>
      <w:r>
        <w:rPr/>
        <w:t>terminada</w:t>
      </w:r>
      <w:r>
        <w:rPr>
          <w:spacing w:val="-10"/>
        </w:rPr>
        <w:t> </w:t>
      </w:r>
      <w:r>
        <w:rPr/>
        <w:t>como</w:t>
      </w:r>
      <w:r>
        <w:rPr>
          <w:spacing w:val="-9"/>
        </w:rPr>
        <w:t> </w:t>
      </w:r>
      <w:r>
        <w:rPr/>
        <w:t>la</w:t>
      </w:r>
      <w:r>
        <w:rPr>
          <w:spacing w:val="-9"/>
        </w:rPr>
        <w:t> </w:t>
      </w:r>
      <w:r>
        <w:rPr/>
        <w:t>vivienda progresiva,</w:t>
      </w:r>
      <w:r>
        <w:rPr>
          <w:spacing w:val="-2"/>
        </w:rPr>
        <w:t> </w:t>
      </w:r>
      <w:r>
        <w:rPr/>
        <w:t>que</w:t>
      </w:r>
      <w:r>
        <w:rPr>
          <w:spacing w:val="-3"/>
        </w:rPr>
        <w:t> </w:t>
      </w:r>
      <w:r>
        <w:rPr/>
        <w:t>es</w:t>
      </w:r>
      <w:r>
        <w:rPr>
          <w:spacing w:val="-1"/>
        </w:rPr>
        <w:t> </w:t>
      </w:r>
      <w:r>
        <w:rPr/>
        <w:t>la</w:t>
      </w:r>
      <w:r>
        <w:rPr>
          <w:spacing w:val="-2"/>
        </w:rPr>
        <w:t> </w:t>
      </w:r>
      <w:r>
        <w:rPr/>
        <w:t>que</w:t>
      </w:r>
      <w:r>
        <w:rPr>
          <w:spacing w:val="-2"/>
        </w:rPr>
        <w:t> </w:t>
      </w:r>
      <w:r>
        <w:rPr/>
        <w:t>se</w:t>
      </w:r>
      <w:r>
        <w:rPr>
          <w:spacing w:val="-4"/>
        </w:rPr>
        <w:t> </w:t>
      </w:r>
      <w:r>
        <w:rPr/>
        <w:t>realiza</w:t>
      </w:r>
      <w:r>
        <w:rPr>
          <w:spacing w:val="-2"/>
        </w:rPr>
        <w:t> </w:t>
      </w:r>
      <w:r>
        <w:rPr/>
        <w:t>paulatinamente</w:t>
      </w:r>
      <w:r>
        <w:rPr>
          <w:spacing w:val="-2"/>
        </w:rPr>
        <w:t> </w:t>
      </w:r>
      <w:r>
        <w:rPr/>
        <w:t>en</w:t>
      </w:r>
      <w:r>
        <w:rPr>
          <w:spacing w:val="-4"/>
        </w:rPr>
        <w:t> </w:t>
      </w:r>
      <w:r>
        <w:rPr/>
        <w:t>función</w:t>
      </w:r>
      <w:r>
        <w:rPr>
          <w:spacing w:val="-2"/>
        </w:rPr>
        <w:t> </w:t>
      </w:r>
      <w:r>
        <w:rPr/>
        <w:t>de</w:t>
      </w:r>
      <w:r>
        <w:rPr>
          <w:spacing w:val="-3"/>
        </w:rPr>
        <w:t> </w:t>
      </w:r>
      <w:r>
        <w:rPr/>
        <w:t>las</w:t>
      </w:r>
      <w:r>
        <w:rPr>
          <w:spacing w:val="-1"/>
        </w:rPr>
        <w:t> </w:t>
      </w:r>
      <w:r>
        <w:rPr/>
        <w:t>posibilidades</w:t>
      </w:r>
      <w:r>
        <w:rPr>
          <w:spacing w:val="-3"/>
        </w:rPr>
        <w:t> </w:t>
      </w:r>
      <w:r>
        <w:rPr/>
        <w:t>económicas</w:t>
      </w:r>
      <w:r>
        <w:rPr>
          <w:spacing w:val="-3"/>
        </w:rPr>
        <w:t> </w:t>
      </w:r>
      <w:r>
        <w:rPr/>
        <w:t>del </w:t>
      </w:r>
      <w:r>
        <w:rPr>
          <w:spacing w:val="-2"/>
        </w:rPr>
        <w:t>usuario;</w:t>
      </w:r>
    </w:p>
    <w:p>
      <w:pPr>
        <w:pStyle w:val="BodyText"/>
      </w:pPr>
    </w:p>
    <w:p>
      <w:pPr>
        <w:pStyle w:val="BodyText"/>
        <w:ind w:left="262" w:right="276"/>
        <w:jc w:val="both"/>
      </w:pPr>
      <w:r>
        <w:rPr>
          <w:rFonts w:ascii="Arial" w:hAnsi="Arial"/>
          <w:b/>
        </w:rPr>
        <w:t>XCV.</w:t>
      </w:r>
      <w:r>
        <w:rPr>
          <w:rFonts w:ascii="Arial" w:hAnsi="Arial"/>
          <w:b/>
          <w:spacing w:val="80"/>
          <w:w w:val="150"/>
        </w:rPr>
        <w:t> </w:t>
      </w:r>
      <w:r>
        <w:rPr>
          <w:rFonts w:ascii="Arial" w:hAnsi="Arial"/>
          <w:b/>
        </w:rPr>
        <w:t>Zona conurbada: </w:t>
      </w:r>
      <w:r>
        <w:rPr/>
        <w:t>la suma del territorio de los municipios involucrados y determinada por convenio de los órdenes de gobierno involucrados, con objeto de reconocer el fenómeno de conurbación,</w:t>
      </w:r>
      <w:r>
        <w:rPr>
          <w:spacing w:val="-14"/>
        </w:rPr>
        <w:t> </w:t>
      </w:r>
      <w:r>
        <w:rPr/>
        <w:t>para</w:t>
      </w:r>
      <w:r>
        <w:rPr>
          <w:spacing w:val="-13"/>
        </w:rPr>
        <w:t> </w:t>
      </w:r>
      <w:r>
        <w:rPr/>
        <w:t>los</w:t>
      </w:r>
      <w:r>
        <w:rPr>
          <w:spacing w:val="-13"/>
        </w:rPr>
        <w:t> </w:t>
      </w:r>
      <w:r>
        <w:rPr/>
        <w:t>efectos</w:t>
      </w:r>
      <w:r>
        <w:rPr>
          <w:spacing w:val="-13"/>
        </w:rPr>
        <w:t> </w:t>
      </w:r>
      <w:r>
        <w:rPr/>
        <w:t>de</w:t>
      </w:r>
      <w:r>
        <w:rPr>
          <w:spacing w:val="-14"/>
        </w:rPr>
        <w:t> </w:t>
      </w:r>
      <w:r>
        <w:rPr/>
        <w:t>planear</w:t>
      </w:r>
      <w:r>
        <w:rPr>
          <w:spacing w:val="-13"/>
        </w:rPr>
        <w:t> </w:t>
      </w:r>
      <w:r>
        <w:rPr/>
        <w:t>y</w:t>
      </w:r>
      <w:r>
        <w:rPr>
          <w:spacing w:val="-12"/>
        </w:rPr>
        <w:t> </w:t>
      </w:r>
      <w:r>
        <w:rPr/>
        <w:t>regular</w:t>
      </w:r>
      <w:r>
        <w:rPr>
          <w:spacing w:val="-13"/>
        </w:rPr>
        <w:t> </w:t>
      </w:r>
      <w:r>
        <w:rPr/>
        <w:t>de</w:t>
      </w:r>
      <w:r>
        <w:rPr>
          <w:spacing w:val="-12"/>
        </w:rPr>
        <w:t> </w:t>
      </w:r>
      <w:r>
        <w:rPr/>
        <w:t>manera</w:t>
      </w:r>
      <w:r>
        <w:rPr>
          <w:spacing w:val="-14"/>
        </w:rPr>
        <w:t> </w:t>
      </w:r>
      <w:r>
        <w:rPr/>
        <w:t>conjunta</w:t>
      </w:r>
      <w:r>
        <w:rPr>
          <w:spacing w:val="-14"/>
        </w:rPr>
        <w:t> </w:t>
      </w:r>
      <w:r>
        <w:rPr/>
        <w:t>y</w:t>
      </w:r>
      <w:r>
        <w:rPr>
          <w:spacing w:val="-12"/>
        </w:rPr>
        <w:t> </w:t>
      </w:r>
      <w:r>
        <w:rPr/>
        <w:t>coordinada</w:t>
      </w:r>
      <w:r>
        <w:rPr>
          <w:spacing w:val="-14"/>
        </w:rPr>
        <w:t> </w:t>
      </w:r>
      <w:r>
        <w:rPr/>
        <w:t>el</w:t>
      </w:r>
      <w:r>
        <w:rPr>
          <w:spacing w:val="-12"/>
        </w:rPr>
        <w:t> </w:t>
      </w:r>
      <w:r>
        <w:rPr/>
        <w:t>ordenamiento territorial comprendido en sus demarcaciones territoriales;</w:t>
      </w:r>
    </w:p>
    <w:p>
      <w:pPr>
        <w:pStyle w:val="BodyText"/>
        <w:spacing w:before="230"/>
        <w:ind w:left="262" w:right="276"/>
        <w:jc w:val="both"/>
      </w:pPr>
      <w:r>
        <w:rPr>
          <w:rFonts w:ascii="Arial" w:hAnsi="Arial"/>
          <w:b/>
        </w:rPr>
        <w:t>XCVI.</w:t>
      </w:r>
      <w:r>
        <w:rPr>
          <w:rFonts w:ascii="Arial" w:hAnsi="Arial"/>
          <w:b/>
          <w:spacing w:val="80"/>
        </w:rPr>
        <w:t> </w:t>
      </w:r>
      <w:r>
        <w:rPr>
          <w:rFonts w:ascii="Arial" w:hAnsi="Arial"/>
          <w:b/>
        </w:rPr>
        <w:t>Zona metropolitana: </w:t>
      </w:r>
      <w:r>
        <w:rPr/>
        <w:t>conjunto de dos o más centros de población colindantes que por su complejidad, interacciones, relevancia social y económica, conforman una unidad territorial de influencia dominante y revisten importancia estratégica para el desarrollo estatal, interestatal o nacional, y que se determina por el Gobierno del Estado y los ayuntamientos mediante convenio, para los centros de población conurbados de dos o más municipios, que conforman una unidad territorial.</w:t>
      </w:r>
      <w:r>
        <w:rPr>
          <w:spacing w:val="-5"/>
        </w:rPr>
        <w:t> </w:t>
      </w:r>
      <w:r>
        <w:rPr/>
        <w:t>Comprenderá</w:t>
      </w:r>
      <w:r>
        <w:rPr>
          <w:spacing w:val="-5"/>
        </w:rPr>
        <w:t> </w:t>
      </w:r>
      <w:r>
        <w:rPr/>
        <w:t>sus</w:t>
      </w:r>
      <w:r>
        <w:rPr>
          <w:spacing w:val="-4"/>
        </w:rPr>
        <w:t> </w:t>
      </w:r>
      <w:r>
        <w:rPr/>
        <w:t>áreas</w:t>
      </w:r>
      <w:r>
        <w:rPr>
          <w:spacing w:val="-4"/>
        </w:rPr>
        <w:t> </w:t>
      </w:r>
      <w:r>
        <w:rPr/>
        <w:t>urbanizadas</w:t>
      </w:r>
      <w:r>
        <w:rPr>
          <w:spacing w:val="-4"/>
        </w:rPr>
        <w:t> </w:t>
      </w:r>
      <w:r>
        <w:rPr/>
        <w:t>y</w:t>
      </w:r>
      <w:r>
        <w:rPr>
          <w:spacing w:val="-4"/>
        </w:rPr>
        <w:t> </w:t>
      </w:r>
      <w:r>
        <w:rPr/>
        <w:t>urbanizables</w:t>
      </w:r>
      <w:r>
        <w:rPr>
          <w:spacing w:val="-4"/>
        </w:rPr>
        <w:t> </w:t>
      </w:r>
      <w:r>
        <w:rPr/>
        <w:t>para</w:t>
      </w:r>
      <w:r>
        <w:rPr>
          <w:spacing w:val="-3"/>
        </w:rPr>
        <w:t> </w:t>
      </w:r>
      <w:r>
        <w:rPr/>
        <w:t>los</w:t>
      </w:r>
      <w:r>
        <w:rPr>
          <w:spacing w:val="-4"/>
        </w:rPr>
        <w:t> </w:t>
      </w:r>
      <w:r>
        <w:rPr/>
        <w:t>efectos</w:t>
      </w:r>
      <w:r>
        <w:rPr>
          <w:spacing w:val="-4"/>
        </w:rPr>
        <w:t> </w:t>
      </w:r>
      <w:r>
        <w:rPr/>
        <w:t>de</w:t>
      </w:r>
      <w:r>
        <w:rPr>
          <w:spacing w:val="-5"/>
        </w:rPr>
        <w:t> </w:t>
      </w:r>
      <w:r>
        <w:rPr/>
        <w:t>planear</w:t>
      </w:r>
      <w:r>
        <w:rPr>
          <w:spacing w:val="-5"/>
        </w:rPr>
        <w:t> </w:t>
      </w:r>
      <w:r>
        <w:rPr/>
        <w:t>y</w:t>
      </w:r>
      <w:r>
        <w:rPr>
          <w:spacing w:val="-3"/>
        </w:rPr>
        <w:t> </w:t>
      </w:r>
      <w:r>
        <w:rPr/>
        <w:t>regular de manera conjunta y coordinada el desarrollo urbano de la misma;</w:t>
      </w:r>
    </w:p>
    <w:p>
      <w:pPr>
        <w:pStyle w:val="BodyText"/>
        <w:spacing w:before="1"/>
      </w:pPr>
    </w:p>
    <w:p>
      <w:pPr>
        <w:pStyle w:val="BodyText"/>
        <w:ind w:left="262" w:right="279"/>
        <w:jc w:val="both"/>
      </w:pPr>
      <w:r>
        <w:rPr>
          <w:rFonts w:ascii="Arial" w:hAnsi="Arial"/>
          <w:b/>
        </w:rPr>
        <w:t>XCVII.</w:t>
      </w:r>
      <w:r>
        <w:rPr>
          <w:rFonts w:ascii="Arial" w:hAnsi="Arial"/>
          <w:b/>
          <w:spacing w:val="40"/>
        </w:rPr>
        <w:t> </w:t>
      </w:r>
      <w:r>
        <w:rPr>
          <w:rFonts w:ascii="Arial" w:hAnsi="Arial"/>
          <w:b/>
        </w:rPr>
        <w:t>Zonificación: </w:t>
      </w:r>
      <w:r>
        <w:rPr/>
        <w:t>la división del territorio en áreas para los efectos de aplicarles acciones y políticas, o en el caso de los centros de población, determinación de las áreas que integran y delimitan un centro de población; sus aprovechamientos predominantes y las reservas, usos y destinos, así como la delimitación de las áreas de conservación, mejoramiento, consolidación y crecimiento del mismo;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1"/>
        <w:jc w:val="both"/>
      </w:pPr>
      <w:r>
        <w:rPr>
          <w:rFonts w:ascii="Arial" w:hAnsi="Arial"/>
          <w:b/>
        </w:rPr>
        <w:t>XCVIII.</w:t>
      </w:r>
      <w:r>
        <w:rPr>
          <w:rFonts w:ascii="Arial" w:hAnsi="Arial"/>
          <w:b/>
          <w:spacing w:val="80"/>
          <w:w w:val="150"/>
        </w:rPr>
        <w:t> </w:t>
      </w:r>
      <w:r>
        <w:rPr>
          <w:rFonts w:ascii="Arial" w:hAnsi="Arial"/>
          <w:b/>
        </w:rPr>
        <w:t>Zonificación</w:t>
      </w:r>
      <w:r>
        <w:rPr>
          <w:rFonts w:ascii="Arial" w:hAnsi="Arial"/>
          <w:b/>
          <w:spacing w:val="-13"/>
        </w:rPr>
        <w:t> </w:t>
      </w:r>
      <w:r>
        <w:rPr>
          <w:rFonts w:ascii="Arial" w:hAnsi="Arial"/>
          <w:b/>
        </w:rPr>
        <w:t>General</w:t>
      </w:r>
      <w:r>
        <w:rPr>
          <w:rFonts w:ascii="Arial" w:hAnsi="Arial"/>
          <w:b/>
          <w:spacing w:val="-12"/>
        </w:rPr>
        <w:t> </w:t>
      </w:r>
      <w:r>
        <w:rPr>
          <w:rFonts w:ascii="Arial" w:hAnsi="Arial"/>
          <w:b/>
        </w:rPr>
        <w:t>del</w:t>
      </w:r>
      <w:r>
        <w:rPr>
          <w:rFonts w:ascii="Arial" w:hAnsi="Arial"/>
          <w:b/>
          <w:spacing w:val="-12"/>
        </w:rPr>
        <w:t> </w:t>
      </w:r>
      <w:r>
        <w:rPr>
          <w:rFonts w:ascii="Arial" w:hAnsi="Arial"/>
          <w:b/>
        </w:rPr>
        <w:t>Territorio:</w:t>
      </w:r>
      <w:r>
        <w:rPr>
          <w:rFonts w:ascii="Arial" w:hAnsi="Arial"/>
          <w:b/>
          <w:spacing w:val="-8"/>
        </w:rPr>
        <w:t> </w:t>
      </w:r>
      <w:r>
        <w:rPr/>
        <w:t>es</w:t>
      </w:r>
      <w:r>
        <w:rPr>
          <w:spacing w:val="-13"/>
        </w:rPr>
        <w:t> </w:t>
      </w:r>
      <w:r>
        <w:rPr/>
        <w:t>la</w:t>
      </w:r>
      <w:r>
        <w:rPr>
          <w:spacing w:val="-12"/>
        </w:rPr>
        <w:t> </w:t>
      </w:r>
      <w:r>
        <w:rPr/>
        <w:t>división</w:t>
      </w:r>
      <w:r>
        <w:rPr>
          <w:spacing w:val="-14"/>
        </w:rPr>
        <w:t> </w:t>
      </w:r>
      <w:r>
        <w:rPr/>
        <w:t>del</w:t>
      </w:r>
      <w:r>
        <w:rPr>
          <w:spacing w:val="-12"/>
        </w:rPr>
        <w:t> </w:t>
      </w:r>
      <w:r>
        <w:rPr/>
        <w:t>territorio</w:t>
      </w:r>
      <w:r>
        <w:rPr>
          <w:spacing w:val="-14"/>
        </w:rPr>
        <w:t> </w:t>
      </w:r>
      <w:r>
        <w:rPr/>
        <w:t>de</w:t>
      </w:r>
      <w:r>
        <w:rPr>
          <w:spacing w:val="-14"/>
        </w:rPr>
        <w:t> </w:t>
      </w:r>
      <w:r>
        <w:rPr/>
        <w:t>estudio</w:t>
      </w:r>
      <w:r>
        <w:rPr>
          <w:spacing w:val="-14"/>
        </w:rPr>
        <w:t> </w:t>
      </w:r>
      <w:r>
        <w:rPr/>
        <w:t>de</w:t>
      </w:r>
      <w:r>
        <w:rPr>
          <w:spacing w:val="-12"/>
        </w:rPr>
        <w:t> </w:t>
      </w:r>
      <w:r>
        <w:rPr/>
        <w:t>un</w:t>
      </w:r>
      <w:r>
        <w:rPr>
          <w:spacing w:val="-12"/>
        </w:rPr>
        <w:t> </w:t>
      </w:r>
      <w:r>
        <w:rPr/>
        <w:t>programa de ordenamiento territorial y desarrollo urbano para la aplicación de las acciones de conservación, protección, restauración y aprovechamiento;</w:t>
      </w:r>
    </w:p>
    <w:p>
      <w:pPr>
        <w:pStyle w:val="BodyText"/>
        <w:spacing w:before="1"/>
      </w:pPr>
    </w:p>
    <w:p>
      <w:pPr>
        <w:pStyle w:val="BodyText"/>
        <w:spacing w:before="1"/>
        <w:ind w:left="262" w:right="284"/>
        <w:jc w:val="both"/>
      </w:pPr>
      <w:r>
        <w:rPr>
          <w:rFonts w:ascii="Arial" w:hAnsi="Arial"/>
          <w:b/>
        </w:rPr>
        <w:t>XCIX.</w:t>
      </w:r>
      <w:r>
        <w:rPr>
          <w:rFonts w:ascii="Arial" w:hAnsi="Arial"/>
          <w:b/>
          <w:spacing w:val="80"/>
        </w:rPr>
        <w:t>  </w:t>
      </w:r>
      <w:r>
        <w:rPr>
          <w:rFonts w:ascii="Arial" w:hAnsi="Arial"/>
          <w:b/>
        </w:rPr>
        <w:t>Zonificación primaria: </w:t>
      </w:r>
      <w:r>
        <w:rPr/>
        <w:t>distingue las áreas urbanizadas, urbanizables y no urbanizables del territorio de aplicación de un programa de desarrollo urbano, y</w:t>
      </w:r>
    </w:p>
    <w:p>
      <w:pPr>
        <w:pStyle w:val="BodyText"/>
        <w:spacing w:before="228"/>
        <w:ind w:left="262" w:right="285"/>
        <w:jc w:val="both"/>
      </w:pPr>
      <w:r>
        <w:rPr>
          <w:rFonts w:ascii="Arial" w:hAnsi="Arial"/>
          <w:b/>
        </w:rPr>
        <w:t>C.</w:t>
      </w:r>
      <w:r>
        <w:rPr>
          <w:rFonts w:ascii="Arial" w:hAnsi="Arial"/>
          <w:b/>
          <w:spacing w:val="21"/>
        </w:rPr>
        <w:t> </w:t>
      </w:r>
      <w:r>
        <w:rPr>
          <w:rFonts w:ascii="Arial" w:hAnsi="Arial"/>
          <w:b/>
        </w:rPr>
        <w:t>Zonificación</w:t>
      </w:r>
      <w:r>
        <w:rPr>
          <w:rFonts w:ascii="Arial" w:hAnsi="Arial"/>
          <w:b/>
          <w:spacing w:val="-4"/>
        </w:rPr>
        <w:t> </w:t>
      </w:r>
      <w:r>
        <w:rPr>
          <w:rFonts w:ascii="Arial" w:hAnsi="Arial"/>
          <w:b/>
        </w:rPr>
        <w:t>secundaria:</w:t>
      </w:r>
      <w:r>
        <w:rPr>
          <w:rFonts w:ascii="Arial" w:hAnsi="Arial"/>
          <w:b/>
          <w:spacing w:val="-2"/>
        </w:rPr>
        <w:t> </w:t>
      </w:r>
      <w:r>
        <w:rPr/>
        <w:t>determinación</w:t>
      </w:r>
      <w:r>
        <w:rPr>
          <w:spacing w:val="-6"/>
        </w:rPr>
        <w:t> </w:t>
      </w:r>
      <w:r>
        <w:rPr/>
        <w:t>de</w:t>
      </w:r>
      <w:r>
        <w:rPr>
          <w:spacing w:val="-8"/>
        </w:rPr>
        <w:t> </w:t>
      </w:r>
      <w:r>
        <w:rPr/>
        <w:t>las</w:t>
      </w:r>
      <w:r>
        <w:rPr>
          <w:spacing w:val="-7"/>
        </w:rPr>
        <w:t> </w:t>
      </w:r>
      <w:r>
        <w:rPr/>
        <w:t>zonas</w:t>
      </w:r>
      <w:r>
        <w:rPr>
          <w:spacing w:val="-7"/>
        </w:rPr>
        <w:t> </w:t>
      </w:r>
      <w:r>
        <w:rPr/>
        <w:t>para</w:t>
      </w:r>
      <w:r>
        <w:rPr>
          <w:spacing w:val="-6"/>
        </w:rPr>
        <w:t> </w:t>
      </w:r>
      <w:r>
        <w:rPr/>
        <w:t>la</w:t>
      </w:r>
      <w:r>
        <w:rPr>
          <w:spacing w:val="-6"/>
        </w:rPr>
        <w:t> </w:t>
      </w:r>
      <w:r>
        <w:rPr/>
        <w:t>asignación</w:t>
      </w:r>
      <w:r>
        <w:rPr>
          <w:spacing w:val="-6"/>
        </w:rPr>
        <w:t> </w:t>
      </w:r>
      <w:r>
        <w:rPr/>
        <w:t>de</w:t>
      </w:r>
      <w:r>
        <w:rPr>
          <w:spacing w:val="-6"/>
        </w:rPr>
        <w:t> </w:t>
      </w:r>
      <w:r>
        <w:rPr/>
        <w:t>usos</w:t>
      </w:r>
      <w:r>
        <w:rPr>
          <w:spacing w:val="-4"/>
        </w:rPr>
        <w:t> </w:t>
      </w:r>
      <w:r>
        <w:rPr/>
        <w:t>y</w:t>
      </w:r>
      <w:r>
        <w:rPr>
          <w:spacing w:val="-6"/>
        </w:rPr>
        <w:t> </w:t>
      </w:r>
      <w:r>
        <w:rPr/>
        <w:t>destinos</w:t>
      </w:r>
      <w:r>
        <w:rPr>
          <w:spacing w:val="-6"/>
        </w:rPr>
        <w:t> </w:t>
      </w:r>
      <w:r>
        <w:rPr/>
        <w:t>del suelo, estableciendo sus normas técnicas relativas a la compatibilidad, densidad, intensidad y </w:t>
      </w:r>
      <w:r>
        <w:rPr>
          <w:spacing w:val="-2"/>
        </w:rPr>
        <w:t>construcción.</w:t>
      </w:r>
    </w:p>
    <w:p>
      <w:pPr>
        <w:pStyle w:val="BodyText"/>
      </w:pPr>
    </w:p>
    <w:p>
      <w:pPr>
        <w:pStyle w:val="BodyText"/>
        <w:spacing w:before="1"/>
      </w:pPr>
    </w:p>
    <w:p>
      <w:pPr>
        <w:pStyle w:val="Heading2"/>
        <w:spacing w:line="480" w:lineRule="auto"/>
        <w:ind w:left="4160" w:right="4178"/>
      </w:pPr>
      <w:r>
        <w:rPr/>
        <w:t>Capítulo</w:t>
      </w:r>
      <w:r>
        <w:rPr>
          <w:spacing w:val="-14"/>
        </w:rPr>
        <w:t> </w:t>
      </w:r>
      <w:r>
        <w:rPr/>
        <w:t>III </w:t>
      </w:r>
      <w:r>
        <w:rPr>
          <w:spacing w:val="-2"/>
        </w:rPr>
        <w:t>Principios</w:t>
      </w:r>
    </w:p>
    <w:p>
      <w:pPr>
        <w:pStyle w:val="BodyText"/>
        <w:spacing w:before="1"/>
        <w:ind w:left="262" w:right="286"/>
        <w:jc w:val="both"/>
      </w:pPr>
      <w:r>
        <w:rPr>
          <w:rFonts w:ascii="Arial" w:hAnsi="Arial"/>
          <w:b/>
        </w:rPr>
        <w:t>ARTÍCULO 5°. </w:t>
      </w:r>
      <w:r>
        <w:rPr/>
        <w:t>Son principios rectores de las políticas públicas relacionadas con el ordenamiento territorial, el desarrollo urbano y su planeación:</w:t>
      </w:r>
    </w:p>
    <w:p>
      <w:pPr>
        <w:pStyle w:val="ListParagraph"/>
        <w:numPr>
          <w:ilvl w:val="0"/>
          <w:numId w:val="4"/>
        </w:numPr>
        <w:tabs>
          <w:tab w:pos="434" w:val="left" w:leader="none"/>
        </w:tabs>
        <w:spacing w:line="240" w:lineRule="auto" w:before="229" w:after="0"/>
        <w:ind w:left="262" w:right="278" w:firstLine="0"/>
        <w:jc w:val="both"/>
        <w:rPr>
          <w:sz w:val="20"/>
        </w:rPr>
      </w:pPr>
      <w:r>
        <w:rPr>
          <w:rFonts w:ascii="Arial" w:hAnsi="Arial"/>
          <w:b/>
          <w:sz w:val="20"/>
        </w:rPr>
        <w:t>Accesibilidad y movilidad urbana: </w:t>
      </w:r>
      <w:r>
        <w:rPr>
          <w:sz w:val="20"/>
        </w:rPr>
        <w:t>promover una adecuada accesibilidad universal que genere cercanía y favorezca la relación entre diferentes actividades urbanas, a través de medidas como la flexibilidad de usos del suelo compatibles y densidades sustentables, una red vial operativa y funcional, la distribución jerarquizada de los equipamientos, una efectiva movilidad urbana que privilegie</w:t>
      </w:r>
      <w:r>
        <w:rPr>
          <w:spacing w:val="-12"/>
          <w:sz w:val="20"/>
        </w:rPr>
        <w:t> </w:t>
      </w:r>
      <w:r>
        <w:rPr>
          <w:sz w:val="20"/>
        </w:rPr>
        <w:t>las</w:t>
      </w:r>
      <w:r>
        <w:rPr>
          <w:spacing w:val="-11"/>
          <w:sz w:val="20"/>
        </w:rPr>
        <w:t> </w:t>
      </w:r>
      <w:r>
        <w:rPr>
          <w:sz w:val="20"/>
        </w:rPr>
        <w:t>calles</w:t>
      </w:r>
      <w:r>
        <w:rPr>
          <w:spacing w:val="-11"/>
          <w:sz w:val="20"/>
        </w:rPr>
        <w:t> </w:t>
      </w:r>
      <w:r>
        <w:rPr>
          <w:sz w:val="20"/>
        </w:rPr>
        <w:t>completas,</w:t>
      </w:r>
      <w:r>
        <w:rPr>
          <w:spacing w:val="-12"/>
          <w:sz w:val="20"/>
        </w:rPr>
        <w:t> </w:t>
      </w:r>
      <w:r>
        <w:rPr>
          <w:sz w:val="20"/>
        </w:rPr>
        <w:t>el</w:t>
      </w:r>
      <w:r>
        <w:rPr>
          <w:spacing w:val="-13"/>
          <w:sz w:val="20"/>
        </w:rPr>
        <w:t> </w:t>
      </w:r>
      <w:r>
        <w:rPr>
          <w:sz w:val="20"/>
        </w:rPr>
        <w:t>transporte</w:t>
      </w:r>
      <w:r>
        <w:rPr>
          <w:spacing w:val="-12"/>
          <w:sz w:val="20"/>
        </w:rPr>
        <w:t> </w:t>
      </w:r>
      <w:r>
        <w:rPr>
          <w:sz w:val="20"/>
        </w:rPr>
        <w:t>público,</w:t>
      </w:r>
      <w:r>
        <w:rPr>
          <w:spacing w:val="-13"/>
          <w:sz w:val="20"/>
        </w:rPr>
        <w:t> </w:t>
      </w:r>
      <w:r>
        <w:rPr>
          <w:sz w:val="20"/>
        </w:rPr>
        <w:t>peatonal</w:t>
      </w:r>
      <w:r>
        <w:rPr>
          <w:spacing w:val="-13"/>
          <w:sz w:val="20"/>
        </w:rPr>
        <w:t> </w:t>
      </w:r>
      <w:r>
        <w:rPr>
          <w:sz w:val="20"/>
        </w:rPr>
        <w:t>y</w:t>
      </w:r>
      <w:r>
        <w:rPr>
          <w:spacing w:val="-11"/>
          <w:sz w:val="20"/>
        </w:rPr>
        <w:t> </w:t>
      </w:r>
      <w:r>
        <w:rPr>
          <w:sz w:val="20"/>
        </w:rPr>
        <w:t>no</w:t>
      </w:r>
      <w:r>
        <w:rPr>
          <w:spacing w:val="-13"/>
          <w:sz w:val="20"/>
        </w:rPr>
        <w:t> </w:t>
      </w:r>
      <w:r>
        <w:rPr>
          <w:sz w:val="20"/>
        </w:rPr>
        <w:t>motorizado,</w:t>
      </w:r>
      <w:r>
        <w:rPr>
          <w:spacing w:val="-12"/>
          <w:sz w:val="20"/>
        </w:rPr>
        <w:t> </w:t>
      </w:r>
      <w:r>
        <w:rPr>
          <w:sz w:val="20"/>
        </w:rPr>
        <w:t>generando</w:t>
      </w:r>
      <w:r>
        <w:rPr>
          <w:spacing w:val="-12"/>
          <w:sz w:val="20"/>
        </w:rPr>
        <w:t> </w:t>
      </w:r>
      <w:r>
        <w:rPr>
          <w:sz w:val="20"/>
        </w:rPr>
        <w:t>incentivos a</w:t>
      </w:r>
      <w:r>
        <w:rPr>
          <w:spacing w:val="-11"/>
          <w:sz w:val="20"/>
        </w:rPr>
        <w:t> </w:t>
      </w:r>
      <w:r>
        <w:rPr>
          <w:sz w:val="20"/>
        </w:rPr>
        <w:t>quienes</w:t>
      </w:r>
      <w:r>
        <w:rPr>
          <w:spacing w:val="-10"/>
          <w:sz w:val="20"/>
        </w:rPr>
        <w:t> </w:t>
      </w:r>
      <w:r>
        <w:rPr>
          <w:sz w:val="20"/>
        </w:rPr>
        <w:t>generen</w:t>
      </w:r>
      <w:r>
        <w:rPr>
          <w:spacing w:val="-11"/>
          <w:sz w:val="20"/>
        </w:rPr>
        <w:t> </w:t>
      </w:r>
      <w:r>
        <w:rPr>
          <w:sz w:val="20"/>
        </w:rPr>
        <w:t>cercanía</w:t>
      </w:r>
      <w:r>
        <w:rPr>
          <w:spacing w:val="-11"/>
          <w:sz w:val="20"/>
        </w:rPr>
        <w:t> </w:t>
      </w:r>
      <w:r>
        <w:rPr>
          <w:sz w:val="20"/>
        </w:rPr>
        <w:t>entre</w:t>
      </w:r>
      <w:r>
        <w:rPr>
          <w:spacing w:val="-10"/>
          <w:sz w:val="20"/>
        </w:rPr>
        <w:t> </w:t>
      </w:r>
      <w:r>
        <w:rPr>
          <w:sz w:val="20"/>
        </w:rPr>
        <w:t>las</w:t>
      </w:r>
      <w:r>
        <w:rPr>
          <w:spacing w:val="-10"/>
          <w:sz w:val="20"/>
        </w:rPr>
        <w:t> </w:t>
      </w:r>
      <w:r>
        <w:rPr>
          <w:sz w:val="20"/>
        </w:rPr>
        <w:t>viviendas</w:t>
      </w:r>
      <w:r>
        <w:rPr>
          <w:spacing w:val="-10"/>
          <w:sz w:val="20"/>
        </w:rPr>
        <w:t> </w:t>
      </w:r>
      <w:r>
        <w:rPr>
          <w:sz w:val="20"/>
        </w:rPr>
        <w:t>y</w:t>
      </w:r>
      <w:r>
        <w:rPr>
          <w:spacing w:val="-10"/>
          <w:sz w:val="20"/>
        </w:rPr>
        <w:t> </w:t>
      </w:r>
      <w:r>
        <w:rPr>
          <w:sz w:val="20"/>
        </w:rPr>
        <w:t>fuentes</w:t>
      </w:r>
      <w:r>
        <w:rPr>
          <w:spacing w:val="-10"/>
          <w:sz w:val="20"/>
        </w:rPr>
        <w:t> </w:t>
      </w:r>
      <w:r>
        <w:rPr>
          <w:sz w:val="20"/>
        </w:rPr>
        <w:t>de</w:t>
      </w:r>
      <w:r>
        <w:rPr>
          <w:spacing w:val="-12"/>
          <w:sz w:val="20"/>
        </w:rPr>
        <w:t> </w:t>
      </w:r>
      <w:r>
        <w:rPr>
          <w:sz w:val="20"/>
        </w:rPr>
        <w:t>empleo.</w:t>
      </w:r>
      <w:r>
        <w:rPr>
          <w:spacing w:val="-11"/>
          <w:sz w:val="20"/>
        </w:rPr>
        <w:t> </w:t>
      </w:r>
      <w:r>
        <w:rPr>
          <w:sz w:val="20"/>
        </w:rPr>
        <w:t>Consiste</w:t>
      </w:r>
      <w:r>
        <w:rPr>
          <w:spacing w:val="-12"/>
          <w:sz w:val="20"/>
        </w:rPr>
        <w:t> </w:t>
      </w:r>
      <w:r>
        <w:rPr>
          <w:sz w:val="20"/>
        </w:rPr>
        <w:t>además</w:t>
      </w:r>
      <w:r>
        <w:rPr>
          <w:spacing w:val="-10"/>
          <w:sz w:val="20"/>
        </w:rPr>
        <w:t> </w:t>
      </w:r>
      <w:r>
        <w:rPr>
          <w:sz w:val="20"/>
        </w:rPr>
        <w:t>en</w:t>
      </w:r>
      <w:r>
        <w:rPr>
          <w:spacing w:val="-12"/>
          <w:sz w:val="20"/>
        </w:rPr>
        <w:t> </w:t>
      </w:r>
      <w:r>
        <w:rPr>
          <w:sz w:val="20"/>
        </w:rPr>
        <w:t>garantizar la accesibilidad a todas las personas sin importar su edad, género, discapacidad, condición social, creencias,</w:t>
      </w:r>
      <w:r>
        <w:rPr>
          <w:spacing w:val="-14"/>
          <w:sz w:val="20"/>
        </w:rPr>
        <w:t> </w:t>
      </w:r>
      <w:r>
        <w:rPr>
          <w:sz w:val="20"/>
        </w:rPr>
        <w:t>opiniones</w:t>
      </w:r>
      <w:r>
        <w:rPr>
          <w:spacing w:val="-14"/>
          <w:sz w:val="20"/>
        </w:rPr>
        <w:t> </w:t>
      </w:r>
      <w:r>
        <w:rPr>
          <w:sz w:val="20"/>
        </w:rPr>
        <w:t>y</w:t>
      </w:r>
      <w:r>
        <w:rPr>
          <w:spacing w:val="-14"/>
          <w:sz w:val="20"/>
        </w:rPr>
        <w:t> </w:t>
      </w:r>
      <w:r>
        <w:rPr>
          <w:sz w:val="20"/>
        </w:rPr>
        <w:t>cualquier</w:t>
      </w:r>
      <w:r>
        <w:rPr>
          <w:spacing w:val="-14"/>
          <w:sz w:val="20"/>
        </w:rPr>
        <w:t> </w:t>
      </w:r>
      <w:r>
        <w:rPr>
          <w:sz w:val="20"/>
        </w:rPr>
        <w:t>otra</w:t>
      </w:r>
      <w:r>
        <w:rPr>
          <w:spacing w:val="-14"/>
          <w:sz w:val="20"/>
        </w:rPr>
        <w:t> </w:t>
      </w:r>
      <w:r>
        <w:rPr>
          <w:sz w:val="20"/>
        </w:rPr>
        <w:t>que</w:t>
      </w:r>
      <w:r>
        <w:rPr>
          <w:spacing w:val="-14"/>
          <w:sz w:val="20"/>
        </w:rPr>
        <w:t> </w:t>
      </w:r>
      <w:r>
        <w:rPr>
          <w:sz w:val="20"/>
        </w:rPr>
        <w:t>de</w:t>
      </w:r>
      <w:r>
        <w:rPr>
          <w:spacing w:val="-14"/>
          <w:sz w:val="20"/>
        </w:rPr>
        <w:t> </w:t>
      </w:r>
      <w:r>
        <w:rPr>
          <w:sz w:val="20"/>
        </w:rPr>
        <w:t>no</w:t>
      </w:r>
      <w:r>
        <w:rPr>
          <w:spacing w:val="-14"/>
          <w:sz w:val="20"/>
        </w:rPr>
        <w:t> </w:t>
      </w:r>
      <w:r>
        <w:rPr>
          <w:sz w:val="20"/>
        </w:rPr>
        <w:t>tomarse</w:t>
      </w:r>
      <w:r>
        <w:rPr>
          <w:spacing w:val="-14"/>
          <w:sz w:val="20"/>
        </w:rPr>
        <w:t> </w:t>
      </w:r>
      <w:r>
        <w:rPr>
          <w:sz w:val="20"/>
        </w:rPr>
        <w:t>en</w:t>
      </w:r>
      <w:r>
        <w:rPr>
          <w:spacing w:val="-13"/>
          <w:sz w:val="20"/>
        </w:rPr>
        <w:t> </w:t>
      </w:r>
      <w:r>
        <w:rPr>
          <w:sz w:val="20"/>
        </w:rPr>
        <w:t>cuenta</w:t>
      </w:r>
      <w:r>
        <w:rPr>
          <w:spacing w:val="-14"/>
          <w:sz w:val="20"/>
        </w:rPr>
        <w:t> </w:t>
      </w:r>
      <w:r>
        <w:rPr>
          <w:sz w:val="20"/>
        </w:rPr>
        <w:t>atente</w:t>
      </w:r>
      <w:r>
        <w:rPr>
          <w:spacing w:val="-14"/>
          <w:sz w:val="20"/>
        </w:rPr>
        <w:t> </w:t>
      </w:r>
      <w:r>
        <w:rPr>
          <w:sz w:val="20"/>
        </w:rPr>
        <w:t>contra</w:t>
      </w:r>
      <w:r>
        <w:rPr>
          <w:spacing w:val="-14"/>
          <w:sz w:val="20"/>
        </w:rPr>
        <w:t> </w:t>
      </w:r>
      <w:r>
        <w:rPr>
          <w:sz w:val="20"/>
        </w:rPr>
        <w:t>la</w:t>
      </w:r>
      <w:r>
        <w:rPr>
          <w:spacing w:val="-10"/>
          <w:sz w:val="20"/>
        </w:rPr>
        <w:t> </w:t>
      </w:r>
      <w:r>
        <w:rPr>
          <w:sz w:val="20"/>
        </w:rPr>
        <w:t>dignidad</w:t>
      </w:r>
      <w:r>
        <w:rPr>
          <w:spacing w:val="-13"/>
          <w:sz w:val="20"/>
        </w:rPr>
        <w:t> </w:t>
      </w:r>
      <w:r>
        <w:rPr>
          <w:sz w:val="20"/>
        </w:rPr>
        <w:t>humana;</w:t>
      </w:r>
    </w:p>
    <w:p>
      <w:pPr>
        <w:pStyle w:val="ListParagraph"/>
        <w:numPr>
          <w:ilvl w:val="0"/>
          <w:numId w:val="4"/>
        </w:numPr>
        <w:tabs>
          <w:tab w:pos="480" w:val="left" w:leader="none"/>
        </w:tabs>
        <w:spacing w:line="240" w:lineRule="auto" w:before="230" w:after="0"/>
        <w:ind w:left="262" w:right="278" w:firstLine="0"/>
        <w:jc w:val="both"/>
        <w:rPr>
          <w:sz w:val="20"/>
        </w:rPr>
      </w:pPr>
      <w:r>
        <w:rPr>
          <w:rFonts w:ascii="Arial" w:hAnsi="Arial"/>
          <w:b/>
          <w:sz w:val="20"/>
        </w:rPr>
        <w:t>Coherencia</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racionalidad:</w:t>
      </w:r>
      <w:r>
        <w:rPr>
          <w:rFonts w:ascii="Arial" w:hAnsi="Arial"/>
          <w:b/>
          <w:spacing w:val="-1"/>
          <w:sz w:val="20"/>
        </w:rPr>
        <w:t> </w:t>
      </w:r>
      <w:r>
        <w:rPr>
          <w:sz w:val="20"/>
        </w:rPr>
        <w:t>adoptar</w:t>
      </w:r>
      <w:r>
        <w:rPr>
          <w:spacing w:val="-5"/>
          <w:sz w:val="20"/>
        </w:rPr>
        <w:t> </w:t>
      </w:r>
      <w:r>
        <w:rPr>
          <w:sz w:val="20"/>
        </w:rPr>
        <w:t>perspectivas</w:t>
      </w:r>
      <w:r>
        <w:rPr>
          <w:spacing w:val="-4"/>
          <w:sz w:val="20"/>
        </w:rPr>
        <w:t> </w:t>
      </w:r>
      <w:r>
        <w:rPr>
          <w:sz w:val="20"/>
        </w:rPr>
        <w:t>que</w:t>
      </w:r>
      <w:r>
        <w:rPr>
          <w:spacing w:val="-5"/>
          <w:sz w:val="20"/>
        </w:rPr>
        <w:t> </w:t>
      </w:r>
      <w:r>
        <w:rPr>
          <w:sz w:val="20"/>
        </w:rPr>
        <w:t>promuevan</w:t>
      </w:r>
      <w:r>
        <w:rPr>
          <w:spacing w:val="-6"/>
          <w:sz w:val="20"/>
        </w:rPr>
        <w:t> </w:t>
      </w:r>
      <w:r>
        <w:rPr>
          <w:sz w:val="20"/>
        </w:rPr>
        <w:t>el</w:t>
      </w:r>
      <w:r>
        <w:rPr>
          <w:spacing w:val="-6"/>
          <w:sz w:val="20"/>
        </w:rPr>
        <w:t> </w:t>
      </w:r>
      <w:r>
        <w:rPr>
          <w:sz w:val="20"/>
        </w:rPr>
        <w:t>ordenamiento</w:t>
      </w:r>
      <w:r>
        <w:rPr>
          <w:spacing w:val="-5"/>
          <w:sz w:val="20"/>
        </w:rPr>
        <w:t> </w:t>
      </w:r>
      <w:r>
        <w:rPr>
          <w:sz w:val="20"/>
        </w:rPr>
        <w:t>territorial</w:t>
      </w:r>
      <w:r>
        <w:rPr>
          <w:spacing w:val="-6"/>
          <w:sz w:val="20"/>
        </w:rPr>
        <w:t> </w:t>
      </w:r>
      <w:r>
        <w:rPr>
          <w:sz w:val="20"/>
        </w:rPr>
        <w:t>y</w:t>
      </w:r>
      <w:r>
        <w:rPr>
          <w:spacing w:val="-4"/>
          <w:sz w:val="20"/>
        </w:rPr>
        <w:t> </w:t>
      </w:r>
      <w:r>
        <w:rPr>
          <w:sz w:val="20"/>
        </w:rPr>
        <w:t>el desarrollo urbano de manera equilibrada, armónica, racional y congruente, acorde a los programas y políticas nacionales y estatales; así como procurar la eficiencia y transparencia en el uso de los recursos públicos;</w:t>
      </w:r>
    </w:p>
    <w:p>
      <w:pPr>
        <w:pStyle w:val="BodyText"/>
        <w:spacing w:before="2"/>
      </w:pPr>
    </w:p>
    <w:p>
      <w:pPr>
        <w:pStyle w:val="ListParagraph"/>
        <w:numPr>
          <w:ilvl w:val="0"/>
          <w:numId w:val="4"/>
        </w:numPr>
        <w:tabs>
          <w:tab w:pos="685" w:val="left" w:leader="none"/>
        </w:tabs>
        <w:spacing w:line="240" w:lineRule="auto" w:before="0" w:after="0"/>
        <w:ind w:left="262" w:right="280" w:firstLine="0"/>
        <w:jc w:val="both"/>
        <w:rPr>
          <w:sz w:val="20"/>
        </w:rPr>
      </w:pPr>
      <w:r>
        <w:rPr>
          <w:rFonts w:ascii="Arial" w:hAnsi="Arial"/>
          <w:b/>
          <w:sz w:val="20"/>
        </w:rPr>
        <w:t>Competitividad y eficiencia de las ciudades: </w:t>
      </w:r>
      <w:r>
        <w:rPr>
          <w:sz w:val="20"/>
        </w:rPr>
        <w:t>alcanzar, sostener y mejorar una determinada posición</w:t>
      </w:r>
      <w:r>
        <w:rPr>
          <w:spacing w:val="-8"/>
          <w:sz w:val="20"/>
        </w:rPr>
        <w:t> </w:t>
      </w:r>
      <w:r>
        <w:rPr>
          <w:sz w:val="20"/>
        </w:rPr>
        <w:t>en</w:t>
      </w:r>
      <w:r>
        <w:rPr>
          <w:spacing w:val="-8"/>
          <w:sz w:val="20"/>
        </w:rPr>
        <w:t> </w:t>
      </w:r>
      <w:r>
        <w:rPr>
          <w:sz w:val="20"/>
        </w:rPr>
        <w:t>el</w:t>
      </w:r>
      <w:r>
        <w:rPr>
          <w:spacing w:val="-8"/>
          <w:sz w:val="20"/>
        </w:rPr>
        <w:t> </w:t>
      </w:r>
      <w:r>
        <w:rPr>
          <w:sz w:val="20"/>
        </w:rPr>
        <w:t>entorno</w:t>
      </w:r>
      <w:r>
        <w:rPr>
          <w:spacing w:val="-7"/>
          <w:sz w:val="20"/>
        </w:rPr>
        <w:t> </w:t>
      </w:r>
      <w:r>
        <w:rPr>
          <w:sz w:val="20"/>
        </w:rPr>
        <w:t>socioeconómico;</w:t>
      </w:r>
      <w:r>
        <w:rPr>
          <w:spacing w:val="-7"/>
          <w:sz w:val="20"/>
        </w:rPr>
        <w:t> </w:t>
      </w:r>
      <w:r>
        <w:rPr>
          <w:sz w:val="20"/>
        </w:rPr>
        <w:t>así</w:t>
      </w:r>
      <w:r>
        <w:rPr>
          <w:spacing w:val="-7"/>
          <w:sz w:val="20"/>
        </w:rPr>
        <w:t> </w:t>
      </w:r>
      <w:r>
        <w:rPr>
          <w:sz w:val="20"/>
        </w:rPr>
        <w:t>los</w:t>
      </w:r>
      <w:r>
        <w:rPr>
          <w:spacing w:val="-7"/>
          <w:sz w:val="20"/>
        </w:rPr>
        <w:t> </w:t>
      </w:r>
      <w:r>
        <w:rPr>
          <w:sz w:val="20"/>
        </w:rPr>
        <w:t>retos</w:t>
      </w:r>
      <w:r>
        <w:rPr>
          <w:spacing w:val="-6"/>
          <w:sz w:val="20"/>
        </w:rPr>
        <w:t> </w:t>
      </w:r>
      <w:r>
        <w:rPr>
          <w:sz w:val="20"/>
        </w:rPr>
        <w:t>sociales</w:t>
      </w:r>
      <w:r>
        <w:rPr>
          <w:spacing w:val="-7"/>
          <w:sz w:val="20"/>
        </w:rPr>
        <w:t> </w:t>
      </w:r>
      <w:r>
        <w:rPr>
          <w:sz w:val="20"/>
        </w:rPr>
        <w:t>están</w:t>
      </w:r>
      <w:r>
        <w:rPr>
          <w:spacing w:val="-8"/>
          <w:sz w:val="20"/>
        </w:rPr>
        <w:t> </w:t>
      </w:r>
      <w:r>
        <w:rPr>
          <w:sz w:val="20"/>
        </w:rPr>
        <w:t>en</w:t>
      </w:r>
      <w:r>
        <w:rPr>
          <w:spacing w:val="-8"/>
          <w:sz w:val="20"/>
        </w:rPr>
        <w:t> </w:t>
      </w:r>
      <w:r>
        <w:rPr>
          <w:sz w:val="20"/>
        </w:rPr>
        <w:t>una</w:t>
      </w:r>
      <w:r>
        <w:rPr>
          <w:spacing w:val="-8"/>
          <w:sz w:val="20"/>
        </w:rPr>
        <w:t> </w:t>
      </w:r>
      <w:r>
        <w:rPr>
          <w:sz w:val="20"/>
        </w:rPr>
        <w:t>mayor</w:t>
      </w:r>
      <w:r>
        <w:rPr>
          <w:spacing w:val="-7"/>
          <w:sz w:val="20"/>
        </w:rPr>
        <w:t> </w:t>
      </w:r>
      <w:r>
        <w:rPr>
          <w:sz w:val="20"/>
        </w:rPr>
        <w:t>equidad,</w:t>
      </w:r>
      <w:r>
        <w:rPr>
          <w:spacing w:val="-5"/>
          <w:sz w:val="20"/>
        </w:rPr>
        <w:t> </w:t>
      </w:r>
      <w:r>
        <w:rPr>
          <w:sz w:val="20"/>
        </w:rPr>
        <w:t>los</w:t>
      </w:r>
      <w:r>
        <w:rPr>
          <w:spacing w:val="-7"/>
          <w:sz w:val="20"/>
        </w:rPr>
        <w:t> </w:t>
      </w:r>
      <w:r>
        <w:rPr>
          <w:sz w:val="20"/>
        </w:rPr>
        <w:t>retos económicos con una mejora en la competitividad de la ciudad y la región, y los retos ambientales con la sustentabilidad integral;</w:t>
      </w:r>
    </w:p>
    <w:p>
      <w:pPr>
        <w:spacing w:before="229"/>
        <w:ind w:left="262"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ABRIL</w:t>
      </w:r>
      <w:r>
        <w:rPr>
          <w:rFonts w:ascii="Arial"/>
          <w:i/>
          <w:spacing w:val="-6"/>
          <w:sz w:val="20"/>
        </w:rPr>
        <w:t> </w:t>
      </w:r>
      <w:r>
        <w:rPr>
          <w:rFonts w:ascii="Arial"/>
          <w:i/>
          <w:sz w:val="20"/>
        </w:rPr>
        <w:t>DE</w:t>
      </w:r>
      <w:r>
        <w:rPr>
          <w:rFonts w:ascii="Arial"/>
          <w:i/>
          <w:spacing w:val="-6"/>
          <w:sz w:val="20"/>
        </w:rPr>
        <w:t> </w:t>
      </w:r>
      <w:r>
        <w:rPr>
          <w:rFonts w:ascii="Arial"/>
          <w:i/>
          <w:spacing w:val="-4"/>
          <w:sz w:val="20"/>
        </w:rPr>
        <w:t>2020)</w:t>
      </w:r>
    </w:p>
    <w:p>
      <w:pPr>
        <w:spacing w:line="229" w:lineRule="exact" w:before="1"/>
        <w:ind w:left="262" w:right="0" w:firstLine="0"/>
        <w:jc w:val="both"/>
        <w:rPr>
          <w:rFonts w:ascii="Arial"/>
          <w:b/>
          <w:i/>
          <w:sz w:val="20"/>
        </w:rPr>
      </w:pPr>
      <w:r>
        <w:rPr>
          <w:rFonts w:ascii="Arial"/>
          <w:b/>
          <w:i/>
          <w:sz w:val="20"/>
        </w:rPr>
        <w:t>(REFORMADA</w:t>
      </w:r>
      <w:r>
        <w:rPr>
          <w:rFonts w:ascii="Arial"/>
          <w:b/>
          <w:i/>
          <w:spacing w:val="-5"/>
          <w:sz w:val="20"/>
        </w:rPr>
        <w:t> </w:t>
      </w:r>
      <w:r>
        <w:rPr>
          <w:rFonts w:ascii="Arial"/>
          <w:b/>
          <w:i/>
          <w:sz w:val="20"/>
        </w:rPr>
        <w:t>P.O.</w:t>
      </w:r>
      <w:r>
        <w:rPr>
          <w:rFonts w:ascii="Arial"/>
          <w:b/>
          <w:i/>
          <w:spacing w:val="-5"/>
          <w:sz w:val="20"/>
        </w:rPr>
        <w:t> </w:t>
      </w:r>
      <w:r>
        <w:rPr>
          <w:rFonts w:ascii="Arial"/>
          <w:b/>
          <w:i/>
          <w:sz w:val="20"/>
        </w:rPr>
        <w:t>22</w:t>
      </w:r>
      <w:r>
        <w:rPr>
          <w:rFonts w:ascii="Arial"/>
          <w:b/>
          <w:i/>
          <w:spacing w:val="-9"/>
          <w:sz w:val="20"/>
        </w:rPr>
        <w:t> </w:t>
      </w:r>
      <w:r>
        <w:rPr>
          <w:rFonts w:ascii="Arial"/>
          <w:b/>
          <w:i/>
          <w:sz w:val="20"/>
        </w:rPr>
        <w:t>DE</w:t>
      </w:r>
      <w:r>
        <w:rPr>
          <w:rFonts w:ascii="Arial"/>
          <w:b/>
          <w:i/>
          <w:spacing w:val="-5"/>
          <w:sz w:val="20"/>
        </w:rPr>
        <w:t> </w:t>
      </w:r>
      <w:r>
        <w:rPr>
          <w:rFonts w:ascii="Arial"/>
          <w:b/>
          <w:i/>
          <w:sz w:val="20"/>
        </w:rPr>
        <w:t>MAYO</w:t>
      </w:r>
      <w:r>
        <w:rPr>
          <w:rFonts w:ascii="Arial"/>
          <w:b/>
          <w:i/>
          <w:spacing w:val="-5"/>
          <w:sz w:val="20"/>
        </w:rPr>
        <w:t> </w:t>
      </w:r>
      <w:r>
        <w:rPr>
          <w:rFonts w:ascii="Arial"/>
          <w:b/>
          <w:i/>
          <w:sz w:val="20"/>
        </w:rPr>
        <w:t>DE</w:t>
      </w:r>
      <w:r>
        <w:rPr>
          <w:rFonts w:ascii="Arial"/>
          <w:b/>
          <w:i/>
          <w:spacing w:val="-5"/>
          <w:sz w:val="20"/>
        </w:rPr>
        <w:t> </w:t>
      </w:r>
      <w:r>
        <w:rPr>
          <w:rFonts w:ascii="Arial"/>
          <w:b/>
          <w:i/>
          <w:spacing w:val="-4"/>
          <w:sz w:val="20"/>
        </w:rPr>
        <w:t>2026)</w:t>
      </w:r>
    </w:p>
    <w:p>
      <w:pPr>
        <w:pStyle w:val="Heading2"/>
        <w:numPr>
          <w:ilvl w:val="0"/>
          <w:numId w:val="4"/>
        </w:numPr>
        <w:tabs>
          <w:tab w:pos="688" w:val="left" w:leader="none"/>
        </w:tabs>
        <w:spacing w:line="240" w:lineRule="auto" w:before="0" w:after="0"/>
        <w:ind w:left="262" w:right="274" w:firstLine="0"/>
        <w:jc w:val="both"/>
      </w:pPr>
      <w:r>
        <w:rPr/>
        <w:t>Derecho a la ciudad: asegura que a toda persona que se le garantice el goce y disfrute de los derechos humanos en los contextos urbanos, a todos los habitantes y centros de población, entre los que se encuentran el acceso a la vivienda adecuada, infraestructura, equipamiento</w:t>
      </w:r>
      <w:r>
        <w:rPr>
          <w:spacing w:val="-9"/>
        </w:rPr>
        <w:t> </w:t>
      </w:r>
      <w:r>
        <w:rPr/>
        <w:t>y</w:t>
      </w:r>
      <w:r>
        <w:rPr>
          <w:spacing w:val="-10"/>
        </w:rPr>
        <w:t> </w:t>
      </w:r>
      <w:r>
        <w:rPr/>
        <w:t>servicios</w:t>
      </w:r>
      <w:r>
        <w:rPr>
          <w:spacing w:val="-7"/>
        </w:rPr>
        <w:t> </w:t>
      </w:r>
      <w:r>
        <w:rPr/>
        <w:t>básicos</w:t>
      </w:r>
      <w:r>
        <w:rPr>
          <w:spacing w:val="-10"/>
        </w:rPr>
        <w:t> </w:t>
      </w:r>
      <w:r>
        <w:rPr/>
        <w:t>para</w:t>
      </w:r>
      <w:r>
        <w:rPr>
          <w:spacing w:val="-10"/>
        </w:rPr>
        <w:t> </w:t>
      </w:r>
      <w:r>
        <w:rPr/>
        <w:t>su</w:t>
      </w:r>
      <w:r>
        <w:rPr>
          <w:spacing w:val="-9"/>
        </w:rPr>
        <w:t> </w:t>
      </w:r>
      <w:r>
        <w:rPr/>
        <w:t>plena</w:t>
      </w:r>
      <w:r>
        <w:rPr>
          <w:spacing w:val="-10"/>
        </w:rPr>
        <w:t> </w:t>
      </w:r>
      <w:r>
        <w:rPr/>
        <w:t>realización</w:t>
      </w:r>
      <w:r>
        <w:rPr>
          <w:spacing w:val="-9"/>
        </w:rPr>
        <w:t> </w:t>
      </w:r>
      <w:r>
        <w:rPr/>
        <w:t>política,</w:t>
      </w:r>
      <w:r>
        <w:rPr>
          <w:spacing w:val="-8"/>
        </w:rPr>
        <w:t> </w:t>
      </w:r>
      <w:r>
        <w:rPr/>
        <w:t>economía,</w:t>
      </w:r>
      <w:r>
        <w:rPr>
          <w:spacing w:val="-10"/>
        </w:rPr>
        <w:t> </w:t>
      </w:r>
      <w:r>
        <w:rPr/>
        <w:t>social</w:t>
      </w:r>
      <w:r>
        <w:rPr>
          <w:spacing w:val="-10"/>
        </w:rPr>
        <w:t> </w:t>
      </w:r>
      <w:r>
        <w:rPr/>
        <w:t>cultural y</w:t>
      </w:r>
      <w:r>
        <w:rPr>
          <w:spacing w:val="-13"/>
        </w:rPr>
        <w:t> </w:t>
      </w:r>
      <w:r>
        <w:rPr/>
        <w:t>ecológica,</w:t>
      </w:r>
      <w:r>
        <w:rPr>
          <w:spacing w:val="-11"/>
        </w:rPr>
        <w:t> </w:t>
      </w:r>
      <w:r>
        <w:rPr/>
        <w:t>así</w:t>
      </w:r>
      <w:r>
        <w:rPr>
          <w:spacing w:val="-11"/>
        </w:rPr>
        <w:t> </w:t>
      </w:r>
      <w:r>
        <w:rPr/>
        <w:t>como</w:t>
      </w:r>
      <w:r>
        <w:rPr>
          <w:spacing w:val="-12"/>
        </w:rPr>
        <w:t> </w:t>
      </w:r>
      <w:r>
        <w:rPr/>
        <w:t>participación</w:t>
      </w:r>
      <w:r>
        <w:rPr>
          <w:spacing w:val="-10"/>
        </w:rPr>
        <w:t> </w:t>
      </w:r>
      <w:r>
        <w:rPr/>
        <w:t>social</w:t>
      </w:r>
      <w:r>
        <w:rPr>
          <w:spacing w:val="-12"/>
        </w:rPr>
        <w:t> </w:t>
      </w:r>
      <w:r>
        <w:rPr/>
        <w:t>en</w:t>
      </w:r>
      <w:r>
        <w:rPr>
          <w:spacing w:val="-12"/>
        </w:rPr>
        <w:t> </w:t>
      </w:r>
      <w:r>
        <w:rPr/>
        <w:t>los</w:t>
      </w:r>
      <w:r>
        <w:rPr>
          <w:spacing w:val="-13"/>
        </w:rPr>
        <w:t> </w:t>
      </w:r>
      <w:r>
        <w:rPr/>
        <w:t>asuntos</w:t>
      </w:r>
      <w:r>
        <w:rPr>
          <w:spacing w:val="-13"/>
        </w:rPr>
        <w:t> </w:t>
      </w:r>
      <w:r>
        <w:rPr/>
        <w:t>de</w:t>
      </w:r>
      <w:r>
        <w:rPr>
          <w:spacing w:val="-13"/>
        </w:rPr>
        <w:t> </w:t>
      </w:r>
      <w:r>
        <w:rPr/>
        <w:t>la</w:t>
      </w:r>
      <w:r>
        <w:rPr>
          <w:spacing w:val="-12"/>
        </w:rPr>
        <w:t> </w:t>
      </w:r>
      <w:r>
        <w:rPr/>
        <w:t>ciudad</w:t>
      </w:r>
      <w:r>
        <w:rPr>
          <w:spacing w:val="-12"/>
        </w:rPr>
        <w:t> </w:t>
      </w:r>
      <w:r>
        <w:rPr/>
        <w:t>a</w:t>
      </w:r>
      <w:r>
        <w:rPr>
          <w:spacing w:val="-12"/>
        </w:rPr>
        <w:t> </w:t>
      </w:r>
      <w:r>
        <w:rPr/>
        <w:t>partir</w:t>
      </w:r>
      <w:r>
        <w:rPr>
          <w:spacing w:val="-12"/>
        </w:rPr>
        <w:t> </w:t>
      </w:r>
      <w:r>
        <w:rPr/>
        <w:t>de</w:t>
      </w:r>
      <w:r>
        <w:rPr>
          <w:spacing w:val="-13"/>
        </w:rPr>
        <w:t> </w:t>
      </w:r>
      <w:r>
        <w:rPr/>
        <w:t>los</w:t>
      </w:r>
      <w:r>
        <w:rPr>
          <w:spacing w:val="-12"/>
        </w:rPr>
        <w:t> </w:t>
      </w:r>
      <w:r>
        <w:rPr/>
        <w:t>derechos reconocidos por la Constitución Política de los Estados Unidos Mexicanos y los tratados internacionales suscritos por México en la materia y, así como los principios enunciados en esta Ley;</w:t>
      </w:r>
    </w:p>
    <w:p>
      <w:pPr>
        <w:pStyle w:val="Heading2"/>
        <w:spacing w:after="0" w:line="240" w:lineRule="auto"/>
        <w:jc w:val="both"/>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ListParagraph"/>
        <w:numPr>
          <w:ilvl w:val="0"/>
          <w:numId w:val="4"/>
        </w:numPr>
        <w:tabs>
          <w:tab w:pos="544" w:val="left" w:leader="none"/>
        </w:tabs>
        <w:spacing w:line="240" w:lineRule="auto" w:before="0" w:after="0"/>
        <w:ind w:left="262" w:right="282" w:firstLine="0"/>
        <w:jc w:val="both"/>
        <w:rPr>
          <w:sz w:val="20"/>
        </w:rPr>
      </w:pPr>
      <w:r>
        <w:rPr>
          <w:rFonts w:ascii="Arial" w:hAnsi="Arial"/>
          <w:b/>
          <w:sz w:val="20"/>
        </w:rPr>
        <w:t>Derecho a la propiedad urbana: </w:t>
      </w:r>
      <w:r>
        <w:rPr>
          <w:sz w:val="20"/>
        </w:rPr>
        <w:t>garantizar los derechos de propiedad inmobiliaria con la intención de que los propietarios tengan protegidos sus derechos, pero también asuman responsabilidades específicas con el Estado y con la sociedad, respetando los derechos y límites</w:t>
      </w:r>
    </w:p>
    <w:p>
      <w:pPr>
        <w:pStyle w:val="BodyText"/>
        <w:spacing w:before="1"/>
      </w:pPr>
    </w:p>
    <w:p>
      <w:pPr>
        <w:pStyle w:val="ListParagraph"/>
        <w:numPr>
          <w:ilvl w:val="0"/>
          <w:numId w:val="4"/>
        </w:numPr>
        <w:tabs>
          <w:tab w:pos="544" w:val="left" w:leader="none"/>
        </w:tabs>
        <w:spacing w:line="240" w:lineRule="auto" w:before="1" w:after="0"/>
        <w:ind w:left="544" w:right="0" w:hanging="282"/>
        <w:jc w:val="both"/>
        <w:rPr>
          <w:sz w:val="20"/>
        </w:rPr>
      </w:pPr>
      <w:r>
        <w:rPr>
          <w:sz w:val="20"/>
        </w:rPr>
        <w:t>El</w:t>
      </w:r>
      <w:r>
        <w:rPr>
          <w:spacing w:val="-7"/>
          <w:sz w:val="20"/>
        </w:rPr>
        <w:t> </w:t>
      </w:r>
      <w:r>
        <w:rPr>
          <w:sz w:val="20"/>
        </w:rPr>
        <w:t>interés</w:t>
      </w:r>
      <w:r>
        <w:rPr>
          <w:spacing w:val="-6"/>
          <w:sz w:val="20"/>
        </w:rPr>
        <w:t> </w:t>
      </w:r>
      <w:r>
        <w:rPr>
          <w:sz w:val="20"/>
        </w:rPr>
        <w:t>público</w:t>
      </w:r>
      <w:r>
        <w:rPr>
          <w:spacing w:val="-7"/>
          <w:sz w:val="20"/>
        </w:rPr>
        <w:t> </w:t>
      </w:r>
      <w:r>
        <w:rPr>
          <w:sz w:val="20"/>
        </w:rPr>
        <w:t>prevalecerá</w:t>
      </w:r>
      <w:r>
        <w:rPr>
          <w:spacing w:val="-7"/>
          <w:sz w:val="20"/>
        </w:rPr>
        <w:t> </w:t>
      </w:r>
      <w:r>
        <w:rPr>
          <w:sz w:val="20"/>
        </w:rPr>
        <w:t>en</w:t>
      </w:r>
      <w:r>
        <w:rPr>
          <w:spacing w:val="-6"/>
          <w:sz w:val="20"/>
        </w:rPr>
        <w:t> </w:t>
      </w:r>
      <w:r>
        <w:rPr>
          <w:sz w:val="20"/>
        </w:rPr>
        <w:t>la</w:t>
      </w:r>
      <w:r>
        <w:rPr>
          <w:spacing w:val="-7"/>
          <w:sz w:val="20"/>
        </w:rPr>
        <w:t> </w:t>
      </w:r>
      <w:r>
        <w:rPr>
          <w:sz w:val="20"/>
        </w:rPr>
        <w:t>ocupación</w:t>
      </w:r>
      <w:r>
        <w:rPr>
          <w:spacing w:val="-9"/>
          <w:sz w:val="20"/>
        </w:rPr>
        <w:t> </w:t>
      </w:r>
      <w:r>
        <w:rPr>
          <w:sz w:val="20"/>
        </w:rPr>
        <w:t>y</w:t>
      </w:r>
      <w:r>
        <w:rPr>
          <w:spacing w:val="-6"/>
          <w:sz w:val="20"/>
        </w:rPr>
        <w:t> </w:t>
      </w:r>
      <w:r>
        <w:rPr>
          <w:sz w:val="20"/>
        </w:rPr>
        <w:t>aprovechamiento</w:t>
      </w:r>
      <w:r>
        <w:rPr>
          <w:spacing w:val="-8"/>
          <w:sz w:val="20"/>
        </w:rPr>
        <w:t> </w:t>
      </w:r>
      <w:r>
        <w:rPr>
          <w:sz w:val="20"/>
        </w:rPr>
        <w:t>del</w:t>
      </w:r>
      <w:r>
        <w:rPr>
          <w:spacing w:val="-7"/>
          <w:sz w:val="20"/>
        </w:rPr>
        <w:t> </w:t>
      </w:r>
      <w:r>
        <w:rPr>
          <w:spacing w:val="-2"/>
          <w:sz w:val="20"/>
        </w:rPr>
        <w:t>territorio;</w:t>
      </w:r>
    </w:p>
    <w:p>
      <w:pPr>
        <w:pStyle w:val="ListParagraph"/>
        <w:numPr>
          <w:ilvl w:val="0"/>
          <w:numId w:val="4"/>
        </w:numPr>
        <w:tabs>
          <w:tab w:pos="827" w:val="left" w:leader="none"/>
        </w:tabs>
        <w:spacing w:line="240" w:lineRule="auto" w:before="228" w:after="0"/>
        <w:ind w:left="262" w:right="286" w:firstLine="0"/>
        <w:jc w:val="both"/>
        <w:rPr>
          <w:sz w:val="20"/>
        </w:rPr>
      </w:pPr>
      <w:r>
        <w:rPr>
          <w:rFonts w:ascii="Arial" w:hAnsi="Arial"/>
          <w:b/>
          <w:sz w:val="20"/>
        </w:rPr>
        <w:t>Desarrollo local: </w:t>
      </w:r>
      <w:r>
        <w:rPr>
          <w:sz w:val="20"/>
        </w:rPr>
        <w:t>promover el proceso de crecimiento económico y cambio estructural, que mediante la utilización de los recursos endógenos, conduce a la mejora sociocultural, a la sostenibilidad ecológica, a la equidad de género, y a</w:t>
      </w:r>
      <w:r>
        <w:rPr>
          <w:spacing w:val="40"/>
          <w:sz w:val="20"/>
        </w:rPr>
        <w:t> </w:t>
      </w:r>
      <w:r>
        <w:rPr>
          <w:sz w:val="20"/>
        </w:rPr>
        <w:t>la calidad y el equilibrio espacial;</w:t>
      </w:r>
    </w:p>
    <w:p>
      <w:pPr>
        <w:pStyle w:val="BodyText"/>
        <w:spacing w:before="2"/>
      </w:pPr>
    </w:p>
    <w:p>
      <w:pPr>
        <w:spacing w:line="229" w:lineRule="exact" w:before="0"/>
        <w:ind w:left="262" w:right="0" w:firstLine="0"/>
        <w:jc w:val="left"/>
        <w:rPr>
          <w:rFonts w:ascii="Arial"/>
          <w:i/>
          <w:sz w:val="20"/>
        </w:rPr>
      </w:pPr>
      <w:r>
        <w:rPr>
          <w:rFonts w:ascii="Arial"/>
          <w:i/>
          <w:sz w:val="20"/>
        </w:rPr>
        <w:t>(REFORMADA</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4"/>
          <w:sz w:val="20"/>
        </w:rPr>
        <w:t> </w:t>
      </w:r>
      <w:r>
        <w:rPr>
          <w:rFonts w:ascii="Arial"/>
          <w:i/>
          <w:sz w:val="20"/>
        </w:rPr>
        <w:t>DEL</w:t>
      </w:r>
      <w:r>
        <w:rPr>
          <w:rFonts w:ascii="Arial"/>
          <w:i/>
          <w:spacing w:val="-5"/>
          <w:sz w:val="20"/>
        </w:rPr>
        <w:t> </w:t>
      </w:r>
      <w:r>
        <w:rPr>
          <w:rFonts w:ascii="Arial"/>
          <w:i/>
          <w:sz w:val="20"/>
        </w:rPr>
        <w:t>02</w:t>
      </w:r>
      <w:r>
        <w:rPr>
          <w:rFonts w:ascii="Arial"/>
          <w:i/>
          <w:spacing w:val="-7"/>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pacing w:val="-2"/>
          <w:sz w:val="20"/>
        </w:rPr>
        <w:t>2025)</w:t>
      </w:r>
    </w:p>
    <w:p>
      <w:pPr>
        <w:spacing w:line="229" w:lineRule="exact" w:before="0"/>
        <w:ind w:left="262" w:right="0" w:firstLine="0"/>
        <w:jc w:val="left"/>
        <w:rPr>
          <w:rFonts w:ascii="Arial"/>
          <w:b/>
          <w:i/>
          <w:sz w:val="20"/>
        </w:rPr>
      </w:pPr>
      <w:r>
        <w:rPr>
          <w:rFonts w:ascii="Arial"/>
          <w:b/>
          <w:i/>
          <w:sz w:val="20"/>
        </w:rPr>
        <w:t>(REFORMADA</w:t>
      </w:r>
      <w:r>
        <w:rPr>
          <w:rFonts w:ascii="Arial"/>
          <w:b/>
          <w:i/>
          <w:spacing w:val="-3"/>
          <w:sz w:val="20"/>
        </w:rPr>
        <w:t> </w:t>
      </w:r>
      <w:r>
        <w:rPr>
          <w:rFonts w:ascii="Arial"/>
          <w:b/>
          <w:i/>
          <w:sz w:val="20"/>
        </w:rPr>
        <w:t>EN</w:t>
      </w:r>
      <w:r>
        <w:rPr>
          <w:rFonts w:ascii="Arial"/>
          <w:b/>
          <w:i/>
          <w:spacing w:val="-3"/>
          <w:sz w:val="20"/>
        </w:rPr>
        <w:t> </w:t>
      </w:r>
      <w:r>
        <w:rPr>
          <w:rFonts w:ascii="Arial"/>
          <w:b/>
          <w:i/>
          <w:sz w:val="20"/>
        </w:rPr>
        <w:t>EL</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22</w:t>
      </w:r>
      <w:r>
        <w:rPr>
          <w:rFonts w:ascii="Arial"/>
          <w:b/>
          <w:i/>
          <w:spacing w:val="-5"/>
          <w:sz w:val="20"/>
        </w:rPr>
        <w:t> </w:t>
      </w:r>
      <w:r>
        <w:rPr>
          <w:rFonts w:ascii="Arial"/>
          <w:b/>
          <w:i/>
          <w:sz w:val="20"/>
        </w:rPr>
        <w:t>DE</w:t>
      </w:r>
      <w:r>
        <w:rPr>
          <w:rFonts w:ascii="Arial"/>
          <w:b/>
          <w:i/>
          <w:spacing w:val="-6"/>
          <w:sz w:val="20"/>
        </w:rPr>
        <w:t> </w:t>
      </w:r>
      <w:r>
        <w:rPr>
          <w:rFonts w:ascii="Arial"/>
          <w:b/>
          <w:i/>
          <w:sz w:val="20"/>
        </w:rPr>
        <w:t>MAYO</w:t>
      </w:r>
      <w:r>
        <w:rPr>
          <w:rFonts w:ascii="Arial"/>
          <w:b/>
          <w:i/>
          <w:spacing w:val="-5"/>
          <w:sz w:val="20"/>
        </w:rPr>
        <w:t> </w:t>
      </w:r>
      <w:r>
        <w:rPr>
          <w:rFonts w:ascii="Arial"/>
          <w:b/>
          <w:i/>
          <w:sz w:val="20"/>
        </w:rPr>
        <w:t>DE</w:t>
      </w:r>
      <w:r>
        <w:rPr>
          <w:rFonts w:ascii="Arial"/>
          <w:b/>
          <w:i/>
          <w:spacing w:val="-5"/>
          <w:sz w:val="20"/>
        </w:rPr>
        <w:t> </w:t>
      </w:r>
      <w:r>
        <w:rPr>
          <w:rFonts w:ascii="Arial"/>
          <w:b/>
          <w:i/>
          <w:spacing w:val="-4"/>
          <w:sz w:val="20"/>
        </w:rPr>
        <w:t>2026)</w:t>
      </w:r>
    </w:p>
    <w:p>
      <w:pPr>
        <w:pStyle w:val="Heading2"/>
        <w:numPr>
          <w:ilvl w:val="0"/>
          <w:numId w:val="4"/>
        </w:numPr>
        <w:tabs>
          <w:tab w:pos="827" w:val="left" w:leader="none"/>
        </w:tabs>
        <w:spacing w:line="240" w:lineRule="auto" w:before="1" w:after="0"/>
        <w:ind w:left="262" w:right="276" w:firstLine="0"/>
        <w:jc w:val="both"/>
      </w:pPr>
      <w:r>
        <w:rPr/>
        <w:t>Equidad e inclusión: garantizar el ejercicio pleno de derechos en condiciones de igualdad,</w:t>
      </w:r>
      <w:r>
        <w:rPr>
          <w:spacing w:val="-13"/>
        </w:rPr>
        <w:t> </w:t>
      </w:r>
      <w:r>
        <w:rPr/>
        <w:t>promoviendo</w:t>
      </w:r>
      <w:r>
        <w:rPr>
          <w:spacing w:val="-10"/>
        </w:rPr>
        <w:t> </w:t>
      </w:r>
      <w:r>
        <w:rPr/>
        <w:t>la</w:t>
      </w:r>
      <w:r>
        <w:rPr>
          <w:spacing w:val="-9"/>
        </w:rPr>
        <w:t> </w:t>
      </w:r>
      <w:r>
        <w:rPr/>
        <w:t>cohesión</w:t>
      </w:r>
      <w:r>
        <w:rPr>
          <w:spacing w:val="-10"/>
        </w:rPr>
        <w:t> </w:t>
      </w:r>
      <w:r>
        <w:rPr/>
        <w:t>social</w:t>
      </w:r>
      <w:r>
        <w:rPr>
          <w:spacing w:val="-14"/>
        </w:rPr>
        <w:t> </w:t>
      </w:r>
      <w:r>
        <w:rPr/>
        <w:t>a</w:t>
      </w:r>
      <w:r>
        <w:rPr>
          <w:spacing w:val="-12"/>
        </w:rPr>
        <w:t> </w:t>
      </w:r>
      <w:r>
        <w:rPr/>
        <w:t>través</w:t>
      </w:r>
      <w:r>
        <w:rPr>
          <w:spacing w:val="-12"/>
        </w:rPr>
        <w:t> </w:t>
      </w:r>
      <w:r>
        <w:rPr/>
        <w:t>de</w:t>
      </w:r>
      <w:r>
        <w:rPr>
          <w:spacing w:val="-14"/>
        </w:rPr>
        <w:t> </w:t>
      </w:r>
      <w:r>
        <w:rPr/>
        <w:t>medidas</w:t>
      </w:r>
      <w:r>
        <w:rPr>
          <w:spacing w:val="-14"/>
        </w:rPr>
        <w:t> </w:t>
      </w:r>
      <w:r>
        <w:rPr/>
        <w:t>que</w:t>
      </w:r>
      <w:r>
        <w:rPr>
          <w:spacing w:val="-14"/>
        </w:rPr>
        <w:t> </w:t>
      </w:r>
      <w:r>
        <w:rPr/>
        <w:t>impidan</w:t>
      </w:r>
      <w:r>
        <w:rPr>
          <w:spacing w:val="-13"/>
        </w:rPr>
        <w:t> </w:t>
      </w:r>
      <w:r>
        <w:rPr/>
        <w:t>la</w:t>
      </w:r>
      <w:r>
        <w:rPr>
          <w:spacing w:val="-11"/>
        </w:rPr>
        <w:t> </w:t>
      </w:r>
      <w:r>
        <w:rPr/>
        <w:t>discriminación, segregación o marginación de individuos o grupos. Promover el respeto de los derechos de los</w:t>
      </w:r>
      <w:r>
        <w:rPr>
          <w:spacing w:val="-14"/>
        </w:rPr>
        <w:t> </w:t>
      </w:r>
      <w:r>
        <w:rPr/>
        <w:t>grupos</w:t>
      </w:r>
      <w:r>
        <w:rPr>
          <w:spacing w:val="-14"/>
        </w:rPr>
        <w:t> </w:t>
      </w:r>
      <w:r>
        <w:rPr/>
        <w:t>de</w:t>
      </w:r>
      <w:r>
        <w:rPr>
          <w:spacing w:val="-14"/>
        </w:rPr>
        <w:t> </w:t>
      </w:r>
      <w:r>
        <w:rPr/>
        <w:t>atención</w:t>
      </w:r>
      <w:r>
        <w:rPr>
          <w:spacing w:val="-14"/>
        </w:rPr>
        <w:t> </w:t>
      </w:r>
      <w:r>
        <w:rPr/>
        <w:t>prioritaria,</w:t>
      </w:r>
      <w:r>
        <w:rPr>
          <w:spacing w:val="-14"/>
        </w:rPr>
        <w:t> </w:t>
      </w:r>
      <w:r>
        <w:rPr/>
        <w:t>la</w:t>
      </w:r>
      <w:r>
        <w:rPr>
          <w:spacing w:val="-14"/>
        </w:rPr>
        <w:t> </w:t>
      </w:r>
      <w:r>
        <w:rPr/>
        <w:t>perspectiva</w:t>
      </w:r>
      <w:r>
        <w:rPr>
          <w:spacing w:val="-14"/>
        </w:rPr>
        <w:t> </w:t>
      </w:r>
      <w:r>
        <w:rPr/>
        <w:t>de</w:t>
      </w:r>
      <w:r>
        <w:rPr>
          <w:spacing w:val="-14"/>
        </w:rPr>
        <w:t> </w:t>
      </w:r>
      <w:r>
        <w:rPr/>
        <w:t>género</w:t>
      </w:r>
      <w:r>
        <w:rPr>
          <w:spacing w:val="-14"/>
        </w:rPr>
        <w:t> </w:t>
      </w:r>
      <w:r>
        <w:rPr/>
        <w:t>y</w:t>
      </w:r>
      <w:r>
        <w:rPr>
          <w:spacing w:val="-13"/>
        </w:rPr>
        <w:t> </w:t>
      </w:r>
      <w:r>
        <w:rPr/>
        <w:t>que</w:t>
      </w:r>
      <w:r>
        <w:rPr>
          <w:spacing w:val="-14"/>
        </w:rPr>
        <w:t> </w:t>
      </w:r>
      <w:r>
        <w:rPr/>
        <w:t>todos</w:t>
      </w:r>
      <w:r>
        <w:rPr>
          <w:spacing w:val="-14"/>
        </w:rPr>
        <w:t> </w:t>
      </w:r>
      <w:r>
        <w:rPr/>
        <w:t>los</w:t>
      </w:r>
      <w:r>
        <w:rPr>
          <w:spacing w:val="-14"/>
        </w:rPr>
        <w:t> </w:t>
      </w:r>
      <w:r>
        <w:rPr/>
        <w:t>habitantes</w:t>
      </w:r>
      <w:r>
        <w:rPr>
          <w:spacing w:val="-14"/>
        </w:rPr>
        <w:t> </w:t>
      </w:r>
      <w:r>
        <w:rPr/>
        <w:t>puedan decidir entre una oferta diversa de suelo, viviendas adecuadas, servicios, equipamientos, infraestructura y actividades económicas de acuerdo con sus preferencias, necesidades y </w:t>
      </w:r>
      <w:r>
        <w:rPr>
          <w:spacing w:val="-2"/>
        </w:rPr>
        <w:t>capacidades;</w:t>
      </w:r>
    </w:p>
    <w:p>
      <w:pPr>
        <w:pStyle w:val="BodyText"/>
        <w:spacing w:before="1"/>
        <w:rPr>
          <w:rFonts w:ascii="Arial"/>
          <w:b/>
        </w:rPr>
      </w:pPr>
    </w:p>
    <w:p>
      <w:pPr>
        <w:spacing w:before="0"/>
        <w:ind w:left="262" w:right="0" w:firstLine="0"/>
        <w:jc w:val="left"/>
        <w:rPr>
          <w:rFonts w:ascii="Arial"/>
          <w:b/>
          <w:i/>
          <w:sz w:val="20"/>
        </w:rPr>
      </w:pPr>
      <w:r>
        <w:rPr>
          <w:rFonts w:ascii="Arial"/>
          <w:b/>
          <w:i/>
          <w:sz w:val="20"/>
        </w:rPr>
        <w:t>(REFORMADA</w:t>
      </w:r>
      <w:r>
        <w:rPr>
          <w:rFonts w:ascii="Arial"/>
          <w:b/>
          <w:i/>
          <w:spacing w:val="-3"/>
          <w:sz w:val="20"/>
        </w:rPr>
        <w:t> </w:t>
      </w:r>
      <w:r>
        <w:rPr>
          <w:rFonts w:ascii="Arial"/>
          <w:b/>
          <w:i/>
          <w:sz w:val="20"/>
        </w:rPr>
        <w:t>EN</w:t>
      </w:r>
      <w:r>
        <w:rPr>
          <w:rFonts w:ascii="Arial"/>
          <w:b/>
          <w:i/>
          <w:spacing w:val="-3"/>
          <w:sz w:val="20"/>
        </w:rPr>
        <w:t> </w:t>
      </w:r>
      <w:r>
        <w:rPr>
          <w:rFonts w:ascii="Arial"/>
          <w:b/>
          <w:i/>
          <w:sz w:val="20"/>
        </w:rPr>
        <w:t>EL</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22</w:t>
      </w:r>
      <w:r>
        <w:rPr>
          <w:rFonts w:ascii="Arial"/>
          <w:b/>
          <w:i/>
          <w:spacing w:val="-5"/>
          <w:sz w:val="20"/>
        </w:rPr>
        <w:t> </w:t>
      </w:r>
      <w:r>
        <w:rPr>
          <w:rFonts w:ascii="Arial"/>
          <w:b/>
          <w:i/>
          <w:sz w:val="20"/>
        </w:rPr>
        <w:t>DE</w:t>
      </w:r>
      <w:r>
        <w:rPr>
          <w:rFonts w:ascii="Arial"/>
          <w:b/>
          <w:i/>
          <w:spacing w:val="-6"/>
          <w:sz w:val="20"/>
        </w:rPr>
        <w:t> </w:t>
      </w:r>
      <w:r>
        <w:rPr>
          <w:rFonts w:ascii="Arial"/>
          <w:b/>
          <w:i/>
          <w:sz w:val="20"/>
        </w:rPr>
        <w:t>MAYO</w:t>
      </w:r>
      <w:r>
        <w:rPr>
          <w:rFonts w:ascii="Arial"/>
          <w:b/>
          <w:i/>
          <w:spacing w:val="-5"/>
          <w:sz w:val="20"/>
        </w:rPr>
        <w:t> </w:t>
      </w:r>
      <w:r>
        <w:rPr>
          <w:rFonts w:ascii="Arial"/>
          <w:b/>
          <w:i/>
          <w:sz w:val="20"/>
        </w:rPr>
        <w:t>DE</w:t>
      </w:r>
      <w:r>
        <w:rPr>
          <w:rFonts w:ascii="Arial"/>
          <w:b/>
          <w:i/>
          <w:spacing w:val="-5"/>
          <w:sz w:val="20"/>
        </w:rPr>
        <w:t> </w:t>
      </w:r>
      <w:r>
        <w:rPr>
          <w:rFonts w:ascii="Arial"/>
          <w:b/>
          <w:i/>
          <w:spacing w:val="-4"/>
          <w:sz w:val="20"/>
        </w:rPr>
        <w:t>2026)</w:t>
      </w:r>
    </w:p>
    <w:p>
      <w:pPr>
        <w:pStyle w:val="Heading2"/>
        <w:numPr>
          <w:ilvl w:val="0"/>
          <w:numId w:val="4"/>
        </w:numPr>
        <w:tabs>
          <w:tab w:pos="827" w:val="left" w:leader="none"/>
        </w:tabs>
        <w:spacing w:line="240" w:lineRule="auto" w:before="0" w:after="0"/>
        <w:ind w:left="262" w:right="282" w:firstLine="0"/>
        <w:jc w:val="both"/>
      </w:pPr>
      <w:r>
        <w:rPr/>
        <w:t>Habitabilidad urbana: asegurar las condiciones de vida digna en los asentamientos humanos</w:t>
      </w:r>
      <w:r>
        <w:rPr>
          <w:spacing w:val="-7"/>
        </w:rPr>
        <w:t> </w:t>
      </w:r>
      <w:r>
        <w:rPr/>
        <w:t>y</w:t>
      </w:r>
      <w:r>
        <w:rPr>
          <w:spacing w:val="-7"/>
        </w:rPr>
        <w:t> </w:t>
      </w:r>
      <w:r>
        <w:rPr/>
        <w:t>en</w:t>
      </w:r>
      <w:r>
        <w:rPr>
          <w:spacing w:val="-6"/>
        </w:rPr>
        <w:t> </w:t>
      </w:r>
      <w:r>
        <w:rPr/>
        <w:t>la</w:t>
      </w:r>
      <w:r>
        <w:rPr>
          <w:spacing w:val="-7"/>
        </w:rPr>
        <w:t> </w:t>
      </w:r>
      <w:r>
        <w:rPr/>
        <w:t>vivienda</w:t>
      </w:r>
      <w:r>
        <w:rPr>
          <w:spacing w:val="-5"/>
        </w:rPr>
        <w:t> </w:t>
      </w:r>
      <w:r>
        <w:rPr/>
        <w:t>adecuada</w:t>
      </w:r>
      <w:r>
        <w:rPr>
          <w:spacing w:val="-7"/>
        </w:rPr>
        <w:t> </w:t>
      </w:r>
      <w:r>
        <w:rPr/>
        <w:t>para</w:t>
      </w:r>
      <w:r>
        <w:rPr>
          <w:spacing w:val="-7"/>
        </w:rPr>
        <w:t> </w:t>
      </w:r>
      <w:r>
        <w:rPr/>
        <w:t>toda</w:t>
      </w:r>
      <w:r>
        <w:rPr>
          <w:spacing w:val="-7"/>
        </w:rPr>
        <w:t> </w:t>
      </w:r>
      <w:r>
        <w:rPr/>
        <w:t>la</w:t>
      </w:r>
      <w:r>
        <w:rPr>
          <w:spacing w:val="-7"/>
        </w:rPr>
        <w:t> </w:t>
      </w:r>
      <w:r>
        <w:rPr/>
        <w:t>población,</w:t>
      </w:r>
      <w:r>
        <w:rPr>
          <w:spacing w:val="-6"/>
        </w:rPr>
        <w:t> </w:t>
      </w:r>
      <w:r>
        <w:rPr/>
        <w:t>y</w:t>
      </w:r>
      <w:r>
        <w:rPr>
          <w:spacing w:val="-7"/>
        </w:rPr>
        <w:t> </w:t>
      </w:r>
      <w:r>
        <w:rPr/>
        <w:t>propiciar</w:t>
      </w:r>
      <w:r>
        <w:rPr>
          <w:spacing w:val="-7"/>
        </w:rPr>
        <w:t> </w:t>
      </w:r>
      <w:r>
        <w:rPr/>
        <w:t>oportunidades</w:t>
      </w:r>
      <w:r>
        <w:rPr>
          <w:spacing w:val="-7"/>
        </w:rPr>
        <w:t> </w:t>
      </w:r>
      <w:r>
        <w:rPr/>
        <w:t>para</w:t>
      </w:r>
      <w:r>
        <w:rPr>
          <w:spacing w:val="-7"/>
        </w:rPr>
        <w:t> </w:t>
      </w:r>
      <w:r>
        <w:rPr/>
        <w:t>el desarrollo de sus habitantes;</w:t>
      </w:r>
    </w:p>
    <w:p>
      <w:pPr>
        <w:pStyle w:val="BodyText"/>
        <w:rPr>
          <w:rFonts w:ascii="Arial"/>
          <w:b/>
        </w:rPr>
      </w:pPr>
    </w:p>
    <w:p>
      <w:pPr>
        <w:pStyle w:val="ListParagraph"/>
        <w:numPr>
          <w:ilvl w:val="0"/>
          <w:numId w:val="4"/>
        </w:numPr>
        <w:tabs>
          <w:tab w:pos="827" w:val="left" w:leader="none"/>
        </w:tabs>
        <w:spacing w:line="240" w:lineRule="auto" w:before="0" w:after="0"/>
        <w:ind w:left="262" w:right="282" w:firstLine="0"/>
        <w:jc w:val="both"/>
        <w:rPr>
          <w:sz w:val="20"/>
        </w:rPr>
      </w:pPr>
      <w:r>
        <w:rPr>
          <w:rFonts w:ascii="Arial" w:hAnsi="Arial"/>
          <w:b/>
          <w:sz w:val="20"/>
        </w:rPr>
        <w:t>Participación democrática y transparencia: </w:t>
      </w:r>
      <w:r>
        <w:rPr>
          <w:sz w:val="20"/>
        </w:rPr>
        <w:t>proteger el derecho de todas las personas a participar en la formulación, seguimiento y evaluación de las políticas y programas que determinan el</w:t>
      </w:r>
      <w:r>
        <w:rPr>
          <w:spacing w:val="-3"/>
          <w:sz w:val="20"/>
        </w:rPr>
        <w:t> </w:t>
      </w:r>
      <w:r>
        <w:rPr>
          <w:sz w:val="20"/>
        </w:rPr>
        <w:t>desarrollo</w:t>
      </w:r>
      <w:r>
        <w:rPr>
          <w:spacing w:val="-2"/>
          <w:sz w:val="20"/>
        </w:rPr>
        <w:t> </w:t>
      </w:r>
      <w:r>
        <w:rPr>
          <w:sz w:val="20"/>
        </w:rPr>
        <w:t>de</w:t>
      </w:r>
      <w:r>
        <w:rPr>
          <w:spacing w:val="-2"/>
          <w:sz w:val="20"/>
        </w:rPr>
        <w:t> </w:t>
      </w:r>
      <w:r>
        <w:rPr>
          <w:sz w:val="20"/>
        </w:rPr>
        <w:t>las</w:t>
      </w:r>
      <w:r>
        <w:rPr>
          <w:spacing w:val="-3"/>
          <w:sz w:val="20"/>
        </w:rPr>
        <w:t> </w:t>
      </w:r>
      <w:r>
        <w:rPr>
          <w:sz w:val="20"/>
        </w:rPr>
        <w:t>ciudades</w:t>
      </w:r>
      <w:r>
        <w:rPr>
          <w:spacing w:val="-3"/>
          <w:sz w:val="20"/>
        </w:rPr>
        <w:t> </w:t>
      </w:r>
      <w:r>
        <w:rPr>
          <w:sz w:val="20"/>
        </w:rPr>
        <w:t>y</w:t>
      </w:r>
      <w:r>
        <w:rPr>
          <w:spacing w:val="-3"/>
          <w:sz w:val="20"/>
        </w:rPr>
        <w:t> </w:t>
      </w:r>
      <w:r>
        <w:rPr>
          <w:sz w:val="20"/>
        </w:rPr>
        <w:t>el</w:t>
      </w:r>
      <w:r>
        <w:rPr>
          <w:spacing w:val="-3"/>
          <w:sz w:val="20"/>
        </w:rPr>
        <w:t> </w:t>
      </w:r>
      <w:r>
        <w:rPr>
          <w:sz w:val="20"/>
        </w:rPr>
        <w:t>territorio.</w:t>
      </w:r>
      <w:r>
        <w:rPr>
          <w:spacing w:val="-2"/>
          <w:sz w:val="20"/>
        </w:rPr>
        <w:t> </w:t>
      </w:r>
      <w:r>
        <w:rPr>
          <w:sz w:val="20"/>
        </w:rPr>
        <w:t>Para</w:t>
      </w:r>
      <w:r>
        <w:rPr>
          <w:spacing w:val="-1"/>
          <w:sz w:val="20"/>
        </w:rPr>
        <w:t> </w:t>
      </w:r>
      <w:r>
        <w:rPr>
          <w:sz w:val="20"/>
        </w:rPr>
        <w:t>lograrlo</w:t>
      </w:r>
      <w:r>
        <w:rPr>
          <w:spacing w:val="-4"/>
          <w:sz w:val="20"/>
        </w:rPr>
        <w:t> </w:t>
      </w:r>
      <w:r>
        <w:rPr>
          <w:sz w:val="20"/>
        </w:rPr>
        <w:t>se</w:t>
      </w:r>
      <w:r>
        <w:rPr>
          <w:spacing w:val="-2"/>
          <w:sz w:val="20"/>
        </w:rPr>
        <w:t> </w:t>
      </w:r>
      <w:r>
        <w:rPr>
          <w:sz w:val="20"/>
        </w:rPr>
        <w:t>garantizará</w:t>
      </w:r>
      <w:r>
        <w:rPr>
          <w:spacing w:val="-1"/>
          <w:sz w:val="20"/>
        </w:rPr>
        <w:t> </w:t>
      </w:r>
      <w:r>
        <w:rPr>
          <w:sz w:val="20"/>
        </w:rPr>
        <w:t>la</w:t>
      </w:r>
      <w:r>
        <w:rPr>
          <w:spacing w:val="-4"/>
          <w:sz w:val="20"/>
        </w:rPr>
        <w:t> </w:t>
      </w:r>
      <w:r>
        <w:rPr>
          <w:sz w:val="20"/>
        </w:rPr>
        <w:t>transparencia</w:t>
      </w:r>
      <w:r>
        <w:rPr>
          <w:spacing w:val="-2"/>
          <w:sz w:val="20"/>
        </w:rPr>
        <w:t> </w:t>
      </w:r>
      <w:r>
        <w:rPr>
          <w:sz w:val="20"/>
        </w:rPr>
        <w:t>y</w:t>
      </w:r>
      <w:r>
        <w:rPr>
          <w:spacing w:val="-3"/>
          <w:sz w:val="20"/>
        </w:rPr>
        <w:t> </w:t>
      </w:r>
      <w:r>
        <w:rPr>
          <w:sz w:val="20"/>
        </w:rPr>
        <w:t>el</w:t>
      </w:r>
      <w:r>
        <w:rPr>
          <w:spacing w:val="-3"/>
          <w:sz w:val="20"/>
        </w:rPr>
        <w:t> </w:t>
      </w:r>
      <w:r>
        <w:rPr>
          <w:sz w:val="20"/>
        </w:rPr>
        <w:t>acceso a la información pública de conformidad con lo dispuesto en la presente Ley y demás legislación aplicable en la materia;</w:t>
      </w:r>
    </w:p>
    <w:p>
      <w:pPr>
        <w:pStyle w:val="BodyText"/>
      </w:pPr>
    </w:p>
    <w:p>
      <w:pPr>
        <w:pStyle w:val="ListParagraph"/>
        <w:numPr>
          <w:ilvl w:val="0"/>
          <w:numId w:val="4"/>
        </w:numPr>
        <w:tabs>
          <w:tab w:pos="827" w:val="left" w:leader="none"/>
        </w:tabs>
        <w:spacing w:line="240" w:lineRule="auto" w:before="0" w:after="0"/>
        <w:ind w:left="262" w:right="282" w:firstLine="0"/>
        <w:jc w:val="both"/>
        <w:rPr>
          <w:sz w:val="20"/>
        </w:rPr>
      </w:pPr>
      <w:r>
        <w:rPr>
          <w:rFonts w:ascii="Arial" w:hAnsi="Arial"/>
          <w:b/>
          <w:sz w:val="20"/>
        </w:rPr>
        <w:t>Preservación del patrimonio cultural y natural: </w:t>
      </w:r>
      <w:r>
        <w:rPr>
          <w:sz w:val="20"/>
        </w:rPr>
        <w:t>la conservación y protección de los sitios, áreas y monumentos con valor cultural, histórico, arqueológico, paleontológico y natural;</w:t>
      </w:r>
    </w:p>
    <w:p>
      <w:pPr>
        <w:pStyle w:val="ListParagraph"/>
        <w:numPr>
          <w:ilvl w:val="0"/>
          <w:numId w:val="4"/>
        </w:numPr>
        <w:tabs>
          <w:tab w:pos="827" w:val="left" w:leader="none"/>
        </w:tabs>
        <w:spacing w:line="240" w:lineRule="auto" w:before="229" w:after="0"/>
        <w:ind w:left="262" w:right="282" w:firstLine="0"/>
        <w:jc w:val="both"/>
        <w:rPr>
          <w:sz w:val="20"/>
        </w:rPr>
      </w:pPr>
      <w:r>
        <w:rPr>
          <w:rFonts w:ascii="Arial" w:hAnsi="Arial"/>
          <w:b/>
          <w:sz w:val="20"/>
        </w:rPr>
        <w:t>Productividad y eficiencia: </w:t>
      </w:r>
      <w:r>
        <w:rPr>
          <w:sz w:val="20"/>
        </w:rPr>
        <w:t>fortalecer la productividad y eficiencia de las ciudades y del territorio como eje del crecimiento económico, a través de la consolidación de redes de vialidad y movilidad, energía y comunicaciones, creación y mantenimiento de infraestructura productiva, equipamientos y servicios públicos de calidad. Maximizar la capacidad de la ciudad para atraer y retener talentos e inversiones, minimizando costos y facilitar la actividad económica;</w:t>
      </w:r>
    </w:p>
    <w:p>
      <w:pPr>
        <w:pStyle w:val="BodyText"/>
      </w:pPr>
    </w:p>
    <w:p>
      <w:pPr>
        <w:pStyle w:val="ListParagraph"/>
        <w:numPr>
          <w:ilvl w:val="0"/>
          <w:numId w:val="4"/>
        </w:numPr>
        <w:tabs>
          <w:tab w:pos="827" w:val="left" w:leader="none"/>
        </w:tabs>
        <w:spacing w:line="240" w:lineRule="auto" w:before="0" w:after="0"/>
        <w:ind w:left="262" w:right="281" w:firstLine="0"/>
        <w:jc w:val="both"/>
        <w:rPr>
          <w:sz w:val="20"/>
        </w:rPr>
      </w:pPr>
      <w:r>
        <w:rPr>
          <w:rFonts w:ascii="Arial" w:hAnsi="Arial"/>
          <w:b/>
          <w:sz w:val="20"/>
        </w:rPr>
        <w:t>Protección</w:t>
      </w:r>
      <w:r>
        <w:rPr>
          <w:rFonts w:ascii="Arial" w:hAnsi="Arial"/>
          <w:b/>
          <w:spacing w:val="-2"/>
          <w:sz w:val="20"/>
        </w:rPr>
        <w:t> </w:t>
      </w:r>
      <w:r>
        <w:rPr>
          <w:rFonts w:ascii="Arial" w:hAnsi="Arial"/>
          <w:b/>
          <w:sz w:val="20"/>
        </w:rPr>
        <w:t>y</w:t>
      </w:r>
      <w:r>
        <w:rPr>
          <w:rFonts w:ascii="Arial" w:hAnsi="Arial"/>
          <w:b/>
          <w:spacing w:val="-3"/>
          <w:sz w:val="20"/>
        </w:rPr>
        <w:t> </w:t>
      </w:r>
      <w:r>
        <w:rPr>
          <w:rFonts w:ascii="Arial" w:hAnsi="Arial"/>
          <w:b/>
          <w:sz w:val="20"/>
        </w:rPr>
        <w:t>progresividad del</w:t>
      </w:r>
      <w:r>
        <w:rPr>
          <w:rFonts w:ascii="Arial" w:hAnsi="Arial"/>
          <w:b/>
          <w:spacing w:val="-3"/>
          <w:sz w:val="20"/>
        </w:rPr>
        <w:t> </w:t>
      </w:r>
      <w:r>
        <w:rPr>
          <w:rFonts w:ascii="Arial" w:hAnsi="Arial"/>
          <w:b/>
          <w:sz w:val="20"/>
        </w:rPr>
        <w:t>espacio</w:t>
      </w:r>
      <w:r>
        <w:rPr>
          <w:rFonts w:ascii="Arial" w:hAnsi="Arial"/>
          <w:b/>
          <w:spacing w:val="-2"/>
          <w:sz w:val="20"/>
        </w:rPr>
        <w:t> </w:t>
      </w:r>
      <w:r>
        <w:rPr>
          <w:rFonts w:ascii="Arial" w:hAnsi="Arial"/>
          <w:b/>
          <w:sz w:val="20"/>
        </w:rPr>
        <w:t>público: </w:t>
      </w:r>
      <w:r>
        <w:rPr>
          <w:sz w:val="20"/>
        </w:rPr>
        <w:t>crear</w:t>
      </w:r>
      <w:r>
        <w:rPr>
          <w:spacing w:val="-2"/>
          <w:sz w:val="20"/>
        </w:rPr>
        <w:t> </w:t>
      </w:r>
      <w:r>
        <w:rPr>
          <w:sz w:val="20"/>
        </w:rPr>
        <w:t>condiciones</w:t>
      </w:r>
      <w:r>
        <w:rPr>
          <w:spacing w:val="-2"/>
          <w:sz w:val="20"/>
        </w:rPr>
        <w:t> </w:t>
      </w:r>
      <w:r>
        <w:rPr>
          <w:sz w:val="20"/>
        </w:rPr>
        <w:t>de</w:t>
      </w:r>
      <w:r>
        <w:rPr>
          <w:spacing w:val="-3"/>
          <w:sz w:val="20"/>
        </w:rPr>
        <w:t> </w:t>
      </w:r>
      <w:r>
        <w:rPr>
          <w:sz w:val="20"/>
        </w:rPr>
        <w:t>habitabilidad</w:t>
      </w:r>
      <w:r>
        <w:rPr>
          <w:spacing w:val="-1"/>
          <w:sz w:val="20"/>
        </w:rPr>
        <w:t> </w:t>
      </w:r>
      <w:r>
        <w:rPr>
          <w:sz w:val="20"/>
        </w:rPr>
        <w:t>de</w:t>
      </w:r>
      <w:r>
        <w:rPr>
          <w:spacing w:val="-1"/>
          <w:sz w:val="20"/>
        </w:rPr>
        <w:t> </w:t>
      </w:r>
      <w:r>
        <w:rPr>
          <w:sz w:val="20"/>
        </w:rPr>
        <w:t>los espacios</w:t>
      </w:r>
      <w:r>
        <w:rPr>
          <w:spacing w:val="-14"/>
          <w:sz w:val="20"/>
        </w:rPr>
        <w:t> </w:t>
      </w:r>
      <w:r>
        <w:rPr>
          <w:sz w:val="20"/>
        </w:rPr>
        <w:t>públicos,</w:t>
      </w:r>
      <w:r>
        <w:rPr>
          <w:spacing w:val="-14"/>
          <w:sz w:val="20"/>
        </w:rPr>
        <w:t> </w:t>
      </w:r>
      <w:r>
        <w:rPr>
          <w:sz w:val="20"/>
        </w:rPr>
        <w:t>como</w:t>
      </w:r>
      <w:r>
        <w:rPr>
          <w:spacing w:val="-14"/>
          <w:sz w:val="20"/>
        </w:rPr>
        <w:t> </w:t>
      </w:r>
      <w:r>
        <w:rPr>
          <w:sz w:val="20"/>
        </w:rPr>
        <w:t>elementos</w:t>
      </w:r>
      <w:r>
        <w:rPr>
          <w:spacing w:val="-13"/>
          <w:sz w:val="20"/>
        </w:rPr>
        <w:t> </w:t>
      </w:r>
      <w:r>
        <w:rPr>
          <w:sz w:val="20"/>
        </w:rPr>
        <w:t>fundamentales</w:t>
      </w:r>
      <w:r>
        <w:rPr>
          <w:spacing w:val="-13"/>
          <w:sz w:val="20"/>
        </w:rPr>
        <w:t> </w:t>
      </w:r>
      <w:r>
        <w:rPr>
          <w:sz w:val="20"/>
        </w:rPr>
        <w:t>para</w:t>
      </w:r>
      <w:r>
        <w:rPr>
          <w:spacing w:val="-14"/>
          <w:sz w:val="20"/>
        </w:rPr>
        <w:t> </w:t>
      </w:r>
      <w:r>
        <w:rPr>
          <w:sz w:val="20"/>
        </w:rPr>
        <w:t>el</w:t>
      </w:r>
      <w:r>
        <w:rPr>
          <w:spacing w:val="-14"/>
          <w:sz w:val="20"/>
        </w:rPr>
        <w:t> </w:t>
      </w:r>
      <w:r>
        <w:rPr>
          <w:sz w:val="20"/>
        </w:rPr>
        <w:t>derecho</w:t>
      </w:r>
      <w:r>
        <w:rPr>
          <w:spacing w:val="-14"/>
          <w:sz w:val="20"/>
        </w:rPr>
        <w:t> </w:t>
      </w:r>
      <w:r>
        <w:rPr>
          <w:sz w:val="20"/>
        </w:rPr>
        <w:t>al</w:t>
      </w:r>
      <w:r>
        <w:rPr>
          <w:spacing w:val="-14"/>
          <w:sz w:val="20"/>
        </w:rPr>
        <w:t> </w:t>
      </w:r>
      <w:r>
        <w:rPr>
          <w:sz w:val="20"/>
        </w:rPr>
        <w:t>desplazamiento</w:t>
      </w:r>
      <w:r>
        <w:rPr>
          <w:spacing w:val="-12"/>
          <w:sz w:val="20"/>
        </w:rPr>
        <w:t> </w:t>
      </w:r>
      <w:r>
        <w:rPr>
          <w:sz w:val="20"/>
        </w:rPr>
        <w:t>libre,</w:t>
      </w:r>
      <w:r>
        <w:rPr>
          <w:spacing w:val="-13"/>
          <w:sz w:val="20"/>
        </w:rPr>
        <w:t> </w:t>
      </w:r>
      <w:r>
        <w:rPr>
          <w:sz w:val="20"/>
        </w:rPr>
        <w:t>una</w:t>
      </w:r>
      <w:r>
        <w:rPr>
          <w:spacing w:val="-14"/>
          <w:sz w:val="20"/>
        </w:rPr>
        <w:t> </w:t>
      </w:r>
      <w:r>
        <w:rPr>
          <w:sz w:val="20"/>
        </w:rPr>
        <w:t>vida sana,</w:t>
      </w:r>
      <w:r>
        <w:rPr>
          <w:spacing w:val="-8"/>
          <w:sz w:val="20"/>
        </w:rPr>
        <w:t> </w:t>
      </w:r>
      <w:r>
        <w:rPr>
          <w:sz w:val="20"/>
        </w:rPr>
        <w:t>la</w:t>
      </w:r>
      <w:r>
        <w:rPr>
          <w:spacing w:val="-8"/>
          <w:sz w:val="20"/>
        </w:rPr>
        <w:t> </w:t>
      </w:r>
      <w:r>
        <w:rPr>
          <w:sz w:val="20"/>
        </w:rPr>
        <w:t>convivencia,</w:t>
      </w:r>
      <w:r>
        <w:rPr>
          <w:spacing w:val="-8"/>
          <w:sz w:val="20"/>
        </w:rPr>
        <w:t> </w:t>
      </w:r>
      <w:r>
        <w:rPr>
          <w:sz w:val="20"/>
        </w:rPr>
        <w:t>recreación</w:t>
      </w:r>
      <w:r>
        <w:rPr>
          <w:spacing w:val="-8"/>
          <w:sz w:val="20"/>
        </w:rPr>
        <w:t> </w:t>
      </w:r>
      <w:r>
        <w:rPr>
          <w:sz w:val="20"/>
        </w:rPr>
        <w:t>y</w:t>
      </w:r>
      <w:r>
        <w:rPr>
          <w:spacing w:val="-9"/>
          <w:sz w:val="20"/>
        </w:rPr>
        <w:t> </w:t>
      </w:r>
      <w:r>
        <w:rPr>
          <w:sz w:val="20"/>
        </w:rPr>
        <w:t>seguridad</w:t>
      </w:r>
      <w:r>
        <w:rPr>
          <w:spacing w:val="-8"/>
          <w:sz w:val="20"/>
        </w:rPr>
        <w:t> </w:t>
      </w:r>
      <w:r>
        <w:rPr>
          <w:sz w:val="20"/>
        </w:rPr>
        <w:t>ciudadana</w:t>
      </w:r>
      <w:r>
        <w:rPr>
          <w:spacing w:val="-10"/>
          <w:sz w:val="20"/>
        </w:rPr>
        <w:t> </w:t>
      </w:r>
      <w:r>
        <w:rPr>
          <w:sz w:val="20"/>
        </w:rPr>
        <w:t>que</w:t>
      </w:r>
      <w:r>
        <w:rPr>
          <w:spacing w:val="-8"/>
          <w:sz w:val="20"/>
        </w:rPr>
        <w:t> </w:t>
      </w:r>
      <w:r>
        <w:rPr>
          <w:sz w:val="20"/>
        </w:rPr>
        <w:t>considere</w:t>
      </w:r>
      <w:r>
        <w:rPr>
          <w:spacing w:val="-7"/>
          <w:sz w:val="20"/>
        </w:rPr>
        <w:t> </w:t>
      </w:r>
      <w:r>
        <w:rPr>
          <w:sz w:val="20"/>
        </w:rPr>
        <w:t>las</w:t>
      </w:r>
      <w:r>
        <w:rPr>
          <w:spacing w:val="-7"/>
          <w:sz w:val="20"/>
        </w:rPr>
        <w:t> </w:t>
      </w:r>
      <w:r>
        <w:rPr>
          <w:sz w:val="20"/>
        </w:rPr>
        <w:t>necesidades</w:t>
      </w:r>
      <w:r>
        <w:rPr>
          <w:spacing w:val="-6"/>
          <w:sz w:val="20"/>
        </w:rPr>
        <w:t> </w:t>
      </w:r>
      <w:r>
        <w:rPr>
          <w:sz w:val="20"/>
        </w:rPr>
        <w:t>diferenciada por</w:t>
      </w:r>
      <w:r>
        <w:rPr>
          <w:spacing w:val="-6"/>
          <w:sz w:val="20"/>
        </w:rPr>
        <w:t> </w:t>
      </w:r>
      <w:r>
        <w:rPr>
          <w:sz w:val="20"/>
        </w:rPr>
        <w:t>personas</w:t>
      </w:r>
      <w:r>
        <w:rPr>
          <w:spacing w:val="-6"/>
          <w:sz w:val="20"/>
        </w:rPr>
        <w:t> </w:t>
      </w:r>
      <w:r>
        <w:rPr>
          <w:sz w:val="20"/>
        </w:rPr>
        <w:t>y</w:t>
      </w:r>
      <w:r>
        <w:rPr>
          <w:spacing w:val="-5"/>
          <w:sz w:val="20"/>
        </w:rPr>
        <w:t> </w:t>
      </w:r>
      <w:r>
        <w:rPr>
          <w:sz w:val="20"/>
        </w:rPr>
        <w:t>grupos.</w:t>
      </w:r>
      <w:r>
        <w:rPr>
          <w:spacing w:val="-4"/>
          <w:sz w:val="20"/>
        </w:rPr>
        <w:t> </w:t>
      </w:r>
      <w:r>
        <w:rPr>
          <w:sz w:val="20"/>
        </w:rPr>
        <w:t>Bajo</w:t>
      </w:r>
      <w:r>
        <w:rPr>
          <w:spacing w:val="-7"/>
          <w:sz w:val="20"/>
        </w:rPr>
        <w:t> </w:t>
      </w:r>
      <w:r>
        <w:rPr>
          <w:sz w:val="20"/>
        </w:rPr>
        <w:t>este</w:t>
      </w:r>
      <w:r>
        <w:rPr>
          <w:spacing w:val="-7"/>
          <w:sz w:val="20"/>
        </w:rPr>
        <w:t> </w:t>
      </w:r>
      <w:r>
        <w:rPr>
          <w:sz w:val="20"/>
        </w:rPr>
        <w:t>concepto</w:t>
      </w:r>
      <w:r>
        <w:rPr>
          <w:spacing w:val="-7"/>
          <w:sz w:val="20"/>
        </w:rPr>
        <w:t> </w:t>
      </w:r>
      <w:r>
        <w:rPr>
          <w:sz w:val="20"/>
        </w:rPr>
        <w:t>se</w:t>
      </w:r>
      <w:r>
        <w:rPr>
          <w:spacing w:val="-4"/>
          <w:sz w:val="20"/>
        </w:rPr>
        <w:t> </w:t>
      </w:r>
      <w:r>
        <w:rPr>
          <w:sz w:val="20"/>
        </w:rPr>
        <w:t>fomenta</w:t>
      </w:r>
      <w:r>
        <w:rPr>
          <w:spacing w:val="-5"/>
          <w:sz w:val="20"/>
        </w:rPr>
        <w:t> </w:t>
      </w:r>
      <w:r>
        <w:rPr>
          <w:sz w:val="20"/>
        </w:rPr>
        <w:t>el</w:t>
      </w:r>
      <w:r>
        <w:rPr>
          <w:spacing w:val="-8"/>
          <w:sz w:val="20"/>
        </w:rPr>
        <w:t> </w:t>
      </w:r>
      <w:r>
        <w:rPr>
          <w:sz w:val="20"/>
        </w:rPr>
        <w:t>rescate,</w:t>
      </w:r>
      <w:r>
        <w:rPr>
          <w:spacing w:val="-4"/>
          <w:sz w:val="20"/>
        </w:rPr>
        <w:t> </w:t>
      </w:r>
      <w:r>
        <w:rPr>
          <w:sz w:val="20"/>
        </w:rPr>
        <w:t>la</w:t>
      </w:r>
      <w:r>
        <w:rPr>
          <w:spacing w:val="-7"/>
          <w:sz w:val="20"/>
        </w:rPr>
        <w:t> </w:t>
      </w:r>
      <w:r>
        <w:rPr>
          <w:sz w:val="20"/>
        </w:rPr>
        <w:t>creación</w:t>
      </w:r>
      <w:r>
        <w:rPr>
          <w:spacing w:val="-5"/>
          <w:sz w:val="20"/>
        </w:rPr>
        <w:t> </w:t>
      </w:r>
      <w:r>
        <w:rPr>
          <w:sz w:val="20"/>
        </w:rPr>
        <w:t>y</w:t>
      </w:r>
      <w:r>
        <w:rPr>
          <w:spacing w:val="-5"/>
          <w:sz w:val="20"/>
        </w:rPr>
        <w:t> </w:t>
      </w:r>
      <w:r>
        <w:rPr>
          <w:sz w:val="20"/>
        </w:rPr>
        <w:t>el</w:t>
      </w:r>
      <w:r>
        <w:rPr>
          <w:spacing w:val="-5"/>
          <w:sz w:val="20"/>
        </w:rPr>
        <w:t> </w:t>
      </w:r>
      <w:r>
        <w:rPr>
          <w:sz w:val="20"/>
        </w:rPr>
        <w:t>mantenimiento</w:t>
      </w:r>
      <w:r>
        <w:rPr>
          <w:spacing w:val="-7"/>
          <w:sz w:val="20"/>
        </w:rPr>
        <w:t> </w:t>
      </w:r>
      <w:r>
        <w:rPr>
          <w:sz w:val="20"/>
        </w:rPr>
        <w:t>de los</w:t>
      </w:r>
      <w:r>
        <w:rPr>
          <w:spacing w:val="-14"/>
          <w:sz w:val="20"/>
        </w:rPr>
        <w:t> </w:t>
      </w:r>
      <w:r>
        <w:rPr>
          <w:sz w:val="20"/>
        </w:rPr>
        <w:t>espacios</w:t>
      </w:r>
      <w:r>
        <w:rPr>
          <w:spacing w:val="-14"/>
          <w:sz w:val="20"/>
        </w:rPr>
        <w:t> </w:t>
      </w:r>
      <w:r>
        <w:rPr>
          <w:sz w:val="20"/>
        </w:rPr>
        <w:t>públicos</w:t>
      </w:r>
      <w:r>
        <w:rPr>
          <w:spacing w:val="-14"/>
          <w:sz w:val="20"/>
        </w:rPr>
        <w:t> </w:t>
      </w:r>
      <w:r>
        <w:rPr>
          <w:sz w:val="20"/>
        </w:rPr>
        <w:t>que</w:t>
      </w:r>
      <w:r>
        <w:rPr>
          <w:spacing w:val="-14"/>
          <w:sz w:val="20"/>
        </w:rPr>
        <w:t> </w:t>
      </w:r>
      <w:r>
        <w:rPr>
          <w:sz w:val="20"/>
        </w:rPr>
        <w:t>pueden</w:t>
      </w:r>
      <w:r>
        <w:rPr>
          <w:spacing w:val="-14"/>
          <w:sz w:val="20"/>
        </w:rPr>
        <w:t> </w:t>
      </w:r>
      <w:r>
        <w:rPr>
          <w:sz w:val="20"/>
        </w:rPr>
        <w:t>ampliarse,</w:t>
      </w:r>
      <w:r>
        <w:rPr>
          <w:spacing w:val="-14"/>
          <w:sz w:val="20"/>
        </w:rPr>
        <w:t> </w:t>
      </w:r>
      <w:r>
        <w:rPr>
          <w:sz w:val="20"/>
        </w:rPr>
        <w:t>o</w:t>
      </w:r>
      <w:r>
        <w:rPr>
          <w:spacing w:val="-14"/>
          <w:sz w:val="20"/>
        </w:rPr>
        <w:t> </w:t>
      </w:r>
      <w:r>
        <w:rPr>
          <w:sz w:val="20"/>
        </w:rPr>
        <w:t>mejorarse</w:t>
      </w:r>
      <w:r>
        <w:rPr>
          <w:spacing w:val="-14"/>
          <w:sz w:val="20"/>
        </w:rPr>
        <w:t> </w:t>
      </w:r>
      <w:r>
        <w:rPr>
          <w:sz w:val="20"/>
        </w:rPr>
        <w:t>pero</w:t>
      </w:r>
      <w:r>
        <w:rPr>
          <w:spacing w:val="-14"/>
          <w:sz w:val="20"/>
        </w:rPr>
        <w:t> </w:t>
      </w:r>
      <w:r>
        <w:rPr>
          <w:sz w:val="20"/>
        </w:rPr>
        <w:t>nunca</w:t>
      </w:r>
      <w:r>
        <w:rPr>
          <w:spacing w:val="-13"/>
          <w:sz w:val="20"/>
        </w:rPr>
        <w:t> </w:t>
      </w:r>
      <w:r>
        <w:rPr>
          <w:sz w:val="20"/>
        </w:rPr>
        <w:t>destruirse</w:t>
      </w:r>
      <w:r>
        <w:rPr>
          <w:spacing w:val="-14"/>
          <w:sz w:val="20"/>
        </w:rPr>
        <w:t> </w:t>
      </w:r>
      <w:r>
        <w:rPr>
          <w:sz w:val="20"/>
        </w:rPr>
        <w:t>o</w:t>
      </w:r>
      <w:r>
        <w:rPr>
          <w:spacing w:val="-14"/>
          <w:sz w:val="20"/>
        </w:rPr>
        <w:t> </w:t>
      </w:r>
      <w:r>
        <w:rPr>
          <w:sz w:val="20"/>
        </w:rPr>
        <w:t>verse</w:t>
      </w:r>
      <w:r>
        <w:rPr>
          <w:spacing w:val="-14"/>
          <w:sz w:val="20"/>
        </w:rPr>
        <w:t> </w:t>
      </w:r>
      <w:r>
        <w:rPr>
          <w:sz w:val="20"/>
        </w:rPr>
        <w:t>disminuidos; así</w:t>
      </w:r>
      <w:r>
        <w:rPr>
          <w:spacing w:val="-10"/>
          <w:sz w:val="20"/>
        </w:rPr>
        <w:t> </w:t>
      </w:r>
      <w:r>
        <w:rPr>
          <w:sz w:val="20"/>
        </w:rPr>
        <w:t>mismo,</w:t>
      </w:r>
      <w:r>
        <w:rPr>
          <w:spacing w:val="-7"/>
          <w:sz w:val="20"/>
        </w:rPr>
        <w:t> </w:t>
      </w:r>
      <w:r>
        <w:rPr>
          <w:sz w:val="20"/>
        </w:rPr>
        <w:t>las</w:t>
      </w:r>
      <w:r>
        <w:rPr>
          <w:spacing w:val="-9"/>
          <w:sz w:val="20"/>
        </w:rPr>
        <w:t> </w:t>
      </w:r>
      <w:r>
        <w:rPr>
          <w:sz w:val="20"/>
        </w:rPr>
        <w:t>banquetas</w:t>
      </w:r>
      <w:r>
        <w:rPr>
          <w:spacing w:val="-9"/>
          <w:sz w:val="20"/>
        </w:rPr>
        <w:t> </w:t>
      </w:r>
      <w:r>
        <w:rPr>
          <w:sz w:val="20"/>
        </w:rPr>
        <w:t>deben</w:t>
      </w:r>
      <w:r>
        <w:rPr>
          <w:spacing w:val="-8"/>
          <w:sz w:val="20"/>
        </w:rPr>
        <w:t> </w:t>
      </w:r>
      <w:r>
        <w:rPr>
          <w:sz w:val="20"/>
        </w:rPr>
        <w:t>garantizar</w:t>
      </w:r>
      <w:r>
        <w:rPr>
          <w:spacing w:val="-9"/>
          <w:sz w:val="20"/>
        </w:rPr>
        <w:t> </w:t>
      </w:r>
      <w:r>
        <w:rPr>
          <w:sz w:val="20"/>
        </w:rPr>
        <w:t>el</w:t>
      </w:r>
      <w:r>
        <w:rPr>
          <w:spacing w:val="-11"/>
          <w:sz w:val="20"/>
        </w:rPr>
        <w:t> </w:t>
      </w:r>
      <w:r>
        <w:rPr>
          <w:sz w:val="20"/>
        </w:rPr>
        <w:t>tránsito</w:t>
      </w:r>
      <w:r>
        <w:rPr>
          <w:spacing w:val="-8"/>
          <w:sz w:val="20"/>
        </w:rPr>
        <w:t> </w:t>
      </w:r>
      <w:r>
        <w:rPr>
          <w:sz w:val="20"/>
        </w:rPr>
        <w:t>libre,</w:t>
      </w:r>
      <w:r>
        <w:rPr>
          <w:spacing w:val="-10"/>
          <w:sz w:val="20"/>
        </w:rPr>
        <w:t> </w:t>
      </w:r>
      <w:r>
        <w:rPr>
          <w:sz w:val="20"/>
        </w:rPr>
        <w:t>seguro</w:t>
      </w:r>
      <w:r>
        <w:rPr>
          <w:spacing w:val="-9"/>
          <w:sz w:val="20"/>
        </w:rPr>
        <w:t> </w:t>
      </w:r>
      <w:r>
        <w:rPr>
          <w:sz w:val="20"/>
        </w:rPr>
        <w:t>y</w:t>
      </w:r>
      <w:r>
        <w:rPr>
          <w:spacing w:val="-9"/>
          <w:sz w:val="20"/>
        </w:rPr>
        <w:t> </w:t>
      </w:r>
      <w:r>
        <w:rPr>
          <w:sz w:val="20"/>
        </w:rPr>
        <w:t>confortable</w:t>
      </w:r>
      <w:r>
        <w:rPr>
          <w:spacing w:val="-10"/>
          <w:sz w:val="20"/>
        </w:rPr>
        <w:t> </w:t>
      </w:r>
      <w:r>
        <w:rPr>
          <w:sz w:val="20"/>
        </w:rPr>
        <w:t>de</w:t>
      </w:r>
      <w:r>
        <w:rPr>
          <w:spacing w:val="-10"/>
          <w:sz w:val="20"/>
        </w:rPr>
        <w:t> </w:t>
      </w:r>
      <w:r>
        <w:rPr>
          <w:sz w:val="20"/>
        </w:rPr>
        <w:t>las</w:t>
      </w:r>
      <w:r>
        <w:rPr>
          <w:spacing w:val="-9"/>
          <w:sz w:val="20"/>
        </w:rPr>
        <w:t> </w:t>
      </w:r>
      <w:r>
        <w:rPr>
          <w:sz w:val="20"/>
        </w:rPr>
        <w:t>personas,</w:t>
      </w:r>
      <w:r>
        <w:rPr>
          <w:spacing w:val="-10"/>
          <w:sz w:val="20"/>
        </w:rPr>
        <w:t> </w:t>
      </w:r>
      <w:r>
        <w:rPr>
          <w:sz w:val="20"/>
        </w:rPr>
        <w:t>en especial de aquellas que sufren de algún tipo de discapacidad. En caso de utilidad pública, estos espacios deberán ser sustituidos por otros que generen beneficios equivalentes;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4"/>
        </w:numPr>
        <w:tabs>
          <w:tab w:pos="828" w:val="left" w:leader="none"/>
        </w:tabs>
        <w:spacing w:line="240" w:lineRule="auto" w:before="0" w:after="0"/>
        <w:ind w:left="262" w:right="283" w:firstLine="0"/>
        <w:jc w:val="both"/>
        <w:rPr>
          <w:sz w:val="20"/>
        </w:rPr>
      </w:pPr>
      <w:r>
        <w:rPr>
          <w:rFonts w:ascii="Arial" w:hAnsi="Arial"/>
          <w:b/>
          <w:sz w:val="20"/>
        </w:rPr>
        <w:t>Resiliencia, seguridad urbana y riesgos: </w:t>
      </w:r>
      <w:r>
        <w:rPr>
          <w:sz w:val="20"/>
        </w:rPr>
        <w:t>propiciar y fortalecer todas las instituciones y medidas de prevención, mitigación, atención, adaptación y resiliencia que tengan por objetivo proteger a las personas y su patrimonio, frente a los riesgos naturales y antropogénicos; así como evitar la ocupación de zonas de alto riesgo, y</w:t>
      </w:r>
    </w:p>
    <w:p>
      <w:pPr>
        <w:pStyle w:val="ListParagraph"/>
        <w:numPr>
          <w:ilvl w:val="0"/>
          <w:numId w:val="4"/>
        </w:numPr>
        <w:tabs>
          <w:tab w:pos="827" w:val="left" w:leader="none"/>
        </w:tabs>
        <w:spacing w:line="240" w:lineRule="auto" w:before="230" w:after="0"/>
        <w:ind w:left="262" w:right="284" w:firstLine="0"/>
        <w:jc w:val="both"/>
        <w:rPr>
          <w:sz w:val="20"/>
        </w:rPr>
      </w:pPr>
      <w:r>
        <w:rPr>
          <w:rFonts w:ascii="Arial" w:hAnsi="Arial"/>
          <w:b/>
          <w:sz w:val="20"/>
        </w:rPr>
        <w:t>Sustentabilidad ambiental: </w:t>
      </w:r>
      <w:r>
        <w:rPr>
          <w:sz w:val="20"/>
        </w:rPr>
        <w:t>promover prioritariamente, el uso racional del agua y de los recursos naturales renovables y no renovables, para evitar comprometer la capacidad de futuras </w:t>
      </w:r>
      <w:r>
        <w:rPr>
          <w:spacing w:val="-2"/>
          <w:sz w:val="20"/>
        </w:rPr>
        <w:t>generaciones.</w:t>
      </w:r>
      <w:r>
        <w:rPr>
          <w:spacing w:val="-5"/>
          <w:sz w:val="20"/>
        </w:rPr>
        <w:t> </w:t>
      </w:r>
      <w:r>
        <w:rPr>
          <w:spacing w:val="-2"/>
          <w:sz w:val="20"/>
        </w:rPr>
        <w:t>Así</w:t>
      </w:r>
      <w:r>
        <w:rPr>
          <w:spacing w:val="-7"/>
          <w:sz w:val="20"/>
        </w:rPr>
        <w:t> </w:t>
      </w:r>
      <w:r>
        <w:rPr>
          <w:spacing w:val="-2"/>
          <w:sz w:val="20"/>
        </w:rPr>
        <w:t>como</w:t>
      </w:r>
      <w:r>
        <w:rPr>
          <w:spacing w:val="-8"/>
          <w:sz w:val="20"/>
        </w:rPr>
        <w:t> </w:t>
      </w:r>
      <w:r>
        <w:rPr>
          <w:spacing w:val="-2"/>
          <w:sz w:val="20"/>
        </w:rPr>
        <w:t>evitar</w:t>
      </w:r>
      <w:r>
        <w:rPr>
          <w:spacing w:val="-7"/>
          <w:sz w:val="20"/>
        </w:rPr>
        <w:t> </w:t>
      </w:r>
      <w:r>
        <w:rPr>
          <w:spacing w:val="-2"/>
          <w:sz w:val="20"/>
        </w:rPr>
        <w:t>rebasar</w:t>
      </w:r>
      <w:r>
        <w:rPr>
          <w:spacing w:val="-4"/>
          <w:sz w:val="20"/>
        </w:rPr>
        <w:t> </w:t>
      </w:r>
      <w:r>
        <w:rPr>
          <w:spacing w:val="-2"/>
          <w:sz w:val="20"/>
        </w:rPr>
        <w:t>la</w:t>
      </w:r>
      <w:r>
        <w:rPr>
          <w:spacing w:val="-5"/>
          <w:sz w:val="20"/>
        </w:rPr>
        <w:t> </w:t>
      </w:r>
      <w:r>
        <w:rPr>
          <w:spacing w:val="-2"/>
          <w:sz w:val="20"/>
        </w:rPr>
        <w:t>capacidad</w:t>
      </w:r>
      <w:r>
        <w:rPr>
          <w:spacing w:val="-5"/>
          <w:sz w:val="20"/>
        </w:rPr>
        <w:t> </w:t>
      </w:r>
      <w:r>
        <w:rPr>
          <w:spacing w:val="-2"/>
          <w:sz w:val="20"/>
        </w:rPr>
        <w:t>de</w:t>
      </w:r>
      <w:r>
        <w:rPr>
          <w:spacing w:val="-6"/>
          <w:sz w:val="20"/>
        </w:rPr>
        <w:t> </w:t>
      </w:r>
      <w:r>
        <w:rPr>
          <w:spacing w:val="-2"/>
          <w:sz w:val="20"/>
        </w:rPr>
        <w:t>carga</w:t>
      </w:r>
      <w:r>
        <w:rPr>
          <w:spacing w:val="-7"/>
          <w:sz w:val="20"/>
        </w:rPr>
        <w:t> </w:t>
      </w:r>
      <w:r>
        <w:rPr>
          <w:spacing w:val="-2"/>
          <w:sz w:val="20"/>
        </w:rPr>
        <w:t>de</w:t>
      </w:r>
      <w:r>
        <w:rPr>
          <w:spacing w:val="-8"/>
          <w:sz w:val="20"/>
        </w:rPr>
        <w:t> </w:t>
      </w:r>
      <w:r>
        <w:rPr>
          <w:spacing w:val="-2"/>
          <w:sz w:val="20"/>
        </w:rPr>
        <w:t>los</w:t>
      </w:r>
      <w:r>
        <w:rPr>
          <w:spacing w:val="-7"/>
          <w:sz w:val="20"/>
        </w:rPr>
        <w:t> </w:t>
      </w:r>
      <w:r>
        <w:rPr>
          <w:spacing w:val="-2"/>
          <w:sz w:val="20"/>
        </w:rPr>
        <w:t>ecosistemas</w:t>
      </w:r>
      <w:r>
        <w:rPr>
          <w:spacing w:val="-7"/>
          <w:sz w:val="20"/>
        </w:rPr>
        <w:t> </w:t>
      </w:r>
      <w:r>
        <w:rPr>
          <w:spacing w:val="-2"/>
          <w:sz w:val="20"/>
        </w:rPr>
        <w:t>y</w:t>
      </w:r>
      <w:r>
        <w:rPr>
          <w:spacing w:val="-4"/>
          <w:sz w:val="20"/>
        </w:rPr>
        <w:t> </w:t>
      </w:r>
      <w:r>
        <w:rPr>
          <w:spacing w:val="-2"/>
          <w:sz w:val="20"/>
        </w:rPr>
        <w:t>que</w:t>
      </w:r>
      <w:r>
        <w:rPr>
          <w:spacing w:val="-5"/>
          <w:sz w:val="20"/>
        </w:rPr>
        <w:t> </w:t>
      </w:r>
      <w:r>
        <w:rPr>
          <w:spacing w:val="-2"/>
          <w:sz w:val="20"/>
        </w:rPr>
        <w:t>el</w:t>
      </w:r>
      <w:r>
        <w:rPr>
          <w:spacing w:val="-6"/>
          <w:sz w:val="20"/>
        </w:rPr>
        <w:t> </w:t>
      </w:r>
      <w:r>
        <w:rPr>
          <w:spacing w:val="-2"/>
          <w:sz w:val="20"/>
        </w:rPr>
        <w:t>crecimiento </w:t>
      </w:r>
      <w:r>
        <w:rPr>
          <w:sz w:val="20"/>
        </w:rPr>
        <w:t>urbano ocurra sobre suelos agropecuarios de alta calidad, áreas naturales protegidas o bosques, así como fomentar el uso urbano de especies vegetales nativas y la proyección ecosistémica del espacio público.</w:t>
      </w:r>
    </w:p>
    <w:p>
      <w:pPr>
        <w:pStyle w:val="BodyText"/>
        <w:spacing w:before="1"/>
      </w:pPr>
    </w:p>
    <w:p>
      <w:pPr>
        <w:pStyle w:val="BodyText"/>
        <w:ind w:left="262" w:right="287"/>
        <w:jc w:val="both"/>
      </w:pPr>
      <w:r>
        <w:rPr/>
        <w:t>Toda</w:t>
      </w:r>
      <w:r>
        <w:rPr>
          <w:spacing w:val="-1"/>
        </w:rPr>
        <w:t> </w:t>
      </w:r>
      <w:r>
        <w:rPr/>
        <w:t>política</w:t>
      </w:r>
      <w:r>
        <w:rPr>
          <w:spacing w:val="-1"/>
        </w:rPr>
        <w:t> </w:t>
      </w:r>
      <w:r>
        <w:rPr/>
        <w:t>pública</w:t>
      </w:r>
      <w:r>
        <w:rPr>
          <w:spacing w:val="-1"/>
        </w:rPr>
        <w:t> </w:t>
      </w:r>
      <w:r>
        <w:rPr/>
        <w:t>estatal</w:t>
      </w:r>
      <w:r>
        <w:rPr>
          <w:spacing w:val="-1"/>
        </w:rPr>
        <w:t> </w:t>
      </w:r>
      <w:r>
        <w:rPr/>
        <w:t>y municipal</w:t>
      </w:r>
      <w:r>
        <w:rPr>
          <w:spacing w:val="-1"/>
        </w:rPr>
        <w:t> </w:t>
      </w:r>
      <w:r>
        <w:rPr/>
        <w:t>de</w:t>
      </w:r>
      <w:r>
        <w:rPr>
          <w:spacing w:val="-1"/>
        </w:rPr>
        <w:t> </w:t>
      </w:r>
      <w:r>
        <w:rPr/>
        <w:t>ordenamiento</w:t>
      </w:r>
      <w:r>
        <w:rPr>
          <w:spacing w:val="-1"/>
        </w:rPr>
        <w:t> </w:t>
      </w:r>
      <w:r>
        <w:rPr/>
        <w:t>territorial, desarrollo</w:t>
      </w:r>
      <w:r>
        <w:rPr>
          <w:spacing w:val="-1"/>
        </w:rPr>
        <w:t> </w:t>
      </w:r>
      <w:r>
        <w:rPr/>
        <w:t>y planeación</w:t>
      </w:r>
      <w:r>
        <w:rPr>
          <w:spacing w:val="-1"/>
        </w:rPr>
        <w:t> </w:t>
      </w:r>
      <w:r>
        <w:rPr/>
        <w:t>urbana y coordinación metropolitana deberá observar estos principios.</w:t>
      </w:r>
    </w:p>
    <w:p>
      <w:pPr>
        <w:pStyle w:val="BodyText"/>
      </w:pPr>
    </w:p>
    <w:p>
      <w:pPr>
        <w:pStyle w:val="BodyText"/>
        <w:spacing w:before="1"/>
      </w:pPr>
    </w:p>
    <w:p>
      <w:pPr>
        <w:pStyle w:val="Heading2"/>
        <w:spacing w:line="477" w:lineRule="auto"/>
        <w:ind w:left="3394" w:right="3408" w:firstLine="756"/>
        <w:jc w:val="left"/>
      </w:pPr>
      <w:r>
        <w:rPr/>
        <w:t>Capítulo IV</w:t>
      </w:r>
      <w:r>
        <w:rPr>
          <w:spacing w:val="40"/>
        </w:rPr>
        <w:t> </w:t>
      </w:r>
      <w:r>
        <w:rPr/>
        <w:t>Causas</w:t>
      </w:r>
      <w:r>
        <w:rPr>
          <w:spacing w:val="-12"/>
        </w:rPr>
        <w:t> </w:t>
      </w:r>
      <w:r>
        <w:rPr/>
        <w:t>de</w:t>
      </w:r>
      <w:r>
        <w:rPr>
          <w:spacing w:val="-14"/>
        </w:rPr>
        <w:t> </w:t>
      </w:r>
      <w:r>
        <w:rPr/>
        <w:t>Utilidad</w:t>
      </w:r>
      <w:r>
        <w:rPr>
          <w:spacing w:val="-14"/>
        </w:rPr>
        <w:t> </w:t>
      </w:r>
      <w:r>
        <w:rPr/>
        <w:t>Pública</w:t>
      </w:r>
    </w:p>
    <w:p>
      <w:pPr>
        <w:pStyle w:val="BodyText"/>
        <w:spacing w:before="4"/>
        <w:ind w:left="262" w:right="279"/>
        <w:jc w:val="both"/>
      </w:pPr>
      <w:r>
        <w:rPr>
          <w:rFonts w:ascii="Arial" w:hAnsi="Arial"/>
          <w:b/>
        </w:rPr>
        <w:t>ARTÍCULO</w:t>
      </w:r>
      <w:r>
        <w:rPr>
          <w:rFonts w:ascii="Arial" w:hAnsi="Arial"/>
          <w:b/>
          <w:spacing w:val="-11"/>
        </w:rPr>
        <w:t> </w:t>
      </w:r>
      <w:r>
        <w:rPr>
          <w:rFonts w:ascii="Arial" w:hAnsi="Arial"/>
          <w:b/>
        </w:rPr>
        <w:t>6°.</w:t>
      </w:r>
      <w:r>
        <w:rPr>
          <w:rFonts w:ascii="Arial" w:hAnsi="Arial"/>
          <w:b/>
          <w:spacing w:val="-9"/>
        </w:rPr>
        <w:t> </w:t>
      </w:r>
      <w:r>
        <w:rPr/>
        <w:t>Son</w:t>
      </w:r>
      <w:r>
        <w:rPr>
          <w:spacing w:val="-12"/>
        </w:rPr>
        <w:t> </w:t>
      </w:r>
      <w:r>
        <w:rPr/>
        <w:t>de</w:t>
      </w:r>
      <w:r>
        <w:rPr>
          <w:spacing w:val="-12"/>
        </w:rPr>
        <w:t> </w:t>
      </w:r>
      <w:r>
        <w:rPr/>
        <w:t>interés</w:t>
      </w:r>
      <w:r>
        <w:rPr>
          <w:spacing w:val="-11"/>
        </w:rPr>
        <w:t> </w:t>
      </w:r>
      <w:r>
        <w:rPr/>
        <w:t>público</w:t>
      </w:r>
      <w:r>
        <w:rPr>
          <w:spacing w:val="-12"/>
        </w:rPr>
        <w:t> </w:t>
      </w:r>
      <w:r>
        <w:rPr/>
        <w:t>y</w:t>
      </w:r>
      <w:r>
        <w:rPr>
          <w:spacing w:val="-11"/>
        </w:rPr>
        <w:t> </w:t>
      </w:r>
      <w:r>
        <w:rPr/>
        <w:t>de</w:t>
      </w:r>
      <w:r>
        <w:rPr>
          <w:spacing w:val="-12"/>
        </w:rPr>
        <w:t> </w:t>
      </w:r>
      <w:r>
        <w:rPr/>
        <w:t>beneficio</w:t>
      </w:r>
      <w:r>
        <w:rPr>
          <w:spacing w:val="-12"/>
        </w:rPr>
        <w:t> </w:t>
      </w:r>
      <w:r>
        <w:rPr/>
        <w:t>social</w:t>
      </w:r>
      <w:r>
        <w:rPr>
          <w:spacing w:val="-12"/>
        </w:rPr>
        <w:t> </w:t>
      </w:r>
      <w:r>
        <w:rPr/>
        <w:t>los</w:t>
      </w:r>
      <w:r>
        <w:rPr>
          <w:spacing w:val="-11"/>
        </w:rPr>
        <w:t> </w:t>
      </w:r>
      <w:r>
        <w:rPr/>
        <w:t>actos</w:t>
      </w:r>
      <w:r>
        <w:rPr>
          <w:spacing w:val="-12"/>
        </w:rPr>
        <w:t> </w:t>
      </w:r>
      <w:r>
        <w:rPr/>
        <w:t>públicos</w:t>
      </w:r>
      <w:r>
        <w:rPr>
          <w:spacing w:val="-11"/>
        </w:rPr>
        <w:t> </w:t>
      </w:r>
      <w:r>
        <w:rPr/>
        <w:t>tendentes</w:t>
      </w:r>
      <w:r>
        <w:rPr>
          <w:spacing w:val="-12"/>
        </w:rPr>
        <w:t> </w:t>
      </w:r>
      <w:r>
        <w:rPr/>
        <w:t>a</w:t>
      </w:r>
      <w:r>
        <w:rPr>
          <w:spacing w:val="-12"/>
        </w:rPr>
        <w:t> </w:t>
      </w:r>
      <w:r>
        <w:rPr/>
        <w:t>establecer provisiones, reservas, usos del suelo y destinos de áreas y predios de los Centros de Población, contenida en los planes o programas de Desarrollo Urbano, en consecuencia, se declaran causas de utilidad pública:</w:t>
      </w:r>
    </w:p>
    <w:p>
      <w:pPr>
        <w:pStyle w:val="BodyText"/>
      </w:pPr>
    </w:p>
    <w:p>
      <w:pPr>
        <w:pStyle w:val="ListParagraph"/>
        <w:numPr>
          <w:ilvl w:val="0"/>
          <w:numId w:val="5"/>
        </w:numPr>
        <w:tabs>
          <w:tab w:pos="543" w:val="left" w:leader="none"/>
        </w:tabs>
        <w:spacing w:line="240" w:lineRule="auto" w:before="0" w:after="0"/>
        <w:ind w:left="262" w:right="289" w:firstLine="0"/>
        <w:jc w:val="both"/>
        <w:rPr>
          <w:sz w:val="20"/>
        </w:rPr>
      </w:pPr>
      <w:r>
        <w:rPr>
          <w:sz w:val="20"/>
        </w:rPr>
        <w:t>El ordenamiento territorial para la distribución equilibrada de la población, de las actividades económicas y los servicios;</w:t>
      </w:r>
    </w:p>
    <w:p>
      <w:pPr>
        <w:pStyle w:val="ListParagraph"/>
        <w:numPr>
          <w:ilvl w:val="0"/>
          <w:numId w:val="5"/>
        </w:numPr>
        <w:tabs>
          <w:tab w:pos="543" w:val="left" w:leader="none"/>
        </w:tabs>
        <w:spacing w:line="240" w:lineRule="auto" w:before="229" w:after="0"/>
        <w:ind w:left="543" w:right="0" w:hanging="281"/>
        <w:jc w:val="both"/>
        <w:rPr>
          <w:sz w:val="20"/>
        </w:rPr>
      </w:pPr>
      <w:r>
        <w:rPr>
          <w:sz w:val="20"/>
        </w:rPr>
        <w:t>La</w:t>
      </w:r>
      <w:r>
        <w:rPr>
          <w:spacing w:val="-9"/>
          <w:sz w:val="20"/>
        </w:rPr>
        <w:t> </w:t>
      </w:r>
      <w:r>
        <w:rPr>
          <w:sz w:val="20"/>
        </w:rPr>
        <w:t>promoción</w:t>
      </w:r>
      <w:r>
        <w:rPr>
          <w:spacing w:val="-9"/>
          <w:sz w:val="20"/>
        </w:rPr>
        <w:t> </w:t>
      </w:r>
      <w:r>
        <w:rPr>
          <w:sz w:val="20"/>
        </w:rPr>
        <w:t>del</w:t>
      </w:r>
      <w:r>
        <w:rPr>
          <w:spacing w:val="-6"/>
          <w:sz w:val="20"/>
        </w:rPr>
        <w:t> </w:t>
      </w:r>
      <w:r>
        <w:rPr>
          <w:sz w:val="20"/>
        </w:rPr>
        <w:t>desarrollo</w:t>
      </w:r>
      <w:r>
        <w:rPr>
          <w:spacing w:val="-8"/>
          <w:sz w:val="20"/>
        </w:rPr>
        <w:t> </w:t>
      </w:r>
      <w:r>
        <w:rPr>
          <w:sz w:val="20"/>
        </w:rPr>
        <w:t>urbano</w:t>
      </w:r>
      <w:r>
        <w:rPr>
          <w:spacing w:val="-9"/>
          <w:sz w:val="20"/>
        </w:rPr>
        <w:t> </w:t>
      </w:r>
      <w:r>
        <w:rPr>
          <w:spacing w:val="-2"/>
          <w:sz w:val="20"/>
        </w:rPr>
        <w:t>sostenible;</w:t>
      </w:r>
    </w:p>
    <w:p>
      <w:pPr>
        <w:pStyle w:val="BodyText"/>
        <w:spacing w:before="1"/>
      </w:pPr>
    </w:p>
    <w:p>
      <w:pPr>
        <w:pStyle w:val="ListParagraph"/>
        <w:numPr>
          <w:ilvl w:val="0"/>
          <w:numId w:val="5"/>
        </w:numPr>
        <w:tabs>
          <w:tab w:pos="597" w:val="left" w:leader="none"/>
        </w:tabs>
        <w:spacing w:line="240" w:lineRule="auto" w:before="0" w:after="0"/>
        <w:ind w:left="597" w:right="0" w:hanging="335"/>
        <w:jc w:val="both"/>
        <w:rPr>
          <w:sz w:val="20"/>
        </w:rPr>
      </w:pPr>
      <w:r>
        <w:rPr>
          <w:sz w:val="20"/>
        </w:rPr>
        <w:t>La</w:t>
      </w:r>
      <w:r>
        <w:rPr>
          <w:spacing w:val="-9"/>
          <w:sz w:val="20"/>
        </w:rPr>
        <w:t> </w:t>
      </w:r>
      <w:r>
        <w:rPr>
          <w:sz w:val="20"/>
        </w:rPr>
        <w:t>fundación,</w:t>
      </w:r>
      <w:r>
        <w:rPr>
          <w:spacing w:val="-8"/>
          <w:sz w:val="20"/>
        </w:rPr>
        <w:t> </w:t>
      </w:r>
      <w:r>
        <w:rPr>
          <w:sz w:val="20"/>
        </w:rPr>
        <w:t>conservación,</w:t>
      </w:r>
      <w:r>
        <w:rPr>
          <w:spacing w:val="-9"/>
          <w:sz w:val="20"/>
        </w:rPr>
        <w:t> </w:t>
      </w:r>
      <w:r>
        <w:rPr>
          <w:sz w:val="20"/>
        </w:rPr>
        <w:t>mejoramiento</w:t>
      </w:r>
      <w:r>
        <w:rPr>
          <w:spacing w:val="-8"/>
          <w:sz w:val="20"/>
        </w:rPr>
        <w:t> </w:t>
      </w:r>
      <w:r>
        <w:rPr>
          <w:sz w:val="20"/>
        </w:rPr>
        <w:t>y</w:t>
      </w:r>
      <w:r>
        <w:rPr>
          <w:spacing w:val="-7"/>
          <w:sz w:val="20"/>
        </w:rPr>
        <w:t> </w:t>
      </w:r>
      <w:r>
        <w:rPr>
          <w:sz w:val="20"/>
        </w:rPr>
        <w:t>crecimiento</w:t>
      </w:r>
      <w:r>
        <w:rPr>
          <w:spacing w:val="-9"/>
          <w:sz w:val="20"/>
        </w:rPr>
        <w:t> </w:t>
      </w:r>
      <w:r>
        <w:rPr>
          <w:sz w:val="20"/>
        </w:rPr>
        <w:t>de</w:t>
      </w:r>
      <w:r>
        <w:rPr>
          <w:spacing w:val="-8"/>
          <w:sz w:val="20"/>
        </w:rPr>
        <w:t> </w:t>
      </w:r>
      <w:r>
        <w:rPr>
          <w:sz w:val="20"/>
        </w:rPr>
        <w:t>los</w:t>
      </w:r>
      <w:r>
        <w:rPr>
          <w:spacing w:val="-7"/>
          <w:sz w:val="20"/>
        </w:rPr>
        <w:t> </w:t>
      </w:r>
      <w:r>
        <w:rPr>
          <w:sz w:val="20"/>
        </w:rPr>
        <w:t>centros</w:t>
      </w:r>
      <w:r>
        <w:rPr>
          <w:spacing w:val="-7"/>
          <w:sz w:val="20"/>
        </w:rPr>
        <w:t> </w:t>
      </w:r>
      <w:r>
        <w:rPr>
          <w:sz w:val="20"/>
        </w:rPr>
        <w:t>de</w:t>
      </w:r>
      <w:r>
        <w:rPr>
          <w:spacing w:val="-8"/>
          <w:sz w:val="20"/>
        </w:rPr>
        <w:t> </w:t>
      </w:r>
      <w:r>
        <w:rPr>
          <w:spacing w:val="-2"/>
          <w:sz w:val="20"/>
        </w:rPr>
        <w:t>población;</w:t>
      </w:r>
    </w:p>
    <w:p>
      <w:pPr>
        <w:pStyle w:val="BodyText"/>
        <w:spacing w:before="1"/>
      </w:pPr>
    </w:p>
    <w:p>
      <w:pPr>
        <w:pStyle w:val="ListParagraph"/>
        <w:numPr>
          <w:ilvl w:val="0"/>
          <w:numId w:val="5"/>
        </w:numPr>
        <w:tabs>
          <w:tab w:pos="688" w:val="left" w:leader="none"/>
        </w:tabs>
        <w:spacing w:line="240" w:lineRule="auto" w:before="0" w:after="0"/>
        <w:ind w:left="262" w:right="283" w:firstLine="0"/>
        <w:jc w:val="both"/>
        <w:rPr>
          <w:sz w:val="20"/>
        </w:rPr>
      </w:pPr>
      <w:r>
        <w:rPr>
          <w:sz w:val="20"/>
        </w:rPr>
        <w:t>La</w:t>
      </w:r>
      <w:r>
        <w:rPr>
          <w:spacing w:val="-8"/>
          <w:sz w:val="20"/>
        </w:rPr>
        <w:t> </w:t>
      </w:r>
      <w:r>
        <w:rPr>
          <w:sz w:val="20"/>
        </w:rPr>
        <w:t>planeación</w:t>
      </w:r>
      <w:r>
        <w:rPr>
          <w:spacing w:val="-8"/>
          <w:sz w:val="20"/>
        </w:rPr>
        <w:t> </w:t>
      </w:r>
      <w:r>
        <w:rPr>
          <w:sz w:val="20"/>
        </w:rPr>
        <w:t>y</w:t>
      </w:r>
      <w:r>
        <w:rPr>
          <w:spacing w:val="-6"/>
          <w:sz w:val="20"/>
        </w:rPr>
        <w:t> </w:t>
      </w:r>
      <w:r>
        <w:rPr>
          <w:sz w:val="20"/>
        </w:rPr>
        <w:t>ejecución</w:t>
      </w:r>
      <w:r>
        <w:rPr>
          <w:spacing w:val="-8"/>
          <w:sz w:val="20"/>
        </w:rPr>
        <w:t> </w:t>
      </w:r>
      <w:r>
        <w:rPr>
          <w:sz w:val="20"/>
        </w:rPr>
        <w:t>de</w:t>
      </w:r>
      <w:r>
        <w:rPr>
          <w:spacing w:val="-8"/>
          <w:sz w:val="20"/>
        </w:rPr>
        <w:t> </w:t>
      </w:r>
      <w:r>
        <w:rPr>
          <w:sz w:val="20"/>
        </w:rPr>
        <w:t>obras</w:t>
      </w:r>
      <w:r>
        <w:rPr>
          <w:spacing w:val="-7"/>
          <w:sz w:val="20"/>
        </w:rPr>
        <w:t> </w:t>
      </w:r>
      <w:r>
        <w:rPr>
          <w:sz w:val="20"/>
        </w:rPr>
        <w:t>de</w:t>
      </w:r>
      <w:r>
        <w:rPr>
          <w:spacing w:val="-8"/>
          <w:sz w:val="20"/>
        </w:rPr>
        <w:t> </w:t>
      </w:r>
      <w:r>
        <w:rPr>
          <w:sz w:val="20"/>
        </w:rPr>
        <w:t>infraestructura,</w:t>
      </w:r>
      <w:r>
        <w:rPr>
          <w:spacing w:val="-5"/>
          <w:sz w:val="20"/>
        </w:rPr>
        <w:t> </w:t>
      </w:r>
      <w:r>
        <w:rPr>
          <w:sz w:val="20"/>
        </w:rPr>
        <w:t>de</w:t>
      </w:r>
      <w:r>
        <w:rPr>
          <w:spacing w:val="-8"/>
          <w:sz w:val="20"/>
        </w:rPr>
        <w:t> </w:t>
      </w:r>
      <w:r>
        <w:rPr>
          <w:sz w:val="20"/>
        </w:rPr>
        <w:t>equipamiento,</w:t>
      </w:r>
      <w:r>
        <w:rPr>
          <w:spacing w:val="-8"/>
          <w:sz w:val="20"/>
        </w:rPr>
        <w:t> </w:t>
      </w:r>
      <w:r>
        <w:rPr>
          <w:sz w:val="20"/>
        </w:rPr>
        <w:t>de</w:t>
      </w:r>
      <w:r>
        <w:rPr>
          <w:spacing w:val="-8"/>
          <w:sz w:val="20"/>
        </w:rPr>
        <w:t> </w:t>
      </w:r>
      <w:r>
        <w:rPr>
          <w:sz w:val="20"/>
        </w:rPr>
        <w:t>servicios</w:t>
      </w:r>
      <w:r>
        <w:rPr>
          <w:spacing w:val="-7"/>
          <w:sz w:val="20"/>
        </w:rPr>
        <w:t> </w:t>
      </w:r>
      <w:r>
        <w:rPr>
          <w:sz w:val="20"/>
        </w:rPr>
        <w:t>urbanos</w:t>
      </w:r>
      <w:r>
        <w:rPr>
          <w:spacing w:val="-6"/>
          <w:sz w:val="20"/>
        </w:rPr>
        <w:t> </w:t>
      </w:r>
      <w:r>
        <w:rPr>
          <w:sz w:val="20"/>
        </w:rPr>
        <w:t>y metropolitanos, así como</w:t>
      </w:r>
      <w:r>
        <w:rPr>
          <w:spacing w:val="-1"/>
          <w:sz w:val="20"/>
        </w:rPr>
        <w:t> </w:t>
      </w:r>
      <w:r>
        <w:rPr>
          <w:sz w:val="20"/>
        </w:rPr>
        <w:t>el</w:t>
      </w:r>
      <w:r>
        <w:rPr>
          <w:spacing w:val="-1"/>
          <w:sz w:val="20"/>
        </w:rPr>
        <w:t> </w:t>
      </w:r>
      <w:r>
        <w:rPr>
          <w:sz w:val="20"/>
        </w:rPr>
        <w:t>impulso</w:t>
      </w:r>
      <w:r>
        <w:rPr>
          <w:spacing w:val="-1"/>
          <w:sz w:val="20"/>
        </w:rPr>
        <w:t> </w:t>
      </w:r>
      <w:r>
        <w:rPr>
          <w:sz w:val="20"/>
        </w:rPr>
        <w:t>de</w:t>
      </w:r>
      <w:r>
        <w:rPr>
          <w:spacing w:val="-1"/>
          <w:sz w:val="20"/>
        </w:rPr>
        <w:t> </w:t>
      </w:r>
      <w:r>
        <w:rPr>
          <w:sz w:val="20"/>
        </w:rPr>
        <w:t>aquéllas destinadas para</w:t>
      </w:r>
      <w:r>
        <w:rPr>
          <w:spacing w:val="-1"/>
          <w:sz w:val="20"/>
        </w:rPr>
        <w:t> </w:t>
      </w:r>
      <w:r>
        <w:rPr>
          <w:sz w:val="20"/>
        </w:rPr>
        <w:t>la</w:t>
      </w:r>
      <w:r>
        <w:rPr>
          <w:spacing w:val="-1"/>
          <w:sz w:val="20"/>
        </w:rPr>
        <w:t> </w:t>
      </w:r>
      <w:r>
        <w:rPr>
          <w:sz w:val="20"/>
        </w:rPr>
        <w:t>movilidad;</w:t>
      </w:r>
      <w:r>
        <w:rPr>
          <w:spacing w:val="-1"/>
          <w:sz w:val="20"/>
        </w:rPr>
        <w:t> </w:t>
      </w:r>
      <w:r>
        <w:rPr>
          <w:sz w:val="20"/>
        </w:rPr>
        <w:t>con</w:t>
      </w:r>
      <w:r>
        <w:rPr>
          <w:spacing w:val="-1"/>
          <w:sz w:val="20"/>
        </w:rPr>
        <w:t> </w:t>
      </w:r>
      <w:r>
        <w:rPr>
          <w:sz w:val="20"/>
        </w:rPr>
        <w:t>especial</w:t>
      </w:r>
      <w:r>
        <w:rPr>
          <w:spacing w:val="-1"/>
          <w:sz w:val="20"/>
        </w:rPr>
        <w:t> </w:t>
      </w:r>
      <w:r>
        <w:rPr>
          <w:sz w:val="20"/>
        </w:rPr>
        <w:t>énfasis en las instalaciones estratégicas de seguridad pública estatal y municipal;</w:t>
      </w:r>
    </w:p>
    <w:p>
      <w:pPr>
        <w:pStyle w:val="ListParagraph"/>
        <w:numPr>
          <w:ilvl w:val="0"/>
          <w:numId w:val="5"/>
        </w:numPr>
        <w:tabs>
          <w:tab w:pos="544" w:val="left" w:leader="none"/>
        </w:tabs>
        <w:spacing w:line="240" w:lineRule="auto" w:before="229" w:after="0"/>
        <w:ind w:left="262" w:right="285" w:firstLine="0"/>
        <w:jc w:val="both"/>
        <w:rPr>
          <w:sz w:val="20"/>
        </w:rPr>
      </w:pPr>
      <w:r>
        <w:rPr>
          <w:sz w:val="20"/>
        </w:rPr>
        <w:t>La</w:t>
      </w:r>
      <w:r>
        <w:rPr>
          <w:spacing w:val="-9"/>
          <w:sz w:val="20"/>
        </w:rPr>
        <w:t> </w:t>
      </w:r>
      <w:r>
        <w:rPr>
          <w:sz w:val="20"/>
        </w:rPr>
        <w:t>constitución</w:t>
      </w:r>
      <w:r>
        <w:rPr>
          <w:spacing w:val="-7"/>
          <w:sz w:val="20"/>
        </w:rPr>
        <w:t> </w:t>
      </w:r>
      <w:r>
        <w:rPr>
          <w:sz w:val="20"/>
        </w:rPr>
        <w:t>de</w:t>
      </w:r>
      <w:r>
        <w:rPr>
          <w:spacing w:val="-7"/>
          <w:sz w:val="20"/>
        </w:rPr>
        <w:t> </w:t>
      </w:r>
      <w:r>
        <w:rPr>
          <w:sz w:val="20"/>
        </w:rPr>
        <w:t>reservas</w:t>
      </w:r>
      <w:r>
        <w:rPr>
          <w:spacing w:val="-8"/>
          <w:sz w:val="20"/>
        </w:rPr>
        <w:t> </w:t>
      </w:r>
      <w:r>
        <w:rPr>
          <w:sz w:val="20"/>
        </w:rPr>
        <w:t>territoriales</w:t>
      </w:r>
      <w:r>
        <w:rPr>
          <w:spacing w:val="-8"/>
          <w:sz w:val="20"/>
        </w:rPr>
        <w:t> </w:t>
      </w:r>
      <w:r>
        <w:rPr>
          <w:sz w:val="20"/>
        </w:rPr>
        <w:t>para</w:t>
      </w:r>
      <w:r>
        <w:rPr>
          <w:spacing w:val="-7"/>
          <w:sz w:val="20"/>
        </w:rPr>
        <w:t> </w:t>
      </w:r>
      <w:r>
        <w:rPr>
          <w:sz w:val="20"/>
        </w:rPr>
        <w:t>el</w:t>
      </w:r>
      <w:r>
        <w:rPr>
          <w:spacing w:val="-8"/>
          <w:sz w:val="20"/>
        </w:rPr>
        <w:t> </w:t>
      </w:r>
      <w:r>
        <w:rPr>
          <w:sz w:val="20"/>
        </w:rPr>
        <w:t>desarrollo</w:t>
      </w:r>
      <w:r>
        <w:rPr>
          <w:spacing w:val="-7"/>
          <w:sz w:val="20"/>
        </w:rPr>
        <w:t> </w:t>
      </w:r>
      <w:r>
        <w:rPr>
          <w:sz w:val="20"/>
        </w:rPr>
        <w:t>urbano</w:t>
      </w:r>
      <w:r>
        <w:rPr>
          <w:spacing w:val="-7"/>
          <w:sz w:val="20"/>
        </w:rPr>
        <w:t> </w:t>
      </w:r>
      <w:r>
        <w:rPr>
          <w:sz w:val="20"/>
        </w:rPr>
        <w:t>y</w:t>
      </w:r>
      <w:r>
        <w:rPr>
          <w:spacing w:val="-8"/>
          <w:sz w:val="20"/>
        </w:rPr>
        <w:t> </w:t>
      </w:r>
      <w:r>
        <w:rPr>
          <w:sz w:val="20"/>
        </w:rPr>
        <w:t>la</w:t>
      </w:r>
      <w:r>
        <w:rPr>
          <w:spacing w:val="-9"/>
          <w:sz w:val="20"/>
        </w:rPr>
        <w:t> </w:t>
      </w:r>
      <w:r>
        <w:rPr>
          <w:sz w:val="20"/>
        </w:rPr>
        <w:t>vivienda,</w:t>
      </w:r>
      <w:r>
        <w:rPr>
          <w:spacing w:val="-7"/>
          <w:sz w:val="20"/>
        </w:rPr>
        <w:t> </w:t>
      </w:r>
      <w:r>
        <w:rPr>
          <w:sz w:val="20"/>
        </w:rPr>
        <w:t>las</w:t>
      </w:r>
      <w:r>
        <w:rPr>
          <w:spacing w:val="-7"/>
          <w:sz w:val="20"/>
        </w:rPr>
        <w:t> </w:t>
      </w:r>
      <w:r>
        <w:rPr>
          <w:sz w:val="20"/>
        </w:rPr>
        <w:t>cuales</w:t>
      </w:r>
      <w:r>
        <w:rPr>
          <w:spacing w:val="-7"/>
          <w:sz w:val="20"/>
        </w:rPr>
        <w:t> </w:t>
      </w:r>
      <w:r>
        <w:rPr>
          <w:sz w:val="20"/>
        </w:rPr>
        <w:t>podrán ser también constituidas en asociaciones público-privadas, conforme a la ley de la materia;</w:t>
      </w:r>
    </w:p>
    <w:p>
      <w:pPr>
        <w:pStyle w:val="BodyText"/>
        <w:spacing w:before="1"/>
      </w:pPr>
    </w:p>
    <w:p>
      <w:pPr>
        <w:pStyle w:val="ListParagraph"/>
        <w:numPr>
          <w:ilvl w:val="0"/>
          <w:numId w:val="5"/>
        </w:numPr>
        <w:tabs>
          <w:tab w:pos="688" w:val="left" w:leader="none"/>
        </w:tabs>
        <w:spacing w:line="240" w:lineRule="auto" w:before="0" w:after="0"/>
        <w:ind w:left="688" w:right="0" w:hanging="426"/>
        <w:jc w:val="both"/>
        <w:rPr>
          <w:sz w:val="20"/>
        </w:rPr>
      </w:pPr>
      <w:r>
        <w:rPr>
          <w:sz w:val="20"/>
        </w:rPr>
        <w:t>La</w:t>
      </w:r>
      <w:r>
        <w:rPr>
          <w:spacing w:val="-7"/>
          <w:sz w:val="20"/>
        </w:rPr>
        <w:t> </w:t>
      </w:r>
      <w:r>
        <w:rPr>
          <w:sz w:val="20"/>
        </w:rPr>
        <w:t>regularización</w:t>
      </w:r>
      <w:r>
        <w:rPr>
          <w:spacing w:val="-6"/>
          <w:sz w:val="20"/>
        </w:rPr>
        <w:t> </w:t>
      </w:r>
      <w:r>
        <w:rPr>
          <w:sz w:val="20"/>
        </w:rPr>
        <w:t>de</w:t>
      </w:r>
      <w:r>
        <w:rPr>
          <w:spacing w:val="-6"/>
          <w:sz w:val="20"/>
        </w:rPr>
        <w:t> </w:t>
      </w:r>
      <w:r>
        <w:rPr>
          <w:sz w:val="20"/>
        </w:rPr>
        <w:t>la</w:t>
      </w:r>
      <w:r>
        <w:rPr>
          <w:spacing w:val="-6"/>
          <w:sz w:val="20"/>
        </w:rPr>
        <w:t> </w:t>
      </w:r>
      <w:r>
        <w:rPr>
          <w:sz w:val="20"/>
        </w:rPr>
        <w:t>tenencia</w:t>
      </w:r>
      <w:r>
        <w:rPr>
          <w:spacing w:val="-4"/>
          <w:sz w:val="20"/>
        </w:rPr>
        <w:t> </w:t>
      </w:r>
      <w:r>
        <w:rPr>
          <w:sz w:val="20"/>
        </w:rPr>
        <w:t>de</w:t>
      </w:r>
      <w:r>
        <w:rPr>
          <w:spacing w:val="-5"/>
          <w:sz w:val="20"/>
        </w:rPr>
        <w:t> </w:t>
      </w:r>
      <w:r>
        <w:rPr>
          <w:sz w:val="20"/>
        </w:rPr>
        <w:t>la</w:t>
      </w:r>
      <w:r>
        <w:rPr>
          <w:spacing w:val="-6"/>
          <w:sz w:val="20"/>
        </w:rPr>
        <w:t> </w:t>
      </w:r>
      <w:r>
        <w:rPr>
          <w:sz w:val="20"/>
        </w:rPr>
        <w:t>tierra</w:t>
      </w:r>
      <w:r>
        <w:rPr>
          <w:spacing w:val="-4"/>
          <w:sz w:val="20"/>
        </w:rPr>
        <w:t> </w:t>
      </w:r>
      <w:r>
        <w:rPr>
          <w:sz w:val="20"/>
        </w:rPr>
        <w:t>en</w:t>
      </w:r>
      <w:r>
        <w:rPr>
          <w:spacing w:val="-5"/>
          <w:sz w:val="20"/>
        </w:rPr>
        <w:t> </w:t>
      </w:r>
      <w:r>
        <w:rPr>
          <w:sz w:val="20"/>
        </w:rPr>
        <w:t>los</w:t>
      </w:r>
      <w:r>
        <w:rPr>
          <w:spacing w:val="-5"/>
          <w:sz w:val="20"/>
        </w:rPr>
        <w:t> </w:t>
      </w:r>
      <w:r>
        <w:rPr>
          <w:sz w:val="20"/>
        </w:rPr>
        <w:t>centros</w:t>
      </w:r>
      <w:r>
        <w:rPr>
          <w:spacing w:val="-5"/>
          <w:sz w:val="20"/>
        </w:rPr>
        <w:t> </w:t>
      </w:r>
      <w:r>
        <w:rPr>
          <w:sz w:val="20"/>
        </w:rPr>
        <w:t>de</w:t>
      </w:r>
      <w:r>
        <w:rPr>
          <w:spacing w:val="-6"/>
          <w:sz w:val="20"/>
        </w:rPr>
        <w:t> </w:t>
      </w:r>
      <w:r>
        <w:rPr>
          <w:spacing w:val="-2"/>
          <w:sz w:val="20"/>
        </w:rPr>
        <w:t>población;</w:t>
      </w:r>
    </w:p>
    <w:p>
      <w:pPr>
        <w:pStyle w:val="ListParagraph"/>
        <w:numPr>
          <w:ilvl w:val="0"/>
          <w:numId w:val="5"/>
        </w:numPr>
        <w:tabs>
          <w:tab w:pos="688" w:val="left" w:leader="none"/>
        </w:tabs>
        <w:spacing w:line="240" w:lineRule="auto" w:before="229" w:after="0"/>
        <w:ind w:left="262" w:right="285" w:firstLine="0"/>
        <w:jc w:val="both"/>
        <w:rPr>
          <w:sz w:val="20"/>
        </w:rPr>
      </w:pPr>
      <w:r>
        <w:rPr>
          <w:sz w:val="20"/>
        </w:rPr>
        <w:t>La delimitación de zonas de riesgo y el establecimiento de polígonos de protección y amortiguamiento</w:t>
      </w:r>
      <w:r>
        <w:rPr>
          <w:spacing w:val="-8"/>
          <w:sz w:val="20"/>
        </w:rPr>
        <w:t> </w:t>
      </w:r>
      <w:r>
        <w:rPr>
          <w:sz w:val="20"/>
        </w:rPr>
        <w:t>para</w:t>
      </w:r>
      <w:r>
        <w:rPr>
          <w:spacing w:val="-5"/>
          <w:sz w:val="20"/>
        </w:rPr>
        <w:t> </w:t>
      </w:r>
      <w:r>
        <w:rPr>
          <w:sz w:val="20"/>
        </w:rPr>
        <w:t>la</w:t>
      </w:r>
      <w:r>
        <w:rPr>
          <w:spacing w:val="-8"/>
          <w:sz w:val="20"/>
        </w:rPr>
        <w:t> </w:t>
      </w:r>
      <w:r>
        <w:rPr>
          <w:sz w:val="20"/>
        </w:rPr>
        <w:t>seguridad</w:t>
      </w:r>
      <w:r>
        <w:rPr>
          <w:spacing w:val="-8"/>
          <w:sz w:val="20"/>
        </w:rPr>
        <w:t> </w:t>
      </w:r>
      <w:r>
        <w:rPr>
          <w:sz w:val="20"/>
        </w:rPr>
        <w:t>de</w:t>
      </w:r>
      <w:r>
        <w:rPr>
          <w:spacing w:val="-8"/>
          <w:sz w:val="20"/>
        </w:rPr>
        <w:t> </w:t>
      </w:r>
      <w:r>
        <w:rPr>
          <w:sz w:val="20"/>
        </w:rPr>
        <w:t>las</w:t>
      </w:r>
      <w:r>
        <w:rPr>
          <w:spacing w:val="-7"/>
          <w:sz w:val="20"/>
        </w:rPr>
        <w:t> </w:t>
      </w:r>
      <w:r>
        <w:rPr>
          <w:sz w:val="20"/>
        </w:rPr>
        <w:t>personas</w:t>
      </w:r>
      <w:r>
        <w:rPr>
          <w:spacing w:val="-6"/>
          <w:sz w:val="20"/>
        </w:rPr>
        <w:t> </w:t>
      </w:r>
      <w:r>
        <w:rPr>
          <w:sz w:val="20"/>
        </w:rPr>
        <w:t>y</w:t>
      </w:r>
      <w:r>
        <w:rPr>
          <w:spacing w:val="-6"/>
          <w:sz w:val="20"/>
        </w:rPr>
        <w:t> </w:t>
      </w:r>
      <w:r>
        <w:rPr>
          <w:sz w:val="20"/>
        </w:rPr>
        <w:t>de</w:t>
      </w:r>
      <w:r>
        <w:rPr>
          <w:spacing w:val="-8"/>
          <w:sz w:val="20"/>
        </w:rPr>
        <w:t> </w:t>
      </w:r>
      <w:r>
        <w:rPr>
          <w:sz w:val="20"/>
        </w:rPr>
        <w:t>las</w:t>
      </w:r>
      <w:r>
        <w:rPr>
          <w:spacing w:val="-7"/>
          <w:sz w:val="20"/>
        </w:rPr>
        <w:t> </w:t>
      </w:r>
      <w:r>
        <w:rPr>
          <w:sz w:val="20"/>
        </w:rPr>
        <w:t>instalaciones</w:t>
      </w:r>
      <w:r>
        <w:rPr>
          <w:spacing w:val="-7"/>
          <w:sz w:val="20"/>
        </w:rPr>
        <w:t> </w:t>
      </w:r>
      <w:r>
        <w:rPr>
          <w:sz w:val="20"/>
        </w:rPr>
        <w:t>estratégicas</w:t>
      </w:r>
      <w:r>
        <w:rPr>
          <w:spacing w:val="-7"/>
          <w:sz w:val="20"/>
        </w:rPr>
        <w:t> </w:t>
      </w:r>
      <w:r>
        <w:rPr>
          <w:sz w:val="20"/>
        </w:rPr>
        <w:t>de</w:t>
      </w:r>
      <w:r>
        <w:rPr>
          <w:spacing w:val="-8"/>
          <w:sz w:val="20"/>
        </w:rPr>
        <w:t> </w:t>
      </w:r>
      <w:r>
        <w:rPr>
          <w:sz w:val="20"/>
        </w:rPr>
        <w:t>seguridad </w:t>
      </w:r>
      <w:r>
        <w:rPr>
          <w:spacing w:val="-2"/>
          <w:sz w:val="20"/>
        </w:rPr>
        <w:t>nacional;</w:t>
      </w:r>
    </w:p>
    <w:p>
      <w:pPr>
        <w:pStyle w:val="BodyText"/>
      </w:pPr>
    </w:p>
    <w:p>
      <w:pPr>
        <w:pStyle w:val="ListParagraph"/>
        <w:numPr>
          <w:ilvl w:val="0"/>
          <w:numId w:val="5"/>
        </w:numPr>
        <w:tabs>
          <w:tab w:pos="827" w:val="left" w:leader="none"/>
        </w:tabs>
        <w:spacing w:line="240" w:lineRule="auto" w:before="0" w:after="0"/>
        <w:ind w:left="262" w:right="284" w:firstLine="0"/>
        <w:jc w:val="both"/>
        <w:rPr>
          <w:sz w:val="20"/>
        </w:rPr>
      </w:pPr>
      <w:r>
        <w:rPr>
          <w:sz w:val="20"/>
        </w:rPr>
        <w:t>La</w:t>
      </w:r>
      <w:r>
        <w:rPr>
          <w:spacing w:val="-13"/>
          <w:sz w:val="20"/>
        </w:rPr>
        <w:t> </w:t>
      </w:r>
      <w:r>
        <w:rPr>
          <w:sz w:val="20"/>
        </w:rPr>
        <w:t>creación,</w:t>
      </w:r>
      <w:r>
        <w:rPr>
          <w:spacing w:val="-12"/>
          <w:sz w:val="20"/>
        </w:rPr>
        <w:t> </w:t>
      </w:r>
      <w:r>
        <w:rPr>
          <w:sz w:val="20"/>
        </w:rPr>
        <w:t>recuperación,</w:t>
      </w:r>
      <w:r>
        <w:rPr>
          <w:spacing w:val="-9"/>
          <w:sz w:val="20"/>
        </w:rPr>
        <w:t> </w:t>
      </w:r>
      <w:r>
        <w:rPr>
          <w:sz w:val="20"/>
        </w:rPr>
        <w:t>mantenimiento</w:t>
      </w:r>
      <w:r>
        <w:rPr>
          <w:spacing w:val="-12"/>
          <w:sz w:val="20"/>
        </w:rPr>
        <w:t> </w:t>
      </w:r>
      <w:r>
        <w:rPr>
          <w:sz w:val="20"/>
        </w:rPr>
        <w:t>y</w:t>
      </w:r>
      <w:r>
        <w:rPr>
          <w:spacing w:val="-11"/>
          <w:sz w:val="20"/>
        </w:rPr>
        <w:t> </w:t>
      </w:r>
      <w:r>
        <w:rPr>
          <w:sz w:val="20"/>
        </w:rPr>
        <w:t>defensa</w:t>
      </w:r>
      <w:r>
        <w:rPr>
          <w:spacing w:val="-11"/>
          <w:sz w:val="20"/>
        </w:rPr>
        <w:t> </w:t>
      </w:r>
      <w:r>
        <w:rPr>
          <w:sz w:val="20"/>
        </w:rPr>
        <w:t>del</w:t>
      </w:r>
      <w:r>
        <w:rPr>
          <w:spacing w:val="-11"/>
          <w:sz w:val="20"/>
        </w:rPr>
        <w:t> </w:t>
      </w:r>
      <w:r>
        <w:rPr>
          <w:sz w:val="20"/>
        </w:rPr>
        <w:t>espacio</w:t>
      </w:r>
      <w:r>
        <w:rPr>
          <w:spacing w:val="-11"/>
          <w:sz w:val="20"/>
        </w:rPr>
        <w:t> </w:t>
      </w:r>
      <w:r>
        <w:rPr>
          <w:sz w:val="20"/>
        </w:rPr>
        <w:t>público</w:t>
      </w:r>
      <w:r>
        <w:rPr>
          <w:spacing w:val="-12"/>
          <w:sz w:val="20"/>
        </w:rPr>
        <w:t> </w:t>
      </w:r>
      <w:r>
        <w:rPr>
          <w:sz w:val="20"/>
        </w:rPr>
        <w:t>para</w:t>
      </w:r>
      <w:r>
        <w:rPr>
          <w:spacing w:val="-10"/>
          <w:sz w:val="20"/>
        </w:rPr>
        <w:t> </w:t>
      </w:r>
      <w:r>
        <w:rPr>
          <w:sz w:val="20"/>
        </w:rPr>
        <w:t>uso</w:t>
      </w:r>
      <w:r>
        <w:rPr>
          <w:spacing w:val="-11"/>
          <w:sz w:val="20"/>
        </w:rPr>
        <w:t> </w:t>
      </w:r>
      <w:r>
        <w:rPr>
          <w:sz w:val="20"/>
        </w:rPr>
        <w:t>comunitario y para la movilidad;</w:t>
      </w:r>
    </w:p>
    <w:p>
      <w:pPr>
        <w:pStyle w:val="BodyText"/>
        <w:spacing w:before="1"/>
      </w:pPr>
    </w:p>
    <w:p>
      <w:pPr>
        <w:pStyle w:val="ListParagraph"/>
        <w:numPr>
          <w:ilvl w:val="0"/>
          <w:numId w:val="5"/>
        </w:numPr>
        <w:tabs>
          <w:tab w:pos="688" w:val="left" w:leader="none"/>
        </w:tabs>
        <w:spacing w:line="240" w:lineRule="auto" w:before="0" w:after="0"/>
        <w:ind w:left="262" w:right="285" w:firstLine="0"/>
        <w:jc w:val="both"/>
        <w:rPr>
          <w:sz w:val="20"/>
        </w:rPr>
      </w:pPr>
      <w:r>
        <w:rPr>
          <w:sz w:val="20"/>
        </w:rPr>
        <w:t>La</w:t>
      </w:r>
      <w:r>
        <w:rPr>
          <w:spacing w:val="-5"/>
          <w:sz w:val="20"/>
        </w:rPr>
        <w:t> </w:t>
      </w:r>
      <w:r>
        <w:rPr>
          <w:sz w:val="20"/>
        </w:rPr>
        <w:t>conservación,</w:t>
      </w:r>
      <w:r>
        <w:rPr>
          <w:spacing w:val="-2"/>
          <w:sz w:val="20"/>
        </w:rPr>
        <w:t> </w:t>
      </w:r>
      <w:r>
        <w:rPr>
          <w:sz w:val="20"/>
        </w:rPr>
        <w:t>protección</w:t>
      </w:r>
      <w:r>
        <w:rPr>
          <w:spacing w:val="-4"/>
          <w:sz w:val="20"/>
        </w:rPr>
        <w:t> </w:t>
      </w:r>
      <w:r>
        <w:rPr>
          <w:sz w:val="20"/>
        </w:rPr>
        <w:t>y</w:t>
      </w:r>
      <w:r>
        <w:rPr>
          <w:spacing w:val="-3"/>
          <w:sz w:val="20"/>
        </w:rPr>
        <w:t> </w:t>
      </w:r>
      <w:r>
        <w:rPr>
          <w:sz w:val="20"/>
        </w:rPr>
        <w:t>mejoramiento</w:t>
      </w:r>
      <w:r>
        <w:rPr>
          <w:spacing w:val="-3"/>
          <w:sz w:val="20"/>
        </w:rPr>
        <w:t> </w:t>
      </w:r>
      <w:r>
        <w:rPr>
          <w:sz w:val="20"/>
        </w:rPr>
        <w:t>del</w:t>
      </w:r>
      <w:r>
        <w:rPr>
          <w:spacing w:val="-5"/>
          <w:sz w:val="20"/>
        </w:rPr>
        <w:t> </w:t>
      </w:r>
      <w:r>
        <w:rPr>
          <w:sz w:val="20"/>
        </w:rPr>
        <w:t>entorno</w:t>
      </w:r>
      <w:r>
        <w:rPr>
          <w:spacing w:val="-5"/>
          <w:sz w:val="20"/>
        </w:rPr>
        <w:t> </w:t>
      </w:r>
      <w:r>
        <w:rPr>
          <w:sz w:val="20"/>
        </w:rPr>
        <w:t>natural</w:t>
      </w:r>
      <w:r>
        <w:rPr>
          <w:spacing w:val="-5"/>
          <w:sz w:val="20"/>
        </w:rPr>
        <w:t> </w:t>
      </w:r>
      <w:r>
        <w:rPr>
          <w:sz w:val="20"/>
        </w:rPr>
        <w:t>y</w:t>
      </w:r>
      <w:r>
        <w:rPr>
          <w:spacing w:val="-3"/>
          <w:sz w:val="20"/>
        </w:rPr>
        <w:t> </w:t>
      </w:r>
      <w:r>
        <w:rPr>
          <w:sz w:val="20"/>
        </w:rPr>
        <w:t>del</w:t>
      </w:r>
      <w:r>
        <w:rPr>
          <w:spacing w:val="-5"/>
          <w:sz w:val="20"/>
        </w:rPr>
        <w:t> </w:t>
      </w:r>
      <w:r>
        <w:rPr>
          <w:sz w:val="20"/>
        </w:rPr>
        <w:t>patrimonio</w:t>
      </w:r>
      <w:r>
        <w:rPr>
          <w:spacing w:val="-2"/>
          <w:sz w:val="20"/>
        </w:rPr>
        <w:t> </w:t>
      </w:r>
      <w:r>
        <w:rPr>
          <w:sz w:val="20"/>
        </w:rPr>
        <w:t>cultural</w:t>
      </w:r>
      <w:r>
        <w:rPr>
          <w:spacing w:val="-5"/>
          <w:sz w:val="20"/>
        </w:rPr>
        <w:t> </w:t>
      </w:r>
      <w:r>
        <w:rPr>
          <w:sz w:val="20"/>
        </w:rPr>
        <w:t>de</w:t>
      </w:r>
      <w:r>
        <w:rPr>
          <w:spacing w:val="-2"/>
          <w:sz w:val="20"/>
        </w:rPr>
        <w:t> </w:t>
      </w:r>
      <w:r>
        <w:rPr>
          <w:sz w:val="20"/>
        </w:rPr>
        <w:t>los centros de población;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5"/>
        </w:numPr>
        <w:tabs>
          <w:tab w:pos="544" w:val="left" w:leader="none"/>
        </w:tabs>
        <w:spacing w:line="240" w:lineRule="auto" w:before="0" w:after="0"/>
        <w:ind w:left="262" w:right="288" w:firstLine="0"/>
        <w:jc w:val="both"/>
        <w:rPr>
          <w:sz w:val="20"/>
        </w:rPr>
      </w:pPr>
      <w:r>
        <w:rPr>
          <w:sz w:val="20"/>
        </w:rPr>
        <w:t>La conservación, protección y mejoramiento de las zonas con valor patrimonial público de los centros de población;</w:t>
      </w:r>
    </w:p>
    <w:p>
      <w:pPr>
        <w:pStyle w:val="BodyText"/>
        <w:spacing w:before="1"/>
      </w:pPr>
    </w:p>
    <w:p>
      <w:pPr>
        <w:pStyle w:val="ListParagraph"/>
        <w:numPr>
          <w:ilvl w:val="0"/>
          <w:numId w:val="5"/>
        </w:numPr>
        <w:tabs>
          <w:tab w:pos="827" w:val="left" w:leader="none"/>
        </w:tabs>
        <w:spacing w:line="240" w:lineRule="auto" w:before="1" w:after="0"/>
        <w:ind w:left="262" w:right="285" w:firstLine="0"/>
        <w:jc w:val="both"/>
        <w:rPr>
          <w:sz w:val="20"/>
        </w:rPr>
      </w:pPr>
      <w:r>
        <w:rPr>
          <w:sz w:val="20"/>
        </w:rPr>
        <w:t>La</w:t>
      </w:r>
      <w:r>
        <w:rPr>
          <w:spacing w:val="-5"/>
          <w:sz w:val="20"/>
        </w:rPr>
        <w:t> </w:t>
      </w:r>
      <w:r>
        <w:rPr>
          <w:sz w:val="20"/>
        </w:rPr>
        <w:t>ejecución</w:t>
      </w:r>
      <w:r>
        <w:rPr>
          <w:spacing w:val="-5"/>
          <w:sz w:val="20"/>
        </w:rPr>
        <w:t> </w:t>
      </w:r>
      <w:r>
        <w:rPr>
          <w:sz w:val="20"/>
        </w:rPr>
        <w:t>y</w:t>
      </w:r>
      <w:r>
        <w:rPr>
          <w:spacing w:val="-5"/>
          <w:sz w:val="20"/>
        </w:rPr>
        <w:t> </w:t>
      </w:r>
      <w:r>
        <w:rPr>
          <w:sz w:val="20"/>
        </w:rPr>
        <w:t>cumplimiento</w:t>
      </w:r>
      <w:r>
        <w:rPr>
          <w:spacing w:val="-7"/>
          <w:sz w:val="20"/>
        </w:rPr>
        <w:t> </w:t>
      </w:r>
      <w:r>
        <w:rPr>
          <w:sz w:val="20"/>
        </w:rPr>
        <w:t>de</w:t>
      </w:r>
      <w:r>
        <w:rPr>
          <w:spacing w:val="-4"/>
          <w:sz w:val="20"/>
        </w:rPr>
        <w:t> </w:t>
      </w:r>
      <w:r>
        <w:rPr>
          <w:sz w:val="20"/>
        </w:rPr>
        <w:t>los</w:t>
      </w:r>
      <w:r>
        <w:rPr>
          <w:spacing w:val="-6"/>
          <w:sz w:val="20"/>
        </w:rPr>
        <w:t> </w:t>
      </w:r>
      <w:r>
        <w:rPr>
          <w:sz w:val="20"/>
        </w:rPr>
        <w:t>programas</w:t>
      </w:r>
      <w:r>
        <w:rPr>
          <w:spacing w:val="-6"/>
          <w:sz w:val="20"/>
        </w:rPr>
        <w:t> </w:t>
      </w:r>
      <w:r>
        <w:rPr>
          <w:sz w:val="20"/>
        </w:rPr>
        <w:t>de</w:t>
      </w:r>
      <w:r>
        <w:rPr>
          <w:spacing w:val="-7"/>
          <w:sz w:val="20"/>
        </w:rPr>
        <w:t> </w:t>
      </w:r>
      <w:r>
        <w:rPr>
          <w:sz w:val="20"/>
        </w:rPr>
        <w:t>ordenamiento</w:t>
      </w:r>
      <w:r>
        <w:rPr>
          <w:spacing w:val="-7"/>
          <w:sz w:val="20"/>
        </w:rPr>
        <w:t> </w:t>
      </w:r>
      <w:r>
        <w:rPr>
          <w:sz w:val="20"/>
        </w:rPr>
        <w:t>territorial</w:t>
      </w:r>
      <w:r>
        <w:rPr>
          <w:spacing w:val="-6"/>
          <w:sz w:val="20"/>
        </w:rPr>
        <w:t> </w:t>
      </w:r>
      <w:r>
        <w:rPr>
          <w:sz w:val="20"/>
        </w:rPr>
        <w:t>y</w:t>
      </w:r>
      <w:r>
        <w:rPr>
          <w:spacing w:val="-3"/>
          <w:sz w:val="20"/>
        </w:rPr>
        <w:t> </w:t>
      </w:r>
      <w:r>
        <w:rPr>
          <w:sz w:val="20"/>
        </w:rPr>
        <w:t>desarrollo</w:t>
      </w:r>
      <w:r>
        <w:rPr>
          <w:spacing w:val="-4"/>
          <w:sz w:val="20"/>
        </w:rPr>
        <w:t> </w:t>
      </w:r>
      <w:r>
        <w:rPr>
          <w:sz w:val="20"/>
        </w:rPr>
        <w:t>urbano a que se refiere esta Ley;</w:t>
      </w:r>
    </w:p>
    <w:p>
      <w:pPr>
        <w:pStyle w:val="ListParagraph"/>
        <w:numPr>
          <w:ilvl w:val="0"/>
          <w:numId w:val="5"/>
        </w:numPr>
        <w:tabs>
          <w:tab w:pos="827" w:val="left" w:leader="none"/>
        </w:tabs>
        <w:spacing w:line="240" w:lineRule="auto" w:before="228" w:after="0"/>
        <w:ind w:left="262" w:right="284" w:firstLine="0"/>
        <w:jc w:val="both"/>
        <w:rPr>
          <w:sz w:val="20"/>
        </w:rPr>
      </w:pPr>
      <w:r>
        <w:rPr>
          <w:sz w:val="20"/>
        </w:rPr>
        <w:t>La</w:t>
      </w:r>
      <w:r>
        <w:rPr>
          <w:spacing w:val="-1"/>
          <w:sz w:val="20"/>
        </w:rPr>
        <w:t> </w:t>
      </w:r>
      <w:r>
        <w:rPr>
          <w:sz w:val="20"/>
        </w:rPr>
        <w:t>zonificación del territorio del Estado</w:t>
      </w:r>
      <w:r>
        <w:rPr>
          <w:spacing w:val="-1"/>
          <w:sz w:val="20"/>
        </w:rPr>
        <w:t> </w:t>
      </w:r>
      <w:r>
        <w:rPr>
          <w:sz w:val="20"/>
        </w:rPr>
        <w:t>que</w:t>
      </w:r>
      <w:r>
        <w:rPr>
          <w:spacing w:val="-1"/>
          <w:sz w:val="20"/>
        </w:rPr>
        <w:t> </w:t>
      </w:r>
      <w:r>
        <w:rPr>
          <w:sz w:val="20"/>
        </w:rPr>
        <w:t>se</w:t>
      </w:r>
      <w:r>
        <w:rPr>
          <w:spacing w:val="-1"/>
          <w:sz w:val="20"/>
        </w:rPr>
        <w:t> </w:t>
      </w:r>
      <w:r>
        <w:rPr>
          <w:sz w:val="20"/>
        </w:rPr>
        <w:t>contemplará en los respectivos programas de ordenamiento</w:t>
      </w:r>
      <w:r>
        <w:rPr>
          <w:spacing w:val="-11"/>
          <w:sz w:val="20"/>
        </w:rPr>
        <w:t> </w:t>
      </w:r>
      <w:r>
        <w:rPr>
          <w:sz w:val="20"/>
        </w:rPr>
        <w:t>territorial</w:t>
      </w:r>
      <w:r>
        <w:rPr>
          <w:spacing w:val="-10"/>
          <w:sz w:val="20"/>
        </w:rPr>
        <w:t> </w:t>
      </w:r>
      <w:r>
        <w:rPr>
          <w:sz w:val="20"/>
        </w:rPr>
        <w:t>y</w:t>
      </w:r>
      <w:r>
        <w:rPr>
          <w:spacing w:val="-10"/>
          <w:sz w:val="20"/>
        </w:rPr>
        <w:t> </w:t>
      </w:r>
      <w:r>
        <w:rPr>
          <w:sz w:val="20"/>
        </w:rPr>
        <w:t>desarrollo</w:t>
      </w:r>
      <w:r>
        <w:rPr>
          <w:spacing w:val="-11"/>
          <w:sz w:val="20"/>
        </w:rPr>
        <w:t> </w:t>
      </w:r>
      <w:r>
        <w:rPr>
          <w:sz w:val="20"/>
        </w:rPr>
        <w:t>urbano,</w:t>
      </w:r>
      <w:r>
        <w:rPr>
          <w:spacing w:val="-12"/>
          <w:sz w:val="20"/>
        </w:rPr>
        <w:t> </w:t>
      </w:r>
      <w:r>
        <w:rPr>
          <w:sz w:val="20"/>
        </w:rPr>
        <w:t>así</w:t>
      </w:r>
      <w:r>
        <w:rPr>
          <w:spacing w:val="-9"/>
          <w:sz w:val="20"/>
        </w:rPr>
        <w:t> </w:t>
      </w:r>
      <w:r>
        <w:rPr>
          <w:sz w:val="20"/>
        </w:rPr>
        <w:t>como</w:t>
      </w:r>
      <w:r>
        <w:rPr>
          <w:spacing w:val="-9"/>
          <w:sz w:val="20"/>
        </w:rPr>
        <w:t> </w:t>
      </w:r>
      <w:r>
        <w:rPr>
          <w:sz w:val="20"/>
        </w:rPr>
        <w:t>la</w:t>
      </w:r>
      <w:r>
        <w:rPr>
          <w:spacing w:val="-11"/>
          <w:sz w:val="20"/>
        </w:rPr>
        <w:t> </w:t>
      </w:r>
      <w:r>
        <w:rPr>
          <w:sz w:val="20"/>
        </w:rPr>
        <w:t>determinación</w:t>
      </w:r>
      <w:r>
        <w:rPr>
          <w:spacing w:val="-10"/>
          <w:sz w:val="20"/>
        </w:rPr>
        <w:t> </w:t>
      </w:r>
      <w:r>
        <w:rPr>
          <w:sz w:val="20"/>
        </w:rPr>
        <w:t>de</w:t>
      </w:r>
      <w:r>
        <w:rPr>
          <w:spacing w:val="-10"/>
          <w:sz w:val="20"/>
        </w:rPr>
        <w:t> </w:t>
      </w:r>
      <w:r>
        <w:rPr>
          <w:sz w:val="20"/>
        </w:rPr>
        <w:t>las</w:t>
      </w:r>
      <w:r>
        <w:rPr>
          <w:spacing w:val="-10"/>
          <w:sz w:val="20"/>
        </w:rPr>
        <w:t> </w:t>
      </w:r>
      <w:r>
        <w:rPr>
          <w:sz w:val="20"/>
        </w:rPr>
        <w:t>provisiones</w:t>
      </w:r>
      <w:r>
        <w:rPr>
          <w:spacing w:val="-10"/>
          <w:sz w:val="20"/>
        </w:rPr>
        <w:t> </w:t>
      </w:r>
      <w:r>
        <w:rPr>
          <w:sz w:val="20"/>
        </w:rPr>
        <w:t>y</w:t>
      </w:r>
      <w:r>
        <w:rPr>
          <w:spacing w:val="-10"/>
          <w:sz w:val="20"/>
        </w:rPr>
        <w:t> </w:t>
      </w:r>
      <w:r>
        <w:rPr>
          <w:sz w:val="20"/>
        </w:rPr>
        <w:t>reservas del suelo, la clasificación de los usos y destinos específicos de áreas y predios, de sus actividades y giros predominantes, y la aplicación de normas para la utilización del mismo;</w:t>
      </w:r>
    </w:p>
    <w:p>
      <w:pPr>
        <w:pStyle w:val="BodyText"/>
        <w:spacing w:before="1"/>
      </w:pPr>
    </w:p>
    <w:p>
      <w:pPr>
        <w:pStyle w:val="ListParagraph"/>
        <w:numPr>
          <w:ilvl w:val="0"/>
          <w:numId w:val="5"/>
        </w:numPr>
        <w:tabs>
          <w:tab w:pos="827" w:val="left" w:leader="none"/>
        </w:tabs>
        <w:spacing w:line="240" w:lineRule="auto" w:before="0" w:after="0"/>
        <w:ind w:left="262" w:right="287" w:firstLine="0"/>
        <w:jc w:val="both"/>
        <w:rPr>
          <w:sz w:val="20"/>
        </w:rPr>
      </w:pPr>
      <w:r>
        <w:rPr>
          <w:sz w:val="20"/>
        </w:rPr>
        <w:t>Las</w:t>
      </w:r>
      <w:r>
        <w:rPr>
          <w:spacing w:val="-1"/>
          <w:sz w:val="20"/>
        </w:rPr>
        <w:t> </w:t>
      </w:r>
      <w:r>
        <w:rPr>
          <w:sz w:val="20"/>
        </w:rPr>
        <w:t>acciones</w:t>
      </w:r>
      <w:r>
        <w:rPr>
          <w:spacing w:val="-1"/>
          <w:sz w:val="20"/>
        </w:rPr>
        <w:t> </w:t>
      </w:r>
      <w:r>
        <w:rPr>
          <w:sz w:val="20"/>
        </w:rPr>
        <w:t>que</w:t>
      </w:r>
      <w:r>
        <w:rPr>
          <w:spacing w:val="-2"/>
          <w:sz w:val="20"/>
        </w:rPr>
        <w:t> </w:t>
      </w:r>
      <w:r>
        <w:rPr>
          <w:sz w:val="20"/>
        </w:rPr>
        <w:t>lleve</w:t>
      </w:r>
      <w:r>
        <w:rPr>
          <w:spacing w:val="-2"/>
          <w:sz w:val="20"/>
        </w:rPr>
        <w:t> </w:t>
      </w:r>
      <w:r>
        <w:rPr>
          <w:sz w:val="20"/>
        </w:rPr>
        <w:t>a cabo</w:t>
      </w:r>
      <w:r>
        <w:rPr>
          <w:spacing w:val="-2"/>
          <w:sz w:val="20"/>
        </w:rPr>
        <w:t> </w:t>
      </w:r>
      <w:r>
        <w:rPr>
          <w:sz w:val="20"/>
        </w:rPr>
        <w:t>el</w:t>
      </w:r>
      <w:r>
        <w:rPr>
          <w:spacing w:val="-3"/>
          <w:sz w:val="20"/>
        </w:rPr>
        <w:t> </w:t>
      </w:r>
      <w:r>
        <w:rPr>
          <w:sz w:val="20"/>
        </w:rPr>
        <w:t>Gobierno, para mitigar</w:t>
      </w:r>
      <w:r>
        <w:rPr>
          <w:spacing w:val="-1"/>
          <w:sz w:val="20"/>
        </w:rPr>
        <w:t> </w:t>
      </w:r>
      <w:r>
        <w:rPr>
          <w:sz w:val="20"/>
        </w:rPr>
        <w:t>y</w:t>
      </w:r>
      <w:r>
        <w:rPr>
          <w:spacing w:val="-1"/>
          <w:sz w:val="20"/>
        </w:rPr>
        <w:t> </w:t>
      </w:r>
      <w:r>
        <w:rPr>
          <w:sz w:val="20"/>
        </w:rPr>
        <w:t>disminuir</w:t>
      </w:r>
      <w:r>
        <w:rPr>
          <w:spacing w:val="-1"/>
          <w:sz w:val="20"/>
        </w:rPr>
        <w:t> </w:t>
      </w:r>
      <w:r>
        <w:rPr>
          <w:sz w:val="20"/>
        </w:rPr>
        <w:t>la</w:t>
      </w:r>
      <w:r>
        <w:rPr>
          <w:spacing w:val="-2"/>
          <w:sz w:val="20"/>
        </w:rPr>
        <w:t> </w:t>
      </w:r>
      <w:r>
        <w:rPr>
          <w:sz w:val="20"/>
        </w:rPr>
        <w:t>vulnerabilidad</w:t>
      </w:r>
      <w:r>
        <w:rPr>
          <w:spacing w:val="-2"/>
          <w:sz w:val="20"/>
        </w:rPr>
        <w:t> </w:t>
      </w:r>
      <w:r>
        <w:rPr>
          <w:sz w:val="20"/>
        </w:rPr>
        <w:t>a la que se</w:t>
      </w:r>
      <w:r>
        <w:rPr>
          <w:spacing w:val="-14"/>
          <w:sz w:val="20"/>
        </w:rPr>
        <w:t> </w:t>
      </w:r>
      <w:r>
        <w:rPr>
          <w:sz w:val="20"/>
        </w:rPr>
        <w:t>encuentren</w:t>
      </w:r>
      <w:r>
        <w:rPr>
          <w:spacing w:val="-14"/>
          <w:sz w:val="20"/>
        </w:rPr>
        <w:t> </w:t>
      </w:r>
      <w:r>
        <w:rPr>
          <w:sz w:val="20"/>
        </w:rPr>
        <w:t>sujetas</w:t>
      </w:r>
      <w:r>
        <w:rPr>
          <w:spacing w:val="-14"/>
          <w:sz w:val="20"/>
        </w:rPr>
        <w:t> </w:t>
      </w:r>
      <w:r>
        <w:rPr>
          <w:sz w:val="20"/>
        </w:rPr>
        <w:t>las</w:t>
      </w:r>
      <w:r>
        <w:rPr>
          <w:spacing w:val="-14"/>
          <w:sz w:val="20"/>
        </w:rPr>
        <w:t> </w:t>
      </w:r>
      <w:r>
        <w:rPr>
          <w:sz w:val="20"/>
        </w:rPr>
        <w:t>diferentes</w:t>
      </w:r>
      <w:r>
        <w:rPr>
          <w:spacing w:val="-12"/>
          <w:sz w:val="20"/>
        </w:rPr>
        <w:t> </w:t>
      </w:r>
      <w:r>
        <w:rPr>
          <w:sz w:val="20"/>
        </w:rPr>
        <w:t>zonas</w:t>
      </w:r>
      <w:r>
        <w:rPr>
          <w:spacing w:val="-14"/>
          <w:sz w:val="20"/>
        </w:rPr>
        <w:t> </w:t>
      </w:r>
      <w:r>
        <w:rPr>
          <w:sz w:val="20"/>
        </w:rPr>
        <w:t>de</w:t>
      </w:r>
      <w:r>
        <w:rPr>
          <w:spacing w:val="-14"/>
          <w:sz w:val="20"/>
        </w:rPr>
        <w:t> </w:t>
      </w:r>
      <w:r>
        <w:rPr>
          <w:sz w:val="20"/>
        </w:rPr>
        <w:t>las</w:t>
      </w:r>
      <w:r>
        <w:rPr>
          <w:spacing w:val="-13"/>
          <w:sz w:val="20"/>
        </w:rPr>
        <w:t> </w:t>
      </w:r>
      <w:r>
        <w:rPr>
          <w:sz w:val="20"/>
        </w:rPr>
        <w:t>localidades</w:t>
      </w:r>
      <w:r>
        <w:rPr>
          <w:spacing w:val="-13"/>
          <w:sz w:val="20"/>
        </w:rPr>
        <w:t> </w:t>
      </w:r>
      <w:r>
        <w:rPr>
          <w:sz w:val="20"/>
        </w:rPr>
        <w:t>urbanas</w:t>
      </w:r>
      <w:r>
        <w:rPr>
          <w:spacing w:val="-14"/>
          <w:sz w:val="20"/>
        </w:rPr>
        <w:t> </w:t>
      </w:r>
      <w:r>
        <w:rPr>
          <w:sz w:val="20"/>
        </w:rPr>
        <w:t>y</w:t>
      </w:r>
      <w:r>
        <w:rPr>
          <w:spacing w:val="-12"/>
          <w:sz w:val="20"/>
        </w:rPr>
        <w:t> </w:t>
      </w:r>
      <w:r>
        <w:rPr>
          <w:sz w:val="20"/>
        </w:rPr>
        <w:t>rurales,</w:t>
      </w:r>
      <w:r>
        <w:rPr>
          <w:spacing w:val="-14"/>
          <w:sz w:val="20"/>
        </w:rPr>
        <w:t> </w:t>
      </w:r>
      <w:r>
        <w:rPr>
          <w:sz w:val="20"/>
        </w:rPr>
        <w:t>que</w:t>
      </w:r>
      <w:r>
        <w:rPr>
          <w:spacing w:val="-14"/>
          <w:sz w:val="20"/>
        </w:rPr>
        <w:t> </w:t>
      </w:r>
      <w:r>
        <w:rPr>
          <w:sz w:val="20"/>
        </w:rPr>
        <w:t>así</w:t>
      </w:r>
      <w:r>
        <w:rPr>
          <w:spacing w:val="-14"/>
          <w:sz w:val="20"/>
        </w:rPr>
        <w:t> </w:t>
      </w:r>
      <w:r>
        <w:rPr>
          <w:sz w:val="20"/>
        </w:rPr>
        <w:t>lo</w:t>
      </w:r>
      <w:r>
        <w:rPr>
          <w:spacing w:val="-14"/>
          <w:sz w:val="20"/>
        </w:rPr>
        <w:t> </w:t>
      </w:r>
      <w:r>
        <w:rPr>
          <w:sz w:val="20"/>
        </w:rPr>
        <w:t>requieran;</w:t>
      </w:r>
    </w:p>
    <w:p>
      <w:pPr>
        <w:pStyle w:val="BodyText"/>
        <w:spacing w:before="1"/>
      </w:pPr>
    </w:p>
    <w:p>
      <w:pPr>
        <w:pStyle w:val="ListParagraph"/>
        <w:numPr>
          <w:ilvl w:val="0"/>
          <w:numId w:val="5"/>
        </w:numPr>
        <w:tabs>
          <w:tab w:pos="828" w:val="left" w:leader="none"/>
        </w:tabs>
        <w:spacing w:line="240" w:lineRule="auto" w:before="0" w:after="0"/>
        <w:ind w:left="828" w:right="0" w:hanging="566"/>
        <w:jc w:val="both"/>
        <w:rPr>
          <w:sz w:val="20"/>
        </w:rPr>
      </w:pPr>
      <w:r>
        <w:rPr>
          <w:spacing w:val="-2"/>
          <w:sz w:val="20"/>
        </w:rPr>
        <w:t>La</w:t>
      </w:r>
      <w:r>
        <w:rPr>
          <w:spacing w:val="-6"/>
          <w:sz w:val="20"/>
        </w:rPr>
        <w:t> </w:t>
      </w:r>
      <w:r>
        <w:rPr>
          <w:spacing w:val="-2"/>
          <w:sz w:val="20"/>
        </w:rPr>
        <w:t>atención</w:t>
      </w:r>
      <w:r>
        <w:rPr>
          <w:spacing w:val="-6"/>
          <w:sz w:val="20"/>
        </w:rPr>
        <w:t> </w:t>
      </w:r>
      <w:r>
        <w:rPr>
          <w:spacing w:val="-2"/>
          <w:sz w:val="20"/>
        </w:rPr>
        <w:t>de</w:t>
      </w:r>
      <w:r>
        <w:rPr>
          <w:spacing w:val="-8"/>
          <w:sz w:val="20"/>
        </w:rPr>
        <w:t> </w:t>
      </w:r>
      <w:r>
        <w:rPr>
          <w:spacing w:val="-2"/>
          <w:sz w:val="20"/>
        </w:rPr>
        <w:t>situaciones</w:t>
      </w:r>
      <w:r>
        <w:rPr>
          <w:spacing w:val="-5"/>
          <w:sz w:val="20"/>
        </w:rPr>
        <w:t> </w:t>
      </w:r>
      <w:r>
        <w:rPr>
          <w:spacing w:val="-2"/>
          <w:sz w:val="20"/>
        </w:rPr>
        <w:t>de</w:t>
      </w:r>
      <w:r>
        <w:rPr>
          <w:spacing w:val="-6"/>
          <w:sz w:val="20"/>
        </w:rPr>
        <w:t> </w:t>
      </w:r>
      <w:r>
        <w:rPr>
          <w:spacing w:val="-2"/>
          <w:sz w:val="20"/>
        </w:rPr>
        <w:t>emergencia</w:t>
      </w:r>
      <w:r>
        <w:rPr>
          <w:spacing w:val="-6"/>
          <w:sz w:val="20"/>
        </w:rPr>
        <w:t> </w:t>
      </w:r>
      <w:r>
        <w:rPr>
          <w:spacing w:val="-2"/>
          <w:sz w:val="20"/>
        </w:rPr>
        <w:t>debidas</w:t>
      </w:r>
      <w:r>
        <w:rPr>
          <w:spacing w:val="-7"/>
          <w:sz w:val="20"/>
        </w:rPr>
        <w:t> </w:t>
      </w:r>
      <w:r>
        <w:rPr>
          <w:spacing w:val="-2"/>
          <w:sz w:val="20"/>
        </w:rPr>
        <w:t>al</w:t>
      </w:r>
      <w:r>
        <w:rPr>
          <w:spacing w:val="-9"/>
          <w:sz w:val="20"/>
        </w:rPr>
        <w:t> </w:t>
      </w:r>
      <w:r>
        <w:rPr>
          <w:spacing w:val="-2"/>
          <w:sz w:val="20"/>
        </w:rPr>
        <w:t>cambio</w:t>
      </w:r>
      <w:r>
        <w:rPr>
          <w:spacing w:val="-6"/>
          <w:sz w:val="20"/>
        </w:rPr>
        <w:t> </w:t>
      </w:r>
      <w:r>
        <w:rPr>
          <w:spacing w:val="-2"/>
          <w:sz w:val="20"/>
        </w:rPr>
        <w:t>climático</w:t>
      </w:r>
      <w:r>
        <w:rPr>
          <w:spacing w:val="-8"/>
          <w:sz w:val="20"/>
        </w:rPr>
        <w:t> </w:t>
      </w:r>
      <w:r>
        <w:rPr>
          <w:spacing w:val="-2"/>
          <w:sz w:val="20"/>
        </w:rPr>
        <w:t>y</w:t>
      </w:r>
      <w:r>
        <w:rPr>
          <w:spacing w:val="-4"/>
          <w:sz w:val="20"/>
        </w:rPr>
        <w:t> </w:t>
      </w:r>
      <w:r>
        <w:rPr>
          <w:spacing w:val="-2"/>
          <w:sz w:val="20"/>
        </w:rPr>
        <w:t>fenómenos</w:t>
      </w:r>
      <w:r>
        <w:rPr>
          <w:spacing w:val="-7"/>
          <w:sz w:val="20"/>
        </w:rPr>
        <w:t> </w:t>
      </w:r>
      <w:r>
        <w:rPr>
          <w:spacing w:val="-2"/>
          <w:sz w:val="20"/>
        </w:rPr>
        <w:t>naturales;</w:t>
      </w:r>
    </w:p>
    <w:p>
      <w:pPr>
        <w:pStyle w:val="ListParagraph"/>
        <w:numPr>
          <w:ilvl w:val="0"/>
          <w:numId w:val="5"/>
        </w:numPr>
        <w:tabs>
          <w:tab w:pos="969" w:val="left" w:leader="none"/>
        </w:tabs>
        <w:spacing w:line="240" w:lineRule="auto" w:before="228" w:after="0"/>
        <w:ind w:left="262" w:right="286" w:firstLine="0"/>
        <w:jc w:val="both"/>
        <w:rPr>
          <w:sz w:val="20"/>
        </w:rPr>
      </w:pPr>
      <w:r>
        <w:rPr>
          <w:sz w:val="20"/>
        </w:rPr>
        <w:t>La preservación y restauración del equilibrio ecológico y la protección del ambiente en el territorio de Estado, y</w:t>
      </w:r>
    </w:p>
    <w:p>
      <w:pPr>
        <w:pStyle w:val="BodyText"/>
        <w:spacing w:before="2"/>
      </w:pPr>
    </w:p>
    <w:p>
      <w:pPr>
        <w:pStyle w:val="ListParagraph"/>
        <w:numPr>
          <w:ilvl w:val="0"/>
          <w:numId w:val="5"/>
        </w:numPr>
        <w:tabs>
          <w:tab w:pos="968" w:val="left" w:leader="none"/>
        </w:tabs>
        <w:spacing w:line="240" w:lineRule="auto" w:before="0" w:after="0"/>
        <w:ind w:left="262" w:right="289" w:firstLine="0"/>
        <w:jc w:val="both"/>
        <w:rPr>
          <w:sz w:val="20"/>
        </w:rPr>
      </w:pPr>
      <w:r>
        <w:rPr>
          <w:sz w:val="20"/>
        </w:rPr>
        <w:t>El control y la observancia de las disposiciones de esta Ley, su reglamentación, y demás ordenamientos de la materia.</w:t>
      </w:r>
    </w:p>
    <w:p>
      <w:pPr>
        <w:pStyle w:val="BodyText"/>
        <w:spacing w:before="229"/>
        <w:ind w:left="262" w:right="279"/>
        <w:jc w:val="both"/>
      </w:pPr>
      <w:r>
        <w:rPr>
          <w:rFonts w:ascii="Arial" w:hAnsi="Arial"/>
          <w:b/>
        </w:rPr>
        <w:t>ARTÍCULO 7º. </w:t>
      </w:r>
      <w:r>
        <w:rPr/>
        <w:t>Serán nulos y no producirán efecto jurídico alguno, los permisos, licencias, autorizaciones</w:t>
      </w:r>
      <w:r>
        <w:rPr>
          <w:spacing w:val="-14"/>
        </w:rPr>
        <w:t> </w:t>
      </w:r>
      <w:r>
        <w:rPr/>
        <w:t>y</w:t>
      </w:r>
      <w:r>
        <w:rPr>
          <w:spacing w:val="-14"/>
        </w:rPr>
        <w:t> </w:t>
      </w:r>
      <w:r>
        <w:rPr/>
        <w:t>resoluciones</w:t>
      </w:r>
      <w:r>
        <w:rPr>
          <w:spacing w:val="-14"/>
        </w:rPr>
        <w:t> </w:t>
      </w:r>
      <w:r>
        <w:rPr/>
        <w:t>que</w:t>
      </w:r>
      <w:r>
        <w:rPr>
          <w:spacing w:val="-14"/>
        </w:rPr>
        <w:t> </w:t>
      </w:r>
      <w:r>
        <w:rPr/>
        <w:t>contravengan</w:t>
      </w:r>
      <w:r>
        <w:rPr>
          <w:spacing w:val="-14"/>
        </w:rPr>
        <w:t> </w:t>
      </w:r>
      <w:r>
        <w:rPr/>
        <w:t>lo</w:t>
      </w:r>
      <w:r>
        <w:rPr>
          <w:spacing w:val="-14"/>
        </w:rPr>
        <w:t> </w:t>
      </w:r>
      <w:r>
        <w:rPr/>
        <w:t>señalado</w:t>
      </w:r>
      <w:r>
        <w:rPr>
          <w:spacing w:val="-14"/>
        </w:rPr>
        <w:t> </w:t>
      </w:r>
      <w:r>
        <w:rPr/>
        <w:t>en</w:t>
      </w:r>
      <w:r>
        <w:rPr>
          <w:spacing w:val="-14"/>
        </w:rPr>
        <w:t> </w:t>
      </w:r>
      <w:r>
        <w:rPr/>
        <w:t>esta</w:t>
      </w:r>
      <w:r>
        <w:rPr>
          <w:spacing w:val="-14"/>
        </w:rPr>
        <w:t> </w:t>
      </w:r>
      <w:r>
        <w:rPr/>
        <w:t>Ley</w:t>
      </w:r>
      <w:r>
        <w:rPr>
          <w:spacing w:val="-13"/>
        </w:rPr>
        <w:t> </w:t>
      </w:r>
      <w:r>
        <w:rPr/>
        <w:t>y</w:t>
      </w:r>
      <w:r>
        <w:rPr>
          <w:spacing w:val="-14"/>
        </w:rPr>
        <w:t> </w:t>
      </w:r>
      <w:r>
        <w:rPr/>
        <w:t>las</w:t>
      </w:r>
      <w:r>
        <w:rPr>
          <w:spacing w:val="-14"/>
        </w:rPr>
        <w:t> </w:t>
      </w:r>
      <w:r>
        <w:rPr/>
        <w:t>normas</w:t>
      </w:r>
      <w:r>
        <w:rPr>
          <w:spacing w:val="-14"/>
        </w:rPr>
        <w:t> </w:t>
      </w:r>
      <w:r>
        <w:rPr/>
        <w:t>que</w:t>
      </w:r>
      <w:r>
        <w:rPr>
          <w:spacing w:val="-14"/>
        </w:rPr>
        <w:t> </w:t>
      </w:r>
      <w:r>
        <w:rPr/>
        <w:t>del</w:t>
      </w:r>
      <w:r>
        <w:rPr>
          <w:spacing w:val="-14"/>
        </w:rPr>
        <w:t> </w:t>
      </w:r>
      <w:r>
        <w:rPr/>
        <w:t>mismo deriven, así como</w:t>
      </w:r>
      <w:r>
        <w:rPr>
          <w:spacing w:val="-1"/>
        </w:rPr>
        <w:t> </w:t>
      </w:r>
      <w:r>
        <w:rPr/>
        <w:t>en</w:t>
      </w:r>
      <w:r>
        <w:rPr>
          <w:spacing w:val="-1"/>
        </w:rPr>
        <w:t> </w:t>
      </w:r>
      <w:r>
        <w:rPr/>
        <w:t>los Programas de</w:t>
      </w:r>
      <w:r>
        <w:rPr>
          <w:spacing w:val="-1"/>
        </w:rPr>
        <w:t> </w:t>
      </w:r>
      <w:r>
        <w:rPr/>
        <w:t>ordenamiento territorial</w:t>
      </w:r>
      <w:r>
        <w:rPr>
          <w:spacing w:val="-2"/>
        </w:rPr>
        <w:t> </w:t>
      </w:r>
      <w:r>
        <w:rPr/>
        <w:t>y desarrollo</w:t>
      </w:r>
      <w:r>
        <w:rPr>
          <w:spacing w:val="-1"/>
        </w:rPr>
        <w:t> </w:t>
      </w:r>
      <w:r>
        <w:rPr/>
        <w:t>urbano.</w:t>
      </w:r>
      <w:r>
        <w:rPr>
          <w:spacing w:val="-1"/>
        </w:rPr>
        <w:t> </w:t>
      </w:r>
      <w:r>
        <w:rPr/>
        <w:t>Los servidores públicos que los expidan serán sujetos de las sanciones civiles, administrativas o penales que deriven de sus responsabilidades.</w:t>
      </w:r>
    </w:p>
    <w:p>
      <w:pPr>
        <w:pStyle w:val="BodyText"/>
      </w:pPr>
    </w:p>
    <w:p>
      <w:pPr>
        <w:pStyle w:val="BodyText"/>
      </w:pPr>
    </w:p>
    <w:p>
      <w:pPr>
        <w:pStyle w:val="Heading2"/>
        <w:spacing w:line="480" w:lineRule="auto"/>
        <w:ind w:left="3855" w:right="3871" w:hanging="2"/>
      </w:pPr>
      <w:r>
        <w:rPr/>
        <w:t>Capítulo V Sujetos</w:t>
      </w:r>
      <w:r>
        <w:rPr>
          <w:spacing w:val="-14"/>
        </w:rPr>
        <w:t> </w:t>
      </w:r>
      <w:r>
        <w:rPr/>
        <w:t>de</w:t>
      </w:r>
      <w:r>
        <w:rPr>
          <w:spacing w:val="-13"/>
        </w:rPr>
        <w:t> </w:t>
      </w:r>
      <w:r>
        <w:rPr/>
        <w:t>la</w:t>
      </w:r>
      <w:r>
        <w:rPr>
          <w:spacing w:val="-14"/>
        </w:rPr>
        <w:t> </w:t>
      </w:r>
      <w:r>
        <w:rPr/>
        <w:t>Ley</w:t>
      </w:r>
    </w:p>
    <w:p>
      <w:pPr>
        <w:pStyle w:val="BodyText"/>
        <w:ind w:left="262" w:right="287"/>
        <w:jc w:val="both"/>
      </w:pPr>
      <w:r>
        <w:rPr>
          <w:rFonts w:ascii="Arial" w:hAnsi="Arial"/>
          <w:b/>
        </w:rPr>
        <w:t>ARTÍCULO 8°. </w:t>
      </w:r>
      <w:r>
        <w:rPr/>
        <w:t>Quedan sujetas a las disposiciones de esta Ley, las personas físicas o morales, públicas o privadas, que pretendan:</w:t>
      </w:r>
    </w:p>
    <w:p>
      <w:pPr>
        <w:pStyle w:val="BodyText"/>
        <w:spacing w:before="1"/>
      </w:pPr>
    </w:p>
    <w:p>
      <w:pPr>
        <w:pStyle w:val="ListParagraph"/>
        <w:numPr>
          <w:ilvl w:val="0"/>
          <w:numId w:val="6"/>
        </w:numPr>
        <w:tabs>
          <w:tab w:pos="543" w:val="left" w:leader="none"/>
        </w:tabs>
        <w:spacing w:line="240" w:lineRule="auto" w:before="0" w:after="0"/>
        <w:ind w:left="543" w:right="0" w:hanging="281"/>
        <w:jc w:val="both"/>
        <w:rPr>
          <w:sz w:val="20"/>
        </w:rPr>
      </w:pPr>
      <w:r>
        <w:rPr>
          <w:sz w:val="20"/>
        </w:rPr>
        <w:t>Realizar</w:t>
      </w:r>
      <w:r>
        <w:rPr>
          <w:spacing w:val="-9"/>
          <w:sz w:val="20"/>
        </w:rPr>
        <w:t> </w:t>
      </w:r>
      <w:r>
        <w:rPr>
          <w:sz w:val="20"/>
        </w:rPr>
        <w:t>acciones,</w:t>
      </w:r>
      <w:r>
        <w:rPr>
          <w:spacing w:val="-6"/>
          <w:sz w:val="20"/>
        </w:rPr>
        <w:t> </w:t>
      </w:r>
      <w:r>
        <w:rPr>
          <w:sz w:val="20"/>
        </w:rPr>
        <w:t>inversiones,</w:t>
      </w:r>
      <w:r>
        <w:rPr>
          <w:spacing w:val="-8"/>
          <w:sz w:val="20"/>
        </w:rPr>
        <w:t> </w:t>
      </w:r>
      <w:r>
        <w:rPr>
          <w:sz w:val="20"/>
        </w:rPr>
        <w:t>obras</w:t>
      </w:r>
      <w:r>
        <w:rPr>
          <w:spacing w:val="-5"/>
          <w:sz w:val="20"/>
        </w:rPr>
        <w:t> </w:t>
      </w:r>
      <w:r>
        <w:rPr>
          <w:sz w:val="20"/>
        </w:rPr>
        <w:t>o</w:t>
      </w:r>
      <w:r>
        <w:rPr>
          <w:spacing w:val="-8"/>
          <w:sz w:val="20"/>
        </w:rPr>
        <w:t> </w:t>
      </w:r>
      <w:r>
        <w:rPr>
          <w:sz w:val="20"/>
        </w:rPr>
        <w:t>servicios</w:t>
      </w:r>
      <w:r>
        <w:rPr>
          <w:spacing w:val="-7"/>
          <w:sz w:val="20"/>
        </w:rPr>
        <w:t> </w:t>
      </w:r>
      <w:r>
        <w:rPr>
          <w:sz w:val="20"/>
        </w:rPr>
        <w:t>en</w:t>
      </w:r>
      <w:r>
        <w:rPr>
          <w:spacing w:val="-8"/>
          <w:sz w:val="20"/>
        </w:rPr>
        <w:t> </w:t>
      </w:r>
      <w:r>
        <w:rPr>
          <w:sz w:val="20"/>
        </w:rPr>
        <w:t>materia</w:t>
      </w:r>
      <w:r>
        <w:rPr>
          <w:spacing w:val="-7"/>
          <w:sz w:val="20"/>
        </w:rPr>
        <w:t> </w:t>
      </w:r>
      <w:r>
        <w:rPr>
          <w:sz w:val="20"/>
        </w:rPr>
        <w:t>de</w:t>
      </w:r>
      <w:r>
        <w:rPr>
          <w:spacing w:val="-7"/>
          <w:sz w:val="20"/>
        </w:rPr>
        <w:t> </w:t>
      </w:r>
      <w:r>
        <w:rPr>
          <w:sz w:val="20"/>
        </w:rPr>
        <w:t>desarrollo</w:t>
      </w:r>
      <w:r>
        <w:rPr>
          <w:spacing w:val="-6"/>
          <w:sz w:val="20"/>
        </w:rPr>
        <w:t> </w:t>
      </w:r>
      <w:r>
        <w:rPr>
          <w:sz w:val="20"/>
        </w:rPr>
        <w:t>urbano</w:t>
      </w:r>
      <w:r>
        <w:rPr>
          <w:spacing w:val="-8"/>
          <w:sz w:val="20"/>
        </w:rPr>
        <w:t> </w:t>
      </w:r>
      <w:r>
        <w:rPr>
          <w:sz w:val="20"/>
        </w:rPr>
        <w:t>y</w:t>
      </w:r>
      <w:r>
        <w:rPr>
          <w:spacing w:val="-7"/>
          <w:sz w:val="20"/>
        </w:rPr>
        <w:t> </w:t>
      </w:r>
      <w:r>
        <w:rPr>
          <w:spacing w:val="-2"/>
          <w:sz w:val="20"/>
        </w:rPr>
        <w:t>vivienda;</w:t>
      </w:r>
    </w:p>
    <w:p>
      <w:pPr>
        <w:pStyle w:val="BodyText"/>
        <w:spacing w:before="1"/>
      </w:pPr>
    </w:p>
    <w:p>
      <w:pPr>
        <w:pStyle w:val="ListParagraph"/>
        <w:numPr>
          <w:ilvl w:val="0"/>
          <w:numId w:val="6"/>
        </w:numPr>
        <w:tabs>
          <w:tab w:pos="543" w:val="left" w:leader="none"/>
        </w:tabs>
        <w:spacing w:line="240" w:lineRule="auto" w:before="0" w:after="0"/>
        <w:ind w:left="262" w:right="286" w:firstLine="0"/>
        <w:jc w:val="both"/>
        <w:rPr>
          <w:sz w:val="20"/>
        </w:rPr>
      </w:pPr>
      <w:r>
        <w:rPr>
          <w:sz w:val="20"/>
        </w:rPr>
        <w:t>Fraccionar, relotificar, modificar la intensidad de uso habitacional, fusionar o subdividir áreas y predios, así como realizar modificaciones, para los fines que señala este ordenamiento, independientemente del régimen de propiedad a que estén sujetos;</w:t>
      </w:r>
    </w:p>
    <w:p>
      <w:pPr>
        <w:pStyle w:val="BodyText"/>
      </w:pPr>
    </w:p>
    <w:p>
      <w:pPr>
        <w:spacing w:before="0"/>
        <w:ind w:left="262"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16</w:t>
      </w:r>
      <w:r>
        <w:rPr>
          <w:rFonts w:ascii="Arial"/>
          <w:i/>
          <w:spacing w:val="-7"/>
          <w:sz w:val="20"/>
        </w:rPr>
        <w:t> </w:t>
      </w:r>
      <w:r>
        <w:rPr>
          <w:rFonts w:ascii="Arial"/>
          <w:i/>
          <w:sz w:val="20"/>
        </w:rPr>
        <w:t>DE</w:t>
      </w:r>
      <w:r>
        <w:rPr>
          <w:rFonts w:ascii="Arial"/>
          <w:i/>
          <w:spacing w:val="-6"/>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4"/>
          <w:sz w:val="20"/>
        </w:rPr>
        <w:t>2020)</w:t>
      </w:r>
    </w:p>
    <w:p>
      <w:pPr>
        <w:pStyle w:val="ListParagraph"/>
        <w:numPr>
          <w:ilvl w:val="0"/>
          <w:numId w:val="6"/>
        </w:numPr>
        <w:tabs>
          <w:tab w:pos="597" w:val="left" w:leader="none"/>
        </w:tabs>
        <w:spacing w:line="240" w:lineRule="auto" w:before="0" w:after="0"/>
        <w:ind w:left="597" w:right="0" w:hanging="335"/>
        <w:jc w:val="both"/>
        <w:rPr>
          <w:sz w:val="20"/>
        </w:rPr>
      </w:pPr>
      <w:r>
        <w:rPr>
          <w:sz w:val="20"/>
        </w:rPr>
        <w:t>Promover</w:t>
      </w:r>
      <w:r>
        <w:rPr>
          <w:spacing w:val="-10"/>
          <w:sz w:val="20"/>
        </w:rPr>
        <w:t> </w:t>
      </w:r>
      <w:r>
        <w:rPr>
          <w:sz w:val="20"/>
        </w:rPr>
        <w:t>y</w:t>
      </w:r>
      <w:r>
        <w:rPr>
          <w:spacing w:val="-7"/>
          <w:sz w:val="20"/>
        </w:rPr>
        <w:t> </w:t>
      </w:r>
      <w:r>
        <w:rPr>
          <w:sz w:val="20"/>
        </w:rPr>
        <w:t>operar</w:t>
      </w:r>
      <w:r>
        <w:rPr>
          <w:spacing w:val="-9"/>
          <w:sz w:val="20"/>
        </w:rPr>
        <w:t> </w:t>
      </w:r>
      <w:r>
        <w:rPr>
          <w:sz w:val="20"/>
        </w:rPr>
        <w:t>desarrollos</w:t>
      </w:r>
      <w:r>
        <w:rPr>
          <w:spacing w:val="-7"/>
          <w:sz w:val="20"/>
        </w:rPr>
        <w:t> </w:t>
      </w:r>
      <w:r>
        <w:rPr>
          <w:sz w:val="20"/>
        </w:rPr>
        <w:t>inmobiliarios</w:t>
      </w:r>
      <w:r>
        <w:rPr>
          <w:spacing w:val="-8"/>
          <w:sz w:val="20"/>
        </w:rPr>
        <w:t> </w:t>
      </w:r>
      <w:r>
        <w:rPr>
          <w:spacing w:val="-2"/>
          <w:sz w:val="20"/>
        </w:rPr>
        <w:t>especiales;</w:t>
      </w:r>
    </w:p>
    <w:p>
      <w:pPr>
        <w:spacing w:before="229"/>
        <w:ind w:left="262"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16</w:t>
      </w:r>
      <w:r>
        <w:rPr>
          <w:rFonts w:ascii="Arial"/>
          <w:i/>
          <w:spacing w:val="-7"/>
          <w:sz w:val="20"/>
        </w:rPr>
        <w:t> </w:t>
      </w:r>
      <w:r>
        <w:rPr>
          <w:rFonts w:ascii="Arial"/>
          <w:i/>
          <w:sz w:val="20"/>
        </w:rPr>
        <w:t>DE</w:t>
      </w:r>
      <w:r>
        <w:rPr>
          <w:rFonts w:ascii="Arial"/>
          <w:i/>
          <w:spacing w:val="-6"/>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4"/>
          <w:sz w:val="20"/>
        </w:rPr>
        <w:t>2020)</w:t>
      </w:r>
    </w:p>
    <w:p>
      <w:pPr>
        <w:pStyle w:val="ListParagraph"/>
        <w:numPr>
          <w:ilvl w:val="0"/>
          <w:numId w:val="6"/>
        </w:numPr>
        <w:tabs>
          <w:tab w:pos="688" w:val="left" w:leader="none"/>
        </w:tabs>
        <w:spacing w:line="240" w:lineRule="auto" w:before="0" w:after="0"/>
        <w:ind w:left="262" w:right="278" w:firstLine="0"/>
        <w:jc w:val="both"/>
        <w:rPr>
          <w:sz w:val="20"/>
        </w:rPr>
      </w:pPr>
      <w:r>
        <w:rPr>
          <w:sz w:val="20"/>
        </w:rPr>
        <w:t>Construir, reconstruir, ampliar, reparar, modificar o demoler inmuebles, así como instalar o retirar anuncios,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spacing w:before="0"/>
        <w:ind w:left="262" w:right="0" w:firstLine="0"/>
        <w:jc w:val="both"/>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4"/>
          <w:sz w:val="20"/>
        </w:rPr>
        <w:t> </w:t>
      </w:r>
      <w:r>
        <w:rPr>
          <w:rFonts w:ascii="Arial"/>
          <w:i/>
          <w:sz w:val="20"/>
        </w:rPr>
        <w:t>16</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ListParagraph"/>
        <w:numPr>
          <w:ilvl w:val="0"/>
          <w:numId w:val="6"/>
        </w:numPr>
        <w:tabs>
          <w:tab w:pos="532" w:val="left" w:leader="none"/>
        </w:tabs>
        <w:spacing w:line="240" w:lineRule="auto" w:before="0" w:after="0"/>
        <w:ind w:left="262" w:right="288" w:firstLine="0"/>
        <w:jc w:val="left"/>
        <w:rPr>
          <w:sz w:val="20"/>
        </w:rPr>
      </w:pPr>
      <w:r>
        <w:rPr>
          <w:sz w:val="20"/>
        </w:rPr>
        <w:t>Instalar,</w:t>
      </w:r>
      <w:r>
        <w:rPr>
          <w:spacing w:val="27"/>
          <w:sz w:val="20"/>
        </w:rPr>
        <w:t> </w:t>
      </w:r>
      <w:r>
        <w:rPr>
          <w:sz w:val="20"/>
        </w:rPr>
        <w:t>modificar</w:t>
      </w:r>
      <w:r>
        <w:rPr>
          <w:spacing w:val="27"/>
          <w:sz w:val="20"/>
        </w:rPr>
        <w:t> </w:t>
      </w:r>
      <w:r>
        <w:rPr>
          <w:sz w:val="20"/>
        </w:rPr>
        <w:t>o</w:t>
      </w:r>
      <w:r>
        <w:rPr>
          <w:spacing w:val="24"/>
          <w:sz w:val="20"/>
        </w:rPr>
        <w:t> </w:t>
      </w:r>
      <w:r>
        <w:rPr>
          <w:sz w:val="20"/>
        </w:rPr>
        <w:t>retirar</w:t>
      </w:r>
      <w:r>
        <w:rPr>
          <w:spacing w:val="25"/>
          <w:sz w:val="20"/>
        </w:rPr>
        <w:t> </w:t>
      </w:r>
      <w:r>
        <w:rPr>
          <w:sz w:val="20"/>
        </w:rPr>
        <w:t>las</w:t>
      </w:r>
      <w:r>
        <w:rPr>
          <w:spacing w:val="25"/>
          <w:sz w:val="20"/>
        </w:rPr>
        <w:t> </w:t>
      </w:r>
      <w:r>
        <w:rPr>
          <w:sz w:val="20"/>
        </w:rPr>
        <w:t>placas</w:t>
      </w:r>
      <w:r>
        <w:rPr>
          <w:spacing w:val="25"/>
          <w:sz w:val="20"/>
        </w:rPr>
        <w:t> </w:t>
      </w:r>
      <w:r>
        <w:rPr>
          <w:sz w:val="20"/>
        </w:rPr>
        <w:t>oficiales</w:t>
      </w:r>
      <w:r>
        <w:rPr>
          <w:spacing w:val="25"/>
          <w:sz w:val="20"/>
        </w:rPr>
        <w:t> </w:t>
      </w:r>
      <w:r>
        <w:rPr>
          <w:sz w:val="20"/>
        </w:rPr>
        <w:t>que</w:t>
      </w:r>
      <w:r>
        <w:rPr>
          <w:spacing w:val="24"/>
          <w:sz w:val="20"/>
        </w:rPr>
        <w:t> </w:t>
      </w:r>
      <w:r>
        <w:rPr>
          <w:sz w:val="20"/>
        </w:rPr>
        <w:t>contienen</w:t>
      </w:r>
      <w:r>
        <w:rPr>
          <w:spacing w:val="24"/>
          <w:sz w:val="20"/>
        </w:rPr>
        <w:t> </w:t>
      </w:r>
      <w:r>
        <w:rPr>
          <w:sz w:val="20"/>
        </w:rPr>
        <w:t>la</w:t>
      </w:r>
      <w:r>
        <w:rPr>
          <w:spacing w:val="24"/>
          <w:sz w:val="20"/>
        </w:rPr>
        <w:t> </w:t>
      </w:r>
      <w:r>
        <w:rPr>
          <w:sz w:val="20"/>
        </w:rPr>
        <w:t>nomenclatura</w:t>
      </w:r>
      <w:r>
        <w:rPr>
          <w:spacing w:val="24"/>
          <w:sz w:val="20"/>
        </w:rPr>
        <w:t> </w:t>
      </w:r>
      <w:r>
        <w:rPr>
          <w:sz w:val="20"/>
        </w:rPr>
        <w:t>de</w:t>
      </w:r>
      <w:r>
        <w:rPr>
          <w:spacing w:val="24"/>
          <w:sz w:val="20"/>
        </w:rPr>
        <w:t> </w:t>
      </w:r>
      <w:r>
        <w:rPr>
          <w:sz w:val="20"/>
        </w:rPr>
        <w:t>las</w:t>
      </w:r>
      <w:r>
        <w:rPr>
          <w:spacing w:val="25"/>
          <w:sz w:val="20"/>
        </w:rPr>
        <w:t> </w:t>
      </w:r>
      <w:r>
        <w:rPr>
          <w:sz w:val="20"/>
        </w:rPr>
        <w:t>calles</w:t>
      </w:r>
      <w:r>
        <w:rPr>
          <w:spacing w:val="25"/>
          <w:sz w:val="20"/>
        </w:rPr>
        <w:t> </w:t>
      </w:r>
      <w:r>
        <w:rPr>
          <w:sz w:val="20"/>
        </w:rPr>
        <w:t>y vialidades de la ciudad.</w:t>
      </w:r>
    </w:p>
    <w:p>
      <w:pPr>
        <w:pStyle w:val="BodyText"/>
        <w:spacing w:before="1"/>
      </w:pPr>
    </w:p>
    <w:p>
      <w:pPr>
        <w:pStyle w:val="Heading2"/>
        <w:spacing w:before="1"/>
        <w:ind w:left="10" w:right="24"/>
      </w:pPr>
      <w:r>
        <w:rPr/>
        <w:t>Capítulo</w:t>
      </w:r>
      <w:r>
        <w:rPr>
          <w:spacing w:val="-8"/>
        </w:rPr>
        <w:t> </w:t>
      </w:r>
      <w:r>
        <w:rPr>
          <w:spacing w:val="-5"/>
        </w:rPr>
        <w:t>VI</w:t>
      </w:r>
    </w:p>
    <w:p>
      <w:pPr>
        <w:spacing w:before="228"/>
        <w:ind w:left="5" w:right="24" w:firstLine="0"/>
        <w:jc w:val="center"/>
        <w:rPr>
          <w:rFonts w:ascii="Arial" w:hAnsi="Arial"/>
          <w:b/>
          <w:sz w:val="20"/>
        </w:rPr>
      </w:pPr>
      <w:r>
        <w:rPr>
          <w:rFonts w:ascii="Arial" w:hAnsi="Arial"/>
          <w:b/>
          <w:sz w:val="20"/>
        </w:rPr>
        <w:t>Reglamentación,</w:t>
      </w:r>
      <w:r>
        <w:rPr>
          <w:rFonts w:ascii="Arial" w:hAnsi="Arial"/>
          <w:b/>
          <w:spacing w:val="-10"/>
          <w:sz w:val="20"/>
        </w:rPr>
        <w:t> </w:t>
      </w:r>
      <w:r>
        <w:rPr>
          <w:rFonts w:ascii="Arial" w:hAnsi="Arial"/>
          <w:b/>
          <w:sz w:val="20"/>
        </w:rPr>
        <w:t>Aplicabilidad</w:t>
      </w:r>
      <w:r>
        <w:rPr>
          <w:rFonts w:ascii="Arial" w:hAnsi="Arial"/>
          <w:b/>
          <w:spacing w:val="-9"/>
          <w:sz w:val="20"/>
        </w:rPr>
        <w:t> </w:t>
      </w:r>
      <w:r>
        <w:rPr>
          <w:rFonts w:ascii="Arial" w:hAnsi="Arial"/>
          <w:b/>
          <w:sz w:val="20"/>
        </w:rPr>
        <w:t>y</w:t>
      </w:r>
      <w:r>
        <w:rPr>
          <w:rFonts w:ascii="Arial" w:hAnsi="Arial"/>
          <w:b/>
          <w:spacing w:val="-8"/>
          <w:sz w:val="20"/>
        </w:rPr>
        <w:t> </w:t>
      </w:r>
      <w:r>
        <w:rPr>
          <w:rFonts w:ascii="Arial" w:hAnsi="Arial"/>
          <w:b/>
          <w:spacing w:val="-2"/>
          <w:sz w:val="20"/>
        </w:rPr>
        <w:t>Supletoriedad</w:t>
      </w:r>
    </w:p>
    <w:p>
      <w:pPr>
        <w:pStyle w:val="BodyText"/>
        <w:spacing w:before="1"/>
        <w:rPr>
          <w:rFonts w:ascii="Arial"/>
          <w:b/>
        </w:rPr>
      </w:pPr>
    </w:p>
    <w:p>
      <w:pPr>
        <w:pStyle w:val="BodyText"/>
        <w:ind w:left="262" w:right="281"/>
        <w:jc w:val="both"/>
      </w:pPr>
      <w:r>
        <w:rPr>
          <w:rFonts w:ascii="Arial" w:hAnsi="Arial"/>
          <w:b/>
        </w:rPr>
        <w:t>ARTÍCULO 9°. </w:t>
      </w:r>
      <w:r>
        <w:rPr/>
        <w:t>Los ayuntamientos, en el ámbito de sus respectivas competencias, expedirán los reglamentos y las disposiciones administrativas que correspondan, con base en lo dispuesto en la presente</w:t>
      </w:r>
      <w:r>
        <w:rPr>
          <w:spacing w:val="-10"/>
        </w:rPr>
        <w:t> </w:t>
      </w:r>
      <w:r>
        <w:rPr/>
        <w:t>Ley</w:t>
      </w:r>
      <w:r>
        <w:rPr>
          <w:spacing w:val="-11"/>
        </w:rPr>
        <w:t> </w:t>
      </w:r>
      <w:r>
        <w:rPr/>
        <w:t>y</w:t>
      </w:r>
      <w:r>
        <w:rPr>
          <w:spacing w:val="-11"/>
        </w:rPr>
        <w:t> </w:t>
      </w:r>
      <w:r>
        <w:rPr/>
        <w:t>demás</w:t>
      </w:r>
      <w:r>
        <w:rPr>
          <w:spacing w:val="-11"/>
        </w:rPr>
        <w:t> </w:t>
      </w:r>
      <w:r>
        <w:rPr/>
        <w:t>aplicables,</w:t>
      </w:r>
      <w:r>
        <w:rPr>
          <w:spacing w:val="-12"/>
        </w:rPr>
        <w:t> </w:t>
      </w:r>
      <w:r>
        <w:rPr/>
        <w:t>y</w:t>
      </w:r>
      <w:r>
        <w:rPr>
          <w:spacing w:val="-11"/>
        </w:rPr>
        <w:t> </w:t>
      </w:r>
      <w:r>
        <w:rPr/>
        <w:t>deberán</w:t>
      </w:r>
      <w:r>
        <w:rPr>
          <w:spacing w:val="-12"/>
        </w:rPr>
        <w:t> </w:t>
      </w:r>
      <w:r>
        <w:rPr/>
        <w:t>contener</w:t>
      </w:r>
      <w:r>
        <w:rPr>
          <w:spacing w:val="-7"/>
        </w:rPr>
        <w:t> </w:t>
      </w:r>
      <w:r>
        <w:rPr/>
        <w:t>los</w:t>
      </w:r>
      <w:r>
        <w:rPr>
          <w:spacing w:val="-11"/>
        </w:rPr>
        <w:t> </w:t>
      </w:r>
      <w:r>
        <w:rPr/>
        <w:t>lineamientos</w:t>
      </w:r>
      <w:r>
        <w:rPr>
          <w:spacing w:val="-9"/>
        </w:rPr>
        <w:t> </w:t>
      </w:r>
      <w:r>
        <w:rPr/>
        <w:t>a</w:t>
      </w:r>
      <w:r>
        <w:rPr>
          <w:spacing w:val="-12"/>
        </w:rPr>
        <w:t> </w:t>
      </w:r>
      <w:r>
        <w:rPr/>
        <w:t>los</w:t>
      </w:r>
      <w:r>
        <w:rPr>
          <w:spacing w:val="-11"/>
        </w:rPr>
        <w:t> </w:t>
      </w:r>
      <w:r>
        <w:rPr/>
        <w:t>que</w:t>
      </w:r>
      <w:r>
        <w:rPr>
          <w:spacing w:val="-10"/>
        </w:rPr>
        <w:t> </w:t>
      </w:r>
      <w:r>
        <w:rPr/>
        <w:t>habrán</w:t>
      </w:r>
      <w:r>
        <w:rPr>
          <w:spacing w:val="-10"/>
        </w:rPr>
        <w:t> </w:t>
      </w:r>
      <w:r>
        <w:rPr/>
        <w:t>de</w:t>
      </w:r>
      <w:r>
        <w:rPr>
          <w:spacing w:val="-13"/>
        </w:rPr>
        <w:t> </w:t>
      </w:r>
      <w:r>
        <w:rPr/>
        <w:t>sujetarse las autorizaciones, licencias o permisos relacionados con las diferentes acciones urbanísticas, en las</w:t>
      </w:r>
      <w:r>
        <w:rPr>
          <w:spacing w:val="-3"/>
        </w:rPr>
        <w:t> </w:t>
      </w:r>
      <w:r>
        <w:rPr/>
        <w:t>cuales</w:t>
      </w:r>
      <w:r>
        <w:rPr>
          <w:spacing w:val="-1"/>
        </w:rPr>
        <w:t> </w:t>
      </w:r>
      <w:r>
        <w:rPr/>
        <w:t>se</w:t>
      </w:r>
      <w:r>
        <w:rPr>
          <w:spacing w:val="-2"/>
        </w:rPr>
        <w:t> </w:t>
      </w:r>
      <w:r>
        <w:rPr/>
        <w:t>debe</w:t>
      </w:r>
      <w:r>
        <w:rPr>
          <w:spacing w:val="-2"/>
        </w:rPr>
        <w:t> </w:t>
      </w:r>
      <w:r>
        <w:rPr/>
        <w:t>enunciar</w:t>
      </w:r>
      <w:r>
        <w:rPr>
          <w:spacing w:val="-3"/>
        </w:rPr>
        <w:t> </w:t>
      </w:r>
      <w:r>
        <w:rPr/>
        <w:t>como</w:t>
      </w:r>
      <w:r>
        <w:rPr>
          <w:spacing w:val="-2"/>
        </w:rPr>
        <w:t> </w:t>
      </w:r>
      <w:r>
        <w:rPr/>
        <w:t>mínimo</w:t>
      </w:r>
      <w:r>
        <w:rPr>
          <w:spacing w:val="-2"/>
        </w:rPr>
        <w:t> </w:t>
      </w:r>
      <w:r>
        <w:rPr/>
        <w:t>las</w:t>
      </w:r>
      <w:r>
        <w:rPr>
          <w:spacing w:val="-1"/>
        </w:rPr>
        <w:t> </w:t>
      </w:r>
      <w:r>
        <w:rPr/>
        <w:t>formalidades</w:t>
      </w:r>
      <w:r>
        <w:rPr>
          <w:spacing w:val="-3"/>
        </w:rPr>
        <w:t> </w:t>
      </w:r>
      <w:r>
        <w:rPr/>
        <w:t>y requisitos,</w:t>
      </w:r>
      <w:r>
        <w:rPr>
          <w:spacing w:val="-4"/>
        </w:rPr>
        <w:t> </w:t>
      </w:r>
      <w:r>
        <w:rPr/>
        <w:t>procedimientos,</w:t>
      </w:r>
      <w:r>
        <w:rPr>
          <w:spacing w:val="-4"/>
        </w:rPr>
        <w:t> </w:t>
      </w:r>
      <w:r>
        <w:rPr/>
        <w:t>causas</w:t>
      </w:r>
      <w:r>
        <w:rPr>
          <w:spacing w:val="-3"/>
        </w:rPr>
        <w:t> </w:t>
      </w:r>
      <w:r>
        <w:rPr/>
        <w:t>de improcedencia,</w:t>
      </w:r>
      <w:r>
        <w:rPr>
          <w:spacing w:val="-3"/>
        </w:rPr>
        <w:t> </w:t>
      </w:r>
      <w:r>
        <w:rPr/>
        <w:t>tiempos de</w:t>
      </w:r>
      <w:r>
        <w:rPr>
          <w:spacing w:val="-1"/>
        </w:rPr>
        <w:t> </w:t>
      </w:r>
      <w:r>
        <w:rPr/>
        <w:t>respuesta,</w:t>
      </w:r>
      <w:r>
        <w:rPr>
          <w:spacing w:val="-1"/>
        </w:rPr>
        <w:t> </w:t>
      </w:r>
      <w:r>
        <w:rPr/>
        <w:t>medios</w:t>
      </w:r>
      <w:r>
        <w:rPr>
          <w:spacing w:val="-2"/>
        </w:rPr>
        <w:t> </w:t>
      </w:r>
      <w:r>
        <w:rPr/>
        <w:t>de</w:t>
      </w:r>
      <w:r>
        <w:rPr>
          <w:spacing w:val="-3"/>
        </w:rPr>
        <w:t> </w:t>
      </w:r>
      <w:r>
        <w:rPr/>
        <w:t>impugnación, medidas</w:t>
      </w:r>
      <w:r>
        <w:rPr>
          <w:spacing w:val="-2"/>
        </w:rPr>
        <w:t> </w:t>
      </w:r>
      <w:r>
        <w:rPr/>
        <w:t>de</w:t>
      </w:r>
      <w:r>
        <w:rPr>
          <w:spacing w:val="-4"/>
        </w:rPr>
        <w:t> </w:t>
      </w:r>
      <w:r>
        <w:rPr/>
        <w:t>seguridad</w:t>
      </w:r>
      <w:r>
        <w:rPr>
          <w:spacing w:val="-3"/>
        </w:rPr>
        <w:t> </w:t>
      </w:r>
      <w:r>
        <w:rPr/>
        <w:t>y</w:t>
      </w:r>
      <w:r>
        <w:rPr>
          <w:spacing w:val="-2"/>
        </w:rPr>
        <w:t> </w:t>
      </w:r>
      <w:r>
        <w:rPr/>
        <w:t>sanciones, causas de revocación y efectos para la aplicación de afirmativas o negativas fictas, tendentes a garantizar la seguridad jurídica y la máxima transparencia en los actos de autoridad en la materia.</w:t>
      </w:r>
    </w:p>
    <w:p>
      <w:pPr>
        <w:pStyle w:val="BodyText"/>
        <w:spacing w:before="229"/>
        <w:ind w:left="262" w:right="288"/>
        <w:jc w:val="both"/>
      </w:pPr>
      <w:r>
        <w:rPr/>
        <w:t>Los ayuntamientos están obligados a dar a conocer por escrito o bien a través de medios electrónicos, los requisitos que los solicitantes deberán cumplir en cada caso para realizar los trámites</w:t>
      </w:r>
      <w:r>
        <w:rPr>
          <w:spacing w:val="-1"/>
        </w:rPr>
        <w:t> </w:t>
      </w:r>
      <w:r>
        <w:rPr/>
        <w:t>que</w:t>
      </w:r>
      <w:r>
        <w:rPr>
          <w:spacing w:val="-2"/>
        </w:rPr>
        <w:t> </w:t>
      </w:r>
      <w:r>
        <w:rPr/>
        <w:t>esta</w:t>
      </w:r>
      <w:r>
        <w:rPr>
          <w:spacing w:val="-2"/>
        </w:rPr>
        <w:t> </w:t>
      </w:r>
      <w:r>
        <w:rPr/>
        <w:t>Ley</w:t>
      </w:r>
      <w:r>
        <w:rPr>
          <w:spacing w:val="-1"/>
        </w:rPr>
        <w:t> </w:t>
      </w:r>
      <w:r>
        <w:rPr/>
        <w:t>establece</w:t>
      </w:r>
      <w:r>
        <w:rPr>
          <w:spacing w:val="-2"/>
        </w:rPr>
        <w:t> </w:t>
      </w:r>
      <w:r>
        <w:rPr/>
        <w:t>y</w:t>
      </w:r>
      <w:r>
        <w:rPr>
          <w:spacing w:val="-1"/>
        </w:rPr>
        <w:t> </w:t>
      </w:r>
      <w:r>
        <w:rPr/>
        <w:t>que</w:t>
      </w:r>
      <w:r>
        <w:rPr>
          <w:spacing w:val="-2"/>
        </w:rPr>
        <w:t> </w:t>
      </w:r>
      <w:r>
        <w:rPr/>
        <w:t>sean</w:t>
      </w:r>
      <w:r>
        <w:rPr>
          <w:spacing w:val="-2"/>
        </w:rPr>
        <w:t> </w:t>
      </w:r>
      <w:r>
        <w:rPr/>
        <w:t>de</w:t>
      </w:r>
      <w:r>
        <w:rPr>
          <w:spacing w:val="-2"/>
        </w:rPr>
        <w:t> </w:t>
      </w:r>
      <w:r>
        <w:rPr/>
        <w:t>su</w:t>
      </w:r>
      <w:r>
        <w:rPr>
          <w:spacing w:val="-2"/>
        </w:rPr>
        <w:t> </w:t>
      </w:r>
      <w:r>
        <w:rPr/>
        <w:t>competencia,</w:t>
      </w:r>
      <w:r>
        <w:rPr>
          <w:spacing w:val="-2"/>
        </w:rPr>
        <w:t> </w:t>
      </w:r>
      <w:r>
        <w:rPr/>
        <w:t>así</w:t>
      </w:r>
      <w:r>
        <w:rPr>
          <w:spacing w:val="-2"/>
        </w:rPr>
        <w:t> </w:t>
      </w:r>
      <w:r>
        <w:rPr/>
        <w:t>como los</w:t>
      </w:r>
      <w:r>
        <w:rPr>
          <w:spacing w:val="-1"/>
        </w:rPr>
        <w:t> </w:t>
      </w:r>
      <w:r>
        <w:rPr/>
        <w:t>tiempos</w:t>
      </w:r>
      <w:r>
        <w:rPr>
          <w:spacing w:val="-1"/>
        </w:rPr>
        <w:t> </w:t>
      </w:r>
      <w:r>
        <w:rPr/>
        <w:t>de</w:t>
      </w:r>
      <w:r>
        <w:rPr>
          <w:spacing w:val="-3"/>
        </w:rPr>
        <w:t> </w:t>
      </w:r>
      <w:r>
        <w:rPr/>
        <w:t>respuesta de la autoridad municipal.</w:t>
      </w:r>
    </w:p>
    <w:p>
      <w:pPr>
        <w:pStyle w:val="BodyText"/>
      </w:pPr>
    </w:p>
    <w:p>
      <w:pPr>
        <w:pStyle w:val="BodyText"/>
        <w:ind w:left="262" w:right="281"/>
        <w:jc w:val="both"/>
      </w:pPr>
      <w:r>
        <w:rPr>
          <w:rFonts w:ascii="Arial" w:hAnsi="Arial"/>
          <w:b/>
        </w:rPr>
        <w:t>ARTÍCULO</w:t>
      </w:r>
      <w:r>
        <w:rPr>
          <w:rFonts w:ascii="Arial" w:hAnsi="Arial"/>
          <w:b/>
          <w:spacing w:val="-14"/>
        </w:rPr>
        <w:t> </w:t>
      </w:r>
      <w:r>
        <w:rPr>
          <w:rFonts w:ascii="Arial" w:hAnsi="Arial"/>
          <w:b/>
        </w:rPr>
        <w:t>10.</w:t>
      </w:r>
      <w:r>
        <w:rPr>
          <w:rFonts w:ascii="Arial" w:hAnsi="Arial"/>
          <w:b/>
          <w:spacing w:val="-14"/>
        </w:rPr>
        <w:t> </w:t>
      </w:r>
      <w:r>
        <w:rPr/>
        <w:t>Los</w:t>
      </w:r>
      <w:r>
        <w:rPr>
          <w:spacing w:val="-14"/>
        </w:rPr>
        <w:t> </w:t>
      </w:r>
      <w:r>
        <w:rPr/>
        <w:t>actos</w:t>
      </w:r>
      <w:r>
        <w:rPr>
          <w:spacing w:val="-14"/>
        </w:rPr>
        <w:t> </w:t>
      </w:r>
      <w:r>
        <w:rPr/>
        <w:t>jurídicos</w:t>
      </w:r>
      <w:r>
        <w:rPr>
          <w:spacing w:val="-14"/>
        </w:rPr>
        <w:t> </w:t>
      </w:r>
      <w:r>
        <w:rPr/>
        <w:t>materia</w:t>
      </w:r>
      <w:r>
        <w:rPr>
          <w:spacing w:val="-14"/>
        </w:rPr>
        <w:t> </w:t>
      </w:r>
      <w:r>
        <w:rPr/>
        <w:t>de</w:t>
      </w:r>
      <w:r>
        <w:rPr>
          <w:spacing w:val="-14"/>
        </w:rPr>
        <w:t> </w:t>
      </w:r>
      <w:r>
        <w:rPr/>
        <w:t>esta</w:t>
      </w:r>
      <w:r>
        <w:rPr>
          <w:spacing w:val="-14"/>
        </w:rPr>
        <w:t> </w:t>
      </w:r>
      <w:r>
        <w:rPr/>
        <w:t>Ley,</w:t>
      </w:r>
      <w:r>
        <w:rPr>
          <w:spacing w:val="-14"/>
        </w:rPr>
        <w:t> </w:t>
      </w:r>
      <w:r>
        <w:rPr/>
        <w:t>sólo</w:t>
      </w:r>
      <w:r>
        <w:rPr>
          <w:spacing w:val="-13"/>
        </w:rPr>
        <w:t> </w:t>
      </w:r>
      <w:r>
        <w:rPr/>
        <w:t>podrán</w:t>
      </w:r>
      <w:r>
        <w:rPr>
          <w:spacing w:val="-14"/>
        </w:rPr>
        <w:t> </w:t>
      </w:r>
      <w:r>
        <w:rPr/>
        <w:t>realizarse</w:t>
      </w:r>
      <w:r>
        <w:rPr>
          <w:spacing w:val="-14"/>
        </w:rPr>
        <w:t> </w:t>
      </w:r>
      <w:r>
        <w:rPr/>
        <w:t>mediante</w:t>
      </w:r>
      <w:r>
        <w:rPr>
          <w:spacing w:val="-14"/>
        </w:rPr>
        <w:t> </w:t>
      </w:r>
      <w:r>
        <w:rPr/>
        <w:t>autorización municipal o de la autoridad que resulte competente de conformidad con los convenios celebrados.</w:t>
      </w:r>
    </w:p>
    <w:p>
      <w:pPr>
        <w:pStyle w:val="BodyText"/>
        <w:spacing w:before="2"/>
      </w:pPr>
    </w:p>
    <w:p>
      <w:pPr>
        <w:pStyle w:val="BodyText"/>
        <w:ind w:left="262" w:right="285"/>
        <w:jc w:val="both"/>
      </w:pPr>
      <w:r>
        <w:rPr>
          <w:rFonts w:ascii="Arial" w:hAnsi="Arial"/>
          <w:b/>
        </w:rPr>
        <w:t>ARTÍCULO</w:t>
      </w:r>
      <w:r>
        <w:rPr>
          <w:rFonts w:ascii="Arial" w:hAnsi="Arial"/>
          <w:b/>
          <w:spacing w:val="-14"/>
        </w:rPr>
        <w:t> </w:t>
      </w:r>
      <w:r>
        <w:rPr>
          <w:rFonts w:ascii="Arial" w:hAnsi="Arial"/>
          <w:b/>
        </w:rPr>
        <w:t>11.</w:t>
      </w:r>
      <w:r>
        <w:rPr>
          <w:rFonts w:ascii="Arial" w:hAnsi="Arial"/>
          <w:b/>
          <w:spacing w:val="-14"/>
        </w:rPr>
        <w:t> </w:t>
      </w:r>
      <w:r>
        <w:rPr/>
        <w:t>En</w:t>
      </w:r>
      <w:r>
        <w:rPr>
          <w:spacing w:val="-14"/>
        </w:rPr>
        <w:t> </w:t>
      </w:r>
      <w:r>
        <w:rPr/>
        <w:t>todo</w:t>
      </w:r>
      <w:r>
        <w:rPr>
          <w:spacing w:val="-14"/>
        </w:rPr>
        <w:t> </w:t>
      </w:r>
      <w:r>
        <w:rPr/>
        <w:t>lo</w:t>
      </w:r>
      <w:r>
        <w:rPr>
          <w:spacing w:val="-14"/>
        </w:rPr>
        <w:t> </w:t>
      </w:r>
      <w:r>
        <w:rPr/>
        <w:t>no</w:t>
      </w:r>
      <w:r>
        <w:rPr>
          <w:spacing w:val="-14"/>
        </w:rPr>
        <w:t> </w:t>
      </w:r>
      <w:r>
        <w:rPr/>
        <w:t>previsto</w:t>
      </w:r>
      <w:r>
        <w:rPr>
          <w:spacing w:val="-14"/>
        </w:rPr>
        <w:t> </w:t>
      </w:r>
      <w:r>
        <w:rPr/>
        <w:t>en</w:t>
      </w:r>
      <w:r>
        <w:rPr>
          <w:spacing w:val="-14"/>
        </w:rPr>
        <w:t> </w:t>
      </w:r>
      <w:r>
        <w:rPr/>
        <w:t>esta</w:t>
      </w:r>
      <w:r>
        <w:rPr>
          <w:spacing w:val="-14"/>
        </w:rPr>
        <w:t> </w:t>
      </w:r>
      <w:r>
        <w:rPr/>
        <w:t>Ley,</w:t>
      </w:r>
      <w:r>
        <w:rPr>
          <w:spacing w:val="-13"/>
        </w:rPr>
        <w:t> </w:t>
      </w:r>
      <w:r>
        <w:rPr/>
        <w:t>serán</w:t>
      </w:r>
      <w:r>
        <w:rPr>
          <w:spacing w:val="-14"/>
        </w:rPr>
        <w:t> </w:t>
      </w:r>
      <w:r>
        <w:rPr/>
        <w:t>aplicables</w:t>
      </w:r>
      <w:r>
        <w:rPr>
          <w:spacing w:val="-14"/>
        </w:rPr>
        <w:t> </w:t>
      </w:r>
      <w:r>
        <w:rPr/>
        <w:t>supletoriamente,</w:t>
      </w:r>
      <w:r>
        <w:rPr>
          <w:spacing w:val="-14"/>
        </w:rPr>
        <w:t> </w:t>
      </w:r>
      <w:r>
        <w:rPr/>
        <w:t>la</w:t>
      </w:r>
      <w:r>
        <w:rPr>
          <w:spacing w:val="-14"/>
        </w:rPr>
        <w:t> </w:t>
      </w:r>
      <w:r>
        <w:rPr/>
        <w:t>Ley</w:t>
      </w:r>
      <w:r>
        <w:rPr>
          <w:spacing w:val="-14"/>
        </w:rPr>
        <w:t> </w:t>
      </w:r>
      <w:r>
        <w:rPr/>
        <w:t>Orgánica del Municipio Libre, la Ley de Planeación, la Ley Ambiental, la Ley de Aguas, todas del Estado de San Luis Potosí, y los Códigos, Procesal Administrativo, y Civil para el Estado de San Luis Potosí.</w:t>
      </w:r>
    </w:p>
    <w:p>
      <w:pPr>
        <w:pStyle w:val="BodyText"/>
        <w:spacing w:before="229"/>
      </w:pPr>
    </w:p>
    <w:p>
      <w:pPr>
        <w:pStyle w:val="Heading1"/>
        <w:ind w:right="15"/>
      </w:pPr>
      <w:r>
        <w:rPr/>
        <w:t>TÍTULO</w:t>
      </w:r>
      <w:r>
        <w:rPr>
          <w:spacing w:val="-10"/>
        </w:rPr>
        <w:t> </w:t>
      </w:r>
      <w:r>
        <w:rPr>
          <w:spacing w:val="-2"/>
        </w:rPr>
        <w:t>SEGUNDO</w:t>
      </w:r>
    </w:p>
    <w:p>
      <w:pPr>
        <w:pStyle w:val="BodyText"/>
        <w:spacing w:before="1"/>
        <w:rPr>
          <w:rFonts w:ascii="Arial"/>
          <w:b/>
        </w:rPr>
      </w:pPr>
    </w:p>
    <w:p>
      <w:pPr>
        <w:spacing w:before="0"/>
        <w:ind w:left="1865" w:right="1886"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CONCURRENCIA</w:t>
      </w:r>
      <w:r>
        <w:rPr>
          <w:rFonts w:ascii="Arial" w:hAnsi="Arial"/>
          <w:b/>
          <w:spacing w:val="-4"/>
          <w:sz w:val="20"/>
        </w:rPr>
        <w:t> </w:t>
      </w:r>
      <w:r>
        <w:rPr>
          <w:rFonts w:ascii="Arial" w:hAnsi="Arial"/>
          <w:b/>
          <w:sz w:val="20"/>
        </w:rPr>
        <w:t>ENTRE</w:t>
      </w:r>
      <w:r>
        <w:rPr>
          <w:rFonts w:ascii="Arial" w:hAnsi="Arial"/>
          <w:b/>
          <w:spacing w:val="-7"/>
          <w:sz w:val="20"/>
        </w:rPr>
        <w:t> </w:t>
      </w:r>
      <w:r>
        <w:rPr>
          <w:rFonts w:ascii="Arial" w:hAnsi="Arial"/>
          <w:b/>
          <w:sz w:val="20"/>
        </w:rPr>
        <w:t>ÓRDENES</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GOBIERNO, COORDINACIÓN, CONCERTACIÓN Y ATRIBUCIONES</w:t>
      </w:r>
    </w:p>
    <w:p>
      <w:pPr>
        <w:pStyle w:val="BodyText"/>
        <w:spacing w:before="229"/>
        <w:rPr>
          <w:rFonts w:ascii="Arial"/>
          <w:b/>
        </w:rPr>
      </w:pPr>
    </w:p>
    <w:p>
      <w:pPr>
        <w:pStyle w:val="Heading2"/>
        <w:spacing w:line="480" w:lineRule="auto" w:before="1"/>
        <w:ind w:left="4028" w:right="4043" w:hanging="4"/>
      </w:pPr>
      <w:r>
        <w:rPr/>
        <w:t>Capítulo I </w:t>
      </w:r>
      <w:r>
        <w:rPr>
          <w:spacing w:val="-2"/>
        </w:rPr>
        <w:t>Concurrencia</w:t>
      </w:r>
    </w:p>
    <w:p>
      <w:pPr>
        <w:pStyle w:val="BodyText"/>
        <w:ind w:left="262" w:right="278"/>
        <w:jc w:val="both"/>
      </w:pPr>
      <w:r>
        <w:rPr>
          <w:rFonts w:ascii="Arial" w:hAnsi="Arial"/>
          <w:b/>
        </w:rPr>
        <w:t>ARTÍCULO 12. </w:t>
      </w:r>
      <w:r>
        <w:rPr/>
        <w:t>La aplicación de esta Ley corresponde Ejecutivo del Estado, así como a los ayuntamientos,</w:t>
      </w:r>
      <w:r>
        <w:rPr>
          <w:spacing w:val="-14"/>
        </w:rPr>
        <w:t> </w:t>
      </w:r>
      <w:r>
        <w:rPr/>
        <w:t>los</w:t>
      </w:r>
      <w:r>
        <w:rPr>
          <w:spacing w:val="-14"/>
        </w:rPr>
        <w:t> </w:t>
      </w:r>
      <w:r>
        <w:rPr/>
        <w:t>que</w:t>
      </w:r>
      <w:r>
        <w:rPr>
          <w:spacing w:val="-14"/>
        </w:rPr>
        <w:t> </w:t>
      </w:r>
      <w:r>
        <w:rPr/>
        <w:t>ejercerán</w:t>
      </w:r>
      <w:r>
        <w:rPr>
          <w:spacing w:val="-14"/>
        </w:rPr>
        <w:t> </w:t>
      </w:r>
      <w:r>
        <w:rPr/>
        <w:t>sus</w:t>
      </w:r>
      <w:r>
        <w:rPr>
          <w:spacing w:val="-14"/>
        </w:rPr>
        <w:t> </w:t>
      </w:r>
      <w:r>
        <w:rPr/>
        <w:t>atribuciones</w:t>
      </w:r>
      <w:r>
        <w:rPr>
          <w:spacing w:val="-14"/>
        </w:rPr>
        <w:t> </w:t>
      </w:r>
      <w:r>
        <w:rPr/>
        <w:t>de</w:t>
      </w:r>
      <w:r>
        <w:rPr>
          <w:spacing w:val="-14"/>
        </w:rPr>
        <w:t> </w:t>
      </w:r>
      <w:r>
        <w:rPr/>
        <w:t>manera</w:t>
      </w:r>
      <w:r>
        <w:rPr>
          <w:spacing w:val="-14"/>
        </w:rPr>
        <w:t> </w:t>
      </w:r>
      <w:r>
        <w:rPr/>
        <w:t>concurrente</w:t>
      </w:r>
      <w:r>
        <w:rPr>
          <w:spacing w:val="-14"/>
        </w:rPr>
        <w:t> </w:t>
      </w:r>
      <w:r>
        <w:rPr/>
        <w:t>y</w:t>
      </w:r>
      <w:r>
        <w:rPr>
          <w:spacing w:val="-13"/>
        </w:rPr>
        <w:t> </w:t>
      </w:r>
      <w:r>
        <w:rPr/>
        <w:t>coordinada,</w:t>
      </w:r>
      <w:r>
        <w:rPr>
          <w:spacing w:val="-14"/>
        </w:rPr>
        <w:t> </w:t>
      </w:r>
      <w:r>
        <w:rPr/>
        <w:t>en</w:t>
      </w:r>
      <w:r>
        <w:rPr>
          <w:spacing w:val="-14"/>
        </w:rPr>
        <w:t> </w:t>
      </w:r>
      <w:r>
        <w:rPr/>
        <w:t>el</w:t>
      </w:r>
      <w:r>
        <w:rPr>
          <w:spacing w:val="-14"/>
        </w:rPr>
        <w:t> </w:t>
      </w:r>
      <w:r>
        <w:rPr/>
        <w:t>ámbito de</w:t>
      </w:r>
      <w:r>
        <w:rPr>
          <w:spacing w:val="-7"/>
        </w:rPr>
        <w:t> </w:t>
      </w:r>
      <w:r>
        <w:rPr/>
        <w:t>sus</w:t>
      </w:r>
      <w:r>
        <w:rPr>
          <w:spacing w:val="-6"/>
        </w:rPr>
        <w:t> </w:t>
      </w:r>
      <w:r>
        <w:rPr/>
        <w:t>respectivas</w:t>
      </w:r>
      <w:r>
        <w:rPr>
          <w:spacing w:val="-3"/>
        </w:rPr>
        <w:t> </w:t>
      </w:r>
      <w:r>
        <w:rPr/>
        <w:t>competencias</w:t>
      </w:r>
      <w:r>
        <w:rPr>
          <w:spacing w:val="-6"/>
        </w:rPr>
        <w:t> </w:t>
      </w:r>
      <w:r>
        <w:rPr/>
        <w:t>y</w:t>
      </w:r>
      <w:r>
        <w:rPr>
          <w:spacing w:val="-3"/>
        </w:rPr>
        <w:t> </w:t>
      </w:r>
      <w:r>
        <w:rPr/>
        <w:t>jurisdicciones,</w:t>
      </w:r>
      <w:r>
        <w:rPr>
          <w:spacing w:val="-4"/>
        </w:rPr>
        <w:t> </w:t>
      </w:r>
      <w:r>
        <w:rPr/>
        <w:t>para</w:t>
      </w:r>
      <w:r>
        <w:rPr>
          <w:spacing w:val="-7"/>
        </w:rPr>
        <w:t> </w:t>
      </w:r>
      <w:r>
        <w:rPr/>
        <w:t>proveer</w:t>
      </w:r>
      <w:r>
        <w:rPr>
          <w:spacing w:val="-6"/>
        </w:rPr>
        <w:t> </w:t>
      </w:r>
      <w:r>
        <w:rPr/>
        <w:t>al</w:t>
      </w:r>
      <w:r>
        <w:rPr>
          <w:spacing w:val="-5"/>
        </w:rPr>
        <w:t> </w:t>
      </w:r>
      <w:r>
        <w:rPr/>
        <w:t>exacto</w:t>
      </w:r>
      <w:r>
        <w:rPr>
          <w:spacing w:val="-5"/>
        </w:rPr>
        <w:t> </w:t>
      </w:r>
      <w:r>
        <w:rPr/>
        <w:t>cumplimiento</w:t>
      </w:r>
      <w:r>
        <w:rPr>
          <w:spacing w:val="-5"/>
        </w:rPr>
        <w:t> </w:t>
      </w:r>
      <w:r>
        <w:rPr/>
        <w:t>de</w:t>
      </w:r>
      <w:r>
        <w:rPr>
          <w:spacing w:val="-5"/>
        </w:rPr>
        <w:t> </w:t>
      </w:r>
      <w:r>
        <w:rPr/>
        <w:t>esta</w:t>
      </w:r>
      <w:r>
        <w:rPr>
          <w:spacing w:val="-5"/>
        </w:rPr>
        <w:t> </w:t>
      </w:r>
      <w:r>
        <w:rPr/>
        <w:t>Ley, deberán expedir los reglamentos, bandos, ordenanzas o normatividad reglamentarias </w:t>
      </w:r>
      <w:r>
        <w:rPr>
          <w:spacing w:val="-2"/>
        </w:rPr>
        <w:t>correspondientes.</w:t>
      </w:r>
    </w:p>
    <w:p>
      <w:pPr>
        <w:pStyle w:val="BodyText"/>
        <w:spacing w:before="230"/>
        <w:ind w:left="262" w:right="286"/>
        <w:jc w:val="both"/>
      </w:pPr>
      <w:r>
        <w:rPr/>
        <w:t>El</w:t>
      </w:r>
      <w:r>
        <w:rPr>
          <w:spacing w:val="-5"/>
        </w:rPr>
        <w:t> </w:t>
      </w:r>
      <w:r>
        <w:rPr/>
        <w:t>Congreso</w:t>
      </w:r>
      <w:r>
        <w:rPr>
          <w:spacing w:val="-2"/>
        </w:rPr>
        <w:t> </w:t>
      </w:r>
      <w:r>
        <w:rPr/>
        <w:t>del</w:t>
      </w:r>
      <w:r>
        <w:rPr>
          <w:spacing w:val="-5"/>
        </w:rPr>
        <w:t> </w:t>
      </w:r>
      <w:r>
        <w:rPr/>
        <w:t>Estado</w:t>
      </w:r>
      <w:r>
        <w:rPr>
          <w:spacing w:val="-5"/>
        </w:rPr>
        <w:t> </w:t>
      </w:r>
      <w:r>
        <w:rPr/>
        <w:t>ejercerá</w:t>
      </w:r>
      <w:r>
        <w:rPr>
          <w:spacing w:val="-4"/>
        </w:rPr>
        <w:t> </w:t>
      </w:r>
      <w:r>
        <w:rPr/>
        <w:t>la</w:t>
      </w:r>
      <w:r>
        <w:rPr>
          <w:spacing w:val="-4"/>
        </w:rPr>
        <w:t> </w:t>
      </w:r>
      <w:r>
        <w:rPr/>
        <w:t>competencia</w:t>
      </w:r>
      <w:r>
        <w:rPr>
          <w:spacing w:val="-4"/>
        </w:rPr>
        <w:t> </w:t>
      </w:r>
      <w:r>
        <w:rPr/>
        <w:t>que</w:t>
      </w:r>
      <w:r>
        <w:rPr>
          <w:spacing w:val="-5"/>
        </w:rPr>
        <w:t> </w:t>
      </w:r>
      <w:r>
        <w:rPr/>
        <w:t>en</w:t>
      </w:r>
      <w:r>
        <w:rPr>
          <w:spacing w:val="-4"/>
        </w:rPr>
        <w:t> </w:t>
      </w:r>
      <w:r>
        <w:rPr/>
        <w:t>esta</w:t>
      </w:r>
      <w:r>
        <w:rPr>
          <w:spacing w:val="-5"/>
        </w:rPr>
        <w:t> </w:t>
      </w:r>
      <w:r>
        <w:rPr/>
        <w:t>materia</w:t>
      </w:r>
      <w:r>
        <w:rPr>
          <w:spacing w:val="-4"/>
        </w:rPr>
        <w:t> </w:t>
      </w:r>
      <w:r>
        <w:rPr/>
        <w:t>le</w:t>
      </w:r>
      <w:r>
        <w:rPr>
          <w:spacing w:val="-2"/>
        </w:rPr>
        <w:t> </w:t>
      </w:r>
      <w:r>
        <w:rPr/>
        <w:t>otorga</w:t>
      </w:r>
      <w:r>
        <w:rPr>
          <w:spacing w:val="-4"/>
        </w:rPr>
        <w:t> </w:t>
      </w:r>
      <w:r>
        <w:rPr/>
        <w:t>la</w:t>
      </w:r>
      <w:r>
        <w:rPr>
          <w:spacing w:val="-2"/>
        </w:rPr>
        <w:t> </w:t>
      </w:r>
      <w:r>
        <w:rPr/>
        <w:t>presente</w:t>
      </w:r>
      <w:r>
        <w:rPr>
          <w:spacing w:val="-2"/>
        </w:rPr>
        <w:t> </w:t>
      </w:r>
      <w:r>
        <w:rPr/>
        <w:t>Ley</w:t>
      </w:r>
      <w:r>
        <w:rPr>
          <w:spacing w:val="-3"/>
        </w:rPr>
        <w:t> </w:t>
      </w:r>
      <w:r>
        <w:rPr/>
        <w:t>y</w:t>
      </w:r>
      <w:r>
        <w:rPr>
          <w:spacing w:val="-3"/>
        </w:rPr>
        <w:t> </w:t>
      </w:r>
      <w:r>
        <w:rPr/>
        <w:t>las demás que regulan sus atribuciones en este orden.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pPr>
      <w:r>
        <w:rPr/>
        <w:t>El</w:t>
      </w:r>
      <w:r>
        <w:rPr>
          <w:spacing w:val="40"/>
        </w:rPr>
        <w:t> </w:t>
      </w:r>
      <w:r>
        <w:rPr/>
        <w:t>Estado</w:t>
      </w:r>
      <w:r>
        <w:rPr>
          <w:spacing w:val="40"/>
        </w:rPr>
        <w:t> </w:t>
      </w:r>
      <w:r>
        <w:rPr/>
        <w:t>ejercerá</w:t>
      </w:r>
      <w:r>
        <w:rPr>
          <w:spacing w:val="40"/>
        </w:rPr>
        <w:t> </w:t>
      </w:r>
      <w:r>
        <w:rPr/>
        <w:t>sus</w:t>
      </w:r>
      <w:r>
        <w:rPr>
          <w:spacing w:val="40"/>
        </w:rPr>
        <w:t> </w:t>
      </w:r>
      <w:r>
        <w:rPr/>
        <w:t>atribuciones</w:t>
      </w:r>
      <w:r>
        <w:rPr>
          <w:spacing w:val="40"/>
        </w:rPr>
        <w:t> </w:t>
      </w:r>
      <w:r>
        <w:rPr/>
        <w:t>de</w:t>
      </w:r>
      <w:r>
        <w:rPr>
          <w:spacing w:val="40"/>
        </w:rPr>
        <w:t> </w:t>
      </w:r>
      <w:r>
        <w:rPr/>
        <w:t>manera</w:t>
      </w:r>
      <w:r>
        <w:rPr>
          <w:spacing w:val="40"/>
        </w:rPr>
        <w:t> </w:t>
      </w:r>
      <w:r>
        <w:rPr/>
        <w:t>concurrente</w:t>
      </w:r>
      <w:r>
        <w:rPr>
          <w:spacing w:val="40"/>
        </w:rPr>
        <w:t> </w:t>
      </w:r>
      <w:r>
        <w:rPr/>
        <w:t>y</w:t>
      </w:r>
      <w:r>
        <w:rPr>
          <w:spacing w:val="40"/>
        </w:rPr>
        <w:t> </w:t>
      </w:r>
      <w:r>
        <w:rPr/>
        <w:t>coordinada</w:t>
      </w:r>
      <w:r>
        <w:rPr>
          <w:spacing w:val="40"/>
        </w:rPr>
        <w:t> </w:t>
      </w:r>
      <w:r>
        <w:rPr/>
        <w:t>con</w:t>
      </w:r>
      <w:r>
        <w:rPr>
          <w:spacing w:val="40"/>
        </w:rPr>
        <w:t> </w:t>
      </w:r>
      <w:r>
        <w:rPr/>
        <w:t>las</w:t>
      </w:r>
      <w:r>
        <w:rPr>
          <w:spacing w:val="40"/>
        </w:rPr>
        <w:t> </w:t>
      </w:r>
      <w:r>
        <w:rPr/>
        <w:t>autoridades federales y con los ayuntamientos de la Entidad en los casos que establece la Ley General.</w:t>
      </w:r>
    </w:p>
    <w:p>
      <w:pPr>
        <w:pStyle w:val="BodyText"/>
      </w:pPr>
    </w:p>
    <w:p>
      <w:pPr>
        <w:pStyle w:val="BodyText"/>
        <w:spacing w:before="1"/>
      </w:pPr>
    </w:p>
    <w:p>
      <w:pPr>
        <w:pStyle w:val="Heading2"/>
        <w:spacing w:line="477" w:lineRule="auto" w:before="1"/>
        <w:ind w:left="3428" w:right="3436" w:firstLine="760"/>
        <w:jc w:val="left"/>
      </w:pPr>
      <w:r>
        <w:rPr/>
        <w:t>Capítulo II Autoridades</w:t>
      </w:r>
      <w:r>
        <w:rPr>
          <w:spacing w:val="-14"/>
        </w:rPr>
        <w:t> </w:t>
      </w:r>
      <w:r>
        <w:rPr/>
        <w:t>Competentes</w:t>
      </w:r>
    </w:p>
    <w:p>
      <w:pPr>
        <w:pStyle w:val="BodyText"/>
        <w:spacing w:before="3"/>
        <w:ind w:left="262"/>
      </w:pPr>
      <w:r>
        <w:rPr>
          <w:rFonts w:ascii="Arial" w:hAnsi="Arial"/>
          <w:b/>
        </w:rPr>
        <w:t>ARTÍCULO</w:t>
      </w:r>
      <w:r>
        <w:rPr>
          <w:rFonts w:ascii="Arial" w:hAnsi="Arial"/>
          <w:b/>
          <w:spacing w:val="-8"/>
        </w:rPr>
        <w:t> </w:t>
      </w:r>
      <w:r>
        <w:rPr>
          <w:rFonts w:ascii="Arial" w:hAnsi="Arial"/>
          <w:b/>
        </w:rPr>
        <w:t>13.</w:t>
      </w:r>
      <w:r>
        <w:rPr>
          <w:rFonts w:ascii="Arial" w:hAnsi="Arial"/>
          <w:b/>
          <w:spacing w:val="-7"/>
        </w:rPr>
        <w:t> </w:t>
      </w:r>
      <w:r>
        <w:rPr/>
        <w:t>Son</w:t>
      </w:r>
      <w:r>
        <w:rPr>
          <w:spacing w:val="-9"/>
        </w:rPr>
        <w:t> </w:t>
      </w:r>
      <w:r>
        <w:rPr/>
        <w:t>autoridades</w:t>
      </w:r>
      <w:r>
        <w:rPr>
          <w:spacing w:val="-7"/>
        </w:rPr>
        <w:t> </w:t>
      </w:r>
      <w:r>
        <w:rPr/>
        <w:t>competentes,</w:t>
      </w:r>
      <w:r>
        <w:rPr>
          <w:spacing w:val="-6"/>
        </w:rPr>
        <w:t> </w:t>
      </w:r>
      <w:r>
        <w:rPr/>
        <w:t>para</w:t>
      </w:r>
      <w:r>
        <w:rPr>
          <w:spacing w:val="-7"/>
        </w:rPr>
        <w:t> </w:t>
      </w:r>
      <w:r>
        <w:rPr/>
        <w:t>la</w:t>
      </w:r>
      <w:r>
        <w:rPr>
          <w:spacing w:val="-6"/>
        </w:rPr>
        <w:t> </w:t>
      </w:r>
      <w:r>
        <w:rPr/>
        <w:t>aplicación</w:t>
      </w:r>
      <w:r>
        <w:rPr>
          <w:spacing w:val="-8"/>
        </w:rPr>
        <w:t> </w:t>
      </w:r>
      <w:r>
        <w:rPr/>
        <w:t>de</w:t>
      </w:r>
      <w:r>
        <w:rPr>
          <w:spacing w:val="-7"/>
        </w:rPr>
        <w:t> </w:t>
      </w:r>
      <w:r>
        <w:rPr/>
        <w:t>la</w:t>
      </w:r>
      <w:r>
        <w:rPr>
          <w:spacing w:val="-8"/>
        </w:rPr>
        <w:t> </w:t>
      </w:r>
      <w:r>
        <w:rPr/>
        <w:t>presente</w:t>
      </w:r>
      <w:r>
        <w:rPr>
          <w:spacing w:val="-9"/>
        </w:rPr>
        <w:t> </w:t>
      </w:r>
      <w:r>
        <w:rPr>
          <w:spacing w:val="-4"/>
        </w:rPr>
        <w:t>Ley:</w:t>
      </w:r>
    </w:p>
    <w:p>
      <w:pPr>
        <w:pStyle w:val="BodyText"/>
        <w:spacing w:before="2"/>
      </w:pPr>
    </w:p>
    <w:p>
      <w:pPr>
        <w:pStyle w:val="ListParagraph"/>
        <w:numPr>
          <w:ilvl w:val="0"/>
          <w:numId w:val="7"/>
        </w:numPr>
        <w:tabs>
          <w:tab w:pos="543" w:val="left" w:leader="none"/>
        </w:tabs>
        <w:spacing w:line="240" w:lineRule="auto" w:before="0" w:after="0"/>
        <w:ind w:left="543" w:right="0" w:hanging="281"/>
        <w:jc w:val="left"/>
        <w:rPr>
          <w:sz w:val="20"/>
        </w:rPr>
      </w:pPr>
      <w:r>
        <w:rPr>
          <w:sz w:val="20"/>
        </w:rPr>
        <w:t>El</w:t>
      </w:r>
      <w:r>
        <w:rPr>
          <w:spacing w:val="-7"/>
          <w:sz w:val="20"/>
        </w:rPr>
        <w:t> </w:t>
      </w:r>
      <w:r>
        <w:rPr>
          <w:sz w:val="20"/>
        </w:rPr>
        <w:t>Titular</w:t>
      </w:r>
      <w:r>
        <w:rPr>
          <w:spacing w:val="-7"/>
          <w:sz w:val="20"/>
        </w:rPr>
        <w:t> </w:t>
      </w:r>
      <w:r>
        <w:rPr>
          <w:sz w:val="20"/>
        </w:rPr>
        <w:t>del</w:t>
      </w:r>
      <w:r>
        <w:rPr>
          <w:spacing w:val="-5"/>
          <w:sz w:val="20"/>
        </w:rPr>
        <w:t> </w:t>
      </w:r>
      <w:r>
        <w:rPr>
          <w:sz w:val="20"/>
        </w:rPr>
        <w:t>Ejecutivo</w:t>
      </w:r>
      <w:r>
        <w:rPr>
          <w:spacing w:val="-4"/>
          <w:sz w:val="20"/>
        </w:rPr>
        <w:t> </w:t>
      </w:r>
      <w:r>
        <w:rPr>
          <w:sz w:val="20"/>
        </w:rPr>
        <w:t>del</w:t>
      </w:r>
      <w:r>
        <w:rPr>
          <w:spacing w:val="-5"/>
          <w:sz w:val="20"/>
        </w:rPr>
        <w:t> </w:t>
      </w:r>
      <w:r>
        <w:rPr>
          <w:spacing w:val="-2"/>
          <w:sz w:val="20"/>
        </w:rPr>
        <w:t>Estado;</w:t>
      </w:r>
    </w:p>
    <w:p>
      <w:pPr>
        <w:pStyle w:val="ListParagraph"/>
        <w:numPr>
          <w:ilvl w:val="0"/>
          <w:numId w:val="7"/>
        </w:numPr>
        <w:tabs>
          <w:tab w:pos="543" w:val="left" w:leader="none"/>
        </w:tabs>
        <w:spacing w:line="240" w:lineRule="auto" w:before="228" w:after="0"/>
        <w:ind w:left="543" w:right="0" w:hanging="281"/>
        <w:jc w:val="left"/>
        <w:rPr>
          <w:sz w:val="20"/>
        </w:rPr>
      </w:pPr>
      <w:r>
        <w:rPr>
          <w:sz w:val="20"/>
        </w:rPr>
        <w:t>La</w:t>
      </w:r>
      <w:r>
        <w:rPr>
          <w:spacing w:val="-11"/>
          <w:sz w:val="20"/>
        </w:rPr>
        <w:t> </w:t>
      </w:r>
      <w:r>
        <w:rPr>
          <w:sz w:val="20"/>
        </w:rPr>
        <w:t>Secretaría,</w:t>
      </w:r>
      <w:r>
        <w:rPr>
          <w:spacing w:val="-6"/>
          <w:sz w:val="20"/>
        </w:rPr>
        <w:t> </w:t>
      </w:r>
      <w:r>
        <w:rPr>
          <w:spacing w:val="-10"/>
          <w:sz w:val="20"/>
        </w:rPr>
        <w:t>y</w:t>
      </w:r>
    </w:p>
    <w:p>
      <w:pPr>
        <w:pStyle w:val="BodyText"/>
        <w:spacing w:before="1"/>
      </w:pPr>
    </w:p>
    <w:p>
      <w:pPr>
        <w:pStyle w:val="ListParagraph"/>
        <w:numPr>
          <w:ilvl w:val="0"/>
          <w:numId w:val="7"/>
        </w:numPr>
        <w:tabs>
          <w:tab w:pos="541" w:val="left" w:leader="none"/>
        </w:tabs>
        <w:spacing w:line="240" w:lineRule="auto" w:before="0" w:after="0"/>
        <w:ind w:left="262" w:right="290" w:firstLine="0"/>
        <w:jc w:val="left"/>
        <w:rPr>
          <w:sz w:val="20"/>
        </w:rPr>
      </w:pPr>
      <w:r>
        <w:rPr>
          <w:sz w:val="20"/>
        </w:rPr>
        <w:t>Los</w:t>
      </w:r>
      <w:r>
        <w:rPr>
          <w:spacing w:val="40"/>
          <w:sz w:val="20"/>
        </w:rPr>
        <w:t> </w:t>
      </w:r>
      <w:r>
        <w:rPr>
          <w:sz w:val="20"/>
        </w:rPr>
        <w:t>ayuntamientos</w:t>
      </w:r>
      <w:r>
        <w:rPr>
          <w:spacing w:val="40"/>
          <w:sz w:val="20"/>
        </w:rPr>
        <w:t> </w:t>
      </w:r>
      <w:r>
        <w:rPr>
          <w:sz w:val="20"/>
        </w:rPr>
        <w:t>y</w:t>
      </w:r>
      <w:r>
        <w:rPr>
          <w:spacing w:val="40"/>
          <w:sz w:val="20"/>
        </w:rPr>
        <w:t> </w:t>
      </w:r>
      <w:r>
        <w:rPr>
          <w:sz w:val="20"/>
        </w:rPr>
        <w:t>autoridades</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desarrollo</w:t>
      </w:r>
      <w:r>
        <w:rPr>
          <w:spacing w:val="40"/>
          <w:sz w:val="20"/>
        </w:rPr>
        <w:t> </w:t>
      </w:r>
      <w:r>
        <w:rPr>
          <w:sz w:val="20"/>
        </w:rPr>
        <w:t>urbano</w:t>
      </w:r>
      <w:r>
        <w:rPr>
          <w:spacing w:val="40"/>
          <w:sz w:val="20"/>
        </w:rPr>
        <w:t> </w:t>
      </w:r>
      <w:r>
        <w:rPr>
          <w:sz w:val="20"/>
        </w:rPr>
        <w:t>y/o</w:t>
      </w:r>
      <w:r>
        <w:rPr>
          <w:spacing w:val="40"/>
          <w:sz w:val="20"/>
        </w:rPr>
        <w:t> </w:t>
      </w:r>
      <w:r>
        <w:rPr>
          <w:sz w:val="20"/>
        </w:rPr>
        <w:t>obras</w:t>
      </w:r>
      <w:r>
        <w:rPr>
          <w:spacing w:val="40"/>
          <w:sz w:val="20"/>
        </w:rPr>
        <w:t> </w:t>
      </w:r>
      <w:r>
        <w:rPr>
          <w:sz w:val="20"/>
        </w:rPr>
        <w:t>públicas</w:t>
      </w:r>
      <w:r>
        <w:rPr>
          <w:spacing w:val="40"/>
          <w:sz w:val="20"/>
        </w:rPr>
        <w:t> </w:t>
      </w:r>
      <w:r>
        <w:rPr>
          <w:sz w:val="20"/>
        </w:rPr>
        <w:t>o</w:t>
      </w:r>
      <w:r>
        <w:rPr>
          <w:spacing w:val="40"/>
          <w:sz w:val="20"/>
        </w:rPr>
        <w:t> </w:t>
      </w:r>
      <w:r>
        <w:rPr>
          <w:sz w:val="20"/>
        </w:rPr>
        <w:t>su equivalente, que de ellos dependan.</w:t>
      </w:r>
    </w:p>
    <w:p>
      <w:pPr>
        <w:pStyle w:val="BodyText"/>
        <w:spacing w:before="229"/>
        <w:ind w:left="262"/>
      </w:pPr>
      <w:r>
        <w:rPr/>
        <w:t>El</w:t>
      </w:r>
      <w:r>
        <w:rPr>
          <w:spacing w:val="-8"/>
        </w:rPr>
        <w:t> </w:t>
      </w:r>
      <w:r>
        <w:rPr/>
        <w:t>Congreso</w:t>
      </w:r>
      <w:r>
        <w:rPr>
          <w:spacing w:val="-7"/>
        </w:rPr>
        <w:t> </w:t>
      </w:r>
      <w:r>
        <w:rPr/>
        <w:t>del</w:t>
      </w:r>
      <w:r>
        <w:rPr>
          <w:spacing w:val="-5"/>
        </w:rPr>
        <w:t> </w:t>
      </w:r>
      <w:r>
        <w:rPr/>
        <w:t>Estado</w:t>
      </w:r>
      <w:r>
        <w:rPr>
          <w:spacing w:val="-7"/>
        </w:rPr>
        <w:t> </w:t>
      </w:r>
      <w:r>
        <w:rPr/>
        <w:t>tendrá</w:t>
      </w:r>
      <w:r>
        <w:rPr>
          <w:spacing w:val="-6"/>
        </w:rPr>
        <w:t> </w:t>
      </w:r>
      <w:r>
        <w:rPr/>
        <w:t>las</w:t>
      </w:r>
      <w:r>
        <w:rPr>
          <w:spacing w:val="-6"/>
        </w:rPr>
        <w:t> </w:t>
      </w:r>
      <w:r>
        <w:rPr/>
        <w:t>facultades</w:t>
      </w:r>
      <w:r>
        <w:rPr>
          <w:spacing w:val="-6"/>
        </w:rPr>
        <w:t> </w:t>
      </w:r>
      <w:r>
        <w:rPr/>
        <w:t>que</w:t>
      </w:r>
      <w:r>
        <w:rPr>
          <w:spacing w:val="-4"/>
        </w:rPr>
        <w:t> </w:t>
      </w:r>
      <w:r>
        <w:rPr/>
        <w:t>le</w:t>
      </w:r>
      <w:r>
        <w:rPr>
          <w:spacing w:val="-5"/>
        </w:rPr>
        <w:t> </w:t>
      </w:r>
      <w:r>
        <w:rPr/>
        <w:t>otorga</w:t>
      </w:r>
      <w:r>
        <w:rPr>
          <w:spacing w:val="-7"/>
        </w:rPr>
        <w:t> </w:t>
      </w:r>
      <w:r>
        <w:rPr/>
        <w:t>la</w:t>
      </w:r>
      <w:r>
        <w:rPr>
          <w:spacing w:val="-6"/>
        </w:rPr>
        <w:t> </w:t>
      </w:r>
      <w:r>
        <w:rPr/>
        <w:t>presente</w:t>
      </w:r>
      <w:r>
        <w:rPr>
          <w:spacing w:val="-6"/>
        </w:rPr>
        <w:t> </w:t>
      </w:r>
      <w:r>
        <w:rPr>
          <w:spacing w:val="-4"/>
        </w:rPr>
        <w:t>Ley.</w:t>
      </w:r>
    </w:p>
    <w:p>
      <w:pPr>
        <w:pStyle w:val="BodyText"/>
      </w:pPr>
    </w:p>
    <w:p>
      <w:pPr>
        <w:pStyle w:val="BodyText"/>
        <w:spacing w:before="1"/>
      </w:pPr>
    </w:p>
    <w:p>
      <w:pPr>
        <w:pStyle w:val="Heading2"/>
        <w:ind w:right="17"/>
      </w:pPr>
      <w:r>
        <w:rPr/>
        <w:t>Capítulo</w:t>
      </w:r>
      <w:r>
        <w:rPr>
          <w:spacing w:val="-8"/>
        </w:rPr>
        <w:t> </w:t>
      </w:r>
      <w:r>
        <w:rPr>
          <w:spacing w:val="-5"/>
        </w:rPr>
        <w:t>III</w:t>
      </w:r>
    </w:p>
    <w:p>
      <w:pPr>
        <w:spacing w:line="480" w:lineRule="auto" w:before="229"/>
        <w:ind w:left="262" w:right="2331" w:firstLine="2621"/>
        <w:jc w:val="left"/>
        <w:rPr>
          <w:sz w:val="20"/>
        </w:rPr>
      </w:pPr>
      <w:r>
        <w:rPr>
          <w:rFonts w:ascii="Arial" w:hAnsi="Arial"/>
          <w:b/>
          <w:sz w:val="20"/>
        </w:rPr>
        <w:t>Atribuciones</w:t>
      </w:r>
      <w:r>
        <w:rPr>
          <w:rFonts w:ascii="Arial" w:hAnsi="Arial"/>
          <w:b/>
          <w:spacing w:val="-10"/>
          <w:sz w:val="20"/>
        </w:rPr>
        <w:t> </w:t>
      </w:r>
      <w:r>
        <w:rPr>
          <w:rFonts w:ascii="Arial" w:hAnsi="Arial"/>
          <w:b/>
          <w:sz w:val="20"/>
        </w:rPr>
        <w:t>del</w:t>
      </w:r>
      <w:r>
        <w:rPr>
          <w:rFonts w:ascii="Arial" w:hAnsi="Arial"/>
          <w:b/>
          <w:spacing w:val="-10"/>
          <w:sz w:val="20"/>
        </w:rPr>
        <w:t> </w:t>
      </w:r>
      <w:r>
        <w:rPr>
          <w:rFonts w:ascii="Arial" w:hAnsi="Arial"/>
          <w:b/>
          <w:sz w:val="20"/>
        </w:rPr>
        <w:t>Ejecutivo</w:t>
      </w:r>
      <w:r>
        <w:rPr>
          <w:rFonts w:ascii="Arial" w:hAnsi="Arial"/>
          <w:b/>
          <w:spacing w:val="-11"/>
          <w:sz w:val="20"/>
        </w:rPr>
        <w:t> </w:t>
      </w:r>
      <w:r>
        <w:rPr>
          <w:rFonts w:ascii="Arial" w:hAnsi="Arial"/>
          <w:b/>
          <w:sz w:val="20"/>
        </w:rPr>
        <w:t>del</w:t>
      </w:r>
      <w:r>
        <w:rPr>
          <w:rFonts w:ascii="Arial" w:hAnsi="Arial"/>
          <w:b/>
          <w:spacing w:val="-12"/>
          <w:sz w:val="20"/>
        </w:rPr>
        <w:t> </w:t>
      </w:r>
      <w:r>
        <w:rPr>
          <w:rFonts w:ascii="Arial" w:hAnsi="Arial"/>
          <w:b/>
          <w:sz w:val="20"/>
        </w:rPr>
        <w:t>Estado ARTÍCULO 14. </w:t>
      </w:r>
      <w:r>
        <w:rPr>
          <w:sz w:val="20"/>
        </w:rPr>
        <w:t>Corresponde al Ejecutivo del Estado:</w:t>
      </w:r>
    </w:p>
    <w:p>
      <w:pPr>
        <w:pStyle w:val="ListParagraph"/>
        <w:numPr>
          <w:ilvl w:val="0"/>
          <w:numId w:val="8"/>
        </w:numPr>
        <w:tabs>
          <w:tab w:pos="543" w:val="left" w:leader="none"/>
        </w:tabs>
        <w:spacing w:line="240" w:lineRule="auto" w:before="2" w:after="0"/>
        <w:ind w:left="262" w:right="286" w:firstLine="0"/>
        <w:jc w:val="both"/>
        <w:rPr>
          <w:sz w:val="20"/>
        </w:rPr>
      </w:pPr>
      <w:r>
        <w:rPr>
          <w:sz w:val="20"/>
        </w:rPr>
        <w:t>Ordenar la elaboración o actualización del Programa Estatal de Ordenamiento Territorial y Desarrollo Urbano, aprobarlo, controlar su ejecución, revisión, actualización, evaluación, y modificación con base en lo dispuesto en esta Ley;</w:t>
      </w:r>
    </w:p>
    <w:p>
      <w:pPr>
        <w:pStyle w:val="ListParagraph"/>
        <w:numPr>
          <w:ilvl w:val="0"/>
          <w:numId w:val="8"/>
        </w:numPr>
        <w:tabs>
          <w:tab w:pos="543" w:val="left" w:leader="none"/>
        </w:tabs>
        <w:spacing w:line="240" w:lineRule="auto" w:before="229" w:after="0"/>
        <w:ind w:left="262" w:right="280" w:firstLine="0"/>
        <w:jc w:val="both"/>
        <w:rPr>
          <w:sz w:val="20"/>
        </w:rPr>
      </w:pPr>
      <w:r>
        <w:rPr>
          <w:sz w:val="20"/>
        </w:rPr>
        <w:t>Ordenar</w:t>
      </w:r>
      <w:r>
        <w:rPr>
          <w:spacing w:val="-8"/>
          <w:sz w:val="20"/>
        </w:rPr>
        <w:t> </w:t>
      </w:r>
      <w:r>
        <w:rPr>
          <w:sz w:val="20"/>
        </w:rPr>
        <w:t>la</w:t>
      </w:r>
      <w:r>
        <w:rPr>
          <w:spacing w:val="-9"/>
          <w:sz w:val="20"/>
        </w:rPr>
        <w:t> </w:t>
      </w:r>
      <w:r>
        <w:rPr>
          <w:sz w:val="20"/>
        </w:rPr>
        <w:t>publicación</w:t>
      </w:r>
      <w:r>
        <w:rPr>
          <w:spacing w:val="-9"/>
          <w:sz w:val="20"/>
        </w:rPr>
        <w:t> </w:t>
      </w:r>
      <w:r>
        <w:rPr>
          <w:sz w:val="20"/>
        </w:rPr>
        <w:t>en</w:t>
      </w:r>
      <w:r>
        <w:rPr>
          <w:spacing w:val="-9"/>
          <w:sz w:val="20"/>
        </w:rPr>
        <w:t> </w:t>
      </w:r>
      <w:r>
        <w:rPr>
          <w:sz w:val="20"/>
        </w:rPr>
        <w:t>el</w:t>
      </w:r>
      <w:r>
        <w:rPr>
          <w:spacing w:val="-10"/>
          <w:sz w:val="20"/>
        </w:rPr>
        <w:t> </w:t>
      </w:r>
      <w:r>
        <w:rPr>
          <w:sz w:val="20"/>
        </w:rPr>
        <w:t>Periódico</w:t>
      </w:r>
      <w:r>
        <w:rPr>
          <w:spacing w:val="-9"/>
          <w:sz w:val="20"/>
        </w:rPr>
        <w:t> </w:t>
      </w:r>
      <w:r>
        <w:rPr>
          <w:sz w:val="20"/>
        </w:rPr>
        <w:t>Oficial</w:t>
      </w:r>
      <w:r>
        <w:rPr>
          <w:spacing w:val="-10"/>
          <w:sz w:val="20"/>
        </w:rPr>
        <w:t> </w:t>
      </w:r>
      <w:r>
        <w:rPr>
          <w:sz w:val="20"/>
        </w:rPr>
        <w:t>del</w:t>
      </w:r>
      <w:r>
        <w:rPr>
          <w:spacing w:val="-7"/>
          <w:sz w:val="20"/>
        </w:rPr>
        <w:t> </w:t>
      </w:r>
      <w:r>
        <w:rPr>
          <w:sz w:val="20"/>
        </w:rPr>
        <w:t>Estado</w:t>
      </w:r>
      <w:r>
        <w:rPr>
          <w:spacing w:val="-9"/>
          <w:sz w:val="20"/>
        </w:rPr>
        <w:t> </w:t>
      </w:r>
      <w:r>
        <w:rPr>
          <w:sz w:val="20"/>
        </w:rPr>
        <w:t>de</w:t>
      </w:r>
      <w:r>
        <w:rPr>
          <w:spacing w:val="-7"/>
          <w:sz w:val="20"/>
        </w:rPr>
        <w:t> </w:t>
      </w:r>
      <w:r>
        <w:rPr>
          <w:sz w:val="20"/>
        </w:rPr>
        <w:t>los</w:t>
      </w:r>
      <w:r>
        <w:rPr>
          <w:spacing w:val="-8"/>
          <w:sz w:val="20"/>
        </w:rPr>
        <w:t> </w:t>
      </w:r>
      <w:r>
        <w:rPr>
          <w:sz w:val="20"/>
        </w:rPr>
        <w:t>diversos</w:t>
      </w:r>
      <w:r>
        <w:rPr>
          <w:spacing w:val="-8"/>
          <w:sz w:val="20"/>
        </w:rPr>
        <w:t> </w:t>
      </w:r>
      <w:r>
        <w:rPr>
          <w:sz w:val="20"/>
        </w:rPr>
        <w:t>programas</w:t>
      </w:r>
      <w:r>
        <w:rPr>
          <w:spacing w:val="-8"/>
          <w:sz w:val="20"/>
        </w:rPr>
        <w:t> </w:t>
      </w:r>
      <w:r>
        <w:rPr>
          <w:sz w:val="20"/>
        </w:rPr>
        <w:t>de</w:t>
      </w:r>
      <w:r>
        <w:rPr>
          <w:spacing w:val="-9"/>
          <w:sz w:val="20"/>
        </w:rPr>
        <w:t> </w:t>
      </w:r>
      <w:r>
        <w:rPr>
          <w:sz w:val="20"/>
        </w:rPr>
        <w:t>desarrollo urbano</w:t>
      </w:r>
      <w:r>
        <w:rPr>
          <w:spacing w:val="-1"/>
          <w:sz w:val="20"/>
        </w:rPr>
        <w:t> </w:t>
      </w:r>
      <w:r>
        <w:rPr>
          <w:sz w:val="20"/>
        </w:rPr>
        <w:t>y ordenamiento territorial que</w:t>
      </w:r>
      <w:r>
        <w:rPr>
          <w:spacing w:val="-1"/>
          <w:sz w:val="20"/>
        </w:rPr>
        <w:t> </w:t>
      </w:r>
      <w:r>
        <w:rPr>
          <w:sz w:val="20"/>
        </w:rPr>
        <w:t>aprueben las autoridades competentes, cuando éstos tengan la</w:t>
      </w:r>
      <w:r>
        <w:rPr>
          <w:spacing w:val="-7"/>
          <w:sz w:val="20"/>
        </w:rPr>
        <w:t> </w:t>
      </w:r>
      <w:r>
        <w:rPr>
          <w:sz w:val="20"/>
        </w:rPr>
        <w:t>congruencia</w:t>
      </w:r>
      <w:r>
        <w:rPr>
          <w:spacing w:val="-5"/>
          <w:sz w:val="20"/>
        </w:rPr>
        <w:t> </w:t>
      </w:r>
      <w:r>
        <w:rPr>
          <w:sz w:val="20"/>
        </w:rPr>
        <w:t>con</w:t>
      </w:r>
      <w:r>
        <w:rPr>
          <w:spacing w:val="-5"/>
          <w:sz w:val="20"/>
        </w:rPr>
        <w:t> </w:t>
      </w:r>
      <w:r>
        <w:rPr>
          <w:sz w:val="20"/>
        </w:rPr>
        <w:t>la</w:t>
      </w:r>
      <w:r>
        <w:rPr>
          <w:spacing w:val="-5"/>
          <w:sz w:val="20"/>
        </w:rPr>
        <w:t> </w:t>
      </w:r>
      <w:r>
        <w:rPr>
          <w:sz w:val="20"/>
        </w:rPr>
        <w:t>planeación</w:t>
      </w:r>
      <w:r>
        <w:rPr>
          <w:spacing w:val="-5"/>
          <w:sz w:val="20"/>
        </w:rPr>
        <w:t> </w:t>
      </w:r>
      <w:r>
        <w:rPr>
          <w:sz w:val="20"/>
        </w:rPr>
        <w:t>estatal</w:t>
      </w:r>
      <w:r>
        <w:rPr>
          <w:spacing w:val="-7"/>
          <w:sz w:val="20"/>
        </w:rPr>
        <w:t> </w:t>
      </w:r>
      <w:r>
        <w:rPr>
          <w:sz w:val="20"/>
        </w:rPr>
        <w:t>y</w:t>
      </w:r>
      <w:r>
        <w:rPr>
          <w:spacing w:val="-3"/>
          <w:sz w:val="20"/>
        </w:rPr>
        <w:t> </w:t>
      </w:r>
      <w:r>
        <w:rPr>
          <w:sz w:val="20"/>
        </w:rPr>
        <w:t>federal;</w:t>
      </w:r>
      <w:r>
        <w:rPr>
          <w:spacing w:val="-6"/>
          <w:sz w:val="20"/>
        </w:rPr>
        <w:t> </w:t>
      </w:r>
      <w:r>
        <w:rPr>
          <w:sz w:val="20"/>
        </w:rPr>
        <w:t>así</w:t>
      </w:r>
      <w:r>
        <w:rPr>
          <w:spacing w:val="-4"/>
          <w:sz w:val="20"/>
        </w:rPr>
        <w:t> </w:t>
      </w:r>
      <w:r>
        <w:rPr>
          <w:sz w:val="20"/>
        </w:rPr>
        <w:t>como</w:t>
      </w:r>
      <w:r>
        <w:rPr>
          <w:spacing w:val="-7"/>
          <w:sz w:val="20"/>
        </w:rPr>
        <w:t> </w:t>
      </w:r>
      <w:r>
        <w:rPr>
          <w:sz w:val="20"/>
        </w:rPr>
        <w:t>su</w:t>
      </w:r>
      <w:r>
        <w:rPr>
          <w:spacing w:val="-5"/>
          <w:sz w:val="20"/>
        </w:rPr>
        <w:t> </w:t>
      </w:r>
      <w:r>
        <w:rPr>
          <w:sz w:val="20"/>
        </w:rPr>
        <w:t>inscripción</w:t>
      </w:r>
      <w:r>
        <w:rPr>
          <w:spacing w:val="-5"/>
          <w:sz w:val="20"/>
        </w:rPr>
        <w:t> </w:t>
      </w:r>
      <w:r>
        <w:rPr>
          <w:sz w:val="20"/>
        </w:rPr>
        <w:t>en</w:t>
      </w:r>
      <w:r>
        <w:rPr>
          <w:spacing w:val="-5"/>
          <w:sz w:val="20"/>
        </w:rPr>
        <w:t> </w:t>
      </w:r>
      <w:r>
        <w:rPr>
          <w:sz w:val="20"/>
        </w:rPr>
        <w:t>el</w:t>
      </w:r>
      <w:r>
        <w:rPr>
          <w:spacing w:val="-7"/>
          <w:sz w:val="20"/>
        </w:rPr>
        <w:t> </w:t>
      </w:r>
      <w:r>
        <w:rPr>
          <w:sz w:val="20"/>
        </w:rPr>
        <w:t>Registro</w:t>
      </w:r>
      <w:r>
        <w:rPr>
          <w:spacing w:val="-5"/>
          <w:sz w:val="20"/>
        </w:rPr>
        <w:t> </w:t>
      </w:r>
      <w:r>
        <w:rPr>
          <w:sz w:val="20"/>
        </w:rPr>
        <w:t>Público</w:t>
      </w:r>
      <w:r>
        <w:rPr>
          <w:spacing w:val="-4"/>
          <w:sz w:val="20"/>
        </w:rPr>
        <w:t> </w:t>
      </w:r>
      <w:r>
        <w:rPr>
          <w:sz w:val="20"/>
        </w:rPr>
        <w:t>de la Propiedad, dependiente del Instituto Registral y Catastral del Estado;</w:t>
      </w:r>
    </w:p>
    <w:p>
      <w:pPr>
        <w:pStyle w:val="BodyText"/>
      </w:pPr>
    </w:p>
    <w:p>
      <w:pPr>
        <w:pStyle w:val="ListParagraph"/>
        <w:numPr>
          <w:ilvl w:val="0"/>
          <w:numId w:val="8"/>
        </w:numPr>
        <w:tabs>
          <w:tab w:pos="597" w:val="left" w:leader="none"/>
        </w:tabs>
        <w:spacing w:line="240" w:lineRule="auto" w:before="0" w:after="0"/>
        <w:ind w:left="262" w:right="288" w:firstLine="0"/>
        <w:jc w:val="both"/>
        <w:rPr>
          <w:sz w:val="20"/>
        </w:rPr>
      </w:pPr>
      <w:r>
        <w:rPr>
          <w:sz w:val="20"/>
        </w:rPr>
        <w:t>Informar</w:t>
      </w:r>
      <w:r>
        <w:rPr>
          <w:spacing w:val="-1"/>
          <w:sz w:val="20"/>
        </w:rPr>
        <w:t> </w:t>
      </w:r>
      <w:r>
        <w:rPr>
          <w:sz w:val="20"/>
        </w:rPr>
        <w:t>a la</w:t>
      </w:r>
      <w:r>
        <w:rPr>
          <w:spacing w:val="-2"/>
          <w:sz w:val="20"/>
        </w:rPr>
        <w:t> </w:t>
      </w:r>
      <w:r>
        <w:rPr>
          <w:sz w:val="20"/>
        </w:rPr>
        <w:t>ciudadanía</w:t>
      </w:r>
      <w:r>
        <w:rPr>
          <w:spacing w:val="-2"/>
          <w:sz w:val="20"/>
        </w:rPr>
        <w:t> </w:t>
      </w:r>
      <w:r>
        <w:rPr>
          <w:sz w:val="20"/>
        </w:rPr>
        <w:t>sobre</w:t>
      </w:r>
      <w:r>
        <w:rPr>
          <w:spacing w:val="-2"/>
          <w:sz w:val="20"/>
        </w:rPr>
        <w:t> </w:t>
      </w:r>
      <w:r>
        <w:rPr>
          <w:sz w:val="20"/>
        </w:rPr>
        <w:t>la</w:t>
      </w:r>
      <w:r>
        <w:rPr>
          <w:spacing w:val="-2"/>
          <w:sz w:val="20"/>
        </w:rPr>
        <w:t> </w:t>
      </w:r>
      <w:r>
        <w:rPr>
          <w:sz w:val="20"/>
        </w:rPr>
        <w:t>aplicación</w:t>
      </w:r>
      <w:r>
        <w:rPr>
          <w:spacing w:val="-2"/>
          <w:sz w:val="20"/>
        </w:rPr>
        <w:t> </w:t>
      </w:r>
      <w:r>
        <w:rPr>
          <w:sz w:val="20"/>
        </w:rPr>
        <w:t>y</w:t>
      </w:r>
      <w:r>
        <w:rPr>
          <w:spacing w:val="-1"/>
          <w:sz w:val="20"/>
        </w:rPr>
        <w:t> </w:t>
      </w:r>
      <w:r>
        <w:rPr>
          <w:sz w:val="20"/>
        </w:rPr>
        <w:t>ejecución</w:t>
      </w:r>
      <w:r>
        <w:rPr>
          <w:spacing w:val="-3"/>
          <w:sz w:val="20"/>
        </w:rPr>
        <w:t> </w:t>
      </w:r>
      <w:r>
        <w:rPr>
          <w:sz w:val="20"/>
        </w:rPr>
        <w:t>del</w:t>
      </w:r>
      <w:r>
        <w:rPr>
          <w:spacing w:val="-1"/>
          <w:sz w:val="20"/>
        </w:rPr>
        <w:t> </w:t>
      </w:r>
      <w:r>
        <w:rPr>
          <w:sz w:val="20"/>
        </w:rPr>
        <w:t>Programa Estatal</w:t>
      </w:r>
      <w:r>
        <w:rPr>
          <w:spacing w:val="-3"/>
          <w:sz w:val="20"/>
        </w:rPr>
        <w:t> </w:t>
      </w:r>
      <w:r>
        <w:rPr>
          <w:sz w:val="20"/>
        </w:rPr>
        <w:t>de Ordenamiento Territorial y Desarrollo Urbano, en su Informe Anual de Gobierno;</w:t>
      </w:r>
    </w:p>
    <w:p>
      <w:pPr>
        <w:pStyle w:val="BodyText"/>
        <w:spacing w:before="1"/>
      </w:pPr>
    </w:p>
    <w:p>
      <w:pPr>
        <w:pStyle w:val="ListParagraph"/>
        <w:numPr>
          <w:ilvl w:val="0"/>
          <w:numId w:val="8"/>
        </w:numPr>
        <w:tabs>
          <w:tab w:pos="688" w:val="left" w:leader="none"/>
        </w:tabs>
        <w:spacing w:line="240" w:lineRule="auto" w:before="0" w:after="0"/>
        <w:ind w:left="262" w:right="286" w:firstLine="0"/>
        <w:jc w:val="both"/>
        <w:rPr>
          <w:sz w:val="20"/>
        </w:rPr>
      </w:pPr>
      <w:r>
        <w:rPr>
          <w:sz w:val="20"/>
        </w:rPr>
        <w:t>Proveer lo necesario para la exacta observancia de la planeación urbana en el Estado, en los términos de esta Ley y las demás disposiciones jurídicas aplicables;</w:t>
      </w:r>
    </w:p>
    <w:p>
      <w:pPr>
        <w:pStyle w:val="ListParagraph"/>
        <w:numPr>
          <w:ilvl w:val="0"/>
          <w:numId w:val="8"/>
        </w:numPr>
        <w:tabs>
          <w:tab w:pos="688" w:val="left" w:leader="none"/>
        </w:tabs>
        <w:spacing w:line="240" w:lineRule="auto" w:before="229" w:after="0"/>
        <w:ind w:left="262" w:right="287" w:firstLine="0"/>
        <w:jc w:val="both"/>
        <w:rPr>
          <w:sz w:val="20"/>
        </w:rPr>
      </w:pPr>
      <w:r>
        <w:rPr>
          <w:sz w:val="20"/>
        </w:rPr>
        <w:t>Garantizar la participación a la ciudadanía en los procesos de planeación, seguimiento y evaluación a que se refiere esta Ley;</w:t>
      </w:r>
    </w:p>
    <w:p>
      <w:pPr>
        <w:pStyle w:val="BodyText"/>
        <w:spacing w:before="2"/>
      </w:pPr>
    </w:p>
    <w:p>
      <w:pPr>
        <w:spacing w:line="229" w:lineRule="exact" w:before="0"/>
        <w:ind w:left="262" w:right="0" w:firstLine="0"/>
        <w:jc w:val="left"/>
        <w:rPr>
          <w:rFonts w:ascii="Arial"/>
          <w:b/>
          <w:i/>
          <w:sz w:val="20"/>
        </w:rPr>
      </w:pPr>
      <w:r>
        <w:rPr>
          <w:rFonts w:ascii="Arial"/>
          <w:b/>
          <w:i/>
          <w:sz w:val="20"/>
        </w:rPr>
        <w:t>(REFORMADA</w:t>
      </w:r>
      <w:r>
        <w:rPr>
          <w:rFonts w:ascii="Arial"/>
          <w:b/>
          <w:i/>
          <w:spacing w:val="-4"/>
          <w:sz w:val="20"/>
        </w:rPr>
        <w:t> </w:t>
      </w:r>
      <w:r>
        <w:rPr>
          <w:rFonts w:ascii="Arial"/>
          <w:b/>
          <w:i/>
          <w:sz w:val="20"/>
        </w:rPr>
        <w:t>EN</w:t>
      </w:r>
      <w:r>
        <w:rPr>
          <w:rFonts w:ascii="Arial"/>
          <w:b/>
          <w:i/>
          <w:spacing w:val="-4"/>
          <w:sz w:val="20"/>
        </w:rPr>
        <w:t> </w:t>
      </w:r>
      <w:r>
        <w:rPr>
          <w:rFonts w:ascii="Arial"/>
          <w:b/>
          <w:i/>
          <w:sz w:val="20"/>
        </w:rPr>
        <w:t>P.O.</w:t>
      </w:r>
      <w:r>
        <w:rPr>
          <w:rFonts w:ascii="Arial"/>
          <w:b/>
          <w:i/>
          <w:spacing w:val="-5"/>
          <w:sz w:val="20"/>
        </w:rPr>
        <w:t> </w:t>
      </w:r>
      <w:r>
        <w:rPr>
          <w:rFonts w:ascii="Arial"/>
          <w:b/>
          <w:i/>
          <w:sz w:val="20"/>
        </w:rPr>
        <w:t>DEL</w:t>
      </w:r>
      <w:r>
        <w:rPr>
          <w:rFonts w:ascii="Arial"/>
          <w:b/>
          <w:i/>
          <w:spacing w:val="-6"/>
          <w:sz w:val="20"/>
        </w:rPr>
        <w:t> </w:t>
      </w:r>
      <w:r>
        <w:rPr>
          <w:rFonts w:ascii="Arial"/>
          <w:b/>
          <w:i/>
          <w:sz w:val="20"/>
        </w:rPr>
        <w:t>22</w:t>
      </w:r>
      <w:r>
        <w:rPr>
          <w:rFonts w:ascii="Arial"/>
          <w:b/>
          <w:i/>
          <w:spacing w:val="-4"/>
          <w:sz w:val="20"/>
        </w:rPr>
        <w:t> </w:t>
      </w:r>
      <w:r>
        <w:rPr>
          <w:rFonts w:ascii="Arial"/>
          <w:b/>
          <w:i/>
          <w:sz w:val="20"/>
        </w:rPr>
        <w:t>DE</w:t>
      </w:r>
      <w:r>
        <w:rPr>
          <w:rFonts w:ascii="Arial"/>
          <w:b/>
          <w:i/>
          <w:spacing w:val="-5"/>
          <w:sz w:val="20"/>
        </w:rPr>
        <w:t> </w:t>
      </w:r>
      <w:r>
        <w:rPr>
          <w:rFonts w:ascii="Arial"/>
          <w:b/>
          <w:i/>
          <w:sz w:val="20"/>
        </w:rPr>
        <w:t>MAYO</w:t>
      </w:r>
      <w:r>
        <w:rPr>
          <w:rFonts w:ascii="Arial"/>
          <w:b/>
          <w:i/>
          <w:spacing w:val="-6"/>
          <w:sz w:val="20"/>
        </w:rPr>
        <w:t> </w:t>
      </w:r>
      <w:r>
        <w:rPr>
          <w:rFonts w:ascii="Arial"/>
          <w:b/>
          <w:i/>
          <w:sz w:val="20"/>
        </w:rPr>
        <w:t>DE</w:t>
      </w:r>
      <w:r>
        <w:rPr>
          <w:rFonts w:ascii="Arial"/>
          <w:b/>
          <w:i/>
          <w:spacing w:val="-5"/>
          <w:sz w:val="20"/>
        </w:rPr>
        <w:t> </w:t>
      </w:r>
      <w:r>
        <w:rPr>
          <w:rFonts w:ascii="Arial"/>
          <w:b/>
          <w:i/>
          <w:spacing w:val="-4"/>
          <w:sz w:val="20"/>
        </w:rPr>
        <w:t>2026)</w:t>
      </w:r>
    </w:p>
    <w:p>
      <w:pPr>
        <w:pStyle w:val="Heading2"/>
        <w:numPr>
          <w:ilvl w:val="0"/>
          <w:numId w:val="8"/>
        </w:numPr>
        <w:tabs>
          <w:tab w:pos="688" w:val="left" w:leader="none"/>
        </w:tabs>
        <w:spacing w:line="240" w:lineRule="auto" w:before="0" w:after="0"/>
        <w:ind w:left="262" w:right="285" w:firstLine="0"/>
        <w:jc w:val="both"/>
      </w:pPr>
      <w:r>
        <w:rPr/>
        <w:t>Promover el cumplimiento y la efectiva protección de los derechos humanos relacionados con el Ordenamiento Territorial de los Asentamientos Humanos, el Desarrollo Urbano y la vivienda adecuada;</w:t>
      </w:r>
    </w:p>
    <w:p>
      <w:pPr>
        <w:pStyle w:val="Heading2"/>
        <w:spacing w:after="0" w:line="240" w:lineRule="auto"/>
        <w:jc w:val="both"/>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ListParagraph"/>
        <w:numPr>
          <w:ilvl w:val="0"/>
          <w:numId w:val="8"/>
        </w:numPr>
        <w:tabs>
          <w:tab w:pos="688" w:val="left" w:leader="none"/>
        </w:tabs>
        <w:spacing w:line="240" w:lineRule="auto" w:before="0" w:after="0"/>
        <w:ind w:left="262" w:right="287" w:firstLine="0"/>
        <w:jc w:val="both"/>
        <w:rPr>
          <w:sz w:val="20"/>
        </w:rPr>
      </w:pPr>
      <w:r>
        <w:rPr>
          <w:sz w:val="20"/>
        </w:rPr>
        <w:t>Aplicar y ajustar sus procesos de planeación con la estrategia nacional de ordenamiento </w:t>
      </w:r>
      <w:r>
        <w:rPr>
          <w:spacing w:val="-2"/>
          <w:sz w:val="20"/>
        </w:rPr>
        <w:t>territorial;</w:t>
      </w:r>
    </w:p>
    <w:p>
      <w:pPr>
        <w:pStyle w:val="BodyText"/>
        <w:spacing w:before="1"/>
      </w:pPr>
    </w:p>
    <w:p>
      <w:pPr>
        <w:pStyle w:val="ListParagraph"/>
        <w:numPr>
          <w:ilvl w:val="0"/>
          <w:numId w:val="8"/>
        </w:numPr>
        <w:tabs>
          <w:tab w:pos="688" w:val="left" w:leader="none"/>
        </w:tabs>
        <w:spacing w:line="240" w:lineRule="auto" w:before="0" w:after="0"/>
        <w:ind w:left="262" w:right="283" w:firstLine="0"/>
        <w:jc w:val="both"/>
        <w:rPr>
          <w:sz w:val="20"/>
        </w:rPr>
      </w:pPr>
      <w:r>
        <w:rPr>
          <w:sz w:val="20"/>
        </w:rPr>
        <w:t>Dictar las políticas en materia de estructuración urbana, gestión del suelo, Conservación del Patrimonio Natural y Cultural y accesibilidad universal, incluyendo la Movilidad;</w:t>
      </w:r>
    </w:p>
    <w:p>
      <w:pPr>
        <w:pStyle w:val="ListParagraph"/>
        <w:numPr>
          <w:ilvl w:val="0"/>
          <w:numId w:val="8"/>
        </w:numPr>
        <w:tabs>
          <w:tab w:pos="688" w:val="left" w:leader="none"/>
        </w:tabs>
        <w:spacing w:line="240" w:lineRule="auto" w:before="229" w:after="0"/>
        <w:ind w:left="262" w:right="285" w:firstLine="0"/>
        <w:jc w:val="both"/>
        <w:rPr>
          <w:sz w:val="20"/>
        </w:rPr>
      </w:pPr>
      <w:r>
        <w:rPr>
          <w:sz w:val="20"/>
        </w:rPr>
        <w:t>Proponer</w:t>
      </w:r>
      <w:r>
        <w:rPr>
          <w:spacing w:val="-12"/>
          <w:sz w:val="20"/>
        </w:rPr>
        <w:t> </w:t>
      </w:r>
      <w:r>
        <w:rPr>
          <w:sz w:val="20"/>
        </w:rPr>
        <w:t>proyectos</w:t>
      </w:r>
      <w:r>
        <w:rPr>
          <w:spacing w:val="-12"/>
          <w:sz w:val="20"/>
        </w:rPr>
        <w:t> </w:t>
      </w:r>
      <w:r>
        <w:rPr>
          <w:sz w:val="20"/>
        </w:rPr>
        <w:t>de</w:t>
      </w:r>
      <w:r>
        <w:rPr>
          <w:spacing w:val="-14"/>
          <w:sz w:val="20"/>
        </w:rPr>
        <w:t> </w:t>
      </w:r>
      <w:r>
        <w:rPr>
          <w:sz w:val="20"/>
        </w:rPr>
        <w:t>reactivación,</w:t>
      </w:r>
      <w:r>
        <w:rPr>
          <w:spacing w:val="-14"/>
          <w:sz w:val="20"/>
        </w:rPr>
        <w:t> </w:t>
      </w:r>
      <w:r>
        <w:rPr>
          <w:sz w:val="20"/>
        </w:rPr>
        <w:t>rehabilitación,</w:t>
      </w:r>
      <w:r>
        <w:rPr>
          <w:spacing w:val="-13"/>
          <w:sz w:val="20"/>
        </w:rPr>
        <w:t> </w:t>
      </w:r>
      <w:r>
        <w:rPr>
          <w:sz w:val="20"/>
        </w:rPr>
        <w:t>mejoramiento,</w:t>
      </w:r>
      <w:r>
        <w:rPr>
          <w:spacing w:val="-14"/>
          <w:sz w:val="20"/>
        </w:rPr>
        <w:t> </w:t>
      </w:r>
      <w:r>
        <w:rPr>
          <w:sz w:val="20"/>
        </w:rPr>
        <w:t>conservación</w:t>
      </w:r>
      <w:r>
        <w:rPr>
          <w:spacing w:val="-13"/>
          <w:sz w:val="20"/>
        </w:rPr>
        <w:t> </w:t>
      </w:r>
      <w:r>
        <w:rPr>
          <w:sz w:val="20"/>
        </w:rPr>
        <w:t>y</w:t>
      </w:r>
      <w:r>
        <w:rPr>
          <w:spacing w:val="-11"/>
          <w:sz w:val="20"/>
        </w:rPr>
        <w:t> </w:t>
      </w:r>
      <w:r>
        <w:rPr>
          <w:sz w:val="20"/>
        </w:rPr>
        <w:t>protección</w:t>
      </w:r>
      <w:r>
        <w:rPr>
          <w:spacing w:val="-13"/>
          <w:sz w:val="20"/>
        </w:rPr>
        <w:t> </w:t>
      </w:r>
      <w:r>
        <w:rPr>
          <w:sz w:val="20"/>
        </w:rPr>
        <w:t>de sitios declarados como patrimonio cultural y natural;</w:t>
      </w:r>
    </w:p>
    <w:p>
      <w:pPr>
        <w:pStyle w:val="BodyText"/>
        <w:spacing w:before="1"/>
      </w:pPr>
    </w:p>
    <w:p>
      <w:pPr>
        <w:pStyle w:val="ListParagraph"/>
        <w:numPr>
          <w:ilvl w:val="0"/>
          <w:numId w:val="8"/>
        </w:numPr>
        <w:tabs>
          <w:tab w:pos="688" w:val="left" w:leader="none"/>
        </w:tabs>
        <w:spacing w:line="240" w:lineRule="auto" w:before="0" w:after="0"/>
        <w:ind w:left="262" w:right="285" w:firstLine="0"/>
        <w:jc w:val="both"/>
        <w:rPr>
          <w:sz w:val="20"/>
        </w:rPr>
      </w:pPr>
      <w:r>
        <w:rPr>
          <w:sz w:val="20"/>
        </w:rPr>
        <w:t>Establecer las normas conforme a las cuales se efectuará la evaluación del impacto urbano y territorial de las obras o proyectos que generen impactos significativos en el territorio; las cuales deberán estar incluidas en los programas de Desarrollo Urbano;</w:t>
      </w:r>
    </w:p>
    <w:p>
      <w:pPr>
        <w:pStyle w:val="BodyText"/>
      </w:pPr>
    </w:p>
    <w:p>
      <w:pPr>
        <w:pStyle w:val="ListParagraph"/>
        <w:numPr>
          <w:ilvl w:val="0"/>
          <w:numId w:val="8"/>
        </w:numPr>
        <w:tabs>
          <w:tab w:pos="688" w:val="left" w:leader="none"/>
        </w:tabs>
        <w:spacing w:line="240" w:lineRule="auto" w:before="0" w:after="0"/>
        <w:ind w:left="262" w:right="281" w:firstLine="0"/>
        <w:jc w:val="both"/>
        <w:rPr>
          <w:sz w:val="20"/>
        </w:rPr>
      </w:pPr>
      <w:r>
        <w:rPr>
          <w:sz w:val="20"/>
        </w:rPr>
        <w:t>Participar, conforme a la legislación federal y estatal, en la constitución y administración de reservas territoriales, la dotación de infraestructura, equipamiento y servicios urbanos, la salvaguarda de la población que se ubique en los polígonos de protección y amortiguamiento determinados por los programas de desarrollo urbano; así como en la protección del patrimonio natural y cultural, y de las zonas de valor ambiental del equilibrio ecológico de los centros de </w:t>
      </w:r>
      <w:r>
        <w:rPr>
          <w:spacing w:val="-2"/>
          <w:sz w:val="20"/>
        </w:rPr>
        <w:t>población;</w:t>
      </w:r>
    </w:p>
    <w:p>
      <w:pPr>
        <w:pStyle w:val="BodyText"/>
        <w:spacing w:before="1"/>
      </w:pPr>
    </w:p>
    <w:p>
      <w:pPr>
        <w:pStyle w:val="ListParagraph"/>
        <w:numPr>
          <w:ilvl w:val="0"/>
          <w:numId w:val="8"/>
        </w:numPr>
        <w:tabs>
          <w:tab w:pos="688" w:val="left" w:leader="none"/>
        </w:tabs>
        <w:spacing w:line="240" w:lineRule="auto" w:before="0" w:after="0"/>
        <w:ind w:left="262" w:right="283" w:firstLine="0"/>
        <w:jc w:val="both"/>
        <w:rPr>
          <w:sz w:val="20"/>
        </w:rPr>
      </w:pPr>
      <w:r>
        <w:rPr>
          <w:sz w:val="20"/>
        </w:rPr>
        <w:t>Intervenir en términos de lo dispuesto en esta Ley y demás disposiciones y programas de desarrollo urbano y las reservas, usos del suelo y destinos de áreas y predios en la regularización de la tenencia de la tierra urbana;</w:t>
      </w:r>
    </w:p>
    <w:p>
      <w:pPr>
        <w:pStyle w:val="ListParagraph"/>
        <w:numPr>
          <w:ilvl w:val="0"/>
          <w:numId w:val="8"/>
        </w:numPr>
        <w:tabs>
          <w:tab w:pos="827" w:val="left" w:leader="none"/>
        </w:tabs>
        <w:spacing w:line="240" w:lineRule="auto" w:before="229" w:after="0"/>
        <w:ind w:left="262" w:right="285" w:firstLine="0"/>
        <w:jc w:val="both"/>
        <w:rPr>
          <w:sz w:val="20"/>
        </w:rPr>
      </w:pPr>
      <w:r>
        <w:rPr>
          <w:sz w:val="20"/>
        </w:rPr>
        <w:t>Establecer</w:t>
      </w:r>
      <w:r>
        <w:rPr>
          <w:spacing w:val="-14"/>
          <w:sz w:val="20"/>
        </w:rPr>
        <w:t> </w:t>
      </w:r>
      <w:r>
        <w:rPr>
          <w:sz w:val="20"/>
        </w:rPr>
        <w:t>y</w:t>
      </w:r>
      <w:r>
        <w:rPr>
          <w:spacing w:val="-13"/>
          <w:sz w:val="20"/>
        </w:rPr>
        <w:t> </w:t>
      </w:r>
      <w:r>
        <w:rPr>
          <w:sz w:val="20"/>
        </w:rPr>
        <w:t>participar</w:t>
      </w:r>
      <w:r>
        <w:rPr>
          <w:spacing w:val="-11"/>
          <w:sz w:val="20"/>
        </w:rPr>
        <w:t> </w:t>
      </w:r>
      <w:r>
        <w:rPr>
          <w:sz w:val="20"/>
        </w:rPr>
        <w:t>en</w:t>
      </w:r>
      <w:r>
        <w:rPr>
          <w:spacing w:val="-13"/>
          <w:sz w:val="20"/>
        </w:rPr>
        <w:t> </w:t>
      </w:r>
      <w:r>
        <w:rPr>
          <w:sz w:val="20"/>
        </w:rPr>
        <w:t>las</w:t>
      </w:r>
      <w:r>
        <w:rPr>
          <w:spacing w:val="-13"/>
          <w:sz w:val="20"/>
        </w:rPr>
        <w:t> </w:t>
      </w:r>
      <w:r>
        <w:rPr>
          <w:sz w:val="20"/>
        </w:rPr>
        <w:t>instancias</w:t>
      </w:r>
      <w:r>
        <w:rPr>
          <w:spacing w:val="-14"/>
          <w:sz w:val="20"/>
        </w:rPr>
        <w:t> </w:t>
      </w:r>
      <w:r>
        <w:rPr>
          <w:sz w:val="20"/>
        </w:rPr>
        <w:t>de</w:t>
      </w:r>
      <w:r>
        <w:rPr>
          <w:spacing w:val="-14"/>
          <w:sz w:val="20"/>
        </w:rPr>
        <w:t> </w:t>
      </w:r>
      <w:r>
        <w:rPr>
          <w:sz w:val="20"/>
        </w:rPr>
        <w:t>coordinación</w:t>
      </w:r>
      <w:r>
        <w:rPr>
          <w:spacing w:val="-14"/>
          <w:sz w:val="20"/>
        </w:rPr>
        <w:t> </w:t>
      </w:r>
      <w:r>
        <w:rPr>
          <w:sz w:val="20"/>
        </w:rPr>
        <w:t>metropolitana</w:t>
      </w:r>
      <w:r>
        <w:rPr>
          <w:spacing w:val="-14"/>
          <w:sz w:val="20"/>
        </w:rPr>
        <w:t> </w:t>
      </w:r>
      <w:r>
        <w:rPr>
          <w:sz w:val="20"/>
        </w:rPr>
        <w:t>en</w:t>
      </w:r>
      <w:r>
        <w:rPr>
          <w:spacing w:val="-11"/>
          <w:sz w:val="20"/>
        </w:rPr>
        <w:t> </w:t>
      </w:r>
      <w:r>
        <w:rPr>
          <w:sz w:val="20"/>
        </w:rPr>
        <w:t>los</w:t>
      </w:r>
      <w:r>
        <w:rPr>
          <w:spacing w:val="-14"/>
          <w:sz w:val="20"/>
        </w:rPr>
        <w:t> </w:t>
      </w:r>
      <w:r>
        <w:rPr>
          <w:sz w:val="20"/>
        </w:rPr>
        <w:t>términos</w:t>
      </w:r>
      <w:r>
        <w:rPr>
          <w:spacing w:val="-13"/>
          <w:sz w:val="20"/>
        </w:rPr>
        <w:t> </w:t>
      </w:r>
      <w:r>
        <w:rPr>
          <w:sz w:val="20"/>
        </w:rPr>
        <w:t>de</w:t>
      </w:r>
      <w:r>
        <w:rPr>
          <w:spacing w:val="-13"/>
          <w:sz w:val="20"/>
        </w:rPr>
        <w:t> </w:t>
      </w:r>
      <w:r>
        <w:rPr>
          <w:sz w:val="20"/>
        </w:rPr>
        <w:t>esta Ley y las demás disposiciones que regulen la materia;</w:t>
      </w:r>
    </w:p>
    <w:p>
      <w:pPr>
        <w:pStyle w:val="BodyText"/>
        <w:spacing w:before="1"/>
      </w:pPr>
    </w:p>
    <w:p>
      <w:pPr>
        <w:pStyle w:val="ListParagraph"/>
        <w:numPr>
          <w:ilvl w:val="0"/>
          <w:numId w:val="8"/>
        </w:numPr>
        <w:tabs>
          <w:tab w:pos="828" w:val="left" w:leader="none"/>
        </w:tabs>
        <w:spacing w:line="240" w:lineRule="auto" w:before="1" w:after="0"/>
        <w:ind w:left="262" w:right="289" w:firstLine="0"/>
        <w:jc w:val="both"/>
        <w:rPr>
          <w:sz w:val="20"/>
        </w:rPr>
      </w:pPr>
      <w:r>
        <w:rPr>
          <w:sz w:val="20"/>
        </w:rPr>
        <w:t>Participar en</w:t>
      </w:r>
      <w:r>
        <w:rPr>
          <w:spacing w:val="-1"/>
          <w:sz w:val="20"/>
        </w:rPr>
        <w:t> </w:t>
      </w:r>
      <w:r>
        <w:rPr>
          <w:sz w:val="20"/>
        </w:rPr>
        <w:t>la</w:t>
      </w:r>
      <w:r>
        <w:rPr>
          <w:spacing w:val="-1"/>
          <w:sz w:val="20"/>
        </w:rPr>
        <w:t> </w:t>
      </w:r>
      <w:r>
        <w:rPr>
          <w:sz w:val="20"/>
        </w:rPr>
        <w:t>planeación y regulación de las zonas metropolitanas y conurbaciones, en</w:t>
      </w:r>
      <w:r>
        <w:rPr>
          <w:spacing w:val="-1"/>
          <w:sz w:val="20"/>
        </w:rPr>
        <w:t> </w:t>
      </w:r>
      <w:r>
        <w:rPr>
          <w:sz w:val="20"/>
        </w:rPr>
        <w:t>los términos previstos en esta Ley;</w:t>
      </w:r>
    </w:p>
    <w:p>
      <w:pPr>
        <w:pStyle w:val="ListParagraph"/>
        <w:numPr>
          <w:ilvl w:val="0"/>
          <w:numId w:val="8"/>
        </w:numPr>
        <w:tabs>
          <w:tab w:pos="827" w:val="left" w:leader="none"/>
        </w:tabs>
        <w:spacing w:line="240" w:lineRule="auto" w:before="228" w:after="0"/>
        <w:ind w:left="262" w:right="278" w:firstLine="0"/>
        <w:jc w:val="both"/>
        <w:rPr>
          <w:sz w:val="20"/>
        </w:rPr>
      </w:pPr>
      <w:r>
        <w:rPr>
          <w:sz w:val="20"/>
        </w:rPr>
        <w:t>Coordinar sus acciones con la Federación y celebrar convenios con otras entidades federativas,</w:t>
      </w:r>
      <w:r>
        <w:rPr>
          <w:spacing w:val="-7"/>
          <w:sz w:val="20"/>
        </w:rPr>
        <w:t> </w:t>
      </w:r>
      <w:r>
        <w:rPr>
          <w:sz w:val="20"/>
        </w:rPr>
        <w:t>sus</w:t>
      </w:r>
      <w:r>
        <w:rPr>
          <w:spacing w:val="-7"/>
          <w:sz w:val="20"/>
        </w:rPr>
        <w:t> </w:t>
      </w:r>
      <w:r>
        <w:rPr>
          <w:sz w:val="20"/>
        </w:rPr>
        <w:t>municipios</w:t>
      </w:r>
      <w:r>
        <w:rPr>
          <w:spacing w:val="-5"/>
          <w:sz w:val="20"/>
        </w:rPr>
        <w:t> </w:t>
      </w:r>
      <w:r>
        <w:rPr>
          <w:sz w:val="20"/>
        </w:rPr>
        <w:t>o</w:t>
      </w:r>
      <w:r>
        <w:rPr>
          <w:spacing w:val="-8"/>
          <w:sz w:val="20"/>
        </w:rPr>
        <w:t> </w:t>
      </w:r>
      <w:r>
        <w:rPr>
          <w:sz w:val="20"/>
        </w:rPr>
        <w:t>demarcaciones</w:t>
      </w:r>
      <w:r>
        <w:rPr>
          <w:spacing w:val="-7"/>
          <w:sz w:val="20"/>
        </w:rPr>
        <w:t> </w:t>
      </w:r>
      <w:r>
        <w:rPr>
          <w:sz w:val="20"/>
        </w:rPr>
        <w:t>territoriales,</w:t>
      </w:r>
      <w:r>
        <w:rPr>
          <w:spacing w:val="-7"/>
          <w:sz w:val="20"/>
        </w:rPr>
        <w:t> </w:t>
      </w:r>
      <w:r>
        <w:rPr>
          <w:sz w:val="20"/>
        </w:rPr>
        <w:t>según</w:t>
      </w:r>
      <w:r>
        <w:rPr>
          <w:spacing w:val="-8"/>
          <w:sz w:val="20"/>
        </w:rPr>
        <w:t> </w:t>
      </w:r>
      <w:r>
        <w:rPr>
          <w:sz w:val="20"/>
        </w:rPr>
        <w:t>corresponda,</w:t>
      </w:r>
      <w:r>
        <w:rPr>
          <w:spacing w:val="-6"/>
          <w:sz w:val="20"/>
        </w:rPr>
        <w:t> </w:t>
      </w:r>
      <w:r>
        <w:rPr>
          <w:sz w:val="20"/>
        </w:rPr>
        <w:t>para</w:t>
      </w:r>
      <w:r>
        <w:rPr>
          <w:spacing w:val="-8"/>
          <w:sz w:val="20"/>
        </w:rPr>
        <w:t> </w:t>
      </w:r>
      <w:r>
        <w:rPr>
          <w:sz w:val="20"/>
        </w:rPr>
        <w:t>el</w:t>
      </w:r>
      <w:r>
        <w:rPr>
          <w:spacing w:val="-9"/>
          <w:sz w:val="20"/>
        </w:rPr>
        <w:t> </w:t>
      </w:r>
      <w:r>
        <w:rPr>
          <w:sz w:val="20"/>
        </w:rPr>
        <w:t>ordenamiento territorial de los asentamientos humanos y la planeación del desarrollo urbano y desarrollo metropolitano; así como para la ejecución de acciones, obras e inversiones en materia de infraestructura, equipamiento y servicios urbanos, incluyendo las relativas a la movilidad y a la accesibilidad universal, así como en los sitios con valor patrimonial cultural y natural;</w:t>
      </w:r>
    </w:p>
    <w:p>
      <w:pPr>
        <w:pStyle w:val="BodyText"/>
        <w:spacing w:before="1"/>
      </w:pPr>
    </w:p>
    <w:p>
      <w:pPr>
        <w:pStyle w:val="ListParagraph"/>
        <w:numPr>
          <w:ilvl w:val="0"/>
          <w:numId w:val="8"/>
        </w:numPr>
        <w:tabs>
          <w:tab w:pos="827" w:val="left" w:leader="none"/>
        </w:tabs>
        <w:spacing w:line="240" w:lineRule="auto" w:before="0" w:after="0"/>
        <w:ind w:left="262" w:right="279" w:firstLine="0"/>
        <w:jc w:val="both"/>
        <w:rPr>
          <w:sz w:val="20"/>
        </w:rPr>
      </w:pPr>
      <w:r>
        <w:rPr>
          <w:sz w:val="20"/>
        </w:rPr>
        <w:t>Convenir con los sectores social y privado la realización de acciones e inversiones concertadas para el desarrollo regional, desarrollo urbano y desarrollo metropolitano, atendiendo a los</w:t>
      </w:r>
      <w:r>
        <w:rPr>
          <w:spacing w:val="-1"/>
          <w:sz w:val="20"/>
        </w:rPr>
        <w:t> </w:t>
      </w:r>
      <w:r>
        <w:rPr>
          <w:sz w:val="20"/>
        </w:rPr>
        <w:t>principios</w:t>
      </w:r>
      <w:r>
        <w:rPr>
          <w:spacing w:val="-1"/>
          <w:sz w:val="20"/>
        </w:rPr>
        <w:t> </w:t>
      </w:r>
      <w:r>
        <w:rPr>
          <w:sz w:val="20"/>
        </w:rPr>
        <w:t>de</w:t>
      </w:r>
      <w:r>
        <w:rPr>
          <w:spacing w:val="-3"/>
          <w:sz w:val="20"/>
        </w:rPr>
        <w:t> </w:t>
      </w:r>
      <w:r>
        <w:rPr>
          <w:sz w:val="20"/>
        </w:rPr>
        <w:t>la legislación</w:t>
      </w:r>
      <w:r>
        <w:rPr>
          <w:spacing w:val="-3"/>
          <w:sz w:val="20"/>
        </w:rPr>
        <w:t> </w:t>
      </w:r>
      <w:r>
        <w:rPr>
          <w:sz w:val="20"/>
        </w:rPr>
        <w:t>federal</w:t>
      </w:r>
      <w:r>
        <w:rPr>
          <w:spacing w:val="-3"/>
          <w:sz w:val="20"/>
        </w:rPr>
        <w:t> </w:t>
      </w:r>
      <w:r>
        <w:rPr>
          <w:sz w:val="20"/>
        </w:rPr>
        <w:t>y</w:t>
      </w:r>
      <w:r>
        <w:rPr>
          <w:spacing w:val="-1"/>
          <w:sz w:val="20"/>
        </w:rPr>
        <w:t> </w:t>
      </w:r>
      <w:r>
        <w:rPr>
          <w:sz w:val="20"/>
        </w:rPr>
        <w:t>estatal</w:t>
      </w:r>
      <w:r>
        <w:rPr>
          <w:spacing w:val="-3"/>
          <w:sz w:val="20"/>
        </w:rPr>
        <w:t> </w:t>
      </w:r>
      <w:r>
        <w:rPr>
          <w:sz w:val="20"/>
        </w:rPr>
        <w:t>en la</w:t>
      </w:r>
      <w:r>
        <w:rPr>
          <w:spacing w:val="-2"/>
          <w:sz w:val="20"/>
        </w:rPr>
        <w:t> </w:t>
      </w:r>
      <w:r>
        <w:rPr>
          <w:sz w:val="20"/>
        </w:rPr>
        <w:t>materia</w:t>
      </w:r>
      <w:r>
        <w:rPr>
          <w:spacing w:val="-2"/>
          <w:sz w:val="20"/>
        </w:rPr>
        <w:t> </w:t>
      </w:r>
      <w:r>
        <w:rPr>
          <w:sz w:val="20"/>
        </w:rPr>
        <w:t>y</w:t>
      </w:r>
      <w:r>
        <w:rPr>
          <w:spacing w:val="-1"/>
          <w:sz w:val="20"/>
        </w:rPr>
        <w:t> </w:t>
      </w:r>
      <w:r>
        <w:rPr>
          <w:sz w:val="20"/>
        </w:rPr>
        <w:t>a</w:t>
      </w:r>
      <w:r>
        <w:rPr>
          <w:spacing w:val="-2"/>
          <w:sz w:val="20"/>
        </w:rPr>
        <w:t> </w:t>
      </w:r>
      <w:r>
        <w:rPr>
          <w:sz w:val="20"/>
        </w:rPr>
        <w:t>lo establecido</w:t>
      </w:r>
      <w:r>
        <w:rPr>
          <w:spacing w:val="-3"/>
          <w:sz w:val="20"/>
        </w:rPr>
        <w:t> </w:t>
      </w:r>
      <w:r>
        <w:rPr>
          <w:sz w:val="20"/>
        </w:rPr>
        <w:t>en los</w:t>
      </w:r>
      <w:r>
        <w:rPr>
          <w:spacing w:val="-1"/>
          <w:sz w:val="20"/>
        </w:rPr>
        <w:t> </w:t>
      </w:r>
      <w:r>
        <w:rPr>
          <w:sz w:val="20"/>
        </w:rPr>
        <w:t>programas</w:t>
      </w:r>
      <w:r>
        <w:rPr>
          <w:spacing w:val="-1"/>
          <w:sz w:val="20"/>
        </w:rPr>
        <w:t> </w:t>
      </w:r>
      <w:r>
        <w:rPr>
          <w:sz w:val="20"/>
        </w:rPr>
        <w:t>de ordenamiento territorial y desarrollo urbano;</w:t>
      </w:r>
    </w:p>
    <w:p>
      <w:pPr>
        <w:pStyle w:val="BodyText"/>
      </w:pPr>
    </w:p>
    <w:p>
      <w:pPr>
        <w:pStyle w:val="ListParagraph"/>
        <w:numPr>
          <w:ilvl w:val="0"/>
          <w:numId w:val="8"/>
        </w:numPr>
        <w:tabs>
          <w:tab w:pos="968" w:val="left" w:leader="none"/>
        </w:tabs>
        <w:spacing w:line="240" w:lineRule="auto" w:before="0" w:after="0"/>
        <w:ind w:left="262" w:right="278" w:firstLine="0"/>
        <w:jc w:val="both"/>
        <w:rPr>
          <w:sz w:val="20"/>
        </w:rPr>
      </w:pPr>
      <w:r>
        <w:rPr>
          <w:sz w:val="20"/>
        </w:rPr>
        <w:t>Proponer a los ayuntamientos las modificaciones de los programas de ordenamiento territorial y desarrollo urbano, así como la determinación de provisiones, reservas, usos y destinos de áreas a fin de ejecutar acciones de fundación, mejoramiento, conservación y crecimiento previstas en el Programa Estatal de Ordenamiento Territorial y Desarrollo Urbano;</w:t>
      </w:r>
    </w:p>
    <w:p>
      <w:pPr>
        <w:pStyle w:val="BodyText"/>
      </w:pPr>
    </w:p>
    <w:p>
      <w:pPr>
        <w:pStyle w:val="ListParagraph"/>
        <w:numPr>
          <w:ilvl w:val="0"/>
          <w:numId w:val="8"/>
        </w:numPr>
        <w:tabs>
          <w:tab w:pos="968" w:val="left" w:leader="none"/>
        </w:tabs>
        <w:spacing w:line="240" w:lineRule="auto" w:before="0" w:after="0"/>
        <w:ind w:left="262" w:right="287" w:firstLine="0"/>
        <w:jc w:val="both"/>
        <w:rPr>
          <w:sz w:val="20"/>
        </w:rPr>
      </w:pPr>
      <w:r>
        <w:rPr>
          <w:sz w:val="20"/>
        </w:rPr>
        <w:t>Convenir con los respectivos municipios, cuando estos lo soliciten, la administración conjunta de acciones, obras y servicios públicos municipales, en los términos de la legislación </w:t>
      </w:r>
      <w:r>
        <w:rPr>
          <w:spacing w:val="-2"/>
          <w:sz w:val="20"/>
        </w:rPr>
        <w:t>aplicable;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8"/>
        </w:numPr>
        <w:tabs>
          <w:tab w:pos="968" w:val="left" w:leader="none"/>
        </w:tabs>
        <w:spacing w:line="240" w:lineRule="auto" w:before="0" w:after="0"/>
        <w:ind w:left="262" w:right="276" w:firstLine="0"/>
        <w:jc w:val="both"/>
        <w:rPr>
          <w:sz w:val="20"/>
        </w:rPr>
      </w:pPr>
      <w:r>
        <w:rPr>
          <w:sz w:val="20"/>
        </w:rPr>
        <w:t>Celebrar</w:t>
      </w:r>
      <w:r>
        <w:rPr>
          <w:spacing w:val="-13"/>
          <w:sz w:val="20"/>
        </w:rPr>
        <w:t> </w:t>
      </w:r>
      <w:r>
        <w:rPr>
          <w:sz w:val="20"/>
        </w:rPr>
        <w:t>convenios</w:t>
      </w:r>
      <w:r>
        <w:rPr>
          <w:spacing w:val="-13"/>
          <w:sz w:val="20"/>
        </w:rPr>
        <w:t> </w:t>
      </w:r>
      <w:r>
        <w:rPr>
          <w:sz w:val="20"/>
        </w:rPr>
        <w:t>con</w:t>
      </w:r>
      <w:r>
        <w:rPr>
          <w:spacing w:val="-12"/>
          <w:sz w:val="20"/>
        </w:rPr>
        <w:t> </w:t>
      </w:r>
      <w:r>
        <w:rPr>
          <w:sz w:val="20"/>
        </w:rPr>
        <w:t>los</w:t>
      </w:r>
      <w:r>
        <w:rPr>
          <w:spacing w:val="-10"/>
          <w:sz w:val="20"/>
        </w:rPr>
        <w:t> </w:t>
      </w:r>
      <w:r>
        <w:rPr>
          <w:sz w:val="20"/>
        </w:rPr>
        <w:t>ayuntamientos</w:t>
      </w:r>
      <w:r>
        <w:rPr>
          <w:spacing w:val="-13"/>
          <w:sz w:val="20"/>
        </w:rPr>
        <w:t> </w:t>
      </w:r>
      <w:r>
        <w:rPr>
          <w:sz w:val="20"/>
        </w:rPr>
        <w:t>del</w:t>
      </w:r>
      <w:r>
        <w:rPr>
          <w:spacing w:val="-12"/>
          <w:sz w:val="20"/>
        </w:rPr>
        <w:t> </w:t>
      </w:r>
      <w:r>
        <w:rPr>
          <w:sz w:val="20"/>
        </w:rPr>
        <w:t>Estado,</w:t>
      </w:r>
      <w:r>
        <w:rPr>
          <w:spacing w:val="-12"/>
          <w:sz w:val="20"/>
        </w:rPr>
        <w:t> </w:t>
      </w:r>
      <w:r>
        <w:rPr>
          <w:sz w:val="20"/>
        </w:rPr>
        <w:t>para</w:t>
      </w:r>
      <w:r>
        <w:rPr>
          <w:spacing w:val="-14"/>
          <w:sz w:val="20"/>
        </w:rPr>
        <w:t> </w:t>
      </w:r>
      <w:r>
        <w:rPr>
          <w:sz w:val="20"/>
        </w:rPr>
        <w:t>que</w:t>
      </w:r>
      <w:r>
        <w:rPr>
          <w:spacing w:val="-14"/>
          <w:sz w:val="20"/>
        </w:rPr>
        <w:t> </w:t>
      </w:r>
      <w:r>
        <w:rPr>
          <w:sz w:val="20"/>
        </w:rPr>
        <w:t>éste</w:t>
      </w:r>
      <w:r>
        <w:rPr>
          <w:spacing w:val="-14"/>
          <w:sz w:val="20"/>
        </w:rPr>
        <w:t> </w:t>
      </w:r>
      <w:r>
        <w:rPr>
          <w:sz w:val="20"/>
        </w:rPr>
        <w:t>se</w:t>
      </w:r>
      <w:r>
        <w:rPr>
          <w:spacing w:val="-11"/>
          <w:sz w:val="20"/>
        </w:rPr>
        <w:t> </w:t>
      </w:r>
      <w:r>
        <w:rPr>
          <w:sz w:val="20"/>
        </w:rPr>
        <w:t>haga</w:t>
      </w:r>
      <w:r>
        <w:rPr>
          <w:spacing w:val="-14"/>
          <w:sz w:val="20"/>
        </w:rPr>
        <w:t> </w:t>
      </w:r>
      <w:r>
        <w:rPr>
          <w:sz w:val="20"/>
        </w:rPr>
        <w:t>cargo</w:t>
      </w:r>
      <w:r>
        <w:rPr>
          <w:spacing w:val="-14"/>
          <w:sz w:val="20"/>
        </w:rPr>
        <w:t> </w:t>
      </w:r>
      <w:r>
        <w:rPr>
          <w:sz w:val="20"/>
        </w:rPr>
        <w:t>de</w:t>
      </w:r>
      <w:r>
        <w:rPr>
          <w:spacing w:val="-14"/>
          <w:sz w:val="20"/>
        </w:rPr>
        <w:t> </w:t>
      </w:r>
      <w:r>
        <w:rPr>
          <w:sz w:val="20"/>
        </w:rPr>
        <w:t>todas o parte de las funciones relacionadas con las atribuciones que les competen en materia de fraccionamientos y desarrollos en régimen de propiedad en condominio, o para ejercerlas con su concurso; en términos de lo dispuesto por la Constitución Política del Estado Libre y Soberano de San Luis Potosí, la Ley Orgánica Municipal y demás disposiciones jurídicas aplicables;</w:t>
      </w:r>
    </w:p>
    <w:p>
      <w:pPr>
        <w:pStyle w:val="BodyText"/>
      </w:pPr>
    </w:p>
    <w:p>
      <w:pPr>
        <w:pStyle w:val="ListParagraph"/>
        <w:numPr>
          <w:ilvl w:val="0"/>
          <w:numId w:val="8"/>
        </w:numPr>
        <w:tabs>
          <w:tab w:pos="827" w:val="left" w:leader="none"/>
        </w:tabs>
        <w:spacing w:line="240" w:lineRule="auto" w:before="0" w:after="0"/>
        <w:ind w:left="262" w:right="288" w:firstLine="0"/>
        <w:jc w:val="both"/>
        <w:rPr>
          <w:sz w:val="20"/>
        </w:rPr>
      </w:pPr>
      <w:r>
        <w:rPr>
          <w:sz w:val="20"/>
        </w:rPr>
        <w:t>Apoyar a las autoridades municipales que lo soliciten, en la administración de la planeación del desarrollo urbano, o convenir con ellas la transferencia de facultades estatales en materia urbana, en términos de los convenios que para ese efecto se celebren;</w:t>
      </w:r>
    </w:p>
    <w:p>
      <w:pPr>
        <w:pStyle w:val="BodyText"/>
      </w:pPr>
    </w:p>
    <w:p>
      <w:pPr>
        <w:pStyle w:val="ListParagraph"/>
        <w:numPr>
          <w:ilvl w:val="0"/>
          <w:numId w:val="8"/>
        </w:numPr>
        <w:tabs>
          <w:tab w:pos="827" w:val="left" w:leader="none"/>
        </w:tabs>
        <w:spacing w:line="240" w:lineRule="auto" w:before="0" w:after="0"/>
        <w:ind w:left="262" w:right="280" w:firstLine="0"/>
        <w:jc w:val="both"/>
        <w:rPr>
          <w:sz w:val="20"/>
        </w:rPr>
      </w:pPr>
      <w:r>
        <w:rPr>
          <w:sz w:val="20"/>
        </w:rPr>
        <w:t>Apoyar y asesorar a los municipios que lo soliciten, en la elaboración de los Reglamentos y demás disposiciones jurídicas en la materia; para que éstos sean congruentes con la presente Ley y</w:t>
      </w:r>
      <w:r>
        <w:rPr>
          <w:spacing w:val="-14"/>
          <w:sz w:val="20"/>
        </w:rPr>
        <w:t> </w:t>
      </w:r>
      <w:r>
        <w:rPr>
          <w:sz w:val="20"/>
        </w:rPr>
        <w:t>los</w:t>
      </w:r>
      <w:r>
        <w:rPr>
          <w:spacing w:val="-14"/>
          <w:sz w:val="20"/>
        </w:rPr>
        <w:t> </w:t>
      </w:r>
      <w:r>
        <w:rPr>
          <w:sz w:val="20"/>
        </w:rPr>
        <w:t>programas</w:t>
      </w:r>
      <w:r>
        <w:rPr>
          <w:spacing w:val="-14"/>
          <w:sz w:val="20"/>
        </w:rPr>
        <w:t> </w:t>
      </w:r>
      <w:r>
        <w:rPr>
          <w:sz w:val="20"/>
        </w:rPr>
        <w:t>de</w:t>
      </w:r>
      <w:r>
        <w:rPr>
          <w:spacing w:val="-14"/>
          <w:sz w:val="20"/>
        </w:rPr>
        <w:t> </w:t>
      </w:r>
      <w:r>
        <w:rPr>
          <w:sz w:val="20"/>
        </w:rPr>
        <w:t>desarrollo</w:t>
      </w:r>
      <w:r>
        <w:rPr>
          <w:spacing w:val="-14"/>
          <w:sz w:val="20"/>
        </w:rPr>
        <w:t> </w:t>
      </w:r>
      <w:r>
        <w:rPr>
          <w:sz w:val="20"/>
        </w:rPr>
        <w:t>urbano,</w:t>
      </w:r>
      <w:r>
        <w:rPr>
          <w:spacing w:val="-14"/>
          <w:sz w:val="20"/>
        </w:rPr>
        <w:t> </w:t>
      </w:r>
      <w:r>
        <w:rPr>
          <w:sz w:val="20"/>
        </w:rPr>
        <w:t>así</w:t>
      </w:r>
      <w:r>
        <w:rPr>
          <w:spacing w:val="-14"/>
          <w:sz w:val="20"/>
        </w:rPr>
        <w:t> </w:t>
      </w:r>
      <w:r>
        <w:rPr>
          <w:sz w:val="20"/>
        </w:rPr>
        <w:t>como</w:t>
      </w:r>
      <w:r>
        <w:rPr>
          <w:spacing w:val="-14"/>
          <w:sz w:val="20"/>
        </w:rPr>
        <w:t> </w:t>
      </w:r>
      <w:r>
        <w:rPr>
          <w:sz w:val="20"/>
        </w:rPr>
        <w:t>los</w:t>
      </w:r>
      <w:r>
        <w:rPr>
          <w:spacing w:val="-14"/>
          <w:sz w:val="20"/>
        </w:rPr>
        <w:t> </w:t>
      </w:r>
      <w:r>
        <w:rPr>
          <w:sz w:val="20"/>
        </w:rPr>
        <w:t>convenios</w:t>
      </w:r>
      <w:r>
        <w:rPr>
          <w:spacing w:val="-13"/>
          <w:sz w:val="20"/>
        </w:rPr>
        <w:t> </w:t>
      </w:r>
      <w:r>
        <w:rPr>
          <w:sz w:val="20"/>
        </w:rPr>
        <w:t>de</w:t>
      </w:r>
      <w:r>
        <w:rPr>
          <w:spacing w:val="-14"/>
          <w:sz w:val="20"/>
        </w:rPr>
        <w:t> </w:t>
      </w:r>
      <w:r>
        <w:rPr>
          <w:sz w:val="20"/>
        </w:rPr>
        <w:t>zonas</w:t>
      </w:r>
      <w:r>
        <w:rPr>
          <w:spacing w:val="-14"/>
          <w:sz w:val="20"/>
        </w:rPr>
        <w:t> </w:t>
      </w:r>
      <w:r>
        <w:rPr>
          <w:sz w:val="20"/>
        </w:rPr>
        <w:t>conurbadas</w:t>
      </w:r>
      <w:r>
        <w:rPr>
          <w:spacing w:val="-14"/>
          <w:sz w:val="20"/>
        </w:rPr>
        <w:t> </w:t>
      </w:r>
      <w:r>
        <w:rPr>
          <w:sz w:val="20"/>
        </w:rPr>
        <w:t>y</w:t>
      </w:r>
      <w:r>
        <w:rPr>
          <w:spacing w:val="-14"/>
          <w:sz w:val="20"/>
        </w:rPr>
        <w:t> </w:t>
      </w:r>
      <w:r>
        <w:rPr>
          <w:sz w:val="20"/>
        </w:rPr>
        <w:t>metropolitanas que se suscriban;</w:t>
      </w:r>
    </w:p>
    <w:p>
      <w:pPr>
        <w:pStyle w:val="BodyText"/>
        <w:spacing w:before="2"/>
      </w:pPr>
    </w:p>
    <w:p>
      <w:pPr>
        <w:pStyle w:val="ListParagraph"/>
        <w:numPr>
          <w:ilvl w:val="0"/>
          <w:numId w:val="8"/>
        </w:numPr>
        <w:tabs>
          <w:tab w:pos="826" w:val="left" w:leader="none"/>
        </w:tabs>
        <w:spacing w:line="240" w:lineRule="auto" w:before="0" w:after="0"/>
        <w:ind w:left="262" w:right="279" w:firstLine="0"/>
        <w:jc w:val="both"/>
        <w:rPr>
          <w:sz w:val="20"/>
        </w:rPr>
      </w:pPr>
      <w:r>
        <w:rPr>
          <w:sz w:val="20"/>
        </w:rPr>
        <w:t>Promover ante el Ejecutivo Federal la expropiación de terrenos ejidales o comunales o la desincorporación</w:t>
      </w:r>
      <w:r>
        <w:rPr>
          <w:spacing w:val="-12"/>
          <w:sz w:val="20"/>
        </w:rPr>
        <w:t> </w:t>
      </w:r>
      <w:r>
        <w:rPr>
          <w:sz w:val="20"/>
        </w:rPr>
        <w:t>de</w:t>
      </w:r>
      <w:r>
        <w:rPr>
          <w:spacing w:val="-12"/>
          <w:sz w:val="20"/>
        </w:rPr>
        <w:t> </w:t>
      </w:r>
      <w:r>
        <w:rPr>
          <w:sz w:val="20"/>
        </w:rPr>
        <w:t>bienes</w:t>
      </w:r>
      <w:r>
        <w:rPr>
          <w:spacing w:val="-10"/>
          <w:sz w:val="20"/>
        </w:rPr>
        <w:t> </w:t>
      </w:r>
      <w:r>
        <w:rPr>
          <w:sz w:val="20"/>
        </w:rPr>
        <w:t>federales</w:t>
      </w:r>
      <w:r>
        <w:rPr>
          <w:spacing w:val="-10"/>
          <w:sz w:val="20"/>
        </w:rPr>
        <w:t> </w:t>
      </w:r>
      <w:r>
        <w:rPr>
          <w:sz w:val="20"/>
        </w:rPr>
        <w:t>para</w:t>
      </w:r>
      <w:r>
        <w:rPr>
          <w:spacing w:val="-11"/>
          <w:sz w:val="20"/>
        </w:rPr>
        <w:t> </w:t>
      </w:r>
      <w:r>
        <w:rPr>
          <w:sz w:val="20"/>
        </w:rPr>
        <w:t>desarrollo</w:t>
      </w:r>
      <w:r>
        <w:rPr>
          <w:spacing w:val="-11"/>
          <w:sz w:val="20"/>
        </w:rPr>
        <w:t> </w:t>
      </w:r>
      <w:r>
        <w:rPr>
          <w:sz w:val="20"/>
        </w:rPr>
        <w:t>urbano,</w:t>
      </w:r>
      <w:r>
        <w:rPr>
          <w:spacing w:val="-11"/>
          <w:sz w:val="20"/>
        </w:rPr>
        <w:t> </w:t>
      </w:r>
      <w:r>
        <w:rPr>
          <w:sz w:val="20"/>
        </w:rPr>
        <w:t>vivienda,</w:t>
      </w:r>
      <w:r>
        <w:rPr>
          <w:spacing w:val="-12"/>
          <w:sz w:val="20"/>
        </w:rPr>
        <w:t> </w:t>
      </w:r>
      <w:r>
        <w:rPr>
          <w:sz w:val="20"/>
        </w:rPr>
        <w:t>regularización</w:t>
      </w:r>
      <w:r>
        <w:rPr>
          <w:spacing w:val="-11"/>
          <w:sz w:val="20"/>
        </w:rPr>
        <w:t> </w:t>
      </w:r>
      <w:r>
        <w:rPr>
          <w:sz w:val="20"/>
        </w:rPr>
        <w:t>de</w:t>
      </w:r>
      <w:r>
        <w:rPr>
          <w:spacing w:val="-11"/>
          <w:sz w:val="20"/>
        </w:rPr>
        <w:t> </w:t>
      </w:r>
      <w:r>
        <w:rPr>
          <w:sz w:val="20"/>
        </w:rPr>
        <w:t>la</w:t>
      </w:r>
      <w:r>
        <w:rPr>
          <w:spacing w:val="-11"/>
          <w:sz w:val="20"/>
        </w:rPr>
        <w:t> </w:t>
      </w:r>
      <w:r>
        <w:rPr>
          <w:sz w:val="20"/>
        </w:rPr>
        <w:t>tenencia de la tierra urbana y ordenamiento territorial, de conformidad con las estrategias de los programas de ordenamiento territorial y desarrollo urbano vigentes en el Estado, y en bienes inmuebles con edificaciones con valor arqueológico, histórico, artístico, ambiental o de otra naturaleza;</w:t>
      </w:r>
    </w:p>
    <w:p>
      <w:pPr>
        <w:pStyle w:val="ListParagraph"/>
        <w:numPr>
          <w:ilvl w:val="0"/>
          <w:numId w:val="8"/>
        </w:numPr>
        <w:tabs>
          <w:tab w:pos="826" w:val="left" w:leader="none"/>
        </w:tabs>
        <w:spacing w:line="240" w:lineRule="auto" w:before="228" w:after="0"/>
        <w:ind w:left="262" w:right="278" w:firstLine="0"/>
        <w:jc w:val="both"/>
        <w:rPr>
          <w:sz w:val="20"/>
        </w:rPr>
      </w:pPr>
      <w:r>
        <w:rPr>
          <w:sz w:val="20"/>
        </w:rPr>
        <w:t>Establecer</w:t>
      </w:r>
      <w:r>
        <w:rPr>
          <w:spacing w:val="-1"/>
          <w:sz w:val="20"/>
        </w:rPr>
        <w:t> </w:t>
      </w:r>
      <w:r>
        <w:rPr>
          <w:sz w:val="20"/>
        </w:rPr>
        <w:t>las</w:t>
      </w:r>
      <w:r>
        <w:rPr>
          <w:spacing w:val="-1"/>
          <w:sz w:val="20"/>
        </w:rPr>
        <w:t> </w:t>
      </w:r>
      <w:r>
        <w:rPr>
          <w:sz w:val="20"/>
        </w:rPr>
        <w:t>políticas</w:t>
      </w:r>
      <w:r>
        <w:rPr>
          <w:spacing w:val="-1"/>
          <w:sz w:val="20"/>
        </w:rPr>
        <w:t> </w:t>
      </w:r>
      <w:r>
        <w:rPr>
          <w:sz w:val="20"/>
        </w:rPr>
        <w:t>para</w:t>
      </w:r>
      <w:r>
        <w:rPr>
          <w:spacing w:val="-2"/>
          <w:sz w:val="20"/>
        </w:rPr>
        <w:t> </w:t>
      </w:r>
      <w:r>
        <w:rPr>
          <w:sz w:val="20"/>
        </w:rPr>
        <w:t>la prevención,</w:t>
      </w:r>
      <w:r>
        <w:rPr>
          <w:spacing w:val="-2"/>
          <w:sz w:val="20"/>
        </w:rPr>
        <w:t> </w:t>
      </w:r>
      <w:r>
        <w:rPr>
          <w:sz w:val="20"/>
        </w:rPr>
        <w:t>control</w:t>
      </w:r>
      <w:r>
        <w:rPr>
          <w:spacing w:val="-3"/>
          <w:sz w:val="20"/>
        </w:rPr>
        <w:t> </w:t>
      </w:r>
      <w:r>
        <w:rPr>
          <w:sz w:val="20"/>
        </w:rPr>
        <w:t>y</w:t>
      </w:r>
      <w:r>
        <w:rPr>
          <w:spacing w:val="-1"/>
          <w:sz w:val="20"/>
        </w:rPr>
        <w:t> </w:t>
      </w:r>
      <w:r>
        <w:rPr>
          <w:sz w:val="20"/>
        </w:rPr>
        <w:t>solución</w:t>
      </w:r>
      <w:r>
        <w:rPr>
          <w:spacing w:val="-3"/>
          <w:sz w:val="20"/>
        </w:rPr>
        <w:t> </w:t>
      </w:r>
      <w:r>
        <w:rPr>
          <w:sz w:val="20"/>
        </w:rPr>
        <w:t>de</w:t>
      </w:r>
      <w:r>
        <w:rPr>
          <w:spacing w:val="-2"/>
          <w:sz w:val="20"/>
        </w:rPr>
        <w:t> </w:t>
      </w:r>
      <w:r>
        <w:rPr>
          <w:sz w:val="20"/>
        </w:rPr>
        <w:t>los</w:t>
      </w:r>
      <w:r>
        <w:rPr>
          <w:spacing w:val="-1"/>
          <w:sz w:val="20"/>
        </w:rPr>
        <w:t> </w:t>
      </w:r>
      <w:r>
        <w:rPr>
          <w:sz w:val="20"/>
        </w:rPr>
        <w:t>asentamientos</w:t>
      </w:r>
      <w:r>
        <w:rPr>
          <w:spacing w:val="-1"/>
          <w:sz w:val="20"/>
        </w:rPr>
        <w:t> </w:t>
      </w:r>
      <w:r>
        <w:rPr>
          <w:sz w:val="20"/>
        </w:rPr>
        <w:t>humanos irregulares, así como para prevenir y evitar la ocupación por asentamientos humanos en zonas de alto riesgo, de conformidad con los programas de desarrollo urbano, de conurbaciones y zonas metropolitanas y los atlas de riesgo, incluyendo el enfoque de género y el marco de los derechos humanos, en los términos de la legislación aplicable;</w:t>
      </w:r>
    </w:p>
    <w:p>
      <w:pPr>
        <w:pStyle w:val="BodyText"/>
      </w:pPr>
    </w:p>
    <w:p>
      <w:pPr>
        <w:pStyle w:val="ListParagraph"/>
        <w:numPr>
          <w:ilvl w:val="0"/>
          <w:numId w:val="8"/>
        </w:numPr>
        <w:tabs>
          <w:tab w:pos="968" w:val="left" w:leader="none"/>
        </w:tabs>
        <w:spacing w:line="240" w:lineRule="auto" w:before="1" w:after="0"/>
        <w:ind w:left="262" w:right="286" w:firstLine="0"/>
        <w:jc w:val="both"/>
        <w:rPr>
          <w:sz w:val="20"/>
        </w:rPr>
      </w:pPr>
      <w:r>
        <w:rPr>
          <w:sz w:val="20"/>
        </w:rPr>
        <w:t>Promover</w:t>
      </w:r>
      <w:r>
        <w:rPr>
          <w:spacing w:val="-12"/>
          <w:sz w:val="20"/>
        </w:rPr>
        <w:t> </w:t>
      </w:r>
      <w:r>
        <w:rPr>
          <w:sz w:val="20"/>
        </w:rPr>
        <w:t>el</w:t>
      </w:r>
      <w:r>
        <w:rPr>
          <w:spacing w:val="-14"/>
          <w:sz w:val="20"/>
        </w:rPr>
        <w:t> </w:t>
      </w:r>
      <w:r>
        <w:rPr>
          <w:sz w:val="20"/>
        </w:rPr>
        <w:t>análisis</w:t>
      </w:r>
      <w:r>
        <w:rPr>
          <w:spacing w:val="-13"/>
          <w:sz w:val="20"/>
        </w:rPr>
        <w:t> </w:t>
      </w:r>
      <w:r>
        <w:rPr>
          <w:sz w:val="20"/>
        </w:rPr>
        <w:t>y</w:t>
      </w:r>
      <w:r>
        <w:rPr>
          <w:spacing w:val="-13"/>
          <w:sz w:val="20"/>
        </w:rPr>
        <w:t> </w:t>
      </w:r>
      <w:r>
        <w:rPr>
          <w:sz w:val="20"/>
        </w:rPr>
        <w:t>delimitación</w:t>
      </w:r>
      <w:r>
        <w:rPr>
          <w:spacing w:val="-13"/>
          <w:sz w:val="20"/>
        </w:rPr>
        <w:t> </w:t>
      </w:r>
      <w:r>
        <w:rPr>
          <w:sz w:val="20"/>
        </w:rPr>
        <w:t>de</w:t>
      </w:r>
      <w:r>
        <w:rPr>
          <w:spacing w:val="-13"/>
          <w:sz w:val="20"/>
        </w:rPr>
        <w:t> </w:t>
      </w:r>
      <w:r>
        <w:rPr>
          <w:sz w:val="20"/>
        </w:rPr>
        <w:t>las</w:t>
      </w:r>
      <w:r>
        <w:rPr>
          <w:spacing w:val="-11"/>
          <w:sz w:val="20"/>
        </w:rPr>
        <w:t> </w:t>
      </w:r>
      <w:r>
        <w:rPr>
          <w:sz w:val="20"/>
        </w:rPr>
        <w:t>áreas</w:t>
      </w:r>
      <w:r>
        <w:rPr>
          <w:spacing w:val="-14"/>
          <w:sz w:val="20"/>
        </w:rPr>
        <w:t> </w:t>
      </w:r>
      <w:r>
        <w:rPr>
          <w:sz w:val="20"/>
        </w:rPr>
        <w:t>sujetas</w:t>
      </w:r>
      <w:r>
        <w:rPr>
          <w:spacing w:val="-11"/>
          <w:sz w:val="20"/>
        </w:rPr>
        <w:t> </w:t>
      </w:r>
      <w:r>
        <w:rPr>
          <w:sz w:val="20"/>
        </w:rPr>
        <w:t>a</w:t>
      </w:r>
      <w:r>
        <w:rPr>
          <w:spacing w:val="-14"/>
          <w:sz w:val="20"/>
        </w:rPr>
        <w:t> </w:t>
      </w:r>
      <w:r>
        <w:rPr>
          <w:sz w:val="20"/>
        </w:rPr>
        <w:t>riesgo</w:t>
      </w:r>
      <w:r>
        <w:rPr>
          <w:spacing w:val="-14"/>
          <w:sz w:val="20"/>
        </w:rPr>
        <w:t> </w:t>
      </w:r>
      <w:r>
        <w:rPr>
          <w:sz w:val="20"/>
        </w:rPr>
        <w:t>dentro</w:t>
      </w:r>
      <w:r>
        <w:rPr>
          <w:spacing w:val="-12"/>
          <w:sz w:val="20"/>
        </w:rPr>
        <w:t> </w:t>
      </w:r>
      <w:r>
        <w:rPr>
          <w:sz w:val="20"/>
        </w:rPr>
        <w:t>de</w:t>
      </w:r>
      <w:r>
        <w:rPr>
          <w:spacing w:val="-13"/>
          <w:sz w:val="20"/>
        </w:rPr>
        <w:t> </w:t>
      </w:r>
      <w:r>
        <w:rPr>
          <w:sz w:val="20"/>
        </w:rPr>
        <w:t>los</w:t>
      </w:r>
      <w:r>
        <w:rPr>
          <w:spacing w:val="-14"/>
          <w:sz w:val="20"/>
        </w:rPr>
        <w:t> </w:t>
      </w:r>
      <w:r>
        <w:rPr>
          <w:sz w:val="20"/>
        </w:rPr>
        <w:t>asentamientos humanos; así como promover estudios de vulnerabilidad en el Estado, a través de las instituciones </w:t>
      </w:r>
      <w:r>
        <w:rPr>
          <w:spacing w:val="-2"/>
          <w:sz w:val="20"/>
        </w:rPr>
        <w:t>competentes;</w:t>
      </w:r>
    </w:p>
    <w:p>
      <w:pPr>
        <w:pStyle w:val="BodyText"/>
        <w:spacing w:before="1"/>
      </w:pPr>
    </w:p>
    <w:p>
      <w:pPr>
        <w:pStyle w:val="ListParagraph"/>
        <w:numPr>
          <w:ilvl w:val="0"/>
          <w:numId w:val="8"/>
        </w:numPr>
        <w:tabs>
          <w:tab w:pos="968" w:val="left" w:leader="none"/>
        </w:tabs>
        <w:spacing w:line="240" w:lineRule="auto" w:before="0" w:after="0"/>
        <w:ind w:left="262" w:right="283" w:firstLine="0"/>
        <w:jc w:val="both"/>
        <w:rPr>
          <w:sz w:val="20"/>
        </w:rPr>
      </w:pPr>
      <w:r>
        <w:rPr>
          <w:sz w:val="20"/>
        </w:rPr>
        <w:t>Llevar a cabo, a través de las autoridades y organismos competentes, acciones de reubicación de asentamientos humanos que ocupan zonas de alto riesgo, derechos de vía y zonas catalogadas de salvaguarda en las localidades de la Entidad;</w:t>
      </w:r>
    </w:p>
    <w:p>
      <w:pPr>
        <w:pStyle w:val="ListParagraph"/>
        <w:numPr>
          <w:ilvl w:val="0"/>
          <w:numId w:val="8"/>
        </w:numPr>
        <w:tabs>
          <w:tab w:pos="968" w:val="left" w:leader="none"/>
        </w:tabs>
        <w:spacing w:line="240" w:lineRule="auto" w:before="230" w:after="0"/>
        <w:ind w:left="262" w:right="287" w:firstLine="0"/>
        <w:jc w:val="both"/>
        <w:rPr>
          <w:sz w:val="20"/>
        </w:rPr>
      </w:pPr>
      <w:r>
        <w:rPr>
          <w:sz w:val="20"/>
        </w:rPr>
        <w:t>Emitir en su caso, con aprobación de la Comisión Metropolitana y de Conurbación respectiva, los decretos de Conurbación y de Zona Metropolitana;</w:t>
      </w:r>
    </w:p>
    <w:p>
      <w:pPr>
        <w:pStyle w:val="BodyText"/>
        <w:spacing w:before="1"/>
      </w:pPr>
    </w:p>
    <w:p>
      <w:pPr>
        <w:pStyle w:val="ListParagraph"/>
        <w:numPr>
          <w:ilvl w:val="0"/>
          <w:numId w:val="8"/>
        </w:numPr>
        <w:tabs>
          <w:tab w:pos="968" w:val="left" w:leader="none"/>
        </w:tabs>
        <w:spacing w:line="240" w:lineRule="auto" w:before="0" w:after="0"/>
        <w:ind w:left="262" w:right="281" w:firstLine="0"/>
        <w:jc w:val="both"/>
        <w:rPr>
          <w:sz w:val="20"/>
        </w:rPr>
      </w:pPr>
      <w:r>
        <w:rPr>
          <w:sz w:val="20"/>
        </w:rPr>
        <w:t>Establecer,</w:t>
      </w:r>
      <w:r>
        <w:rPr>
          <w:spacing w:val="-14"/>
          <w:sz w:val="20"/>
        </w:rPr>
        <w:t> </w:t>
      </w:r>
      <w:r>
        <w:rPr>
          <w:sz w:val="20"/>
        </w:rPr>
        <w:t>una</w:t>
      </w:r>
      <w:r>
        <w:rPr>
          <w:spacing w:val="-14"/>
          <w:sz w:val="20"/>
        </w:rPr>
        <w:t> </w:t>
      </w:r>
      <w:r>
        <w:rPr>
          <w:sz w:val="20"/>
        </w:rPr>
        <w:t>política</w:t>
      </w:r>
      <w:r>
        <w:rPr>
          <w:spacing w:val="-14"/>
          <w:sz w:val="20"/>
        </w:rPr>
        <w:t> </w:t>
      </w:r>
      <w:r>
        <w:rPr>
          <w:sz w:val="20"/>
        </w:rPr>
        <w:t>integral</w:t>
      </w:r>
      <w:r>
        <w:rPr>
          <w:spacing w:val="-14"/>
          <w:sz w:val="20"/>
        </w:rPr>
        <w:t> </w:t>
      </w:r>
      <w:r>
        <w:rPr>
          <w:sz w:val="20"/>
        </w:rPr>
        <w:t>de</w:t>
      </w:r>
      <w:r>
        <w:rPr>
          <w:spacing w:val="-14"/>
          <w:sz w:val="20"/>
        </w:rPr>
        <w:t> </w:t>
      </w:r>
      <w:r>
        <w:rPr>
          <w:sz w:val="20"/>
        </w:rPr>
        <w:t>suelo</w:t>
      </w:r>
      <w:r>
        <w:rPr>
          <w:spacing w:val="-14"/>
          <w:sz w:val="20"/>
        </w:rPr>
        <w:t> </w:t>
      </w:r>
      <w:r>
        <w:rPr>
          <w:sz w:val="20"/>
        </w:rPr>
        <w:t>urbano,</w:t>
      </w:r>
      <w:r>
        <w:rPr>
          <w:spacing w:val="-14"/>
          <w:sz w:val="20"/>
        </w:rPr>
        <w:t> </w:t>
      </w:r>
      <w:r>
        <w:rPr>
          <w:sz w:val="20"/>
        </w:rPr>
        <w:t>protección</w:t>
      </w:r>
      <w:r>
        <w:rPr>
          <w:spacing w:val="-14"/>
          <w:sz w:val="20"/>
        </w:rPr>
        <w:t> </w:t>
      </w:r>
      <w:r>
        <w:rPr>
          <w:sz w:val="20"/>
        </w:rPr>
        <w:t>ambiental,</w:t>
      </w:r>
      <w:r>
        <w:rPr>
          <w:spacing w:val="-14"/>
          <w:sz w:val="20"/>
        </w:rPr>
        <w:t> </w:t>
      </w:r>
      <w:r>
        <w:rPr>
          <w:sz w:val="20"/>
        </w:rPr>
        <w:t>reservas</w:t>
      </w:r>
      <w:r>
        <w:rPr>
          <w:spacing w:val="-13"/>
          <w:sz w:val="20"/>
        </w:rPr>
        <w:t> </w:t>
      </w:r>
      <w:r>
        <w:rPr>
          <w:sz w:val="20"/>
        </w:rPr>
        <w:t>territoriales, y</w:t>
      </w:r>
      <w:r>
        <w:rPr>
          <w:spacing w:val="-5"/>
          <w:sz w:val="20"/>
        </w:rPr>
        <w:t> </w:t>
      </w:r>
      <w:r>
        <w:rPr>
          <w:sz w:val="20"/>
        </w:rPr>
        <w:t>prevención</w:t>
      </w:r>
      <w:r>
        <w:rPr>
          <w:spacing w:val="-5"/>
          <w:sz w:val="20"/>
        </w:rPr>
        <w:t> </w:t>
      </w:r>
      <w:r>
        <w:rPr>
          <w:sz w:val="20"/>
        </w:rPr>
        <w:t>y</w:t>
      </w:r>
      <w:r>
        <w:rPr>
          <w:spacing w:val="-5"/>
          <w:sz w:val="20"/>
        </w:rPr>
        <w:t> </w:t>
      </w:r>
      <w:r>
        <w:rPr>
          <w:sz w:val="20"/>
        </w:rPr>
        <w:t>mitigación</w:t>
      </w:r>
      <w:r>
        <w:rPr>
          <w:spacing w:val="-5"/>
          <w:sz w:val="20"/>
        </w:rPr>
        <w:t> </w:t>
      </w:r>
      <w:r>
        <w:rPr>
          <w:sz w:val="20"/>
        </w:rPr>
        <w:t>de</w:t>
      </w:r>
      <w:r>
        <w:rPr>
          <w:spacing w:val="-7"/>
          <w:sz w:val="20"/>
        </w:rPr>
        <w:t> </w:t>
      </w:r>
      <w:r>
        <w:rPr>
          <w:sz w:val="20"/>
        </w:rPr>
        <w:t>desastres</w:t>
      </w:r>
      <w:r>
        <w:rPr>
          <w:spacing w:val="-6"/>
          <w:sz w:val="20"/>
        </w:rPr>
        <w:t> </w:t>
      </w:r>
      <w:r>
        <w:rPr>
          <w:sz w:val="20"/>
        </w:rPr>
        <w:t>que</w:t>
      </w:r>
      <w:r>
        <w:rPr>
          <w:spacing w:val="-5"/>
          <w:sz w:val="20"/>
        </w:rPr>
        <w:t> </w:t>
      </w:r>
      <w:r>
        <w:rPr>
          <w:sz w:val="20"/>
        </w:rPr>
        <w:t>entre</w:t>
      </w:r>
      <w:r>
        <w:rPr>
          <w:spacing w:val="-5"/>
          <w:sz w:val="20"/>
        </w:rPr>
        <w:t> </w:t>
      </w:r>
      <w:r>
        <w:rPr>
          <w:sz w:val="20"/>
        </w:rPr>
        <w:t>otros</w:t>
      </w:r>
      <w:r>
        <w:rPr>
          <w:spacing w:val="-6"/>
          <w:sz w:val="20"/>
        </w:rPr>
        <w:t> </w:t>
      </w:r>
      <w:r>
        <w:rPr>
          <w:sz w:val="20"/>
        </w:rPr>
        <w:t>aspectos</w:t>
      </w:r>
      <w:r>
        <w:rPr>
          <w:spacing w:val="-3"/>
          <w:sz w:val="20"/>
        </w:rPr>
        <w:t> </w:t>
      </w:r>
      <w:r>
        <w:rPr>
          <w:sz w:val="20"/>
        </w:rPr>
        <w:t>comprenda</w:t>
      </w:r>
      <w:r>
        <w:rPr>
          <w:spacing w:val="-4"/>
          <w:sz w:val="20"/>
        </w:rPr>
        <w:t> </w:t>
      </w:r>
      <w:r>
        <w:rPr>
          <w:sz w:val="20"/>
        </w:rPr>
        <w:t>la</w:t>
      </w:r>
      <w:r>
        <w:rPr>
          <w:spacing w:val="-5"/>
          <w:sz w:val="20"/>
        </w:rPr>
        <w:t> </w:t>
      </w:r>
      <w:r>
        <w:rPr>
          <w:sz w:val="20"/>
        </w:rPr>
        <w:t>programación</w:t>
      </w:r>
      <w:r>
        <w:rPr>
          <w:spacing w:val="-5"/>
          <w:sz w:val="20"/>
        </w:rPr>
        <w:t> </w:t>
      </w:r>
      <w:r>
        <w:rPr>
          <w:sz w:val="20"/>
        </w:rPr>
        <w:t>de</w:t>
      </w:r>
      <w:r>
        <w:rPr>
          <w:spacing w:val="-4"/>
          <w:sz w:val="20"/>
        </w:rPr>
        <w:t> </w:t>
      </w:r>
      <w:r>
        <w:rPr>
          <w:sz w:val="20"/>
        </w:rPr>
        <w:t>las adquisiciones y ofertas de suelo para los usos y aprovechamientos indicados en los programas de desarrollo urbano, en coordinación con las instancias competentes de los órdenes de gobierno federal y municipal;</w:t>
      </w:r>
    </w:p>
    <w:p>
      <w:pPr>
        <w:pStyle w:val="ListParagraph"/>
        <w:numPr>
          <w:ilvl w:val="0"/>
          <w:numId w:val="8"/>
        </w:numPr>
        <w:tabs>
          <w:tab w:pos="1112" w:val="left" w:leader="none"/>
        </w:tabs>
        <w:spacing w:line="240" w:lineRule="auto" w:before="228" w:after="0"/>
        <w:ind w:left="262" w:right="283" w:firstLine="0"/>
        <w:jc w:val="both"/>
        <w:rPr>
          <w:sz w:val="20"/>
        </w:rPr>
      </w:pPr>
      <w:r>
        <w:rPr>
          <w:spacing w:val="-2"/>
          <w:sz w:val="20"/>
        </w:rPr>
        <w:t>Proponer</w:t>
      </w:r>
      <w:r>
        <w:rPr>
          <w:spacing w:val="-4"/>
          <w:sz w:val="20"/>
        </w:rPr>
        <w:t> </w:t>
      </w:r>
      <w:r>
        <w:rPr>
          <w:spacing w:val="-2"/>
          <w:sz w:val="20"/>
        </w:rPr>
        <w:t>al</w:t>
      </w:r>
      <w:r>
        <w:rPr>
          <w:spacing w:val="-7"/>
          <w:sz w:val="20"/>
        </w:rPr>
        <w:t> </w:t>
      </w:r>
      <w:r>
        <w:rPr>
          <w:spacing w:val="-2"/>
          <w:sz w:val="20"/>
        </w:rPr>
        <w:t>Congreso</w:t>
      </w:r>
      <w:r>
        <w:rPr>
          <w:spacing w:val="-5"/>
          <w:sz w:val="20"/>
        </w:rPr>
        <w:t> </w:t>
      </w:r>
      <w:r>
        <w:rPr>
          <w:spacing w:val="-2"/>
          <w:sz w:val="20"/>
        </w:rPr>
        <w:t>del</w:t>
      </w:r>
      <w:r>
        <w:rPr>
          <w:spacing w:val="-4"/>
          <w:sz w:val="20"/>
        </w:rPr>
        <w:t> </w:t>
      </w:r>
      <w:r>
        <w:rPr>
          <w:spacing w:val="-2"/>
          <w:sz w:val="20"/>
        </w:rPr>
        <w:t>Estado</w:t>
      </w:r>
      <w:r>
        <w:rPr>
          <w:spacing w:val="-5"/>
          <w:sz w:val="20"/>
        </w:rPr>
        <w:t> </w:t>
      </w:r>
      <w:r>
        <w:rPr>
          <w:spacing w:val="-2"/>
          <w:sz w:val="20"/>
        </w:rPr>
        <w:t>cuando</w:t>
      </w:r>
      <w:r>
        <w:rPr>
          <w:spacing w:val="-7"/>
          <w:sz w:val="20"/>
        </w:rPr>
        <w:t> </w:t>
      </w:r>
      <w:r>
        <w:rPr>
          <w:spacing w:val="-2"/>
          <w:sz w:val="20"/>
        </w:rPr>
        <w:t>así</w:t>
      </w:r>
      <w:r>
        <w:rPr>
          <w:spacing w:val="-5"/>
          <w:sz w:val="20"/>
        </w:rPr>
        <w:t> </w:t>
      </w:r>
      <w:r>
        <w:rPr>
          <w:spacing w:val="-2"/>
          <w:sz w:val="20"/>
        </w:rPr>
        <w:t>proceda,</w:t>
      </w:r>
      <w:r>
        <w:rPr>
          <w:spacing w:val="-5"/>
          <w:sz w:val="20"/>
        </w:rPr>
        <w:t> </w:t>
      </w:r>
      <w:r>
        <w:rPr>
          <w:spacing w:val="-2"/>
          <w:sz w:val="20"/>
        </w:rPr>
        <w:t>la</w:t>
      </w:r>
      <w:r>
        <w:rPr>
          <w:spacing w:val="-5"/>
          <w:sz w:val="20"/>
        </w:rPr>
        <w:t> </w:t>
      </w:r>
      <w:r>
        <w:rPr>
          <w:spacing w:val="-2"/>
          <w:sz w:val="20"/>
        </w:rPr>
        <w:t>fundación</w:t>
      </w:r>
      <w:r>
        <w:rPr>
          <w:spacing w:val="-7"/>
          <w:sz w:val="20"/>
        </w:rPr>
        <w:t> </w:t>
      </w:r>
      <w:r>
        <w:rPr>
          <w:spacing w:val="-2"/>
          <w:sz w:val="20"/>
        </w:rPr>
        <w:t>de</w:t>
      </w:r>
      <w:r>
        <w:rPr>
          <w:spacing w:val="-5"/>
          <w:sz w:val="20"/>
        </w:rPr>
        <w:t> </w:t>
      </w:r>
      <w:r>
        <w:rPr>
          <w:spacing w:val="-2"/>
          <w:sz w:val="20"/>
        </w:rPr>
        <w:t>centros</w:t>
      </w:r>
      <w:r>
        <w:rPr>
          <w:spacing w:val="-4"/>
          <w:sz w:val="20"/>
        </w:rPr>
        <w:t> </w:t>
      </w:r>
      <w:r>
        <w:rPr>
          <w:spacing w:val="-2"/>
          <w:sz w:val="20"/>
        </w:rPr>
        <w:t>de</w:t>
      </w:r>
      <w:r>
        <w:rPr>
          <w:spacing w:val="-7"/>
          <w:sz w:val="20"/>
        </w:rPr>
        <w:t> </w:t>
      </w:r>
      <w:r>
        <w:rPr>
          <w:spacing w:val="-2"/>
          <w:sz w:val="20"/>
        </w:rPr>
        <w:t>población </w:t>
      </w:r>
      <w:r>
        <w:rPr>
          <w:sz w:val="20"/>
        </w:rPr>
        <w:t>conforme al Programa Estatal de Ordenamiento Territorial y Desarrollo Urbano;</w:t>
      </w:r>
    </w:p>
    <w:p>
      <w:pPr>
        <w:pStyle w:val="BodyText"/>
        <w:spacing w:before="1"/>
      </w:pPr>
    </w:p>
    <w:p>
      <w:pPr>
        <w:pStyle w:val="ListParagraph"/>
        <w:numPr>
          <w:ilvl w:val="0"/>
          <w:numId w:val="8"/>
        </w:numPr>
        <w:tabs>
          <w:tab w:pos="968" w:val="left" w:leader="none"/>
        </w:tabs>
        <w:spacing w:line="240" w:lineRule="auto" w:before="0" w:after="0"/>
        <w:ind w:left="262" w:right="287" w:firstLine="0"/>
        <w:jc w:val="both"/>
        <w:rPr>
          <w:sz w:val="20"/>
        </w:rPr>
      </w:pPr>
      <w:r>
        <w:rPr>
          <w:sz w:val="20"/>
        </w:rPr>
        <w:t>Establecer las políticas conforme a los criterios técnicos de las legislaciones fiscales, que permitan</w:t>
      </w:r>
      <w:r>
        <w:rPr>
          <w:spacing w:val="80"/>
          <w:sz w:val="20"/>
        </w:rPr>
        <w:t> </w:t>
      </w:r>
      <w:r>
        <w:rPr>
          <w:sz w:val="20"/>
        </w:rPr>
        <w:t>contribuir</w:t>
      </w:r>
      <w:r>
        <w:rPr>
          <w:spacing w:val="80"/>
          <w:sz w:val="20"/>
        </w:rPr>
        <w:t> </w:t>
      </w:r>
      <w:r>
        <w:rPr>
          <w:sz w:val="20"/>
        </w:rPr>
        <w:t>al</w:t>
      </w:r>
      <w:r>
        <w:rPr>
          <w:spacing w:val="80"/>
          <w:sz w:val="20"/>
        </w:rPr>
        <w:t> </w:t>
      </w:r>
      <w:r>
        <w:rPr>
          <w:sz w:val="20"/>
        </w:rPr>
        <w:t>financiamiento</w:t>
      </w:r>
      <w:r>
        <w:rPr>
          <w:spacing w:val="80"/>
          <w:sz w:val="20"/>
        </w:rPr>
        <w:t> </w:t>
      </w:r>
      <w:r>
        <w:rPr>
          <w:sz w:val="20"/>
        </w:rPr>
        <w:t>del</w:t>
      </w:r>
      <w:r>
        <w:rPr>
          <w:spacing w:val="80"/>
          <w:sz w:val="20"/>
        </w:rPr>
        <w:t> </w:t>
      </w:r>
      <w:r>
        <w:rPr>
          <w:sz w:val="20"/>
        </w:rPr>
        <w:t>ordenamiento</w:t>
      </w:r>
      <w:r>
        <w:rPr>
          <w:spacing w:val="80"/>
          <w:sz w:val="20"/>
        </w:rPr>
        <w:t> </w:t>
      </w:r>
      <w:r>
        <w:rPr>
          <w:sz w:val="20"/>
        </w:rPr>
        <w:t>territorial</w:t>
      </w:r>
      <w:r>
        <w:rPr>
          <w:spacing w:val="80"/>
          <w:sz w:val="20"/>
        </w:rPr>
        <w:t> </w:t>
      </w:r>
      <w:r>
        <w:rPr>
          <w:sz w:val="20"/>
        </w:rPr>
        <w:t>y</w:t>
      </w:r>
      <w:r>
        <w:rPr>
          <w:spacing w:val="80"/>
          <w:sz w:val="20"/>
        </w:rPr>
        <w:t> </w:t>
      </w:r>
      <w:r>
        <w:rPr>
          <w:sz w:val="20"/>
        </w:rPr>
        <w:t>el</w:t>
      </w:r>
      <w:r>
        <w:rPr>
          <w:spacing w:val="80"/>
          <w:sz w:val="20"/>
        </w:rPr>
        <w:t> </w:t>
      </w:r>
      <w:r>
        <w:rPr>
          <w:sz w:val="20"/>
        </w:rPr>
        <w:t>desarrollo</w:t>
      </w:r>
      <w:r>
        <w:rPr>
          <w:spacing w:val="80"/>
          <w:sz w:val="20"/>
        </w:rPr>
        <w:t> </w:t>
      </w:r>
      <w:r>
        <w:rPr>
          <w:sz w:val="20"/>
        </w:rPr>
        <w:t>urbano</w:t>
      </w:r>
      <w:r>
        <w:rPr>
          <w:spacing w:val="80"/>
          <w:sz w:val="20"/>
        </w:rPr>
        <w:t> </w:t>
      </w:r>
      <w:r>
        <w:rPr>
          <w:sz w:val="20"/>
        </w:rPr>
        <w:t>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pPr>
      <w:r>
        <w:rPr/>
        <w:t>metropolitano en condiciones de equidad, así como la recuperación del incremento de valor de la propiedad inmobiliaria generado por la consolidación y el crecimiento urbano;</w:t>
      </w:r>
    </w:p>
    <w:p>
      <w:pPr>
        <w:pStyle w:val="BodyText"/>
        <w:spacing w:before="1"/>
      </w:pPr>
    </w:p>
    <w:p>
      <w:pPr>
        <w:pStyle w:val="ListParagraph"/>
        <w:numPr>
          <w:ilvl w:val="0"/>
          <w:numId w:val="8"/>
        </w:numPr>
        <w:tabs>
          <w:tab w:pos="882" w:val="left" w:leader="none"/>
        </w:tabs>
        <w:spacing w:line="240" w:lineRule="auto" w:before="0" w:after="0"/>
        <w:ind w:left="262" w:right="285" w:firstLine="0"/>
        <w:jc w:val="both"/>
        <w:rPr>
          <w:sz w:val="20"/>
        </w:rPr>
      </w:pPr>
      <w:r>
        <w:rPr>
          <w:sz w:val="20"/>
        </w:rPr>
        <w:t>Formular y establecer convenios para inversiones público privadas para el rescate y conservación</w:t>
      </w:r>
      <w:r>
        <w:rPr>
          <w:spacing w:val="-6"/>
          <w:sz w:val="20"/>
        </w:rPr>
        <w:t> </w:t>
      </w:r>
      <w:r>
        <w:rPr>
          <w:sz w:val="20"/>
        </w:rPr>
        <w:t>de</w:t>
      </w:r>
      <w:r>
        <w:rPr>
          <w:spacing w:val="-6"/>
          <w:sz w:val="20"/>
        </w:rPr>
        <w:t> </w:t>
      </w:r>
      <w:r>
        <w:rPr>
          <w:sz w:val="20"/>
        </w:rPr>
        <w:t>sitios,</w:t>
      </w:r>
      <w:r>
        <w:rPr>
          <w:spacing w:val="-6"/>
          <w:sz w:val="20"/>
        </w:rPr>
        <w:t> </w:t>
      </w:r>
      <w:r>
        <w:rPr>
          <w:sz w:val="20"/>
        </w:rPr>
        <w:t>lugares</w:t>
      </w:r>
      <w:r>
        <w:rPr>
          <w:spacing w:val="-5"/>
          <w:sz w:val="20"/>
        </w:rPr>
        <w:t> </w:t>
      </w:r>
      <w:r>
        <w:rPr>
          <w:sz w:val="20"/>
        </w:rPr>
        <w:t>o</w:t>
      </w:r>
      <w:r>
        <w:rPr>
          <w:spacing w:val="-6"/>
          <w:sz w:val="20"/>
        </w:rPr>
        <w:t> </w:t>
      </w:r>
      <w:r>
        <w:rPr>
          <w:sz w:val="20"/>
        </w:rPr>
        <w:t>edificaciones</w:t>
      </w:r>
      <w:r>
        <w:rPr>
          <w:spacing w:val="-5"/>
          <w:sz w:val="20"/>
        </w:rPr>
        <w:t> </w:t>
      </w:r>
      <w:r>
        <w:rPr>
          <w:sz w:val="20"/>
        </w:rPr>
        <w:t>con</w:t>
      </w:r>
      <w:r>
        <w:rPr>
          <w:spacing w:val="-6"/>
          <w:sz w:val="20"/>
        </w:rPr>
        <w:t> </w:t>
      </w:r>
      <w:r>
        <w:rPr>
          <w:sz w:val="20"/>
        </w:rPr>
        <w:t>valor</w:t>
      </w:r>
      <w:r>
        <w:rPr>
          <w:spacing w:val="-5"/>
          <w:sz w:val="20"/>
        </w:rPr>
        <w:t> </w:t>
      </w:r>
      <w:r>
        <w:rPr>
          <w:sz w:val="20"/>
        </w:rPr>
        <w:t>arqueológico,</w:t>
      </w:r>
      <w:r>
        <w:rPr>
          <w:spacing w:val="-6"/>
          <w:sz w:val="20"/>
        </w:rPr>
        <w:t> </w:t>
      </w:r>
      <w:r>
        <w:rPr>
          <w:sz w:val="20"/>
        </w:rPr>
        <w:t>histórico,</w:t>
      </w:r>
      <w:r>
        <w:rPr>
          <w:spacing w:val="-4"/>
          <w:sz w:val="20"/>
        </w:rPr>
        <w:t> </w:t>
      </w:r>
      <w:r>
        <w:rPr>
          <w:sz w:val="20"/>
        </w:rPr>
        <w:t>artístico,</w:t>
      </w:r>
      <w:r>
        <w:rPr>
          <w:spacing w:val="-6"/>
          <w:sz w:val="20"/>
        </w:rPr>
        <w:t> </w:t>
      </w:r>
      <w:r>
        <w:rPr>
          <w:sz w:val="20"/>
        </w:rPr>
        <w:t>ambiental o de otra naturaleza;</w:t>
      </w:r>
    </w:p>
    <w:p>
      <w:pPr>
        <w:pStyle w:val="ListParagraph"/>
        <w:numPr>
          <w:ilvl w:val="0"/>
          <w:numId w:val="8"/>
        </w:numPr>
        <w:tabs>
          <w:tab w:pos="968" w:val="left" w:leader="none"/>
        </w:tabs>
        <w:spacing w:line="240" w:lineRule="auto" w:before="229" w:after="0"/>
        <w:ind w:left="262" w:right="285" w:firstLine="0"/>
        <w:jc w:val="both"/>
        <w:rPr>
          <w:sz w:val="20"/>
        </w:rPr>
      </w:pPr>
      <w:r>
        <w:rPr>
          <w:sz w:val="20"/>
        </w:rPr>
        <w:t>Formular</w:t>
      </w:r>
      <w:r>
        <w:rPr>
          <w:spacing w:val="-2"/>
          <w:sz w:val="20"/>
        </w:rPr>
        <w:t> </w:t>
      </w:r>
      <w:r>
        <w:rPr>
          <w:sz w:val="20"/>
        </w:rPr>
        <w:t>y</w:t>
      </w:r>
      <w:r>
        <w:rPr>
          <w:spacing w:val="-2"/>
          <w:sz w:val="20"/>
        </w:rPr>
        <w:t> </w:t>
      </w:r>
      <w:r>
        <w:rPr>
          <w:sz w:val="20"/>
        </w:rPr>
        <w:t>aplicar</w:t>
      </w:r>
      <w:r>
        <w:rPr>
          <w:spacing w:val="-2"/>
          <w:sz w:val="20"/>
        </w:rPr>
        <w:t> </w:t>
      </w:r>
      <w:r>
        <w:rPr>
          <w:sz w:val="20"/>
        </w:rPr>
        <w:t>las</w:t>
      </w:r>
      <w:r>
        <w:rPr>
          <w:spacing w:val="-2"/>
          <w:sz w:val="20"/>
        </w:rPr>
        <w:t> </w:t>
      </w:r>
      <w:r>
        <w:rPr>
          <w:sz w:val="20"/>
        </w:rPr>
        <w:t>políticas,</w:t>
      </w:r>
      <w:r>
        <w:rPr>
          <w:spacing w:val="-3"/>
          <w:sz w:val="20"/>
        </w:rPr>
        <w:t> </w:t>
      </w:r>
      <w:r>
        <w:rPr>
          <w:sz w:val="20"/>
        </w:rPr>
        <w:t>así</w:t>
      </w:r>
      <w:r>
        <w:rPr>
          <w:spacing w:val="-3"/>
          <w:sz w:val="20"/>
        </w:rPr>
        <w:t> </w:t>
      </w:r>
      <w:r>
        <w:rPr>
          <w:sz w:val="20"/>
        </w:rPr>
        <w:t>como</w:t>
      </w:r>
      <w:r>
        <w:rPr>
          <w:spacing w:val="-3"/>
          <w:sz w:val="20"/>
        </w:rPr>
        <w:t> </w:t>
      </w:r>
      <w:r>
        <w:rPr>
          <w:sz w:val="20"/>
        </w:rPr>
        <w:t>realizar</w:t>
      </w:r>
      <w:r>
        <w:rPr>
          <w:spacing w:val="-2"/>
          <w:sz w:val="20"/>
        </w:rPr>
        <w:t> </w:t>
      </w:r>
      <w:r>
        <w:rPr>
          <w:sz w:val="20"/>
        </w:rPr>
        <w:t>las acciones</w:t>
      </w:r>
      <w:r>
        <w:rPr>
          <w:spacing w:val="-2"/>
          <w:sz w:val="20"/>
        </w:rPr>
        <w:t> </w:t>
      </w:r>
      <w:r>
        <w:rPr>
          <w:sz w:val="20"/>
        </w:rPr>
        <w:t>en</w:t>
      </w:r>
      <w:r>
        <w:rPr>
          <w:spacing w:val="-1"/>
          <w:sz w:val="20"/>
        </w:rPr>
        <w:t> </w:t>
      </w:r>
      <w:r>
        <w:rPr>
          <w:sz w:val="20"/>
        </w:rPr>
        <w:t>materia</w:t>
      </w:r>
      <w:r>
        <w:rPr>
          <w:spacing w:val="-1"/>
          <w:sz w:val="20"/>
        </w:rPr>
        <w:t> </w:t>
      </w:r>
      <w:r>
        <w:rPr>
          <w:sz w:val="20"/>
        </w:rPr>
        <w:t>de</w:t>
      </w:r>
      <w:r>
        <w:rPr>
          <w:spacing w:val="-1"/>
          <w:sz w:val="20"/>
        </w:rPr>
        <w:t> </w:t>
      </w:r>
      <w:r>
        <w:rPr>
          <w:sz w:val="20"/>
        </w:rPr>
        <w:t>estructuración urbana, gestión del suelo, conservación del patrimonio natural y cultural y accesibilidad universal, incluyendo la movilidad;</w:t>
      </w:r>
    </w:p>
    <w:p>
      <w:pPr>
        <w:pStyle w:val="BodyText"/>
      </w:pPr>
    </w:p>
    <w:p>
      <w:pPr>
        <w:pStyle w:val="ListParagraph"/>
        <w:numPr>
          <w:ilvl w:val="0"/>
          <w:numId w:val="8"/>
        </w:numPr>
        <w:tabs>
          <w:tab w:pos="968" w:val="left" w:leader="none"/>
        </w:tabs>
        <w:spacing w:line="240" w:lineRule="auto" w:before="0" w:after="0"/>
        <w:ind w:left="262" w:right="285" w:firstLine="0"/>
        <w:jc w:val="both"/>
        <w:rPr>
          <w:sz w:val="20"/>
        </w:rPr>
      </w:pPr>
      <w:r>
        <w:rPr>
          <w:sz w:val="20"/>
        </w:rPr>
        <w:t>Registrar a los profesionales en la materia como Directores Responsables y Corresponsables de Obra, en aquellos municipios con los que celebre convenios de conformidad con lo dispuesto en esta Ley y en los reglamentos municipales correspondientes;</w:t>
      </w:r>
    </w:p>
    <w:p>
      <w:pPr>
        <w:pStyle w:val="BodyText"/>
        <w:spacing w:before="2"/>
      </w:pPr>
    </w:p>
    <w:p>
      <w:pPr>
        <w:pStyle w:val="ListParagraph"/>
        <w:numPr>
          <w:ilvl w:val="0"/>
          <w:numId w:val="8"/>
        </w:numPr>
        <w:tabs>
          <w:tab w:pos="1112" w:val="left" w:leader="none"/>
        </w:tabs>
        <w:spacing w:line="240" w:lineRule="auto" w:before="0" w:after="0"/>
        <w:ind w:left="1112" w:right="0" w:hanging="850"/>
        <w:jc w:val="both"/>
        <w:rPr>
          <w:sz w:val="20"/>
        </w:rPr>
      </w:pPr>
      <w:r>
        <w:rPr>
          <w:sz w:val="20"/>
        </w:rPr>
        <w:t>Expedir</w:t>
      </w:r>
      <w:r>
        <w:rPr>
          <w:spacing w:val="-9"/>
          <w:sz w:val="20"/>
        </w:rPr>
        <w:t> </w:t>
      </w:r>
      <w:r>
        <w:rPr>
          <w:sz w:val="20"/>
        </w:rPr>
        <w:t>cuando</w:t>
      </w:r>
      <w:r>
        <w:rPr>
          <w:spacing w:val="-10"/>
          <w:sz w:val="20"/>
        </w:rPr>
        <w:t> </w:t>
      </w:r>
      <w:r>
        <w:rPr>
          <w:sz w:val="20"/>
        </w:rPr>
        <w:t>sea</w:t>
      </w:r>
      <w:r>
        <w:rPr>
          <w:spacing w:val="-10"/>
          <w:sz w:val="20"/>
        </w:rPr>
        <w:t> </w:t>
      </w:r>
      <w:r>
        <w:rPr>
          <w:sz w:val="20"/>
        </w:rPr>
        <w:t>procedente,</w:t>
      </w:r>
      <w:r>
        <w:rPr>
          <w:spacing w:val="-7"/>
          <w:sz w:val="20"/>
        </w:rPr>
        <w:t> </w:t>
      </w:r>
      <w:r>
        <w:rPr>
          <w:sz w:val="20"/>
        </w:rPr>
        <w:t>la</w:t>
      </w:r>
      <w:r>
        <w:rPr>
          <w:spacing w:val="-8"/>
          <w:sz w:val="20"/>
        </w:rPr>
        <w:t> </w:t>
      </w:r>
      <w:r>
        <w:rPr>
          <w:sz w:val="20"/>
        </w:rPr>
        <w:t>constancia</w:t>
      </w:r>
      <w:r>
        <w:rPr>
          <w:spacing w:val="-10"/>
          <w:sz w:val="20"/>
        </w:rPr>
        <w:t> </w:t>
      </w:r>
      <w:r>
        <w:rPr>
          <w:sz w:val="20"/>
        </w:rPr>
        <w:t>de</w:t>
      </w:r>
      <w:r>
        <w:rPr>
          <w:spacing w:val="-9"/>
          <w:sz w:val="20"/>
        </w:rPr>
        <w:t> </w:t>
      </w:r>
      <w:r>
        <w:rPr>
          <w:sz w:val="20"/>
        </w:rPr>
        <w:t>compatibilidad</w:t>
      </w:r>
      <w:r>
        <w:rPr>
          <w:spacing w:val="-8"/>
          <w:sz w:val="20"/>
        </w:rPr>
        <w:t> </w:t>
      </w:r>
      <w:r>
        <w:rPr>
          <w:spacing w:val="-2"/>
          <w:sz w:val="20"/>
        </w:rPr>
        <w:t>urbanística;</w:t>
      </w:r>
    </w:p>
    <w:p>
      <w:pPr>
        <w:pStyle w:val="ListParagraph"/>
        <w:numPr>
          <w:ilvl w:val="0"/>
          <w:numId w:val="8"/>
        </w:numPr>
        <w:tabs>
          <w:tab w:pos="1112" w:val="left" w:leader="none"/>
        </w:tabs>
        <w:spacing w:line="240" w:lineRule="auto" w:before="228" w:after="0"/>
        <w:ind w:left="262" w:right="283" w:firstLine="0"/>
        <w:jc w:val="both"/>
        <w:rPr>
          <w:sz w:val="20"/>
        </w:rPr>
      </w:pPr>
      <w:r>
        <w:rPr>
          <w:sz w:val="20"/>
        </w:rPr>
        <w:t>Expedir a través de las dependencias competentes los estudios de impacto ambiental, impacto urbano y demás estudios que se requieran para la expedición de las licencias y demás autorizaciones que establece la presente Ley;</w:t>
      </w:r>
    </w:p>
    <w:p>
      <w:pPr>
        <w:pStyle w:val="BodyText"/>
        <w:spacing w:before="2"/>
      </w:pPr>
    </w:p>
    <w:p>
      <w:pPr>
        <w:pStyle w:val="ListParagraph"/>
        <w:numPr>
          <w:ilvl w:val="0"/>
          <w:numId w:val="8"/>
        </w:numPr>
        <w:tabs>
          <w:tab w:pos="967" w:val="left" w:leader="none"/>
        </w:tabs>
        <w:spacing w:line="240" w:lineRule="auto" w:before="0" w:after="0"/>
        <w:ind w:left="262" w:right="286" w:firstLine="0"/>
        <w:jc w:val="both"/>
        <w:rPr>
          <w:sz w:val="20"/>
        </w:rPr>
      </w:pPr>
      <w:r>
        <w:rPr>
          <w:sz w:val="20"/>
        </w:rPr>
        <w:t>Capacitar a los municipios con los que así se convenga, en todo lo relativo a la aplicación de la presente Ley;</w:t>
      </w:r>
    </w:p>
    <w:p>
      <w:pPr>
        <w:pStyle w:val="ListParagraph"/>
        <w:numPr>
          <w:ilvl w:val="0"/>
          <w:numId w:val="8"/>
        </w:numPr>
        <w:tabs>
          <w:tab w:pos="1253" w:val="left" w:leader="none"/>
        </w:tabs>
        <w:spacing w:line="240" w:lineRule="auto" w:before="229" w:after="0"/>
        <w:ind w:left="262" w:right="277" w:firstLine="0"/>
        <w:jc w:val="both"/>
        <w:rPr>
          <w:sz w:val="20"/>
        </w:rPr>
      </w:pPr>
      <w:r>
        <w:rPr>
          <w:sz w:val="20"/>
        </w:rPr>
        <w:t>Realizar las gestiones necesarias para la obtención de recursos y/o estímulos económicos provenientes de programas federales, como apoyo para los nuevos fraccionamientos que requieran de ejecución de proyectos y obras de urbanización y equipamiento urbano, vivienda en sitios con valor patrimonial y cultural, cumpliendo siempre con la legislación y normatividad aplicables vigentes;</w:t>
      </w:r>
    </w:p>
    <w:p>
      <w:pPr>
        <w:pStyle w:val="BodyText"/>
      </w:pPr>
    </w:p>
    <w:p>
      <w:pPr>
        <w:pStyle w:val="ListParagraph"/>
        <w:numPr>
          <w:ilvl w:val="0"/>
          <w:numId w:val="8"/>
        </w:numPr>
        <w:tabs>
          <w:tab w:pos="1253" w:val="left" w:leader="none"/>
        </w:tabs>
        <w:spacing w:line="240" w:lineRule="auto" w:before="0" w:after="0"/>
        <w:ind w:left="262" w:right="275" w:firstLine="0"/>
        <w:jc w:val="both"/>
        <w:rPr>
          <w:sz w:val="20"/>
        </w:rPr>
      </w:pPr>
      <w:r>
        <w:rPr>
          <w:sz w:val="20"/>
        </w:rPr>
        <w:t>Vigilar que las licencias que expidan los municipios en materia de uso de suelo, se apeguen al Programa de Ordenamiento Territorial y Desarrollo Urbano del Estado y demás programas que se éste deriven, y solicitar en su caso a los ayuntamientos o a las instancias competentes, la nulidad de las licencias que se expidan en contravención a los mismos;</w:t>
      </w:r>
    </w:p>
    <w:p>
      <w:pPr>
        <w:pStyle w:val="BodyText"/>
      </w:pPr>
    </w:p>
    <w:p>
      <w:pPr>
        <w:spacing w:before="0"/>
        <w:ind w:left="26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20</w:t>
      </w:r>
      <w:r>
        <w:rPr>
          <w:rFonts w:ascii="Arial"/>
          <w:i/>
          <w:spacing w:val="-7"/>
          <w:sz w:val="20"/>
        </w:rPr>
        <w:t> </w:t>
      </w:r>
      <w:r>
        <w:rPr>
          <w:rFonts w:ascii="Arial"/>
          <w:i/>
          <w:sz w:val="20"/>
        </w:rPr>
        <w:t>DE</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0"/>
          <w:numId w:val="8"/>
        </w:numPr>
        <w:tabs>
          <w:tab w:pos="1254" w:val="left" w:leader="none"/>
        </w:tabs>
        <w:spacing w:line="240" w:lineRule="auto" w:before="1" w:after="0"/>
        <w:ind w:left="262" w:right="286" w:firstLine="0"/>
        <w:jc w:val="both"/>
        <w:rPr>
          <w:sz w:val="20"/>
        </w:rPr>
      </w:pPr>
      <w:r>
        <w:rPr>
          <w:sz w:val="20"/>
        </w:rPr>
        <w:t>Resolver sobre los recursos administrativos que conforme a su competencia le sean planteados y que deriven de la aplicación de esta Ley y de acuerdo a lo dispuesto en el Código Procesal Administrativo para el Estado de San Luis Potosí;</w:t>
      </w:r>
    </w:p>
    <w:p>
      <w:pPr>
        <w:spacing w:before="229"/>
        <w:ind w:left="262"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5"/>
          <w:sz w:val="20"/>
        </w:rPr>
        <w:t> </w:t>
      </w:r>
      <w:r>
        <w:rPr>
          <w:rFonts w:ascii="Arial"/>
          <w:i/>
          <w:sz w:val="20"/>
        </w:rPr>
        <w:t>20</w:t>
      </w:r>
      <w:r>
        <w:rPr>
          <w:rFonts w:ascii="Arial"/>
          <w:i/>
          <w:spacing w:val="-8"/>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ListParagraph"/>
        <w:numPr>
          <w:ilvl w:val="0"/>
          <w:numId w:val="8"/>
        </w:numPr>
        <w:tabs>
          <w:tab w:pos="1112" w:val="left" w:leader="none"/>
        </w:tabs>
        <w:spacing w:line="240" w:lineRule="auto" w:before="1" w:after="0"/>
        <w:ind w:left="262" w:right="273" w:firstLine="0"/>
        <w:jc w:val="both"/>
        <w:rPr>
          <w:sz w:val="20"/>
        </w:rPr>
      </w:pPr>
      <w:r>
        <w:rPr>
          <w:sz w:val="20"/>
        </w:rPr>
        <w:t>Impulsar y promover la creación de los institutos, municipales; Multimunicipales; y metropolitanos de planeación a través de acciones de coordinación, asesoría técnica , gestión de recursos, y acompañamiento a los municipios para la concreción de dicho fin, y</w:t>
      </w:r>
    </w:p>
    <w:p>
      <w:pPr>
        <w:pStyle w:val="BodyText"/>
        <w:tabs>
          <w:tab w:pos="1173" w:val="left" w:leader="none"/>
        </w:tabs>
        <w:spacing w:before="229"/>
        <w:ind w:left="262"/>
      </w:pPr>
      <w:r>
        <w:rPr>
          <w:rFonts w:ascii="Arial" w:hAnsi="Arial"/>
          <w:b/>
          <w:spacing w:val="-5"/>
        </w:rPr>
        <w:t>XL.</w:t>
      </w:r>
      <w:r>
        <w:rPr>
          <w:rFonts w:ascii="Arial" w:hAnsi="Arial"/>
          <w:b/>
        </w:rPr>
        <w:tab/>
      </w:r>
      <w:r>
        <w:rPr/>
        <w:t>Las</w:t>
      </w:r>
      <w:r>
        <w:rPr>
          <w:spacing w:val="-8"/>
        </w:rPr>
        <w:t> </w:t>
      </w:r>
      <w:r>
        <w:rPr/>
        <w:t>demás</w:t>
      </w:r>
      <w:r>
        <w:rPr>
          <w:spacing w:val="-7"/>
        </w:rPr>
        <w:t> </w:t>
      </w:r>
      <w:r>
        <w:rPr/>
        <w:t>que</w:t>
      </w:r>
      <w:r>
        <w:rPr>
          <w:spacing w:val="-8"/>
        </w:rPr>
        <w:t> </w:t>
      </w:r>
      <w:r>
        <w:rPr/>
        <w:t>le</w:t>
      </w:r>
      <w:r>
        <w:rPr>
          <w:spacing w:val="-8"/>
        </w:rPr>
        <w:t> </w:t>
      </w:r>
      <w:r>
        <w:rPr/>
        <w:t>señalen</w:t>
      </w:r>
      <w:r>
        <w:rPr>
          <w:spacing w:val="-7"/>
        </w:rPr>
        <w:t> </w:t>
      </w:r>
      <w:r>
        <w:rPr/>
        <w:t>otras</w:t>
      </w:r>
      <w:r>
        <w:rPr>
          <w:spacing w:val="-8"/>
        </w:rPr>
        <w:t> </w:t>
      </w:r>
      <w:r>
        <w:rPr/>
        <w:t>disposiciones</w:t>
      </w:r>
      <w:r>
        <w:rPr>
          <w:spacing w:val="-7"/>
        </w:rPr>
        <w:t> </w:t>
      </w:r>
      <w:r>
        <w:rPr/>
        <w:t>jurídicas</w:t>
      </w:r>
      <w:r>
        <w:rPr>
          <w:spacing w:val="-8"/>
        </w:rPr>
        <w:t> </w:t>
      </w:r>
      <w:r>
        <w:rPr>
          <w:spacing w:val="-2"/>
        </w:rPr>
        <w:t>aplicables.</w:t>
      </w:r>
    </w:p>
    <w:p>
      <w:pPr>
        <w:pStyle w:val="BodyText"/>
        <w:spacing w:after="0"/>
        <w:sectPr>
          <w:pgSz w:w="12240" w:h="15840"/>
          <w:pgMar w:header="720" w:footer="697" w:top="2100" w:bottom="880" w:left="1440" w:right="1440"/>
        </w:sectPr>
      </w:pPr>
    </w:p>
    <w:p>
      <w:pPr>
        <w:pStyle w:val="BodyText"/>
      </w:pPr>
    </w:p>
    <w:p>
      <w:pPr>
        <w:pStyle w:val="BodyText"/>
        <w:spacing w:before="71"/>
      </w:pPr>
    </w:p>
    <w:p>
      <w:pPr>
        <w:pStyle w:val="BodyText"/>
        <w:ind w:left="262" w:right="283"/>
        <w:jc w:val="both"/>
      </w:pPr>
      <w:r>
        <w:rPr>
          <w:rFonts w:ascii="Arial" w:hAnsi="Arial"/>
          <w:b/>
        </w:rPr>
        <w:t>ARTÍCULO 15. </w:t>
      </w:r>
      <w:r>
        <w:rPr/>
        <w:t>Las atribuciones que otorga esta Ley al Titular del Ejecutivo del Estado, serán ejercidas, a través de la Secretaría y demás autoridades competentes, salvo las que deba ejercer directamente por disposición expresa de éste u otros ordenamientos jurídicos.</w:t>
      </w:r>
    </w:p>
    <w:p>
      <w:pPr>
        <w:pStyle w:val="BodyText"/>
        <w:spacing w:before="1"/>
      </w:pPr>
    </w:p>
    <w:p>
      <w:pPr>
        <w:pStyle w:val="BodyText"/>
        <w:spacing w:before="1"/>
        <w:ind w:left="262" w:right="285"/>
        <w:jc w:val="both"/>
      </w:pPr>
      <w:r>
        <w:rPr/>
        <w:t>Cuando</w:t>
      </w:r>
      <w:r>
        <w:rPr>
          <w:spacing w:val="-3"/>
        </w:rPr>
        <w:t> </w:t>
      </w:r>
      <w:r>
        <w:rPr/>
        <w:t>por</w:t>
      </w:r>
      <w:r>
        <w:rPr>
          <w:spacing w:val="-3"/>
        </w:rPr>
        <w:t> </w:t>
      </w:r>
      <w:r>
        <w:rPr/>
        <w:t>razón</w:t>
      </w:r>
      <w:r>
        <w:rPr>
          <w:spacing w:val="-3"/>
        </w:rPr>
        <w:t> </w:t>
      </w:r>
      <w:r>
        <w:rPr/>
        <w:t>de</w:t>
      </w:r>
      <w:r>
        <w:rPr>
          <w:spacing w:val="-2"/>
        </w:rPr>
        <w:t> </w:t>
      </w:r>
      <w:r>
        <w:rPr/>
        <w:t>la</w:t>
      </w:r>
      <w:r>
        <w:rPr>
          <w:spacing w:val="-4"/>
        </w:rPr>
        <w:t> </w:t>
      </w:r>
      <w:r>
        <w:rPr/>
        <w:t>materia</w:t>
      </w:r>
      <w:r>
        <w:rPr>
          <w:spacing w:val="-2"/>
        </w:rPr>
        <w:t> </w:t>
      </w:r>
      <w:r>
        <w:rPr/>
        <w:t>y</w:t>
      </w:r>
      <w:r>
        <w:rPr>
          <w:spacing w:val="-3"/>
        </w:rPr>
        <w:t> </w:t>
      </w:r>
      <w:r>
        <w:rPr/>
        <w:t>de</w:t>
      </w:r>
      <w:r>
        <w:rPr>
          <w:spacing w:val="-4"/>
        </w:rPr>
        <w:t> </w:t>
      </w:r>
      <w:r>
        <w:rPr/>
        <w:t>conformidad</w:t>
      </w:r>
      <w:r>
        <w:rPr>
          <w:spacing w:val="-4"/>
        </w:rPr>
        <w:t> </w:t>
      </w:r>
      <w:r>
        <w:rPr/>
        <w:t>con</w:t>
      </w:r>
      <w:r>
        <w:rPr>
          <w:spacing w:val="-2"/>
        </w:rPr>
        <w:t> </w:t>
      </w:r>
      <w:r>
        <w:rPr/>
        <w:t>la</w:t>
      </w:r>
      <w:r>
        <w:rPr>
          <w:spacing w:val="-2"/>
        </w:rPr>
        <w:t> </w:t>
      </w:r>
      <w:r>
        <w:rPr/>
        <w:t>Ley</w:t>
      </w:r>
      <w:r>
        <w:rPr>
          <w:spacing w:val="-3"/>
        </w:rPr>
        <w:t> </w:t>
      </w:r>
      <w:r>
        <w:rPr/>
        <w:t>Orgánica</w:t>
      </w:r>
      <w:r>
        <w:rPr>
          <w:spacing w:val="-2"/>
        </w:rPr>
        <w:t> </w:t>
      </w:r>
      <w:r>
        <w:rPr/>
        <w:t>de</w:t>
      </w:r>
      <w:r>
        <w:rPr>
          <w:spacing w:val="-2"/>
        </w:rPr>
        <w:t> </w:t>
      </w:r>
      <w:r>
        <w:rPr/>
        <w:t>la</w:t>
      </w:r>
      <w:r>
        <w:rPr>
          <w:spacing w:val="-2"/>
        </w:rPr>
        <w:t> </w:t>
      </w:r>
      <w:r>
        <w:rPr/>
        <w:t>Administración</w:t>
      </w:r>
      <w:r>
        <w:rPr>
          <w:spacing w:val="-2"/>
        </w:rPr>
        <w:t> </w:t>
      </w:r>
      <w:r>
        <w:rPr/>
        <w:t>Pública del</w:t>
      </w:r>
      <w:r>
        <w:rPr>
          <w:spacing w:val="-14"/>
        </w:rPr>
        <w:t> </w:t>
      </w:r>
      <w:r>
        <w:rPr/>
        <w:t>Estado</w:t>
      </w:r>
      <w:r>
        <w:rPr>
          <w:spacing w:val="-14"/>
        </w:rPr>
        <w:t> </w:t>
      </w:r>
      <w:r>
        <w:rPr/>
        <w:t>y</w:t>
      </w:r>
      <w:r>
        <w:rPr>
          <w:spacing w:val="-14"/>
        </w:rPr>
        <w:t> </w:t>
      </w:r>
      <w:r>
        <w:rPr/>
        <w:t>otras</w:t>
      </w:r>
      <w:r>
        <w:rPr>
          <w:spacing w:val="-14"/>
        </w:rPr>
        <w:t> </w:t>
      </w:r>
      <w:r>
        <w:rPr/>
        <w:t>disposiciones</w:t>
      </w:r>
      <w:r>
        <w:rPr>
          <w:spacing w:val="-14"/>
        </w:rPr>
        <w:t> </w:t>
      </w:r>
      <w:r>
        <w:rPr/>
        <w:t>jurídicas,</w:t>
      </w:r>
      <w:r>
        <w:rPr>
          <w:spacing w:val="-14"/>
        </w:rPr>
        <w:t> </w:t>
      </w:r>
      <w:r>
        <w:rPr/>
        <w:t>deban</w:t>
      </w:r>
      <w:r>
        <w:rPr>
          <w:spacing w:val="-14"/>
        </w:rPr>
        <w:t> </w:t>
      </w:r>
      <w:r>
        <w:rPr/>
        <w:t>intervenir</w:t>
      </w:r>
      <w:r>
        <w:rPr>
          <w:spacing w:val="-14"/>
        </w:rPr>
        <w:t> </w:t>
      </w:r>
      <w:r>
        <w:rPr/>
        <w:t>otras</w:t>
      </w:r>
      <w:r>
        <w:rPr>
          <w:spacing w:val="-14"/>
        </w:rPr>
        <w:t> </w:t>
      </w:r>
      <w:r>
        <w:rPr/>
        <w:t>dependencias</w:t>
      </w:r>
      <w:r>
        <w:rPr>
          <w:spacing w:val="-13"/>
        </w:rPr>
        <w:t> </w:t>
      </w:r>
      <w:r>
        <w:rPr/>
        <w:t>o</w:t>
      </w:r>
      <w:r>
        <w:rPr>
          <w:spacing w:val="-14"/>
        </w:rPr>
        <w:t> </w:t>
      </w:r>
      <w:r>
        <w:rPr/>
        <w:t>entidades</w:t>
      </w:r>
      <w:r>
        <w:rPr>
          <w:spacing w:val="-14"/>
        </w:rPr>
        <w:t> </w:t>
      </w:r>
      <w:r>
        <w:rPr/>
        <w:t>estatales o municipales, la Secretaría ejercerá sus atribuciones en coordinación con ellas.</w:t>
      </w:r>
    </w:p>
    <w:p>
      <w:pPr>
        <w:pStyle w:val="BodyText"/>
        <w:spacing w:before="229"/>
        <w:ind w:left="262" w:right="287"/>
        <w:jc w:val="both"/>
      </w:pPr>
      <w:r>
        <w:rPr/>
        <w:t>El Titular del Ejecutivo del Estado podrá ejercer las atribuciones antes señaladas, a través de la Secretaría y de las demás autoridades y organismos estatales competentes.</w:t>
      </w:r>
    </w:p>
    <w:p>
      <w:pPr>
        <w:pStyle w:val="BodyText"/>
      </w:pPr>
    </w:p>
    <w:p>
      <w:pPr>
        <w:pStyle w:val="BodyText"/>
      </w:pPr>
    </w:p>
    <w:p>
      <w:pPr>
        <w:pStyle w:val="Heading2"/>
        <w:ind w:right="15"/>
      </w:pPr>
      <w:r>
        <w:rPr/>
        <w:t>Capítulo</w:t>
      </w:r>
      <w:r>
        <w:rPr>
          <w:spacing w:val="-8"/>
        </w:rPr>
        <w:t> </w:t>
      </w:r>
      <w:r>
        <w:rPr>
          <w:spacing w:val="-5"/>
        </w:rPr>
        <w:t>IV</w:t>
      </w:r>
    </w:p>
    <w:p>
      <w:pPr>
        <w:pStyle w:val="BodyText"/>
        <w:rPr>
          <w:rFonts w:ascii="Arial"/>
          <w:b/>
        </w:rPr>
      </w:pPr>
    </w:p>
    <w:p>
      <w:pPr>
        <w:spacing w:line="480" w:lineRule="auto" w:before="1"/>
        <w:ind w:left="262" w:right="2331" w:firstLine="2570"/>
        <w:jc w:val="left"/>
        <w:rPr>
          <w:sz w:val="20"/>
        </w:rPr>
      </w:pPr>
      <w:r>
        <w:rPr>
          <w:rFonts w:ascii="Arial" w:hAnsi="Arial"/>
          <w:b/>
          <w:sz w:val="20"/>
        </w:rPr>
        <w:t>|Atribuciones</w:t>
      </w:r>
      <w:r>
        <w:rPr>
          <w:rFonts w:ascii="Arial" w:hAnsi="Arial"/>
          <w:b/>
          <w:spacing w:val="-12"/>
          <w:sz w:val="20"/>
        </w:rPr>
        <w:t> </w:t>
      </w:r>
      <w:r>
        <w:rPr>
          <w:rFonts w:ascii="Arial" w:hAnsi="Arial"/>
          <w:b/>
          <w:sz w:val="20"/>
        </w:rPr>
        <w:t>del</w:t>
      </w:r>
      <w:r>
        <w:rPr>
          <w:rFonts w:ascii="Arial" w:hAnsi="Arial"/>
          <w:b/>
          <w:spacing w:val="-10"/>
          <w:sz w:val="20"/>
        </w:rPr>
        <w:t> </w:t>
      </w:r>
      <w:r>
        <w:rPr>
          <w:rFonts w:ascii="Arial" w:hAnsi="Arial"/>
          <w:b/>
          <w:sz w:val="20"/>
        </w:rPr>
        <w:t>Congreso</w:t>
      </w:r>
      <w:r>
        <w:rPr>
          <w:rFonts w:ascii="Arial" w:hAnsi="Arial"/>
          <w:b/>
          <w:spacing w:val="-12"/>
          <w:sz w:val="20"/>
        </w:rPr>
        <w:t> </w:t>
      </w:r>
      <w:r>
        <w:rPr>
          <w:rFonts w:ascii="Arial" w:hAnsi="Arial"/>
          <w:b/>
          <w:sz w:val="20"/>
        </w:rPr>
        <w:t>del</w:t>
      </w:r>
      <w:r>
        <w:rPr>
          <w:rFonts w:ascii="Arial" w:hAnsi="Arial"/>
          <w:b/>
          <w:spacing w:val="-10"/>
          <w:sz w:val="20"/>
        </w:rPr>
        <w:t> </w:t>
      </w:r>
      <w:r>
        <w:rPr>
          <w:rFonts w:ascii="Arial" w:hAnsi="Arial"/>
          <w:b/>
          <w:sz w:val="20"/>
        </w:rPr>
        <w:t>Estado ARTÍCULO 16. </w:t>
      </w:r>
      <w:r>
        <w:rPr>
          <w:sz w:val="20"/>
        </w:rPr>
        <w:t>Corresponde al Congreso del Estado:</w:t>
      </w:r>
    </w:p>
    <w:p>
      <w:pPr>
        <w:pStyle w:val="ListParagraph"/>
        <w:numPr>
          <w:ilvl w:val="0"/>
          <w:numId w:val="9"/>
        </w:numPr>
        <w:tabs>
          <w:tab w:pos="543" w:val="left" w:leader="none"/>
        </w:tabs>
        <w:spacing w:line="240" w:lineRule="auto" w:before="0" w:after="0"/>
        <w:ind w:left="262" w:right="279" w:firstLine="0"/>
        <w:jc w:val="both"/>
        <w:rPr>
          <w:sz w:val="20"/>
        </w:rPr>
      </w:pPr>
      <w:r>
        <w:rPr>
          <w:sz w:val="20"/>
        </w:rPr>
        <w:t>Promover</w:t>
      </w:r>
      <w:r>
        <w:rPr>
          <w:spacing w:val="-6"/>
          <w:sz w:val="20"/>
        </w:rPr>
        <w:t> </w:t>
      </w:r>
      <w:r>
        <w:rPr>
          <w:sz w:val="20"/>
        </w:rPr>
        <w:t>y</w:t>
      </w:r>
      <w:r>
        <w:rPr>
          <w:spacing w:val="-5"/>
          <w:sz w:val="20"/>
        </w:rPr>
        <w:t> </w:t>
      </w:r>
      <w:r>
        <w:rPr>
          <w:sz w:val="20"/>
        </w:rPr>
        <w:t>decretar</w:t>
      </w:r>
      <w:r>
        <w:rPr>
          <w:spacing w:val="-6"/>
          <w:sz w:val="20"/>
        </w:rPr>
        <w:t> </w:t>
      </w:r>
      <w:r>
        <w:rPr>
          <w:sz w:val="20"/>
        </w:rPr>
        <w:t>la</w:t>
      </w:r>
      <w:r>
        <w:rPr>
          <w:spacing w:val="-7"/>
          <w:sz w:val="20"/>
        </w:rPr>
        <w:t> </w:t>
      </w:r>
      <w:r>
        <w:rPr>
          <w:sz w:val="20"/>
        </w:rPr>
        <w:t>fundación</w:t>
      </w:r>
      <w:r>
        <w:rPr>
          <w:spacing w:val="-7"/>
          <w:sz w:val="20"/>
        </w:rPr>
        <w:t> </w:t>
      </w:r>
      <w:r>
        <w:rPr>
          <w:sz w:val="20"/>
        </w:rPr>
        <w:t>de</w:t>
      </w:r>
      <w:r>
        <w:rPr>
          <w:spacing w:val="-7"/>
          <w:sz w:val="20"/>
        </w:rPr>
        <w:t> </w:t>
      </w:r>
      <w:r>
        <w:rPr>
          <w:sz w:val="20"/>
        </w:rPr>
        <w:t>nuevos</w:t>
      </w:r>
      <w:r>
        <w:rPr>
          <w:spacing w:val="-6"/>
          <w:sz w:val="20"/>
        </w:rPr>
        <w:t> </w:t>
      </w:r>
      <w:r>
        <w:rPr>
          <w:sz w:val="20"/>
        </w:rPr>
        <w:t>centros</w:t>
      </w:r>
      <w:r>
        <w:rPr>
          <w:spacing w:val="-6"/>
          <w:sz w:val="20"/>
        </w:rPr>
        <w:t> </w:t>
      </w:r>
      <w:r>
        <w:rPr>
          <w:sz w:val="20"/>
        </w:rPr>
        <w:t>de</w:t>
      </w:r>
      <w:r>
        <w:rPr>
          <w:spacing w:val="-5"/>
          <w:sz w:val="20"/>
        </w:rPr>
        <w:t> </w:t>
      </w:r>
      <w:r>
        <w:rPr>
          <w:sz w:val="20"/>
        </w:rPr>
        <w:t>población,</w:t>
      </w:r>
      <w:r>
        <w:rPr>
          <w:spacing w:val="-7"/>
          <w:sz w:val="20"/>
        </w:rPr>
        <w:t> </w:t>
      </w:r>
      <w:r>
        <w:rPr>
          <w:sz w:val="20"/>
        </w:rPr>
        <w:t>a</w:t>
      </w:r>
      <w:r>
        <w:rPr>
          <w:spacing w:val="-7"/>
          <w:sz w:val="20"/>
        </w:rPr>
        <w:t> </w:t>
      </w:r>
      <w:r>
        <w:rPr>
          <w:sz w:val="20"/>
        </w:rPr>
        <w:t>partir</w:t>
      </w:r>
      <w:r>
        <w:rPr>
          <w:spacing w:val="-6"/>
          <w:sz w:val="20"/>
        </w:rPr>
        <w:t> </w:t>
      </w:r>
      <w:r>
        <w:rPr>
          <w:sz w:val="20"/>
        </w:rPr>
        <w:t>de</w:t>
      </w:r>
      <w:r>
        <w:rPr>
          <w:spacing w:val="-5"/>
          <w:sz w:val="20"/>
        </w:rPr>
        <w:t> </w:t>
      </w:r>
      <w:r>
        <w:rPr>
          <w:sz w:val="20"/>
        </w:rPr>
        <w:t>las</w:t>
      </w:r>
      <w:r>
        <w:rPr>
          <w:spacing w:val="-6"/>
          <w:sz w:val="20"/>
        </w:rPr>
        <w:t> </w:t>
      </w:r>
      <w:r>
        <w:rPr>
          <w:sz w:val="20"/>
        </w:rPr>
        <w:t>propuestas</w:t>
      </w:r>
      <w:r>
        <w:rPr>
          <w:spacing w:val="-6"/>
          <w:sz w:val="20"/>
        </w:rPr>
        <w:t> </w:t>
      </w:r>
      <w:r>
        <w:rPr>
          <w:sz w:val="20"/>
        </w:rPr>
        <w:t>que hagan el Ejecutivo del Estado o los municipios, de conformidad con lo establecido en la presente Ley</w:t>
      </w:r>
      <w:r>
        <w:rPr>
          <w:spacing w:val="-14"/>
          <w:sz w:val="20"/>
        </w:rPr>
        <w:t> </w:t>
      </w:r>
      <w:r>
        <w:rPr>
          <w:sz w:val="20"/>
        </w:rPr>
        <w:t>y</w:t>
      </w:r>
      <w:r>
        <w:rPr>
          <w:spacing w:val="-14"/>
          <w:sz w:val="20"/>
        </w:rPr>
        <w:t> </w:t>
      </w:r>
      <w:r>
        <w:rPr>
          <w:sz w:val="20"/>
        </w:rPr>
        <w:t>considerando</w:t>
      </w:r>
      <w:r>
        <w:rPr>
          <w:spacing w:val="-14"/>
          <w:sz w:val="20"/>
        </w:rPr>
        <w:t> </w:t>
      </w:r>
      <w:r>
        <w:rPr>
          <w:sz w:val="20"/>
        </w:rPr>
        <w:t>el</w:t>
      </w:r>
      <w:r>
        <w:rPr>
          <w:spacing w:val="-14"/>
          <w:sz w:val="20"/>
        </w:rPr>
        <w:t> </w:t>
      </w:r>
      <w:r>
        <w:rPr>
          <w:sz w:val="20"/>
        </w:rPr>
        <w:t>Programa</w:t>
      </w:r>
      <w:r>
        <w:rPr>
          <w:spacing w:val="-14"/>
          <w:sz w:val="20"/>
        </w:rPr>
        <w:t> </w:t>
      </w:r>
      <w:r>
        <w:rPr>
          <w:sz w:val="20"/>
        </w:rPr>
        <w:t>Estatal</w:t>
      </w:r>
      <w:r>
        <w:rPr>
          <w:spacing w:val="-14"/>
          <w:sz w:val="20"/>
        </w:rPr>
        <w:t> </w:t>
      </w:r>
      <w:r>
        <w:rPr>
          <w:sz w:val="20"/>
        </w:rPr>
        <w:t>de</w:t>
      </w:r>
      <w:r>
        <w:rPr>
          <w:spacing w:val="-14"/>
          <w:sz w:val="20"/>
        </w:rPr>
        <w:t> </w:t>
      </w:r>
      <w:r>
        <w:rPr>
          <w:sz w:val="20"/>
        </w:rPr>
        <w:t>Ordenamiento</w:t>
      </w:r>
      <w:r>
        <w:rPr>
          <w:spacing w:val="-14"/>
          <w:sz w:val="20"/>
        </w:rPr>
        <w:t> </w:t>
      </w:r>
      <w:r>
        <w:rPr>
          <w:sz w:val="20"/>
        </w:rPr>
        <w:t>Territorial</w:t>
      </w:r>
      <w:r>
        <w:rPr>
          <w:spacing w:val="-14"/>
          <w:sz w:val="20"/>
        </w:rPr>
        <w:t> </w:t>
      </w:r>
      <w:r>
        <w:rPr>
          <w:sz w:val="20"/>
        </w:rPr>
        <w:t>y</w:t>
      </w:r>
      <w:r>
        <w:rPr>
          <w:spacing w:val="-13"/>
          <w:sz w:val="20"/>
        </w:rPr>
        <w:t> </w:t>
      </w:r>
      <w:r>
        <w:rPr>
          <w:sz w:val="20"/>
        </w:rPr>
        <w:t>Desarrollo</w:t>
      </w:r>
      <w:r>
        <w:rPr>
          <w:spacing w:val="-14"/>
          <w:sz w:val="20"/>
        </w:rPr>
        <w:t> </w:t>
      </w:r>
      <w:r>
        <w:rPr>
          <w:sz w:val="20"/>
        </w:rPr>
        <w:t>Urbano,</w:t>
      </w:r>
      <w:r>
        <w:rPr>
          <w:spacing w:val="-14"/>
          <w:sz w:val="20"/>
        </w:rPr>
        <w:t> </w:t>
      </w:r>
      <w:r>
        <w:rPr>
          <w:sz w:val="20"/>
        </w:rPr>
        <w:t>consultado cuando lo considere necesario</w:t>
      </w:r>
      <w:r>
        <w:rPr>
          <w:spacing w:val="-1"/>
          <w:sz w:val="20"/>
        </w:rPr>
        <w:t> </w:t>
      </w:r>
      <w:r>
        <w:rPr>
          <w:sz w:val="20"/>
        </w:rPr>
        <w:t>al</w:t>
      </w:r>
      <w:r>
        <w:rPr>
          <w:spacing w:val="-1"/>
          <w:sz w:val="20"/>
        </w:rPr>
        <w:t> </w:t>
      </w:r>
      <w:r>
        <w:rPr>
          <w:sz w:val="20"/>
        </w:rPr>
        <w:t>Consejo Estatal</w:t>
      </w:r>
      <w:r>
        <w:rPr>
          <w:spacing w:val="-1"/>
          <w:sz w:val="20"/>
        </w:rPr>
        <w:t> </w:t>
      </w:r>
      <w:r>
        <w:rPr>
          <w:sz w:val="20"/>
        </w:rPr>
        <w:t>de Ordenamiento</w:t>
      </w:r>
      <w:r>
        <w:rPr>
          <w:spacing w:val="-1"/>
          <w:sz w:val="20"/>
        </w:rPr>
        <w:t> </w:t>
      </w:r>
      <w:r>
        <w:rPr>
          <w:sz w:val="20"/>
        </w:rPr>
        <w:t>Territorial</w:t>
      </w:r>
      <w:r>
        <w:rPr>
          <w:spacing w:val="-1"/>
          <w:sz w:val="20"/>
        </w:rPr>
        <w:t> </w:t>
      </w:r>
      <w:r>
        <w:rPr>
          <w:sz w:val="20"/>
        </w:rPr>
        <w:t>y Desarrollo Urbano;</w:t>
      </w:r>
    </w:p>
    <w:p>
      <w:pPr>
        <w:pStyle w:val="ListParagraph"/>
        <w:numPr>
          <w:ilvl w:val="0"/>
          <w:numId w:val="9"/>
        </w:numPr>
        <w:tabs>
          <w:tab w:pos="543" w:val="left" w:leader="none"/>
        </w:tabs>
        <w:spacing w:line="240" w:lineRule="auto" w:before="229" w:after="0"/>
        <w:ind w:left="262" w:right="278" w:firstLine="0"/>
        <w:jc w:val="both"/>
        <w:rPr>
          <w:sz w:val="20"/>
        </w:rPr>
      </w:pPr>
      <w:r>
        <w:rPr>
          <w:sz w:val="20"/>
        </w:rPr>
        <w:t>Emitir y, en su caso, modificar la legislación local en materia de Desarrollo Urbano que permita contribuir al financiamiento e instrumentación del ordenamiento territorial y el Desarrollo Urbano y Desarrollo Metropolitano en condiciones de equidad, así como para la recuperación de las inversiones públicas y del incremento de valor de la propiedad inmobiliaria generado por la consolidación y el crecimiento urbano;</w:t>
      </w:r>
    </w:p>
    <w:p>
      <w:pPr>
        <w:pStyle w:val="BodyText"/>
      </w:pPr>
    </w:p>
    <w:p>
      <w:pPr>
        <w:pStyle w:val="ListParagraph"/>
        <w:numPr>
          <w:ilvl w:val="0"/>
          <w:numId w:val="9"/>
        </w:numPr>
        <w:tabs>
          <w:tab w:pos="597" w:val="left" w:leader="none"/>
        </w:tabs>
        <w:spacing w:line="240" w:lineRule="auto" w:before="0" w:after="0"/>
        <w:ind w:left="262" w:right="279" w:firstLine="0"/>
        <w:jc w:val="both"/>
        <w:rPr>
          <w:sz w:val="20"/>
        </w:rPr>
      </w:pPr>
      <w:r>
        <w:rPr>
          <w:sz w:val="20"/>
        </w:rPr>
        <w:t>Establecer en las leyes los lineamientos a los que habrán de sujetarse las autorizaciones, licencias o permisos relacionados con las diferentes acciones urbanísticas, en las cuales se debe prever por lo menos las formalidades y requisitos, procedimientos, causas de improcedencia, tiempos de respuesta, medios de impugnación, medidas de seguridad y sanciones, causas de revocación y efectos para la aplicación de afirmativas o negativas fictas, tendientes a garantizar la seguridad jurídica y la máxima transparencia en los actos de autoridad en la materia;</w:t>
      </w:r>
    </w:p>
    <w:p>
      <w:pPr>
        <w:pStyle w:val="BodyText"/>
      </w:pPr>
    </w:p>
    <w:p>
      <w:pPr>
        <w:pStyle w:val="ListParagraph"/>
        <w:numPr>
          <w:ilvl w:val="0"/>
          <w:numId w:val="9"/>
        </w:numPr>
        <w:tabs>
          <w:tab w:pos="688" w:val="left" w:leader="none"/>
        </w:tabs>
        <w:spacing w:line="240" w:lineRule="auto" w:before="1" w:after="0"/>
        <w:ind w:left="688" w:right="0" w:hanging="426"/>
        <w:jc w:val="both"/>
        <w:rPr>
          <w:sz w:val="20"/>
        </w:rPr>
      </w:pPr>
      <w:r>
        <w:rPr>
          <w:sz w:val="20"/>
        </w:rPr>
        <w:t>Autorizar</w:t>
      </w:r>
      <w:r>
        <w:rPr>
          <w:spacing w:val="-7"/>
          <w:sz w:val="20"/>
        </w:rPr>
        <w:t> </w:t>
      </w:r>
      <w:r>
        <w:rPr>
          <w:sz w:val="20"/>
        </w:rPr>
        <w:t>al</w:t>
      </w:r>
      <w:r>
        <w:rPr>
          <w:spacing w:val="-8"/>
          <w:sz w:val="20"/>
        </w:rPr>
        <w:t> </w:t>
      </w:r>
      <w:r>
        <w:rPr>
          <w:sz w:val="20"/>
        </w:rPr>
        <w:t>Ejecutivo</w:t>
      </w:r>
      <w:r>
        <w:rPr>
          <w:spacing w:val="-7"/>
          <w:sz w:val="20"/>
        </w:rPr>
        <w:t> </w:t>
      </w:r>
      <w:r>
        <w:rPr>
          <w:sz w:val="20"/>
        </w:rPr>
        <w:t>de</w:t>
      </w:r>
      <w:r>
        <w:rPr>
          <w:spacing w:val="-7"/>
          <w:sz w:val="20"/>
        </w:rPr>
        <w:t> </w:t>
      </w:r>
      <w:r>
        <w:rPr>
          <w:sz w:val="20"/>
        </w:rPr>
        <w:t>Estado</w:t>
      </w:r>
      <w:r>
        <w:rPr>
          <w:spacing w:val="-6"/>
          <w:sz w:val="20"/>
        </w:rPr>
        <w:t> </w:t>
      </w:r>
      <w:r>
        <w:rPr>
          <w:sz w:val="20"/>
        </w:rPr>
        <w:t>para</w:t>
      </w:r>
      <w:r>
        <w:rPr>
          <w:spacing w:val="-5"/>
          <w:sz w:val="20"/>
        </w:rPr>
        <w:t> </w:t>
      </w:r>
      <w:r>
        <w:rPr>
          <w:sz w:val="20"/>
        </w:rPr>
        <w:t>que</w:t>
      </w:r>
      <w:r>
        <w:rPr>
          <w:spacing w:val="-5"/>
          <w:sz w:val="20"/>
        </w:rPr>
        <w:t> </w:t>
      </w:r>
      <w:r>
        <w:rPr>
          <w:sz w:val="20"/>
        </w:rPr>
        <w:t>celebre</w:t>
      </w:r>
      <w:r>
        <w:rPr>
          <w:spacing w:val="-7"/>
          <w:sz w:val="20"/>
        </w:rPr>
        <w:t> </w:t>
      </w:r>
      <w:r>
        <w:rPr>
          <w:sz w:val="20"/>
        </w:rPr>
        <w:t>convenios</w:t>
      </w:r>
      <w:r>
        <w:rPr>
          <w:spacing w:val="-6"/>
          <w:sz w:val="20"/>
        </w:rPr>
        <w:t> </w:t>
      </w:r>
      <w:r>
        <w:rPr>
          <w:sz w:val="20"/>
        </w:rPr>
        <w:t>sobre</w:t>
      </w:r>
      <w:r>
        <w:rPr>
          <w:spacing w:val="-5"/>
          <w:sz w:val="20"/>
        </w:rPr>
        <w:t> </w:t>
      </w:r>
      <w:r>
        <w:rPr>
          <w:sz w:val="20"/>
        </w:rPr>
        <w:t>los</w:t>
      </w:r>
      <w:r>
        <w:rPr>
          <w:spacing w:val="-6"/>
          <w:sz w:val="20"/>
        </w:rPr>
        <w:t> </w:t>
      </w:r>
      <w:r>
        <w:rPr>
          <w:sz w:val="20"/>
        </w:rPr>
        <w:t>límites</w:t>
      </w:r>
      <w:r>
        <w:rPr>
          <w:spacing w:val="-6"/>
          <w:sz w:val="20"/>
        </w:rPr>
        <w:t> </w:t>
      </w:r>
      <w:r>
        <w:rPr>
          <w:sz w:val="20"/>
        </w:rPr>
        <w:t>del</w:t>
      </w:r>
      <w:r>
        <w:rPr>
          <w:spacing w:val="-7"/>
          <w:sz w:val="20"/>
        </w:rPr>
        <w:t> </w:t>
      </w:r>
      <w:r>
        <w:rPr>
          <w:spacing w:val="-2"/>
          <w:sz w:val="20"/>
        </w:rPr>
        <w:t>Estado;</w:t>
      </w:r>
    </w:p>
    <w:p>
      <w:pPr>
        <w:pStyle w:val="BodyText"/>
      </w:pPr>
    </w:p>
    <w:p>
      <w:pPr>
        <w:pStyle w:val="ListParagraph"/>
        <w:numPr>
          <w:ilvl w:val="0"/>
          <w:numId w:val="9"/>
        </w:numPr>
        <w:tabs>
          <w:tab w:pos="688" w:val="left" w:leader="none"/>
        </w:tabs>
        <w:spacing w:line="240" w:lineRule="auto" w:before="0" w:after="0"/>
        <w:ind w:left="262" w:right="288" w:firstLine="0"/>
        <w:jc w:val="both"/>
        <w:rPr>
          <w:sz w:val="20"/>
        </w:rPr>
      </w:pPr>
      <w:r>
        <w:rPr>
          <w:sz w:val="20"/>
        </w:rPr>
        <w:t>Fijar</w:t>
      </w:r>
      <w:r>
        <w:rPr>
          <w:spacing w:val="-2"/>
          <w:sz w:val="20"/>
        </w:rPr>
        <w:t> </w:t>
      </w:r>
      <w:r>
        <w:rPr>
          <w:sz w:val="20"/>
        </w:rPr>
        <w:t>los</w:t>
      </w:r>
      <w:r>
        <w:rPr>
          <w:spacing w:val="-2"/>
          <w:sz w:val="20"/>
        </w:rPr>
        <w:t> </w:t>
      </w:r>
      <w:r>
        <w:rPr>
          <w:sz w:val="20"/>
        </w:rPr>
        <w:t>límites</w:t>
      </w:r>
      <w:r>
        <w:rPr>
          <w:spacing w:val="-2"/>
          <w:sz w:val="20"/>
        </w:rPr>
        <w:t> </w:t>
      </w:r>
      <w:r>
        <w:rPr>
          <w:sz w:val="20"/>
        </w:rPr>
        <w:t>municipales o</w:t>
      </w:r>
      <w:r>
        <w:rPr>
          <w:spacing w:val="-3"/>
          <w:sz w:val="20"/>
        </w:rPr>
        <w:t> </w:t>
      </w:r>
      <w:r>
        <w:rPr>
          <w:sz w:val="20"/>
        </w:rPr>
        <w:t>su</w:t>
      </w:r>
      <w:r>
        <w:rPr>
          <w:spacing w:val="-3"/>
          <w:sz w:val="20"/>
        </w:rPr>
        <w:t> </w:t>
      </w:r>
      <w:r>
        <w:rPr>
          <w:sz w:val="20"/>
        </w:rPr>
        <w:t>modificación,</w:t>
      </w:r>
      <w:r>
        <w:rPr>
          <w:spacing w:val="-3"/>
          <w:sz w:val="20"/>
        </w:rPr>
        <w:t> </w:t>
      </w:r>
      <w:r>
        <w:rPr>
          <w:sz w:val="20"/>
        </w:rPr>
        <w:t>conforme</w:t>
      </w:r>
      <w:r>
        <w:rPr>
          <w:spacing w:val="-3"/>
          <w:sz w:val="20"/>
        </w:rPr>
        <w:t> </w:t>
      </w:r>
      <w:r>
        <w:rPr>
          <w:sz w:val="20"/>
        </w:rPr>
        <w:t>a</w:t>
      </w:r>
      <w:r>
        <w:rPr>
          <w:spacing w:val="-3"/>
          <w:sz w:val="20"/>
        </w:rPr>
        <w:t> </w:t>
      </w:r>
      <w:r>
        <w:rPr>
          <w:sz w:val="20"/>
        </w:rPr>
        <w:t>las</w:t>
      </w:r>
      <w:r>
        <w:rPr>
          <w:spacing w:val="-2"/>
          <w:sz w:val="20"/>
        </w:rPr>
        <w:t> </w:t>
      </w:r>
      <w:r>
        <w:rPr>
          <w:sz w:val="20"/>
        </w:rPr>
        <w:t>disposiciones</w:t>
      </w:r>
      <w:r>
        <w:rPr>
          <w:spacing w:val="-2"/>
          <w:sz w:val="20"/>
        </w:rPr>
        <w:t> </w:t>
      </w:r>
      <w:r>
        <w:rPr>
          <w:sz w:val="20"/>
        </w:rPr>
        <w:t>de</w:t>
      </w:r>
      <w:r>
        <w:rPr>
          <w:spacing w:val="-4"/>
          <w:sz w:val="20"/>
        </w:rPr>
        <w:t> </w:t>
      </w:r>
      <w:r>
        <w:rPr>
          <w:sz w:val="20"/>
        </w:rPr>
        <w:t>la</w:t>
      </w:r>
      <w:r>
        <w:rPr>
          <w:spacing w:val="-3"/>
          <w:sz w:val="20"/>
        </w:rPr>
        <w:t> </w:t>
      </w:r>
      <w:r>
        <w:rPr>
          <w:sz w:val="20"/>
        </w:rPr>
        <w:t>Constitución Política del Estado, la Ley Orgánica Municipal y de la presente Ley;</w:t>
      </w:r>
    </w:p>
    <w:p>
      <w:pPr>
        <w:pStyle w:val="BodyText"/>
      </w:pPr>
    </w:p>
    <w:p>
      <w:pPr>
        <w:pStyle w:val="ListParagraph"/>
        <w:numPr>
          <w:ilvl w:val="0"/>
          <w:numId w:val="9"/>
        </w:numPr>
        <w:tabs>
          <w:tab w:pos="688" w:val="left" w:leader="none"/>
        </w:tabs>
        <w:spacing w:line="240" w:lineRule="auto" w:before="0" w:after="0"/>
        <w:ind w:left="262" w:right="282" w:firstLine="0"/>
        <w:jc w:val="both"/>
        <w:rPr>
          <w:sz w:val="20"/>
        </w:rPr>
      </w:pPr>
      <w:r>
        <w:rPr>
          <w:sz w:val="20"/>
        </w:rPr>
        <w:t>Resolver</w:t>
      </w:r>
      <w:r>
        <w:rPr>
          <w:spacing w:val="-7"/>
          <w:sz w:val="20"/>
        </w:rPr>
        <w:t> </w:t>
      </w:r>
      <w:r>
        <w:rPr>
          <w:sz w:val="20"/>
        </w:rPr>
        <w:t>las</w:t>
      </w:r>
      <w:r>
        <w:rPr>
          <w:spacing w:val="-7"/>
          <w:sz w:val="20"/>
        </w:rPr>
        <w:t> </w:t>
      </w:r>
      <w:r>
        <w:rPr>
          <w:sz w:val="20"/>
        </w:rPr>
        <w:t>controversias</w:t>
      </w:r>
      <w:r>
        <w:rPr>
          <w:spacing w:val="-7"/>
          <w:sz w:val="20"/>
        </w:rPr>
        <w:t> </w:t>
      </w:r>
      <w:r>
        <w:rPr>
          <w:sz w:val="20"/>
        </w:rPr>
        <w:t>por</w:t>
      </w:r>
      <w:r>
        <w:rPr>
          <w:spacing w:val="-7"/>
          <w:sz w:val="20"/>
        </w:rPr>
        <w:t> </w:t>
      </w:r>
      <w:r>
        <w:rPr>
          <w:sz w:val="20"/>
        </w:rPr>
        <w:t>límites</w:t>
      </w:r>
      <w:r>
        <w:rPr>
          <w:spacing w:val="-7"/>
          <w:sz w:val="20"/>
        </w:rPr>
        <w:t> </w:t>
      </w:r>
      <w:r>
        <w:rPr>
          <w:sz w:val="20"/>
        </w:rPr>
        <w:t>territoriales,</w:t>
      </w:r>
      <w:r>
        <w:rPr>
          <w:spacing w:val="-7"/>
          <w:sz w:val="20"/>
        </w:rPr>
        <w:t> </w:t>
      </w:r>
      <w:r>
        <w:rPr>
          <w:sz w:val="20"/>
        </w:rPr>
        <w:t>que</w:t>
      </w:r>
      <w:r>
        <w:rPr>
          <w:spacing w:val="-6"/>
          <w:sz w:val="20"/>
        </w:rPr>
        <w:t> </w:t>
      </w:r>
      <w:r>
        <w:rPr>
          <w:sz w:val="20"/>
        </w:rPr>
        <w:t>se</w:t>
      </w:r>
      <w:r>
        <w:rPr>
          <w:spacing w:val="-10"/>
          <w:sz w:val="20"/>
        </w:rPr>
        <w:t> </w:t>
      </w:r>
      <w:r>
        <w:rPr>
          <w:sz w:val="20"/>
        </w:rPr>
        <w:t>susciten</w:t>
      </w:r>
      <w:r>
        <w:rPr>
          <w:spacing w:val="-8"/>
          <w:sz w:val="20"/>
        </w:rPr>
        <w:t> </w:t>
      </w:r>
      <w:r>
        <w:rPr>
          <w:sz w:val="20"/>
        </w:rPr>
        <w:t>entre</w:t>
      </w:r>
      <w:r>
        <w:rPr>
          <w:spacing w:val="-7"/>
          <w:sz w:val="20"/>
        </w:rPr>
        <w:t> </w:t>
      </w:r>
      <w:r>
        <w:rPr>
          <w:sz w:val="20"/>
        </w:rPr>
        <w:t>municipios</w:t>
      </w:r>
      <w:r>
        <w:rPr>
          <w:spacing w:val="-9"/>
          <w:sz w:val="20"/>
        </w:rPr>
        <w:t> </w:t>
      </w:r>
      <w:r>
        <w:rPr>
          <w:sz w:val="20"/>
        </w:rPr>
        <w:t>del</w:t>
      </w:r>
      <w:r>
        <w:rPr>
          <w:spacing w:val="-8"/>
          <w:sz w:val="20"/>
        </w:rPr>
        <w:t> </w:t>
      </w:r>
      <w:r>
        <w:rPr>
          <w:sz w:val="20"/>
        </w:rPr>
        <w:t>Estado, de conformidad con lo que establece la Constitución Política del Estado, la Ley Orgánica del Municipio Libre y la presente Ley;</w:t>
      </w:r>
    </w:p>
    <w:p>
      <w:pPr>
        <w:pStyle w:val="ListParagraph"/>
        <w:numPr>
          <w:ilvl w:val="0"/>
          <w:numId w:val="9"/>
        </w:numPr>
        <w:tabs>
          <w:tab w:pos="827" w:val="left" w:leader="none"/>
        </w:tabs>
        <w:spacing w:line="240" w:lineRule="auto" w:before="229" w:after="0"/>
        <w:ind w:left="262" w:right="277" w:firstLine="0"/>
        <w:jc w:val="both"/>
        <w:rPr>
          <w:sz w:val="20"/>
        </w:rPr>
      </w:pPr>
      <w:r>
        <w:rPr>
          <w:sz w:val="20"/>
        </w:rPr>
        <w:t>Promover la revisión del cumplimiento de la expedición y actualización de los programas de ordenamiento territorial y desarrollo urbano conforme a la presente Ley, a través de la Auditoría Superior</w:t>
      </w:r>
      <w:r>
        <w:rPr>
          <w:spacing w:val="-1"/>
          <w:sz w:val="20"/>
        </w:rPr>
        <w:t> </w:t>
      </w:r>
      <w:r>
        <w:rPr>
          <w:sz w:val="20"/>
        </w:rPr>
        <w:t>del</w:t>
      </w:r>
      <w:r>
        <w:rPr>
          <w:spacing w:val="-3"/>
          <w:sz w:val="20"/>
        </w:rPr>
        <w:t> </w:t>
      </w:r>
      <w:r>
        <w:rPr>
          <w:sz w:val="20"/>
        </w:rPr>
        <w:t>Estado,</w:t>
      </w:r>
      <w:r>
        <w:rPr>
          <w:spacing w:val="40"/>
          <w:sz w:val="20"/>
        </w:rPr>
        <w:t> </w:t>
      </w:r>
      <w:r>
        <w:rPr>
          <w:sz w:val="20"/>
        </w:rPr>
        <w:t>y</w:t>
      </w:r>
      <w:r>
        <w:rPr>
          <w:spacing w:val="-3"/>
          <w:sz w:val="20"/>
        </w:rPr>
        <w:t> </w:t>
      </w:r>
      <w:r>
        <w:rPr>
          <w:sz w:val="20"/>
        </w:rPr>
        <w:t>en</w:t>
      </w:r>
      <w:r>
        <w:rPr>
          <w:spacing w:val="-1"/>
          <w:sz w:val="20"/>
        </w:rPr>
        <w:t> </w:t>
      </w:r>
      <w:r>
        <w:rPr>
          <w:sz w:val="20"/>
        </w:rPr>
        <w:t>su</w:t>
      </w:r>
      <w:r>
        <w:rPr>
          <w:spacing w:val="-4"/>
          <w:sz w:val="20"/>
        </w:rPr>
        <w:t> </w:t>
      </w:r>
      <w:r>
        <w:rPr>
          <w:sz w:val="20"/>
        </w:rPr>
        <w:t>caso,</w:t>
      </w:r>
      <w:r>
        <w:rPr>
          <w:spacing w:val="-4"/>
          <w:sz w:val="20"/>
        </w:rPr>
        <w:t> </w:t>
      </w:r>
      <w:r>
        <w:rPr>
          <w:sz w:val="20"/>
        </w:rPr>
        <w:t>iniciar</w:t>
      </w:r>
      <w:r>
        <w:rPr>
          <w:spacing w:val="-4"/>
          <w:sz w:val="20"/>
        </w:rPr>
        <w:t> </w:t>
      </w:r>
      <w:r>
        <w:rPr>
          <w:sz w:val="20"/>
        </w:rPr>
        <w:t>los</w:t>
      </w:r>
      <w:r>
        <w:rPr>
          <w:spacing w:val="-1"/>
          <w:sz w:val="20"/>
        </w:rPr>
        <w:t> </w:t>
      </w:r>
      <w:r>
        <w:rPr>
          <w:sz w:val="20"/>
        </w:rPr>
        <w:t>procedimientos</w:t>
      </w:r>
      <w:r>
        <w:rPr>
          <w:spacing w:val="-3"/>
          <w:sz w:val="20"/>
        </w:rPr>
        <w:t> </w:t>
      </w:r>
      <w:r>
        <w:rPr>
          <w:sz w:val="20"/>
        </w:rPr>
        <w:t>de</w:t>
      </w:r>
      <w:r>
        <w:rPr>
          <w:spacing w:val="-4"/>
          <w:sz w:val="20"/>
        </w:rPr>
        <w:t> </w:t>
      </w:r>
      <w:r>
        <w:rPr>
          <w:sz w:val="20"/>
        </w:rPr>
        <w:t>responsabilidad</w:t>
      </w:r>
      <w:r>
        <w:rPr>
          <w:spacing w:val="-2"/>
          <w:sz w:val="20"/>
        </w:rPr>
        <w:t> </w:t>
      </w:r>
      <w:r>
        <w:rPr>
          <w:sz w:val="20"/>
        </w:rPr>
        <w:t>administrativa</w:t>
      </w:r>
      <w:r>
        <w:rPr>
          <w:spacing w:val="-2"/>
          <w:sz w:val="20"/>
        </w:rPr>
        <w:t> </w:t>
      </w:r>
      <w:r>
        <w:rPr>
          <w:sz w:val="20"/>
        </w:rPr>
        <w:t>que procedan conforme a la ley de la materia, a fin de que se sancione a los servidores públicos responsables,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9"/>
        </w:numPr>
        <w:tabs>
          <w:tab w:pos="827" w:val="left" w:leader="none"/>
        </w:tabs>
        <w:spacing w:line="240" w:lineRule="auto" w:before="0" w:after="0"/>
        <w:ind w:left="827" w:right="0" w:hanging="565"/>
        <w:jc w:val="both"/>
        <w:rPr>
          <w:sz w:val="20"/>
        </w:rPr>
      </w:pPr>
      <w:r>
        <w:rPr>
          <w:sz w:val="20"/>
        </w:rPr>
        <w:t>Las</w:t>
      </w:r>
      <w:r>
        <w:rPr>
          <w:spacing w:val="-7"/>
          <w:sz w:val="20"/>
        </w:rPr>
        <w:t> </w:t>
      </w:r>
      <w:r>
        <w:rPr>
          <w:sz w:val="20"/>
        </w:rPr>
        <w:t>demás</w:t>
      </w:r>
      <w:r>
        <w:rPr>
          <w:spacing w:val="-6"/>
          <w:sz w:val="20"/>
        </w:rPr>
        <w:t> </w:t>
      </w:r>
      <w:r>
        <w:rPr>
          <w:sz w:val="20"/>
        </w:rPr>
        <w:t>que</w:t>
      </w:r>
      <w:r>
        <w:rPr>
          <w:spacing w:val="-6"/>
          <w:sz w:val="20"/>
        </w:rPr>
        <w:t> </w:t>
      </w:r>
      <w:r>
        <w:rPr>
          <w:sz w:val="20"/>
        </w:rPr>
        <w:t>le</w:t>
      </w:r>
      <w:r>
        <w:rPr>
          <w:spacing w:val="-7"/>
          <w:sz w:val="20"/>
        </w:rPr>
        <w:t> </w:t>
      </w:r>
      <w:r>
        <w:rPr>
          <w:sz w:val="20"/>
        </w:rPr>
        <w:t>otorgan</w:t>
      </w:r>
      <w:r>
        <w:rPr>
          <w:spacing w:val="-5"/>
          <w:sz w:val="20"/>
        </w:rPr>
        <w:t> </w:t>
      </w:r>
      <w:r>
        <w:rPr>
          <w:sz w:val="20"/>
        </w:rPr>
        <w:t>esta</w:t>
      </w:r>
      <w:r>
        <w:rPr>
          <w:spacing w:val="-8"/>
          <w:sz w:val="20"/>
        </w:rPr>
        <w:t> </w:t>
      </w:r>
      <w:r>
        <w:rPr>
          <w:sz w:val="20"/>
        </w:rPr>
        <w:t>Ley</w:t>
      </w:r>
      <w:r>
        <w:rPr>
          <w:spacing w:val="-6"/>
          <w:sz w:val="20"/>
        </w:rPr>
        <w:t> </w:t>
      </w:r>
      <w:r>
        <w:rPr>
          <w:sz w:val="20"/>
        </w:rPr>
        <w:t>y</w:t>
      </w:r>
      <w:r>
        <w:rPr>
          <w:spacing w:val="-6"/>
          <w:sz w:val="20"/>
        </w:rPr>
        <w:t> </w:t>
      </w:r>
      <w:r>
        <w:rPr>
          <w:sz w:val="20"/>
        </w:rPr>
        <w:t>demás</w:t>
      </w:r>
      <w:r>
        <w:rPr>
          <w:spacing w:val="-4"/>
          <w:sz w:val="20"/>
        </w:rPr>
        <w:t> </w:t>
      </w:r>
      <w:r>
        <w:rPr>
          <w:sz w:val="20"/>
        </w:rPr>
        <w:t>disposiciones</w:t>
      </w:r>
      <w:r>
        <w:rPr>
          <w:spacing w:val="-6"/>
          <w:sz w:val="20"/>
        </w:rPr>
        <w:t> </w:t>
      </w:r>
      <w:r>
        <w:rPr>
          <w:spacing w:val="-2"/>
          <w:sz w:val="20"/>
        </w:rPr>
        <w:t>jurídicas.</w:t>
      </w:r>
    </w:p>
    <w:p>
      <w:pPr>
        <w:pStyle w:val="BodyText"/>
      </w:pPr>
    </w:p>
    <w:p>
      <w:pPr>
        <w:pStyle w:val="BodyText"/>
        <w:spacing w:before="1"/>
      </w:pPr>
    </w:p>
    <w:p>
      <w:pPr>
        <w:pStyle w:val="Heading2"/>
        <w:spacing w:line="477" w:lineRule="auto" w:before="1"/>
        <w:ind w:left="3293" w:right="3159" w:firstLine="883"/>
        <w:jc w:val="left"/>
      </w:pPr>
      <w:r>
        <w:rPr/>
        <w:t>Capítulo V Atribuciones</w:t>
      </w:r>
      <w:r>
        <w:rPr>
          <w:spacing w:val="-14"/>
        </w:rPr>
        <w:t> </w:t>
      </w:r>
      <w:r>
        <w:rPr/>
        <w:t>de</w:t>
      </w:r>
      <w:r>
        <w:rPr>
          <w:spacing w:val="-14"/>
        </w:rPr>
        <w:t> </w:t>
      </w:r>
      <w:r>
        <w:rPr/>
        <w:t>la</w:t>
      </w:r>
      <w:r>
        <w:rPr>
          <w:spacing w:val="-14"/>
        </w:rPr>
        <w:t> </w:t>
      </w:r>
      <w:r>
        <w:rPr/>
        <w:t>Secretaría</w:t>
      </w:r>
    </w:p>
    <w:p>
      <w:pPr>
        <w:spacing w:before="3"/>
        <w:ind w:left="262"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17.</w:t>
      </w:r>
      <w:r>
        <w:rPr>
          <w:rFonts w:ascii="Arial" w:hAnsi="Arial"/>
          <w:b/>
          <w:spacing w:val="-6"/>
          <w:sz w:val="20"/>
        </w:rPr>
        <w:t> </w:t>
      </w:r>
      <w:r>
        <w:rPr>
          <w:sz w:val="20"/>
        </w:rPr>
        <w:t>Son</w:t>
      </w:r>
      <w:r>
        <w:rPr>
          <w:spacing w:val="-7"/>
          <w:sz w:val="20"/>
        </w:rPr>
        <w:t> </w:t>
      </w:r>
      <w:r>
        <w:rPr>
          <w:sz w:val="20"/>
        </w:rPr>
        <w:t>atribuciones</w:t>
      </w:r>
      <w:r>
        <w:rPr>
          <w:spacing w:val="-7"/>
          <w:sz w:val="20"/>
        </w:rPr>
        <w:t> </w:t>
      </w:r>
      <w:r>
        <w:rPr>
          <w:sz w:val="20"/>
        </w:rPr>
        <w:t>de</w:t>
      </w:r>
      <w:r>
        <w:rPr>
          <w:spacing w:val="-6"/>
          <w:sz w:val="20"/>
        </w:rPr>
        <w:t> </w:t>
      </w:r>
      <w:r>
        <w:rPr>
          <w:sz w:val="20"/>
        </w:rPr>
        <w:t>la</w:t>
      </w:r>
      <w:r>
        <w:rPr>
          <w:spacing w:val="-5"/>
          <w:sz w:val="20"/>
        </w:rPr>
        <w:t> </w:t>
      </w:r>
      <w:r>
        <w:rPr>
          <w:spacing w:val="-2"/>
          <w:sz w:val="20"/>
        </w:rPr>
        <w:t>Secretaría:</w:t>
      </w:r>
    </w:p>
    <w:p>
      <w:pPr>
        <w:pStyle w:val="BodyText"/>
        <w:spacing w:before="2"/>
      </w:pPr>
    </w:p>
    <w:p>
      <w:pPr>
        <w:pStyle w:val="ListParagraph"/>
        <w:numPr>
          <w:ilvl w:val="0"/>
          <w:numId w:val="10"/>
        </w:numPr>
        <w:tabs>
          <w:tab w:pos="543" w:val="left" w:leader="none"/>
        </w:tabs>
        <w:spacing w:line="240" w:lineRule="auto" w:before="0" w:after="0"/>
        <w:ind w:left="262" w:right="286" w:firstLine="0"/>
        <w:jc w:val="both"/>
        <w:rPr>
          <w:sz w:val="20"/>
        </w:rPr>
      </w:pPr>
      <w:r>
        <w:rPr>
          <w:sz w:val="20"/>
        </w:rPr>
        <w:t>Aplicar y ajustar los procesos de la planeación estatal de ordenamiento territorial y desarrollo urbano a la estrategia nacional de ordenamiento territorial, en su caso a través del Instituto de Planeación del Estado, cuando el mismo esté constituido;</w:t>
      </w:r>
    </w:p>
    <w:p>
      <w:pPr>
        <w:pStyle w:val="ListParagraph"/>
        <w:numPr>
          <w:ilvl w:val="0"/>
          <w:numId w:val="10"/>
        </w:numPr>
        <w:tabs>
          <w:tab w:pos="543" w:val="left" w:leader="none"/>
        </w:tabs>
        <w:spacing w:line="240" w:lineRule="auto" w:before="229" w:after="0"/>
        <w:ind w:left="262" w:right="288" w:firstLine="0"/>
        <w:jc w:val="both"/>
        <w:rPr>
          <w:sz w:val="20"/>
        </w:rPr>
      </w:pPr>
      <w:r>
        <w:rPr>
          <w:sz w:val="20"/>
        </w:rPr>
        <w:t>Promover, el efectivo cumplimiento de los derechos de los habitantes de las ciudades bajo los principios a que alude el artículo 5º de esta Ley;</w:t>
      </w:r>
    </w:p>
    <w:p>
      <w:pPr>
        <w:pStyle w:val="ListParagraph"/>
        <w:numPr>
          <w:ilvl w:val="0"/>
          <w:numId w:val="10"/>
        </w:numPr>
        <w:tabs>
          <w:tab w:pos="597" w:val="left" w:leader="none"/>
        </w:tabs>
        <w:spacing w:line="240" w:lineRule="auto" w:before="229" w:after="0"/>
        <w:ind w:left="262" w:right="279" w:firstLine="0"/>
        <w:jc w:val="both"/>
        <w:rPr>
          <w:sz w:val="20"/>
        </w:rPr>
      </w:pPr>
      <w:r>
        <w:rPr>
          <w:sz w:val="20"/>
        </w:rPr>
        <w:t>Con el apoyo del Instituto Estatal de Planeación Urbana, formular, aprobar, administrar, actualizar y evaluar el Programa Estatal de Ordenamiento Territorial y Desarrollo Urbano y los programas que de él se deriven, con base en el respectivo Plan Estatal de Desarrollo y en lo dispuesto</w:t>
      </w:r>
      <w:r>
        <w:rPr>
          <w:spacing w:val="-5"/>
          <w:sz w:val="20"/>
        </w:rPr>
        <w:t> </w:t>
      </w:r>
      <w:r>
        <w:rPr>
          <w:sz w:val="20"/>
        </w:rPr>
        <w:t>en</w:t>
      </w:r>
      <w:r>
        <w:rPr>
          <w:spacing w:val="-4"/>
          <w:sz w:val="20"/>
        </w:rPr>
        <w:t> </w:t>
      </w:r>
      <w:r>
        <w:rPr>
          <w:sz w:val="20"/>
        </w:rPr>
        <w:t>esta</w:t>
      </w:r>
      <w:r>
        <w:rPr>
          <w:spacing w:val="-2"/>
          <w:sz w:val="20"/>
        </w:rPr>
        <w:t> </w:t>
      </w:r>
      <w:r>
        <w:rPr>
          <w:sz w:val="20"/>
        </w:rPr>
        <w:t>Ley,</w:t>
      </w:r>
      <w:r>
        <w:rPr>
          <w:spacing w:val="-4"/>
          <w:sz w:val="20"/>
        </w:rPr>
        <w:t> </w:t>
      </w:r>
      <w:r>
        <w:rPr>
          <w:sz w:val="20"/>
        </w:rPr>
        <w:t>con</w:t>
      </w:r>
      <w:r>
        <w:rPr>
          <w:spacing w:val="-2"/>
          <w:sz w:val="20"/>
        </w:rPr>
        <w:t> </w:t>
      </w:r>
      <w:r>
        <w:rPr>
          <w:sz w:val="20"/>
        </w:rPr>
        <w:t>la</w:t>
      </w:r>
      <w:r>
        <w:rPr>
          <w:spacing w:val="-4"/>
          <w:sz w:val="20"/>
        </w:rPr>
        <w:t> </w:t>
      </w:r>
      <w:r>
        <w:rPr>
          <w:sz w:val="20"/>
        </w:rPr>
        <w:t>participación</w:t>
      </w:r>
      <w:r>
        <w:rPr>
          <w:spacing w:val="-3"/>
          <w:sz w:val="20"/>
        </w:rPr>
        <w:t> </w:t>
      </w:r>
      <w:r>
        <w:rPr>
          <w:sz w:val="20"/>
        </w:rPr>
        <w:t>que</w:t>
      </w:r>
      <w:r>
        <w:rPr>
          <w:spacing w:val="-2"/>
          <w:sz w:val="20"/>
        </w:rPr>
        <w:t> </w:t>
      </w:r>
      <w:r>
        <w:rPr>
          <w:sz w:val="20"/>
        </w:rPr>
        <w:t>corresponda</w:t>
      </w:r>
      <w:r>
        <w:rPr>
          <w:spacing w:val="-2"/>
          <w:sz w:val="20"/>
        </w:rPr>
        <w:t> </w:t>
      </w:r>
      <w:r>
        <w:rPr>
          <w:sz w:val="20"/>
        </w:rPr>
        <w:t>a</w:t>
      </w:r>
      <w:r>
        <w:rPr>
          <w:spacing w:val="-2"/>
          <w:sz w:val="20"/>
        </w:rPr>
        <w:t> </w:t>
      </w:r>
      <w:r>
        <w:rPr>
          <w:sz w:val="20"/>
        </w:rPr>
        <w:t>los</w:t>
      </w:r>
      <w:r>
        <w:rPr>
          <w:spacing w:val="-3"/>
          <w:sz w:val="20"/>
        </w:rPr>
        <w:t> </w:t>
      </w:r>
      <w:r>
        <w:rPr>
          <w:sz w:val="20"/>
        </w:rPr>
        <w:t>municipios</w:t>
      </w:r>
      <w:r>
        <w:rPr>
          <w:spacing w:val="-3"/>
          <w:sz w:val="20"/>
        </w:rPr>
        <w:t> </w:t>
      </w:r>
      <w:r>
        <w:rPr>
          <w:sz w:val="20"/>
        </w:rPr>
        <w:t>y</w:t>
      </w:r>
      <w:r>
        <w:rPr>
          <w:spacing w:val="-3"/>
          <w:sz w:val="20"/>
        </w:rPr>
        <w:t> </w:t>
      </w:r>
      <w:r>
        <w:rPr>
          <w:sz w:val="20"/>
        </w:rPr>
        <w:t>a</w:t>
      </w:r>
      <w:r>
        <w:rPr>
          <w:spacing w:val="-2"/>
          <w:sz w:val="20"/>
        </w:rPr>
        <w:t> </w:t>
      </w:r>
      <w:r>
        <w:rPr>
          <w:sz w:val="20"/>
        </w:rPr>
        <w:t>los</w:t>
      </w:r>
      <w:r>
        <w:rPr>
          <w:spacing w:val="-3"/>
          <w:sz w:val="20"/>
        </w:rPr>
        <w:t> </w:t>
      </w:r>
      <w:r>
        <w:rPr>
          <w:sz w:val="20"/>
        </w:rPr>
        <w:t>sectores</w:t>
      </w:r>
      <w:r>
        <w:rPr>
          <w:spacing w:val="-3"/>
          <w:sz w:val="20"/>
        </w:rPr>
        <w:t> </w:t>
      </w:r>
      <w:r>
        <w:rPr>
          <w:sz w:val="20"/>
        </w:rPr>
        <w:t>social y privado, y vigilar su correcta aplicación, a través del Instituto de Planeación del Estado cuando dicho órgano esté constituido, o bien por sí misma;</w:t>
      </w:r>
    </w:p>
    <w:p>
      <w:pPr>
        <w:pStyle w:val="BodyText"/>
      </w:pPr>
    </w:p>
    <w:p>
      <w:pPr>
        <w:pStyle w:val="ListParagraph"/>
        <w:numPr>
          <w:ilvl w:val="0"/>
          <w:numId w:val="10"/>
        </w:numPr>
        <w:tabs>
          <w:tab w:pos="688" w:val="left" w:leader="none"/>
        </w:tabs>
        <w:spacing w:line="240" w:lineRule="auto" w:before="1" w:after="0"/>
        <w:ind w:left="262" w:right="284" w:firstLine="0"/>
        <w:jc w:val="both"/>
        <w:rPr>
          <w:sz w:val="20"/>
        </w:rPr>
      </w:pPr>
      <w:r>
        <w:rPr>
          <w:sz w:val="20"/>
        </w:rPr>
        <w:t>Recomendar a aquellos ayuntamientos de los municipios que no tengan actualizados sus programas de ordenamiento territorial y desarrollo urbano conforme a lo dispuesto en esta Ley, la emisión de los mismos, y asesorarlos a petición de éstos en su elaboración o actualización;</w:t>
      </w:r>
    </w:p>
    <w:p>
      <w:pPr>
        <w:pStyle w:val="ListParagraph"/>
        <w:numPr>
          <w:ilvl w:val="0"/>
          <w:numId w:val="10"/>
        </w:numPr>
        <w:tabs>
          <w:tab w:pos="688" w:val="left" w:leader="none"/>
        </w:tabs>
        <w:spacing w:line="240" w:lineRule="auto" w:before="229" w:after="0"/>
        <w:ind w:left="262" w:right="277" w:firstLine="0"/>
        <w:jc w:val="both"/>
        <w:rPr>
          <w:sz w:val="20"/>
        </w:rPr>
      </w:pPr>
      <w:r>
        <w:rPr>
          <w:sz w:val="20"/>
        </w:rPr>
        <w:t>Poner en marcha los mecanismos para dar participación a la ciudadanía y a los municipios en los procesos de formulación planeación, operación, seguimiento, cumplimiento y evaluación del Programa Estatal</w:t>
      </w:r>
      <w:r>
        <w:rPr>
          <w:spacing w:val="-3"/>
          <w:sz w:val="20"/>
        </w:rPr>
        <w:t> </w:t>
      </w:r>
      <w:r>
        <w:rPr>
          <w:sz w:val="20"/>
        </w:rPr>
        <w:t>de</w:t>
      </w:r>
      <w:r>
        <w:rPr>
          <w:spacing w:val="-2"/>
          <w:sz w:val="20"/>
        </w:rPr>
        <w:t> </w:t>
      </w:r>
      <w:r>
        <w:rPr>
          <w:sz w:val="20"/>
        </w:rPr>
        <w:t>Ordenamiento Territorial</w:t>
      </w:r>
      <w:r>
        <w:rPr>
          <w:spacing w:val="-3"/>
          <w:sz w:val="20"/>
        </w:rPr>
        <w:t> </w:t>
      </w:r>
      <w:r>
        <w:rPr>
          <w:sz w:val="20"/>
        </w:rPr>
        <w:t>y</w:t>
      </w:r>
      <w:r>
        <w:rPr>
          <w:spacing w:val="-1"/>
          <w:sz w:val="20"/>
        </w:rPr>
        <w:t> </w:t>
      </w:r>
      <w:r>
        <w:rPr>
          <w:sz w:val="20"/>
        </w:rPr>
        <w:t>Desarrollo</w:t>
      </w:r>
      <w:r>
        <w:rPr>
          <w:spacing w:val="-2"/>
          <w:sz w:val="20"/>
        </w:rPr>
        <w:t> </w:t>
      </w:r>
      <w:r>
        <w:rPr>
          <w:sz w:val="20"/>
        </w:rPr>
        <w:t>Urbano</w:t>
      </w:r>
      <w:r>
        <w:rPr>
          <w:spacing w:val="-2"/>
          <w:sz w:val="20"/>
        </w:rPr>
        <w:t> </w:t>
      </w:r>
      <w:r>
        <w:rPr>
          <w:sz w:val="20"/>
        </w:rPr>
        <w:t>y de los</w:t>
      </w:r>
      <w:r>
        <w:rPr>
          <w:spacing w:val="-1"/>
          <w:sz w:val="20"/>
        </w:rPr>
        <w:t> </w:t>
      </w:r>
      <w:r>
        <w:rPr>
          <w:sz w:val="20"/>
        </w:rPr>
        <w:t>programas</w:t>
      </w:r>
      <w:r>
        <w:rPr>
          <w:spacing w:val="-1"/>
          <w:sz w:val="20"/>
        </w:rPr>
        <w:t> </w:t>
      </w:r>
      <w:r>
        <w:rPr>
          <w:sz w:val="20"/>
        </w:rPr>
        <w:t>que</w:t>
      </w:r>
      <w:r>
        <w:rPr>
          <w:spacing w:val="-2"/>
          <w:sz w:val="20"/>
        </w:rPr>
        <w:t> </w:t>
      </w:r>
      <w:r>
        <w:rPr>
          <w:sz w:val="20"/>
        </w:rPr>
        <w:t>de</w:t>
      </w:r>
      <w:r>
        <w:rPr>
          <w:spacing w:val="-2"/>
          <w:sz w:val="20"/>
        </w:rPr>
        <w:t> </w:t>
      </w:r>
      <w:r>
        <w:rPr>
          <w:sz w:val="20"/>
        </w:rPr>
        <w:t>él</w:t>
      </w:r>
      <w:r>
        <w:rPr>
          <w:spacing w:val="-3"/>
          <w:sz w:val="20"/>
        </w:rPr>
        <w:t> </w:t>
      </w:r>
      <w:r>
        <w:rPr>
          <w:sz w:val="20"/>
        </w:rPr>
        <w:t>se deriven, en su caso con el apoyo del</w:t>
      </w:r>
      <w:r>
        <w:rPr>
          <w:spacing w:val="40"/>
          <w:sz w:val="20"/>
        </w:rPr>
        <w:t> </w:t>
      </w:r>
      <w:r>
        <w:rPr>
          <w:sz w:val="20"/>
        </w:rPr>
        <w:t>Instituto de Planeación del Estado;</w:t>
      </w:r>
    </w:p>
    <w:p>
      <w:pPr>
        <w:pStyle w:val="BodyText"/>
        <w:spacing w:before="2"/>
      </w:pPr>
    </w:p>
    <w:p>
      <w:pPr>
        <w:pStyle w:val="ListParagraph"/>
        <w:numPr>
          <w:ilvl w:val="0"/>
          <w:numId w:val="10"/>
        </w:numPr>
        <w:tabs>
          <w:tab w:pos="688" w:val="left" w:leader="none"/>
        </w:tabs>
        <w:spacing w:line="240" w:lineRule="auto" w:before="0" w:after="0"/>
        <w:ind w:left="262" w:right="278" w:firstLine="0"/>
        <w:jc w:val="both"/>
        <w:rPr>
          <w:sz w:val="20"/>
        </w:rPr>
      </w:pPr>
      <w:r>
        <w:rPr>
          <w:sz w:val="20"/>
        </w:rPr>
        <w:t>Proveer,</w:t>
      </w:r>
      <w:r>
        <w:rPr>
          <w:spacing w:val="-6"/>
          <w:sz w:val="20"/>
        </w:rPr>
        <w:t> </w:t>
      </w:r>
      <w:r>
        <w:rPr>
          <w:sz w:val="20"/>
        </w:rPr>
        <w:t>conservar</w:t>
      </w:r>
      <w:r>
        <w:rPr>
          <w:spacing w:val="-6"/>
          <w:sz w:val="20"/>
        </w:rPr>
        <w:t> </w:t>
      </w:r>
      <w:r>
        <w:rPr>
          <w:sz w:val="20"/>
        </w:rPr>
        <w:t>y</w:t>
      </w:r>
      <w:r>
        <w:rPr>
          <w:spacing w:val="-5"/>
          <w:sz w:val="20"/>
        </w:rPr>
        <w:t> </w:t>
      </w:r>
      <w:r>
        <w:rPr>
          <w:sz w:val="20"/>
        </w:rPr>
        <w:t>mantener</w:t>
      </w:r>
      <w:r>
        <w:rPr>
          <w:spacing w:val="-6"/>
          <w:sz w:val="20"/>
        </w:rPr>
        <w:t> </w:t>
      </w:r>
      <w:r>
        <w:rPr>
          <w:sz w:val="20"/>
        </w:rPr>
        <w:t>para</w:t>
      </w:r>
      <w:r>
        <w:rPr>
          <w:spacing w:val="-7"/>
          <w:sz w:val="20"/>
        </w:rPr>
        <w:t> </w:t>
      </w:r>
      <w:r>
        <w:rPr>
          <w:sz w:val="20"/>
        </w:rPr>
        <w:t>su</w:t>
      </w:r>
      <w:r>
        <w:rPr>
          <w:spacing w:val="-7"/>
          <w:sz w:val="20"/>
        </w:rPr>
        <w:t> </w:t>
      </w:r>
      <w:r>
        <w:rPr>
          <w:sz w:val="20"/>
        </w:rPr>
        <w:t>consulta</w:t>
      </w:r>
      <w:r>
        <w:rPr>
          <w:spacing w:val="-7"/>
          <w:sz w:val="20"/>
        </w:rPr>
        <w:t> </w:t>
      </w:r>
      <w:r>
        <w:rPr>
          <w:sz w:val="20"/>
        </w:rPr>
        <w:t>pública,</w:t>
      </w:r>
      <w:r>
        <w:rPr>
          <w:spacing w:val="-7"/>
          <w:sz w:val="20"/>
        </w:rPr>
        <w:t> </w:t>
      </w:r>
      <w:r>
        <w:rPr>
          <w:sz w:val="20"/>
        </w:rPr>
        <w:t>el</w:t>
      </w:r>
      <w:r>
        <w:rPr>
          <w:spacing w:val="-5"/>
          <w:sz w:val="20"/>
        </w:rPr>
        <w:t> </w:t>
      </w:r>
      <w:r>
        <w:rPr>
          <w:sz w:val="20"/>
        </w:rPr>
        <w:t>Programa</w:t>
      </w:r>
      <w:r>
        <w:rPr>
          <w:spacing w:val="-4"/>
          <w:sz w:val="20"/>
        </w:rPr>
        <w:t> </w:t>
      </w:r>
      <w:r>
        <w:rPr>
          <w:sz w:val="20"/>
        </w:rPr>
        <w:t>Estatal</w:t>
      </w:r>
      <w:r>
        <w:rPr>
          <w:spacing w:val="-8"/>
          <w:sz w:val="20"/>
        </w:rPr>
        <w:t> </w:t>
      </w:r>
      <w:r>
        <w:rPr>
          <w:sz w:val="20"/>
        </w:rPr>
        <w:t>de</w:t>
      </w:r>
      <w:r>
        <w:rPr>
          <w:spacing w:val="-7"/>
          <w:sz w:val="20"/>
        </w:rPr>
        <w:t> </w:t>
      </w:r>
      <w:r>
        <w:rPr>
          <w:sz w:val="20"/>
        </w:rPr>
        <w:t>Ordenamiento Territorial y Desarrollo Urbano, los programas que de éste se deriven, los programas de ordenamiento</w:t>
      </w:r>
      <w:r>
        <w:rPr>
          <w:spacing w:val="-12"/>
          <w:sz w:val="20"/>
        </w:rPr>
        <w:t> </w:t>
      </w:r>
      <w:r>
        <w:rPr>
          <w:sz w:val="20"/>
        </w:rPr>
        <w:t>territorial</w:t>
      </w:r>
      <w:r>
        <w:rPr>
          <w:spacing w:val="-13"/>
          <w:sz w:val="20"/>
        </w:rPr>
        <w:t> </w:t>
      </w:r>
      <w:r>
        <w:rPr>
          <w:sz w:val="20"/>
        </w:rPr>
        <w:t>y</w:t>
      </w:r>
      <w:r>
        <w:rPr>
          <w:spacing w:val="-11"/>
          <w:sz w:val="20"/>
        </w:rPr>
        <w:t> </w:t>
      </w:r>
      <w:r>
        <w:rPr>
          <w:sz w:val="20"/>
        </w:rPr>
        <w:t>desarrollo</w:t>
      </w:r>
      <w:r>
        <w:rPr>
          <w:spacing w:val="-12"/>
          <w:sz w:val="20"/>
        </w:rPr>
        <w:t> </w:t>
      </w:r>
      <w:r>
        <w:rPr>
          <w:sz w:val="20"/>
        </w:rPr>
        <w:t>urbano</w:t>
      </w:r>
      <w:r>
        <w:rPr>
          <w:spacing w:val="-10"/>
          <w:sz w:val="20"/>
        </w:rPr>
        <w:t> </w:t>
      </w:r>
      <w:r>
        <w:rPr>
          <w:sz w:val="20"/>
        </w:rPr>
        <w:t>de</w:t>
      </w:r>
      <w:r>
        <w:rPr>
          <w:spacing w:val="-13"/>
          <w:sz w:val="20"/>
        </w:rPr>
        <w:t> </w:t>
      </w:r>
      <w:r>
        <w:rPr>
          <w:sz w:val="20"/>
        </w:rPr>
        <w:t>todos</w:t>
      </w:r>
      <w:r>
        <w:rPr>
          <w:spacing w:val="-11"/>
          <w:sz w:val="20"/>
        </w:rPr>
        <w:t> </w:t>
      </w:r>
      <w:r>
        <w:rPr>
          <w:sz w:val="20"/>
        </w:rPr>
        <w:t>los</w:t>
      </w:r>
      <w:r>
        <w:rPr>
          <w:spacing w:val="-11"/>
          <w:sz w:val="20"/>
        </w:rPr>
        <w:t> </w:t>
      </w:r>
      <w:r>
        <w:rPr>
          <w:sz w:val="20"/>
        </w:rPr>
        <w:t>municipios,</w:t>
      </w:r>
      <w:r>
        <w:rPr>
          <w:spacing w:val="-12"/>
          <w:sz w:val="20"/>
        </w:rPr>
        <w:t> </w:t>
      </w:r>
      <w:r>
        <w:rPr>
          <w:sz w:val="20"/>
        </w:rPr>
        <w:t>y</w:t>
      </w:r>
      <w:r>
        <w:rPr>
          <w:spacing w:val="-11"/>
          <w:sz w:val="20"/>
        </w:rPr>
        <w:t> </w:t>
      </w:r>
      <w:r>
        <w:rPr>
          <w:sz w:val="20"/>
        </w:rPr>
        <w:t>los</w:t>
      </w:r>
      <w:r>
        <w:rPr>
          <w:spacing w:val="-6"/>
          <w:sz w:val="20"/>
        </w:rPr>
        <w:t> </w:t>
      </w:r>
      <w:r>
        <w:rPr>
          <w:sz w:val="20"/>
        </w:rPr>
        <w:t>programas</w:t>
      </w:r>
      <w:r>
        <w:rPr>
          <w:spacing w:val="-11"/>
          <w:sz w:val="20"/>
        </w:rPr>
        <w:t> </w:t>
      </w:r>
      <w:r>
        <w:rPr>
          <w:sz w:val="20"/>
        </w:rPr>
        <w:t>de</w:t>
      </w:r>
      <w:r>
        <w:rPr>
          <w:spacing w:val="-13"/>
          <w:sz w:val="20"/>
        </w:rPr>
        <w:t> </w:t>
      </w:r>
      <w:r>
        <w:rPr>
          <w:sz w:val="20"/>
        </w:rPr>
        <w:t>conurbación y desarrollo metropolitano, en su caso con el auxilio del Instituto de Planeación del Estado;</w:t>
      </w:r>
    </w:p>
    <w:p>
      <w:pPr>
        <w:pStyle w:val="ListParagraph"/>
        <w:numPr>
          <w:ilvl w:val="0"/>
          <w:numId w:val="10"/>
        </w:numPr>
        <w:tabs>
          <w:tab w:pos="827" w:val="left" w:leader="none"/>
        </w:tabs>
        <w:spacing w:line="240" w:lineRule="auto" w:before="0" w:after="0"/>
        <w:ind w:left="262" w:right="284" w:firstLine="0"/>
        <w:jc w:val="both"/>
        <w:rPr>
          <w:sz w:val="20"/>
        </w:rPr>
      </w:pPr>
      <w:r>
        <w:rPr>
          <w:sz w:val="20"/>
        </w:rPr>
        <w:t>Difundir</w:t>
      </w:r>
      <w:r>
        <w:rPr>
          <w:spacing w:val="-14"/>
          <w:sz w:val="20"/>
        </w:rPr>
        <w:t> </w:t>
      </w:r>
      <w:r>
        <w:rPr>
          <w:sz w:val="20"/>
        </w:rPr>
        <w:t>los</w:t>
      </w:r>
      <w:r>
        <w:rPr>
          <w:spacing w:val="-14"/>
          <w:sz w:val="20"/>
        </w:rPr>
        <w:t> </w:t>
      </w:r>
      <w:r>
        <w:rPr>
          <w:sz w:val="20"/>
        </w:rPr>
        <w:t>programas</w:t>
      </w:r>
      <w:r>
        <w:rPr>
          <w:spacing w:val="-12"/>
          <w:sz w:val="20"/>
        </w:rPr>
        <w:t> </w:t>
      </w:r>
      <w:r>
        <w:rPr>
          <w:sz w:val="20"/>
        </w:rPr>
        <w:t>estatales</w:t>
      </w:r>
      <w:r>
        <w:rPr>
          <w:spacing w:val="-12"/>
          <w:sz w:val="20"/>
        </w:rPr>
        <w:t> </w:t>
      </w:r>
      <w:r>
        <w:rPr>
          <w:sz w:val="20"/>
        </w:rPr>
        <w:t>y</w:t>
      </w:r>
      <w:r>
        <w:rPr>
          <w:spacing w:val="-14"/>
          <w:sz w:val="20"/>
        </w:rPr>
        <w:t> </w:t>
      </w:r>
      <w:r>
        <w:rPr>
          <w:sz w:val="20"/>
        </w:rPr>
        <w:t>municipales</w:t>
      </w:r>
      <w:r>
        <w:rPr>
          <w:spacing w:val="-12"/>
          <w:sz w:val="20"/>
        </w:rPr>
        <w:t> </w:t>
      </w:r>
      <w:r>
        <w:rPr>
          <w:sz w:val="20"/>
        </w:rPr>
        <w:t>de</w:t>
      </w:r>
      <w:r>
        <w:rPr>
          <w:spacing w:val="-14"/>
          <w:sz w:val="20"/>
        </w:rPr>
        <w:t> </w:t>
      </w:r>
      <w:r>
        <w:rPr>
          <w:sz w:val="20"/>
        </w:rPr>
        <w:t>ordenamiento</w:t>
      </w:r>
      <w:r>
        <w:rPr>
          <w:spacing w:val="-14"/>
          <w:sz w:val="20"/>
        </w:rPr>
        <w:t> </w:t>
      </w:r>
      <w:r>
        <w:rPr>
          <w:sz w:val="20"/>
        </w:rPr>
        <w:t>territorial</w:t>
      </w:r>
      <w:r>
        <w:rPr>
          <w:spacing w:val="-14"/>
          <w:sz w:val="20"/>
        </w:rPr>
        <w:t> </w:t>
      </w:r>
      <w:r>
        <w:rPr>
          <w:sz w:val="20"/>
        </w:rPr>
        <w:t>y</w:t>
      </w:r>
      <w:r>
        <w:rPr>
          <w:spacing w:val="-11"/>
          <w:sz w:val="20"/>
        </w:rPr>
        <w:t> </w:t>
      </w:r>
      <w:r>
        <w:rPr>
          <w:sz w:val="20"/>
        </w:rPr>
        <w:t>desarrollo</w:t>
      </w:r>
      <w:r>
        <w:rPr>
          <w:spacing w:val="-13"/>
          <w:sz w:val="20"/>
        </w:rPr>
        <w:t> </w:t>
      </w:r>
      <w:r>
        <w:rPr>
          <w:sz w:val="20"/>
        </w:rPr>
        <w:t>urbano, así como los de conurbación y desarrollo metropolitano, y facilitar su consulta pública;</w:t>
      </w:r>
    </w:p>
    <w:p>
      <w:pPr>
        <w:pStyle w:val="ListParagraph"/>
        <w:numPr>
          <w:ilvl w:val="0"/>
          <w:numId w:val="10"/>
        </w:numPr>
        <w:tabs>
          <w:tab w:pos="827" w:val="left" w:leader="none"/>
        </w:tabs>
        <w:spacing w:line="240" w:lineRule="auto" w:before="229" w:after="0"/>
        <w:ind w:left="262" w:right="279" w:firstLine="0"/>
        <w:jc w:val="both"/>
        <w:rPr>
          <w:sz w:val="20"/>
        </w:rPr>
      </w:pPr>
      <w:r>
        <w:rPr>
          <w:sz w:val="20"/>
        </w:rPr>
        <w:t>Gestionar la inscripción del Programa Estatal de Ordenamiento Territorial y de los demás programas</w:t>
      </w:r>
      <w:r>
        <w:rPr>
          <w:spacing w:val="-14"/>
          <w:sz w:val="20"/>
        </w:rPr>
        <w:t> </w:t>
      </w:r>
      <w:r>
        <w:rPr>
          <w:sz w:val="20"/>
        </w:rPr>
        <w:t>de</w:t>
      </w:r>
      <w:r>
        <w:rPr>
          <w:spacing w:val="-14"/>
          <w:sz w:val="20"/>
        </w:rPr>
        <w:t> </w:t>
      </w:r>
      <w:r>
        <w:rPr>
          <w:sz w:val="20"/>
        </w:rPr>
        <w:t>ordenamiento</w:t>
      </w:r>
      <w:r>
        <w:rPr>
          <w:spacing w:val="-14"/>
          <w:sz w:val="20"/>
        </w:rPr>
        <w:t> </w:t>
      </w:r>
      <w:r>
        <w:rPr>
          <w:sz w:val="20"/>
        </w:rPr>
        <w:t>territorial,</w:t>
      </w:r>
      <w:r>
        <w:rPr>
          <w:spacing w:val="-14"/>
          <w:sz w:val="20"/>
        </w:rPr>
        <w:t> </w:t>
      </w:r>
      <w:r>
        <w:rPr>
          <w:sz w:val="20"/>
        </w:rPr>
        <w:t>desarrollo</w:t>
      </w:r>
      <w:r>
        <w:rPr>
          <w:spacing w:val="-14"/>
          <w:sz w:val="20"/>
        </w:rPr>
        <w:t> </w:t>
      </w:r>
      <w:r>
        <w:rPr>
          <w:sz w:val="20"/>
        </w:rPr>
        <w:t>urbano</w:t>
      </w:r>
      <w:r>
        <w:rPr>
          <w:spacing w:val="-14"/>
          <w:sz w:val="20"/>
        </w:rPr>
        <w:t> </w:t>
      </w:r>
      <w:r>
        <w:rPr>
          <w:sz w:val="20"/>
        </w:rPr>
        <w:t>y</w:t>
      </w:r>
      <w:r>
        <w:rPr>
          <w:spacing w:val="-14"/>
          <w:sz w:val="20"/>
        </w:rPr>
        <w:t> </w:t>
      </w:r>
      <w:r>
        <w:rPr>
          <w:sz w:val="20"/>
        </w:rPr>
        <w:t>metropolitano;</w:t>
      </w:r>
      <w:r>
        <w:rPr>
          <w:spacing w:val="-14"/>
          <w:sz w:val="20"/>
        </w:rPr>
        <w:t> </w:t>
      </w:r>
      <w:r>
        <w:rPr>
          <w:sz w:val="20"/>
        </w:rPr>
        <w:t>y</w:t>
      </w:r>
      <w:r>
        <w:rPr>
          <w:spacing w:val="-14"/>
          <w:sz w:val="20"/>
        </w:rPr>
        <w:t> </w:t>
      </w:r>
      <w:r>
        <w:rPr>
          <w:sz w:val="20"/>
        </w:rPr>
        <w:t>de</w:t>
      </w:r>
      <w:r>
        <w:rPr>
          <w:spacing w:val="-13"/>
          <w:sz w:val="20"/>
        </w:rPr>
        <w:t> </w:t>
      </w:r>
      <w:r>
        <w:rPr>
          <w:sz w:val="20"/>
        </w:rPr>
        <w:t>las</w:t>
      </w:r>
      <w:r>
        <w:rPr>
          <w:spacing w:val="-14"/>
          <w:sz w:val="20"/>
        </w:rPr>
        <w:t> </w:t>
      </w:r>
      <w:r>
        <w:rPr>
          <w:sz w:val="20"/>
        </w:rPr>
        <w:t>declaratorias</w:t>
      </w:r>
      <w:r>
        <w:rPr>
          <w:spacing w:val="-14"/>
          <w:sz w:val="20"/>
        </w:rPr>
        <w:t> </w:t>
      </w:r>
      <w:r>
        <w:rPr>
          <w:sz w:val="20"/>
        </w:rPr>
        <w:t>que </w:t>
      </w:r>
      <w:r>
        <w:rPr>
          <w:spacing w:val="-2"/>
          <w:sz w:val="20"/>
        </w:rPr>
        <w:t>reconozcan</w:t>
      </w:r>
      <w:r>
        <w:rPr>
          <w:spacing w:val="-8"/>
          <w:sz w:val="20"/>
        </w:rPr>
        <w:t> </w:t>
      </w:r>
      <w:r>
        <w:rPr>
          <w:spacing w:val="-2"/>
          <w:sz w:val="20"/>
        </w:rPr>
        <w:t>la</w:t>
      </w:r>
      <w:r>
        <w:rPr>
          <w:spacing w:val="-8"/>
          <w:sz w:val="20"/>
        </w:rPr>
        <w:t> </w:t>
      </w:r>
      <w:r>
        <w:rPr>
          <w:spacing w:val="-2"/>
          <w:sz w:val="20"/>
        </w:rPr>
        <w:t>existencia</w:t>
      </w:r>
      <w:r>
        <w:rPr>
          <w:spacing w:val="-8"/>
          <w:sz w:val="20"/>
        </w:rPr>
        <w:t> </w:t>
      </w:r>
      <w:r>
        <w:rPr>
          <w:spacing w:val="-2"/>
          <w:sz w:val="20"/>
        </w:rPr>
        <w:t>de</w:t>
      </w:r>
      <w:r>
        <w:rPr>
          <w:spacing w:val="-8"/>
          <w:sz w:val="20"/>
        </w:rPr>
        <w:t> </w:t>
      </w:r>
      <w:r>
        <w:rPr>
          <w:spacing w:val="-2"/>
          <w:sz w:val="20"/>
        </w:rPr>
        <w:t>una</w:t>
      </w:r>
      <w:r>
        <w:rPr>
          <w:spacing w:val="-10"/>
          <w:sz w:val="20"/>
        </w:rPr>
        <w:t> </w:t>
      </w:r>
      <w:r>
        <w:rPr>
          <w:spacing w:val="-2"/>
          <w:sz w:val="20"/>
        </w:rPr>
        <w:t>zona</w:t>
      </w:r>
      <w:r>
        <w:rPr>
          <w:spacing w:val="-11"/>
          <w:sz w:val="20"/>
        </w:rPr>
        <w:t> </w:t>
      </w:r>
      <w:r>
        <w:rPr>
          <w:spacing w:val="-2"/>
          <w:sz w:val="20"/>
        </w:rPr>
        <w:t>conurbada;</w:t>
      </w:r>
      <w:r>
        <w:rPr>
          <w:spacing w:val="-8"/>
          <w:sz w:val="20"/>
        </w:rPr>
        <w:t> </w:t>
      </w:r>
      <w:r>
        <w:rPr>
          <w:spacing w:val="-2"/>
          <w:sz w:val="20"/>
        </w:rPr>
        <w:t>una</w:t>
      </w:r>
      <w:r>
        <w:rPr>
          <w:spacing w:val="-9"/>
          <w:sz w:val="20"/>
        </w:rPr>
        <w:t> </w:t>
      </w:r>
      <w:r>
        <w:rPr>
          <w:spacing w:val="-2"/>
          <w:sz w:val="20"/>
        </w:rPr>
        <w:t>vez</w:t>
      </w:r>
      <w:r>
        <w:rPr>
          <w:spacing w:val="-9"/>
          <w:sz w:val="20"/>
        </w:rPr>
        <w:t> </w:t>
      </w:r>
      <w:r>
        <w:rPr>
          <w:spacing w:val="-2"/>
          <w:sz w:val="20"/>
        </w:rPr>
        <w:t>publicadas por</w:t>
      </w:r>
      <w:r>
        <w:rPr>
          <w:spacing w:val="-7"/>
          <w:sz w:val="20"/>
        </w:rPr>
        <w:t> </w:t>
      </w:r>
      <w:r>
        <w:rPr>
          <w:spacing w:val="-2"/>
          <w:sz w:val="20"/>
        </w:rPr>
        <w:t>el</w:t>
      </w:r>
      <w:r>
        <w:rPr>
          <w:spacing w:val="-11"/>
          <w:sz w:val="20"/>
        </w:rPr>
        <w:t> </w:t>
      </w:r>
      <w:r>
        <w:rPr>
          <w:spacing w:val="-2"/>
          <w:sz w:val="20"/>
        </w:rPr>
        <w:t>Gobernador</w:t>
      </w:r>
      <w:r>
        <w:rPr>
          <w:spacing w:val="-7"/>
          <w:sz w:val="20"/>
        </w:rPr>
        <w:t> </w:t>
      </w:r>
      <w:r>
        <w:rPr>
          <w:spacing w:val="-2"/>
          <w:sz w:val="20"/>
        </w:rPr>
        <w:t>del</w:t>
      </w:r>
      <w:r>
        <w:rPr>
          <w:spacing w:val="-9"/>
          <w:sz w:val="20"/>
        </w:rPr>
        <w:t> </w:t>
      </w:r>
      <w:r>
        <w:rPr>
          <w:spacing w:val="-2"/>
          <w:sz w:val="20"/>
        </w:rPr>
        <w:t>Estado, </w:t>
      </w:r>
      <w:r>
        <w:rPr>
          <w:sz w:val="20"/>
        </w:rPr>
        <w:t>y</w:t>
      </w:r>
      <w:r>
        <w:rPr>
          <w:spacing w:val="-1"/>
          <w:sz w:val="20"/>
        </w:rPr>
        <w:t> </w:t>
      </w:r>
      <w:r>
        <w:rPr>
          <w:sz w:val="20"/>
        </w:rPr>
        <w:t>ordenado</w:t>
      </w:r>
      <w:r>
        <w:rPr>
          <w:spacing w:val="-2"/>
          <w:sz w:val="20"/>
        </w:rPr>
        <w:t> </w:t>
      </w:r>
      <w:r>
        <w:rPr>
          <w:sz w:val="20"/>
        </w:rPr>
        <w:t>su</w:t>
      </w:r>
      <w:r>
        <w:rPr>
          <w:spacing w:val="-2"/>
          <w:sz w:val="20"/>
        </w:rPr>
        <w:t> </w:t>
      </w:r>
      <w:r>
        <w:rPr>
          <w:sz w:val="20"/>
        </w:rPr>
        <w:t>registro, en el</w:t>
      </w:r>
      <w:r>
        <w:rPr>
          <w:spacing w:val="-3"/>
          <w:sz w:val="20"/>
        </w:rPr>
        <w:t> </w:t>
      </w:r>
      <w:r>
        <w:rPr>
          <w:sz w:val="20"/>
        </w:rPr>
        <w:t>Registro</w:t>
      </w:r>
      <w:r>
        <w:rPr>
          <w:spacing w:val="-2"/>
          <w:sz w:val="20"/>
        </w:rPr>
        <w:t> </w:t>
      </w:r>
      <w:r>
        <w:rPr>
          <w:sz w:val="20"/>
        </w:rPr>
        <w:t>Público</w:t>
      </w:r>
      <w:r>
        <w:rPr>
          <w:spacing w:val="-2"/>
          <w:sz w:val="20"/>
        </w:rPr>
        <w:t> </w:t>
      </w:r>
      <w:r>
        <w:rPr>
          <w:sz w:val="20"/>
        </w:rPr>
        <w:t>de</w:t>
      </w:r>
      <w:r>
        <w:rPr>
          <w:spacing w:val="-2"/>
          <w:sz w:val="20"/>
        </w:rPr>
        <w:t> </w:t>
      </w:r>
      <w:r>
        <w:rPr>
          <w:sz w:val="20"/>
        </w:rPr>
        <w:t>la Propiedad,</w:t>
      </w:r>
      <w:r>
        <w:rPr>
          <w:spacing w:val="-2"/>
          <w:sz w:val="20"/>
        </w:rPr>
        <w:t> </w:t>
      </w:r>
      <w:r>
        <w:rPr>
          <w:sz w:val="20"/>
        </w:rPr>
        <w:t>dependiente del</w:t>
      </w:r>
      <w:r>
        <w:rPr>
          <w:spacing w:val="-3"/>
          <w:sz w:val="20"/>
        </w:rPr>
        <w:t> </w:t>
      </w:r>
      <w:r>
        <w:rPr>
          <w:sz w:val="20"/>
        </w:rPr>
        <w:t>Instituto</w:t>
      </w:r>
      <w:r>
        <w:rPr>
          <w:spacing w:val="-2"/>
          <w:sz w:val="20"/>
        </w:rPr>
        <w:t> </w:t>
      </w:r>
      <w:r>
        <w:rPr>
          <w:sz w:val="20"/>
        </w:rPr>
        <w:t>Registral</w:t>
      </w:r>
      <w:r>
        <w:rPr>
          <w:spacing w:val="-3"/>
          <w:sz w:val="20"/>
        </w:rPr>
        <w:t> </w:t>
      </w:r>
      <w:r>
        <w:rPr>
          <w:sz w:val="20"/>
        </w:rPr>
        <w:t>y Catastral del Estado;</w:t>
      </w:r>
    </w:p>
    <w:p>
      <w:pPr>
        <w:pStyle w:val="BodyText"/>
      </w:pPr>
    </w:p>
    <w:p>
      <w:pPr>
        <w:pStyle w:val="ListParagraph"/>
        <w:numPr>
          <w:ilvl w:val="0"/>
          <w:numId w:val="10"/>
        </w:numPr>
        <w:tabs>
          <w:tab w:pos="827" w:val="left" w:leader="none"/>
        </w:tabs>
        <w:spacing w:line="240" w:lineRule="auto" w:before="0" w:after="0"/>
        <w:ind w:left="262" w:right="286" w:firstLine="0"/>
        <w:jc w:val="both"/>
        <w:rPr>
          <w:sz w:val="20"/>
        </w:rPr>
      </w:pPr>
      <w:r>
        <w:rPr>
          <w:sz w:val="20"/>
        </w:rPr>
        <w:t>Coordinar</w:t>
      </w:r>
      <w:r>
        <w:rPr>
          <w:spacing w:val="-10"/>
          <w:sz w:val="20"/>
        </w:rPr>
        <w:t> </w:t>
      </w:r>
      <w:r>
        <w:rPr>
          <w:sz w:val="20"/>
        </w:rPr>
        <w:t>con</w:t>
      </w:r>
      <w:r>
        <w:rPr>
          <w:spacing w:val="-9"/>
          <w:sz w:val="20"/>
        </w:rPr>
        <w:t> </w:t>
      </w:r>
      <w:r>
        <w:rPr>
          <w:sz w:val="20"/>
        </w:rPr>
        <w:t>los</w:t>
      </w:r>
      <w:r>
        <w:rPr>
          <w:spacing w:val="-10"/>
          <w:sz w:val="20"/>
        </w:rPr>
        <w:t> </w:t>
      </w:r>
      <w:r>
        <w:rPr>
          <w:sz w:val="20"/>
        </w:rPr>
        <w:t>ayuntamientos</w:t>
      </w:r>
      <w:r>
        <w:rPr>
          <w:spacing w:val="-8"/>
          <w:sz w:val="20"/>
        </w:rPr>
        <w:t> </w:t>
      </w:r>
      <w:r>
        <w:rPr>
          <w:sz w:val="20"/>
        </w:rPr>
        <w:t>involucrados,</w:t>
      </w:r>
      <w:r>
        <w:rPr>
          <w:spacing w:val="-10"/>
          <w:sz w:val="20"/>
        </w:rPr>
        <w:t> </w:t>
      </w:r>
      <w:r>
        <w:rPr>
          <w:sz w:val="20"/>
        </w:rPr>
        <w:t>la</w:t>
      </w:r>
      <w:r>
        <w:rPr>
          <w:spacing w:val="-10"/>
          <w:sz w:val="20"/>
        </w:rPr>
        <w:t> </w:t>
      </w:r>
      <w:r>
        <w:rPr>
          <w:sz w:val="20"/>
        </w:rPr>
        <w:t>elaboración,</w:t>
      </w:r>
      <w:r>
        <w:rPr>
          <w:spacing w:val="-9"/>
          <w:sz w:val="20"/>
        </w:rPr>
        <w:t> </w:t>
      </w:r>
      <w:r>
        <w:rPr>
          <w:sz w:val="20"/>
        </w:rPr>
        <w:t>ejecución,</w:t>
      </w:r>
      <w:r>
        <w:rPr>
          <w:spacing w:val="-9"/>
          <w:sz w:val="20"/>
        </w:rPr>
        <w:t> </w:t>
      </w:r>
      <w:r>
        <w:rPr>
          <w:sz w:val="20"/>
        </w:rPr>
        <w:t>control</w:t>
      </w:r>
      <w:r>
        <w:rPr>
          <w:spacing w:val="-9"/>
          <w:sz w:val="20"/>
        </w:rPr>
        <w:t> </w:t>
      </w:r>
      <w:r>
        <w:rPr>
          <w:sz w:val="20"/>
        </w:rPr>
        <w:t>y</w:t>
      </w:r>
      <w:r>
        <w:rPr>
          <w:spacing w:val="-10"/>
          <w:sz w:val="20"/>
        </w:rPr>
        <w:t> </w:t>
      </w:r>
      <w:r>
        <w:rPr>
          <w:sz w:val="20"/>
        </w:rPr>
        <w:t>evaluación de los Programas de Conurbación y Desarrollo Metropolitano dentro del Estado, en concordancia con la legislación aplicable;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0"/>
        </w:numPr>
        <w:tabs>
          <w:tab w:pos="688" w:val="left" w:leader="none"/>
        </w:tabs>
        <w:spacing w:line="240" w:lineRule="auto" w:before="0" w:after="0"/>
        <w:ind w:left="262" w:right="279" w:firstLine="0"/>
        <w:jc w:val="both"/>
        <w:rPr>
          <w:sz w:val="20"/>
        </w:rPr>
      </w:pPr>
      <w:r>
        <w:rPr>
          <w:sz w:val="20"/>
        </w:rPr>
        <w:t>Atender</w:t>
      </w:r>
      <w:r>
        <w:rPr>
          <w:spacing w:val="-9"/>
          <w:sz w:val="20"/>
        </w:rPr>
        <w:t> </w:t>
      </w:r>
      <w:r>
        <w:rPr>
          <w:sz w:val="20"/>
        </w:rPr>
        <w:t>las</w:t>
      </w:r>
      <w:r>
        <w:rPr>
          <w:spacing w:val="-11"/>
          <w:sz w:val="20"/>
        </w:rPr>
        <w:t> </w:t>
      </w:r>
      <w:r>
        <w:rPr>
          <w:sz w:val="20"/>
        </w:rPr>
        <w:t>consultas</w:t>
      </w:r>
      <w:r>
        <w:rPr>
          <w:spacing w:val="-12"/>
          <w:sz w:val="20"/>
        </w:rPr>
        <w:t> </w:t>
      </w:r>
      <w:r>
        <w:rPr>
          <w:sz w:val="20"/>
        </w:rPr>
        <w:t>que</w:t>
      </w:r>
      <w:r>
        <w:rPr>
          <w:spacing w:val="-13"/>
          <w:sz w:val="20"/>
        </w:rPr>
        <w:t> </w:t>
      </w:r>
      <w:r>
        <w:rPr>
          <w:sz w:val="20"/>
        </w:rPr>
        <w:t>realicen</w:t>
      </w:r>
      <w:r>
        <w:rPr>
          <w:spacing w:val="-10"/>
          <w:sz w:val="20"/>
        </w:rPr>
        <w:t> </w:t>
      </w:r>
      <w:r>
        <w:rPr>
          <w:sz w:val="20"/>
        </w:rPr>
        <w:t>los</w:t>
      </w:r>
      <w:r>
        <w:rPr>
          <w:spacing w:val="-11"/>
          <w:sz w:val="20"/>
        </w:rPr>
        <w:t> </w:t>
      </w:r>
      <w:r>
        <w:rPr>
          <w:sz w:val="20"/>
        </w:rPr>
        <w:t>municipios</w:t>
      </w:r>
      <w:r>
        <w:rPr>
          <w:spacing w:val="-11"/>
          <w:sz w:val="20"/>
        </w:rPr>
        <w:t> </w:t>
      </w:r>
      <w:r>
        <w:rPr>
          <w:sz w:val="20"/>
        </w:rPr>
        <w:t>sobre</w:t>
      </w:r>
      <w:r>
        <w:rPr>
          <w:spacing w:val="-12"/>
          <w:sz w:val="20"/>
        </w:rPr>
        <w:t> </w:t>
      </w:r>
      <w:r>
        <w:rPr>
          <w:sz w:val="20"/>
        </w:rPr>
        <w:t>la</w:t>
      </w:r>
      <w:r>
        <w:rPr>
          <w:spacing w:val="-10"/>
          <w:sz w:val="20"/>
        </w:rPr>
        <w:t> </w:t>
      </w:r>
      <w:r>
        <w:rPr>
          <w:sz w:val="20"/>
        </w:rPr>
        <w:t>apropiada</w:t>
      </w:r>
      <w:r>
        <w:rPr>
          <w:spacing w:val="-12"/>
          <w:sz w:val="20"/>
        </w:rPr>
        <w:t> </w:t>
      </w:r>
      <w:r>
        <w:rPr>
          <w:sz w:val="20"/>
        </w:rPr>
        <w:t>congruencia,</w:t>
      </w:r>
      <w:r>
        <w:rPr>
          <w:spacing w:val="-10"/>
          <w:sz w:val="20"/>
        </w:rPr>
        <w:t> </w:t>
      </w:r>
      <w:r>
        <w:rPr>
          <w:sz w:val="20"/>
        </w:rPr>
        <w:t>coordinación y</w:t>
      </w:r>
      <w:r>
        <w:rPr>
          <w:spacing w:val="-3"/>
          <w:sz w:val="20"/>
        </w:rPr>
        <w:t> </w:t>
      </w:r>
      <w:r>
        <w:rPr>
          <w:sz w:val="20"/>
        </w:rPr>
        <w:t>ajuste</w:t>
      </w:r>
      <w:r>
        <w:rPr>
          <w:spacing w:val="-5"/>
          <w:sz w:val="20"/>
        </w:rPr>
        <w:t> </w:t>
      </w:r>
      <w:r>
        <w:rPr>
          <w:sz w:val="20"/>
        </w:rPr>
        <w:t>de</w:t>
      </w:r>
      <w:r>
        <w:rPr>
          <w:spacing w:val="-2"/>
          <w:sz w:val="20"/>
        </w:rPr>
        <w:t> </w:t>
      </w:r>
      <w:r>
        <w:rPr>
          <w:sz w:val="20"/>
        </w:rPr>
        <w:t>sus</w:t>
      </w:r>
      <w:r>
        <w:rPr>
          <w:spacing w:val="-3"/>
          <w:sz w:val="20"/>
        </w:rPr>
        <w:t> </w:t>
      </w:r>
      <w:r>
        <w:rPr>
          <w:sz w:val="20"/>
        </w:rPr>
        <w:t>programas</w:t>
      </w:r>
      <w:r>
        <w:rPr>
          <w:spacing w:val="-1"/>
          <w:sz w:val="20"/>
        </w:rPr>
        <w:t> </w:t>
      </w:r>
      <w:r>
        <w:rPr>
          <w:sz w:val="20"/>
        </w:rPr>
        <w:t>municipales</w:t>
      </w:r>
      <w:r>
        <w:rPr>
          <w:spacing w:val="-1"/>
          <w:sz w:val="20"/>
        </w:rPr>
        <w:t> </w:t>
      </w:r>
      <w:r>
        <w:rPr>
          <w:sz w:val="20"/>
        </w:rPr>
        <w:t>de</w:t>
      </w:r>
      <w:r>
        <w:rPr>
          <w:spacing w:val="-3"/>
          <w:sz w:val="20"/>
        </w:rPr>
        <w:t> </w:t>
      </w:r>
      <w:r>
        <w:rPr>
          <w:sz w:val="20"/>
        </w:rPr>
        <w:t>ordenamiento</w:t>
      </w:r>
      <w:r>
        <w:rPr>
          <w:spacing w:val="-5"/>
          <w:sz w:val="20"/>
        </w:rPr>
        <w:t> </w:t>
      </w:r>
      <w:r>
        <w:rPr>
          <w:sz w:val="20"/>
        </w:rPr>
        <w:t>territorial</w:t>
      </w:r>
      <w:r>
        <w:rPr>
          <w:spacing w:val="-5"/>
          <w:sz w:val="20"/>
        </w:rPr>
        <w:t> </w:t>
      </w:r>
      <w:r>
        <w:rPr>
          <w:sz w:val="20"/>
        </w:rPr>
        <w:t>y</w:t>
      </w:r>
      <w:r>
        <w:rPr>
          <w:spacing w:val="-3"/>
          <w:sz w:val="20"/>
        </w:rPr>
        <w:t> </w:t>
      </w:r>
      <w:r>
        <w:rPr>
          <w:sz w:val="20"/>
        </w:rPr>
        <w:t>desarrollo</w:t>
      </w:r>
      <w:r>
        <w:rPr>
          <w:spacing w:val="-2"/>
          <w:sz w:val="20"/>
        </w:rPr>
        <w:t> </w:t>
      </w:r>
      <w:r>
        <w:rPr>
          <w:sz w:val="20"/>
        </w:rPr>
        <w:t>urbano,</w:t>
      </w:r>
      <w:r>
        <w:rPr>
          <w:spacing w:val="-2"/>
          <w:sz w:val="20"/>
        </w:rPr>
        <w:t> </w:t>
      </w:r>
      <w:r>
        <w:rPr>
          <w:sz w:val="20"/>
        </w:rPr>
        <w:t>así</w:t>
      </w:r>
      <w:r>
        <w:rPr>
          <w:spacing w:val="-4"/>
          <w:sz w:val="20"/>
        </w:rPr>
        <w:t> </w:t>
      </w:r>
      <w:r>
        <w:rPr>
          <w:sz w:val="20"/>
        </w:rPr>
        <w:t>como</w:t>
      </w:r>
      <w:r>
        <w:rPr>
          <w:spacing w:val="-4"/>
          <w:sz w:val="20"/>
        </w:rPr>
        <w:t> </w:t>
      </w:r>
      <w:r>
        <w:rPr>
          <w:sz w:val="20"/>
        </w:rPr>
        <w:t>de los de conurbación y desarrollo metropolitano, y previo a su publicación en el Periódico Oficial del Estado, dictaminar sobre la congruencia de los mismos en relación con el Programa Estatal de Ordenamiento</w:t>
      </w:r>
      <w:r>
        <w:rPr>
          <w:spacing w:val="-12"/>
          <w:sz w:val="20"/>
        </w:rPr>
        <w:t> </w:t>
      </w:r>
      <w:r>
        <w:rPr>
          <w:sz w:val="20"/>
        </w:rPr>
        <w:t>Territorial</w:t>
      </w:r>
      <w:r>
        <w:rPr>
          <w:spacing w:val="-11"/>
          <w:sz w:val="20"/>
        </w:rPr>
        <w:t> </w:t>
      </w:r>
      <w:r>
        <w:rPr>
          <w:sz w:val="20"/>
        </w:rPr>
        <w:t>y</w:t>
      </w:r>
      <w:r>
        <w:rPr>
          <w:spacing w:val="-9"/>
          <w:sz w:val="20"/>
        </w:rPr>
        <w:t> </w:t>
      </w:r>
      <w:r>
        <w:rPr>
          <w:sz w:val="20"/>
        </w:rPr>
        <w:t>Desarrollo</w:t>
      </w:r>
      <w:r>
        <w:rPr>
          <w:spacing w:val="-11"/>
          <w:sz w:val="20"/>
        </w:rPr>
        <w:t> </w:t>
      </w:r>
      <w:r>
        <w:rPr>
          <w:sz w:val="20"/>
        </w:rPr>
        <w:t>Urbano,</w:t>
      </w:r>
      <w:r>
        <w:rPr>
          <w:spacing w:val="-11"/>
          <w:sz w:val="20"/>
        </w:rPr>
        <w:t> </w:t>
      </w:r>
      <w:r>
        <w:rPr>
          <w:sz w:val="20"/>
        </w:rPr>
        <w:t>y</w:t>
      </w:r>
      <w:r>
        <w:rPr>
          <w:spacing w:val="-11"/>
          <w:sz w:val="20"/>
        </w:rPr>
        <w:t> </w:t>
      </w:r>
      <w:r>
        <w:rPr>
          <w:sz w:val="20"/>
        </w:rPr>
        <w:t>demás</w:t>
      </w:r>
      <w:r>
        <w:rPr>
          <w:spacing w:val="-11"/>
          <w:sz w:val="20"/>
        </w:rPr>
        <w:t> </w:t>
      </w:r>
      <w:r>
        <w:rPr>
          <w:sz w:val="20"/>
        </w:rPr>
        <w:t>programas,</w:t>
      </w:r>
      <w:r>
        <w:rPr>
          <w:spacing w:val="-11"/>
          <w:sz w:val="20"/>
        </w:rPr>
        <w:t> </w:t>
      </w:r>
      <w:r>
        <w:rPr>
          <w:sz w:val="20"/>
        </w:rPr>
        <w:t>incluyendo</w:t>
      </w:r>
      <w:r>
        <w:rPr>
          <w:spacing w:val="-10"/>
          <w:sz w:val="20"/>
        </w:rPr>
        <w:t> </w:t>
      </w:r>
      <w:r>
        <w:rPr>
          <w:sz w:val="20"/>
        </w:rPr>
        <w:t>los</w:t>
      </w:r>
      <w:r>
        <w:rPr>
          <w:spacing w:val="-11"/>
          <w:sz w:val="20"/>
        </w:rPr>
        <w:t> </w:t>
      </w:r>
      <w:r>
        <w:rPr>
          <w:sz w:val="20"/>
        </w:rPr>
        <w:t>de</w:t>
      </w:r>
      <w:r>
        <w:rPr>
          <w:spacing w:val="-12"/>
          <w:sz w:val="20"/>
        </w:rPr>
        <w:t> </w:t>
      </w:r>
      <w:r>
        <w:rPr>
          <w:sz w:val="20"/>
        </w:rPr>
        <w:t>conurbaciones o</w:t>
      </w:r>
      <w:r>
        <w:rPr>
          <w:spacing w:val="-8"/>
          <w:sz w:val="20"/>
        </w:rPr>
        <w:t> </w:t>
      </w:r>
      <w:r>
        <w:rPr>
          <w:sz w:val="20"/>
        </w:rPr>
        <w:t>zonas</w:t>
      </w:r>
      <w:r>
        <w:rPr>
          <w:spacing w:val="-7"/>
          <w:sz w:val="20"/>
        </w:rPr>
        <w:t> </w:t>
      </w:r>
      <w:r>
        <w:rPr>
          <w:sz w:val="20"/>
        </w:rPr>
        <w:t>metropolitanas</w:t>
      </w:r>
      <w:r>
        <w:rPr>
          <w:spacing w:val="-7"/>
          <w:sz w:val="20"/>
        </w:rPr>
        <w:t> </w:t>
      </w:r>
      <w:r>
        <w:rPr>
          <w:sz w:val="20"/>
        </w:rPr>
        <w:t>y</w:t>
      </w:r>
      <w:r>
        <w:rPr>
          <w:spacing w:val="-6"/>
          <w:sz w:val="20"/>
        </w:rPr>
        <w:t> </w:t>
      </w:r>
      <w:r>
        <w:rPr>
          <w:sz w:val="20"/>
        </w:rPr>
        <w:t>su</w:t>
      </w:r>
      <w:r>
        <w:rPr>
          <w:spacing w:val="-5"/>
          <w:sz w:val="20"/>
        </w:rPr>
        <w:t> </w:t>
      </w:r>
      <w:r>
        <w:rPr>
          <w:sz w:val="20"/>
        </w:rPr>
        <w:t>apego</w:t>
      </w:r>
      <w:r>
        <w:rPr>
          <w:spacing w:val="-8"/>
          <w:sz w:val="20"/>
        </w:rPr>
        <w:t> </w:t>
      </w:r>
      <w:r>
        <w:rPr>
          <w:sz w:val="20"/>
        </w:rPr>
        <w:t>a</w:t>
      </w:r>
      <w:r>
        <w:rPr>
          <w:spacing w:val="-5"/>
          <w:sz w:val="20"/>
        </w:rPr>
        <w:t> </w:t>
      </w:r>
      <w:r>
        <w:rPr>
          <w:sz w:val="20"/>
        </w:rPr>
        <w:t>la</w:t>
      </w:r>
      <w:r>
        <w:rPr>
          <w:spacing w:val="-8"/>
          <w:sz w:val="20"/>
        </w:rPr>
        <w:t> </w:t>
      </w:r>
      <w:r>
        <w:rPr>
          <w:sz w:val="20"/>
        </w:rPr>
        <w:t>metodología,</w:t>
      </w:r>
      <w:r>
        <w:rPr>
          <w:spacing w:val="-5"/>
          <w:sz w:val="20"/>
        </w:rPr>
        <w:t> </w:t>
      </w:r>
      <w:r>
        <w:rPr>
          <w:sz w:val="20"/>
        </w:rPr>
        <w:t>normas</w:t>
      </w:r>
      <w:r>
        <w:rPr>
          <w:spacing w:val="-6"/>
          <w:sz w:val="20"/>
        </w:rPr>
        <w:t> </w:t>
      </w:r>
      <w:r>
        <w:rPr>
          <w:sz w:val="20"/>
        </w:rPr>
        <w:t>y</w:t>
      </w:r>
      <w:r>
        <w:rPr>
          <w:spacing w:val="-6"/>
          <w:sz w:val="20"/>
        </w:rPr>
        <w:t> </w:t>
      </w:r>
      <w:r>
        <w:rPr>
          <w:sz w:val="20"/>
        </w:rPr>
        <w:t>procedimientos</w:t>
      </w:r>
      <w:r>
        <w:rPr>
          <w:spacing w:val="-7"/>
          <w:sz w:val="20"/>
        </w:rPr>
        <w:t> </w:t>
      </w:r>
      <w:r>
        <w:rPr>
          <w:sz w:val="20"/>
        </w:rPr>
        <w:t>establecidos</w:t>
      </w:r>
      <w:r>
        <w:rPr>
          <w:spacing w:val="-6"/>
          <w:sz w:val="20"/>
        </w:rPr>
        <w:t> </w:t>
      </w:r>
      <w:r>
        <w:rPr>
          <w:sz w:val="20"/>
        </w:rPr>
        <w:t>en</w:t>
      </w:r>
      <w:r>
        <w:rPr>
          <w:spacing w:val="-8"/>
          <w:sz w:val="20"/>
        </w:rPr>
        <w:t> </w:t>
      </w:r>
      <w:r>
        <w:rPr>
          <w:sz w:val="20"/>
        </w:rPr>
        <w:t>esta Ley para regular su elaboración y consulta, y proponer en su caso a los ayuntamientos las modificaciones que se requieran para su legalidad y uniformidad metodológica, a través de dictámenes de congruencia estatal;</w:t>
      </w:r>
    </w:p>
    <w:p>
      <w:pPr>
        <w:pStyle w:val="BodyText"/>
        <w:spacing w:before="2"/>
      </w:pPr>
    </w:p>
    <w:p>
      <w:pPr>
        <w:pStyle w:val="ListParagraph"/>
        <w:numPr>
          <w:ilvl w:val="0"/>
          <w:numId w:val="10"/>
        </w:numPr>
        <w:tabs>
          <w:tab w:pos="688" w:val="left" w:leader="none"/>
        </w:tabs>
        <w:spacing w:line="240" w:lineRule="auto" w:before="0" w:after="0"/>
        <w:ind w:left="262" w:right="285" w:firstLine="0"/>
        <w:jc w:val="both"/>
        <w:rPr>
          <w:sz w:val="20"/>
        </w:rPr>
      </w:pPr>
      <w:r>
        <w:rPr>
          <w:sz w:val="20"/>
        </w:rPr>
        <w:t>Participar, a solicitud de los municipios, en la elaboración, ejecución, control, evaluación y revisión</w:t>
      </w:r>
      <w:r>
        <w:rPr>
          <w:spacing w:val="-5"/>
          <w:sz w:val="20"/>
        </w:rPr>
        <w:t> </w:t>
      </w:r>
      <w:r>
        <w:rPr>
          <w:sz w:val="20"/>
        </w:rPr>
        <w:t>de</w:t>
      </w:r>
      <w:r>
        <w:rPr>
          <w:spacing w:val="-7"/>
          <w:sz w:val="20"/>
        </w:rPr>
        <w:t> </w:t>
      </w:r>
      <w:r>
        <w:rPr>
          <w:sz w:val="20"/>
        </w:rPr>
        <w:t>los</w:t>
      </w:r>
      <w:r>
        <w:rPr>
          <w:spacing w:val="-6"/>
          <w:sz w:val="20"/>
        </w:rPr>
        <w:t> </w:t>
      </w:r>
      <w:r>
        <w:rPr>
          <w:sz w:val="20"/>
        </w:rPr>
        <w:t>programas</w:t>
      </w:r>
      <w:r>
        <w:rPr>
          <w:spacing w:val="-5"/>
          <w:sz w:val="20"/>
        </w:rPr>
        <w:t> </w:t>
      </w:r>
      <w:r>
        <w:rPr>
          <w:sz w:val="20"/>
        </w:rPr>
        <w:t>parciales</w:t>
      </w:r>
      <w:r>
        <w:rPr>
          <w:spacing w:val="-6"/>
          <w:sz w:val="20"/>
        </w:rPr>
        <w:t> </w:t>
      </w:r>
      <w:r>
        <w:rPr>
          <w:sz w:val="20"/>
        </w:rPr>
        <w:t>de</w:t>
      </w:r>
      <w:r>
        <w:rPr>
          <w:spacing w:val="-7"/>
          <w:sz w:val="20"/>
        </w:rPr>
        <w:t> </w:t>
      </w:r>
      <w:r>
        <w:rPr>
          <w:sz w:val="20"/>
        </w:rPr>
        <w:t>desarrollo</w:t>
      </w:r>
      <w:r>
        <w:rPr>
          <w:spacing w:val="-7"/>
          <w:sz w:val="20"/>
        </w:rPr>
        <w:t> </w:t>
      </w:r>
      <w:r>
        <w:rPr>
          <w:sz w:val="20"/>
        </w:rPr>
        <w:t>urbano</w:t>
      </w:r>
      <w:r>
        <w:rPr>
          <w:spacing w:val="-7"/>
          <w:sz w:val="20"/>
        </w:rPr>
        <w:t> </w:t>
      </w:r>
      <w:r>
        <w:rPr>
          <w:sz w:val="20"/>
        </w:rPr>
        <w:t>que</w:t>
      </w:r>
      <w:r>
        <w:rPr>
          <w:spacing w:val="-7"/>
          <w:sz w:val="20"/>
        </w:rPr>
        <w:t> </w:t>
      </w:r>
      <w:r>
        <w:rPr>
          <w:sz w:val="20"/>
        </w:rPr>
        <w:t>se</w:t>
      </w:r>
      <w:r>
        <w:rPr>
          <w:spacing w:val="-7"/>
          <w:sz w:val="20"/>
        </w:rPr>
        <w:t> </w:t>
      </w:r>
      <w:r>
        <w:rPr>
          <w:sz w:val="20"/>
        </w:rPr>
        <w:t>expidan</w:t>
      </w:r>
      <w:r>
        <w:rPr>
          <w:spacing w:val="-7"/>
          <w:sz w:val="20"/>
        </w:rPr>
        <w:t> </w:t>
      </w:r>
      <w:r>
        <w:rPr>
          <w:sz w:val="20"/>
        </w:rPr>
        <w:t>para</w:t>
      </w:r>
      <w:r>
        <w:rPr>
          <w:spacing w:val="-4"/>
          <w:sz w:val="20"/>
        </w:rPr>
        <w:t> </w:t>
      </w:r>
      <w:r>
        <w:rPr>
          <w:sz w:val="20"/>
        </w:rPr>
        <w:t>la</w:t>
      </w:r>
      <w:r>
        <w:rPr>
          <w:spacing w:val="-4"/>
          <w:sz w:val="20"/>
        </w:rPr>
        <w:t> </w:t>
      </w:r>
      <w:r>
        <w:rPr>
          <w:sz w:val="20"/>
        </w:rPr>
        <w:t>utilización</w:t>
      </w:r>
      <w:r>
        <w:rPr>
          <w:spacing w:val="-7"/>
          <w:sz w:val="20"/>
        </w:rPr>
        <w:t> </w:t>
      </w:r>
      <w:r>
        <w:rPr>
          <w:sz w:val="20"/>
        </w:rPr>
        <w:t>parcial</w:t>
      </w:r>
      <w:r>
        <w:rPr>
          <w:spacing w:val="-8"/>
          <w:sz w:val="20"/>
        </w:rPr>
        <w:t> </w:t>
      </w:r>
      <w:r>
        <w:rPr>
          <w:sz w:val="20"/>
        </w:rPr>
        <w:t>o total de la reserva territorial;</w:t>
      </w:r>
    </w:p>
    <w:p>
      <w:pPr>
        <w:pStyle w:val="ListParagraph"/>
        <w:numPr>
          <w:ilvl w:val="0"/>
          <w:numId w:val="10"/>
        </w:numPr>
        <w:tabs>
          <w:tab w:pos="827" w:val="left" w:leader="none"/>
        </w:tabs>
        <w:spacing w:line="240" w:lineRule="auto" w:before="230" w:after="0"/>
        <w:ind w:left="262" w:right="288" w:firstLine="0"/>
        <w:jc w:val="both"/>
        <w:rPr>
          <w:sz w:val="20"/>
        </w:rPr>
      </w:pPr>
      <w:r>
        <w:rPr>
          <w:sz w:val="20"/>
        </w:rPr>
        <w:t>Apoyar a las autoridades municipales que lo soliciten, en la administración de la planeación del desarrollo urbano, o convenir con ellas la transferencia de facultades estatales en materia urbana, en términos de los convenios que para ese efecto se celebren;</w:t>
      </w:r>
    </w:p>
    <w:p>
      <w:pPr>
        <w:pStyle w:val="ListParagraph"/>
        <w:numPr>
          <w:ilvl w:val="0"/>
          <w:numId w:val="10"/>
        </w:numPr>
        <w:tabs>
          <w:tab w:pos="827" w:val="left" w:leader="none"/>
        </w:tabs>
        <w:spacing w:line="240" w:lineRule="auto" w:before="229" w:after="0"/>
        <w:ind w:left="262" w:right="286" w:firstLine="0"/>
        <w:jc w:val="both"/>
        <w:rPr>
          <w:sz w:val="20"/>
        </w:rPr>
      </w:pPr>
      <w:r>
        <w:rPr>
          <w:sz w:val="20"/>
        </w:rPr>
        <w:t>Colaborar en coordinación con los ayuntamientos, cuando así lo soliciten, en la formulación de las normas técnicas, manuales, instructivos y formatos para la mejor aplicación de las disposiciones de esta Ley y su reglamentación;</w:t>
      </w:r>
    </w:p>
    <w:p>
      <w:pPr>
        <w:pStyle w:val="ListParagraph"/>
        <w:numPr>
          <w:ilvl w:val="0"/>
          <w:numId w:val="10"/>
        </w:numPr>
        <w:tabs>
          <w:tab w:pos="828" w:val="left" w:leader="none"/>
        </w:tabs>
        <w:spacing w:line="240" w:lineRule="auto" w:before="229" w:after="0"/>
        <w:ind w:left="262" w:right="281" w:firstLine="0"/>
        <w:jc w:val="both"/>
        <w:rPr>
          <w:sz w:val="20"/>
        </w:rPr>
      </w:pPr>
      <w:r>
        <w:rPr>
          <w:sz w:val="20"/>
        </w:rPr>
        <w:t>Inscribir</w:t>
      </w:r>
      <w:r>
        <w:rPr>
          <w:spacing w:val="-6"/>
          <w:sz w:val="20"/>
        </w:rPr>
        <w:t> </w:t>
      </w:r>
      <w:r>
        <w:rPr>
          <w:sz w:val="20"/>
        </w:rPr>
        <w:t>en</w:t>
      </w:r>
      <w:r>
        <w:rPr>
          <w:spacing w:val="-7"/>
          <w:sz w:val="20"/>
        </w:rPr>
        <w:t> </w:t>
      </w:r>
      <w:r>
        <w:rPr>
          <w:sz w:val="20"/>
        </w:rPr>
        <w:t>el</w:t>
      </w:r>
      <w:r>
        <w:rPr>
          <w:spacing w:val="-8"/>
          <w:sz w:val="20"/>
        </w:rPr>
        <w:t> </w:t>
      </w:r>
      <w:r>
        <w:rPr>
          <w:sz w:val="20"/>
        </w:rPr>
        <w:t>Registro</w:t>
      </w:r>
      <w:r>
        <w:rPr>
          <w:spacing w:val="-7"/>
          <w:sz w:val="20"/>
        </w:rPr>
        <w:t> </w:t>
      </w:r>
      <w:r>
        <w:rPr>
          <w:sz w:val="20"/>
        </w:rPr>
        <w:t>Público</w:t>
      </w:r>
      <w:r>
        <w:rPr>
          <w:spacing w:val="-9"/>
          <w:sz w:val="20"/>
        </w:rPr>
        <w:t> </w:t>
      </w:r>
      <w:r>
        <w:rPr>
          <w:sz w:val="20"/>
        </w:rPr>
        <w:t>de</w:t>
      </w:r>
      <w:r>
        <w:rPr>
          <w:spacing w:val="-7"/>
          <w:sz w:val="20"/>
        </w:rPr>
        <w:t> </w:t>
      </w:r>
      <w:r>
        <w:rPr>
          <w:sz w:val="20"/>
        </w:rPr>
        <w:t>la</w:t>
      </w:r>
      <w:r>
        <w:rPr>
          <w:spacing w:val="-7"/>
          <w:sz w:val="20"/>
        </w:rPr>
        <w:t> </w:t>
      </w:r>
      <w:r>
        <w:rPr>
          <w:sz w:val="20"/>
        </w:rPr>
        <w:t>Propiedad,</w:t>
      </w:r>
      <w:r>
        <w:rPr>
          <w:spacing w:val="-9"/>
          <w:sz w:val="20"/>
        </w:rPr>
        <w:t> </w:t>
      </w:r>
      <w:r>
        <w:rPr>
          <w:sz w:val="20"/>
        </w:rPr>
        <w:t>dependiente</w:t>
      </w:r>
      <w:r>
        <w:rPr>
          <w:spacing w:val="-7"/>
          <w:sz w:val="20"/>
        </w:rPr>
        <w:t> </w:t>
      </w:r>
      <w:r>
        <w:rPr>
          <w:sz w:val="20"/>
        </w:rPr>
        <w:t>del</w:t>
      </w:r>
      <w:r>
        <w:rPr>
          <w:spacing w:val="-10"/>
          <w:sz w:val="20"/>
        </w:rPr>
        <w:t> </w:t>
      </w:r>
      <w:r>
        <w:rPr>
          <w:sz w:val="20"/>
        </w:rPr>
        <w:t>Instituto</w:t>
      </w:r>
      <w:r>
        <w:rPr>
          <w:spacing w:val="-7"/>
          <w:sz w:val="20"/>
        </w:rPr>
        <w:t> </w:t>
      </w:r>
      <w:r>
        <w:rPr>
          <w:sz w:val="20"/>
        </w:rPr>
        <w:t>Registral</w:t>
      </w:r>
      <w:r>
        <w:rPr>
          <w:spacing w:val="-8"/>
          <w:sz w:val="20"/>
        </w:rPr>
        <w:t> </w:t>
      </w:r>
      <w:r>
        <w:rPr>
          <w:sz w:val="20"/>
        </w:rPr>
        <w:t>y</w:t>
      </w:r>
      <w:r>
        <w:rPr>
          <w:spacing w:val="-8"/>
          <w:sz w:val="20"/>
        </w:rPr>
        <w:t> </w:t>
      </w:r>
      <w:r>
        <w:rPr>
          <w:sz w:val="20"/>
        </w:rPr>
        <w:t>Catastral del Estado, a petición de parte, los programas municipales en materia de Desarrollo Urbano, Reservas,</w:t>
      </w:r>
      <w:r>
        <w:rPr>
          <w:spacing w:val="-2"/>
          <w:sz w:val="20"/>
        </w:rPr>
        <w:t> </w:t>
      </w:r>
      <w:r>
        <w:rPr>
          <w:sz w:val="20"/>
        </w:rPr>
        <w:t>Usos</w:t>
      </w:r>
      <w:r>
        <w:rPr>
          <w:spacing w:val="-1"/>
          <w:sz w:val="20"/>
        </w:rPr>
        <w:t> </w:t>
      </w:r>
      <w:r>
        <w:rPr>
          <w:sz w:val="20"/>
        </w:rPr>
        <w:t>del</w:t>
      </w:r>
      <w:r>
        <w:rPr>
          <w:spacing w:val="-1"/>
          <w:sz w:val="20"/>
        </w:rPr>
        <w:t> </w:t>
      </w:r>
      <w:r>
        <w:rPr>
          <w:sz w:val="20"/>
        </w:rPr>
        <w:t>suelo</w:t>
      </w:r>
      <w:r>
        <w:rPr>
          <w:spacing w:val="-2"/>
          <w:sz w:val="20"/>
        </w:rPr>
        <w:t> </w:t>
      </w:r>
      <w:r>
        <w:rPr>
          <w:sz w:val="20"/>
        </w:rPr>
        <w:t>y Destinos de áreas</w:t>
      </w:r>
      <w:r>
        <w:rPr>
          <w:spacing w:val="-1"/>
          <w:sz w:val="20"/>
        </w:rPr>
        <w:t> </w:t>
      </w:r>
      <w:r>
        <w:rPr>
          <w:sz w:val="20"/>
        </w:rPr>
        <w:t>y predios,</w:t>
      </w:r>
      <w:r>
        <w:rPr>
          <w:spacing w:val="-2"/>
          <w:sz w:val="20"/>
        </w:rPr>
        <w:t> </w:t>
      </w:r>
      <w:r>
        <w:rPr>
          <w:sz w:val="20"/>
        </w:rPr>
        <w:t>cuando éstos</w:t>
      </w:r>
      <w:r>
        <w:rPr>
          <w:spacing w:val="-1"/>
          <w:sz w:val="20"/>
        </w:rPr>
        <w:t> </w:t>
      </w:r>
      <w:r>
        <w:rPr>
          <w:sz w:val="20"/>
        </w:rPr>
        <w:t>tengan</w:t>
      </w:r>
      <w:r>
        <w:rPr>
          <w:spacing w:val="-2"/>
          <w:sz w:val="20"/>
        </w:rPr>
        <w:t> </w:t>
      </w:r>
      <w:r>
        <w:rPr>
          <w:sz w:val="20"/>
        </w:rPr>
        <w:t>congruencia y</w:t>
      </w:r>
      <w:r>
        <w:rPr>
          <w:spacing w:val="-1"/>
          <w:sz w:val="20"/>
        </w:rPr>
        <w:t> </w:t>
      </w:r>
      <w:r>
        <w:rPr>
          <w:sz w:val="20"/>
        </w:rPr>
        <w:t>estén ajustados con la planeación estatal y federal;</w:t>
      </w:r>
    </w:p>
    <w:p>
      <w:pPr>
        <w:pStyle w:val="BodyText"/>
        <w:spacing w:before="2"/>
      </w:pPr>
    </w:p>
    <w:p>
      <w:pPr>
        <w:pStyle w:val="ListParagraph"/>
        <w:numPr>
          <w:ilvl w:val="0"/>
          <w:numId w:val="10"/>
        </w:numPr>
        <w:tabs>
          <w:tab w:pos="743" w:val="left" w:leader="none"/>
        </w:tabs>
        <w:spacing w:line="240" w:lineRule="auto" w:before="1" w:after="0"/>
        <w:ind w:left="262" w:right="284" w:firstLine="0"/>
        <w:jc w:val="both"/>
        <w:rPr>
          <w:sz w:val="20"/>
        </w:rPr>
      </w:pPr>
      <w:r>
        <w:rPr>
          <w:sz w:val="20"/>
        </w:rPr>
        <w:t>Convenir</w:t>
      </w:r>
      <w:r>
        <w:rPr>
          <w:spacing w:val="-14"/>
          <w:sz w:val="20"/>
        </w:rPr>
        <w:t> </w:t>
      </w:r>
      <w:r>
        <w:rPr>
          <w:sz w:val="20"/>
        </w:rPr>
        <w:t>con</w:t>
      </w:r>
      <w:r>
        <w:rPr>
          <w:spacing w:val="-14"/>
          <w:sz w:val="20"/>
        </w:rPr>
        <w:t> </w:t>
      </w:r>
      <w:r>
        <w:rPr>
          <w:sz w:val="20"/>
        </w:rPr>
        <w:t>los</w:t>
      </w:r>
      <w:r>
        <w:rPr>
          <w:spacing w:val="-13"/>
          <w:sz w:val="20"/>
        </w:rPr>
        <w:t> </w:t>
      </w:r>
      <w:r>
        <w:rPr>
          <w:sz w:val="20"/>
        </w:rPr>
        <w:t>sectores</w:t>
      </w:r>
      <w:r>
        <w:rPr>
          <w:spacing w:val="-14"/>
          <w:sz w:val="20"/>
        </w:rPr>
        <w:t> </w:t>
      </w:r>
      <w:r>
        <w:rPr>
          <w:sz w:val="20"/>
        </w:rPr>
        <w:t>social</w:t>
      </w:r>
      <w:r>
        <w:rPr>
          <w:spacing w:val="-14"/>
          <w:sz w:val="20"/>
        </w:rPr>
        <w:t> </w:t>
      </w:r>
      <w:r>
        <w:rPr>
          <w:sz w:val="20"/>
        </w:rPr>
        <w:t>y</w:t>
      </w:r>
      <w:r>
        <w:rPr>
          <w:spacing w:val="-11"/>
          <w:sz w:val="20"/>
        </w:rPr>
        <w:t> </w:t>
      </w:r>
      <w:r>
        <w:rPr>
          <w:sz w:val="20"/>
        </w:rPr>
        <w:t>privado</w:t>
      </w:r>
      <w:r>
        <w:rPr>
          <w:spacing w:val="-14"/>
          <w:sz w:val="20"/>
        </w:rPr>
        <w:t> </w:t>
      </w:r>
      <w:r>
        <w:rPr>
          <w:sz w:val="20"/>
        </w:rPr>
        <w:t>la</w:t>
      </w:r>
      <w:r>
        <w:rPr>
          <w:spacing w:val="-14"/>
          <w:sz w:val="20"/>
        </w:rPr>
        <w:t> </w:t>
      </w:r>
      <w:r>
        <w:rPr>
          <w:sz w:val="20"/>
        </w:rPr>
        <w:t>realización</w:t>
      </w:r>
      <w:r>
        <w:rPr>
          <w:spacing w:val="-14"/>
          <w:sz w:val="20"/>
        </w:rPr>
        <w:t> </w:t>
      </w:r>
      <w:r>
        <w:rPr>
          <w:sz w:val="20"/>
        </w:rPr>
        <w:t>de</w:t>
      </w:r>
      <w:r>
        <w:rPr>
          <w:spacing w:val="-12"/>
          <w:sz w:val="20"/>
        </w:rPr>
        <w:t> </w:t>
      </w:r>
      <w:r>
        <w:rPr>
          <w:sz w:val="20"/>
        </w:rPr>
        <w:t>acciones</w:t>
      </w:r>
      <w:r>
        <w:rPr>
          <w:spacing w:val="-14"/>
          <w:sz w:val="20"/>
        </w:rPr>
        <w:t> </w:t>
      </w:r>
      <w:r>
        <w:rPr>
          <w:sz w:val="20"/>
        </w:rPr>
        <w:t>e</w:t>
      </w:r>
      <w:r>
        <w:rPr>
          <w:spacing w:val="-12"/>
          <w:sz w:val="20"/>
        </w:rPr>
        <w:t> </w:t>
      </w:r>
      <w:r>
        <w:rPr>
          <w:sz w:val="20"/>
        </w:rPr>
        <w:t>inversiones</w:t>
      </w:r>
      <w:r>
        <w:rPr>
          <w:spacing w:val="-11"/>
          <w:sz w:val="20"/>
        </w:rPr>
        <w:t> </w:t>
      </w:r>
      <w:r>
        <w:rPr>
          <w:sz w:val="20"/>
        </w:rPr>
        <w:t>concertadas para</w:t>
      </w:r>
      <w:r>
        <w:rPr>
          <w:spacing w:val="-1"/>
          <w:sz w:val="20"/>
        </w:rPr>
        <w:t> </w:t>
      </w:r>
      <w:r>
        <w:rPr>
          <w:sz w:val="20"/>
        </w:rPr>
        <w:t>el</w:t>
      </w:r>
      <w:r>
        <w:rPr>
          <w:spacing w:val="-2"/>
          <w:sz w:val="20"/>
        </w:rPr>
        <w:t> </w:t>
      </w:r>
      <w:r>
        <w:rPr>
          <w:sz w:val="20"/>
        </w:rPr>
        <w:t>desarrollo</w:t>
      </w:r>
      <w:r>
        <w:rPr>
          <w:spacing w:val="-3"/>
          <w:sz w:val="20"/>
        </w:rPr>
        <w:t> </w:t>
      </w:r>
      <w:r>
        <w:rPr>
          <w:sz w:val="20"/>
        </w:rPr>
        <w:t>regional, desarrollo</w:t>
      </w:r>
      <w:r>
        <w:rPr>
          <w:spacing w:val="-1"/>
          <w:sz w:val="20"/>
        </w:rPr>
        <w:t> </w:t>
      </w:r>
      <w:r>
        <w:rPr>
          <w:sz w:val="20"/>
        </w:rPr>
        <w:t>urbano</w:t>
      </w:r>
      <w:r>
        <w:rPr>
          <w:spacing w:val="-4"/>
          <w:sz w:val="20"/>
        </w:rPr>
        <w:t> </w:t>
      </w:r>
      <w:r>
        <w:rPr>
          <w:sz w:val="20"/>
        </w:rPr>
        <w:t>y desarrollo</w:t>
      </w:r>
      <w:r>
        <w:rPr>
          <w:spacing w:val="-1"/>
          <w:sz w:val="20"/>
        </w:rPr>
        <w:t> </w:t>
      </w:r>
      <w:r>
        <w:rPr>
          <w:sz w:val="20"/>
        </w:rPr>
        <w:t>metropolitano</w:t>
      </w:r>
      <w:r>
        <w:rPr>
          <w:spacing w:val="-4"/>
          <w:sz w:val="20"/>
        </w:rPr>
        <w:t> </w:t>
      </w:r>
      <w:r>
        <w:rPr>
          <w:sz w:val="20"/>
        </w:rPr>
        <w:t>sustentables,</w:t>
      </w:r>
      <w:r>
        <w:rPr>
          <w:spacing w:val="-3"/>
          <w:sz w:val="20"/>
        </w:rPr>
        <w:t> </w:t>
      </w:r>
      <w:r>
        <w:rPr>
          <w:sz w:val="20"/>
        </w:rPr>
        <w:t>atendiendo a los principios de esta Ley y a lo establecido en las leyes en la materia;</w:t>
      </w:r>
    </w:p>
    <w:p>
      <w:pPr>
        <w:pStyle w:val="ListParagraph"/>
        <w:numPr>
          <w:ilvl w:val="0"/>
          <w:numId w:val="10"/>
        </w:numPr>
        <w:tabs>
          <w:tab w:pos="827" w:val="left" w:leader="none"/>
        </w:tabs>
        <w:spacing w:line="240" w:lineRule="auto" w:before="229" w:after="0"/>
        <w:ind w:left="262" w:right="286" w:firstLine="0"/>
        <w:jc w:val="both"/>
        <w:rPr>
          <w:sz w:val="20"/>
        </w:rPr>
      </w:pPr>
      <w:r>
        <w:rPr>
          <w:sz w:val="20"/>
        </w:rPr>
        <w:t>Evaluar y dar seguimiento conforme a la normatividad respectiva, el impacto urbano y territorial de las obras o proyectos que generen efectos significativos en el territorio; las cuales deberán estar incluidas en los programas de Desarrollo Urbano;</w:t>
      </w:r>
    </w:p>
    <w:p>
      <w:pPr>
        <w:pStyle w:val="ListParagraph"/>
        <w:numPr>
          <w:ilvl w:val="0"/>
          <w:numId w:val="10"/>
        </w:numPr>
        <w:tabs>
          <w:tab w:pos="826" w:val="left" w:leader="none"/>
        </w:tabs>
        <w:spacing w:line="240" w:lineRule="auto" w:before="229" w:after="0"/>
        <w:ind w:left="262" w:right="279" w:firstLine="0"/>
        <w:jc w:val="both"/>
        <w:rPr>
          <w:sz w:val="20"/>
        </w:rPr>
      </w:pPr>
      <w:r>
        <w:rPr>
          <w:sz w:val="20"/>
        </w:rPr>
        <w:t>Integrar y establecer el Sistema Estatal de Suelo y Reservas Territoriales, de acuerdo a lo dispuesto</w:t>
      </w:r>
      <w:r>
        <w:rPr>
          <w:spacing w:val="-12"/>
          <w:sz w:val="20"/>
        </w:rPr>
        <w:t> </w:t>
      </w:r>
      <w:r>
        <w:rPr>
          <w:sz w:val="20"/>
        </w:rPr>
        <w:t>en</w:t>
      </w:r>
      <w:r>
        <w:rPr>
          <w:spacing w:val="-12"/>
          <w:sz w:val="20"/>
        </w:rPr>
        <w:t> </w:t>
      </w:r>
      <w:r>
        <w:rPr>
          <w:sz w:val="20"/>
        </w:rPr>
        <w:t>el</w:t>
      </w:r>
      <w:r>
        <w:rPr>
          <w:spacing w:val="-13"/>
          <w:sz w:val="20"/>
        </w:rPr>
        <w:t> </w:t>
      </w:r>
      <w:r>
        <w:rPr>
          <w:sz w:val="20"/>
        </w:rPr>
        <w:t>artículo</w:t>
      </w:r>
      <w:r>
        <w:rPr>
          <w:spacing w:val="-11"/>
          <w:sz w:val="20"/>
        </w:rPr>
        <w:t> </w:t>
      </w:r>
      <w:r>
        <w:rPr>
          <w:sz w:val="20"/>
        </w:rPr>
        <w:t>193</w:t>
      </w:r>
      <w:r>
        <w:rPr>
          <w:spacing w:val="-12"/>
          <w:sz w:val="20"/>
        </w:rPr>
        <w:t> </w:t>
      </w:r>
      <w:r>
        <w:rPr>
          <w:sz w:val="20"/>
        </w:rPr>
        <w:t>de</w:t>
      </w:r>
      <w:r>
        <w:rPr>
          <w:spacing w:val="-12"/>
          <w:sz w:val="20"/>
        </w:rPr>
        <w:t> </w:t>
      </w:r>
      <w:r>
        <w:rPr>
          <w:sz w:val="20"/>
        </w:rPr>
        <w:t>esta</w:t>
      </w:r>
      <w:r>
        <w:rPr>
          <w:spacing w:val="-12"/>
          <w:sz w:val="20"/>
        </w:rPr>
        <w:t> </w:t>
      </w:r>
      <w:r>
        <w:rPr>
          <w:sz w:val="20"/>
        </w:rPr>
        <w:t>Ley,</w:t>
      </w:r>
      <w:r>
        <w:rPr>
          <w:spacing w:val="-11"/>
          <w:sz w:val="20"/>
        </w:rPr>
        <w:t> </w:t>
      </w:r>
      <w:r>
        <w:rPr>
          <w:sz w:val="20"/>
        </w:rPr>
        <w:t>para</w:t>
      </w:r>
      <w:r>
        <w:rPr>
          <w:spacing w:val="-12"/>
          <w:sz w:val="20"/>
        </w:rPr>
        <w:t> </w:t>
      </w:r>
      <w:r>
        <w:rPr>
          <w:sz w:val="20"/>
        </w:rPr>
        <w:t>la</w:t>
      </w:r>
      <w:r>
        <w:rPr>
          <w:spacing w:val="-13"/>
          <w:sz w:val="20"/>
        </w:rPr>
        <w:t> </w:t>
      </w:r>
      <w:r>
        <w:rPr>
          <w:sz w:val="20"/>
        </w:rPr>
        <w:t>programación</w:t>
      </w:r>
      <w:r>
        <w:rPr>
          <w:spacing w:val="-13"/>
          <w:sz w:val="20"/>
        </w:rPr>
        <w:t> </w:t>
      </w:r>
      <w:r>
        <w:rPr>
          <w:sz w:val="20"/>
        </w:rPr>
        <w:t>de</w:t>
      </w:r>
      <w:r>
        <w:rPr>
          <w:spacing w:val="-11"/>
          <w:sz w:val="20"/>
        </w:rPr>
        <w:t> </w:t>
      </w:r>
      <w:r>
        <w:rPr>
          <w:sz w:val="20"/>
        </w:rPr>
        <w:t>acciones,</w:t>
      </w:r>
      <w:r>
        <w:rPr>
          <w:spacing w:val="-13"/>
          <w:sz w:val="20"/>
        </w:rPr>
        <w:t> </w:t>
      </w:r>
      <w:r>
        <w:rPr>
          <w:sz w:val="20"/>
        </w:rPr>
        <w:t>obras</w:t>
      </w:r>
      <w:r>
        <w:rPr>
          <w:spacing w:val="-10"/>
          <w:sz w:val="20"/>
        </w:rPr>
        <w:t> </w:t>
      </w:r>
      <w:r>
        <w:rPr>
          <w:sz w:val="20"/>
        </w:rPr>
        <w:t>e</w:t>
      </w:r>
      <w:r>
        <w:rPr>
          <w:spacing w:val="-13"/>
          <w:sz w:val="20"/>
        </w:rPr>
        <w:t> </w:t>
      </w:r>
      <w:r>
        <w:rPr>
          <w:sz w:val="20"/>
        </w:rPr>
        <w:t>inversiones</w:t>
      </w:r>
      <w:r>
        <w:rPr>
          <w:spacing w:val="-13"/>
          <w:sz w:val="20"/>
        </w:rPr>
        <w:t> </w:t>
      </w:r>
      <w:r>
        <w:rPr>
          <w:sz w:val="20"/>
        </w:rPr>
        <w:t>para la dotación de infraestructura y equipamiento urbano, así como para la protección del patrimonio cultural y natural en la Entidad en coordinación con los ayuntamientos y con la participación de la sociedad civil;</w:t>
      </w:r>
    </w:p>
    <w:p>
      <w:pPr>
        <w:pStyle w:val="BodyText"/>
        <w:spacing w:before="1"/>
      </w:pPr>
    </w:p>
    <w:p>
      <w:pPr>
        <w:pStyle w:val="ListParagraph"/>
        <w:numPr>
          <w:ilvl w:val="0"/>
          <w:numId w:val="10"/>
        </w:numPr>
        <w:tabs>
          <w:tab w:pos="826" w:val="left" w:leader="none"/>
        </w:tabs>
        <w:spacing w:line="240" w:lineRule="auto" w:before="0" w:after="0"/>
        <w:ind w:left="262" w:right="279" w:firstLine="0"/>
        <w:jc w:val="both"/>
        <w:rPr>
          <w:sz w:val="20"/>
        </w:rPr>
      </w:pPr>
      <w:r>
        <w:rPr>
          <w:sz w:val="20"/>
        </w:rPr>
        <w:t>Elaborar, apoyar y ejecutar programas que satisfagan las necesidades de suelo para el desarrollo urbano y la vivienda, en coordinación con las dependencias y entidades de la Administración</w:t>
      </w:r>
      <w:r>
        <w:rPr>
          <w:spacing w:val="-12"/>
          <w:sz w:val="20"/>
        </w:rPr>
        <w:t> </w:t>
      </w:r>
      <w:r>
        <w:rPr>
          <w:sz w:val="20"/>
        </w:rPr>
        <w:t>Pública</w:t>
      </w:r>
      <w:r>
        <w:rPr>
          <w:spacing w:val="-12"/>
          <w:sz w:val="20"/>
        </w:rPr>
        <w:t> </w:t>
      </w:r>
      <w:r>
        <w:rPr>
          <w:sz w:val="20"/>
        </w:rPr>
        <w:t>del</w:t>
      </w:r>
      <w:r>
        <w:rPr>
          <w:spacing w:val="-11"/>
          <w:sz w:val="20"/>
        </w:rPr>
        <w:t> </w:t>
      </w:r>
      <w:r>
        <w:rPr>
          <w:sz w:val="20"/>
        </w:rPr>
        <w:t>Estado</w:t>
      </w:r>
      <w:r>
        <w:rPr>
          <w:spacing w:val="-12"/>
          <w:sz w:val="20"/>
        </w:rPr>
        <w:t> </w:t>
      </w:r>
      <w:r>
        <w:rPr>
          <w:sz w:val="20"/>
        </w:rPr>
        <w:t>que</w:t>
      </w:r>
      <w:r>
        <w:rPr>
          <w:spacing w:val="-13"/>
          <w:sz w:val="20"/>
        </w:rPr>
        <w:t> </w:t>
      </w:r>
      <w:r>
        <w:rPr>
          <w:sz w:val="20"/>
        </w:rPr>
        <w:t>correspondan</w:t>
      </w:r>
      <w:r>
        <w:rPr>
          <w:spacing w:val="-12"/>
          <w:sz w:val="20"/>
        </w:rPr>
        <w:t> </w:t>
      </w:r>
      <w:r>
        <w:rPr>
          <w:sz w:val="20"/>
        </w:rPr>
        <w:t>y</w:t>
      </w:r>
      <w:r>
        <w:rPr>
          <w:spacing w:val="-11"/>
          <w:sz w:val="20"/>
        </w:rPr>
        <w:t> </w:t>
      </w:r>
      <w:r>
        <w:rPr>
          <w:sz w:val="20"/>
        </w:rPr>
        <w:t>los</w:t>
      </w:r>
      <w:r>
        <w:rPr>
          <w:spacing w:val="-11"/>
          <w:sz w:val="20"/>
        </w:rPr>
        <w:t> </w:t>
      </w:r>
      <w:r>
        <w:rPr>
          <w:sz w:val="20"/>
        </w:rPr>
        <w:t>ayuntamientos,</w:t>
      </w:r>
      <w:r>
        <w:rPr>
          <w:spacing w:val="-12"/>
          <w:sz w:val="20"/>
        </w:rPr>
        <w:t> </w:t>
      </w:r>
      <w:r>
        <w:rPr>
          <w:sz w:val="20"/>
        </w:rPr>
        <w:t>con</w:t>
      </w:r>
      <w:r>
        <w:rPr>
          <w:spacing w:val="-13"/>
          <w:sz w:val="20"/>
        </w:rPr>
        <w:t> </w:t>
      </w:r>
      <w:r>
        <w:rPr>
          <w:sz w:val="20"/>
        </w:rPr>
        <w:t>la</w:t>
      </w:r>
      <w:r>
        <w:rPr>
          <w:spacing w:val="-12"/>
          <w:sz w:val="20"/>
        </w:rPr>
        <w:t> </w:t>
      </w:r>
      <w:r>
        <w:rPr>
          <w:sz w:val="20"/>
        </w:rPr>
        <w:t>participación</w:t>
      </w:r>
      <w:r>
        <w:rPr>
          <w:spacing w:val="-12"/>
          <w:sz w:val="20"/>
        </w:rPr>
        <w:t> </w:t>
      </w:r>
      <w:r>
        <w:rPr>
          <w:sz w:val="20"/>
        </w:rPr>
        <w:t>de</w:t>
      </w:r>
      <w:r>
        <w:rPr>
          <w:spacing w:val="-13"/>
          <w:sz w:val="20"/>
        </w:rPr>
        <w:t> </w:t>
      </w:r>
      <w:r>
        <w:rPr>
          <w:sz w:val="20"/>
        </w:rPr>
        <w:t>los sectores social y privado;</w:t>
      </w:r>
    </w:p>
    <w:p>
      <w:pPr>
        <w:pStyle w:val="ListParagraph"/>
        <w:numPr>
          <w:ilvl w:val="0"/>
          <w:numId w:val="10"/>
        </w:numPr>
        <w:tabs>
          <w:tab w:pos="828" w:val="left" w:leader="none"/>
        </w:tabs>
        <w:spacing w:line="240" w:lineRule="auto" w:before="230" w:after="0"/>
        <w:ind w:left="262" w:right="281" w:firstLine="0"/>
        <w:jc w:val="both"/>
        <w:rPr>
          <w:sz w:val="20"/>
        </w:rPr>
      </w:pPr>
      <w:r>
        <w:rPr>
          <w:sz w:val="20"/>
        </w:rPr>
        <w:t>Gestionar o pronunciarse sobre el ejercicio del derecho de preferencia que corresponde al Gobierno del Estado, para la adquisición de predios ejidales, comunales o privados comprendidos en</w:t>
      </w:r>
      <w:r>
        <w:rPr>
          <w:spacing w:val="-9"/>
          <w:sz w:val="20"/>
        </w:rPr>
        <w:t> </w:t>
      </w:r>
      <w:r>
        <w:rPr>
          <w:sz w:val="20"/>
        </w:rPr>
        <w:t>las</w:t>
      </w:r>
      <w:r>
        <w:rPr>
          <w:spacing w:val="-10"/>
          <w:sz w:val="20"/>
        </w:rPr>
        <w:t> </w:t>
      </w:r>
      <w:r>
        <w:rPr>
          <w:sz w:val="20"/>
        </w:rPr>
        <w:t>zonas</w:t>
      </w:r>
      <w:r>
        <w:rPr>
          <w:spacing w:val="-8"/>
          <w:sz w:val="20"/>
        </w:rPr>
        <w:t> </w:t>
      </w:r>
      <w:r>
        <w:rPr>
          <w:sz w:val="20"/>
        </w:rPr>
        <w:t>de</w:t>
      </w:r>
      <w:r>
        <w:rPr>
          <w:spacing w:val="-10"/>
          <w:sz w:val="20"/>
        </w:rPr>
        <w:t> </w:t>
      </w:r>
      <w:r>
        <w:rPr>
          <w:sz w:val="20"/>
        </w:rPr>
        <w:t>reserva</w:t>
      </w:r>
      <w:r>
        <w:rPr>
          <w:spacing w:val="-11"/>
          <w:sz w:val="20"/>
        </w:rPr>
        <w:t> </w:t>
      </w:r>
      <w:r>
        <w:rPr>
          <w:sz w:val="20"/>
        </w:rPr>
        <w:t>señaladas</w:t>
      </w:r>
      <w:r>
        <w:rPr>
          <w:spacing w:val="-8"/>
          <w:sz w:val="20"/>
        </w:rPr>
        <w:t> </w:t>
      </w:r>
      <w:r>
        <w:rPr>
          <w:sz w:val="20"/>
        </w:rPr>
        <w:t>en</w:t>
      </w:r>
      <w:r>
        <w:rPr>
          <w:spacing w:val="-10"/>
          <w:sz w:val="20"/>
        </w:rPr>
        <w:t> </w:t>
      </w:r>
      <w:r>
        <w:rPr>
          <w:sz w:val="20"/>
        </w:rPr>
        <w:t>los</w:t>
      </w:r>
      <w:r>
        <w:rPr>
          <w:spacing w:val="-10"/>
          <w:sz w:val="20"/>
        </w:rPr>
        <w:t> </w:t>
      </w:r>
      <w:r>
        <w:rPr>
          <w:sz w:val="20"/>
        </w:rPr>
        <w:t>programas</w:t>
      </w:r>
      <w:r>
        <w:rPr>
          <w:spacing w:val="-10"/>
          <w:sz w:val="20"/>
        </w:rPr>
        <w:t> </w:t>
      </w:r>
      <w:r>
        <w:rPr>
          <w:sz w:val="20"/>
        </w:rPr>
        <w:t>de</w:t>
      </w:r>
      <w:r>
        <w:rPr>
          <w:spacing w:val="-11"/>
          <w:sz w:val="20"/>
        </w:rPr>
        <w:t> </w:t>
      </w:r>
      <w:r>
        <w:rPr>
          <w:sz w:val="20"/>
        </w:rPr>
        <w:t>ordenamiento</w:t>
      </w:r>
      <w:r>
        <w:rPr>
          <w:spacing w:val="-11"/>
          <w:sz w:val="20"/>
        </w:rPr>
        <w:t> </w:t>
      </w:r>
      <w:r>
        <w:rPr>
          <w:sz w:val="20"/>
        </w:rPr>
        <w:t>territorial</w:t>
      </w:r>
      <w:r>
        <w:rPr>
          <w:spacing w:val="-10"/>
          <w:sz w:val="20"/>
        </w:rPr>
        <w:t> </w:t>
      </w:r>
      <w:r>
        <w:rPr>
          <w:sz w:val="20"/>
        </w:rPr>
        <w:t>y</w:t>
      </w:r>
      <w:r>
        <w:rPr>
          <w:spacing w:val="-8"/>
          <w:sz w:val="20"/>
        </w:rPr>
        <w:t> </w:t>
      </w:r>
      <w:r>
        <w:rPr>
          <w:sz w:val="20"/>
        </w:rPr>
        <w:t>desarrollo</w:t>
      </w:r>
      <w:r>
        <w:rPr>
          <w:spacing w:val="-9"/>
          <w:sz w:val="20"/>
        </w:rPr>
        <w:t> </w:t>
      </w:r>
      <w:r>
        <w:rPr>
          <w:sz w:val="20"/>
        </w:rPr>
        <w:t>urbano;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0"/>
        </w:numPr>
        <w:tabs>
          <w:tab w:pos="827" w:val="left" w:leader="none"/>
        </w:tabs>
        <w:spacing w:line="240" w:lineRule="auto" w:before="0" w:after="0"/>
        <w:ind w:left="262" w:right="284" w:firstLine="0"/>
        <w:jc w:val="both"/>
        <w:rPr>
          <w:sz w:val="20"/>
        </w:rPr>
      </w:pPr>
      <w:r>
        <w:rPr>
          <w:sz w:val="20"/>
        </w:rPr>
        <w:t>Verificar que las acciones e inversiones en materia de ordenamiento territorial y desarrollo urbano</w:t>
      </w:r>
      <w:r>
        <w:rPr>
          <w:spacing w:val="-12"/>
          <w:sz w:val="20"/>
        </w:rPr>
        <w:t> </w:t>
      </w:r>
      <w:r>
        <w:rPr>
          <w:sz w:val="20"/>
        </w:rPr>
        <w:t>de</w:t>
      </w:r>
      <w:r>
        <w:rPr>
          <w:spacing w:val="-10"/>
          <w:sz w:val="20"/>
        </w:rPr>
        <w:t> </w:t>
      </w:r>
      <w:r>
        <w:rPr>
          <w:sz w:val="20"/>
        </w:rPr>
        <w:t>las</w:t>
      </w:r>
      <w:r>
        <w:rPr>
          <w:spacing w:val="-11"/>
          <w:sz w:val="20"/>
        </w:rPr>
        <w:t> </w:t>
      </w:r>
      <w:r>
        <w:rPr>
          <w:sz w:val="20"/>
        </w:rPr>
        <w:t>dependencias</w:t>
      </w:r>
      <w:r>
        <w:rPr>
          <w:spacing w:val="-11"/>
          <w:sz w:val="20"/>
        </w:rPr>
        <w:t> </w:t>
      </w:r>
      <w:r>
        <w:rPr>
          <w:sz w:val="20"/>
        </w:rPr>
        <w:t>y</w:t>
      </w:r>
      <w:r>
        <w:rPr>
          <w:spacing w:val="-11"/>
          <w:sz w:val="20"/>
        </w:rPr>
        <w:t> </w:t>
      </w:r>
      <w:r>
        <w:rPr>
          <w:sz w:val="20"/>
        </w:rPr>
        <w:t>entidades</w:t>
      </w:r>
      <w:r>
        <w:rPr>
          <w:spacing w:val="-9"/>
          <w:sz w:val="20"/>
        </w:rPr>
        <w:t> </w:t>
      </w:r>
      <w:r>
        <w:rPr>
          <w:sz w:val="20"/>
        </w:rPr>
        <w:t>de</w:t>
      </w:r>
      <w:r>
        <w:rPr>
          <w:spacing w:val="-10"/>
          <w:sz w:val="20"/>
        </w:rPr>
        <w:t> </w:t>
      </w:r>
      <w:r>
        <w:rPr>
          <w:sz w:val="20"/>
        </w:rPr>
        <w:t>la</w:t>
      </w:r>
      <w:r>
        <w:rPr>
          <w:spacing w:val="-10"/>
          <w:sz w:val="20"/>
        </w:rPr>
        <w:t> </w:t>
      </w:r>
      <w:r>
        <w:rPr>
          <w:sz w:val="20"/>
        </w:rPr>
        <w:t>Administración</w:t>
      </w:r>
      <w:r>
        <w:rPr>
          <w:spacing w:val="-10"/>
          <w:sz w:val="20"/>
        </w:rPr>
        <w:t> </w:t>
      </w:r>
      <w:r>
        <w:rPr>
          <w:sz w:val="20"/>
        </w:rPr>
        <w:t>Pública</w:t>
      </w:r>
      <w:r>
        <w:rPr>
          <w:spacing w:val="-10"/>
          <w:sz w:val="20"/>
        </w:rPr>
        <w:t> </w:t>
      </w:r>
      <w:r>
        <w:rPr>
          <w:sz w:val="20"/>
        </w:rPr>
        <w:t>Estatal</w:t>
      </w:r>
      <w:r>
        <w:rPr>
          <w:spacing w:val="-14"/>
          <w:sz w:val="20"/>
        </w:rPr>
        <w:t> </w:t>
      </w:r>
      <w:r>
        <w:rPr>
          <w:sz w:val="20"/>
        </w:rPr>
        <w:t>se</w:t>
      </w:r>
      <w:r>
        <w:rPr>
          <w:spacing w:val="-12"/>
          <w:sz w:val="20"/>
        </w:rPr>
        <w:t> </w:t>
      </w:r>
      <w:r>
        <w:rPr>
          <w:sz w:val="20"/>
        </w:rPr>
        <w:t>ajusten,</w:t>
      </w:r>
      <w:r>
        <w:rPr>
          <w:spacing w:val="-10"/>
          <w:sz w:val="20"/>
        </w:rPr>
        <w:t> </w:t>
      </w:r>
      <w:r>
        <w:rPr>
          <w:sz w:val="20"/>
        </w:rPr>
        <w:t>en</w:t>
      </w:r>
      <w:r>
        <w:rPr>
          <w:spacing w:val="-13"/>
          <w:sz w:val="20"/>
        </w:rPr>
        <w:t> </w:t>
      </w:r>
      <w:r>
        <w:rPr>
          <w:sz w:val="20"/>
        </w:rPr>
        <w:t>su</w:t>
      </w:r>
      <w:r>
        <w:rPr>
          <w:spacing w:val="-12"/>
          <w:sz w:val="20"/>
        </w:rPr>
        <w:t> </w:t>
      </w:r>
      <w:r>
        <w:rPr>
          <w:sz w:val="20"/>
        </w:rPr>
        <w:t>caso, a esta Ley y a los programas de ordenamiento territorial y desarrollo urbano y metropolitano;</w:t>
      </w:r>
    </w:p>
    <w:p>
      <w:pPr>
        <w:pStyle w:val="BodyText"/>
        <w:spacing w:before="1"/>
      </w:pPr>
    </w:p>
    <w:p>
      <w:pPr>
        <w:pStyle w:val="ListParagraph"/>
        <w:numPr>
          <w:ilvl w:val="0"/>
          <w:numId w:val="10"/>
        </w:numPr>
        <w:tabs>
          <w:tab w:pos="827" w:val="left" w:leader="none"/>
        </w:tabs>
        <w:spacing w:line="240" w:lineRule="auto" w:before="1" w:after="0"/>
        <w:ind w:left="262" w:right="286" w:firstLine="0"/>
        <w:jc w:val="both"/>
        <w:rPr>
          <w:sz w:val="20"/>
        </w:rPr>
      </w:pPr>
      <w:r>
        <w:rPr>
          <w:sz w:val="20"/>
        </w:rPr>
        <w:t>Coordinar las acciones que en materia de ordenamiento territorial y desarrollo urbano, implemente el Gobierno Federal en apoyo al Estado y los municipios;</w:t>
      </w:r>
    </w:p>
    <w:p>
      <w:pPr>
        <w:pStyle w:val="ListParagraph"/>
        <w:numPr>
          <w:ilvl w:val="0"/>
          <w:numId w:val="10"/>
        </w:numPr>
        <w:tabs>
          <w:tab w:pos="968" w:val="left" w:leader="none"/>
        </w:tabs>
        <w:spacing w:line="240" w:lineRule="auto" w:before="228" w:after="0"/>
        <w:ind w:left="262" w:right="279" w:firstLine="0"/>
        <w:jc w:val="both"/>
        <w:rPr>
          <w:sz w:val="20"/>
        </w:rPr>
      </w:pPr>
      <w:r>
        <w:rPr>
          <w:sz w:val="20"/>
        </w:rPr>
        <w:t>Vigilar el cumplimiento de las políticas de ordenamiento territorial de los asentamientos humanos en la Entidad y de los convenios y acuerdos que suscriba el Ejecutivo del Estado con los sectores</w:t>
      </w:r>
      <w:r>
        <w:rPr>
          <w:spacing w:val="-12"/>
          <w:sz w:val="20"/>
        </w:rPr>
        <w:t> </w:t>
      </w:r>
      <w:r>
        <w:rPr>
          <w:sz w:val="20"/>
        </w:rPr>
        <w:t>público,</w:t>
      </w:r>
      <w:r>
        <w:rPr>
          <w:spacing w:val="-14"/>
          <w:sz w:val="20"/>
        </w:rPr>
        <w:t> </w:t>
      </w:r>
      <w:r>
        <w:rPr>
          <w:sz w:val="20"/>
        </w:rPr>
        <w:t>social</w:t>
      </w:r>
      <w:r>
        <w:rPr>
          <w:spacing w:val="-13"/>
          <w:sz w:val="20"/>
        </w:rPr>
        <w:t> </w:t>
      </w:r>
      <w:r>
        <w:rPr>
          <w:sz w:val="20"/>
        </w:rPr>
        <w:t>y</w:t>
      </w:r>
      <w:r>
        <w:rPr>
          <w:spacing w:val="-12"/>
          <w:sz w:val="20"/>
        </w:rPr>
        <w:t> </w:t>
      </w:r>
      <w:r>
        <w:rPr>
          <w:sz w:val="20"/>
        </w:rPr>
        <w:t>privado,</w:t>
      </w:r>
      <w:r>
        <w:rPr>
          <w:spacing w:val="-12"/>
          <w:sz w:val="20"/>
        </w:rPr>
        <w:t> </w:t>
      </w:r>
      <w:r>
        <w:rPr>
          <w:sz w:val="20"/>
        </w:rPr>
        <w:t>en</w:t>
      </w:r>
      <w:r>
        <w:rPr>
          <w:spacing w:val="-11"/>
          <w:sz w:val="20"/>
        </w:rPr>
        <w:t> </w:t>
      </w:r>
      <w:r>
        <w:rPr>
          <w:sz w:val="20"/>
        </w:rPr>
        <w:t>materia</w:t>
      </w:r>
      <w:r>
        <w:rPr>
          <w:spacing w:val="-12"/>
          <w:sz w:val="20"/>
        </w:rPr>
        <w:t> </w:t>
      </w:r>
      <w:r>
        <w:rPr>
          <w:sz w:val="20"/>
        </w:rPr>
        <w:t>de</w:t>
      </w:r>
      <w:r>
        <w:rPr>
          <w:spacing w:val="-12"/>
          <w:sz w:val="20"/>
        </w:rPr>
        <w:t> </w:t>
      </w:r>
      <w:r>
        <w:rPr>
          <w:sz w:val="20"/>
        </w:rPr>
        <w:t>desarrollo</w:t>
      </w:r>
      <w:r>
        <w:rPr>
          <w:spacing w:val="-11"/>
          <w:sz w:val="20"/>
        </w:rPr>
        <w:t> </w:t>
      </w:r>
      <w:r>
        <w:rPr>
          <w:sz w:val="20"/>
        </w:rPr>
        <w:t>urbano,</w:t>
      </w:r>
      <w:r>
        <w:rPr>
          <w:spacing w:val="-6"/>
          <w:sz w:val="20"/>
        </w:rPr>
        <w:t> </w:t>
      </w:r>
      <w:r>
        <w:rPr>
          <w:sz w:val="20"/>
        </w:rPr>
        <w:t>así</w:t>
      </w:r>
      <w:r>
        <w:rPr>
          <w:spacing w:val="-14"/>
          <w:sz w:val="20"/>
        </w:rPr>
        <w:t> </w:t>
      </w:r>
      <w:r>
        <w:rPr>
          <w:sz w:val="20"/>
        </w:rPr>
        <w:t>como</w:t>
      </w:r>
      <w:r>
        <w:rPr>
          <w:spacing w:val="-12"/>
          <w:sz w:val="20"/>
        </w:rPr>
        <w:t> </w:t>
      </w:r>
      <w:r>
        <w:rPr>
          <w:sz w:val="20"/>
        </w:rPr>
        <w:t>determinar,</w:t>
      </w:r>
      <w:r>
        <w:rPr>
          <w:spacing w:val="-13"/>
          <w:sz w:val="20"/>
        </w:rPr>
        <w:t> </w:t>
      </w:r>
      <w:r>
        <w:rPr>
          <w:sz w:val="20"/>
        </w:rPr>
        <w:t>en</w:t>
      </w:r>
      <w:r>
        <w:rPr>
          <w:spacing w:val="-14"/>
          <w:sz w:val="20"/>
        </w:rPr>
        <w:t> </w:t>
      </w:r>
      <w:r>
        <w:rPr>
          <w:sz w:val="20"/>
        </w:rPr>
        <w:t>su</w:t>
      </w:r>
      <w:r>
        <w:rPr>
          <w:spacing w:val="-12"/>
          <w:sz w:val="20"/>
        </w:rPr>
        <w:t> </w:t>
      </w:r>
      <w:r>
        <w:rPr>
          <w:sz w:val="20"/>
        </w:rPr>
        <w:t>caso, las medidas correctivas y de fomento procedentes;</w:t>
      </w:r>
    </w:p>
    <w:p>
      <w:pPr>
        <w:pStyle w:val="BodyText"/>
        <w:spacing w:before="1"/>
      </w:pPr>
    </w:p>
    <w:p>
      <w:pPr>
        <w:pStyle w:val="ListParagraph"/>
        <w:numPr>
          <w:ilvl w:val="0"/>
          <w:numId w:val="10"/>
        </w:numPr>
        <w:tabs>
          <w:tab w:pos="968" w:val="left" w:leader="none"/>
        </w:tabs>
        <w:spacing w:line="240" w:lineRule="auto" w:before="0" w:after="0"/>
        <w:ind w:left="262" w:right="284" w:firstLine="0"/>
        <w:jc w:val="both"/>
        <w:rPr>
          <w:sz w:val="20"/>
        </w:rPr>
      </w:pPr>
      <w:r>
        <w:rPr>
          <w:sz w:val="20"/>
        </w:rPr>
        <w:t>Recomendar</w:t>
      </w:r>
      <w:r>
        <w:rPr>
          <w:spacing w:val="-6"/>
          <w:sz w:val="20"/>
        </w:rPr>
        <w:t> </w:t>
      </w:r>
      <w:r>
        <w:rPr>
          <w:sz w:val="20"/>
        </w:rPr>
        <w:t>al</w:t>
      </w:r>
      <w:r>
        <w:rPr>
          <w:spacing w:val="-7"/>
          <w:sz w:val="20"/>
        </w:rPr>
        <w:t> </w:t>
      </w:r>
      <w:r>
        <w:rPr>
          <w:sz w:val="20"/>
        </w:rPr>
        <w:t>Ejecutivo</w:t>
      </w:r>
      <w:r>
        <w:rPr>
          <w:spacing w:val="-7"/>
          <w:sz w:val="20"/>
        </w:rPr>
        <w:t> </w:t>
      </w:r>
      <w:r>
        <w:rPr>
          <w:sz w:val="20"/>
        </w:rPr>
        <w:t>del</w:t>
      </w:r>
      <w:r>
        <w:rPr>
          <w:spacing w:val="-8"/>
          <w:sz w:val="20"/>
        </w:rPr>
        <w:t> </w:t>
      </w:r>
      <w:r>
        <w:rPr>
          <w:sz w:val="20"/>
        </w:rPr>
        <w:t>Estado</w:t>
      </w:r>
      <w:r>
        <w:rPr>
          <w:spacing w:val="-5"/>
          <w:sz w:val="20"/>
        </w:rPr>
        <w:t> </w:t>
      </w:r>
      <w:r>
        <w:rPr>
          <w:sz w:val="20"/>
        </w:rPr>
        <w:t>la</w:t>
      </w:r>
      <w:r>
        <w:rPr>
          <w:spacing w:val="-7"/>
          <w:sz w:val="20"/>
        </w:rPr>
        <w:t> </w:t>
      </w:r>
      <w:r>
        <w:rPr>
          <w:sz w:val="20"/>
        </w:rPr>
        <w:t>propuesta</w:t>
      </w:r>
      <w:r>
        <w:rPr>
          <w:spacing w:val="-7"/>
          <w:sz w:val="20"/>
        </w:rPr>
        <w:t> </w:t>
      </w:r>
      <w:r>
        <w:rPr>
          <w:sz w:val="20"/>
        </w:rPr>
        <w:t>para</w:t>
      </w:r>
      <w:r>
        <w:rPr>
          <w:spacing w:val="-5"/>
          <w:sz w:val="20"/>
        </w:rPr>
        <w:t> </w:t>
      </w:r>
      <w:r>
        <w:rPr>
          <w:sz w:val="20"/>
        </w:rPr>
        <w:t>la</w:t>
      </w:r>
      <w:r>
        <w:rPr>
          <w:spacing w:val="-7"/>
          <w:sz w:val="20"/>
        </w:rPr>
        <w:t> </w:t>
      </w:r>
      <w:r>
        <w:rPr>
          <w:sz w:val="20"/>
        </w:rPr>
        <w:t>fundación</w:t>
      </w:r>
      <w:r>
        <w:rPr>
          <w:spacing w:val="-7"/>
          <w:sz w:val="20"/>
        </w:rPr>
        <w:t> </w:t>
      </w:r>
      <w:r>
        <w:rPr>
          <w:sz w:val="20"/>
        </w:rPr>
        <w:t>de</w:t>
      </w:r>
      <w:r>
        <w:rPr>
          <w:spacing w:val="-7"/>
          <w:sz w:val="20"/>
        </w:rPr>
        <w:t> </w:t>
      </w:r>
      <w:r>
        <w:rPr>
          <w:sz w:val="20"/>
        </w:rPr>
        <w:t>centros</w:t>
      </w:r>
      <w:r>
        <w:rPr>
          <w:spacing w:val="-6"/>
          <w:sz w:val="20"/>
        </w:rPr>
        <w:t> </w:t>
      </w:r>
      <w:r>
        <w:rPr>
          <w:sz w:val="20"/>
        </w:rPr>
        <w:t>de</w:t>
      </w:r>
      <w:r>
        <w:rPr>
          <w:spacing w:val="-5"/>
          <w:sz w:val="20"/>
        </w:rPr>
        <w:t> </w:t>
      </w:r>
      <w:r>
        <w:rPr>
          <w:sz w:val="20"/>
        </w:rPr>
        <w:t>población en congruencia con el Programa Estatal de Ordenamiento Territorial y Desarrollo Urbano;</w:t>
      </w:r>
    </w:p>
    <w:p>
      <w:pPr>
        <w:pStyle w:val="BodyText"/>
        <w:spacing w:before="1"/>
      </w:pPr>
    </w:p>
    <w:p>
      <w:pPr>
        <w:pStyle w:val="ListParagraph"/>
        <w:numPr>
          <w:ilvl w:val="0"/>
          <w:numId w:val="10"/>
        </w:numPr>
        <w:tabs>
          <w:tab w:pos="968" w:val="left" w:leader="none"/>
        </w:tabs>
        <w:spacing w:line="240" w:lineRule="auto" w:before="0" w:after="0"/>
        <w:ind w:left="262" w:right="285" w:firstLine="0"/>
        <w:jc w:val="both"/>
        <w:rPr>
          <w:sz w:val="20"/>
        </w:rPr>
      </w:pPr>
      <w:r>
        <w:rPr>
          <w:sz w:val="20"/>
        </w:rPr>
        <w:t>Promover</w:t>
      </w:r>
      <w:r>
        <w:rPr>
          <w:spacing w:val="-4"/>
          <w:sz w:val="20"/>
        </w:rPr>
        <w:t> </w:t>
      </w:r>
      <w:r>
        <w:rPr>
          <w:sz w:val="20"/>
        </w:rPr>
        <w:t>acciones</w:t>
      </w:r>
      <w:r>
        <w:rPr>
          <w:spacing w:val="-4"/>
          <w:sz w:val="20"/>
        </w:rPr>
        <w:t> </w:t>
      </w:r>
      <w:r>
        <w:rPr>
          <w:sz w:val="20"/>
        </w:rPr>
        <w:t>de</w:t>
      </w:r>
      <w:r>
        <w:rPr>
          <w:spacing w:val="-6"/>
          <w:sz w:val="20"/>
        </w:rPr>
        <w:t> </w:t>
      </w:r>
      <w:r>
        <w:rPr>
          <w:sz w:val="20"/>
        </w:rPr>
        <w:t>información</w:t>
      </w:r>
      <w:r>
        <w:rPr>
          <w:spacing w:val="-8"/>
          <w:sz w:val="20"/>
        </w:rPr>
        <w:t> </w:t>
      </w:r>
      <w:r>
        <w:rPr>
          <w:sz w:val="20"/>
        </w:rPr>
        <w:t>y</w:t>
      </w:r>
      <w:r>
        <w:rPr>
          <w:spacing w:val="-6"/>
          <w:sz w:val="20"/>
        </w:rPr>
        <w:t> </w:t>
      </w:r>
      <w:r>
        <w:rPr>
          <w:sz w:val="20"/>
        </w:rPr>
        <w:t>capacitación,</w:t>
      </w:r>
      <w:r>
        <w:rPr>
          <w:spacing w:val="-5"/>
          <w:sz w:val="20"/>
        </w:rPr>
        <w:t> </w:t>
      </w:r>
      <w:r>
        <w:rPr>
          <w:sz w:val="20"/>
        </w:rPr>
        <w:t>dirigidas</w:t>
      </w:r>
      <w:r>
        <w:rPr>
          <w:spacing w:val="-4"/>
          <w:sz w:val="20"/>
        </w:rPr>
        <w:t> </w:t>
      </w:r>
      <w:r>
        <w:rPr>
          <w:sz w:val="20"/>
        </w:rPr>
        <w:t>al</w:t>
      </w:r>
      <w:r>
        <w:rPr>
          <w:spacing w:val="-7"/>
          <w:sz w:val="20"/>
        </w:rPr>
        <w:t> </w:t>
      </w:r>
      <w:r>
        <w:rPr>
          <w:sz w:val="20"/>
        </w:rPr>
        <w:t>personal</w:t>
      </w:r>
      <w:r>
        <w:rPr>
          <w:spacing w:val="-8"/>
          <w:sz w:val="20"/>
        </w:rPr>
        <w:t> </w:t>
      </w:r>
      <w:r>
        <w:rPr>
          <w:sz w:val="20"/>
        </w:rPr>
        <w:t>de</w:t>
      </w:r>
      <w:r>
        <w:rPr>
          <w:spacing w:val="-5"/>
          <w:sz w:val="20"/>
        </w:rPr>
        <w:t> </w:t>
      </w:r>
      <w:r>
        <w:rPr>
          <w:sz w:val="20"/>
        </w:rPr>
        <w:t>la</w:t>
      </w:r>
      <w:r>
        <w:rPr>
          <w:spacing w:val="-6"/>
          <w:sz w:val="20"/>
        </w:rPr>
        <w:t> </w:t>
      </w:r>
      <w:r>
        <w:rPr>
          <w:sz w:val="20"/>
        </w:rPr>
        <w:t>administración pública estatal y de los gobiernos municipales, relacionados con la ejecución y supervisión de acciones en materia de ordenamiento territorial, desarrollo urbano y vivienda;</w:t>
      </w:r>
    </w:p>
    <w:p>
      <w:pPr>
        <w:pStyle w:val="ListParagraph"/>
        <w:numPr>
          <w:ilvl w:val="0"/>
          <w:numId w:val="10"/>
        </w:numPr>
        <w:tabs>
          <w:tab w:pos="968" w:val="left" w:leader="none"/>
        </w:tabs>
        <w:spacing w:line="240" w:lineRule="auto" w:before="229" w:after="0"/>
        <w:ind w:left="262" w:right="287" w:firstLine="0"/>
        <w:jc w:val="both"/>
        <w:rPr>
          <w:sz w:val="20"/>
        </w:rPr>
      </w:pPr>
      <w:r>
        <w:rPr>
          <w:sz w:val="20"/>
        </w:rPr>
        <w:t>Prevenir y evitar la ocupación por asentamientos humanos en zonas de alto riesgo, de conformidad con los atlas de riesgo y en los términos de la legislación aplicable;</w:t>
      </w:r>
    </w:p>
    <w:p>
      <w:pPr>
        <w:pStyle w:val="ListParagraph"/>
        <w:numPr>
          <w:ilvl w:val="0"/>
          <w:numId w:val="10"/>
        </w:numPr>
        <w:tabs>
          <w:tab w:pos="968" w:val="left" w:leader="none"/>
        </w:tabs>
        <w:spacing w:line="240" w:lineRule="auto" w:before="229" w:after="0"/>
        <w:ind w:left="262" w:right="279" w:firstLine="0"/>
        <w:jc w:val="both"/>
        <w:rPr>
          <w:sz w:val="20"/>
        </w:rPr>
      </w:pPr>
      <w:r>
        <w:rPr>
          <w:sz w:val="20"/>
        </w:rPr>
        <w:t>Llevar a cabo las acciones necesarias para la prevención, control y solución de los asentamientos humanos irregulares, de conurbaciones y zonas metropolitanas incluyendo el enfoque</w:t>
      </w:r>
      <w:r>
        <w:rPr>
          <w:spacing w:val="-9"/>
          <w:sz w:val="20"/>
        </w:rPr>
        <w:t> </w:t>
      </w:r>
      <w:r>
        <w:rPr>
          <w:sz w:val="20"/>
        </w:rPr>
        <w:t>de</w:t>
      </w:r>
      <w:r>
        <w:rPr>
          <w:spacing w:val="-9"/>
          <w:sz w:val="20"/>
        </w:rPr>
        <w:t> </w:t>
      </w:r>
      <w:r>
        <w:rPr>
          <w:sz w:val="20"/>
        </w:rPr>
        <w:t>género</w:t>
      </w:r>
      <w:r>
        <w:rPr>
          <w:spacing w:val="-11"/>
          <w:sz w:val="20"/>
        </w:rPr>
        <w:t> </w:t>
      </w:r>
      <w:r>
        <w:rPr>
          <w:sz w:val="20"/>
        </w:rPr>
        <w:t>y</w:t>
      </w:r>
      <w:r>
        <w:rPr>
          <w:spacing w:val="-10"/>
          <w:sz w:val="20"/>
        </w:rPr>
        <w:t> </w:t>
      </w:r>
      <w:r>
        <w:rPr>
          <w:sz w:val="20"/>
        </w:rPr>
        <w:t>el</w:t>
      </w:r>
      <w:r>
        <w:rPr>
          <w:spacing w:val="-12"/>
          <w:sz w:val="20"/>
        </w:rPr>
        <w:t> </w:t>
      </w:r>
      <w:r>
        <w:rPr>
          <w:sz w:val="20"/>
        </w:rPr>
        <w:t>marco</w:t>
      </w:r>
      <w:r>
        <w:rPr>
          <w:spacing w:val="-11"/>
          <w:sz w:val="20"/>
        </w:rPr>
        <w:t> </w:t>
      </w:r>
      <w:r>
        <w:rPr>
          <w:sz w:val="20"/>
        </w:rPr>
        <w:t>de</w:t>
      </w:r>
      <w:r>
        <w:rPr>
          <w:spacing w:val="-9"/>
          <w:sz w:val="20"/>
        </w:rPr>
        <w:t> </w:t>
      </w:r>
      <w:r>
        <w:rPr>
          <w:sz w:val="20"/>
        </w:rPr>
        <w:t>los</w:t>
      </w:r>
      <w:r>
        <w:rPr>
          <w:spacing w:val="-10"/>
          <w:sz w:val="20"/>
        </w:rPr>
        <w:t> </w:t>
      </w:r>
      <w:r>
        <w:rPr>
          <w:sz w:val="20"/>
        </w:rPr>
        <w:t>derechos</w:t>
      </w:r>
      <w:r>
        <w:rPr>
          <w:spacing w:val="-10"/>
          <w:sz w:val="20"/>
        </w:rPr>
        <w:t> </w:t>
      </w:r>
      <w:r>
        <w:rPr>
          <w:sz w:val="20"/>
        </w:rPr>
        <w:t>humanos,</w:t>
      </w:r>
      <w:r>
        <w:rPr>
          <w:spacing w:val="-11"/>
          <w:sz w:val="20"/>
        </w:rPr>
        <w:t> </w:t>
      </w:r>
      <w:r>
        <w:rPr>
          <w:sz w:val="20"/>
        </w:rPr>
        <w:t>y</w:t>
      </w:r>
      <w:r>
        <w:rPr>
          <w:spacing w:val="-10"/>
          <w:sz w:val="20"/>
        </w:rPr>
        <w:t> </w:t>
      </w:r>
      <w:r>
        <w:rPr>
          <w:sz w:val="20"/>
        </w:rPr>
        <w:t>participar</w:t>
      </w:r>
      <w:r>
        <w:rPr>
          <w:spacing w:val="-10"/>
          <w:sz w:val="20"/>
        </w:rPr>
        <w:t> </w:t>
      </w:r>
      <w:r>
        <w:rPr>
          <w:sz w:val="20"/>
        </w:rPr>
        <w:t>con</w:t>
      </w:r>
      <w:r>
        <w:rPr>
          <w:spacing w:val="-9"/>
          <w:sz w:val="20"/>
        </w:rPr>
        <w:t> </w:t>
      </w:r>
      <w:r>
        <w:rPr>
          <w:sz w:val="20"/>
        </w:rPr>
        <w:t>las</w:t>
      </w:r>
      <w:r>
        <w:rPr>
          <w:spacing w:val="-10"/>
          <w:sz w:val="20"/>
        </w:rPr>
        <w:t> </w:t>
      </w:r>
      <w:r>
        <w:rPr>
          <w:sz w:val="20"/>
        </w:rPr>
        <w:t>instancias</w:t>
      </w:r>
      <w:r>
        <w:rPr>
          <w:spacing w:val="-10"/>
          <w:sz w:val="20"/>
        </w:rPr>
        <w:t> </w:t>
      </w:r>
      <w:r>
        <w:rPr>
          <w:sz w:val="20"/>
        </w:rPr>
        <w:t>competentes </w:t>
      </w:r>
      <w:r>
        <w:rPr>
          <w:spacing w:val="-2"/>
          <w:sz w:val="20"/>
        </w:rPr>
        <w:t>en</w:t>
      </w:r>
      <w:r>
        <w:rPr>
          <w:spacing w:val="-5"/>
          <w:sz w:val="20"/>
        </w:rPr>
        <w:t> </w:t>
      </w:r>
      <w:r>
        <w:rPr>
          <w:spacing w:val="-2"/>
          <w:sz w:val="20"/>
        </w:rPr>
        <w:t>la</w:t>
      </w:r>
      <w:r>
        <w:rPr>
          <w:spacing w:val="-4"/>
          <w:sz w:val="20"/>
        </w:rPr>
        <w:t> </w:t>
      </w:r>
      <w:r>
        <w:rPr>
          <w:spacing w:val="-2"/>
          <w:sz w:val="20"/>
        </w:rPr>
        <w:t>regularización</w:t>
      </w:r>
      <w:r>
        <w:rPr>
          <w:spacing w:val="-4"/>
          <w:sz w:val="20"/>
        </w:rPr>
        <w:t> </w:t>
      </w:r>
      <w:r>
        <w:rPr>
          <w:spacing w:val="-2"/>
          <w:sz w:val="20"/>
        </w:rPr>
        <w:t>de</w:t>
      </w:r>
      <w:r>
        <w:rPr>
          <w:spacing w:val="-5"/>
          <w:sz w:val="20"/>
        </w:rPr>
        <w:t> </w:t>
      </w:r>
      <w:r>
        <w:rPr>
          <w:spacing w:val="-2"/>
          <w:sz w:val="20"/>
        </w:rPr>
        <w:t>la</w:t>
      </w:r>
      <w:r>
        <w:rPr>
          <w:spacing w:val="-4"/>
          <w:sz w:val="20"/>
        </w:rPr>
        <w:t> </w:t>
      </w:r>
      <w:r>
        <w:rPr>
          <w:spacing w:val="-2"/>
          <w:sz w:val="20"/>
        </w:rPr>
        <w:t>tenencia</w:t>
      </w:r>
      <w:r>
        <w:rPr>
          <w:spacing w:val="-4"/>
          <w:sz w:val="20"/>
        </w:rPr>
        <w:t> </w:t>
      </w:r>
      <w:r>
        <w:rPr>
          <w:spacing w:val="-2"/>
          <w:sz w:val="20"/>
        </w:rPr>
        <w:t>de</w:t>
      </w:r>
      <w:r>
        <w:rPr>
          <w:spacing w:val="-5"/>
          <w:sz w:val="20"/>
        </w:rPr>
        <w:t> </w:t>
      </w:r>
      <w:r>
        <w:rPr>
          <w:spacing w:val="-2"/>
          <w:sz w:val="20"/>
        </w:rPr>
        <w:t>la</w:t>
      </w:r>
      <w:r>
        <w:rPr>
          <w:spacing w:val="-4"/>
          <w:sz w:val="20"/>
        </w:rPr>
        <w:t> </w:t>
      </w:r>
      <w:r>
        <w:rPr>
          <w:spacing w:val="-2"/>
          <w:sz w:val="20"/>
        </w:rPr>
        <w:t>tierra</w:t>
      </w:r>
      <w:r>
        <w:rPr>
          <w:spacing w:val="-4"/>
          <w:sz w:val="20"/>
        </w:rPr>
        <w:t> </w:t>
      </w:r>
      <w:r>
        <w:rPr>
          <w:spacing w:val="-2"/>
          <w:sz w:val="20"/>
        </w:rPr>
        <w:t>urbana,</w:t>
      </w:r>
      <w:r>
        <w:rPr>
          <w:spacing w:val="-4"/>
          <w:sz w:val="20"/>
        </w:rPr>
        <w:t> </w:t>
      </w:r>
      <w:r>
        <w:rPr>
          <w:spacing w:val="-2"/>
          <w:sz w:val="20"/>
        </w:rPr>
        <w:t>coordinándose</w:t>
      </w:r>
      <w:r>
        <w:rPr>
          <w:spacing w:val="-4"/>
          <w:sz w:val="20"/>
        </w:rPr>
        <w:t> </w:t>
      </w:r>
      <w:r>
        <w:rPr>
          <w:spacing w:val="-2"/>
          <w:sz w:val="20"/>
        </w:rPr>
        <w:t>con</w:t>
      </w:r>
      <w:r>
        <w:rPr>
          <w:spacing w:val="-5"/>
          <w:sz w:val="20"/>
        </w:rPr>
        <w:t> </w:t>
      </w:r>
      <w:r>
        <w:rPr>
          <w:spacing w:val="-2"/>
          <w:sz w:val="20"/>
        </w:rPr>
        <w:t>los</w:t>
      </w:r>
      <w:r>
        <w:rPr>
          <w:spacing w:val="-6"/>
          <w:sz w:val="20"/>
        </w:rPr>
        <w:t> </w:t>
      </w:r>
      <w:r>
        <w:rPr>
          <w:spacing w:val="-2"/>
          <w:sz w:val="20"/>
        </w:rPr>
        <w:t>municipios involucrados </w:t>
      </w:r>
      <w:r>
        <w:rPr>
          <w:sz w:val="20"/>
        </w:rPr>
        <w:t>en los casos en que así proceda, en términos de lo dispuesto en esta Ley y demás disposiciones, programas de Desarrollo Urbano y las Reservas, Usos del Suelo y Destinos de áreas y predios, y participar</w:t>
      </w:r>
      <w:r>
        <w:rPr>
          <w:spacing w:val="-6"/>
          <w:sz w:val="20"/>
        </w:rPr>
        <w:t> </w:t>
      </w:r>
      <w:r>
        <w:rPr>
          <w:sz w:val="20"/>
        </w:rPr>
        <w:t>en</w:t>
      </w:r>
      <w:r>
        <w:rPr>
          <w:spacing w:val="-4"/>
          <w:sz w:val="20"/>
        </w:rPr>
        <w:t> </w:t>
      </w:r>
      <w:r>
        <w:rPr>
          <w:sz w:val="20"/>
        </w:rPr>
        <w:t>la</w:t>
      </w:r>
      <w:r>
        <w:rPr>
          <w:spacing w:val="-4"/>
          <w:sz w:val="20"/>
        </w:rPr>
        <w:t> </w:t>
      </w:r>
      <w:r>
        <w:rPr>
          <w:sz w:val="20"/>
        </w:rPr>
        <w:t>elaboración</w:t>
      </w:r>
      <w:r>
        <w:rPr>
          <w:spacing w:val="-5"/>
          <w:sz w:val="20"/>
        </w:rPr>
        <w:t> </w:t>
      </w:r>
      <w:r>
        <w:rPr>
          <w:sz w:val="20"/>
        </w:rPr>
        <w:t>y</w:t>
      </w:r>
      <w:r>
        <w:rPr>
          <w:spacing w:val="-5"/>
          <w:sz w:val="20"/>
        </w:rPr>
        <w:t> </w:t>
      </w:r>
      <w:r>
        <w:rPr>
          <w:sz w:val="20"/>
        </w:rPr>
        <w:t>ejecución</w:t>
      </w:r>
      <w:r>
        <w:rPr>
          <w:spacing w:val="-5"/>
          <w:sz w:val="20"/>
        </w:rPr>
        <w:t> </w:t>
      </w:r>
      <w:r>
        <w:rPr>
          <w:sz w:val="20"/>
        </w:rPr>
        <w:t>de</w:t>
      </w:r>
      <w:r>
        <w:rPr>
          <w:spacing w:val="-5"/>
          <w:sz w:val="20"/>
        </w:rPr>
        <w:t> </w:t>
      </w:r>
      <w:r>
        <w:rPr>
          <w:sz w:val="20"/>
        </w:rPr>
        <w:t>los</w:t>
      </w:r>
      <w:r>
        <w:rPr>
          <w:spacing w:val="-3"/>
          <w:sz w:val="20"/>
        </w:rPr>
        <w:t> </w:t>
      </w:r>
      <w:r>
        <w:rPr>
          <w:sz w:val="20"/>
        </w:rPr>
        <w:t>programas</w:t>
      </w:r>
      <w:r>
        <w:rPr>
          <w:spacing w:val="-6"/>
          <w:sz w:val="20"/>
        </w:rPr>
        <w:t> </w:t>
      </w:r>
      <w:r>
        <w:rPr>
          <w:sz w:val="20"/>
        </w:rPr>
        <w:t>parciales</w:t>
      </w:r>
      <w:r>
        <w:rPr>
          <w:spacing w:val="-3"/>
          <w:sz w:val="20"/>
        </w:rPr>
        <w:t> </w:t>
      </w:r>
      <w:r>
        <w:rPr>
          <w:sz w:val="20"/>
        </w:rPr>
        <w:t>que</w:t>
      </w:r>
      <w:r>
        <w:rPr>
          <w:spacing w:val="-5"/>
          <w:sz w:val="20"/>
        </w:rPr>
        <w:t> </w:t>
      </w:r>
      <w:r>
        <w:rPr>
          <w:sz w:val="20"/>
        </w:rPr>
        <w:t>en</w:t>
      </w:r>
      <w:r>
        <w:rPr>
          <w:spacing w:val="-5"/>
          <w:sz w:val="20"/>
        </w:rPr>
        <w:t> </w:t>
      </w:r>
      <w:r>
        <w:rPr>
          <w:sz w:val="20"/>
        </w:rPr>
        <w:t>su</w:t>
      </w:r>
      <w:r>
        <w:rPr>
          <w:spacing w:val="-7"/>
          <w:sz w:val="20"/>
        </w:rPr>
        <w:t> </w:t>
      </w:r>
      <w:r>
        <w:rPr>
          <w:sz w:val="20"/>
        </w:rPr>
        <w:t>caso</w:t>
      </w:r>
      <w:r>
        <w:rPr>
          <w:spacing w:val="-7"/>
          <w:sz w:val="20"/>
        </w:rPr>
        <w:t> </w:t>
      </w:r>
      <w:r>
        <w:rPr>
          <w:sz w:val="20"/>
        </w:rPr>
        <w:t>se</w:t>
      </w:r>
      <w:r>
        <w:rPr>
          <w:spacing w:val="-4"/>
          <w:sz w:val="20"/>
        </w:rPr>
        <w:t> </w:t>
      </w:r>
      <w:r>
        <w:rPr>
          <w:sz w:val="20"/>
        </w:rPr>
        <w:t>implementen, con el propósito de regularizar la tenencia del suelo para su incorporación al desarrollo urbano;</w:t>
      </w:r>
    </w:p>
    <w:p>
      <w:pPr>
        <w:pStyle w:val="BodyText"/>
        <w:spacing w:before="2"/>
      </w:pPr>
    </w:p>
    <w:p>
      <w:pPr>
        <w:pStyle w:val="ListParagraph"/>
        <w:numPr>
          <w:ilvl w:val="0"/>
          <w:numId w:val="10"/>
        </w:numPr>
        <w:tabs>
          <w:tab w:pos="1112" w:val="left" w:leader="none"/>
        </w:tabs>
        <w:spacing w:line="240" w:lineRule="auto" w:before="0" w:after="0"/>
        <w:ind w:left="262" w:right="285" w:firstLine="0"/>
        <w:jc w:val="both"/>
        <w:rPr>
          <w:sz w:val="20"/>
        </w:rPr>
      </w:pPr>
      <w:r>
        <w:rPr>
          <w:sz w:val="20"/>
        </w:rPr>
        <w:t>Aplicar y promover las políticas y criterios técnicos de las legislaciones fiscales, que determine el Ejecutivo, que permitan contribuir al financiamiento del ordenamiento territorial y el Desarrollo Urbano, Desarrollo Regional y Desarrollo Metropolitano;</w:t>
      </w:r>
    </w:p>
    <w:p>
      <w:pPr>
        <w:pStyle w:val="ListParagraph"/>
        <w:numPr>
          <w:ilvl w:val="0"/>
          <w:numId w:val="10"/>
        </w:numPr>
        <w:tabs>
          <w:tab w:pos="1112" w:val="left" w:leader="none"/>
        </w:tabs>
        <w:spacing w:line="240" w:lineRule="auto" w:before="229" w:after="0"/>
        <w:ind w:left="262" w:right="283" w:firstLine="0"/>
        <w:jc w:val="both"/>
        <w:rPr>
          <w:sz w:val="20"/>
        </w:rPr>
      </w:pPr>
      <w:r>
        <w:rPr>
          <w:sz w:val="20"/>
        </w:rPr>
        <w:t>Formular y proponer al Titular del Ejecutivo, y una vez emitidas, aplicar las políticas, así como</w:t>
      </w:r>
      <w:r>
        <w:rPr>
          <w:spacing w:val="-10"/>
          <w:sz w:val="20"/>
        </w:rPr>
        <w:t> </w:t>
      </w:r>
      <w:r>
        <w:rPr>
          <w:sz w:val="20"/>
        </w:rPr>
        <w:t>realizar</w:t>
      </w:r>
      <w:r>
        <w:rPr>
          <w:spacing w:val="-9"/>
          <w:sz w:val="20"/>
        </w:rPr>
        <w:t> </w:t>
      </w:r>
      <w:r>
        <w:rPr>
          <w:sz w:val="20"/>
        </w:rPr>
        <w:t>las</w:t>
      </w:r>
      <w:r>
        <w:rPr>
          <w:spacing w:val="-9"/>
          <w:sz w:val="20"/>
        </w:rPr>
        <w:t> </w:t>
      </w:r>
      <w:r>
        <w:rPr>
          <w:sz w:val="20"/>
        </w:rPr>
        <w:t>acciones</w:t>
      </w:r>
      <w:r>
        <w:rPr>
          <w:spacing w:val="-6"/>
          <w:sz w:val="20"/>
        </w:rPr>
        <w:t> </w:t>
      </w:r>
      <w:r>
        <w:rPr>
          <w:sz w:val="20"/>
        </w:rPr>
        <w:t>en</w:t>
      </w:r>
      <w:r>
        <w:rPr>
          <w:spacing w:val="-10"/>
          <w:sz w:val="20"/>
        </w:rPr>
        <w:t> </w:t>
      </w:r>
      <w:r>
        <w:rPr>
          <w:sz w:val="20"/>
        </w:rPr>
        <w:t>materia</w:t>
      </w:r>
      <w:r>
        <w:rPr>
          <w:spacing w:val="-10"/>
          <w:sz w:val="20"/>
        </w:rPr>
        <w:t> </w:t>
      </w:r>
      <w:r>
        <w:rPr>
          <w:sz w:val="20"/>
        </w:rPr>
        <w:t>de</w:t>
      </w:r>
      <w:r>
        <w:rPr>
          <w:spacing w:val="-10"/>
          <w:sz w:val="20"/>
        </w:rPr>
        <w:t> </w:t>
      </w:r>
      <w:r>
        <w:rPr>
          <w:sz w:val="20"/>
        </w:rPr>
        <w:t>estructuración</w:t>
      </w:r>
      <w:r>
        <w:rPr>
          <w:spacing w:val="-10"/>
          <w:sz w:val="20"/>
        </w:rPr>
        <w:t> </w:t>
      </w:r>
      <w:r>
        <w:rPr>
          <w:sz w:val="20"/>
        </w:rPr>
        <w:t>urbana,</w:t>
      </w:r>
      <w:r>
        <w:rPr>
          <w:spacing w:val="-10"/>
          <w:sz w:val="20"/>
        </w:rPr>
        <w:t> </w:t>
      </w:r>
      <w:r>
        <w:rPr>
          <w:sz w:val="20"/>
        </w:rPr>
        <w:t>gestión</w:t>
      </w:r>
      <w:r>
        <w:rPr>
          <w:spacing w:val="-10"/>
          <w:sz w:val="20"/>
        </w:rPr>
        <w:t> </w:t>
      </w:r>
      <w:r>
        <w:rPr>
          <w:sz w:val="20"/>
        </w:rPr>
        <w:t>del</w:t>
      </w:r>
      <w:r>
        <w:rPr>
          <w:spacing w:val="-11"/>
          <w:sz w:val="20"/>
        </w:rPr>
        <w:t> </w:t>
      </w:r>
      <w:r>
        <w:rPr>
          <w:sz w:val="20"/>
        </w:rPr>
        <w:t>suelo,</w:t>
      </w:r>
      <w:r>
        <w:rPr>
          <w:spacing w:val="-8"/>
          <w:sz w:val="20"/>
        </w:rPr>
        <w:t> </w:t>
      </w:r>
      <w:r>
        <w:rPr>
          <w:sz w:val="20"/>
        </w:rPr>
        <w:t>Conservación</w:t>
      </w:r>
      <w:r>
        <w:rPr>
          <w:spacing w:val="-10"/>
          <w:sz w:val="20"/>
        </w:rPr>
        <w:t> </w:t>
      </w:r>
      <w:r>
        <w:rPr>
          <w:sz w:val="20"/>
        </w:rPr>
        <w:t>del Patrimonio Natural y Cultural y accesibilidad universal, incluyendo la Movilidad;</w:t>
      </w:r>
    </w:p>
    <w:p>
      <w:pPr>
        <w:pStyle w:val="BodyText"/>
        <w:spacing w:before="2"/>
      </w:pPr>
    </w:p>
    <w:p>
      <w:pPr>
        <w:pStyle w:val="ListParagraph"/>
        <w:numPr>
          <w:ilvl w:val="0"/>
          <w:numId w:val="10"/>
        </w:numPr>
        <w:tabs>
          <w:tab w:pos="1112" w:val="left" w:leader="none"/>
        </w:tabs>
        <w:spacing w:line="240" w:lineRule="auto" w:before="0" w:after="0"/>
        <w:ind w:left="262" w:right="285" w:firstLine="0"/>
        <w:jc w:val="both"/>
        <w:rPr>
          <w:sz w:val="20"/>
        </w:rPr>
      </w:pPr>
      <w:r>
        <w:rPr>
          <w:sz w:val="20"/>
        </w:rPr>
        <w:t>Conocer y dar trámite a las denuncias ciudadanas que se le presenten con base en lo dispuesto en esta Ley;</w:t>
      </w:r>
    </w:p>
    <w:p>
      <w:pPr>
        <w:pStyle w:val="ListParagraph"/>
        <w:numPr>
          <w:ilvl w:val="0"/>
          <w:numId w:val="10"/>
        </w:numPr>
        <w:tabs>
          <w:tab w:pos="968" w:val="left" w:leader="none"/>
        </w:tabs>
        <w:spacing w:line="240" w:lineRule="auto" w:before="229" w:after="0"/>
        <w:ind w:left="262" w:right="286" w:firstLine="0"/>
        <w:jc w:val="both"/>
        <w:rPr>
          <w:sz w:val="20"/>
        </w:rPr>
      </w:pPr>
      <w:r>
        <w:rPr>
          <w:sz w:val="20"/>
        </w:rPr>
        <w:t>Resolver sobre los recursos administrativos que conforme a su competencia le sean planteados y que deriven de la aplicación de esta Ley y de acuerdo a lo dispuesto en el Código Procesal Administrativo para el Estado;</w:t>
      </w:r>
    </w:p>
    <w:p>
      <w:pPr>
        <w:pStyle w:val="ListParagraph"/>
        <w:numPr>
          <w:ilvl w:val="0"/>
          <w:numId w:val="10"/>
        </w:numPr>
        <w:tabs>
          <w:tab w:pos="968" w:val="left" w:leader="none"/>
        </w:tabs>
        <w:spacing w:line="240" w:lineRule="auto" w:before="230" w:after="0"/>
        <w:ind w:left="262" w:right="285" w:firstLine="0"/>
        <w:jc w:val="both"/>
        <w:rPr>
          <w:sz w:val="20"/>
        </w:rPr>
      </w:pPr>
      <w:r>
        <w:rPr>
          <w:sz w:val="20"/>
        </w:rPr>
        <w:t>Implementar, revisar y actualizar el Registro Estatal de Directores Responsables de Obras y Especialistas Corresponsables en Materia de Urbanización y Edificación, de conformidad con lo previsto en este Ordenamiento;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0"/>
        </w:numPr>
        <w:tabs>
          <w:tab w:pos="968" w:val="left" w:leader="none"/>
        </w:tabs>
        <w:spacing w:line="240" w:lineRule="auto" w:before="0" w:after="0"/>
        <w:ind w:left="262" w:right="285" w:firstLine="0"/>
        <w:jc w:val="both"/>
        <w:rPr>
          <w:sz w:val="20"/>
        </w:rPr>
      </w:pPr>
      <w:r>
        <w:rPr>
          <w:sz w:val="20"/>
        </w:rPr>
        <w:t>Imponer medidas de seguridad y sanciones administrativas a los infractores de las disposiciones jurídicas y de los programas estatales de Desarrollo Urbano y Desarrollo Metropolitano, conforme a lo que prevea la presente Ley y la Ley de Responsabilidades Administrativas</w:t>
      </w:r>
      <w:r>
        <w:rPr>
          <w:spacing w:val="-7"/>
          <w:sz w:val="20"/>
        </w:rPr>
        <w:t> </w:t>
      </w:r>
      <w:r>
        <w:rPr>
          <w:sz w:val="20"/>
        </w:rPr>
        <w:t>para</w:t>
      </w:r>
      <w:r>
        <w:rPr>
          <w:spacing w:val="-8"/>
          <w:sz w:val="20"/>
        </w:rPr>
        <w:t> </w:t>
      </w:r>
      <w:r>
        <w:rPr>
          <w:sz w:val="20"/>
        </w:rPr>
        <w:t>el</w:t>
      </w:r>
      <w:r>
        <w:rPr>
          <w:spacing w:val="-9"/>
          <w:sz w:val="20"/>
        </w:rPr>
        <w:t> </w:t>
      </w:r>
      <w:r>
        <w:rPr>
          <w:sz w:val="20"/>
        </w:rPr>
        <w:t>Estado</w:t>
      </w:r>
      <w:r>
        <w:rPr>
          <w:spacing w:val="-10"/>
          <w:sz w:val="20"/>
        </w:rPr>
        <w:t> </w:t>
      </w:r>
      <w:r>
        <w:rPr>
          <w:sz w:val="20"/>
        </w:rPr>
        <w:t>y</w:t>
      </w:r>
      <w:r>
        <w:rPr>
          <w:spacing w:val="-6"/>
          <w:sz w:val="20"/>
        </w:rPr>
        <w:t> </w:t>
      </w:r>
      <w:r>
        <w:rPr>
          <w:sz w:val="20"/>
        </w:rPr>
        <w:t>Municipios,</w:t>
      </w:r>
      <w:r>
        <w:rPr>
          <w:spacing w:val="-7"/>
          <w:sz w:val="20"/>
        </w:rPr>
        <w:t> </w:t>
      </w:r>
      <w:r>
        <w:rPr>
          <w:sz w:val="20"/>
        </w:rPr>
        <w:t>así</w:t>
      </w:r>
      <w:r>
        <w:rPr>
          <w:spacing w:val="-10"/>
          <w:sz w:val="20"/>
        </w:rPr>
        <w:t> </w:t>
      </w:r>
      <w:r>
        <w:rPr>
          <w:sz w:val="20"/>
        </w:rPr>
        <w:t>como</w:t>
      </w:r>
      <w:r>
        <w:rPr>
          <w:spacing w:val="-8"/>
          <w:sz w:val="20"/>
        </w:rPr>
        <w:t> </w:t>
      </w:r>
      <w:r>
        <w:rPr>
          <w:sz w:val="20"/>
        </w:rPr>
        <w:t>dar</w:t>
      </w:r>
      <w:r>
        <w:rPr>
          <w:spacing w:val="-9"/>
          <w:sz w:val="20"/>
        </w:rPr>
        <w:t> </w:t>
      </w:r>
      <w:r>
        <w:rPr>
          <w:sz w:val="20"/>
        </w:rPr>
        <w:t>vista</w:t>
      </w:r>
      <w:r>
        <w:rPr>
          <w:spacing w:val="-8"/>
          <w:sz w:val="20"/>
        </w:rPr>
        <w:t> </w:t>
      </w:r>
      <w:r>
        <w:rPr>
          <w:sz w:val="20"/>
        </w:rPr>
        <w:t>a</w:t>
      </w:r>
      <w:r>
        <w:rPr>
          <w:spacing w:val="-8"/>
          <w:sz w:val="20"/>
        </w:rPr>
        <w:t> </w:t>
      </w:r>
      <w:r>
        <w:rPr>
          <w:sz w:val="20"/>
        </w:rPr>
        <w:t>las</w:t>
      </w:r>
      <w:r>
        <w:rPr>
          <w:spacing w:val="-9"/>
          <w:sz w:val="20"/>
        </w:rPr>
        <w:t> </w:t>
      </w:r>
      <w:r>
        <w:rPr>
          <w:sz w:val="20"/>
        </w:rPr>
        <w:t>autoridades</w:t>
      </w:r>
      <w:r>
        <w:rPr>
          <w:spacing w:val="-7"/>
          <w:sz w:val="20"/>
        </w:rPr>
        <w:t> </w:t>
      </w:r>
      <w:r>
        <w:rPr>
          <w:sz w:val="20"/>
        </w:rPr>
        <w:t>competentes,</w:t>
      </w:r>
      <w:r>
        <w:rPr>
          <w:spacing w:val="-8"/>
          <w:sz w:val="20"/>
        </w:rPr>
        <w:t> </w:t>
      </w:r>
      <w:r>
        <w:rPr>
          <w:sz w:val="20"/>
        </w:rPr>
        <w:t>para la aplicación de las sanciones que en materia penal se deriven de las faltas y violaciones a tales </w:t>
      </w:r>
      <w:r>
        <w:rPr>
          <w:spacing w:val="-2"/>
          <w:sz w:val="20"/>
        </w:rPr>
        <w:t>disposiciones;</w:t>
      </w:r>
    </w:p>
    <w:p>
      <w:pPr>
        <w:pStyle w:val="BodyText"/>
      </w:pPr>
    </w:p>
    <w:p>
      <w:pPr>
        <w:pStyle w:val="ListParagraph"/>
        <w:numPr>
          <w:ilvl w:val="0"/>
          <w:numId w:val="10"/>
        </w:numPr>
        <w:tabs>
          <w:tab w:pos="1112" w:val="left" w:leader="none"/>
        </w:tabs>
        <w:spacing w:line="240" w:lineRule="auto" w:before="0" w:after="0"/>
        <w:ind w:left="262" w:right="286" w:firstLine="0"/>
        <w:jc w:val="both"/>
        <w:rPr>
          <w:sz w:val="20"/>
        </w:rPr>
      </w:pPr>
      <w:r>
        <w:rPr>
          <w:sz w:val="20"/>
        </w:rPr>
        <w:t>Procurar que los instrumentos de planeación estatal en cualquiera de sus escalas, y</w:t>
      </w:r>
      <w:r>
        <w:rPr>
          <w:spacing w:val="40"/>
          <w:sz w:val="20"/>
        </w:rPr>
        <w:t> </w:t>
      </w:r>
      <w:r>
        <w:rPr>
          <w:sz w:val="20"/>
        </w:rPr>
        <w:t>los proyectos ejecutivos en todas la etapas de su proceso, se elaboren por especialistas en el tema correspondiente, y</w:t>
      </w:r>
    </w:p>
    <w:p>
      <w:pPr>
        <w:pStyle w:val="BodyText"/>
      </w:pPr>
    </w:p>
    <w:p>
      <w:pPr>
        <w:pStyle w:val="ListParagraph"/>
        <w:numPr>
          <w:ilvl w:val="0"/>
          <w:numId w:val="10"/>
        </w:numPr>
        <w:tabs>
          <w:tab w:pos="1112" w:val="left" w:leader="none"/>
        </w:tabs>
        <w:spacing w:line="240" w:lineRule="auto" w:before="0" w:after="0"/>
        <w:ind w:left="1112" w:right="0" w:hanging="850"/>
        <w:jc w:val="both"/>
        <w:rPr>
          <w:sz w:val="20"/>
        </w:rPr>
      </w:pPr>
      <w:r>
        <w:rPr>
          <w:sz w:val="20"/>
        </w:rPr>
        <w:t>Las</w:t>
      </w:r>
      <w:r>
        <w:rPr>
          <w:spacing w:val="-8"/>
          <w:sz w:val="20"/>
        </w:rPr>
        <w:t> </w:t>
      </w:r>
      <w:r>
        <w:rPr>
          <w:sz w:val="20"/>
        </w:rPr>
        <w:t>demás</w:t>
      </w:r>
      <w:r>
        <w:rPr>
          <w:spacing w:val="-7"/>
          <w:sz w:val="20"/>
        </w:rPr>
        <w:t> </w:t>
      </w:r>
      <w:r>
        <w:rPr>
          <w:sz w:val="20"/>
        </w:rPr>
        <w:t>que</w:t>
      </w:r>
      <w:r>
        <w:rPr>
          <w:spacing w:val="-7"/>
          <w:sz w:val="20"/>
        </w:rPr>
        <w:t> </w:t>
      </w:r>
      <w:r>
        <w:rPr>
          <w:sz w:val="20"/>
        </w:rPr>
        <w:t>le</w:t>
      </w:r>
      <w:r>
        <w:rPr>
          <w:spacing w:val="-7"/>
          <w:sz w:val="20"/>
        </w:rPr>
        <w:t> </w:t>
      </w:r>
      <w:r>
        <w:rPr>
          <w:sz w:val="20"/>
        </w:rPr>
        <w:t>otorguen</w:t>
      </w:r>
      <w:r>
        <w:rPr>
          <w:spacing w:val="-7"/>
          <w:sz w:val="20"/>
        </w:rPr>
        <w:t> </w:t>
      </w:r>
      <w:r>
        <w:rPr>
          <w:sz w:val="20"/>
        </w:rPr>
        <w:t>otras</w:t>
      </w:r>
      <w:r>
        <w:rPr>
          <w:spacing w:val="-7"/>
          <w:sz w:val="20"/>
        </w:rPr>
        <w:t> </w:t>
      </w:r>
      <w:r>
        <w:rPr>
          <w:sz w:val="20"/>
        </w:rPr>
        <w:t>disposiciones</w:t>
      </w:r>
      <w:r>
        <w:rPr>
          <w:spacing w:val="-5"/>
          <w:sz w:val="20"/>
        </w:rPr>
        <w:t> </w:t>
      </w:r>
      <w:r>
        <w:rPr>
          <w:sz w:val="20"/>
        </w:rPr>
        <w:t>legales</w:t>
      </w:r>
      <w:r>
        <w:rPr>
          <w:spacing w:val="-5"/>
          <w:sz w:val="20"/>
        </w:rPr>
        <w:t> </w:t>
      </w:r>
      <w:r>
        <w:rPr>
          <w:sz w:val="20"/>
        </w:rPr>
        <w:t>y</w:t>
      </w:r>
      <w:r>
        <w:rPr>
          <w:spacing w:val="-7"/>
          <w:sz w:val="20"/>
        </w:rPr>
        <w:t> </w:t>
      </w:r>
      <w:r>
        <w:rPr>
          <w:spacing w:val="-2"/>
          <w:sz w:val="20"/>
        </w:rPr>
        <w:t>reglamentarias.</w:t>
      </w:r>
    </w:p>
    <w:p>
      <w:pPr>
        <w:pStyle w:val="BodyText"/>
      </w:pPr>
    </w:p>
    <w:p>
      <w:pPr>
        <w:pStyle w:val="BodyText"/>
        <w:spacing w:before="1"/>
      </w:pPr>
    </w:p>
    <w:p>
      <w:pPr>
        <w:pStyle w:val="Heading2"/>
        <w:spacing w:line="480" w:lineRule="auto" w:before="1"/>
        <w:ind w:left="3193" w:right="3159" w:firstLine="957"/>
        <w:jc w:val="left"/>
      </w:pPr>
      <w:r>
        <w:rPr/>
        <w:t>Capítulo VI Atribuciones</w:t>
      </w:r>
      <w:r>
        <w:rPr>
          <w:spacing w:val="-14"/>
        </w:rPr>
        <w:t> </w:t>
      </w:r>
      <w:r>
        <w:rPr/>
        <w:t>de</w:t>
      </w:r>
      <w:r>
        <w:rPr>
          <w:spacing w:val="-14"/>
        </w:rPr>
        <w:t> </w:t>
      </w:r>
      <w:r>
        <w:rPr/>
        <w:t>los</w:t>
      </w:r>
      <w:r>
        <w:rPr>
          <w:spacing w:val="-14"/>
        </w:rPr>
        <w:t> </w:t>
      </w:r>
      <w:r>
        <w:rPr/>
        <w:t>Municipios</w:t>
      </w:r>
    </w:p>
    <w:p>
      <w:pPr>
        <w:spacing w:line="229" w:lineRule="exact" w:before="0"/>
        <w:ind w:left="262"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18.</w:t>
      </w:r>
      <w:r>
        <w:rPr>
          <w:rFonts w:ascii="Arial" w:hAnsi="Arial"/>
          <w:b/>
          <w:spacing w:val="-6"/>
          <w:sz w:val="20"/>
        </w:rPr>
        <w:t> </w:t>
      </w:r>
      <w:r>
        <w:rPr>
          <w:sz w:val="20"/>
        </w:rPr>
        <w:t>Corresponde</w:t>
      </w:r>
      <w:r>
        <w:rPr>
          <w:spacing w:val="-8"/>
          <w:sz w:val="20"/>
        </w:rPr>
        <w:t> </w:t>
      </w:r>
      <w:r>
        <w:rPr>
          <w:sz w:val="20"/>
        </w:rPr>
        <w:t>a</w:t>
      </w:r>
      <w:r>
        <w:rPr>
          <w:spacing w:val="-5"/>
          <w:sz w:val="20"/>
        </w:rPr>
        <w:t> </w:t>
      </w:r>
      <w:r>
        <w:rPr>
          <w:sz w:val="20"/>
        </w:rPr>
        <w:t>los</w:t>
      </w:r>
      <w:r>
        <w:rPr>
          <w:spacing w:val="-6"/>
          <w:sz w:val="20"/>
        </w:rPr>
        <w:t> </w:t>
      </w:r>
      <w:r>
        <w:rPr>
          <w:spacing w:val="-2"/>
          <w:sz w:val="20"/>
        </w:rPr>
        <w:t>municipios:</w:t>
      </w:r>
    </w:p>
    <w:p>
      <w:pPr>
        <w:pStyle w:val="BodyText"/>
      </w:pPr>
    </w:p>
    <w:p>
      <w:pPr>
        <w:pStyle w:val="ListParagraph"/>
        <w:numPr>
          <w:ilvl w:val="0"/>
          <w:numId w:val="11"/>
        </w:numPr>
        <w:tabs>
          <w:tab w:pos="742" w:val="left" w:leader="none"/>
        </w:tabs>
        <w:spacing w:line="240" w:lineRule="auto" w:before="0" w:after="0"/>
        <w:ind w:left="262" w:right="281" w:firstLine="52"/>
        <w:jc w:val="both"/>
        <w:rPr>
          <w:sz w:val="20"/>
        </w:rPr>
      </w:pPr>
      <w:r>
        <w:rPr>
          <w:sz w:val="20"/>
        </w:rPr>
        <w:t>Formular,</w:t>
      </w:r>
      <w:r>
        <w:rPr>
          <w:spacing w:val="-7"/>
          <w:sz w:val="20"/>
        </w:rPr>
        <w:t> </w:t>
      </w:r>
      <w:r>
        <w:rPr>
          <w:sz w:val="20"/>
        </w:rPr>
        <w:t>aprobar,</w:t>
      </w:r>
      <w:r>
        <w:rPr>
          <w:spacing w:val="-6"/>
          <w:sz w:val="20"/>
        </w:rPr>
        <w:t> </w:t>
      </w:r>
      <w:r>
        <w:rPr>
          <w:sz w:val="20"/>
        </w:rPr>
        <w:t>administrar,</w:t>
      </w:r>
      <w:r>
        <w:rPr>
          <w:spacing w:val="-7"/>
          <w:sz w:val="20"/>
        </w:rPr>
        <w:t> </w:t>
      </w:r>
      <w:r>
        <w:rPr>
          <w:sz w:val="20"/>
        </w:rPr>
        <w:t>evaluar,</w:t>
      </w:r>
      <w:r>
        <w:rPr>
          <w:spacing w:val="-6"/>
          <w:sz w:val="20"/>
        </w:rPr>
        <w:t> </w:t>
      </w:r>
      <w:r>
        <w:rPr>
          <w:sz w:val="20"/>
        </w:rPr>
        <w:t>actualizar,</w:t>
      </w:r>
      <w:r>
        <w:rPr>
          <w:spacing w:val="-6"/>
          <w:sz w:val="20"/>
        </w:rPr>
        <w:t> </w:t>
      </w:r>
      <w:r>
        <w:rPr>
          <w:sz w:val="20"/>
        </w:rPr>
        <w:t>modificar,</w:t>
      </w:r>
      <w:r>
        <w:rPr>
          <w:spacing w:val="-7"/>
          <w:sz w:val="20"/>
        </w:rPr>
        <w:t> </w:t>
      </w:r>
      <w:r>
        <w:rPr>
          <w:sz w:val="20"/>
        </w:rPr>
        <w:t>ejecutar</w:t>
      </w:r>
      <w:r>
        <w:rPr>
          <w:spacing w:val="-7"/>
          <w:sz w:val="20"/>
        </w:rPr>
        <w:t> </w:t>
      </w:r>
      <w:r>
        <w:rPr>
          <w:sz w:val="20"/>
        </w:rPr>
        <w:t>y</w:t>
      </w:r>
      <w:r>
        <w:rPr>
          <w:spacing w:val="-6"/>
          <w:sz w:val="20"/>
        </w:rPr>
        <w:t> </w:t>
      </w:r>
      <w:r>
        <w:rPr>
          <w:sz w:val="20"/>
        </w:rPr>
        <w:t>vigilar</w:t>
      </w:r>
      <w:r>
        <w:rPr>
          <w:spacing w:val="-6"/>
          <w:sz w:val="20"/>
        </w:rPr>
        <w:t> </w:t>
      </w:r>
      <w:r>
        <w:rPr>
          <w:sz w:val="20"/>
        </w:rPr>
        <w:t>el</w:t>
      </w:r>
      <w:r>
        <w:rPr>
          <w:spacing w:val="-8"/>
          <w:sz w:val="20"/>
        </w:rPr>
        <w:t> </w:t>
      </w:r>
      <w:r>
        <w:rPr>
          <w:sz w:val="20"/>
        </w:rPr>
        <w:t>cumplimiento de</w:t>
      </w:r>
      <w:r>
        <w:rPr>
          <w:spacing w:val="-3"/>
          <w:sz w:val="20"/>
        </w:rPr>
        <w:t> </w:t>
      </w:r>
      <w:r>
        <w:rPr>
          <w:sz w:val="20"/>
        </w:rPr>
        <w:t>los</w:t>
      </w:r>
      <w:r>
        <w:rPr>
          <w:spacing w:val="-1"/>
          <w:sz w:val="20"/>
        </w:rPr>
        <w:t> </w:t>
      </w:r>
      <w:r>
        <w:rPr>
          <w:sz w:val="20"/>
        </w:rPr>
        <w:t>Programas</w:t>
      </w:r>
      <w:r>
        <w:rPr>
          <w:spacing w:val="-1"/>
          <w:sz w:val="20"/>
        </w:rPr>
        <w:t> </w:t>
      </w:r>
      <w:r>
        <w:rPr>
          <w:sz w:val="20"/>
        </w:rPr>
        <w:t>Municipales</w:t>
      </w:r>
      <w:r>
        <w:rPr>
          <w:spacing w:val="-1"/>
          <w:sz w:val="20"/>
        </w:rPr>
        <w:t> </w:t>
      </w:r>
      <w:r>
        <w:rPr>
          <w:sz w:val="20"/>
        </w:rPr>
        <w:t>de</w:t>
      </w:r>
      <w:r>
        <w:rPr>
          <w:spacing w:val="-3"/>
          <w:sz w:val="20"/>
        </w:rPr>
        <w:t> </w:t>
      </w:r>
      <w:r>
        <w:rPr>
          <w:sz w:val="20"/>
        </w:rPr>
        <w:t>Ordenamiento</w:t>
      </w:r>
      <w:r>
        <w:rPr>
          <w:spacing w:val="-3"/>
          <w:sz w:val="20"/>
        </w:rPr>
        <w:t> </w:t>
      </w:r>
      <w:r>
        <w:rPr>
          <w:sz w:val="20"/>
        </w:rPr>
        <w:t>Territorial</w:t>
      </w:r>
      <w:r>
        <w:rPr>
          <w:spacing w:val="-3"/>
          <w:sz w:val="20"/>
        </w:rPr>
        <w:t> </w:t>
      </w:r>
      <w:r>
        <w:rPr>
          <w:sz w:val="20"/>
        </w:rPr>
        <w:t>y</w:t>
      </w:r>
      <w:r>
        <w:rPr>
          <w:spacing w:val="-1"/>
          <w:sz w:val="20"/>
        </w:rPr>
        <w:t> </w:t>
      </w:r>
      <w:r>
        <w:rPr>
          <w:sz w:val="20"/>
        </w:rPr>
        <w:t>Desarrollo</w:t>
      </w:r>
      <w:r>
        <w:rPr>
          <w:spacing w:val="-2"/>
          <w:sz w:val="20"/>
        </w:rPr>
        <w:t> </w:t>
      </w:r>
      <w:r>
        <w:rPr>
          <w:sz w:val="20"/>
        </w:rPr>
        <w:t>Urbano</w:t>
      </w:r>
      <w:r>
        <w:rPr>
          <w:spacing w:val="-2"/>
          <w:sz w:val="20"/>
        </w:rPr>
        <w:t> </w:t>
      </w:r>
      <w:r>
        <w:rPr>
          <w:sz w:val="20"/>
        </w:rPr>
        <w:t>y los</w:t>
      </w:r>
      <w:r>
        <w:rPr>
          <w:spacing w:val="-1"/>
          <w:sz w:val="20"/>
        </w:rPr>
        <w:t> </w:t>
      </w:r>
      <w:r>
        <w:rPr>
          <w:sz w:val="20"/>
        </w:rPr>
        <w:t>Programas</w:t>
      </w:r>
      <w:r>
        <w:rPr>
          <w:spacing w:val="-1"/>
          <w:sz w:val="20"/>
        </w:rPr>
        <w:t> </w:t>
      </w:r>
      <w:r>
        <w:rPr>
          <w:sz w:val="20"/>
        </w:rPr>
        <w:t>de Desarrollo Urbano de los Centros de Población, y los demás que de estos se deriven; con base en lo</w:t>
      </w:r>
      <w:r>
        <w:rPr>
          <w:spacing w:val="-14"/>
          <w:sz w:val="20"/>
        </w:rPr>
        <w:t> </w:t>
      </w:r>
      <w:r>
        <w:rPr>
          <w:sz w:val="20"/>
        </w:rPr>
        <w:t>dispuesto</w:t>
      </w:r>
      <w:r>
        <w:rPr>
          <w:spacing w:val="-14"/>
          <w:sz w:val="20"/>
        </w:rPr>
        <w:t> </w:t>
      </w:r>
      <w:r>
        <w:rPr>
          <w:sz w:val="20"/>
        </w:rPr>
        <w:t>en</w:t>
      </w:r>
      <w:r>
        <w:rPr>
          <w:spacing w:val="-14"/>
          <w:sz w:val="20"/>
        </w:rPr>
        <w:t> </w:t>
      </w:r>
      <w:r>
        <w:rPr>
          <w:sz w:val="20"/>
        </w:rPr>
        <w:t>esta</w:t>
      </w:r>
      <w:r>
        <w:rPr>
          <w:spacing w:val="-14"/>
          <w:sz w:val="20"/>
        </w:rPr>
        <w:t> </w:t>
      </w:r>
      <w:r>
        <w:rPr>
          <w:sz w:val="20"/>
        </w:rPr>
        <w:t>Ley,</w:t>
      </w:r>
      <w:r>
        <w:rPr>
          <w:spacing w:val="-14"/>
          <w:sz w:val="20"/>
        </w:rPr>
        <w:t> </w:t>
      </w:r>
      <w:r>
        <w:rPr>
          <w:sz w:val="20"/>
        </w:rPr>
        <w:t>los</w:t>
      </w:r>
      <w:r>
        <w:rPr>
          <w:spacing w:val="-14"/>
          <w:sz w:val="20"/>
        </w:rPr>
        <w:t> </w:t>
      </w:r>
      <w:r>
        <w:rPr>
          <w:sz w:val="20"/>
        </w:rPr>
        <w:t>cuales</w:t>
      </w:r>
      <w:r>
        <w:rPr>
          <w:spacing w:val="-14"/>
          <w:sz w:val="20"/>
        </w:rPr>
        <w:t> </w:t>
      </w:r>
      <w:r>
        <w:rPr>
          <w:sz w:val="20"/>
        </w:rPr>
        <w:t>deberán</w:t>
      </w:r>
      <w:r>
        <w:rPr>
          <w:spacing w:val="-14"/>
          <w:sz w:val="20"/>
        </w:rPr>
        <w:t> </w:t>
      </w:r>
      <w:r>
        <w:rPr>
          <w:sz w:val="20"/>
        </w:rPr>
        <w:t>tener</w:t>
      </w:r>
      <w:r>
        <w:rPr>
          <w:spacing w:val="-14"/>
          <w:sz w:val="20"/>
        </w:rPr>
        <w:t> </w:t>
      </w:r>
      <w:r>
        <w:rPr>
          <w:sz w:val="20"/>
        </w:rPr>
        <w:t>congruencia</w:t>
      </w:r>
      <w:r>
        <w:rPr>
          <w:spacing w:val="-13"/>
          <w:sz w:val="20"/>
        </w:rPr>
        <w:t> </w:t>
      </w:r>
      <w:r>
        <w:rPr>
          <w:sz w:val="20"/>
        </w:rPr>
        <w:t>y</w:t>
      </w:r>
      <w:r>
        <w:rPr>
          <w:spacing w:val="-14"/>
          <w:sz w:val="20"/>
        </w:rPr>
        <w:t> </w:t>
      </w:r>
      <w:r>
        <w:rPr>
          <w:sz w:val="20"/>
        </w:rPr>
        <w:t>vinculación</w:t>
      </w:r>
      <w:r>
        <w:rPr>
          <w:spacing w:val="-14"/>
          <w:sz w:val="20"/>
        </w:rPr>
        <w:t> </w:t>
      </w:r>
      <w:r>
        <w:rPr>
          <w:sz w:val="20"/>
        </w:rPr>
        <w:t>con</w:t>
      </w:r>
      <w:r>
        <w:rPr>
          <w:spacing w:val="-14"/>
          <w:sz w:val="20"/>
        </w:rPr>
        <w:t> </w:t>
      </w:r>
      <w:r>
        <w:rPr>
          <w:sz w:val="20"/>
        </w:rPr>
        <w:t>el</w:t>
      </w:r>
      <w:r>
        <w:rPr>
          <w:spacing w:val="-14"/>
          <w:sz w:val="20"/>
        </w:rPr>
        <w:t> </w:t>
      </w:r>
      <w:r>
        <w:rPr>
          <w:sz w:val="20"/>
        </w:rPr>
        <w:t>Programa</w:t>
      </w:r>
      <w:r>
        <w:rPr>
          <w:spacing w:val="-14"/>
          <w:sz w:val="20"/>
        </w:rPr>
        <w:t> </w:t>
      </w:r>
      <w:r>
        <w:rPr>
          <w:sz w:val="20"/>
        </w:rPr>
        <w:t>Estatal de Ordenamiento Territorial y Desarrollo Urbano y con otros niveles superiores de planeación, y deberán contar para su validez con el dictamen de congruencia expedido por la Secretaría;</w:t>
      </w:r>
    </w:p>
    <w:p>
      <w:pPr>
        <w:pStyle w:val="BodyText"/>
        <w:spacing w:before="1"/>
      </w:pPr>
    </w:p>
    <w:p>
      <w:pPr>
        <w:pStyle w:val="ListParagraph"/>
        <w:numPr>
          <w:ilvl w:val="0"/>
          <w:numId w:val="11"/>
        </w:numPr>
        <w:tabs>
          <w:tab w:pos="686" w:val="left" w:leader="none"/>
        </w:tabs>
        <w:spacing w:line="240" w:lineRule="auto" w:before="0" w:after="0"/>
        <w:ind w:left="262" w:right="285" w:firstLine="0"/>
        <w:jc w:val="both"/>
        <w:rPr>
          <w:sz w:val="20"/>
        </w:rPr>
      </w:pPr>
      <w:r>
        <w:rPr>
          <w:sz w:val="20"/>
        </w:rPr>
        <w:t>Aplicar los mecanismos de consulta ciudadana para la formulación, modificación y evaluación de</w:t>
      </w:r>
      <w:r>
        <w:rPr>
          <w:spacing w:val="-3"/>
          <w:sz w:val="20"/>
        </w:rPr>
        <w:t> </w:t>
      </w:r>
      <w:r>
        <w:rPr>
          <w:sz w:val="20"/>
        </w:rPr>
        <w:t>los</w:t>
      </w:r>
      <w:r>
        <w:rPr>
          <w:spacing w:val="-1"/>
          <w:sz w:val="20"/>
        </w:rPr>
        <w:t> </w:t>
      </w:r>
      <w:r>
        <w:rPr>
          <w:sz w:val="20"/>
        </w:rPr>
        <w:t>programas</w:t>
      </w:r>
      <w:r>
        <w:rPr>
          <w:spacing w:val="-1"/>
          <w:sz w:val="20"/>
        </w:rPr>
        <w:t> </w:t>
      </w:r>
      <w:r>
        <w:rPr>
          <w:sz w:val="20"/>
        </w:rPr>
        <w:t>municipales</w:t>
      </w:r>
      <w:r>
        <w:rPr>
          <w:spacing w:val="-3"/>
          <w:sz w:val="20"/>
        </w:rPr>
        <w:t> </w:t>
      </w:r>
      <w:r>
        <w:rPr>
          <w:sz w:val="20"/>
        </w:rPr>
        <w:t>de</w:t>
      </w:r>
      <w:r>
        <w:rPr>
          <w:spacing w:val="-2"/>
          <w:sz w:val="20"/>
        </w:rPr>
        <w:t> </w:t>
      </w:r>
      <w:r>
        <w:rPr>
          <w:sz w:val="20"/>
        </w:rPr>
        <w:t>Desarrollo</w:t>
      </w:r>
      <w:r>
        <w:rPr>
          <w:spacing w:val="-4"/>
          <w:sz w:val="20"/>
        </w:rPr>
        <w:t> </w:t>
      </w:r>
      <w:r>
        <w:rPr>
          <w:sz w:val="20"/>
        </w:rPr>
        <w:t>Urbano</w:t>
      </w:r>
      <w:r>
        <w:rPr>
          <w:spacing w:val="-2"/>
          <w:sz w:val="20"/>
        </w:rPr>
        <w:t> </w:t>
      </w:r>
      <w:r>
        <w:rPr>
          <w:sz w:val="20"/>
        </w:rPr>
        <w:t>y</w:t>
      </w:r>
      <w:r>
        <w:rPr>
          <w:spacing w:val="-1"/>
          <w:sz w:val="20"/>
        </w:rPr>
        <w:t> </w:t>
      </w:r>
      <w:r>
        <w:rPr>
          <w:sz w:val="20"/>
        </w:rPr>
        <w:t>los</w:t>
      </w:r>
      <w:r>
        <w:rPr>
          <w:spacing w:val="-3"/>
          <w:sz w:val="20"/>
        </w:rPr>
        <w:t> </w:t>
      </w:r>
      <w:r>
        <w:rPr>
          <w:sz w:val="20"/>
        </w:rPr>
        <w:t>que</w:t>
      </w:r>
      <w:r>
        <w:rPr>
          <w:spacing w:val="-2"/>
          <w:sz w:val="20"/>
        </w:rPr>
        <w:t> </w:t>
      </w:r>
      <w:r>
        <w:rPr>
          <w:sz w:val="20"/>
        </w:rPr>
        <w:t>de</w:t>
      </w:r>
      <w:r>
        <w:rPr>
          <w:spacing w:val="-3"/>
          <w:sz w:val="20"/>
        </w:rPr>
        <w:t> </w:t>
      </w:r>
      <w:r>
        <w:rPr>
          <w:sz w:val="20"/>
        </w:rPr>
        <w:t>ellos</w:t>
      </w:r>
      <w:r>
        <w:rPr>
          <w:spacing w:val="-1"/>
          <w:sz w:val="20"/>
        </w:rPr>
        <w:t> </w:t>
      </w:r>
      <w:r>
        <w:rPr>
          <w:sz w:val="20"/>
        </w:rPr>
        <w:t>emanen</w:t>
      </w:r>
      <w:r>
        <w:rPr>
          <w:spacing w:val="-4"/>
          <w:sz w:val="20"/>
        </w:rPr>
        <w:t> </w:t>
      </w:r>
      <w:r>
        <w:rPr>
          <w:sz w:val="20"/>
        </w:rPr>
        <w:t>de</w:t>
      </w:r>
      <w:r>
        <w:rPr>
          <w:spacing w:val="-2"/>
          <w:sz w:val="20"/>
        </w:rPr>
        <w:t> </w:t>
      </w:r>
      <w:r>
        <w:rPr>
          <w:sz w:val="20"/>
        </w:rPr>
        <w:t>conformidad</w:t>
      </w:r>
      <w:r>
        <w:rPr>
          <w:spacing w:val="-2"/>
          <w:sz w:val="20"/>
        </w:rPr>
        <w:t> </w:t>
      </w:r>
      <w:r>
        <w:rPr>
          <w:sz w:val="20"/>
        </w:rPr>
        <w:t>con lo dispuesto por esta Ley;</w:t>
      </w:r>
    </w:p>
    <w:p>
      <w:pPr>
        <w:pStyle w:val="ListParagraph"/>
        <w:numPr>
          <w:ilvl w:val="0"/>
          <w:numId w:val="11"/>
        </w:numPr>
        <w:tabs>
          <w:tab w:pos="741" w:val="left" w:leader="none"/>
        </w:tabs>
        <w:spacing w:line="240" w:lineRule="auto" w:before="230" w:after="0"/>
        <w:ind w:left="262" w:right="284" w:firstLine="0"/>
        <w:jc w:val="both"/>
        <w:rPr>
          <w:sz w:val="20"/>
        </w:rPr>
      </w:pPr>
      <w:r>
        <w:rPr>
          <w:sz w:val="20"/>
        </w:rPr>
        <w:t>Validar</w:t>
      </w:r>
      <w:r>
        <w:rPr>
          <w:spacing w:val="-7"/>
          <w:sz w:val="20"/>
        </w:rPr>
        <w:t> </w:t>
      </w:r>
      <w:r>
        <w:rPr>
          <w:sz w:val="20"/>
        </w:rPr>
        <w:t>ante</w:t>
      </w:r>
      <w:r>
        <w:rPr>
          <w:spacing w:val="-8"/>
          <w:sz w:val="20"/>
        </w:rPr>
        <w:t> </w:t>
      </w:r>
      <w:r>
        <w:rPr>
          <w:sz w:val="20"/>
        </w:rPr>
        <w:t>la</w:t>
      </w:r>
      <w:r>
        <w:rPr>
          <w:spacing w:val="-8"/>
          <w:sz w:val="20"/>
        </w:rPr>
        <w:t> </w:t>
      </w:r>
      <w:r>
        <w:rPr>
          <w:sz w:val="20"/>
        </w:rPr>
        <w:t>Secretaría</w:t>
      </w:r>
      <w:r>
        <w:rPr>
          <w:spacing w:val="-6"/>
          <w:sz w:val="20"/>
        </w:rPr>
        <w:t> </w:t>
      </w:r>
      <w:r>
        <w:rPr>
          <w:sz w:val="20"/>
        </w:rPr>
        <w:t>la</w:t>
      </w:r>
      <w:r>
        <w:rPr>
          <w:spacing w:val="-8"/>
          <w:sz w:val="20"/>
        </w:rPr>
        <w:t> </w:t>
      </w:r>
      <w:r>
        <w:rPr>
          <w:sz w:val="20"/>
        </w:rPr>
        <w:t>congruencia,</w:t>
      </w:r>
      <w:r>
        <w:rPr>
          <w:spacing w:val="-7"/>
          <w:sz w:val="20"/>
        </w:rPr>
        <w:t> </w:t>
      </w:r>
      <w:r>
        <w:rPr>
          <w:sz w:val="20"/>
        </w:rPr>
        <w:t>coordinación</w:t>
      </w:r>
      <w:r>
        <w:rPr>
          <w:spacing w:val="-8"/>
          <w:sz w:val="20"/>
        </w:rPr>
        <w:t> </w:t>
      </w:r>
      <w:r>
        <w:rPr>
          <w:sz w:val="20"/>
        </w:rPr>
        <w:t>y</w:t>
      </w:r>
      <w:r>
        <w:rPr>
          <w:spacing w:val="-6"/>
          <w:sz w:val="20"/>
        </w:rPr>
        <w:t> </w:t>
      </w:r>
      <w:r>
        <w:rPr>
          <w:sz w:val="20"/>
        </w:rPr>
        <w:t>ajuste</w:t>
      </w:r>
      <w:r>
        <w:rPr>
          <w:spacing w:val="-8"/>
          <w:sz w:val="20"/>
        </w:rPr>
        <w:t> </w:t>
      </w:r>
      <w:r>
        <w:rPr>
          <w:sz w:val="20"/>
        </w:rPr>
        <w:t>de</w:t>
      </w:r>
      <w:r>
        <w:rPr>
          <w:spacing w:val="-8"/>
          <w:sz w:val="20"/>
        </w:rPr>
        <w:t> </w:t>
      </w:r>
      <w:r>
        <w:rPr>
          <w:sz w:val="20"/>
        </w:rPr>
        <w:t>sus</w:t>
      </w:r>
      <w:r>
        <w:rPr>
          <w:spacing w:val="-7"/>
          <w:sz w:val="20"/>
        </w:rPr>
        <w:t> </w:t>
      </w:r>
      <w:r>
        <w:rPr>
          <w:sz w:val="20"/>
        </w:rPr>
        <w:t>programas</w:t>
      </w:r>
      <w:r>
        <w:rPr>
          <w:spacing w:val="-6"/>
          <w:sz w:val="20"/>
        </w:rPr>
        <w:t> </w:t>
      </w:r>
      <w:r>
        <w:rPr>
          <w:sz w:val="20"/>
        </w:rPr>
        <w:t>municipales en materia de desarrollo urbano, lo anterior en los términos previstos en el artículo 115, fracción V de la Constitución Política de los Estados Unidos Mexicanos;</w:t>
      </w:r>
    </w:p>
    <w:p>
      <w:pPr>
        <w:pStyle w:val="ListParagraph"/>
        <w:numPr>
          <w:ilvl w:val="0"/>
          <w:numId w:val="11"/>
        </w:numPr>
        <w:tabs>
          <w:tab w:pos="688" w:val="left" w:leader="none"/>
        </w:tabs>
        <w:spacing w:line="240" w:lineRule="auto" w:before="229" w:after="0"/>
        <w:ind w:left="262" w:right="283" w:firstLine="0"/>
        <w:jc w:val="both"/>
        <w:rPr>
          <w:sz w:val="20"/>
        </w:rPr>
      </w:pPr>
      <w:r>
        <w:rPr>
          <w:sz w:val="20"/>
        </w:rPr>
        <w:t>Solicitar</w:t>
      </w:r>
      <w:r>
        <w:rPr>
          <w:spacing w:val="-7"/>
          <w:sz w:val="20"/>
        </w:rPr>
        <w:t> </w:t>
      </w:r>
      <w:r>
        <w:rPr>
          <w:sz w:val="20"/>
        </w:rPr>
        <w:t>oportunamente</w:t>
      </w:r>
      <w:r>
        <w:rPr>
          <w:spacing w:val="-7"/>
          <w:sz w:val="20"/>
        </w:rPr>
        <w:t> </w:t>
      </w:r>
      <w:r>
        <w:rPr>
          <w:sz w:val="20"/>
        </w:rPr>
        <w:t>al</w:t>
      </w:r>
      <w:r>
        <w:rPr>
          <w:spacing w:val="-8"/>
          <w:sz w:val="20"/>
        </w:rPr>
        <w:t> </w:t>
      </w:r>
      <w:r>
        <w:rPr>
          <w:sz w:val="20"/>
        </w:rPr>
        <w:t>Instituto</w:t>
      </w:r>
      <w:r>
        <w:rPr>
          <w:spacing w:val="-7"/>
          <w:sz w:val="20"/>
        </w:rPr>
        <w:t> </w:t>
      </w:r>
      <w:r>
        <w:rPr>
          <w:sz w:val="20"/>
        </w:rPr>
        <w:t>Registral</w:t>
      </w:r>
      <w:r>
        <w:rPr>
          <w:spacing w:val="-8"/>
          <w:sz w:val="20"/>
        </w:rPr>
        <w:t> </w:t>
      </w:r>
      <w:r>
        <w:rPr>
          <w:sz w:val="20"/>
        </w:rPr>
        <w:t>y</w:t>
      </w:r>
      <w:r>
        <w:rPr>
          <w:spacing w:val="-6"/>
          <w:sz w:val="20"/>
        </w:rPr>
        <w:t> </w:t>
      </w:r>
      <w:r>
        <w:rPr>
          <w:sz w:val="20"/>
        </w:rPr>
        <w:t>Catastral</w:t>
      </w:r>
      <w:r>
        <w:rPr>
          <w:spacing w:val="-7"/>
          <w:sz w:val="20"/>
        </w:rPr>
        <w:t> </w:t>
      </w:r>
      <w:r>
        <w:rPr>
          <w:sz w:val="20"/>
        </w:rPr>
        <w:t>del</w:t>
      </w:r>
      <w:r>
        <w:rPr>
          <w:spacing w:val="-6"/>
          <w:sz w:val="20"/>
        </w:rPr>
        <w:t> </w:t>
      </w:r>
      <w:r>
        <w:rPr>
          <w:sz w:val="20"/>
        </w:rPr>
        <w:t>Estado</w:t>
      </w:r>
      <w:r>
        <w:rPr>
          <w:spacing w:val="-7"/>
          <w:sz w:val="20"/>
        </w:rPr>
        <w:t> </w:t>
      </w:r>
      <w:r>
        <w:rPr>
          <w:sz w:val="20"/>
        </w:rPr>
        <w:t>la</w:t>
      </w:r>
      <w:r>
        <w:rPr>
          <w:spacing w:val="-7"/>
          <w:sz w:val="20"/>
        </w:rPr>
        <w:t> </w:t>
      </w:r>
      <w:r>
        <w:rPr>
          <w:sz w:val="20"/>
        </w:rPr>
        <w:t>inscripción</w:t>
      </w:r>
      <w:r>
        <w:rPr>
          <w:spacing w:val="-7"/>
          <w:sz w:val="20"/>
        </w:rPr>
        <w:t> </w:t>
      </w:r>
      <w:r>
        <w:rPr>
          <w:sz w:val="20"/>
        </w:rPr>
        <w:t>en</w:t>
      </w:r>
      <w:r>
        <w:rPr>
          <w:spacing w:val="-7"/>
          <w:sz w:val="20"/>
        </w:rPr>
        <w:t> </w:t>
      </w:r>
      <w:r>
        <w:rPr>
          <w:sz w:val="20"/>
        </w:rPr>
        <w:t>el</w:t>
      </w:r>
      <w:r>
        <w:rPr>
          <w:spacing w:val="-8"/>
          <w:sz w:val="20"/>
        </w:rPr>
        <w:t> </w:t>
      </w:r>
      <w:r>
        <w:rPr>
          <w:sz w:val="20"/>
        </w:rPr>
        <w:t>Registro Público de la Propiedad, dependiente del Instituto Registral y Catastral del Estado, del Programa Municipal de Ordenamiento Territorial y Desarrollo Urbano y los demás programas que del mismo deriven y se aprueben por el Ayuntamiento, y ante el Ejecutivo del Estado,</w:t>
      </w:r>
      <w:r>
        <w:rPr>
          <w:spacing w:val="40"/>
          <w:sz w:val="20"/>
        </w:rPr>
        <w:t> </w:t>
      </w:r>
      <w:r>
        <w:rPr>
          <w:sz w:val="20"/>
        </w:rPr>
        <w:t>su publicación en el Periódico</w:t>
      </w:r>
      <w:r>
        <w:rPr>
          <w:spacing w:val="-1"/>
          <w:sz w:val="20"/>
        </w:rPr>
        <w:t> </w:t>
      </w:r>
      <w:r>
        <w:rPr>
          <w:sz w:val="20"/>
        </w:rPr>
        <w:t>Oficial</w:t>
      </w:r>
      <w:r>
        <w:rPr>
          <w:spacing w:val="-2"/>
          <w:sz w:val="20"/>
        </w:rPr>
        <w:t> </w:t>
      </w:r>
      <w:r>
        <w:rPr>
          <w:sz w:val="20"/>
        </w:rPr>
        <w:t>del</w:t>
      </w:r>
      <w:r>
        <w:rPr>
          <w:spacing w:val="-4"/>
          <w:sz w:val="20"/>
        </w:rPr>
        <w:t> </w:t>
      </w:r>
      <w:r>
        <w:rPr>
          <w:sz w:val="20"/>
        </w:rPr>
        <w:t>Estado</w:t>
      </w:r>
      <w:r>
        <w:rPr>
          <w:spacing w:val="-1"/>
          <w:sz w:val="20"/>
        </w:rPr>
        <w:t> </w:t>
      </w:r>
      <w:r>
        <w:rPr>
          <w:sz w:val="20"/>
        </w:rPr>
        <w:t>“Plan</w:t>
      </w:r>
      <w:r>
        <w:rPr>
          <w:spacing w:val="-3"/>
          <w:sz w:val="20"/>
        </w:rPr>
        <w:t> </w:t>
      </w:r>
      <w:r>
        <w:rPr>
          <w:sz w:val="20"/>
        </w:rPr>
        <w:t>de</w:t>
      </w:r>
      <w:r>
        <w:rPr>
          <w:spacing w:val="-3"/>
          <w:sz w:val="20"/>
        </w:rPr>
        <w:t> </w:t>
      </w:r>
      <w:r>
        <w:rPr>
          <w:sz w:val="20"/>
        </w:rPr>
        <w:t>San</w:t>
      </w:r>
      <w:r>
        <w:rPr>
          <w:spacing w:val="-2"/>
          <w:sz w:val="20"/>
        </w:rPr>
        <w:t> </w:t>
      </w:r>
      <w:r>
        <w:rPr>
          <w:sz w:val="20"/>
        </w:rPr>
        <w:t>Luis”;</w:t>
      </w:r>
    </w:p>
    <w:p>
      <w:pPr>
        <w:pStyle w:val="BodyText"/>
      </w:pPr>
    </w:p>
    <w:p>
      <w:pPr>
        <w:pStyle w:val="ListParagraph"/>
        <w:numPr>
          <w:ilvl w:val="0"/>
          <w:numId w:val="11"/>
        </w:numPr>
        <w:tabs>
          <w:tab w:pos="688" w:val="left" w:leader="none"/>
        </w:tabs>
        <w:spacing w:line="240" w:lineRule="auto" w:before="1" w:after="0"/>
        <w:ind w:left="262" w:right="285" w:firstLine="0"/>
        <w:jc w:val="both"/>
        <w:rPr>
          <w:sz w:val="20"/>
        </w:rPr>
      </w:pPr>
      <w:r>
        <w:rPr>
          <w:sz w:val="20"/>
        </w:rPr>
        <w:t>Evaluar anualmente los programas de</w:t>
      </w:r>
      <w:r>
        <w:rPr>
          <w:spacing w:val="-1"/>
          <w:sz w:val="20"/>
        </w:rPr>
        <w:t> </w:t>
      </w:r>
      <w:r>
        <w:rPr>
          <w:sz w:val="20"/>
        </w:rPr>
        <w:t>ordenamiento</w:t>
      </w:r>
      <w:r>
        <w:rPr>
          <w:spacing w:val="-1"/>
          <w:sz w:val="20"/>
        </w:rPr>
        <w:t> </w:t>
      </w:r>
      <w:r>
        <w:rPr>
          <w:sz w:val="20"/>
        </w:rPr>
        <w:t>territorial</w:t>
      </w:r>
      <w:r>
        <w:rPr>
          <w:spacing w:val="-1"/>
          <w:sz w:val="20"/>
        </w:rPr>
        <w:t> </w:t>
      </w:r>
      <w:r>
        <w:rPr>
          <w:sz w:val="20"/>
        </w:rPr>
        <w:t>y desarrollo urbano</w:t>
      </w:r>
      <w:r>
        <w:rPr>
          <w:spacing w:val="-1"/>
          <w:sz w:val="20"/>
        </w:rPr>
        <w:t> </w:t>
      </w:r>
      <w:r>
        <w:rPr>
          <w:sz w:val="20"/>
        </w:rPr>
        <w:t>vigentes en el municipio;</w:t>
      </w:r>
    </w:p>
    <w:p>
      <w:pPr>
        <w:pStyle w:val="BodyText"/>
        <w:spacing w:before="1"/>
      </w:pPr>
    </w:p>
    <w:p>
      <w:pPr>
        <w:pStyle w:val="ListParagraph"/>
        <w:numPr>
          <w:ilvl w:val="0"/>
          <w:numId w:val="11"/>
        </w:numPr>
        <w:tabs>
          <w:tab w:pos="827" w:val="left" w:leader="none"/>
        </w:tabs>
        <w:spacing w:line="240" w:lineRule="auto" w:before="0" w:after="0"/>
        <w:ind w:left="262" w:right="288" w:firstLine="0"/>
        <w:jc w:val="both"/>
        <w:rPr>
          <w:sz w:val="20"/>
        </w:rPr>
      </w:pPr>
      <w:r>
        <w:rPr>
          <w:sz w:val="20"/>
        </w:rPr>
        <w:t>Informar a la ciudadanía sobre la aplicación y ejecución de los programas de ordenamiento territorial y desarrollo urbano, en su Informe Anual de Gobierno;</w:t>
      </w:r>
    </w:p>
    <w:p>
      <w:pPr>
        <w:pStyle w:val="ListParagraph"/>
        <w:numPr>
          <w:ilvl w:val="0"/>
          <w:numId w:val="11"/>
        </w:numPr>
        <w:tabs>
          <w:tab w:pos="827" w:val="left" w:leader="none"/>
        </w:tabs>
        <w:spacing w:line="240" w:lineRule="auto" w:before="229" w:after="0"/>
        <w:ind w:left="262" w:right="286" w:firstLine="0"/>
        <w:jc w:val="both"/>
        <w:rPr>
          <w:sz w:val="20"/>
        </w:rPr>
      </w:pPr>
      <w:r>
        <w:rPr>
          <w:sz w:val="20"/>
        </w:rPr>
        <w:t>Promover el cumplimiento y la plena vigencia de los derechos relacionados con los asentamientos humanos, el desarrollo urbano y la vivienda;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1"/>
        </w:numPr>
        <w:tabs>
          <w:tab w:pos="827" w:val="left" w:leader="none"/>
        </w:tabs>
        <w:spacing w:line="240" w:lineRule="auto" w:before="0" w:after="0"/>
        <w:ind w:left="262" w:right="285" w:firstLine="0"/>
        <w:jc w:val="both"/>
        <w:rPr>
          <w:sz w:val="20"/>
        </w:rPr>
      </w:pPr>
      <w:r>
        <w:rPr>
          <w:sz w:val="20"/>
        </w:rPr>
        <w:t>Regular,</w:t>
      </w:r>
      <w:r>
        <w:rPr>
          <w:spacing w:val="-14"/>
          <w:sz w:val="20"/>
        </w:rPr>
        <w:t> </w:t>
      </w:r>
      <w:r>
        <w:rPr>
          <w:sz w:val="20"/>
        </w:rPr>
        <w:t>controlar</w:t>
      </w:r>
      <w:r>
        <w:rPr>
          <w:spacing w:val="-14"/>
          <w:sz w:val="20"/>
        </w:rPr>
        <w:t> </w:t>
      </w:r>
      <w:r>
        <w:rPr>
          <w:sz w:val="20"/>
        </w:rPr>
        <w:t>y</w:t>
      </w:r>
      <w:r>
        <w:rPr>
          <w:spacing w:val="-14"/>
          <w:sz w:val="20"/>
        </w:rPr>
        <w:t> </w:t>
      </w:r>
      <w:r>
        <w:rPr>
          <w:sz w:val="20"/>
        </w:rPr>
        <w:t>vigilar</w:t>
      </w:r>
      <w:r>
        <w:rPr>
          <w:spacing w:val="-14"/>
          <w:sz w:val="20"/>
        </w:rPr>
        <w:t> </w:t>
      </w:r>
      <w:r>
        <w:rPr>
          <w:sz w:val="20"/>
        </w:rPr>
        <w:t>las</w:t>
      </w:r>
      <w:r>
        <w:rPr>
          <w:spacing w:val="-14"/>
          <w:sz w:val="20"/>
        </w:rPr>
        <w:t> </w:t>
      </w:r>
      <w:r>
        <w:rPr>
          <w:sz w:val="20"/>
        </w:rPr>
        <w:t>reservas,</w:t>
      </w:r>
      <w:r>
        <w:rPr>
          <w:spacing w:val="-14"/>
          <w:sz w:val="20"/>
        </w:rPr>
        <w:t> </w:t>
      </w:r>
      <w:r>
        <w:rPr>
          <w:sz w:val="20"/>
        </w:rPr>
        <w:t>usos</w:t>
      </w:r>
      <w:r>
        <w:rPr>
          <w:spacing w:val="-14"/>
          <w:sz w:val="20"/>
        </w:rPr>
        <w:t> </w:t>
      </w:r>
      <w:r>
        <w:rPr>
          <w:sz w:val="20"/>
        </w:rPr>
        <w:t>del</w:t>
      </w:r>
      <w:r>
        <w:rPr>
          <w:spacing w:val="-14"/>
          <w:sz w:val="20"/>
        </w:rPr>
        <w:t> </w:t>
      </w:r>
      <w:r>
        <w:rPr>
          <w:sz w:val="20"/>
        </w:rPr>
        <w:t>suelo</w:t>
      </w:r>
      <w:r>
        <w:rPr>
          <w:spacing w:val="-14"/>
          <w:sz w:val="20"/>
        </w:rPr>
        <w:t> </w:t>
      </w:r>
      <w:r>
        <w:rPr>
          <w:sz w:val="20"/>
        </w:rPr>
        <w:t>y</w:t>
      </w:r>
      <w:r>
        <w:rPr>
          <w:spacing w:val="-13"/>
          <w:sz w:val="20"/>
        </w:rPr>
        <w:t> </w:t>
      </w:r>
      <w:r>
        <w:rPr>
          <w:sz w:val="20"/>
        </w:rPr>
        <w:t>destinos</w:t>
      </w:r>
      <w:r>
        <w:rPr>
          <w:spacing w:val="-12"/>
          <w:sz w:val="20"/>
        </w:rPr>
        <w:t> </w:t>
      </w:r>
      <w:r>
        <w:rPr>
          <w:sz w:val="20"/>
        </w:rPr>
        <w:t>de</w:t>
      </w:r>
      <w:r>
        <w:rPr>
          <w:spacing w:val="-14"/>
          <w:sz w:val="20"/>
        </w:rPr>
        <w:t> </w:t>
      </w:r>
      <w:r>
        <w:rPr>
          <w:sz w:val="20"/>
        </w:rPr>
        <w:t>áreas</w:t>
      </w:r>
      <w:r>
        <w:rPr>
          <w:spacing w:val="-12"/>
          <w:sz w:val="20"/>
        </w:rPr>
        <w:t> </w:t>
      </w:r>
      <w:r>
        <w:rPr>
          <w:sz w:val="20"/>
        </w:rPr>
        <w:t>y</w:t>
      </w:r>
      <w:r>
        <w:rPr>
          <w:spacing w:val="-14"/>
          <w:sz w:val="20"/>
        </w:rPr>
        <w:t> </w:t>
      </w:r>
      <w:r>
        <w:rPr>
          <w:sz w:val="20"/>
        </w:rPr>
        <w:t>predios,</w:t>
      </w:r>
      <w:r>
        <w:rPr>
          <w:spacing w:val="-14"/>
          <w:sz w:val="20"/>
        </w:rPr>
        <w:t> </w:t>
      </w:r>
      <w:r>
        <w:rPr>
          <w:sz w:val="20"/>
        </w:rPr>
        <w:t>así</w:t>
      </w:r>
      <w:r>
        <w:rPr>
          <w:spacing w:val="-14"/>
          <w:sz w:val="20"/>
        </w:rPr>
        <w:t> </w:t>
      </w:r>
      <w:r>
        <w:rPr>
          <w:sz w:val="20"/>
        </w:rPr>
        <w:t>como las zonas de alto riesgo en los centros de población que se encuentren dentro del municipio;</w:t>
      </w:r>
    </w:p>
    <w:p>
      <w:pPr>
        <w:pStyle w:val="BodyText"/>
        <w:spacing w:before="1"/>
      </w:pPr>
    </w:p>
    <w:p>
      <w:pPr>
        <w:pStyle w:val="ListParagraph"/>
        <w:numPr>
          <w:ilvl w:val="0"/>
          <w:numId w:val="11"/>
        </w:numPr>
        <w:tabs>
          <w:tab w:pos="827" w:val="left" w:leader="none"/>
        </w:tabs>
        <w:spacing w:line="240" w:lineRule="auto" w:before="0" w:after="0"/>
        <w:ind w:left="262" w:right="286" w:firstLine="0"/>
        <w:jc w:val="both"/>
        <w:rPr>
          <w:sz w:val="20"/>
        </w:rPr>
      </w:pPr>
      <w:r>
        <w:rPr>
          <w:sz w:val="20"/>
        </w:rPr>
        <w:t>Promover</w:t>
      </w:r>
      <w:r>
        <w:rPr>
          <w:spacing w:val="-9"/>
          <w:sz w:val="20"/>
        </w:rPr>
        <w:t> </w:t>
      </w:r>
      <w:r>
        <w:rPr>
          <w:sz w:val="20"/>
        </w:rPr>
        <w:t>y</w:t>
      </w:r>
      <w:r>
        <w:rPr>
          <w:spacing w:val="-7"/>
          <w:sz w:val="20"/>
        </w:rPr>
        <w:t> </w:t>
      </w:r>
      <w:r>
        <w:rPr>
          <w:sz w:val="20"/>
        </w:rPr>
        <w:t>ejecutar</w:t>
      </w:r>
      <w:r>
        <w:rPr>
          <w:spacing w:val="-9"/>
          <w:sz w:val="20"/>
        </w:rPr>
        <w:t> </w:t>
      </w:r>
      <w:r>
        <w:rPr>
          <w:sz w:val="20"/>
        </w:rPr>
        <w:t>acciones</w:t>
      </w:r>
      <w:r>
        <w:rPr>
          <w:spacing w:val="-9"/>
          <w:sz w:val="20"/>
        </w:rPr>
        <w:t> </w:t>
      </w:r>
      <w:r>
        <w:rPr>
          <w:sz w:val="20"/>
        </w:rPr>
        <w:t>para</w:t>
      </w:r>
      <w:r>
        <w:rPr>
          <w:spacing w:val="-10"/>
          <w:sz w:val="20"/>
        </w:rPr>
        <w:t> </w:t>
      </w:r>
      <w:r>
        <w:rPr>
          <w:sz w:val="20"/>
        </w:rPr>
        <w:t>prevenir</w:t>
      </w:r>
      <w:r>
        <w:rPr>
          <w:spacing w:val="-9"/>
          <w:sz w:val="20"/>
        </w:rPr>
        <w:t> </w:t>
      </w:r>
      <w:r>
        <w:rPr>
          <w:sz w:val="20"/>
        </w:rPr>
        <w:t>y</w:t>
      </w:r>
      <w:r>
        <w:rPr>
          <w:spacing w:val="-7"/>
          <w:sz w:val="20"/>
        </w:rPr>
        <w:t> </w:t>
      </w:r>
      <w:r>
        <w:rPr>
          <w:sz w:val="20"/>
        </w:rPr>
        <w:t>mitigar</w:t>
      </w:r>
      <w:r>
        <w:rPr>
          <w:spacing w:val="-8"/>
          <w:sz w:val="20"/>
        </w:rPr>
        <w:t> </w:t>
      </w:r>
      <w:r>
        <w:rPr>
          <w:sz w:val="20"/>
        </w:rPr>
        <w:t>el</w:t>
      </w:r>
      <w:r>
        <w:rPr>
          <w:spacing w:val="-9"/>
          <w:sz w:val="20"/>
        </w:rPr>
        <w:t> </w:t>
      </w:r>
      <w:r>
        <w:rPr>
          <w:sz w:val="20"/>
        </w:rPr>
        <w:t>riesgo</w:t>
      </w:r>
      <w:r>
        <w:rPr>
          <w:spacing w:val="-9"/>
          <w:sz w:val="20"/>
        </w:rPr>
        <w:t> </w:t>
      </w:r>
      <w:r>
        <w:rPr>
          <w:sz w:val="20"/>
        </w:rPr>
        <w:t>de</w:t>
      </w:r>
      <w:r>
        <w:rPr>
          <w:spacing w:val="-9"/>
          <w:sz w:val="20"/>
        </w:rPr>
        <w:t> </w:t>
      </w:r>
      <w:r>
        <w:rPr>
          <w:sz w:val="20"/>
        </w:rPr>
        <w:t>los</w:t>
      </w:r>
      <w:r>
        <w:rPr>
          <w:spacing w:val="-9"/>
          <w:sz w:val="20"/>
        </w:rPr>
        <w:t> </w:t>
      </w:r>
      <w:r>
        <w:rPr>
          <w:sz w:val="20"/>
        </w:rPr>
        <w:t>asentamientos</w:t>
      </w:r>
      <w:r>
        <w:rPr>
          <w:spacing w:val="-9"/>
          <w:sz w:val="20"/>
        </w:rPr>
        <w:t> </w:t>
      </w:r>
      <w:r>
        <w:rPr>
          <w:sz w:val="20"/>
        </w:rPr>
        <w:t>humanos y aumentar la resiliencia de los mismos ante fenómenos naturales y antropogénicos;</w:t>
      </w:r>
    </w:p>
    <w:p>
      <w:pPr>
        <w:pStyle w:val="ListParagraph"/>
        <w:numPr>
          <w:ilvl w:val="0"/>
          <w:numId w:val="11"/>
        </w:numPr>
        <w:tabs>
          <w:tab w:pos="688" w:val="left" w:leader="none"/>
        </w:tabs>
        <w:spacing w:line="240" w:lineRule="auto" w:before="229" w:after="0"/>
        <w:ind w:left="262" w:right="287" w:firstLine="0"/>
        <w:jc w:val="both"/>
        <w:rPr>
          <w:sz w:val="20"/>
        </w:rPr>
      </w:pPr>
      <w:r>
        <w:rPr>
          <w:sz w:val="20"/>
        </w:rPr>
        <w:t>Gestionar o resolver sobre el derecho de preferencia que corresponda al Municipio, para la adquisición de predios ejidales, comunales o privados comprendidos en las zonas de reserva, señaladas en los programas de ordenamiento territorial y desarrollo urbano;</w:t>
      </w:r>
    </w:p>
    <w:p>
      <w:pPr>
        <w:pStyle w:val="BodyText"/>
        <w:spacing w:before="2"/>
      </w:pPr>
    </w:p>
    <w:p>
      <w:pPr>
        <w:pStyle w:val="ListParagraph"/>
        <w:numPr>
          <w:ilvl w:val="0"/>
          <w:numId w:val="11"/>
        </w:numPr>
        <w:tabs>
          <w:tab w:pos="688" w:val="left" w:leader="none"/>
        </w:tabs>
        <w:spacing w:line="240" w:lineRule="auto" w:before="0" w:after="0"/>
        <w:ind w:left="262" w:right="286" w:firstLine="0"/>
        <w:jc w:val="both"/>
        <w:rPr>
          <w:sz w:val="20"/>
        </w:rPr>
      </w:pPr>
      <w:r>
        <w:rPr>
          <w:sz w:val="20"/>
        </w:rPr>
        <w:t>Aplicar las medidas necesarias para desalentar la especulación, respecto de predios y fincas, contraria al interés social;</w:t>
      </w:r>
    </w:p>
    <w:p>
      <w:pPr>
        <w:pStyle w:val="ListParagraph"/>
        <w:numPr>
          <w:ilvl w:val="0"/>
          <w:numId w:val="11"/>
        </w:numPr>
        <w:tabs>
          <w:tab w:pos="688" w:val="left" w:leader="none"/>
        </w:tabs>
        <w:spacing w:line="240" w:lineRule="auto" w:before="229" w:after="0"/>
        <w:ind w:left="262" w:right="284" w:firstLine="0"/>
        <w:jc w:val="both"/>
        <w:rPr>
          <w:sz w:val="20"/>
        </w:rPr>
      </w:pPr>
      <w:r>
        <w:rPr>
          <w:sz w:val="20"/>
        </w:rPr>
        <w:t>Formular, aprobar y administrar la zonificación de los centros de población que se encuentren dentro</w:t>
      </w:r>
      <w:r>
        <w:rPr>
          <w:spacing w:val="-7"/>
          <w:sz w:val="20"/>
        </w:rPr>
        <w:t> </w:t>
      </w:r>
      <w:r>
        <w:rPr>
          <w:sz w:val="20"/>
        </w:rPr>
        <w:t>del</w:t>
      </w:r>
      <w:r>
        <w:rPr>
          <w:spacing w:val="-10"/>
          <w:sz w:val="20"/>
        </w:rPr>
        <w:t> </w:t>
      </w:r>
      <w:r>
        <w:rPr>
          <w:sz w:val="20"/>
        </w:rPr>
        <w:t>municipio,</w:t>
      </w:r>
      <w:r>
        <w:rPr>
          <w:spacing w:val="-8"/>
          <w:sz w:val="20"/>
        </w:rPr>
        <w:t> </w:t>
      </w:r>
      <w:r>
        <w:rPr>
          <w:sz w:val="20"/>
        </w:rPr>
        <w:t>en</w:t>
      </w:r>
      <w:r>
        <w:rPr>
          <w:spacing w:val="-8"/>
          <w:sz w:val="20"/>
        </w:rPr>
        <w:t> </w:t>
      </w:r>
      <w:r>
        <w:rPr>
          <w:sz w:val="20"/>
        </w:rPr>
        <w:t>los</w:t>
      </w:r>
      <w:r>
        <w:rPr>
          <w:spacing w:val="-7"/>
          <w:sz w:val="20"/>
        </w:rPr>
        <w:t> </w:t>
      </w:r>
      <w:r>
        <w:rPr>
          <w:sz w:val="20"/>
        </w:rPr>
        <w:t>términos</w:t>
      </w:r>
      <w:r>
        <w:rPr>
          <w:spacing w:val="-9"/>
          <w:sz w:val="20"/>
        </w:rPr>
        <w:t> </w:t>
      </w:r>
      <w:r>
        <w:rPr>
          <w:sz w:val="20"/>
        </w:rPr>
        <w:t>previstos</w:t>
      </w:r>
      <w:r>
        <w:rPr>
          <w:spacing w:val="-9"/>
          <w:sz w:val="20"/>
        </w:rPr>
        <w:t> </w:t>
      </w:r>
      <w:r>
        <w:rPr>
          <w:sz w:val="20"/>
        </w:rPr>
        <w:t>en</w:t>
      </w:r>
      <w:r>
        <w:rPr>
          <w:spacing w:val="-8"/>
          <w:sz w:val="20"/>
        </w:rPr>
        <w:t> </w:t>
      </w:r>
      <w:r>
        <w:rPr>
          <w:sz w:val="20"/>
        </w:rPr>
        <w:t>los</w:t>
      </w:r>
      <w:r>
        <w:rPr>
          <w:spacing w:val="-7"/>
          <w:sz w:val="20"/>
        </w:rPr>
        <w:t> </w:t>
      </w:r>
      <w:r>
        <w:rPr>
          <w:sz w:val="20"/>
        </w:rPr>
        <w:t>programas</w:t>
      </w:r>
      <w:r>
        <w:rPr>
          <w:spacing w:val="-7"/>
          <w:sz w:val="20"/>
        </w:rPr>
        <w:t> </w:t>
      </w:r>
      <w:r>
        <w:rPr>
          <w:sz w:val="20"/>
        </w:rPr>
        <w:t>municipales</w:t>
      </w:r>
      <w:r>
        <w:rPr>
          <w:spacing w:val="-9"/>
          <w:sz w:val="20"/>
        </w:rPr>
        <w:t> </w:t>
      </w:r>
      <w:r>
        <w:rPr>
          <w:sz w:val="20"/>
        </w:rPr>
        <w:t>y</w:t>
      </w:r>
      <w:r>
        <w:rPr>
          <w:spacing w:val="-9"/>
          <w:sz w:val="20"/>
        </w:rPr>
        <w:t> </w:t>
      </w:r>
      <w:r>
        <w:rPr>
          <w:sz w:val="20"/>
        </w:rPr>
        <w:t>en</w:t>
      </w:r>
      <w:r>
        <w:rPr>
          <w:spacing w:val="-8"/>
          <w:sz w:val="20"/>
        </w:rPr>
        <w:t> </w:t>
      </w:r>
      <w:r>
        <w:rPr>
          <w:sz w:val="20"/>
        </w:rPr>
        <w:t>los</w:t>
      </w:r>
      <w:r>
        <w:rPr>
          <w:spacing w:val="-9"/>
          <w:sz w:val="20"/>
        </w:rPr>
        <w:t> </w:t>
      </w:r>
      <w:r>
        <w:rPr>
          <w:sz w:val="20"/>
        </w:rPr>
        <w:t>demás</w:t>
      </w:r>
      <w:r>
        <w:rPr>
          <w:spacing w:val="-9"/>
          <w:sz w:val="20"/>
        </w:rPr>
        <w:t> </w:t>
      </w:r>
      <w:r>
        <w:rPr>
          <w:sz w:val="20"/>
        </w:rPr>
        <w:t>que</w:t>
      </w:r>
      <w:r>
        <w:rPr>
          <w:spacing w:val="-8"/>
          <w:sz w:val="20"/>
        </w:rPr>
        <w:t> </w:t>
      </w:r>
      <w:r>
        <w:rPr>
          <w:sz w:val="20"/>
        </w:rPr>
        <w:t>de éstos deriven;</w:t>
      </w:r>
    </w:p>
    <w:p>
      <w:pPr>
        <w:pStyle w:val="ListParagraph"/>
        <w:numPr>
          <w:ilvl w:val="0"/>
          <w:numId w:val="11"/>
        </w:numPr>
        <w:tabs>
          <w:tab w:pos="827" w:val="left" w:leader="none"/>
        </w:tabs>
        <w:spacing w:line="240" w:lineRule="auto" w:before="229" w:after="0"/>
        <w:ind w:left="262" w:right="286" w:firstLine="0"/>
        <w:jc w:val="both"/>
        <w:rPr>
          <w:sz w:val="20"/>
        </w:rPr>
      </w:pPr>
      <w:r>
        <w:rPr>
          <w:sz w:val="20"/>
        </w:rPr>
        <w:t>Autorizar, por causa de utilidad pública la apertura, prolongación, ampliación o cualquier modificación de vías públicas, en concordancia con las disposiciones legales y los programas de ordenamiento territorial y desarrollo urbano;</w:t>
      </w:r>
    </w:p>
    <w:p>
      <w:pPr>
        <w:pStyle w:val="BodyText"/>
        <w:spacing w:before="2"/>
      </w:pPr>
    </w:p>
    <w:p>
      <w:pPr>
        <w:pStyle w:val="ListParagraph"/>
        <w:numPr>
          <w:ilvl w:val="0"/>
          <w:numId w:val="11"/>
        </w:numPr>
        <w:tabs>
          <w:tab w:pos="828" w:val="left" w:leader="none"/>
        </w:tabs>
        <w:spacing w:line="240" w:lineRule="auto" w:before="0" w:after="0"/>
        <w:ind w:left="262" w:right="278" w:firstLine="0"/>
        <w:jc w:val="both"/>
        <w:rPr>
          <w:sz w:val="20"/>
        </w:rPr>
      </w:pPr>
      <w:r>
        <w:rPr>
          <w:sz w:val="20"/>
        </w:rPr>
        <w:t>Autorizar el aprovechamiento, subdivisión o parcelamiento de suelo de propiedad privada o proveniente</w:t>
      </w:r>
      <w:r>
        <w:rPr>
          <w:spacing w:val="-2"/>
          <w:sz w:val="20"/>
        </w:rPr>
        <w:t> </w:t>
      </w:r>
      <w:r>
        <w:rPr>
          <w:sz w:val="20"/>
        </w:rPr>
        <w:t>del</w:t>
      </w:r>
      <w:r>
        <w:rPr>
          <w:spacing w:val="-3"/>
          <w:sz w:val="20"/>
        </w:rPr>
        <w:t> </w:t>
      </w:r>
      <w:r>
        <w:rPr>
          <w:sz w:val="20"/>
        </w:rPr>
        <w:t>régimen</w:t>
      </w:r>
      <w:r>
        <w:rPr>
          <w:spacing w:val="-2"/>
          <w:sz w:val="20"/>
        </w:rPr>
        <w:t> </w:t>
      </w:r>
      <w:r>
        <w:rPr>
          <w:sz w:val="20"/>
        </w:rPr>
        <w:t>agrario,</w:t>
      </w:r>
      <w:r>
        <w:rPr>
          <w:spacing w:val="-2"/>
          <w:sz w:val="20"/>
        </w:rPr>
        <w:t> </w:t>
      </w:r>
      <w:r>
        <w:rPr>
          <w:sz w:val="20"/>
        </w:rPr>
        <w:t>incluyendo la</w:t>
      </w:r>
      <w:r>
        <w:rPr>
          <w:spacing w:val="-2"/>
          <w:sz w:val="20"/>
        </w:rPr>
        <w:t> </w:t>
      </w:r>
      <w:r>
        <w:rPr>
          <w:sz w:val="20"/>
        </w:rPr>
        <w:t>ampliación de</w:t>
      </w:r>
      <w:r>
        <w:rPr>
          <w:spacing w:val="-3"/>
          <w:sz w:val="20"/>
        </w:rPr>
        <w:t> </w:t>
      </w:r>
      <w:r>
        <w:rPr>
          <w:sz w:val="20"/>
        </w:rPr>
        <w:t>las</w:t>
      </w:r>
      <w:r>
        <w:rPr>
          <w:spacing w:val="-1"/>
          <w:sz w:val="20"/>
        </w:rPr>
        <w:t> </w:t>
      </w:r>
      <w:r>
        <w:rPr>
          <w:sz w:val="20"/>
        </w:rPr>
        <w:t>zonas</w:t>
      </w:r>
      <w:r>
        <w:rPr>
          <w:spacing w:val="-1"/>
          <w:sz w:val="20"/>
        </w:rPr>
        <w:t> </w:t>
      </w:r>
      <w:r>
        <w:rPr>
          <w:sz w:val="20"/>
        </w:rPr>
        <w:t>de urbanización ejidal,</w:t>
      </w:r>
      <w:r>
        <w:rPr>
          <w:spacing w:val="-2"/>
          <w:sz w:val="20"/>
        </w:rPr>
        <w:t> </w:t>
      </w:r>
      <w:r>
        <w:rPr>
          <w:sz w:val="20"/>
        </w:rPr>
        <w:t>para su incorporación al desarrollo urbano en sus jurisdicciones territoriales de conformidad con los programas de ordenamiento territorial y desarrollo urbano, y de conurbaciones y desarrollo metropolitano vigentes;</w:t>
      </w:r>
    </w:p>
    <w:p>
      <w:pPr>
        <w:pStyle w:val="BodyText"/>
      </w:pPr>
    </w:p>
    <w:p>
      <w:pPr>
        <w:pStyle w:val="ListParagraph"/>
        <w:numPr>
          <w:ilvl w:val="0"/>
          <w:numId w:val="11"/>
        </w:numPr>
        <w:tabs>
          <w:tab w:pos="743" w:val="left" w:leader="none"/>
        </w:tabs>
        <w:spacing w:line="240" w:lineRule="auto" w:before="1" w:after="0"/>
        <w:ind w:left="262" w:right="287" w:firstLine="0"/>
        <w:jc w:val="both"/>
        <w:rPr>
          <w:sz w:val="20"/>
        </w:rPr>
      </w:pPr>
      <w:r>
        <w:rPr>
          <w:sz w:val="20"/>
        </w:rPr>
        <w:t>Verificar</w:t>
      </w:r>
      <w:r>
        <w:rPr>
          <w:spacing w:val="-2"/>
          <w:sz w:val="20"/>
        </w:rPr>
        <w:t> </w:t>
      </w:r>
      <w:r>
        <w:rPr>
          <w:sz w:val="20"/>
        </w:rPr>
        <w:t>que</w:t>
      </w:r>
      <w:r>
        <w:rPr>
          <w:spacing w:val="-1"/>
          <w:sz w:val="20"/>
        </w:rPr>
        <w:t> </w:t>
      </w:r>
      <w:r>
        <w:rPr>
          <w:sz w:val="20"/>
        </w:rPr>
        <w:t>las</w:t>
      </w:r>
      <w:r>
        <w:rPr>
          <w:spacing w:val="-2"/>
          <w:sz w:val="20"/>
        </w:rPr>
        <w:t> </w:t>
      </w:r>
      <w:r>
        <w:rPr>
          <w:sz w:val="20"/>
        </w:rPr>
        <w:t>acciones, inversiones</w:t>
      </w:r>
      <w:r>
        <w:rPr>
          <w:spacing w:val="-2"/>
          <w:sz w:val="20"/>
        </w:rPr>
        <w:t> </w:t>
      </w:r>
      <w:r>
        <w:rPr>
          <w:sz w:val="20"/>
        </w:rPr>
        <w:t>obras</w:t>
      </w:r>
      <w:r>
        <w:rPr>
          <w:spacing w:val="-2"/>
          <w:sz w:val="20"/>
        </w:rPr>
        <w:t> </w:t>
      </w:r>
      <w:r>
        <w:rPr>
          <w:sz w:val="20"/>
        </w:rPr>
        <w:t>y</w:t>
      </w:r>
      <w:r>
        <w:rPr>
          <w:spacing w:val="-2"/>
          <w:sz w:val="20"/>
        </w:rPr>
        <w:t> </w:t>
      </w:r>
      <w:r>
        <w:rPr>
          <w:sz w:val="20"/>
        </w:rPr>
        <w:t>servicios</w:t>
      </w:r>
      <w:r>
        <w:rPr>
          <w:spacing w:val="-2"/>
          <w:sz w:val="20"/>
        </w:rPr>
        <w:t> </w:t>
      </w:r>
      <w:r>
        <w:rPr>
          <w:sz w:val="20"/>
        </w:rPr>
        <w:t>de</w:t>
      </w:r>
      <w:r>
        <w:rPr>
          <w:spacing w:val="-3"/>
          <w:sz w:val="20"/>
        </w:rPr>
        <w:t> </w:t>
      </w:r>
      <w:r>
        <w:rPr>
          <w:sz w:val="20"/>
        </w:rPr>
        <w:t>desarrollo</w:t>
      </w:r>
      <w:r>
        <w:rPr>
          <w:spacing w:val="-1"/>
          <w:sz w:val="20"/>
        </w:rPr>
        <w:t> </w:t>
      </w:r>
      <w:r>
        <w:rPr>
          <w:sz w:val="20"/>
        </w:rPr>
        <w:t>urbano</w:t>
      </w:r>
      <w:r>
        <w:rPr>
          <w:spacing w:val="-2"/>
          <w:sz w:val="20"/>
        </w:rPr>
        <w:t> </w:t>
      </w:r>
      <w:r>
        <w:rPr>
          <w:sz w:val="20"/>
        </w:rPr>
        <w:t>que</w:t>
      </w:r>
      <w:r>
        <w:rPr>
          <w:spacing w:val="-2"/>
          <w:sz w:val="20"/>
        </w:rPr>
        <w:t> </w:t>
      </w:r>
      <w:r>
        <w:rPr>
          <w:sz w:val="20"/>
        </w:rPr>
        <w:t>se</w:t>
      </w:r>
      <w:r>
        <w:rPr>
          <w:spacing w:val="-3"/>
          <w:sz w:val="20"/>
        </w:rPr>
        <w:t> </w:t>
      </w:r>
      <w:r>
        <w:rPr>
          <w:sz w:val="20"/>
        </w:rPr>
        <w:t>ejecuten en el territorio municipal, se ajusten, en su caso, a esta Ley, a las demás disposiciones jurídicas aplicables y a los diversos programas de ordenamiento del territorial y desarrollo urbano;</w:t>
      </w:r>
    </w:p>
    <w:p>
      <w:pPr>
        <w:spacing w:before="229"/>
        <w:ind w:left="262"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pacing w:val="-4"/>
          <w:sz w:val="20"/>
        </w:rPr>
        <w:t>2022)</w:t>
      </w:r>
    </w:p>
    <w:p>
      <w:pPr>
        <w:pStyle w:val="ListParagraph"/>
        <w:numPr>
          <w:ilvl w:val="0"/>
          <w:numId w:val="11"/>
        </w:numPr>
        <w:tabs>
          <w:tab w:pos="968" w:val="left" w:leader="none"/>
        </w:tabs>
        <w:spacing w:line="240" w:lineRule="auto" w:before="0" w:after="0"/>
        <w:ind w:left="262" w:right="278" w:firstLine="0"/>
        <w:jc w:val="both"/>
        <w:rPr>
          <w:sz w:val="20"/>
        </w:rPr>
      </w:pPr>
      <w:r>
        <w:rPr>
          <w:sz w:val="20"/>
        </w:rPr>
        <w:t>Concertar, promover y ejecutar acciones, servicios públicos e inversiones con la participación de los sectores social</w:t>
      </w:r>
      <w:r>
        <w:rPr>
          <w:spacing w:val="-1"/>
          <w:sz w:val="20"/>
        </w:rPr>
        <w:t> </w:t>
      </w:r>
      <w:r>
        <w:rPr>
          <w:sz w:val="20"/>
        </w:rPr>
        <w:t>y privado, para el mejoramiento y crecimiento de los centros de población,</w:t>
      </w:r>
      <w:r>
        <w:rPr>
          <w:spacing w:val="-11"/>
          <w:sz w:val="20"/>
        </w:rPr>
        <w:t> </w:t>
      </w:r>
      <w:r>
        <w:rPr>
          <w:sz w:val="20"/>
        </w:rPr>
        <w:t>así</w:t>
      </w:r>
      <w:r>
        <w:rPr>
          <w:spacing w:val="-13"/>
          <w:sz w:val="20"/>
        </w:rPr>
        <w:t> </w:t>
      </w:r>
      <w:r>
        <w:rPr>
          <w:sz w:val="20"/>
        </w:rPr>
        <w:t>como</w:t>
      </w:r>
      <w:r>
        <w:rPr>
          <w:spacing w:val="-12"/>
          <w:sz w:val="20"/>
        </w:rPr>
        <w:t> </w:t>
      </w:r>
      <w:r>
        <w:rPr>
          <w:sz w:val="20"/>
        </w:rPr>
        <w:t>impulsar</w:t>
      </w:r>
      <w:r>
        <w:rPr>
          <w:spacing w:val="-13"/>
          <w:sz w:val="20"/>
        </w:rPr>
        <w:t> </w:t>
      </w:r>
      <w:r>
        <w:rPr>
          <w:sz w:val="20"/>
        </w:rPr>
        <w:t>a</w:t>
      </w:r>
      <w:r>
        <w:rPr>
          <w:spacing w:val="-12"/>
          <w:sz w:val="20"/>
        </w:rPr>
        <w:t> </w:t>
      </w:r>
      <w:r>
        <w:rPr>
          <w:sz w:val="20"/>
        </w:rPr>
        <w:t>través</w:t>
      </w:r>
      <w:r>
        <w:rPr>
          <w:spacing w:val="-10"/>
          <w:sz w:val="20"/>
        </w:rPr>
        <w:t> </w:t>
      </w:r>
      <w:r>
        <w:rPr>
          <w:sz w:val="20"/>
        </w:rPr>
        <w:t>de</w:t>
      </w:r>
      <w:r>
        <w:rPr>
          <w:spacing w:val="-12"/>
          <w:sz w:val="20"/>
        </w:rPr>
        <w:t> </w:t>
      </w:r>
      <w:r>
        <w:rPr>
          <w:sz w:val="20"/>
        </w:rPr>
        <w:t>los</w:t>
      </w:r>
      <w:r>
        <w:rPr>
          <w:spacing w:val="-10"/>
          <w:sz w:val="20"/>
        </w:rPr>
        <w:t> </w:t>
      </w:r>
      <w:r>
        <w:rPr>
          <w:sz w:val="20"/>
        </w:rPr>
        <w:t>mecanismos</w:t>
      </w:r>
      <w:r>
        <w:rPr>
          <w:spacing w:val="-12"/>
          <w:sz w:val="20"/>
        </w:rPr>
        <w:t> </w:t>
      </w:r>
      <w:r>
        <w:rPr>
          <w:sz w:val="20"/>
        </w:rPr>
        <w:t>de</w:t>
      </w:r>
      <w:r>
        <w:rPr>
          <w:spacing w:val="-14"/>
          <w:sz w:val="20"/>
        </w:rPr>
        <w:t> </w:t>
      </w:r>
      <w:r>
        <w:rPr>
          <w:sz w:val="20"/>
        </w:rPr>
        <w:t>coordinación</w:t>
      </w:r>
      <w:r>
        <w:rPr>
          <w:spacing w:val="-12"/>
          <w:sz w:val="20"/>
        </w:rPr>
        <w:t> </w:t>
      </w:r>
      <w:r>
        <w:rPr>
          <w:sz w:val="20"/>
        </w:rPr>
        <w:t>que</w:t>
      </w:r>
      <w:r>
        <w:rPr>
          <w:spacing w:val="-11"/>
          <w:sz w:val="20"/>
        </w:rPr>
        <w:t> </w:t>
      </w:r>
      <w:r>
        <w:rPr>
          <w:sz w:val="20"/>
        </w:rPr>
        <w:t>establece</w:t>
      </w:r>
      <w:r>
        <w:rPr>
          <w:spacing w:val="-9"/>
          <w:sz w:val="20"/>
        </w:rPr>
        <w:t> </w:t>
      </w:r>
      <w:r>
        <w:rPr>
          <w:sz w:val="20"/>
        </w:rPr>
        <w:t>la</w:t>
      </w:r>
      <w:r>
        <w:rPr>
          <w:spacing w:val="-11"/>
          <w:sz w:val="20"/>
        </w:rPr>
        <w:t> </w:t>
      </w:r>
      <w:r>
        <w:rPr>
          <w:sz w:val="20"/>
        </w:rPr>
        <w:t>presente Ley,</w:t>
      </w:r>
      <w:r>
        <w:rPr>
          <w:spacing w:val="-12"/>
          <w:sz w:val="20"/>
        </w:rPr>
        <w:t> </w:t>
      </w:r>
      <w:r>
        <w:rPr>
          <w:sz w:val="20"/>
        </w:rPr>
        <w:t>el</w:t>
      </w:r>
      <w:r>
        <w:rPr>
          <w:spacing w:val="-13"/>
          <w:sz w:val="20"/>
        </w:rPr>
        <w:t> </w:t>
      </w:r>
      <w:r>
        <w:rPr>
          <w:sz w:val="20"/>
        </w:rPr>
        <w:t>desarrollo</w:t>
      </w:r>
      <w:r>
        <w:rPr>
          <w:spacing w:val="-12"/>
          <w:sz w:val="20"/>
        </w:rPr>
        <w:t> </w:t>
      </w:r>
      <w:r>
        <w:rPr>
          <w:sz w:val="20"/>
        </w:rPr>
        <w:t>regional,</w:t>
      </w:r>
      <w:r>
        <w:rPr>
          <w:spacing w:val="-10"/>
          <w:sz w:val="20"/>
        </w:rPr>
        <w:t> </w:t>
      </w:r>
      <w:r>
        <w:rPr>
          <w:sz w:val="20"/>
        </w:rPr>
        <w:t>y</w:t>
      </w:r>
      <w:r>
        <w:rPr>
          <w:spacing w:val="-11"/>
          <w:sz w:val="20"/>
        </w:rPr>
        <w:t> </w:t>
      </w:r>
      <w:r>
        <w:rPr>
          <w:sz w:val="20"/>
        </w:rPr>
        <w:t>el</w:t>
      </w:r>
      <w:r>
        <w:rPr>
          <w:spacing w:val="-13"/>
          <w:sz w:val="20"/>
        </w:rPr>
        <w:t> </w:t>
      </w:r>
      <w:r>
        <w:rPr>
          <w:sz w:val="20"/>
        </w:rPr>
        <w:t>desarrollo</w:t>
      </w:r>
      <w:r>
        <w:rPr>
          <w:spacing w:val="-10"/>
          <w:sz w:val="20"/>
        </w:rPr>
        <w:t> </w:t>
      </w:r>
      <w:r>
        <w:rPr>
          <w:sz w:val="20"/>
        </w:rPr>
        <w:t>metropolitano,</w:t>
      </w:r>
      <w:r>
        <w:rPr>
          <w:spacing w:val="-7"/>
          <w:sz w:val="20"/>
        </w:rPr>
        <w:t> </w:t>
      </w:r>
      <w:r>
        <w:rPr>
          <w:sz w:val="20"/>
        </w:rPr>
        <w:t>bajo</w:t>
      </w:r>
      <w:r>
        <w:rPr>
          <w:spacing w:val="-10"/>
          <w:sz w:val="20"/>
        </w:rPr>
        <w:t> </w:t>
      </w:r>
      <w:r>
        <w:rPr>
          <w:sz w:val="20"/>
        </w:rPr>
        <w:t>los</w:t>
      </w:r>
      <w:r>
        <w:rPr>
          <w:spacing w:val="-9"/>
          <w:sz w:val="20"/>
        </w:rPr>
        <w:t> </w:t>
      </w:r>
      <w:r>
        <w:rPr>
          <w:sz w:val="20"/>
        </w:rPr>
        <w:t>términos</w:t>
      </w:r>
      <w:r>
        <w:rPr>
          <w:spacing w:val="-9"/>
          <w:sz w:val="20"/>
        </w:rPr>
        <w:t> </w:t>
      </w:r>
      <w:r>
        <w:rPr>
          <w:sz w:val="20"/>
        </w:rPr>
        <w:t>de</w:t>
      </w:r>
      <w:r>
        <w:rPr>
          <w:spacing w:val="-10"/>
          <w:sz w:val="20"/>
        </w:rPr>
        <w:t> </w:t>
      </w:r>
      <w:r>
        <w:rPr>
          <w:sz w:val="20"/>
        </w:rPr>
        <w:t>la</w:t>
      </w:r>
      <w:r>
        <w:rPr>
          <w:spacing w:val="-10"/>
          <w:sz w:val="20"/>
        </w:rPr>
        <w:t> </w:t>
      </w:r>
      <w:r>
        <w:rPr>
          <w:sz w:val="20"/>
        </w:rPr>
        <w:t>legislación</w:t>
      </w:r>
      <w:r>
        <w:rPr>
          <w:spacing w:val="-11"/>
          <w:sz w:val="20"/>
        </w:rPr>
        <w:t> </w:t>
      </w:r>
      <w:r>
        <w:rPr>
          <w:sz w:val="20"/>
        </w:rPr>
        <w:t>aplicable, incluyendo los instrumentos de planeación, considerando la igualdad sustantiva entre hombres y mujeres y el pleno ejercicio de derechos humanos;</w:t>
      </w:r>
    </w:p>
    <w:p>
      <w:pPr>
        <w:pStyle w:val="BodyText"/>
        <w:spacing w:before="1"/>
      </w:pPr>
    </w:p>
    <w:p>
      <w:pPr>
        <w:pStyle w:val="ListParagraph"/>
        <w:numPr>
          <w:ilvl w:val="0"/>
          <w:numId w:val="11"/>
        </w:numPr>
        <w:tabs>
          <w:tab w:pos="968" w:val="left" w:leader="none"/>
        </w:tabs>
        <w:spacing w:line="240" w:lineRule="auto" w:before="0" w:after="0"/>
        <w:ind w:left="262" w:right="286" w:firstLine="0"/>
        <w:jc w:val="both"/>
        <w:rPr>
          <w:sz w:val="20"/>
        </w:rPr>
      </w:pPr>
      <w:r>
        <w:rPr>
          <w:sz w:val="20"/>
        </w:rPr>
        <w:t>Proponer al Congreso del Estado la fundación y, en su caso, la desaparición de centros de población,</w:t>
      </w:r>
      <w:r>
        <w:rPr>
          <w:spacing w:val="-3"/>
          <w:sz w:val="20"/>
        </w:rPr>
        <w:t> </w:t>
      </w:r>
      <w:r>
        <w:rPr>
          <w:sz w:val="20"/>
        </w:rPr>
        <w:t>en</w:t>
      </w:r>
      <w:r>
        <w:rPr>
          <w:spacing w:val="-3"/>
          <w:sz w:val="20"/>
        </w:rPr>
        <w:t> </w:t>
      </w:r>
      <w:r>
        <w:rPr>
          <w:sz w:val="20"/>
        </w:rPr>
        <w:t>congruencia</w:t>
      </w:r>
      <w:r>
        <w:rPr>
          <w:spacing w:val="-1"/>
          <w:sz w:val="20"/>
        </w:rPr>
        <w:t> </w:t>
      </w:r>
      <w:r>
        <w:rPr>
          <w:sz w:val="20"/>
        </w:rPr>
        <w:t>con</w:t>
      </w:r>
      <w:r>
        <w:rPr>
          <w:spacing w:val="-4"/>
          <w:sz w:val="20"/>
        </w:rPr>
        <w:t> </w:t>
      </w:r>
      <w:r>
        <w:rPr>
          <w:sz w:val="20"/>
        </w:rPr>
        <w:t>lo</w:t>
      </w:r>
      <w:r>
        <w:rPr>
          <w:spacing w:val="-3"/>
          <w:sz w:val="20"/>
        </w:rPr>
        <w:t> </w:t>
      </w:r>
      <w:r>
        <w:rPr>
          <w:sz w:val="20"/>
        </w:rPr>
        <w:t>dispuesto</w:t>
      </w:r>
      <w:r>
        <w:rPr>
          <w:spacing w:val="-3"/>
          <w:sz w:val="20"/>
        </w:rPr>
        <w:t> </w:t>
      </w:r>
      <w:r>
        <w:rPr>
          <w:sz w:val="20"/>
        </w:rPr>
        <w:t>en</w:t>
      </w:r>
      <w:r>
        <w:rPr>
          <w:spacing w:val="-1"/>
          <w:sz w:val="20"/>
        </w:rPr>
        <w:t> </w:t>
      </w:r>
      <w:r>
        <w:rPr>
          <w:sz w:val="20"/>
        </w:rPr>
        <w:t>esta</w:t>
      </w:r>
      <w:r>
        <w:rPr>
          <w:spacing w:val="-3"/>
          <w:sz w:val="20"/>
        </w:rPr>
        <w:t> </w:t>
      </w:r>
      <w:r>
        <w:rPr>
          <w:sz w:val="20"/>
        </w:rPr>
        <w:t>Ley</w:t>
      </w:r>
      <w:r>
        <w:rPr>
          <w:spacing w:val="-2"/>
          <w:sz w:val="20"/>
        </w:rPr>
        <w:t> </w:t>
      </w:r>
      <w:r>
        <w:rPr>
          <w:sz w:val="20"/>
        </w:rPr>
        <w:t>y</w:t>
      </w:r>
      <w:r>
        <w:rPr>
          <w:spacing w:val="-2"/>
          <w:sz w:val="20"/>
        </w:rPr>
        <w:t> </w:t>
      </w:r>
      <w:r>
        <w:rPr>
          <w:sz w:val="20"/>
        </w:rPr>
        <w:t>los</w:t>
      </w:r>
      <w:r>
        <w:rPr>
          <w:spacing w:val="-2"/>
          <w:sz w:val="20"/>
        </w:rPr>
        <w:t> </w:t>
      </w:r>
      <w:r>
        <w:rPr>
          <w:sz w:val="20"/>
        </w:rPr>
        <w:t>programas</w:t>
      </w:r>
      <w:r>
        <w:rPr>
          <w:spacing w:val="-2"/>
          <w:sz w:val="20"/>
        </w:rPr>
        <w:t> </w:t>
      </w:r>
      <w:r>
        <w:rPr>
          <w:sz w:val="20"/>
        </w:rPr>
        <w:t>de</w:t>
      </w:r>
      <w:r>
        <w:rPr>
          <w:spacing w:val="-1"/>
          <w:sz w:val="20"/>
        </w:rPr>
        <w:t> </w:t>
      </w:r>
      <w:r>
        <w:rPr>
          <w:sz w:val="20"/>
        </w:rPr>
        <w:t>ordenamiento</w:t>
      </w:r>
      <w:r>
        <w:rPr>
          <w:spacing w:val="-1"/>
          <w:sz w:val="20"/>
        </w:rPr>
        <w:t> </w:t>
      </w:r>
      <w:r>
        <w:rPr>
          <w:sz w:val="20"/>
        </w:rPr>
        <w:t>territorial y desarrollo urbano;</w:t>
      </w:r>
    </w:p>
    <w:p>
      <w:pPr>
        <w:pStyle w:val="BodyText"/>
      </w:pPr>
    </w:p>
    <w:p>
      <w:pPr>
        <w:pStyle w:val="ListParagraph"/>
        <w:numPr>
          <w:ilvl w:val="0"/>
          <w:numId w:val="11"/>
        </w:numPr>
        <w:tabs>
          <w:tab w:pos="968" w:val="left" w:leader="none"/>
        </w:tabs>
        <w:spacing w:line="240" w:lineRule="auto" w:before="0" w:after="0"/>
        <w:ind w:left="262" w:right="284" w:firstLine="0"/>
        <w:jc w:val="both"/>
        <w:rPr>
          <w:sz w:val="20"/>
        </w:rPr>
      </w:pPr>
      <w:r>
        <w:rPr>
          <w:sz w:val="20"/>
        </w:rPr>
        <w:t>Participar</w:t>
      </w:r>
      <w:r>
        <w:rPr>
          <w:spacing w:val="-9"/>
          <w:sz w:val="20"/>
        </w:rPr>
        <w:t> </w:t>
      </w:r>
      <w:r>
        <w:rPr>
          <w:sz w:val="20"/>
        </w:rPr>
        <w:t>en</w:t>
      </w:r>
      <w:r>
        <w:rPr>
          <w:spacing w:val="-11"/>
          <w:sz w:val="20"/>
        </w:rPr>
        <w:t> </w:t>
      </w:r>
      <w:r>
        <w:rPr>
          <w:sz w:val="20"/>
        </w:rPr>
        <w:t>la</w:t>
      </w:r>
      <w:r>
        <w:rPr>
          <w:spacing w:val="-12"/>
          <w:sz w:val="20"/>
        </w:rPr>
        <w:t> </w:t>
      </w:r>
      <w:r>
        <w:rPr>
          <w:sz w:val="20"/>
        </w:rPr>
        <w:t>planeación</w:t>
      </w:r>
      <w:r>
        <w:rPr>
          <w:spacing w:val="-8"/>
          <w:sz w:val="20"/>
        </w:rPr>
        <w:t> </w:t>
      </w:r>
      <w:r>
        <w:rPr>
          <w:sz w:val="20"/>
        </w:rPr>
        <w:t>y</w:t>
      </w:r>
      <w:r>
        <w:rPr>
          <w:spacing w:val="-11"/>
          <w:sz w:val="20"/>
        </w:rPr>
        <w:t> </w:t>
      </w:r>
      <w:r>
        <w:rPr>
          <w:sz w:val="20"/>
        </w:rPr>
        <w:t>regulación</w:t>
      </w:r>
      <w:r>
        <w:rPr>
          <w:spacing w:val="-10"/>
          <w:sz w:val="20"/>
        </w:rPr>
        <w:t> </w:t>
      </w:r>
      <w:r>
        <w:rPr>
          <w:sz w:val="20"/>
        </w:rPr>
        <w:t>de</w:t>
      </w:r>
      <w:r>
        <w:rPr>
          <w:spacing w:val="-10"/>
          <w:sz w:val="20"/>
        </w:rPr>
        <w:t> </w:t>
      </w:r>
      <w:r>
        <w:rPr>
          <w:sz w:val="20"/>
        </w:rPr>
        <w:t>las</w:t>
      </w:r>
      <w:r>
        <w:rPr>
          <w:spacing w:val="-11"/>
          <w:sz w:val="20"/>
        </w:rPr>
        <w:t> </w:t>
      </w:r>
      <w:r>
        <w:rPr>
          <w:sz w:val="20"/>
        </w:rPr>
        <w:t>zonas</w:t>
      </w:r>
      <w:r>
        <w:rPr>
          <w:spacing w:val="-9"/>
          <w:sz w:val="20"/>
        </w:rPr>
        <w:t> </w:t>
      </w:r>
      <w:r>
        <w:rPr>
          <w:sz w:val="20"/>
        </w:rPr>
        <w:t>metropolitanas</w:t>
      </w:r>
      <w:r>
        <w:rPr>
          <w:spacing w:val="-11"/>
          <w:sz w:val="20"/>
        </w:rPr>
        <w:t> </w:t>
      </w:r>
      <w:r>
        <w:rPr>
          <w:sz w:val="20"/>
        </w:rPr>
        <w:t>y</w:t>
      </w:r>
      <w:r>
        <w:rPr>
          <w:spacing w:val="-11"/>
          <w:sz w:val="20"/>
        </w:rPr>
        <w:t> </w:t>
      </w:r>
      <w:r>
        <w:rPr>
          <w:sz w:val="20"/>
        </w:rPr>
        <w:t>conurbaciones,</w:t>
      </w:r>
      <w:r>
        <w:rPr>
          <w:spacing w:val="-12"/>
          <w:sz w:val="20"/>
        </w:rPr>
        <w:t> </w:t>
      </w:r>
      <w:r>
        <w:rPr>
          <w:sz w:val="20"/>
        </w:rPr>
        <w:t>en</w:t>
      </w:r>
      <w:r>
        <w:rPr>
          <w:spacing w:val="-11"/>
          <w:sz w:val="20"/>
        </w:rPr>
        <w:t> </w:t>
      </w:r>
      <w:r>
        <w:rPr>
          <w:sz w:val="20"/>
        </w:rPr>
        <w:t>los términos de esta Ley;</w:t>
      </w:r>
    </w:p>
    <w:p>
      <w:pPr>
        <w:pStyle w:val="ListParagraph"/>
        <w:numPr>
          <w:ilvl w:val="0"/>
          <w:numId w:val="11"/>
        </w:numPr>
        <w:tabs>
          <w:tab w:pos="968" w:val="left" w:leader="none"/>
        </w:tabs>
        <w:spacing w:line="240" w:lineRule="auto" w:before="229" w:after="0"/>
        <w:ind w:left="262" w:right="284" w:firstLine="0"/>
        <w:jc w:val="both"/>
        <w:rPr>
          <w:sz w:val="20"/>
        </w:rPr>
      </w:pPr>
      <w:r>
        <w:rPr>
          <w:sz w:val="20"/>
        </w:rPr>
        <w:t>Celebrar convenios de asociación con otros municipios para fortalecer sus procesos de planeación</w:t>
      </w:r>
      <w:r>
        <w:rPr>
          <w:spacing w:val="-8"/>
          <w:sz w:val="20"/>
        </w:rPr>
        <w:t> </w:t>
      </w:r>
      <w:r>
        <w:rPr>
          <w:sz w:val="20"/>
        </w:rPr>
        <w:t>urbana,</w:t>
      </w:r>
      <w:r>
        <w:rPr>
          <w:spacing w:val="-7"/>
          <w:sz w:val="20"/>
        </w:rPr>
        <w:t> </w:t>
      </w:r>
      <w:r>
        <w:rPr>
          <w:sz w:val="20"/>
        </w:rPr>
        <w:t>así</w:t>
      </w:r>
      <w:r>
        <w:rPr>
          <w:spacing w:val="-7"/>
          <w:sz w:val="20"/>
        </w:rPr>
        <w:t> </w:t>
      </w:r>
      <w:r>
        <w:rPr>
          <w:sz w:val="20"/>
        </w:rPr>
        <w:t>como</w:t>
      </w:r>
      <w:r>
        <w:rPr>
          <w:spacing w:val="-8"/>
          <w:sz w:val="20"/>
        </w:rPr>
        <w:t> </w:t>
      </w:r>
      <w:r>
        <w:rPr>
          <w:sz w:val="20"/>
        </w:rPr>
        <w:t>para</w:t>
      </w:r>
      <w:r>
        <w:rPr>
          <w:spacing w:val="-8"/>
          <w:sz w:val="20"/>
        </w:rPr>
        <w:t> </w:t>
      </w:r>
      <w:r>
        <w:rPr>
          <w:sz w:val="20"/>
        </w:rPr>
        <w:t>la</w:t>
      </w:r>
      <w:r>
        <w:rPr>
          <w:spacing w:val="-8"/>
          <w:sz w:val="20"/>
        </w:rPr>
        <w:t> </w:t>
      </w:r>
      <w:r>
        <w:rPr>
          <w:sz w:val="20"/>
        </w:rPr>
        <w:t>programación,</w:t>
      </w:r>
      <w:r>
        <w:rPr>
          <w:spacing w:val="-7"/>
          <w:sz w:val="20"/>
        </w:rPr>
        <w:t> </w:t>
      </w:r>
      <w:r>
        <w:rPr>
          <w:sz w:val="20"/>
        </w:rPr>
        <w:t>financiamiento</w:t>
      </w:r>
      <w:r>
        <w:rPr>
          <w:spacing w:val="-8"/>
          <w:sz w:val="20"/>
        </w:rPr>
        <w:t> </w:t>
      </w:r>
      <w:r>
        <w:rPr>
          <w:sz w:val="20"/>
        </w:rPr>
        <w:t>y</w:t>
      </w:r>
      <w:r>
        <w:rPr>
          <w:spacing w:val="-6"/>
          <w:sz w:val="20"/>
        </w:rPr>
        <w:t> </w:t>
      </w:r>
      <w:r>
        <w:rPr>
          <w:sz w:val="20"/>
        </w:rPr>
        <w:t>ejecución</w:t>
      </w:r>
      <w:r>
        <w:rPr>
          <w:spacing w:val="-8"/>
          <w:sz w:val="20"/>
        </w:rPr>
        <w:t> </w:t>
      </w:r>
      <w:r>
        <w:rPr>
          <w:sz w:val="20"/>
        </w:rPr>
        <w:t>de</w:t>
      </w:r>
      <w:r>
        <w:rPr>
          <w:spacing w:val="-6"/>
          <w:sz w:val="20"/>
        </w:rPr>
        <w:t> </w:t>
      </w:r>
      <w:r>
        <w:rPr>
          <w:sz w:val="20"/>
        </w:rPr>
        <w:t>acciones,</w:t>
      </w:r>
      <w:r>
        <w:rPr>
          <w:spacing w:val="-7"/>
          <w:sz w:val="20"/>
        </w:rPr>
        <w:t> </w:t>
      </w:r>
      <w:r>
        <w:rPr>
          <w:sz w:val="20"/>
        </w:rPr>
        <w:t>obras</w:t>
      </w:r>
      <w:r>
        <w:rPr>
          <w:spacing w:val="-6"/>
          <w:sz w:val="20"/>
        </w:rPr>
        <w:t> </w:t>
      </w:r>
      <w:r>
        <w:rPr>
          <w:sz w:val="20"/>
        </w:rPr>
        <w:t>y prestación de servicios comunes;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1"/>
        </w:numPr>
        <w:tabs>
          <w:tab w:pos="827" w:val="left" w:leader="none"/>
        </w:tabs>
        <w:spacing w:line="240" w:lineRule="auto" w:before="0" w:after="0"/>
        <w:ind w:left="262" w:right="279" w:firstLine="0"/>
        <w:jc w:val="both"/>
        <w:rPr>
          <w:sz w:val="20"/>
        </w:rPr>
      </w:pPr>
      <w:r>
        <w:rPr>
          <w:sz w:val="20"/>
        </w:rPr>
        <w:t>Celebrar</w:t>
      </w:r>
      <w:r>
        <w:rPr>
          <w:spacing w:val="-1"/>
          <w:sz w:val="20"/>
        </w:rPr>
        <w:t> </w:t>
      </w:r>
      <w:r>
        <w:rPr>
          <w:sz w:val="20"/>
        </w:rPr>
        <w:t>con la federación, con el</w:t>
      </w:r>
      <w:r>
        <w:rPr>
          <w:spacing w:val="-1"/>
          <w:sz w:val="20"/>
        </w:rPr>
        <w:t> </w:t>
      </w:r>
      <w:r>
        <w:rPr>
          <w:sz w:val="20"/>
        </w:rPr>
        <w:t>Estado,</w:t>
      </w:r>
      <w:r>
        <w:rPr>
          <w:spacing w:val="-2"/>
          <w:sz w:val="20"/>
        </w:rPr>
        <w:t> </w:t>
      </w:r>
      <w:r>
        <w:rPr>
          <w:sz w:val="20"/>
        </w:rPr>
        <w:t>con otros</w:t>
      </w:r>
      <w:r>
        <w:rPr>
          <w:spacing w:val="-1"/>
          <w:sz w:val="20"/>
        </w:rPr>
        <w:t> </w:t>
      </w:r>
      <w:r>
        <w:rPr>
          <w:sz w:val="20"/>
        </w:rPr>
        <w:t>municipios,</w:t>
      </w:r>
      <w:r>
        <w:rPr>
          <w:spacing w:val="-2"/>
          <w:sz w:val="20"/>
        </w:rPr>
        <w:t> </w:t>
      </w:r>
      <w:r>
        <w:rPr>
          <w:sz w:val="20"/>
        </w:rPr>
        <w:t>Demarcaciones Territoriales </w:t>
      </w:r>
      <w:r>
        <w:rPr>
          <w:spacing w:val="-2"/>
          <w:sz w:val="20"/>
        </w:rPr>
        <w:t>o</w:t>
      </w:r>
      <w:r>
        <w:rPr>
          <w:spacing w:val="-7"/>
          <w:sz w:val="20"/>
        </w:rPr>
        <w:t> </w:t>
      </w:r>
      <w:r>
        <w:rPr>
          <w:spacing w:val="-2"/>
          <w:sz w:val="20"/>
        </w:rPr>
        <w:t>con</w:t>
      </w:r>
      <w:r>
        <w:rPr>
          <w:spacing w:val="-5"/>
          <w:sz w:val="20"/>
        </w:rPr>
        <w:t> </w:t>
      </w:r>
      <w:r>
        <w:rPr>
          <w:spacing w:val="-2"/>
          <w:sz w:val="20"/>
        </w:rPr>
        <w:t>los</w:t>
      </w:r>
      <w:r>
        <w:rPr>
          <w:spacing w:val="-6"/>
          <w:sz w:val="20"/>
        </w:rPr>
        <w:t> </w:t>
      </w:r>
      <w:r>
        <w:rPr>
          <w:spacing w:val="-2"/>
          <w:sz w:val="20"/>
        </w:rPr>
        <w:t>particulares,</w:t>
      </w:r>
      <w:r>
        <w:rPr>
          <w:spacing w:val="-3"/>
          <w:sz w:val="20"/>
        </w:rPr>
        <w:t> </w:t>
      </w:r>
      <w:r>
        <w:rPr>
          <w:spacing w:val="-2"/>
          <w:sz w:val="20"/>
        </w:rPr>
        <w:t>convenios</w:t>
      </w:r>
      <w:r>
        <w:rPr>
          <w:spacing w:val="-6"/>
          <w:sz w:val="20"/>
        </w:rPr>
        <w:t> </w:t>
      </w:r>
      <w:r>
        <w:rPr>
          <w:spacing w:val="-2"/>
          <w:sz w:val="20"/>
        </w:rPr>
        <w:t>y</w:t>
      </w:r>
      <w:r>
        <w:rPr>
          <w:spacing w:val="-5"/>
          <w:sz w:val="20"/>
        </w:rPr>
        <w:t> </w:t>
      </w:r>
      <w:r>
        <w:rPr>
          <w:spacing w:val="-2"/>
          <w:sz w:val="20"/>
        </w:rPr>
        <w:t>acuerdos de</w:t>
      </w:r>
      <w:r>
        <w:rPr>
          <w:spacing w:val="-5"/>
          <w:sz w:val="20"/>
        </w:rPr>
        <w:t> </w:t>
      </w:r>
      <w:r>
        <w:rPr>
          <w:spacing w:val="-2"/>
          <w:sz w:val="20"/>
        </w:rPr>
        <w:t>coordinación</w:t>
      </w:r>
      <w:r>
        <w:rPr>
          <w:spacing w:val="-5"/>
          <w:sz w:val="20"/>
        </w:rPr>
        <w:t> </w:t>
      </w:r>
      <w:r>
        <w:rPr>
          <w:spacing w:val="-2"/>
          <w:sz w:val="20"/>
        </w:rPr>
        <w:t>y</w:t>
      </w:r>
      <w:r>
        <w:rPr>
          <w:spacing w:val="-5"/>
          <w:sz w:val="20"/>
        </w:rPr>
        <w:t> </w:t>
      </w:r>
      <w:r>
        <w:rPr>
          <w:spacing w:val="-2"/>
          <w:sz w:val="20"/>
        </w:rPr>
        <w:t>concertación</w:t>
      </w:r>
      <w:r>
        <w:rPr>
          <w:spacing w:val="-3"/>
          <w:sz w:val="20"/>
        </w:rPr>
        <w:t> </w:t>
      </w:r>
      <w:r>
        <w:rPr>
          <w:spacing w:val="-2"/>
          <w:sz w:val="20"/>
        </w:rPr>
        <w:t>que</w:t>
      </w:r>
      <w:r>
        <w:rPr>
          <w:spacing w:val="-3"/>
          <w:sz w:val="20"/>
        </w:rPr>
        <w:t> </w:t>
      </w:r>
      <w:r>
        <w:rPr>
          <w:spacing w:val="-2"/>
          <w:sz w:val="20"/>
        </w:rPr>
        <w:t>apoyen</w:t>
      </w:r>
      <w:r>
        <w:rPr>
          <w:spacing w:val="-5"/>
          <w:sz w:val="20"/>
        </w:rPr>
        <w:t> </w:t>
      </w:r>
      <w:r>
        <w:rPr>
          <w:spacing w:val="-2"/>
          <w:sz w:val="20"/>
        </w:rPr>
        <w:t>los objetivos </w:t>
      </w:r>
      <w:r>
        <w:rPr>
          <w:sz w:val="20"/>
        </w:rPr>
        <w:t>y</w:t>
      </w:r>
      <w:r>
        <w:rPr>
          <w:spacing w:val="-14"/>
          <w:sz w:val="20"/>
        </w:rPr>
        <w:t> </w:t>
      </w:r>
      <w:r>
        <w:rPr>
          <w:sz w:val="20"/>
        </w:rPr>
        <w:t>prioridades</w:t>
      </w:r>
      <w:r>
        <w:rPr>
          <w:spacing w:val="-14"/>
          <w:sz w:val="20"/>
        </w:rPr>
        <w:t> </w:t>
      </w:r>
      <w:r>
        <w:rPr>
          <w:sz w:val="20"/>
        </w:rPr>
        <w:t>previstos</w:t>
      </w:r>
      <w:r>
        <w:rPr>
          <w:spacing w:val="-14"/>
          <w:sz w:val="20"/>
        </w:rPr>
        <w:t> </w:t>
      </w:r>
      <w:r>
        <w:rPr>
          <w:sz w:val="20"/>
        </w:rPr>
        <w:t>en</w:t>
      </w:r>
      <w:r>
        <w:rPr>
          <w:spacing w:val="-14"/>
          <w:sz w:val="20"/>
        </w:rPr>
        <w:t> </w:t>
      </w:r>
      <w:r>
        <w:rPr>
          <w:sz w:val="20"/>
        </w:rPr>
        <w:t>los</w:t>
      </w:r>
      <w:r>
        <w:rPr>
          <w:spacing w:val="-14"/>
          <w:sz w:val="20"/>
        </w:rPr>
        <w:t> </w:t>
      </w:r>
      <w:r>
        <w:rPr>
          <w:sz w:val="20"/>
        </w:rPr>
        <w:t>programas</w:t>
      </w:r>
      <w:r>
        <w:rPr>
          <w:spacing w:val="-14"/>
          <w:sz w:val="20"/>
        </w:rPr>
        <w:t> </w:t>
      </w:r>
      <w:r>
        <w:rPr>
          <w:sz w:val="20"/>
        </w:rPr>
        <w:t>municipales</w:t>
      </w:r>
      <w:r>
        <w:rPr>
          <w:spacing w:val="-14"/>
          <w:sz w:val="20"/>
        </w:rPr>
        <w:t> </w:t>
      </w:r>
      <w:r>
        <w:rPr>
          <w:sz w:val="20"/>
        </w:rPr>
        <w:t>de</w:t>
      </w:r>
      <w:r>
        <w:rPr>
          <w:spacing w:val="-14"/>
          <w:sz w:val="20"/>
        </w:rPr>
        <w:t> </w:t>
      </w:r>
      <w:r>
        <w:rPr>
          <w:sz w:val="20"/>
        </w:rPr>
        <w:t>Desarrollo</w:t>
      </w:r>
      <w:r>
        <w:rPr>
          <w:spacing w:val="-14"/>
          <w:sz w:val="20"/>
        </w:rPr>
        <w:t> </w:t>
      </w:r>
      <w:r>
        <w:rPr>
          <w:sz w:val="20"/>
        </w:rPr>
        <w:t>Urbano,</w:t>
      </w:r>
      <w:r>
        <w:rPr>
          <w:spacing w:val="-13"/>
          <w:sz w:val="20"/>
        </w:rPr>
        <w:t> </w:t>
      </w:r>
      <w:r>
        <w:rPr>
          <w:sz w:val="20"/>
        </w:rPr>
        <w:t>de</w:t>
      </w:r>
      <w:r>
        <w:rPr>
          <w:spacing w:val="-14"/>
          <w:sz w:val="20"/>
        </w:rPr>
        <w:t> </w:t>
      </w:r>
      <w:r>
        <w:rPr>
          <w:sz w:val="20"/>
        </w:rPr>
        <w:t>Centros</w:t>
      </w:r>
      <w:r>
        <w:rPr>
          <w:spacing w:val="-14"/>
          <w:sz w:val="20"/>
        </w:rPr>
        <w:t> </w:t>
      </w:r>
      <w:r>
        <w:rPr>
          <w:sz w:val="20"/>
        </w:rPr>
        <w:t>de</w:t>
      </w:r>
      <w:r>
        <w:rPr>
          <w:spacing w:val="-14"/>
          <w:sz w:val="20"/>
        </w:rPr>
        <w:t> </w:t>
      </w:r>
      <w:r>
        <w:rPr>
          <w:sz w:val="20"/>
        </w:rPr>
        <w:t>Población y los demás que de éstos deriven;</w:t>
      </w:r>
    </w:p>
    <w:p>
      <w:pPr>
        <w:pStyle w:val="ListParagraph"/>
        <w:numPr>
          <w:ilvl w:val="0"/>
          <w:numId w:val="11"/>
        </w:numPr>
        <w:tabs>
          <w:tab w:pos="827" w:val="left" w:leader="none"/>
        </w:tabs>
        <w:spacing w:line="240" w:lineRule="auto" w:before="230" w:after="0"/>
        <w:ind w:left="262" w:right="287" w:firstLine="0"/>
        <w:jc w:val="both"/>
        <w:rPr>
          <w:sz w:val="20"/>
        </w:rPr>
      </w:pPr>
      <w:r>
        <w:rPr>
          <w:sz w:val="20"/>
        </w:rPr>
        <w:t>Participar en los convenios de coordinación metropolitana propuestos por las instancias de coordinación correspondientes;</w:t>
      </w:r>
    </w:p>
    <w:p>
      <w:pPr>
        <w:pStyle w:val="BodyText"/>
        <w:spacing w:before="1"/>
      </w:pPr>
    </w:p>
    <w:p>
      <w:pPr>
        <w:pStyle w:val="ListParagraph"/>
        <w:numPr>
          <w:ilvl w:val="0"/>
          <w:numId w:val="11"/>
        </w:numPr>
        <w:tabs>
          <w:tab w:pos="826" w:val="left" w:leader="none"/>
        </w:tabs>
        <w:spacing w:line="240" w:lineRule="auto" w:before="0" w:after="0"/>
        <w:ind w:left="262" w:right="285" w:firstLine="0"/>
        <w:jc w:val="both"/>
        <w:rPr>
          <w:sz w:val="20"/>
        </w:rPr>
      </w:pPr>
      <w:r>
        <w:rPr>
          <w:sz w:val="20"/>
        </w:rPr>
        <w:t>Participar</w:t>
      </w:r>
      <w:r>
        <w:rPr>
          <w:spacing w:val="-10"/>
          <w:sz w:val="20"/>
        </w:rPr>
        <w:t> </w:t>
      </w:r>
      <w:r>
        <w:rPr>
          <w:sz w:val="20"/>
        </w:rPr>
        <w:t>en</w:t>
      </w:r>
      <w:r>
        <w:rPr>
          <w:spacing w:val="-11"/>
          <w:sz w:val="20"/>
        </w:rPr>
        <w:t> </w:t>
      </w:r>
      <w:r>
        <w:rPr>
          <w:sz w:val="20"/>
        </w:rPr>
        <w:t>la</w:t>
      </w:r>
      <w:r>
        <w:rPr>
          <w:spacing w:val="-13"/>
          <w:sz w:val="20"/>
        </w:rPr>
        <w:t> </w:t>
      </w:r>
      <w:r>
        <w:rPr>
          <w:sz w:val="20"/>
        </w:rPr>
        <w:t>constitución</w:t>
      </w:r>
      <w:r>
        <w:rPr>
          <w:spacing w:val="-12"/>
          <w:sz w:val="20"/>
        </w:rPr>
        <w:t> </w:t>
      </w:r>
      <w:r>
        <w:rPr>
          <w:sz w:val="20"/>
        </w:rPr>
        <w:t>de</w:t>
      </w:r>
      <w:r>
        <w:rPr>
          <w:spacing w:val="-11"/>
          <w:sz w:val="20"/>
        </w:rPr>
        <w:t> </w:t>
      </w:r>
      <w:r>
        <w:rPr>
          <w:sz w:val="20"/>
        </w:rPr>
        <w:t>las</w:t>
      </w:r>
      <w:r>
        <w:rPr>
          <w:spacing w:val="-12"/>
          <w:sz w:val="20"/>
        </w:rPr>
        <w:t> </w:t>
      </w:r>
      <w:r>
        <w:rPr>
          <w:sz w:val="20"/>
        </w:rPr>
        <w:t>instancias</w:t>
      </w:r>
      <w:r>
        <w:rPr>
          <w:spacing w:val="-12"/>
          <w:sz w:val="20"/>
        </w:rPr>
        <w:t> </w:t>
      </w:r>
      <w:r>
        <w:rPr>
          <w:sz w:val="20"/>
        </w:rPr>
        <w:t>de</w:t>
      </w:r>
      <w:r>
        <w:rPr>
          <w:spacing w:val="-11"/>
          <w:sz w:val="20"/>
        </w:rPr>
        <w:t> </w:t>
      </w:r>
      <w:r>
        <w:rPr>
          <w:sz w:val="20"/>
        </w:rPr>
        <w:t>participación</w:t>
      </w:r>
      <w:r>
        <w:rPr>
          <w:spacing w:val="-13"/>
          <w:sz w:val="20"/>
        </w:rPr>
        <w:t> </w:t>
      </w:r>
      <w:r>
        <w:rPr>
          <w:sz w:val="20"/>
        </w:rPr>
        <w:t>y</w:t>
      </w:r>
      <w:r>
        <w:rPr>
          <w:spacing w:val="-12"/>
          <w:sz w:val="20"/>
        </w:rPr>
        <w:t> </w:t>
      </w:r>
      <w:r>
        <w:rPr>
          <w:sz w:val="20"/>
        </w:rPr>
        <w:t>estructuras</w:t>
      </w:r>
      <w:r>
        <w:rPr>
          <w:spacing w:val="-10"/>
          <w:sz w:val="20"/>
        </w:rPr>
        <w:t> </w:t>
      </w:r>
      <w:r>
        <w:rPr>
          <w:sz w:val="20"/>
        </w:rPr>
        <w:t>institucionales</w:t>
      </w:r>
      <w:r>
        <w:rPr>
          <w:spacing w:val="-10"/>
          <w:sz w:val="20"/>
        </w:rPr>
        <w:t> </w:t>
      </w:r>
      <w:r>
        <w:rPr>
          <w:sz w:val="20"/>
        </w:rPr>
        <w:t>que les correspondan de acuerdo con esta Ley, y participar con voz y voto en las instancias de coordinación relativas a las conurbaciones y las zonas metropolitanas;</w:t>
      </w:r>
    </w:p>
    <w:p>
      <w:pPr>
        <w:pStyle w:val="BodyText"/>
      </w:pPr>
    </w:p>
    <w:p>
      <w:pPr>
        <w:pStyle w:val="ListParagraph"/>
        <w:numPr>
          <w:ilvl w:val="0"/>
          <w:numId w:val="11"/>
        </w:numPr>
        <w:tabs>
          <w:tab w:pos="826" w:val="left" w:leader="none"/>
        </w:tabs>
        <w:spacing w:line="240" w:lineRule="auto" w:before="0" w:after="0"/>
        <w:ind w:left="262" w:right="285" w:firstLine="0"/>
        <w:jc w:val="both"/>
        <w:rPr>
          <w:sz w:val="20"/>
        </w:rPr>
      </w:pPr>
      <w:r>
        <w:rPr>
          <w:sz w:val="20"/>
        </w:rPr>
        <w:t>Prestar</w:t>
      </w:r>
      <w:r>
        <w:rPr>
          <w:spacing w:val="-7"/>
          <w:sz w:val="20"/>
        </w:rPr>
        <w:t> </w:t>
      </w:r>
      <w:r>
        <w:rPr>
          <w:sz w:val="20"/>
        </w:rPr>
        <w:t>los</w:t>
      </w:r>
      <w:r>
        <w:rPr>
          <w:spacing w:val="-7"/>
          <w:sz w:val="20"/>
        </w:rPr>
        <w:t> </w:t>
      </w:r>
      <w:r>
        <w:rPr>
          <w:sz w:val="20"/>
        </w:rPr>
        <w:t>servicios</w:t>
      </w:r>
      <w:r>
        <w:rPr>
          <w:spacing w:val="-7"/>
          <w:sz w:val="20"/>
        </w:rPr>
        <w:t> </w:t>
      </w:r>
      <w:r>
        <w:rPr>
          <w:sz w:val="20"/>
        </w:rPr>
        <w:t>públicos</w:t>
      </w:r>
      <w:r>
        <w:rPr>
          <w:spacing w:val="-7"/>
          <w:sz w:val="20"/>
        </w:rPr>
        <w:t> </w:t>
      </w:r>
      <w:r>
        <w:rPr>
          <w:sz w:val="20"/>
        </w:rPr>
        <w:t>municipales,</w:t>
      </w:r>
      <w:r>
        <w:rPr>
          <w:spacing w:val="-7"/>
          <w:sz w:val="20"/>
        </w:rPr>
        <w:t> </w:t>
      </w:r>
      <w:r>
        <w:rPr>
          <w:sz w:val="20"/>
        </w:rPr>
        <w:t>atendiendo</w:t>
      </w:r>
      <w:r>
        <w:rPr>
          <w:spacing w:val="-6"/>
          <w:sz w:val="20"/>
        </w:rPr>
        <w:t> </w:t>
      </w:r>
      <w:r>
        <w:rPr>
          <w:sz w:val="20"/>
        </w:rPr>
        <w:t>a</w:t>
      </w:r>
      <w:r>
        <w:rPr>
          <w:spacing w:val="-8"/>
          <w:sz w:val="20"/>
        </w:rPr>
        <w:t> </w:t>
      </w:r>
      <w:r>
        <w:rPr>
          <w:sz w:val="20"/>
        </w:rPr>
        <w:t>lo</w:t>
      </w:r>
      <w:r>
        <w:rPr>
          <w:spacing w:val="-6"/>
          <w:sz w:val="20"/>
        </w:rPr>
        <w:t> </w:t>
      </w:r>
      <w:r>
        <w:rPr>
          <w:sz w:val="20"/>
        </w:rPr>
        <w:t>previsto</w:t>
      </w:r>
      <w:r>
        <w:rPr>
          <w:spacing w:val="-6"/>
          <w:sz w:val="20"/>
        </w:rPr>
        <w:t> </w:t>
      </w:r>
      <w:r>
        <w:rPr>
          <w:sz w:val="20"/>
        </w:rPr>
        <w:t>en</w:t>
      </w:r>
      <w:r>
        <w:rPr>
          <w:spacing w:val="-6"/>
          <w:sz w:val="20"/>
        </w:rPr>
        <w:t> </w:t>
      </w:r>
      <w:r>
        <w:rPr>
          <w:sz w:val="20"/>
        </w:rPr>
        <w:t>la</w:t>
      </w:r>
      <w:r>
        <w:rPr>
          <w:spacing w:val="-8"/>
          <w:sz w:val="20"/>
        </w:rPr>
        <w:t> </w:t>
      </w:r>
      <w:r>
        <w:rPr>
          <w:sz w:val="20"/>
        </w:rPr>
        <w:t>Constitución</w:t>
      </w:r>
      <w:r>
        <w:rPr>
          <w:spacing w:val="-6"/>
          <w:sz w:val="20"/>
        </w:rPr>
        <w:t> </w:t>
      </w:r>
      <w:r>
        <w:rPr>
          <w:sz w:val="20"/>
        </w:rPr>
        <w:t>Política de los Estados Unidos Mexicanos, en la legislación del Estado y reglamentos municipales;</w:t>
      </w:r>
    </w:p>
    <w:p>
      <w:pPr>
        <w:pStyle w:val="BodyText"/>
        <w:spacing w:before="1"/>
      </w:pPr>
    </w:p>
    <w:p>
      <w:pPr>
        <w:pStyle w:val="ListParagraph"/>
        <w:numPr>
          <w:ilvl w:val="0"/>
          <w:numId w:val="11"/>
        </w:numPr>
        <w:tabs>
          <w:tab w:pos="968" w:val="left" w:leader="none"/>
        </w:tabs>
        <w:spacing w:line="240" w:lineRule="auto" w:before="0" w:after="0"/>
        <w:ind w:left="262" w:right="286" w:firstLine="0"/>
        <w:jc w:val="both"/>
        <w:rPr>
          <w:sz w:val="20"/>
        </w:rPr>
      </w:pPr>
      <w:r>
        <w:rPr>
          <w:sz w:val="20"/>
        </w:rPr>
        <w:t>Coordinar sus acciones y, en su caso, celebrar convenios para asociarse con el Estado y con</w:t>
      </w:r>
      <w:r>
        <w:rPr>
          <w:spacing w:val="-6"/>
          <w:sz w:val="20"/>
        </w:rPr>
        <w:t> </w:t>
      </w:r>
      <w:r>
        <w:rPr>
          <w:sz w:val="20"/>
        </w:rPr>
        <w:t>otros</w:t>
      </w:r>
      <w:r>
        <w:rPr>
          <w:spacing w:val="-2"/>
          <w:sz w:val="20"/>
        </w:rPr>
        <w:t> </w:t>
      </w:r>
      <w:r>
        <w:rPr>
          <w:sz w:val="20"/>
        </w:rPr>
        <w:t>municipios</w:t>
      </w:r>
      <w:r>
        <w:rPr>
          <w:spacing w:val="-4"/>
          <w:sz w:val="20"/>
        </w:rPr>
        <w:t> </w:t>
      </w:r>
      <w:r>
        <w:rPr>
          <w:sz w:val="20"/>
        </w:rPr>
        <w:t>o</w:t>
      </w:r>
      <w:r>
        <w:rPr>
          <w:spacing w:val="-3"/>
          <w:sz w:val="20"/>
        </w:rPr>
        <w:t> </w:t>
      </w:r>
      <w:r>
        <w:rPr>
          <w:sz w:val="20"/>
        </w:rPr>
        <w:t>con</w:t>
      </w:r>
      <w:r>
        <w:rPr>
          <w:spacing w:val="-4"/>
          <w:sz w:val="20"/>
        </w:rPr>
        <w:t> </w:t>
      </w:r>
      <w:r>
        <w:rPr>
          <w:sz w:val="20"/>
        </w:rPr>
        <w:t>los</w:t>
      </w:r>
      <w:r>
        <w:rPr>
          <w:spacing w:val="-4"/>
          <w:sz w:val="20"/>
        </w:rPr>
        <w:t> </w:t>
      </w:r>
      <w:r>
        <w:rPr>
          <w:sz w:val="20"/>
        </w:rPr>
        <w:t>particulares,</w:t>
      </w:r>
      <w:r>
        <w:rPr>
          <w:spacing w:val="-5"/>
          <w:sz w:val="20"/>
        </w:rPr>
        <w:t> </w:t>
      </w:r>
      <w:r>
        <w:rPr>
          <w:sz w:val="20"/>
        </w:rPr>
        <w:t>para</w:t>
      </w:r>
      <w:r>
        <w:rPr>
          <w:spacing w:val="-3"/>
          <w:sz w:val="20"/>
        </w:rPr>
        <w:t> </w:t>
      </w:r>
      <w:r>
        <w:rPr>
          <w:sz w:val="20"/>
        </w:rPr>
        <w:t>la</w:t>
      </w:r>
      <w:r>
        <w:rPr>
          <w:spacing w:val="-3"/>
          <w:sz w:val="20"/>
        </w:rPr>
        <w:t> </w:t>
      </w:r>
      <w:r>
        <w:rPr>
          <w:sz w:val="20"/>
        </w:rPr>
        <w:t>prestación</w:t>
      </w:r>
      <w:r>
        <w:rPr>
          <w:spacing w:val="-4"/>
          <w:sz w:val="20"/>
        </w:rPr>
        <w:t> </w:t>
      </w:r>
      <w:r>
        <w:rPr>
          <w:sz w:val="20"/>
        </w:rPr>
        <w:t>de</w:t>
      </w:r>
      <w:r>
        <w:rPr>
          <w:spacing w:val="-6"/>
          <w:sz w:val="20"/>
        </w:rPr>
        <w:t> </w:t>
      </w:r>
      <w:r>
        <w:rPr>
          <w:sz w:val="20"/>
        </w:rPr>
        <w:t>servicios</w:t>
      </w:r>
      <w:r>
        <w:rPr>
          <w:spacing w:val="-4"/>
          <w:sz w:val="20"/>
        </w:rPr>
        <w:t> </w:t>
      </w:r>
      <w:r>
        <w:rPr>
          <w:sz w:val="20"/>
        </w:rPr>
        <w:t>públicos</w:t>
      </w:r>
      <w:r>
        <w:rPr>
          <w:spacing w:val="-4"/>
          <w:sz w:val="20"/>
        </w:rPr>
        <w:t> </w:t>
      </w:r>
      <w:r>
        <w:rPr>
          <w:sz w:val="20"/>
        </w:rPr>
        <w:t>municipales,</w:t>
      </w:r>
      <w:r>
        <w:rPr>
          <w:spacing w:val="-3"/>
          <w:sz w:val="20"/>
        </w:rPr>
        <w:t> </w:t>
      </w:r>
      <w:r>
        <w:rPr>
          <w:sz w:val="20"/>
        </w:rPr>
        <w:t>de acuerdo con lo previsto en las leyes estatales;</w:t>
      </w:r>
    </w:p>
    <w:p>
      <w:pPr>
        <w:pStyle w:val="ListParagraph"/>
        <w:numPr>
          <w:ilvl w:val="0"/>
          <w:numId w:val="11"/>
        </w:numPr>
        <w:tabs>
          <w:tab w:pos="968" w:val="left" w:leader="none"/>
        </w:tabs>
        <w:spacing w:line="240" w:lineRule="auto" w:before="229" w:after="0"/>
        <w:ind w:left="262" w:right="284" w:firstLine="0"/>
        <w:jc w:val="both"/>
        <w:rPr>
          <w:sz w:val="20"/>
        </w:rPr>
      </w:pPr>
      <w:r>
        <w:rPr>
          <w:sz w:val="20"/>
        </w:rPr>
        <w:t>Solicitar</w:t>
      </w:r>
      <w:r>
        <w:rPr>
          <w:spacing w:val="-4"/>
          <w:sz w:val="20"/>
        </w:rPr>
        <w:t> </w:t>
      </w:r>
      <w:r>
        <w:rPr>
          <w:sz w:val="20"/>
        </w:rPr>
        <w:t>la</w:t>
      </w:r>
      <w:r>
        <w:rPr>
          <w:spacing w:val="-5"/>
          <w:sz w:val="20"/>
        </w:rPr>
        <w:t> </w:t>
      </w:r>
      <w:r>
        <w:rPr>
          <w:sz w:val="20"/>
        </w:rPr>
        <w:t>incorporación</w:t>
      </w:r>
      <w:r>
        <w:rPr>
          <w:spacing w:val="-5"/>
          <w:sz w:val="20"/>
        </w:rPr>
        <w:t> </w:t>
      </w:r>
      <w:r>
        <w:rPr>
          <w:sz w:val="20"/>
        </w:rPr>
        <w:t>de</w:t>
      </w:r>
      <w:r>
        <w:rPr>
          <w:spacing w:val="-5"/>
          <w:sz w:val="20"/>
        </w:rPr>
        <w:t> </w:t>
      </w:r>
      <w:r>
        <w:rPr>
          <w:sz w:val="20"/>
        </w:rPr>
        <w:t>los</w:t>
      </w:r>
      <w:r>
        <w:rPr>
          <w:spacing w:val="-6"/>
          <w:sz w:val="20"/>
        </w:rPr>
        <w:t> </w:t>
      </w:r>
      <w:r>
        <w:rPr>
          <w:sz w:val="20"/>
        </w:rPr>
        <w:t>programas</w:t>
      </w:r>
      <w:r>
        <w:rPr>
          <w:spacing w:val="-3"/>
          <w:sz w:val="20"/>
        </w:rPr>
        <w:t> </w:t>
      </w:r>
      <w:r>
        <w:rPr>
          <w:sz w:val="20"/>
        </w:rPr>
        <w:t>de</w:t>
      </w:r>
      <w:r>
        <w:rPr>
          <w:spacing w:val="-5"/>
          <w:sz w:val="20"/>
        </w:rPr>
        <w:t> </w:t>
      </w:r>
      <w:r>
        <w:rPr>
          <w:sz w:val="20"/>
        </w:rPr>
        <w:t>Desarrollo</w:t>
      </w:r>
      <w:r>
        <w:rPr>
          <w:spacing w:val="-7"/>
          <w:sz w:val="20"/>
        </w:rPr>
        <w:t> </w:t>
      </w:r>
      <w:r>
        <w:rPr>
          <w:sz w:val="20"/>
        </w:rPr>
        <w:t>Urbano</w:t>
      </w:r>
      <w:r>
        <w:rPr>
          <w:spacing w:val="-5"/>
          <w:sz w:val="20"/>
        </w:rPr>
        <w:t> </w:t>
      </w:r>
      <w:r>
        <w:rPr>
          <w:sz w:val="20"/>
        </w:rPr>
        <w:t>y</w:t>
      </w:r>
      <w:r>
        <w:rPr>
          <w:spacing w:val="-5"/>
          <w:sz w:val="20"/>
        </w:rPr>
        <w:t> </w:t>
      </w:r>
      <w:r>
        <w:rPr>
          <w:sz w:val="20"/>
        </w:rPr>
        <w:t>sus</w:t>
      </w:r>
      <w:r>
        <w:rPr>
          <w:spacing w:val="-3"/>
          <w:sz w:val="20"/>
        </w:rPr>
        <w:t> </w:t>
      </w:r>
      <w:r>
        <w:rPr>
          <w:sz w:val="20"/>
        </w:rPr>
        <w:t>modificaciones</w:t>
      </w:r>
      <w:r>
        <w:rPr>
          <w:spacing w:val="-5"/>
          <w:sz w:val="20"/>
        </w:rPr>
        <w:t> </w:t>
      </w:r>
      <w:r>
        <w:rPr>
          <w:sz w:val="20"/>
        </w:rPr>
        <w:t>en</w:t>
      </w:r>
      <w:r>
        <w:rPr>
          <w:spacing w:val="-4"/>
          <w:sz w:val="20"/>
        </w:rPr>
        <w:t> </w:t>
      </w:r>
      <w:r>
        <w:rPr>
          <w:sz w:val="20"/>
        </w:rPr>
        <w:t>el Sistema de Información Territorial y Urbano;</w:t>
      </w:r>
    </w:p>
    <w:p>
      <w:pPr>
        <w:pStyle w:val="ListParagraph"/>
        <w:numPr>
          <w:ilvl w:val="0"/>
          <w:numId w:val="11"/>
        </w:numPr>
        <w:tabs>
          <w:tab w:pos="968" w:val="left" w:leader="none"/>
        </w:tabs>
        <w:spacing w:line="240" w:lineRule="auto" w:before="229" w:after="0"/>
        <w:ind w:left="262" w:right="286" w:firstLine="0"/>
        <w:jc w:val="both"/>
        <w:rPr>
          <w:sz w:val="20"/>
        </w:rPr>
      </w:pPr>
      <w:r>
        <w:rPr>
          <w:sz w:val="20"/>
        </w:rPr>
        <w:t>Atender y cumplir los lineamientos y normas relativas a los polígonos de protección y salvaguarda en zonas de riesgo, así como de zonas restringidas o identificadas como áreas no urbanizables por disposición contenidas en leyes de carácter federal;</w:t>
      </w:r>
    </w:p>
    <w:p>
      <w:pPr>
        <w:pStyle w:val="ListParagraph"/>
        <w:numPr>
          <w:ilvl w:val="0"/>
          <w:numId w:val="11"/>
        </w:numPr>
        <w:tabs>
          <w:tab w:pos="968" w:val="left" w:leader="none"/>
        </w:tabs>
        <w:spacing w:line="240" w:lineRule="auto" w:before="2" w:after="0"/>
        <w:ind w:left="262" w:right="277" w:firstLine="0"/>
        <w:jc w:val="both"/>
        <w:rPr>
          <w:sz w:val="20"/>
        </w:rPr>
      </w:pPr>
      <w:r>
        <w:rPr>
          <w:sz w:val="20"/>
        </w:rPr>
        <w:t>Intervenir</w:t>
      </w:r>
      <w:r>
        <w:rPr>
          <w:spacing w:val="-2"/>
          <w:sz w:val="20"/>
        </w:rPr>
        <w:t> </w:t>
      </w:r>
      <w:r>
        <w:rPr>
          <w:sz w:val="20"/>
        </w:rPr>
        <w:t>en</w:t>
      </w:r>
      <w:r>
        <w:rPr>
          <w:spacing w:val="-2"/>
          <w:sz w:val="20"/>
        </w:rPr>
        <w:t> </w:t>
      </w:r>
      <w:r>
        <w:rPr>
          <w:sz w:val="20"/>
        </w:rPr>
        <w:t>la</w:t>
      </w:r>
      <w:r>
        <w:rPr>
          <w:spacing w:val="-3"/>
          <w:sz w:val="20"/>
        </w:rPr>
        <w:t> </w:t>
      </w:r>
      <w:r>
        <w:rPr>
          <w:sz w:val="20"/>
        </w:rPr>
        <w:t>regularización</w:t>
      </w:r>
      <w:r>
        <w:rPr>
          <w:spacing w:val="-4"/>
          <w:sz w:val="20"/>
        </w:rPr>
        <w:t> </w:t>
      </w:r>
      <w:r>
        <w:rPr>
          <w:sz w:val="20"/>
        </w:rPr>
        <w:t>de</w:t>
      </w:r>
      <w:r>
        <w:rPr>
          <w:spacing w:val="-2"/>
          <w:sz w:val="20"/>
        </w:rPr>
        <w:t> </w:t>
      </w:r>
      <w:r>
        <w:rPr>
          <w:sz w:val="20"/>
        </w:rPr>
        <w:t>la</w:t>
      </w:r>
      <w:r>
        <w:rPr>
          <w:spacing w:val="-3"/>
          <w:sz w:val="20"/>
        </w:rPr>
        <w:t> </w:t>
      </w:r>
      <w:r>
        <w:rPr>
          <w:sz w:val="20"/>
        </w:rPr>
        <w:t>tenencia</w:t>
      </w:r>
      <w:r>
        <w:rPr>
          <w:spacing w:val="-2"/>
          <w:sz w:val="20"/>
        </w:rPr>
        <w:t> </w:t>
      </w:r>
      <w:r>
        <w:rPr>
          <w:sz w:val="20"/>
        </w:rPr>
        <w:t>de</w:t>
      </w:r>
      <w:r>
        <w:rPr>
          <w:spacing w:val="-2"/>
          <w:sz w:val="20"/>
        </w:rPr>
        <w:t> </w:t>
      </w:r>
      <w:r>
        <w:rPr>
          <w:sz w:val="20"/>
        </w:rPr>
        <w:t>la</w:t>
      </w:r>
      <w:r>
        <w:rPr>
          <w:spacing w:val="-3"/>
          <w:sz w:val="20"/>
        </w:rPr>
        <w:t> </w:t>
      </w:r>
      <w:r>
        <w:rPr>
          <w:sz w:val="20"/>
        </w:rPr>
        <w:t>tierra</w:t>
      </w:r>
      <w:r>
        <w:rPr>
          <w:spacing w:val="-3"/>
          <w:sz w:val="20"/>
        </w:rPr>
        <w:t> </w:t>
      </w:r>
      <w:r>
        <w:rPr>
          <w:sz w:val="20"/>
        </w:rPr>
        <w:t>urbana,</w:t>
      </w:r>
      <w:r>
        <w:rPr>
          <w:spacing w:val="-2"/>
          <w:sz w:val="20"/>
        </w:rPr>
        <w:t> </w:t>
      </w:r>
      <w:r>
        <w:rPr>
          <w:sz w:val="20"/>
        </w:rPr>
        <w:t>así</w:t>
      </w:r>
      <w:r>
        <w:rPr>
          <w:spacing w:val="-3"/>
          <w:sz w:val="20"/>
        </w:rPr>
        <w:t> </w:t>
      </w:r>
      <w:r>
        <w:rPr>
          <w:sz w:val="20"/>
        </w:rPr>
        <w:t>como</w:t>
      </w:r>
      <w:r>
        <w:rPr>
          <w:spacing w:val="-2"/>
          <w:sz w:val="20"/>
        </w:rPr>
        <w:t> </w:t>
      </w:r>
      <w:r>
        <w:rPr>
          <w:sz w:val="20"/>
        </w:rPr>
        <w:t>en</w:t>
      </w:r>
      <w:r>
        <w:rPr>
          <w:spacing w:val="-2"/>
          <w:sz w:val="20"/>
        </w:rPr>
        <w:t> </w:t>
      </w:r>
      <w:r>
        <w:rPr>
          <w:sz w:val="20"/>
        </w:rPr>
        <w:t>la</w:t>
      </w:r>
      <w:r>
        <w:rPr>
          <w:spacing w:val="-2"/>
          <w:sz w:val="20"/>
        </w:rPr>
        <w:t> </w:t>
      </w:r>
      <w:r>
        <w:rPr>
          <w:sz w:val="20"/>
        </w:rPr>
        <w:t>prevención, control y solución de los asentamientos humanos irregulares, en los términos de la legislación aplicable</w:t>
      </w:r>
      <w:r>
        <w:rPr>
          <w:spacing w:val="-4"/>
          <w:sz w:val="20"/>
        </w:rPr>
        <w:t> </w:t>
      </w:r>
      <w:r>
        <w:rPr>
          <w:sz w:val="20"/>
        </w:rPr>
        <w:t>y</w:t>
      </w:r>
      <w:r>
        <w:rPr>
          <w:spacing w:val="-4"/>
          <w:sz w:val="20"/>
        </w:rPr>
        <w:t> </w:t>
      </w:r>
      <w:r>
        <w:rPr>
          <w:sz w:val="20"/>
        </w:rPr>
        <w:t>de</w:t>
      </w:r>
      <w:r>
        <w:rPr>
          <w:spacing w:val="-4"/>
          <w:sz w:val="20"/>
        </w:rPr>
        <w:t> </w:t>
      </w:r>
      <w:r>
        <w:rPr>
          <w:sz w:val="20"/>
        </w:rPr>
        <w:t>conformidad</w:t>
      </w:r>
      <w:r>
        <w:rPr>
          <w:spacing w:val="-3"/>
          <w:sz w:val="20"/>
        </w:rPr>
        <w:t> </w:t>
      </w:r>
      <w:r>
        <w:rPr>
          <w:sz w:val="20"/>
        </w:rPr>
        <w:t>con</w:t>
      </w:r>
      <w:r>
        <w:rPr>
          <w:spacing w:val="-5"/>
          <w:sz w:val="20"/>
        </w:rPr>
        <w:t> </w:t>
      </w:r>
      <w:r>
        <w:rPr>
          <w:sz w:val="20"/>
        </w:rPr>
        <w:t>los</w:t>
      </w:r>
      <w:r>
        <w:rPr>
          <w:spacing w:val="-2"/>
          <w:sz w:val="20"/>
        </w:rPr>
        <w:t> </w:t>
      </w:r>
      <w:r>
        <w:rPr>
          <w:sz w:val="20"/>
        </w:rPr>
        <w:t>programas</w:t>
      </w:r>
      <w:r>
        <w:rPr>
          <w:spacing w:val="-4"/>
          <w:sz w:val="20"/>
        </w:rPr>
        <w:t> </w:t>
      </w:r>
      <w:r>
        <w:rPr>
          <w:sz w:val="20"/>
        </w:rPr>
        <w:t>de</w:t>
      </w:r>
      <w:r>
        <w:rPr>
          <w:spacing w:val="-4"/>
          <w:sz w:val="20"/>
        </w:rPr>
        <w:t> </w:t>
      </w:r>
      <w:r>
        <w:rPr>
          <w:sz w:val="20"/>
        </w:rPr>
        <w:t>Desarrollo</w:t>
      </w:r>
      <w:r>
        <w:rPr>
          <w:spacing w:val="-3"/>
          <w:sz w:val="20"/>
        </w:rPr>
        <w:t> </w:t>
      </w:r>
      <w:r>
        <w:rPr>
          <w:sz w:val="20"/>
        </w:rPr>
        <w:t>Urbano, de</w:t>
      </w:r>
      <w:r>
        <w:rPr>
          <w:spacing w:val="-5"/>
          <w:sz w:val="20"/>
        </w:rPr>
        <w:t> </w:t>
      </w:r>
      <w:r>
        <w:rPr>
          <w:sz w:val="20"/>
        </w:rPr>
        <w:t>conurbaciones</w:t>
      </w:r>
      <w:r>
        <w:rPr>
          <w:spacing w:val="-4"/>
          <w:sz w:val="20"/>
        </w:rPr>
        <w:t> </w:t>
      </w:r>
      <w:r>
        <w:rPr>
          <w:sz w:val="20"/>
        </w:rPr>
        <w:t>y</w:t>
      </w:r>
      <w:r>
        <w:rPr>
          <w:spacing w:val="-4"/>
          <w:sz w:val="20"/>
        </w:rPr>
        <w:t> </w:t>
      </w:r>
      <w:r>
        <w:rPr>
          <w:sz w:val="20"/>
        </w:rPr>
        <w:t>desarrollo metropolitano y las Reservas, Usos del Suelo y Destinos de áreas y predios en el marco de los derechos humanos;</w:t>
      </w:r>
    </w:p>
    <w:p>
      <w:pPr>
        <w:pStyle w:val="BodyText"/>
      </w:pPr>
    </w:p>
    <w:p>
      <w:pPr>
        <w:pStyle w:val="ListParagraph"/>
        <w:numPr>
          <w:ilvl w:val="0"/>
          <w:numId w:val="11"/>
        </w:numPr>
        <w:tabs>
          <w:tab w:pos="968" w:val="left" w:leader="none"/>
        </w:tabs>
        <w:spacing w:line="240" w:lineRule="auto" w:before="0" w:after="0"/>
        <w:ind w:left="262" w:right="284" w:firstLine="0"/>
        <w:jc w:val="both"/>
        <w:rPr>
          <w:sz w:val="20"/>
        </w:rPr>
      </w:pPr>
      <w:r>
        <w:rPr>
          <w:sz w:val="20"/>
        </w:rPr>
        <w:t>Participar</w:t>
      </w:r>
      <w:r>
        <w:rPr>
          <w:spacing w:val="-3"/>
          <w:sz w:val="20"/>
        </w:rPr>
        <w:t> </w:t>
      </w:r>
      <w:r>
        <w:rPr>
          <w:sz w:val="20"/>
        </w:rPr>
        <w:t>en</w:t>
      </w:r>
      <w:r>
        <w:rPr>
          <w:spacing w:val="-2"/>
          <w:sz w:val="20"/>
        </w:rPr>
        <w:t> </w:t>
      </w:r>
      <w:r>
        <w:rPr>
          <w:sz w:val="20"/>
        </w:rPr>
        <w:t>la</w:t>
      </w:r>
      <w:r>
        <w:rPr>
          <w:spacing w:val="-7"/>
          <w:sz w:val="20"/>
        </w:rPr>
        <w:t> </w:t>
      </w:r>
      <w:r>
        <w:rPr>
          <w:sz w:val="20"/>
        </w:rPr>
        <w:t>creación</w:t>
      </w:r>
      <w:r>
        <w:rPr>
          <w:spacing w:val="-7"/>
          <w:sz w:val="20"/>
        </w:rPr>
        <w:t> </w:t>
      </w:r>
      <w:r>
        <w:rPr>
          <w:sz w:val="20"/>
        </w:rPr>
        <w:t>y</w:t>
      </w:r>
      <w:r>
        <w:rPr>
          <w:spacing w:val="-3"/>
          <w:sz w:val="20"/>
        </w:rPr>
        <w:t> </w:t>
      </w:r>
      <w:r>
        <w:rPr>
          <w:sz w:val="20"/>
        </w:rPr>
        <w:t>administración</w:t>
      </w:r>
      <w:r>
        <w:rPr>
          <w:spacing w:val="-5"/>
          <w:sz w:val="20"/>
        </w:rPr>
        <w:t> </w:t>
      </w:r>
      <w:r>
        <w:rPr>
          <w:sz w:val="20"/>
        </w:rPr>
        <w:t>del</w:t>
      </w:r>
      <w:r>
        <w:rPr>
          <w:spacing w:val="-6"/>
          <w:sz w:val="20"/>
        </w:rPr>
        <w:t> </w:t>
      </w:r>
      <w:r>
        <w:rPr>
          <w:sz w:val="20"/>
        </w:rPr>
        <w:t>suelo</w:t>
      </w:r>
      <w:r>
        <w:rPr>
          <w:spacing w:val="-5"/>
          <w:sz w:val="20"/>
        </w:rPr>
        <w:t> </w:t>
      </w:r>
      <w:r>
        <w:rPr>
          <w:sz w:val="20"/>
        </w:rPr>
        <w:t>y</w:t>
      </w:r>
      <w:r>
        <w:rPr>
          <w:spacing w:val="-5"/>
          <w:sz w:val="20"/>
        </w:rPr>
        <w:t> </w:t>
      </w:r>
      <w:r>
        <w:rPr>
          <w:sz w:val="20"/>
        </w:rPr>
        <w:t>reservas</w:t>
      </w:r>
      <w:r>
        <w:rPr>
          <w:spacing w:val="-6"/>
          <w:sz w:val="20"/>
        </w:rPr>
        <w:t> </w:t>
      </w:r>
      <w:r>
        <w:rPr>
          <w:sz w:val="20"/>
        </w:rPr>
        <w:t>territoriales</w:t>
      </w:r>
      <w:r>
        <w:rPr>
          <w:spacing w:val="-3"/>
          <w:sz w:val="20"/>
        </w:rPr>
        <w:t> </w:t>
      </w:r>
      <w:r>
        <w:rPr>
          <w:sz w:val="20"/>
        </w:rPr>
        <w:t>para</w:t>
      </w:r>
      <w:r>
        <w:rPr>
          <w:spacing w:val="-5"/>
          <w:sz w:val="20"/>
        </w:rPr>
        <w:t> </w:t>
      </w:r>
      <w:r>
        <w:rPr>
          <w:sz w:val="20"/>
        </w:rPr>
        <w:t>el</w:t>
      </w:r>
      <w:r>
        <w:rPr>
          <w:spacing w:val="-5"/>
          <w:sz w:val="20"/>
        </w:rPr>
        <w:t> </w:t>
      </w:r>
      <w:r>
        <w:rPr>
          <w:sz w:val="20"/>
        </w:rPr>
        <w:t>desarrollo </w:t>
      </w:r>
      <w:r>
        <w:rPr>
          <w:spacing w:val="-2"/>
          <w:sz w:val="20"/>
        </w:rPr>
        <w:t>urbano,</w:t>
      </w:r>
      <w:r>
        <w:rPr>
          <w:spacing w:val="-6"/>
          <w:sz w:val="20"/>
        </w:rPr>
        <w:t> </w:t>
      </w:r>
      <w:r>
        <w:rPr>
          <w:spacing w:val="-2"/>
          <w:sz w:val="20"/>
        </w:rPr>
        <w:t>de</w:t>
      </w:r>
      <w:r>
        <w:rPr>
          <w:spacing w:val="-6"/>
          <w:sz w:val="20"/>
        </w:rPr>
        <w:t> </w:t>
      </w:r>
      <w:r>
        <w:rPr>
          <w:spacing w:val="-2"/>
          <w:sz w:val="20"/>
        </w:rPr>
        <w:t>conformidad</w:t>
      </w:r>
      <w:r>
        <w:rPr>
          <w:spacing w:val="-6"/>
          <w:sz w:val="20"/>
        </w:rPr>
        <w:t> </w:t>
      </w:r>
      <w:r>
        <w:rPr>
          <w:spacing w:val="-2"/>
          <w:sz w:val="20"/>
        </w:rPr>
        <w:t>con las disposiciones</w:t>
      </w:r>
      <w:r>
        <w:rPr>
          <w:spacing w:val="-3"/>
          <w:sz w:val="20"/>
        </w:rPr>
        <w:t> </w:t>
      </w:r>
      <w:r>
        <w:rPr>
          <w:spacing w:val="-2"/>
          <w:sz w:val="20"/>
        </w:rPr>
        <w:t>jurídicas aplicables; así</w:t>
      </w:r>
      <w:r>
        <w:rPr>
          <w:spacing w:val="-5"/>
          <w:sz w:val="20"/>
        </w:rPr>
        <w:t> </w:t>
      </w:r>
      <w:r>
        <w:rPr>
          <w:spacing w:val="-2"/>
          <w:sz w:val="20"/>
        </w:rPr>
        <w:t>como generar</w:t>
      </w:r>
      <w:r>
        <w:rPr>
          <w:spacing w:val="-5"/>
          <w:sz w:val="20"/>
        </w:rPr>
        <w:t> </w:t>
      </w:r>
      <w:r>
        <w:rPr>
          <w:spacing w:val="-2"/>
          <w:sz w:val="20"/>
        </w:rPr>
        <w:t>los instrumentos </w:t>
      </w:r>
      <w:r>
        <w:rPr>
          <w:sz w:val="20"/>
        </w:rPr>
        <w:t>que permitan la disponibilidad de tierra para personas en situación de pobreza o vulnerabilidad;</w:t>
      </w:r>
    </w:p>
    <w:p>
      <w:pPr>
        <w:pStyle w:val="ListParagraph"/>
        <w:numPr>
          <w:ilvl w:val="0"/>
          <w:numId w:val="11"/>
        </w:numPr>
        <w:tabs>
          <w:tab w:pos="968" w:val="left" w:leader="none"/>
        </w:tabs>
        <w:spacing w:line="240" w:lineRule="auto" w:before="229" w:after="0"/>
        <w:ind w:left="968" w:right="0" w:hanging="706"/>
        <w:jc w:val="both"/>
        <w:rPr>
          <w:sz w:val="20"/>
        </w:rPr>
      </w:pPr>
      <w:r>
        <w:rPr>
          <w:sz w:val="20"/>
        </w:rPr>
        <w:t>Formular</w:t>
      </w:r>
      <w:r>
        <w:rPr>
          <w:spacing w:val="-14"/>
          <w:sz w:val="20"/>
        </w:rPr>
        <w:t> </w:t>
      </w:r>
      <w:r>
        <w:rPr>
          <w:sz w:val="20"/>
        </w:rPr>
        <w:t>y</w:t>
      </w:r>
      <w:r>
        <w:rPr>
          <w:spacing w:val="-14"/>
          <w:sz w:val="20"/>
        </w:rPr>
        <w:t> </w:t>
      </w:r>
      <w:r>
        <w:rPr>
          <w:sz w:val="20"/>
        </w:rPr>
        <w:t>ejecutar</w:t>
      </w:r>
      <w:r>
        <w:rPr>
          <w:spacing w:val="-14"/>
          <w:sz w:val="20"/>
        </w:rPr>
        <w:t> </w:t>
      </w:r>
      <w:r>
        <w:rPr>
          <w:sz w:val="20"/>
        </w:rPr>
        <w:t>acciones</w:t>
      </w:r>
      <w:r>
        <w:rPr>
          <w:spacing w:val="-14"/>
          <w:sz w:val="20"/>
        </w:rPr>
        <w:t> </w:t>
      </w:r>
      <w:r>
        <w:rPr>
          <w:sz w:val="20"/>
        </w:rPr>
        <w:t>específicas</w:t>
      </w:r>
      <w:r>
        <w:rPr>
          <w:spacing w:val="-14"/>
          <w:sz w:val="20"/>
        </w:rPr>
        <w:t> </w:t>
      </w:r>
      <w:r>
        <w:rPr>
          <w:sz w:val="20"/>
        </w:rPr>
        <w:t>de</w:t>
      </w:r>
      <w:r>
        <w:rPr>
          <w:spacing w:val="-14"/>
          <w:sz w:val="20"/>
        </w:rPr>
        <w:t> </w:t>
      </w:r>
      <w:r>
        <w:rPr>
          <w:sz w:val="20"/>
        </w:rPr>
        <w:t>promoción</w:t>
      </w:r>
      <w:r>
        <w:rPr>
          <w:spacing w:val="-13"/>
          <w:sz w:val="20"/>
        </w:rPr>
        <w:t> </w:t>
      </w:r>
      <w:r>
        <w:rPr>
          <w:sz w:val="20"/>
        </w:rPr>
        <w:t>y</w:t>
      </w:r>
      <w:r>
        <w:rPr>
          <w:spacing w:val="-14"/>
          <w:sz w:val="20"/>
        </w:rPr>
        <w:t> </w:t>
      </w:r>
      <w:r>
        <w:rPr>
          <w:sz w:val="20"/>
        </w:rPr>
        <w:t>protección</w:t>
      </w:r>
      <w:r>
        <w:rPr>
          <w:spacing w:val="-14"/>
          <w:sz w:val="20"/>
        </w:rPr>
        <w:t> </w:t>
      </w:r>
      <w:r>
        <w:rPr>
          <w:sz w:val="20"/>
        </w:rPr>
        <w:t>a</w:t>
      </w:r>
      <w:r>
        <w:rPr>
          <w:spacing w:val="-13"/>
          <w:sz w:val="20"/>
        </w:rPr>
        <w:t> </w:t>
      </w:r>
      <w:r>
        <w:rPr>
          <w:sz w:val="20"/>
        </w:rPr>
        <w:t>los</w:t>
      </w:r>
      <w:r>
        <w:rPr>
          <w:spacing w:val="-13"/>
          <w:sz w:val="20"/>
        </w:rPr>
        <w:t> </w:t>
      </w:r>
      <w:r>
        <w:rPr>
          <w:sz w:val="20"/>
        </w:rPr>
        <w:t>espacios</w:t>
      </w:r>
      <w:r>
        <w:rPr>
          <w:spacing w:val="-12"/>
          <w:sz w:val="20"/>
        </w:rPr>
        <w:t> </w:t>
      </w:r>
      <w:r>
        <w:rPr>
          <w:spacing w:val="-2"/>
          <w:sz w:val="20"/>
        </w:rPr>
        <w:t>públicos;</w:t>
      </w:r>
    </w:p>
    <w:p>
      <w:pPr>
        <w:pStyle w:val="BodyText"/>
        <w:spacing w:before="1"/>
      </w:pPr>
    </w:p>
    <w:p>
      <w:pPr>
        <w:pStyle w:val="ListParagraph"/>
        <w:numPr>
          <w:ilvl w:val="0"/>
          <w:numId w:val="11"/>
        </w:numPr>
        <w:tabs>
          <w:tab w:pos="1023" w:val="left" w:leader="none"/>
        </w:tabs>
        <w:spacing w:line="240" w:lineRule="auto" w:before="0" w:after="0"/>
        <w:ind w:left="262" w:right="284" w:firstLine="0"/>
        <w:jc w:val="both"/>
        <w:rPr>
          <w:sz w:val="20"/>
        </w:rPr>
      </w:pPr>
      <w:r>
        <w:rPr>
          <w:sz w:val="20"/>
        </w:rPr>
        <w:t>Recibir,</w:t>
      </w:r>
      <w:r>
        <w:rPr>
          <w:spacing w:val="-6"/>
          <w:sz w:val="20"/>
        </w:rPr>
        <w:t> </w:t>
      </w:r>
      <w:r>
        <w:rPr>
          <w:sz w:val="20"/>
        </w:rPr>
        <w:t>conocer</w:t>
      </w:r>
      <w:r>
        <w:rPr>
          <w:spacing w:val="-6"/>
          <w:sz w:val="20"/>
        </w:rPr>
        <w:t> </w:t>
      </w:r>
      <w:r>
        <w:rPr>
          <w:sz w:val="20"/>
        </w:rPr>
        <w:t>y</w:t>
      </w:r>
      <w:r>
        <w:rPr>
          <w:spacing w:val="-5"/>
          <w:sz w:val="20"/>
        </w:rPr>
        <w:t> </w:t>
      </w:r>
      <w:r>
        <w:rPr>
          <w:sz w:val="20"/>
        </w:rPr>
        <w:t>dar</w:t>
      </w:r>
      <w:r>
        <w:rPr>
          <w:spacing w:val="-6"/>
          <w:sz w:val="20"/>
        </w:rPr>
        <w:t> </w:t>
      </w:r>
      <w:r>
        <w:rPr>
          <w:sz w:val="20"/>
        </w:rPr>
        <w:t>trámite</w:t>
      </w:r>
      <w:r>
        <w:rPr>
          <w:spacing w:val="-7"/>
          <w:sz w:val="20"/>
        </w:rPr>
        <w:t> </w:t>
      </w:r>
      <w:r>
        <w:rPr>
          <w:sz w:val="20"/>
        </w:rPr>
        <w:t>a</w:t>
      </w:r>
      <w:r>
        <w:rPr>
          <w:spacing w:val="-4"/>
          <w:sz w:val="20"/>
        </w:rPr>
        <w:t> </w:t>
      </w:r>
      <w:r>
        <w:rPr>
          <w:sz w:val="20"/>
        </w:rPr>
        <w:t>las</w:t>
      </w:r>
      <w:r>
        <w:rPr>
          <w:spacing w:val="-6"/>
          <w:sz w:val="20"/>
        </w:rPr>
        <w:t> </w:t>
      </w:r>
      <w:r>
        <w:rPr>
          <w:sz w:val="20"/>
        </w:rPr>
        <w:t>denuncias</w:t>
      </w:r>
      <w:r>
        <w:rPr>
          <w:spacing w:val="-6"/>
          <w:sz w:val="20"/>
        </w:rPr>
        <w:t> </w:t>
      </w:r>
      <w:r>
        <w:rPr>
          <w:sz w:val="20"/>
        </w:rPr>
        <w:t>ciudadanas</w:t>
      </w:r>
      <w:r>
        <w:rPr>
          <w:spacing w:val="-5"/>
          <w:sz w:val="20"/>
        </w:rPr>
        <w:t> </w:t>
      </w:r>
      <w:r>
        <w:rPr>
          <w:sz w:val="20"/>
        </w:rPr>
        <w:t>que</w:t>
      </w:r>
      <w:r>
        <w:rPr>
          <w:spacing w:val="-5"/>
          <w:sz w:val="20"/>
        </w:rPr>
        <w:t> </w:t>
      </w:r>
      <w:r>
        <w:rPr>
          <w:sz w:val="20"/>
        </w:rPr>
        <w:t>se</w:t>
      </w:r>
      <w:r>
        <w:rPr>
          <w:spacing w:val="-7"/>
          <w:sz w:val="20"/>
        </w:rPr>
        <w:t> </w:t>
      </w:r>
      <w:r>
        <w:rPr>
          <w:sz w:val="20"/>
        </w:rPr>
        <w:t>le</w:t>
      </w:r>
      <w:r>
        <w:rPr>
          <w:spacing w:val="-5"/>
          <w:sz w:val="20"/>
        </w:rPr>
        <w:t> </w:t>
      </w:r>
      <w:r>
        <w:rPr>
          <w:sz w:val="20"/>
        </w:rPr>
        <w:t>presenten</w:t>
      </w:r>
      <w:r>
        <w:rPr>
          <w:spacing w:val="-7"/>
          <w:sz w:val="20"/>
        </w:rPr>
        <w:t> </w:t>
      </w:r>
      <w:r>
        <w:rPr>
          <w:sz w:val="20"/>
        </w:rPr>
        <w:t>con</w:t>
      </w:r>
      <w:r>
        <w:rPr>
          <w:spacing w:val="-7"/>
          <w:sz w:val="20"/>
        </w:rPr>
        <w:t> </w:t>
      </w:r>
      <w:r>
        <w:rPr>
          <w:sz w:val="20"/>
        </w:rPr>
        <w:t>base</w:t>
      </w:r>
      <w:r>
        <w:rPr>
          <w:spacing w:val="-4"/>
          <w:sz w:val="20"/>
        </w:rPr>
        <w:t> </w:t>
      </w:r>
      <w:r>
        <w:rPr>
          <w:sz w:val="20"/>
        </w:rPr>
        <w:t>en lo dispuesto en esta Ley;</w:t>
      </w:r>
    </w:p>
    <w:p>
      <w:pPr>
        <w:pStyle w:val="ListParagraph"/>
        <w:numPr>
          <w:ilvl w:val="0"/>
          <w:numId w:val="11"/>
        </w:numPr>
        <w:tabs>
          <w:tab w:pos="1024" w:val="left" w:leader="none"/>
        </w:tabs>
        <w:spacing w:line="240" w:lineRule="auto" w:before="229" w:after="0"/>
        <w:ind w:left="262" w:right="286" w:firstLine="0"/>
        <w:jc w:val="both"/>
        <w:rPr>
          <w:sz w:val="20"/>
        </w:rPr>
      </w:pPr>
      <w:r>
        <w:rPr>
          <w:sz w:val="20"/>
        </w:rPr>
        <w:t>Resolver sobre los recursos administrativos que conforme a su competencia le sean planteados y que deriven de la aplicación de esta Ley y de acuerdo a lo dispuesto en el Código Procesal Administrativo para el Estado de San Luis Potosí;</w:t>
      </w:r>
    </w:p>
    <w:p>
      <w:pPr>
        <w:pStyle w:val="BodyText"/>
        <w:spacing w:before="2"/>
      </w:pPr>
    </w:p>
    <w:p>
      <w:pPr>
        <w:pStyle w:val="ListParagraph"/>
        <w:numPr>
          <w:ilvl w:val="0"/>
          <w:numId w:val="11"/>
        </w:numPr>
        <w:tabs>
          <w:tab w:pos="968" w:val="left" w:leader="none"/>
        </w:tabs>
        <w:spacing w:line="240" w:lineRule="auto" w:before="0" w:after="0"/>
        <w:ind w:left="262" w:right="278" w:firstLine="0"/>
        <w:jc w:val="both"/>
        <w:rPr>
          <w:sz w:val="20"/>
        </w:rPr>
      </w:pPr>
      <w:r>
        <w:rPr>
          <w:sz w:val="20"/>
        </w:rPr>
        <w:t>Regular el control y vigilancia, así como otorgar las autorizaciones correspondientes a los actos</w:t>
      </w:r>
      <w:r>
        <w:rPr>
          <w:spacing w:val="-4"/>
          <w:sz w:val="20"/>
        </w:rPr>
        <w:t> </w:t>
      </w:r>
      <w:r>
        <w:rPr>
          <w:sz w:val="20"/>
        </w:rPr>
        <w:t>relacionados</w:t>
      </w:r>
      <w:r>
        <w:rPr>
          <w:spacing w:val="-4"/>
          <w:sz w:val="20"/>
        </w:rPr>
        <w:t> </w:t>
      </w:r>
      <w:r>
        <w:rPr>
          <w:sz w:val="20"/>
        </w:rPr>
        <w:t>con</w:t>
      </w:r>
      <w:r>
        <w:rPr>
          <w:spacing w:val="-5"/>
          <w:sz w:val="20"/>
        </w:rPr>
        <w:t> </w:t>
      </w:r>
      <w:r>
        <w:rPr>
          <w:sz w:val="20"/>
        </w:rPr>
        <w:t>el</w:t>
      </w:r>
      <w:r>
        <w:rPr>
          <w:spacing w:val="-6"/>
          <w:sz w:val="20"/>
        </w:rPr>
        <w:t> </w:t>
      </w:r>
      <w:r>
        <w:rPr>
          <w:sz w:val="20"/>
        </w:rPr>
        <w:t>fraccionamiento,</w:t>
      </w:r>
      <w:r>
        <w:rPr>
          <w:spacing w:val="-5"/>
          <w:sz w:val="20"/>
        </w:rPr>
        <w:t> </w:t>
      </w:r>
      <w:r>
        <w:rPr>
          <w:sz w:val="20"/>
        </w:rPr>
        <w:t>subdivisión,</w:t>
      </w:r>
      <w:r>
        <w:rPr>
          <w:spacing w:val="-3"/>
          <w:sz w:val="20"/>
        </w:rPr>
        <w:t> </w:t>
      </w:r>
      <w:r>
        <w:rPr>
          <w:sz w:val="20"/>
        </w:rPr>
        <w:t>fusión,</w:t>
      </w:r>
      <w:r>
        <w:rPr>
          <w:spacing w:val="-5"/>
          <w:sz w:val="20"/>
        </w:rPr>
        <w:t> </w:t>
      </w:r>
      <w:r>
        <w:rPr>
          <w:sz w:val="20"/>
        </w:rPr>
        <w:t>relotificación</w:t>
      </w:r>
      <w:r>
        <w:rPr>
          <w:spacing w:val="-3"/>
          <w:sz w:val="20"/>
        </w:rPr>
        <w:t> </w:t>
      </w:r>
      <w:r>
        <w:rPr>
          <w:sz w:val="20"/>
        </w:rPr>
        <w:t>y</w:t>
      </w:r>
      <w:r>
        <w:rPr>
          <w:spacing w:val="-4"/>
          <w:sz w:val="20"/>
        </w:rPr>
        <w:t> </w:t>
      </w:r>
      <w:r>
        <w:rPr>
          <w:sz w:val="20"/>
        </w:rPr>
        <w:t>modificaciones</w:t>
      </w:r>
      <w:r>
        <w:rPr>
          <w:spacing w:val="-2"/>
          <w:sz w:val="20"/>
        </w:rPr>
        <w:t> </w:t>
      </w:r>
      <w:r>
        <w:rPr>
          <w:sz w:val="20"/>
        </w:rPr>
        <w:t>de</w:t>
      </w:r>
      <w:r>
        <w:rPr>
          <w:spacing w:val="-4"/>
          <w:sz w:val="20"/>
        </w:rPr>
        <w:t> </w:t>
      </w:r>
      <w:r>
        <w:rPr>
          <w:sz w:val="20"/>
        </w:rPr>
        <w:t>los inmuebles,</w:t>
      </w:r>
      <w:r>
        <w:rPr>
          <w:spacing w:val="-6"/>
          <w:sz w:val="20"/>
        </w:rPr>
        <w:t> </w:t>
      </w:r>
      <w:r>
        <w:rPr>
          <w:sz w:val="20"/>
        </w:rPr>
        <w:t>así</w:t>
      </w:r>
      <w:r>
        <w:rPr>
          <w:spacing w:val="-6"/>
          <w:sz w:val="20"/>
        </w:rPr>
        <w:t> </w:t>
      </w:r>
      <w:r>
        <w:rPr>
          <w:sz w:val="20"/>
        </w:rPr>
        <w:t>como</w:t>
      </w:r>
      <w:r>
        <w:rPr>
          <w:spacing w:val="-7"/>
          <w:sz w:val="20"/>
        </w:rPr>
        <w:t> </w:t>
      </w:r>
      <w:r>
        <w:rPr>
          <w:sz w:val="20"/>
        </w:rPr>
        <w:t>de</w:t>
      </w:r>
      <w:r>
        <w:rPr>
          <w:spacing w:val="-5"/>
          <w:sz w:val="20"/>
        </w:rPr>
        <w:t> </w:t>
      </w:r>
      <w:r>
        <w:rPr>
          <w:sz w:val="20"/>
        </w:rPr>
        <w:t>los</w:t>
      </w:r>
      <w:r>
        <w:rPr>
          <w:spacing w:val="-4"/>
          <w:sz w:val="20"/>
        </w:rPr>
        <w:t> </w:t>
      </w:r>
      <w:r>
        <w:rPr>
          <w:sz w:val="20"/>
        </w:rPr>
        <w:t>desarrollos</w:t>
      </w:r>
      <w:r>
        <w:rPr>
          <w:spacing w:val="-6"/>
          <w:sz w:val="20"/>
        </w:rPr>
        <w:t> </w:t>
      </w:r>
      <w:r>
        <w:rPr>
          <w:sz w:val="20"/>
        </w:rPr>
        <w:t>en</w:t>
      </w:r>
      <w:r>
        <w:rPr>
          <w:spacing w:val="-7"/>
          <w:sz w:val="20"/>
        </w:rPr>
        <w:t> </w:t>
      </w:r>
      <w:r>
        <w:rPr>
          <w:sz w:val="20"/>
        </w:rPr>
        <w:t>régimen</w:t>
      </w:r>
      <w:r>
        <w:rPr>
          <w:spacing w:val="-7"/>
          <w:sz w:val="20"/>
        </w:rPr>
        <w:t> </w:t>
      </w:r>
      <w:r>
        <w:rPr>
          <w:sz w:val="20"/>
        </w:rPr>
        <w:t>de</w:t>
      </w:r>
      <w:r>
        <w:rPr>
          <w:spacing w:val="-5"/>
          <w:sz w:val="20"/>
        </w:rPr>
        <w:t> </w:t>
      </w:r>
      <w:r>
        <w:rPr>
          <w:sz w:val="20"/>
        </w:rPr>
        <w:t>propiedad</w:t>
      </w:r>
      <w:r>
        <w:rPr>
          <w:spacing w:val="-7"/>
          <w:sz w:val="20"/>
        </w:rPr>
        <w:t> </w:t>
      </w:r>
      <w:r>
        <w:rPr>
          <w:sz w:val="20"/>
        </w:rPr>
        <w:t>en</w:t>
      </w:r>
      <w:r>
        <w:rPr>
          <w:spacing w:val="-7"/>
          <w:sz w:val="20"/>
        </w:rPr>
        <w:t> </w:t>
      </w:r>
      <w:r>
        <w:rPr>
          <w:sz w:val="20"/>
        </w:rPr>
        <w:t>condominio;</w:t>
      </w:r>
      <w:r>
        <w:rPr>
          <w:spacing w:val="-5"/>
          <w:sz w:val="20"/>
        </w:rPr>
        <w:t> </w:t>
      </w:r>
      <w:r>
        <w:rPr>
          <w:sz w:val="20"/>
        </w:rPr>
        <w:t>en</w:t>
      </w:r>
      <w:r>
        <w:rPr>
          <w:spacing w:val="-7"/>
          <w:sz w:val="20"/>
        </w:rPr>
        <w:t> </w:t>
      </w:r>
      <w:r>
        <w:rPr>
          <w:sz w:val="20"/>
        </w:rPr>
        <w:t>sus</w:t>
      </w:r>
      <w:r>
        <w:rPr>
          <w:spacing w:val="-6"/>
          <w:sz w:val="20"/>
        </w:rPr>
        <w:t> </w:t>
      </w:r>
      <w:r>
        <w:rPr>
          <w:sz w:val="20"/>
        </w:rPr>
        <w:t>respectivas </w:t>
      </w:r>
      <w:r>
        <w:rPr>
          <w:spacing w:val="-2"/>
          <w:sz w:val="20"/>
        </w:rPr>
        <w:t>jurisdicciones;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1"/>
        </w:numPr>
        <w:tabs>
          <w:tab w:pos="1112" w:val="left" w:leader="none"/>
        </w:tabs>
        <w:spacing w:line="240" w:lineRule="auto" w:before="0" w:after="0"/>
        <w:ind w:left="262" w:right="278" w:firstLine="0"/>
        <w:jc w:val="both"/>
        <w:rPr>
          <w:sz w:val="20"/>
        </w:rPr>
      </w:pPr>
      <w:r>
        <w:rPr>
          <w:sz w:val="20"/>
        </w:rPr>
        <w:t>Verificar que los fraccionamientos, desarrollos en régimen de propiedad en condominio, subdivisiones, fusiones, relotificaciones y modificaciones de terrenos, cumplan con lo dispuesto en esta Ley y demás leyes, programas, reglamentos, normas de desarrollo urbano, protección civil y ambientales aplicables;</w:t>
      </w:r>
    </w:p>
    <w:p>
      <w:pPr>
        <w:pStyle w:val="ListParagraph"/>
        <w:numPr>
          <w:ilvl w:val="0"/>
          <w:numId w:val="11"/>
        </w:numPr>
        <w:tabs>
          <w:tab w:pos="1112" w:val="left" w:leader="none"/>
        </w:tabs>
        <w:spacing w:line="240" w:lineRule="auto" w:before="230" w:after="0"/>
        <w:ind w:left="262" w:right="276" w:firstLine="0"/>
        <w:jc w:val="both"/>
        <w:rPr>
          <w:sz w:val="20"/>
        </w:rPr>
      </w:pPr>
      <w:r>
        <w:rPr>
          <w:sz w:val="20"/>
        </w:rPr>
        <w:t>Controlar y vigilar la utilización del suelo en su jurisdicción territorial, y expedir las autorizaciones,</w:t>
      </w:r>
      <w:r>
        <w:rPr>
          <w:spacing w:val="-2"/>
          <w:sz w:val="20"/>
        </w:rPr>
        <w:t> </w:t>
      </w:r>
      <w:r>
        <w:rPr>
          <w:sz w:val="20"/>
        </w:rPr>
        <w:t>licencias</w:t>
      </w:r>
      <w:r>
        <w:rPr>
          <w:spacing w:val="-1"/>
          <w:sz w:val="20"/>
        </w:rPr>
        <w:t> </w:t>
      </w:r>
      <w:r>
        <w:rPr>
          <w:sz w:val="20"/>
        </w:rPr>
        <w:t>o permisos</w:t>
      </w:r>
      <w:r>
        <w:rPr>
          <w:spacing w:val="-1"/>
          <w:sz w:val="20"/>
        </w:rPr>
        <w:t> </w:t>
      </w:r>
      <w:r>
        <w:rPr>
          <w:sz w:val="20"/>
        </w:rPr>
        <w:t>de</w:t>
      </w:r>
      <w:r>
        <w:rPr>
          <w:spacing w:val="-2"/>
          <w:sz w:val="20"/>
        </w:rPr>
        <w:t> </w:t>
      </w:r>
      <w:r>
        <w:rPr>
          <w:sz w:val="20"/>
        </w:rPr>
        <w:t>las</w:t>
      </w:r>
      <w:r>
        <w:rPr>
          <w:spacing w:val="-1"/>
          <w:sz w:val="20"/>
        </w:rPr>
        <w:t> </w:t>
      </w:r>
      <w:r>
        <w:rPr>
          <w:sz w:val="20"/>
        </w:rPr>
        <w:t>diversas</w:t>
      </w:r>
      <w:r>
        <w:rPr>
          <w:spacing w:val="-1"/>
          <w:sz w:val="20"/>
        </w:rPr>
        <w:t> </w:t>
      </w:r>
      <w:r>
        <w:rPr>
          <w:sz w:val="20"/>
        </w:rPr>
        <w:t>acciones</w:t>
      </w:r>
      <w:r>
        <w:rPr>
          <w:spacing w:val="-1"/>
          <w:sz w:val="20"/>
        </w:rPr>
        <w:t> </w:t>
      </w:r>
      <w:r>
        <w:rPr>
          <w:sz w:val="20"/>
        </w:rPr>
        <w:t>urbanísticas,</w:t>
      </w:r>
      <w:r>
        <w:rPr>
          <w:spacing w:val="-2"/>
          <w:sz w:val="20"/>
        </w:rPr>
        <w:t> </w:t>
      </w:r>
      <w:r>
        <w:rPr>
          <w:sz w:val="20"/>
        </w:rPr>
        <w:t>con estricto</w:t>
      </w:r>
      <w:r>
        <w:rPr>
          <w:spacing w:val="-2"/>
          <w:sz w:val="20"/>
        </w:rPr>
        <w:t> </w:t>
      </w:r>
      <w:r>
        <w:rPr>
          <w:sz w:val="20"/>
        </w:rPr>
        <w:t>apego</w:t>
      </w:r>
      <w:r>
        <w:rPr>
          <w:spacing w:val="-3"/>
          <w:sz w:val="20"/>
        </w:rPr>
        <w:t> </w:t>
      </w:r>
      <w:r>
        <w:rPr>
          <w:sz w:val="20"/>
        </w:rPr>
        <w:t>a las disposiciones de la presente Ley y demás</w:t>
      </w:r>
      <w:r>
        <w:rPr>
          <w:spacing w:val="40"/>
          <w:sz w:val="20"/>
        </w:rPr>
        <w:t> </w:t>
      </w:r>
      <w:r>
        <w:rPr>
          <w:sz w:val="20"/>
        </w:rPr>
        <w:t>aplicables, así como a los programas de Desarrollo Urbano</w:t>
      </w:r>
      <w:r>
        <w:rPr>
          <w:spacing w:val="-5"/>
          <w:sz w:val="20"/>
        </w:rPr>
        <w:t> </w:t>
      </w:r>
      <w:r>
        <w:rPr>
          <w:sz w:val="20"/>
        </w:rPr>
        <w:t>y</w:t>
      </w:r>
      <w:r>
        <w:rPr>
          <w:spacing w:val="-3"/>
          <w:sz w:val="20"/>
        </w:rPr>
        <w:t> </w:t>
      </w:r>
      <w:r>
        <w:rPr>
          <w:sz w:val="20"/>
        </w:rPr>
        <w:t>sus</w:t>
      </w:r>
      <w:r>
        <w:rPr>
          <w:spacing w:val="-3"/>
          <w:sz w:val="20"/>
        </w:rPr>
        <w:t> </w:t>
      </w:r>
      <w:r>
        <w:rPr>
          <w:sz w:val="20"/>
        </w:rPr>
        <w:t>correspondientes</w:t>
      </w:r>
      <w:r>
        <w:rPr>
          <w:spacing w:val="-3"/>
          <w:sz w:val="20"/>
        </w:rPr>
        <w:t> </w:t>
      </w:r>
      <w:r>
        <w:rPr>
          <w:sz w:val="20"/>
        </w:rPr>
        <w:t>reservas,</w:t>
      </w:r>
      <w:r>
        <w:rPr>
          <w:spacing w:val="-4"/>
          <w:sz w:val="20"/>
        </w:rPr>
        <w:t> </w:t>
      </w:r>
      <w:r>
        <w:rPr>
          <w:sz w:val="20"/>
        </w:rPr>
        <w:t>usos</w:t>
      </w:r>
      <w:r>
        <w:rPr>
          <w:spacing w:val="-3"/>
          <w:sz w:val="20"/>
        </w:rPr>
        <w:t> </w:t>
      </w:r>
      <w:r>
        <w:rPr>
          <w:sz w:val="20"/>
        </w:rPr>
        <w:t>del</w:t>
      </w:r>
      <w:r>
        <w:rPr>
          <w:spacing w:val="-5"/>
          <w:sz w:val="20"/>
        </w:rPr>
        <w:t> </w:t>
      </w:r>
      <w:r>
        <w:rPr>
          <w:sz w:val="20"/>
        </w:rPr>
        <w:t>suelo</w:t>
      </w:r>
      <w:r>
        <w:rPr>
          <w:spacing w:val="-4"/>
          <w:sz w:val="20"/>
        </w:rPr>
        <w:t> </w:t>
      </w:r>
      <w:r>
        <w:rPr>
          <w:sz w:val="20"/>
        </w:rPr>
        <w:t>y</w:t>
      </w:r>
      <w:r>
        <w:rPr>
          <w:spacing w:val="-3"/>
          <w:sz w:val="20"/>
        </w:rPr>
        <w:t> </w:t>
      </w:r>
      <w:r>
        <w:rPr>
          <w:sz w:val="20"/>
        </w:rPr>
        <w:t>destinos</w:t>
      </w:r>
      <w:r>
        <w:rPr>
          <w:spacing w:val="-3"/>
          <w:sz w:val="20"/>
        </w:rPr>
        <w:t> </w:t>
      </w:r>
      <w:r>
        <w:rPr>
          <w:sz w:val="20"/>
        </w:rPr>
        <w:t>de</w:t>
      </w:r>
      <w:r>
        <w:rPr>
          <w:spacing w:val="-3"/>
          <w:sz w:val="20"/>
        </w:rPr>
        <w:t> </w:t>
      </w:r>
      <w:r>
        <w:rPr>
          <w:sz w:val="20"/>
        </w:rPr>
        <w:t>áreas</w:t>
      </w:r>
      <w:r>
        <w:rPr>
          <w:spacing w:val="-3"/>
          <w:sz w:val="20"/>
        </w:rPr>
        <w:t> </w:t>
      </w:r>
      <w:r>
        <w:rPr>
          <w:sz w:val="20"/>
        </w:rPr>
        <w:t>y</w:t>
      </w:r>
      <w:r>
        <w:rPr>
          <w:spacing w:val="-3"/>
          <w:sz w:val="20"/>
        </w:rPr>
        <w:t> </w:t>
      </w:r>
      <w:r>
        <w:rPr>
          <w:sz w:val="20"/>
        </w:rPr>
        <w:t>predios;</w:t>
      </w:r>
      <w:r>
        <w:rPr>
          <w:spacing w:val="-4"/>
          <w:sz w:val="20"/>
        </w:rPr>
        <w:t> </w:t>
      </w:r>
      <w:r>
        <w:rPr>
          <w:sz w:val="20"/>
        </w:rPr>
        <w:t>y</w:t>
      </w:r>
      <w:r>
        <w:rPr>
          <w:spacing w:val="-3"/>
          <w:sz w:val="20"/>
        </w:rPr>
        <w:t> </w:t>
      </w:r>
      <w:r>
        <w:rPr>
          <w:sz w:val="20"/>
        </w:rPr>
        <w:t>revocarlas en los casos que establece la presente Ley;</w:t>
      </w:r>
    </w:p>
    <w:p>
      <w:pPr>
        <w:pStyle w:val="BodyText"/>
      </w:pPr>
    </w:p>
    <w:p>
      <w:pPr>
        <w:pStyle w:val="ListParagraph"/>
        <w:numPr>
          <w:ilvl w:val="0"/>
          <w:numId w:val="11"/>
        </w:numPr>
        <w:tabs>
          <w:tab w:pos="967" w:val="left" w:leader="none"/>
        </w:tabs>
        <w:spacing w:line="240" w:lineRule="auto" w:before="0" w:after="0"/>
        <w:ind w:left="967" w:right="0" w:hanging="705"/>
        <w:jc w:val="both"/>
        <w:rPr>
          <w:sz w:val="20"/>
        </w:rPr>
      </w:pPr>
      <w:r>
        <w:rPr>
          <w:sz w:val="20"/>
        </w:rPr>
        <w:t>Expedir</w:t>
      </w:r>
      <w:r>
        <w:rPr>
          <w:spacing w:val="-7"/>
          <w:sz w:val="20"/>
        </w:rPr>
        <w:t> </w:t>
      </w:r>
      <w:r>
        <w:rPr>
          <w:sz w:val="20"/>
        </w:rPr>
        <w:t>la</w:t>
      </w:r>
      <w:r>
        <w:rPr>
          <w:spacing w:val="-7"/>
          <w:sz w:val="20"/>
        </w:rPr>
        <w:t> </w:t>
      </w:r>
      <w:r>
        <w:rPr>
          <w:sz w:val="20"/>
        </w:rPr>
        <w:t>constancia</w:t>
      </w:r>
      <w:r>
        <w:rPr>
          <w:spacing w:val="-6"/>
          <w:sz w:val="20"/>
        </w:rPr>
        <w:t> </w:t>
      </w:r>
      <w:r>
        <w:rPr>
          <w:sz w:val="20"/>
        </w:rPr>
        <w:t>de</w:t>
      </w:r>
      <w:r>
        <w:rPr>
          <w:spacing w:val="-8"/>
          <w:sz w:val="20"/>
        </w:rPr>
        <w:t> </w:t>
      </w:r>
      <w:r>
        <w:rPr>
          <w:sz w:val="20"/>
        </w:rPr>
        <w:t>terminación</w:t>
      </w:r>
      <w:r>
        <w:rPr>
          <w:spacing w:val="-7"/>
          <w:sz w:val="20"/>
        </w:rPr>
        <w:t> </w:t>
      </w:r>
      <w:r>
        <w:rPr>
          <w:sz w:val="20"/>
        </w:rPr>
        <w:t>de</w:t>
      </w:r>
      <w:r>
        <w:rPr>
          <w:spacing w:val="-6"/>
          <w:sz w:val="20"/>
        </w:rPr>
        <w:t> </w:t>
      </w:r>
      <w:r>
        <w:rPr>
          <w:sz w:val="20"/>
        </w:rPr>
        <w:t>obra,</w:t>
      </w:r>
      <w:r>
        <w:rPr>
          <w:spacing w:val="-6"/>
          <w:sz w:val="20"/>
        </w:rPr>
        <w:t> </w:t>
      </w:r>
      <w:r>
        <w:rPr>
          <w:sz w:val="20"/>
        </w:rPr>
        <w:t>en</w:t>
      </w:r>
      <w:r>
        <w:rPr>
          <w:spacing w:val="-8"/>
          <w:sz w:val="20"/>
        </w:rPr>
        <w:t> </w:t>
      </w:r>
      <w:r>
        <w:rPr>
          <w:sz w:val="20"/>
        </w:rPr>
        <w:t>términos</w:t>
      </w:r>
      <w:r>
        <w:rPr>
          <w:spacing w:val="-7"/>
          <w:sz w:val="20"/>
        </w:rPr>
        <w:t> </w:t>
      </w:r>
      <w:r>
        <w:rPr>
          <w:sz w:val="20"/>
        </w:rPr>
        <w:t>de</w:t>
      </w:r>
      <w:r>
        <w:rPr>
          <w:spacing w:val="-6"/>
          <w:sz w:val="20"/>
        </w:rPr>
        <w:t> </w:t>
      </w:r>
      <w:r>
        <w:rPr>
          <w:sz w:val="20"/>
        </w:rPr>
        <w:t>la</w:t>
      </w:r>
      <w:r>
        <w:rPr>
          <w:spacing w:val="-6"/>
          <w:sz w:val="20"/>
        </w:rPr>
        <w:t> </w:t>
      </w:r>
      <w:r>
        <w:rPr>
          <w:sz w:val="20"/>
        </w:rPr>
        <w:t>presente</w:t>
      </w:r>
      <w:r>
        <w:rPr>
          <w:spacing w:val="-7"/>
          <w:sz w:val="20"/>
        </w:rPr>
        <w:t> </w:t>
      </w:r>
      <w:r>
        <w:rPr>
          <w:spacing w:val="-4"/>
          <w:sz w:val="20"/>
        </w:rPr>
        <w:t>Ley;</w:t>
      </w:r>
    </w:p>
    <w:p>
      <w:pPr>
        <w:pStyle w:val="BodyText"/>
        <w:spacing w:before="1"/>
      </w:pPr>
    </w:p>
    <w:p>
      <w:pPr>
        <w:pStyle w:val="ListParagraph"/>
        <w:numPr>
          <w:ilvl w:val="0"/>
          <w:numId w:val="11"/>
        </w:numPr>
        <w:tabs>
          <w:tab w:pos="1112" w:val="left" w:leader="none"/>
        </w:tabs>
        <w:spacing w:line="240" w:lineRule="auto" w:before="0" w:after="0"/>
        <w:ind w:left="262" w:right="279" w:firstLine="0"/>
        <w:jc w:val="both"/>
        <w:rPr>
          <w:sz w:val="20"/>
        </w:rPr>
      </w:pPr>
      <w:r>
        <w:rPr>
          <w:sz w:val="20"/>
        </w:rPr>
        <w:t>Recibir, analizar y dictaminar a través de la Dirección municipal, los expedientes relativos a la autorización de fraccionamientos, desarrollos en régimen de propiedad en condominio, subdivisión, fusión, relotificación y modificación de terrenos, previo los dictámenes que al efecto emitan</w:t>
      </w:r>
      <w:r>
        <w:rPr>
          <w:spacing w:val="-14"/>
          <w:sz w:val="20"/>
        </w:rPr>
        <w:t> </w:t>
      </w:r>
      <w:r>
        <w:rPr>
          <w:sz w:val="20"/>
        </w:rPr>
        <w:t>las</w:t>
      </w:r>
      <w:r>
        <w:rPr>
          <w:spacing w:val="-14"/>
          <w:sz w:val="20"/>
        </w:rPr>
        <w:t> </w:t>
      </w:r>
      <w:r>
        <w:rPr>
          <w:sz w:val="20"/>
        </w:rPr>
        <w:t>autoridades</w:t>
      </w:r>
      <w:r>
        <w:rPr>
          <w:spacing w:val="-14"/>
          <w:sz w:val="20"/>
        </w:rPr>
        <w:t> </w:t>
      </w:r>
      <w:r>
        <w:rPr>
          <w:sz w:val="20"/>
        </w:rPr>
        <w:t>y</w:t>
      </w:r>
      <w:r>
        <w:rPr>
          <w:spacing w:val="-14"/>
          <w:sz w:val="20"/>
        </w:rPr>
        <w:t> </w:t>
      </w:r>
      <w:r>
        <w:rPr>
          <w:sz w:val="20"/>
        </w:rPr>
        <w:t>órganos</w:t>
      </w:r>
      <w:r>
        <w:rPr>
          <w:spacing w:val="-14"/>
          <w:sz w:val="20"/>
        </w:rPr>
        <w:t> </w:t>
      </w:r>
      <w:r>
        <w:rPr>
          <w:sz w:val="20"/>
        </w:rPr>
        <w:t>competentes,</w:t>
      </w:r>
      <w:r>
        <w:rPr>
          <w:spacing w:val="-14"/>
          <w:sz w:val="20"/>
        </w:rPr>
        <w:t> </w:t>
      </w:r>
      <w:r>
        <w:rPr>
          <w:sz w:val="20"/>
        </w:rPr>
        <w:t>verificando</w:t>
      </w:r>
      <w:r>
        <w:rPr>
          <w:spacing w:val="-14"/>
          <w:sz w:val="20"/>
        </w:rPr>
        <w:t> </w:t>
      </w:r>
      <w:r>
        <w:rPr>
          <w:sz w:val="20"/>
        </w:rPr>
        <w:t>que</w:t>
      </w:r>
      <w:r>
        <w:rPr>
          <w:spacing w:val="-14"/>
          <w:sz w:val="20"/>
        </w:rPr>
        <w:t> </w:t>
      </w:r>
      <w:r>
        <w:rPr>
          <w:sz w:val="20"/>
        </w:rPr>
        <w:t>se</w:t>
      </w:r>
      <w:r>
        <w:rPr>
          <w:spacing w:val="-14"/>
          <w:sz w:val="20"/>
        </w:rPr>
        <w:t> </w:t>
      </w:r>
      <w:r>
        <w:rPr>
          <w:sz w:val="20"/>
        </w:rPr>
        <w:t>reúnan</w:t>
      </w:r>
      <w:r>
        <w:rPr>
          <w:spacing w:val="-13"/>
          <w:sz w:val="20"/>
        </w:rPr>
        <w:t> </w:t>
      </w:r>
      <w:r>
        <w:rPr>
          <w:sz w:val="20"/>
        </w:rPr>
        <w:t>los</w:t>
      </w:r>
      <w:r>
        <w:rPr>
          <w:spacing w:val="-14"/>
          <w:sz w:val="20"/>
        </w:rPr>
        <w:t> </w:t>
      </w:r>
      <w:r>
        <w:rPr>
          <w:sz w:val="20"/>
        </w:rPr>
        <w:t>requisitos</w:t>
      </w:r>
      <w:r>
        <w:rPr>
          <w:spacing w:val="-14"/>
          <w:sz w:val="20"/>
        </w:rPr>
        <w:t> </w:t>
      </w:r>
      <w:r>
        <w:rPr>
          <w:sz w:val="20"/>
        </w:rPr>
        <w:t>establecidos en esta Ley, sus reglamentos y demás disposiciones jurídicas aplicables;</w:t>
      </w:r>
    </w:p>
    <w:p>
      <w:pPr>
        <w:pStyle w:val="BodyText"/>
      </w:pPr>
    </w:p>
    <w:p>
      <w:pPr>
        <w:pStyle w:val="ListParagraph"/>
        <w:numPr>
          <w:ilvl w:val="0"/>
          <w:numId w:val="11"/>
        </w:numPr>
        <w:tabs>
          <w:tab w:pos="1308" w:val="left" w:leader="none"/>
        </w:tabs>
        <w:spacing w:line="240" w:lineRule="auto" w:before="0" w:after="0"/>
        <w:ind w:left="262" w:right="285" w:firstLine="0"/>
        <w:jc w:val="both"/>
        <w:rPr>
          <w:sz w:val="20"/>
        </w:rPr>
      </w:pPr>
      <w:r>
        <w:rPr>
          <w:sz w:val="20"/>
        </w:rPr>
        <w:t>Autorizar por conducto de la Dirección municipal, dentro del término que señala la presente Ley, los fraccionamientos y demás desarrollos inmobiliarios que cumplan los requisitos previstos en la misma, y los reglamentos municipales correspondientes;</w:t>
      </w:r>
    </w:p>
    <w:p>
      <w:pPr>
        <w:pStyle w:val="ListParagraph"/>
        <w:numPr>
          <w:ilvl w:val="0"/>
          <w:numId w:val="11"/>
        </w:numPr>
        <w:tabs>
          <w:tab w:pos="1254" w:val="left" w:leader="none"/>
        </w:tabs>
        <w:spacing w:line="240" w:lineRule="auto" w:before="230" w:after="0"/>
        <w:ind w:left="262" w:right="276" w:firstLine="0"/>
        <w:jc w:val="both"/>
        <w:rPr>
          <w:sz w:val="20"/>
        </w:rPr>
      </w:pPr>
      <w:r>
        <w:rPr>
          <w:sz w:val="20"/>
        </w:rPr>
        <w:t>Determinar el trazo de las vías primarias en los fraccionamientos y demás desarrollos inmobiliarios</w:t>
      </w:r>
      <w:r>
        <w:rPr>
          <w:spacing w:val="-10"/>
          <w:sz w:val="20"/>
        </w:rPr>
        <w:t> </w:t>
      </w:r>
      <w:r>
        <w:rPr>
          <w:sz w:val="20"/>
        </w:rPr>
        <w:t>que</w:t>
      </w:r>
      <w:r>
        <w:rPr>
          <w:spacing w:val="-9"/>
          <w:sz w:val="20"/>
        </w:rPr>
        <w:t> </w:t>
      </w:r>
      <w:r>
        <w:rPr>
          <w:sz w:val="20"/>
        </w:rPr>
        <w:t>autoricen,</w:t>
      </w:r>
      <w:r>
        <w:rPr>
          <w:spacing w:val="-9"/>
          <w:sz w:val="20"/>
        </w:rPr>
        <w:t> </w:t>
      </w:r>
      <w:r>
        <w:rPr>
          <w:sz w:val="20"/>
        </w:rPr>
        <w:t>de</w:t>
      </w:r>
      <w:r>
        <w:rPr>
          <w:spacing w:val="-12"/>
          <w:sz w:val="20"/>
        </w:rPr>
        <w:t> </w:t>
      </w:r>
      <w:r>
        <w:rPr>
          <w:sz w:val="20"/>
        </w:rPr>
        <w:t>conformidad</w:t>
      </w:r>
      <w:r>
        <w:rPr>
          <w:spacing w:val="-11"/>
          <w:sz w:val="20"/>
        </w:rPr>
        <w:t> </w:t>
      </w:r>
      <w:r>
        <w:rPr>
          <w:sz w:val="20"/>
        </w:rPr>
        <w:t>con</w:t>
      </w:r>
      <w:r>
        <w:rPr>
          <w:spacing w:val="-9"/>
          <w:sz w:val="20"/>
        </w:rPr>
        <w:t> </w:t>
      </w:r>
      <w:r>
        <w:rPr>
          <w:sz w:val="20"/>
        </w:rPr>
        <w:t>los</w:t>
      </w:r>
      <w:r>
        <w:rPr>
          <w:spacing w:val="-10"/>
          <w:sz w:val="20"/>
        </w:rPr>
        <w:t> </w:t>
      </w:r>
      <w:r>
        <w:rPr>
          <w:sz w:val="20"/>
        </w:rPr>
        <w:t>programas</w:t>
      </w:r>
      <w:r>
        <w:rPr>
          <w:spacing w:val="-11"/>
          <w:sz w:val="20"/>
        </w:rPr>
        <w:t> </w:t>
      </w:r>
      <w:r>
        <w:rPr>
          <w:sz w:val="20"/>
        </w:rPr>
        <w:t>de</w:t>
      </w:r>
      <w:r>
        <w:rPr>
          <w:spacing w:val="-11"/>
          <w:sz w:val="20"/>
        </w:rPr>
        <w:t> </w:t>
      </w:r>
      <w:r>
        <w:rPr>
          <w:sz w:val="20"/>
        </w:rPr>
        <w:t>centros</w:t>
      </w:r>
      <w:r>
        <w:rPr>
          <w:spacing w:val="-10"/>
          <w:sz w:val="20"/>
        </w:rPr>
        <w:t> </w:t>
      </w:r>
      <w:r>
        <w:rPr>
          <w:sz w:val="20"/>
        </w:rPr>
        <w:t>de</w:t>
      </w:r>
      <w:r>
        <w:rPr>
          <w:spacing w:val="-9"/>
          <w:sz w:val="20"/>
        </w:rPr>
        <w:t> </w:t>
      </w:r>
      <w:r>
        <w:rPr>
          <w:sz w:val="20"/>
        </w:rPr>
        <w:t>población</w:t>
      </w:r>
      <w:r>
        <w:rPr>
          <w:spacing w:val="-12"/>
          <w:sz w:val="20"/>
        </w:rPr>
        <w:t> </w:t>
      </w:r>
      <w:r>
        <w:rPr>
          <w:sz w:val="20"/>
        </w:rPr>
        <w:t>y</w:t>
      </w:r>
      <w:r>
        <w:rPr>
          <w:spacing w:val="-10"/>
          <w:sz w:val="20"/>
        </w:rPr>
        <w:t> </w:t>
      </w:r>
      <w:r>
        <w:rPr>
          <w:sz w:val="20"/>
        </w:rPr>
        <w:t>en</w:t>
      </w:r>
      <w:r>
        <w:rPr>
          <w:spacing w:val="-11"/>
          <w:sz w:val="20"/>
        </w:rPr>
        <w:t> </w:t>
      </w:r>
      <w:r>
        <w:rPr>
          <w:sz w:val="20"/>
        </w:rPr>
        <w:t>su</w:t>
      </w:r>
      <w:r>
        <w:rPr>
          <w:spacing w:val="-11"/>
          <w:sz w:val="20"/>
        </w:rPr>
        <w:t> </w:t>
      </w:r>
      <w:r>
        <w:rPr>
          <w:sz w:val="20"/>
        </w:rPr>
        <w:t>caso programas metropolitanos vigentes, garantizando la inclusión de ciclovías, andadores, e infraestructura</w:t>
      </w:r>
      <w:r>
        <w:rPr>
          <w:spacing w:val="-12"/>
          <w:sz w:val="20"/>
        </w:rPr>
        <w:t> </w:t>
      </w:r>
      <w:r>
        <w:rPr>
          <w:sz w:val="20"/>
        </w:rPr>
        <w:t>básica</w:t>
      </w:r>
      <w:r>
        <w:rPr>
          <w:spacing w:val="-12"/>
          <w:sz w:val="20"/>
        </w:rPr>
        <w:t> </w:t>
      </w:r>
      <w:r>
        <w:rPr>
          <w:sz w:val="20"/>
        </w:rPr>
        <w:t>para</w:t>
      </w:r>
      <w:r>
        <w:rPr>
          <w:spacing w:val="-12"/>
          <w:sz w:val="20"/>
        </w:rPr>
        <w:t> </w:t>
      </w:r>
      <w:r>
        <w:rPr>
          <w:sz w:val="20"/>
        </w:rPr>
        <w:t>el</w:t>
      </w:r>
      <w:r>
        <w:rPr>
          <w:spacing w:val="-13"/>
          <w:sz w:val="20"/>
        </w:rPr>
        <w:t> </w:t>
      </w:r>
      <w:r>
        <w:rPr>
          <w:sz w:val="20"/>
        </w:rPr>
        <w:t>transporte</w:t>
      </w:r>
      <w:r>
        <w:rPr>
          <w:spacing w:val="-12"/>
          <w:sz w:val="20"/>
        </w:rPr>
        <w:t> </w:t>
      </w:r>
      <w:r>
        <w:rPr>
          <w:sz w:val="20"/>
        </w:rPr>
        <w:t>público,</w:t>
      </w:r>
      <w:r>
        <w:rPr>
          <w:spacing w:val="-13"/>
          <w:sz w:val="20"/>
        </w:rPr>
        <w:t> </w:t>
      </w:r>
      <w:r>
        <w:rPr>
          <w:sz w:val="20"/>
        </w:rPr>
        <w:t>especies</w:t>
      </w:r>
      <w:r>
        <w:rPr>
          <w:spacing w:val="-11"/>
          <w:sz w:val="20"/>
        </w:rPr>
        <w:t> </w:t>
      </w:r>
      <w:r>
        <w:rPr>
          <w:sz w:val="20"/>
        </w:rPr>
        <w:t>vegetales</w:t>
      </w:r>
      <w:r>
        <w:rPr>
          <w:spacing w:val="-11"/>
          <w:sz w:val="20"/>
        </w:rPr>
        <w:t> </w:t>
      </w:r>
      <w:r>
        <w:rPr>
          <w:sz w:val="20"/>
        </w:rPr>
        <w:t>y</w:t>
      </w:r>
      <w:r>
        <w:rPr>
          <w:spacing w:val="-11"/>
          <w:sz w:val="20"/>
        </w:rPr>
        <w:t> </w:t>
      </w:r>
      <w:r>
        <w:rPr>
          <w:sz w:val="20"/>
        </w:rPr>
        <w:t>rampas</w:t>
      </w:r>
      <w:r>
        <w:rPr>
          <w:spacing w:val="-11"/>
          <w:sz w:val="20"/>
        </w:rPr>
        <w:t> </w:t>
      </w:r>
      <w:r>
        <w:rPr>
          <w:sz w:val="20"/>
        </w:rPr>
        <w:t>de</w:t>
      </w:r>
      <w:r>
        <w:rPr>
          <w:spacing w:val="-13"/>
          <w:sz w:val="20"/>
        </w:rPr>
        <w:t> </w:t>
      </w:r>
      <w:r>
        <w:rPr>
          <w:sz w:val="20"/>
        </w:rPr>
        <w:t>acceso</w:t>
      </w:r>
      <w:r>
        <w:rPr>
          <w:spacing w:val="-12"/>
          <w:sz w:val="20"/>
        </w:rPr>
        <w:t> </w:t>
      </w:r>
      <w:r>
        <w:rPr>
          <w:sz w:val="20"/>
        </w:rPr>
        <w:t>a</w:t>
      </w:r>
      <w:r>
        <w:rPr>
          <w:spacing w:val="-12"/>
          <w:sz w:val="20"/>
        </w:rPr>
        <w:t> </w:t>
      </w:r>
      <w:r>
        <w:rPr>
          <w:sz w:val="20"/>
        </w:rPr>
        <w:t>personas con discapacidad;</w:t>
      </w:r>
    </w:p>
    <w:p>
      <w:pPr>
        <w:pStyle w:val="BodyText"/>
      </w:pPr>
    </w:p>
    <w:p>
      <w:pPr>
        <w:pStyle w:val="ListParagraph"/>
        <w:numPr>
          <w:ilvl w:val="0"/>
          <w:numId w:val="11"/>
        </w:numPr>
        <w:tabs>
          <w:tab w:pos="1112" w:val="left" w:leader="none"/>
        </w:tabs>
        <w:spacing w:line="240" w:lineRule="auto" w:before="0" w:after="0"/>
        <w:ind w:left="262" w:right="284" w:firstLine="0"/>
        <w:jc w:val="both"/>
        <w:rPr>
          <w:sz w:val="20"/>
        </w:rPr>
      </w:pPr>
      <w:r>
        <w:rPr>
          <w:sz w:val="20"/>
        </w:rPr>
        <w:t>Supervisar y verificar el avance, terminación, correcto funcionamiento y entrega de las obras de urbanización de los fraccionamientos y desarrollos en régimen de propiedad en </w:t>
      </w:r>
      <w:r>
        <w:rPr>
          <w:spacing w:val="-2"/>
          <w:sz w:val="20"/>
        </w:rPr>
        <w:t>condominio;</w:t>
      </w:r>
    </w:p>
    <w:p>
      <w:pPr>
        <w:pStyle w:val="BodyText"/>
        <w:spacing w:before="2"/>
      </w:pPr>
    </w:p>
    <w:p>
      <w:pPr>
        <w:pStyle w:val="BodyText"/>
        <w:ind w:left="262" w:right="283"/>
        <w:jc w:val="both"/>
      </w:pPr>
      <w:r>
        <w:rPr>
          <w:rFonts w:ascii="Arial" w:hAnsi="Arial"/>
          <w:b/>
        </w:rPr>
        <w:t>XL.</w:t>
      </w:r>
      <w:r>
        <w:rPr>
          <w:rFonts w:ascii="Arial" w:hAnsi="Arial"/>
          <w:b/>
          <w:spacing w:val="40"/>
        </w:rPr>
        <w:t> </w:t>
      </w:r>
      <w:r>
        <w:rPr/>
        <w:t>Aprobar</w:t>
      </w:r>
      <w:r>
        <w:rPr>
          <w:spacing w:val="-6"/>
        </w:rPr>
        <w:t> </w:t>
      </w:r>
      <w:r>
        <w:rPr/>
        <w:t>y</w:t>
      </w:r>
      <w:r>
        <w:rPr>
          <w:spacing w:val="-5"/>
        </w:rPr>
        <w:t> </w:t>
      </w:r>
      <w:r>
        <w:rPr/>
        <w:t>dictaminar</w:t>
      </w:r>
      <w:r>
        <w:rPr>
          <w:spacing w:val="-6"/>
        </w:rPr>
        <w:t> </w:t>
      </w:r>
      <w:r>
        <w:rPr/>
        <w:t>de</w:t>
      </w:r>
      <w:r>
        <w:rPr>
          <w:spacing w:val="-7"/>
        </w:rPr>
        <w:t> </w:t>
      </w:r>
      <w:r>
        <w:rPr/>
        <w:t>conformidad</w:t>
      </w:r>
      <w:r>
        <w:rPr>
          <w:spacing w:val="-7"/>
        </w:rPr>
        <w:t> </w:t>
      </w:r>
      <w:r>
        <w:rPr/>
        <w:t>con</w:t>
      </w:r>
      <w:r>
        <w:rPr>
          <w:spacing w:val="-5"/>
        </w:rPr>
        <w:t> </w:t>
      </w:r>
      <w:r>
        <w:rPr/>
        <w:t>el</w:t>
      </w:r>
      <w:r>
        <w:rPr>
          <w:spacing w:val="-5"/>
        </w:rPr>
        <w:t> </w:t>
      </w:r>
      <w:r>
        <w:rPr/>
        <w:t>programa</w:t>
      </w:r>
      <w:r>
        <w:rPr>
          <w:spacing w:val="-4"/>
        </w:rPr>
        <w:t> </w:t>
      </w:r>
      <w:r>
        <w:rPr/>
        <w:t>de</w:t>
      </w:r>
      <w:r>
        <w:rPr>
          <w:spacing w:val="-7"/>
        </w:rPr>
        <w:t> </w:t>
      </w:r>
      <w:r>
        <w:rPr/>
        <w:t>desarrollo</w:t>
      </w:r>
      <w:r>
        <w:rPr>
          <w:spacing w:val="-7"/>
        </w:rPr>
        <w:t> </w:t>
      </w:r>
      <w:r>
        <w:rPr/>
        <w:t>urbano,</w:t>
      </w:r>
      <w:r>
        <w:rPr>
          <w:spacing w:val="-6"/>
        </w:rPr>
        <w:t> </w:t>
      </w:r>
      <w:r>
        <w:rPr/>
        <w:t>la</w:t>
      </w:r>
      <w:r>
        <w:rPr>
          <w:spacing w:val="-7"/>
        </w:rPr>
        <w:t> </w:t>
      </w:r>
      <w:r>
        <w:rPr/>
        <w:t>ubicación</w:t>
      </w:r>
      <w:r>
        <w:rPr>
          <w:spacing w:val="-7"/>
        </w:rPr>
        <w:t> </w:t>
      </w:r>
      <w:r>
        <w:rPr/>
        <w:t>de</w:t>
      </w:r>
      <w:r>
        <w:rPr>
          <w:spacing w:val="-7"/>
        </w:rPr>
        <w:t> </w:t>
      </w:r>
      <w:r>
        <w:rPr/>
        <w:t>las áreas</w:t>
      </w:r>
      <w:r>
        <w:rPr>
          <w:spacing w:val="-9"/>
        </w:rPr>
        <w:t> </w:t>
      </w:r>
      <w:r>
        <w:rPr/>
        <w:t>de</w:t>
      </w:r>
      <w:r>
        <w:rPr>
          <w:spacing w:val="-8"/>
        </w:rPr>
        <w:t> </w:t>
      </w:r>
      <w:r>
        <w:rPr/>
        <w:t>donación</w:t>
      </w:r>
      <w:r>
        <w:rPr>
          <w:spacing w:val="-10"/>
        </w:rPr>
        <w:t> </w:t>
      </w:r>
      <w:r>
        <w:rPr/>
        <w:t>en</w:t>
      </w:r>
      <w:r>
        <w:rPr>
          <w:spacing w:val="-10"/>
        </w:rPr>
        <w:t> </w:t>
      </w:r>
      <w:r>
        <w:rPr/>
        <w:t>los</w:t>
      </w:r>
      <w:r>
        <w:rPr>
          <w:spacing w:val="-9"/>
        </w:rPr>
        <w:t> </w:t>
      </w:r>
      <w:r>
        <w:rPr/>
        <w:t>fraccionamientos,</w:t>
      </w:r>
      <w:r>
        <w:rPr>
          <w:spacing w:val="-10"/>
        </w:rPr>
        <w:t> </w:t>
      </w:r>
      <w:r>
        <w:rPr/>
        <w:t>subdivisiones,</w:t>
      </w:r>
      <w:r>
        <w:rPr>
          <w:spacing w:val="-10"/>
        </w:rPr>
        <w:t> </w:t>
      </w:r>
      <w:r>
        <w:rPr/>
        <w:t>fusiones,</w:t>
      </w:r>
      <w:r>
        <w:rPr>
          <w:spacing w:val="-10"/>
        </w:rPr>
        <w:t> </w:t>
      </w:r>
      <w:r>
        <w:rPr/>
        <w:t>relotificaciones</w:t>
      </w:r>
      <w:r>
        <w:rPr>
          <w:spacing w:val="-9"/>
        </w:rPr>
        <w:t> </w:t>
      </w:r>
      <w:r>
        <w:rPr/>
        <w:t>y</w:t>
      </w:r>
      <w:r>
        <w:rPr>
          <w:spacing w:val="-9"/>
        </w:rPr>
        <w:t> </w:t>
      </w:r>
      <w:r>
        <w:rPr/>
        <w:t>desarrollos</w:t>
      </w:r>
      <w:r>
        <w:rPr>
          <w:spacing w:val="-9"/>
        </w:rPr>
        <w:t> </w:t>
      </w:r>
      <w:r>
        <w:rPr/>
        <w:t>en régimen de propiedad en condominio;</w:t>
      </w:r>
    </w:p>
    <w:p>
      <w:pPr>
        <w:pStyle w:val="BodyText"/>
        <w:spacing w:before="229"/>
        <w:ind w:left="262" w:right="288"/>
        <w:jc w:val="both"/>
      </w:pPr>
      <w:r>
        <w:rPr>
          <w:rFonts w:ascii="Arial" w:hAnsi="Arial"/>
          <w:b/>
        </w:rPr>
        <w:t>XLI.</w:t>
      </w:r>
      <w:r>
        <w:rPr>
          <w:rFonts w:ascii="Arial" w:hAnsi="Arial"/>
          <w:b/>
          <w:spacing w:val="80"/>
        </w:rPr>
        <w:t> </w:t>
      </w:r>
      <w:r>
        <w:rPr/>
        <w:t>Constatar</w:t>
      </w:r>
      <w:r>
        <w:rPr>
          <w:spacing w:val="-1"/>
        </w:rPr>
        <w:t> </w:t>
      </w:r>
      <w:r>
        <w:rPr/>
        <w:t>que</w:t>
      </w:r>
      <w:r>
        <w:rPr>
          <w:spacing w:val="-2"/>
        </w:rPr>
        <w:t> </w:t>
      </w:r>
      <w:r>
        <w:rPr/>
        <w:t>se</w:t>
      </w:r>
      <w:r>
        <w:rPr>
          <w:spacing w:val="-2"/>
        </w:rPr>
        <w:t> </w:t>
      </w:r>
      <w:r>
        <w:rPr/>
        <w:t>realicen</w:t>
      </w:r>
      <w:r>
        <w:rPr>
          <w:spacing w:val="-2"/>
        </w:rPr>
        <w:t> </w:t>
      </w:r>
      <w:r>
        <w:rPr/>
        <w:t>a favor</w:t>
      </w:r>
      <w:r>
        <w:rPr>
          <w:spacing w:val="-1"/>
        </w:rPr>
        <w:t> </w:t>
      </w:r>
      <w:r>
        <w:rPr/>
        <w:t>del</w:t>
      </w:r>
      <w:r>
        <w:rPr>
          <w:spacing w:val="-3"/>
        </w:rPr>
        <w:t> </w:t>
      </w:r>
      <w:r>
        <w:rPr/>
        <w:t>Municipio</w:t>
      </w:r>
      <w:r>
        <w:rPr>
          <w:spacing w:val="-2"/>
        </w:rPr>
        <w:t> </w:t>
      </w:r>
      <w:r>
        <w:rPr/>
        <w:t>las</w:t>
      </w:r>
      <w:r>
        <w:rPr>
          <w:spacing w:val="-1"/>
        </w:rPr>
        <w:t> </w:t>
      </w:r>
      <w:r>
        <w:rPr/>
        <w:t>donaciones</w:t>
      </w:r>
      <w:r>
        <w:rPr>
          <w:spacing w:val="-1"/>
        </w:rPr>
        <w:t> </w:t>
      </w:r>
      <w:r>
        <w:rPr/>
        <w:t>respectivas</w:t>
      </w:r>
      <w:r>
        <w:rPr>
          <w:spacing w:val="-1"/>
        </w:rPr>
        <w:t> </w:t>
      </w:r>
      <w:r>
        <w:rPr/>
        <w:t>en los</w:t>
      </w:r>
      <w:r>
        <w:rPr>
          <w:spacing w:val="-1"/>
        </w:rPr>
        <w:t> </w:t>
      </w:r>
      <w:r>
        <w:rPr/>
        <w:t>casos</w:t>
      </w:r>
      <w:r>
        <w:rPr>
          <w:spacing w:val="-1"/>
        </w:rPr>
        <w:t> </w:t>
      </w:r>
      <w:r>
        <w:rPr/>
        <w:t>y</w:t>
      </w:r>
      <w:r>
        <w:rPr>
          <w:spacing w:val="-1"/>
        </w:rPr>
        <w:t> </w:t>
      </w:r>
      <w:r>
        <w:rPr/>
        <w:t>en los porcentajes que así lo exige este ordenamiento;</w:t>
      </w:r>
    </w:p>
    <w:p>
      <w:pPr>
        <w:pStyle w:val="BodyText"/>
        <w:spacing w:before="229"/>
        <w:ind w:left="262" w:right="287"/>
        <w:jc w:val="both"/>
      </w:pPr>
      <w:r>
        <w:rPr>
          <w:rFonts w:ascii="Arial" w:hAnsi="Arial"/>
          <w:b/>
        </w:rPr>
        <w:t>XLII.</w:t>
      </w:r>
      <w:r>
        <w:rPr>
          <w:rFonts w:ascii="Arial" w:hAnsi="Arial"/>
          <w:b/>
          <w:spacing w:val="40"/>
        </w:rPr>
        <w:t> </w:t>
      </w:r>
      <w:r>
        <w:rPr/>
        <w:t>Destinar hasta el cincuenta por ciento de la superficie de terreno que reciba en donación gratuita</w:t>
      </w:r>
      <w:r>
        <w:rPr>
          <w:spacing w:val="-14"/>
        </w:rPr>
        <w:t> </w:t>
      </w:r>
      <w:r>
        <w:rPr/>
        <w:t>para</w:t>
      </w:r>
      <w:r>
        <w:rPr>
          <w:spacing w:val="-14"/>
        </w:rPr>
        <w:t> </w:t>
      </w:r>
      <w:r>
        <w:rPr/>
        <w:t>equipamiento</w:t>
      </w:r>
      <w:r>
        <w:rPr>
          <w:spacing w:val="-14"/>
        </w:rPr>
        <w:t> </w:t>
      </w:r>
      <w:r>
        <w:rPr/>
        <w:t>urbano,</w:t>
      </w:r>
      <w:r>
        <w:rPr>
          <w:spacing w:val="-14"/>
        </w:rPr>
        <w:t> </w:t>
      </w:r>
      <w:r>
        <w:rPr/>
        <w:t>recreación</w:t>
      </w:r>
      <w:r>
        <w:rPr>
          <w:spacing w:val="-14"/>
        </w:rPr>
        <w:t> </w:t>
      </w:r>
      <w:r>
        <w:rPr/>
        <w:t>y/o</w:t>
      </w:r>
      <w:r>
        <w:rPr>
          <w:spacing w:val="-14"/>
        </w:rPr>
        <w:t> </w:t>
      </w:r>
      <w:r>
        <w:rPr/>
        <w:t>deporte</w:t>
      </w:r>
      <w:r>
        <w:rPr>
          <w:spacing w:val="-14"/>
        </w:rPr>
        <w:t> </w:t>
      </w:r>
      <w:r>
        <w:rPr/>
        <w:t>y</w:t>
      </w:r>
      <w:r>
        <w:rPr>
          <w:spacing w:val="-14"/>
        </w:rPr>
        <w:t> </w:t>
      </w:r>
      <w:r>
        <w:rPr/>
        <w:t>el</w:t>
      </w:r>
      <w:r>
        <w:rPr>
          <w:spacing w:val="-14"/>
        </w:rPr>
        <w:t> </w:t>
      </w:r>
      <w:r>
        <w:rPr/>
        <w:t>resto</w:t>
      </w:r>
      <w:r>
        <w:rPr>
          <w:spacing w:val="-13"/>
        </w:rPr>
        <w:t> </w:t>
      </w:r>
      <w:r>
        <w:rPr/>
        <w:t>para</w:t>
      </w:r>
      <w:r>
        <w:rPr>
          <w:spacing w:val="-14"/>
        </w:rPr>
        <w:t> </w:t>
      </w:r>
      <w:r>
        <w:rPr/>
        <w:t>área</w:t>
      </w:r>
      <w:r>
        <w:rPr>
          <w:spacing w:val="-14"/>
        </w:rPr>
        <w:t> </w:t>
      </w:r>
      <w:r>
        <w:rPr/>
        <w:t>verde,</w:t>
      </w:r>
      <w:r>
        <w:rPr>
          <w:spacing w:val="-14"/>
        </w:rPr>
        <w:t> </w:t>
      </w:r>
      <w:r>
        <w:rPr/>
        <w:t>de</w:t>
      </w:r>
      <w:r>
        <w:rPr>
          <w:spacing w:val="-14"/>
        </w:rPr>
        <w:t> </w:t>
      </w:r>
      <w:r>
        <w:rPr/>
        <w:t>conformidad con los planes y programas de desarrollo urbano vigente;</w:t>
      </w:r>
    </w:p>
    <w:p>
      <w:pPr>
        <w:pStyle w:val="BodyText"/>
        <w:spacing w:before="2"/>
      </w:pPr>
    </w:p>
    <w:p>
      <w:pPr>
        <w:pStyle w:val="BodyText"/>
        <w:ind w:left="262" w:right="278"/>
        <w:jc w:val="both"/>
      </w:pPr>
      <w:r>
        <w:rPr>
          <w:rFonts w:ascii="Arial" w:hAnsi="Arial"/>
          <w:b/>
        </w:rPr>
        <w:t>XLIII.</w:t>
      </w:r>
      <w:r>
        <w:rPr>
          <w:rFonts w:ascii="Arial" w:hAnsi="Arial"/>
          <w:b/>
          <w:spacing w:val="40"/>
        </w:rPr>
        <w:t> </w:t>
      </w:r>
      <w:r>
        <w:rPr/>
        <w:t>Permutar, desde la autorización de los fraccionamientos, y desarrollos inmobiliarios especiales, cuando así proceda y se justifique mediante previo dictamen de la Dirección, las áreas de</w:t>
      </w:r>
      <w:r>
        <w:rPr>
          <w:spacing w:val="-13"/>
        </w:rPr>
        <w:t> </w:t>
      </w:r>
      <w:r>
        <w:rPr/>
        <w:t>donación</w:t>
      </w:r>
      <w:r>
        <w:rPr>
          <w:spacing w:val="-13"/>
        </w:rPr>
        <w:t> </w:t>
      </w:r>
      <w:r>
        <w:rPr/>
        <w:t>menores</w:t>
      </w:r>
      <w:r>
        <w:rPr>
          <w:spacing w:val="-12"/>
        </w:rPr>
        <w:t> </w:t>
      </w:r>
      <w:r>
        <w:rPr/>
        <w:t>a</w:t>
      </w:r>
      <w:r>
        <w:rPr>
          <w:spacing w:val="-13"/>
        </w:rPr>
        <w:t> </w:t>
      </w:r>
      <w:r>
        <w:rPr/>
        <w:t>quinientos</w:t>
      </w:r>
      <w:r>
        <w:rPr>
          <w:spacing w:val="-12"/>
        </w:rPr>
        <w:t> </w:t>
      </w:r>
      <w:r>
        <w:rPr/>
        <w:t>metros</w:t>
      </w:r>
      <w:r>
        <w:rPr>
          <w:spacing w:val="-12"/>
        </w:rPr>
        <w:t> </w:t>
      </w:r>
      <w:r>
        <w:rPr/>
        <w:t>cuadrados,</w:t>
      </w:r>
      <w:r>
        <w:rPr>
          <w:spacing w:val="-11"/>
        </w:rPr>
        <w:t> </w:t>
      </w:r>
      <w:r>
        <w:rPr/>
        <w:t>ubicadas</w:t>
      </w:r>
      <w:r>
        <w:rPr>
          <w:spacing w:val="-12"/>
        </w:rPr>
        <w:t> </w:t>
      </w:r>
      <w:r>
        <w:rPr/>
        <w:t>en</w:t>
      </w:r>
      <w:r>
        <w:rPr>
          <w:spacing w:val="-13"/>
        </w:rPr>
        <w:t> </w:t>
      </w:r>
      <w:r>
        <w:rPr/>
        <w:t>zonas</w:t>
      </w:r>
      <w:r>
        <w:rPr>
          <w:spacing w:val="-12"/>
        </w:rPr>
        <w:t> </w:t>
      </w:r>
      <w:r>
        <w:rPr/>
        <w:t>que</w:t>
      </w:r>
      <w:r>
        <w:rPr>
          <w:spacing w:val="-8"/>
        </w:rPr>
        <w:t> </w:t>
      </w:r>
      <w:r>
        <w:rPr/>
        <w:t>cuenten</w:t>
      </w:r>
      <w:r>
        <w:rPr>
          <w:spacing w:val="-13"/>
        </w:rPr>
        <w:t> </w:t>
      </w:r>
      <w:r>
        <w:rPr/>
        <w:t>con</w:t>
      </w:r>
      <w:r>
        <w:rPr>
          <w:spacing w:val="-13"/>
        </w:rPr>
        <w:t> </w:t>
      </w:r>
      <w:r>
        <w:rPr/>
        <w:t>suficiente equipamiento</w:t>
      </w:r>
      <w:r>
        <w:rPr>
          <w:spacing w:val="-10"/>
        </w:rPr>
        <w:t> </w:t>
      </w:r>
      <w:r>
        <w:rPr/>
        <w:t>y</w:t>
      </w:r>
      <w:r>
        <w:rPr>
          <w:spacing w:val="-9"/>
        </w:rPr>
        <w:t> </w:t>
      </w:r>
      <w:r>
        <w:rPr/>
        <w:t>áreas</w:t>
      </w:r>
      <w:r>
        <w:rPr>
          <w:spacing w:val="-9"/>
        </w:rPr>
        <w:t> </w:t>
      </w:r>
      <w:r>
        <w:rPr/>
        <w:t>verdes,</w:t>
      </w:r>
      <w:r>
        <w:rPr>
          <w:spacing w:val="-10"/>
        </w:rPr>
        <w:t> </w:t>
      </w:r>
      <w:r>
        <w:rPr/>
        <w:t>por</w:t>
      </w:r>
      <w:r>
        <w:rPr>
          <w:spacing w:val="-9"/>
        </w:rPr>
        <w:t> </w:t>
      </w:r>
      <w:r>
        <w:rPr/>
        <w:t>obras</w:t>
      </w:r>
      <w:r>
        <w:rPr>
          <w:spacing w:val="-9"/>
        </w:rPr>
        <w:t> </w:t>
      </w:r>
      <w:r>
        <w:rPr/>
        <w:t>de</w:t>
      </w:r>
      <w:r>
        <w:rPr>
          <w:spacing w:val="-10"/>
        </w:rPr>
        <w:t> </w:t>
      </w:r>
      <w:r>
        <w:rPr/>
        <w:t>urbanización,</w:t>
      </w:r>
      <w:r>
        <w:rPr>
          <w:spacing w:val="-10"/>
        </w:rPr>
        <w:t> </w:t>
      </w:r>
      <w:r>
        <w:rPr/>
        <w:t>equipamiento</w:t>
      </w:r>
      <w:r>
        <w:rPr>
          <w:spacing w:val="-10"/>
        </w:rPr>
        <w:t> </w:t>
      </w:r>
      <w:r>
        <w:rPr/>
        <w:t>o</w:t>
      </w:r>
      <w:r>
        <w:rPr>
          <w:spacing w:val="-10"/>
        </w:rPr>
        <w:t> </w:t>
      </w:r>
      <w:r>
        <w:rPr/>
        <w:t>infraestructura,</w:t>
      </w:r>
      <w:r>
        <w:rPr>
          <w:spacing w:val="-10"/>
        </w:rPr>
        <w:t> </w:t>
      </w:r>
      <w:r>
        <w:rPr/>
        <w:t>necesarias dentro de la misma zona;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rFonts w:ascii="Arial" w:hAnsi="Arial"/>
          <w:b/>
        </w:rPr>
        <w:t>XLIV.</w:t>
      </w:r>
      <w:r>
        <w:rPr>
          <w:rFonts w:ascii="Arial" w:hAnsi="Arial"/>
          <w:b/>
          <w:spacing w:val="80"/>
        </w:rPr>
        <w:t> </w:t>
      </w:r>
      <w:r>
        <w:rPr/>
        <w:t>Expedir a los fraccionamientos la constancia de municipalización correspondiente, una vez que se hayan cumplido los requisitos que establece la presente Ley;</w:t>
      </w:r>
    </w:p>
    <w:p>
      <w:pPr>
        <w:pStyle w:val="BodyText"/>
        <w:spacing w:before="1"/>
      </w:pPr>
    </w:p>
    <w:p>
      <w:pPr>
        <w:pStyle w:val="BodyText"/>
        <w:ind w:left="262" w:right="288"/>
        <w:jc w:val="both"/>
      </w:pPr>
      <w:r>
        <w:rPr>
          <w:rFonts w:ascii="Arial" w:hAnsi="Arial"/>
          <w:b/>
        </w:rPr>
        <w:t>XLV.</w:t>
      </w:r>
      <w:r>
        <w:rPr>
          <w:rFonts w:ascii="Arial" w:hAnsi="Arial"/>
          <w:b/>
          <w:spacing w:val="40"/>
        </w:rPr>
        <w:t> </w:t>
      </w:r>
      <w:r>
        <w:rPr/>
        <w:t>Llevar el registro de los fraccionamientos, desarrollos en régimen de propiedad en condominio, subdivisiones, fusiones, relotificaciones y modificaciones de inmuebles sujetos a la presente Ley, así como de las asociaciones que sus habitantes integren;</w:t>
      </w:r>
    </w:p>
    <w:p>
      <w:pPr>
        <w:pStyle w:val="BodyText"/>
        <w:spacing w:before="229"/>
        <w:ind w:left="262"/>
        <w:jc w:val="both"/>
      </w:pPr>
      <w:r>
        <w:rPr>
          <w:rFonts w:ascii="Arial" w:hAnsi="Arial"/>
          <w:b/>
        </w:rPr>
        <w:t>XLVI.</w:t>
      </w:r>
      <w:r>
        <w:rPr>
          <w:rFonts w:ascii="Arial" w:hAnsi="Arial"/>
          <w:b/>
          <w:spacing w:val="38"/>
        </w:rPr>
        <w:t>  </w:t>
      </w:r>
      <w:r>
        <w:rPr/>
        <w:t>Promover</w:t>
      </w:r>
      <w:r>
        <w:rPr>
          <w:spacing w:val="-4"/>
        </w:rPr>
        <w:t> </w:t>
      </w:r>
      <w:r>
        <w:rPr/>
        <w:t>la</w:t>
      </w:r>
      <w:r>
        <w:rPr>
          <w:spacing w:val="-7"/>
        </w:rPr>
        <w:t> </w:t>
      </w:r>
      <w:r>
        <w:rPr/>
        <w:t>construcción</w:t>
      </w:r>
      <w:r>
        <w:rPr>
          <w:spacing w:val="-6"/>
        </w:rPr>
        <w:t> </w:t>
      </w:r>
      <w:r>
        <w:rPr/>
        <w:t>de</w:t>
      </w:r>
      <w:r>
        <w:rPr>
          <w:spacing w:val="-7"/>
        </w:rPr>
        <w:t> </w:t>
      </w:r>
      <w:r>
        <w:rPr/>
        <w:t>fraccionamientos</w:t>
      </w:r>
      <w:r>
        <w:rPr>
          <w:spacing w:val="-6"/>
        </w:rPr>
        <w:t> </w:t>
      </w:r>
      <w:r>
        <w:rPr/>
        <w:t>para</w:t>
      </w:r>
      <w:r>
        <w:rPr>
          <w:spacing w:val="-5"/>
        </w:rPr>
        <w:t> </w:t>
      </w:r>
      <w:r>
        <w:rPr/>
        <w:t>vivienda</w:t>
      </w:r>
      <w:r>
        <w:rPr>
          <w:spacing w:val="-7"/>
        </w:rPr>
        <w:t> </w:t>
      </w:r>
      <w:r>
        <w:rPr/>
        <w:t>de</w:t>
      </w:r>
      <w:r>
        <w:rPr>
          <w:spacing w:val="-7"/>
        </w:rPr>
        <w:t> </w:t>
      </w:r>
      <w:r>
        <w:rPr/>
        <w:t>interés</w:t>
      </w:r>
      <w:r>
        <w:rPr>
          <w:spacing w:val="-6"/>
        </w:rPr>
        <w:t> </w:t>
      </w:r>
      <w:r>
        <w:rPr/>
        <w:t>social</w:t>
      </w:r>
      <w:r>
        <w:rPr>
          <w:spacing w:val="-7"/>
        </w:rPr>
        <w:t> </w:t>
      </w:r>
      <w:r>
        <w:rPr/>
        <w:t>y</w:t>
      </w:r>
      <w:r>
        <w:rPr>
          <w:spacing w:val="-5"/>
        </w:rPr>
        <w:t> </w:t>
      </w:r>
      <w:r>
        <w:rPr>
          <w:spacing w:val="-2"/>
        </w:rPr>
        <w:t>popular;</w:t>
      </w:r>
    </w:p>
    <w:p>
      <w:pPr>
        <w:pStyle w:val="BodyText"/>
        <w:spacing w:before="1"/>
      </w:pPr>
    </w:p>
    <w:p>
      <w:pPr>
        <w:pStyle w:val="BodyText"/>
        <w:ind w:left="262" w:right="285"/>
        <w:jc w:val="both"/>
      </w:pPr>
      <w:r>
        <w:rPr>
          <w:rFonts w:ascii="Arial" w:hAnsi="Arial"/>
          <w:b/>
        </w:rPr>
        <w:t>XLVII.</w:t>
      </w:r>
      <w:r>
        <w:rPr>
          <w:rFonts w:ascii="Arial" w:hAnsi="Arial"/>
          <w:b/>
          <w:spacing w:val="80"/>
        </w:rPr>
        <w:t> </w:t>
      </w:r>
      <w:r>
        <w:rPr/>
        <w:t>Favorecer</w:t>
      </w:r>
      <w:r>
        <w:rPr>
          <w:spacing w:val="-7"/>
        </w:rPr>
        <w:t> </w:t>
      </w:r>
      <w:r>
        <w:rPr/>
        <w:t>el</w:t>
      </w:r>
      <w:r>
        <w:rPr>
          <w:spacing w:val="-9"/>
        </w:rPr>
        <w:t> </w:t>
      </w:r>
      <w:r>
        <w:rPr/>
        <w:t>desarrollo</w:t>
      </w:r>
      <w:r>
        <w:rPr>
          <w:spacing w:val="-8"/>
        </w:rPr>
        <w:t> </w:t>
      </w:r>
      <w:r>
        <w:rPr/>
        <w:t>de</w:t>
      </w:r>
      <w:r>
        <w:rPr>
          <w:spacing w:val="-8"/>
        </w:rPr>
        <w:t> </w:t>
      </w:r>
      <w:r>
        <w:rPr/>
        <w:t>fraccionamientos</w:t>
      </w:r>
      <w:r>
        <w:rPr>
          <w:spacing w:val="-6"/>
        </w:rPr>
        <w:t> </w:t>
      </w:r>
      <w:r>
        <w:rPr/>
        <w:t>y</w:t>
      </w:r>
      <w:r>
        <w:rPr>
          <w:spacing w:val="-6"/>
        </w:rPr>
        <w:t> </w:t>
      </w:r>
      <w:r>
        <w:rPr/>
        <w:t>demás</w:t>
      </w:r>
      <w:r>
        <w:rPr>
          <w:spacing w:val="-6"/>
        </w:rPr>
        <w:t> </w:t>
      </w:r>
      <w:r>
        <w:rPr/>
        <w:t>desarrollos</w:t>
      </w:r>
      <w:r>
        <w:rPr>
          <w:spacing w:val="-7"/>
        </w:rPr>
        <w:t> </w:t>
      </w:r>
      <w:r>
        <w:rPr/>
        <w:t>inmobiliarios</w:t>
      </w:r>
      <w:r>
        <w:rPr>
          <w:spacing w:val="-7"/>
        </w:rPr>
        <w:t> </w:t>
      </w:r>
      <w:r>
        <w:rPr/>
        <w:t>sustentables, que utilicen ecotecnologías y que sean de bajo impacto ambiental;</w:t>
      </w:r>
    </w:p>
    <w:p>
      <w:pPr>
        <w:pStyle w:val="BodyText"/>
      </w:pPr>
    </w:p>
    <w:p>
      <w:pPr>
        <w:pStyle w:val="BodyText"/>
        <w:ind w:left="262" w:right="283"/>
        <w:jc w:val="both"/>
      </w:pPr>
      <w:r>
        <w:rPr>
          <w:rFonts w:ascii="Arial" w:hAnsi="Arial"/>
          <w:b/>
        </w:rPr>
        <w:t>XLVIII.</w:t>
      </w:r>
      <w:r>
        <w:rPr>
          <w:rFonts w:ascii="Arial" w:hAnsi="Arial"/>
          <w:b/>
          <w:spacing w:val="40"/>
        </w:rPr>
        <w:t>  </w:t>
      </w:r>
      <w:r>
        <w:rPr/>
        <w:t>Evitar</w:t>
      </w:r>
      <w:r>
        <w:rPr>
          <w:spacing w:val="-13"/>
        </w:rPr>
        <w:t> </w:t>
      </w:r>
      <w:r>
        <w:rPr/>
        <w:t>que</w:t>
      </w:r>
      <w:r>
        <w:rPr>
          <w:spacing w:val="-14"/>
        </w:rPr>
        <w:t> </w:t>
      </w:r>
      <w:r>
        <w:rPr/>
        <w:t>se</w:t>
      </w:r>
      <w:r>
        <w:rPr>
          <w:spacing w:val="-14"/>
        </w:rPr>
        <w:t> </w:t>
      </w:r>
      <w:r>
        <w:rPr/>
        <w:t>otorguen</w:t>
      </w:r>
      <w:r>
        <w:rPr>
          <w:spacing w:val="-14"/>
        </w:rPr>
        <w:t> </w:t>
      </w:r>
      <w:r>
        <w:rPr/>
        <w:t>autorizaciones</w:t>
      </w:r>
      <w:r>
        <w:rPr>
          <w:spacing w:val="-13"/>
        </w:rPr>
        <w:t> </w:t>
      </w:r>
      <w:r>
        <w:rPr/>
        <w:t>de</w:t>
      </w:r>
      <w:r>
        <w:rPr>
          <w:spacing w:val="-14"/>
        </w:rPr>
        <w:t> </w:t>
      </w:r>
      <w:r>
        <w:rPr/>
        <w:t>fraccionamientos</w:t>
      </w:r>
      <w:r>
        <w:rPr>
          <w:spacing w:val="-12"/>
        </w:rPr>
        <w:t> </w:t>
      </w:r>
      <w:r>
        <w:rPr/>
        <w:t>de</w:t>
      </w:r>
      <w:r>
        <w:rPr>
          <w:spacing w:val="-14"/>
        </w:rPr>
        <w:t> </w:t>
      </w:r>
      <w:r>
        <w:rPr/>
        <w:t>vivienda</w:t>
      </w:r>
      <w:r>
        <w:rPr>
          <w:spacing w:val="-14"/>
        </w:rPr>
        <w:t> </w:t>
      </w:r>
      <w:r>
        <w:rPr/>
        <w:t>económica,</w:t>
      </w:r>
      <w:r>
        <w:rPr>
          <w:spacing w:val="-14"/>
        </w:rPr>
        <w:t> </w:t>
      </w:r>
      <w:r>
        <w:rPr/>
        <w:t>popular o de urbanización progresiva, en zonas de difícil acceso, sin servicios de transporte, en zonas de riesgo, y/o que carezcan de equipamiento urbano básico;</w:t>
      </w:r>
    </w:p>
    <w:p>
      <w:pPr>
        <w:pStyle w:val="BodyText"/>
        <w:spacing w:before="1"/>
      </w:pPr>
    </w:p>
    <w:p>
      <w:pPr>
        <w:pStyle w:val="BodyText"/>
        <w:ind w:left="262" w:right="287"/>
        <w:jc w:val="both"/>
      </w:pPr>
      <w:r>
        <w:rPr>
          <w:rFonts w:ascii="Arial" w:hAnsi="Arial"/>
          <w:b/>
        </w:rPr>
        <w:t>XLIX.</w:t>
      </w:r>
      <w:r>
        <w:rPr>
          <w:rFonts w:ascii="Arial" w:hAnsi="Arial"/>
          <w:b/>
          <w:spacing w:val="40"/>
        </w:rPr>
        <w:t> </w:t>
      </w:r>
      <w:r>
        <w:rPr/>
        <w:t>Promover, evaluar y aprobar los proyectos para la construcción de fraccionamientos de urbanización progresiva;</w:t>
      </w:r>
    </w:p>
    <w:p>
      <w:pPr>
        <w:pStyle w:val="ListParagraph"/>
        <w:numPr>
          <w:ilvl w:val="0"/>
          <w:numId w:val="12"/>
        </w:numPr>
        <w:tabs>
          <w:tab w:pos="688" w:val="left" w:leader="none"/>
        </w:tabs>
        <w:spacing w:line="240" w:lineRule="auto" w:before="229" w:after="0"/>
        <w:ind w:left="262" w:right="278" w:firstLine="0"/>
        <w:jc w:val="both"/>
        <w:rPr>
          <w:sz w:val="20"/>
        </w:rPr>
      </w:pPr>
      <w:r>
        <w:rPr>
          <w:sz w:val="20"/>
        </w:rPr>
        <w:t>Autorizar la nomenclatura para la denominación de las vías públicas, vialidades interiores, parques, jardines, plazas, fraccionamientos, condominios, desarrollos inmobiliarios especiales y de todo espacio público susceptible de asignarle una denominación; así como, los números oficiales que le corresponden a los inmuebles ubicados en su territorio;</w:t>
      </w:r>
    </w:p>
    <w:p>
      <w:pPr>
        <w:pStyle w:val="BodyText"/>
      </w:pPr>
    </w:p>
    <w:p>
      <w:pPr>
        <w:pStyle w:val="BodyText"/>
        <w:ind w:left="262" w:right="286"/>
        <w:jc w:val="both"/>
      </w:pPr>
      <w:r>
        <w:rPr>
          <w:rFonts w:ascii="Arial" w:hAnsi="Arial"/>
          <w:b/>
        </w:rPr>
        <w:t>LI.</w:t>
      </w:r>
      <w:r>
        <w:rPr>
          <w:rFonts w:ascii="Arial" w:hAnsi="Arial"/>
          <w:b/>
          <w:spacing w:val="80"/>
          <w:w w:val="150"/>
        </w:rPr>
        <w:t> </w:t>
      </w:r>
      <w:r>
        <w:rPr/>
        <w:t>Cuidar el buen aspecto y resguardo de los predios que pertenezcan al Municipio, cumpliendo lo</w:t>
      </w:r>
      <w:r>
        <w:rPr>
          <w:spacing w:val="-7"/>
        </w:rPr>
        <w:t> </w:t>
      </w:r>
      <w:r>
        <w:rPr/>
        <w:t>relativo</w:t>
      </w:r>
      <w:r>
        <w:rPr>
          <w:spacing w:val="-4"/>
        </w:rPr>
        <w:t> </w:t>
      </w:r>
      <w:r>
        <w:rPr/>
        <w:t>a</w:t>
      </w:r>
      <w:r>
        <w:rPr>
          <w:spacing w:val="-5"/>
        </w:rPr>
        <w:t> </w:t>
      </w:r>
      <w:r>
        <w:rPr/>
        <w:t>la</w:t>
      </w:r>
      <w:r>
        <w:rPr>
          <w:spacing w:val="-4"/>
        </w:rPr>
        <w:t> </w:t>
      </w:r>
      <w:r>
        <w:rPr/>
        <w:t>normatividad</w:t>
      </w:r>
      <w:r>
        <w:rPr>
          <w:spacing w:val="-5"/>
        </w:rPr>
        <w:t> </w:t>
      </w:r>
      <w:r>
        <w:rPr/>
        <w:t>de</w:t>
      </w:r>
      <w:r>
        <w:rPr>
          <w:spacing w:val="-5"/>
        </w:rPr>
        <w:t> </w:t>
      </w:r>
      <w:r>
        <w:rPr/>
        <w:t>ecología</w:t>
      </w:r>
      <w:r>
        <w:rPr>
          <w:spacing w:val="-7"/>
        </w:rPr>
        <w:t> </w:t>
      </w:r>
      <w:r>
        <w:rPr/>
        <w:t>y</w:t>
      </w:r>
      <w:r>
        <w:rPr>
          <w:spacing w:val="-5"/>
        </w:rPr>
        <w:t> </w:t>
      </w:r>
      <w:r>
        <w:rPr/>
        <w:t>medio</w:t>
      </w:r>
      <w:r>
        <w:rPr>
          <w:spacing w:val="-4"/>
        </w:rPr>
        <w:t> </w:t>
      </w:r>
      <w:r>
        <w:rPr/>
        <w:t>ambiente,</w:t>
      </w:r>
      <w:r>
        <w:rPr>
          <w:spacing w:val="-4"/>
        </w:rPr>
        <w:t> </w:t>
      </w:r>
      <w:r>
        <w:rPr/>
        <w:t>en</w:t>
      </w:r>
      <w:r>
        <w:rPr>
          <w:spacing w:val="-5"/>
        </w:rPr>
        <w:t> </w:t>
      </w:r>
      <w:r>
        <w:rPr/>
        <w:t>tanto</w:t>
      </w:r>
      <w:r>
        <w:rPr>
          <w:spacing w:val="-5"/>
        </w:rPr>
        <w:t> </w:t>
      </w:r>
      <w:r>
        <w:rPr/>
        <w:t>no</w:t>
      </w:r>
      <w:r>
        <w:rPr>
          <w:spacing w:val="-7"/>
        </w:rPr>
        <w:t> </w:t>
      </w:r>
      <w:r>
        <w:rPr/>
        <w:t>se</w:t>
      </w:r>
      <w:r>
        <w:rPr>
          <w:spacing w:val="-5"/>
        </w:rPr>
        <w:t> </w:t>
      </w:r>
      <w:r>
        <w:rPr/>
        <w:t>realice</w:t>
      </w:r>
      <w:r>
        <w:rPr>
          <w:spacing w:val="-5"/>
        </w:rPr>
        <w:t> </w:t>
      </w:r>
      <w:r>
        <w:rPr/>
        <w:t>la</w:t>
      </w:r>
      <w:r>
        <w:rPr>
          <w:spacing w:val="-7"/>
        </w:rPr>
        <w:t> </w:t>
      </w:r>
      <w:r>
        <w:rPr/>
        <w:t>construcción</w:t>
      </w:r>
      <w:r>
        <w:rPr>
          <w:spacing w:val="-7"/>
        </w:rPr>
        <w:t> </w:t>
      </w:r>
      <w:r>
        <w:rPr/>
        <w:t>de las obras de equipamiento urbano;</w:t>
      </w:r>
    </w:p>
    <w:p>
      <w:pPr>
        <w:pStyle w:val="BodyText"/>
        <w:spacing w:before="230"/>
        <w:ind w:left="262" w:right="279"/>
        <w:jc w:val="both"/>
      </w:pPr>
      <w:r>
        <w:rPr>
          <w:rFonts w:ascii="Arial" w:hAnsi="Arial"/>
          <w:b/>
        </w:rPr>
        <w:t>LII. </w:t>
      </w:r>
      <w:r>
        <w:rPr/>
        <w:t>Verificar que los servicios públicos de agua potable, drenaje, saneamiento, pavimento, alumbrado público, y recolección y disposición de residuos sólidos, en los fraccionamientos, subdivisiones,</w:t>
      </w:r>
      <w:r>
        <w:rPr>
          <w:spacing w:val="-9"/>
        </w:rPr>
        <w:t> </w:t>
      </w:r>
      <w:r>
        <w:rPr/>
        <w:t>fusiones,</w:t>
      </w:r>
      <w:r>
        <w:rPr>
          <w:spacing w:val="-9"/>
        </w:rPr>
        <w:t> </w:t>
      </w:r>
      <w:r>
        <w:rPr/>
        <w:t>relotificaciones</w:t>
      </w:r>
      <w:r>
        <w:rPr>
          <w:spacing w:val="-8"/>
        </w:rPr>
        <w:t> </w:t>
      </w:r>
      <w:r>
        <w:rPr/>
        <w:t>y</w:t>
      </w:r>
      <w:r>
        <w:rPr>
          <w:spacing w:val="-6"/>
        </w:rPr>
        <w:t> </w:t>
      </w:r>
      <w:r>
        <w:rPr/>
        <w:t>desarrollos</w:t>
      </w:r>
      <w:r>
        <w:rPr>
          <w:spacing w:val="-6"/>
        </w:rPr>
        <w:t> </w:t>
      </w:r>
      <w:r>
        <w:rPr/>
        <w:t>en</w:t>
      </w:r>
      <w:r>
        <w:rPr>
          <w:spacing w:val="-9"/>
        </w:rPr>
        <w:t> </w:t>
      </w:r>
      <w:r>
        <w:rPr/>
        <w:t>régimen</w:t>
      </w:r>
      <w:r>
        <w:rPr>
          <w:spacing w:val="-7"/>
        </w:rPr>
        <w:t> </w:t>
      </w:r>
      <w:r>
        <w:rPr/>
        <w:t>de</w:t>
      </w:r>
      <w:r>
        <w:rPr>
          <w:spacing w:val="-7"/>
        </w:rPr>
        <w:t> </w:t>
      </w:r>
      <w:r>
        <w:rPr/>
        <w:t>propiedad</w:t>
      </w:r>
      <w:r>
        <w:rPr>
          <w:spacing w:val="-9"/>
        </w:rPr>
        <w:t> </w:t>
      </w:r>
      <w:r>
        <w:rPr/>
        <w:t>en</w:t>
      </w:r>
      <w:r>
        <w:rPr>
          <w:spacing w:val="-7"/>
        </w:rPr>
        <w:t> </w:t>
      </w:r>
      <w:r>
        <w:rPr/>
        <w:t>condominio,</w:t>
      </w:r>
      <w:r>
        <w:rPr>
          <w:spacing w:val="-7"/>
        </w:rPr>
        <w:t> </w:t>
      </w:r>
      <w:r>
        <w:rPr/>
        <w:t>sean prestados a los habitantes de manera eficiente;</w:t>
      </w:r>
    </w:p>
    <w:p>
      <w:pPr>
        <w:pStyle w:val="BodyText"/>
        <w:spacing w:before="2"/>
      </w:pPr>
    </w:p>
    <w:p>
      <w:pPr>
        <w:pStyle w:val="BodyText"/>
        <w:ind w:left="262" w:right="279"/>
        <w:jc w:val="both"/>
      </w:pPr>
      <w:r>
        <w:rPr>
          <w:rFonts w:ascii="Arial" w:hAnsi="Arial"/>
          <w:b/>
        </w:rPr>
        <w:t>LIII.</w:t>
      </w:r>
      <w:r>
        <w:rPr>
          <w:rFonts w:ascii="Arial" w:hAnsi="Arial"/>
          <w:b/>
          <w:spacing w:val="24"/>
        </w:rPr>
        <w:t> </w:t>
      </w:r>
      <w:r>
        <w:rPr/>
        <w:t>Celebrar en términos de lo dispuesto por la Constitución Política del Estado Libre y Soberano de San Luis</w:t>
      </w:r>
      <w:r>
        <w:rPr>
          <w:spacing w:val="-1"/>
        </w:rPr>
        <w:t> </w:t>
      </w:r>
      <w:r>
        <w:rPr/>
        <w:t>Potosí, la Ley Orgánica del</w:t>
      </w:r>
      <w:r>
        <w:rPr>
          <w:spacing w:val="-3"/>
        </w:rPr>
        <w:t> </w:t>
      </w:r>
      <w:r>
        <w:rPr/>
        <w:t>Municipio</w:t>
      </w:r>
      <w:r>
        <w:rPr>
          <w:spacing w:val="-2"/>
        </w:rPr>
        <w:t> </w:t>
      </w:r>
      <w:r>
        <w:rPr/>
        <w:t>Libre</w:t>
      </w:r>
      <w:r>
        <w:rPr>
          <w:spacing w:val="-2"/>
        </w:rPr>
        <w:t> </w:t>
      </w:r>
      <w:r>
        <w:rPr/>
        <w:t>y</w:t>
      </w:r>
      <w:r>
        <w:rPr>
          <w:spacing w:val="-1"/>
        </w:rPr>
        <w:t> </w:t>
      </w:r>
      <w:r>
        <w:rPr/>
        <w:t>demás</w:t>
      </w:r>
      <w:r>
        <w:rPr>
          <w:spacing w:val="-1"/>
        </w:rPr>
        <w:t> </w:t>
      </w:r>
      <w:r>
        <w:rPr/>
        <w:t>disposiciones</w:t>
      </w:r>
      <w:r>
        <w:rPr>
          <w:spacing w:val="-1"/>
        </w:rPr>
        <w:t> </w:t>
      </w:r>
      <w:r>
        <w:rPr/>
        <w:t>jurídicas</w:t>
      </w:r>
      <w:r>
        <w:rPr>
          <w:spacing w:val="-1"/>
        </w:rPr>
        <w:t> </w:t>
      </w:r>
      <w:r>
        <w:rPr/>
        <w:t>aplicables, convenios de colaboración con otros ayuntamientos, para que de manera coordinada se desempeñen</w:t>
      </w:r>
      <w:r>
        <w:rPr>
          <w:spacing w:val="-12"/>
        </w:rPr>
        <w:t> </w:t>
      </w:r>
      <w:r>
        <w:rPr/>
        <w:t>las</w:t>
      </w:r>
      <w:r>
        <w:rPr>
          <w:spacing w:val="-13"/>
        </w:rPr>
        <w:t> </w:t>
      </w:r>
      <w:r>
        <w:rPr/>
        <w:t>funciones</w:t>
      </w:r>
      <w:r>
        <w:rPr>
          <w:spacing w:val="-10"/>
        </w:rPr>
        <w:t> </w:t>
      </w:r>
      <w:r>
        <w:rPr/>
        <w:t>relacionadas</w:t>
      </w:r>
      <w:r>
        <w:rPr>
          <w:spacing w:val="-12"/>
        </w:rPr>
        <w:t> </w:t>
      </w:r>
      <w:r>
        <w:rPr/>
        <w:t>con</w:t>
      </w:r>
      <w:r>
        <w:rPr>
          <w:spacing w:val="-12"/>
        </w:rPr>
        <w:t> </w:t>
      </w:r>
      <w:r>
        <w:rPr/>
        <w:t>las</w:t>
      </w:r>
      <w:r>
        <w:rPr>
          <w:spacing w:val="-10"/>
        </w:rPr>
        <w:t> </w:t>
      </w:r>
      <w:r>
        <w:rPr/>
        <w:t>atribuciones</w:t>
      </w:r>
      <w:r>
        <w:rPr>
          <w:spacing w:val="-13"/>
        </w:rPr>
        <w:t> </w:t>
      </w:r>
      <w:r>
        <w:rPr/>
        <w:t>que</w:t>
      </w:r>
      <w:r>
        <w:rPr>
          <w:spacing w:val="-14"/>
        </w:rPr>
        <w:t> </w:t>
      </w:r>
      <w:r>
        <w:rPr/>
        <w:t>les</w:t>
      </w:r>
      <w:r>
        <w:rPr>
          <w:spacing w:val="-13"/>
        </w:rPr>
        <w:t> </w:t>
      </w:r>
      <w:r>
        <w:rPr/>
        <w:t>competen</w:t>
      </w:r>
      <w:r>
        <w:rPr>
          <w:spacing w:val="-14"/>
        </w:rPr>
        <w:t> </w:t>
      </w:r>
      <w:r>
        <w:rPr/>
        <w:t>en</w:t>
      </w:r>
      <w:r>
        <w:rPr>
          <w:spacing w:val="-14"/>
        </w:rPr>
        <w:t> </w:t>
      </w:r>
      <w:r>
        <w:rPr/>
        <w:t>la</w:t>
      </w:r>
      <w:r>
        <w:rPr>
          <w:spacing w:val="-14"/>
        </w:rPr>
        <w:t> </w:t>
      </w:r>
      <w:r>
        <w:rPr/>
        <w:t>materia</w:t>
      </w:r>
      <w:r>
        <w:rPr>
          <w:spacing w:val="-12"/>
        </w:rPr>
        <w:t> </w:t>
      </w:r>
      <w:r>
        <w:rPr/>
        <w:t>de</w:t>
      </w:r>
      <w:r>
        <w:rPr>
          <w:spacing w:val="-12"/>
        </w:rPr>
        <w:t> </w:t>
      </w:r>
      <w:r>
        <w:rPr/>
        <w:t>esta </w:t>
      </w:r>
      <w:r>
        <w:rPr>
          <w:spacing w:val="-4"/>
        </w:rPr>
        <w:t>Ley;</w:t>
      </w:r>
    </w:p>
    <w:p>
      <w:pPr>
        <w:pStyle w:val="BodyText"/>
      </w:pPr>
    </w:p>
    <w:p>
      <w:pPr>
        <w:pStyle w:val="BodyText"/>
        <w:ind w:left="262" w:right="279"/>
        <w:jc w:val="both"/>
      </w:pPr>
      <w:r>
        <w:rPr>
          <w:rFonts w:ascii="Arial" w:hAnsi="Arial"/>
          <w:b/>
        </w:rPr>
        <w:t>LIV. </w:t>
      </w:r>
      <w:r>
        <w:rPr/>
        <w:t>Realizar</w:t>
      </w:r>
      <w:r>
        <w:rPr>
          <w:spacing w:val="-5"/>
        </w:rPr>
        <w:t> </w:t>
      </w:r>
      <w:r>
        <w:rPr/>
        <w:t>las</w:t>
      </w:r>
      <w:r>
        <w:rPr>
          <w:spacing w:val="-4"/>
        </w:rPr>
        <w:t> </w:t>
      </w:r>
      <w:r>
        <w:rPr/>
        <w:t>visitas,</w:t>
      </w:r>
      <w:r>
        <w:rPr>
          <w:spacing w:val="-5"/>
        </w:rPr>
        <w:t> </w:t>
      </w:r>
      <w:r>
        <w:rPr/>
        <w:t>inspecciones</w:t>
      </w:r>
      <w:r>
        <w:rPr>
          <w:spacing w:val="-4"/>
        </w:rPr>
        <w:t> </w:t>
      </w:r>
      <w:r>
        <w:rPr/>
        <w:t>y</w:t>
      </w:r>
      <w:r>
        <w:rPr>
          <w:spacing w:val="-4"/>
        </w:rPr>
        <w:t> </w:t>
      </w:r>
      <w:r>
        <w:rPr/>
        <w:t>verificaciones</w:t>
      </w:r>
      <w:r>
        <w:rPr>
          <w:spacing w:val="-4"/>
        </w:rPr>
        <w:t> </w:t>
      </w:r>
      <w:r>
        <w:rPr/>
        <w:t>que</w:t>
      </w:r>
      <w:r>
        <w:rPr>
          <w:spacing w:val="-5"/>
        </w:rPr>
        <w:t> </w:t>
      </w:r>
      <w:r>
        <w:rPr/>
        <w:t>procedan</w:t>
      </w:r>
      <w:r>
        <w:rPr>
          <w:spacing w:val="-6"/>
        </w:rPr>
        <w:t> </w:t>
      </w:r>
      <w:r>
        <w:rPr/>
        <w:t>para</w:t>
      </w:r>
      <w:r>
        <w:rPr>
          <w:spacing w:val="-5"/>
        </w:rPr>
        <w:t> </w:t>
      </w:r>
      <w:r>
        <w:rPr/>
        <w:t>constatar</w:t>
      </w:r>
      <w:r>
        <w:rPr>
          <w:spacing w:val="-5"/>
        </w:rPr>
        <w:t> </w:t>
      </w:r>
      <w:r>
        <w:rPr/>
        <w:t>el</w:t>
      </w:r>
      <w:r>
        <w:rPr>
          <w:spacing w:val="-6"/>
        </w:rPr>
        <w:t> </w:t>
      </w:r>
      <w:r>
        <w:rPr/>
        <w:t>cumplimiento de los requisitos que establecen las autorizaciones y licencias que les competen, previo a su expedición</w:t>
      </w:r>
      <w:r>
        <w:rPr>
          <w:spacing w:val="-12"/>
        </w:rPr>
        <w:t> </w:t>
      </w:r>
      <w:r>
        <w:rPr/>
        <w:t>y</w:t>
      </w:r>
      <w:r>
        <w:rPr>
          <w:spacing w:val="-12"/>
        </w:rPr>
        <w:t> </w:t>
      </w:r>
      <w:r>
        <w:rPr/>
        <w:t>durante</w:t>
      </w:r>
      <w:r>
        <w:rPr>
          <w:spacing w:val="-14"/>
        </w:rPr>
        <w:t> </w:t>
      </w:r>
      <w:r>
        <w:rPr/>
        <w:t>su</w:t>
      </w:r>
      <w:r>
        <w:rPr>
          <w:spacing w:val="-12"/>
        </w:rPr>
        <w:t> </w:t>
      </w:r>
      <w:r>
        <w:rPr/>
        <w:t>vigencia</w:t>
      </w:r>
      <w:r>
        <w:rPr>
          <w:spacing w:val="-11"/>
        </w:rPr>
        <w:t> </w:t>
      </w:r>
      <w:r>
        <w:rPr/>
        <w:t>de</w:t>
      </w:r>
      <w:r>
        <w:rPr>
          <w:spacing w:val="-14"/>
        </w:rPr>
        <w:t> </w:t>
      </w:r>
      <w:r>
        <w:rPr/>
        <w:t>conformidad</w:t>
      </w:r>
      <w:r>
        <w:rPr>
          <w:spacing w:val="-14"/>
        </w:rPr>
        <w:t> </w:t>
      </w:r>
      <w:r>
        <w:rPr/>
        <w:t>con</w:t>
      </w:r>
      <w:r>
        <w:rPr>
          <w:spacing w:val="-12"/>
        </w:rPr>
        <w:t> </w:t>
      </w:r>
      <w:r>
        <w:rPr/>
        <w:t>la</w:t>
      </w:r>
      <w:r>
        <w:rPr>
          <w:spacing w:val="-14"/>
        </w:rPr>
        <w:t> </w:t>
      </w:r>
      <w:r>
        <w:rPr/>
        <w:t>presente</w:t>
      </w:r>
      <w:r>
        <w:rPr>
          <w:spacing w:val="-14"/>
        </w:rPr>
        <w:t> </w:t>
      </w:r>
      <w:r>
        <w:rPr/>
        <w:t>Ley</w:t>
      </w:r>
      <w:r>
        <w:rPr>
          <w:spacing w:val="-12"/>
        </w:rPr>
        <w:t> </w:t>
      </w:r>
      <w:r>
        <w:rPr/>
        <w:t>y</w:t>
      </w:r>
      <w:r>
        <w:rPr>
          <w:spacing w:val="-12"/>
        </w:rPr>
        <w:t> </w:t>
      </w:r>
      <w:r>
        <w:rPr/>
        <w:t>reglamentos</w:t>
      </w:r>
      <w:r>
        <w:rPr>
          <w:spacing w:val="-13"/>
        </w:rPr>
        <w:t> </w:t>
      </w:r>
      <w:r>
        <w:rPr/>
        <w:t>que</w:t>
      </w:r>
      <w:r>
        <w:rPr>
          <w:spacing w:val="-11"/>
        </w:rPr>
        <w:t> </w:t>
      </w:r>
      <w:r>
        <w:rPr/>
        <w:t>de</w:t>
      </w:r>
      <w:r>
        <w:rPr>
          <w:spacing w:val="-12"/>
        </w:rPr>
        <w:t> </w:t>
      </w:r>
      <w:r>
        <w:rPr/>
        <w:t>la</w:t>
      </w:r>
      <w:r>
        <w:rPr>
          <w:spacing w:val="-11"/>
        </w:rPr>
        <w:t> </w:t>
      </w:r>
      <w:r>
        <w:rPr/>
        <w:t>misma </w:t>
      </w:r>
      <w:r>
        <w:rPr>
          <w:spacing w:val="-2"/>
        </w:rPr>
        <w:t>deriven;</w:t>
      </w:r>
    </w:p>
    <w:p>
      <w:pPr>
        <w:pStyle w:val="BodyText"/>
      </w:pPr>
    </w:p>
    <w:p>
      <w:pPr>
        <w:pStyle w:val="BodyText"/>
        <w:ind w:left="262" w:right="281"/>
        <w:jc w:val="both"/>
      </w:pPr>
      <w:r>
        <w:rPr>
          <w:rFonts w:ascii="Arial" w:hAnsi="Arial"/>
          <w:b/>
        </w:rPr>
        <w:t>LV.</w:t>
      </w:r>
      <w:r>
        <w:rPr>
          <w:rFonts w:ascii="Arial" w:hAnsi="Arial"/>
          <w:b/>
          <w:spacing w:val="80"/>
          <w:w w:val="150"/>
        </w:rPr>
        <w:t> </w:t>
      </w:r>
      <w:r>
        <w:rPr/>
        <w:t>Vigilar que se cumplan las disposiciones en materia de movilidad urbana, a fin de permitir el libre</w:t>
      </w:r>
      <w:r>
        <w:rPr>
          <w:spacing w:val="-14"/>
        </w:rPr>
        <w:t> </w:t>
      </w:r>
      <w:r>
        <w:rPr/>
        <w:t>desplazamiento</w:t>
      </w:r>
      <w:r>
        <w:rPr>
          <w:spacing w:val="-14"/>
        </w:rPr>
        <w:t> </w:t>
      </w:r>
      <w:r>
        <w:rPr/>
        <w:t>de</w:t>
      </w:r>
      <w:r>
        <w:rPr>
          <w:spacing w:val="-14"/>
        </w:rPr>
        <w:t> </w:t>
      </w:r>
      <w:r>
        <w:rPr/>
        <w:t>las</w:t>
      </w:r>
      <w:r>
        <w:rPr>
          <w:spacing w:val="-14"/>
        </w:rPr>
        <w:t> </w:t>
      </w:r>
      <w:r>
        <w:rPr/>
        <w:t>personas</w:t>
      </w:r>
      <w:r>
        <w:rPr>
          <w:spacing w:val="-14"/>
        </w:rPr>
        <w:t> </w:t>
      </w:r>
      <w:r>
        <w:rPr/>
        <w:t>con</w:t>
      </w:r>
      <w:r>
        <w:rPr>
          <w:spacing w:val="-14"/>
        </w:rPr>
        <w:t> </w:t>
      </w:r>
      <w:r>
        <w:rPr/>
        <w:t>discapacidad,</w:t>
      </w:r>
      <w:r>
        <w:rPr>
          <w:spacing w:val="-14"/>
        </w:rPr>
        <w:t> </w:t>
      </w:r>
      <w:r>
        <w:rPr/>
        <w:t>y</w:t>
      </w:r>
      <w:r>
        <w:rPr>
          <w:spacing w:val="-14"/>
        </w:rPr>
        <w:t> </w:t>
      </w:r>
      <w:r>
        <w:rPr/>
        <w:t>de</w:t>
      </w:r>
      <w:r>
        <w:rPr>
          <w:spacing w:val="-14"/>
        </w:rPr>
        <w:t> </w:t>
      </w:r>
      <w:r>
        <w:rPr/>
        <w:t>personas</w:t>
      </w:r>
      <w:r>
        <w:rPr>
          <w:spacing w:val="-13"/>
        </w:rPr>
        <w:t> </w:t>
      </w:r>
      <w:r>
        <w:rPr/>
        <w:t>que</w:t>
      </w:r>
      <w:r>
        <w:rPr>
          <w:spacing w:val="-14"/>
        </w:rPr>
        <w:t> </w:t>
      </w:r>
      <w:r>
        <w:rPr/>
        <w:t>se</w:t>
      </w:r>
      <w:r>
        <w:rPr>
          <w:spacing w:val="-14"/>
        </w:rPr>
        <w:t> </w:t>
      </w:r>
      <w:r>
        <w:rPr/>
        <w:t>transportan</w:t>
      </w:r>
      <w:r>
        <w:rPr>
          <w:spacing w:val="-14"/>
        </w:rPr>
        <w:t> </w:t>
      </w:r>
      <w:r>
        <w:rPr/>
        <w:t>en</w:t>
      </w:r>
      <w:r>
        <w:rPr>
          <w:spacing w:val="-14"/>
        </w:rPr>
        <w:t> </w:t>
      </w:r>
      <w:r>
        <w:rPr/>
        <w:t>medios no motorizados, y que favorezcan la seguridad pública y los principios de inclusión y no </w:t>
      </w:r>
      <w:r>
        <w:rPr>
          <w:spacing w:val="-2"/>
        </w:rPr>
        <w:t>discriminación;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rFonts w:ascii="Arial"/>
          <w:b/>
        </w:rPr>
        <w:t>LVI.</w:t>
      </w:r>
      <w:r>
        <w:rPr>
          <w:rFonts w:ascii="Arial"/>
          <w:b/>
          <w:spacing w:val="80"/>
        </w:rPr>
        <w:t> </w:t>
      </w:r>
      <w:r>
        <w:rPr/>
        <w:t>Vigilar</w:t>
      </w:r>
      <w:r>
        <w:rPr>
          <w:spacing w:val="-4"/>
        </w:rPr>
        <w:t> </w:t>
      </w:r>
      <w:r>
        <w:rPr/>
        <w:t>que</w:t>
      </w:r>
      <w:r>
        <w:rPr>
          <w:spacing w:val="-4"/>
        </w:rPr>
        <w:t> </w:t>
      </w:r>
      <w:r>
        <w:rPr/>
        <w:t>se</w:t>
      </w:r>
      <w:r>
        <w:rPr>
          <w:spacing w:val="-4"/>
        </w:rPr>
        <w:t> </w:t>
      </w:r>
      <w:r>
        <w:rPr/>
        <w:t>cumplan</w:t>
      </w:r>
      <w:r>
        <w:rPr>
          <w:spacing w:val="-3"/>
        </w:rPr>
        <w:t> </w:t>
      </w:r>
      <w:r>
        <w:rPr/>
        <w:t>las</w:t>
      </w:r>
      <w:r>
        <w:rPr>
          <w:spacing w:val="-1"/>
        </w:rPr>
        <w:t> </w:t>
      </w:r>
      <w:r>
        <w:rPr/>
        <w:t>medidas</w:t>
      </w:r>
      <w:r>
        <w:rPr>
          <w:spacing w:val="-3"/>
        </w:rPr>
        <w:t> </w:t>
      </w:r>
      <w:r>
        <w:rPr/>
        <w:t>necesarias</w:t>
      </w:r>
      <w:r>
        <w:rPr>
          <w:spacing w:val="-3"/>
        </w:rPr>
        <w:t> </w:t>
      </w:r>
      <w:r>
        <w:rPr/>
        <w:t>para</w:t>
      </w:r>
      <w:r>
        <w:rPr>
          <w:spacing w:val="-4"/>
        </w:rPr>
        <w:t> </w:t>
      </w:r>
      <w:r>
        <w:rPr/>
        <w:t>evitar</w:t>
      </w:r>
      <w:r>
        <w:rPr>
          <w:spacing w:val="-4"/>
        </w:rPr>
        <w:t> </w:t>
      </w:r>
      <w:r>
        <w:rPr/>
        <w:t>riesgos</w:t>
      </w:r>
      <w:r>
        <w:rPr>
          <w:spacing w:val="-3"/>
        </w:rPr>
        <w:t> </w:t>
      </w:r>
      <w:r>
        <w:rPr/>
        <w:t>y</w:t>
      </w:r>
      <w:r>
        <w:rPr>
          <w:spacing w:val="-3"/>
        </w:rPr>
        <w:t> </w:t>
      </w:r>
      <w:r>
        <w:rPr/>
        <w:t>procurar</w:t>
      </w:r>
      <w:r>
        <w:rPr>
          <w:spacing w:val="-3"/>
        </w:rPr>
        <w:t> </w:t>
      </w:r>
      <w:r>
        <w:rPr/>
        <w:t>la</w:t>
      </w:r>
      <w:r>
        <w:rPr>
          <w:spacing w:val="-4"/>
        </w:rPr>
        <w:t> </w:t>
      </w:r>
      <w:r>
        <w:rPr/>
        <w:t>resiliencia</w:t>
      </w:r>
      <w:r>
        <w:rPr>
          <w:spacing w:val="-4"/>
        </w:rPr>
        <w:t> </w:t>
      </w:r>
      <w:r>
        <w:rPr/>
        <w:t>de las zonas urbanas;</w:t>
      </w:r>
    </w:p>
    <w:p>
      <w:pPr>
        <w:pStyle w:val="BodyText"/>
        <w:spacing w:before="1"/>
      </w:pPr>
    </w:p>
    <w:p>
      <w:pPr>
        <w:pStyle w:val="BodyText"/>
        <w:ind w:left="262" w:right="278"/>
        <w:jc w:val="both"/>
      </w:pPr>
      <w:r>
        <w:rPr>
          <w:rFonts w:ascii="Arial" w:hAnsi="Arial"/>
          <w:b/>
        </w:rPr>
        <w:t>LVII.</w:t>
      </w:r>
      <w:r>
        <w:rPr>
          <w:rFonts w:ascii="Arial" w:hAnsi="Arial"/>
          <w:b/>
          <w:spacing w:val="40"/>
        </w:rPr>
        <w:t> </w:t>
      </w:r>
      <w:r>
        <w:rPr/>
        <w:t>Imponer las medidas de seguridad y las sanciones administrativas a los infractores de las disposiciones</w:t>
      </w:r>
      <w:r>
        <w:rPr>
          <w:spacing w:val="-3"/>
        </w:rPr>
        <w:t> </w:t>
      </w:r>
      <w:r>
        <w:rPr/>
        <w:t>jurídicas,</w:t>
      </w:r>
      <w:r>
        <w:rPr>
          <w:spacing w:val="-4"/>
        </w:rPr>
        <w:t> </w:t>
      </w:r>
      <w:r>
        <w:rPr/>
        <w:t>programas</w:t>
      </w:r>
      <w:r>
        <w:rPr>
          <w:spacing w:val="-1"/>
        </w:rPr>
        <w:t> </w:t>
      </w:r>
      <w:r>
        <w:rPr/>
        <w:t>de</w:t>
      </w:r>
      <w:r>
        <w:rPr>
          <w:spacing w:val="-2"/>
        </w:rPr>
        <w:t> </w:t>
      </w:r>
      <w:r>
        <w:rPr/>
        <w:t>Desarrollo</w:t>
      </w:r>
      <w:r>
        <w:rPr>
          <w:spacing w:val="-4"/>
        </w:rPr>
        <w:t> </w:t>
      </w:r>
      <w:r>
        <w:rPr/>
        <w:t>Urbano</w:t>
      </w:r>
      <w:r>
        <w:rPr>
          <w:spacing w:val="-5"/>
        </w:rPr>
        <w:t> </w:t>
      </w:r>
      <w:r>
        <w:rPr/>
        <w:t>y Reservas,</w:t>
      </w:r>
      <w:r>
        <w:rPr>
          <w:spacing w:val="-2"/>
        </w:rPr>
        <w:t> </w:t>
      </w:r>
      <w:r>
        <w:rPr/>
        <w:t>Usos</w:t>
      </w:r>
      <w:r>
        <w:rPr>
          <w:spacing w:val="-3"/>
        </w:rPr>
        <w:t> </w:t>
      </w:r>
      <w:r>
        <w:rPr/>
        <w:t>del</w:t>
      </w:r>
      <w:r>
        <w:rPr>
          <w:spacing w:val="-3"/>
        </w:rPr>
        <w:t> </w:t>
      </w:r>
      <w:r>
        <w:rPr/>
        <w:t>Suelo</w:t>
      </w:r>
      <w:r>
        <w:rPr>
          <w:spacing w:val="-4"/>
        </w:rPr>
        <w:t> </w:t>
      </w:r>
      <w:r>
        <w:rPr/>
        <w:t>y</w:t>
      </w:r>
      <w:r>
        <w:rPr>
          <w:spacing w:val="-1"/>
        </w:rPr>
        <w:t> </w:t>
      </w:r>
      <w:r>
        <w:rPr/>
        <w:t>Destinos</w:t>
      </w:r>
      <w:r>
        <w:rPr>
          <w:spacing w:val="-1"/>
        </w:rPr>
        <w:t> </w:t>
      </w:r>
      <w:r>
        <w:rPr/>
        <w:t>de áreas y predios en términos de la Ley de Responsabilidades Administrativas para el Estado y Municipios, así como dar vista a las autoridades competentes, para la aplicación de las sanciones que en materia penal se deriven de las faltas y violaciones de las disposiciones jurídicas de tales programas de Desarrollo Urbano y, en su caso, de ordenación ecológica y medio ambiente; esta facultad podrá ser delegada en los términos de la Ley Orgánica del Municipio Libre del Estado;</w:t>
      </w:r>
    </w:p>
    <w:p>
      <w:pPr>
        <w:pStyle w:val="BodyText"/>
        <w:spacing w:before="229"/>
        <w:ind w:left="262"/>
        <w:jc w:val="both"/>
      </w:pPr>
      <w:r>
        <w:rPr>
          <w:rFonts w:ascii="Arial" w:hAnsi="Arial"/>
          <w:b/>
        </w:rPr>
        <w:t>LVIII.</w:t>
      </w:r>
      <w:r>
        <w:rPr>
          <w:rFonts w:ascii="Arial" w:hAnsi="Arial"/>
          <w:b/>
          <w:spacing w:val="24"/>
        </w:rPr>
        <w:t> </w:t>
      </w:r>
      <w:r>
        <w:rPr/>
        <w:t>Notificar</w:t>
      </w:r>
      <w:r>
        <w:rPr>
          <w:spacing w:val="-8"/>
        </w:rPr>
        <w:t> </w:t>
      </w:r>
      <w:r>
        <w:rPr/>
        <w:t>y</w:t>
      </w:r>
      <w:r>
        <w:rPr>
          <w:spacing w:val="-5"/>
        </w:rPr>
        <w:t> </w:t>
      </w:r>
      <w:r>
        <w:rPr/>
        <w:t>ejecutar</w:t>
      </w:r>
      <w:r>
        <w:rPr>
          <w:spacing w:val="-4"/>
        </w:rPr>
        <w:t> </w:t>
      </w:r>
      <w:r>
        <w:rPr/>
        <w:t>las</w:t>
      </w:r>
      <w:r>
        <w:rPr>
          <w:spacing w:val="-6"/>
        </w:rPr>
        <w:t> </w:t>
      </w:r>
      <w:r>
        <w:rPr/>
        <w:t>resoluciones</w:t>
      </w:r>
      <w:r>
        <w:rPr>
          <w:spacing w:val="-7"/>
        </w:rPr>
        <w:t> </w:t>
      </w:r>
      <w:r>
        <w:rPr/>
        <w:t>que</w:t>
      </w:r>
      <w:r>
        <w:rPr>
          <w:spacing w:val="-8"/>
        </w:rPr>
        <w:t> </w:t>
      </w:r>
      <w:r>
        <w:rPr/>
        <w:t>se</w:t>
      </w:r>
      <w:r>
        <w:rPr>
          <w:spacing w:val="-5"/>
        </w:rPr>
        <w:t> </w:t>
      </w:r>
      <w:r>
        <w:rPr/>
        <w:t>dicten</w:t>
      </w:r>
      <w:r>
        <w:rPr>
          <w:spacing w:val="-7"/>
        </w:rPr>
        <w:t> </w:t>
      </w:r>
      <w:r>
        <w:rPr/>
        <w:t>con</w:t>
      </w:r>
      <w:r>
        <w:rPr>
          <w:spacing w:val="-6"/>
        </w:rPr>
        <w:t> </w:t>
      </w:r>
      <w:r>
        <w:rPr/>
        <w:t>motivo</w:t>
      </w:r>
      <w:r>
        <w:rPr>
          <w:spacing w:val="-5"/>
        </w:rPr>
        <w:t> </w:t>
      </w:r>
      <w:r>
        <w:rPr/>
        <w:t>de</w:t>
      </w:r>
      <w:r>
        <w:rPr>
          <w:spacing w:val="-6"/>
        </w:rPr>
        <w:t> </w:t>
      </w:r>
      <w:r>
        <w:rPr/>
        <w:t>la</w:t>
      </w:r>
      <w:r>
        <w:rPr>
          <w:spacing w:val="-6"/>
        </w:rPr>
        <w:t> </w:t>
      </w:r>
      <w:r>
        <w:rPr/>
        <w:t>aplicación</w:t>
      </w:r>
      <w:r>
        <w:rPr>
          <w:spacing w:val="-6"/>
        </w:rPr>
        <w:t> </w:t>
      </w:r>
      <w:r>
        <w:rPr/>
        <w:t>de</w:t>
      </w:r>
      <w:r>
        <w:rPr>
          <w:spacing w:val="-6"/>
        </w:rPr>
        <w:t> </w:t>
      </w:r>
      <w:r>
        <w:rPr/>
        <w:t>esta</w:t>
      </w:r>
      <w:r>
        <w:rPr>
          <w:spacing w:val="-8"/>
        </w:rPr>
        <w:t> </w:t>
      </w:r>
      <w:r>
        <w:rPr>
          <w:spacing w:val="-4"/>
        </w:rPr>
        <w:t>Ley;</w:t>
      </w:r>
    </w:p>
    <w:p>
      <w:pPr>
        <w:pStyle w:val="BodyText"/>
        <w:spacing w:before="1"/>
      </w:pPr>
    </w:p>
    <w:p>
      <w:pPr>
        <w:pStyle w:val="BodyText"/>
        <w:ind w:left="262" w:right="287"/>
        <w:jc w:val="both"/>
      </w:pPr>
      <w:r>
        <w:rPr>
          <w:rFonts w:ascii="Arial"/>
          <w:b/>
        </w:rPr>
        <w:t>LIX.</w:t>
      </w:r>
      <w:r>
        <w:rPr>
          <w:rFonts w:ascii="Arial"/>
          <w:b/>
          <w:spacing w:val="80"/>
        </w:rPr>
        <w:t> </w:t>
      </w:r>
      <w:r>
        <w:rPr/>
        <w:t>Resolver los recursos que sean interpuestos contra sus resoluciones de conformidad con la </w:t>
      </w:r>
      <w:r>
        <w:rPr>
          <w:spacing w:val="-4"/>
        </w:rPr>
        <w:t>ley;</w:t>
      </w:r>
    </w:p>
    <w:p>
      <w:pPr>
        <w:pStyle w:val="BodyText"/>
        <w:spacing w:before="1"/>
      </w:pPr>
    </w:p>
    <w:p>
      <w:pPr>
        <w:spacing w:line="229" w:lineRule="exact" w:before="0"/>
        <w:ind w:left="262" w:right="0" w:firstLine="0"/>
        <w:jc w:val="left"/>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5"/>
          <w:sz w:val="20"/>
        </w:rPr>
        <w:t> </w:t>
      </w:r>
      <w:r>
        <w:rPr>
          <w:rFonts w:ascii="Arial"/>
          <w:i/>
          <w:sz w:val="20"/>
        </w:rPr>
        <w:t>15</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5"/>
          <w:sz w:val="20"/>
        </w:rPr>
        <w:t> </w:t>
      </w:r>
      <w:r>
        <w:rPr>
          <w:rFonts w:ascii="Arial"/>
          <w:i/>
          <w:spacing w:val="-4"/>
          <w:sz w:val="20"/>
        </w:rPr>
        <w:t>2023)</w:t>
      </w:r>
    </w:p>
    <w:p>
      <w:pPr>
        <w:pStyle w:val="BodyText"/>
        <w:ind w:left="262" w:right="287"/>
        <w:jc w:val="both"/>
      </w:pPr>
      <w:r>
        <w:rPr>
          <w:rFonts w:ascii="Arial" w:hAnsi="Arial"/>
          <w:b/>
        </w:rPr>
        <w:t>LX.</w:t>
      </w:r>
      <w:r>
        <w:rPr>
          <w:rFonts w:ascii="Arial" w:hAnsi="Arial"/>
          <w:b/>
          <w:spacing w:val="40"/>
        </w:rPr>
        <w:t>  </w:t>
      </w:r>
      <w:r>
        <w:rPr/>
        <w:t>Expedir los Reglamentos municipales y demás disposiciones técnicas y administrativas para la aplicación de la presente Ley, considerando en ellos los fenómenos naturales a que se refiere la Ley del Sistema de Protección Civil del Estado de san Luis Potosí;</w:t>
      </w:r>
    </w:p>
    <w:p>
      <w:pPr>
        <w:pStyle w:val="BodyText"/>
        <w:spacing w:before="1"/>
      </w:pPr>
    </w:p>
    <w:p>
      <w:pPr>
        <w:spacing w:line="229" w:lineRule="exact" w:before="0"/>
        <w:ind w:left="262"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25</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pacing w:val="-4"/>
          <w:sz w:val="20"/>
        </w:rPr>
        <w:t>2023)</w:t>
      </w:r>
    </w:p>
    <w:p>
      <w:pPr>
        <w:pStyle w:val="BodyText"/>
        <w:ind w:left="262" w:right="277"/>
        <w:jc w:val="both"/>
      </w:pPr>
      <w:r>
        <w:rPr>
          <w:rFonts w:ascii="Arial" w:hAnsi="Arial"/>
          <w:b/>
        </w:rPr>
        <w:t>LXI.</w:t>
      </w:r>
      <w:r>
        <w:rPr>
          <w:rFonts w:ascii="Arial" w:hAnsi="Arial"/>
          <w:b/>
          <w:spacing w:val="80"/>
        </w:rPr>
        <w:t> </w:t>
      </w:r>
      <w:r>
        <w:rPr/>
        <w:t>Procurar que los instrumentos de planeación municipal en cualquiera de sus escalas, y</w:t>
      </w:r>
      <w:r>
        <w:rPr>
          <w:spacing w:val="40"/>
        </w:rPr>
        <w:t> </w:t>
      </w:r>
      <w:r>
        <w:rPr/>
        <w:t>los proyectos ejecutivos en todas la etapas de su proceso, se elaboren por especialistas en el tema </w:t>
      </w:r>
      <w:r>
        <w:rPr>
          <w:spacing w:val="-2"/>
        </w:rPr>
        <w:t>correspondiente;</w:t>
      </w:r>
    </w:p>
    <w:p>
      <w:pPr>
        <w:pStyle w:val="BodyText"/>
        <w:spacing w:before="1"/>
      </w:pPr>
    </w:p>
    <w:p>
      <w:pPr>
        <w:spacing w:before="0"/>
        <w:ind w:left="262" w:right="0" w:firstLine="0"/>
        <w:jc w:val="left"/>
        <w:rPr>
          <w:rFonts w:ascii="Arial"/>
          <w:i/>
          <w:sz w:val="20"/>
        </w:rPr>
      </w:pPr>
      <w:r>
        <w:rPr>
          <w:rFonts w:ascii="Arial"/>
          <w:i/>
          <w:sz w:val="20"/>
        </w:rPr>
        <w:t>(ADICIONADA,</w:t>
      </w:r>
      <w:r>
        <w:rPr>
          <w:rFonts w:ascii="Arial"/>
          <w:i/>
          <w:spacing w:val="-8"/>
          <w:sz w:val="20"/>
        </w:rPr>
        <w:t> </w:t>
      </w:r>
      <w:r>
        <w:rPr>
          <w:rFonts w:ascii="Arial"/>
          <w:i/>
          <w:sz w:val="20"/>
        </w:rPr>
        <w:t>P.O.</w:t>
      </w:r>
      <w:r>
        <w:rPr>
          <w:rFonts w:ascii="Arial"/>
          <w:i/>
          <w:spacing w:val="-6"/>
          <w:sz w:val="20"/>
        </w:rPr>
        <w:t> </w:t>
      </w:r>
      <w:r>
        <w:rPr>
          <w:rFonts w:ascii="Arial"/>
          <w:i/>
          <w:sz w:val="20"/>
        </w:rPr>
        <w:t>25</w:t>
      </w:r>
      <w:r>
        <w:rPr>
          <w:rFonts w:ascii="Arial"/>
          <w:i/>
          <w:spacing w:val="-8"/>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BodyText"/>
        <w:spacing w:before="1"/>
        <w:ind w:left="262" w:right="276"/>
        <w:jc w:val="both"/>
      </w:pPr>
      <w:r>
        <w:rPr>
          <w:rFonts w:ascii="Arial" w:hAnsi="Arial"/>
          <w:b/>
        </w:rPr>
        <w:t>LXII.</w:t>
      </w:r>
      <w:r>
        <w:rPr>
          <w:rFonts w:ascii="Arial" w:hAnsi="Arial"/>
          <w:b/>
          <w:spacing w:val="40"/>
        </w:rPr>
        <w:t> </w:t>
      </w:r>
      <w:r>
        <w:rPr/>
        <w:t>Las demás que Proteger y asegurar el cumplimiento de los derechos humanos relativos al ordenamiento territorial y al desarrollo urbano, de manera transversal e inclusiva, agrupados en la igualdad</w:t>
      </w:r>
      <w:r>
        <w:rPr>
          <w:spacing w:val="-2"/>
        </w:rPr>
        <w:t> </w:t>
      </w:r>
      <w:r>
        <w:rPr/>
        <w:t>de</w:t>
      </w:r>
      <w:r>
        <w:rPr>
          <w:spacing w:val="-2"/>
        </w:rPr>
        <w:t> </w:t>
      </w:r>
      <w:r>
        <w:rPr/>
        <w:t>acceso</w:t>
      </w:r>
      <w:r>
        <w:rPr>
          <w:spacing w:val="-2"/>
        </w:rPr>
        <w:t> </w:t>
      </w:r>
      <w:r>
        <w:rPr/>
        <w:t>a</w:t>
      </w:r>
      <w:r>
        <w:rPr>
          <w:spacing w:val="-2"/>
        </w:rPr>
        <w:t> </w:t>
      </w:r>
      <w:r>
        <w:rPr/>
        <w:t>infraestructuras,</w:t>
      </w:r>
      <w:r>
        <w:rPr>
          <w:spacing w:val="-4"/>
        </w:rPr>
        <w:t> </w:t>
      </w:r>
      <w:r>
        <w:rPr/>
        <w:t>equipamientos, áreas</w:t>
      </w:r>
      <w:r>
        <w:rPr>
          <w:spacing w:val="-3"/>
        </w:rPr>
        <w:t> </w:t>
      </w:r>
      <w:r>
        <w:rPr/>
        <w:t>verdes</w:t>
      </w:r>
      <w:r>
        <w:rPr>
          <w:spacing w:val="-3"/>
        </w:rPr>
        <w:t> </w:t>
      </w:r>
      <w:r>
        <w:rPr/>
        <w:t>y</w:t>
      </w:r>
      <w:r>
        <w:rPr>
          <w:spacing w:val="-3"/>
        </w:rPr>
        <w:t> </w:t>
      </w:r>
      <w:r>
        <w:rPr/>
        <w:t>servicios</w:t>
      </w:r>
      <w:r>
        <w:rPr>
          <w:spacing w:val="-3"/>
        </w:rPr>
        <w:t> </w:t>
      </w:r>
      <w:r>
        <w:rPr/>
        <w:t>públicos</w:t>
      </w:r>
      <w:r>
        <w:rPr>
          <w:spacing w:val="-1"/>
        </w:rPr>
        <w:t> </w:t>
      </w:r>
      <w:r>
        <w:rPr/>
        <w:t>de</w:t>
      </w:r>
      <w:r>
        <w:rPr>
          <w:spacing w:val="-2"/>
        </w:rPr>
        <w:t> </w:t>
      </w:r>
      <w:r>
        <w:rPr/>
        <w:t>calidad; el</w:t>
      </w:r>
      <w:r>
        <w:rPr>
          <w:spacing w:val="-4"/>
        </w:rPr>
        <w:t> </w:t>
      </w:r>
      <w:r>
        <w:rPr/>
        <w:t>derecho</w:t>
      </w:r>
      <w:r>
        <w:rPr>
          <w:spacing w:val="-3"/>
        </w:rPr>
        <w:t> </w:t>
      </w:r>
      <w:r>
        <w:rPr/>
        <w:t>a</w:t>
      </w:r>
      <w:r>
        <w:rPr>
          <w:spacing w:val="-4"/>
        </w:rPr>
        <w:t> </w:t>
      </w:r>
      <w:r>
        <w:rPr/>
        <w:t>la</w:t>
      </w:r>
      <w:r>
        <w:rPr>
          <w:spacing w:val="-3"/>
        </w:rPr>
        <w:t> </w:t>
      </w:r>
      <w:r>
        <w:rPr/>
        <w:t>vivienda</w:t>
      </w:r>
      <w:r>
        <w:rPr>
          <w:spacing w:val="-3"/>
        </w:rPr>
        <w:t> </w:t>
      </w:r>
      <w:r>
        <w:rPr/>
        <w:t>adecuada;</w:t>
      </w:r>
      <w:r>
        <w:rPr>
          <w:spacing w:val="-3"/>
        </w:rPr>
        <w:t> </w:t>
      </w:r>
      <w:r>
        <w:rPr/>
        <w:t>el</w:t>
      </w:r>
      <w:r>
        <w:rPr>
          <w:spacing w:val="-4"/>
        </w:rPr>
        <w:t> </w:t>
      </w:r>
      <w:r>
        <w:rPr/>
        <w:t>derecho</w:t>
      </w:r>
      <w:r>
        <w:rPr>
          <w:spacing w:val="-4"/>
        </w:rPr>
        <w:t> </w:t>
      </w:r>
      <w:r>
        <w:rPr/>
        <w:t>a</w:t>
      </w:r>
      <w:r>
        <w:rPr>
          <w:spacing w:val="-4"/>
        </w:rPr>
        <w:t> </w:t>
      </w:r>
      <w:r>
        <w:rPr/>
        <w:t>participar</w:t>
      </w:r>
      <w:r>
        <w:rPr>
          <w:spacing w:val="-2"/>
        </w:rPr>
        <w:t> </w:t>
      </w:r>
      <w:r>
        <w:rPr/>
        <w:t>de</w:t>
      </w:r>
      <w:r>
        <w:rPr>
          <w:spacing w:val="-4"/>
        </w:rPr>
        <w:t> </w:t>
      </w:r>
      <w:r>
        <w:rPr/>
        <w:t>las</w:t>
      </w:r>
      <w:r>
        <w:rPr>
          <w:spacing w:val="-2"/>
        </w:rPr>
        <w:t> </w:t>
      </w:r>
      <w:r>
        <w:rPr/>
        <w:t>plusvalías,</w:t>
      </w:r>
      <w:r>
        <w:rPr>
          <w:spacing w:val="-3"/>
        </w:rPr>
        <w:t> </w:t>
      </w:r>
      <w:r>
        <w:rPr/>
        <w:t>el</w:t>
      </w:r>
      <w:r>
        <w:rPr>
          <w:spacing w:val="-4"/>
        </w:rPr>
        <w:t> </w:t>
      </w:r>
      <w:r>
        <w:rPr/>
        <w:t>derecho</w:t>
      </w:r>
      <w:r>
        <w:rPr>
          <w:spacing w:val="-4"/>
        </w:rPr>
        <w:t> </w:t>
      </w:r>
      <w:r>
        <w:rPr/>
        <w:t>a</w:t>
      </w:r>
      <w:r>
        <w:rPr>
          <w:spacing w:val="-4"/>
        </w:rPr>
        <w:t> </w:t>
      </w:r>
      <w:r>
        <w:rPr/>
        <w:t>vivir</w:t>
      </w:r>
      <w:r>
        <w:rPr>
          <w:spacing w:val="-2"/>
        </w:rPr>
        <w:t> </w:t>
      </w:r>
      <w:r>
        <w:rPr/>
        <w:t>en</w:t>
      </w:r>
      <w:r>
        <w:rPr>
          <w:spacing w:val="-4"/>
        </w:rPr>
        <w:t> </w:t>
      </w:r>
      <w:r>
        <w:rPr/>
        <w:t>un medio</w:t>
      </w:r>
      <w:r>
        <w:rPr>
          <w:spacing w:val="-14"/>
        </w:rPr>
        <w:t> </w:t>
      </w:r>
      <w:r>
        <w:rPr/>
        <w:t>ambiente</w:t>
      </w:r>
      <w:r>
        <w:rPr>
          <w:spacing w:val="-14"/>
        </w:rPr>
        <w:t> </w:t>
      </w:r>
      <w:r>
        <w:rPr/>
        <w:t>seguro</w:t>
      </w:r>
      <w:r>
        <w:rPr>
          <w:spacing w:val="-14"/>
        </w:rPr>
        <w:t> </w:t>
      </w:r>
      <w:r>
        <w:rPr/>
        <w:t>y</w:t>
      </w:r>
      <w:r>
        <w:rPr>
          <w:spacing w:val="-14"/>
        </w:rPr>
        <w:t> </w:t>
      </w:r>
      <w:r>
        <w:rPr/>
        <w:t>sano;</w:t>
      </w:r>
      <w:r>
        <w:rPr>
          <w:spacing w:val="-14"/>
        </w:rPr>
        <w:t> </w:t>
      </w:r>
      <w:r>
        <w:rPr/>
        <w:t>el</w:t>
      </w:r>
      <w:r>
        <w:rPr>
          <w:spacing w:val="-14"/>
        </w:rPr>
        <w:t> </w:t>
      </w:r>
      <w:r>
        <w:rPr/>
        <w:t>derecho</w:t>
      </w:r>
      <w:r>
        <w:rPr>
          <w:spacing w:val="-14"/>
        </w:rPr>
        <w:t> </w:t>
      </w:r>
      <w:r>
        <w:rPr/>
        <w:t>a</w:t>
      </w:r>
      <w:r>
        <w:rPr>
          <w:spacing w:val="-14"/>
        </w:rPr>
        <w:t> </w:t>
      </w:r>
      <w:r>
        <w:rPr/>
        <w:t>disfrutar</w:t>
      </w:r>
      <w:r>
        <w:rPr>
          <w:spacing w:val="-14"/>
        </w:rPr>
        <w:t> </w:t>
      </w:r>
      <w:r>
        <w:rPr/>
        <w:t>de</w:t>
      </w:r>
      <w:r>
        <w:rPr>
          <w:spacing w:val="-13"/>
        </w:rPr>
        <w:t> </w:t>
      </w:r>
      <w:r>
        <w:rPr/>
        <w:t>los</w:t>
      </w:r>
      <w:r>
        <w:rPr>
          <w:spacing w:val="-14"/>
        </w:rPr>
        <w:t> </w:t>
      </w:r>
      <w:r>
        <w:rPr/>
        <w:t>espacios</w:t>
      </w:r>
      <w:r>
        <w:rPr>
          <w:spacing w:val="-14"/>
        </w:rPr>
        <w:t> </w:t>
      </w:r>
      <w:r>
        <w:rPr/>
        <w:t>naturales,</w:t>
      </w:r>
      <w:r>
        <w:rPr>
          <w:spacing w:val="-14"/>
        </w:rPr>
        <w:t> </w:t>
      </w:r>
      <w:r>
        <w:rPr/>
        <w:t>al</w:t>
      </w:r>
      <w:r>
        <w:rPr>
          <w:spacing w:val="-14"/>
        </w:rPr>
        <w:t> </w:t>
      </w:r>
      <w:r>
        <w:rPr/>
        <w:t>patrimonio</w:t>
      </w:r>
      <w:r>
        <w:rPr>
          <w:spacing w:val="-14"/>
        </w:rPr>
        <w:t> </w:t>
      </w:r>
      <w:r>
        <w:rPr/>
        <w:t>cultural y natural; y el uso sostenible de los recursos naturales, garantizando un desarrollo equilibrado económico, social y ambiental; y un sistema territorial integrado, ordenado, incluyente, resiliente y seguro,</w:t>
      </w:r>
      <w:r>
        <w:rPr>
          <w:spacing w:val="-10"/>
        </w:rPr>
        <w:t> </w:t>
      </w:r>
      <w:r>
        <w:rPr/>
        <w:t>centrado</w:t>
      </w:r>
      <w:r>
        <w:rPr>
          <w:spacing w:val="-10"/>
        </w:rPr>
        <w:t> </w:t>
      </w:r>
      <w:r>
        <w:rPr/>
        <w:t>en</w:t>
      </w:r>
      <w:r>
        <w:rPr>
          <w:spacing w:val="-8"/>
        </w:rPr>
        <w:t> </w:t>
      </w:r>
      <w:r>
        <w:rPr/>
        <w:t>los</w:t>
      </w:r>
      <w:r>
        <w:rPr>
          <w:spacing w:val="-9"/>
        </w:rPr>
        <w:t> </w:t>
      </w:r>
      <w:r>
        <w:rPr/>
        <w:t>derechos</w:t>
      </w:r>
      <w:r>
        <w:rPr>
          <w:spacing w:val="-9"/>
        </w:rPr>
        <w:t> </w:t>
      </w:r>
      <w:r>
        <w:rPr/>
        <w:t>individuales</w:t>
      </w:r>
      <w:r>
        <w:rPr>
          <w:spacing w:val="-9"/>
        </w:rPr>
        <w:t> </w:t>
      </w:r>
      <w:r>
        <w:rPr/>
        <w:t>y</w:t>
      </w:r>
      <w:r>
        <w:rPr>
          <w:spacing w:val="-9"/>
        </w:rPr>
        <w:t> </w:t>
      </w:r>
      <w:r>
        <w:rPr/>
        <w:t>colectivos</w:t>
      </w:r>
      <w:r>
        <w:rPr>
          <w:spacing w:val="-9"/>
        </w:rPr>
        <w:t> </w:t>
      </w:r>
      <w:r>
        <w:rPr/>
        <w:t>de</w:t>
      </w:r>
      <w:r>
        <w:rPr>
          <w:spacing w:val="-10"/>
        </w:rPr>
        <w:t> </w:t>
      </w:r>
      <w:r>
        <w:rPr/>
        <w:t>las</w:t>
      </w:r>
      <w:r>
        <w:rPr>
          <w:spacing w:val="-9"/>
        </w:rPr>
        <w:t> </w:t>
      </w:r>
      <w:r>
        <w:rPr/>
        <w:t>personas,</w:t>
      </w:r>
      <w:r>
        <w:rPr>
          <w:spacing w:val="-10"/>
        </w:rPr>
        <w:t> </w:t>
      </w:r>
      <w:r>
        <w:rPr/>
        <w:t>pueblos</w:t>
      </w:r>
      <w:r>
        <w:rPr>
          <w:spacing w:val="-9"/>
        </w:rPr>
        <w:t> </w:t>
      </w:r>
      <w:r>
        <w:rPr/>
        <w:t>y</w:t>
      </w:r>
      <w:r>
        <w:rPr>
          <w:spacing w:val="-9"/>
        </w:rPr>
        <w:t> </w:t>
      </w:r>
      <w:r>
        <w:rPr/>
        <w:t>comunidades, con</w:t>
      </w:r>
      <w:r>
        <w:rPr>
          <w:spacing w:val="-2"/>
        </w:rPr>
        <w:t> </w:t>
      </w:r>
      <w:r>
        <w:rPr/>
        <w:t>especial</w:t>
      </w:r>
      <w:r>
        <w:rPr>
          <w:spacing w:val="-2"/>
        </w:rPr>
        <w:t> </w:t>
      </w:r>
      <w:r>
        <w:rPr/>
        <w:t>enfoque</w:t>
      </w:r>
      <w:r>
        <w:rPr>
          <w:spacing w:val="-2"/>
        </w:rPr>
        <w:t> </w:t>
      </w:r>
      <w:r>
        <w:rPr/>
        <w:t>en</w:t>
      </w:r>
      <w:r>
        <w:rPr>
          <w:spacing w:val="-1"/>
        </w:rPr>
        <w:t> </w:t>
      </w:r>
      <w:r>
        <w:rPr/>
        <w:t>aquellas que,</w:t>
      </w:r>
      <w:r>
        <w:rPr>
          <w:spacing w:val="-1"/>
        </w:rPr>
        <w:t> </w:t>
      </w:r>
      <w:r>
        <w:rPr/>
        <w:t>por su</w:t>
      </w:r>
      <w:r>
        <w:rPr>
          <w:spacing w:val="-1"/>
        </w:rPr>
        <w:t> </w:t>
      </w:r>
      <w:r>
        <w:rPr/>
        <w:t>identidad,</w:t>
      </w:r>
      <w:r>
        <w:rPr>
          <w:spacing w:val="-1"/>
        </w:rPr>
        <w:t> </w:t>
      </w:r>
      <w:r>
        <w:rPr/>
        <w:t>género,</w:t>
      </w:r>
      <w:r>
        <w:rPr>
          <w:spacing w:val="-1"/>
        </w:rPr>
        <w:t> </w:t>
      </w:r>
      <w:r>
        <w:rPr/>
        <w:t>condición</w:t>
      </w:r>
      <w:r>
        <w:rPr>
          <w:spacing w:val="-1"/>
        </w:rPr>
        <w:t> </w:t>
      </w:r>
      <w:r>
        <w:rPr/>
        <w:t>de</w:t>
      </w:r>
      <w:r>
        <w:rPr>
          <w:spacing w:val="-2"/>
        </w:rPr>
        <w:t> </w:t>
      </w:r>
      <w:r>
        <w:rPr/>
        <w:t>edad,</w:t>
      </w:r>
      <w:r>
        <w:rPr>
          <w:spacing w:val="-1"/>
        </w:rPr>
        <w:t> </w:t>
      </w:r>
      <w:r>
        <w:rPr/>
        <w:t>discapacidad</w:t>
      </w:r>
      <w:r>
        <w:rPr>
          <w:spacing w:val="-2"/>
        </w:rPr>
        <w:t> </w:t>
      </w:r>
      <w:r>
        <w:rPr/>
        <w:t>y situación de vulnerabilidad han sido excluidas del desarrollo territorial, y</w:t>
      </w:r>
    </w:p>
    <w:p>
      <w:pPr>
        <w:pStyle w:val="BodyText"/>
        <w:spacing w:before="205"/>
        <w:ind w:left="262"/>
        <w:jc w:val="both"/>
      </w:pPr>
      <w:r>
        <w:rPr>
          <w:rFonts w:ascii="Arial" w:hAnsi="Arial"/>
          <w:b/>
        </w:rPr>
        <w:t>LXIII.</w:t>
      </w:r>
      <w:r>
        <w:rPr>
          <w:rFonts w:ascii="Arial" w:hAnsi="Arial"/>
          <w:b/>
          <w:spacing w:val="23"/>
        </w:rPr>
        <w:t> </w:t>
      </w:r>
      <w:r>
        <w:rPr/>
        <w:t>Las</w:t>
      </w:r>
      <w:r>
        <w:rPr>
          <w:spacing w:val="-6"/>
        </w:rPr>
        <w:t> </w:t>
      </w:r>
      <w:r>
        <w:rPr/>
        <w:t>demás</w:t>
      </w:r>
      <w:r>
        <w:rPr>
          <w:spacing w:val="-6"/>
        </w:rPr>
        <w:t> </w:t>
      </w:r>
      <w:r>
        <w:rPr/>
        <w:t>que</w:t>
      </w:r>
      <w:r>
        <w:rPr>
          <w:spacing w:val="-7"/>
        </w:rPr>
        <w:t> </w:t>
      </w:r>
      <w:r>
        <w:rPr/>
        <w:t>les</w:t>
      </w:r>
      <w:r>
        <w:rPr>
          <w:spacing w:val="-6"/>
        </w:rPr>
        <w:t> </w:t>
      </w:r>
      <w:r>
        <w:rPr/>
        <w:t>señale</w:t>
      </w:r>
      <w:r>
        <w:rPr>
          <w:spacing w:val="-5"/>
        </w:rPr>
        <w:t> </w:t>
      </w:r>
      <w:r>
        <w:rPr/>
        <w:t>esta</w:t>
      </w:r>
      <w:r>
        <w:rPr>
          <w:spacing w:val="-8"/>
        </w:rPr>
        <w:t> </w:t>
      </w:r>
      <w:r>
        <w:rPr/>
        <w:t>Ley</w:t>
      </w:r>
      <w:r>
        <w:rPr>
          <w:spacing w:val="-7"/>
        </w:rPr>
        <w:t> </w:t>
      </w:r>
      <w:r>
        <w:rPr/>
        <w:t>y</w:t>
      </w:r>
      <w:r>
        <w:rPr>
          <w:spacing w:val="-6"/>
        </w:rPr>
        <w:t> </w:t>
      </w:r>
      <w:r>
        <w:rPr/>
        <w:t>otras</w:t>
      </w:r>
      <w:r>
        <w:rPr>
          <w:spacing w:val="-6"/>
        </w:rPr>
        <w:t> </w:t>
      </w:r>
      <w:r>
        <w:rPr/>
        <w:t>disposiciones</w:t>
      </w:r>
      <w:r>
        <w:rPr>
          <w:spacing w:val="-7"/>
        </w:rPr>
        <w:t> </w:t>
      </w:r>
      <w:r>
        <w:rPr/>
        <w:t>jurídicas</w:t>
      </w:r>
      <w:r>
        <w:rPr>
          <w:spacing w:val="-6"/>
        </w:rPr>
        <w:t> </w:t>
      </w:r>
      <w:r>
        <w:rPr/>
        <w:t>federales</w:t>
      </w:r>
      <w:r>
        <w:rPr>
          <w:spacing w:val="-6"/>
        </w:rPr>
        <w:t> </w:t>
      </w:r>
      <w:r>
        <w:rPr/>
        <w:t>y</w:t>
      </w:r>
      <w:r>
        <w:rPr>
          <w:spacing w:val="-6"/>
        </w:rPr>
        <w:t> </w:t>
      </w:r>
      <w:r>
        <w:rPr>
          <w:spacing w:val="-2"/>
        </w:rPr>
        <w:t>estatales.</w:t>
      </w:r>
    </w:p>
    <w:p>
      <w:pPr>
        <w:pStyle w:val="BodyText"/>
        <w:spacing w:before="1"/>
      </w:pPr>
    </w:p>
    <w:p>
      <w:pPr>
        <w:spacing w:before="0"/>
        <w:ind w:left="262" w:right="0"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6"/>
          <w:sz w:val="20"/>
        </w:rPr>
        <w:t> </w:t>
      </w:r>
      <w:r>
        <w:rPr>
          <w:rFonts w:ascii="Arial"/>
          <w:i/>
          <w:sz w:val="20"/>
        </w:rPr>
        <w:t>25</w:t>
      </w:r>
      <w:r>
        <w:rPr>
          <w:rFonts w:ascii="Arial"/>
          <w:i/>
          <w:spacing w:val="-7"/>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BodyText"/>
        <w:spacing w:before="1"/>
        <w:ind w:left="262" w:right="260"/>
        <w:jc w:val="both"/>
      </w:pPr>
      <w:r>
        <w:rPr/>
        <w:t>Los municipios ejercerán sus atribuciones en materia de planeación y administración del ordenamiento territorial y desarrollo urbano, a través del Instituto de Planeación Municipal, en su caso, y de la Dirección Municipal de Desarrollo Urbano o su equivalente, respectivamente, con la vigilancia y evaluación de los Cabildos, de conformidad con las disposiciones de la presente Ley.</w:t>
      </w:r>
    </w:p>
    <w:p>
      <w:pPr>
        <w:pStyle w:val="BodyText"/>
      </w:pPr>
    </w:p>
    <w:p>
      <w:pPr>
        <w:pStyle w:val="BodyText"/>
      </w:pPr>
    </w:p>
    <w:p>
      <w:pPr>
        <w:pStyle w:val="Heading2"/>
        <w:spacing w:line="477" w:lineRule="auto"/>
        <w:ind w:left="3277" w:right="3159" w:firstLine="844"/>
        <w:jc w:val="left"/>
      </w:pPr>
      <w:r>
        <w:rPr/>
        <w:t>Capítulo VII Coordinación</w:t>
      </w:r>
      <w:r>
        <w:rPr>
          <w:spacing w:val="-14"/>
        </w:rPr>
        <w:t> </w:t>
      </w:r>
      <w:r>
        <w:rPr/>
        <w:t>y</w:t>
      </w:r>
      <w:r>
        <w:rPr>
          <w:spacing w:val="-14"/>
        </w:rPr>
        <w:t> </w:t>
      </w:r>
      <w:r>
        <w:rPr/>
        <w:t>Concertación</w:t>
      </w:r>
    </w:p>
    <w:p>
      <w:pPr>
        <w:pStyle w:val="Heading2"/>
        <w:spacing w:after="0" w:line="477" w:lineRule="auto"/>
        <w:jc w:val="left"/>
        <w:sectPr>
          <w:pgSz w:w="12240" w:h="15840"/>
          <w:pgMar w:header="720" w:footer="697" w:top="2100" w:bottom="880" w:left="1440" w:right="1440"/>
        </w:sectPr>
      </w:pPr>
    </w:p>
    <w:p>
      <w:pPr>
        <w:pStyle w:val="BodyText"/>
        <w:rPr>
          <w:rFonts w:ascii="Arial"/>
          <w:b/>
        </w:rPr>
      </w:pPr>
    </w:p>
    <w:p>
      <w:pPr>
        <w:pStyle w:val="BodyText"/>
        <w:rPr>
          <w:rFonts w:ascii="Arial"/>
          <w:b/>
        </w:rPr>
      </w:pPr>
    </w:p>
    <w:p>
      <w:pPr>
        <w:pStyle w:val="BodyText"/>
        <w:spacing w:before="71"/>
        <w:rPr>
          <w:rFonts w:ascii="Arial"/>
          <w:b/>
        </w:rPr>
      </w:pPr>
    </w:p>
    <w:p>
      <w:pPr>
        <w:pStyle w:val="BodyText"/>
        <w:ind w:left="262" w:right="280"/>
        <w:jc w:val="both"/>
      </w:pPr>
      <w:r>
        <w:rPr>
          <w:rFonts w:ascii="Arial" w:hAnsi="Arial"/>
          <w:b/>
        </w:rPr>
        <w:t>ARTÍCULO</w:t>
      </w:r>
      <w:r>
        <w:rPr>
          <w:rFonts w:ascii="Arial" w:hAnsi="Arial"/>
          <w:b/>
          <w:spacing w:val="-5"/>
        </w:rPr>
        <w:t> </w:t>
      </w:r>
      <w:r>
        <w:rPr>
          <w:rFonts w:ascii="Arial" w:hAnsi="Arial"/>
          <w:b/>
        </w:rPr>
        <w:t>19.</w:t>
      </w:r>
      <w:r>
        <w:rPr>
          <w:rFonts w:ascii="Arial" w:hAnsi="Arial"/>
          <w:b/>
          <w:spacing w:val="-6"/>
        </w:rPr>
        <w:t> </w:t>
      </w:r>
      <w:r>
        <w:rPr/>
        <w:t>La</w:t>
      </w:r>
      <w:r>
        <w:rPr>
          <w:spacing w:val="-5"/>
        </w:rPr>
        <w:t> </w:t>
      </w:r>
      <w:r>
        <w:rPr/>
        <w:t>coordinación</w:t>
      </w:r>
      <w:r>
        <w:rPr>
          <w:spacing w:val="-7"/>
        </w:rPr>
        <w:t> </w:t>
      </w:r>
      <w:r>
        <w:rPr/>
        <w:t>y</w:t>
      </w:r>
      <w:r>
        <w:rPr>
          <w:spacing w:val="-5"/>
        </w:rPr>
        <w:t> </w:t>
      </w:r>
      <w:r>
        <w:rPr/>
        <w:t>concertación</w:t>
      </w:r>
      <w:r>
        <w:rPr>
          <w:spacing w:val="-7"/>
        </w:rPr>
        <w:t> </w:t>
      </w:r>
      <w:r>
        <w:rPr/>
        <w:t>de</w:t>
      </w:r>
      <w:r>
        <w:rPr>
          <w:spacing w:val="-7"/>
        </w:rPr>
        <w:t> </w:t>
      </w:r>
      <w:r>
        <w:rPr/>
        <w:t>acciones</w:t>
      </w:r>
      <w:r>
        <w:rPr>
          <w:spacing w:val="-6"/>
        </w:rPr>
        <w:t> </w:t>
      </w:r>
      <w:r>
        <w:rPr/>
        <w:t>en</w:t>
      </w:r>
      <w:r>
        <w:rPr>
          <w:spacing w:val="-7"/>
        </w:rPr>
        <w:t> </w:t>
      </w:r>
      <w:r>
        <w:rPr/>
        <w:t>materia</w:t>
      </w:r>
      <w:r>
        <w:rPr>
          <w:spacing w:val="-7"/>
        </w:rPr>
        <w:t> </w:t>
      </w:r>
      <w:r>
        <w:rPr/>
        <w:t>de</w:t>
      </w:r>
      <w:r>
        <w:rPr>
          <w:spacing w:val="-7"/>
        </w:rPr>
        <w:t> </w:t>
      </w:r>
      <w:r>
        <w:rPr/>
        <w:t>ordenamiento</w:t>
      </w:r>
      <w:r>
        <w:rPr>
          <w:spacing w:val="-5"/>
        </w:rPr>
        <w:t> </w:t>
      </w:r>
      <w:r>
        <w:rPr/>
        <w:t>territorial</w:t>
      </w:r>
      <w:r>
        <w:rPr>
          <w:spacing w:val="-7"/>
        </w:rPr>
        <w:t> </w:t>
      </w:r>
      <w:r>
        <w:rPr/>
        <w:t>y desarrollo</w:t>
      </w:r>
      <w:r>
        <w:rPr>
          <w:spacing w:val="-2"/>
        </w:rPr>
        <w:t> </w:t>
      </w:r>
      <w:r>
        <w:rPr/>
        <w:t>urbano</w:t>
      </w:r>
      <w:r>
        <w:rPr>
          <w:spacing w:val="-2"/>
        </w:rPr>
        <w:t> </w:t>
      </w:r>
      <w:r>
        <w:rPr/>
        <w:t>y</w:t>
      </w:r>
      <w:r>
        <w:rPr>
          <w:spacing w:val="-3"/>
        </w:rPr>
        <w:t> </w:t>
      </w:r>
      <w:r>
        <w:rPr/>
        <w:t>metropolitano,</w:t>
      </w:r>
      <w:r>
        <w:rPr>
          <w:spacing w:val="-2"/>
        </w:rPr>
        <w:t> </w:t>
      </w:r>
      <w:r>
        <w:rPr/>
        <w:t>así</w:t>
      </w:r>
      <w:r>
        <w:rPr>
          <w:spacing w:val="-4"/>
        </w:rPr>
        <w:t> </w:t>
      </w:r>
      <w:r>
        <w:rPr/>
        <w:t>como</w:t>
      </w:r>
      <w:r>
        <w:rPr>
          <w:spacing w:val="-2"/>
        </w:rPr>
        <w:t> </w:t>
      </w:r>
      <w:r>
        <w:rPr/>
        <w:t>de</w:t>
      </w:r>
      <w:r>
        <w:rPr>
          <w:spacing w:val="-2"/>
        </w:rPr>
        <w:t> </w:t>
      </w:r>
      <w:r>
        <w:rPr/>
        <w:t>reservas</w:t>
      </w:r>
      <w:r>
        <w:rPr>
          <w:spacing w:val="-3"/>
        </w:rPr>
        <w:t> </w:t>
      </w:r>
      <w:r>
        <w:rPr/>
        <w:t>territoriales</w:t>
      </w:r>
      <w:r>
        <w:rPr>
          <w:spacing w:val="-3"/>
        </w:rPr>
        <w:t> </w:t>
      </w:r>
      <w:r>
        <w:rPr/>
        <w:t>y regularización</w:t>
      </w:r>
      <w:r>
        <w:rPr>
          <w:spacing w:val="-2"/>
        </w:rPr>
        <w:t> </w:t>
      </w:r>
      <w:r>
        <w:rPr/>
        <w:t>de</w:t>
      </w:r>
      <w:r>
        <w:rPr>
          <w:spacing w:val="-2"/>
        </w:rPr>
        <w:t> </w:t>
      </w:r>
      <w:r>
        <w:rPr/>
        <w:t>la</w:t>
      </w:r>
      <w:r>
        <w:rPr>
          <w:spacing w:val="-2"/>
        </w:rPr>
        <w:t> </w:t>
      </w:r>
      <w:r>
        <w:rPr/>
        <w:t>tenencia de la tierra urbana, que lleven a cabo el Ejecutivo del Estado y los ayuntamientos, con el Gobierno Federal,</w:t>
      </w:r>
      <w:r>
        <w:rPr>
          <w:spacing w:val="-11"/>
        </w:rPr>
        <w:t> </w:t>
      </w:r>
      <w:r>
        <w:rPr/>
        <w:t>se</w:t>
      </w:r>
      <w:r>
        <w:rPr>
          <w:spacing w:val="-11"/>
        </w:rPr>
        <w:t> </w:t>
      </w:r>
      <w:r>
        <w:rPr/>
        <w:t>sujetarán</w:t>
      </w:r>
      <w:r>
        <w:rPr>
          <w:spacing w:val="-9"/>
        </w:rPr>
        <w:t> </w:t>
      </w:r>
      <w:r>
        <w:rPr/>
        <w:t>a</w:t>
      </w:r>
      <w:r>
        <w:rPr>
          <w:spacing w:val="-11"/>
        </w:rPr>
        <w:t> </w:t>
      </w:r>
      <w:r>
        <w:rPr/>
        <w:t>las</w:t>
      </w:r>
      <w:r>
        <w:rPr>
          <w:spacing w:val="-8"/>
        </w:rPr>
        <w:t> </w:t>
      </w:r>
      <w:r>
        <w:rPr/>
        <w:t>disposiciones</w:t>
      </w:r>
      <w:r>
        <w:rPr>
          <w:spacing w:val="-10"/>
        </w:rPr>
        <w:t> </w:t>
      </w:r>
      <w:r>
        <w:rPr/>
        <w:t>previstas</w:t>
      </w:r>
      <w:r>
        <w:rPr>
          <w:spacing w:val="-8"/>
        </w:rPr>
        <w:t> </w:t>
      </w:r>
      <w:r>
        <w:rPr/>
        <w:t>en</w:t>
      </w:r>
      <w:r>
        <w:rPr>
          <w:spacing w:val="-9"/>
        </w:rPr>
        <w:t> </w:t>
      </w:r>
      <w:r>
        <w:rPr/>
        <w:t>la</w:t>
      </w:r>
      <w:r>
        <w:rPr>
          <w:spacing w:val="-11"/>
        </w:rPr>
        <w:t> </w:t>
      </w:r>
      <w:r>
        <w:rPr/>
        <w:t>Ley</w:t>
      </w:r>
      <w:r>
        <w:rPr>
          <w:spacing w:val="-10"/>
        </w:rPr>
        <w:t> </w:t>
      </w:r>
      <w:r>
        <w:rPr/>
        <w:t>General,</w:t>
      </w:r>
      <w:r>
        <w:rPr>
          <w:spacing w:val="-11"/>
        </w:rPr>
        <w:t> </w:t>
      </w:r>
      <w:r>
        <w:rPr/>
        <w:t>a</w:t>
      </w:r>
      <w:r>
        <w:rPr>
          <w:spacing w:val="-9"/>
        </w:rPr>
        <w:t> </w:t>
      </w:r>
      <w:r>
        <w:rPr/>
        <w:t>la</w:t>
      </w:r>
      <w:r>
        <w:rPr>
          <w:spacing w:val="-11"/>
        </w:rPr>
        <w:t> </w:t>
      </w:r>
      <w:r>
        <w:rPr/>
        <w:t>presente</w:t>
      </w:r>
      <w:r>
        <w:rPr>
          <w:spacing w:val="-11"/>
        </w:rPr>
        <w:t> </w:t>
      </w:r>
      <w:r>
        <w:rPr/>
        <w:t>Ley,</w:t>
      </w:r>
      <w:r>
        <w:rPr>
          <w:spacing w:val="-9"/>
        </w:rPr>
        <w:t> </w:t>
      </w:r>
      <w:r>
        <w:rPr/>
        <w:t>a</w:t>
      </w:r>
      <w:r>
        <w:rPr>
          <w:spacing w:val="-11"/>
        </w:rPr>
        <w:t> </w:t>
      </w:r>
      <w:r>
        <w:rPr/>
        <w:t>las</w:t>
      </w:r>
      <w:r>
        <w:rPr>
          <w:spacing w:val="-10"/>
        </w:rPr>
        <w:t> </w:t>
      </w:r>
      <w:r>
        <w:rPr/>
        <w:t>demás disposiciones jurídicas aplicables y a los convenios y acuerdos que en su caso se celebren.</w:t>
      </w:r>
    </w:p>
    <w:p>
      <w:pPr>
        <w:pStyle w:val="BodyText"/>
      </w:pPr>
    </w:p>
    <w:p>
      <w:pPr>
        <w:pStyle w:val="BodyText"/>
        <w:ind w:left="262"/>
        <w:jc w:val="both"/>
      </w:pPr>
      <w:r>
        <w:rPr>
          <w:rFonts w:ascii="Arial" w:hAnsi="Arial"/>
          <w:b/>
        </w:rPr>
        <w:t>ARTÍCULO</w:t>
      </w:r>
      <w:r>
        <w:rPr>
          <w:rFonts w:ascii="Arial" w:hAnsi="Arial"/>
          <w:b/>
          <w:spacing w:val="-6"/>
        </w:rPr>
        <w:t> </w:t>
      </w:r>
      <w:r>
        <w:rPr>
          <w:rFonts w:ascii="Arial" w:hAnsi="Arial"/>
          <w:b/>
        </w:rPr>
        <w:t>20.</w:t>
      </w:r>
      <w:r>
        <w:rPr>
          <w:rFonts w:ascii="Arial" w:hAnsi="Arial"/>
          <w:b/>
          <w:spacing w:val="-6"/>
        </w:rPr>
        <w:t> </w:t>
      </w:r>
      <w:r>
        <w:rPr/>
        <w:t>Son</w:t>
      </w:r>
      <w:r>
        <w:rPr>
          <w:spacing w:val="-7"/>
        </w:rPr>
        <w:t> </w:t>
      </w:r>
      <w:r>
        <w:rPr/>
        <w:t>órganos</w:t>
      </w:r>
      <w:r>
        <w:rPr>
          <w:spacing w:val="-6"/>
        </w:rPr>
        <w:t> </w:t>
      </w:r>
      <w:r>
        <w:rPr/>
        <w:t>auxiliares</w:t>
      </w:r>
      <w:r>
        <w:rPr>
          <w:spacing w:val="-6"/>
        </w:rPr>
        <w:t> </w:t>
      </w:r>
      <w:r>
        <w:rPr/>
        <w:t>en</w:t>
      </w:r>
      <w:r>
        <w:rPr>
          <w:spacing w:val="-5"/>
        </w:rPr>
        <w:t> </w:t>
      </w:r>
      <w:r>
        <w:rPr/>
        <w:t>la</w:t>
      </w:r>
      <w:r>
        <w:rPr>
          <w:spacing w:val="-5"/>
        </w:rPr>
        <w:t> </w:t>
      </w:r>
      <w:r>
        <w:rPr/>
        <w:t>aplicación</w:t>
      </w:r>
      <w:r>
        <w:rPr>
          <w:spacing w:val="-7"/>
        </w:rPr>
        <w:t> </w:t>
      </w:r>
      <w:r>
        <w:rPr/>
        <w:t>de</w:t>
      </w:r>
      <w:r>
        <w:rPr>
          <w:spacing w:val="-5"/>
        </w:rPr>
        <w:t> </w:t>
      </w:r>
      <w:r>
        <w:rPr/>
        <w:t>la</w:t>
      </w:r>
      <w:r>
        <w:rPr>
          <w:spacing w:val="-4"/>
        </w:rPr>
        <w:t> </w:t>
      </w:r>
      <w:r>
        <w:rPr/>
        <w:t>presente</w:t>
      </w:r>
      <w:r>
        <w:rPr>
          <w:spacing w:val="-7"/>
        </w:rPr>
        <w:t> </w:t>
      </w:r>
      <w:r>
        <w:rPr>
          <w:spacing w:val="-4"/>
        </w:rPr>
        <w:t>Ley:</w:t>
      </w:r>
    </w:p>
    <w:p>
      <w:pPr>
        <w:pStyle w:val="BodyText"/>
        <w:spacing w:before="1"/>
      </w:pPr>
    </w:p>
    <w:p>
      <w:pPr>
        <w:pStyle w:val="ListParagraph"/>
        <w:numPr>
          <w:ilvl w:val="1"/>
          <w:numId w:val="12"/>
        </w:numPr>
        <w:tabs>
          <w:tab w:pos="689" w:val="left" w:leader="none"/>
        </w:tabs>
        <w:spacing w:line="240" w:lineRule="auto" w:before="0" w:after="0"/>
        <w:ind w:left="689" w:right="0" w:hanging="427"/>
        <w:jc w:val="left"/>
        <w:rPr>
          <w:sz w:val="20"/>
        </w:rPr>
      </w:pPr>
      <w:r>
        <w:rPr>
          <w:sz w:val="20"/>
        </w:rPr>
        <w:t>El</w:t>
      </w:r>
      <w:r>
        <w:rPr>
          <w:spacing w:val="-9"/>
          <w:sz w:val="20"/>
        </w:rPr>
        <w:t> </w:t>
      </w:r>
      <w:r>
        <w:rPr>
          <w:sz w:val="20"/>
        </w:rPr>
        <w:t>Consejo</w:t>
      </w:r>
      <w:r>
        <w:rPr>
          <w:spacing w:val="-7"/>
          <w:sz w:val="20"/>
        </w:rPr>
        <w:t> </w:t>
      </w:r>
      <w:r>
        <w:rPr>
          <w:sz w:val="20"/>
        </w:rPr>
        <w:t>Estatal</w:t>
      </w:r>
      <w:r>
        <w:rPr>
          <w:spacing w:val="-9"/>
          <w:sz w:val="20"/>
        </w:rPr>
        <w:t> </w:t>
      </w:r>
      <w:r>
        <w:rPr>
          <w:sz w:val="20"/>
        </w:rPr>
        <w:t>de</w:t>
      </w:r>
      <w:r>
        <w:rPr>
          <w:spacing w:val="-8"/>
          <w:sz w:val="20"/>
        </w:rPr>
        <w:t> </w:t>
      </w:r>
      <w:r>
        <w:rPr>
          <w:sz w:val="20"/>
        </w:rPr>
        <w:t>Ordenamiento</w:t>
      </w:r>
      <w:r>
        <w:rPr>
          <w:spacing w:val="-8"/>
          <w:sz w:val="20"/>
        </w:rPr>
        <w:t> </w:t>
      </w:r>
      <w:r>
        <w:rPr>
          <w:sz w:val="20"/>
        </w:rPr>
        <w:t>Territorial</w:t>
      </w:r>
      <w:r>
        <w:rPr>
          <w:spacing w:val="-9"/>
          <w:sz w:val="20"/>
        </w:rPr>
        <w:t> </w:t>
      </w:r>
      <w:r>
        <w:rPr>
          <w:sz w:val="20"/>
        </w:rPr>
        <w:t>y</w:t>
      </w:r>
      <w:r>
        <w:rPr>
          <w:spacing w:val="-7"/>
          <w:sz w:val="20"/>
        </w:rPr>
        <w:t> </w:t>
      </w:r>
      <w:r>
        <w:rPr>
          <w:sz w:val="20"/>
        </w:rPr>
        <w:t>Desarrollo</w:t>
      </w:r>
      <w:r>
        <w:rPr>
          <w:spacing w:val="-6"/>
          <w:sz w:val="20"/>
        </w:rPr>
        <w:t> </w:t>
      </w:r>
      <w:r>
        <w:rPr>
          <w:spacing w:val="-2"/>
          <w:sz w:val="20"/>
        </w:rPr>
        <w:t>Urbano;</w:t>
      </w:r>
    </w:p>
    <w:p>
      <w:pPr>
        <w:pStyle w:val="ListParagraph"/>
        <w:numPr>
          <w:ilvl w:val="1"/>
          <w:numId w:val="12"/>
        </w:numPr>
        <w:tabs>
          <w:tab w:pos="689" w:val="left" w:leader="none"/>
        </w:tabs>
        <w:spacing w:line="240" w:lineRule="auto" w:before="229" w:after="0"/>
        <w:ind w:left="689" w:right="0" w:hanging="427"/>
        <w:jc w:val="left"/>
        <w:rPr>
          <w:sz w:val="20"/>
        </w:rPr>
      </w:pPr>
      <w:r>
        <w:rPr>
          <w:sz w:val="20"/>
        </w:rPr>
        <w:t>Los</w:t>
      </w:r>
      <w:r>
        <w:rPr>
          <w:spacing w:val="-8"/>
          <w:sz w:val="20"/>
        </w:rPr>
        <w:t> </w:t>
      </w:r>
      <w:r>
        <w:rPr>
          <w:sz w:val="20"/>
        </w:rPr>
        <w:t>Consejos</w:t>
      </w:r>
      <w:r>
        <w:rPr>
          <w:spacing w:val="-6"/>
          <w:sz w:val="20"/>
        </w:rPr>
        <w:t> </w:t>
      </w:r>
      <w:r>
        <w:rPr>
          <w:sz w:val="20"/>
        </w:rPr>
        <w:t>Municipales</w:t>
      </w:r>
      <w:r>
        <w:rPr>
          <w:spacing w:val="-8"/>
          <w:sz w:val="20"/>
        </w:rPr>
        <w:t> </w:t>
      </w:r>
      <w:r>
        <w:rPr>
          <w:sz w:val="20"/>
        </w:rPr>
        <w:t>de</w:t>
      </w:r>
      <w:r>
        <w:rPr>
          <w:spacing w:val="-9"/>
          <w:sz w:val="20"/>
        </w:rPr>
        <w:t> </w:t>
      </w:r>
      <w:r>
        <w:rPr>
          <w:sz w:val="20"/>
        </w:rPr>
        <w:t>Desarrollo</w:t>
      </w:r>
      <w:r>
        <w:rPr>
          <w:spacing w:val="-8"/>
          <w:sz w:val="20"/>
        </w:rPr>
        <w:t> </w:t>
      </w:r>
      <w:r>
        <w:rPr>
          <w:sz w:val="20"/>
        </w:rPr>
        <w:t>Urbano</w:t>
      </w:r>
      <w:r>
        <w:rPr>
          <w:spacing w:val="-10"/>
          <w:sz w:val="20"/>
        </w:rPr>
        <w:t> </w:t>
      </w:r>
      <w:r>
        <w:rPr>
          <w:sz w:val="20"/>
        </w:rPr>
        <w:t>y</w:t>
      </w:r>
      <w:r>
        <w:rPr>
          <w:spacing w:val="-6"/>
          <w:sz w:val="20"/>
        </w:rPr>
        <w:t> </w:t>
      </w:r>
      <w:r>
        <w:rPr>
          <w:spacing w:val="-2"/>
          <w:sz w:val="20"/>
        </w:rPr>
        <w:t>Vivienda;</w:t>
      </w:r>
    </w:p>
    <w:p>
      <w:pPr>
        <w:pStyle w:val="BodyText"/>
        <w:spacing w:before="1"/>
      </w:pPr>
    </w:p>
    <w:p>
      <w:pPr>
        <w:pStyle w:val="ListParagraph"/>
        <w:numPr>
          <w:ilvl w:val="1"/>
          <w:numId w:val="12"/>
        </w:numPr>
        <w:tabs>
          <w:tab w:pos="744" w:val="left" w:leader="none"/>
        </w:tabs>
        <w:spacing w:line="240" w:lineRule="auto" w:before="0" w:after="0"/>
        <w:ind w:left="744" w:right="0" w:hanging="482"/>
        <w:jc w:val="left"/>
        <w:rPr>
          <w:sz w:val="20"/>
        </w:rPr>
      </w:pPr>
      <w:r>
        <w:rPr>
          <w:sz w:val="20"/>
        </w:rPr>
        <w:t>Las</w:t>
      </w:r>
      <w:r>
        <w:rPr>
          <w:spacing w:val="-8"/>
          <w:sz w:val="20"/>
        </w:rPr>
        <w:t> </w:t>
      </w:r>
      <w:r>
        <w:rPr>
          <w:sz w:val="20"/>
        </w:rPr>
        <w:t>Comisiones</w:t>
      </w:r>
      <w:r>
        <w:rPr>
          <w:spacing w:val="-7"/>
          <w:sz w:val="20"/>
        </w:rPr>
        <w:t> </w:t>
      </w:r>
      <w:r>
        <w:rPr>
          <w:sz w:val="20"/>
        </w:rPr>
        <w:t>Metropolitanas</w:t>
      </w:r>
      <w:r>
        <w:rPr>
          <w:spacing w:val="-8"/>
          <w:sz w:val="20"/>
        </w:rPr>
        <w:t> </w:t>
      </w:r>
      <w:r>
        <w:rPr>
          <w:sz w:val="20"/>
        </w:rPr>
        <w:t>y</w:t>
      </w:r>
      <w:r>
        <w:rPr>
          <w:spacing w:val="-7"/>
          <w:sz w:val="20"/>
        </w:rPr>
        <w:t> </w:t>
      </w:r>
      <w:r>
        <w:rPr>
          <w:sz w:val="20"/>
        </w:rPr>
        <w:t>de</w:t>
      </w:r>
      <w:r>
        <w:rPr>
          <w:spacing w:val="-8"/>
          <w:sz w:val="20"/>
        </w:rPr>
        <w:t> </w:t>
      </w:r>
      <w:r>
        <w:rPr>
          <w:spacing w:val="-2"/>
          <w:sz w:val="20"/>
        </w:rPr>
        <w:t>Conurbación;</w:t>
      </w:r>
    </w:p>
    <w:p>
      <w:pPr>
        <w:pStyle w:val="BodyText"/>
        <w:spacing w:before="1"/>
      </w:pPr>
    </w:p>
    <w:p>
      <w:pPr>
        <w:pStyle w:val="ListParagraph"/>
        <w:numPr>
          <w:ilvl w:val="1"/>
          <w:numId w:val="12"/>
        </w:numPr>
        <w:tabs>
          <w:tab w:pos="688" w:val="left" w:leader="none"/>
        </w:tabs>
        <w:spacing w:line="240" w:lineRule="auto" w:before="0" w:after="0"/>
        <w:ind w:left="688" w:right="0" w:hanging="426"/>
        <w:jc w:val="left"/>
        <w:rPr>
          <w:sz w:val="20"/>
        </w:rPr>
      </w:pPr>
      <w:r>
        <w:rPr>
          <w:sz w:val="20"/>
        </w:rPr>
        <w:t>La</w:t>
      </w:r>
      <w:r>
        <w:rPr>
          <w:spacing w:val="-6"/>
          <w:sz w:val="20"/>
        </w:rPr>
        <w:t> </w:t>
      </w:r>
      <w:r>
        <w:rPr>
          <w:spacing w:val="-2"/>
          <w:sz w:val="20"/>
        </w:rPr>
        <w:t>Procuraduría;</w:t>
      </w:r>
    </w:p>
    <w:p>
      <w:pPr>
        <w:pStyle w:val="ListParagraph"/>
        <w:numPr>
          <w:ilvl w:val="1"/>
          <w:numId w:val="12"/>
        </w:numPr>
        <w:tabs>
          <w:tab w:pos="689" w:val="left" w:leader="none"/>
        </w:tabs>
        <w:spacing w:line="240" w:lineRule="auto" w:before="228" w:after="0"/>
        <w:ind w:left="689" w:right="0" w:hanging="427"/>
        <w:jc w:val="left"/>
        <w:rPr>
          <w:sz w:val="20"/>
        </w:rPr>
      </w:pPr>
      <w:r>
        <w:rPr>
          <w:sz w:val="20"/>
        </w:rPr>
        <w:t>El</w:t>
      </w:r>
      <w:r>
        <w:rPr>
          <w:spacing w:val="-8"/>
          <w:sz w:val="20"/>
        </w:rPr>
        <w:t> </w:t>
      </w:r>
      <w:r>
        <w:rPr>
          <w:sz w:val="20"/>
        </w:rPr>
        <w:t>Instituto</w:t>
      </w:r>
      <w:r>
        <w:rPr>
          <w:spacing w:val="-6"/>
          <w:sz w:val="20"/>
        </w:rPr>
        <w:t> </w:t>
      </w:r>
      <w:r>
        <w:rPr>
          <w:sz w:val="20"/>
        </w:rPr>
        <w:t>de</w:t>
      </w:r>
      <w:r>
        <w:rPr>
          <w:spacing w:val="-6"/>
          <w:sz w:val="20"/>
        </w:rPr>
        <w:t> </w:t>
      </w:r>
      <w:r>
        <w:rPr>
          <w:sz w:val="20"/>
        </w:rPr>
        <w:t>Planeación</w:t>
      </w:r>
      <w:r>
        <w:rPr>
          <w:spacing w:val="-7"/>
          <w:sz w:val="20"/>
        </w:rPr>
        <w:t> </w:t>
      </w:r>
      <w:r>
        <w:rPr>
          <w:sz w:val="20"/>
        </w:rPr>
        <w:t>del</w:t>
      </w:r>
      <w:r>
        <w:rPr>
          <w:spacing w:val="-6"/>
          <w:sz w:val="20"/>
        </w:rPr>
        <w:t> </w:t>
      </w:r>
      <w:r>
        <w:rPr>
          <w:spacing w:val="-2"/>
          <w:sz w:val="20"/>
        </w:rPr>
        <w:t>Estado;</w:t>
      </w:r>
    </w:p>
    <w:p>
      <w:pPr>
        <w:pStyle w:val="BodyText"/>
        <w:spacing w:before="1"/>
      </w:pPr>
    </w:p>
    <w:p>
      <w:pPr>
        <w:pStyle w:val="ListParagraph"/>
        <w:numPr>
          <w:ilvl w:val="1"/>
          <w:numId w:val="12"/>
        </w:numPr>
        <w:tabs>
          <w:tab w:pos="688" w:val="left" w:leader="none"/>
        </w:tabs>
        <w:spacing w:line="240" w:lineRule="auto" w:before="0" w:after="0"/>
        <w:ind w:left="688" w:right="0" w:hanging="426"/>
        <w:jc w:val="left"/>
        <w:rPr>
          <w:sz w:val="20"/>
        </w:rPr>
      </w:pPr>
      <w:r>
        <w:rPr>
          <w:sz w:val="20"/>
        </w:rPr>
        <w:t>El</w:t>
      </w:r>
      <w:r>
        <w:rPr>
          <w:spacing w:val="-7"/>
          <w:sz w:val="20"/>
        </w:rPr>
        <w:t> </w:t>
      </w:r>
      <w:r>
        <w:rPr>
          <w:sz w:val="20"/>
        </w:rPr>
        <w:t>Instituto</w:t>
      </w:r>
      <w:r>
        <w:rPr>
          <w:spacing w:val="-7"/>
          <w:sz w:val="20"/>
        </w:rPr>
        <w:t> </w:t>
      </w:r>
      <w:r>
        <w:rPr>
          <w:sz w:val="20"/>
        </w:rPr>
        <w:t>Registral</w:t>
      </w:r>
      <w:r>
        <w:rPr>
          <w:spacing w:val="-7"/>
          <w:sz w:val="20"/>
        </w:rPr>
        <w:t> </w:t>
      </w:r>
      <w:r>
        <w:rPr>
          <w:sz w:val="20"/>
        </w:rPr>
        <w:t>y</w:t>
      </w:r>
      <w:r>
        <w:rPr>
          <w:spacing w:val="-6"/>
          <w:sz w:val="20"/>
        </w:rPr>
        <w:t> </w:t>
      </w:r>
      <w:r>
        <w:rPr>
          <w:sz w:val="20"/>
        </w:rPr>
        <w:t>Catastral</w:t>
      </w:r>
      <w:r>
        <w:rPr>
          <w:spacing w:val="-7"/>
          <w:sz w:val="20"/>
        </w:rPr>
        <w:t> </w:t>
      </w:r>
      <w:r>
        <w:rPr>
          <w:sz w:val="20"/>
        </w:rPr>
        <w:t>del</w:t>
      </w:r>
      <w:r>
        <w:rPr>
          <w:spacing w:val="-5"/>
          <w:sz w:val="20"/>
        </w:rPr>
        <w:t> </w:t>
      </w:r>
      <w:r>
        <w:rPr>
          <w:spacing w:val="-2"/>
          <w:sz w:val="20"/>
        </w:rPr>
        <w:t>Estado;</w:t>
      </w:r>
    </w:p>
    <w:p>
      <w:pPr>
        <w:pStyle w:val="BodyText"/>
        <w:spacing w:before="1"/>
      </w:pPr>
    </w:p>
    <w:p>
      <w:pPr>
        <w:pStyle w:val="ListParagraph"/>
        <w:numPr>
          <w:ilvl w:val="1"/>
          <w:numId w:val="12"/>
        </w:numPr>
        <w:tabs>
          <w:tab w:pos="688" w:val="left" w:leader="none"/>
        </w:tabs>
        <w:spacing w:line="240" w:lineRule="auto" w:before="0" w:after="0"/>
        <w:ind w:left="688" w:right="0" w:hanging="426"/>
        <w:jc w:val="left"/>
        <w:rPr>
          <w:sz w:val="20"/>
        </w:rPr>
      </w:pPr>
      <w:r>
        <w:rPr>
          <w:sz w:val="20"/>
        </w:rPr>
        <w:t>Los</w:t>
      </w:r>
      <w:r>
        <w:rPr>
          <w:spacing w:val="-7"/>
          <w:sz w:val="20"/>
        </w:rPr>
        <w:t> </w:t>
      </w:r>
      <w:r>
        <w:rPr>
          <w:sz w:val="20"/>
        </w:rPr>
        <w:t>Sistemas</w:t>
      </w:r>
      <w:r>
        <w:rPr>
          <w:spacing w:val="-8"/>
          <w:sz w:val="20"/>
        </w:rPr>
        <w:t> </w:t>
      </w:r>
      <w:r>
        <w:rPr>
          <w:sz w:val="20"/>
        </w:rPr>
        <w:t>Estatal</w:t>
      </w:r>
      <w:r>
        <w:rPr>
          <w:spacing w:val="-8"/>
          <w:sz w:val="20"/>
        </w:rPr>
        <w:t> </w:t>
      </w:r>
      <w:r>
        <w:rPr>
          <w:sz w:val="20"/>
        </w:rPr>
        <w:t>y</w:t>
      </w:r>
      <w:r>
        <w:rPr>
          <w:spacing w:val="-6"/>
          <w:sz w:val="20"/>
        </w:rPr>
        <w:t> </w:t>
      </w:r>
      <w:r>
        <w:rPr>
          <w:sz w:val="20"/>
        </w:rPr>
        <w:t>Municipales</w:t>
      </w:r>
      <w:r>
        <w:rPr>
          <w:spacing w:val="-7"/>
          <w:sz w:val="20"/>
        </w:rPr>
        <w:t> </w:t>
      </w:r>
      <w:r>
        <w:rPr>
          <w:sz w:val="20"/>
        </w:rPr>
        <w:t>de</w:t>
      </w:r>
      <w:r>
        <w:rPr>
          <w:spacing w:val="-7"/>
          <w:sz w:val="20"/>
        </w:rPr>
        <w:t> </w:t>
      </w:r>
      <w:r>
        <w:rPr>
          <w:sz w:val="20"/>
        </w:rPr>
        <w:t>Protección</w:t>
      </w:r>
      <w:r>
        <w:rPr>
          <w:spacing w:val="-8"/>
          <w:sz w:val="20"/>
        </w:rPr>
        <w:t> </w:t>
      </w:r>
      <w:r>
        <w:rPr>
          <w:spacing w:val="-2"/>
          <w:sz w:val="20"/>
        </w:rPr>
        <w:t>Civil;</w:t>
      </w:r>
    </w:p>
    <w:p>
      <w:pPr>
        <w:pStyle w:val="ListParagraph"/>
        <w:numPr>
          <w:ilvl w:val="1"/>
          <w:numId w:val="12"/>
        </w:numPr>
        <w:tabs>
          <w:tab w:pos="688" w:val="left" w:leader="none"/>
        </w:tabs>
        <w:spacing w:line="240" w:lineRule="auto" w:before="229" w:after="0"/>
        <w:ind w:left="688" w:right="0" w:hanging="426"/>
        <w:jc w:val="left"/>
        <w:rPr>
          <w:sz w:val="20"/>
        </w:rPr>
      </w:pPr>
      <w:r>
        <w:rPr>
          <w:sz w:val="20"/>
        </w:rPr>
        <w:t>La</w:t>
      </w:r>
      <w:r>
        <w:rPr>
          <w:spacing w:val="-8"/>
          <w:sz w:val="20"/>
        </w:rPr>
        <w:t> </w:t>
      </w:r>
      <w:r>
        <w:rPr>
          <w:sz w:val="20"/>
        </w:rPr>
        <w:t>Comisión</w:t>
      </w:r>
      <w:r>
        <w:rPr>
          <w:spacing w:val="-6"/>
          <w:sz w:val="20"/>
        </w:rPr>
        <w:t> </w:t>
      </w:r>
      <w:r>
        <w:rPr>
          <w:sz w:val="20"/>
        </w:rPr>
        <w:t>Estatal</w:t>
      </w:r>
      <w:r>
        <w:rPr>
          <w:spacing w:val="-6"/>
          <w:sz w:val="20"/>
        </w:rPr>
        <w:t> </w:t>
      </w:r>
      <w:r>
        <w:rPr>
          <w:sz w:val="20"/>
        </w:rPr>
        <w:t>de</w:t>
      </w:r>
      <w:r>
        <w:rPr>
          <w:spacing w:val="-6"/>
          <w:sz w:val="20"/>
        </w:rPr>
        <w:t> </w:t>
      </w:r>
      <w:r>
        <w:rPr>
          <w:spacing w:val="-2"/>
          <w:sz w:val="20"/>
        </w:rPr>
        <w:t>Agua;</w:t>
      </w:r>
    </w:p>
    <w:p>
      <w:pPr>
        <w:pStyle w:val="BodyText"/>
        <w:spacing w:before="1"/>
      </w:pPr>
    </w:p>
    <w:p>
      <w:pPr>
        <w:pStyle w:val="ListParagraph"/>
        <w:numPr>
          <w:ilvl w:val="1"/>
          <w:numId w:val="12"/>
        </w:numPr>
        <w:tabs>
          <w:tab w:pos="688" w:val="left" w:leader="none"/>
        </w:tabs>
        <w:spacing w:line="240" w:lineRule="auto" w:before="0" w:after="0"/>
        <w:ind w:left="688" w:right="0" w:hanging="426"/>
        <w:jc w:val="left"/>
        <w:rPr>
          <w:sz w:val="20"/>
        </w:rPr>
      </w:pPr>
      <w:r>
        <w:rPr>
          <w:sz w:val="20"/>
        </w:rPr>
        <w:t>Los</w:t>
      </w:r>
      <w:r>
        <w:rPr>
          <w:spacing w:val="-9"/>
          <w:sz w:val="20"/>
        </w:rPr>
        <w:t> </w:t>
      </w:r>
      <w:r>
        <w:rPr>
          <w:sz w:val="20"/>
        </w:rPr>
        <w:t>Organismos</w:t>
      </w:r>
      <w:r>
        <w:rPr>
          <w:spacing w:val="-8"/>
          <w:sz w:val="20"/>
        </w:rPr>
        <w:t> </w:t>
      </w:r>
      <w:r>
        <w:rPr>
          <w:sz w:val="20"/>
        </w:rPr>
        <w:t>Operadores</w:t>
      </w:r>
      <w:r>
        <w:rPr>
          <w:spacing w:val="-9"/>
          <w:sz w:val="20"/>
        </w:rPr>
        <w:t> </w:t>
      </w:r>
      <w:r>
        <w:rPr>
          <w:sz w:val="20"/>
        </w:rPr>
        <w:t>de</w:t>
      </w:r>
      <w:r>
        <w:rPr>
          <w:spacing w:val="-8"/>
          <w:sz w:val="20"/>
        </w:rPr>
        <w:t> </w:t>
      </w:r>
      <w:r>
        <w:rPr>
          <w:spacing w:val="-4"/>
          <w:sz w:val="20"/>
        </w:rPr>
        <w:t>Agua;</w:t>
      </w:r>
    </w:p>
    <w:p>
      <w:pPr>
        <w:pStyle w:val="BodyText"/>
      </w:pPr>
    </w:p>
    <w:p>
      <w:pPr>
        <w:pStyle w:val="ListParagraph"/>
        <w:numPr>
          <w:ilvl w:val="1"/>
          <w:numId w:val="12"/>
        </w:numPr>
        <w:tabs>
          <w:tab w:pos="689" w:val="left" w:leader="none"/>
        </w:tabs>
        <w:spacing w:line="240" w:lineRule="auto" w:before="1" w:after="0"/>
        <w:ind w:left="689" w:right="0" w:hanging="427"/>
        <w:jc w:val="left"/>
        <w:rPr>
          <w:sz w:val="20"/>
        </w:rPr>
      </w:pPr>
      <w:r>
        <w:rPr>
          <w:spacing w:val="-4"/>
          <w:sz w:val="20"/>
        </w:rPr>
        <w:t>INAH;</w:t>
      </w:r>
    </w:p>
    <w:p>
      <w:pPr>
        <w:pStyle w:val="ListParagraph"/>
        <w:numPr>
          <w:ilvl w:val="1"/>
          <w:numId w:val="12"/>
        </w:numPr>
        <w:tabs>
          <w:tab w:pos="688" w:val="left" w:leader="none"/>
        </w:tabs>
        <w:spacing w:line="240" w:lineRule="auto" w:before="228" w:after="0"/>
        <w:ind w:left="688" w:right="0" w:hanging="426"/>
        <w:jc w:val="left"/>
        <w:rPr>
          <w:sz w:val="20"/>
        </w:rPr>
      </w:pPr>
      <w:r>
        <w:rPr>
          <w:sz w:val="20"/>
        </w:rPr>
        <w:t>Consejos</w:t>
      </w:r>
      <w:r>
        <w:rPr>
          <w:spacing w:val="-8"/>
          <w:sz w:val="20"/>
        </w:rPr>
        <w:t> </w:t>
      </w:r>
      <w:r>
        <w:rPr>
          <w:sz w:val="20"/>
        </w:rPr>
        <w:t>de</w:t>
      </w:r>
      <w:r>
        <w:rPr>
          <w:spacing w:val="-7"/>
          <w:sz w:val="20"/>
        </w:rPr>
        <w:t> </w:t>
      </w:r>
      <w:r>
        <w:rPr>
          <w:sz w:val="20"/>
        </w:rPr>
        <w:t>Centros</w:t>
      </w:r>
      <w:r>
        <w:rPr>
          <w:spacing w:val="-7"/>
          <w:sz w:val="20"/>
        </w:rPr>
        <w:t> </w:t>
      </w:r>
      <w:r>
        <w:rPr>
          <w:sz w:val="20"/>
        </w:rPr>
        <w:t>Históricos,</w:t>
      </w:r>
      <w:r>
        <w:rPr>
          <w:spacing w:val="-8"/>
          <w:sz w:val="20"/>
        </w:rPr>
        <w:t> </w:t>
      </w:r>
      <w:r>
        <w:rPr>
          <w:spacing w:val="-10"/>
          <w:sz w:val="20"/>
        </w:rPr>
        <w:t>y</w:t>
      </w:r>
    </w:p>
    <w:p>
      <w:pPr>
        <w:pStyle w:val="BodyText"/>
        <w:spacing w:before="1"/>
      </w:pPr>
    </w:p>
    <w:p>
      <w:pPr>
        <w:pStyle w:val="ListParagraph"/>
        <w:numPr>
          <w:ilvl w:val="1"/>
          <w:numId w:val="12"/>
        </w:numPr>
        <w:tabs>
          <w:tab w:pos="688" w:val="left" w:leader="none"/>
        </w:tabs>
        <w:spacing w:line="240" w:lineRule="auto" w:before="0" w:after="0"/>
        <w:ind w:left="688" w:right="0" w:hanging="426"/>
        <w:jc w:val="left"/>
        <w:rPr>
          <w:sz w:val="20"/>
        </w:rPr>
      </w:pPr>
      <w:r>
        <w:rPr>
          <w:sz w:val="20"/>
        </w:rPr>
        <w:t>Los</w:t>
      </w:r>
      <w:r>
        <w:rPr>
          <w:spacing w:val="-6"/>
          <w:sz w:val="20"/>
        </w:rPr>
        <w:t> </w:t>
      </w:r>
      <w:r>
        <w:rPr>
          <w:sz w:val="20"/>
        </w:rPr>
        <w:t>demás</w:t>
      </w:r>
      <w:r>
        <w:rPr>
          <w:spacing w:val="-5"/>
          <w:sz w:val="20"/>
        </w:rPr>
        <w:t> </w:t>
      </w:r>
      <w:r>
        <w:rPr>
          <w:sz w:val="20"/>
        </w:rPr>
        <w:t>que</w:t>
      </w:r>
      <w:r>
        <w:rPr>
          <w:spacing w:val="-7"/>
          <w:sz w:val="20"/>
        </w:rPr>
        <w:t> </w:t>
      </w:r>
      <w:r>
        <w:rPr>
          <w:sz w:val="20"/>
        </w:rPr>
        <w:t>por</w:t>
      </w:r>
      <w:r>
        <w:rPr>
          <w:spacing w:val="-6"/>
          <w:sz w:val="20"/>
        </w:rPr>
        <w:t> </w:t>
      </w:r>
      <w:r>
        <w:rPr>
          <w:sz w:val="20"/>
        </w:rPr>
        <w:t>sus</w:t>
      </w:r>
      <w:r>
        <w:rPr>
          <w:spacing w:val="-5"/>
          <w:sz w:val="20"/>
        </w:rPr>
        <w:t> </w:t>
      </w:r>
      <w:r>
        <w:rPr>
          <w:sz w:val="20"/>
        </w:rPr>
        <w:t>objetivos</w:t>
      </w:r>
      <w:r>
        <w:rPr>
          <w:spacing w:val="-5"/>
          <w:sz w:val="20"/>
        </w:rPr>
        <w:t> </w:t>
      </w:r>
      <w:r>
        <w:rPr>
          <w:sz w:val="20"/>
        </w:rPr>
        <w:t>y</w:t>
      </w:r>
      <w:r>
        <w:rPr>
          <w:spacing w:val="-5"/>
          <w:sz w:val="20"/>
        </w:rPr>
        <w:t> </w:t>
      </w:r>
      <w:r>
        <w:rPr>
          <w:sz w:val="20"/>
        </w:rPr>
        <w:t>funciones</w:t>
      </w:r>
      <w:r>
        <w:rPr>
          <w:spacing w:val="-5"/>
          <w:sz w:val="20"/>
        </w:rPr>
        <w:t> </w:t>
      </w:r>
      <w:r>
        <w:rPr>
          <w:sz w:val="20"/>
        </w:rPr>
        <w:t>se</w:t>
      </w:r>
      <w:r>
        <w:rPr>
          <w:spacing w:val="-6"/>
          <w:sz w:val="20"/>
        </w:rPr>
        <w:t> </w:t>
      </w:r>
      <w:r>
        <w:rPr>
          <w:sz w:val="20"/>
        </w:rPr>
        <w:t>relacionen</w:t>
      </w:r>
      <w:r>
        <w:rPr>
          <w:spacing w:val="-4"/>
          <w:sz w:val="20"/>
        </w:rPr>
        <w:t> </w:t>
      </w:r>
      <w:r>
        <w:rPr>
          <w:sz w:val="20"/>
        </w:rPr>
        <w:t>con</w:t>
      </w:r>
      <w:r>
        <w:rPr>
          <w:spacing w:val="-5"/>
          <w:sz w:val="20"/>
        </w:rPr>
        <w:t> </w:t>
      </w:r>
      <w:r>
        <w:rPr>
          <w:sz w:val="20"/>
        </w:rPr>
        <w:t>la</w:t>
      </w:r>
      <w:r>
        <w:rPr>
          <w:spacing w:val="-4"/>
          <w:sz w:val="20"/>
        </w:rPr>
        <w:t> </w:t>
      </w:r>
      <w:r>
        <w:rPr>
          <w:sz w:val="20"/>
        </w:rPr>
        <w:t>materia</w:t>
      </w:r>
      <w:r>
        <w:rPr>
          <w:spacing w:val="-6"/>
          <w:sz w:val="20"/>
        </w:rPr>
        <w:t> </w:t>
      </w:r>
      <w:r>
        <w:rPr>
          <w:sz w:val="20"/>
        </w:rPr>
        <w:t>de</w:t>
      </w:r>
      <w:r>
        <w:rPr>
          <w:spacing w:val="-6"/>
          <w:sz w:val="20"/>
        </w:rPr>
        <w:t> </w:t>
      </w:r>
      <w:r>
        <w:rPr>
          <w:sz w:val="20"/>
        </w:rPr>
        <w:t>esta</w:t>
      </w:r>
      <w:r>
        <w:rPr>
          <w:spacing w:val="-6"/>
          <w:sz w:val="20"/>
        </w:rPr>
        <w:t> </w:t>
      </w:r>
      <w:r>
        <w:rPr>
          <w:spacing w:val="-4"/>
          <w:sz w:val="20"/>
        </w:rPr>
        <w:t>Ley.</w:t>
      </w:r>
    </w:p>
    <w:p>
      <w:pPr>
        <w:pStyle w:val="BodyText"/>
        <w:spacing w:before="1"/>
      </w:pPr>
    </w:p>
    <w:p>
      <w:pPr>
        <w:pStyle w:val="BodyText"/>
        <w:ind w:left="262" w:right="288"/>
        <w:jc w:val="both"/>
      </w:pPr>
      <w:r>
        <w:rPr/>
        <w:t>Estos organismos normarán su funcionamiento de acuerdo con las disposiciones jurídicas que les dieron origen.</w:t>
      </w:r>
    </w:p>
    <w:p>
      <w:pPr>
        <w:pStyle w:val="BodyText"/>
        <w:spacing w:before="229"/>
      </w:pPr>
    </w:p>
    <w:p>
      <w:pPr>
        <w:pStyle w:val="Heading1"/>
        <w:ind w:right="20"/>
      </w:pPr>
      <w:r>
        <w:rPr/>
        <w:t>TÍTULO</w:t>
      </w:r>
      <w:r>
        <w:rPr>
          <w:spacing w:val="-10"/>
        </w:rPr>
        <w:t> </w:t>
      </w:r>
      <w:r>
        <w:rPr>
          <w:spacing w:val="-2"/>
        </w:rPr>
        <w:t>TERCERO</w:t>
      </w:r>
    </w:p>
    <w:p>
      <w:pPr>
        <w:pStyle w:val="BodyText"/>
        <w:spacing w:before="1"/>
        <w:rPr>
          <w:rFonts w:ascii="Arial"/>
          <w:b/>
        </w:rPr>
      </w:pPr>
    </w:p>
    <w:p>
      <w:pPr>
        <w:spacing w:before="0"/>
        <w:ind w:left="0" w:right="18" w:firstLine="0"/>
        <w:jc w:val="center"/>
        <w:rPr>
          <w:rFonts w:ascii="Arial"/>
          <w:b/>
          <w:sz w:val="20"/>
        </w:rPr>
      </w:pPr>
      <w:r>
        <w:rPr>
          <w:rFonts w:ascii="Arial"/>
          <w:b/>
          <w:sz w:val="20"/>
        </w:rPr>
        <w:t>ORGANOS</w:t>
      </w:r>
      <w:r>
        <w:rPr>
          <w:rFonts w:ascii="Arial"/>
          <w:b/>
          <w:spacing w:val="-9"/>
          <w:sz w:val="20"/>
        </w:rPr>
        <w:t> </w:t>
      </w:r>
      <w:r>
        <w:rPr>
          <w:rFonts w:ascii="Arial"/>
          <w:b/>
          <w:sz w:val="20"/>
        </w:rPr>
        <w:t>DELIBERATIVOS</w:t>
      </w:r>
      <w:r>
        <w:rPr>
          <w:rFonts w:ascii="Arial"/>
          <w:b/>
          <w:spacing w:val="-9"/>
          <w:sz w:val="20"/>
        </w:rPr>
        <w:t> </w:t>
      </w:r>
      <w:r>
        <w:rPr>
          <w:rFonts w:ascii="Arial"/>
          <w:b/>
          <w:sz w:val="20"/>
        </w:rPr>
        <w:t>Y</w:t>
      </w:r>
      <w:r>
        <w:rPr>
          <w:rFonts w:ascii="Arial"/>
          <w:b/>
          <w:spacing w:val="-9"/>
          <w:sz w:val="20"/>
        </w:rPr>
        <w:t> </w:t>
      </w:r>
      <w:r>
        <w:rPr>
          <w:rFonts w:ascii="Arial"/>
          <w:b/>
          <w:spacing w:val="-2"/>
          <w:sz w:val="20"/>
        </w:rPr>
        <w:t>AUXILIARES</w:t>
      </w:r>
    </w:p>
    <w:p>
      <w:pPr>
        <w:pStyle w:val="BodyText"/>
        <w:spacing w:before="229"/>
        <w:rPr>
          <w:rFonts w:ascii="Arial"/>
          <w:b/>
        </w:rPr>
      </w:pPr>
    </w:p>
    <w:p>
      <w:pPr>
        <w:pStyle w:val="Heading2"/>
        <w:spacing w:line="480" w:lineRule="auto"/>
        <w:ind w:left="3982" w:right="4000" w:hanging="1"/>
      </w:pPr>
      <w:r>
        <w:rPr/>
        <w:t>Capítulo I </w:t>
      </w:r>
      <w:r>
        <w:rPr>
          <w:spacing w:val="-2"/>
        </w:rPr>
        <w:t>Generalidades</w:t>
      </w:r>
    </w:p>
    <w:p>
      <w:pPr>
        <w:pStyle w:val="BodyText"/>
        <w:ind w:left="262" w:right="281"/>
        <w:jc w:val="both"/>
      </w:pPr>
      <w:r>
        <w:rPr>
          <w:rFonts w:ascii="Arial" w:hAnsi="Arial"/>
          <w:b/>
        </w:rPr>
        <w:t>ARTÍCULO 21. </w:t>
      </w:r>
      <w:r>
        <w:rPr/>
        <w:t>Para asegurar la consulta, opinión y deliberación de las políticas de ordenamiento territorial y planeación del Desarrollo Urbano y Desarrollo Metropolitano, conforme al sistema de planeación democrática del desarrollo nacional previsto en el artículo 26 de la Constitución Política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de los Estados Unidos Mexicanos, el Estado y los municipios, en el ámbito de sus respectivas competencias, conformarán órganos auxiliares de participación ciudadana y conformación plural.</w:t>
      </w:r>
    </w:p>
    <w:p>
      <w:pPr>
        <w:pStyle w:val="BodyText"/>
        <w:spacing w:before="1"/>
      </w:pPr>
    </w:p>
    <w:p>
      <w:pPr>
        <w:pStyle w:val="BodyText"/>
        <w:ind w:left="262" w:right="289"/>
        <w:jc w:val="both"/>
      </w:pPr>
      <w:r>
        <w:rPr/>
        <w:t>Corresponde al Poder Ejecutivo y a los municipios la creación y apoyo en la operación de tales consejos, en sus respectivos ámbitos de competencia.</w:t>
      </w:r>
    </w:p>
    <w:p>
      <w:pPr>
        <w:pStyle w:val="BodyText"/>
        <w:spacing w:before="229"/>
        <w:ind w:left="262" w:right="278"/>
        <w:jc w:val="both"/>
      </w:pPr>
      <w:r>
        <w:rPr>
          <w:rFonts w:ascii="Arial" w:hAnsi="Arial"/>
          <w:b/>
        </w:rPr>
        <w:t>ARTÍCULO 22. </w:t>
      </w:r>
      <w:r>
        <w:rPr/>
        <w:t>Conforme a lo dispuesto en el artículo anterior, son órganos auxiliares de participación</w:t>
      </w:r>
      <w:r>
        <w:rPr>
          <w:spacing w:val="-8"/>
        </w:rPr>
        <w:t> </w:t>
      </w:r>
      <w:r>
        <w:rPr/>
        <w:t>ciudadana</w:t>
      </w:r>
      <w:r>
        <w:rPr>
          <w:spacing w:val="-8"/>
        </w:rPr>
        <w:t> </w:t>
      </w:r>
      <w:r>
        <w:rPr/>
        <w:t>y</w:t>
      </w:r>
      <w:r>
        <w:rPr>
          <w:spacing w:val="-6"/>
        </w:rPr>
        <w:t> </w:t>
      </w:r>
      <w:r>
        <w:rPr/>
        <w:t>conformación</w:t>
      </w:r>
      <w:r>
        <w:rPr>
          <w:spacing w:val="-8"/>
        </w:rPr>
        <w:t> </w:t>
      </w:r>
      <w:r>
        <w:rPr/>
        <w:t>plural</w:t>
      </w:r>
      <w:r>
        <w:rPr>
          <w:spacing w:val="-8"/>
        </w:rPr>
        <w:t> </w:t>
      </w:r>
      <w:r>
        <w:rPr/>
        <w:t>de</w:t>
      </w:r>
      <w:r>
        <w:rPr>
          <w:spacing w:val="-8"/>
        </w:rPr>
        <w:t> </w:t>
      </w:r>
      <w:r>
        <w:rPr/>
        <w:t>las</w:t>
      </w:r>
      <w:r>
        <w:rPr>
          <w:spacing w:val="-7"/>
        </w:rPr>
        <w:t> </w:t>
      </w:r>
      <w:r>
        <w:rPr/>
        <w:t>autoridades</w:t>
      </w:r>
      <w:r>
        <w:rPr>
          <w:spacing w:val="-7"/>
        </w:rPr>
        <w:t> </w:t>
      </w:r>
      <w:r>
        <w:rPr/>
        <w:t>encargadas</w:t>
      </w:r>
      <w:r>
        <w:rPr>
          <w:spacing w:val="-6"/>
        </w:rPr>
        <w:t> </w:t>
      </w:r>
      <w:r>
        <w:rPr/>
        <w:t>de</w:t>
      </w:r>
      <w:r>
        <w:rPr>
          <w:spacing w:val="-6"/>
        </w:rPr>
        <w:t> </w:t>
      </w:r>
      <w:r>
        <w:rPr/>
        <w:t>aplicar</w:t>
      </w:r>
      <w:r>
        <w:rPr>
          <w:spacing w:val="-7"/>
        </w:rPr>
        <w:t> </w:t>
      </w:r>
      <w:r>
        <w:rPr/>
        <w:t>esta</w:t>
      </w:r>
      <w:r>
        <w:rPr>
          <w:spacing w:val="-8"/>
        </w:rPr>
        <w:t> </w:t>
      </w:r>
      <w:r>
        <w:rPr/>
        <w:t>Ley</w:t>
      </w:r>
      <w:r>
        <w:rPr>
          <w:spacing w:val="-6"/>
        </w:rPr>
        <w:t> </w:t>
      </w:r>
      <w:r>
        <w:rPr/>
        <w:t>en materia de ordenamiento territorial de los asentamientos humanos y desarrollo urbano, para asegurar la consulta, opinión y deliberación de las políticas públicas en la materia:</w:t>
      </w:r>
    </w:p>
    <w:p>
      <w:pPr>
        <w:pStyle w:val="BodyText"/>
      </w:pPr>
    </w:p>
    <w:p>
      <w:pPr>
        <w:pStyle w:val="ListParagraph"/>
        <w:numPr>
          <w:ilvl w:val="0"/>
          <w:numId w:val="13"/>
        </w:numPr>
        <w:tabs>
          <w:tab w:pos="689" w:val="left" w:leader="none"/>
        </w:tabs>
        <w:spacing w:line="240" w:lineRule="auto" w:before="0" w:after="0"/>
        <w:ind w:left="689" w:right="0" w:hanging="427"/>
        <w:jc w:val="left"/>
        <w:rPr>
          <w:sz w:val="20"/>
        </w:rPr>
      </w:pPr>
      <w:r>
        <w:rPr>
          <w:sz w:val="20"/>
        </w:rPr>
        <w:t>El</w:t>
      </w:r>
      <w:r>
        <w:rPr>
          <w:spacing w:val="-9"/>
          <w:sz w:val="20"/>
        </w:rPr>
        <w:t> </w:t>
      </w:r>
      <w:r>
        <w:rPr>
          <w:sz w:val="20"/>
        </w:rPr>
        <w:t>Consejo</w:t>
      </w:r>
      <w:r>
        <w:rPr>
          <w:spacing w:val="-7"/>
          <w:sz w:val="20"/>
        </w:rPr>
        <w:t> </w:t>
      </w:r>
      <w:r>
        <w:rPr>
          <w:sz w:val="20"/>
        </w:rPr>
        <w:t>Estatal</w:t>
      </w:r>
      <w:r>
        <w:rPr>
          <w:spacing w:val="-9"/>
          <w:sz w:val="20"/>
        </w:rPr>
        <w:t> </w:t>
      </w:r>
      <w:r>
        <w:rPr>
          <w:sz w:val="20"/>
        </w:rPr>
        <w:t>de</w:t>
      </w:r>
      <w:r>
        <w:rPr>
          <w:spacing w:val="-8"/>
          <w:sz w:val="20"/>
        </w:rPr>
        <w:t> </w:t>
      </w:r>
      <w:r>
        <w:rPr>
          <w:sz w:val="20"/>
        </w:rPr>
        <w:t>Ordenamiento</w:t>
      </w:r>
      <w:r>
        <w:rPr>
          <w:spacing w:val="-8"/>
          <w:sz w:val="20"/>
        </w:rPr>
        <w:t> </w:t>
      </w:r>
      <w:r>
        <w:rPr>
          <w:sz w:val="20"/>
        </w:rPr>
        <w:t>Territorial</w:t>
      </w:r>
      <w:r>
        <w:rPr>
          <w:spacing w:val="-9"/>
          <w:sz w:val="20"/>
        </w:rPr>
        <w:t> </w:t>
      </w:r>
      <w:r>
        <w:rPr>
          <w:sz w:val="20"/>
        </w:rPr>
        <w:t>y</w:t>
      </w:r>
      <w:r>
        <w:rPr>
          <w:spacing w:val="-7"/>
          <w:sz w:val="20"/>
        </w:rPr>
        <w:t> </w:t>
      </w:r>
      <w:r>
        <w:rPr>
          <w:sz w:val="20"/>
        </w:rPr>
        <w:t>Desarrollo</w:t>
      </w:r>
      <w:r>
        <w:rPr>
          <w:spacing w:val="-6"/>
          <w:sz w:val="20"/>
        </w:rPr>
        <w:t> </w:t>
      </w:r>
      <w:r>
        <w:rPr>
          <w:spacing w:val="-2"/>
          <w:sz w:val="20"/>
        </w:rPr>
        <w:t>Urbano;</w:t>
      </w:r>
    </w:p>
    <w:p>
      <w:pPr>
        <w:pStyle w:val="BodyText"/>
        <w:spacing w:before="1"/>
      </w:pPr>
    </w:p>
    <w:p>
      <w:pPr>
        <w:pStyle w:val="ListParagraph"/>
        <w:numPr>
          <w:ilvl w:val="0"/>
          <w:numId w:val="13"/>
        </w:numPr>
        <w:tabs>
          <w:tab w:pos="689" w:val="left" w:leader="none"/>
        </w:tabs>
        <w:spacing w:line="240" w:lineRule="auto" w:before="0" w:after="0"/>
        <w:ind w:left="689" w:right="0" w:hanging="427"/>
        <w:jc w:val="left"/>
        <w:rPr>
          <w:sz w:val="20"/>
        </w:rPr>
      </w:pPr>
      <w:r>
        <w:rPr>
          <w:sz w:val="20"/>
        </w:rPr>
        <w:t>Las</w:t>
      </w:r>
      <w:r>
        <w:rPr>
          <w:spacing w:val="-8"/>
          <w:sz w:val="20"/>
        </w:rPr>
        <w:t> </w:t>
      </w:r>
      <w:r>
        <w:rPr>
          <w:sz w:val="20"/>
        </w:rPr>
        <w:t>Comisiones</w:t>
      </w:r>
      <w:r>
        <w:rPr>
          <w:spacing w:val="-8"/>
          <w:sz w:val="20"/>
        </w:rPr>
        <w:t> </w:t>
      </w:r>
      <w:r>
        <w:rPr>
          <w:sz w:val="20"/>
        </w:rPr>
        <w:t>Metropolitanas</w:t>
      </w:r>
      <w:r>
        <w:rPr>
          <w:spacing w:val="-8"/>
          <w:sz w:val="20"/>
        </w:rPr>
        <w:t> </w:t>
      </w:r>
      <w:r>
        <w:rPr>
          <w:sz w:val="20"/>
        </w:rPr>
        <w:t>y</w:t>
      </w:r>
      <w:r>
        <w:rPr>
          <w:spacing w:val="-8"/>
          <w:sz w:val="20"/>
        </w:rPr>
        <w:t> </w:t>
      </w:r>
      <w:r>
        <w:rPr>
          <w:sz w:val="20"/>
        </w:rPr>
        <w:t>de</w:t>
      </w:r>
      <w:r>
        <w:rPr>
          <w:spacing w:val="-7"/>
          <w:sz w:val="20"/>
        </w:rPr>
        <w:t> </w:t>
      </w:r>
      <w:r>
        <w:rPr>
          <w:spacing w:val="-2"/>
          <w:sz w:val="20"/>
        </w:rPr>
        <w:t>Conurbaciones;</w:t>
      </w:r>
    </w:p>
    <w:p>
      <w:pPr>
        <w:pStyle w:val="BodyText"/>
        <w:spacing w:before="1"/>
      </w:pPr>
    </w:p>
    <w:p>
      <w:pPr>
        <w:pStyle w:val="ListParagraph"/>
        <w:numPr>
          <w:ilvl w:val="0"/>
          <w:numId w:val="13"/>
        </w:numPr>
        <w:tabs>
          <w:tab w:pos="689" w:val="left" w:leader="none"/>
        </w:tabs>
        <w:spacing w:line="240" w:lineRule="auto" w:before="0" w:after="0"/>
        <w:ind w:left="689" w:right="0" w:hanging="427"/>
        <w:jc w:val="left"/>
        <w:rPr>
          <w:sz w:val="20"/>
        </w:rPr>
      </w:pPr>
      <w:r>
        <w:rPr>
          <w:sz w:val="20"/>
        </w:rPr>
        <w:t>Los</w:t>
      </w:r>
      <w:r>
        <w:rPr>
          <w:spacing w:val="-9"/>
          <w:sz w:val="20"/>
        </w:rPr>
        <w:t> </w:t>
      </w:r>
      <w:r>
        <w:rPr>
          <w:sz w:val="20"/>
        </w:rPr>
        <w:t>Consejos</w:t>
      </w:r>
      <w:r>
        <w:rPr>
          <w:spacing w:val="-8"/>
          <w:sz w:val="20"/>
        </w:rPr>
        <w:t> </w:t>
      </w:r>
      <w:r>
        <w:rPr>
          <w:sz w:val="20"/>
        </w:rPr>
        <w:t>Consultivos</w:t>
      </w:r>
      <w:r>
        <w:rPr>
          <w:spacing w:val="-6"/>
          <w:sz w:val="20"/>
        </w:rPr>
        <w:t> </w:t>
      </w:r>
      <w:r>
        <w:rPr>
          <w:sz w:val="20"/>
        </w:rPr>
        <w:t>de</w:t>
      </w:r>
      <w:r>
        <w:rPr>
          <w:spacing w:val="-10"/>
          <w:sz w:val="20"/>
        </w:rPr>
        <w:t> </w:t>
      </w:r>
      <w:r>
        <w:rPr>
          <w:sz w:val="20"/>
        </w:rPr>
        <w:t>Desarrollo</w:t>
      </w:r>
      <w:r>
        <w:rPr>
          <w:spacing w:val="-9"/>
          <w:sz w:val="20"/>
        </w:rPr>
        <w:t> </w:t>
      </w:r>
      <w:r>
        <w:rPr>
          <w:sz w:val="20"/>
        </w:rPr>
        <w:t>Metropolitano</w:t>
      </w:r>
      <w:r>
        <w:rPr>
          <w:spacing w:val="-9"/>
          <w:sz w:val="20"/>
        </w:rPr>
        <w:t> </w:t>
      </w:r>
      <w:r>
        <w:rPr>
          <w:sz w:val="20"/>
        </w:rPr>
        <w:t>y</w:t>
      </w:r>
      <w:r>
        <w:rPr>
          <w:spacing w:val="-9"/>
          <w:sz w:val="20"/>
        </w:rPr>
        <w:t> </w:t>
      </w:r>
      <w:r>
        <w:rPr>
          <w:sz w:val="20"/>
        </w:rPr>
        <w:t>Zona</w:t>
      </w:r>
      <w:r>
        <w:rPr>
          <w:spacing w:val="-7"/>
          <w:sz w:val="20"/>
        </w:rPr>
        <w:t> </w:t>
      </w:r>
      <w:r>
        <w:rPr>
          <w:sz w:val="20"/>
        </w:rPr>
        <w:t>Conurbada,</w:t>
      </w:r>
      <w:r>
        <w:rPr>
          <w:spacing w:val="37"/>
          <w:sz w:val="20"/>
        </w:rPr>
        <w:t> </w:t>
      </w:r>
      <w:r>
        <w:rPr>
          <w:spacing w:val="-10"/>
          <w:sz w:val="20"/>
        </w:rPr>
        <w:t>y</w:t>
      </w:r>
    </w:p>
    <w:p>
      <w:pPr>
        <w:pStyle w:val="ListParagraph"/>
        <w:numPr>
          <w:ilvl w:val="0"/>
          <w:numId w:val="13"/>
        </w:numPr>
        <w:tabs>
          <w:tab w:pos="688" w:val="left" w:leader="none"/>
        </w:tabs>
        <w:spacing w:line="240" w:lineRule="auto" w:before="228" w:after="0"/>
        <w:ind w:left="688" w:right="0" w:hanging="426"/>
        <w:jc w:val="left"/>
        <w:rPr>
          <w:sz w:val="20"/>
        </w:rPr>
      </w:pPr>
      <w:r>
        <w:rPr>
          <w:sz w:val="20"/>
        </w:rPr>
        <w:t>Los</w:t>
      </w:r>
      <w:r>
        <w:rPr>
          <w:spacing w:val="-8"/>
          <w:sz w:val="20"/>
        </w:rPr>
        <w:t> </w:t>
      </w:r>
      <w:r>
        <w:rPr>
          <w:sz w:val="20"/>
        </w:rPr>
        <w:t>Consejos</w:t>
      </w:r>
      <w:r>
        <w:rPr>
          <w:spacing w:val="-6"/>
          <w:sz w:val="20"/>
        </w:rPr>
        <w:t> </w:t>
      </w:r>
      <w:r>
        <w:rPr>
          <w:sz w:val="20"/>
        </w:rPr>
        <w:t>Municipales</w:t>
      </w:r>
      <w:r>
        <w:rPr>
          <w:spacing w:val="-8"/>
          <w:sz w:val="20"/>
        </w:rPr>
        <w:t> </w:t>
      </w:r>
      <w:r>
        <w:rPr>
          <w:sz w:val="20"/>
        </w:rPr>
        <w:t>de</w:t>
      </w:r>
      <w:r>
        <w:rPr>
          <w:spacing w:val="-9"/>
          <w:sz w:val="20"/>
        </w:rPr>
        <w:t> </w:t>
      </w:r>
      <w:r>
        <w:rPr>
          <w:sz w:val="20"/>
        </w:rPr>
        <w:t>Desarrollo</w:t>
      </w:r>
      <w:r>
        <w:rPr>
          <w:spacing w:val="-8"/>
          <w:sz w:val="20"/>
        </w:rPr>
        <w:t> </w:t>
      </w:r>
      <w:r>
        <w:rPr>
          <w:sz w:val="20"/>
        </w:rPr>
        <w:t>Urbano</w:t>
      </w:r>
      <w:r>
        <w:rPr>
          <w:spacing w:val="-10"/>
          <w:sz w:val="20"/>
        </w:rPr>
        <w:t> </w:t>
      </w:r>
      <w:r>
        <w:rPr>
          <w:sz w:val="20"/>
        </w:rPr>
        <w:t>y</w:t>
      </w:r>
      <w:r>
        <w:rPr>
          <w:spacing w:val="-6"/>
          <w:sz w:val="20"/>
        </w:rPr>
        <w:t> </w:t>
      </w:r>
      <w:r>
        <w:rPr>
          <w:spacing w:val="-2"/>
          <w:sz w:val="20"/>
        </w:rPr>
        <w:t>Vivienda.</w:t>
      </w:r>
    </w:p>
    <w:p>
      <w:pPr>
        <w:pStyle w:val="BodyText"/>
        <w:spacing w:before="1"/>
      </w:pPr>
    </w:p>
    <w:p>
      <w:pPr>
        <w:pStyle w:val="BodyText"/>
        <w:ind w:left="262" w:right="286"/>
        <w:jc w:val="both"/>
      </w:pPr>
      <w:r>
        <w:rPr/>
        <w:t>Los miembros de los Consejos actuarán a título honorífico, por lo que no podrán cobrar o recibir retribución o emolumento alguno por su función, y contarán con el apoyo técnico necesario para realizar su labor.</w:t>
      </w:r>
    </w:p>
    <w:p>
      <w:pPr>
        <w:pStyle w:val="BodyText"/>
        <w:spacing w:before="230"/>
        <w:ind w:left="262" w:right="280"/>
        <w:jc w:val="both"/>
      </w:pPr>
      <w:r>
        <w:rPr/>
        <w:t>Para el cumplimiento de las funciones que conforme a esta Ley competen al municipio, los ayuntamientos podrán crear institutos municipales de planeación urbana, como órganos técnicos auxiliares</w:t>
      </w:r>
      <w:r>
        <w:rPr>
          <w:spacing w:val="-1"/>
        </w:rPr>
        <w:t> </w:t>
      </w:r>
      <w:r>
        <w:rPr/>
        <w:t>en</w:t>
      </w:r>
      <w:r>
        <w:rPr>
          <w:spacing w:val="-3"/>
        </w:rPr>
        <w:t> </w:t>
      </w:r>
      <w:r>
        <w:rPr/>
        <w:t>materia</w:t>
      </w:r>
      <w:r>
        <w:rPr>
          <w:spacing w:val="-3"/>
        </w:rPr>
        <w:t> </w:t>
      </w:r>
      <w:r>
        <w:rPr/>
        <w:t>de</w:t>
      </w:r>
      <w:r>
        <w:rPr>
          <w:spacing w:val="-3"/>
        </w:rPr>
        <w:t> </w:t>
      </w:r>
      <w:r>
        <w:rPr/>
        <w:t>ordenamiento</w:t>
      </w:r>
      <w:r>
        <w:rPr>
          <w:spacing w:val="-4"/>
        </w:rPr>
        <w:t> </w:t>
      </w:r>
      <w:r>
        <w:rPr/>
        <w:t>territorial</w:t>
      </w:r>
      <w:r>
        <w:rPr>
          <w:spacing w:val="-5"/>
        </w:rPr>
        <w:t> </w:t>
      </w:r>
      <w:r>
        <w:rPr/>
        <w:t>y</w:t>
      </w:r>
      <w:r>
        <w:rPr>
          <w:spacing w:val="-3"/>
        </w:rPr>
        <w:t> </w:t>
      </w:r>
      <w:r>
        <w:rPr/>
        <w:t>planeación</w:t>
      </w:r>
      <w:r>
        <w:rPr>
          <w:spacing w:val="-3"/>
        </w:rPr>
        <w:t> </w:t>
      </w:r>
      <w:r>
        <w:rPr/>
        <w:t>del</w:t>
      </w:r>
      <w:r>
        <w:rPr>
          <w:spacing w:val="-3"/>
        </w:rPr>
        <w:t> </w:t>
      </w:r>
      <w:r>
        <w:rPr/>
        <w:t>desarrollo</w:t>
      </w:r>
      <w:r>
        <w:rPr>
          <w:spacing w:val="-4"/>
        </w:rPr>
        <w:t> </w:t>
      </w:r>
      <w:r>
        <w:rPr/>
        <w:t>urbano,</w:t>
      </w:r>
      <w:r>
        <w:rPr>
          <w:spacing w:val="-4"/>
        </w:rPr>
        <w:t> </w:t>
      </w:r>
      <w:r>
        <w:rPr/>
        <w:t>en</w:t>
      </w:r>
      <w:r>
        <w:rPr>
          <w:spacing w:val="-2"/>
        </w:rPr>
        <w:t> </w:t>
      </w:r>
      <w:r>
        <w:rPr/>
        <w:t>los</w:t>
      </w:r>
      <w:r>
        <w:rPr>
          <w:spacing w:val="-3"/>
        </w:rPr>
        <w:t> </w:t>
      </w:r>
      <w:r>
        <w:rPr/>
        <w:t>términos que</w:t>
      </w:r>
      <w:r>
        <w:rPr>
          <w:spacing w:val="-11"/>
        </w:rPr>
        <w:t> </w:t>
      </w:r>
      <w:r>
        <w:rPr/>
        <w:t>disponen</w:t>
      </w:r>
      <w:r>
        <w:rPr>
          <w:spacing w:val="-12"/>
        </w:rPr>
        <w:t> </w:t>
      </w:r>
      <w:r>
        <w:rPr/>
        <w:t>los</w:t>
      </w:r>
      <w:r>
        <w:rPr>
          <w:spacing w:val="-13"/>
        </w:rPr>
        <w:t> </w:t>
      </w:r>
      <w:r>
        <w:rPr/>
        <w:t>artículos</w:t>
      </w:r>
      <w:r>
        <w:rPr>
          <w:spacing w:val="-13"/>
        </w:rPr>
        <w:t> </w:t>
      </w:r>
      <w:r>
        <w:rPr/>
        <w:t>38,</w:t>
      </w:r>
      <w:r>
        <w:rPr>
          <w:spacing w:val="-14"/>
        </w:rPr>
        <w:t> </w:t>
      </w:r>
      <w:r>
        <w:rPr/>
        <w:t>39,</w:t>
      </w:r>
      <w:r>
        <w:rPr>
          <w:spacing w:val="-14"/>
        </w:rPr>
        <w:t> </w:t>
      </w:r>
      <w:r>
        <w:rPr/>
        <w:t>40</w:t>
      </w:r>
      <w:r>
        <w:rPr>
          <w:spacing w:val="-12"/>
        </w:rPr>
        <w:t> </w:t>
      </w:r>
      <w:r>
        <w:rPr/>
        <w:t>y</w:t>
      </w:r>
      <w:r>
        <w:rPr>
          <w:spacing w:val="-12"/>
        </w:rPr>
        <w:t> </w:t>
      </w:r>
      <w:r>
        <w:rPr/>
        <w:t>demás</w:t>
      </w:r>
      <w:r>
        <w:rPr>
          <w:spacing w:val="-13"/>
        </w:rPr>
        <w:t> </w:t>
      </w:r>
      <w:r>
        <w:rPr/>
        <w:t>relativos</w:t>
      </w:r>
      <w:r>
        <w:rPr>
          <w:spacing w:val="-10"/>
        </w:rPr>
        <w:t> </w:t>
      </w:r>
      <w:r>
        <w:rPr/>
        <w:t>de</w:t>
      </w:r>
      <w:r>
        <w:rPr>
          <w:spacing w:val="-14"/>
        </w:rPr>
        <w:t> </w:t>
      </w:r>
      <w:r>
        <w:rPr/>
        <w:t>esta</w:t>
      </w:r>
      <w:r>
        <w:rPr>
          <w:spacing w:val="-12"/>
        </w:rPr>
        <w:t> </w:t>
      </w:r>
      <w:r>
        <w:rPr/>
        <w:t>Ley.</w:t>
      </w:r>
      <w:r>
        <w:rPr>
          <w:spacing w:val="-11"/>
        </w:rPr>
        <w:t> </w:t>
      </w:r>
      <w:r>
        <w:rPr/>
        <w:t>Mediante</w:t>
      </w:r>
      <w:r>
        <w:rPr>
          <w:spacing w:val="-14"/>
        </w:rPr>
        <w:t> </w:t>
      </w:r>
      <w:r>
        <w:rPr/>
        <w:t>convenio</w:t>
      </w:r>
      <w:r>
        <w:rPr>
          <w:spacing w:val="-14"/>
        </w:rPr>
        <w:t> </w:t>
      </w:r>
      <w:r>
        <w:rPr/>
        <w:t>que</w:t>
      </w:r>
      <w:r>
        <w:rPr>
          <w:spacing w:val="-14"/>
        </w:rPr>
        <w:t> </w:t>
      </w:r>
      <w:r>
        <w:rPr/>
        <w:t>celebren los municipios que presenten fenómenos de conurbación, dichos institutos podrán ser de carácter </w:t>
      </w:r>
      <w:r>
        <w:rPr>
          <w:spacing w:val="-2"/>
        </w:rPr>
        <w:t>metropolitano.</w:t>
      </w:r>
    </w:p>
    <w:p>
      <w:pPr>
        <w:pStyle w:val="BodyText"/>
      </w:pPr>
    </w:p>
    <w:p>
      <w:pPr>
        <w:pStyle w:val="BodyText"/>
        <w:ind w:left="262" w:right="288"/>
        <w:jc w:val="both"/>
      </w:pPr>
      <w:r>
        <w:rPr/>
        <w:t>Será responsabilidad</w:t>
      </w:r>
      <w:r>
        <w:rPr>
          <w:spacing w:val="-1"/>
        </w:rPr>
        <w:t> </w:t>
      </w:r>
      <w:r>
        <w:rPr/>
        <w:t>de</w:t>
      </w:r>
      <w:r>
        <w:rPr>
          <w:spacing w:val="-1"/>
        </w:rPr>
        <w:t> </w:t>
      </w:r>
      <w:r>
        <w:rPr/>
        <w:t>la Secretaría</w:t>
      </w:r>
      <w:r>
        <w:rPr>
          <w:spacing w:val="-1"/>
        </w:rPr>
        <w:t> </w:t>
      </w:r>
      <w:r>
        <w:rPr/>
        <w:t>proveer de</w:t>
      </w:r>
      <w:r>
        <w:rPr>
          <w:spacing w:val="-1"/>
        </w:rPr>
        <w:t> </w:t>
      </w:r>
      <w:r>
        <w:rPr/>
        <w:t>información</w:t>
      </w:r>
      <w:r>
        <w:rPr>
          <w:spacing w:val="-1"/>
        </w:rPr>
        <w:t> </w:t>
      </w:r>
      <w:r>
        <w:rPr/>
        <w:t>oportuna</w:t>
      </w:r>
      <w:r>
        <w:rPr>
          <w:spacing w:val="-1"/>
        </w:rPr>
        <w:t> </w:t>
      </w:r>
      <w:r>
        <w:rPr/>
        <w:t>y</w:t>
      </w:r>
      <w:r>
        <w:rPr>
          <w:spacing w:val="-2"/>
        </w:rPr>
        <w:t> </w:t>
      </w:r>
      <w:r>
        <w:rPr/>
        <w:t>veraz a</w:t>
      </w:r>
      <w:r>
        <w:rPr>
          <w:spacing w:val="-1"/>
        </w:rPr>
        <w:t> </w:t>
      </w:r>
      <w:r>
        <w:rPr/>
        <w:t>los</w:t>
      </w:r>
      <w:r>
        <w:rPr>
          <w:spacing w:val="-2"/>
        </w:rPr>
        <w:t> </w:t>
      </w:r>
      <w:r>
        <w:rPr/>
        <w:t>consejos para el ejercicio de sus funciones. Todas las opiniones y recomendaciones de los consejos estatales serán públicas y deberán estar disponibles en medios de comunicación electrónica.</w:t>
      </w:r>
    </w:p>
    <w:p>
      <w:pPr>
        <w:pStyle w:val="BodyText"/>
      </w:pPr>
    </w:p>
    <w:p>
      <w:pPr>
        <w:pStyle w:val="BodyText"/>
      </w:pPr>
    </w:p>
    <w:p>
      <w:pPr>
        <w:pStyle w:val="Heading2"/>
        <w:ind w:right="15"/>
      </w:pPr>
      <w:r>
        <w:rPr/>
        <w:t>Capítulo</w:t>
      </w:r>
      <w:r>
        <w:rPr>
          <w:spacing w:val="-8"/>
        </w:rPr>
        <w:t> </w:t>
      </w:r>
      <w:r>
        <w:rPr>
          <w:spacing w:val="-5"/>
        </w:rPr>
        <w:t>II</w:t>
      </w:r>
    </w:p>
    <w:p>
      <w:pPr>
        <w:pStyle w:val="BodyText"/>
        <w:spacing w:before="1"/>
        <w:rPr>
          <w:rFonts w:ascii="Arial"/>
          <w:b/>
        </w:rPr>
      </w:pPr>
    </w:p>
    <w:p>
      <w:pPr>
        <w:spacing w:before="0"/>
        <w:ind w:left="0" w:right="20" w:firstLine="0"/>
        <w:jc w:val="center"/>
        <w:rPr>
          <w:rFonts w:ascii="Arial"/>
          <w:b/>
          <w:sz w:val="20"/>
        </w:rPr>
      </w:pPr>
      <w:r>
        <w:rPr>
          <w:rFonts w:ascii="Arial"/>
          <w:b/>
          <w:sz w:val="20"/>
        </w:rPr>
        <w:t>Consejo</w:t>
      </w:r>
      <w:r>
        <w:rPr>
          <w:rFonts w:ascii="Arial"/>
          <w:b/>
          <w:spacing w:val="-6"/>
          <w:sz w:val="20"/>
        </w:rPr>
        <w:t> </w:t>
      </w:r>
      <w:r>
        <w:rPr>
          <w:rFonts w:ascii="Arial"/>
          <w:b/>
          <w:sz w:val="20"/>
        </w:rPr>
        <w:t>Estatal</w:t>
      </w:r>
      <w:r>
        <w:rPr>
          <w:rFonts w:ascii="Arial"/>
          <w:b/>
          <w:spacing w:val="-9"/>
          <w:sz w:val="20"/>
        </w:rPr>
        <w:t> </w:t>
      </w:r>
      <w:r>
        <w:rPr>
          <w:rFonts w:ascii="Arial"/>
          <w:b/>
          <w:sz w:val="20"/>
        </w:rPr>
        <w:t>de</w:t>
      </w:r>
      <w:r>
        <w:rPr>
          <w:rFonts w:ascii="Arial"/>
          <w:b/>
          <w:spacing w:val="-8"/>
          <w:sz w:val="20"/>
        </w:rPr>
        <w:t> </w:t>
      </w:r>
      <w:r>
        <w:rPr>
          <w:rFonts w:ascii="Arial"/>
          <w:b/>
          <w:sz w:val="20"/>
        </w:rPr>
        <w:t>Ordenamiento</w:t>
      </w:r>
      <w:r>
        <w:rPr>
          <w:rFonts w:ascii="Arial"/>
          <w:b/>
          <w:spacing w:val="-7"/>
          <w:sz w:val="20"/>
        </w:rPr>
        <w:t> </w:t>
      </w:r>
      <w:r>
        <w:rPr>
          <w:rFonts w:ascii="Arial"/>
          <w:b/>
          <w:sz w:val="20"/>
        </w:rPr>
        <w:t>Territorial</w:t>
      </w:r>
      <w:r>
        <w:rPr>
          <w:rFonts w:ascii="Arial"/>
          <w:b/>
          <w:spacing w:val="-9"/>
          <w:sz w:val="20"/>
        </w:rPr>
        <w:t> </w:t>
      </w:r>
      <w:r>
        <w:rPr>
          <w:rFonts w:ascii="Arial"/>
          <w:b/>
          <w:sz w:val="20"/>
        </w:rPr>
        <w:t>y</w:t>
      </w:r>
      <w:r>
        <w:rPr>
          <w:rFonts w:ascii="Arial"/>
          <w:b/>
          <w:spacing w:val="-6"/>
          <w:sz w:val="20"/>
        </w:rPr>
        <w:t> </w:t>
      </w:r>
      <w:r>
        <w:rPr>
          <w:rFonts w:ascii="Arial"/>
          <w:b/>
          <w:sz w:val="20"/>
        </w:rPr>
        <w:t>Desarrollo</w:t>
      </w:r>
      <w:r>
        <w:rPr>
          <w:rFonts w:ascii="Arial"/>
          <w:b/>
          <w:spacing w:val="-6"/>
          <w:sz w:val="20"/>
        </w:rPr>
        <w:t> </w:t>
      </w:r>
      <w:r>
        <w:rPr>
          <w:rFonts w:ascii="Arial"/>
          <w:b/>
          <w:spacing w:val="-2"/>
          <w:sz w:val="20"/>
        </w:rPr>
        <w:t>Urbano</w:t>
      </w:r>
    </w:p>
    <w:p>
      <w:pPr>
        <w:pStyle w:val="BodyText"/>
        <w:spacing w:before="1"/>
        <w:rPr>
          <w:rFonts w:ascii="Arial"/>
          <w:b/>
        </w:rPr>
      </w:pPr>
    </w:p>
    <w:p>
      <w:pPr>
        <w:pStyle w:val="BodyText"/>
        <w:ind w:left="262" w:right="279"/>
        <w:jc w:val="both"/>
      </w:pPr>
      <w:r>
        <w:rPr>
          <w:rFonts w:ascii="Arial" w:hAnsi="Arial"/>
          <w:b/>
        </w:rPr>
        <w:t>ARTÍCULO</w:t>
      </w:r>
      <w:r>
        <w:rPr>
          <w:rFonts w:ascii="Arial" w:hAnsi="Arial"/>
          <w:b/>
          <w:spacing w:val="-8"/>
        </w:rPr>
        <w:t> </w:t>
      </w:r>
      <w:r>
        <w:rPr>
          <w:rFonts w:ascii="Arial" w:hAnsi="Arial"/>
          <w:b/>
        </w:rPr>
        <w:t>23.</w:t>
      </w:r>
      <w:r>
        <w:rPr>
          <w:rFonts w:ascii="Arial" w:hAnsi="Arial"/>
          <w:b/>
          <w:spacing w:val="-7"/>
        </w:rPr>
        <w:t> </w:t>
      </w:r>
      <w:r>
        <w:rPr/>
        <w:t>El</w:t>
      </w:r>
      <w:r>
        <w:rPr>
          <w:spacing w:val="-7"/>
        </w:rPr>
        <w:t> </w:t>
      </w:r>
      <w:r>
        <w:rPr/>
        <w:t>Consejo</w:t>
      </w:r>
      <w:r>
        <w:rPr>
          <w:spacing w:val="-7"/>
        </w:rPr>
        <w:t> </w:t>
      </w:r>
      <w:r>
        <w:rPr/>
        <w:t>Estatal,</w:t>
      </w:r>
      <w:r>
        <w:rPr>
          <w:spacing w:val="-7"/>
        </w:rPr>
        <w:t> </w:t>
      </w:r>
      <w:r>
        <w:rPr/>
        <w:t>es</w:t>
      </w:r>
      <w:r>
        <w:rPr>
          <w:spacing w:val="-8"/>
        </w:rPr>
        <w:t> </w:t>
      </w:r>
      <w:r>
        <w:rPr/>
        <w:t>el</w:t>
      </w:r>
      <w:r>
        <w:rPr>
          <w:spacing w:val="-8"/>
        </w:rPr>
        <w:t> </w:t>
      </w:r>
      <w:r>
        <w:rPr/>
        <w:t>órgano</w:t>
      </w:r>
      <w:r>
        <w:rPr>
          <w:spacing w:val="-7"/>
        </w:rPr>
        <w:t> </w:t>
      </w:r>
      <w:r>
        <w:rPr/>
        <w:t>de</w:t>
      </w:r>
      <w:r>
        <w:rPr>
          <w:spacing w:val="-7"/>
        </w:rPr>
        <w:t> </w:t>
      </w:r>
      <w:r>
        <w:rPr/>
        <w:t>participación</w:t>
      </w:r>
      <w:r>
        <w:rPr>
          <w:spacing w:val="-7"/>
        </w:rPr>
        <w:t> </w:t>
      </w:r>
      <w:r>
        <w:rPr/>
        <w:t>social</w:t>
      </w:r>
      <w:r>
        <w:rPr>
          <w:spacing w:val="-10"/>
        </w:rPr>
        <w:t> </w:t>
      </w:r>
      <w:r>
        <w:rPr/>
        <w:t>de</w:t>
      </w:r>
      <w:r>
        <w:rPr>
          <w:spacing w:val="-9"/>
        </w:rPr>
        <w:t> </w:t>
      </w:r>
      <w:r>
        <w:rPr/>
        <w:t>conformación</w:t>
      </w:r>
      <w:r>
        <w:rPr>
          <w:spacing w:val="-7"/>
        </w:rPr>
        <w:t> </w:t>
      </w:r>
      <w:r>
        <w:rPr/>
        <w:t>plural,</w:t>
      </w:r>
      <w:r>
        <w:rPr>
          <w:spacing w:val="-7"/>
        </w:rPr>
        <w:t> </w:t>
      </w:r>
      <w:r>
        <w:rPr/>
        <w:t>para la asesoría y consulta del Ejecutivo Estatal, para coordinar y concertar acciones, en materia de ordenamiento</w:t>
      </w:r>
      <w:r>
        <w:rPr>
          <w:spacing w:val="-11"/>
        </w:rPr>
        <w:t> </w:t>
      </w:r>
      <w:r>
        <w:rPr/>
        <w:t>territorial</w:t>
      </w:r>
      <w:r>
        <w:rPr>
          <w:spacing w:val="-10"/>
        </w:rPr>
        <w:t> </w:t>
      </w:r>
      <w:r>
        <w:rPr/>
        <w:t>y</w:t>
      </w:r>
      <w:r>
        <w:rPr>
          <w:spacing w:val="-10"/>
        </w:rPr>
        <w:t> </w:t>
      </w:r>
      <w:r>
        <w:rPr/>
        <w:t>desarrollo</w:t>
      </w:r>
      <w:r>
        <w:rPr>
          <w:spacing w:val="-11"/>
        </w:rPr>
        <w:t> </w:t>
      </w:r>
      <w:r>
        <w:rPr/>
        <w:t>urbano</w:t>
      </w:r>
      <w:r>
        <w:rPr>
          <w:spacing w:val="-11"/>
        </w:rPr>
        <w:t> </w:t>
      </w:r>
      <w:r>
        <w:rPr/>
        <w:t>y</w:t>
      </w:r>
      <w:r>
        <w:rPr>
          <w:spacing w:val="-10"/>
        </w:rPr>
        <w:t> </w:t>
      </w:r>
      <w:r>
        <w:rPr/>
        <w:t>metropolitano;</w:t>
      </w:r>
      <w:r>
        <w:rPr>
          <w:spacing w:val="-9"/>
        </w:rPr>
        <w:t> </w:t>
      </w:r>
      <w:r>
        <w:rPr/>
        <w:t>así</w:t>
      </w:r>
      <w:r>
        <w:rPr>
          <w:spacing w:val="-11"/>
        </w:rPr>
        <w:t> </w:t>
      </w:r>
      <w:r>
        <w:rPr/>
        <w:t>como</w:t>
      </w:r>
      <w:r>
        <w:rPr>
          <w:spacing w:val="-11"/>
        </w:rPr>
        <w:t> </w:t>
      </w:r>
      <w:r>
        <w:rPr/>
        <w:t>para</w:t>
      </w:r>
      <w:r>
        <w:rPr>
          <w:spacing w:val="-11"/>
        </w:rPr>
        <w:t> </w:t>
      </w:r>
      <w:r>
        <w:rPr/>
        <w:t>fomentar</w:t>
      </w:r>
      <w:r>
        <w:rPr>
          <w:spacing w:val="-10"/>
        </w:rPr>
        <w:t> </w:t>
      </w:r>
      <w:r>
        <w:rPr/>
        <w:t>la</w:t>
      </w:r>
      <w:r>
        <w:rPr>
          <w:spacing w:val="-9"/>
        </w:rPr>
        <w:t> </w:t>
      </w:r>
      <w:r>
        <w:rPr/>
        <w:t>aplicación</w:t>
      </w:r>
      <w:r>
        <w:rPr>
          <w:spacing w:val="-10"/>
        </w:rPr>
        <w:t> </w:t>
      </w:r>
      <w:r>
        <w:rPr/>
        <w:t>de la legislación, los programas en la materia. Todas sus decisiones serán públicas y deberán estar disponibles en medios de comunicación electrónica.</w:t>
      </w:r>
    </w:p>
    <w:p>
      <w:pPr>
        <w:spacing w:before="228"/>
        <w:ind w:left="262"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24.</w:t>
      </w:r>
      <w:r>
        <w:rPr>
          <w:rFonts w:ascii="Arial" w:hAnsi="Arial"/>
          <w:b/>
          <w:spacing w:val="-7"/>
          <w:sz w:val="20"/>
        </w:rPr>
        <w:t> </w:t>
      </w:r>
      <w:r>
        <w:rPr>
          <w:sz w:val="20"/>
        </w:rPr>
        <w:t>El</w:t>
      </w:r>
      <w:r>
        <w:rPr>
          <w:spacing w:val="-8"/>
          <w:sz w:val="20"/>
        </w:rPr>
        <w:t> </w:t>
      </w:r>
      <w:r>
        <w:rPr>
          <w:sz w:val="20"/>
        </w:rPr>
        <w:t>Consejo</w:t>
      </w:r>
      <w:r>
        <w:rPr>
          <w:spacing w:val="-6"/>
          <w:sz w:val="20"/>
        </w:rPr>
        <w:t> </w:t>
      </w:r>
      <w:r>
        <w:rPr>
          <w:sz w:val="20"/>
        </w:rPr>
        <w:t>Estatal,</w:t>
      </w:r>
      <w:r>
        <w:rPr>
          <w:spacing w:val="-7"/>
          <w:sz w:val="20"/>
        </w:rPr>
        <w:t> </w:t>
      </w:r>
      <w:r>
        <w:rPr>
          <w:sz w:val="20"/>
        </w:rPr>
        <w:t>se</w:t>
      </w:r>
      <w:r>
        <w:rPr>
          <w:spacing w:val="-6"/>
          <w:sz w:val="20"/>
        </w:rPr>
        <w:t> </w:t>
      </w:r>
      <w:r>
        <w:rPr>
          <w:sz w:val="20"/>
        </w:rPr>
        <w:t>integrará</w:t>
      </w:r>
      <w:r>
        <w:rPr>
          <w:spacing w:val="-5"/>
          <w:sz w:val="20"/>
        </w:rPr>
        <w:t> </w:t>
      </w:r>
      <w:r>
        <w:rPr>
          <w:spacing w:val="-4"/>
          <w:sz w:val="20"/>
        </w:rPr>
        <w:t>por:</w:t>
      </w:r>
    </w:p>
    <w:p>
      <w:pPr>
        <w:pStyle w:val="BodyText"/>
        <w:spacing w:before="1"/>
      </w:pPr>
    </w:p>
    <w:p>
      <w:pPr>
        <w:pStyle w:val="ListParagraph"/>
        <w:numPr>
          <w:ilvl w:val="0"/>
          <w:numId w:val="14"/>
        </w:numPr>
        <w:tabs>
          <w:tab w:pos="543" w:val="left" w:leader="none"/>
        </w:tabs>
        <w:spacing w:line="240" w:lineRule="auto" w:before="0" w:after="0"/>
        <w:ind w:left="262" w:right="287" w:firstLine="0"/>
        <w:jc w:val="left"/>
        <w:rPr>
          <w:sz w:val="20"/>
        </w:rPr>
      </w:pPr>
      <w:r>
        <w:rPr>
          <w:sz w:val="20"/>
        </w:rPr>
        <w:t>Un</w:t>
      </w:r>
      <w:r>
        <w:rPr>
          <w:spacing w:val="-3"/>
          <w:sz w:val="20"/>
        </w:rPr>
        <w:t> </w:t>
      </w:r>
      <w:r>
        <w:rPr>
          <w:sz w:val="20"/>
        </w:rPr>
        <w:t>Presidente</w:t>
      </w:r>
      <w:r>
        <w:rPr>
          <w:spacing w:val="-3"/>
          <w:sz w:val="20"/>
        </w:rPr>
        <w:t> </w:t>
      </w:r>
      <w:r>
        <w:rPr>
          <w:sz w:val="20"/>
        </w:rPr>
        <w:t>que</w:t>
      </w:r>
      <w:r>
        <w:rPr>
          <w:spacing w:val="-3"/>
          <w:sz w:val="20"/>
        </w:rPr>
        <w:t> </w:t>
      </w:r>
      <w:r>
        <w:rPr>
          <w:sz w:val="20"/>
        </w:rPr>
        <w:t>será</w:t>
      </w:r>
      <w:r>
        <w:rPr>
          <w:spacing w:val="-3"/>
          <w:sz w:val="20"/>
        </w:rPr>
        <w:t> </w:t>
      </w:r>
      <w:r>
        <w:rPr>
          <w:sz w:val="20"/>
        </w:rPr>
        <w:t>el</w:t>
      </w:r>
      <w:r>
        <w:rPr>
          <w:spacing w:val="-1"/>
          <w:sz w:val="20"/>
        </w:rPr>
        <w:t> </w:t>
      </w:r>
      <w:r>
        <w:rPr>
          <w:sz w:val="20"/>
        </w:rPr>
        <w:t>Gobernador</w:t>
      </w:r>
      <w:r>
        <w:rPr>
          <w:spacing w:val="-2"/>
          <w:sz w:val="20"/>
        </w:rPr>
        <w:t> </w:t>
      </w:r>
      <w:r>
        <w:rPr>
          <w:sz w:val="20"/>
        </w:rPr>
        <w:t>del</w:t>
      </w:r>
      <w:r>
        <w:rPr>
          <w:spacing w:val="-4"/>
          <w:sz w:val="20"/>
        </w:rPr>
        <w:t> </w:t>
      </w:r>
      <w:r>
        <w:rPr>
          <w:sz w:val="20"/>
        </w:rPr>
        <w:t>Estado,</w:t>
      </w:r>
      <w:r>
        <w:rPr>
          <w:spacing w:val="-3"/>
          <w:sz w:val="20"/>
        </w:rPr>
        <w:t> </w:t>
      </w:r>
      <w:r>
        <w:rPr>
          <w:sz w:val="20"/>
        </w:rPr>
        <w:t>quien</w:t>
      </w:r>
      <w:r>
        <w:rPr>
          <w:spacing w:val="-4"/>
          <w:sz w:val="20"/>
        </w:rPr>
        <w:t> </w:t>
      </w:r>
      <w:r>
        <w:rPr>
          <w:sz w:val="20"/>
        </w:rPr>
        <w:t>podrá</w:t>
      </w:r>
      <w:r>
        <w:rPr>
          <w:spacing w:val="-3"/>
          <w:sz w:val="20"/>
        </w:rPr>
        <w:t> </w:t>
      </w:r>
      <w:r>
        <w:rPr>
          <w:sz w:val="20"/>
        </w:rPr>
        <w:t>delegar</w:t>
      </w:r>
      <w:r>
        <w:rPr>
          <w:spacing w:val="-2"/>
          <w:sz w:val="20"/>
        </w:rPr>
        <w:t> </w:t>
      </w:r>
      <w:r>
        <w:rPr>
          <w:sz w:val="20"/>
        </w:rPr>
        <w:t>dicha</w:t>
      </w:r>
      <w:r>
        <w:rPr>
          <w:spacing w:val="-4"/>
          <w:sz w:val="20"/>
        </w:rPr>
        <w:t> </w:t>
      </w:r>
      <w:r>
        <w:rPr>
          <w:sz w:val="20"/>
        </w:rPr>
        <w:t>representación</w:t>
      </w:r>
      <w:r>
        <w:rPr>
          <w:spacing w:val="-4"/>
          <w:sz w:val="20"/>
        </w:rPr>
        <w:t> </w:t>
      </w:r>
      <w:r>
        <w:rPr>
          <w:sz w:val="20"/>
        </w:rPr>
        <w:t>en alguno de los integrantes del Consejo;</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4"/>
        </w:numPr>
        <w:tabs>
          <w:tab w:pos="543" w:val="left" w:leader="none"/>
        </w:tabs>
        <w:spacing w:line="240" w:lineRule="auto" w:before="0" w:after="0"/>
        <w:ind w:left="543" w:right="0" w:hanging="281"/>
        <w:jc w:val="left"/>
        <w:rPr>
          <w:sz w:val="20"/>
        </w:rPr>
      </w:pPr>
      <w:r>
        <w:rPr>
          <w:sz w:val="20"/>
        </w:rPr>
        <w:t>Un</w:t>
      </w:r>
      <w:r>
        <w:rPr>
          <w:spacing w:val="-8"/>
          <w:sz w:val="20"/>
        </w:rPr>
        <w:t> </w:t>
      </w:r>
      <w:r>
        <w:rPr>
          <w:sz w:val="20"/>
        </w:rPr>
        <w:t>Secretario</w:t>
      </w:r>
      <w:r>
        <w:rPr>
          <w:spacing w:val="-7"/>
          <w:sz w:val="20"/>
        </w:rPr>
        <w:t> </w:t>
      </w:r>
      <w:r>
        <w:rPr>
          <w:sz w:val="20"/>
        </w:rPr>
        <w:t>Técnico,</w:t>
      </w:r>
      <w:r>
        <w:rPr>
          <w:spacing w:val="-7"/>
          <w:sz w:val="20"/>
        </w:rPr>
        <w:t> </w:t>
      </w:r>
      <w:r>
        <w:rPr>
          <w:sz w:val="20"/>
        </w:rPr>
        <w:t>que</w:t>
      </w:r>
      <w:r>
        <w:rPr>
          <w:spacing w:val="-6"/>
          <w:sz w:val="20"/>
        </w:rPr>
        <w:t> </w:t>
      </w:r>
      <w:r>
        <w:rPr>
          <w:sz w:val="20"/>
        </w:rPr>
        <w:t>será</w:t>
      </w:r>
      <w:r>
        <w:rPr>
          <w:spacing w:val="-7"/>
          <w:sz w:val="20"/>
        </w:rPr>
        <w:t> </w:t>
      </w:r>
      <w:r>
        <w:rPr>
          <w:sz w:val="20"/>
        </w:rPr>
        <w:t>el</w:t>
      </w:r>
      <w:r>
        <w:rPr>
          <w:spacing w:val="-7"/>
          <w:sz w:val="20"/>
        </w:rPr>
        <w:t> </w:t>
      </w:r>
      <w:r>
        <w:rPr>
          <w:sz w:val="20"/>
        </w:rPr>
        <w:t>Secretario</w:t>
      </w:r>
      <w:r>
        <w:rPr>
          <w:spacing w:val="-6"/>
          <w:sz w:val="20"/>
        </w:rPr>
        <w:t> </w:t>
      </w:r>
      <w:r>
        <w:rPr>
          <w:sz w:val="20"/>
        </w:rPr>
        <w:t>de</w:t>
      </w:r>
      <w:r>
        <w:rPr>
          <w:spacing w:val="-8"/>
          <w:sz w:val="20"/>
        </w:rPr>
        <w:t> </w:t>
      </w:r>
      <w:r>
        <w:rPr>
          <w:sz w:val="20"/>
        </w:rPr>
        <w:t>Desarrollo</w:t>
      </w:r>
      <w:r>
        <w:rPr>
          <w:spacing w:val="-6"/>
          <w:sz w:val="20"/>
        </w:rPr>
        <w:t> </w:t>
      </w:r>
      <w:r>
        <w:rPr>
          <w:sz w:val="20"/>
        </w:rPr>
        <w:t>Urbano</w:t>
      </w:r>
      <w:r>
        <w:rPr>
          <w:spacing w:val="-7"/>
          <w:sz w:val="20"/>
        </w:rPr>
        <w:t> </w:t>
      </w:r>
      <w:r>
        <w:rPr>
          <w:sz w:val="20"/>
        </w:rPr>
        <w:t>Vivienda</w:t>
      </w:r>
      <w:r>
        <w:rPr>
          <w:spacing w:val="-8"/>
          <w:sz w:val="20"/>
        </w:rPr>
        <w:t> </w:t>
      </w:r>
      <w:r>
        <w:rPr>
          <w:sz w:val="20"/>
        </w:rPr>
        <w:t>y</w:t>
      </w:r>
      <w:r>
        <w:rPr>
          <w:spacing w:val="-6"/>
          <w:sz w:val="20"/>
        </w:rPr>
        <w:t> </w:t>
      </w:r>
      <w:r>
        <w:rPr>
          <w:sz w:val="20"/>
        </w:rPr>
        <w:t>Obras</w:t>
      </w:r>
      <w:r>
        <w:rPr>
          <w:spacing w:val="-6"/>
          <w:sz w:val="20"/>
        </w:rPr>
        <w:t> </w:t>
      </w:r>
      <w:r>
        <w:rPr>
          <w:spacing w:val="-2"/>
          <w:sz w:val="20"/>
        </w:rPr>
        <w:t>Públicas;</w:t>
      </w:r>
    </w:p>
    <w:p>
      <w:pPr>
        <w:pStyle w:val="BodyText"/>
        <w:spacing w:before="1"/>
      </w:pPr>
    </w:p>
    <w:p>
      <w:pPr>
        <w:pStyle w:val="ListParagraph"/>
        <w:numPr>
          <w:ilvl w:val="0"/>
          <w:numId w:val="14"/>
        </w:numPr>
        <w:tabs>
          <w:tab w:pos="597" w:val="left" w:leader="none"/>
        </w:tabs>
        <w:spacing w:line="240" w:lineRule="auto" w:before="0" w:after="0"/>
        <w:ind w:left="597" w:right="0" w:hanging="335"/>
        <w:jc w:val="left"/>
        <w:rPr>
          <w:sz w:val="20"/>
        </w:rPr>
      </w:pPr>
      <w:r>
        <w:rPr>
          <w:sz w:val="20"/>
        </w:rPr>
        <w:t>Por</w:t>
      </w:r>
      <w:r>
        <w:rPr>
          <w:spacing w:val="-5"/>
          <w:sz w:val="20"/>
        </w:rPr>
        <w:t> </w:t>
      </w:r>
      <w:r>
        <w:rPr>
          <w:sz w:val="20"/>
        </w:rPr>
        <w:t>los</w:t>
      </w:r>
      <w:r>
        <w:rPr>
          <w:spacing w:val="-7"/>
          <w:sz w:val="20"/>
        </w:rPr>
        <w:t> </w:t>
      </w:r>
      <w:r>
        <w:rPr>
          <w:sz w:val="20"/>
        </w:rPr>
        <w:t>titulares</w:t>
      </w:r>
      <w:r>
        <w:rPr>
          <w:spacing w:val="-6"/>
          <w:sz w:val="20"/>
        </w:rPr>
        <w:t> </w:t>
      </w:r>
      <w:r>
        <w:rPr>
          <w:sz w:val="20"/>
        </w:rPr>
        <w:t>de</w:t>
      </w:r>
      <w:r>
        <w:rPr>
          <w:spacing w:val="-5"/>
          <w:sz w:val="20"/>
        </w:rPr>
        <w:t> </w:t>
      </w:r>
      <w:r>
        <w:rPr>
          <w:sz w:val="20"/>
        </w:rPr>
        <w:t>las</w:t>
      </w:r>
      <w:r>
        <w:rPr>
          <w:spacing w:val="-7"/>
          <w:sz w:val="20"/>
        </w:rPr>
        <w:t> </w:t>
      </w:r>
      <w:r>
        <w:rPr>
          <w:sz w:val="20"/>
        </w:rPr>
        <w:t>siguientes</w:t>
      </w:r>
      <w:r>
        <w:rPr>
          <w:spacing w:val="-6"/>
          <w:sz w:val="20"/>
        </w:rPr>
        <w:t> </w:t>
      </w:r>
      <w:r>
        <w:rPr>
          <w:sz w:val="20"/>
        </w:rPr>
        <w:t>dependencias</w:t>
      </w:r>
      <w:r>
        <w:rPr>
          <w:spacing w:val="-7"/>
          <w:sz w:val="20"/>
        </w:rPr>
        <w:t> </w:t>
      </w:r>
      <w:r>
        <w:rPr>
          <w:sz w:val="20"/>
        </w:rPr>
        <w:t>y</w:t>
      </w:r>
      <w:r>
        <w:rPr>
          <w:spacing w:val="-6"/>
          <w:sz w:val="20"/>
        </w:rPr>
        <w:t> </w:t>
      </w:r>
      <w:r>
        <w:rPr>
          <w:spacing w:val="-2"/>
          <w:sz w:val="20"/>
        </w:rPr>
        <w:t>entidades:</w:t>
      </w:r>
    </w:p>
    <w:p>
      <w:pPr>
        <w:pStyle w:val="BodyText"/>
      </w:pPr>
    </w:p>
    <w:p>
      <w:pPr>
        <w:pStyle w:val="ListParagraph"/>
        <w:numPr>
          <w:ilvl w:val="1"/>
          <w:numId w:val="14"/>
        </w:numPr>
        <w:tabs>
          <w:tab w:pos="544" w:val="left" w:leader="none"/>
        </w:tabs>
        <w:spacing w:line="240" w:lineRule="auto" w:before="1" w:after="0"/>
        <w:ind w:left="544" w:right="0" w:hanging="282"/>
        <w:jc w:val="left"/>
        <w:rPr>
          <w:sz w:val="20"/>
        </w:rPr>
      </w:pPr>
      <w:r>
        <w:rPr>
          <w:sz w:val="20"/>
        </w:rPr>
        <w:t>Secretaría</w:t>
      </w:r>
      <w:r>
        <w:rPr>
          <w:spacing w:val="-8"/>
          <w:sz w:val="20"/>
        </w:rPr>
        <w:t> </w:t>
      </w:r>
      <w:r>
        <w:rPr>
          <w:sz w:val="20"/>
        </w:rPr>
        <w:t>General</w:t>
      </w:r>
      <w:r>
        <w:rPr>
          <w:spacing w:val="-9"/>
          <w:sz w:val="20"/>
        </w:rPr>
        <w:t> </w:t>
      </w:r>
      <w:r>
        <w:rPr>
          <w:sz w:val="20"/>
        </w:rPr>
        <w:t>de</w:t>
      </w:r>
      <w:r>
        <w:rPr>
          <w:spacing w:val="-10"/>
          <w:sz w:val="20"/>
        </w:rPr>
        <w:t> </w:t>
      </w:r>
      <w:r>
        <w:rPr>
          <w:spacing w:val="-2"/>
          <w:sz w:val="20"/>
        </w:rPr>
        <w:t>Gobierno.</w:t>
      </w:r>
    </w:p>
    <w:p>
      <w:pPr>
        <w:pStyle w:val="ListParagraph"/>
        <w:numPr>
          <w:ilvl w:val="1"/>
          <w:numId w:val="14"/>
        </w:numPr>
        <w:tabs>
          <w:tab w:pos="544" w:val="left" w:leader="none"/>
        </w:tabs>
        <w:spacing w:line="240" w:lineRule="auto" w:before="228" w:after="0"/>
        <w:ind w:left="544" w:right="0" w:hanging="282"/>
        <w:jc w:val="left"/>
        <w:rPr>
          <w:sz w:val="20"/>
        </w:rPr>
      </w:pPr>
      <w:r>
        <w:rPr>
          <w:sz w:val="20"/>
        </w:rPr>
        <w:t>Secretaría</w:t>
      </w:r>
      <w:r>
        <w:rPr>
          <w:spacing w:val="-8"/>
          <w:sz w:val="20"/>
        </w:rPr>
        <w:t> </w:t>
      </w:r>
      <w:r>
        <w:rPr>
          <w:sz w:val="20"/>
        </w:rPr>
        <w:t>de</w:t>
      </w:r>
      <w:r>
        <w:rPr>
          <w:spacing w:val="-11"/>
          <w:sz w:val="20"/>
        </w:rPr>
        <w:t> </w:t>
      </w:r>
      <w:r>
        <w:rPr>
          <w:spacing w:val="-2"/>
          <w:sz w:val="20"/>
        </w:rPr>
        <w:t>Finanzas.</w:t>
      </w:r>
    </w:p>
    <w:p>
      <w:pPr>
        <w:pStyle w:val="BodyText"/>
        <w:spacing w:before="1"/>
      </w:pPr>
    </w:p>
    <w:p>
      <w:pPr>
        <w:pStyle w:val="ListParagraph"/>
        <w:numPr>
          <w:ilvl w:val="1"/>
          <w:numId w:val="14"/>
        </w:numPr>
        <w:tabs>
          <w:tab w:pos="544" w:val="left" w:leader="none"/>
        </w:tabs>
        <w:spacing w:line="240" w:lineRule="auto" w:before="0" w:after="0"/>
        <w:ind w:left="544" w:right="0" w:hanging="282"/>
        <w:jc w:val="left"/>
        <w:rPr>
          <w:sz w:val="20"/>
        </w:rPr>
      </w:pPr>
      <w:r>
        <w:rPr>
          <w:sz w:val="20"/>
        </w:rPr>
        <w:t>Secretaría</w:t>
      </w:r>
      <w:r>
        <w:rPr>
          <w:spacing w:val="-9"/>
          <w:sz w:val="20"/>
        </w:rPr>
        <w:t> </w:t>
      </w:r>
      <w:r>
        <w:rPr>
          <w:sz w:val="20"/>
        </w:rPr>
        <w:t>de</w:t>
      </w:r>
      <w:r>
        <w:rPr>
          <w:spacing w:val="-9"/>
          <w:sz w:val="20"/>
        </w:rPr>
        <w:t> </w:t>
      </w:r>
      <w:r>
        <w:rPr>
          <w:sz w:val="20"/>
        </w:rPr>
        <w:t>Desarrollo</w:t>
      </w:r>
      <w:r>
        <w:rPr>
          <w:spacing w:val="-9"/>
          <w:sz w:val="20"/>
        </w:rPr>
        <w:t> </w:t>
      </w:r>
      <w:r>
        <w:rPr>
          <w:spacing w:val="-2"/>
          <w:sz w:val="20"/>
        </w:rPr>
        <w:t>Económico.</w:t>
      </w:r>
    </w:p>
    <w:p>
      <w:pPr>
        <w:pStyle w:val="BodyText"/>
        <w:spacing w:before="1"/>
      </w:pPr>
    </w:p>
    <w:p>
      <w:pPr>
        <w:pStyle w:val="ListParagraph"/>
        <w:numPr>
          <w:ilvl w:val="1"/>
          <w:numId w:val="14"/>
        </w:numPr>
        <w:tabs>
          <w:tab w:pos="544" w:val="left" w:leader="none"/>
        </w:tabs>
        <w:spacing w:line="240" w:lineRule="auto" w:before="0" w:after="0"/>
        <w:ind w:left="544" w:right="0" w:hanging="282"/>
        <w:jc w:val="left"/>
        <w:rPr>
          <w:sz w:val="20"/>
        </w:rPr>
      </w:pPr>
      <w:r>
        <w:rPr>
          <w:sz w:val="20"/>
        </w:rPr>
        <w:t>Secretaría</w:t>
      </w:r>
      <w:r>
        <w:rPr>
          <w:spacing w:val="-7"/>
          <w:sz w:val="20"/>
        </w:rPr>
        <w:t> </w:t>
      </w:r>
      <w:r>
        <w:rPr>
          <w:sz w:val="20"/>
        </w:rPr>
        <w:t>de</w:t>
      </w:r>
      <w:r>
        <w:rPr>
          <w:spacing w:val="-7"/>
          <w:sz w:val="20"/>
        </w:rPr>
        <w:t> </w:t>
      </w:r>
      <w:r>
        <w:rPr>
          <w:sz w:val="20"/>
        </w:rPr>
        <w:t>Ecología</w:t>
      </w:r>
      <w:r>
        <w:rPr>
          <w:spacing w:val="-7"/>
          <w:sz w:val="20"/>
        </w:rPr>
        <w:t> </w:t>
      </w:r>
      <w:r>
        <w:rPr>
          <w:sz w:val="20"/>
        </w:rPr>
        <w:t>y</w:t>
      </w:r>
      <w:r>
        <w:rPr>
          <w:spacing w:val="-7"/>
          <w:sz w:val="20"/>
        </w:rPr>
        <w:t> </w:t>
      </w:r>
      <w:r>
        <w:rPr>
          <w:sz w:val="20"/>
        </w:rPr>
        <w:t>Gestión</w:t>
      </w:r>
      <w:r>
        <w:rPr>
          <w:spacing w:val="-7"/>
          <w:sz w:val="20"/>
        </w:rPr>
        <w:t> </w:t>
      </w:r>
      <w:r>
        <w:rPr>
          <w:spacing w:val="-2"/>
          <w:sz w:val="20"/>
        </w:rPr>
        <w:t>Ambiental.</w:t>
      </w:r>
    </w:p>
    <w:p>
      <w:pPr>
        <w:pStyle w:val="ListParagraph"/>
        <w:numPr>
          <w:ilvl w:val="1"/>
          <w:numId w:val="14"/>
        </w:numPr>
        <w:tabs>
          <w:tab w:pos="544" w:val="left" w:leader="none"/>
        </w:tabs>
        <w:spacing w:line="240" w:lineRule="auto" w:before="229" w:after="0"/>
        <w:ind w:left="544" w:right="0" w:hanging="282"/>
        <w:jc w:val="left"/>
        <w:rPr>
          <w:sz w:val="20"/>
        </w:rPr>
      </w:pPr>
      <w:r>
        <w:rPr>
          <w:sz w:val="20"/>
        </w:rPr>
        <w:t>Secretaría</w:t>
      </w:r>
      <w:r>
        <w:rPr>
          <w:spacing w:val="-7"/>
          <w:sz w:val="20"/>
        </w:rPr>
        <w:t> </w:t>
      </w:r>
      <w:r>
        <w:rPr>
          <w:sz w:val="20"/>
        </w:rPr>
        <w:t>de</w:t>
      </w:r>
      <w:r>
        <w:rPr>
          <w:spacing w:val="-7"/>
          <w:sz w:val="20"/>
        </w:rPr>
        <w:t> </w:t>
      </w:r>
      <w:r>
        <w:rPr>
          <w:sz w:val="20"/>
        </w:rPr>
        <w:t>Desarrollo</w:t>
      </w:r>
      <w:r>
        <w:rPr>
          <w:spacing w:val="-7"/>
          <w:sz w:val="20"/>
        </w:rPr>
        <w:t> </w:t>
      </w:r>
      <w:r>
        <w:rPr>
          <w:sz w:val="20"/>
        </w:rPr>
        <w:t>Social</w:t>
      </w:r>
      <w:r>
        <w:rPr>
          <w:spacing w:val="-7"/>
          <w:sz w:val="20"/>
        </w:rPr>
        <w:t> </w:t>
      </w:r>
      <w:r>
        <w:rPr>
          <w:sz w:val="20"/>
        </w:rPr>
        <w:t>y</w:t>
      </w:r>
      <w:r>
        <w:rPr>
          <w:spacing w:val="-8"/>
          <w:sz w:val="20"/>
        </w:rPr>
        <w:t> </w:t>
      </w:r>
      <w:r>
        <w:rPr>
          <w:spacing w:val="-2"/>
          <w:sz w:val="20"/>
        </w:rPr>
        <w:t>Regional.</w:t>
      </w:r>
    </w:p>
    <w:p>
      <w:pPr>
        <w:pStyle w:val="BodyText"/>
      </w:pPr>
    </w:p>
    <w:p>
      <w:pPr>
        <w:pStyle w:val="ListParagraph"/>
        <w:numPr>
          <w:ilvl w:val="1"/>
          <w:numId w:val="14"/>
        </w:numPr>
        <w:tabs>
          <w:tab w:pos="600" w:val="left" w:leader="none"/>
        </w:tabs>
        <w:spacing w:line="240" w:lineRule="auto" w:before="1" w:after="0"/>
        <w:ind w:left="600" w:right="0" w:hanging="338"/>
        <w:jc w:val="left"/>
        <w:rPr>
          <w:sz w:val="20"/>
        </w:rPr>
      </w:pPr>
      <w:r>
        <w:rPr>
          <w:sz w:val="20"/>
        </w:rPr>
        <w:t>Secretaría</w:t>
      </w:r>
      <w:r>
        <w:rPr>
          <w:spacing w:val="-10"/>
          <w:sz w:val="20"/>
        </w:rPr>
        <w:t> </w:t>
      </w:r>
      <w:r>
        <w:rPr>
          <w:sz w:val="20"/>
        </w:rPr>
        <w:t>de</w:t>
      </w:r>
      <w:r>
        <w:rPr>
          <w:spacing w:val="-7"/>
          <w:sz w:val="20"/>
        </w:rPr>
        <w:t> </w:t>
      </w:r>
      <w:r>
        <w:rPr>
          <w:sz w:val="20"/>
        </w:rPr>
        <w:t>Comunicaciones</w:t>
      </w:r>
      <w:r>
        <w:rPr>
          <w:spacing w:val="-8"/>
          <w:sz w:val="20"/>
        </w:rPr>
        <w:t> </w:t>
      </w:r>
      <w:r>
        <w:rPr>
          <w:sz w:val="20"/>
        </w:rPr>
        <w:t>y</w:t>
      </w:r>
      <w:r>
        <w:rPr>
          <w:spacing w:val="-9"/>
          <w:sz w:val="20"/>
        </w:rPr>
        <w:t> </w:t>
      </w:r>
      <w:r>
        <w:rPr>
          <w:spacing w:val="-2"/>
          <w:sz w:val="20"/>
        </w:rPr>
        <w:t>Transportes.</w:t>
      </w:r>
    </w:p>
    <w:p>
      <w:pPr>
        <w:pStyle w:val="BodyText"/>
      </w:pPr>
    </w:p>
    <w:p>
      <w:pPr>
        <w:pStyle w:val="ListParagraph"/>
        <w:numPr>
          <w:ilvl w:val="1"/>
          <w:numId w:val="14"/>
        </w:numPr>
        <w:tabs>
          <w:tab w:pos="544" w:val="left" w:leader="none"/>
        </w:tabs>
        <w:spacing w:line="240" w:lineRule="auto" w:before="0" w:after="0"/>
        <w:ind w:left="544" w:right="0" w:hanging="282"/>
        <w:jc w:val="left"/>
        <w:rPr>
          <w:sz w:val="20"/>
        </w:rPr>
      </w:pPr>
      <w:r>
        <w:rPr>
          <w:sz w:val="20"/>
        </w:rPr>
        <w:t>Secretaría</w:t>
      </w:r>
      <w:r>
        <w:rPr>
          <w:spacing w:val="-8"/>
          <w:sz w:val="20"/>
        </w:rPr>
        <w:t> </w:t>
      </w:r>
      <w:r>
        <w:rPr>
          <w:sz w:val="20"/>
        </w:rPr>
        <w:t>de</w:t>
      </w:r>
      <w:r>
        <w:rPr>
          <w:spacing w:val="-9"/>
          <w:sz w:val="20"/>
        </w:rPr>
        <w:t> </w:t>
      </w:r>
      <w:r>
        <w:rPr>
          <w:spacing w:val="-2"/>
          <w:sz w:val="20"/>
        </w:rPr>
        <w:t>Cultura.</w:t>
      </w:r>
    </w:p>
    <w:p>
      <w:pPr>
        <w:pStyle w:val="ListParagraph"/>
        <w:numPr>
          <w:ilvl w:val="1"/>
          <w:numId w:val="14"/>
        </w:numPr>
        <w:tabs>
          <w:tab w:pos="544" w:val="left" w:leader="none"/>
        </w:tabs>
        <w:spacing w:line="240" w:lineRule="auto" w:before="229" w:after="0"/>
        <w:ind w:left="544" w:right="0" w:hanging="282"/>
        <w:jc w:val="left"/>
        <w:rPr>
          <w:sz w:val="20"/>
        </w:rPr>
      </w:pPr>
      <w:r>
        <w:rPr>
          <w:sz w:val="20"/>
        </w:rPr>
        <w:t>Instituto</w:t>
      </w:r>
      <w:r>
        <w:rPr>
          <w:spacing w:val="-8"/>
          <w:sz w:val="20"/>
        </w:rPr>
        <w:t> </w:t>
      </w:r>
      <w:r>
        <w:rPr>
          <w:sz w:val="20"/>
        </w:rPr>
        <w:t>Estatal</w:t>
      </w:r>
      <w:r>
        <w:rPr>
          <w:spacing w:val="-10"/>
          <w:sz w:val="20"/>
        </w:rPr>
        <w:t> </w:t>
      </w:r>
      <w:r>
        <w:rPr>
          <w:sz w:val="20"/>
        </w:rPr>
        <w:t>de</w:t>
      </w:r>
      <w:r>
        <w:rPr>
          <w:spacing w:val="-9"/>
          <w:sz w:val="20"/>
        </w:rPr>
        <w:t> </w:t>
      </w:r>
      <w:r>
        <w:rPr>
          <w:sz w:val="20"/>
        </w:rPr>
        <w:t>Planeación</w:t>
      </w:r>
      <w:r>
        <w:rPr>
          <w:spacing w:val="-8"/>
          <w:sz w:val="20"/>
        </w:rPr>
        <w:t> </w:t>
      </w:r>
      <w:r>
        <w:rPr>
          <w:spacing w:val="-2"/>
          <w:sz w:val="20"/>
        </w:rPr>
        <w:t>Urbana.</w:t>
      </w:r>
    </w:p>
    <w:p>
      <w:pPr>
        <w:pStyle w:val="BodyText"/>
      </w:pPr>
    </w:p>
    <w:p>
      <w:pPr>
        <w:pStyle w:val="ListParagraph"/>
        <w:numPr>
          <w:ilvl w:val="1"/>
          <w:numId w:val="14"/>
        </w:numPr>
        <w:tabs>
          <w:tab w:pos="543" w:val="left" w:leader="none"/>
        </w:tabs>
        <w:spacing w:line="240" w:lineRule="auto" w:before="1" w:after="0"/>
        <w:ind w:left="543" w:right="0" w:hanging="281"/>
        <w:jc w:val="left"/>
        <w:rPr>
          <w:sz w:val="20"/>
        </w:rPr>
      </w:pPr>
      <w:r>
        <w:rPr>
          <w:sz w:val="20"/>
        </w:rPr>
        <w:t>Instituto</w:t>
      </w:r>
      <w:r>
        <w:rPr>
          <w:spacing w:val="-9"/>
          <w:sz w:val="20"/>
        </w:rPr>
        <w:t> </w:t>
      </w:r>
      <w:r>
        <w:rPr>
          <w:sz w:val="20"/>
        </w:rPr>
        <w:t>de</w:t>
      </w:r>
      <w:r>
        <w:rPr>
          <w:spacing w:val="-7"/>
          <w:sz w:val="20"/>
        </w:rPr>
        <w:t> </w:t>
      </w:r>
      <w:r>
        <w:rPr>
          <w:sz w:val="20"/>
        </w:rPr>
        <w:t>Vivienda</w:t>
      </w:r>
      <w:r>
        <w:rPr>
          <w:spacing w:val="-7"/>
          <w:sz w:val="20"/>
        </w:rPr>
        <w:t> </w:t>
      </w:r>
      <w:r>
        <w:rPr>
          <w:sz w:val="20"/>
        </w:rPr>
        <w:t>del</w:t>
      </w:r>
      <w:r>
        <w:rPr>
          <w:spacing w:val="-6"/>
          <w:sz w:val="20"/>
        </w:rPr>
        <w:t> </w:t>
      </w:r>
      <w:r>
        <w:rPr>
          <w:spacing w:val="-2"/>
          <w:sz w:val="20"/>
        </w:rPr>
        <w:t>Estado.</w:t>
      </w:r>
    </w:p>
    <w:p>
      <w:pPr>
        <w:pStyle w:val="ListParagraph"/>
        <w:numPr>
          <w:ilvl w:val="1"/>
          <w:numId w:val="14"/>
        </w:numPr>
        <w:tabs>
          <w:tab w:pos="600" w:val="left" w:leader="none"/>
        </w:tabs>
        <w:spacing w:line="240" w:lineRule="auto" w:before="228" w:after="0"/>
        <w:ind w:left="600" w:right="0" w:hanging="338"/>
        <w:jc w:val="left"/>
        <w:rPr>
          <w:sz w:val="20"/>
        </w:rPr>
      </w:pPr>
      <w:r>
        <w:rPr>
          <w:sz w:val="20"/>
        </w:rPr>
        <w:t>Instituto</w:t>
      </w:r>
      <w:r>
        <w:rPr>
          <w:spacing w:val="-8"/>
          <w:sz w:val="20"/>
        </w:rPr>
        <w:t> </w:t>
      </w:r>
      <w:r>
        <w:rPr>
          <w:sz w:val="20"/>
        </w:rPr>
        <w:t>Registral</w:t>
      </w:r>
      <w:r>
        <w:rPr>
          <w:spacing w:val="-8"/>
          <w:sz w:val="20"/>
        </w:rPr>
        <w:t> </w:t>
      </w:r>
      <w:r>
        <w:rPr>
          <w:sz w:val="20"/>
        </w:rPr>
        <w:t>y</w:t>
      </w:r>
      <w:r>
        <w:rPr>
          <w:spacing w:val="-6"/>
          <w:sz w:val="20"/>
        </w:rPr>
        <w:t> </w:t>
      </w:r>
      <w:r>
        <w:rPr>
          <w:sz w:val="20"/>
        </w:rPr>
        <w:t>Catastral</w:t>
      </w:r>
      <w:r>
        <w:rPr>
          <w:spacing w:val="-7"/>
          <w:sz w:val="20"/>
        </w:rPr>
        <w:t> </w:t>
      </w:r>
      <w:r>
        <w:rPr>
          <w:sz w:val="20"/>
        </w:rPr>
        <w:t>del</w:t>
      </w:r>
      <w:r>
        <w:rPr>
          <w:spacing w:val="-6"/>
          <w:sz w:val="20"/>
        </w:rPr>
        <w:t> </w:t>
      </w:r>
      <w:r>
        <w:rPr>
          <w:spacing w:val="-2"/>
          <w:sz w:val="20"/>
        </w:rPr>
        <w:t>Estado.</w:t>
      </w:r>
    </w:p>
    <w:p>
      <w:pPr>
        <w:pStyle w:val="BodyText"/>
        <w:spacing w:before="1"/>
      </w:pPr>
    </w:p>
    <w:p>
      <w:pPr>
        <w:pStyle w:val="ListParagraph"/>
        <w:numPr>
          <w:ilvl w:val="1"/>
          <w:numId w:val="14"/>
        </w:numPr>
        <w:tabs>
          <w:tab w:pos="544" w:val="left" w:leader="none"/>
        </w:tabs>
        <w:spacing w:line="240" w:lineRule="auto" w:before="0" w:after="0"/>
        <w:ind w:left="544" w:right="0" w:hanging="282"/>
        <w:jc w:val="left"/>
        <w:rPr>
          <w:sz w:val="20"/>
        </w:rPr>
      </w:pPr>
      <w:r>
        <w:rPr>
          <w:sz w:val="20"/>
        </w:rPr>
        <w:t>Promotora</w:t>
      </w:r>
      <w:r>
        <w:rPr>
          <w:spacing w:val="-11"/>
          <w:sz w:val="20"/>
        </w:rPr>
        <w:t> </w:t>
      </w:r>
      <w:r>
        <w:rPr>
          <w:sz w:val="20"/>
        </w:rPr>
        <w:t>del</w:t>
      </w:r>
      <w:r>
        <w:rPr>
          <w:spacing w:val="-8"/>
          <w:sz w:val="20"/>
        </w:rPr>
        <w:t> </w:t>
      </w:r>
      <w:r>
        <w:rPr>
          <w:spacing w:val="-2"/>
          <w:sz w:val="20"/>
        </w:rPr>
        <w:t>Estado.</w:t>
      </w:r>
    </w:p>
    <w:p>
      <w:pPr>
        <w:pStyle w:val="BodyText"/>
        <w:spacing w:before="1"/>
      </w:pPr>
    </w:p>
    <w:p>
      <w:pPr>
        <w:pStyle w:val="ListParagraph"/>
        <w:numPr>
          <w:ilvl w:val="1"/>
          <w:numId w:val="14"/>
        </w:numPr>
        <w:tabs>
          <w:tab w:pos="543" w:val="left" w:leader="none"/>
        </w:tabs>
        <w:spacing w:line="240" w:lineRule="auto" w:before="0" w:after="0"/>
        <w:ind w:left="543" w:right="0" w:hanging="281"/>
        <w:jc w:val="left"/>
        <w:rPr>
          <w:sz w:val="20"/>
        </w:rPr>
      </w:pPr>
      <w:r>
        <w:rPr>
          <w:sz w:val="20"/>
        </w:rPr>
        <w:t>Comisión</w:t>
      </w:r>
      <w:r>
        <w:rPr>
          <w:spacing w:val="-7"/>
          <w:sz w:val="20"/>
        </w:rPr>
        <w:t> </w:t>
      </w:r>
      <w:r>
        <w:rPr>
          <w:sz w:val="20"/>
        </w:rPr>
        <w:t>Estatal</w:t>
      </w:r>
      <w:r>
        <w:rPr>
          <w:spacing w:val="-7"/>
          <w:sz w:val="20"/>
        </w:rPr>
        <w:t> </w:t>
      </w:r>
      <w:r>
        <w:rPr>
          <w:sz w:val="20"/>
        </w:rPr>
        <w:t>del</w:t>
      </w:r>
      <w:r>
        <w:rPr>
          <w:spacing w:val="-10"/>
          <w:sz w:val="20"/>
        </w:rPr>
        <w:t> </w:t>
      </w:r>
      <w:r>
        <w:rPr>
          <w:spacing w:val="-4"/>
          <w:sz w:val="20"/>
        </w:rPr>
        <w:t>Agua.</w:t>
      </w:r>
    </w:p>
    <w:p>
      <w:pPr>
        <w:pStyle w:val="ListParagraph"/>
        <w:numPr>
          <w:ilvl w:val="1"/>
          <w:numId w:val="14"/>
        </w:numPr>
        <w:tabs>
          <w:tab w:pos="744" w:val="left" w:leader="none"/>
        </w:tabs>
        <w:spacing w:line="240" w:lineRule="auto" w:before="229" w:after="0"/>
        <w:ind w:left="744" w:right="0" w:hanging="482"/>
        <w:jc w:val="left"/>
        <w:rPr>
          <w:sz w:val="20"/>
        </w:rPr>
      </w:pPr>
      <w:r>
        <w:rPr>
          <w:sz w:val="20"/>
        </w:rPr>
        <w:t>Unidad</w:t>
      </w:r>
      <w:r>
        <w:rPr>
          <w:spacing w:val="-6"/>
          <w:sz w:val="20"/>
        </w:rPr>
        <w:t> </w:t>
      </w:r>
      <w:r>
        <w:rPr>
          <w:sz w:val="20"/>
        </w:rPr>
        <w:t>de</w:t>
      </w:r>
      <w:r>
        <w:rPr>
          <w:spacing w:val="-6"/>
          <w:sz w:val="20"/>
        </w:rPr>
        <w:t> </w:t>
      </w:r>
      <w:r>
        <w:rPr>
          <w:sz w:val="20"/>
        </w:rPr>
        <w:t>Protección</w:t>
      </w:r>
      <w:r>
        <w:rPr>
          <w:spacing w:val="-8"/>
          <w:sz w:val="20"/>
        </w:rPr>
        <w:t> </w:t>
      </w:r>
      <w:r>
        <w:rPr>
          <w:sz w:val="20"/>
        </w:rPr>
        <w:t>Civil</w:t>
      </w:r>
      <w:r>
        <w:rPr>
          <w:spacing w:val="-7"/>
          <w:sz w:val="20"/>
        </w:rPr>
        <w:t> </w:t>
      </w:r>
      <w:r>
        <w:rPr>
          <w:sz w:val="20"/>
        </w:rPr>
        <w:t>del</w:t>
      </w:r>
      <w:r>
        <w:rPr>
          <w:spacing w:val="-6"/>
          <w:sz w:val="20"/>
        </w:rPr>
        <w:t> </w:t>
      </w:r>
      <w:r>
        <w:rPr>
          <w:spacing w:val="-2"/>
          <w:sz w:val="20"/>
        </w:rPr>
        <w:t>Estado;</w:t>
      </w:r>
    </w:p>
    <w:p>
      <w:pPr>
        <w:pStyle w:val="ListParagraph"/>
        <w:numPr>
          <w:ilvl w:val="0"/>
          <w:numId w:val="14"/>
        </w:numPr>
        <w:tabs>
          <w:tab w:pos="688" w:val="left" w:leader="none"/>
        </w:tabs>
        <w:spacing w:line="240" w:lineRule="auto" w:before="0" w:after="0"/>
        <w:ind w:left="688" w:right="0" w:hanging="426"/>
        <w:jc w:val="left"/>
        <w:rPr>
          <w:sz w:val="20"/>
        </w:rPr>
      </w:pPr>
      <w:r>
        <w:rPr>
          <w:sz w:val="20"/>
        </w:rPr>
        <w:t>El</w:t>
      </w:r>
      <w:r>
        <w:rPr>
          <w:spacing w:val="-8"/>
          <w:sz w:val="20"/>
        </w:rPr>
        <w:t> </w:t>
      </w:r>
      <w:r>
        <w:rPr>
          <w:sz w:val="20"/>
        </w:rPr>
        <w:t>Presidente</w:t>
      </w:r>
      <w:r>
        <w:rPr>
          <w:spacing w:val="-7"/>
          <w:sz w:val="20"/>
        </w:rPr>
        <w:t> </w:t>
      </w:r>
      <w:r>
        <w:rPr>
          <w:sz w:val="20"/>
        </w:rPr>
        <w:t>de</w:t>
      </w:r>
      <w:r>
        <w:rPr>
          <w:spacing w:val="-8"/>
          <w:sz w:val="20"/>
        </w:rPr>
        <w:t> </w:t>
      </w:r>
      <w:r>
        <w:rPr>
          <w:sz w:val="20"/>
        </w:rPr>
        <w:t>la</w:t>
      </w:r>
      <w:r>
        <w:rPr>
          <w:spacing w:val="-8"/>
          <w:sz w:val="20"/>
        </w:rPr>
        <w:t> </w:t>
      </w:r>
      <w:r>
        <w:rPr>
          <w:sz w:val="20"/>
        </w:rPr>
        <w:t>Comisión</w:t>
      </w:r>
      <w:r>
        <w:rPr>
          <w:spacing w:val="-9"/>
          <w:sz w:val="20"/>
        </w:rPr>
        <w:t> </w:t>
      </w:r>
      <w:r>
        <w:rPr>
          <w:sz w:val="20"/>
        </w:rPr>
        <w:t>de</w:t>
      </w:r>
      <w:r>
        <w:rPr>
          <w:spacing w:val="-8"/>
          <w:sz w:val="20"/>
        </w:rPr>
        <w:t> </w:t>
      </w:r>
      <w:r>
        <w:rPr>
          <w:sz w:val="20"/>
        </w:rPr>
        <w:t>Desarrollo</w:t>
      </w:r>
      <w:r>
        <w:rPr>
          <w:spacing w:val="-6"/>
          <w:sz w:val="20"/>
        </w:rPr>
        <w:t> </w:t>
      </w:r>
      <w:r>
        <w:rPr>
          <w:sz w:val="20"/>
        </w:rPr>
        <w:t>Territorial</w:t>
      </w:r>
      <w:r>
        <w:rPr>
          <w:spacing w:val="-7"/>
          <w:sz w:val="20"/>
        </w:rPr>
        <w:t> </w:t>
      </w:r>
      <w:r>
        <w:rPr>
          <w:sz w:val="20"/>
        </w:rPr>
        <w:t>Sustentable</w:t>
      </w:r>
      <w:r>
        <w:rPr>
          <w:spacing w:val="-6"/>
          <w:sz w:val="20"/>
        </w:rPr>
        <w:t> </w:t>
      </w:r>
      <w:r>
        <w:rPr>
          <w:sz w:val="20"/>
        </w:rPr>
        <w:t>del</w:t>
      </w:r>
      <w:r>
        <w:rPr>
          <w:spacing w:val="-9"/>
          <w:sz w:val="20"/>
        </w:rPr>
        <w:t> </w:t>
      </w:r>
      <w:r>
        <w:rPr>
          <w:sz w:val="20"/>
        </w:rPr>
        <w:t>Congreso</w:t>
      </w:r>
      <w:r>
        <w:rPr>
          <w:spacing w:val="-6"/>
          <w:sz w:val="20"/>
        </w:rPr>
        <w:t> </w:t>
      </w:r>
      <w:r>
        <w:rPr>
          <w:sz w:val="20"/>
        </w:rPr>
        <w:t>del</w:t>
      </w:r>
      <w:r>
        <w:rPr>
          <w:spacing w:val="-7"/>
          <w:sz w:val="20"/>
        </w:rPr>
        <w:t> </w:t>
      </w:r>
      <w:r>
        <w:rPr>
          <w:spacing w:val="-2"/>
          <w:sz w:val="20"/>
        </w:rPr>
        <w:t>Estado;</w:t>
      </w:r>
    </w:p>
    <w:p>
      <w:pPr>
        <w:pStyle w:val="BodyText"/>
        <w:spacing w:before="1"/>
      </w:pPr>
    </w:p>
    <w:p>
      <w:pPr>
        <w:pStyle w:val="ListParagraph"/>
        <w:numPr>
          <w:ilvl w:val="0"/>
          <w:numId w:val="14"/>
        </w:numPr>
        <w:tabs>
          <w:tab w:pos="689" w:val="left" w:leader="none"/>
        </w:tabs>
        <w:spacing w:line="240" w:lineRule="auto" w:before="0" w:after="0"/>
        <w:ind w:left="689" w:right="0" w:hanging="427"/>
        <w:jc w:val="left"/>
        <w:rPr>
          <w:sz w:val="20"/>
        </w:rPr>
      </w:pPr>
      <w:r>
        <w:rPr>
          <w:sz w:val="20"/>
        </w:rPr>
        <w:t>El</w:t>
      </w:r>
      <w:r>
        <w:rPr>
          <w:spacing w:val="-8"/>
          <w:sz w:val="20"/>
        </w:rPr>
        <w:t> </w:t>
      </w:r>
      <w:r>
        <w:rPr>
          <w:sz w:val="20"/>
        </w:rPr>
        <w:t>Delegado</w:t>
      </w:r>
      <w:r>
        <w:rPr>
          <w:spacing w:val="-6"/>
          <w:sz w:val="20"/>
        </w:rPr>
        <w:t> </w:t>
      </w:r>
      <w:r>
        <w:rPr>
          <w:sz w:val="20"/>
        </w:rPr>
        <w:t>o</w:t>
      </w:r>
      <w:r>
        <w:rPr>
          <w:spacing w:val="-7"/>
          <w:sz w:val="20"/>
        </w:rPr>
        <w:t> </w:t>
      </w:r>
      <w:r>
        <w:rPr>
          <w:sz w:val="20"/>
        </w:rPr>
        <w:t>representante</w:t>
      </w:r>
      <w:r>
        <w:rPr>
          <w:spacing w:val="-6"/>
          <w:sz w:val="20"/>
        </w:rPr>
        <w:t> </w:t>
      </w:r>
      <w:r>
        <w:rPr>
          <w:sz w:val="20"/>
        </w:rPr>
        <w:t>de</w:t>
      </w:r>
      <w:r>
        <w:rPr>
          <w:spacing w:val="-5"/>
          <w:sz w:val="20"/>
        </w:rPr>
        <w:t> </w:t>
      </w:r>
      <w:r>
        <w:rPr>
          <w:sz w:val="20"/>
        </w:rPr>
        <w:t>la</w:t>
      </w:r>
      <w:r>
        <w:rPr>
          <w:spacing w:val="-5"/>
          <w:sz w:val="20"/>
        </w:rPr>
        <w:t> </w:t>
      </w:r>
      <w:r>
        <w:rPr>
          <w:sz w:val="20"/>
        </w:rPr>
        <w:t>SEDATU</w:t>
      </w:r>
      <w:r>
        <w:rPr>
          <w:spacing w:val="-4"/>
          <w:sz w:val="20"/>
        </w:rPr>
        <w:t> </w:t>
      </w:r>
      <w:r>
        <w:rPr>
          <w:sz w:val="20"/>
        </w:rPr>
        <w:t>del</w:t>
      </w:r>
      <w:r>
        <w:rPr>
          <w:spacing w:val="-8"/>
          <w:sz w:val="20"/>
        </w:rPr>
        <w:t> </w:t>
      </w:r>
      <w:r>
        <w:rPr>
          <w:sz w:val="20"/>
        </w:rPr>
        <w:t>Gobierno</w:t>
      </w:r>
      <w:r>
        <w:rPr>
          <w:spacing w:val="-7"/>
          <w:sz w:val="20"/>
        </w:rPr>
        <w:t> </w:t>
      </w:r>
      <w:r>
        <w:rPr>
          <w:spacing w:val="-2"/>
          <w:sz w:val="20"/>
        </w:rPr>
        <w:t>Federal;</w:t>
      </w:r>
    </w:p>
    <w:p>
      <w:pPr>
        <w:pStyle w:val="BodyText"/>
        <w:spacing w:before="1"/>
      </w:pPr>
    </w:p>
    <w:p>
      <w:pPr>
        <w:pStyle w:val="ListParagraph"/>
        <w:numPr>
          <w:ilvl w:val="0"/>
          <w:numId w:val="14"/>
        </w:numPr>
        <w:tabs>
          <w:tab w:pos="688" w:val="left" w:leader="none"/>
        </w:tabs>
        <w:spacing w:line="240" w:lineRule="auto" w:before="0" w:after="0"/>
        <w:ind w:left="688" w:right="0" w:hanging="426"/>
        <w:jc w:val="left"/>
        <w:rPr>
          <w:sz w:val="20"/>
        </w:rPr>
      </w:pPr>
      <w:r>
        <w:rPr>
          <w:sz w:val="20"/>
        </w:rPr>
        <w:t>El</w:t>
      </w:r>
      <w:r>
        <w:rPr>
          <w:spacing w:val="-7"/>
          <w:sz w:val="20"/>
        </w:rPr>
        <w:t> </w:t>
      </w:r>
      <w:r>
        <w:rPr>
          <w:sz w:val="20"/>
        </w:rPr>
        <w:t>Delegado</w:t>
      </w:r>
      <w:r>
        <w:rPr>
          <w:spacing w:val="-5"/>
          <w:sz w:val="20"/>
        </w:rPr>
        <w:t> </w:t>
      </w:r>
      <w:r>
        <w:rPr>
          <w:sz w:val="20"/>
        </w:rPr>
        <w:t>del</w:t>
      </w:r>
      <w:r>
        <w:rPr>
          <w:spacing w:val="-5"/>
          <w:sz w:val="20"/>
        </w:rPr>
        <w:t> </w:t>
      </w:r>
      <w:r>
        <w:rPr>
          <w:sz w:val="20"/>
        </w:rPr>
        <w:t>INFONAVIT</w:t>
      </w:r>
      <w:r>
        <w:rPr>
          <w:spacing w:val="-5"/>
          <w:sz w:val="20"/>
        </w:rPr>
        <w:t> </w:t>
      </w:r>
      <w:r>
        <w:rPr>
          <w:sz w:val="20"/>
        </w:rPr>
        <w:t>en</w:t>
      </w:r>
      <w:r>
        <w:rPr>
          <w:spacing w:val="-6"/>
          <w:sz w:val="20"/>
        </w:rPr>
        <w:t> </w:t>
      </w:r>
      <w:r>
        <w:rPr>
          <w:sz w:val="20"/>
        </w:rPr>
        <w:t>el</w:t>
      </w:r>
      <w:r>
        <w:rPr>
          <w:spacing w:val="-5"/>
          <w:sz w:val="20"/>
        </w:rPr>
        <w:t> </w:t>
      </w:r>
      <w:r>
        <w:rPr>
          <w:spacing w:val="-2"/>
          <w:sz w:val="20"/>
        </w:rPr>
        <w:t>Estado;</w:t>
      </w:r>
    </w:p>
    <w:p>
      <w:pPr>
        <w:pStyle w:val="ListParagraph"/>
        <w:numPr>
          <w:ilvl w:val="0"/>
          <w:numId w:val="14"/>
        </w:numPr>
        <w:tabs>
          <w:tab w:pos="688" w:val="left" w:leader="none"/>
        </w:tabs>
        <w:spacing w:line="240" w:lineRule="auto" w:before="228" w:after="0"/>
        <w:ind w:left="688" w:right="0" w:hanging="426"/>
        <w:jc w:val="left"/>
        <w:rPr>
          <w:sz w:val="20"/>
        </w:rPr>
      </w:pPr>
      <w:r>
        <w:rPr>
          <w:sz w:val="20"/>
        </w:rPr>
        <w:t>El</w:t>
      </w:r>
      <w:r>
        <w:rPr>
          <w:spacing w:val="-9"/>
          <w:sz w:val="20"/>
        </w:rPr>
        <w:t> </w:t>
      </w:r>
      <w:r>
        <w:rPr>
          <w:sz w:val="20"/>
        </w:rPr>
        <w:t>Delegado</w:t>
      </w:r>
      <w:r>
        <w:rPr>
          <w:spacing w:val="-6"/>
          <w:sz w:val="20"/>
        </w:rPr>
        <w:t> </w:t>
      </w:r>
      <w:r>
        <w:rPr>
          <w:sz w:val="20"/>
        </w:rPr>
        <w:t>de</w:t>
      </w:r>
      <w:r>
        <w:rPr>
          <w:spacing w:val="-7"/>
          <w:sz w:val="20"/>
        </w:rPr>
        <w:t> </w:t>
      </w:r>
      <w:r>
        <w:rPr>
          <w:sz w:val="20"/>
        </w:rPr>
        <w:t>la</w:t>
      </w:r>
      <w:r>
        <w:rPr>
          <w:spacing w:val="-5"/>
          <w:sz w:val="20"/>
        </w:rPr>
        <w:t> </w:t>
      </w:r>
      <w:r>
        <w:rPr>
          <w:sz w:val="20"/>
        </w:rPr>
        <w:t>SEMARNAT</w:t>
      </w:r>
      <w:r>
        <w:rPr>
          <w:spacing w:val="-7"/>
          <w:sz w:val="20"/>
        </w:rPr>
        <w:t> </w:t>
      </w:r>
      <w:r>
        <w:rPr>
          <w:sz w:val="20"/>
        </w:rPr>
        <w:t>del</w:t>
      </w:r>
      <w:r>
        <w:rPr>
          <w:spacing w:val="-8"/>
          <w:sz w:val="20"/>
        </w:rPr>
        <w:t> </w:t>
      </w:r>
      <w:r>
        <w:rPr>
          <w:sz w:val="20"/>
        </w:rPr>
        <w:t>Gobierno</w:t>
      </w:r>
      <w:r>
        <w:rPr>
          <w:spacing w:val="-8"/>
          <w:sz w:val="20"/>
        </w:rPr>
        <w:t> </w:t>
      </w:r>
      <w:r>
        <w:rPr>
          <w:spacing w:val="-2"/>
          <w:sz w:val="20"/>
        </w:rPr>
        <w:t>Federal;</w:t>
      </w:r>
    </w:p>
    <w:p>
      <w:pPr>
        <w:pStyle w:val="BodyText"/>
        <w:spacing w:before="1"/>
      </w:pPr>
    </w:p>
    <w:p>
      <w:pPr>
        <w:pStyle w:val="ListParagraph"/>
        <w:numPr>
          <w:ilvl w:val="0"/>
          <w:numId w:val="14"/>
        </w:numPr>
        <w:tabs>
          <w:tab w:pos="828" w:val="left" w:leader="none"/>
        </w:tabs>
        <w:spacing w:line="240" w:lineRule="auto" w:before="0" w:after="0"/>
        <w:ind w:left="828" w:right="0" w:hanging="566"/>
        <w:jc w:val="left"/>
        <w:rPr>
          <w:sz w:val="20"/>
        </w:rPr>
      </w:pPr>
      <w:r>
        <w:rPr>
          <w:sz w:val="20"/>
        </w:rPr>
        <w:t>Un</w:t>
      </w:r>
      <w:r>
        <w:rPr>
          <w:spacing w:val="-8"/>
          <w:sz w:val="20"/>
        </w:rPr>
        <w:t> </w:t>
      </w:r>
      <w:r>
        <w:rPr>
          <w:sz w:val="20"/>
        </w:rPr>
        <w:t>Presidente</w:t>
      </w:r>
      <w:r>
        <w:rPr>
          <w:spacing w:val="-7"/>
          <w:sz w:val="20"/>
        </w:rPr>
        <w:t> </w:t>
      </w:r>
      <w:r>
        <w:rPr>
          <w:sz w:val="20"/>
        </w:rPr>
        <w:t>Municipal</w:t>
      </w:r>
      <w:r>
        <w:rPr>
          <w:spacing w:val="-8"/>
          <w:sz w:val="20"/>
        </w:rPr>
        <w:t> </w:t>
      </w:r>
      <w:r>
        <w:rPr>
          <w:sz w:val="20"/>
        </w:rPr>
        <w:t>representante</w:t>
      </w:r>
      <w:r>
        <w:rPr>
          <w:spacing w:val="-7"/>
          <w:sz w:val="20"/>
        </w:rPr>
        <w:t> </w:t>
      </w:r>
      <w:r>
        <w:rPr>
          <w:sz w:val="20"/>
        </w:rPr>
        <w:t>de</w:t>
      </w:r>
      <w:r>
        <w:rPr>
          <w:spacing w:val="-9"/>
          <w:sz w:val="20"/>
        </w:rPr>
        <w:t> </w:t>
      </w:r>
      <w:r>
        <w:rPr>
          <w:sz w:val="20"/>
        </w:rPr>
        <w:t>cada</w:t>
      </w:r>
      <w:r>
        <w:rPr>
          <w:spacing w:val="-8"/>
          <w:sz w:val="20"/>
        </w:rPr>
        <w:t> </w:t>
      </w:r>
      <w:r>
        <w:rPr>
          <w:sz w:val="20"/>
        </w:rPr>
        <w:t>una</w:t>
      </w:r>
      <w:r>
        <w:rPr>
          <w:spacing w:val="-7"/>
          <w:sz w:val="20"/>
        </w:rPr>
        <w:t> </w:t>
      </w:r>
      <w:r>
        <w:rPr>
          <w:sz w:val="20"/>
        </w:rPr>
        <w:t>de</w:t>
      </w:r>
      <w:r>
        <w:rPr>
          <w:spacing w:val="-8"/>
          <w:sz w:val="20"/>
        </w:rPr>
        <w:t> </w:t>
      </w:r>
      <w:r>
        <w:rPr>
          <w:sz w:val="20"/>
        </w:rPr>
        <w:t>las</w:t>
      </w:r>
      <w:r>
        <w:rPr>
          <w:spacing w:val="-6"/>
          <w:sz w:val="20"/>
        </w:rPr>
        <w:t> </w:t>
      </w:r>
      <w:r>
        <w:rPr>
          <w:sz w:val="20"/>
        </w:rPr>
        <w:t>cuatro</w:t>
      </w:r>
      <w:r>
        <w:rPr>
          <w:spacing w:val="-8"/>
          <w:sz w:val="20"/>
        </w:rPr>
        <w:t> </w:t>
      </w:r>
      <w:r>
        <w:rPr>
          <w:sz w:val="20"/>
        </w:rPr>
        <w:t>Regiones</w:t>
      </w:r>
      <w:r>
        <w:rPr>
          <w:spacing w:val="-5"/>
          <w:sz w:val="20"/>
        </w:rPr>
        <w:t> </w:t>
      </w:r>
      <w:r>
        <w:rPr>
          <w:sz w:val="20"/>
        </w:rPr>
        <w:t>del</w:t>
      </w:r>
      <w:r>
        <w:rPr>
          <w:spacing w:val="-7"/>
          <w:sz w:val="20"/>
        </w:rPr>
        <w:t> </w:t>
      </w:r>
      <w:r>
        <w:rPr>
          <w:spacing w:val="-2"/>
          <w:sz w:val="20"/>
        </w:rPr>
        <w:t>Estado:</w:t>
      </w:r>
    </w:p>
    <w:p>
      <w:pPr>
        <w:pStyle w:val="BodyText"/>
        <w:spacing w:before="1"/>
      </w:pPr>
    </w:p>
    <w:p>
      <w:pPr>
        <w:pStyle w:val="ListParagraph"/>
        <w:numPr>
          <w:ilvl w:val="1"/>
          <w:numId w:val="14"/>
        </w:numPr>
        <w:tabs>
          <w:tab w:pos="544" w:val="left" w:leader="none"/>
        </w:tabs>
        <w:spacing w:line="240" w:lineRule="auto" w:before="0" w:after="0"/>
        <w:ind w:left="544" w:right="0" w:hanging="282"/>
        <w:jc w:val="left"/>
        <w:rPr>
          <w:sz w:val="20"/>
        </w:rPr>
      </w:pPr>
      <w:r>
        <w:rPr>
          <w:sz w:val="20"/>
        </w:rPr>
        <w:t>Región</w:t>
      </w:r>
      <w:r>
        <w:rPr>
          <w:spacing w:val="-11"/>
          <w:sz w:val="20"/>
        </w:rPr>
        <w:t> </w:t>
      </w:r>
      <w:r>
        <w:rPr>
          <w:spacing w:val="-2"/>
          <w:sz w:val="20"/>
        </w:rPr>
        <w:t>Altiplano.</w:t>
      </w:r>
    </w:p>
    <w:p>
      <w:pPr>
        <w:pStyle w:val="ListParagraph"/>
        <w:numPr>
          <w:ilvl w:val="1"/>
          <w:numId w:val="14"/>
        </w:numPr>
        <w:tabs>
          <w:tab w:pos="544" w:val="left" w:leader="none"/>
        </w:tabs>
        <w:spacing w:line="240" w:lineRule="auto" w:before="229" w:after="0"/>
        <w:ind w:left="544" w:right="0" w:hanging="282"/>
        <w:jc w:val="left"/>
        <w:rPr>
          <w:sz w:val="20"/>
        </w:rPr>
      </w:pPr>
      <w:r>
        <w:rPr>
          <w:sz w:val="20"/>
        </w:rPr>
        <w:t>Región</w:t>
      </w:r>
      <w:r>
        <w:rPr>
          <w:spacing w:val="-13"/>
          <w:sz w:val="20"/>
        </w:rPr>
        <w:t> </w:t>
      </w:r>
      <w:r>
        <w:rPr>
          <w:spacing w:val="-2"/>
          <w:sz w:val="20"/>
        </w:rPr>
        <w:t>Centro.</w:t>
      </w:r>
    </w:p>
    <w:p>
      <w:pPr>
        <w:pStyle w:val="BodyText"/>
      </w:pPr>
    </w:p>
    <w:p>
      <w:pPr>
        <w:pStyle w:val="ListParagraph"/>
        <w:numPr>
          <w:ilvl w:val="1"/>
          <w:numId w:val="14"/>
        </w:numPr>
        <w:tabs>
          <w:tab w:pos="544" w:val="left" w:leader="none"/>
        </w:tabs>
        <w:spacing w:line="240" w:lineRule="auto" w:before="1" w:after="0"/>
        <w:ind w:left="544" w:right="0" w:hanging="282"/>
        <w:jc w:val="left"/>
        <w:rPr>
          <w:sz w:val="20"/>
        </w:rPr>
      </w:pPr>
      <w:r>
        <w:rPr>
          <w:sz w:val="20"/>
        </w:rPr>
        <w:t>Región</w:t>
      </w:r>
      <w:r>
        <w:rPr>
          <w:spacing w:val="-11"/>
          <w:sz w:val="20"/>
        </w:rPr>
        <w:t> </w:t>
      </w:r>
      <w:r>
        <w:rPr>
          <w:spacing w:val="-2"/>
          <w:sz w:val="20"/>
        </w:rPr>
        <w:t>Media.</w:t>
      </w:r>
    </w:p>
    <w:p>
      <w:pPr>
        <w:pStyle w:val="ListParagraph"/>
        <w:numPr>
          <w:ilvl w:val="1"/>
          <w:numId w:val="14"/>
        </w:numPr>
        <w:tabs>
          <w:tab w:pos="544" w:val="left" w:leader="none"/>
        </w:tabs>
        <w:spacing w:line="240" w:lineRule="auto" w:before="228" w:after="0"/>
        <w:ind w:left="544" w:right="0" w:hanging="282"/>
        <w:jc w:val="left"/>
        <w:rPr>
          <w:sz w:val="20"/>
        </w:rPr>
      </w:pPr>
      <w:r>
        <w:rPr>
          <w:sz w:val="20"/>
        </w:rPr>
        <w:t>Región</w:t>
      </w:r>
      <w:r>
        <w:rPr>
          <w:spacing w:val="-13"/>
          <w:sz w:val="20"/>
        </w:rPr>
        <w:t> </w:t>
      </w:r>
      <w:r>
        <w:rPr>
          <w:spacing w:val="-2"/>
          <w:sz w:val="20"/>
        </w:rPr>
        <w:t>Huasteca.</w:t>
      </w:r>
    </w:p>
    <w:p>
      <w:pPr>
        <w:pStyle w:val="BodyText"/>
        <w:spacing w:before="1"/>
      </w:pPr>
    </w:p>
    <w:p>
      <w:pPr>
        <w:pStyle w:val="BodyText"/>
        <w:ind w:left="262" w:right="280"/>
        <w:jc w:val="both"/>
      </w:pPr>
      <w:r>
        <w:rPr/>
        <w:t>Cuando se traten programas, proyectos o acciones que afecten una región, o un grupo de municipios, o un municipio en particular, se convocará para que participen en el Consejo Estatal a un</w:t>
      </w:r>
      <w:r>
        <w:rPr>
          <w:spacing w:val="40"/>
        </w:rPr>
        <w:t> </w:t>
      </w:r>
      <w:r>
        <w:rPr/>
        <w:t>representante</w:t>
      </w:r>
      <w:r>
        <w:rPr>
          <w:spacing w:val="56"/>
        </w:rPr>
        <w:t> </w:t>
      </w:r>
      <w:r>
        <w:rPr/>
        <w:t>por</w:t>
      </w:r>
      <w:r>
        <w:rPr>
          <w:spacing w:val="57"/>
        </w:rPr>
        <w:t> </w:t>
      </w:r>
      <w:r>
        <w:rPr/>
        <w:t>cada</w:t>
      </w:r>
      <w:r>
        <w:rPr>
          <w:spacing w:val="56"/>
        </w:rPr>
        <w:t> </w:t>
      </w:r>
      <w:r>
        <w:rPr/>
        <w:t>ayuntamiento,</w:t>
      </w:r>
      <w:r>
        <w:rPr>
          <w:spacing w:val="56"/>
        </w:rPr>
        <w:t> </w:t>
      </w:r>
      <w:r>
        <w:rPr/>
        <w:t>quienes</w:t>
      </w:r>
      <w:r>
        <w:rPr>
          <w:spacing w:val="57"/>
        </w:rPr>
        <w:t> </w:t>
      </w:r>
      <w:r>
        <w:rPr/>
        <w:t>con</w:t>
      </w:r>
      <w:r>
        <w:rPr>
          <w:spacing w:val="40"/>
        </w:rPr>
        <w:t> </w:t>
      </w:r>
      <w:r>
        <w:rPr/>
        <w:t>voz</w:t>
      </w:r>
      <w:r>
        <w:rPr>
          <w:spacing w:val="57"/>
        </w:rPr>
        <w:t> </w:t>
      </w:r>
      <w:r>
        <w:rPr/>
        <w:t>y</w:t>
      </w:r>
      <w:r>
        <w:rPr>
          <w:spacing w:val="57"/>
        </w:rPr>
        <w:t> </w:t>
      </w:r>
      <w:r>
        <w:rPr/>
        <w:t>voto</w:t>
      </w:r>
      <w:r>
        <w:rPr>
          <w:spacing w:val="40"/>
        </w:rPr>
        <w:t> </w:t>
      </w:r>
      <w:r>
        <w:rPr/>
        <w:t>intervendrán</w:t>
      </w:r>
      <w:r>
        <w:rPr>
          <w:spacing w:val="40"/>
        </w:rPr>
        <w:t> </w:t>
      </w:r>
      <w:r>
        <w:rPr/>
        <w:t>en</w:t>
      </w:r>
      <w:r>
        <w:rPr>
          <w:spacing w:val="40"/>
        </w:rPr>
        <w:t> </w:t>
      </w:r>
      <w:r>
        <w:rPr/>
        <w:t>todas</w:t>
      </w:r>
      <w:r>
        <w:rPr>
          <w:spacing w:val="57"/>
        </w:rPr>
        <w:t> </w:t>
      </w:r>
      <w:r>
        <w:rPr/>
        <w:t>las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90"/>
        <w:jc w:val="both"/>
      </w:pPr>
      <w:r>
        <w:rPr/>
        <w:t>decisiones que afecten a sus respectivas jurisdicciones, y a un representante por cada uno de los consejos municipales que correspondan o sus equivalentes, o de las comisiones metropolitanas y de</w:t>
      </w:r>
      <w:r>
        <w:rPr>
          <w:spacing w:val="-4"/>
        </w:rPr>
        <w:t> </w:t>
      </w:r>
      <w:r>
        <w:rPr/>
        <w:t>conurbación,</w:t>
      </w:r>
      <w:r>
        <w:rPr>
          <w:spacing w:val="-2"/>
        </w:rPr>
        <w:t> </w:t>
      </w:r>
      <w:r>
        <w:rPr/>
        <w:t>que</w:t>
      </w:r>
      <w:r>
        <w:rPr>
          <w:spacing w:val="-3"/>
        </w:rPr>
        <w:t> </w:t>
      </w:r>
      <w:r>
        <w:rPr/>
        <w:t>contarán</w:t>
      </w:r>
      <w:r>
        <w:rPr>
          <w:spacing w:val="-4"/>
        </w:rPr>
        <w:t> </w:t>
      </w:r>
      <w:r>
        <w:rPr/>
        <w:t>con</w:t>
      </w:r>
      <w:r>
        <w:rPr>
          <w:spacing w:val="-4"/>
        </w:rPr>
        <w:t> </w:t>
      </w:r>
      <w:r>
        <w:rPr/>
        <w:t>voz</w:t>
      </w:r>
      <w:r>
        <w:rPr>
          <w:spacing w:val="-2"/>
        </w:rPr>
        <w:t> </w:t>
      </w:r>
      <w:r>
        <w:rPr/>
        <w:t>y</w:t>
      </w:r>
      <w:r>
        <w:rPr>
          <w:spacing w:val="-2"/>
        </w:rPr>
        <w:t> </w:t>
      </w:r>
      <w:r>
        <w:rPr/>
        <w:t>voto</w:t>
      </w:r>
      <w:r>
        <w:rPr>
          <w:spacing w:val="-3"/>
        </w:rPr>
        <w:t> </w:t>
      </w:r>
      <w:r>
        <w:rPr/>
        <w:t>en</w:t>
      </w:r>
      <w:r>
        <w:rPr>
          <w:spacing w:val="-2"/>
        </w:rPr>
        <w:t> </w:t>
      </w:r>
      <w:r>
        <w:rPr/>
        <w:t>todas</w:t>
      </w:r>
      <w:r>
        <w:rPr>
          <w:spacing w:val="-1"/>
        </w:rPr>
        <w:t> </w:t>
      </w:r>
      <w:r>
        <w:rPr/>
        <w:t>las</w:t>
      </w:r>
      <w:r>
        <w:rPr>
          <w:spacing w:val="-2"/>
        </w:rPr>
        <w:t> </w:t>
      </w:r>
      <w:r>
        <w:rPr/>
        <w:t>decisiones</w:t>
      </w:r>
      <w:r>
        <w:rPr>
          <w:spacing w:val="-2"/>
        </w:rPr>
        <w:t> </w:t>
      </w:r>
      <w:r>
        <w:rPr/>
        <w:t>que</w:t>
      </w:r>
      <w:r>
        <w:rPr>
          <w:spacing w:val="-3"/>
        </w:rPr>
        <w:t> </w:t>
      </w:r>
      <w:r>
        <w:rPr/>
        <w:t>afecten</w:t>
      </w:r>
      <w:r>
        <w:rPr>
          <w:spacing w:val="-2"/>
        </w:rPr>
        <w:t> </w:t>
      </w:r>
      <w:r>
        <w:rPr/>
        <w:t>a</w:t>
      </w:r>
      <w:r>
        <w:rPr>
          <w:spacing w:val="-3"/>
        </w:rPr>
        <w:t> </w:t>
      </w:r>
      <w:r>
        <w:rPr/>
        <w:t>sus</w:t>
      </w:r>
      <w:r>
        <w:rPr>
          <w:spacing w:val="-2"/>
        </w:rPr>
        <w:t> </w:t>
      </w:r>
      <w:r>
        <w:rPr/>
        <w:t>municipios;</w:t>
      </w:r>
    </w:p>
    <w:p>
      <w:pPr>
        <w:pStyle w:val="BodyText"/>
        <w:spacing w:before="1"/>
      </w:pPr>
    </w:p>
    <w:p>
      <w:pPr>
        <w:pStyle w:val="ListParagraph"/>
        <w:numPr>
          <w:ilvl w:val="0"/>
          <w:numId w:val="14"/>
        </w:numPr>
        <w:tabs>
          <w:tab w:pos="688" w:val="left" w:leader="none"/>
        </w:tabs>
        <w:spacing w:line="240" w:lineRule="auto" w:before="1" w:after="0"/>
        <w:ind w:left="688" w:right="0" w:hanging="426"/>
        <w:jc w:val="left"/>
        <w:rPr>
          <w:sz w:val="20"/>
        </w:rPr>
      </w:pPr>
      <w:r>
        <w:rPr>
          <w:sz w:val="20"/>
        </w:rPr>
        <w:t>Por</w:t>
      </w:r>
      <w:r>
        <w:rPr>
          <w:spacing w:val="-8"/>
          <w:sz w:val="20"/>
        </w:rPr>
        <w:t> </w:t>
      </w:r>
      <w:r>
        <w:rPr>
          <w:sz w:val="20"/>
        </w:rPr>
        <w:t>dos</w:t>
      </w:r>
      <w:r>
        <w:rPr>
          <w:spacing w:val="-6"/>
          <w:sz w:val="20"/>
        </w:rPr>
        <w:t> </w:t>
      </w:r>
      <w:r>
        <w:rPr>
          <w:sz w:val="20"/>
        </w:rPr>
        <w:t>expertos</w:t>
      </w:r>
      <w:r>
        <w:rPr>
          <w:spacing w:val="-5"/>
          <w:sz w:val="20"/>
        </w:rPr>
        <w:t> </w:t>
      </w:r>
      <w:r>
        <w:rPr>
          <w:sz w:val="20"/>
        </w:rPr>
        <w:t>en</w:t>
      </w:r>
      <w:r>
        <w:rPr>
          <w:spacing w:val="-8"/>
          <w:sz w:val="20"/>
        </w:rPr>
        <w:t> </w:t>
      </w:r>
      <w:r>
        <w:rPr>
          <w:sz w:val="20"/>
        </w:rPr>
        <w:t>materia</w:t>
      </w:r>
      <w:r>
        <w:rPr>
          <w:spacing w:val="-7"/>
          <w:sz w:val="20"/>
        </w:rPr>
        <w:t> </w:t>
      </w:r>
      <w:r>
        <w:rPr>
          <w:sz w:val="20"/>
        </w:rPr>
        <w:t>de</w:t>
      </w:r>
      <w:r>
        <w:rPr>
          <w:spacing w:val="-6"/>
          <w:sz w:val="20"/>
        </w:rPr>
        <w:t> </w:t>
      </w:r>
      <w:r>
        <w:rPr>
          <w:sz w:val="20"/>
        </w:rPr>
        <w:t>planeación</w:t>
      </w:r>
      <w:r>
        <w:rPr>
          <w:spacing w:val="-7"/>
          <w:sz w:val="20"/>
        </w:rPr>
        <w:t> </w:t>
      </w:r>
      <w:r>
        <w:rPr>
          <w:sz w:val="20"/>
        </w:rPr>
        <w:t>urbana,</w:t>
      </w:r>
      <w:r>
        <w:rPr>
          <w:spacing w:val="-6"/>
          <w:sz w:val="20"/>
        </w:rPr>
        <w:t> </w:t>
      </w:r>
      <w:r>
        <w:rPr>
          <w:sz w:val="20"/>
        </w:rPr>
        <w:t>a</w:t>
      </w:r>
      <w:r>
        <w:rPr>
          <w:spacing w:val="-5"/>
          <w:sz w:val="20"/>
        </w:rPr>
        <w:t> </w:t>
      </w:r>
      <w:r>
        <w:rPr>
          <w:sz w:val="20"/>
        </w:rPr>
        <w:t>propuesta</w:t>
      </w:r>
      <w:r>
        <w:rPr>
          <w:spacing w:val="-8"/>
          <w:sz w:val="20"/>
        </w:rPr>
        <w:t> </w:t>
      </w:r>
      <w:r>
        <w:rPr>
          <w:sz w:val="20"/>
        </w:rPr>
        <w:t>del</w:t>
      </w:r>
      <w:r>
        <w:rPr>
          <w:spacing w:val="-7"/>
          <w:sz w:val="20"/>
        </w:rPr>
        <w:t> </w:t>
      </w:r>
      <w:r>
        <w:rPr>
          <w:sz w:val="20"/>
        </w:rPr>
        <w:t>propio</w:t>
      </w:r>
      <w:r>
        <w:rPr>
          <w:spacing w:val="-7"/>
          <w:sz w:val="20"/>
        </w:rPr>
        <w:t> </w:t>
      </w:r>
      <w:r>
        <w:rPr>
          <w:sz w:val="20"/>
        </w:rPr>
        <w:t>Consejo,</w:t>
      </w:r>
      <w:r>
        <w:rPr>
          <w:spacing w:val="-7"/>
          <w:sz w:val="20"/>
        </w:rPr>
        <w:t> </w:t>
      </w:r>
      <w:r>
        <w:rPr>
          <w:spacing w:val="-10"/>
          <w:sz w:val="20"/>
        </w:rPr>
        <w:t>y</w:t>
      </w:r>
    </w:p>
    <w:p>
      <w:pPr>
        <w:pStyle w:val="ListParagraph"/>
        <w:numPr>
          <w:ilvl w:val="0"/>
          <w:numId w:val="14"/>
        </w:numPr>
        <w:tabs>
          <w:tab w:pos="689" w:val="left" w:leader="none"/>
        </w:tabs>
        <w:spacing w:line="240" w:lineRule="auto" w:before="228" w:after="0"/>
        <w:ind w:left="689" w:right="0" w:hanging="427"/>
        <w:jc w:val="left"/>
        <w:rPr>
          <w:sz w:val="20"/>
        </w:rPr>
      </w:pPr>
      <w:r>
        <w:rPr>
          <w:sz w:val="20"/>
        </w:rPr>
        <w:t>Por</w:t>
      </w:r>
      <w:r>
        <w:rPr>
          <w:spacing w:val="-7"/>
          <w:sz w:val="20"/>
        </w:rPr>
        <w:t> </w:t>
      </w:r>
      <w:r>
        <w:rPr>
          <w:sz w:val="20"/>
        </w:rPr>
        <w:t>los</w:t>
      </w:r>
      <w:r>
        <w:rPr>
          <w:spacing w:val="-6"/>
          <w:sz w:val="20"/>
        </w:rPr>
        <w:t> </w:t>
      </w:r>
      <w:r>
        <w:rPr>
          <w:sz w:val="20"/>
        </w:rPr>
        <w:t>Sectores</w:t>
      </w:r>
      <w:r>
        <w:rPr>
          <w:spacing w:val="-5"/>
          <w:sz w:val="20"/>
        </w:rPr>
        <w:t> </w:t>
      </w:r>
      <w:r>
        <w:rPr>
          <w:sz w:val="20"/>
        </w:rPr>
        <w:t>Social</w:t>
      </w:r>
      <w:r>
        <w:rPr>
          <w:spacing w:val="-8"/>
          <w:sz w:val="20"/>
        </w:rPr>
        <w:t> </w:t>
      </w:r>
      <w:r>
        <w:rPr>
          <w:sz w:val="20"/>
        </w:rPr>
        <w:t>y</w:t>
      </w:r>
      <w:r>
        <w:rPr>
          <w:spacing w:val="-6"/>
          <w:sz w:val="20"/>
        </w:rPr>
        <w:t> </w:t>
      </w:r>
      <w:r>
        <w:rPr>
          <w:sz w:val="20"/>
        </w:rPr>
        <w:t>Privado,</w:t>
      </w:r>
      <w:r>
        <w:rPr>
          <w:spacing w:val="-5"/>
          <w:sz w:val="20"/>
        </w:rPr>
        <w:t> </w:t>
      </w:r>
      <w:r>
        <w:rPr>
          <w:sz w:val="20"/>
        </w:rPr>
        <w:t>que</w:t>
      </w:r>
      <w:r>
        <w:rPr>
          <w:spacing w:val="-6"/>
          <w:sz w:val="20"/>
        </w:rPr>
        <w:t> </w:t>
      </w:r>
      <w:r>
        <w:rPr>
          <w:sz w:val="20"/>
        </w:rPr>
        <w:t>serán</w:t>
      </w:r>
      <w:r>
        <w:rPr>
          <w:spacing w:val="-7"/>
          <w:sz w:val="20"/>
        </w:rPr>
        <w:t> </w:t>
      </w:r>
      <w:r>
        <w:rPr>
          <w:sz w:val="20"/>
        </w:rPr>
        <w:t>representados</w:t>
      </w:r>
      <w:r>
        <w:rPr>
          <w:spacing w:val="-6"/>
          <w:sz w:val="20"/>
        </w:rPr>
        <w:t> </w:t>
      </w:r>
      <w:r>
        <w:rPr>
          <w:spacing w:val="-4"/>
          <w:sz w:val="20"/>
        </w:rPr>
        <w:t>por:</w:t>
      </w:r>
    </w:p>
    <w:p>
      <w:pPr>
        <w:pStyle w:val="BodyText"/>
        <w:spacing w:before="1"/>
      </w:pPr>
    </w:p>
    <w:p>
      <w:pPr>
        <w:pStyle w:val="ListParagraph"/>
        <w:numPr>
          <w:ilvl w:val="1"/>
          <w:numId w:val="14"/>
        </w:numPr>
        <w:tabs>
          <w:tab w:pos="689" w:val="left" w:leader="none"/>
        </w:tabs>
        <w:spacing w:line="240" w:lineRule="auto" w:before="0" w:after="0"/>
        <w:ind w:left="262" w:right="285" w:firstLine="0"/>
        <w:jc w:val="left"/>
        <w:rPr>
          <w:sz w:val="20"/>
        </w:rPr>
      </w:pPr>
      <w:r>
        <w:rPr>
          <w:sz w:val="20"/>
        </w:rPr>
        <w:t>Un representante de cada uno de los colegios con mayor representación en la Entidad, que</w:t>
      </w:r>
      <w:r>
        <w:rPr>
          <w:spacing w:val="40"/>
          <w:sz w:val="20"/>
        </w:rPr>
        <w:t> </w:t>
      </w:r>
      <w:r>
        <w:rPr>
          <w:sz w:val="20"/>
        </w:rPr>
        <w:t>tengan relación directa con el ordenamiento territorial, el desarrollo urbano y la vivienda.</w:t>
      </w:r>
    </w:p>
    <w:p>
      <w:pPr>
        <w:pStyle w:val="ListParagraph"/>
        <w:numPr>
          <w:ilvl w:val="1"/>
          <w:numId w:val="14"/>
        </w:numPr>
        <w:tabs>
          <w:tab w:pos="689" w:val="left" w:leader="none"/>
        </w:tabs>
        <w:spacing w:line="240" w:lineRule="auto" w:before="229" w:after="0"/>
        <w:ind w:left="262" w:right="283" w:firstLine="0"/>
        <w:jc w:val="left"/>
        <w:rPr>
          <w:sz w:val="20"/>
        </w:rPr>
      </w:pPr>
      <w:r>
        <w:rPr>
          <w:sz w:val="20"/>
        </w:rPr>
        <w:t>Un</w:t>
      </w:r>
      <w:r>
        <w:rPr>
          <w:spacing w:val="-11"/>
          <w:sz w:val="20"/>
        </w:rPr>
        <w:t> </w:t>
      </w:r>
      <w:r>
        <w:rPr>
          <w:sz w:val="20"/>
        </w:rPr>
        <w:t>representante</w:t>
      </w:r>
      <w:r>
        <w:rPr>
          <w:spacing w:val="-11"/>
          <w:sz w:val="20"/>
        </w:rPr>
        <w:t> </w:t>
      </w:r>
      <w:r>
        <w:rPr>
          <w:sz w:val="20"/>
        </w:rPr>
        <w:t>de</w:t>
      </w:r>
      <w:r>
        <w:rPr>
          <w:spacing w:val="-12"/>
          <w:sz w:val="20"/>
        </w:rPr>
        <w:t> </w:t>
      </w:r>
      <w:r>
        <w:rPr>
          <w:sz w:val="20"/>
        </w:rPr>
        <w:t>cada</w:t>
      </w:r>
      <w:r>
        <w:rPr>
          <w:spacing w:val="-12"/>
          <w:sz w:val="20"/>
        </w:rPr>
        <w:t> </w:t>
      </w:r>
      <w:r>
        <w:rPr>
          <w:sz w:val="20"/>
        </w:rPr>
        <w:t>una</w:t>
      </w:r>
      <w:r>
        <w:rPr>
          <w:spacing w:val="-12"/>
          <w:sz w:val="20"/>
        </w:rPr>
        <w:t> </w:t>
      </w:r>
      <w:r>
        <w:rPr>
          <w:sz w:val="20"/>
        </w:rPr>
        <w:t>las</w:t>
      </w:r>
      <w:r>
        <w:rPr>
          <w:spacing w:val="-10"/>
          <w:sz w:val="20"/>
        </w:rPr>
        <w:t> </w:t>
      </w:r>
      <w:r>
        <w:rPr>
          <w:sz w:val="20"/>
        </w:rPr>
        <w:t>cámaras</w:t>
      </w:r>
      <w:r>
        <w:rPr>
          <w:spacing w:val="-10"/>
          <w:sz w:val="20"/>
        </w:rPr>
        <w:t> </w:t>
      </w:r>
      <w:r>
        <w:rPr>
          <w:sz w:val="20"/>
        </w:rPr>
        <w:t>de</w:t>
      </w:r>
      <w:r>
        <w:rPr>
          <w:spacing w:val="-10"/>
          <w:sz w:val="20"/>
        </w:rPr>
        <w:t> </w:t>
      </w:r>
      <w:r>
        <w:rPr>
          <w:sz w:val="20"/>
        </w:rPr>
        <w:t>la</w:t>
      </w:r>
      <w:r>
        <w:rPr>
          <w:spacing w:val="-11"/>
          <w:sz w:val="20"/>
        </w:rPr>
        <w:t> </w:t>
      </w:r>
      <w:r>
        <w:rPr>
          <w:sz w:val="20"/>
        </w:rPr>
        <w:t>construcción</w:t>
      </w:r>
      <w:r>
        <w:rPr>
          <w:spacing w:val="-12"/>
          <w:sz w:val="20"/>
        </w:rPr>
        <w:t> </w:t>
      </w:r>
      <w:r>
        <w:rPr>
          <w:sz w:val="20"/>
        </w:rPr>
        <w:t>y</w:t>
      </w:r>
      <w:r>
        <w:rPr>
          <w:spacing w:val="-10"/>
          <w:sz w:val="20"/>
        </w:rPr>
        <w:t> </w:t>
      </w:r>
      <w:r>
        <w:rPr>
          <w:sz w:val="20"/>
        </w:rPr>
        <w:t>de</w:t>
      </w:r>
      <w:r>
        <w:rPr>
          <w:spacing w:val="-10"/>
          <w:sz w:val="20"/>
        </w:rPr>
        <w:t> </w:t>
      </w:r>
      <w:r>
        <w:rPr>
          <w:sz w:val="20"/>
        </w:rPr>
        <w:t>las</w:t>
      </w:r>
      <w:r>
        <w:rPr>
          <w:spacing w:val="-10"/>
          <w:sz w:val="20"/>
        </w:rPr>
        <w:t> </w:t>
      </w:r>
      <w:r>
        <w:rPr>
          <w:sz w:val="20"/>
        </w:rPr>
        <w:t>cámaras</w:t>
      </w:r>
      <w:r>
        <w:rPr>
          <w:spacing w:val="-10"/>
          <w:sz w:val="20"/>
        </w:rPr>
        <w:t> </w:t>
      </w:r>
      <w:r>
        <w:rPr>
          <w:sz w:val="20"/>
        </w:rPr>
        <w:t>de</w:t>
      </w:r>
      <w:r>
        <w:rPr>
          <w:spacing w:val="-10"/>
          <w:sz w:val="20"/>
        </w:rPr>
        <w:t> </w:t>
      </w:r>
      <w:r>
        <w:rPr>
          <w:sz w:val="20"/>
        </w:rPr>
        <w:t>vivienda</w:t>
      </w:r>
      <w:r>
        <w:rPr>
          <w:spacing w:val="-11"/>
          <w:sz w:val="20"/>
        </w:rPr>
        <w:t> </w:t>
      </w:r>
      <w:r>
        <w:rPr>
          <w:sz w:val="20"/>
        </w:rPr>
        <w:t>con representación en el Estado.</w:t>
      </w:r>
    </w:p>
    <w:p>
      <w:pPr>
        <w:pStyle w:val="BodyText"/>
        <w:spacing w:before="1"/>
      </w:pPr>
    </w:p>
    <w:p>
      <w:pPr>
        <w:pStyle w:val="ListParagraph"/>
        <w:numPr>
          <w:ilvl w:val="1"/>
          <w:numId w:val="14"/>
        </w:numPr>
        <w:tabs>
          <w:tab w:pos="544" w:val="left" w:leader="none"/>
        </w:tabs>
        <w:spacing w:line="240" w:lineRule="auto" w:before="1" w:after="0"/>
        <w:ind w:left="262" w:right="287" w:firstLine="0"/>
        <w:jc w:val="left"/>
        <w:rPr>
          <w:sz w:val="20"/>
        </w:rPr>
      </w:pPr>
      <w:r>
        <w:rPr>
          <w:sz w:val="20"/>
        </w:rPr>
        <w:t>Dos representantes de otros dos organismos o cámaras que estén relacionadas con la materia de ordenamiento territorial y desarrollo urbano.</w:t>
      </w:r>
    </w:p>
    <w:p>
      <w:pPr>
        <w:pStyle w:val="ListParagraph"/>
        <w:numPr>
          <w:ilvl w:val="1"/>
          <w:numId w:val="14"/>
        </w:numPr>
        <w:tabs>
          <w:tab w:pos="544" w:val="left" w:leader="none"/>
        </w:tabs>
        <w:spacing w:line="240" w:lineRule="auto" w:before="228" w:after="0"/>
        <w:ind w:left="262" w:right="287" w:firstLine="0"/>
        <w:jc w:val="both"/>
        <w:rPr>
          <w:sz w:val="20"/>
        </w:rPr>
      </w:pPr>
      <w:r>
        <w:rPr>
          <w:sz w:val="20"/>
        </w:rPr>
        <w:t>Dos representantes de organismos no gubernamentales, asociaciones y organizaciones populares que tengan presencia en todo el Estado y sus actividades se relacionen con el ordenamiento territorial, el desarrollo urbano y la vivienda.</w:t>
      </w:r>
    </w:p>
    <w:p>
      <w:pPr>
        <w:pStyle w:val="BodyText"/>
        <w:spacing w:before="2"/>
      </w:pPr>
    </w:p>
    <w:p>
      <w:pPr>
        <w:pStyle w:val="ListParagraph"/>
        <w:numPr>
          <w:ilvl w:val="1"/>
          <w:numId w:val="14"/>
        </w:numPr>
        <w:tabs>
          <w:tab w:pos="544" w:val="left" w:leader="none"/>
        </w:tabs>
        <w:spacing w:line="240" w:lineRule="auto" w:before="0" w:after="0"/>
        <w:ind w:left="262" w:right="286" w:firstLine="0"/>
        <w:jc w:val="both"/>
        <w:rPr>
          <w:sz w:val="20"/>
        </w:rPr>
      </w:pPr>
      <w:r>
        <w:rPr>
          <w:sz w:val="20"/>
        </w:rPr>
        <w:t>Un representante de cada una de las Instituciones de Educación Superior e instituciones de investigación con mayor presencia en el Estado, relacionadas con la materia.</w:t>
      </w:r>
    </w:p>
    <w:p>
      <w:pPr>
        <w:pStyle w:val="BodyText"/>
        <w:spacing w:before="229"/>
        <w:ind w:left="262"/>
        <w:jc w:val="both"/>
      </w:pPr>
      <w:r>
        <w:rPr/>
        <w:t>Este</w:t>
      </w:r>
      <w:r>
        <w:rPr>
          <w:spacing w:val="-9"/>
        </w:rPr>
        <w:t> </w:t>
      </w:r>
      <w:r>
        <w:rPr/>
        <w:t>sector</w:t>
      </w:r>
      <w:r>
        <w:rPr>
          <w:spacing w:val="-7"/>
        </w:rPr>
        <w:t> </w:t>
      </w:r>
      <w:r>
        <w:rPr/>
        <w:t>deberá</w:t>
      </w:r>
      <w:r>
        <w:rPr>
          <w:spacing w:val="-7"/>
        </w:rPr>
        <w:t> </w:t>
      </w:r>
      <w:r>
        <w:rPr/>
        <w:t>constituir</w:t>
      </w:r>
      <w:r>
        <w:rPr>
          <w:spacing w:val="-7"/>
        </w:rPr>
        <w:t> </w:t>
      </w:r>
      <w:r>
        <w:rPr/>
        <w:t>la</w:t>
      </w:r>
      <w:r>
        <w:rPr>
          <w:spacing w:val="-5"/>
        </w:rPr>
        <w:t> </w:t>
      </w:r>
      <w:r>
        <w:rPr/>
        <w:t>mayoría</w:t>
      </w:r>
      <w:r>
        <w:rPr>
          <w:spacing w:val="-6"/>
        </w:rPr>
        <w:t> </w:t>
      </w:r>
      <w:r>
        <w:rPr/>
        <w:t>de</w:t>
      </w:r>
      <w:r>
        <w:rPr>
          <w:spacing w:val="-7"/>
        </w:rPr>
        <w:t> </w:t>
      </w:r>
      <w:r>
        <w:rPr/>
        <w:t>los</w:t>
      </w:r>
      <w:r>
        <w:rPr>
          <w:spacing w:val="-4"/>
        </w:rPr>
        <w:t> </w:t>
      </w:r>
      <w:r>
        <w:rPr/>
        <w:t>miembros</w:t>
      </w:r>
      <w:r>
        <w:rPr>
          <w:spacing w:val="-7"/>
        </w:rPr>
        <w:t> </w:t>
      </w:r>
      <w:r>
        <w:rPr/>
        <w:t>del</w:t>
      </w:r>
      <w:r>
        <w:rPr>
          <w:spacing w:val="-6"/>
        </w:rPr>
        <w:t> </w:t>
      </w:r>
      <w:r>
        <w:rPr>
          <w:spacing w:val="-2"/>
        </w:rPr>
        <w:t>Consejo.</w:t>
      </w:r>
    </w:p>
    <w:p>
      <w:pPr>
        <w:pStyle w:val="BodyText"/>
        <w:spacing w:before="1"/>
      </w:pPr>
    </w:p>
    <w:p>
      <w:pPr>
        <w:pStyle w:val="BodyText"/>
        <w:ind w:left="262" w:right="287"/>
        <w:jc w:val="both"/>
      </w:pPr>
      <w:r>
        <w:rPr/>
        <w:t>Cada uno de los miembros del Consejo Estatal contará con un suplente que será designado por la dependencia, entidad o agrupación respectiva. Las ausencias del Presidente del Consejo Estatal serán suplidas por el Secretario Técnico del mismo.</w:t>
      </w:r>
    </w:p>
    <w:p>
      <w:pPr>
        <w:pStyle w:val="BodyText"/>
        <w:spacing w:before="229"/>
        <w:ind w:left="262" w:right="287"/>
        <w:jc w:val="both"/>
      </w:pPr>
      <w:r>
        <w:rPr/>
        <w:t>Para la</w:t>
      </w:r>
      <w:r>
        <w:rPr>
          <w:spacing w:val="-1"/>
        </w:rPr>
        <w:t> </w:t>
      </w:r>
      <w:r>
        <w:rPr/>
        <w:t>conformación</w:t>
      </w:r>
      <w:r>
        <w:rPr>
          <w:spacing w:val="-1"/>
        </w:rPr>
        <w:t> </w:t>
      </w:r>
      <w:r>
        <w:rPr/>
        <w:t>del</w:t>
      </w:r>
      <w:r>
        <w:rPr>
          <w:spacing w:val="-1"/>
        </w:rPr>
        <w:t> </w:t>
      </w:r>
      <w:r>
        <w:rPr/>
        <w:t>Consejo</w:t>
      </w:r>
      <w:r>
        <w:rPr>
          <w:spacing w:val="-1"/>
        </w:rPr>
        <w:t> </w:t>
      </w:r>
      <w:r>
        <w:rPr/>
        <w:t>se</w:t>
      </w:r>
      <w:r>
        <w:rPr>
          <w:spacing w:val="-1"/>
        </w:rPr>
        <w:t> </w:t>
      </w:r>
      <w:r>
        <w:rPr/>
        <w:t>implementarán mecanismos tendentes a</w:t>
      </w:r>
      <w:r>
        <w:rPr>
          <w:spacing w:val="-1"/>
        </w:rPr>
        <w:t> </w:t>
      </w:r>
      <w:r>
        <w:rPr/>
        <w:t>alcanzar la igualdad de género entre sus integrantes.</w:t>
      </w:r>
    </w:p>
    <w:p>
      <w:pPr>
        <w:pStyle w:val="BodyText"/>
        <w:spacing w:before="2"/>
      </w:pPr>
    </w:p>
    <w:p>
      <w:pPr>
        <w:pStyle w:val="BodyText"/>
        <w:ind w:left="262" w:right="285"/>
        <w:jc w:val="both"/>
      </w:pPr>
      <w:r>
        <w:rPr/>
        <w:t>El</w:t>
      </w:r>
      <w:r>
        <w:rPr>
          <w:spacing w:val="-14"/>
        </w:rPr>
        <w:t> </w:t>
      </w:r>
      <w:r>
        <w:rPr/>
        <w:t>Consejo</w:t>
      </w:r>
      <w:r>
        <w:rPr>
          <w:spacing w:val="-14"/>
        </w:rPr>
        <w:t> </w:t>
      </w:r>
      <w:r>
        <w:rPr/>
        <w:t>podrá</w:t>
      </w:r>
      <w:r>
        <w:rPr>
          <w:spacing w:val="-14"/>
        </w:rPr>
        <w:t> </w:t>
      </w:r>
      <w:r>
        <w:rPr/>
        <w:t>invitar</w:t>
      </w:r>
      <w:r>
        <w:rPr>
          <w:spacing w:val="-14"/>
        </w:rPr>
        <w:t> </w:t>
      </w:r>
      <w:r>
        <w:rPr/>
        <w:t>a</w:t>
      </w:r>
      <w:r>
        <w:rPr>
          <w:spacing w:val="-14"/>
        </w:rPr>
        <w:t> </w:t>
      </w:r>
      <w:r>
        <w:rPr/>
        <w:t>sus</w:t>
      </w:r>
      <w:r>
        <w:rPr>
          <w:spacing w:val="-14"/>
        </w:rPr>
        <w:t> </w:t>
      </w:r>
      <w:r>
        <w:rPr/>
        <w:t>sesiones</w:t>
      </w:r>
      <w:r>
        <w:rPr>
          <w:spacing w:val="-14"/>
        </w:rPr>
        <w:t> </w:t>
      </w:r>
      <w:r>
        <w:rPr/>
        <w:t>a</w:t>
      </w:r>
      <w:r>
        <w:rPr>
          <w:spacing w:val="-14"/>
        </w:rPr>
        <w:t> </w:t>
      </w:r>
      <w:r>
        <w:rPr/>
        <w:t>otras</w:t>
      </w:r>
      <w:r>
        <w:rPr>
          <w:spacing w:val="-14"/>
        </w:rPr>
        <w:t> </w:t>
      </w:r>
      <w:r>
        <w:rPr/>
        <w:t>autoridades,</w:t>
      </w:r>
      <w:r>
        <w:rPr>
          <w:spacing w:val="-13"/>
        </w:rPr>
        <w:t> </w:t>
      </w:r>
      <w:r>
        <w:rPr/>
        <w:t>instituciones,</w:t>
      </w:r>
      <w:r>
        <w:rPr>
          <w:spacing w:val="-14"/>
        </w:rPr>
        <w:t> </w:t>
      </w:r>
      <w:r>
        <w:rPr/>
        <w:t>organizaciones</w:t>
      </w:r>
      <w:r>
        <w:rPr>
          <w:spacing w:val="-14"/>
        </w:rPr>
        <w:t> </w:t>
      </w:r>
      <w:r>
        <w:rPr/>
        <w:t>o</w:t>
      </w:r>
      <w:r>
        <w:rPr>
          <w:spacing w:val="-14"/>
        </w:rPr>
        <w:t> </w:t>
      </w:r>
      <w:r>
        <w:rPr/>
        <w:t>personas físicas o morales cuya participación considere necesaria por los temas a tratar; los invitados participarán en las sesiones con voz, pero sin voto.</w:t>
      </w:r>
    </w:p>
    <w:p>
      <w:pPr>
        <w:pStyle w:val="BodyText"/>
        <w:spacing w:before="229"/>
        <w:ind w:left="262" w:right="278"/>
        <w:jc w:val="both"/>
      </w:pPr>
      <w:r>
        <w:rPr>
          <w:rFonts w:ascii="Arial" w:hAnsi="Arial"/>
          <w:b/>
        </w:rPr>
        <w:t>ARTÍCULO</w:t>
      </w:r>
      <w:r>
        <w:rPr>
          <w:rFonts w:ascii="Arial" w:hAnsi="Arial"/>
          <w:b/>
          <w:spacing w:val="-3"/>
        </w:rPr>
        <w:t> </w:t>
      </w:r>
      <w:r>
        <w:rPr>
          <w:rFonts w:ascii="Arial" w:hAnsi="Arial"/>
          <w:b/>
        </w:rPr>
        <w:t>25</w:t>
      </w:r>
      <w:r>
        <w:rPr/>
        <w:t>.</w:t>
      </w:r>
      <w:r>
        <w:rPr>
          <w:spacing w:val="-2"/>
        </w:rPr>
        <w:t> </w:t>
      </w:r>
      <w:r>
        <w:rPr/>
        <w:t>El</w:t>
      </w:r>
      <w:r>
        <w:rPr>
          <w:spacing w:val="-3"/>
        </w:rPr>
        <w:t> </w:t>
      </w:r>
      <w:r>
        <w:rPr/>
        <w:t>Consejo</w:t>
      </w:r>
      <w:r>
        <w:rPr>
          <w:spacing w:val="-2"/>
        </w:rPr>
        <w:t> </w:t>
      </w:r>
      <w:r>
        <w:rPr/>
        <w:t>Estatal</w:t>
      </w:r>
      <w:r>
        <w:rPr>
          <w:spacing w:val="-5"/>
        </w:rPr>
        <w:t> </w:t>
      </w:r>
      <w:r>
        <w:rPr/>
        <w:t>sesionará</w:t>
      </w:r>
      <w:r>
        <w:rPr>
          <w:spacing w:val="-4"/>
        </w:rPr>
        <w:t> </w:t>
      </w:r>
      <w:r>
        <w:rPr/>
        <w:t>válidamente</w:t>
      </w:r>
      <w:r>
        <w:rPr>
          <w:spacing w:val="-5"/>
        </w:rPr>
        <w:t> </w:t>
      </w:r>
      <w:r>
        <w:rPr/>
        <w:t>con</w:t>
      </w:r>
      <w:r>
        <w:rPr>
          <w:spacing w:val="-3"/>
        </w:rPr>
        <w:t> </w:t>
      </w:r>
      <w:r>
        <w:rPr/>
        <w:t>la</w:t>
      </w:r>
      <w:r>
        <w:rPr>
          <w:spacing w:val="-4"/>
        </w:rPr>
        <w:t> </w:t>
      </w:r>
      <w:r>
        <w:rPr/>
        <w:t>mayoría</w:t>
      </w:r>
      <w:r>
        <w:rPr>
          <w:spacing w:val="-4"/>
        </w:rPr>
        <w:t> </w:t>
      </w:r>
      <w:r>
        <w:rPr/>
        <w:t>de</w:t>
      </w:r>
      <w:r>
        <w:rPr>
          <w:spacing w:val="-4"/>
        </w:rPr>
        <w:t> </w:t>
      </w:r>
      <w:r>
        <w:rPr/>
        <w:t>sus</w:t>
      </w:r>
      <w:r>
        <w:rPr>
          <w:spacing w:val="-3"/>
        </w:rPr>
        <w:t> </w:t>
      </w:r>
      <w:r>
        <w:rPr/>
        <w:t>miembros,</w:t>
      </w:r>
      <w:r>
        <w:rPr>
          <w:spacing w:val="-4"/>
        </w:rPr>
        <w:t> </w:t>
      </w:r>
      <w:r>
        <w:rPr/>
        <w:t>y</w:t>
      </w:r>
      <w:r>
        <w:rPr>
          <w:spacing w:val="-3"/>
        </w:rPr>
        <w:t> </w:t>
      </w:r>
      <w:r>
        <w:rPr/>
        <w:t>por</w:t>
      </w:r>
      <w:r>
        <w:rPr>
          <w:spacing w:val="-1"/>
        </w:rPr>
        <w:t> </w:t>
      </w:r>
      <w:r>
        <w:rPr/>
        <w:t>lo menos una vez cada tres meses de manera ordinaria, de acuerdo al calendario que para tal efecto se determine, y de forma extraordinaria tantas veces como sea necesario, a propuesta de su </w:t>
      </w:r>
      <w:r>
        <w:rPr>
          <w:spacing w:val="-2"/>
        </w:rPr>
        <w:t>Presidente.</w:t>
      </w:r>
    </w:p>
    <w:p>
      <w:pPr>
        <w:pStyle w:val="BodyText"/>
      </w:pPr>
    </w:p>
    <w:p>
      <w:pPr>
        <w:pStyle w:val="BodyText"/>
        <w:ind w:left="262" w:right="281"/>
        <w:jc w:val="both"/>
      </w:pPr>
      <w:r>
        <w:rPr/>
        <w:t>Las convocatorias se llevarán a cabo por conducto del Secretario Técnico del Consejo Estatal con al menos, tres días hábiles de anticipación, y deberán acompañarse del orden del día.</w:t>
      </w:r>
    </w:p>
    <w:p>
      <w:pPr>
        <w:pStyle w:val="BodyText"/>
        <w:spacing w:before="229"/>
        <w:ind w:left="262"/>
        <w:jc w:val="both"/>
      </w:pPr>
      <w:r>
        <w:rPr>
          <w:rFonts w:ascii="Arial" w:hAnsi="Arial"/>
          <w:b/>
        </w:rPr>
        <w:t>ARTÍCULO</w:t>
      </w:r>
      <w:r>
        <w:rPr>
          <w:rFonts w:ascii="Arial" w:hAnsi="Arial"/>
          <w:b/>
          <w:spacing w:val="-7"/>
        </w:rPr>
        <w:t> </w:t>
      </w:r>
      <w:r>
        <w:rPr>
          <w:rFonts w:ascii="Arial" w:hAnsi="Arial"/>
          <w:b/>
        </w:rPr>
        <w:t>26.</w:t>
      </w:r>
      <w:r>
        <w:rPr>
          <w:rFonts w:ascii="Arial" w:hAnsi="Arial"/>
          <w:b/>
          <w:spacing w:val="-7"/>
        </w:rPr>
        <w:t> </w:t>
      </w:r>
      <w:r>
        <w:rPr/>
        <w:t>El</w:t>
      </w:r>
      <w:r>
        <w:rPr>
          <w:spacing w:val="-9"/>
        </w:rPr>
        <w:t> </w:t>
      </w:r>
      <w:r>
        <w:rPr/>
        <w:t>Consejo</w:t>
      </w:r>
      <w:r>
        <w:rPr>
          <w:spacing w:val="-5"/>
        </w:rPr>
        <w:t> </w:t>
      </w:r>
      <w:r>
        <w:rPr/>
        <w:t>Estatal,</w:t>
      </w:r>
      <w:r>
        <w:rPr>
          <w:spacing w:val="-8"/>
        </w:rPr>
        <w:t> </w:t>
      </w:r>
      <w:r>
        <w:rPr/>
        <w:t>tendrá</w:t>
      </w:r>
      <w:r>
        <w:rPr>
          <w:spacing w:val="-5"/>
        </w:rPr>
        <w:t> </w:t>
      </w:r>
      <w:r>
        <w:rPr/>
        <w:t>las</w:t>
      </w:r>
      <w:r>
        <w:rPr>
          <w:spacing w:val="-7"/>
        </w:rPr>
        <w:t> </w:t>
      </w:r>
      <w:r>
        <w:rPr/>
        <w:t>siguientes</w:t>
      </w:r>
      <w:r>
        <w:rPr>
          <w:spacing w:val="-7"/>
        </w:rPr>
        <w:t> </w:t>
      </w:r>
      <w:r>
        <w:rPr>
          <w:spacing w:val="-2"/>
        </w:rPr>
        <w:t>funciones:</w:t>
      </w:r>
    </w:p>
    <w:p>
      <w:pPr>
        <w:pStyle w:val="BodyText"/>
        <w:spacing w:before="1"/>
      </w:pPr>
    </w:p>
    <w:p>
      <w:pPr>
        <w:pStyle w:val="ListParagraph"/>
        <w:numPr>
          <w:ilvl w:val="2"/>
          <w:numId w:val="14"/>
        </w:numPr>
        <w:tabs>
          <w:tab w:pos="543" w:val="left" w:leader="none"/>
        </w:tabs>
        <w:spacing w:line="240" w:lineRule="auto" w:before="0" w:after="0"/>
        <w:ind w:left="262" w:right="286" w:firstLine="0"/>
        <w:jc w:val="both"/>
        <w:rPr>
          <w:sz w:val="20"/>
        </w:rPr>
      </w:pPr>
      <w:r>
        <w:rPr>
          <w:sz w:val="20"/>
        </w:rPr>
        <w:t>Conocer,</w:t>
      </w:r>
      <w:r>
        <w:rPr>
          <w:spacing w:val="-7"/>
          <w:sz w:val="20"/>
        </w:rPr>
        <w:t> </w:t>
      </w:r>
      <w:r>
        <w:rPr>
          <w:sz w:val="20"/>
        </w:rPr>
        <w:t>analizar</w:t>
      </w:r>
      <w:r>
        <w:rPr>
          <w:spacing w:val="-8"/>
          <w:sz w:val="20"/>
        </w:rPr>
        <w:t> </w:t>
      </w:r>
      <w:r>
        <w:rPr>
          <w:sz w:val="20"/>
        </w:rPr>
        <w:t>y</w:t>
      </w:r>
      <w:r>
        <w:rPr>
          <w:spacing w:val="-8"/>
          <w:sz w:val="20"/>
        </w:rPr>
        <w:t> </w:t>
      </w:r>
      <w:r>
        <w:rPr>
          <w:sz w:val="20"/>
        </w:rPr>
        <w:t>formular</w:t>
      </w:r>
      <w:r>
        <w:rPr>
          <w:spacing w:val="-8"/>
          <w:sz w:val="20"/>
        </w:rPr>
        <w:t> </w:t>
      </w:r>
      <w:r>
        <w:rPr>
          <w:sz w:val="20"/>
        </w:rPr>
        <w:t>propuestas</w:t>
      </w:r>
      <w:r>
        <w:rPr>
          <w:spacing w:val="-8"/>
          <w:sz w:val="20"/>
        </w:rPr>
        <w:t> </w:t>
      </w:r>
      <w:r>
        <w:rPr>
          <w:sz w:val="20"/>
        </w:rPr>
        <w:t>sobre</w:t>
      </w:r>
      <w:r>
        <w:rPr>
          <w:spacing w:val="-7"/>
          <w:sz w:val="20"/>
        </w:rPr>
        <w:t> </w:t>
      </w:r>
      <w:r>
        <w:rPr>
          <w:sz w:val="20"/>
        </w:rPr>
        <w:t>el</w:t>
      </w:r>
      <w:r>
        <w:rPr>
          <w:spacing w:val="-8"/>
          <w:sz w:val="20"/>
        </w:rPr>
        <w:t> </w:t>
      </w:r>
      <w:r>
        <w:rPr>
          <w:sz w:val="20"/>
        </w:rPr>
        <w:t>Programa</w:t>
      </w:r>
      <w:r>
        <w:rPr>
          <w:spacing w:val="-8"/>
          <w:sz w:val="20"/>
        </w:rPr>
        <w:t> </w:t>
      </w:r>
      <w:r>
        <w:rPr>
          <w:sz w:val="20"/>
        </w:rPr>
        <w:t>Estatal</w:t>
      </w:r>
      <w:r>
        <w:rPr>
          <w:spacing w:val="-8"/>
          <w:sz w:val="20"/>
        </w:rPr>
        <w:t> </w:t>
      </w:r>
      <w:r>
        <w:rPr>
          <w:sz w:val="20"/>
        </w:rPr>
        <w:t>de</w:t>
      </w:r>
      <w:r>
        <w:rPr>
          <w:spacing w:val="-9"/>
          <w:sz w:val="20"/>
        </w:rPr>
        <w:t> </w:t>
      </w:r>
      <w:r>
        <w:rPr>
          <w:sz w:val="20"/>
        </w:rPr>
        <w:t>Ordenamiento</w:t>
      </w:r>
      <w:r>
        <w:rPr>
          <w:spacing w:val="-9"/>
          <w:sz w:val="20"/>
        </w:rPr>
        <w:t> </w:t>
      </w:r>
      <w:r>
        <w:rPr>
          <w:sz w:val="20"/>
        </w:rPr>
        <w:t>Territorial</w:t>
      </w:r>
      <w:r>
        <w:rPr>
          <w:spacing w:val="-7"/>
          <w:sz w:val="20"/>
        </w:rPr>
        <w:t> </w:t>
      </w:r>
      <w:r>
        <w:rPr>
          <w:sz w:val="20"/>
        </w:rPr>
        <w:t>y Desarrollo Urbano que someta a su consideración el Instituto Estatal de Planeación, así como sus modificaciones y adiciones, y opinar sobre sus informes anuales de ejecución;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2"/>
          <w:numId w:val="14"/>
        </w:numPr>
        <w:tabs>
          <w:tab w:pos="543" w:val="left" w:leader="none"/>
        </w:tabs>
        <w:spacing w:line="240" w:lineRule="auto" w:before="0" w:after="0"/>
        <w:ind w:left="262" w:right="286" w:firstLine="0"/>
        <w:jc w:val="both"/>
        <w:rPr>
          <w:sz w:val="20"/>
        </w:rPr>
      </w:pPr>
      <w:r>
        <w:rPr>
          <w:sz w:val="20"/>
        </w:rPr>
        <w:t>Conocer, opinar y proponer cambios en las políticas públicas, programas y acciones que la Secretaría formule en materia de ordenamiento territorial y Desarrollo Urbano;</w:t>
      </w:r>
    </w:p>
    <w:p>
      <w:pPr>
        <w:pStyle w:val="BodyText"/>
        <w:spacing w:before="1"/>
      </w:pPr>
    </w:p>
    <w:p>
      <w:pPr>
        <w:pStyle w:val="ListParagraph"/>
        <w:numPr>
          <w:ilvl w:val="2"/>
          <w:numId w:val="14"/>
        </w:numPr>
        <w:tabs>
          <w:tab w:pos="597" w:val="left" w:leader="none"/>
        </w:tabs>
        <w:spacing w:line="240" w:lineRule="auto" w:before="1" w:after="0"/>
        <w:ind w:left="262" w:right="288" w:firstLine="0"/>
        <w:jc w:val="both"/>
        <w:rPr>
          <w:sz w:val="20"/>
        </w:rPr>
      </w:pPr>
      <w:r>
        <w:rPr>
          <w:sz w:val="20"/>
        </w:rPr>
        <w:t>Impulsar la participación ciudadana y de las organizaciones sociales en el seguimiento, operación y evaluación de las políticas a que se refiere la fracción anterior;</w:t>
      </w:r>
    </w:p>
    <w:p>
      <w:pPr>
        <w:pStyle w:val="ListParagraph"/>
        <w:numPr>
          <w:ilvl w:val="2"/>
          <w:numId w:val="14"/>
        </w:numPr>
        <w:tabs>
          <w:tab w:pos="688" w:val="left" w:leader="none"/>
        </w:tabs>
        <w:spacing w:line="240" w:lineRule="auto" w:before="228" w:after="0"/>
        <w:ind w:left="262" w:right="286" w:firstLine="0"/>
        <w:jc w:val="both"/>
        <w:rPr>
          <w:sz w:val="20"/>
        </w:rPr>
      </w:pPr>
      <w:r>
        <w:rPr>
          <w:sz w:val="20"/>
        </w:rPr>
        <w:t>Conocer y opinar sobre las políticas o acciones de las dependencias y entidades de la Administración</w:t>
      </w:r>
      <w:r>
        <w:rPr>
          <w:spacing w:val="-12"/>
          <w:sz w:val="20"/>
        </w:rPr>
        <w:t> </w:t>
      </w:r>
      <w:r>
        <w:rPr>
          <w:sz w:val="20"/>
        </w:rPr>
        <w:t>Pública</w:t>
      </w:r>
      <w:r>
        <w:rPr>
          <w:spacing w:val="-10"/>
          <w:sz w:val="20"/>
        </w:rPr>
        <w:t> </w:t>
      </w:r>
      <w:r>
        <w:rPr>
          <w:sz w:val="20"/>
        </w:rPr>
        <w:t>estatal</w:t>
      </w:r>
      <w:r>
        <w:rPr>
          <w:spacing w:val="-11"/>
          <w:sz w:val="20"/>
        </w:rPr>
        <w:t> </w:t>
      </w:r>
      <w:r>
        <w:rPr>
          <w:sz w:val="20"/>
        </w:rPr>
        <w:t>que</w:t>
      </w:r>
      <w:r>
        <w:rPr>
          <w:spacing w:val="-10"/>
          <w:sz w:val="20"/>
        </w:rPr>
        <w:t> </w:t>
      </w:r>
      <w:r>
        <w:rPr>
          <w:sz w:val="20"/>
        </w:rPr>
        <w:t>ejecuten</w:t>
      </w:r>
      <w:r>
        <w:rPr>
          <w:spacing w:val="-12"/>
          <w:sz w:val="20"/>
        </w:rPr>
        <w:t> </w:t>
      </w:r>
      <w:r>
        <w:rPr>
          <w:sz w:val="20"/>
        </w:rPr>
        <w:t>directamente</w:t>
      </w:r>
      <w:r>
        <w:rPr>
          <w:spacing w:val="-13"/>
          <w:sz w:val="20"/>
        </w:rPr>
        <w:t> </w:t>
      </w:r>
      <w:r>
        <w:rPr>
          <w:sz w:val="20"/>
        </w:rPr>
        <w:t>o</w:t>
      </w:r>
      <w:r>
        <w:rPr>
          <w:spacing w:val="-10"/>
          <w:sz w:val="20"/>
        </w:rPr>
        <w:t> </w:t>
      </w:r>
      <w:r>
        <w:rPr>
          <w:sz w:val="20"/>
        </w:rPr>
        <w:t>en</w:t>
      </w:r>
      <w:r>
        <w:rPr>
          <w:spacing w:val="-13"/>
          <w:sz w:val="20"/>
        </w:rPr>
        <w:t> </w:t>
      </w:r>
      <w:r>
        <w:rPr>
          <w:sz w:val="20"/>
        </w:rPr>
        <w:t>coordinación</w:t>
      </w:r>
      <w:r>
        <w:rPr>
          <w:spacing w:val="-13"/>
          <w:sz w:val="20"/>
        </w:rPr>
        <w:t> </w:t>
      </w:r>
      <w:r>
        <w:rPr>
          <w:sz w:val="20"/>
        </w:rPr>
        <w:t>con</w:t>
      </w:r>
      <w:r>
        <w:rPr>
          <w:spacing w:val="-12"/>
          <w:sz w:val="20"/>
        </w:rPr>
        <w:t> </w:t>
      </w:r>
      <w:r>
        <w:rPr>
          <w:sz w:val="20"/>
        </w:rPr>
        <w:t>otras</w:t>
      </w:r>
      <w:r>
        <w:rPr>
          <w:spacing w:val="-11"/>
          <w:sz w:val="20"/>
        </w:rPr>
        <w:t> </w:t>
      </w:r>
      <w:r>
        <w:rPr>
          <w:sz w:val="20"/>
        </w:rPr>
        <w:t>dependencias o entidades de los demás órdenes de gobierno, relacionadas con el desarrollo regional y urbano;</w:t>
      </w:r>
    </w:p>
    <w:p>
      <w:pPr>
        <w:pStyle w:val="BodyText"/>
      </w:pPr>
    </w:p>
    <w:p>
      <w:pPr>
        <w:pStyle w:val="ListParagraph"/>
        <w:numPr>
          <w:ilvl w:val="2"/>
          <w:numId w:val="14"/>
        </w:numPr>
        <w:tabs>
          <w:tab w:pos="688" w:val="left" w:leader="none"/>
        </w:tabs>
        <w:spacing w:line="240" w:lineRule="auto" w:before="0" w:after="0"/>
        <w:ind w:left="262" w:right="289" w:firstLine="0"/>
        <w:jc w:val="both"/>
        <w:rPr>
          <w:sz w:val="20"/>
        </w:rPr>
      </w:pPr>
      <w:r>
        <w:rPr>
          <w:sz w:val="20"/>
        </w:rPr>
        <w:t>Emitir opiniones y formular propuestas consensuadas sobre la conducción, orientación y evaluación de las políticas de Ordenamiento Territorial y Desarrollo Urbano y Metropolitano;</w:t>
      </w:r>
    </w:p>
    <w:p>
      <w:pPr>
        <w:pStyle w:val="BodyText"/>
        <w:spacing w:before="1"/>
      </w:pPr>
    </w:p>
    <w:p>
      <w:pPr>
        <w:pStyle w:val="ListParagraph"/>
        <w:numPr>
          <w:ilvl w:val="2"/>
          <w:numId w:val="14"/>
        </w:numPr>
        <w:tabs>
          <w:tab w:pos="688" w:val="left" w:leader="none"/>
        </w:tabs>
        <w:spacing w:line="240" w:lineRule="auto" w:before="1" w:after="0"/>
        <w:ind w:left="262" w:right="278" w:firstLine="0"/>
        <w:jc w:val="both"/>
        <w:rPr>
          <w:sz w:val="20"/>
        </w:rPr>
      </w:pPr>
      <w:r>
        <w:rPr>
          <w:sz w:val="20"/>
        </w:rPr>
        <w:t>Promover la celebración de convenios de colaboración y coordinación con los Ayuntamientos de los municipios que conforman el Estado de San Luis Potosí, y en su caso con otras entidades federativas o con dependencias y entidades de la Administración Pública Federal, para la instrumentación de los programas relacionados con la materia;</w:t>
      </w:r>
    </w:p>
    <w:p>
      <w:pPr>
        <w:pStyle w:val="ListParagraph"/>
        <w:numPr>
          <w:ilvl w:val="2"/>
          <w:numId w:val="14"/>
        </w:numPr>
        <w:tabs>
          <w:tab w:pos="688" w:val="left" w:leader="none"/>
        </w:tabs>
        <w:spacing w:line="240" w:lineRule="auto" w:before="229" w:after="0"/>
        <w:ind w:left="262" w:right="287" w:firstLine="0"/>
        <w:jc w:val="both"/>
        <w:rPr>
          <w:sz w:val="20"/>
        </w:rPr>
      </w:pPr>
      <w:r>
        <w:rPr>
          <w:sz w:val="20"/>
        </w:rPr>
        <w:t>Proponer la</w:t>
      </w:r>
      <w:r>
        <w:rPr>
          <w:spacing w:val="-1"/>
          <w:sz w:val="20"/>
        </w:rPr>
        <w:t> </w:t>
      </w:r>
      <w:r>
        <w:rPr>
          <w:sz w:val="20"/>
        </w:rPr>
        <w:t>actualización</w:t>
      </w:r>
      <w:r>
        <w:rPr>
          <w:spacing w:val="-1"/>
          <w:sz w:val="20"/>
        </w:rPr>
        <w:t> </w:t>
      </w:r>
      <w:r>
        <w:rPr>
          <w:sz w:val="20"/>
        </w:rPr>
        <w:t>de</w:t>
      </w:r>
      <w:r>
        <w:rPr>
          <w:spacing w:val="-3"/>
          <w:sz w:val="20"/>
        </w:rPr>
        <w:t> </w:t>
      </w:r>
      <w:r>
        <w:rPr>
          <w:sz w:val="20"/>
        </w:rPr>
        <w:t>los</w:t>
      </w:r>
      <w:r>
        <w:rPr>
          <w:spacing w:val="-2"/>
          <w:sz w:val="20"/>
        </w:rPr>
        <w:t> </w:t>
      </w:r>
      <w:r>
        <w:rPr>
          <w:sz w:val="20"/>
        </w:rPr>
        <w:t>Programas de</w:t>
      </w:r>
      <w:r>
        <w:rPr>
          <w:spacing w:val="-4"/>
          <w:sz w:val="20"/>
        </w:rPr>
        <w:t> </w:t>
      </w:r>
      <w:r>
        <w:rPr>
          <w:sz w:val="20"/>
        </w:rPr>
        <w:t>Ordenamiento</w:t>
      </w:r>
      <w:r>
        <w:rPr>
          <w:spacing w:val="-1"/>
          <w:sz w:val="20"/>
        </w:rPr>
        <w:t> </w:t>
      </w:r>
      <w:r>
        <w:rPr>
          <w:sz w:val="20"/>
        </w:rPr>
        <w:t>Territorial</w:t>
      </w:r>
      <w:r>
        <w:rPr>
          <w:spacing w:val="-4"/>
          <w:sz w:val="20"/>
        </w:rPr>
        <w:t> </w:t>
      </w:r>
      <w:r>
        <w:rPr>
          <w:sz w:val="20"/>
        </w:rPr>
        <w:t>y</w:t>
      </w:r>
      <w:r>
        <w:rPr>
          <w:spacing w:val="-2"/>
          <w:sz w:val="20"/>
        </w:rPr>
        <w:t> </w:t>
      </w:r>
      <w:r>
        <w:rPr>
          <w:sz w:val="20"/>
        </w:rPr>
        <w:t>Desarrollo</w:t>
      </w:r>
      <w:r>
        <w:rPr>
          <w:spacing w:val="-3"/>
          <w:sz w:val="20"/>
        </w:rPr>
        <w:t> </w:t>
      </w:r>
      <w:r>
        <w:rPr>
          <w:sz w:val="20"/>
        </w:rPr>
        <w:t>Urbano</w:t>
      </w:r>
      <w:r>
        <w:rPr>
          <w:spacing w:val="-1"/>
          <w:sz w:val="20"/>
        </w:rPr>
        <w:t> </w:t>
      </w:r>
      <w:r>
        <w:rPr>
          <w:sz w:val="20"/>
        </w:rPr>
        <w:t>y </w:t>
      </w:r>
      <w:r>
        <w:rPr>
          <w:spacing w:val="-2"/>
          <w:sz w:val="20"/>
        </w:rPr>
        <w:t>Metropolitano;</w:t>
      </w:r>
    </w:p>
    <w:p>
      <w:pPr>
        <w:pStyle w:val="ListParagraph"/>
        <w:numPr>
          <w:ilvl w:val="2"/>
          <w:numId w:val="14"/>
        </w:numPr>
        <w:tabs>
          <w:tab w:pos="827" w:val="left" w:leader="none"/>
        </w:tabs>
        <w:spacing w:line="240" w:lineRule="auto" w:before="229" w:after="0"/>
        <w:ind w:left="262" w:right="286" w:firstLine="0"/>
        <w:jc w:val="both"/>
        <w:rPr>
          <w:sz w:val="20"/>
        </w:rPr>
      </w:pPr>
      <w:r>
        <w:rPr>
          <w:sz w:val="20"/>
        </w:rPr>
        <w:t>Opinar</w:t>
      </w:r>
      <w:r>
        <w:rPr>
          <w:spacing w:val="-7"/>
          <w:sz w:val="20"/>
        </w:rPr>
        <w:t> </w:t>
      </w:r>
      <w:r>
        <w:rPr>
          <w:sz w:val="20"/>
        </w:rPr>
        <w:t>en</w:t>
      </w:r>
      <w:r>
        <w:rPr>
          <w:spacing w:val="-8"/>
          <w:sz w:val="20"/>
        </w:rPr>
        <w:t> </w:t>
      </w:r>
      <w:r>
        <w:rPr>
          <w:sz w:val="20"/>
        </w:rPr>
        <w:t>aquellos</w:t>
      </w:r>
      <w:r>
        <w:rPr>
          <w:spacing w:val="-9"/>
          <w:sz w:val="20"/>
        </w:rPr>
        <w:t> </w:t>
      </w:r>
      <w:r>
        <w:rPr>
          <w:sz w:val="20"/>
        </w:rPr>
        <w:t>asuntos</w:t>
      </w:r>
      <w:r>
        <w:rPr>
          <w:spacing w:val="-7"/>
          <w:sz w:val="20"/>
        </w:rPr>
        <w:t> </w:t>
      </w:r>
      <w:r>
        <w:rPr>
          <w:sz w:val="20"/>
        </w:rPr>
        <w:t>que</w:t>
      </w:r>
      <w:r>
        <w:rPr>
          <w:spacing w:val="-8"/>
          <w:sz w:val="20"/>
        </w:rPr>
        <w:t> </w:t>
      </w:r>
      <w:r>
        <w:rPr>
          <w:sz w:val="20"/>
        </w:rPr>
        <w:t>se</w:t>
      </w:r>
      <w:r>
        <w:rPr>
          <w:spacing w:val="-8"/>
          <w:sz w:val="20"/>
        </w:rPr>
        <w:t> </w:t>
      </w:r>
      <w:r>
        <w:rPr>
          <w:sz w:val="20"/>
        </w:rPr>
        <w:t>presenten</w:t>
      </w:r>
      <w:r>
        <w:rPr>
          <w:spacing w:val="-8"/>
          <w:sz w:val="20"/>
        </w:rPr>
        <w:t> </w:t>
      </w:r>
      <w:r>
        <w:rPr>
          <w:sz w:val="20"/>
        </w:rPr>
        <w:t>a</w:t>
      </w:r>
      <w:r>
        <w:rPr>
          <w:spacing w:val="-10"/>
          <w:sz w:val="20"/>
        </w:rPr>
        <w:t> </w:t>
      </w:r>
      <w:r>
        <w:rPr>
          <w:sz w:val="20"/>
        </w:rPr>
        <w:t>su</w:t>
      </w:r>
      <w:r>
        <w:rPr>
          <w:spacing w:val="-8"/>
          <w:sz w:val="20"/>
        </w:rPr>
        <w:t> </w:t>
      </w:r>
      <w:r>
        <w:rPr>
          <w:sz w:val="20"/>
        </w:rPr>
        <w:t>consideración;</w:t>
      </w:r>
      <w:r>
        <w:rPr>
          <w:spacing w:val="-10"/>
          <w:sz w:val="20"/>
        </w:rPr>
        <w:t> </w:t>
      </w:r>
      <w:r>
        <w:rPr>
          <w:sz w:val="20"/>
        </w:rPr>
        <w:t>cuando</w:t>
      </w:r>
      <w:r>
        <w:rPr>
          <w:spacing w:val="-8"/>
          <w:sz w:val="20"/>
        </w:rPr>
        <w:t> </w:t>
      </w:r>
      <w:r>
        <w:rPr>
          <w:sz w:val="20"/>
        </w:rPr>
        <w:t>exista</w:t>
      </w:r>
      <w:r>
        <w:rPr>
          <w:spacing w:val="-8"/>
          <w:sz w:val="20"/>
        </w:rPr>
        <w:t> </w:t>
      </w:r>
      <w:r>
        <w:rPr>
          <w:sz w:val="20"/>
        </w:rPr>
        <w:t>diferencia</w:t>
      </w:r>
      <w:r>
        <w:rPr>
          <w:spacing w:val="-8"/>
          <w:sz w:val="20"/>
        </w:rPr>
        <w:t> </w:t>
      </w:r>
      <w:r>
        <w:rPr>
          <w:sz w:val="20"/>
        </w:rPr>
        <w:t>de criterio entre el</w:t>
      </w:r>
      <w:r>
        <w:rPr>
          <w:spacing w:val="-1"/>
          <w:sz w:val="20"/>
        </w:rPr>
        <w:t> </w:t>
      </w:r>
      <w:r>
        <w:rPr>
          <w:sz w:val="20"/>
        </w:rPr>
        <w:t>Ejecutivo del</w:t>
      </w:r>
      <w:r>
        <w:rPr>
          <w:spacing w:val="-1"/>
          <w:sz w:val="20"/>
        </w:rPr>
        <w:t> </w:t>
      </w:r>
      <w:r>
        <w:rPr>
          <w:sz w:val="20"/>
        </w:rPr>
        <w:t>Estado y los ayuntamientos, en cuanto al</w:t>
      </w:r>
      <w:r>
        <w:rPr>
          <w:spacing w:val="-1"/>
          <w:sz w:val="20"/>
        </w:rPr>
        <w:t> </w:t>
      </w:r>
      <w:r>
        <w:rPr>
          <w:sz w:val="20"/>
        </w:rPr>
        <w:t>tratamiento de un asunto en materia de Ordenamiento Territorial y Desarrollo Urbano y Metropolitano;</w:t>
      </w:r>
    </w:p>
    <w:p>
      <w:pPr>
        <w:pStyle w:val="BodyText"/>
        <w:spacing w:before="2"/>
      </w:pPr>
    </w:p>
    <w:p>
      <w:pPr>
        <w:pStyle w:val="ListParagraph"/>
        <w:numPr>
          <w:ilvl w:val="2"/>
          <w:numId w:val="14"/>
        </w:numPr>
        <w:tabs>
          <w:tab w:pos="688" w:val="left" w:leader="none"/>
        </w:tabs>
        <w:spacing w:line="240" w:lineRule="auto" w:before="0" w:after="0"/>
        <w:ind w:left="262" w:right="283" w:firstLine="0"/>
        <w:jc w:val="both"/>
        <w:rPr>
          <w:sz w:val="20"/>
        </w:rPr>
      </w:pPr>
      <w:r>
        <w:rPr>
          <w:sz w:val="20"/>
        </w:rPr>
        <w:t>Impulsar</w:t>
      </w:r>
      <w:r>
        <w:rPr>
          <w:spacing w:val="-14"/>
          <w:sz w:val="20"/>
        </w:rPr>
        <w:t> </w:t>
      </w:r>
      <w:r>
        <w:rPr>
          <w:sz w:val="20"/>
        </w:rPr>
        <w:t>la</w:t>
      </w:r>
      <w:r>
        <w:rPr>
          <w:spacing w:val="-14"/>
          <w:sz w:val="20"/>
        </w:rPr>
        <w:t> </w:t>
      </w:r>
      <w:r>
        <w:rPr>
          <w:sz w:val="20"/>
        </w:rPr>
        <w:t>participación</w:t>
      </w:r>
      <w:r>
        <w:rPr>
          <w:spacing w:val="-14"/>
          <w:sz w:val="20"/>
        </w:rPr>
        <w:t> </w:t>
      </w:r>
      <w:r>
        <w:rPr>
          <w:sz w:val="20"/>
        </w:rPr>
        <w:t>social</w:t>
      </w:r>
      <w:r>
        <w:rPr>
          <w:spacing w:val="-14"/>
          <w:sz w:val="20"/>
        </w:rPr>
        <w:t> </w:t>
      </w:r>
      <w:r>
        <w:rPr>
          <w:sz w:val="20"/>
        </w:rPr>
        <w:t>en</w:t>
      </w:r>
      <w:r>
        <w:rPr>
          <w:spacing w:val="-13"/>
          <w:sz w:val="20"/>
        </w:rPr>
        <w:t> </w:t>
      </w:r>
      <w:r>
        <w:rPr>
          <w:sz w:val="20"/>
        </w:rPr>
        <w:t>la</w:t>
      </w:r>
      <w:r>
        <w:rPr>
          <w:spacing w:val="-12"/>
          <w:sz w:val="20"/>
        </w:rPr>
        <w:t> </w:t>
      </w:r>
      <w:r>
        <w:rPr>
          <w:sz w:val="20"/>
        </w:rPr>
        <w:t>elaboración,</w:t>
      </w:r>
      <w:r>
        <w:rPr>
          <w:spacing w:val="-14"/>
          <w:sz w:val="20"/>
        </w:rPr>
        <w:t> </w:t>
      </w:r>
      <w:r>
        <w:rPr>
          <w:sz w:val="20"/>
        </w:rPr>
        <w:t>seguimiento</w:t>
      </w:r>
      <w:r>
        <w:rPr>
          <w:spacing w:val="-14"/>
          <w:sz w:val="20"/>
        </w:rPr>
        <w:t> </w:t>
      </w:r>
      <w:r>
        <w:rPr>
          <w:sz w:val="20"/>
        </w:rPr>
        <w:t>y</w:t>
      </w:r>
      <w:r>
        <w:rPr>
          <w:spacing w:val="-11"/>
          <w:sz w:val="20"/>
        </w:rPr>
        <w:t> </w:t>
      </w:r>
      <w:r>
        <w:rPr>
          <w:sz w:val="20"/>
        </w:rPr>
        <w:t>operación</w:t>
      </w:r>
      <w:r>
        <w:rPr>
          <w:spacing w:val="-13"/>
          <w:sz w:val="20"/>
        </w:rPr>
        <w:t> </w:t>
      </w:r>
      <w:r>
        <w:rPr>
          <w:sz w:val="20"/>
        </w:rPr>
        <w:t>del</w:t>
      </w:r>
      <w:r>
        <w:rPr>
          <w:spacing w:val="-13"/>
          <w:sz w:val="20"/>
        </w:rPr>
        <w:t> </w:t>
      </w:r>
      <w:r>
        <w:rPr>
          <w:sz w:val="20"/>
        </w:rPr>
        <w:t>Programa</w:t>
      </w:r>
      <w:r>
        <w:rPr>
          <w:spacing w:val="-12"/>
          <w:sz w:val="20"/>
        </w:rPr>
        <w:t> </w:t>
      </w:r>
      <w:r>
        <w:rPr>
          <w:sz w:val="20"/>
        </w:rPr>
        <w:t>Estatal de Ordenamiento Territorial y Desarrollo Urbano y los demás programas que de éste deriven;</w:t>
      </w:r>
    </w:p>
    <w:p>
      <w:pPr>
        <w:pStyle w:val="ListParagraph"/>
        <w:numPr>
          <w:ilvl w:val="2"/>
          <w:numId w:val="14"/>
        </w:numPr>
        <w:tabs>
          <w:tab w:pos="688" w:val="left" w:leader="none"/>
        </w:tabs>
        <w:spacing w:line="240" w:lineRule="auto" w:before="229" w:after="0"/>
        <w:ind w:left="262" w:right="287" w:firstLine="0"/>
        <w:jc w:val="both"/>
        <w:rPr>
          <w:sz w:val="20"/>
        </w:rPr>
      </w:pPr>
      <w:r>
        <w:rPr>
          <w:sz w:val="20"/>
        </w:rPr>
        <w:t>Proponer a las distintas autoridades de los tres órdenes de gobierno los temas que por su importancia ameriten ser sometidos a consulta pública;</w:t>
      </w:r>
    </w:p>
    <w:p>
      <w:pPr>
        <w:pStyle w:val="BodyText"/>
        <w:spacing w:before="1"/>
      </w:pPr>
    </w:p>
    <w:p>
      <w:pPr>
        <w:pStyle w:val="ListParagraph"/>
        <w:numPr>
          <w:ilvl w:val="2"/>
          <w:numId w:val="14"/>
        </w:numPr>
        <w:tabs>
          <w:tab w:pos="688" w:val="left" w:leader="none"/>
        </w:tabs>
        <w:spacing w:line="240" w:lineRule="auto" w:before="0" w:after="0"/>
        <w:ind w:left="688" w:right="0" w:hanging="426"/>
        <w:jc w:val="both"/>
        <w:rPr>
          <w:sz w:val="20"/>
        </w:rPr>
      </w:pPr>
      <w:r>
        <w:rPr>
          <w:sz w:val="20"/>
        </w:rPr>
        <w:t>Conocer</w:t>
      </w:r>
      <w:r>
        <w:rPr>
          <w:spacing w:val="-7"/>
          <w:sz w:val="20"/>
        </w:rPr>
        <w:t> </w:t>
      </w:r>
      <w:r>
        <w:rPr>
          <w:sz w:val="20"/>
        </w:rPr>
        <w:t>y</w:t>
      </w:r>
      <w:r>
        <w:rPr>
          <w:spacing w:val="-5"/>
          <w:sz w:val="20"/>
        </w:rPr>
        <w:t> </w:t>
      </w:r>
      <w:r>
        <w:rPr>
          <w:sz w:val="20"/>
        </w:rPr>
        <w:t>opinar</w:t>
      </w:r>
      <w:r>
        <w:rPr>
          <w:spacing w:val="-6"/>
          <w:sz w:val="20"/>
        </w:rPr>
        <w:t> </w:t>
      </w:r>
      <w:r>
        <w:rPr>
          <w:sz w:val="20"/>
        </w:rPr>
        <w:t>los</w:t>
      </w:r>
      <w:r>
        <w:rPr>
          <w:spacing w:val="-6"/>
          <w:sz w:val="20"/>
        </w:rPr>
        <w:t> </w:t>
      </w:r>
      <w:r>
        <w:rPr>
          <w:sz w:val="20"/>
        </w:rPr>
        <w:t>convenios</w:t>
      </w:r>
      <w:r>
        <w:rPr>
          <w:spacing w:val="-5"/>
          <w:sz w:val="20"/>
        </w:rPr>
        <w:t> </w:t>
      </w:r>
      <w:r>
        <w:rPr>
          <w:sz w:val="20"/>
        </w:rPr>
        <w:t>de</w:t>
      </w:r>
      <w:r>
        <w:rPr>
          <w:spacing w:val="-7"/>
          <w:sz w:val="20"/>
        </w:rPr>
        <w:t> </w:t>
      </w:r>
      <w:r>
        <w:rPr>
          <w:sz w:val="20"/>
        </w:rPr>
        <w:t>zonas</w:t>
      </w:r>
      <w:r>
        <w:rPr>
          <w:spacing w:val="-6"/>
          <w:sz w:val="20"/>
        </w:rPr>
        <w:t> </w:t>
      </w:r>
      <w:r>
        <w:rPr>
          <w:spacing w:val="-2"/>
          <w:sz w:val="20"/>
        </w:rPr>
        <w:t>metropolitanas;</w:t>
      </w:r>
    </w:p>
    <w:p>
      <w:pPr>
        <w:pStyle w:val="ListParagraph"/>
        <w:numPr>
          <w:ilvl w:val="2"/>
          <w:numId w:val="14"/>
        </w:numPr>
        <w:tabs>
          <w:tab w:pos="827" w:val="left" w:leader="none"/>
        </w:tabs>
        <w:spacing w:line="240" w:lineRule="auto" w:before="229" w:after="0"/>
        <w:ind w:left="827" w:right="0" w:hanging="565"/>
        <w:jc w:val="both"/>
        <w:rPr>
          <w:sz w:val="20"/>
        </w:rPr>
      </w:pPr>
      <w:r>
        <w:rPr>
          <w:sz w:val="20"/>
        </w:rPr>
        <w:t>Conocer</w:t>
      </w:r>
      <w:r>
        <w:rPr>
          <w:spacing w:val="-7"/>
          <w:sz w:val="20"/>
        </w:rPr>
        <w:t> </w:t>
      </w:r>
      <w:r>
        <w:rPr>
          <w:sz w:val="20"/>
        </w:rPr>
        <w:t>y</w:t>
      </w:r>
      <w:r>
        <w:rPr>
          <w:spacing w:val="-4"/>
          <w:sz w:val="20"/>
        </w:rPr>
        <w:t> </w:t>
      </w:r>
      <w:r>
        <w:rPr>
          <w:sz w:val="20"/>
        </w:rPr>
        <w:t>opinar</w:t>
      </w:r>
      <w:r>
        <w:rPr>
          <w:spacing w:val="-6"/>
          <w:sz w:val="20"/>
        </w:rPr>
        <w:t> </w:t>
      </w:r>
      <w:r>
        <w:rPr>
          <w:sz w:val="20"/>
        </w:rPr>
        <w:t>de</w:t>
      </w:r>
      <w:r>
        <w:rPr>
          <w:spacing w:val="-6"/>
          <w:sz w:val="20"/>
        </w:rPr>
        <w:t> </w:t>
      </w:r>
      <w:r>
        <w:rPr>
          <w:sz w:val="20"/>
        </w:rPr>
        <w:t>la</w:t>
      </w:r>
      <w:r>
        <w:rPr>
          <w:spacing w:val="-6"/>
          <w:sz w:val="20"/>
        </w:rPr>
        <w:t> </w:t>
      </w:r>
      <w:r>
        <w:rPr>
          <w:sz w:val="20"/>
        </w:rPr>
        <w:t>creación</w:t>
      </w:r>
      <w:r>
        <w:rPr>
          <w:spacing w:val="-5"/>
          <w:sz w:val="20"/>
        </w:rPr>
        <w:t> </w:t>
      </w:r>
      <w:r>
        <w:rPr>
          <w:sz w:val="20"/>
        </w:rPr>
        <w:t>de</w:t>
      </w:r>
      <w:r>
        <w:rPr>
          <w:spacing w:val="-6"/>
          <w:sz w:val="20"/>
        </w:rPr>
        <w:t> </w:t>
      </w:r>
      <w:r>
        <w:rPr>
          <w:sz w:val="20"/>
        </w:rPr>
        <w:t>nuevos</w:t>
      </w:r>
      <w:r>
        <w:rPr>
          <w:spacing w:val="-5"/>
          <w:sz w:val="20"/>
        </w:rPr>
        <w:t> </w:t>
      </w:r>
      <w:r>
        <w:rPr>
          <w:sz w:val="20"/>
        </w:rPr>
        <w:t>Centros</w:t>
      </w:r>
      <w:r>
        <w:rPr>
          <w:spacing w:val="-6"/>
          <w:sz w:val="20"/>
        </w:rPr>
        <w:t> </w:t>
      </w:r>
      <w:r>
        <w:rPr>
          <w:sz w:val="20"/>
        </w:rPr>
        <w:t>de</w:t>
      </w:r>
      <w:r>
        <w:rPr>
          <w:spacing w:val="-6"/>
          <w:sz w:val="20"/>
        </w:rPr>
        <w:t> </w:t>
      </w:r>
      <w:r>
        <w:rPr>
          <w:spacing w:val="-2"/>
          <w:sz w:val="20"/>
        </w:rPr>
        <w:t>Población;</w:t>
      </w:r>
    </w:p>
    <w:p>
      <w:pPr>
        <w:pStyle w:val="BodyText"/>
      </w:pPr>
    </w:p>
    <w:p>
      <w:pPr>
        <w:pStyle w:val="ListParagraph"/>
        <w:numPr>
          <w:ilvl w:val="2"/>
          <w:numId w:val="14"/>
        </w:numPr>
        <w:tabs>
          <w:tab w:pos="827" w:val="left" w:leader="none"/>
        </w:tabs>
        <w:spacing w:line="240" w:lineRule="auto" w:before="1" w:after="0"/>
        <w:ind w:left="262" w:right="287" w:firstLine="0"/>
        <w:jc w:val="both"/>
        <w:rPr>
          <w:sz w:val="20"/>
        </w:rPr>
      </w:pPr>
      <w:r>
        <w:rPr>
          <w:sz w:val="20"/>
        </w:rPr>
        <w:t>Promover la creación de institutos de planeación, observatorios ciudadanos, consejos participativos y otras estructuras institucionales y ciudadanas;</w:t>
      </w:r>
    </w:p>
    <w:p>
      <w:pPr>
        <w:pStyle w:val="BodyText"/>
        <w:spacing w:before="1"/>
      </w:pPr>
    </w:p>
    <w:p>
      <w:pPr>
        <w:pStyle w:val="ListParagraph"/>
        <w:numPr>
          <w:ilvl w:val="2"/>
          <w:numId w:val="14"/>
        </w:numPr>
        <w:tabs>
          <w:tab w:pos="828" w:val="left" w:leader="none"/>
        </w:tabs>
        <w:spacing w:line="240" w:lineRule="auto" w:before="0" w:after="0"/>
        <w:ind w:left="262" w:right="283" w:firstLine="0"/>
        <w:jc w:val="both"/>
        <w:rPr>
          <w:sz w:val="20"/>
        </w:rPr>
      </w:pPr>
      <w:r>
        <w:rPr>
          <w:sz w:val="20"/>
        </w:rPr>
        <w:t>Opinar</w:t>
      </w:r>
      <w:r>
        <w:rPr>
          <w:spacing w:val="-4"/>
          <w:sz w:val="20"/>
        </w:rPr>
        <w:t> </w:t>
      </w:r>
      <w:r>
        <w:rPr>
          <w:sz w:val="20"/>
        </w:rPr>
        <w:t>sobre</w:t>
      </w:r>
      <w:r>
        <w:rPr>
          <w:spacing w:val="-4"/>
          <w:sz w:val="20"/>
        </w:rPr>
        <w:t> </w:t>
      </w:r>
      <w:r>
        <w:rPr>
          <w:sz w:val="20"/>
        </w:rPr>
        <w:t>los</w:t>
      </w:r>
      <w:r>
        <w:rPr>
          <w:spacing w:val="-4"/>
          <w:sz w:val="20"/>
        </w:rPr>
        <w:t> </w:t>
      </w:r>
      <w:r>
        <w:rPr>
          <w:sz w:val="20"/>
        </w:rPr>
        <w:t>presupuestos</w:t>
      </w:r>
      <w:r>
        <w:rPr>
          <w:spacing w:val="-4"/>
          <w:sz w:val="20"/>
        </w:rPr>
        <w:t> </w:t>
      </w:r>
      <w:r>
        <w:rPr>
          <w:sz w:val="20"/>
        </w:rPr>
        <w:t>de</w:t>
      </w:r>
      <w:r>
        <w:rPr>
          <w:spacing w:val="-6"/>
          <w:sz w:val="20"/>
        </w:rPr>
        <w:t> </w:t>
      </w:r>
      <w:r>
        <w:rPr>
          <w:sz w:val="20"/>
        </w:rPr>
        <w:t>las</w:t>
      </w:r>
      <w:r>
        <w:rPr>
          <w:spacing w:val="-4"/>
          <w:sz w:val="20"/>
        </w:rPr>
        <w:t> </w:t>
      </w:r>
      <w:r>
        <w:rPr>
          <w:sz w:val="20"/>
        </w:rPr>
        <w:t>dependencias</w:t>
      </w:r>
      <w:r>
        <w:rPr>
          <w:spacing w:val="-4"/>
          <w:sz w:val="20"/>
        </w:rPr>
        <w:t> </w:t>
      </w:r>
      <w:r>
        <w:rPr>
          <w:sz w:val="20"/>
        </w:rPr>
        <w:t>y</w:t>
      </w:r>
      <w:r>
        <w:rPr>
          <w:spacing w:val="-4"/>
          <w:sz w:val="20"/>
        </w:rPr>
        <w:t> </w:t>
      </w:r>
      <w:r>
        <w:rPr>
          <w:sz w:val="20"/>
        </w:rPr>
        <w:t>entidades</w:t>
      </w:r>
      <w:r>
        <w:rPr>
          <w:spacing w:val="-5"/>
          <w:sz w:val="20"/>
        </w:rPr>
        <w:t> </w:t>
      </w:r>
      <w:r>
        <w:rPr>
          <w:sz w:val="20"/>
        </w:rPr>
        <w:t>de</w:t>
      </w:r>
      <w:r>
        <w:rPr>
          <w:spacing w:val="-6"/>
          <w:sz w:val="20"/>
        </w:rPr>
        <w:t> </w:t>
      </w:r>
      <w:r>
        <w:rPr>
          <w:sz w:val="20"/>
        </w:rPr>
        <w:t>la</w:t>
      </w:r>
      <w:r>
        <w:rPr>
          <w:spacing w:val="-5"/>
          <w:sz w:val="20"/>
        </w:rPr>
        <w:t> </w:t>
      </w:r>
      <w:r>
        <w:rPr>
          <w:sz w:val="20"/>
        </w:rPr>
        <w:t>Administración</w:t>
      </w:r>
      <w:r>
        <w:rPr>
          <w:spacing w:val="-4"/>
          <w:sz w:val="20"/>
        </w:rPr>
        <w:t> </w:t>
      </w:r>
      <w:r>
        <w:rPr>
          <w:sz w:val="20"/>
        </w:rPr>
        <w:t>Pública Estatal</w:t>
      </w:r>
      <w:r>
        <w:rPr>
          <w:spacing w:val="7"/>
          <w:sz w:val="20"/>
        </w:rPr>
        <w:t> </w:t>
      </w:r>
      <w:r>
        <w:rPr>
          <w:sz w:val="20"/>
        </w:rPr>
        <w:t>y</w:t>
      </w:r>
      <w:r>
        <w:rPr>
          <w:spacing w:val="-14"/>
          <w:sz w:val="20"/>
        </w:rPr>
        <w:t> </w:t>
      </w:r>
      <w:r>
        <w:rPr>
          <w:sz w:val="20"/>
        </w:rPr>
        <w:t>de</w:t>
      </w:r>
      <w:r>
        <w:rPr>
          <w:spacing w:val="-14"/>
          <w:sz w:val="20"/>
        </w:rPr>
        <w:t> </w:t>
      </w:r>
      <w:r>
        <w:rPr>
          <w:sz w:val="20"/>
        </w:rPr>
        <w:t>los</w:t>
      </w:r>
      <w:r>
        <w:rPr>
          <w:spacing w:val="-14"/>
          <w:sz w:val="20"/>
        </w:rPr>
        <w:t> </w:t>
      </w:r>
      <w:r>
        <w:rPr>
          <w:sz w:val="20"/>
        </w:rPr>
        <w:t>organismos</w:t>
      </w:r>
      <w:r>
        <w:rPr>
          <w:spacing w:val="-12"/>
          <w:sz w:val="20"/>
        </w:rPr>
        <w:t> </w:t>
      </w:r>
      <w:r>
        <w:rPr>
          <w:sz w:val="20"/>
        </w:rPr>
        <w:t>estatales</w:t>
      </w:r>
      <w:r>
        <w:rPr>
          <w:spacing w:val="-14"/>
          <w:sz w:val="20"/>
        </w:rPr>
        <w:t> </w:t>
      </w:r>
      <w:r>
        <w:rPr>
          <w:sz w:val="20"/>
        </w:rPr>
        <w:t>y,</w:t>
      </w:r>
      <w:r>
        <w:rPr>
          <w:spacing w:val="-14"/>
          <w:sz w:val="20"/>
        </w:rPr>
        <w:t> </w:t>
      </w:r>
      <w:r>
        <w:rPr>
          <w:sz w:val="20"/>
        </w:rPr>
        <w:t>en</w:t>
      </w:r>
      <w:r>
        <w:rPr>
          <w:spacing w:val="-14"/>
          <w:sz w:val="20"/>
        </w:rPr>
        <w:t> </w:t>
      </w:r>
      <w:r>
        <w:rPr>
          <w:sz w:val="20"/>
        </w:rPr>
        <w:t>su</w:t>
      </w:r>
      <w:r>
        <w:rPr>
          <w:spacing w:val="-14"/>
          <w:sz w:val="20"/>
        </w:rPr>
        <w:t> </w:t>
      </w:r>
      <w:r>
        <w:rPr>
          <w:sz w:val="20"/>
        </w:rPr>
        <w:t>caso,</w:t>
      </w:r>
      <w:r>
        <w:rPr>
          <w:spacing w:val="-14"/>
          <w:sz w:val="20"/>
        </w:rPr>
        <w:t> </w:t>
      </w:r>
      <w:r>
        <w:rPr>
          <w:sz w:val="20"/>
        </w:rPr>
        <w:t>municipales,</w:t>
      </w:r>
      <w:r>
        <w:rPr>
          <w:spacing w:val="-14"/>
          <w:sz w:val="20"/>
        </w:rPr>
        <w:t> </w:t>
      </w:r>
      <w:r>
        <w:rPr>
          <w:sz w:val="20"/>
        </w:rPr>
        <w:t>destinados</w:t>
      </w:r>
      <w:r>
        <w:rPr>
          <w:spacing w:val="-14"/>
          <w:sz w:val="20"/>
        </w:rPr>
        <w:t> </w:t>
      </w:r>
      <w:r>
        <w:rPr>
          <w:sz w:val="20"/>
        </w:rPr>
        <w:t>a</w:t>
      </w:r>
      <w:r>
        <w:rPr>
          <w:spacing w:val="-14"/>
          <w:sz w:val="20"/>
        </w:rPr>
        <w:t> </w:t>
      </w:r>
      <w:r>
        <w:rPr>
          <w:sz w:val="20"/>
        </w:rPr>
        <w:t>programas</w:t>
      </w:r>
      <w:r>
        <w:rPr>
          <w:spacing w:val="-14"/>
          <w:sz w:val="20"/>
        </w:rPr>
        <w:t> </w:t>
      </w:r>
      <w:r>
        <w:rPr>
          <w:sz w:val="20"/>
        </w:rPr>
        <w:t>y</w:t>
      </w:r>
      <w:r>
        <w:rPr>
          <w:spacing w:val="-13"/>
          <w:sz w:val="20"/>
        </w:rPr>
        <w:t> </w:t>
      </w:r>
      <w:r>
        <w:rPr>
          <w:sz w:val="20"/>
        </w:rPr>
        <w:t>acciones </w:t>
      </w:r>
      <w:r>
        <w:rPr>
          <w:spacing w:val="-2"/>
          <w:sz w:val="20"/>
        </w:rPr>
        <w:t>urbanísticas;</w:t>
      </w:r>
    </w:p>
    <w:p>
      <w:pPr>
        <w:pStyle w:val="ListParagraph"/>
        <w:numPr>
          <w:ilvl w:val="2"/>
          <w:numId w:val="14"/>
        </w:numPr>
        <w:tabs>
          <w:tab w:pos="688" w:val="left" w:leader="none"/>
        </w:tabs>
        <w:spacing w:line="240" w:lineRule="auto" w:before="230" w:after="0"/>
        <w:ind w:left="262" w:right="283" w:firstLine="0"/>
        <w:jc w:val="both"/>
        <w:rPr>
          <w:sz w:val="20"/>
        </w:rPr>
      </w:pPr>
      <w:r>
        <w:rPr>
          <w:sz w:val="20"/>
        </w:rPr>
        <w:t>Proponer los cambios estructurales necesarios en materia de ordenamiento territorial y Desarrollo</w:t>
      </w:r>
      <w:r>
        <w:rPr>
          <w:spacing w:val="-14"/>
          <w:sz w:val="20"/>
        </w:rPr>
        <w:t> </w:t>
      </w:r>
      <w:r>
        <w:rPr>
          <w:sz w:val="20"/>
        </w:rPr>
        <w:t>Urbano,</w:t>
      </w:r>
      <w:r>
        <w:rPr>
          <w:spacing w:val="-14"/>
          <w:sz w:val="20"/>
        </w:rPr>
        <w:t> </w:t>
      </w:r>
      <w:r>
        <w:rPr>
          <w:sz w:val="20"/>
        </w:rPr>
        <w:t>de</w:t>
      </w:r>
      <w:r>
        <w:rPr>
          <w:spacing w:val="-14"/>
          <w:sz w:val="20"/>
        </w:rPr>
        <w:t> </w:t>
      </w:r>
      <w:r>
        <w:rPr>
          <w:sz w:val="20"/>
        </w:rPr>
        <w:t>conformidad</w:t>
      </w:r>
      <w:r>
        <w:rPr>
          <w:spacing w:val="-14"/>
          <w:sz w:val="20"/>
        </w:rPr>
        <w:t> </w:t>
      </w:r>
      <w:r>
        <w:rPr>
          <w:sz w:val="20"/>
        </w:rPr>
        <w:t>con</w:t>
      </w:r>
      <w:r>
        <w:rPr>
          <w:spacing w:val="-14"/>
          <w:sz w:val="20"/>
        </w:rPr>
        <w:t> </w:t>
      </w:r>
      <w:r>
        <w:rPr>
          <w:sz w:val="20"/>
        </w:rPr>
        <w:t>los</w:t>
      </w:r>
      <w:r>
        <w:rPr>
          <w:spacing w:val="-14"/>
          <w:sz w:val="20"/>
        </w:rPr>
        <w:t> </w:t>
      </w:r>
      <w:r>
        <w:rPr>
          <w:sz w:val="20"/>
        </w:rPr>
        <w:t>análisis</w:t>
      </w:r>
      <w:r>
        <w:rPr>
          <w:spacing w:val="-14"/>
          <w:sz w:val="20"/>
        </w:rPr>
        <w:t> </w:t>
      </w:r>
      <w:r>
        <w:rPr>
          <w:sz w:val="20"/>
        </w:rPr>
        <w:t>que</w:t>
      </w:r>
      <w:r>
        <w:rPr>
          <w:spacing w:val="-14"/>
          <w:sz w:val="20"/>
        </w:rPr>
        <w:t> </w:t>
      </w:r>
      <w:r>
        <w:rPr>
          <w:sz w:val="20"/>
        </w:rPr>
        <w:t>se</w:t>
      </w:r>
      <w:r>
        <w:rPr>
          <w:spacing w:val="-14"/>
          <w:sz w:val="20"/>
        </w:rPr>
        <w:t> </w:t>
      </w:r>
      <w:r>
        <w:rPr>
          <w:sz w:val="20"/>
        </w:rPr>
        <w:t>realicen</w:t>
      </w:r>
      <w:r>
        <w:rPr>
          <w:spacing w:val="-13"/>
          <w:sz w:val="20"/>
        </w:rPr>
        <w:t> </w:t>
      </w:r>
      <w:r>
        <w:rPr>
          <w:sz w:val="20"/>
        </w:rPr>
        <w:t>en</w:t>
      </w:r>
      <w:r>
        <w:rPr>
          <w:spacing w:val="-14"/>
          <w:sz w:val="20"/>
        </w:rPr>
        <w:t> </w:t>
      </w:r>
      <w:r>
        <w:rPr>
          <w:sz w:val="20"/>
        </w:rPr>
        <w:t>la</w:t>
      </w:r>
      <w:r>
        <w:rPr>
          <w:spacing w:val="-14"/>
          <w:sz w:val="20"/>
        </w:rPr>
        <w:t> </w:t>
      </w:r>
      <w:r>
        <w:rPr>
          <w:sz w:val="20"/>
        </w:rPr>
        <w:t>materia,</w:t>
      </w:r>
      <w:r>
        <w:rPr>
          <w:spacing w:val="-14"/>
          <w:sz w:val="20"/>
        </w:rPr>
        <w:t> </w:t>
      </w:r>
      <w:r>
        <w:rPr>
          <w:sz w:val="20"/>
        </w:rPr>
        <w:t>así</w:t>
      </w:r>
      <w:r>
        <w:rPr>
          <w:spacing w:val="-14"/>
          <w:sz w:val="20"/>
        </w:rPr>
        <w:t> </w:t>
      </w:r>
      <w:r>
        <w:rPr>
          <w:sz w:val="20"/>
        </w:rPr>
        <w:t>como</w:t>
      </w:r>
      <w:r>
        <w:rPr>
          <w:spacing w:val="-14"/>
          <w:sz w:val="20"/>
        </w:rPr>
        <w:t> </w:t>
      </w:r>
      <w:r>
        <w:rPr>
          <w:sz w:val="20"/>
        </w:rPr>
        <w:t>del</w:t>
      </w:r>
      <w:r>
        <w:rPr>
          <w:spacing w:val="-14"/>
          <w:sz w:val="20"/>
        </w:rPr>
        <w:t> </w:t>
      </w:r>
      <w:r>
        <w:rPr>
          <w:sz w:val="20"/>
        </w:rPr>
        <w:t>marco regulatorio estatal;</w:t>
      </w:r>
    </w:p>
    <w:p>
      <w:pPr>
        <w:pStyle w:val="ListParagraph"/>
        <w:numPr>
          <w:ilvl w:val="2"/>
          <w:numId w:val="14"/>
        </w:numPr>
        <w:tabs>
          <w:tab w:pos="827" w:val="left" w:leader="none"/>
        </w:tabs>
        <w:spacing w:line="240" w:lineRule="auto" w:before="0" w:after="0"/>
        <w:ind w:left="262" w:right="287" w:firstLine="0"/>
        <w:jc w:val="both"/>
        <w:rPr>
          <w:sz w:val="20"/>
        </w:rPr>
      </w:pPr>
      <w:r>
        <w:rPr>
          <w:sz w:val="20"/>
        </w:rPr>
        <w:t>Solicitar y recibir información de las distintas dependencias y entidades que realizan programas y acciones de Desarrollo Urbano;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2"/>
          <w:numId w:val="14"/>
        </w:numPr>
        <w:tabs>
          <w:tab w:pos="826" w:val="left" w:leader="none"/>
        </w:tabs>
        <w:spacing w:line="240" w:lineRule="auto" w:before="0" w:after="0"/>
        <w:ind w:left="262" w:right="286" w:firstLine="0"/>
        <w:jc w:val="both"/>
        <w:rPr>
          <w:sz w:val="20"/>
        </w:rPr>
      </w:pPr>
      <w:r>
        <w:rPr>
          <w:sz w:val="20"/>
        </w:rPr>
        <w:t>Apoyar a las autoridades en la promoción, difusión y cumplimiento de los</w:t>
      </w:r>
      <w:r>
        <w:rPr>
          <w:spacing w:val="40"/>
          <w:sz w:val="20"/>
        </w:rPr>
        <w:t> </w:t>
      </w:r>
      <w:r>
        <w:rPr>
          <w:sz w:val="20"/>
        </w:rPr>
        <w:t>programas de la </w:t>
      </w:r>
      <w:r>
        <w:rPr>
          <w:spacing w:val="-2"/>
          <w:sz w:val="20"/>
        </w:rPr>
        <w:t>materia;</w:t>
      </w:r>
    </w:p>
    <w:p>
      <w:pPr>
        <w:pStyle w:val="BodyText"/>
        <w:spacing w:before="1"/>
      </w:pPr>
    </w:p>
    <w:p>
      <w:pPr>
        <w:pStyle w:val="ListParagraph"/>
        <w:numPr>
          <w:ilvl w:val="2"/>
          <w:numId w:val="14"/>
        </w:numPr>
        <w:tabs>
          <w:tab w:pos="968" w:val="left" w:leader="none"/>
        </w:tabs>
        <w:spacing w:line="240" w:lineRule="auto" w:before="0" w:after="0"/>
        <w:ind w:left="262" w:right="287" w:firstLine="0"/>
        <w:jc w:val="both"/>
        <w:rPr>
          <w:sz w:val="20"/>
        </w:rPr>
      </w:pPr>
      <w:r>
        <w:rPr>
          <w:sz w:val="20"/>
        </w:rPr>
        <w:t>Llevar a cabo campañas de concientización con la población asentada en zonas de salvaguarda, en zonas de alto riesgo y en zonas de derecho de vía para que accedan a </w:t>
      </w:r>
      <w:r>
        <w:rPr>
          <w:spacing w:val="-2"/>
          <w:sz w:val="20"/>
        </w:rPr>
        <w:t>desocuparlas;</w:t>
      </w:r>
    </w:p>
    <w:p>
      <w:pPr>
        <w:pStyle w:val="ListParagraph"/>
        <w:numPr>
          <w:ilvl w:val="2"/>
          <w:numId w:val="14"/>
        </w:numPr>
        <w:tabs>
          <w:tab w:pos="968" w:val="left" w:leader="none"/>
        </w:tabs>
        <w:spacing w:line="240" w:lineRule="auto" w:before="229" w:after="0"/>
        <w:ind w:left="262" w:right="286" w:firstLine="0"/>
        <w:jc w:val="both"/>
        <w:rPr>
          <w:sz w:val="20"/>
        </w:rPr>
      </w:pPr>
      <w:r>
        <w:rPr>
          <w:sz w:val="20"/>
        </w:rPr>
        <w:t>Proponer</w:t>
      </w:r>
      <w:r>
        <w:rPr>
          <w:spacing w:val="-7"/>
          <w:sz w:val="20"/>
        </w:rPr>
        <w:t> </w:t>
      </w:r>
      <w:r>
        <w:rPr>
          <w:sz w:val="20"/>
        </w:rPr>
        <w:t>la</w:t>
      </w:r>
      <w:r>
        <w:rPr>
          <w:spacing w:val="-8"/>
          <w:sz w:val="20"/>
        </w:rPr>
        <w:t> </w:t>
      </w:r>
      <w:r>
        <w:rPr>
          <w:sz w:val="20"/>
        </w:rPr>
        <w:t>integración</w:t>
      </w:r>
      <w:r>
        <w:rPr>
          <w:spacing w:val="-10"/>
          <w:sz w:val="20"/>
        </w:rPr>
        <w:t> </w:t>
      </w:r>
      <w:r>
        <w:rPr>
          <w:sz w:val="20"/>
        </w:rPr>
        <w:t>de</w:t>
      </w:r>
      <w:r>
        <w:rPr>
          <w:spacing w:val="-8"/>
          <w:sz w:val="20"/>
        </w:rPr>
        <w:t> </w:t>
      </w:r>
      <w:r>
        <w:rPr>
          <w:sz w:val="20"/>
        </w:rPr>
        <w:t>grupos</w:t>
      </w:r>
      <w:r>
        <w:rPr>
          <w:spacing w:val="-9"/>
          <w:sz w:val="20"/>
        </w:rPr>
        <w:t> </w:t>
      </w:r>
      <w:r>
        <w:rPr>
          <w:sz w:val="20"/>
        </w:rPr>
        <w:t>técnicos</w:t>
      </w:r>
      <w:r>
        <w:rPr>
          <w:spacing w:val="-9"/>
          <w:sz w:val="20"/>
        </w:rPr>
        <w:t> </w:t>
      </w:r>
      <w:r>
        <w:rPr>
          <w:sz w:val="20"/>
        </w:rPr>
        <w:t>de</w:t>
      </w:r>
      <w:r>
        <w:rPr>
          <w:spacing w:val="-10"/>
          <w:sz w:val="20"/>
        </w:rPr>
        <w:t> </w:t>
      </w:r>
      <w:r>
        <w:rPr>
          <w:sz w:val="20"/>
        </w:rPr>
        <w:t>trabajo</w:t>
      </w:r>
      <w:r>
        <w:rPr>
          <w:spacing w:val="-8"/>
          <w:sz w:val="20"/>
        </w:rPr>
        <w:t> </w:t>
      </w:r>
      <w:r>
        <w:rPr>
          <w:sz w:val="20"/>
        </w:rPr>
        <w:t>y</w:t>
      </w:r>
      <w:r>
        <w:rPr>
          <w:spacing w:val="-9"/>
          <w:sz w:val="20"/>
        </w:rPr>
        <w:t> </w:t>
      </w:r>
      <w:r>
        <w:rPr>
          <w:sz w:val="20"/>
        </w:rPr>
        <w:t>las</w:t>
      </w:r>
      <w:r>
        <w:rPr>
          <w:spacing w:val="-9"/>
          <w:sz w:val="20"/>
        </w:rPr>
        <w:t> </w:t>
      </w:r>
      <w:r>
        <w:rPr>
          <w:sz w:val="20"/>
        </w:rPr>
        <w:t>comisiones</w:t>
      </w:r>
      <w:r>
        <w:rPr>
          <w:spacing w:val="-9"/>
          <w:sz w:val="20"/>
        </w:rPr>
        <w:t> </w:t>
      </w:r>
      <w:r>
        <w:rPr>
          <w:sz w:val="20"/>
        </w:rPr>
        <w:t>que</w:t>
      </w:r>
      <w:r>
        <w:rPr>
          <w:spacing w:val="-10"/>
          <w:sz w:val="20"/>
        </w:rPr>
        <w:t> </w:t>
      </w:r>
      <w:r>
        <w:rPr>
          <w:sz w:val="20"/>
        </w:rPr>
        <w:t>sean</w:t>
      </w:r>
      <w:r>
        <w:rPr>
          <w:spacing w:val="-8"/>
          <w:sz w:val="20"/>
        </w:rPr>
        <w:t> </w:t>
      </w:r>
      <w:r>
        <w:rPr>
          <w:sz w:val="20"/>
        </w:rPr>
        <w:t>necesarias para el ejercicio de sus atribuciones;</w:t>
      </w:r>
    </w:p>
    <w:p>
      <w:pPr>
        <w:pStyle w:val="BodyText"/>
        <w:spacing w:before="2"/>
      </w:pPr>
    </w:p>
    <w:p>
      <w:pPr>
        <w:pStyle w:val="ListParagraph"/>
        <w:numPr>
          <w:ilvl w:val="2"/>
          <w:numId w:val="14"/>
        </w:numPr>
        <w:tabs>
          <w:tab w:pos="827" w:val="left" w:leader="none"/>
        </w:tabs>
        <w:spacing w:line="240" w:lineRule="auto" w:before="0" w:after="0"/>
        <w:ind w:left="262" w:right="286" w:firstLine="0"/>
        <w:jc w:val="both"/>
        <w:rPr>
          <w:sz w:val="20"/>
        </w:rPr>
      </w:pPr>
      <w:r>
        <w:rPr>
          <w:sz w:val="20"/>
        </w:rPr>
        <w:t>Colaborar en la búsqueda de la permanencia de los usos de suelo en los asentamientos humanos, y en la prevención de la reocupación en zonas de derecho de vía;</w:t>
      </w:r>
    </w:p>
    <w:p>
      <w:pPr>
        <w:pStyle w:val="ListParagraph"/>
        <w:numPr>
          <w:ilvl w:val="2"/>
          <w:numId w:val="14"/>
        </w:numPr>
        <w:tabs>
          <w:tab w:pos="827" w:val="left" w:leader="none"/>
        </w:tabs>
        <w:spacing w:line="240" w:lineRule="auto" w:before="229" w:after="0"/>
        <w:ind w:left="262" w:right="286" w:firstLine="0"/>
        <w:jc w:val="both"/>
        <w:rPr>
          <w:sz w:val="20"/>
        </w:rPr>
      </w:pPr>
      <w:r>
        <w:rPr>
          <w:sz w:val="20"/>
        </w:rPr>
        <w:t>Coordinarse con las Comisiones Metropolitanas y de Conurbaciones, los Consejos Municipales de Desarrollo Urbano y Vivienda; así como con los Institutos Metropolitanos de Planeación y los Institutos Municipales de Planeación, para el cumplimiento de sus funciones;</w:t>
      </w:r>
    </w:p>
    <w:p>
      <w:pPr>
        <w:pStyle w:val="ListParagraph"/>
        <w:numPr>
          <w:ilvl w:val="2"/>
          <w:numId w:val="14"/>
        </w:numPr>
        <w:tabs>
          <w:tab w:pos="968" w:val="left" w:leader="none"/>
        </w:tabs>
        <w:spacing w:line="240" w:lineRule="auto" w:before="229" w:after="0"/>
        <w:ind w:left="262" w:right="278" w:firstLine="0"/>
        <w:jc w:val="both"/>
        <w:rPr>
          <w:sz w:val="20"/>
        </w:rPr>
      </w:pPr>
      <w:r>
        <w:rPr>
          <w:sz w:val="20"/>
        </w:rPr>
        <w:t>Coordinarse con las diversas instancias de gobierno y del sector social para la instrumentación, seguimiento y evaluación de los compromisos y acciones establecidas en los convenios de coordinación de acciones e inversiones en materia de Ordenamiento Territorial y Desarrollo Urbano y Metropolitano que suscriban el Gobierno del Estado;</w:t>
      </w:r>
    </w:p>
    <w:p>
      <w:pPr>
        <w:pStyle w:val="BodyText"/>
      </w:pPr>
    </w:p>
    <w:p>
      <w:pPr>
        <w:pStyle w:val="ListParagraph"/>
        <w:numPr>
          <w:ilvl w:val="2"/>
          <w:numId w:val="14"/>
        </w:numPr>
        <w:tabs>
          <w:tab w:pos="968" w:val="left" w:leader="none"/>
        </w:tabs>
        <w:spacing w:line="240" w:lineRule="auto" w:before="0" w:after="0"/>
        <w:ind w:left="262" w:right="287" w:firstLine="0"/>
        <w:jc w:val="both"/>
        <w:rPr>
          <w:sz w:val="20"/>
        </w:rPr>
      </w:pPr>
      <w:r>
        <w:rPr>
          <w:sz w:val="20"/>
        </w:rPr>
        <w:t>Apoyar a los ayuntamientos a fin de promover la constitución de los Consejos Municipales de Desarrollo Urbano y Vivienda y las Comisiones Metropolitanas y de Conurbación, así como sus Institutos Municipales y Metropolitanos de Planeación;</w:t>
      </w:r>
    </w:p>
    <w:p>
      <w:pPr>
        <w:pStyle w:val="BodyText"/>
        <w:spacing w:before="2"/>
      </w:pPr>
    </w:p>
    <w:p>
      <w:pPr>
        <w:pStyle w:val="ListParagraph"/>
        <w:numPr>
          <w:ilvl w:val="2"/>
          <w:numId w:val="14"/>
        </w:numPr>
        <w:tabs>
          <w:tab w:pos="968" w:val="left" w:leader="none"/>
        </w:tabs>
        <w:spacing w:line="240" w:lineRule="auto" w:before="0" w:after="0"/>
        <w:ind w:left="262" w:right="279" w:firstLine="0"/>
        <w:jc w:val="both"/>
        <w:rPr>
          <w:sz w:val="20"/>
        </w:rPr>
      </w:pPr>
      <w:r>
        <w:rPr>
          <w:sz w:val="20"/>
        </w:rPr>
        <w:t>Convocar</w:t>
      </w:r>
      <w:r>
        <w:rPr>
          <w:spacing w:val="-5"/>
          <w:sz w:val="20"/>
        </w:rPr>
        <w:t> </w:t>
      </w:r>
      <w:r>
        <w:rPr>
          <w:sz w:val="20"/>
        </w:rPr>
        <w:t>a</w:t>
      </w:r>
      <w:r>
        <w:rPr>
          <w:spacing w:val="-5"/>
          <w:sz w:val="20"/>
        </w:rPr>
        <w:t> </w:t>
      </w:r>
      <w:r>
        <w:rPr>
          <w:sz w:val="20"/>
        </w:rPr>
        <w:t>las</w:t>
      </w:r>
      <w:r>
        <w:rPr>
          <w:spacing w:val="-4"/>
          <w:sz w:val="20"/>
        </w:rPr>
        <w:t> </w:t>
      </w:r>
      <w:r>
        <w:rPr>
          <w:sz w:val="20"/>
        </w:rPr>
        <w:t>Comisiones</w:t>
      </w:r>
      <w:r>
        <w:rPr>
          <w:spacing w:val="-1"/>
          <w:sz w:val="20"/>
        </w:rPr>
        <w:t> </w:t>
      </w:r>
      <w:r>
        <w:rPr>
          <w:sz w:val="20"/>
        </w:rPr>
        <w:t>Metropolitanas</w:t>
      </w:r>
      <w:r>
        <w:rPr>
          <w:spacing w:val="-4"/>
          <w:sz w:val="20"/>
        </w:rPr>
        <w:t> </w:t>
      </w:r>
      <w:r>
        <w:rPr>
          <w:sz w:val="20"/>
        </w:rPr>
        <w:t>y</w:t>
      </w:r>
      <w:r>
        <w:rPr>
          <w:spacing w:val="-4"/>
          <w:sz w:val="20"/>
        </w:rPr>
        <w:t> </w:t>
      </w:r>
      <w:r>
        <w:rPr>
          <w:sz w:val="20"/>
        </w:rPr>
        <w:t>de</w:t>
      </w:r>
      <w:r>
        <w:rPr>
          <w:spacing w:val="-6"/>
          <w:sz w:val="20"/>
        </w:rPr>
        <w:t> </w:t>
      </w:r>
      <w:r>
        <w:rPr>
          <w:sz w:val="20"/>
        </w:rPr>
        <w:t>Conurbación,</w:t>
      </w:r>
      <w:r>
        <w:rPr>
          <w:spacing w:val="-5"/>
          <w:sz w:val="20"/>
        </w:rPr>
        <w:t> </w:t>
      </w:r>
      <w:r>
        <w:rPr>
          <w:sz w:val="20"/>
        </w:rPr>
        <w:t>y</w:t>
      </w:r>
      <w:r>
        <w:rPr>
          <w:spacing w:val="-4"/>
          <w:sz w:val="20"/>
        </w:rPr>
        <w:t> </w:t>
      </w:r>
      <w:r>
        <w:rPr>
          <w:sz w:val="20"/>
        </w:rPr>
        <w:t>a</w:t>
      </w:r>
      <w:r>
        <w:rPr>
          <w:spacing w:val="-6"/>
          <w:sz w:val="20"/>
        </w:rPr>
        <w:t> </w:t>
      </w:r>
      <w:r>
        <w:rPr>
          <w:sz w:val="20"/>
        </w:rPr>
        <w:t>los</w:t>
      </w:r>
      <w:r>
        <w:rPr>
          <w:spacing w:val="-4"/>
          <w:sz w:val="20"/>
        </w:rPr>
        <w:t> </w:t>
      </w:r>
      <w:r>
        <w:rPr>
          <w:sz w:val="20"/>
        </w:rPr>
        <w:t>Consejos</w:t>
      </w:r>
      <w:r>
        <w:rPr>
          <w:spacing w:val="-4"/>
          <w:sz w:val="20"/>
        </w:rPr>
        <w:t> </w:t>
      </w:r>
      <w:r>
        <w:rPr>
          <w:sz w:val="20"/>
        </w:rPr>
        <w:t>Municipales de</w:t>
      </w:r>
      <w:r>
        <w:rPr>
          <w:spacing w:val="-13"/>
          <w:sz w:val="20"/>
        </w:rPr>
        <w:t> </w:t>
      </w:r>
      <w:r>
        <w:rPr>
          <w:sz w:val="20"/>
        </w:rPr>
        <w:t>Desarrollo</w:t>
      </w:r>
      <w:r>
        <w:rPr>
          <w:spacing w:val="-13"/>
          <w:sz w:val="20"/>
        </w:rPr>
        <w:t> </w:t>
      </w:r>
      <w:r>
        <w:rPr>
          <w:sz w:val="20"/>
        </w:rPr>
        <w:t>Urbano</w:t>
      </w:r>
      <w:r>
        <w:rPr>
          <w:spacing w:val="-13"/>
          <w:sz w:val="20"/>
        </w:rPr>
        <w:t> </w:t>
      </w:r>
      <w:r>
        <w:rPr>
          <w:sz w:val="20"/>
        </w:rPr>
        <w:t>y</w:t>
      </w:r>
      <w:r>
        <w:rPr>
          <w:spacing w:val="-9"/>
          <w:sz w:val="20"/>
        </w:rPr>
        <w:t> </w:t>
      </w:r>
      <w:r>
        <w:rPr>
          <w:sz w:val="20"/>
        </w:rPr>
        <w:t>Vivienda,</w:t>
      </w:r>
      <w:r>
        <w:rPr>
          <w:spacing w:val="-13"/>
          <w:sz w:val="20"/>
        </w:rPr>
        <w:t> </w:t>
      </w:r>
      <w:r>
        <w:rPr>
          <w:sz w:val="20"/>
        </w:rPr>
        <w:t>para</w:t>
      </w:r>
      <w:r>
        <w:rPr>
          <w:spacing w:val="-13"/>
          <w:sz w:val="20"/>
        </w:rPr>
        <w:t> </w:t>
      </w:r>
      <w:r>
        <w:rPr>
          <w:sz w:val="20"/>
        </w:rPr>
        <w:t>que</w:t>
      </w:r>
      <w:r>
        <w:rPr>
          <w:spacing w:val="-13"/>
          <w:sz w:val="20"/>
        </w:rPr>
        <w:t> </w:t>
      </w:r>
      <w:r>
        <w:rPr>
          <w:sz w:val="20"/>
        </w:rPr>
        <w:t>por</w:t>
      </w:r>
      <w:r>
        <w:rPr>
          <w:spacing w:val="-12"/>
          <w:sz w:val="20"/>
        </w:rPr>
        <w:t> </w:t>
      </w:r>
      <w:r>
        <w:rPr>
          <w:sz w:val="20"/>
        </w:rPr>
        <w:t>medio</w:t>
      </w:r>
      <w:r>
        <w:rPr>
          <w:spacing w:val="-13"/>
          <w:sz w:val="20"/>
        </w:rPr>
        <w:t> </w:t>
      </w:r>
      <w:r>
        <w:rPr>
          <w:sz w:val="20"/>
        </w:rPr>
        <w:t>de</w:t>
      </w:r>
      <w:r>
        <w:rPr>
          <w:spacing w:val="-13"/>
          <w:sz w:val="20"/>
        </w:rPr>
        <w:t> </w:t>
      </w:r>
      <w:r>
        <w:rPr>
          <w:sz w:val="20"/>
        </w:rPr>
        <w:t>los</w:t>
      </w:r>
      <w:r>
        <w:rPr>
          <w:spacing w:val="-12"/>
          <w:sz w:val="20"/>
        </w:rPr>
        <w:t> </w:t>
      </w:r>
      <w:r>
        <w:rPr>
          <w:sz w:val="20"/>
        </w:rPr>
        <w:t>representantes,</w:t>
      </w:r>
      <w:r>
        <w:rPr>
          <w:spacing w:val="-13"/>
          <w:sz w:val="20"/>
        </w:rPr>
        <w:t> </w:t>
      </w:r>
      <w:r>
        <w:rPr>
          <w:sz w:val="20"/>
        </w:rPr>
        <w:t>participen</w:t>
      </w:r>
      <w:r>
        <w:rPr>
          <w:spacing w:val="-10"/>
          <w:sz w:val="20"/>
        </w:rPr>
        <w:t> </w:t>
      </w:r>
      <w:r>
        <w:rPr>
          <w:sz w:val="20"/>
        </w:rPr>
        <w:t>en</w:t>
      </w:r>
      <w:r>
        <w:rPr>
          <w:spacing w:val="-11"/>
          <w:sz w:val="20"/>
        </w:rPr>
        <w:t> </w:t>
      </w:r>
      <w:r>
        <w:rPr>
          <w:sz w:val="20"/>
        </w:rPr>
        <w:t>el</w:t>
      </w:r>
      <w:r>
        <w:rPr>
          <w:spacing w:val="-14"/>
          <w:sz w:val="20"/>
        </w:rPr>
        <w:t> </w:t>
      </w:r>
      <w:r>
        <w:rPr>
          <w:sz w:val="20"/>
        </w:rPr>
        <w:t>Consejo Estatal cuando en él se planteen programas, proyectos, acciones, obras e inversiones que afecten un grupo de municipios;</w:t>
      </w:r>
    </w:p>
    <w:p>
      <w:pPr>
        <w:pStyle w:val="BodyText"/>
      </w:pPr>
    </w:p>
    <w:p>
      <w:pPr>
        <w:pStyle w:val="ListParagraph"/>
        <w:numPr>
          <w:ilvl w:val="2"/>
          <w:numId w:val="14"/>
        </w:numPr>
        <w:tabs>
          <w:tab w:pos="968" w:val="left" w:leader="none"/>
        </w:tabs>
        <w:spacing w:line="240" w:lineRule="auto" w:before="0" w:after="0"/>
        <w:ind w:left="262" w:right="287" w:firstLine="0"/>
        <w:jc w:val="both"/>
        <w:rPr>
          <w:sz w:val="20"/>
        </w:rPr>
      </w:pPr>
      <w:r>
        <w:rPr>
          <w:sz w:val="20"/>
        </w:rPr>
        <w:t>Promover proyectos, acciones y obras para el mejoramiento, la conservación y protección de zonas con valores históricos y culturales;</w:t>
      </w:r>
    </w:p>
    <w:p>
      <w:pPr>
        <w:pStyle w:val="ListParagraph"/>
        <w:numPr>
          <w:ilvl w:val="2"/>
          <w:numId w:val="14"/>
        </w:numPr>
        <w:tabs>
          <w:tab w:pos="968" w:val="left" w:leader="none"/>
        </w:tabs>
        <w:spacing w:line="240" w:lineRule="auto" w:before="229" w:after="0"/>
        <w:ind w:left="968" w:right="0" w:hanging="706"/>
        <w:jc w:val="both"/>
        <w:rPr>
          <w:sz w:val="20"/>
        </w:rPr>
      </w:pPr>
      <w:r>
        <w:rPr>
          <w:sz w:val="20"/>
        </w:rPr>
        <w:t>Expedir</w:t>
      </w:r>
      <w:r>
        <w:rPr>
          <w:spacing w:val="-9"/>
          <w:sz w:val="20"/>
        </w:rPr>
        <w:t> </w:t>
      </w:r>
      <w:r>
        <w:rPr>
          <w:sz w:val="20"/>
        </w:rPr>
        <w:t>su</w:t>
      </w:r>
      <w:r>
        <w:rPr>
          <w:spacing w:val="-10"/>
          <w:sz w:val="20"/>
        </w:rPr>
        <w:t> </w:t>
      </w:r>
      <w:r>
        <w:rPr>
          <w:sz w:val="20"/>
        </w:rPr>
        <w:t>Reglamento</w:t>
      </w:r>
      <w:r>
        <w:rPr>
          <w:spacing w:val="-8"/>
          <w:sz w:val="20"/>
        </w:rPr>
        <w:t> </w:t>
      </w:r>
      <w:r>
        <w:rPr>
          <w:spacing w:val="-2"/>
          <w:sz w:val="20"/>
        </w:rPr>
        <w:t>Interno;</w:t>
      </w:r>
    </w:p>
    <w:p>
      <w:pPr>
        <w:pStyle w:val="BodyText"/>
      </w:pPr>
    </w:p>
    <w:p>
      <w:pPr>
        <w:pStyle w:val="ListParagraph"/>
        <w:numPr>
          <w:ilvl w:val="2"/>
          <w:numId w:val="14"/>
        </w:numPr>
        <w:tabs>
          <w:tab w:pos="968" w:val="left" w:leader="none"/>
        </w:tabs>
        <w:spacing w:line="240" w:lineRule="auto" w:before="1" w:after="0"/>
        <w:ind w:left="262" w:right="288" w:firstLine="0"/>
        <w:jc w:val="both"/>
        <w:rPr>
          <w:sz w:val="20"/>
        </w:rPr>
      </w:pPr>
      <w:r>
        <w:rPr>
          <w:sz w:val="20"/>
        </w:rPr>
        <w:t>Aprobar</w:t>
      </w:r>
      <w:r>
        <w:rPr>
          <w:spacing w:val="-2"/>
          <w:sz w:val="20"/>
        </w:rPr>
        <w:t> </w:t>
      </w:r>
      <w:r>
        <w:rPr>
          <w:sz w:val="20"/>
        </w:rPr>
        <w:t>la</w:t>
      </w:r>
      <w:r>
        <w:rPr>
          <w:spacing w:val="-3"/>
          <w:sz w:val="20"/>
        </w:rPr>
        <w:t> </w:t>
      </w:r>
      <w:r>
        <w:rPr>
          <w:sz w:val="20"/>
        </w:rPr>
        <w:t>creación</w:t>
      </w:r>
      <w:r>
        <w:rPr>
          <w:spacing w:val="-3"/>
          <w:sz w:val="20"/>
        </w:rPr>
        <w:t> </w:t>
      </w:r>
      <w:r>
        <w:rPr>
          <w:sz w:val="20"/>
        </w:rPr>
        <w:t>de</w:t>
      </w:r>
      <w:r>
        <w:rPr>
          <w:spacing w:val="-3"/>
          <w:sz w:val="20"/>
        </w:rPr>
        <w:t> </w:t>
      </w:r>
      <w:r>
        <w:rPr>
          <w:sz w:val="20"/>
        </w:rPr>
        <w:t>comités</w:t>
      </w:r>
      <w:r>
        <w:rPr>
          <w:spacing w:val="-3"/>
          <w:sz w:val="20"/>
        </w:rPr>
        <w:t> </w:t>
      </w:r>
      <w:r>
        <w:rPr>
          <w:sz w:val="20"/>
        </w:rPr>
        <w:t>y</w:t>
      </w:r>
      <w:r>
        <w:rPr>
          <w:spacing w:val="-1"/>
          <w:sz w:val="20"/>
        </w:rPr>
        <w:t> </w:t>
      </w:r>
      <w:r>
        <w:rPr>
          <w:sz w:val="20"/>
        </w:rPr>
        <w:t>grupos</w:t>
      </w:r>
      <w:r>
        <w:rPr>
          <w:spacing w:val="-3"/>
          <w:sz w:val="20"/>
        </w:rPr>
        <w:t> </w:t>
      </w:r>
      <w:r>
        <w:rPr>
          <w:sz w:val="20"/>
        </w:rPr>
        <w:t>de</w:t>
      </w:r>
      <w:r>
        <w:rPr>
          <w:spacing w:val="-3"/>
          <w:sz w:val="20"/>
        </w:rPr>
        <w:t> </w:t>
      </w:r>
      <w:r>
        <w:rPr>
          <w:sz w:val="20"/>
        </w:rPr>
        <w:t>trabajo</w:t>
      </w:r>
      <w:r>
        <w:rPr>
          <w:spacing w:val="-3"/>
          <w:sz w:val="20"/>
        </w:rPr>
        <w:t> </w:t>
      </w:r>
      <w:r>
        <w:rPr>
          <w:sz w:val="20"/>
        </w:rPr>
        <w:t>para</w:t>
      </w:r>
      <w:r>
        <w:rPr>
          <w:spacing w:val="-3"/>
          <w:sz w:val="20"/>
        </w:rPr>
        <w:t> </w:t>
      </w:r>
      <w:r>
        <w:rPr>
          <w:sz w:val="20"/>
        </w:rPr>
        <w:t>la</w:t>
      </w:r>
      <w:r>
        <w:rPr>
          <w:spacing w:val="-3"/>
          <w:sz w:val="20"/>
        </w:rPr>
        <w:t> </w:t>
      </w:r>
      <w:r>
        <w:rPr>
          <w:sz w:val="20"/>
        </w:rPr>
        <w:t>atención</w:t>
      </w:r>
      <w:r>
        <w:rPr>
          <w:spacing w:val="-3"/>
          <w:sz w:val="20"/>
        </w:rPr>
        <w:t> </w:t>
      </w:r>
      <w:r>
        <w:rPr>
          <w:sz w:val="20"/>
        </w:rPr>
        <w:t>de</w:t>
      </w:r>
      <w:r>
        <w:rPr>
          <w:spacing w:val="-3"/>
          <w:sz w:val="20"/>
        </w:rPr>
        <w:t> </w:t>
      </w:r>
      <w:r>
        <w:rPr>
          <w:sz w:val="20"/>
        </w:rPr>
        <w:t>temas</w:t>
      </w:r>
      <w:r>
        <w:rPr>
          <w:spacing w:val="-2"/>
          <w:sz w:val="20"/>
        </w:rPr>
        <w:t> </w:t>
      </w:r>
      <w:r>
        <w:rPr>
          <w:sz w:val="20"/>
        </w:rPr>
        <w:t>específicos</w:t>
      </w:r>
      <w:r>
        <w:rPr>
          <w:spacing w:val="-3"/>
          <w:sz w:val="20"/>
        </w:rPr>
        <w:t> </w:t>
      </w:r>
      <w:r>
        <w:rPr>
          <w:sz w:val="20"/>
        </w:rPr>
        <w:t>y emitir los lineamientos para su operación;</w:t>
      </w:r>
    </w:p>
    <w:p>
      <w:pPr>
        <w:pStyle w:val="BodyText"/>
        <w:spacing w:before="1"/>
      </w:pPr>
    </w:p>
    <w:p>
      <w:pPr>
        <w:pStyle w:val="ListParagraph"/>
        <w:numPr>
          <w:ilvl w:val="2"/>
          <w:numId w:val="14"/>
        </w:numPr>
        <w:tabs>
          <w:tab w:pos="1112" w:val="left" w:leader="none"/>
        </w:tabs>
        <w:spacing w:line="240" w:lineRule="auto" w:before="0" w:after="0"/>
        <w:ind w:left="262" w:right="283" w:firstLine="0"/>
        <w:jc w:val="both"/>
        <w:rPr>
          <w:sz w:val="20"/>
        </w:rPr>
      </w:pPr>
      <w:r>
        <w:rPr>
          <w:sz w:val="20"/>
        </w:rPr>
        <w:t>Evaluar a través de indicadores periódicos de gestión, que deberán hacerse públicos, el trabajo, desempeño y los resultados del Instituto de Planeación Estatal, y</w:t>
      </w:r>
    </w:p>
    <w:p>
      <w:pPr>
        <w:pStyle w:val="ListParagraph"/>
        <w:numPr>
          <w:ilvl w:val="2"/>
          <w:numId w:val="14"/>
        </w:numPr>
        <w:tabs>
          <w:tab w:pos="1112" w:val="left" w:leader="none"/>
        </w:tabs>
        <w:spacing w:line="240" w:lineRule="auto" w:before="229" w:after="0"/>
        <w:ind w:left="1112" w:right="0" w:hanging="850"/>
        <w:jc w:val="both"/>
        <w:rPr>
          <w:sz w:val="20"/>
        </w:rPr>
      </w:pPr>
      <w:r>
        <w:rPr>
          <w:sz w:val="20"/>
        </w:rPr>
        <w:t>Las</w:t>
      </w:r>
      <w:r>
        <w:rPr>
          <w:spacing w:val="-6"/>
          <w:sz w:val="20"/>
        </w:rPr>
        <w:t> </w:t>
      </w:r>
      <w:r>
        <w:rPr>
          <w:sz w:val="20"/>
        </w:rPr>
        <w:t>demás</w:t>
      </w:r>
      <w:r>
        <w:rPr>
          <w:spacing w:val="-6"/>
          <w:sz w:val="20"/>
        </w:rPr>
        <w:t> </w:t>
      </w:r>
      <w:r>
        <w:rPr>
          <w:sz w:val="20"/>
        </w:rPr>
        <w:t>que</w:t>
      </w:r>
      <w:r>
        <w:rPr>
          <w:spacing w:val="-8"/>
          <w:sz w:val="20"/>
        </w:rPr>
        <w:t> </w:t>
      </w:r>
      <w:r>
        <w:rPr>
          <w:sz w:val="20"/>
        </w:rPr>
        <w:t>sean</w:t>
      </w:r>
      <w:r>
        <w:rPr>
          <w:spacing w:val="-7"/>
          <w:sz w:val="20"/>
        </w:rPr>
        <w:t> </w:t>
      </w:r>
      <w:r>
        <w:rPr>
          <w:sz w:val="20"/>
        </w:rPr>
        <w:t>necesarias</w:t>
      </w:r>
      <w:r>
        <w:rPr>
          <w:spacing w:val="-6"/>
          <w:sz w:val="20"/>
        </w:rPr>
        <w:t> </w:t>
      </w:r>
      <w:r>
        <w:rPr>
          <w:sz w:val="20"/>
        </w:rPr>
        <w:t>para</w:t>
      </w:r>
      <w:r>
        <w:rPr>
          <w:spacing w:val="-7"/>
          <w:sz w:val="20"/>
        </w:rPr>
        <w:t> </w:t>
      </w:r>
      <w:r>
        <w:rPr>
          <w:sz w:val="20"/>
        </w:rPr>
        <w:t>el</w:t>
      </w:r>
      <w:r>
        <w:rPr>
          <w:spacing w:val="-7"/>
          <w:sz w:val="20"/>
        </w:rPr>
        <w:t> </w:t>
      </w:r>
      <w:r>
        <w:rPr>
          <w:sz w:val="20"/>
        </w:rPr>
        <w:t>cumplimiento</w:t>
      </w:r>
      <w:r>
        <w:rPr>
          <w:spacing w:val="-5"/>
          <w:sz w:val="20"/>
        </w:rPr>
        <w:t> </w:t>
      </w:r>
      <w:r>
        <w:rPr>
          <w:sz w:val="20"/>
        </w:rPr>
        <w:t>de</w:t>
      </w:r>
      <w:r>
        <w:rPr>
          <w:spacing w:val="-8"/>
          <w:sz w:val="20"/>
        </w:rPr>
        <w:t> </w:t>
      </w:r>
      <w:r>
        <w:rPr>
          <w:sz w:val="20"/>
        </w:rPr>
        <w:t>su</w:t>
      </w:r>
      <w:r>
        <w:rPr>
          <w:spacing w:val="-7"/>
          <w:sz w:val="20"/>
        </w:rPr>
        <w:t> </w:t>
      </w:r>
      <w:r>
        <w:rPr>
          <w:spacing w:val="-2"/>
          <w:sz w:val="20"/>
        </w:rPr>
        <w:t>objetivo.</w:t>
      </w:r>
    </w:p>
    <w:p>
      <w:pPr>
        <w:pStyle w:val="BodyText"/>
        <w:spacing w:before="1"/>
      </w:pPr>
    </w:p>
    <w:p>
      <w:pPr>
        <w:pStyle w:val="BodyText"/>
        <w:ind w:left="262" w:right="284"/>
        <w:jc w:val="both"/>
      </w:pPr>
      <w:r>
        <w:rPr>
          <w:rFonts w:ascii="Arial" w:hAnsi="Arial"/>
          <w:b/>
        </w:rPr>
        <w:t>ARTÍCULO</w:t>
      </w:r>
      <w:r>
        <w:rPr>
          <w:rFonts w:ascii="Arial" w:hAnsi="Arial"/>
          <w:b/>
          <w:spacing w:val="-1"/>
        </w:rPr>
        <w:t> </w:t>
      </w:r>
      <w:r>
        <w:rPr>
          <w:rFonts w:ascii="Arial" w:hAnsi="Arial"/>
          <w:b/>
        </w:rPr>
        <w:t>27.</w:t>
      </w:r>
      <w:r>
        <w:rPr>
          <w:rFonts w:ascii="Arial" w:hAnsi="Arial"/>
          <w:b/>
          <w:spacing w:val="-1"/>
        </w:rPr>
        <w:t> </w:t>
      </w:r>
      <w:r>
        <w:rPr/>
        <w:t>Los</w:t>
      </w:r>
      <w:r>
        <w:rPr>
          <w:spacing w:val="-1"/>
        </w:rPr>
        <w:t> </w:t>
      </w:r>
      <w:r>
        <w:rPr/>
        <w:t>acuerdos</w:t>
      </w:r>
      <w:r>
        <w:rPr>
          <w:spacing w:val="-1"/>
        </w:rPr>
        <w:t> </w:t>
      </w:r>
      <w:r>
        <w:rPr/>
        <w:t>del</w:t>
      </w:r>
      <w:r>
        <w:rPr>
          <w:spacing w:val="-3"/>
        </w:rPr>
        <w:t> </w:t>
      </w:r>
      <w:r>
        <w:rPr/>
        <w:t>Consejo</w:t>
      </w:r>
      <w:r>
        <w:rPr>
          <w:spacing w:val="-2"/>
        </w:rPr>
        <w:t> </w:t>
      </w:r>
      <w:r>
        <w:rPr/>
        <w:t>Estatal</w:t>
      </w:r>
      <w:r>
        <w:rPr>
          <w:spacing w:val="-3"/>
        </w:rPr>
        <w:t> </w:t>
      </w:r>
      <w:r>
        <w:rPr/>
        <w:t>se publicarán</w:t>
      </w:r>
      <w:r>
        <w:rPr>
          <w:spacing w:val="-2"/>
        </w:rPr>
        <w:t> </w:t>
      </w:r>
      <w:r>
        <w:rPr/>
        <w:t>en</w:t>
      </w:r>
      <w:r>
        <w:rPr>
          <w:spacing w:val="-2"/>
        </w:rPr>
        <w:t> </w:t>
      </w:r>
      <w:r>
        <w:rPr/>
        <w:t>el</w:t>
      </w:r>
      <w:r>
        <w:rPr>
          <w:spacing w:val="-3"/>
        </w:rPr>
        <w:t> </w:t>
      </w:r>
      <w:r>
        <w:rPr/>
        <w:t>Periódico</w:t>
      </w:r>
      <w:r>
        <w:rPr>
          <w:spacing w:val="-2"/>
        </w:rPr>
        <w:t> </w:t>
      </w:r>
      <w:r>
        <w:rPr/>
        <w:t>Oficial</w:t>
      </w:r>
      <w:r>
        <w:rPr>
          <w:spacing w:val="-3"/>
        </w:rPr>
        <w:t> </w:t>
      </w:r>
      <w:r>
        <w:rPr/>
        <w:t>del</w:t>
      </w:r>
      <w:r>
        <w:rPr>
          <w:spacing w:val="-3"/>
        </w:rPr>
        <w:t> </w:t>
      </w:r>
      <w:r>
        <w:rPr/>
        <w:t>Estado</w:t>
      </w:r>
      <w:r>
        <w:rPr>
          <w:spacing w:val="-3"/>
        </w:rPr>
        <w:t> </w:t>
      </w:r>
      <w:r>
        <w:rPr/>
        <w:t>y se</w:t>
      </w:r>
      <w:r>
        <w:rPr>
          <w:spacing w:val="-9"/>
        </w:rPr>
        <w:t> </w:t>
      </w:r>
      <w:r>
        <w:rPr/>
        <w:t>ejecutarán</w:t>
      </w:r>
      <w:r>
        <w:rPr>
          <w:spacing w:val="-9"/>
        </w:rPr>
        <w:t> </w:t>
      </w:r>
      <w:r>
        <w:rPr/>
        <w:t>de</w:t>
      </w:r>
      <w:r>
        <w:rPr>
          <w:spacing w:val="-9"/>
        </w:rPr>
        <w:t> </w:t>
      </w:r>
      <w:r>
        <w:rPr/>
        <w:t>conformidad</w:t>
      </w:r>
      <w:r>
        <w:rPr>
          <w:spacing w:val="-9"/>
        </w:rPr>
        <w:t> </w:t>
      </w:r>
      <w:r>
        <w:rPr/>
        <w:t>con</w:t>
      </w:r>
      <w:r>
        <w:rPr>
          <w:spacing w:val="-7"/>
        </w:rPr>
        <w:t> </w:t>
      </w:r>
      <w:r>
        <w:rPr/>
        <w:t>las</w:t>
      </w:r>
      <w:r>
        <w:rPr>
          <w:spacing w:val="-8"/>
        </w:rPr>
        <w:t> </w:t>
      </w:r>
      <w:r>
        <w:rPr/>
        <w:t>atribuciones</w:t>
      </w:r>
      <w:r>
        <w:rPr>
          <w:spacing w:val="-6"/>
        </w:rPr>
        <w:t> </w:t>
      </w:r>
      <w:r>
        <w:rPr/>
        <w:t>que</w:t>
      </w:r>
      <w:r>
        <w:rPr>
          <w:spacing w:val="-7"/>
        </w:rPr>
        <w:t> </w:t>
      </w:r>
      <w:r>
        <w:rPr/>
        <w:t>la</w:t>
      </w:r>
      <w:r>
        <w:rPr>
          <w:spacing w:val="-7"/>
        </w:rPr>
        <w:t> </w:t>
      </w:r>
      <w:r>
        <w:rPr/>
        <w:t>ley</w:t>
      </w:r>
      <w:r>
        <w:rPr>
          <w:spacing w:val="-6"/>
        </w:rPr>
        <w:t> </w:t>
      </w:r>
      <w:r>
        <w:rPr/>
        <w:t>establece</w:t>
      </w:r>
      <w:r>
        <w:rPr>
          <w:spacing w:val="-7"/>
        </w:rPr>
        <w:t> </w:t>
      </w:r>
      <w:r>
        <w:rPr/>
        <w:t>a</w:t>
      </w:r>
      <w:r>
        <w:rPr>
          <w:spacing w:val="-7"/>
        </w:rPr>
        <w:t> </w:t>
      </w:r>
      <w:r>
        <w:rPr/>
        <w:t>las</w:t>
      </w:r>
      <w:r>
        <w:rPr>
          <w:spacing w:val="-6"/>
        </w:rPr>
        <w:t> </w:t>
      </w:r>
      <w:r>
        <w:rPr/>
        <w:t>distintas</w:t>
      </w:r>
      <w:r>
        <w:rPr>
          <w:spacing w:val="-8"/>
        </w:rPr>
        <w:t> </w:t>
      </w:r>
      <w:r>
        <w:rPr/>
        <w:t>instancias</w:t>
      </w:r>
      <w:r>
        <w:rPr>
          <w:spacing w:val="-6"/>
        </w:rPr>
        <w:t> </w:t>
      </w:r>
      <w:r>
        <w:rPr/>
        <w:t>que lo integran.</w:t>
      </w:r>
    </w:p>
    <w:p>
      <w:pPr>
        <w:pStyle w:val="BodyText"/>
      </w:pPr>
    </w:p>
    <w:p>
      <w:pPr>
        <w:pStyle w:val="BodyText"/>
      </w:pPr>
    </w:p>
    <w:p>
      <w:pPr>
        <w:pStyle w:val="Heading2"/>
        <w:ind w:right="17"/>
      </w:pPr>
      <w:r>
        <w:rPr/>
        <w:t>Capítulo</w:t>
      </w:r>
      <w:r>
        <w:rPr>
          <w:spacing w:val="-8"/>
        </w:rPr>
        <w:t> </w:t>
      </w:r>
      <w:r>
        <w:rPr>
          <w:spacing w:val="-5"/>
        </w:rPr>
        <w:t>III</w:t>
      </w:r>
    </w:p>
    <w:p>
      <w:pPr>
        <w:pStyle w:val="Heading2"/>
        <w:spacing w:after="0"/>
        <w:sectPr>
          <w:pgSz w:w="12240" w:h="15840"/>
          <w:pgMar w:header="720" w:footer="697" w:top="2100" w:bottom="880" w:left="1440" w:right="1440"/>
        </w:sectPr>
      </w:pPr>
    </w:p>
    <w:p>
      <w:pPr>
        <w:pStyle w:val="BodyText"/>
        <w:rPr>
          <w:rFonts w:ascii="Arial"/>
          <w:b/>
        </w:rPr>
      </w:pPr>
    </w:p>
    <w:p>
      <w:pPr>
        <w:pStyle w:val="BodyText"/>
        <w:rPr>
          <w:rFonts w:ascii="Arial"/>
          <w:b/>
        </w:rPr>
      </w:pPr>
    </w:p>
    <w:p>
      <w:pPr>
        <w:pStyle w:val="BodyText"/>
        <w:spacing w:before="71"/>
        <w:rPr>
          <w:rFonts w:ascii="Arial"/>
          <w:b/>
        </w:rPr>
      </w:pPr>
    </w:p>
    <w:p>
      <w:pPr>
        <w:spacing w:before="0"/>
        <w:ind w:left="1358" w:right="1385" w:firstLine="904"/>
        <w:jc w:val="left"/>
        <w:rPr>
          <w:rFonts w:ascii="Arial"/>
          <w:b/>
          <w:sz w:val="20"/>
        </w:rPr>
      </w:pPr>
      <w:r>
        <w:rPr>
          <w:rFonts w:ascii="Arial"/>
          <w:b/>
          <w:sz w:val="20"/>
        </w:rPr>
        <w:t>Comisiones Metropolitanas y de Conurbaciones; y Consejos</w:t>
      </w:r>
      <w:r>
        <w:rPr>
          <w:rFonts w:ascii="Arial"/>
          <w:b/>
          <w:spacing w:val="-8"/>
          <w:sz w:val="20"/>
        </w:rPr>
        <w:t> </w:t>
      </w:r>
      <w:r>
        <w:rPr>
          <w:rFonts w:ascii="Arial"/>
          <w:b/>
          <w:sz w:val="20"/>
        </w:rPr>
        <w:t>Consultivos</w:t>
      </w:r>
      <w:r>
        <w:rPr>
          <w:rFonts w:ascii="Arial"/>
          <w:b/>
          <w:spacing w:val="-8"/>
          <w:sz w:val="20"/>
        </w:rPr>
        <w:t> </w:t>
      </w:r>
      <w:r>
        <w:rPr>
          <w:rFonts w:ascii="Arial"/>
          <w:b/>
          <w:sz w:val="20"/>
        </w:rPr>
        <w:t>de</w:t>
      </w:r>
      <w:r>
        <w:rPr>
          <w:rFonts w:ascii="Arial"/>
          <w:b/>
          <w:spacing w:val="-6"/>
          <w:sz w:val="20"/>
        </w:rPr>
        <w:t> </w:t>
      </w:r>
      <w:r>
        <w:rPr>
          <w:rFonts w:ascii="Arial"/>
          <w:b/>
          <w:sz w:val="20"/>
        </w:rPr>
        <w:t>Desarrollo</w:t>
      </w:r>
      <w:r>
        <w:rPr>
          <w:rFonts w:ascii="Arial"/>
          <w:b/>
          <w:spacing w:val="-5"/>
          <w:sz w:val="20"/>
        </w:rPr>
        <w:t> </w:t>
      </w:r>
      <w:r>
        <w:rPr>
          <w:rFonts w:ascii="Arial"/>
          <w:b/>
          <w:sz w:val="20"/>
        </w:rPr>
        <w:t>Metropolitano</w:t>
      </w:r>
      <w:r>
        <w:rPr>
          <w:rFonts w:ascii="Arial"/>
          <w:b/>
          <w:spacing w:val="-5"/>
          <w:sz w:val="20"/>
        </w:rPr>
        <w:t> </w:t>
      </w:r>
      <w:r>
        <w:rPr>
          <w:rFonts w:ascii="Arial"/>
          <w:b/>
          <w:sz w:val="20"/>
        </w:rPr>
        <w:t>y</w:t>
      </w:r>
      <w:r>
        <w:rPr>
          <w:rFonts w:ascii="Arial"/>
          <w:b/>
          <w:spacing w:val="-8"/>
          <w:sz w:val="20"/>
        </w:rPr>
        <w:t> </w:t>
      </w:r>
      <w:r>
        <w:rPr>
          <w:rFonts w:ascii="Arial"/>
          <w:b/>
          <w:sz w:val="20"/>
        </w:rPr>
        <w:t>Zona</w:t>
      </w:r>
      <w:r>
        <w:rPr>
          <w:rFonts w:ascii="Arial"/>
          <w:b/>
          <w:spacing w:val="-8"/>
          <w:sz w:val="20"/>
        </w:rPr>
        <w:t> </w:t>
      </w:r>
      <w:r>
        <w:rPr>
          <w:rFonts w:ascii="Arial"/>
          <w:b/>
          <w:sz w:val="20"/>
        </w:rPr>
        <w:t>Conurbada</w:t>
      </w:r>
    </w:p>
    <w:p>
      <w:pPr>
        <w:pStyle w:val="BodyText"/>
        <w:spacing w:before="1"/>
        <w:rPr>
          <w:rFonts w:ascii="Arial"/>
          <w:b/>
        </w:rPr>
      </w:pPr>
    </w:p>
    <w:p>
      <w:pPr>
        <w:pStyle w:val="BodyText"/>
        <w:spacing w:before="1"/>
        <w:ind w:left="262" w:right="274"/>
        <w:jc w:val="both"/>
      </w:pPr>
      <w:r>
        <w:rPr>
          <w:rFonts w:ascii="Arial" w:hAnsi="Arial"/>
          <w:b/>
        </w:rPr>
        <w:t>ARTÍCULO 28. </w:t>
      </w:r>
      <w:r>
        <w:rPr/>
        <w:t>Las Comisiones Metropolitanas y de Conurbación, serán la instancia de interés público y beneficio social y de constitución obligatoria, que aseguren la acción coordinada institucional</w:t>
      </w:r>
      <w:r>
        <w:rPr>
          <w:spacing w:val="-1"/>
        </w:rPr>
        <w:t> </w:t>
      </w:r>
      <w:r>
        <w:rPr/>
        <w:t>de los</w:t>
      </w:r>
      <w:r>
        <w:rPr>
          <w:spacing w:val="-1"/>
        </w:rPr>
        <w:t> </w:t>
      </w:r>
      <w:r>
        <w:rPr/>
        <w:t>tres órdenes</w:t>
      </w:r>
      <w:r>
        <w:rPr>
          <w:spacing w:val="-1"/>
        </w:rPr>
        <w:t> </w:t>
      </w:r>
      <w:r>
        <w:rPr/>
        <w:t>de</w:t>
      </w:r>
      <w:r>
        <w:rPr>
          <w:spacing w:val="-2"/>
        </w:rPr>
        <w:t> </w:t>
      </w:r>
      <w:r>
        <w:rPr/>
        <w:t>gobierno</w:t>
      </w:r>
      <w:r>
        <w:rPr>
          <w:spacing w:val="-2"/>
        </w:rPr>
        <w:t> </w:t>
      </w:r>
      <w:r>
        <w:rPr/>
        <w:t>y la</w:t>
      </w:r>
      <w:r>
        <w:rPr>
          <w:spacing w:val="-2"/>
        </w:rPr>
        <w:t> </w:t>
      </w:r>
      <w:r>
        <w:rPr/>
        <w:t>participación</w:t>
      </w:r>
      <w:r>
        <w:rPr>
          <w:spacing w:val="-2"/>
        </w:rPr>
        <w:t> </w:t>
      </w:r>
      <w:r>
        <w:rPr/>
        <w:t>social,</w:t>
      </w:r>
      <w:r>
        <w:rPr>
          <w:spacing w:val="-2"/>
        </w:rPr>
        <w:t> </w:t>
      </w:r>
      <w:r>
        <w:rPr/>
        <w:t>y tienen</w:t>
      </w:r>
      <w:r>
        <w:rPr>
          <w:spacing w:val="-2"/>
        </w:rPr>
        <w:t> </w:t>
      </w:r>
      <w:r>
        <w:rPr/>
        <w:t>como</w:t>
      </w:r>
      <w:r>
        <w:rPr>
          <w:spacing w:val="-2"/>
        </w:rPr>
        <w:t> </w:t>
      </w:r>
      <w:r>
        <w:rPr/>
        <w:t>finalidad definir los objetivos, prioridades, políticas y estrategias para el desarrollo de cada zona metropolitana así como coordinar la formulación y aprobación de los programas de conurbación y desarrollo metropolitano, así como su gestión, evaluación y cumplimiento.</w:t>
      </w:r>
    </w:p>
    <w:p>
      <w:pPr>
        <w:pStyle w:val="BodyText"/>
        <w:spacing w:before="228"/>
        <w:ind w:left="262" w:right="287"/>
        <w:jc w:val="both"/>
      </w:pPr>
      <w:r>
        <w:rPr/>
        <w:t>Las Comisiones serán órganos colegiados y su funcionamiento estará de acuerdo a las reglas de operación correspondientes y que se encuentren vigentes.</w:t>
      </w:r>
    </w:p>
    <w:p>
      <w:pPr>
        <w:pStyle w:val="BodyText"/>
        <w:spacing w:before="1"/>
      </w:pPr>
    </w:p>
    <w:p>
      <w:pPr>
        <w:pStyle w:val="BodyText"/>
        <w:spacing w:before="1"/>
        <w:ind w:left="262"/>
        <w:jc w:val="both"/>
      </w:pPr>
      <w:r>
        <w:rPr/>
        <w:t>La</w:t>
      </w:r>
      <w:r>
        <w:rPr>
          <w:spacing w:val="-9"/>
        </w:rPr>
        <w:t> </w:t>
      </w:r>
      <w:r>
        <w:rPr/>
        <w:t>Comisión</w:t>
      </w:r>
      <w:r>
        <w:rPr>
          <w:spacing w:val="41"/>
        </w:rPr>
        <w:t> </w:t>
      </w:r>
      <w:r>
        <w:rPr/>
        <w:t>Metropolitana</w:t>
      </w:r>
      <w:r>
        <w:rPr>
          <w:spacing w:val="-7"/>
        </w:rPr>
        <w:t> </w:t>
      </w:r>
      <w:r>
        <w:rPr/>
        <w:t>y</w:t>
      </w:r>
      <w:r>
        <w:rPr>
          <w:spacing w:val="-7"/>
        </w:rPr>
        <w:t> </w:t>
      </w:r>
      <w:r>
        <w:rPr/>
        <w:t>de</w:t>
      </w:r>
      <w:r>
        <w:rPr>
          <w:spacing w:val="-9"/>
        </w:rPr>
        <w:t> </w:t>
      </w:r>
      <w:r>
        <w:rPr/>
        <w:t>Conurbación</w:t>
      </w:r>
      <w:r>
        <w:rPr>
          <w:spacing w:val="-6"/>
        </w:rPr>
        <w:t> </w:t>
      </w:r>
      <w:r>
        <w:rPr/>
        <w:t>se</w:t>
      </w:r>
      <w:r>
        <w:rPr>
          <w:spacing w:val="-8"/>
        </w:rPr>
        <w:t> </w:t>
      </w:r>
      <w:r>
        <w:rPr/>
        <w:t>integrará</w:t>
      </w:r>
      <w:r>
        <w:rPr>
          <w:spacing w:val="-8"/>
        </w:rPr>
        <w:t> </w:t>
      </w:r>
      <w:r>
        <w:rPr>
          <w:spacing w:val="-4"/>
        </w:rPr>
        <w:t>por:</w:t>
      </w:r>
    </w:p>
    <w:p>
      <w:pPr>
        <w:pStyle w:val="BodyText"/>
      </w:pPr>
    </w:p>
    <w:p>
      <w:pPr>
        <w:pStyle w:val="ListParagraph"/>
        <w:numPr>
          <w:ilvl w:val="0"/>
          <w:numId w:val="15"/>
        </w:numPr>
        <w:tabs>
          <w:tab w:pos="543" w:val="left" w:leader="none"/>
        </w:tabs>
        <w:spacing w:line="240" w:lineRule="auto" w:before="0" w:after="0"/>
        <w:ind w:left="543" w:right="0" w:hanging="281"/>
        <w:jc w:val="left"/>
        <w:rPr>
          <w:sz w:val="20"/>
        </w:rPr>
      </w:pPr>
      <w:r>
        <w:rPr>
          <w:sz w:val="20"/>
        </w:rPr>
        <w:t>Un</w:t>
      </w:r>
      <w:r>
        <w:rPr>
          <w:spacing w:val="-8"/>
          <w:sz w:val="20"/>
        </w:rPr>
        <w:t> </w:t>
      </w:r>
      <w:r>
        <w:rPr>
          <w:sz w:val="20"/>
        </w:rPr>
        <w:t>Presidente,</w:t>
      </w:r>
      <w:r>
        <w:rPr>
          <w:spacing w:val="-7"/>
          <w:sz w:val="20"/>
        </w:rPr>
        <w:t> </w:t>
      </w:r>
      <w:r>
        <w:rPr>
          <w:sz w:val="20"/>
        </w:rPr>
        <w:t>que</w:t>
      </w:r>
      <w:r>
        <w:rPr>
          <w:spacing w:val="-6"/>
          <w:sz w:val="20"/>
        </w:rPr>
        <w:t> </w:t>
      </w:r>
      <w:r>
        <w:rPr>
          <w:sz w:val="20"/>
        </w:rPr>
        <w:t>será</w:t>
      </w:r>
      <w:r>
        <w:rPr>
          <w:spacing w:val="-8"/>
          <w:sz w:val="20"/>
        </w:rPr>
        <w:t> </w:t>
      </w:r>
      <w:r>
        <w:rPr>
          <w:sz w:val="20"/>
        </w:rPr>
        <w:t>el</w:t>
      </w:r>
      <w:r>
        <w:rPr>
          <w:spacing w:val="-7"/>
          <w:sz w:val="20"/>
        </w:rPr>
        <w:t> </w:t>
      </w:r>
      <w:r>
        <w:rPr>
          <w:sz w:val="20"/>
        </w:rPr>
        <w:t>Gobernador</w:t>
      </w:r>
      <w:r>
        <w:rPr>
          <w:spacing w:val="-7"/>
          <w:sz w:val="20"/>
        </w:rPr>
        <w:t> </w:t>
      </w:r>
      <w:r>
        <w:rPr>
          <w:sz w:val="20"/>
        </w:rPr>
        <w:t>del</w:t>
      </w:r>
      <w:r>
        <w:rPr>
          <w:spacing w:val="-7"/>
          <w:sz w:val="20"/>
        </w:rPr>
        <w:t> </w:t>
      </w:r>
      <w:r>
        <w:rPr>
          <w:spacing w:val="-2"/>
          <w:sz w:val="20"/>
        </w:rPr>
        <w:t>Estado;</w:t>
      </w:r>
    </w:p>
    <w:p>
      <w:pPr>
        <w:pStyle w:val="ListParagraph"/>
        <w:numPr>
          <w:ilvl w:val="0"/>
          <w:numId w:val="15"/>
        </w:numPr>
        <w:tabs>
          <w:tab w:pos="543" w:val="left" w:leader="none"/>
        </w:tabs>
        <w:spacing w:line="240" w:lineRule="auto" w:before="229" w:after="0"/>
        <w:ind w:left="543" w:right="0" w:hanging="281"/>
        <w:jc w:val="left"/>
        <w:rPr>
          <w:sz w:val="20"/>
        </w:rPr>
      </w:pPr>
      <w:r>
        <w:rPr>
          <w:sz w:val="20"/>
        </w:rPr>
        <w:t>Un</w:t>
      </w:r>
      <w:r>
        <w:rPr>
          <w:spacing w:val="-7"/>
          <w:sz w:val="20"/>
        </w:rPr>
        <w:t> </w:t>
      </w:r>
      <w:r>
        <w:rPr>
          <w:sz w:val="20"/>
        </w:rPr>
        <w:t>Secretario</w:t>
      </w:r>
      <w:r>
        <w:rPr>
          <w:spacing w:val="-7"/>
          <w:sz w:val="20"/>
        </w:rPr>
        <w:t> </w:t>
      </w:r>
      <w:r>
        <w:rPr>
          <w:sz w:val="20"/>
        </w:rPr>
        <w:t>Técnico,</w:t>
      </w:r>
      <w:r>
        <w:rPr>
          <w:spacing w:val="-7"/>
          <w:sz w:val="20"/>
        </w:rPr>
        <w:t> </w:t>
      </w:r>
      <w:r>
        <w:rPr>
          <w:sz w:val="20"/>
        </w:rPr>
        <w:t>que</w:t>
      </w:r>
      <w:r>
        <w:rPr>
          <w:spacing w:val="-5"/>
          <w:sz w:val="20"/>
        </w:rPr>
        <w:t> </w:t>
      </w:r>
      <w:r>
        <w:rPr>
          <w:sz w:val="20"/>
        </w:rPr>
        <w:t>será</w:t>
      </w:r>
      <w:r>
        <w:rPr>
          <w:spacing w:val="-6"/>
          <w:sz w:val="20"/>
        </w:rPr>
        <w:t> </w:t>
      </w:r>
      <w:r>
        <w:rPr>
          <w:sz w:val="20"/>
        </w:rPr>
        <w:t>el</w:t>
      </w:r>
      <w:r>
        <w:rPr>
          <w:spacing w:val="-6"/>
          <w:sz w:val="20"/>
        </w:rPr>
        <w:t> </w:t>
      </w:r>
      <w:r>
        <w:rPr>
          <w:sz w:val="20"/>
        </w:rPr>
        <w:t>titular</w:t>
      </w:r>
      <w:r>
        <w:rPr>
          <w:spacing w:val="-4"/>
          <w:sz w:val="20"/>
        </w:rPr>
        <w:t> </w:t>
      </w:r>
      <w:r>
        <w:rPr>
          <w:sz w:val="20"/>
        </w:rPr>
        <w:t>de</w:t>
      </w:r>
      <w:r>
        <w:rPr>
          <w:spacing w:val="-6"/>
          <w:sz w:val="20"/>
        </w:rPr>
        <w:t> </w:t>
      </w:r>
      <w:r>
        <w:rPr>
          <w:sz w:val="20"/>
        </w:rPr>
        <w:t>la</w:t>
      </w:r>
      <w:r>
        <w:rPr>
          <w:spacing w:val="-5"/>
          <w:sz w:val="20"/>
        </w:rPr>
        <w:t> </w:t>
      </w:r>
      <w:r>
        <w:rPr>
          <w:sz w:val="20"/>
        </w:rPr>
        <w:t>Secretaría,</w:t>
      </w:r>
      <w:r>
        <w:rPr>
          <w:spacing w:val="-7"/>
          <w:sz w:val="20"/>
        </w:rPr>
        <w:t> </w:t>
      </w:r>
      <w:r>
        <w:rPr>
          <w:spacing w:val="-10"/>
          <w:sz w:val="20"/>
        </w:rPr>
        <w:t>y</w:t>
      </w:r>
    </w:p>
    <w:p>
      <w:pPr>
        <w:pStyle w:val="BodyText"/>
        <w:spacing w:before="1"/>
      </w:pPr>
    </w:p>
    <w:p>
      <w:pPr>
        <w:pStyle w:val="ListParagraph"/>
        <w:numPr>
          <w:ilvl w:val="0"/>
          <w:numId w:val="15"/>
        </w:numPr>
        <w:tabs>
          <w:tab w:pos="597" w:val="left" w:leader="none"/>
        </w:tabs>
        <w:spacing w:line="240" w:lineRule="auto" w:before="0" w:after="0"/>
        <w:ind w:left="262" w:right="285" w:firstLine="0"/>
        <w:jc w:val="left"/>
        <w:rPr>
          <w:sz w:val="20"/>
        </w:rPr>
      </w:pPr>
      <w:r>
        <w:rPr>
          <w:sz w:val="20"/>
        </w:rPr>
        <w:t>Los</w:t>
      </w:r>
      <w:r>
        <w:rPr>
          <w:spacing w:val="40"/>
          <w:sz w:val="20"/>
        </w:rPr>
        <w:t> </w:t>
      </w:r>
      <w:r>
        <w:rPr>
          <w:sz w:val="20"/>
        </w:rPr>
        <w:t>presidentes</w:t>
      </w:r>
      <w:r>
        <w:rPr>
          <w:spacing w:val="40"/>
          <w:sz w:val="20"/>
        </w:rPr>
        <w:t> </w:t>
      </w:r>
      <w:r>
        <w:rPr>
          <w:sz w:val="20"/>
        </w:rPr>
        <w:t>de</w:t>
      </w:r>
      <w:r>
        <w:rPr>
          <w:spacing w:val="40"/>
          <w:sz w:val="20"/>
        </w:rPr>
        <w:t> </w:t>
      </w:r>
      <w:r>
        <w:rPr>
          <w:sz w:val="20"/>
        </w:rPr>
        <w:t>los</w:t>
      </w:r>
      <w:r>
        <w:rPr>
          <w:spacing w:val="40"/>
          <w:sz w:val="20"/>
        </w:rPr>
        <w:t> </w:t>
      </w:r>
      <w:r>
        <w:rPr>
          <w:sz w:val="20"/>
        </w:rPr>
        <w:t>municipios</w:t>
      </w:r>
      <w:r>
        <w:rPr>
          <w:spacing w:val="40"/>
          <w:sz w:val="20"/>
        </w:rPr>
        <w:t> </w:t>
      </w:r>
      <w:r>
        <w:rPr>
          <w:sz w:val="20"/>
        </w:rPr>
        <w:t>que</w:t>
      </w:r>
      <w:r>
        <w:rPr>
          <w:spacing w:val="40"/>
          <w:sz w:val="20"/>
        </w:rPr>
        <w:t> </w:t>
      </w:r>
      <w:r>
        <w:rPr>
          <w:sz w:val="20"/>
        </w:rPr>
        <w:t>integran</w:t>
      </w:r>
      <w:r>
        <w:rPr>
          <w:spacing w:val="40"/>
          <w:sz w:val="20"/>
        </w:rPr>
        <w:t> </w:t>
      </w:r>
      <w:r>
        <w:rPr>
          <w:sz w:val="20"/>
        </w:rPr>
        <w:t>la</w:t>
      </w:r>
      <w:r>
        <w:rPr>
          <w:spacing w:val="40"/>
          <w:sz w:val="20"/>
        </w:rPr>
        <w:t> </w:t>
      </w:r>
      <w:r>
        <w:rPr>
          <w:sz w:val="20"/>
        </w:rPr>
        <w:t>zona</w:t>
      </w:r>
      <w:r>
        <w:rPr>
          <w:spacing w:val="40"/>
          <w:sz w:val="20"/>
        </w:rPr>
        <w:t> </w:t>
      </w:r>
      <w:r>
        <w:rPr>
          <w:sz w:val="20"/>
        </w:rPr>
        <w:t>metropolitana</w:t>
      </w:r>
      <w:r>
        <w:rPr>
          <w:spacing w:val="40"/>
          <w:sz w:val="20"/>
        </w:rPr>
        <w:t> </w:t>
      </w:r>
      <w:r>
        <w:rPr>
          <w:sz w:val="20"/>
        </w:rPr>
        <w:t>y</w:t>
      </w:r>
      <w:r>
        <w:rPr>
          <w:spacing w:val="40"/>
          <w:sz w:val="20"/>
        </w:rPr>
        <w:t> </w:t>
      </w:r>
      <w:r>
        <w:rPr>
          <w:sz w:val="20"/>
        </w:rPr>
        <w:t>de</w:t>
      </w:r>
      <w:r>
        <w:rPr>
          <w:spacing w:val="40"/>
          <w:sz w:val="20"/>
        </w:rPr>
        <w:t> </w:t>
      </w:r>
      <w:r>
        <w:rPr>
          <w:sz w:val="20"/>
        </w:rPr>
        <w:t>conurbación</w:t>
      </w:r>
      <w:r>
        <w:rPr>
          <w:spacing w:val="40"/>
          <w:sz w:val="20"/>
        </w:rPr>
        <w:t> </w:t>
      </w:r>
      <w:r>
        <w:rPr>
          <w:spacing w:val="-2"/>
          <w:sz w:val="20"/>
        </w:rPr>
        <w:t>respectiva.</w:t>
      </w:r>
    </w:p>
    <w:p>
      <w:pPr>
        <w:pStyle w:val="BodyText"/>
        <w:spacing w:before="229"/>
        <w:ind w:left="262" w:right="288"/>
        <w:jc w:val="both"/>
      </w:pPr>
      <w:r>
        <w:rPr/>
        <w:t>El Director del Instituto Metropolitano de Planeación Urbana, asistirá a las sesiones de la Comisión y podrá participar con voz para asesorar a la misma en los aspectos técnicos que se requieran.</w:t>
      </w:r>
    </w:p>
    <w:p>
      <w:pPr>
        <w:pStyle w:val="BodyText"/>
        <w:spacing w:before="1"/>
      </w:pPr>
    </w:p>
    <w:p>
      <w:pPr>
        <w:pStyle w:val="BodyText"/>
        <w:ind w:left="262" w:right="278"/>
        <w:jc w:val="both"/>
      </w:pPr>
      <w:r>
        <w:rPr/>
        <w:t>La Comisión Metropolitana y de Conurbación sesionará con la asistencia con la mitad más uno de sus integrantes. Sus acuerdos se tomarán por mayoría de votos de sus miembros presentes; el Presidente del Consejo tendrá voto de calidad en caso de empate. Por cada representante propietario</w:t>
      </w:r>
      <w:r>
        <w:rPr>
          <w:spacing w:val="-9"/>
        </w:rPr>
        <w:t> </w:t>
      </w:r>
      <w:r>
        <w:rPr/>
        <w:t>se</w:t>
      </w:r>
      <w:r>
        <w:rPr>
          <w:spacing w:val="-9"/>
        </w:rPr>
        <w:t> </w:t>
      </w:r>
      <w:r>
        <w:rPr/>
        <w:t>designará</w:t>
      </w:r>
      <w:r>
        <w:rPr>
          <w:spacing w:val="-8"/>
        </w:rPr>
        <w:t> </w:t>
      </w:r>
      <w:r>
        <w:rPr/>
        <w:t>un</w:t>
      </w:r>
      <w:r>
        <w:rPr>
          <w:spacing w:val="-7"/>
        </w:rPr>
        <w:t> </w:t>
      </w:r>
      <w:r>
        <w:rPr/>
        <w:t>suplente.</w:t>
      </w:r>
      <w:r>
        <w:rPr>
          <w:spacing w:val="-7"/>
        </w:rPr>
        <w:t> </w:t>
      </w:r>
      <w:r>
        <w:rPr/>
        <w:t>El</w:t>
      </w:r>
      <w:r>
        <w:rPr>
          <w:spacing w:val="-10"/>
        </w:rPr>
        <w:t> </w:t>
      </w:r>
      <w:r>
        <w:rPr/>
        <w:t>desempeño</w:t>
      </w:r>
      <w:r>
        <w:rPr>
          <w:spacing w:val="-9"/>
        </w:rPr>
        <w:t> </w:t>
      </w:r>
      <w:r>
        <w:rPr/>
        <w:t>de</w:t>
      </w:r>
      <w:r>
        <w:rPr>
          <w:spacing w:val="-9"/>
        </w:rPr>
        <w:t> </w:t>
      </w:r>
      <w:r>
        <w:rPr/>
        <w:t>los</w:t>
      </w:r>
      <w:r>
        <w:rPr>
          <w:spacing w:val="-8"/>
        </w:rPr>
        <w:t> </w:t>
      </w:r>
      <w:r>
        <w:rPr/>
        <w:t>cargos</w:t>
      </w:r>
      <w:r>
        <w:rPr>
          <w:spacing w:val="-8"/>
        </w:rPr>
        <w:t> </w:t>
      </w:r>
      <w:r>
        <w:rPr/>
        <w:t>a</w:t>
      </w:r>
      <w:r>
        <w:rPr>
          <w:spacing w:val="-9"/>
        </w:rPr>
        <w:t> </w:t>
      </w:r>
      <w:r>
        <w:rPr/>
        <w:t>que</w:t>
      </w:r>
      <w:r>
        <w:rPr>
          <w:spacing w:val="-9"/>
        </w:rPr>
        <w:t> </w:t>
      </w:r>
      <w:r>
        <w:rPr/>
        <w:t>se</w:t>
      </w:r>
      <w:r>
        <w:rPr>
          <w:spacing w:val="-9"/>
        </w:rPr>
        <w:t> </w:t>
      </w:r>
      <w:r>
        <w:rPr/>
        <w:t>refiere</w:t>
      </w:r>
      <w:r>
        <w:rPr>
          <w:spacing w:val="-9"/>
        </w:rPr>
        <w:t> </w:t>
      </w:r>
      <w:r>
        <w:rPr/>
        <w:t>este</w:t>
      </w:r>
      <w:r>
        <w:rPr>
          <w:spacing w:val="-9"/>
        </w:rPr>
        <w:t> </w:t>
      </w:r>
      <w:r>
        <w:rPr/>
        <w:t>artículo</w:t>
      </w:r>
      <w:r>
        <w:rPr>
          <w:spacing w:val="-9"/>
        </w:rPr>
        <w:t> </w:t>
      </w:r>
      <w:r>
        <w:rPr/>
        <w:t>será </w:t>
      </w:r>
      <w:r>
        <w:rPr>
          <w:spacing w:val="-2"/>
        </w:rPr>
        <w:t>honorífico.</w:t>
      </w:r>
    </w:p>
    <w:p>
      <w:pPr>
        <w:pStyle w:val="BodyText"/>
      </w:pPr>
    </w:p>
    <w:p>
      <w:pPr>
        <w:pStyle w:val="BodyText"/>
        <w:ind w:left="262"/>
      </w:pPr>
      <w:r>
        <w:rPr>
          <w:rFonts w:ascii="Arial" w:hAnsi="Arial"/>
          <w:b/>
        </w:rPr>
        <w:t>ARTÍCULO</w:t>
      </w:r>
      <w:r>
        <w:rPr>
          <w:rFonts w:ascii="Arial" w:hAnsi="Arial"/>
          <w:b/>
          <w:spacing w:val="-8"/>
        </w:rPr>
        <w:t> </w:t>
      </w:r>
      <w:r>
        <w:rPr>
          <w:rFonts w:ascii="Arial" w:hAnsi="Arial"/>
          <w:b/>
        </w:rPr>
        <w:t>29.</w:t>
      </w:r>
      <w:r>
        <w:rPr>
          <w:rFonts w:ascii="Arial" w:hAnsi="Arial"/>
          <w:b/>
          <w:spacing w:val="-7"/>
        </w:rPr>
        <w:t> </w:t>
      </w:r>
      <w:r>
        <w:rPr/>
        <w:t>La</w:t>
      </w:r>
      <w:r>
        <w:rPr>
          <w:spacing w:val="-7"/>
        </w:rPr>
        <w:t> </w:t>
      </w:r>
      <w:r>
        <w:rPr/>
        <w:t>Comisión</w:t>
      </w:r>
      <w:r>
        <w:rPr>
          <w:spacing w:val="-8"/>
        </w:rPr>
        <w:t> </w:t>
      </w:r>
      <w:r>
        <w:rPr/>
        <w:t>Metropolitana</w:t>
      </w:r>
      <w:r>
        <w:rPr>
          <w:spacing w:val="-6"/>
        </w:rPr>
        <w:t> </w:t>
      </w:r>
      <w:r>
        <w:rPr/>
        <w:t>y</w:t>
      </w:r>
      <w:r>
        <w:rPr>
          <w:spacing w:val="-8"/>
        </w:rPr>
        <w:t> </w:t>
      </w:r>
      <w:r>
        <w:rPr/>
        <w:t>de</w:t>
      </w:r>
      <w:r>
        <w:rPr>
          <w:spacing w:val="-9"/>
        </w:rPr>
        <w:t> </w:t>
      </w:r>
      <w:r>
        <w:rPr/>
        <w:t>Conurbación</w:t>
      </w:r>
      <w:r>
        <w:rPr>
          <w:spacing w:val="-8"/>
        </w:rPr>
        <w:t> </w:t>
      </w:r>
      <w:r>
        <w:rPr/>
        <w:t>tendrá</w:t>
      </w:r>
      <w:r>
        <w:rPr>
          <w:spacing w:val="-7"/>
        </w:rPr>
        <w:t> </w:t>
      </w:r>
      <w:r>
        <w:rPr/>
        <w:t>las</w:t>
      </w:r>
      <w:r>
        <w:rPr>
          <w:spacing w:val="-7"/>
        </w:rPr>
        <w:t> </w:t>
      </w:r>
      <w:r>
        <w:rPr/>
        <w:t>siguientes</w:t>
      </w:r>
      <w:r>
        <w:rPr>
          <w:spacing w:val="7"/>
          <w:position w:val="-3"/>
        </w:rPr>
        <w:drawing>
          <wp:inline distT="0" distB="0" distL="0" distR="0">
            <wp:extent cx="35051" cy="146303"/>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8" cstate="print"/>
                    <a:stretch>
                      <a:fillRect/>
                    </a:stretch>
                  </pic:blipFill>
                  <pic:spPr>
                    <a:xfrm>
                      <a:off x="0" y="0"/>
                      <a:ext cx="35051" cy="146303"/>
                    </a:xfrm>
                    <a:prstGeom prst="rect">
                      <a:avLst/>
                    </a:prstGeom>
                  </pic:spPr>
                </pic:pic>
              </a:graphicData>
            </a:graphic>
          </wp:inline>
        </w:drawing>
      </w:r>
      <w:r>
        <w:rPr>
          <w:spacing w:val="7"/>
          <w:position w:val="-3"/>
        </w:rPr>
      </w:r>
      <w:r>
        <w:rPr>
          <w:spacing w:val="-2"/>
        </w:rPr>
        <w:t>funciones:</w:t>
      </w:r>
    </w:p>
    <w:p>
      <w:pPr>
        <w:pStyle w:val="ListParagraph"/>
        <w:numPr>
          <w:ilvl w:val="0"/>
          <w:numId w:val="16"/>
        </w:numPr>
        <w:tabs>
          <w:tab w:pos="688" w:val="left" w:leader="none"/>
        </w:tabs>
        <w:spacing w:line="240" w:lineRule="auto" w:before="228" w:after="0"/>
        <w:ind w:left="262" w:right="287" w:firstLine="0"/>
        <w:jc w:val="both"/>
        <w:rPr>
          <w:sz w:val="20"/>
        </w:rPr>
      </w:pPr>
      <w:r>
        <w:rPr>
          <w:sz w:val="20"/>
        </w:rPr>
        <w:t>Coordinar la formulación, actualización o modificación del programa metropolitano y de zona conurbada, y una vez concluido aprobar, implementar y evaluar el mismo;</w:t>
      </w:r>
    </w:p>
    <w:p>
      <w:pPr>
        <w:pStyle w:val="BodyText"/>
        <w:spacing w:before="1"/>
      </w:pPr>
    </w:p>
    <w:p>
      <w:pPr>
        <w:pStyle w:val="ListParagraph"/>
        <w:numPr>
          <w:ilvl w:val="0"/>
          <w:numId w:val="16"/>
        </w:numPr>
        <w:tabs>
          <w:tab w:pos="686" w:val="left" w:leader="none"/>
        </w:tabs>
        <w:spacing w:line="240" w:lineRule="auto" w:before="0" w:after="0"/>
        <w:ind w:left="262" w:right="278" w:firstLine="0"/>
        <w:jc w:val="both"/>
        <w:rPr>
          <w:sz w:val="20"/>
        </w:rPr>
      </w:pPr>
      <w:r>
        <w:rPr>
          <w:sz w:val="20"/>
        </w:rPr>
        <w:t>Solicitar al Titular del Ejecutivo del Estado la emisión del Decreto de conurbación y zona metropolitana, en el</w:t>
      </w:r>
      <w:r>
        <w:rPr>
          <w:spacing w:val="-1"/>
          <w:sz w:val="20"/>
        </w:rPr>
        <w:t> </w:t>
      </w:r>
      <w:r>
        <w:rPr>
          <w:sz w:val="20"/>
        </w:rPr>
        <w:t>que se incluya la descripción de sus límites territoriales y los municipios que la integran, así como los compromisos de los participantes en su planeación y regulación, y la determinación</w:t>
      </w:r>
      <w:r>
        <w:rPr>
          <w:spacing w:val="-8"/>
          <w:sz w:val="20"/>
        </w:rPr>
        <w:t> </w:t>
      </w:r>
      <w:r>
        <w:rPr>
          <w:sz w:val="20"/>
        </w:rPr>
        <w:t>de</w:t>
      </w:r>
      <w:r>
        <w:rPr>
          <w:spacing w:val="-10"/>
          <w:sz w:val="20"/>
        </w:rPr>
        <w:t> </w:t>
      </w:r>
      <w:r>
        <w:rPr>
          <w:sz w:val="20"/>
        </w:rPr>
        <w:t>acciones</w:t>
      </w:r>
      <w:r>
        <w:rPr>
          <w:spacing w:val="-9"/>
          <w:sz w:val="20"/>
        </w:rPr>
        <w:t> </w:t>
      </w:r>
      <w:r>
        <w:rPr>
          <w:sz w:val="20"/>
        </w:rPr>
        <w:t>e</w:t>
      </w:r>
      <w:r>
        <w:rPr>
          <w:spacing w:val="-10"/>
          <w:sz w:val="20"/>
        </w:rPr>
        <w:t> </w:t>
      </w:r>
      <w:r>
        <w:rPr>
          <w:sz w:val="20"/>
        </w:rPr>
        <w:t>inversiones</w:t>
      </w:r>
      <w:r>
        <w:rPr>
          <w:spacing w:val="-9"/>
          <w:sz w:val="20"/>
        </w:rPr>
        <w:t> </w:t>
      </w:r>
      <w:r>
        <w:rPr>
          <w:sz w:val="20"/>
        </w:rPr>
        <w:t>para</w:t>
      </w:r>
      <w:r>
        <w:rPr>
          <w:spacing w:val="-10"/>
          <w:sz w:val="20"/>
        </w:rPr>
        <w:t> </w:t>
      </w:r>
      <w:r>
        <w:rPr>
          <w:sz w:val="20"/>
        </w:rPr>
        <w:t>la</w:t>
      </w:r>
      <w:r>
        <w:rPr>
          <w:spacing w:val="-10"/>
          <w:sz w:val="20"/>
        </w:rPr>
        <w:t> </w:t>
      </w:r>
      <w:r>
        <w:rPr>
          <w:sz w:val="20"/>
        </w:rPr>
        <w:t>atención</w:t>
      </w:r>
      <w:r>
        <w:rPr>
          <w:spacing w:val="-10"/>
          <w:sz w:val="20"/>
        </w:rPr>
        <w:t> </w:t>
      </w:r>
      <w:r>
        <w:rPr>
          <w:sz w:val="20"/>
        </w:rPr>
        <w:t>de</w:t>
      </w:r>
      <w:r>
        <w:rPr>
          <w:spacing w:val="-10"/>
          <w:sz w:val="20"/>
        </w:rPr>
        <w:t> </w:t>
      </w:r>
      <w:r>
        <w:rPr>
          <w:sz w:val="20"/>
        </w:rPr>
        <w:t>requerimientos</w:t>
      </w:r>
      <w:r>
        <w:rPr>
          <w:spacing w:val="-9"/>
          <w:sz w:val="20"/>
        </w:rPr>
        <w:t> </w:t>
      </w:r>
      <w:r>
        <w:rPr>
          <w:sz w:val="20"/>
        </w:rPr>
        <w:t>comunes</w:t>
      </w:r>
      <w:r>
        <w:rPr>
          <w:spacing w:val="-9"/>
          <w:sz w:val="20"/>
        </w:rPr>
        <w:t> </w:t>
      </w:r>
      <w:r>
        <w:rPr>
          <w:sz w:val="20"/>
        </w:rPr>
        <w:t>en</w:t>
      </w:r>
      <w:r>
        <w:rPr>
          <w:spacing w:val="-10"/>
          <w:sz w:val="20"/>
        </w:rPr>
        <w:t> </w:t>
      </w:r>
      <w:r>
        <w:rPr>
          <w:sz w:val="20"/>
        </w:rPr>
        <w:t>materia</w:t>
      </w:r>
      <w:r>
        <w:rPr>
          <w:spacing w:val="-8"/>
          <w:sz w:val="20"/>
        </w:rPr>
        <w:t> </w:t>
      </w:r>
      <w:r>
        <w:rPr>
          <w:sz w:val="20"/>
        </w:rPr>
        <w:t>de reservas territoriales, infraestructura, equipamiento, servicios urbanos y ecología, así como los demás elementos técnicos que se considere necesario;</w:t>
      </w:r>
    </w:p>
    <w:p>
      <w:pPr>
        <w:pStyle w:val="BodyText"/>
        <w:spacing w:before="1"/>
      </w:pPr>
    </w:p>
    <w:p>
      <w:pPr>
        <w:pStyle w:val="ListParagraph"/>
        <w:numPr>
          <w:ilvl w:val="0"/>
          <w:numId w:val="16"/>
        </w:numPr>
        <w:tabs>
          <w:tab w:pos="741" w:val="left" w:leader="none"/>
        </w:tabs>
        <w:spacing w:line="240" w:lineRule="auto" w:before="0" w:after="0"/>
        <w:ind w:left="262" w:right="280" w:firstLine="0"/>
        <w:jc w:val="both"/>
        <w:rPr>
          <w:sz w:val="20"/>
        </w:rPr>
      </w:pPr>
      <w:r>
        <w:rPr>
          <w:sz w:val="20"/>
        </w:rPr>
        <w:t>Gestionar</w:t>
      </w:r>
      <w:r>
        <w:rPr>
          <w:spacing w:val="-8"/>
          <w:sz w:val="20"/>
        </w:rPr>
        <w:t> </w:t>
      </w:r>
      <w:r>
        <w:rPr>
          <w:sz w:val="20"/>
        </w:rPr>
        <w:t>ante</w:t>
      </w:r>
      <w:r>
        <w:rPr>
          <w:spacing w:val="-7"/>
          <w:sz w:val="20"/>
        </w:rPr>
        <w:t> </w:t>
      </w:r>
      <w:r>
        <w:rPr>
          <w:sz w:val="20"/>
        </w:rPr>
        <w:t>los</w:t>
      </w:r>
      <w:r>
        <w:rPr>
          <w:spacing w:val="-8"/>
          <w:sz w:val="20"/>
        </w:rPr>
        <w:t> </w:t>
      </w:r>
      <w:r>
        <w:rPr>
          <w:sz w:val="20"/>
        </w:rPr>
        <w:t>tres</w:t>
      </w:r>
      <w:r>
        <w:rPr>
          <w:spacing w:val="-8"/>
          <w:sz w:val="20"/>
        </w:rPr>
        <w:t> </w:t>
      </w:r>
      <w:r>
        <w:rPr>
          <w:sz w:val="20"/>
        </w:rPr>
        <w:t>órdenes</w:t>
      </w:r>
      <w:r>
        <w:rPr>
          <w:spacing w:val="-6"/>
          <w:sz w:val="20"/>
        </w:rPr>
        <w:t> </w:t>
      </w:r>
      <w:r>
        <w:rPr>
          <w:sz w:val="20"/>
        </w:rPr>
        <w:t>de</w:t>
      </w:r>
      <w:r>
        <w:rPr>
          <w:spacing w:val="-7"/>
          <w:sz w:val="20"/>
        </w:rPr>
        <w:t> </w:t>
      </w:r>
      <w:r>
        <w:rPr>
          <w:sz w:val="20"/>
        </w:rPr>
        <w:t>gobierno,</w:t>
      </w:r>
      <w:r>
        <w:rPr>
          <w:spacing w:val="-7"/>
          <w:sz w:val="20"/>
        </w:rPr>
        <w:t> </w:t>
      </w:r>
      <w:r>
        <w:rPr>
          <w:sz w:val="20"/>
        </w:rPr>
        <w:t>el</w:t>
      </w:r>
      <w:r>
        <w:rPr>
          <w:spacing w:val="-8"/>
          <w:sz w:val="20"/>
        </w:rPr>
        <w:t> </w:t>
      </w:r>
      <w:r>
        <w:rPr>
          <w:sz w:val="20"/>
        </w:rPr>
        <w:t>cumplimiento,</w:t>
      </w:r>
      <w:r>
        <w:rPr>
          <w:spacing w:val="-7"/>
          <w:sz w:val="20"/>
        </w:rPr>
        <w:t> </w:t>
      </w:r>
      <w:r>
        <w:rPr>
          <w:sz w:val="20"/>
        </w:rPr>
        <w:t>en</w:t>
      </w:r>
      <w:r>
        <w:rPr>
          <w:spacing w:val="-7"/>
          <w:sz w:val="20"/>
        </w:rPr>
        <w:t> </w:t>
      </w:r>
      <w:r>
        <w:rPr>
          <w:sz w:val="20"/>
        </w:rPr>
        <w:t>el</w:t>
      </w:r>
      <w:r>
        <w:rPr>
          <w:spacing w:val="-7"/>
          <w:sz w:val="20"/>
        </w:rPr>
        <w:t> </w:t>
      </w:r>
      <w:r>
        <w:rPr>
          <w:sz w:val="20"/>
        </w:rPr>
        <w:t>ámbito</w:t>
      </w:r>
      <w:r>
        <w:rPr>
          <w:spacing w:val="-7"/>
          <w:sz w:val="20"/>
        </w:rPr>
        <w:t> </w:t>
      </w:r>
      <w:r>
        <w:rPr>
          <w:sz w:val="20"/>
        </w:rPr>
        <w:t>de</w:t>
      </w:r>
      <w:r>
        <w:rPr>
          <w:spacing w:val="-9"/>
          <w:sz w:val="20"/>
        </w:rPr>
        <w:t> </w:t>
      </w:r>
      <w:r>
        <w:rPr>
          <w:sz w:val="20"/>
        </w:rPr>
        <w:t>su</w:t>
      </w:r>
      <w:r>
        <w:rPr>
          <w:spacing w:val="-5"/>
          <w:sz w:val="20"/>
        </w:rPr>
        <w:t> </w:t>
      </w:r>
      <w:r>
        <w:rPr>
          <w:sz w:val="20"/>
        </w:rPr>
        <w:t>competencia, de las decisiones que se hayan tomado en la Comisión Metropolitana y de Conurbación;</w:t>
      </w:r>
    </w:p>
    <w:p>
      <w:pPr>
        <w:pStyle w:val="ListParagraph"/>
        <w:numPr>
          <w:ilvl w:val="0"/>
          <w:numId w:val="16"/>
        </w:numPr>
        <w:tabs>
          <w:tab w:pos="688" w:val="left" w:leader="none"/>
        </w:tabs>
        <w:spacing w:line="240" w:lineRule="auto" w:before="229" w:after="0"/>
        <w:ind w:left="262" w:right="285" w:firstLine="0"/>
        <w:jc w:val="both"/>
        <w:rPr>
          <w:sz w:val="20"/>
        </w:rPr>
      </w:pPr>
      <w:r>
        <w:rPr>
          <w:sz w:val="20"/>
        </w:rPr>
        <w:t>Proponer el criterio o resolución, cuando entre los tres órdenes de gobierno, exista diferencia de opinión en cuanto al tratamiento de un asunto en materia metropolitana y de conurbación;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6"/>
        </w:numPr>
        <w:tabs>
          <w:tab w:pos="688" w:val="left" w:leader="none"/>
        </w:tabs>
        <w:spacing w:line="240" w:lineRule="auto" w:before="0" w:after="0"/>
        <w:ind w:left="262" w:right="284" w:firstLine="0"/>
        <w:jc w:val="both"/>
        <w:rPr>
          <w:sz w:val="20"/>
        </w:rPr>
      </w:pPr>
      <w:r>
        <w:rPr>
          <w:sz w:val="20"/>
        </w:rPr>
        <w:t>Analizar</w:t>
      </w:r>
      <w:r>
        <w:rPr>
          <w:spacing w:val="-10"/>
          <w:sz w:val="20"/>
        </w:rPr>
        <w:t> </w:t>
      </w:r>
      <w:r>
        <w:rPr>
          <w:sz w:val="20"/>
        </w:rPr>
        <w:t>las</w:t>
      </w:r>
      <w:r>
        <w:rPr>
          <w:spacing w:val="-10"/>
          <w:sz w:val="20"/>
        </w:rPr>
        <w:t> </w:t>
      </w:r>
      <w:r>
        <w:rPr>
          <w:sz w:val="20"/>
        </w:rPr>
        <w:t>observaciones</w:t>
      </w:r>
      <w:r>
        <w:rPr>
          <w:spacing w:val="-10"/>
          <w:sz w:val="20"/>
        </w:rPr>
        <w:t> </w:t>
      </w:r>
      <w:r>
        <w:rPr>
          <w:sz w:val="20"/>
        </w:rPr>
        <w:t>o</w:t>
      </w:r>
      <w:r>
        <w:rPr>
          <w:spacing w:val="-13"/>
          <w:sz w:val="20"/>
        </w:rPr>
        <w:t> </w:t>
      </w:r>
      <w:r>
        <w:rPr>
          <w:sz w:val="20"/>
        </w:rPr>
        <w:t>propuestas</w:t>
      </w:r>
      <w:r>
        <w:rPr>
          <w:spacing w:val="-10"/>
          <w:sz w:val="20"/>
        </w:rPr>
        <w:t> </w:t>
      </w:r>
      <w:r>
        <w:rPr>
          <w:sz w:val="20"/>
        </w:rPr>
        <w:t>que</w:t>
      </w:r>
      <w:r>
        <w:rPr>
          <w:spacing w:val="-11"/>
          <w:sz w:val="20"/>
        </w:rPr>
        <w:t> </w:t>
      </w:r>
      <w:r>
        <w:rPr>
          <w:sz w:val="20"/>
        </w:rPr>
        <w:t>le</w:t>
      </w:r>
      <w:r>
        <w:rPr>
          <w:spacing w:val="-13"/>
          <w:sz w:val="20"/>
        </w:rPr>
        <w:t> </w:t>
      </w:r>
      <w:r>
        <w:rPr>
          <w:sz w:val="20"/>
        </w:rPr>
        <w:t>formule</w:t>
      </w:r>
      <w:r>
        <w:rPr>
          <w:spacing w:val="-11"/>
          <w:sz w:val="20"/>
        </w:rPr>
        <w:t> </w:t>
      </w:r>
      <w:r>
        <w:rPr>
          <w:sz w:val="20"/>
        </w:rPr>
        <w:t>la</w:t>
      </w:r>
      <w:r>
        <w:rPr>
          <w:spacing w:val="-11"/>
          <w:sz w:val="20"/>
        </w:rPr>
        <w:t> </w:t>
      </w:r>
      <w:r>
        <w:rPr>
          <w:sz w:val="20"/>
        </w:rPr>
        <w:t>comunidad</w:t>
      </w:r>
      <w:r>
        <w:rPr>
          <w:spacing w:val="-11"/>
          <w:sz w:val="20"/>
        </w:rPr>
        <w:t> </w:t>
      </w:r>
      <w:r>
        <w:rPr>
          <w:sz w:val="20"/>
        </w:rPr>
        <w:t>respecto</w:t>
      </w:r>
      <w:r>
        <w:rPr>
          <w:spacing w:val="-11"/>
          <w:sz w:val="20"/>
        </w:rPr>
        <w:t> </w:t>
      </w:r>
      <w:r>
        <w:rPr>
          <w:sz w:val="20"/>
        </w:rPr>
        <w:t>al</w:t>
      </w:r>
      <w:r>
        <w:rPr>
          <w:spacing w:val="-12"/>
          <w:sz w:val="20"/>
        </w:rPr>
        <w:t> </w:t>
      </w:r>
      <w:r>
        <w:rPr>
          <w:sz w:val="20"/>
        </w:rPr>
        <w:t>ordenamiento metropolitano y de conurbación, y</w:t>
      </w:r>
    </w:p>
    <w:p>
      <w:pPr>
        <w:pStyle w:val="BodyText"/>
        <w:spacing w:before="1"/>
      </w:pPr>
    </w:p>
    <w:p>
      <w:pPr>
        <w:pStyle w:val="ListParagraph"/>
        <w:numPr>
          <w:ilvl w:val="0"/>
          <w:numId w:val="16"/>
        </w:numPr>
        <w:tabs>
          <w:tab w:pos="688" w:val="left" w:leader="none"/>
        </w:tabs>
        <w:spacing w:line="240" w:lineRule="auto" w:before="0" w:after="0"/>
        <w:ind w:left="688" w:right="0" w:hanging="426"/>
        <w:jc w:val="both"/>
        <w:rPr>
          <w:sz w:val="20"/>
        </w:rPr>
      </w:pPr>
      <w:r>
        <w:rPr>
          <w:sz w:val="20"/>
        </w:rPr>
        <w:t>Las</w:t>
      </w:r>
      <w:r>
        <w:rPr>
          <w:spacing w:val="-8"/>
          <w:sz w:val="20"/>
        </w:rPr>
        <w:t> </w:t>
      </w:r>
      <w:r>
        <w:rPr>
          <w:sz w:val="20"/>
        </w:rPr>
        <w:t>demás</w:t>
      </w:r>
      <w:r>
        <w:rPr>
          <w:spacing w:val="-7"/>
          <w:sz w:val="20"/>
        </w:rPr>
        <w:t> </w:t>
      </w:r>
      <w:r>
        <w:rPr>
          <w:sz w:val="20"/>
        </w:rPr>
        <w:t>que</w:t>
      </w:r>
      <w:r>
        <w:rPr>
          <w:spacing w:val="-8"/>
          <w:sz w:val="20"/>
        </w:rPr>
        <w:t> </w:t>
      </w:r>
      <w:r>
        <w:rPr>
          <w:sz w:val="20"/>
        </w:rPr>
        <w:t>les</w:t>
      </w:r>
      <w:r>
        <w:rPr>
          <w:spacing w:val="-7"/>
          <w:sz w:val="20"/>
        </w:rPr>
        <w:t> </w:t>
      </w:r>
      <w:r>
        <w:rPr>
          <w:sz w:val="20"/>
        </w:rPr>
        <w:t>señalen</w:t>
      </w:r>
      <w:r>
        <w:rPr>
          <w:spacing w:val="-7"/>
          <w:sz w:val="20"/>
        </w:rPr>
        <w:t> </w:t>
      </w:r>
      <w:r>
        <w:rPr>
          <w:sz w:val="20"/>
        </w:rPr>
        <w:t>otras</w:t>
      </w:r>
      <w:r>
        <w:rPr>
          <w:spacing w:val="-8"/>
          <w:sz w:val="20"/>
        </w:rPr>
        <w:t> </w:t>
      </w:r>
      <w:r>
        <w:rPr>
          <w:sz w:val="20"/>
        </w:rPr>
        <w:t>disposiciones</w:t>
      </w:r>
      <w:r>
        <w:rPr>
          <w:spacing w:val="-7"/>
          <w:sz w:val="20"/>
        </w:rPr>
        <w:t> </w:t>
      </w:r>
      <w:r>
        <w:rPr>
          <w:sz w:val="20"/>
        </w:rPr>
        <w:t>jurídicas</w:t>
      </w:r>
      <w:r>
        <w:rPr>
          <w:spacing w:val="-8"/>
          <w:sz w:val="20"/>
        </w:rPr>
        <w:t> </w:t>
      </w:r>
      <w:r>
        <w:rPr>
          <w:spacing w:val="-2"/>
          <w:sz w:val="20"/>
        </w:rPr>
        <w:t>aplicables.</w:t>
      </w:r>
    </w:p>
    <w:p>
      <w:pPr>
        <w:pStyle w:val="BodyText"/>
        <w:spacing w:before="229"/>
        <w:ind w:left="262"/>
      </w:pPr>
      <w:r>
        <w:rPr>
          <w:rFonts w:ascii="Arial" w:hAnsi="Arial"/>
          <w:b/>
        </w:rPr>
        <w:t>ARTÍCULO</w:t>
      </w:r>
      <w:r>
        <w:rPr>
          <w:rFonts w:ascii="Arial" w:hAnsi="Arial"/>
          <w:b/>
          <w:spacing w:val="40"/>
        </w:rPr>
        <w:t> </w:t>
      </w:r>
      <w:r>
        <w:rPr>
          <w:rFonts w:ascii="Arial" w:hAnsi="Arial"/>
          <w:b/>
        </w:rPr>
        <w:t>30.</w:t>
      </w:r>
      <w:r>
        <w:rPr>
          <w:rFonts w:ascii="Arial" w:hAnsi="Arial"/>
          <w:b/>
          <w:spacing w:val="40"/>
        </w:rPr>
        <w:t> </w:t>
      </w:r>
      <w:r>
        <w:rPr/>
        <w:t>Los</w:t>
      </w:r>
      <w:r>
        <w:rPr>
          <w:spacing w:val="40"/>
        </w:rPr>
        <w:t> </w:t>
      </w:r>
      <w:r>
        <w:rPr/>
        <w:t>Consejos</w:t>
      </w:r>
      <w:r>
        <w:rPr>
          <w:spacing w:val="40"/>
        </w:rPr>
        <w:t> </w:t>
      </w:r>
      <w:r>
        <w:rPr/>
        <w:t>Consultivos</w:t>
      </w:r>
      <w:r>
        <w:rPr>
          <w:spacing w:val="40"/>
        </w:rPr>
        <w:t> </w:t>
      </w:r>
      <w:r>
        <w:rPr/>
        <w:t>de</w:t>
      </w:r>
      <w:r>
        <w:rPr>
          <w:spacing w:val="40"/>
        </w:rPr>
        <w:t> </w:t>
      </w:r>
      <w:r>
        <w:rPr/>
        <w:t>Desarrollo</w:t>
      </w:r>
      <w:r>
        <w:rPr>
          <w:spacing w:val="40"/>
        </w:rPr>
        <w:t> </w:t>
      </w:r>
      <w:r>
        <w:rPr/>
        <w:t>Metropolitano</w:t>
      </w:r>
      <w:r>
        <w:rPr>
          <w:spacing w:val="40"/>
        </w:rPr>
        <w:t> </w:t>
      </w:r>
      <w:r>
        <w:rPr/>
        <w:t>y</w:t>
      </w:r>
      <w:r>
        <w:rPr>
          <w:spacing w:val="40"/>
        </w:rPr>
        <w:t> </w:t>
      </w:r>
      <w:r>
        <w:rPr/>
        <w:t>Zona</w:t>
      </w:r>
      <w:r>
        <w:rPr>
          <w:spacing w:val="40"/>
        </w:rPr>
        <w:t> </w:t>
      </w:r>
      <w:r>
        <w:rPr/>
        <w:t>Conurbada</w:t>
      </w:r>
      <w:r>
        <w:rPr>
          <w:spacing w:val="40"/>
        </w:rPr>
        <w:t> </w:t>
      </w:r>
      <w:r>
        <w:rPr/>
        <w:t>se integrarán por:</w:t>
      </w:r>
    </w:p>
    <w:p>
      <w:pPr>
        <w:pStyle w:val="BodyText"/>
        <w:spacing w:before="1"/>
      </w:pPr>
    </w:p>
    <w:p>
      <w:pPr>
        <w:pStyle w:val="ListParagraph"/>
        <w:numPr>
          <w:ilvl w:val="0"/>
          <w:numId w:val="17"/>
        </w:numPr>
        <w:tabs>
          <w:tab w:pos="543" w:val="left" w:leader="none"/>
        </w:tabs>
        <w:spacing w:line="240" w:lineRule="auto" w:before="0" w:after="0"/>
        <w:ind w:left="543" w:right="0" w:hanging="281"/>
        <w:jc w:val="both"/>
        <w:rPr>
          <w:sz w:val="20"/>
        </w:rPr>
      </w:pPr>
      <w:r>
        <w:rPr>
          <w:sz w:val="20"/>
        </w:rPr>
        <w:t>Un</w:t>
      </w:r>
      <w:r>
        <w:rPr>
          <w:spacing w:val="-8"/>
          <w:sz w:val="20"/>
        </w:rPr>
        <w:t> </w:t>
      </w:r>
      <w:r>
        <w:rPr>
          <w:sz w:val="20"/>
        </w:rPr>
        <w:t>representante</w:t>
      </w:r>
      <w:r>
        <w:rPr>
          <w:spacing w:val="-9"/>
          <w:sz w:val="20"/>
        </w:rPr>
        <w:t> </w:t>
      </w:r>
      <w:r>
        <w:rPr>
          <w:sz w:val="20"/>
        </w:rPr>
        <w:t>del</w:t>
      </w:r>
      <w:r>
        <w:rPr>
          <w:spacing w:val="-7"/>
          <w:sz w:val="20"/>
        </w:rPr>
        <w:t> </w:t>
      </w:r>
      <w:r>
        <w:rPr>
          <w:sz w:val="20"/>
        </w:rPr>
        <w:t>Consejo</w:t>
      </w:r>
      <w:r>
        <w:rPr>
          <w:spacing w:val="-7"/>
          <w:sz w:val="20"/>
        </w:rPr>
        <w:t> </w:t>
      </w:r>
      <w:r>
        <w:rPr>
          <w:spacing w:val="-2"/>
          <w:sz w:val="20"/>
        </w:rPr>
        <w:t>Estatal;</w:t>
      </w:r>
    </w:p>
    <w:p>
      <w:pPr>
        <w:pStyle w:val="BodyText"/>
        <w:spacing w:before="1"/>
      </w:pPr>
    </w:p>
    <w:p>
      <w:pPr>
        <w:pStyle w:val="ListParagraph"/>
        <w:numPr>
          <w:ilvl w:val="0"/>
          <w:numId w:val="17"/>
        </w:numPr>
        <w:tabs>
          <w:tab w:pos="543" w:val="left" w:leader="none"/>
        </w:tabs>
        <w:spacing w:line="240" w:lineRule="auto" w:before="0" w:after="0"/>
        <w:ind w:left="543" w:right="0" w:hanging="281"/>
        <w:jc w:val="both"/>
        <w:rPr>
          <w:sz w:val="20"/>
        </w:rPr>
      </w:pPr>
      <w:r>
        <w:rPr>
          <w:sz w:val="20"/>
        </w:rPr>
        <w:t>El</w:t>
      </w:r>
      <w:r>
        <w:rPr>
          <w:spacing w:val="-7"/>
          <w:sz w:val="20"/>
        </w:rPr>
        <w:t> </w:t>
      </w:r>
      <w:r>
        <w:rPr>
          <w:sz w:val="20"/>
        </w:rPr>
        <w:t>titular</w:t>
      </w:r>
      <w:r>
        <w:rPr>
          <w:spacing w:val="-2"/>
          <w:sz w:val="20"/>
        </w:rPr>
        <w:t> </w:t>
      </w:r>
      <w:r>
        <w:rPr>
          <w:sz w:val="20"/>
        </w:rPr>
        <w:t>de</w:t>
      </w:r>
      <w:r>
        <w:rPr>
          <w:spacing w:val="-5"/>
          <w:sz w:val="20"/>
        </w:rPr>
        <w:t> </w:t>
      </w:r>
      <w:r>
        <w:rPr>
          <w:sz w:val="20"/>
        </w:rPr>
        <w:t>la</w:t>
      </w:r>
      <w:r>
        <w:rPr>
          <w:spacing w:val="-3"/>
          <w:sz w:val="20"/>
        </w:rPr>
        <w:t> </w:t>
      </w:r>
      <w:r>
        <w:rPr>
          <w:spacing w:val="-2"/>
          <w:sz w:val="20"/>
        </w:rPr>
        <w:t>Secretaría;</w:t>
      </w:r>
    </w:p>
    <w:p>
      <w:pPr>
        <w:pStyle w:val="ListParagraph"/>
        <w:numPr>
          <w:ilvl w:val="0"/>
          <w:numId w:val="17"/>
        </w:numPr>
        <w:tabs>
          <w:tab w:pos="597" w:val="left" w:leader="none"/>
        </w:tabs>
        <w:spacing w:line="240" w:lineRule="auto" w:before="229" w:after="0"/>
        <w:ind w:left="262" w:right="287" w:firstLine="0"/>
        <w:jc w:val="both"/>
        <w:rPr>
          <w:sz w:val="20"/>
        </w:rPr>
      </w:pPr>
      <w:r>
        <w:rPr>
          <w:sz w:val="20"/>
        </w:rPr>
        <w:t>Los</w:t>
      </w:r>
      <w:r>
        <w:rPr>
          <w:spacing w:val="-12"/>
          <w:sz w:val="20"/>
        </w:rPr>
        <w:t> </w:t>
      </w:r>
      <w:r>
        <w:rPr>
          <w:sz w:val="20"/>
        </w:rPr>
        <w:t>representantes</w:t>
      </w:r>
      <w:r>
        <w:rPr>
          <w:spacing w:val="-12"/>
          <w:sz w:val="20"/>
        </w:rPr>
        <w:t> </w:t>
      </w:r>
      <w:r>
        <w:rPr>
          <w:sz w:val="20"/>
        </w:rPr>
        <w:t>de</w:t>
      </w:r>
      <w:r>
        <w:rPr>
          <w:spacing w:val="-14"/>
          <w:sz w:val="20"/>
        </w:rPr>
        <w:t> </w:t>
      </w:r>
      <w:r>
        <w:rPr>
          <w:sz w:val="20"/>
        </w:rPr>
        <w:t>las</w:t>
      </w:r>
      <w:r>
        <w:rPr>
          <w:spacing w:val="-12"/>
          <w:sz w:val="20"/>
        </w:rPr>
        <w:t> </w:t>
      </w:r>
      <w:r>
        <w:rPr>
          <w:sz w:val="20"/>
        </w:rPr>
        <w:t>dependencias</w:t>
      </w:r>
      <w:r>
        <w:rPr>
          <w:spacing w:val="-12"/>
          <w:sz w:val="20"/>
        </w:rPr>
        <w:t> </w:t>
      </w:r>
      <w:r>
        <w:rPr>
          <w:sz w:val="20"/>
        </w:rPr>
        <w:t>y</w:t>
      </w:r>
      <w:r>
        <w:rPr>
          <w:spacing w:val="-12"/>
          <w:sz w:val="20"/>
        </w:rPr>
        <w:t> </w:t>
      </w:r>
      <w:r>
        <w:rPr>
          <w:sz w:val="20"/>
        </w:rPr>
        <w:t>entidades</w:t>
      </w:r>
      <w:r>
        <w:rPr>
          <w:spacing w:val="-10"/>
          <w:sz w:val="20"/>
        </w:rPr>
        <w:t> </w:t>
      </w:r>
      <w:r>
        <w:rPr>
          <w:sz w:val="20"/>
        </w:rPr>
        <w:t>de</w:t>
      </w:r>
      <w:r>
        <w:rPr>
          <w:spacing w:val="-14"/>
          <w:sz w:val="20"/>
        </w:rPr>
        <w:t> </w:t>
      </w:r>
      <w:r>
        <w:rPr>
          <w:sz w:val="20"/>
        </w:rPr>
        <w:t>la</w:t>
      </w:r>
      <w:r>
        <w:rPr>
          <w:spacing w:val="-11"/>
          <w:sz w:val="20"/>
        </w:rPr>
        <w:t> </w:t>
      </w:r>
      <w:r>
        <w:rPr>
          <w:sz w:val="20"/>
        </w:rPr>
        <w:t>administración</w:t>
      </w:r>
      <w:r>
        <w:rPr>
          <w:spacing w:val="-13"/>
          <w:sz w:val="20"/>
        </w:rPr>
        <w:t> </w:t>
      </w:r>
      <w:r>
        <w:rPr>
          <w:sz w:val="20"/>
        </w:rPr>
        <w:t>pública</w:t>
      </w:r>
      <w:r>
        <w:rPr>
          <w:spacing w:val="-11"/>
          <w:sz w:val="20"/>
        </w:rPr>
        <w:t> </w:t>
      </w:r>
      <w:r>
        <w:rPr>
          <w:sz w:val="20"/>
        </w:rPr>
        <w:t>federal,</w:t>
      </w:r>
      <w:r>
        <w:rPr>
          <w:spacing w:val="-13"/>
          <w:sz w:val="20"/>
        </w:rPr>
        <w:t> </w:t>
      </w:r>
      <w:r>
        <w:rPr>
          <w:sz w:val="20"/>
        </w:rPr>
        <w:t>estatal y</w:t>
      </w:r>
      <w:r>
        <w:rPr>
          <w:spacing w:val="-1"/>
          <w:sz w:val="20"/>
        </w:rPr>
        <w:t> </w:t>
      </w:r>
      <w:r>
        <w:rPr>
          <w:sz w:val="20"/>
        </w:rPr>
        <w:t>municipal</w:t>
      </w:r>
      <w:r>
        <w:rPr>
          <w:spacing w:val="-3"/>
          <w:sz w:val="20"/>
        </w:rPr>
        <w:t> </w:t>
      </w:r>
      <w:r>
        <w:rPr>
          <w:sz w:val="20"/>
        </w:rPr>
        <w:t>involucradas</w:t>
      </w:r>
      <w:r>
        <w:rPr>
          <w:spacing w:val="-1"/>
          <w:sz w:val="20"/>
        </w:rPr>
        <w:t> </w:t>
      </w:r>
      <w:r>
        <w:rPr>
          <w:sz w:val="20"/>
        </w:rPr>
        <w:t>en</w:t>
      </w:r>
      <w:r>
        <w:rPr>
          <w:spacing w:val="-2"/>
          <w:sz w:val="20"/>
        </w:rPr>
        <w:t> </w:t>
      </w:r>
      <w:r>
        <w:rPr>
          <w:sz w:val="20"/>
        </w:rPr>
        <w:t>el</w:t>
      </w:r>
      <w:r>
        <w:rPr>
          <w:spacing w:val="-3"/>
          <w:sz w:val="20"/>
        </w:rPr>
        <w:t> </w:t>
      </w:r>
      <w:r>
        <w:rPr>
          <w:sz w:val="20"/>
        </w:rPr>
        <w:t>ordenamiento</w:t>
      </w:r>
      <w:r>
        <w:rPr>
          <w:spacing w:val="-2"/>
          <w:sz w:val="20"/>
        </w:rPr>
        <w:t> </w:t>
      </w:r>
      <w:r>
        <w:rPr>
          <w:sz w:val="20"/>
        </w:rPr>
        <w:t>de la</w:t>
      </w:r>
      <w:r>
        <w:rPr>
          <w:spacing w:val="-2"/>
          <w:sz w:val="20"/>
        </w:rPr>
        <w:t> </w:t>
      </w:r>
      <w:r>
        <w:rPr>
          <w:sz w:val="20"/>
        </w:rPr>
        <w:t>zona</w:t>
      </w:r>
      <w:r>
        <w:rPr>
          <w:spacing w:val="-3"/>
          <w:sz w:val="20"/>
        </w:rPr>
        <w:t> </w:t>
      </w:r>
      <w:r>
        <w:rPr>
          <w:sz w:val="20"/>
        </w:rPr>
        <w:t>metropolitana</w:t>
      </w:r>
      <w:r>
        <w:rPr>
          <w:spacing w:val="-2"/>
          <w:sz w:val="20"/>
        </w:rPr>
        <w:t> </w:t>
      </w:r>
      <w:r>
        <w:rPr>
          <w:sz w:val="20"/>
        </w:rPr>
        <w:t>y</w:t>
      </w:r>
      <w:r>
        <w:rPr>
          <w:spacing w:val="-1"/>
          <w:sz w:val="20"/>
        </w:rPr>
        <w:t> </w:t>
      </w:r>
      <w:r>
        <w:rPr>
          <w:sz w:val="20"/>
        </w:rPr>
        <w:t>de</w:t>
      </w:r>
      <w:r>
        <w:rPr>
          <w:spacing w:val="-3"/>
          <w:sz w:val="20"/>
        </w:rPr>
        <w:t> </w:t>
      </w:r>
      <w:r>
        <w:rPr>
          <w:sz w:val="20"/>
        </w:rPr>
        <w:t>conurbación</w:t>
      </w:r>
      <w:r>
        <w:rPr>
          <w:spacing w:val="-3"/>
          <w:sz w:val="20"/>
        </w:rPr>
        <w:t> </w:t>
      </w:r>
      <w:r>
        <w:rPr>
          <w:sz w:val="20"/>
        </w:rPr>
        <w:t>respectiva, </w:t>
      </w:r>
      <w:r>
        <w:rPr>
          <w:spacing w:val="-10"/>
          <w:sz w:val="20"/>
        </w:rPr>
        <w:t>y</w:t>
      </w:r>
    </w:p>
    <w:p>
      <w:pPr>
        <w:pStyle w:val="BodyText"/>
        <w:spacing w:before="1"/>
      </w:pPr>
    </w:p>
    <w:p>
      <w:pPr>
        <w:pStyle w:val="ListParagraph"/>
        <w:numPr>
          <w:ilvl w:val="0"/>
          <w:numId w:val="17"/>
        </w:numPr>
        <w:tabs>
          <w:tab w:pos="545" w:val="left" w:leader="none"/>
        </w:tabs>
        <w:spacing w:line="240" w:lineRule="auto" w:before="0" w:after="0"/>
        <w:ind w:left="262" w:right="280" w:firstLine="0"/>
        <w:jc w:val="both"/>
        <w:rPr>
          <w:sz w:val="20"/>
        </w:rPr>
      </w:pPr>
      <w:r>
        <w:rPr>
          <w:sz w:val="20"/>
        </w:rPr>
        <w:t>Los</w:t>
      </w:r>
      <w:r>
        <w:rPr>
          <w:spacing w:val="-14"/>
          <w:sz w:val="20"/>
        </w:rPr>
        <w:t> </w:t>
      </w:r>
      <w:r>
        <w:rPr>
          <w:sz w:val="20"/>
        </w:rPr>
        <w:t>representantes</w:t>
      </w:r>
      <w:r>
        <w:rPr>
          <w:spacing w:val="-14"/>
          <w:sz w:val="20"/>
        </w:rPr>
        <w:t> </w:t>
      </w:r>
      <w:r>
        <w:rPr>
          <w:sz w:val="20"/>
        </w:rPr>
        <w:t>de</w:t>
      </w:r>
      <w:r>
        <w:rPr>
          <w:spacing w:val="-14"/>
          <w:sz w:val="20"/>
        </w:rPr>
        <w:t> </w:t>
      </w:r>
      <w:r>
        <w:rPr>
          <w:sz w:val="20"/>
        </w:rPr>
        <w:t>las</w:t>
      </w:r>
      <w:r>
        <w:rPr>
          <w:spacing w:val="-14"/>
          <w:sz w:val="20"/>
        </w:rPr>
        <w:t> </w:t>
      </w:r>
      <w:r>
        <w:rPr>
          <w:sz w:val="20"/>
        </w:rPr>
        <w:t>organizaciones</w:t>
      </w:r>
      <w:r>
        <w:rPr>
          <w:spacing w:val="-14"/>
          <w:sz w:val="20"/>
        </w:rPr>
        <w:t> </w:t>
      </w:r>
      <w:r>
        <w:rPr>
          <w:sz w:val="20"/>
        </w:rPr>
        <w:t>legalmente</w:t>
      </w:r>
      <w:r>
        <w:rPr>
          <w:spacing w:val="-14"/>
          <w:sz w:val="20"/>
        </w:rPr>
        <w:t> </w:t>
      </w:r>
      <w:r>
        <w:rPr>
          <w:sz w:val="20"/>
        </w:rPr>
        <w:t>constituidas</w:t>
      </w:r>
      <w:r>
        <w:rPr>
          <w:spacing w:val="-14"/>
          <w:sz w:val="20"/>
        </w:rPr>
        <w:t> </w:t>
      </w:r>
      <w:r>
        <w:rPr>
          <w:sz w:val="20"/>
        </w:rPr>
        <w:t>de</w:t>
      </w:r>
      <w:r>
        <w:rPr>
          <w:spacing w:val="-14"/>
          <w:sz w:val="20"/>
        </w:rPr>
        <w:t> </w:t>
      </w:r>
      <w:r>
        <w:rPr>
          <w:sz w:val="20"/>
        </w:rPr>
        <w:t>los</w:t>
      </w:r>
      <w:r>
        <w:rPr>
          <w:spacing w:val="-14"/>
          <w:sz w:val="20"/>
        </w:rPr>
        <w:t> </w:t>
      </w:r>
      <w:r>
        <w:rPr>
          <w:sz w:val="20"/>
        </w:rPr>
        <w:t>sectores</w:t>
      </w:r>
      <w:r>
        <w:rPr>
          <w:spacing w:val="-13"/>
          <w:sz w:val="20"/>
        </w:rPr>
        <w:t> </w:t>
      </w:r>
      <w:r>
        <w:rPr>
          <w:sz w:val="20"/>
        </w:rPr>
        <w:t>social</w:t>
      </w:r>
      <w:r>
        <w:rPr>
          <w:spacing w:val="-14"/>
          <w:sz w:val="20"/>
        </w:rPr>
        <w:t> </w:t>
      </w:r>
      <w:r>
        <w:rPr>
          <w:sz w:val="20"/>
        </w:rPr>
        <w:t>y</w:t>
      </w:r>
      <w:r>
        <w:rPr>
          <w:spacing w:val="-14"/>
          <w:sz w:val="20"/>
        </w:rPr>
        <w:t> </w:t>
      </w:r>
      <w:r>
        <w:rPr>
          <w:sz w:val="20"/>
        </w:rPr>
        <w:t>privado involucradas en el ordenamiento de la zona metropolitana y de conurbación respectiva; como son agrupaciones sociales legalmente constituidas, colegios de profesionistas registrados ante la instancia competente, cámaras, instituciones académicas y expertos en la materia. Dicha representación deberá ser con perspectiva de género. Este sector deberá constituir la mayoría de los miembros del Consejo.</w:t>
      </w:r>
    </w:p>
    <w:p>
      <w:pPr>
        <w:pStyle w:val="BodyText"/>
        <w:spacing w:before="229"/>
        <w:ind w:left="262"/>
      </w:pPr>
      <w:r>
        <w:rPr/>
        <w:t>Sus</w:t>
      </w:r>
      <w:r>
        <w:rPr>
          <w:spacing w:val="-7"/>
        </w:rPr>
        <w:t> </w:t>
      </w:r>
      <w:r>
        <w:rPr/>
        <w:t>integrantes</w:t>
      </w:r>
      <w:r>
        <w:rPr>
          <w:spacing w:val="-5"/>
        </w:rPr>
        <w:t> </w:t>
      </w:r>
      <w:r>
        <w:rPr/>
        <w:t>elegirán</w:t>
      </w:r>
      <w:r>
        <w:rPr>
          <w:spacing w:val="-8"/>
        </w:rPr>
        <w:t> </w:t>
      </w:r>
      <w:r>
        <w:rPr/>
        <w:t>a</w:t>
      </w:r>
      <w:r>
        <w:rPr>
          <w:spacing w:val="-7"/>
        </w:rPr>
        <w:t> </w:t>
      </w:r>
      <w:r>
        <w:rPr/>
        <w:t>quien</w:t>
      </w:r>
      <w:r>
        <w:rPr>
          <w:spacing w:val="-7"/>
        </w:rPr>
        <w:t> </w:t>
      </w:r>
      <w:r>
        <w:rPr/>
        <w:t>los</w:t>
      </w:r>
      <w:r>
        <w:rPr>
          <w:spacing w:val="-7"/>
        </w:rPr>
        <w:t> </w:t>
      </w:r>
      <w:r>
        <w:rPr>
          <w:spacing w:val="-2"/>
        </w:rPr>
        <w:t>presida.</w:t>
      </w:r>
    </w:p>
    <w:p>
      <w:pPr>
        <w:pStyle w:val="BodyText"/>
        <w:spacing w:before="1"/>
      </w:pPr>
    </w:p>
    <w:p>
      <w:pPr>
        <w:pStyle w:val="BodyText"/>
        <w:ind w:left="262" w:right="282"/>
      </w:pPr>
      <w:r>
        <w:rPr>
          <w:rFonts w:ascii="Arial" w:hAnsi="Arial"/>
          <w:b/>
        </w:rPr>
        <w:t>ARTÍCULO 31. </w:t>
      </w:r>
      <w:r>
        <w:rPr/>
        <w:t>Los Consejos Consultivos de Desarrollo Metropolitano y Zona Conurbada tendrán las siguientes funciones:</w:t>
      </w:r>
    </w:p>
    <w:p>
      <w:pPr>
        <w:pStyle w:val="ListParagraph"/>
        <w:numPr>
          <w:ilvl w:val="0"/>
          <w:numId w:val="18"/>
        </w:numPr>
        <w:tabs>
          <w:tab w:pos="688" w:val="left" w:leader="none"/>
        </w:tabs>
        <w:spacing w:line="240" w:lineRule="auto" w:before="229" w:after="0"/>
        <w:ind w:left="262" w:right="281" w:firstLine="0"/>
        <w:jc w:val="both"/>
        <w:rPr>
          <w:sz w:val="20"/>
        </w:rPr>
      </w:pPr>
      <w:r>
        <w:rPr>
          <w:sz w:val="20"/>
        </w:rPr>
        <w:t>Conocer,</w:t>
      </w:r>
      <w:r>
        <w:rPr>
          <w:spacing w:val="-7"/>
          <w:sz w:val="20"/>
        </w:rPr>
        <w:t> </w:t>
      </w:r>
      <w:r>
        <w:rPr>
          <w:sz w:val="20"/>
        </w:rPr>
        <w:t>analizar</w:t>
      </w:r>
      <w:r>
        <w:rPr>
          <w:spacing w:val="-7"/>
          <w:sz w:val="20"/>
        </w:rPr>
        <w:t> </w:t>
      </w:r>
      <w:r>
        <w:rPr>
          <w:sz w:val="20"/>
        </w:rPr>
        <w:t>y</w:t>
      </w:r>
      <w:r>
        <w:rPr>
          <w:spacing w:val="-6"/>
          <w:sz w:val="20"/>
        </w:rPr>
        <w:t> </w:t>
      </w:r>
      <w:r>
        <w:rPr>
          <w:sz w:val="20"/>
        </w:rPr>
        <w:t>formular</w:t>
      </w:r>
      <w:r>
        <w:rPr>
          <w:spacing w:val="-7"/>
          <w:sz w:val="20"/>
        </w:rPr>
        <w:t> </w:t>
      </w:r>
      <w:r>
        <w:rPr>
          <w:sz w:val="20"/>
        </w:rPr>
        <w:t>propuestas</w:t>
      </w:r>
      <w:r>
        <w:rPr>
          <w:spacing w:val="-7"/>
          <w:sz w:val="20"/>
        </w:rPr>
        <w:t> </w:t>
      </w:r>
      <w:r>
        <w:rPr>
          <w:sz w:val="20"/>
        </w:rPr>
        <w:t>sobre</w:t>
      </w:r>
      <w:r>
        <w:rPr>
          <w:spacing w:val="-8"/>
          <w:sz w:val="20"/>
        </w:rPr>
        <w:t> </w:t>
      </w:r>
      <w:r>
        <w:rPr>
          <w:sz w:val="20"/>
        </w:rPr>
        <w:t>el</w:t>
      </w:r>
      <w:r>
        <w:rPr>
          <w:spacing w:val="-6"/>
          <w:sz w:val="20"/>
        </w:rPr>
        <w:t> </w:t>
      </w:r>
      <w:r>
        <w:rPr>
          <w:sz w:val="20"/>
        </w:rPr>
        <w:t>programa</w:t>
      </w:r>
      <w:r>
        <w:rPr>
          <w:spacing w:val="-5"/>
          <w:sz w:val="20"/>
        </w:rPr>
        <w:t> </w:t>
      </w:r>
      <w:r>
        <w:rPr>
          <w:sz w:val="20"/>
        </w:rPr>
        <w:t>metropolitano</w:t>
      </w:r>
      <w:r>
        <w:rPr>
          <w:spacing w:val="-8"/>
          <w:sz w:val="20"/>
        </w:rPr>
        <w:t> </w:t>
      </w:r>
      <w:r>
        <w:rPr>
          <w:sz w:val="20"/>
        </w:rPr>
        <w:t>y</w:t>
      </w:r>
      <w:r>
        <w:rPr>
          <w:spacing w:val="-6"/>
          <w:sz w:val="20"/>
        </w:rPr>
        <w:t> </w:t>
      </w:r>
      <w:r>
        <w:rPr>
          <w:sz w:val="20"/>
        </w:rPr>
        <w:t>de</w:t>
      </w:r>
      <w:r>
        <w:rPr>
          <w:spacing w:val="-8"/>
          <w:sz w:val="20"/>
        </w:rPr>
        <w:t> </w:t>
      </w:r>
      <w:r>
        <w:rPr>
          <w:sz w:val="20"/>
        </w:rPr>
        <w:t>zona</w:t>
      </w:r>
      <w:r>
        <w:rPr>
          <w:spacing w:val="-8"/>
          <w:sz w:val="20"/>
        </w:rPr>
        <w:t> </w:t>
      </w:r>
      <w:r>
        <w:rPr>
          <w:sz w:val="20"/>
        </w:rPr>
        <w:t>conurbada correspondiente,</w:t>
      </w:r>
      <w:r>
        <w:rPr>
          <w:spacing w:val="40"/>
          <w:sz w:val="20"/>
        </w:rPr>
        <w:t> </w:t>
      </w:r>
      <w:r>
        <w:rPr>
          <w:sz w:val="20"/>
        </w:rPr>
        <w:t>que someta a su consideración la Comisión, así como sus modificaciones y </w:t>
      </w:r>
      <w:r>
        <w:rPr>
          <w:spacing w:val="-2"/>
          <w:sz w:val="20"/>
        </w:rPr>
        <w:t>adiciones;</w:t>
      </w:r>
    </w:p>
    <w:p>
      <w:pPr>
        <w:pStyle w:val="BodyText"/>
        <w:spacing w:before="1"/>
      </w:pPr>
    </w:p>
    <w:p>
      <w:pPr>
        <w:pStyle w:val="ListParagraph"/>
        <w:numPr>
          <w:ilvl w:val="0"/>
          <w:numId w:val="18"/>
        </w:numPr>
        <w:tabs>
          <w:tab w:pos="686" w:val="left" w:leader="none"/>
        </w:tabs>
        <w:spacing w:line="240" w:lineRule="auto" w:before="0" w:after="0"/>
        <w:ind w:left="686" w:right="0" w:hanging="424"/>
        <w:jc w:val="both"/>
        <w:rPr>
          <w:sz w:val="20"/>
        </w:rPr>
      </w:pPr>
      <w:r>
        <w:rPr>
          <w:sz w:val="20"/>
        </w:rPr>
        <w:t>Proponer</w:t>
      </w:r>
      <w:r>
        <w:rPr>
          <w:spacing w:val="-6"/>
          <w:sz w:val="20"/>
        </w:rPr>
        <w:t> </w:t>
      </w:r>
      <w:r>
        <w:rPr>
          <w:sz w:val="20"/>
        </w:rPr>
        <w:t>la</w:t>
      </w:r>
      <w:r>
        <w:rPr>
          <w:spacing w:val="-8"/>
          <w:sz w:val="20"/>
        </w:rPr>
        <w:t> </w:t>
      </w:r>
      <w:r>
        <w:rPr>
          <w:sz w:val="20"/>
        </w:rPr>
        <w:t>actualización</w:t>
      </w:r>
      <w:r>
        <w:rPr>
          <w:spacing w:val="-8"/>
          <w:sz w:val="20"/>
        </w:rPr>
        <w:t> </w:t>
      </w:r>
      <w:r>
        <w:rPr>
          <w:sz w:val="20"/>
        </w:rPr>
        <w:t>del</w:t>
      </w:r>
      <w:r>
        <w:rPr>
          <w:spacing w:val="-9"/>
          <w:sz w:val="20"/>
        </w:rPr>
        <w:t> </w:t>
      </w:r>
      <w:r>
        <w:rPr>
          <w:sz w:val="20"/>
        </w:rPr>
        <w:t>programa</w:t>
      </w:r>
      <w:r>
        <w:rPr>
          <w:spacing w:val="-7"/>
          <w:sz w:val="20"/>
        </w:rPr>
        <w:t> </w:t>
      </w:r>
      <w:r>
        <w:rPr>
          <w:sz w:val="20"/>
        </w:rPr>
        <w:t>metropolitano</w:t>
      </w:r>
      <w:r>
        <w:rPr>
          <w:spacing w:val="-7"/>
          <w:sz w:val="20"/>
        </w:rPr>
        <w:t> </w:t>
      </w:r>
      <w:r>
        <w:rPr>
          <w:sz w:val="20"/>
        </w:rPr>
        <w:t>y</w:t>
      </w:r>
      <w:r>
        <w:rPr>
          <w:spacing w:val="-7"/>
          <w:sz w:val="20"/>
        </w:rPr>
        <w:t> </w:t>
      </w:r>
      <w:r>
        <w:rPr>
          <w:sz w:val="20"/>
        </w:rPr>
        <w:t>de</w:t>
      </w:r>
      <w:r>
        <w:rPr>
          <w:spacing w:val="-9"/>
          <w:sz w:val="20"/>
        </w:rPr>
        <w:t> </w:t>
      </w:r>
      <w:r>
        <w:rPr>
          <w:sz w:val="20"/>
        </w:rPr>
        <w:t>zona</w:t>
      </w:r>
      <w:r>
        <w:rPr>
          <w:spacing w:val="-6"/>
          <w:sz w:val="20"/>
        </w:rPr>
        <w:t> </w:t>
      </w:r>
      <w:r>
        <w:rPr>
          <w:spacing w:val="-2"/>
          <w:sz w:val="20"/>
        </w:rPr>
        <w:t>conurbada;</w:t>
      </w:r>
    </w:p>
    <w:p>
      <w:pPr>
        <w:pStyle w:val="ListParagraph"/>
        <w:numPr>
          <w:ilvl w:val="0"/>
          <w:numId w:val="18"/>
        </w:numPr>
        <w:tabs>
          <w:tab w:pos="741" w:val="left" w:leader="none"/>
        </w:tabs>
        <w:spacing w:line="240" w:lineRule="auto" w:before="229" w:after="0"/>
        <w:ind w:left="262" w:right="287" w:firstLine="0"/>
        <w:jc w:val="both"/>
        <w:rPr>
          <w:sz w:val="20"/>
        </w:rPr>
      </w:pPr>
      <w:r>
        <w:rPr>
          <w:sz w:val="20"/>
        </w:rPr>
        <w:t>Opinar</w:t>
      </w:r>
      <w:r>
        <w:rPr>
          <w:spacing w:val="-2"/>
          <w:sz w:val="20"/>
        </w:rPr>
        <w:t> </w:t>
      </w:r>
      <w:r>
        <w:rPr>
          <w:sz w:val="20"/>
        </w:rPr>
        <w:t>en</w:t>
      </w:r>
      <w:r>
        <w:rPr>
          <w:spacing w:val="-1"/>
          <w:sz w:val="20"/>
        </w:rPr>
        <w:t> </w:t>
      </w:r>
      <w:r>
        <w:rPr>
          <w:sz w:val="20"/>
        </w:rPr>
        <w:t>aquellos</w:t>
      </w:r>
      <w:r>
        <w:rPr>
          <w:spacing w:val="-2"/>
          <w:sz w:val="20"/>
        </w:rPr>
        <w:t> </w:t>
      </w:r>
      <w:r>
        <w:rPr>
          <w:sz w:val="20"/>
        </w:rPr>
        <w:t>asuntos</w:t>
      </w:r>
      <w:r>
        <w:rPr>
          <w:spacing w:val="-2"/>
          <w:sz w:val="20"/>
        </w:rPr>
        <w:t> </w:t>
      </w:r>
      <w:r>
        <w:rPr>
          <w:sz w:val="20"/>
        </w:rPr>
        <w:t>que</w:t>
      </w:r>
      <w:r>
        <w:rPr>
          <w:spacing w:val="-3"/>
          <w:sz w:val="20"/>
        </w:rPr>
        <w:t> </w:t>
      </w:r>
      <w:r>
        <w:rPr>
          <w:sz w:val="20"/>
        </w:rPr>
        <w:t>se</w:t>
      </w:r>
      <w:r>
        <w:rPr>
          <w:spacing w:val="-1"/>
          <w:sz w:val="20"/>
        </w:rPr>
        <w:t> </w:t>
      </w:r>
      <w:r>
        <w:rPr>
          <w:sz w:val="20"/>
        </w:rPr>
        <w:t>presenten</w:t>
      </w:r>
      <w:r>
        <w:rPr>
          <w:spacing w:val="-4"/>
          <w:sz w:val="20"/>
        </w:rPr>
        <w:t> </w:t>
      </w:r>
      <w:r>
        <w:rPr>
          <w:sz w:val="20"/>
        </w:rPr>
        <w:t>a</w:t>
      </w:r>
      <w:r>
        <w:rPr>
          <w:spacing w:val="-1"/>
          <w:sz w:val="20"/>
        </w:rPr>
        <w:t> </w:t>
      </w:r>
      <w:r>
        <w:rPr>
          <w:sz w:val="20"/>
        </w:rPr>
        <w:t>su</w:t>
      </w:r>
      <w:r>
        <w:rPr>
          <w:spacing w:val="-3"/>
          <w:sz w:val="20"/>
        </w:rPr>
        <w:t> </w:t>
      </w:r>
      <w:r>
        <w:rPr>
          <w:sz w:val="20"/>
        </w:rPr>
        <w:t>consideración;</w:t>
      </w:r>
      <w:r>
        <w:rPr>
          <w:spacing w:val="-1"/>
          <w:sz w:val="20"/>
        </w:rPr>
        <w:t> </w:t>
      </w:r>
      <w:r>
        <w:rPr>
          <w:sz w:val="20"/>
        </w:rPr>
        <w:t>cuando</w:t>
      </w:r>
      <w:r>
        <w:rPr>
          <w:spacing w:val="-1"/>
          <w:sz w:val="20"/>
        </w:rPr>
        <w:t> </w:t>
      </w:r>
      <w:r>
        <w:rPr>
          <w:sz w:val="20"/>
        </w:rPr>
        <w:t>exista</w:t>
      </w:r>
      <w:r>
        <w:rPr>
          <w:spacing w:val="-1"/>
          <w:sz w:val="20"/>
        </w:rPr>
        <w:t> </w:t>
      </w:r>
      <w:r>
        <w:rPr>
          <w:sz w:val="20"/>
        </w:rPr>
        <w:t>diferencia</w:t>
      </w:r>
      <w:r>
        <w:rPr>
          <w:spacing w:val="-1"/>
          <w:sz w:val="20"/>
        </w:rPr>
        <w:t> </w:t>
      </w:r>
      <w:r>
        <w:rPr>
          <w:sz w:val="20"/>
        </w:rPr>
        <w:t>de criterio entre los ayuntamientos respectivos, en cuanto al tratamiento de un asunto en materia de metropolitana y de zona conurbada;</w:t>
      </w:r>
    </w:p>
    <w:p>
      <w:pPr>
        <w:pStyle w:val="BodyText"/>
        <w:spacing w:before="1"/>
      </w:pPr>
    </w:p>
    <w:p>
      <w:pPr>
        <w:pStyle w:val="ListParagraph"/>
        <w:numPr>
          <w:ilvl w:val="0"/>
          <w:numId w:val="18"/>
        </w:numPr>
        <w:tabs>
          <w:tab w:pos="688" w:val="left" w:leader="none"/>
        </w:tabs>
        <w:spacing w:line="240" w:lineRule="auto" w:before="0" w:after="0"/>
        <w:ind w:left="262" w:right="286" w:firstLine="0"/>
        <w:jc w:val="both"/>
        <w:rPr>
          <w:sz w:val="20"/>
        </w:rPr>
      </w:pPr>
      <w:r>
        <w:rPr>
          <w:sz w:val="20"/>
        </w:rPr>
        <w:t>Impulsar la participación social en la elaboración, seguimiento y operación del programa metropolitano y de zona conurbada correspondiente;</w:t>
      </w:r>
    </w:p>
    <w:p>
      <w:pPr>
        <w:pStyle w:val="BodyText"/>
      </w:pPr>
    </w:p>
    <w:p>
      <w:pPr>
        <w:pStyle w:val="ListParagraph"/>
        <w:numPr>
          <w:ilvl w:val="0"/>
          <w:numId w:val="18"/>
        </w:numPr>
        <w:tabs>
          <w:tab w:pos="688" w:val="left" w:leader="none"/>
        </w:tabs>
        <w:spacing w:line="240" w:lineRule="auto" w:before="0" w:after="0"/>
        <w:ind w:left="262" w:right="282" w:firstLine="0"/>
        <w:jc w:val="both"/>
        <w:rPr>
          <w:sz w:val="20"/>
        </w:rPr>
      </w:pPr>
      <w:r>
        <w:rPr>
          <w:sz w:val="20"/>
        </w:rPr>
        <w:t>Apoyar</w:t>
      </w:r>
      <w:r>
        <w:rPr>
          <w:spacing w:val="-2"/>
          <w:sz w:val="20"/>
        </w:rPr>
        <w:t> </w:t>
      </w:r>
      <w:r>
        <w:rPr>
          <w:sz w:val="20"/>
        </w:rPr>
        <w:t>a</w:t>
      </w:r>
      <w:r>
        <w:rPr>
          <w:spacing w:val="-3"/>
          <w:sz w:val="20"/>
        </w:rPr>
        <w:t> </w:t>
      </w:r>
      <w:r>
        <w:rPr>
          <w:sz w:val="20"/>
        </w:rPr>
        <w:t>las</w:t>
      </w:r>
      <w:r>
        <w:rPr>
          <w:spacing w:val="-2"/>
          <w:sz w:val="20"/>
        </w:rPr>
        <w:t> </w:t>
      </w:r>
      <w:r>
        <w:rPr>
          <w:sz w:val="20"/>
        </w:rPr>
        <w:t>autoridades</w:t>
      </w:r>
      <w:r>
        <w:rPr>
          <w:spacing w:val="-2"/>
          <w:sz w:val="20"/>
        </w:rPr>
        <w:t> </w:t>
      </w:r>
      <w:r>
        <w:rPr>
          <w:sz w:val="20"/>
        </w:rPr>
        <w:t>en</w:t>
      </w:r>
      <w:r>
        <w:rPr>
          <w:spacing w:val="-5"/>
          <w:sz w:val="20"/>
        </w:rPr>
        <w:t> </w:t>
      </w:r>
      <w:r>
        <w:rPr>
          <w:sz w:val="20"/>
        </w:rPr>
        <w:t>la</w:t>
      </w:r>
      <w:r>
        <w:rPr>
          <w:spacing w:val="-3"/>
          <w:sz w:val="20"/>
        </w:rPr>
        <w:t> </w:t>
      </w:r>
      <w:r>
        <w:rPr>
          <w:sz w:val="20"/>
        </w:rPr>
        <w:t>promoción,</w:t>
      </w:r>
      <w:r>
        <w:rPr>
          <w:spacing w:val="-5"/>
          <w:sz w:val="20"/>
        </w:rPr>
        <w:t> </w:t>
      </w:r>
      <w:r>
        <w:rPr>
          <w:sz w:val="20"/>
        </w:rPr>
        <w:t>difusión</w:t>
      </w:r>
      <w:r>
        <w:rPr>
          <w:spacing w:val="-3"/>
          <w:sz w:val="20"/>
        </w:rPr>
        <w:t> </w:t>
      </w:r>
      <w:r>
        <w:rPr>
          <w:sz w:val="20"/>
        </w:rPr>
        <w:t>y</w:t>
      </w:r>
      <w:r>
        <w:rPr>
          <w:spacing w:val="-4"/>
          <w:sz w:val="20"/>
        </w:rPr>
        <w:t> </w:t>
      </w:r>
      <w:r>
        <w:rPr>
          <w:sz w:val="20"/>
        </w:rPr>
        <w:t>cumplimiento</w:t>
      </w:r>
      <w:r>
        <w:rPr>
          <w:spacing w:val="-3"/>
          <w:sz w:val="20"/>
        </w:rPr>
        <w:t> </w:t>
      </w:r>
      <w:r>
        <w:rPr>
          <w:sz w:val="20"/>
        </w:rPr>
        <w:t>del</w:t>
      </w:r>
      <w:r>
        <w:rPr>
          <w:spacing w:val="-4"/>
          <w:sz w:val="20"/>
        </w:rPr>
        <w:t> </w:t>
      </w:r>
      <w:r>
        <w:rPr>
          <w:sz w:val="20"/>
        </w:rPr>
        <w:t>programa</w:t>
      </w:r>
      <w:r>
        <w:rPr>
          <w:spacing w:val="-1"/>
          <w:sz w:val="20"/>
        </w:rPr>
        <w:t> </w:t>
      </w:r>
      <w:r>
        <w:rPr>
          <w:sz w:val="20"/>
        </w:rPr>
        <w:t>metropolitano y de zona conurbada;</w:t>
      </w:r>
    </w:p>
    <w:p>
      <w:pPr>
        <w:pStyle w:val="BodyText"/>
        <w:spacing w:before="1"/>
      </w:pPr>
    </w:p>
    <w:p>
      <w:pPr>
        <w:pStyle w:val="ListParagraph"/>
        <w:numPr>
          <w:ilvl w:val="0"/>
          <w:numId w:val="18"/>
        </w:numPr>
        <w:tabs>
          <w:tab w:pos="688" w:val="left" w:leader="none"/>
        </w:tabs>
        <w:spacing w:line="240" w:lineRule="auto" w:before="0" w:after="0"/>
        <w:ind w:left="262" w:right="287" w:firstLine="0"/>
        <w:jc w:val="both"/>
        <w:rPr>
          <w:sz w:val="20"/>
        </w:rPr>
      </w:pPr>
      <w:r>
        <w:rPr>
          <w:sz w:val="20"/>
        </w:rPr>
        <w:t>Llevar a cabo campañas de concientización con la población asentada en zonas de salvaguarda, en zonas de alto riesgo y en zonas de derecho de vía para que accedan a </w:t>
      </w:r>
      <w:r>
        <w:rPr>
          <w:spacing w:val="-2"/>
          <w:sz w:val="20"/>
        </w:rPr>
        <w:t>desocuparlas;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8"/>
        </w:numPr>
        <w:tabs>
          <w:tab w:pos="688" w:val="left" w:leader="none"/>
        </w:tabs>
        <w:spacing w:line="240" w:lineRule="auto" w:before="0" w:after="0"/>
        <w:ind w:left="262" w:right="284" w:firstLine="0"/>
        <w:jc w:val="both"/>
        <w:rPr>
          <w:sz w:val="20"/>
        </w:rPr>
      </w:pPr>
      <w:r>
        <w:rPr>
          <w:sz w:val="20"/>
        </w:rPr>
        <w:t>Coordinarse</w:t>
      </w:r>
      <w:r>
        <w:rPr>
          <w:spacing w:val="-1"/>
          <w:sz w:val="20"/>
        </w:rPr>
        <w:t> </w:t>
      </w:r>
      <w:r>
        <w:rPr>
          <w:sz w:val="20"/>
        </w:rPr>
        <w:t>con</w:t>
      </w:r>
      <w:r>
        <w:rPr>
          <w:spacing w:val="-1"/>
          <w:sz w:val="20"/>
        </w:rPr>
        <w:t> </w:t>
      </w:r>
      <w:r>
        <w:rPr>
          <w:sz w:val="20"/>
        </w:rPr>
        <w:t>el</w:t>
      </w:r>
      <w:r>
        <w:rPr>
          <w:spacing w:val="-1"/>
          <w:sz w:val="20"/>
        </w:rPr>
        <w:t> </w:t>
      </w:r>
      <w:r>
        <w:rPr>
          <w:sz w:val="20"/>
        </w:rPr>
        <w:t>Consejo</w:t>
      </w:r>
      <w:r>
        <w:rPr>
          <w:spacing w:val="-1"/>
          <w:sz w:val="20"/>
        </w:rPr>
        <w:t> </w:t>
      </w:r>
      <w:r>
        <w:rPr>
          <w:sz w:val="20"/>
        </w:rPr>
        <w:t>Estatal, los consejos municipales de</w:t>
      </w:r>
      <w:r>
        <w:rPr>
          <w:spacing w:val="-1"/>
          <w:sz w:val="20"/>
        </w:rPr>
        <w:t> </w:t>
      </w:r>
      <w:r>
        <w:rPr>
          <w:sz w:val="20"/>
        </w:rPr>
        <w:t>desarrollo</w:t>
      </w:r>
      <w:r>
        <w:rPr>
          <w:spacing w:val="-1"/>
          <w:sz w:val="20"/>
        </w:rPr>
        <w:t> </w:t>
      </w:r>
      <w:r>
        <w:rPr>
          <w:sz w:val="20"/>
        </w:rPr>
        <w:t>urbano</w:t>
      </w:r>
      <w:r>
        <w:rPr>
          <w:spacing w:val="-1"/>
          <w:sz w:val="20"/>
        </w:rPr>
        <w:t> </w:t>
      </w:r>
      <w:r>
        <w:rPr>
          <w:sz w:val="20"/>
        </w:rPr>
        <w:t>y vivienda; así</w:t>
      </w:r>
      <w:r>
        <w:rPr>
          <w:spacing w:val="-3"/>
          <w:sz w:val="20"/>
        </w:rPr>
        <w:t> </w:t>
      </w:r>
      <w:r>
        <w:rPr>
          <w:sz w:val="20"/>
        </w:rPr>
        <w:t>como</w:t>
      </w:r>
      <w:r>
        <w:rPr>
          <w:spacing w:val="-3"/>
          <w:sz w:val="20"/>
        </w:rPr>
        <w:t> </w:t>
      </w:r>
      <w:r>
        <w:rPr>
          <w:sz w:val="20"/>
        </w:rPr>
        <w:t>con</w:t>
      </w:r>
      <w:r>
        <w:rPr>
          <w:spacing w:val="-1"/>
          <w:sz w:val="20"/>
        </w:rPr>
        <w:t> </w:t>
      </w:r>
      <w:r>
        <w:rPr>
          <w:sz w:val="20"/>
        </w:rPr>
        <w:t>los</w:t>
      </w:r>
      <w:r>
        <w:rPr>
          <w:spacing w:val="-2"/>
          <w:sz w:val="20"/>
        </w:rPr>
        <w:t> </w:t>
      </w:r>
      <w:r>
        <w:rPr>
          <w:sz w:val="20"/>
        </w:rPr>
        <w:t>institutos metropolitanos</w:t>
      </w:r>
      <w:r>
        <w:rPr>
          <w:spacing w:val="-2"/>
          <w:sz w:val="20"/>
        </w:rPr>
        <w:t> </w:t>
      </w:r>
      <w:r>
        <w:rPr>
          <w:sz w:val="20"/>
        </w:rPr>
        <w:t>de</w:t>
      </w:r>
      <w:r>
        <w:rPr>
          <w:spacing w:val="-1"/>
          <w:sz w:val="20"/>
        </w:rPr>
        <w:t> </w:t>
      </w:r>
      <w:r>
        <w:rPr>
          <w:sz w:val="20"/>
        </w:rPr>
        <w:t>planeación</w:t>
      </w:r>
      <w:r>
        <w:rPr>
          <w:spacing w:val="-4"/>
          <w:sz w:val="20"/>
        </w:rPr>
        <w:t> </w:t>
      </w:r>
      <w:r>
        <w:rPr>
          <w:sz w:val="20"/>
        </w:rPr>
        <w:t>y</w:t>
      </w:r>
      <w:r>
        <w:rPr>
          <w:spacing w:val="-2"/>
          <w:sz w:val="20"/>
        </w:rPr>
        <w:t> </w:t>
      </w:r>
      <w:r>
        <w:rPr>
          <w:sz w:val="20"/>
        </w:rPr>
        <w:t>los</w:t>
      </w:r>
      <w:r>
        <w:rPr>
          <w:spacing w:val="-2"/>
          <w:sz w:val="20"/>
        </w:rPr>
        <w:t> </w:t>
      </w:r>
      <w:r>
        <w:rPr>
          <w:sz w:val="20"/>
        </w:rPr>
        <w:t>institutos</w:t>
      </w:r>
      <w:r>
        <w:rPr>
          <w:spacing w:val="-2"/>
          <w:sz w:val="20"/>
        </w:rPr>
        <w:t> </w:t>
      </w:r>
      <w:r>
        <w:rPr>
          <w:sz w:val="20"/>
        </w:rPr>
        <w:t>municipales</w:t>
      </w:r>
      <w:r>
        <w:rPr>
          <w:spacing w:val="-2"/>
          <w:sz w:val="20"/>
        </w:rPr>
        <w:t> </w:t>
      </w:r>
      <w:r>
        <w:rPr>
          <w:sz w:val="20"/>
        </w:rPr>
        <w:t>de</w:t>
      </w:r>
      <w:r>
        <w:rPr>
          <w:spacing w:val="-4"/>
          <w:sz w:val="20"/>
        </w:rPr>
        <w:t> </w:t>
      </w:r>
      <w:r>
        <w:rPr>
          <w:sz w:val="20"/>
        </w:rPr>
        <w:t>planeación, para el cumplimiento de sus funciones;</w:t>
      </w:r>
    </w:p>
    <w:p>
      <w:pPr>
        <w:pStyle w:val="BodyText"/>
        <w:spacing w:before="1"/>
      </w:pPr>
    </w:p>
    <w:p>
      <w:pPr>
        <w:pStyle w:val="ListParagraph"/>
        <w:numPr>
          <w:ilvl w:val="0"/>
          <w:numId w:val="18"/>
        </w:numPr>
        <w:tabs>
          <w:tab w:pos="827" w:val="left" w:leader="none"/>
        </w:tabs>
        <w:spacing w:line="240" w:lineRule="auto" w:before="1" w:after="0"/>
        <w:ind w:left="827" w:right="0" w:hanging="565"/>
        <w:jc w:val="both"/>
        <w:rPr>
          <w:sz w:val="20"/>
        </w:rPr>
      </w:pPr>
      <w:r>
        <w:rPr>
          <w:sz w:val="20"/>
        </w:rPr>
        <w:t>Expedir</w:t>
      </w:r>
      <w:r>
        <w:rPr>
          <w:spacing w:val="-9"/>
          <w:sz w:val="20"/>
        </w:rPr>
        <w:t> </w:t>
      </w:r>
      <w:r>
        <w:rPr>
          <w:sz w:val="20"/>
        </w:rPr>
        <w:t>su</w:t>
      </w:r>
      <w:r>
        <w:rPr>
          <w:spacing w:val="-10"/>
          <w:sz w:val="20"/>
        </w:rPr>
        <w:t> </w:t>
      </w:r>
      <w:r>
        <w:rPr>
          <w:sz w:val="20"/>
        </w:rPr>
        <w:t>Reglamento</w:t>
      </w:r>
      <w:r>
        <w:rPr>
          <w:spacing w:val="-8"/>
          <w:sz w:val="20"/>
        </w:rPr>
        <w:t> </w:t>
      </w:r>
      <w:r>
        <w:rPr>
          <w:spacing w:val="-2"/>
          <w:sz w:val="20"/>
        </w:rPr>
        <w:t>Interno;</w:t>
      </w:r>
    </w:p>
    <w:p>
      <w:pPr>
        <w:pStyle w:val="ListParagraph"/>
        <w:numPr>
          <w:ilvl w:val="0"/>
          <w:numId w:val="18"/>
        </w:numPr>
        <w:tabs>
          <w:tab w:pos="688" w:val="left" w:leader="none"/>
        </w:tabs>
        <w:spacing w:line="240" w:lineRule="auto" w:before="228" w:after="0"/>
        <w:ind w:left="262" w:right="287" w:firstLine="0"/>
        <w:jc w:val="both"/>
        <w:rPr>
          <w:sz w:val="20"/>
        </w:rPr>
      </w:pPr>
      <w:r>
        <w:rPr>
          <w:sz w:val="20"/>
        </w:rPr>
        <w:t>Aprobar la creación de comités y grupos de trabajo para la atención de temas específicos y emitir los lineamientos para su operación, y</w:t>
      </w:r>
    </w:p>
    <w:p>
      <w:pPr>
        <w:pStyle w:val="BodyText"/>
        <w:spacing w:before="1"/>
      </w:pPr>
    </w:p>
    <w:p>
      <w:pPr>
        <w:pStyle w:val="ListParagraph"/>
        <w:numPr>
          <w:ilvl w:val="0"/>
          <w:numId w:val="18"/>
        </w:numPr>
        <w:tabs>
          <w:tab w:pos="688" w:val="left" w:leader="none"/>
        </w:tabs>
        <w:spacing w:line="240" w:lineRule="auto" w:before="0" w:after="0"/>
        <w:ind w:left="688" w:right="0" w:hanging="426"/>
        <w:jc w:val="both"/>
        <w:rPr>
          <w:sz w:val="20"/>
        </w:rPr>
      </w:pPr>
      <w:r>
        <w:rPr>
          <w:sz w:val="20"/>
        </w:rPr>
        <w:t>Las</w:t>
      </w:r>
      <w:r>
        <w:rPr>
          <w:spacing w:val="-6"/>
          <w:sz w:val="20"/>
        </w:rPr>
        <w:t> </w:t>
      </w:r>
      <w:r>
        <w:rPr>
          <w:sz w:val="20"/>
        </w:rPr>
        <w:t>demás</w:t>
      </w:r>
      <w:r>
        <w:rPr>
          <w:spacing w:val="-6"/>
          <w:sz w:val="20"/>
        </w:rPr>
        <w:t> </w:t>
      </w:r>
      <w:r>
        <w:rPr>
          <w:sz w:val="20"/>
        </w:rPr>
        <w:t>que</w:t>
      </w:r>
      <w:r>
        <w:rPr>
          <w:spacing w:val="-8"/>
          <w:sz w:val="20"/>
        </w:rPr>
        <w:t> </w:t>
      </w:r>
      <w:r>
        <w:rPr>
          <w:sz w:val="20"/>
        </w:rPr>
        <w:t>sean</w:t>
      </w:r>
      <w:r>
        <w:rPr>
          <w:spacing w:val="-7"/>
          <w:sz w:val="20"/>
        </w:rPr>
        <w:t> </w:t>
      </w:r>
      <w:r>
        <w:rPr>
          <w:sz w:val="20"/>
        </w:rPr>
        <w:t>necesarias</w:t>
      </w:r>
      <w:r>
        <w:rPr>
          <w:spacing w:val="-6"/>
          <w:sz w:val="20"/>
        </w:rPr>
        <w:t> </w:t>
      </w:r>
      <w:r>
        <w:rPr>
          <w:sz w:val="20"/>
        </w:rPr>
        <w:t>para</w:t>
      </w:r>
      <w:r>
        <w:rPr>
          <w:spacing w:val="-7"/>
          <w:sz w:val="20"/>
        </w:rPr>
        <w:t> </w:t>
      </w:r>
      <w:r>
        <w:rPr>
          <w:sz w:val="20"/>
        </w:rPr>
        <w:t>el</w:t>
      </w:r>
      <w:r>
        <w:rPr>
          <w:spacing w:val="-7"/>
          <w:sz w:val="20"/>
        </w:rPr>
        <w:t> </w:t>
      </w:r>
      <w:r>
        <w:rPr>
          <w:sz w:val="20"/>
        </w:rPr>
        <w:t>cumplimiento</w:t>
      </w:r>
      <w:r>
        <w:rPr>
          <w:spacing w:val="-5"/>
          <w:sz w:val="20"/>
        </w:rPr>
        <w:t> </w:t>
      </w:r>
      <w:r>
        <w:rPr>
          <w:sz w:val="20"/>
        </w:rPr>
        <w:t>de</w:t>
      </w:r>
      <w:r>
        <w:rPr>
          <w:spacing w:val="-8"/>
          <w:sz w:val="20"/>
        </w:rPr>
        <w:t> </w:t>
      </w:r>
      <w:r>
        <w:rPr>
          <w:sz w:val="20"/>
        </w:rPr>
        <w:t>su</w:t>
      </w:r>
      <w:r>
        <w:rPr>
          <w:spacing w:val="-7"/>
          <w:sz w:val="20"/>
        </w:rPr>
        <w:t> </w:t>
      </w:r>
      <w:r>
        <w:rPr>
          <w:spacing w:val="-2"/>
          <w:sz w:val="20"/>
        </w:rPr>
        <w:t>objetivo.</w:t>
      </w:r>
    </w:p>
    <w:p>
      <w:pPr>
        <w:pStyle w:val="BodyText"/>
      </w:pPr>
    </w:p>
    <w:p>
      <w:pPr>
        <w:pStyle w:val="BodyText"/>
      </w:pPr>
    </w:p>
    <w:p>
      <w:pPr>
        <w:pStyle w:val="Heading2"/>
        <w:ind w:right="15"/>
      </w:pPr>
      <w:r>
        <w:rPr/>
        <w:t>Capítulo</w:t>
      </w:r>
      <w:r>
        <w:rPr>
          <w:spacing w:val="-8"/>
        </w:rPr>
        <w:t> </w:t>
      </w:r>
      <w:r>
        <w:rPr>
          <w:spacing w:val="-5"/>
        </w:rPr>
        <w:t>IV</w:t>
      </w:r>
    </w:p>
    <w:p>
      <w:pPr>
        <w:pStyle w:val="BodyText"/>
        <w:rPr>
          <w:rFonts w:ascii="Arial"/>
          <w:b/>
        </w:rPr>
      </w:pPr>
    </w:p>
    <w:p>
      <w:pPr>
        <w:spacing w:before="1"/>
        <w:ind w:left="0" w:right="17" w:firstLine="0"/>
        <w:jc w:val="center"/>
        <w:rPr>
          <w:rFonts w:ascii="Arial"/>
          <w:b/>
          <w:sz w:val="20"/>
        </w:rPr>
      </w:pPr>
      <w:r>
        <w:rPr>
          <w:rFonts w:ascii="Arial"/>
          <w:b/>
          <w:sz w:val="20"/>
        </w:rPr>
        <w:t>Consejos</w:t>
      </w:r>
      <w:r>
        <w:rPr>
          <w:rFonts w:ascii="Arial"/>
          <w:b/>
          <w:spacing w:val="-8"/>
          <w:sz w:val="20"/>
        </w:rPr>
        <w:t> </w:t>
      </w:r>
      <w:r>
        <w:rPr>
          <w:rFonts w:ascii="Arial"/>
          <w:b/>
          <w:sz w:val="20"/>
        </w:rPr>
        <w:t>Municipales</w:t>
      </w:r>
      <w:r>
        <w:rPr>
          <w:rFonts w:ascii="Arial"/>
          <w:b/>
          <w:spacing w:val="-9"/>
          <w:sz w:val="20"/>
        </w:rPr>
        <w:t> </w:t>
      </w:r>
      <w:r>
        <w:rPr>
          <w:rFonts w:ascii="Arial"/>
          <w:b/>
          <w:sz w:val="20"/>
        </w:rPr>
        <w:t>de</w:t>
      </w:r>
      <w:r>
        <w:rPr>
          <w:rFonts w:ascii="Arial"/>
          <w:b/>
          <w:spacing w:val="-8"/>
          <w:sz w:val="20"/>
        </w:rPr>
        <w:t> </w:t>
      </w:r>
      <w:r>
        <w:rPr>
          <w:rFonts w:ascii="Arial"/>
          <w:b/>
          <w:sz w:val="20"/>
        </w:rPr>
        <w:t>Desarrollo</w:t>
      </w:r>
      <w:r>
        <w:rPr>
          <w:rFonts w:ascii="Arial"/>
          <w:b/>
          <w:spacing w:val="-6"/>
          <w:sz w:val="20"/>
        </w:rPr>
        <w:t> </w:t>
      </w:r>
      <w:r>
        <w:rPr>
          <w:rFonts w:ascii="Arial"/>
          <w:b/>
          <w:sz w:val="20"/>
        </w:rPr>
        <w:t>Urbano</w:t>
      </w:r>
      <w:r>
        <w:rPr>
          <w:rFonts w:ascii="Arial"/>
          <w:b/>
          <w:spacing w:val="-6"/>
          <w:sz w:val="20"/>
        </w:rPr>
        <w:t> </w:t>
      </w:r>
      <w:r>
        <w:rPr>
          <w:rFonts w:ascii="Arial"/>
          <w:b/>
          <w:sz w:val="20"/>
        </w:rPr>
        <w:t>y</w:t>
      </w:r>
      <w:r>
        <w:rPr>
          <w:rFonts w:ascii="Arial"/>
          <w:b/>
          <w:spacing w:val="-9"/>
          <w:sz w:val="20"/>
        </w:rPr>
        <w:t> </w:t>
      </w:r>
      <w:r>
        <w:rPr>
          <w:rFonts w:ascii="Arial"/>
          <w:b/>
          <w:spacing w:val="-2"/>
          <w:sz w:val="20"/>
        </w:rPr>
        <w:t>Vivienda</w:t>
      </w:r>
    </w:p>
    <w:p>
      <w:pPr>
        <w:pStyle w:val="BodyText"/>
        <w:rPr>
          <w:rFonts w:ascii="Arial"/>
          <w:b/>
        </w:rPr>
      </w:pPr>
    </w:p>
    <w:p>
      <w:pPr>
        <w:pStyle w:val="BodyText"/>
        <w:ind w:left="262" w:right="277"/>
        <w:jc w:val="both"/>
      </w:pPr>
      <w:r>
        <w:rPr>
          <w:rFonts w:ascii="Arial" w:hAnsi="Arial"/>
          <w:b/>
        </w:rPr>
        <w:t>ARTÍCULO 32. </w:t>
      </w:r>
      <w:r>
        <w:rPr/>
        <w:t>Los Consejos Municipales de Desarrollo Urbano y Vivienda serán instancias permanentes</w:t>
      </w:r>
      <w:r>
        <w:rPr>
          <w:spacing w:val="-10"/>
        </w:rPr>
        <w:t> </w:t>
      </w:r>
      <w:r>
        <w:rPr/>
        <w:t>de</w:t>
      </w:r>
      <w:r>
        <w:rPr>
          <w:spacing w:val="-10"/>
        </w:rPr>
        <w:t> </w:t>
      </w:r>
      <w:r>
        <w:rPr/>
        <w:t>participación</w:t>
      </w:r>
      <w:r>
        <w:rPr>
          <w:spacing w:val="-12"/>
        </w:rPr>
        <w:t> </w:t>
      </w:r>
      <w:r>
        <w:rPr/>
        <w:t>social</w:t>
      </w:r>
      <w:r>
        <w:rPr>
          <w:spacing w:val="-10"/>
        </w:rPr>
        <w:t> </w:t>
      </w:r>
      <w:r>
        <w:rPr/>
        <w:t>para</w:t>
      </w:r>
      <w:r>
        <w:rPr>
          <w:spacing w:val="-9"/>
        </w:rPr>
        <w:t> </w:t>
      </w:r>
      <w:r>
        <w:rPr/>
        <w:t>la</w:t>
      </w:r>
      <w:r>
        <w:rPr>
          <w:spacing w:val="-9"/>
        </w:rPr>
        <w:t> </w:t>
      </w:r>
      <w:r>
        <w:rPr/>
        <w:t>asesoría</w:t>
      </w:r>
      <w:r>
        <w:rPr>
          <w:spacing w:val="-11"/>
        </w:rPr>
        <w:t> </w:t>
      </w:r>
      <w:r>
        <w:rPr/>
        <w:t>y</w:t>
      </w:r>
      <w:r>
        <w:rPr>
          <w:spacing w:val="-8"/>
        </w:rPr>
        <w:t> </w:t>
      </w:r>
      <w:r>
        <w:rPr/>
        <w:t>consulta</w:t>
      </w:r>
      <w:r>
        <w:rPr>
          <w:spacing w:val="-9"/>
        </w:rPr>
        <w:t> </w:t>
      </w:r>
      <w:r>
        <w:rPr/>
        <w:t>de</w:t>
      </w:r>
      <w:r>
        <w:rPr>
          <w:spacing w:val="-10"/>
        </w:rPr>
        <w:t> </w:t>
      </w:r>
      <w:r>
        <w:rPr/>
        <w:t>los</w:t>
      </w:r>
      <w:r>
        <w:rPr>
          <w:spacing w:val="-8"/>
        </w:rPr>
        <w:t> </w:t>
      </w:r>
      <w:r>
        <w:rPr/>
        <w:t>ayuntamientos,</w:t>
      </w:r>
      <w:r>
        <w:rPr>
          <w:spacing w:val="-11"/>
        </w:rPr>
        <w:t> </w:t>
      </w:r>
      <w:r>
        <w:rPr/>
        <w:t>en</w:t>
      </w:r>
      <w:r>
        <w:rPr>
          <w:spacing w:val="-10"/>
        </w:rPr>
        <w:t> </w:t>
      </w:r>
      <w:r>
        <w:rPr/>
        <w:t>materia</w:t>
      </w:r>
      <w:r>
        <w:rPr>
          <w:spacing w:val="-10"/>
        </w:rPr>
        <w:t> </w:t>
      </w:r>
      <w:r>
        <w:rPr/>
        <w:t>de ordenamiento territorial de los asentamientos humanos, de desarrollo urbano de los centros de población y vivienda en su jurisdicción territorial, y se regirán en cuanto a su organización y funcionamiento por lo que determinen sus respectivos Reglamentos Internos.</w:t>
      </w:r>
    </w:p>
    <w:p>
      <w:pPr>
        <w:pStyle w:val="BodyText"/>
        <w:spacing w:before="228"/>
        <w:ind w:left="262" w:right="286"/>
        <w:jc w:val="both"/>
      </w:pPr>
      <w:r>
        <w:rPr/>
        <w:t>Los</w:t>
      </w:r>
      <w:r>
        <w:rPr>
          <w:spacing w:val="-8"/>
        </w:rPr>
        <w:t> </w:t>
      </w:r>
      <w:r>
        <w:rPr/>
        <w:t>consejos</w:t>
      </w:r>
      <w:r>
        <w:rPr>
          <w:spacing w:val="-6"/>
        </w:rPr>
        <w:t> </w:t>
      </w:r>
      <w:r>
        <w:rPr/>
        <w:t>municipales</w:t>
      </w:r>
      <w:r>
        <w:rPr>
          <w:spacing w:val="-8"/>
        </w:rPr>
        <w:t> </w:t>
      </w:r>
      <w:r>
        <w:rPr/>
        <w:t>de</w:t>
      </w:r>
      <w:r>
        <w:rPr>
          <w:spacing w:val="-9"/>
        </w:rPr>
        <w:t> </w:t>
      </w:r>
      <w:r>
        <w:rPr/>
        <w:t>desarrollo</w:t>
      </w:r>
      <w:r>
        <w:rPr>
          <w:spacing w:val="-7"/>
        </w:rPr>
        <w:t> </w:t>
      </w:r>
      <w:r>
        <w:rPr/>
        <w:t>urbano</w:t>
      </w:r>
      <w:r>
        <w:rPr>
          <w:spacing w:val="-7"/>
        </w:rPr>
        <w:t> </w:t>
      </w:r>
      <w:r>
        <w:rPr/>
        <w:t>y</w:t>
      </w:r>
      <w:r>
        <w:rPr>
          <w:spacing w:val="-8"/>
        </w:rPr>
        <w:t> </w:t>
      </w:r>
      <w:r>
        <w:rPr/>
        <w:t>vivienda</w:t>
      </w:r>
      <w:r>
        <w:rPr>
          <w:spacing w:val="-7"/>
        </w:rPr>
        <w:t> </w:t>
      </w:r>
      <w:r>
        <w:rPr/>
        <w:t>o</w:t>
      </w:r>
      <w:r>
        <w:rPr>
          <w:spacing w:val="-9"/>
        </w:rPr>
        <w:t> </w:t>
      </w:r>
      <w:r>
        <w:rPr/>
        <w:t>sus</w:t>
      </w:r>
      <w:r>
        <w:rPr>
          <w:spacing w:val="-6"/>
        </w:rPr>
        <w:t> </w:t>
      </w:r>
      <w:r>
        <w:rPr/>
        <w:t>equivalentes,</w:t>
      </w:r>
      <w:r>
        <w:rPr>
          <w:spacing w:val="-9"/>
        </w:rPr>
        <w:t> </w:t>
      </w:r>
      <w:r>
        <w:rPr/>
        <w:t>se</w:t>
      </w:r>
      <w:r>
        <w:rPr>
          <w:spacing w:val="-7"/>
        </w:rPr>
        <w:t> </w:t>
      </w:r>
      <w:r>
        <w:rPr/>
        <w:t>integrarán</w:t>
      </w:r>
      <w:r>
        <w:rPr>
          <w:spacing w:val="-7"/>
        </w:rPr>
        <w:t> </w:t>
      </w:r>
      <w:r>
        <w:rPr/>
        <w:t>en</w:t>
      </w:r>
      <w:r>
        <w:rPr>
          <w:spacing w:val="-9"/>
        </w:rPr>
        <w:t> </w:t>
      </w:r>
      <w:r>
        <w:rPr/>
        <w:t>cada municipio, por:</w:t>
      </w:r>
    </w:p>
    <w:p>
      <w:pPr>
        <w:pStyle w:val="BodyText"/>
        <w:spacing w:before="2"/>
      </w:pPr>
    </w:p>
    <w:p>
      <w:pPr>
        <w:pStyle w:val="ListParagraph"/>
        <w:numPr>
          <w:ilvl w:val="0"/>
          <w:numId w:val="19"/>
        </w:numPr>
        <w:tabs>
          <w:tab w:pos="543" w:val="left" w:leader="none"/>
        </w:tabs>
        <w:spacing w:line="240" w:lineRule="auto" w:before="0" w:after="0"/>
        <w:ind w:left="543" w:right="0" w:hanging="281"/>
        <w:jc w:val="both"/>
        <w:rPr>
          <w:sz w:val="20"/>
        </w:rPr>
      </w:pPr>
      <w:r>
        <w:rPr>
          <w:sz w:val="20"/>
        </w:rPr>
        <w:t>Un</w:t>
      </w:r>
      <w:r>
        <w:rPr>
          <w:spacing w:val="-9"/>
          <w:sz w:val="20"/>
        </w:rPr>
        <w:t> </w:t>
      </w:r>
      <w:r>
        <w:rPr>
          <w:sz w:val="20"/>
        </w:rPr>
        <w:t>Presidente,</w:t>
      </w:r>
      <w:r>
        <w:rPr>
          <w:spacing w:val="-7"/>
          <w:sz w:val="20"/>
        </w:rPr>
        <w:t> </w:t>
      </w:r>
      <w:r>
        <w:rPr>
          <w:sz w:val="20"/>
        </w:rPr>
        <w:t>que</w:t>
      </w:r>
      <w:r>
        <w:rPr>
          <w:spacing w:val="-7"/>
          <w:sz w:val="20"/>
        </w:rPr>
        <w:t> </w:t>
      </w:r>
      <w:r>
        <w:rPr>
          <w:sz w:val="20"/>
        </w:rPr>
        <w:t>será</w:t>
      </w:r>
      <w:r>
        <w:rPr>
          <w:spacing w:val="-9"/>
          <w:sz w:val="20"/>
        </w:rPr>
        <w:t> </w:t>
      </w:r>
      <w:r>
        <w:rPr>
          <w:sz w:val="20"/>
        </w:rPr>
        <w:t>el</w:t>
      </w:r>
      <w:r>
        <w:rPr>
          <w:spacing w:val="-7"/>
          <w:sz w:val="20"/>
        </w:rPr>
        <w:t> </w:t>
      </w:r>
      <w:r>
        <w:rPr>
          <w:sz w:val="20"/>
        </w:rPr>
        <w:t>Presidente</w:t>
      </w:r>
      <w:r>
        <w:rPr>
          <w:spacing w:val="-7"/>
          <w:sz w:val="20"/>
        </w:rPr>
        <w:t> </w:t>
      </w:r>
      <w:r>
        <w:rPr>
          <w:sz w:val="20"/>
        </w:rPr>
        <w:t>Municipal</w:t>
      </w:r>
      <w:r>
        <w:rPr>
          <w:spacing w:val="-10"/>
          <w:sz w:val="20"/>
        </w:rPr>
        <w:t> </w:t>
      </w:r>
      <w:r>
        <w:rPr>
          <w:spacing w:val="-2"/>
          <w:sz w:val="20"/>
        </w:rPr>
        <w:t>respectivo;</w:t>
      </w:r>
    </w:p>
    <w:p>
      <w:pPr>
        <w:pStyle w:val="BodyText"/>
      </w:pPr>
    </w:p>
    <w:p>
      <w:pPr>
        <w:pStyle w:val="ListParagraph"/>
        <w:numPr>
          <w:ilvl w:val="0"/>
          <w:numId w:val="19"/>
        </w:numPr>
        <w:tabs>
          <w:tab w:pos="543" w:val="left" w:leader="none"/>
        </w:tabs>
        <w:spacing w:line="240" w:lineRule="auto" w:before="1" w:after="0"/>
        <w:ind w:left="543" w:right="0" w:hanging="281"/>
        <w:jc w:val="both"/>
        <w:rPr>
          <w:sz w:val="20"/>
        </w:rPr>
      </w:pPr>
      <w:r>
        <w:rPr>
          <w:sz w:val="20"/>
        </w:rPr>
        <w:t>Un</w:t>
      </w:r>
      <w:r>
        <w:rPr>
          <w:spacing w:val="-8"/>
          <w:sz w:val="20"/>
        </w:rPr>
        <w:t> </w:t>
      </w:r>
      <w:r>
        <w:rPr>
          <w:sz w:val="20"/>
        </w:rPr>
        <w:t>Coordinador</w:t>
      </w:r>
      <w:r>
        <w:rPr>
          <w:spacing w:val="-8"/>
          <w:sz w:val="20"/>
        </w:rPr>
        <w:t> </w:t>
      </w:r>
      <w:r>
        <w:rPr>
          <w:sz w:val="20"/>
        </w:rPr>
        <w:t>General,</w:t>
      </w:r>
      <w:r>
        <w:rPr>
          <w:spacing w:val="-6"/>
          <w:sz w:val="20"/>
        </w:rPr>
        <w:t> </w:t>
      </w:r>
      <w:r>
        <w:rPr>
          <w:sz w:val="20"/>
        </w:rPr>
        <w:t>que</w:t>
      </w:r>
      <w:r>
        <w:rPr>
          <w:spacing w:val="-9"/>
          <w:sz w:val="20"/>
        </w:rPr>
        <w:t> </w:t>
      </w:r>
      <w:r>
        <w:rPr>
          <w:sz w:val="20"/>
        </w:rPr>
        <w:t>será</w:t>
      </w:r>
      <w:r>
        <w:rPr>
          <w:spacing w:val="-8"/>
          <w:sz w:val="20"/>
        </w:rPr>
        <w:t> </w:t>
      </w:r>
      <w:r>
        <w:rPr>
          <w:sz w:val="20"/>
        </w:rPr>
        <w:t>nombrado</w:t>
      </w:r>
      <w:r>
        <w:rPr>
          <w:spacing w:val="-6"/>
          <w:sz w:val="20"/>
        </w:rPr>
        <w:t> </w:t>
      </w:r>
      <w:r>
        <w:rPr>
          <w:sz w:val="20"/>
        </w:rPr>
        <w:t>por</w:t>
      </w:r>
      <w:r>
        <w:rPr>
          <w:spacing w:val="-6"/>
          <w:sz w:val="20"/>
        </w:rPr>
        <w:t> </w:t>
      </w:r>
      <w:r>
        <w:rPr>
          <w:sz w:val="20"/>
        </w:rPr>
        <w:t>el</w:t>
      </w:r>
      <w:r>
        <w:rPr>
          <w:spacing w:val="-8"/>
          <w:sz w:val="20"/>
        </w:rPr>
        <w:t> </w:t>
      </w:r>
      <w:r>
        <w:rPr>
          <w:spacing w:val="-2"/>
          <w:sz w:val="20"/>
        </w:rPr>
        <w:t>Consejo;</w:t>
      </w:r>
    </w:p>
    <w:p>
      <w:pPr>
        <w:pStyle w:val="ListParagraph"/>
        <w:numPr>
          <w:ilvl w:val="0"/>
          <w:numId w:val="19"/>
        </w:numPr>
        <w:tabs>
          <w:tab w:pos="597" w:val="left" w:leader="none"/>
        </w:tabs>
        <w:spacing w:line="240" w:lineRule="auto" w:before="228" w:after="0"/>
        <w:ind w:left="597" w:right="0" w:hanging="335"/>
        <w:jc w:val="both"/>
        <w:rPr>
          <w:sz w:val="20"/>
        </w:rPr>
      </w:pPr>
      <w:r>
        <w:rPr>
          <w:sz w:val="20"/>
        </w:rPr>
        <w:t>El</w:t>
      </w:r>
      <w:r>
        <w:rPr>
          <w:spacing w:val="-7"/>
          <w:sz w:val="20"/>
        </w:rPr>
        <w:t> </w:t>
      </w:r>
      <w:r>
        <w:rPr>
          <w:sz w:val="20"/>
        </w:rPr>
        <w:t>Director</w:t>
      </w:r>
      <w:r>
        <w:rPr>
          <w:spacing w:val="-4"/>
          <w:sz w:val="20"/>
        </w:rPr>
        <w:t> </w:t>
      </w:r>
      <w:r>
        <w:rPr>
          <w:sz w:val="20"/>
        </w:rPr>
        <w:t>del</w:t>
      </w:r>
      <w:r>
        <w:rPr>
          <w:spacing w:val="-8"/>
          <w:sz w:val="20"/>
        </w:rPr>
        <w:t> </w:t>
      </w:r>
      <w:r>
        <w:rPr>
          <w:sz w:val="20"/>
        </w:rPr>
        <w:t>IMPLAN</w:t>
      </w:r>
      <w:r>
        <w:rPr>
          <w:spacing w:val="-5"/>
          <w:sz w:val="20"/>
        </w:rPr>
        <w:t> </w:t>
      </w:r>
      <w:r>
        <w:rPr>
          <w:sz w:val="20"/>
        </w:rPr>
        <w:t>Municipal,</w:t>
      </w:r>
      <w:r>
        <w:rPr>
          <w:spacing w:val="-5"/>
          <w:sz w:val="20"/>
        </w:rPr>
        <w:t> </w:t>
      </w:r>
      <w:r>
        <w:rPr>
          <w:sz w:val="20"/>
        </w:rPr>
        <w:t>en</w:t>
      </w:r>
      <w:r>
        <w:rPr>
          <w:spacing w:val="-8"/>
          <w:sz w:val="20"/>
        </w:rPr>
        <w:t> </w:t>
      </w:r>
      <w:r>
        <w:rPr>
          <w:sz w:val="20"/>
        </w:rPr>
        <w:t>su</w:t>
      </w:r>
      <w:r>
        <w:rPr>
          <w:spacing w:val="-5"/>
          <w:sz w:val="20"/>
        </w:rPr>
        <w:t> </w:t>
      </w:r>
      <w:r>
        <w:rPr>
          <w:spacing w:val="-2"/>
          <w:sz w:val="20"/>
        </w:rPr>
        <w:t>caso;</w:t>
      </w:r>
    </w:p>
    <w:p>
      <w:pPr>
        <w:pStyle w:val="BodyText"/>
        <w:spacing w:before="1"/>
      </w:pPr>
    </w:p>
    <w:p>
      <w:pPr>
        <w:pStyle w:val="ListParagraph"/>
        <w:numPr>
          <w:ilvl w:val="0"/>
          <w:numId w:val="19"/>
        </w:numPr>
        <w:tabs>
          <w:tab w:pos="545" w:val="left" w:leader="none"/>
        </w:tabs>
        <w:spacing w:line="240" w:lineRule="auto" w:before="0" w:after="0"/>
        <w:ind w:left="262" w:right="280" w:firstLine="0"/>
        <w:jc w:val="both"/>
        <w:rPr>
          <w:sz w:val="20"/>
        </w:rPr>
      </w:pPr>
      <w:r>
        <w:rPr>
          <w:sz w:val="20"/>
        </w:rPr>
        <w:t>Un representante de cada una de las dependencias y entidades de la administración pública municipal, cuya competencia u objeto se relacione con el desarrollo urbano. Se invitará a representantes de las dependencias y entidades de la Administración Pública estatal y Federal involucradas, cuando así se requiera, y</w:t>
      </w:r>
    </w:p>
    <w:p>
      <w:pPr>
        <w:pStyle w:val="ListParagraph"/>
        <w:numPr>
          <w:ilvl w:val="0"/>
          <w:numId w:val="19"/>
        </w:numPr>
        <w:tabs>
          <w:tab w:pos="544" w:val="left" w:leader="none"/>
        </w:tabs>
        <w:spacing w:line="240" w:lineRule="auto" w:before="230" w:after="0"/>
        <w:ind w:left="544" w:right="0" w:hanging="282"/>
        <w:jc w:val="both"/>
        <w:rPr>
          <w:sz w:val="20"/>
        </w:rPr>
      </w:pPr>
      <w:r>
        <w:rPr>
          <w:sz w:val="20"/>
        </w:rPr>
        <w:t>Por</w:t>
      </w:r>
      <w:r>
        <w:rPr>
          <w:spacing w:val="-12"/>
          <w:sz w:val="20"/>
        </w:rPr>
        <w:t> </w:t>
      </w:r>
      <w:r>
        <w:rPr>
          <w:sz w:val="20"/>
        </w:rPr>
        <w:t>representantes</w:t>
      </w:r>
      <w:r>
        <w:rPr>
          <w:spacing w:val="-11"/>
          <w:sz w:val="20"/>
        </w:rPr>
        <w:t> </w:t>
      </w:r>
      <w:r>
        <w:rPr>
          <w:spacing w:val="-5"/>
          <w:sz w:val="20"/>
        </w:rPr>
        <w:t>de:</w:t>
      </w:r>
    </w:p>
    <w:p>
      <w:pPr>
        <w:pStyle w:val="BodyText"/>
      </w:pPr>
    </w:p>
    <w:p>
      <w:pPr>
        <w:pStyle w:val="ListParagraph"/>
        <w:numPr>
          <w:ilvl w:val="1"/>
          <w:numId w:val="19"/>
        </w:numPr>
        <w:tabs>
          <w:tab w:pos="544" w:val="left" w:leader="none"/>
        </w:tabs>
        <w:spacing w:line="240" w:lineRule="auto" w:before="0" w:after="0"/>
        <w:ind w:left="262" w:right="286" w:firstLine="0"/>
        <w:jc w:val="both"/>
        <w:rPr>
          <w:sz w:val="20"/>
        </w:rPr>
      </w:pPr>
      <w:r>
        <w:rPr>
          <w:sz w:val="20"/>
        </w:rPr>
        <w:t>Los colegios y asociaciones de profesionistas legalmente constituidos y registrados ante las autoridades competentes, con representación en el municipio, que tengan relación directa con el desarrollo urbano.</w:t>
      </w:r>
    </w:p>
    <w:p>
      <w:pPr>
        <w:pStyle w:val="BodyText"/>
      </w:pPr>
    </w:p>
    <w:p>
      <w:pPr>
        <w:pStyle w:val="ListParagraph"/>
        <w:numPr>
          <w:ilvl w:val="1"/>
          <w:numId w:val="19"/>
        </w:numPr>
        <w:tabs>
          <w:tab w:pos="544" w:val="left" w:leader="none"/>
        </w:tabs>
        <w:spacing w:line="240" w:lineRule="auto" w:before="0" w:after="0"/>
        <w:ind w:left="544" w:right="0" w:hanging="282"/>
        <w:jc w:val="both"/>
        <w:rPr>
          <w:sz w:val="20"/>
        </w:rPr>
      </w:pPr>
      <w:r>
        <w:rPr>
          <w:sz w:val="20"/>
        </w:rPr>
        <w:t>Las</w:t>
      </w:r>
      <w:r>
        <w:rPr>
          <w:spacing w:val="-7"/>
          <w:sz w:val="20"/>
        </w:rPr>
        <w:t> </w:t>
      </w:r>
      <w:r>
        <w:rPr>
          <w:sz w:val="20"/>
        </w:rPr>
        <w:t>cámaras</w:t>
      </w:r>
      <w:r>
        <w:rPr>
          <w:spacing w:val="-4"/>
          <w:sz w:val="20"/>
        </w:rPr>
        <w:t> </w:t>
      </w:r>
      <w:r>
        <w:rPr>
          <w:sz w:val="20"/>
        </w:rPr>
        <w:t>de</w:t>
      </w:r>
      <w:r>
        <w:rPr>
          <w:spacing w:val="-6"/>
          <w:sz w:val="20"/>
        </w:rPr>
        <w:t> </w:t>
      </w:r>
      <w:r>
        <w:rPr>
          <w:sz w:val="20"/>
        </w:rPr>
        <w:t>la</w:t>
      </w:r>
      <w:r>
        <w:rPr>
          <w:spacing w:val="-8"/>
          <w:sz w:val="20"/>
        </w:rPr>
        <w:t> </w:t>
      </w:r>
      <w:r>
        <w:rPr>
          <w:sz w:val="20"/>
        </w:rPr>
        <w:t>construcción,</w:t>
      </w:r>
      <w:r>
        <w:rPr>
          <w:spacing w:val="-7"/>
          <w:sz w:val="20"/>
        </w:rPr>
        <w:t> </w:t>
      </w:r>
      <w:r>
        <w:rPr>
          <w:sz w:val="20"/>
        </w:rPr>
        <w:t>vivienda</w:t>
      </w:r>
      <w:r>
        <w:rPr>
          <w:spacing w:val="-8"/>
          <w:sz w:val="20"/>
        </w:rPr>
        <w:t> </w:t>
      </w:r>
      <w:r>
        <w:rPr>
          <w:sz w:val="20"/>
        </w:rPr>
        <w:t>y</w:t>
      </w:r>
      <w:r>
        <w:rPr>
          <w:spacing w:val="-7"/>
          <w:sz w:val="20"/>
        </w:rPr>
        <w:t> </w:t>
      </w:r>
      <w:r>
        <w:rPr>
          <w:sz w:val="20"/>
        </w:rPr>
        <w:t>servicios</w:t>
      </w:r>
      <w:r>
        <w:rPr>
          <w:spacing w:val="-6"/>
          <w:sz w:val="20"/>
        </w:rPr>
        <w:t> </w:t>
      </w:r>
      <w:r>
        <w:rPr>
          <w:sz w:val="20"/>
        </w:rPr>
        <w:t>con</w:t>
      </w:r>
      <w:r>
        <w:rPr>
          <w:spacing w:val="-9"/>
          <w:sz w:val="20"/>
        </w:rPr>
        <w:t> </w:t>
      </w:r>
      <w:r>
        <w:rPr>
          <w:sz w:val="20"/>
        </w:rPr>
        <w:t>representación</w:t>
      </w:r>
      <w:r>
        <w:rPr>
          <w:spacing w:val="-6"/>
          <w:sz w:val="20"/>
        </w:rPr>
        <w:t> </w:t>
      </w:r>
      <w:r>
        <w:rPr>
          <w:sz w:val="20"/>
        </w:rPr>
        <w:t>en</w:t>
      </w:r>
      <w:r>
        <w:rPr>
          <w:spacing w:val="-7"/>
          <w:sz w:val="20"/>
        </w:rPr>
        <w:t> </w:t>
      </w:r>
      <w:r>
        <w:rPr>
          <w:sz w:val="20"/>
        </w:rPr>
        <w:t>el</w:t>
      </w:r>
      <w:r>
        <w:rPr>
          <w:spacing w:val="-6"/>
          <w:sz w:val="20"/>
        </w:rPr>
        <w:t> </w:t>
      </w:r>
      <w:r>
        <w:rPr>
          <w:spacing w:val="-2"/>
          <w:sz w:val="20"/>
        </w:rPr>
        <w:t>municipio.</w:t>
      </w:r>
    </w:p>
    <w:p>
      <w:pPr>
        <w:pStyle w:val="BodyText"/>
        <w:spacing w:before="1"/>
      </w:pPr>
    </w:p>
    <w:p>
      <w:pPr>
        <w:spacing w:line="229" w:lineRule="exact" w:before="0"/>
        <w:ind w:left="262" w:right="0" w:firstLine="0"/>
        <w:jc w:val="both"/>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5"/>
          <w:sz w:val="20"/>
        </w:rPr>
        <w:t> </w:t>
      </w:r>
      <w:r>
        <w:rPr>
          <w:rFonts w:ascii="Arial"/>
          <w:i/>
          <w:sz w:val="20"/>
        </w:rPr>
        <w:t>25</w:t>
      </w:r>
      <w:r>
        <w:rPr>
          <w:rFonts w:ascii="Arial"/>
          <w:i/>
          <w:spacing w:val="-4"/>
          <w:sz w:val="20"/>
        </w:rPr>
        <w:t> </w:t>
      </w:r>
      <w:r>
        <w:rPr>
          <w:rFonts w:ascii="Arial"/>
          <w:i/>
          <w:sz w:val="20"/>
        </w:rPr>
        <w:t>DE</w:t>
      </w:r>
      <w:r>
        <w:rPr>
          <w:rFonts w:ascii="Arial"/>
          <w:i/>
          <w:spacing w:val="-5"/>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ListParagraph"/>
        <w:numPr>
          <w:ilvl w:val="1"/>
          <w:numId w:val="19"/>
        </w:numPr>
        <w:tabs>
          <w:tab w:pos="544" w:val="left" w:leader="none"/>
        </w:tabs>
        <w:spacing w:line="240" w:lineRule="auto" w:before="0" w:after="0"/>
        <w:ind w:left="262" w:right="276" w:firstLine="0"/>
        <w:jc w:val="both"/>
        <w:rPr>
          <w:sz w:val="20"/>
        </w:rPr>
      </w:pPr>
      <w:r>
        <w:rPr>
          <w:sz w:val="20"/>
        </w:rPr>
        <w:t>Los organismos no gubernamentales, asociaciones y organizaciones populares así como las instituciones educativas y de investigación que tengan presencia en el municipio y</w:t>
      </w:r>
      <w:r>
        <w:rPr>
          <w:spacing w:val="40"/>
          <w:sz w:val="20"/>
        </w:rPr>
        <w:t> </w:t>
      </w:r>
      <w:r>
        <w:rPr>
          <w:sz w:val="20"/>
        </w:rPr>
        <w:t>sus actividades se relacionen con el desarrollo urbano y la vivienda; en su ausencia, se podrán incorporar representantes de estas instituciones que tengan presencia en la región del estado a la que pertenezca el municipio.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6"/>
        <w:jc w:val="both"/>
      </w:pPr>
      <w:r>
        <w:rPr/>
        <w:t>Cada uno de los miembros del Consejo contará con un suplente que será designado por la dependencia, entidad o agrupación respectiva. Las ausencias del Presidente del Consejo serán suplidas por el Secretario Técnico del mismo.</w:t>
      </w:r>
    </w:p>
    <w:p>
      <w:pPr>
        <w:pStyle w:val="BodyText"/>
        <w:spacing w:before="230"/>
        <w:ind w:left="262" w:right="287"/>
        <w:jc w:val="both"/>
      </w:pPr>
      <w:r>
        <w:rPr/>
        <w:t>Para la</w:t>
      </w:r>
      <w:r>
        <w:rPr>
          <w:spacing w:val="-1"/>
        </w:rPr>
        <w:t> </w:t>
      </w:r>
      <w:r>
        <w:rPr/>
        <w:t>conformación</w:t>
      </w:r>
      <w:r>
        <w:rPr>
          <w:spacing w:val="-1"/>
        </w:rPr>
        <w:t> </w:t>
      </w:r>
      <w:r>
        <w:rPr/>
        <w:t>del</w:t>
      </w:r>
      <w:r>
        <w:rPr>
          <w:spacing w:val="-1"/>
        </w:rPr>
        <w:t> </w:t>
      </w:r>
      <w:r>
        <w:rPr/>
        <w:t>Consejo</w:t>
      </w:r>
      <w:r>
        <w:rPr>
          <w:spacing w:val="-1"/>
        </w:rPr>
        <w:t> </w:t>
      </w:r>
      <w:r>
        <w:rPr/>
        <w:t>se</w:t>
      </w:r>
      <w:r>
        <w:rPr>
          <w:spacing w:val="-1"/>
        </w:rPr>
        <w:t> </w:t>
      </w:r>
      <w:r>
        <w:rPr/>
        <w:t>implementarán mecanismos tendentes a</w:t>
      </w:r>
      <w:r>
        <w:rPr>
          <w:spacing w:val="-1"/>
        </w:rPr>
        <w:t> </w:t>
      </w:r>
      <w:r>
        <w:rPr/>
        <w:t>alcanzar la igualdad de género entre sus integrantes.</w:t>
      </w:r>
    </w:p>
    <w:p>
      <w:pPr>
        <w:pStyle w:val="BodyText"/>
        <w:ind w:left="262"/>
        <w:jc w:val="both"/>
      </w:pPr>
      <w:r>
        <w:rPr/>
        <w:t>El</w:t>
      </w:r>
      <w:r>
        <w:rPr>
          <w:spacing w:val="-6"/>
        </w:rPr>
        <w:t> </w:t>
      </w:r>
      <w:r>
        <w:rPr/>
        <w:t>desempeño</w:t>
      </w:r>
      <w:r>
        <w:rPr>
          <w:spacing w:val="-6"/>
        </w:rPr>
        <w:t> </w:t>
      </w:r>
      <w:r>
        <w:rPr/>
        <w:t>de</w:t>
      </w:r>
      <w:r>
        <w:rPr>
          <w:spacing w:val="-6"/>
        </w:rPr>
        <w:t> </w:t>
      </w:r>
      <w:r>
        <w:rPr/>
        <w:t>los</w:t>
      </w:r>
      <w:r>
        <w:rPr>
          <w:spacing w:val="-5"/>
        </w:rPr>
        <w:t> </w:t>
      </w:r>
      <w:r>
        <w:rPr/>
        <w:t>cargos</w:t>
      </w:r>
      <w:r>
        <w:rPr>
          <w:spacing w:val="-5"/>
        </w:rPr>
        <w:t> </w:t>
      </w:r>
      <w:r>
        <w:rPr/>
        <w:t>a</w:t>
      </w:r>
      <w:r>
        <w:rPr>
          <w:spacing w:val="-7"/>
        </w:rPr>
        <w:t> </w:t>
      </w:r>
      <w:r>
        <w:rPr/>
        <w:t>que</w:t>
      </w:r>
      <w:r>
        <w:rPr>
          <w:spacing w:val="-4"/>
        </w:rPr>
        <w:t> </w:t>
      </w:r>
      <w:r>
        <w:rPr/>
        <w:t>se</w:t>
      </w:r>
      <w:r>
        <w:rPr>
          <w:spacing w:val="-6"/>
        </w:rPr>
        <w:t> </w:t>
      </w:r>
      <w:r>
        <w:rPr/>
        <w:t>refiere</w:t>
      </w:r>
      <w:r>
        <w:rPr>
          <w:spacing w:val="-6"/>
        </w:rPr>
        <w:t> </w:t>
      </w:r>
      <w:r>
        <w:rPr/>
        <w:t>este</w:t>
      </w:r>
      <w:r>
        <w:rPr>
          <w:spacing w:val="-7"/>
        </w:rPr>
        <w:t> </w:t>
      </w:r>
      <w:r>
        <w:rPr/>
        <w:t>artículo</w:t>
      </w:r>
      <w:r>
        <w:rPr>
          <w:spacing w:val="-6"/>
        </w:rPr>
        <w:t> </w:t>
      </w:r>
      <w:r>
        <w:rPr/>
        <w:t>será</w:t>
      </w:r>
      <w:r>
        <w:rPr>
          <w:spacing w:val="-3"/>
        </w:rPr>
        <w:t> </w:t>
      </w:r>
      <w:r>
        <w:rPr>
          <w:spacing w:val="-2"/>
        </w:rPr>
        <w:t>honorífico.</w:t>
      </w:r>
    </w:p>
    <w:p>
      <w:pPr>
        <w:pStyle w:val="BodyText"/>
        <w:spacing w:before="1"/>
      </w:pPr>
    </w:p>
    <w:p>
      <w:pPr>
        <w:pStyle w:val="BodyText"/>
        <w:ind w:left="262" w:right="286"/>
        <w:jc w:val="both"/>
      </w:pPr>
      <w:r>
        <w:rPr>
          <w:rFonts w:ascii="Arial" w:hAnsi="Arial"/>
          <w:b/>
        </w:rPr>
        <w:t>ARTÍCULO 33. </w:t>
      </w:r>
      <w:r>
        <w:rPr/>
        <w:t>Los Consejos Municipales tendrán, en la esfera de sus ámbitos territoriales, las funciones siguientes:</w:t>
      </w:r>
    </w:p>
    <w:p>
      <w:pPr>
        <w:pStyle w:val="BodyText"/>
      </w:pPr>
    </w:p>
    <w:p>
      <w:pPr>
        <w:pStyle w:val="BodyText"/>
        <w:ind w:left="262" w:right="279"/>
        <w:jc w:val="both"/>
      </w:pPr>
      <w:r>
        <w:rPr/>
        <w:t>I.-Emitir opiniones y formular propuestas sobre la aplicación y orientación de las políticas de ordenamiento territorial y la planeación del Desarrollo Urbano que respecto al municipio elabore el Estado, así como la planeación regional que elabore la autoridad federal o la entidad federativa cuando en éstos se afecte al territorio de sus municipios;</w:t>
      </w:r>
    </w:p>
    <w:p>
      <w:pPr>
        <w:pStyle w:val="BodyText"/>
        <w:spacing w:before="229"/>
        <w:ind w:left="262" w:right="285"/>
        <w:jc w:val="both"/>
      </w:pPr>
      <w:r>
        <w:rPr/>
        <w:t>II.-Impulsar</w:t>
      </w:r>
      <w:r>
        <w:rPr>
          <w:spacing w:val="-12"/>
        </w:rPr>
        <w:t> </w:t>
      </w:r>
      <w:r>
        <w:rPr/>
        <w:t>la</w:t>
      </w:r>
      <w:r>
        <w:rPr>
          <w:spacing w:val="-12"/>
        </w:rPr>
        <w:t> </w:t>
      </w:r>
      <w:r>
        <w:rPr/>
        <w:t>participación</w:t>
      </w:r>
      <w:r>
        <w:rPr>
          <w:spacing w:val="-11"/>
        </w:rPr>
        <w:t> </w:t>
      </w:r>
      <w:r>
        <w:rPr/>
        <w:t>ciudadana</w:t>
      </w:r>
      <w:r>
        <w:rPr>
          <w:spacing w:val="-12"/>
        </w:rPr>
        <w:t> </w:t>
      </w:r>
      <w:r>
        <w:rPr/>
        <w:t>y</w:t>
      </w:r>
      <w:r>
        <w:rPr>
          <w:spacing w:val="-12"/>
        </w:rPr>
        <w:t> </w:t>
      </w:r>
      <w:r>
        <w:rPr/>
        <w:t>de</w:t>
      </w:r>
      <w:r>
        <w:rPr>
          <w:spacing w:val="-11"/>
        </w:rPr>
        <w:t> </w:t>
      </w:r>
      <w:r>
        <w:rPr/>
        <w:t>las</w:t>
      </w:r>
      <w:r>
        <w:rPr>
          <w:spacing w:val="-10"/>
        </w:rPr>
        <w:t> </w:t>
      </w:r>
      <w:r>
        <w:rPr/>
        <w:t>organizaciones</w:t>
      </w:r>
      <w:r>
        <w:rPr>
          <w:spacing w:val="-12"/>
        </w:rPr>
        <w:t> </w:t>
      </w:r>
      <w:r>
        <w:rPr/>
        <w:t>sociales</w:t>
      </w:r>
      <w:r>
        <w:rPr>
          <w:spacing w:val="-12"/>
        </w:rPr>
        <w:t> </w:t>
      </w:r>
      <w:r>
        <w:rPr/>
        <w:t>en</w:t>
      </w:r>
      <w:r>
        <w:rPr>
          <w:spacing w:val="-12"/>
        </w:rPr>
        <w:t> </w:t>
      </w:r>
      <w:r>
        <w:rPr/>
        <w:t>el</w:t>
      </w:r>
      <w:r>
        <w:rPr>
          <w:spacing w:val="-12"/>
        </w:rPr>
        <w:t> </w:t>
      </w:r>
      <w:r>
        <w:rPr/>
        <w:t>seguimiento,</w:t>
      </w:r>
      <w:r>
        <w:rPr>
          <w:spacing w:val="-13"/>
        </w:rPr>
        <w:t> </w:t>
      </w:r>
      <w:r>
        <w:rPr/>
        <w:t>operación y evaluación de las políticas a que se refiere la fracción anterior;</w:t>
      </w:r>
    </w:p>
    <w:p>
      <w:pPr>
        <w:pStyle w:val="BodyText"/>
        <w:spacing w:before="2"/>
      </w:pPr>
    </w:p>
    <w:p>
      <w:pPr>
        <w:pStyle w:val="BodyText"/>
        <w:ind w:left="262"/>
        <w:jc w:val="both"/>
      </w:pPr>
      <w:r>
        <w:rPr>
          <w:spacing w:val="-2"/>
        </w:rPr>
        <w:t>III</w:t>
      </w:r>
      <w:r>
        <w:rPr>
          <w:spacing w:val="-8"/>
        </w:rPr>
        <w:t> </w:t>
      </w:r>
      <w:r>
        <w:rPr>
          <w:spacing w:val="-2"/>
        </w:rPr>
        <w:t>Apoyar</w:t>
      </w:r>
      <w:r>
        <w:rPr>
          <w:spacing w:val="-7"/>
        </w:rPr>
        <w:t> </w:t>
      </w:r>
      <w:r>
        <w:rPr>
          <w:spacing w:val="-2"/>
        </w:rPr>
        <w:t>a</w:t>
      </w:r>
      <w:r>
        <w:rPr>
          <w:spacing w:val="-4"/>
        </w:rPr>
        <w:t> </w:t>
      </w:r>
      <w:r>
        <w:rPr>
          <w:spacing w:val="-2"/>
        </w:rPr>
        <w:t>las</w:t>
      </w:r>
      <w:r>
        <w:rPr>
          <w:spacing w:val="-4"/>
        </w:rPr>
        <w:t> </w:t>
      </w:r>
      <w:r>
        <w:rPr>
          <w:spacing w:val="-2"/>
        </w:rPr>
        <w:t>autoridades</w:t>
      </w:r>
      <w:r>
        <w:rPr>
          <w:spacing w:val="-3"/>
        </w:rPr>
        <w:t> </w:t>
      </w:r>
      <w:r>
        <w:rPr>
          <w:spacing w:val="-2"/>
        </w:rPr>
        <w:t>en</w:t>
      </w:r>
      <w:r>
        <w:rPr>
          <w:spacing w:val="-8"/>
        </w:rPr>
        <w:t> </w:t>
      </w:r>
      <w:r>
        <w:rPr>
          <w:spacing w:val="-2"/>
        </w:rPr>
        <w:t>la</w:t>
      </w:r>
      <w:r>
        <w:rPr>
          <w:spacing w:val="-7"/>
        </w:rPr>
        <w:t> </w:t>
      </w:r>
      <w:r>
        <w:rPr>
          <w:spacing w:val="-2"/>
        </w:rPr>
        <w:t>promoción,</w:t>
      </w:r>
      <w:r>
        <w:rPr>
          <w:spacing w:val="-5"/>
        </w:rPr>
        <w:t> </w:t>
      </w:r>
      <w:r>
        <w:rPr>
          <w:spacing w:val="-2"/>
        </w:rPr>
        <w:t>difusión</w:t>
      </w:r>
      <w:r>
        <w:rPr>
          <w:spacing w:val="-7"/>
        </w:rPr>
        <w:t> </w:t>
      </w:r>
      <w:r>
        <w:rPr>
          <w:spacing w:val="-2"/>
        </w:rPr>
        <w:t>y</w:t>
      </w:r>
      <w:r>
        <w:rPr>
          <w:spacing w:val="-4"/>
        </w:rPr>
        <w:t> </w:t>
      </w:r>
      <w:r>
        <w:rPr>
          <w:spacing w:val="-2"/>
        </w:rPr>
        <w:t>cumplimiento</w:t>
      </w:r>
      <w:r>
        <w:rPr>
          <w:spacing w:val="-5"/>
        </w:rPr>
        <w:t> </w:t>
      </w:r>
      <w:r>
        <w:rPr>
          <w:spacing w:val="-2"/>
        </w:rPr>
        <w:t>de</w:t>
      </w:r>
      <w:r>
        <w:rPr>
          <w:spacing w:val="-6"/>
        </w:rPr>
        <w:t> </w:t>
      </w:r>
      <w:r>
        <w:rPr>
          <w:spacing w:val="-2"/>
        </w:rPr>
        <w:t>los</w:t>
      </w:r>
      <w:r>
        <w:rPr>
          <w:spacing w:val="-7"/>
        </w:rPr>
        <w:t> </w:t>
      </w:r>
      <w:r>
        <w:rPr>
          <w:spacing w:val="-2"/>
        </w:rPr>
        <w:t>programas</w:t>
      </w:r>
      <w:r>
        <w:rPr>
          <w:spacing w:val="-5"/>
        </w:rPr>
        <w:t> </w:t>
      </w:r>
      <w:r>
        <w:rPr>
          <w:spacing w:val="-2"/>
        </w:rPr>
        <w:t>de</w:t>
      </w:r>
      <w:r>
        <w:rPr>
          <w:spacing w:val="-6"/>
        </w:rPr>
        <w:t> </w:t>
      </w:r>
      <w:r>
        <w:rPr>
          <w:spacing w:val="-2"/>
        </w:rPr>
        <w:t>la</w:t>
      </w:r>
      <w:r>
        <w:rPr>
          <w:spacing w:val="-5"/>
        </w:rPr>
        <w:t> </w:t>
      </w:r>
      <w:r>
        <w:rPr>
          <w:spacing w:val="-2"/>
        </w:rPr>
        <w:t>materia;</w:t>
      </w:r>
    </w:p>
    <w:p>
      <w:pPr>
        <w:pStyle w:val="BodyText"/>
        <w:spacing w:before="228"/>
        <w:ind w:left="262" w:right="287"/>
        <w:jc w:val="both"/>
      </w:pPr>
      <w:r>
        <w:rPr/>
        <w:t>IV.-Proponer a las autoridades de los tres órdenes de gobierno los temas que por su importancia ameriten ser sometidos a consulta pública;</w:t>
      </w:r>
    </w:p>
    <w:p>
      <w:pPr>
        <w:pStyle w:val="BodyText"/>
        <w:spacing w:before="2"/>
      </w:pPr>
    </w:p>
    <w:p>
      <w:pPr>
        <w:pStyle w:val="BodyText"/>
        <w:ind w:left="262" w:right="289"/>
        <w:jc w:val="both"/>
      </w:pPr>
      <w:r>
        <w:rPr/>
        <w:t>V.-Proponer a las autoridades de los tres órdenes de gobierno las políticas, programas, estudios y acciones específicas en materia de ordenamiento territorial y Desarrollo Urbano;</w:t>
      </w:r>
    </w:p>
    <w:p>
      <w:pPr>
        <w:pStyle w:val="BodyText"/>
        <w:spacing w:before="229"/>
        <w:ind w:left="262" w:right="287"/>
        <w:jc w:val="both"/>
      </w:pPr>
      <w:r>
        <w:rPr/>
        <w:t>VI.-Evaluar periódicamente los resultados de las estrategias, políticas, programas, proyectos estratégicos, estudios y acciones específicas en la materia;</w:t>
      </w:r>
    </w:p>
    <w:p>
      <w:pPr>
        <w:pStyle w:val="BodyText"/>
        <w:spacing w:before="1"/>
      </w:pPr>
    </w:p>
    <w:p>
      <w:pPr>
        <w:pStyle w:val="BodyText"/>
        <w:ind w:left="262" w:right="286"/>
        <w:jc w:val="both"/>
      </w:pPr>
      <w:r>
        <w:rPr/>
        <w:t>VII.- Proponer y propiciar la colaboración de organismos públicos y privados, nacionales o extranjeros, en el ordenamiento territorial y el Desarrollo Urbano;</w:t>
      </w:r>
    </w:p>
    <w:p>
      <w:pPr>
        <w:pStyle w:val="BodyText"/>
        <w:spacing w:before="229"/>
        <w:ind w:left="262" w:right="287"/>
        <w:jc w:val="both"/>
      </w:pPr>
      <w:r>
        <w:rPr/>
        <w:t>VIII.- Proponer a las autoridades competentes la realización de estudios e investigaciones en la </w:t>
      </w:r>
      <w:r>
        <w:rPr>
          <w:spacing w:val="-2"/>
        </w:rPr>
        <w:t>materia;</w:t>
      </w:r>
    </w:p>
    <w:p>
      <w:pPr>
        <w:pStyle w:val="BodyText"/>
        <w:spacing w:before="1"/>
      </w:pPr>
    </w:p>
    <w:p>
      <w:pPr>
        <w:pStyle w:val="BodyText"/>
        <w:ind w:left="262" w:right="286"/>
        <w:jc w:val="both"/>
      </w:pPr>
      <w:r>
        <w:rPr/>
        <w:t>IX.-</w:t>
      </w:r>
      <w:r>
        <w:rPr>
          <w:spacing w:val="-11"/>
        </w:rPr>
        <w:t> </w:t>
      </w:r>
      <w:r>
        <w:rPr/>
        <w:t>Recomendar</w:t>
      </w:r>
      <w:r>
        <w:rPr>
          <w:spacing w:val="-11"/>
        </w:rPr>
        <w:t> </w:t>
      </w:r>
      <w:r>
        <w:rPr/>
        <w:t>a</w:t>
      </w:r>
      <w:r>
        <w:rPr>
          <w:spacing w:val="-10"/>
        </w:rPr>
        <w:t> </w:t>
      </w:r>
      <w:r>
        <w:rPr/>
        <w:t>las</w:t>
      </w:r>
      <w:r>
        <w:rPr>
          <w:spacing w:val="-11"/>
        </w:rPr>
        <w:t> </w:t>
      </w:r>
      <w:r>
        <w:rPr/>
        <w:t>autoridades</w:t>
      </w:r>
      <w:r>
        <w:rPr>
          <w:spacing w:val="-11"/>
        </w:rPr>
        <w:t> </w:t>
      </w:r>
      <w:r>
        <w:rPr/>
        <w:t>competentes</w:t>
      </w:r>
      <w:r>
        <w:rPr>
          <w:spacing w:val="-9"/>
        </w:rPr>
        <w:t> </w:t>
      </w:r>
      <w:r>
        <w:rPr/>
        <w:t>la</w:t>
      </w:r>
      <w:r>
        <w:rPr>
          <w:spacing w:val="-12"/>
        </w:rPr>
        <w:t> </w:t>
      </w:r>
      <w:r>
        <w:rPr/>
        <w:t>realización</w:t>
      </w:r>
      <w:r>
        <w:rPr>
          <w:spacing w:val="-11"/>
        </w:rPr>
        <w:t> </w:t>
      </w:r>
      <w:r>
        <w:rPr/>
        <w:t>de</w:t>
      </w:r>
      <w:r>
        <w:rPr>
          <w:spacing w:val="-10"/>
        </w:rPr>
        <w:t> </w:t>
      </w:r>
      <w:r>
        <w:rPr/>
        <w:t>auditorías</w:t>
      </w:r>
      <w:r>
        <w:rPr>
          <w:spacing w:val="-11"/>
        </w:rPr>
        <w:t> </w:t>
      </w:r>
      <w:r>
        <w:rPr/>
        <w:t>a</w:t>
      </w:r>
      <w:r>
        <w:rPr>
          <w:spacing w:val="-10"/>
        </w:rPr>
        <w:t> </w:t>
      </w:r>
      <w:r>
        <w:rPr/>
        <w:t>programas</w:t>
      </w:r>
      <w:r>
        <w:rPr>
          <w:spacing w:val="-11"/>
        </w:rPr>
        <w:t> </w:t>
      </w:r>
      <w:r>
        <w:rPr/>
        <w:t>prioritarios cuando existan causas que lo ameriten;</w:t>
      </w:r>
    </w:p>
    <w:p>
      <w:pPr>
        <w:pStyle w:val="BodyText"/>
        <w:spacing w:before="229"/>
        <w:ind w:left="262" w:right="278"/>
        <w:jc w:val="both"/>
      </w:pPr>
      <w:r>
        <w:rPr/>
        <w:t>X.- Promover la celebración de convenios con dependencias o entidades de la Administración Pública Federal, del Estado y de otras entidades federativas y de municipios, así como con organizaciones del sector privado, para la instrumentación de los programas relacionados con la </w:t>
      </w:r>
      <w:r>
        <w:rPr>
          <w:spacing w:val="-2"/>
        </w:rPr>
        <w:t>materia;</w:t>
      </w:r>
    </w:p>
    <w:p>
      <w:pPr>
        <w:pStyle w:val="BodyText"/>
      </w:pPr>
    </w:p>
    <w:p>
      <w:pPr>
        <w:pStyle w:val="BodyText"/>
        <w:ind w:left="262" w:right="289"/>
        <w:jc w:val="both"/>
      </w:pPr>
      <w:r>
        <w:rPr/>
        <w:t>XI.-Informar a la opinión pública sobre los aspectos de interés general relativos a las políticas de ordenamiento territorial y planeación del Desarrollo Urbano;</w:t>
      </w:r>
    </w:p>
    <w:p>
      <w:pPr>
        <w:pStyle w:val="BodyText"/>
        <w:spacing w:before="1"/>
      </w:pPr>
    </w:p>
    <w:p>
      <w:pPr>
        <w:pStyle w:val="BodyText"/>
        <w:ind w:left="262" w:right="288"/>
        <w:jc w:val="both"/>
      </w:pPr>
      <w:r>
        <w:rPr/>
        <w:t>XII.-Integrar las comisiones y grupos de trabajo que sean necesarios para el ejercicio de sus </w:t>
      </w:r>
      <w:r>
        <w:rPr>
          <w:spacing w:val="-2"/>
        </w:rPr>
        <w:t>funciones;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4"/>
        <w:jc w:val="both"/>
      </w:pPr>
      <w:r>
        <w:rPr/>
        <w:t>XIII.-Evaluar</w:t>
      </w:r>
      <w:r>
        <w:rPr>
          <w:spacing w:val="-14"/>
        </w:rPr>
        <w:t> </w:t>
      </w:r>
      <w:r>
        <w:rPr/>
        <w:t>a</w:t>
      </w:r>
      <w:r>
        <w:rPr>
          <w:spacing w:val="-14"/>
        </w:rPr>
        <w:t> </w:t>
      </w:r>
      <w:r>
        <w:rPr/>
        <w:t>través</w:t>
      </w:r>
      <w:r>
        <w:rPr>
          <w:spacing w:val="-14"/>
        </w:rPr>
        <w:t> </w:t>
      </w:r>
      <w:r>
        <w:rPr/>
        <w:t>de</w:t>
      </w:r>
      <w:r>
        <w:rPr>
          <w:spacing w:val="-14"/>
        </w:rPr>
        <w:t> </w:t>
      </w:r>
      <w:r>
        <w:rPr/>
        <w:t>indicadores</w:t>
      </w:r>
      <w:r>
        <w:rPr>
          <w:spacing w:val="-13"/>
        </w:rPr>
        <w:t> </w:t>
      </w:r>
      <w:r>
        <w:rPr/>
        <w:t>periódicos</w:t>
      </w:r>
      <w:r>
        <w:rPr>
          <w:spacing w:val="-13"/>
        </w:rPr>
        <w:t> </w:t>
      </w:r>
      <w:r>
        <w:rPr/>
        <w:t>de</w:t>
      </w:r>
      <w:r>
        <w:rPr>
          <w:spacing w:val="-13"/>
        </w:rPr>
        <w:t> </w:t>
      </w:r>
      <w:r>
        <w:rPr/>
        <w:t>gestión,</w:t>
      </w:r>
      <w:r>
        <w:rPr>
          <w:spacing w:val="-14"/>
        </w:rPr>
        <w:t> </w:t>
      </w:r>
      <w:r>
        <w:rPr/>
        <w:t>que</w:t>
      </w:r>
      <w:r>
        <w:rPr>
          <w:spacing w:val="-14"/>
        </w:rPr>
        <w:t> </w:t>
      </w:r>
      <w:r>
        <w:rPr/>
        <w:t>deberán</w:t>
      </w:r>
      <w:r>
        <w:rPr>
          <w:spacing w:val="-14"/>
        </w:rPr>
        <w:t> </w:t>
      </w:r>
      <w:r>
        <w:rPr/>
        <w:t>hacerse</w:t>
      </w:r>
      <w:r>
        <w:rPr>
          <w:spacing w:val="-14"/>
        </w:rPr>
        <w:t> </w:t>
      </w:r>
      <w:r>
        <w:rPr/>
        <w:t>públicos,</w:t>
      </w:r>
      <w:r>
        <w:rPr>
          <w:spacing w:val="-14"/>
        </w:rPr>
        <w:t> </w:t>
      </w:r>
      <w:r>
        <w:rPr/>
        <w:t>el</w:t>
      </w:r>
      <w:r>
        <w:rPr>
          <w:spacing w:val="-12"/>
        </w:rPr>
        <w:t> </w:t>
      </w:r>
      <w:r>
        <w:rPr/>
        <w:t>trabajo, desempeño y los resultados del Instituto Municipal de Planeación cuando éste se encuentre </w:t>
      </w:r>
      <w:r>
        <w:rPr>
          <w:spacing w:val="-2"/>
        </w:rPr>
        <w:t>constituido;</w:t>
      </w:r>
    </w:p>
    <w:p>
      <w:pPr>
        <w:spacing w:before="230"/>
        <w:ind w:left="262" w:right="0" w:firstLine="0"/>
        <w:jc w:val="both"/>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6"/>
          <w:sz w:val="20"/>
        </w:rPr>
        <w:t> </w:t>
      </w:r>
      <w:r>
        <w:rPr>
          <w:rFonts w:ascii="Arial"/>
          <w:i/>
          <w:sz w:val="20"/>
        </w:rPr>
        <w:t>04</w:t>
      </w:r>
      <w:r>
        <w:rPr>
          <w:rFonts w:ascii="Arial"/>
          <w:i/>
          <w:spacing w:val="-9"/>
          <w:sz w:val="20"/>
        </w:rPr>
        <w:t> </w:t>
      </w:r>
      <w:r>
        <w:rPr>
          <w:rFonts w:ascii="Arial"/>
          <w:i/>
          <w:sz w:val="20"/>
        </w:rPr>
        <w:t>NOVIEMBRE</w:t>
      </w:r>
      <w:r>
        <w:rPr>
          <w:rFonts w:ascii="Arial"/>
          <w:i/>
          <w:spacing w:val="-8"/>
          <w:sz w:val="20"/>
        </w:rPr>
        <w:t> </w:t>
      </w:r>
      <w:r>
        <w:rPr>
          <w:rFonts w:ascii="Arial"/>
          <w:i/>
          <w:sz w:val="20"/>
        </w:rPr>
        <w:t>DE</w:t>
      </w:r>
      <w:r>
        <w:rPr>
          <w:rFonts w:ascii="Arial"/>
          <w:i/>
          <w:spacing w:val="-7"/>
          <w:sz w:val="20"/>
        </w:rPr>
        <w:t> </w:t>
      </w:r>
      <w:r>
        <w:rPr>
          <w:rFonts w:ascii="Arial"/>
          <w:i/>
          <w:spacing w:val="-4"/>
          <w:sz w:val="20"/>
        </w:rPr>
        <w:t>2022)</w:t>
      </w:r>
    </w:p>
    <w:p>
      <w:pPr>
        <w:pStyle w:val="BodyText"/>
        <w:ind w:left="262"/>
        <w:jc w:val="both"/>
      </w:pPr>
      <w:r>
        <w:rPr/>
        <w:t>XIV.-</w:t>
      </w:r>
      <w:r>
        <w:rPr>
          <w:spacing w:val="-7"/>
        </w:rPr>
        <w:t> </w:t>
      </w:r>
      <w:r>
        <w:rPr/>
        <w:t>Expedir</w:t>
      </w:r>
      <w:r>
        <w:rPr>
          <w:spacing w:val="-7"/>
        </w:rPr>
        <w:t> </w:t>
      </w:r>
      <w:r>
        <w:rPr/>
        <w:t>su</w:t>
      </w:r>
      <w:r>
        <w:rPr>
          <w:spacing w:val="-9"/>
        </w:rPr>
        <w:t> </w:t>
      </w:r>
      <w:r>
        <w:rPr/>
        <w:t>Reglamento</w:t>
      </w:r>
      <w:r>
        <w:rPr>
          <w:spacing w:val="-10"/>
        </w:rPr>
        <w:t> </w:t>
      </w:r>
      <w:r>
        <w:rPr>
          <w:spacing w:val="-2"/>
        </w:rPr>
        <w:t>Interno;</w:t>
      </w:r>
    </w:p>
    <w:p>
      <w:pPr>
        <w:pStyle w:val="BodyText"/>
        <w:spacing w:before="1"/>
      </w:pPr>
    </w:p>
    <w:p>
      <w:pPr>
        <w:spacing w:before="0"/>
        <w:ind w:left="262" w:right="0" w:firstLine="0"/>
        <w:jc w:val="both"/>
        <w:rPr>
          <w:rFonts w:ascii="Arial"/>
          <w:i/>
          <w:sz w:val="20"/>
        </w:rPr>
      </w:pPr>
      <w:r>
        <w:rPr>
          <w:rFonts w:ascii="Arial"/>
          <w:i/>
          <w:sz w:val="20"/>
        </w:rPr>
        <w:t>(ADICIONADA,</w:t>
      </w:r>
      <w:r>
        <w:rPr>
          <w:rFonts w:ascii="Arial"/>
          <w:i/>
          <w:spacing w:val="-8"/>
          <w:sz w:val="20"/>
        </w:rPr>
        <w:t> </w:t>
      </w:r>
      <w:r>
        <w:rPr>
          <w:rFonts w:ascii="Arial"/>
          <w:i/>
          <w:sz w:val="20"/>
        </w:rPr>
        <w:t>P.O.</w:t>
      </w:r>
      <w:r>
        <w:rPr>
          <w:rFonts w:ascii="Arial"/>
          <w:i/>
          <w:spacing w:val="-6"/>
          <w:sz w:val="20"/>
        </w:rPr>
        <w:t> </w:t>
      </w:r>
      <w:r>
        <w:rPr>
          <w:rFonts w:ascii="Arial"/>
          <w:i/>
          <w:sz w:val="20"/>
        </w:rPr>
        <w:t>04</w:t>
      </w:r>
      <w:r>
        <w:rPr>
          <w:rFonts w:ascii="Arial"/>
          <w:i/>
          <w:spacing w:val="-6"/>
          <w:sz w:val="20"/>
        </w:rPr>
        <w:t> </w:t>
      </w:r>
      <w:r>
        <w:rPr>
          <w:rFonts w:ascii="Arial"/>
          <w:i/>
          <w:sz w:val="20"/>
        </w:rPr>
        <w:t>NOVIEMBRE</w:t>
      </w:r>
      <w:r>
        <w:rPr>
          <w:rFonts w:ascii="Arial"/>
          <w:i/>
          <w:spacing w:val="-8"/>
          <w:sz w:val="20"/>
        </w:rPr>
        <w:t> </w:t>
      </w:r>
      <w:r>
        <w:rPr>
          <w:rFonts w:ascii="Arial"/>
          <w:i/>
          <w:sz w:val="20"/>
        </w:rPr>
        <w:t>DE</w:t>
      </w:r>
      <w:r>
        <w:rPr>
          <w:rFonts w:ascii="Arial"/>
          <w:i/>
          <w:spacing w:val="-5"/>
          <w:sz w:val="20"/>
        </w:rPr>
        <w:t> </w:t>
      </w:r>
      <w:r>
        <w:rPr>
          <w:rFonts w:ascii="Arial"/>
          <w:i/>
          <w:spacing w:val="-4"/>
          <w:sz w:val="20"/>
        </w:rPr>
        <w:t>2022)</w:t>
      </w:r>
    </w:p>
    <w:p>
      <w:pPr>
        <w:pStyle w:val="BodyText"/>
        <w:ind w:left="262" w:right="259"/>
        <w:jc w:val="both"/>
      </w:pPr>
      <w:r>
        <w:rPr/>
        <w:t>XV.</w:t>
      </w:r>
      <w:r>
        <w:rPr>
          <w:spacing w:val="-14"/>
        </w:rPr>
        <w:t> </w:t>
      </w:r>
      <w:r>
        <w:rPr/>
        <w:t>Manifestar,</w:t>
      </w:r>
      <w:r>
        <w:rPr>
          <w:spacing w:val="-14"/>
        </w:rPr>
        <w:t> </w:t>
      </w:r>
      <w:r>
        <w:rPr/>
        <w:t>en</w:t>
      </w:r>
      <w:r>
        <w:rPr>
          <w:spacing w:val="-14"/>
        </w:rPr>
        <w:t> </w:t>
      </w:r>
      <w:r>
        <w:rPr/>
        <w:t>coordinación</w:t>
      </w:r>
      <w:r>
        <w:rPr>
          <w:spacing w:val="-14"/>
        </w:rPr>
        <w:t> </w:t>
      </w:r>
      <w:r>
        <w:rPr/>
        <w:t>con</w:t>
      </w:r>
      <w:r>
        <w:rPr>
          <w:spacing w:val="-14"/>
        </w:rPr>
        <w:t> </w:t>
      </w:r>
      <w:r>
        <w:rPr/>
        <w:t>el</w:t>
      </w:r>
      <w:r>
        <w:rPr>
          <w:spacing w:val="-14"/>
        </w:rPr>
        <w:t> </w:t>
      </w:r>
      <w:r>
        <w:rPr/>
        <w:t>Consejo</w:t>
      </w:r>
      <w:r>
        <w:rPr>
          <w:spacing w:val="-14"/>
        </w:rPr>
        <w:t> </w:t>
      </w:r>
      <w:r>
        <w:rPr/>
        <w:t>Consultivo</w:t>
      </w:r>
      <w:r>
        <w:rPr>
          <w:spacing w:val="-14"/>
        </w:rPr>
        <w:t> </w:t>
      </w:r>
      <w:r>
        <w:rPr/>
        <w:t>Municipal</w:t>
      </w:r>
      <w:r>
        <w:rPr>
          <w:spacing w:val="-14"/>
        </w:rPr>
        <w:t> </w:t>
      </w:r>
      <w:r>
        <w:rPr/>
        <w:t>de</w:t>
      </w:r>
      <w:r>
        <w:rPr>
          <w:spacing w:val="-13"/>
        </w:rPr>
        <w:t> </w:t>
      </w:r>
      <w:r>
        <w:rPr/>
        <w:t>Medio</w:t>
      </w:r>
      <w:r>
        <w:rPr>
          <w:spacing w:val="-14"/>
        </w:rPr>
        <w:t> </w:t>
      </w:r>
      <w:r>
        <w:rPr/>
        <w:t>Ambiente</w:t>
      </w:r>
      <w:r>
        <w:rPr>
          <w:spacing w:val="-14"/>
        </w:rPr>
        <w:t> </w:t>
      </w:r>
      <w:r>
        <w:rPr/>
        <w:t>y</w:t>
      </w:r>
      <w:r>
        <w:rPr>
          <w:spacing w:val="-14"/>
        </w:rPr>
        <w:t> </w:t>
      </w:r>
      <w:r>
        <w:rPr/>
        <w:t>Desarrollo Sustentable, ante el propio Cabildo, los órganos y dependencias municipales, o cuando le sea solicitada por alguna autoridad estatal o federal, su opinión como instancia de consulta, sobre los impactos</w:t>
      </w:r>
      <w:r>
        <w:rPr>
          <w:spacing w:val="-7"/>
        </w:rPr>
        <w:t> </w:t>
      </w:r>
      <w:r>
        <w:rPr/>
        <w:t>ambientales</w:t>
      </w:r>
      <w:r>
        <w:rPr>
          <w:spacing w:val="-7"/>
        </w:rPr>
        <w:t> </w:t>
      </w:r>
      <w:r>
        <w:rPr/>
        <w:t>de</w:t>
      </w:r>
      <w:r>
        <w:rPr>
          <w:spacing w:val="-8"/>
        </w:rPr>
        <w:t> </w:t>
      </w:r>
      <w:r>
        <w:rPr/>
        <w:t>las</w:t>
      </w:r>
      <w:r>
        <w:rPr>
          <w:spacing w:val="-6"/>
        </w:rPr>
        <w:t> </w:t>
      </w:r>
      <w:r>
        <w:rPr/>
        <w:t>acciones</w:t>
      </w:r>
      <w:r>
        <w:rPr>
          <w:spacing w:val="-7"/>
        </w:rPr>
        <w:t> </w:t>
      </w:r>
      <w:r>
        <w:rPr/>
        <w:t>y</w:t>
      </w:r>
      <w:r>
        <w:rPr>
          <w:spacing w:val="-6"/>
        </w:rPr>
        <w:t> </w:t>
      </w:r>
      <w:r>
        <w:rPr/>
        <w:t>políticas</w:t>
      </w:r>
      <w:r>
        <w:rPr>
          <w:spacing w:val="-7"/>
        </w:rPr>
        <w:t> </w:t>
      </w:r>
      <w:r>
        <w:rPr/>
        <w:t>en</w:t>
      </w:r>
      <w:r>
        <w:rPr>
          <w:spacing w:val="-8"/>
        </w:rPr>
        <w:t> </w:t>
      </w:r>
      <w:r>
        <w:rPr/>
        <w:t>materia</w:t>
      </w:r>
      <w:r>
        <w:rPr>
          <w:spacing w:val="-5"/>
        </w:rPr>
        <w:t> </w:t>
      </w:r>
      <w:r>
        <w:rPr/>
        <w:t>de</w:t>
      </w:r>
      <w:r>
        <w:rPr>
          <w:spacing w:val="-8"/>
        </w:rPr>
        <w:t> </w:t>
      </w:r>
      <w:r>
        <w:rPr/>
        <w:t>ordenamiento</w:t>
      </w:r>
      <w:r>
        <w:rPr>
          <w:spacing w:val="-8"/>
        </w:rPr>
        <w:t> </w:t>
      </w:r>
      <w:r>
        <w:rPr/>
        <w:t>territorial</w:t>
      </w:r>
      <w:r>
        <w:rPr>
          <w:spacing w:val="-8"/>
        </w:rPr>
        <w:t> </w:t>
      </w:r>
      <w:r>
        <w:rPr/>
        <w:t>y</w:t>
      </w:r>
      <w:r>
        <w:rPr>
          <w:spacing w:val="-6"/>
        </w:rPr>
        <w:t> </w:t>
      </w:r>
      <w:r>
        <w:rPr/>
        <w:t>planeación del desarrollo urbano en la circunscripción territorial del municipio correspondiente. Esta opinión es independiente del dictamen de impacto ambiental que emitan las autoridades competentes, y no tendrá efectos vinculantes, y</w:t>
      </w:r>
    </w:p>
    <w:p>
      <w:pPr>
        <w:pStyle w:val="BodyText"/>
        <w:spacing w:before="229"/>
        <w:ind w:left="262"/>
        <w:jc w:val="both"/>
      </w:pPr>
      <w:r>
        <w:rPr/>
        <w:t>XVI.-</w:t>
      </w:r>
      <w:r>
        <w:rPr>
          <w:spacing w:val="-5"/>
        </w:rPr>
        <w:t> </w:t>
      </w:r>
      <w:r>
        <w:rPr/>
        <w:t>Las</w:t>
      </w:r>
      <w:r>
        <w:rPr>
          <w:spacing w:val="-6"/>
        </w:rPr>
        <w:t> </w:t>
      </w:r>
      <w:r>
        <w:rPr/>
        <w:t>demás</w:t>
      </w:r>
      <w:r>
        <w:rPr>
          <w:spacing w:val="-4"/>
        </w:rPr>
        <w:t> </w:t>
      </w:r>
      <w:r>
        <w:rPr/>
        <w:t>que</w:t>
      </w:r>
      <w:r>
        <w:rPr>
          <w:spacing w:val="-7"/>
        </w:rPr>
        <w:t> </w:t>
      </w:r>
      <w:r>
        <w:rPr/>
        <w:t>sean</w:t>
      </w:r>
      <w:r>
        <w:rPr>
          <w:spacing w:val="-7"/>
        </w:rPr>
        <w:t> </w:t>
      </w:r>
      <w:r>
        <w:rPr/>
        <w:t>necesarias</w:t>
      </w:r>
      <w:r>
        <w:rPr>
          <w:spacing w:val="-4"/>
        </w:rPr>
        <w:t> </w:t>
      </w:r>
      <w:r>
        <w:rPr/>
        <w:t>para</w:t>
      </w:r>
      <w:r>
        <w:rPr>
          <w:spacing w:val="-7"/>
        </w:rPr>
        <w:t> </w:t>
      </w:r>
      <w:r>
        <w:rPr/>
        <w:t>el</w:t>
      </w:r>
      <w:r>
        <w:rPr>
          <w:spacing w:val="-8"/>
        </w:rPr>
        <w:t> </w:t>
      </w:r>
      <w:r>
        <w:rPr/>
        <w:t>cumplimiento</w:t>
      </w:r>
      <w:r>
        <w:rPr>
          <w:spacing w:val="-7"/>
        </w:rPr>
        <w:t> </w:t>
      </w:r>
      <w:r>
        <w:rPr/>
        <w:t>de</w:t>
      </w:r>
      <w:r>
        <w:rPr>
          <w:spacing w:val="-7"/>
        </w:rPr>
        <w:t> </w:t>
      </w:r>
      <w:r>
        <w:rPr/>
        <w:t>su</w:t>
      </w:r>
      <w:r>
        <w:rPr>
          <w:spacing w:val="-7"/>
        </w:rPr>
        <w:t> </w:t>
      </w:r>
      <w:r>
        <w:rPr>
          <w:spacing w:val="-2"/>
        </w:rPr>
        <w:t>objeto.14</w:t>
      </w:r>
    </w:p>
    <w:p>
      <w:pPr>
        <w:pStyle w:val="BodyText"/>
      </w:pPr>
    </w:p>
    <w:p>
      <w:pPr>
        <w:pStyle w:val="BodyText"/>
        <w:spacing w:before="2"/>
      </w:pPr>
    </w:p>
    <w:p>
      <w:pPr>
        <w:spacing w:before="0"/>
        <w:ind w:left="0" w:right="17"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V</w:t>
      </w:r>
    </w:p>
    <w:p>
      <w:pPr>
        <w:spacing w:before="228"/>
        <w:ind w:left="148" w:right="170" w:firstLine="0"/>
        <w:jc w:val="center"/>
        <w:rPr>
          <w:rFonts w:ascii="Arial" w:hAnsi="Arial"/>
          <w:b/>
          <w:sz w:val="20"/>
        </w:rPr>
      </w:pPr>
      <w:r>
        <w:rPr>
          <w:rFonts w:ascii="Arial" w:hAnsi="Arial"/>
          <w:b/>
          <w:sz w:val="20"/>
        </w:rPr>
        <w:t>Instituto</w:t>
      </w:r>
      <w:r>
        <w:rPr>
          <w:rFonts w:ascii="Arial" w:hAnsi="Arial"/>
          <w:b/>
          <w:spacing w:val="-8"/>
          <w:sz w:val="20"/>
        </w:rPr>
        <w:t> </w:t>
      </w:r>
      <w:r>
        <w:rPr>
          <w:rFonts w:ascii="Arial" w:hAnsi="Arial"/>
          <w:b/>
          <w:sz w:val="20"/>
        </w:rPr>
        <w:t>Estatal;</w:t>
      </w:r>
      <w:r>
        <w:rPr>
          <w:rFonts w:ascii="Arial" w:hAnsi="Arial"/>
          <w:b/>
          <w:spacing w:val="-9"/>
          <w:sz w:val="20"/>
        </w:rPr>
        <w:t> </w:t>
      </w:r>
      <w:r>
        <w:rPr>
          <w:rFonts w:ascii="Arial" w:hAnsi="Arial"/>
          <w:b/>
          <w:sz w:val="20"/>
        </w:rPr>
        <w:t>Institutos</w:t>
      </w:r>
      <w:r>
        <w:rPr>
          <w:rFonts w:ascii="Arial" w:hAnsi="Arial"/>
          <w:b/>
          <w:spacing w:val="-8"/>
          <w:sz w:val="20"/>
        </w:rPr>
        <w:t> </w:t>
      </w:r>
      <w:r>
        <w:rPr>
          <w:rFonts w:ascii="Arial" w:hAnsi="Arial"/>
          <w:b/>
          <w:sz w:val="20"/>
        </w:rPr>
        <w:t>Municipales;</w:t>
      </w:r>
      <w:r>
        <w:rPr>
          <w:rFonts w:ascii="Arial" w:hAnsi="Arial"/>
          <w:b/>
          <w:spacing w:val="-8"/>
          <w:sz w:val="20"/>
        </w:rPr>
        <w:t> </w:t>
      </w:r>
      <w:r>
        <w:rPr>
          <w:rFonts w:ascii="Arial" w:hAnsi="Arial"/>
          <w:b/>
          <w:sz w:val="20"/>
        </w:rPr>
        <w:t>e</w:t>
      </w:r>
      <w:r>
        <w:rPr>
          <w:rFonts w:ascii="Arial" w:hAnsi="Arial"/>
          <w:b/>
          <w:spacing w:val="-9"/>
          <w:sz w:val="20"/>
        </w:rPr>
        <w:t> </w:t>
      </w:r>
      <w:r>
        <w:rPr>
          <w:rFonts w:ascii="Arial" w:hAnsi="Arial"/>
          <w:b/>
          <w:sz w:val="20"/>
        </w:rPr>
        <w:t>Institutos</w:t>
      </w:r>
      <w:r>
        <w:rPr>
          <w:rFonts w:ascii="Arial" w:hAnsi="Arial"/>
          <w:b/>
          <w:spacing w:val="-8"/>
          <w:sz w:val="20"/>
        </w:rPr>
        <w:t> </w:t>
      </w:r>
      <w:r>
        <w:rPr>
          <w:rFonts w:ascii="Arial" w:hAnsi="Arial"/>
          <w:b/>
          <w:sz w:val="20"/>
        </w:rPr>
        <w:t>Metropolitanos</w:t>
      </w:r>
      <w:r>
        <w:rPr>
          <w:rFonts w:ascii="Arial" w:hAnsi="Arial"/>
          <w:b/>
          <w:spacing w:val="-9"/>
          <w:sz w:val="20"/>
        </w:rPr>
        <w:t> </w:t>
      </w:r>
      <w:r>
        <w:rPr>
          <w:rFonts w:ascii="Arial" w:hAnsi="Arial"/>
          <w:b/>
          <w:sz w:val="20"/>
        </w:rPr>
        <w:t>de</w:t>
      </w:r>
      <w:r>
        <w:rPr>
          <w:rFonts w:ascii="Arial" w:hAnsi="Arial"/>
          <w:b/>
          <w:spacing w:val="-6"/>
          <w:sz w:val="20"/>
        </w:rPr>
        <w:t> </w:t>
      </w:r>
      <w:r>
        <w:rPr>
          <w:rFonts w:ascii="Arial" w:hAnsi="Arial"/>
          <w:b/>
          <w:sz w:val="20"/>
        </w:rPr>
        <w:t>Planeación</w:t>
      </w:r>
      <w:r>
        <w:rPr>
          <w:rFonts w:ascii="Arial" w:hAnsi="Arial"/>
          <w:b/>
          <w:spacing w:val="-8"/>
          <w:sz w:val="20"/>
        </w:rPr>
        <w:t> </w:t>
      </w:r>
      <w:r>
        <w:rPr>
          <w:rFonts w:ascii="Arial" w:hAnsi="Arial"/>
          <w:b/>
          <w:spacing w:val="-2"/>
          <w:sz w:val="20"/>
        </w:rPr>
        <w:t>Urbana</w:t>
      </w:r>
    </w:p>
    <w:p>
      <w:pPr>
        <w:pStyle w:val="BodyText"/>
        <w:rPr>
          <w:rFonts w:ascii="Arial"/>
          <w:b/>
        </w:rPr>
      </w:pPr>
    </w:p>
    <w:p>
      <w:pPr>
        <w:pStyle w:val="BodyText"/>
        <w:spacing w:before="2"/>
        <w:rPr>
          <w:rFonts w:ascii="Arial"/>
          <w:b/>
        </w:rPr>
      </w:pPr>
    </w:p>
    <w:p>
      <w:pPr>
        <w:spacing w:before="0"/>
        <w:ind w:left="0" w:right="15" w:firstLine="0"/>
        <w:jc w:val="center"/>
        <w:rPr>
          <w:rFonts w:ascii="Arial" w:hAnsi="Arial"/>
          <w:b/>
          <w:sz w:val="20"/>
        </w:rPr>
      </w:pPr>
      <w:r>
        <w:rPr>
          <w:rFonts w:ascii="Arial" w:hAnsi="Arial"/>
          <w:b/>
          <w:sz w:val="20"/>
        </w:rPr>
        <w:t>Sección</w:t>
      </w:r>
      <w:r>
        <w:rPr>
          <w:rFonts w:ascii="Arial" w:hAnsi="Arial"/>
          <w:b/>
          <w:spacing w:val="-9"/>
          <w:sz w:val="20"/>
        </w:rPr>
        <w:t> </w:t>
      </w:r>
      <w:r>
        <w:rPr>
          <w:rFonts w:ascii="Arial" w:hAnsi="Arial"/>
          <w:b/>
          <w:spacing w:val="-2"/>
          <w:sz w:val="20"/>
        </w:rPr>
        <w:t>Primera</w:t>
      </w:r>
    </w:p>
    <w:p>
      <w:pPr>
        <w:pStyle w:val="BodyText"/>
        <w:rPr>
          <w:rFonts w:ascii="Arial"/>
          <w:b/>
        </w:rPr>
      </w:pPr>
    </w:p>
    <w:p>
      <w:pPr>
        <w:spacing w:before="1"/>
        <w:ind w:left="0" w:right="17" w:firstLine="0"/>
        <w:jc w:val="center"/>
        <w:rPr>
          <w:rFonts w:ascii="Arial" w:hAnsi="Arial"/>
          <w:b/>
          <w:sz w:val="20"/>
        </w:rPr>
      </w:pPr>
      <w:r>
        <w:rPr>
          <w:rFonts w:ascii="Arial" w:hAnsi="Arial"/>
          <w:b/>
          <w:sz w:val="20"/>
        </w:rPr>
        <w:t>Instituto</w:t>
      </w:r>
      <w:r>
        <w:rPr>
          <w:rFonts w:ascii="Arial" w:hAnsi="Arial"/>
          <w:b/>
          <w:spacing w:val="-7"/>
          <w:sz w:val="20"/>
        </w:rPr>
        <w:t> </w:t>
      </w:r>
      <w:r>
        <w:rPr>
          <w:rFonts w:ascii="Arial" w:hAnsi="Arial"/>
          <w:b/>
          <w:sz w:val="20"/>
        </w:rPr>
        <w:t>Estatal</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Planeación</w:t>
      </w:r>
      <w:r>
        <w:rPr>
          <w:rFonts w:ascii="Arial" w:hAnsi="Arial"/>
          <w:b/>
          <w:spacing w:val="-7"/>
          <w:sz w:val="20"/>
        </w:rPr>
        <w:t> </w:t>
      </w:r>
      <w:r>
        <w:rPr>
          <w:rFonts w:ascii="Arial" w:hAnsi="Arial"/>
          <w:b/>
          <w:spacing w:val="-2"/>
          <w:sz w:val="20"/>
        </w:rPr>
        <w:t>Urbana</w:t>
      </w:r>
    </w:p>
    <w:p>
      <w:pPr>
        <w:pStyle w:val="BodyText"/>
        <w:spacing w:before="228"/>
        <w:ind w:left="262" w:right="281"/>
        <w:jc w:val="both"/>
      </w:pPr>
      <w:r>
        <w:rPr>
          <w:rFonts w:ascii="Arial" w:hAnsi="Arial"/>
          <w:b/>
        </w:rPr>
        <w:t>ARTÍCULO</w:t>
      </w:r>
      <w:r>
        <w:rPr>
          <w:rFonts w:ascii="Arial" w:hAnsi="Arial"/>
          <w:b/>
          <w:spacing w:val="-5"/>
        </w:rPr>
        <w:t> </w:t>
      </w:r>
      <w:r>
        <w:rPr>
          <w:rFonts w:ascii="Arial" w:hAnsi="Arial"/>
          <w:b/>
        </w:rPr>
        <w:t>34.</w:t>
      </w:r>
      <w:r>
        <w:rPr>
          <w:rFonts w:ascii="Arial" w:hAnsi="Arial"/>
          <w:b/>
          <w:spacing w:val="-6"/>
        </w:rPr>
        <w:t> </w:t>
      </w:r>
      <w:r>
        <w:rPr/>
        <w:t>El</w:t>
      </w:r>
      <w:r>
        <w:rPr>
          <w:spacing w:val="-7"/>
        </w:rPr>
        <w:t> </w:t>
      </w:r>
      <w:r>
        <w:rPr/>
        <w:t>Instituto</w:t>
      </w:r>
      <w:r>
        <w:rPr>
          <w:spacing w:val="-5"/>
        </w:rPr>
        <w:t> </w:t>
      </w:r>
      <w:r>
        <w:rPr/>
        <w:t>Estatal</w:t>
      </w:r>
      <w:r>
        <w:rPr>
          <w:spacing w:val="-7"/>
        </w:rPr>
        <w:t> </w:t>
      </w:r>
      <w:r>
        <w:rPr/>
        <w:t>de</w:t>
      </w:r>
      <w:r>
        <w:rPr>
          <w:spacing w:val="-7"/>
        </w:rPr>
        <w:t> </w:t>
      </w:r>
      <w:r>
        <w:rPr/>
        <w:t>Planeación</w:t>
      </w:r>
      <w:r>
        <w:rPr>
          <w:spacing w:val="-5"/>
        </w:rPr>
        <w:t> </w:t>
      </w:r>
      <w:r>
        <w:rPr/>
        <w:t>Urbana,</w:t>
      </w:r>
      <w:r>
        <w:rPr>
          <w:spacing w:val="-6"/>
        </w:rPr>
        <w:t> </w:t>
      </w:r>
      <w:r>
        <w:rPr/>
        <w:t>se</w:t>
      </w:r>
      <w:r>
        <w:rPr>
          <w:spacing w:val="-7"/>
        </w:rPr>
        <w:t> </w:t>
      </w:r>
      <w:r>
        <w:rPr/>
        <w:t>constituirá</w:t>
      </w:r>
      <w:r>
        <w:rPr>
          <w:spacing w:val="-7"/>
        </w:rPr>
        <w:t> </w:t>
      </w:r>
      <w:r>
        <w:rPr/>
        <w:t>como</w:t>
      </w:r>
      <w:r>
        <w:rPr>
          <w:spacing w:val="-4"/>
        </w:rPr>
        <w:t> </w:t>
      </w:r>
      <w:r>
        <w:rPr/>
        <w:t>un</w:t>
      </w:r>
      <w:r>
        <w:rPr>
          <w:spacing w:val="-5"/>
        </w:rPr>
        <w:t> </w:t>
      </w:r>
      <w:r>
        <w:rPr/>
        <w:t>organismo</w:t>
      </w:r>
      <w:r>
        <w:rPr>
          <w:spacing w:val="-4"/>
        </w:rPr>
        <w:t> </w:t>
      </w:r>
      <w:r>
        <w:rPr/>
        <w:t>público desconcentrado</w:t>
      </w:r>
      <w:r>
        <w:rPr>
          <w:spacing w:val="-1"/>
        </w:rPr>
        <w:t> </w:t>
      </w:r>
      <w:r>
        <w:rPr/>
        <w:t>de la</w:t>
      </w:r>
      <w:r>
        <w:rPr>
          <w:spacing w:val="-1"/>
        </w:rPr>
        <w:t> </w:t>
      </w:r>
      <w:r>
        <w:rPr/>
        <w:t>Secretaria</w:t>
      </w:r>
      <w:r>
        <w:rPr>
          <w:spacing w:val="-1"/>
        </w:rPr>
        <w:t> </w:t>
      </w:r>
      <w:r>
        <w:rPr/>
        <w:t>de</w:t>
      </w:r>
      <w:r>
        <w:rPr>
          <w:spacing w:val="-1"/>
        </w:rPr>
        <w:t> </w:t>
      </w:r>
      <w:r>
        <w:rPr/>
        <w:t>Desarrollo</w:t>
      </w:r>
      <w:r>
        <w:rPr>
          <w:spacing w:val="-1"/>
        </w:rPr>
        <w:t> </w:t>
      </w:r>
      <w:r>
        <w:rPr/>
        <w:t>Urbano,</w:t>
      </w:r>
      <w:r>
        <w:rPr>
          <w:spacing w:val="-1"/>
        </w:rPr>
        <w:t> </w:t>
      </w:r>
      <w:r>
        <w:rPr/>
        <w:t>Vivienda</w:t>
      </w:r>
      <w:r>
        <w:rPr>
          <w:spacing w:val="-1"/>
        </w:rPr>
        <w:t> </w:t>
      </w:r>
      <w:r>
        <w:rPr/>
        <w:t>y Obras Públicas, con</w:t>
      </w:r>
      <w:r>
        <w:rPr>
          <w:spacing w:val="40"/>
        </w:rPr>
        <w:t> </w:t>
      </w:r>
      <w:r>
        <w:rPr/>
        <w:t>autonomía técnica</w:t>
      </w:r>
      <w:r>
        <w:rPr>
          <w:spacing w:val="-11"/>
        </w:rPr>
        <w:t> </w:t>
      </w:r>
      <w:r>
        <w:rPr/>
        <w:t>y</w:t>
      </w:r>
      <w:r>
        <w:rPr>
          <w:spacing w:val="-8"/>
        </w:rPr>
        <w:t> </w:t>
      </w:r>
      <w:r>
        <w:rPr/>
        <w:t>de</w:t>
      </w:r>
      <w:r>
        <w:rPr>
          <w:spacing w:val="-9"/>
        </w:rPr>
        <w:t> </w:t>
      </w:r>
      <w:r>
        <w:rPr/>
        <w:t>gestión</w:t>
      </w:r>
      <w:r>
        <w:rPr>
          <w:spacing w:val="-9"/>
        </w:rPr>
        <w:t> </w:t>
      </w:r>
      <w:r>
        <w:rPr/>
        <w:t>en</w:t>
      </w:r>
      <w:r>
        <w:rPr>
          <w:spacing w:val="-9"/>
        </w:rPr>
        <w:t> </w:t>
      </w:r>
      <w:r>
        <w:rPr/>
        <w:t>la</w:t>
      </w:r>
      <w:r>
        <w:rPr>
          <w:spacing w:val="-9"/>
        </w:rPr>
        <w:t> </w:t>
      </w:r>
      <w:r>
        <w:rPr/>
        <w:t>materia,</w:t>
      </w:r>
      <w:r>
        <w:rPr>
          <w:spacing w:val="-11"/>
        </w:rPr>
        <w:t> </w:t>
      </w:r>
      <w:r>
        <w:rPr/>
        <w:t>como</w:t>
      </w:r>
      <w:r>
        <w:rPr>
          <w:spacing w:val="-11"/>
        </w:rPr>
        <w:t> </w:t>
      </w:r>
      <w:r>
        <w:rPr/>
        <w:t>un</w:t>
      </w:r>
      <w:r>
        <w:rPr>
          <w:spacing w:val="-11"/>
        </w:rPr>
        <w:t> </w:t>
      </w:r>
      <w:r>
        <w:rPr/>
        <w:t>órgano</w:t>
      </w:r>
      <w:r>
        <w:rPr>
          <w:spacing w:val="-11"/>
        </w:rPr>
        <w:t> </w:t>
      </w:r>
      <w:r>
        <w:rPr/>
        <w:t>técnico</w:t>
      </w:r>
      <w:r>
        <w:rPr>
          <w:spacing w:val="-9"/>
        </w:rPr>
        <w:t> </w:t>
      </w:r>
      <w:r>
        <w:rPr/>
        <w:t>de</w:t>
      </w:r>
      <w:r>
        <w:rPr>
          <w:spacing w:val="-9"/>
        </w:rPr>
        <w:t> </w:t>
      </w:r>
      <w:r>
        <w:rPr/>
        <w:t>planeación</w:t>
      </w:r>
      <w:r>
        <w:rPr>
          <w:spacing w:val="-10"/>
        </w:rPr>
        <w:t> </w:t>
      </w:r>
      <w:r>
        <w:rPr/>
        <w:t>para</w:t>
      </w:r>
      <w:r>
        <w:rPr>
          <w:spacing w:val="-9"/>
        </w:rPr>
        <w:t> </w:t>
      </w:r>
      <w:r>
        <w:rPr/>
        <w:t>alcanzar</w:t>
      </w:r>
      <w:r>
        <w:rPr>
          <w:spacing w:val="-10"/>
        </w:rPr>
        <w:t> </w:t>
      </w:r>
      <w:r>
        <w:rPr/>
        <w:t>una</w:t>
      </w:r>
      <w:r>
        <w:rPr>
          <w:spacing w:val="-9"/>
        </w:rPr>
        <w:t> </w:t>
      </w:r>
      <w:r>
        <w:rPr/>
        <w:t>efectiva coordinación</w:t>
      </w:r>
      <w:r>
        <w:rPr>
          <w:spacing w:val="-8"/>
        </w:rPr>
        <w:t> </w:t>
      </w:r>
      <w:r>
        <w:rPr/>
        <w:t>y</w:t>
      </w:r>
      <w:r>
        <w:rPr>
          <w:spacing w:val="-6"/>
        </w:rPr>
        <w:t> </w:t>
      </w:r>
      <w:r>
        <w:rPr/>
        <w:t>aplicación</w:t>
      </w:r>
      <w:r>
        <w:rPr>
          <w:spacing w:val="-8"/>
        </w:rPr>
        <w:t> </w:t>
      </w:r>
      <w:r>
        <w:rPr/>
        <w:t>de</w:t>
      </w:r>
      <w:r>
        <w:rPr>
          <w:spacing w:val="-8"/>
        </w:rPr>
        <w:t> </w:t>
      </w:r>
      <w:r>
        <w:rPr/>
        <w:t>políticas</w:t>
      </w:r>
      <w:r>
        <w:rPr>
          <w:spacing w:val="-4"/>
        </w:rPr>
        <w:t> </w:t>
      </w:r>
      <w:r>
        <w:rPr/>
        <w:t>públicas</w:t>
      </w:r>
      <w:r>
        <w:rPr>
          <w:spacing w:val="-7"/>
        </w:rPr>
        <w:t> </w:t>
      </w:r>
      <w:r>
        <w:rPr/>
        <w:t>encausadas</w:t>
      </w:r>
      <w:r>
        <w:rPr>
          <w:spacing w:val="-7"/>
        </w:rPr>
        <w:t> </w:t>
      </w:r>
      <w:r>
        <w:rPr/>
        <w:t>a</w:t>
      </w:r>
      <w:r>
        <w:rPr>
          <w:spacing w:val="-5"/>
        </w:rPr>
        <w:t> </w:t>
      </w:r>
      <w:r>
        <w:rPr/>
        <w:t>atender</w:t>
      </w:r>
      <w:r>
        <w:rPr>
          <w:spacing w:val="-7"/>
        </w:rPr>
        <w:t> </w:t>
      </w:r>
      <w:r>
        <w:rPr/>
        <w:t>los</w:t>
      </w:r>
      <w:r>
        <w:rPr>
          <w:spacing w:val="-7"/>
        </w:rPr>
        <w:t> </w:t>
      </w:r>
      <w:r>
        <w:rPr/>
        <w:t>desafíos</w:t>
      </w:r>
      <w:r>
        <w:rPr>
          <w:spacing w:val="-4"/>
        </w:rPr>
        <w:t> </w:t>
      </w:r>
      <w:r>
        <w:rPr/>
        <w:t>del</w:t>
      </w:r>
      <w:r>
        <w:rPr>
          <w:spacing w:val="-6"/>
        </w:rPr>
        <w:t> </w:t>
      </w:r>
      <w:r>
        <w:rPr/>
        <w:t>ordenamiento territorial y el desarrollo urbano del Estado.</w:t>
      </w:r>
    </w:p>
    <w:p>
      <w:pPr>
        <w:pStyle w:val="BodyText"/>
      </w:pPr>
    </w:p>
    <w:p>
      <w:pPr>
        <w:pStyle w:val="BodyText"/>
        <w:ind w:left="262" w:right="277"/>
        <w:jc w:val="both"/>
      </w:pPr>
      <w:r>
        <w:rPr/>
        <w:t>El Instituto Estatal tendrá la organización y las funciones que establecen esta Ley y las que señale su</w:t>
      </w:r>
      <w:r>
        <w:rPr>
          <w:spacing w:val="-14"/>
        </w:rPr>
        <w:t> </w:t>
      </w:r>
      <w:r>
        <w:rPr/>
        <w:t>Reglamento</w:t>
      </w:r>
      <w:r>
        <w:rPr>
          <w:spacing w:val="-14"/>
        </w:rPr>
        <w:t> </w:t>
      </w:r>
      <w:r>
        <w:rPr/>
        <w:t>Interior.</w:t>
      </w:r>
      <w:r>
        <w:rPr>
          <w:spacing w:val="-14"/>
        </w:rPr>
        <w:t> </w:t>
      </w:r>
      <w:r>
        <w:rPr/>
        <w:t>Coadyuvará</w:t>
      </w:r>
      <w:r>
        <w:rPr>
          <w:spacing w:val="-14"/>
        </w:rPr>
        <w:t> </w:t>
      </w:r>
      <w:r>
        <w:rPr/>
        <w:t>con</w:t>
      </w:r>
      <w:r>
        <w:rPr>
          <w:spacing w:val="-14"/>
        </w:rPr>
        <w:t> </w:t>
      </w:r>
      <w:r>
        <w:rPr/>
        <w:t>los</w:t>
      </w:r>
      <w:r>
        <w:rPr>
          <w:spacing w:val="-14"/>
        </w:rPr>
        <w:t> </w:t>
      </w:r>
      <w:r>
        <w:rPr/>
        <w:t>ayuntamientos</w:t>
      </w:r>
      <w:r>
        <w:rPr>
          <w:spacing w:val="-14"/>
        </w:rPr>
        <w:t> </w:t>
      </w:r>
      <w:r>
        <w:rPr/>
        <w:t>y</w:t>
      </w:r>
      <w:r>
        <w:rPr>
          <w:spacing w:val="-14"/>
        </w:rPr>
        <w:t> </w:t>
      </w:r>
      <w:r>
        <w:rPr/>
        <w:t>los</w:t>
      </w:r>
      <w:r>
        <w:rPr>
          <w:spacing w:val="-14"/>
        </w:rPr>
        <w:t> </w:t>
      </w:r>
      <w:r>
        <w:rPr/>
        <w:t>Consejos</w:t>
      </w:r>
      <w:r>
        <w:rPr>
          <w:spacing w:val="-13"/>
        </w:rPr>
        <w:t> </w:t>
      </w:r>
      <w:r>
        <w:rPr/>
        <w:t>Municipales</w:t>
      </w:r>
      <w:r>
        <w:rPr>
          <w:spacing w:val="-14"/>
        </w:rPr>
        <w:t> </w:t>
      </w:r>
      <w:r>
        <w:rPr/>
        <w:t>de</w:t>
      </w:r>
      <w:r>
        <w:rPr>
          <w:spacing w:val="-14"/>
        </w:rPr>
        <w:t> </w:t>
      </w:r>
      <w:r>
        <w:rPr/>
        <w:t>Desarrollo Urbano</w:t>
      </w:r>
      <w:r>
        <w:rPr>
          <w:spacing w:val="-7"/>
        </w:rPr>
        <w:t> </w:t>
      </w:r>
      <w:r>
        <w:rPr/>
        <w:t>y</w:t>
      </w:r>
      <w:r>
        <w:rPr>
          <w:spacing w:val="-5"/>
        </w:rPr>
        <w:t> </w:t>
      </w:r>
      <w:r>
        <w:rPr/>
        <w:t>Vivienda</w:t>
      </w:r>
      <w:r>
        <w:rPr>
          <w:spacing w:val="-7"/>
        </w:rPr>
        <w:t> </w:t>
      </w:r>
      <w:r>
        <w:rPr/>
        <w:t>en</w:t>
      </w:r>
      <w:r>
        <w:rPr>
          <w:spacing w:val="-5"/>
        </w:rPr>
        <w:t> </w:t>
      </w:r>
      <w:r>
        <w:rPr/>
        <w:t>la</w:t>
      </w:r>
      <w:r>
        <w:rPr>
          <w:spacing w:val="-7"/>
        </w:rPr>
        <w:t> </w:t>
      </w:r>
      <w:r>
        <w:rPr/>
        <w:t>planeación</w:t>
      </w:r>
      <w:r>
        <w:rPr>
          <w:spacing w:val="-7"/>
        </w:rPr>
        <w:t> </w:t>
      </w:r>
      <w:r>
        <w:rPr/>
        <w:t>del</w:t>
      </w:r>
      <w:r>
        <w:rPr>
          <w:spacing w:val="-7"/>
        </w:rPr>
        <w:t> </w:t>
      </w:r>
      <w:r>
        <w:rPr/>
        <w:t>ordenamiento</w:t>
      </w:r>
      <w:r>
        <w:rPr>
          <w:spacing w:val="-7"/>
        </w:rPr>
        <w:t> </w:t>
      </w:r>
      <w:r>
        <w:rPr/>
        <w:t>territorial</w:t>
      </w:r>
      <w:r>
        <w:rPr>
          <w:spacing w:val="-7"/>
        </w:rPr>
        <w:t> </w:t>
      </w:r>
      <w:r>
        <w:rPr/>
        <w:t>y</w:t>
      </w:r>
      <w:r>
        <w:rPr>
          <w:spacing w:val="-5"/>
        </w:rPr>
        <w:t> </w:t>
      </w:r>
      <w:r>
        <w:rPr/>
        <w:t>del</w:t>
      </w:r>
      <w:r>
        <w:rPr>
          <w:spacing w:val="-7"/>
        </w:rPr>
        <w:t> </w:t>
      </w:r>
      <w:r>
        <w:rPr/>
        <w:t>desarrollo</w:t>
      </w:r>
      <w:r>
        <w:rPr>
          <w:spacing w:val="-7"/>
        </w:rPr>
        <w:t> </w:t>
      </w:r>
      <w:r>
        <w:rPr/>
        <w:t>urbano,</w:t>
      </w:r>
      <w:r>
        <w:rPr>
          <w:spacing w:val="-6"/>
        </w:rPr>
        <w:t> </w:t>
      </w:r>
      <w:r>
        <w:rPr/>
        <w:t>así</w:t>
      </w:r>
      <w:r>
        <w:rPr>
          <w:spacing w:val="-6"/>
        </w:rPr>
        <w:t> </w:t>
      </w:r>
      <w:r>
        <w:rPr/>
        <w:t>como</w:t>
      </w:r>
      <w:r>
        <w:rPr>
          <w:spacing w:val="-7"/>
        </w:rPr>
        <w:t> </w:t>
      </w:r>
      <w:r>
        <w:rPr/>
        <w:t>en la elaboración de programas y proyectos derivados de sus programas.</w:t>
      </w:r>
    </w:p>
    <w:p>
      <w:pPr>
        <w:pStyle w:val="BodyText"/>
      </w:pPr>
    </w:p>
    <w:p>
      <w:pPr>
        <w:pStyle w:val="BodyText"/>
        <w:ind w:left="262" w:right="281"/>
        <w:jc w:val="both"/>
      </w:pPr>
      <w:r>
        <w:rPr>
          <w:rFonts w:ascii="Arial" w:hAnsi="Arial"/>
          <w:b/>
        </w:rPr>
        <w:t>ARTÍCULO 35. </w:t>
      </w:r>
      <w:r>
        <w:rPr/>
        <w:t>El Instituto Estatal de Planeación Urbana, contará como mínimo con la siguiente estructura orgánica para el cumplimiento de sus funciones:</w:t>
      </w:r>
    </w:p>
    <w:p>
      <w:pPr>
        <w:pStyle w:val="BodyText"/>
        <w:spacing w:before="2"/>
      </w:pPr>
    </w:p>
    <w:p>
      <w:pPr>
        <w:pStyle w:val="ListParagraph"/>
        <w:numPr>
          <w:ilvl w:val="0"/>
          <w:numId w:val="20"/>
        </w:numPr>
        <w:tabs>
          <w:tab w:pos="543" w:val="left" w:leader="none"/>
        </w:tabs>
        <w:spacing w:line="240" w:lineRule="auto" w:before="0" w:after="0"/>
        <w:ind w:left="262" w:right="286" w:firstLine="0"/>
        <w:jc w:val="both"/>
        <w:rPr>
          <w:sz w:val="20"/>
        </w:rPr>
      </w:pPr>
      <w:r>
        <w:rPr>
          <w:sz w:val="20"/>
        </w:rPr>
        <w:t>Un Consejo Consultivo, que será el Consejo Estatal de Ordenamiento Territorial y Desarrollo </w:t>
      </w:r>
      <w:r>
        <w:rPr>
          <w:spacing w:val="-2"/>
          <w:sz w:val="20"/>
        </w:rPr>
        <w:t>Urbano;</w:t>
      </w:r>
    </w:p>
    <w:p>
      <w:pPr>
        <w:pStyle w:val="ListParagraph"/>
        <w:numPr>
          <w:ilvl w:val="0"/>
          <w:numId w:val="20"/>
        </w:numPr>
        <w:tabs>
          <w:tab w:pos="543" w:val="left" w:leader="none"/>
        </w:tabs>
        <w:spacing w:line="240" w:lineRule="auto" w:before="229" w:after="0"/>
        <w:ind w:left="262" w:right="286" w:firstLine="0"/>
        <w:jc w:val="both"/>
        <w:rPr>
          <w:sz w:val="20"/>
        </w:rPr>
      </w:pPr>
      <w:r>
        <w:rPr>
          <w:sz w:val="20"/>
        </w:rPr>
        <w:t>Un Director General designado por el Gobernador del Estado de entre una terna propuesta por el Consejo Consultivo, de conformidad a lo señalado en su Acuerdo de creación y su Reglamento </w:t>
      </w:r>
      <w:r>
        <w:rPr>
          <w:spacing w:val="-2"/>
          <w:sz w:val="20"/>
        </w:rPr>
        <w:t>Interior;</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2"/>
        <w:jc w:val="both"/>
      </w:pPr>
      <w:r>
        <w:rPr/>
        <w:t>El Director General del Instituto Estatal, durará en su encargo cuatro años, pudiendo ser reelegido por</w:t>
      </w:r>
      <w:r>
        <w:rPr>
          <w:spacing w:val="-6"/>
        </w:rPr>
        <w:t> </w:t>
      </w:r>
      <w:r>
        <w:rPr/>
        <w:t>un</w:t>
      </w:r>
      <w:r>
        <w:rPr>
          <w:spacing w:val="-7"/>
        </w:rPr>
        <w:t> </w:t>
      </w:r>
      <w:r>
        <w:rPr/>
        <w:t>periodo</w:t>
      </w:r>
      <w:r>
        <w:rPr>
          <w:spacing w:val="-5"/>
        </w:rPr>
        <w:t> </w:t>
      </w:r>
      <w:r>
        <w:rPr/>
        <w:t>igual,</w:t>
      </w:r>
      <w:r>
        <w:rPr>
          <w:spacing w:val="-6"/>
        </w:rPr>
        <w:t> </w:t>
      </w:r>
      <w:r>
        <w:rPr/>
        <w:t>y</w:t>
      </w:r>
      <w:r>
        <w:rPr>
          <w:spacing w:val="-5"/>
        </w:rPr>
        <w:t> </w:t>
      </w:r>
      <w:r>
        <w:rPr/>
        <w:t>deberá</w:t>
      </w:r>
      <w:r>
        <w:rPr>
          <w:spacing w:val="-6"/>
        </w:rPr>
        <w:t> </w:t>
      </w:r>
      <w:r>
        <w:rPr/>
        <w:t>acreditar</w:t>
      </w:r>
      <w:r>
        <w:rPr>
          <w:spacing w:val="-6"/>
        </w:rPr>
        <w:t> </w:t>
      </w:r>
      <w:r>
        <w:rPr/>
        <w:t>tener</w:t>
      </w:r>
      <w:r>
        <w:rPr>
          <w:spacing w:val="-6"/>
        </w:rPr>
        <w:t> </w:t>
      </w:r>
      <w:r>
        <w:rPr/>
        <w:t>título</w:t>
      </w:r>
      <w:r>
        <w:rPr>
          <w:spacing w:val="-7"/>
        </w:rPr>
        <w:t> </w:t>
      </w:r>
      <w:r>
        <w:rPr/>
        <w:t>y</w:t>
      </w:r>
      <w:r>
        <w:rPr>
          <w:spacing w:val="-5"/>
        </w:rPr>
        <w:t> </w:t>
      </w:r>
      <w:r>
        <w:rPr/>
        <w:t>cédula</w:t>
      </w:r>
      <w:r>
        <w:rPr>
          <w:spacing w:val="-7"/>
        </w:rPr>
        <w:t> </w:t>
      </w:r>
      <w:r>
        <w:rPr/>
        <w:t>profesional</w:t>
      </w:r>
      <w:r>
        <w:rPr>
          <w:spacing w:val="-7"/>
        </w:rPr>
        <w:t> </w:t>
      </w:r>
      <w:r>
        <w:rPr/>
        <w:t>de</w:t>
      </w:r>
      <w:r>
        <w:rPr>
          <w:spacing w:val="-5"/>
        </w:rPr>
        <w:t> </w:t>
      </w:r>
      <w:r>
        <w:rPr/>
        <w:t>ingeniero</w:t>
      </w:r>
      <w:r>
        <w:rPr>
          <w:spacing w:val="-6"/>
        </w:rPr>
        <w:t> </w:t>
      </w:r>
      <w:r>
        <w:rPr/>
        <w:t>civil,</w:t>
      </w:r>
      <w:r>
        <w:rPr>
          <w:spacing w:val="-4"/>
        </w:rPr>
        <w:t> </w:t>
      </w:r>
      <w:r>
        <w:rPr/>
        <w:t>arquitecto o carrera afín, así como experiencia y conocimientos en materia de ordenamiento territorial y planeación del desarrollo urbano de acuerdo a lo señalado en su Reglamento Interior, y</w:t>
      </w:r>
    </w:p>
    <w:p>
      <w:pPr>
        <w:pStyle w:val="ListParagraph"/>
        <w:numPr>
          <w:ilvl w:val="0"/>
          <w:numId w:val="20"/>
        </w:numPr>
        <w:tabs>
          <w:tab w:pos="741" w:val="left" w:leader="none"/>
        </w:tabs>
        <w:spacing w:line="240" w:lineRule="auto" w:before="230" w:after="0"/>
        <w:ind w:left="262" w:right="284" w:firstLine="0"/>
        <w:jc w:val="both"/>
        <w:rPr>
          <w:sz w:val="20"/>
        </w:rPr>
      </w:pPr>
      <w:r>
        <w:rPr>
          <w:sz w:val="20"/>
        </w:rPr>
        <w:t>El personal necesario para el desempeño de las funciones encomendadas, con la formación profesional</w:t>
      </w:r>
      <w:r>
        <w:rPr>
          <w:spacing w:val="-8"/>
          <w:sz w:val="20"/>
        </w:rPr>
        <w:t> </w:t>
      </w:r>
      <w:r>
        <w:rPr>
          <w:sz w:val="20"/>
        </w:rPr>
        <w:t>y</w:t>
      </w:r>
      <w:r>
        <w:rPr>
          <w:spacing w:val="-6"/>
          <w:sz w:val="20"/>
        </w:rPr>
        <w:t> </w:t>
      </w:r>
      <w:r>
        <w:rPr>
          <w:sz w:val="20"/>
        </w:rPr>
        <w:t>experiencia</w:t>
      </w:r>
      <w:r>
        <w:rPr>
          <w:spacing w:val="-8"/>
          <w:sz w:val="20"/>
        </w:rPr>
        <w:t> </w:t>
      </w:r>
      <w:r>
        <w:rPr>
          <w:sz w:val="20"/>
        </w:rPr>
        <w:t>requerida,</w:t>
      </w:r>
      <w:r>
        <w:rPr>
          <w:spacing w:val="-7"/>
          <w:sz w:val="20"/>
        </w:rPr>
        <w:t> </w:t>
      </w:r>
      <w:r>
        <w:rPr>
          <w:sz w:val="20"/>
        </w:rPr>
        <w:t>conforme</w:t>
      </w:r>
      <w:r>
        <w:rPr>
          <w:spacing w:val="-5"/>
          <w:sz w:val="20"/>
        </w:rPr>
        <w:t> </w:t>
      </w:r>
      <w:r>
        <w:rPr>
          <w:sz w:val="20"/>
        </w:rPr>
        <w:t>a</w:t>
      </w:r>
      <w:r>
        <w:rPr>
          <w:spacing w:val="-8"/>
          <w:sz w:val="20"/>
        </w:rPr>
        <w:t> </w:t>
      </w:r>
      <w:r>
        <w:rPr>
          <w:sz w:val="20"/>
        </w:rPr>
        <w:t>su</w:t>
      </w:r>
      <w:r>
        <w:rPr>
          <w:spacing w:val="-8"/>
          <w:sz w:val="20"/>
        </w:rPr>
        <w:t> </w:t>
      </w:r>
      <w:r>
        <w:rPr>
          <w:sz w:val="20"/>
        </w:rPr>
        <w:t>Reglamento</w:t>
      </w:r>
      <w:r>
        <w:rPr>
          <w:spacing w:val="-8"/>
          <w:sz w:val="20"/>
        </w:rPr>
        <w:t> </w:t>
      </w:r>
      <w:r>
        <w:rPr>
          <w:sz w:val="20"/>
        </w:rPr>
        <w:t>Interior</w:t>
      </w:r>
      <w:r>
        <w:rPr>
          <w:spacing w:val="-7"/>
          <w:sz w:val="20"/>
        </w:rPr>
        <w:t> </w:t>
      </w:r>
      <w:r>
        <w:rPr>
          <w:sz w:val="20"/>
        </w:rPr>
        <w:t>y</w:t>
      </w:r>
      <w:r>
        <w:rPr>
          <w:spacing w:val="-6"/>
          <w:sz w:val="20"/>
        </w:rPr>
        <w:t> </w:t>
      </w:r>
      <w:r>
        <w:rPr>
          <w:sz w:val="20"/>
        </w:rPr>
        <w:t>al</w:t>
      </w:r>
      <w:r>
        <w:rPr>
          <w:spacing w:val="-9"/>
          <w:sz w:val="20"/>
        </w:rPr>
        <w:t> </w:t>
      </w:r>
      <w:r>
        <w:rPr>
          <w:sz w:val="20"/>
        </w:rPr>
        <w:t>presupuesto</w:t>
      </w:r>
      <w:r>
        <w:rPr>
          <w:spacing w:val="-8"/>
          <w:sz w:val="20"/>
        </w:rPr>
        <w:t> </w:t>
      </w:r>
      <w:r>
        <w:rPr>
          <w:sz w:val="20"/>
        </w:rPr>
        <w:t>asignado</w:t>
      </w:r>
      <w:r>
        <w:rPr>
          <w:spacing w:val="-6"/>
          <w:sz w:val="20"/>
        </w:rPr>
        <w:t> </w:t>
      </w:r>
      <w:r>
        <w:rPr>
          <w:sz w:val="20"/>
        </w:rPr>
        <w:t>a la Secretaria de Desarrollo Urbano, Vivienda y Obras para este propósito.</w:t>
      </w:r>
    </w:p>
    <w:p>
      <w:pPr>
        <w:pStyle w:val="BodyText"/>
        <w:spacing w:before="1"/>
      </w:pPr>
    </w:p>
    <w:p>
      <w:pPr>
        <w:pStyle w:val="BodyText"/>
        <w:ind w:left="262"/>
        <w:jc w:val="both"/>
      </w:pPr>
      <w:r>
        <w:rPr>
          <w:rFonts w:ascii="Arial" w:hAnsi="Arial"/>
          <w:b/>
        </w:rPr>
        <w:t>ARTÍCULO</w:t>
      </w:r>
      <w:r>
        <w:rPr>
          <w:rFonts w:ascii="Arial" w:hAnsi="Arial"/>
          <w:b/>
          <w:spacing w:val="-6"/>
        </w:rPr>
        <w:t> </w:t>
      </w:r>
      <w:r>
        <w:rPr>
          <w:rFonts w:ascii="Arial" w:hAnsi="Arial"/>
          <w:b/>
        </w:rPr>
        <w:t>36.</w:t>
      </w:r>
      <w:r>
        <w:rPr>
          <w:rFonts w:ascii="Arial" w:hAnsi="Arial"/>
          <w:b/>
          <w:spacing w:val="-6"/>
        </w:rPr>
        <w:t> </w:t>
      </w:r>
      <w:r>
        <w:rPr/>
        <w:t>El</w:t>
      </w:r>
      <w:r>
        <w:rPr>
          <w:spacing w:val="-8"/>
        </w:rPr>
        <w:t> </w:t>
      </w:r>
      <w:r>
        <w:rPr/>
        <w:t>Instituto</w:t>
      </w:r>
      <w:r>
        <w:rPr>
          <w:spacing w:val="-5"/>
        </w:rPr>
        <w:t> </w:t>
      </w:r>
      <w:r>
        <w:rPr/>
        <w:t>Estatal</w:t>
      </w:r>
      <w:r>
        <w:rPr>
          <w:spacing w:val="-8"/>
        </w:rPr>
        <w:t> </w:t>
      </w:r>
      <w:r>
        <w:rPr/>
        <w:t>tendrá</w:t>
      </w:r>
      <w:r>
        <w:rPr>
          <w:spacing w:val="-5"/>
        </w:rPr>
        <w:t> </w:t>
      </w:r>
      <w:r>
        <w:rPr/>
        <w:t>las</w:t>
      </w:r>
      <w:r>
        <w:rPr>
          <w:spacing w:val="-6"/>
        </w:rPr>
        <w:t> </w:t>
      </w:r>
      <w:r>
        <w:rPr/>
        <w:t>siguientes</w:t>
      </w:r>
      <w:r>
        <w:rPr>
          <w:spacing w:val="-6"/>
        </w:rPr>
        <w:t> </w:t>
      </w:r>
      <w:r>
        <w:rPr>
          <w:spacing w:val="-2"/>
        </w:rPr>
        <w:t>atribuciones:</w:t>
      </w:r>
    </w:p>
    <w:p>
      <w:pPr>
        <w:pStyle w:val="BodyText"/>
        <w:spacing w:before="2"/>
      </w:pPr>
    </w:p>
    <w:p>
      <w:pPr>
        <w:pStyle w:val="ListParagraph"/>
        <w:numPr>
          <w:ilvl w:val="0"/>
          <w:numId w:val="21"/>
        </w:numPr>
        <w:tabs>
          <w:tab w:pos="689" w:val="left" w:leader="none"/>
        </w:tabs>
        <w:spacing w:line="240" w:lineRule="auto" w:before="1" w:after="0"/>
        <w:ind w:left="689" w:right="0" w:hanging="427"/>
        <w:jc w:val="left"/>
        <w:rPr>
          <w:sz w:val="20"/>
        </w:rPr>
      </w:pPr>
      <w:r>
        <w:rPr>
          <w:sz w:val="20"/>
        </w:rPr>
        <w:t>En</w:t>
      </w:r>
      <w:r>
        <w:rPr>
          <w:spacing w:val="-4"/>
          <w:sz w:val="20"/>
        </w:rPr>
        <w:t> </w:t>
      </w:r>
      <w:r>
        <w:rPr>
          <w:sz w:val="20"/>
        </w:rPr>
        <w:t>materia</w:t>
      </w:r>
      <w:r>
        <w:rPr>
          <w:spacing w:val="-5"/>
          <w:sz w:val="20"/>
        </w:rPr>
        <w:t> </w:t>
      </w:r>
      <w:r>
        <w:rPr>
          <w:sz w:val="20"/>
        </w:rPr>
        <w:t>de</w:t>
      </w:r>
      <w:r>
        <w:rPr>
          <w:spacing w:val="-6"/>
          <w:sz w:val="20"/>
        </w:rPr>
        <w:t> </w:t>
      </w:r>
      <w:r>
        <w:rPr>
          <w:spacing w:val="-2"/>
          <w:sz w:val="20"/>
        </w:rPr>
        <w:t>planeación:</w:t>
      </w:r>
    </w:p>
    <w:p>
      <w:pPr>
        <w:pStyle w:val="ListParagraph"/>
        <w:numPr>
          <w:ilvl w:val="1"/>
          <w:numId w:val="21"/>
        </w:numPr>
        <w:tabs>
          <w:tab w:pos="687" w:val="left" w:leader="none"/>
        </w:tabs>
        <w:spacing w:line="240" w:lineRule="auto" w:before="220" w:after="0"/>
        <w:ind w:left="262" w:right="284" w:firstLine="0"/>
        <w:jc w:val="both"/>
        <w:rPr>
          <w:sz w:val="20"/>
        </w:rPr>
      </w:pPr>
      <w:r>
        <w:rPr>
          <w:sz w:val="20"/>
        </w:rPr>
        <w:t>Elaborar</w:t>
      </w:r>
      <w:r>
        <w:rPr>
          <w:spacing w:val="-8"/>
          <w:sz w:val="20"/>
        </w:rPr>
        <w:t> </w:t>
      </w:r>
      <w:r>
        <w:rPr>
          <w:sz w:val="20"/>
        </w:rPr>
        <w:t>el</w:t>
      </w:r>
      <w:r>
        <w:rPr>
          <w:spacing w:val="-10"/>
          <w:sz w:val="20"/>
        </w:rPr>
        <w:t> </w:t>
      </w:r>
      <w:r>
        <w:rPr>
          <w:sz w:val="20"/>
        </w:rPr>
        <w:t>Programa</w:t>
      </w:r>
      <w:r>
        <w:rPr>
          <w:spacing w:val="-9"/>
          <w:sz w:val="20"/>
        </w:rPr>
        <w:t> </w:t>
      </w:r>
      <w:r>
        <w:rPr>
          <w:sz w:val="20"/>
        </w:rPr>
        <w:t>Estatal</w:t>
      </w:r>
      <w:r>
        <w:rPr>
          <w:spacing w:val="-10"/>
          <w:sz w:val="20"/>
        </w:rPr>
        <w:t> </w:t>
      </w:r>
      <w:r>
        <w:rPr>
          <w:sz w:val="20"/>
        </w:rPr>
        <w:t>de</w:t>
      </w:r>
      <w:r>
        <w:rPr>
          <w:spacing w:val="-9"/>
          <w:sz w:val="20"/>
        </w:rPr>
        <w:t> </w:t>
      </w:r>
      <w:r>
        <w:rPr>
          <w:sz w:val="20"/>
        </w:rPr>
        <w:t>Ordenamiento</w:t>
      </w:r>
      <w:r>
        <w:rPr>
          <w:spacing w:val="-9"/>
          <w:sz w:val="20"/>
        </w:rPr>
        <w:t> </w:t>
      </w:r>
      <w:r>
        <w:rPr>
          <w:sz w:val="20"/>
        </w:rPr>
        <w:t>Territorial</w:t>
      </w:r>
      <w:r>
        <w:rPr>
          <w:spacing w:val="-10"/>
          <w:sz w:val="20"/>
        </w:rPr>
        <w:t> </w:t>
      </w:r>
      <w:r>
        <w:rPr>
          <w:sz w:val="20"/>
        </w:rPr>
        <w:t>y</w:t>
      </w:r>
      <w:r>
        <w:rPr>
          <w:spacing w:val="-8"/>
          <w:sz w:val="20"/>
        </w:rPr>
        <w:t> </w:t>
      </w:r>
      <w:r>
        <w:rPr>
          <w:sz w:val="20"/>
        </w:rPr>
        <w:t>Desarrollo</w:t>
      </w:r>
      <w:r>
        <w:rPr>
          <w:spacing w:val="-9"/>
          <w:sz w:val="20"/>
        </w:rPr>
        <w:t> </w:t>
      </w:r>
      <w:r>
        <w:rPr>
          <w:sz w:val="20"/>
        </w:rPr>
        <w:t>Urbano</w:t>
      </w:r>
      <w:r>
        <w:rPr>
          <w:spacing w:val="-7"/>
          <w:sz w:val="20"/>
        </w:rPr>
        <w:t> </w:t>
      </w:r>
      <w:r>
        <w:rPr>
          <w:sz w:val="20"/>
        </w:rPr>
        <w:t>de</w:t>
      </w:r>
      <w:r>
        <w:rPr>
          <w:spacing w:val="-9"/>
          <w:sz w:val="20"/>
        </w:rPr>
        <w:t> </w:t>
      </w:r>
      <w:r>
        <w:rPr>
          <w:sz w:val="20"/>
        </w:rPr>
        <w:t>la</w:t>
      </w:r>
      <w:r>
        <w:rPr>
          <w:spacing w:val="-9"/>
          <w:sz w:val="20"/>
        </w:rPr>
        <w:t> </w:t>
      </w:r>
      <w:r>
        <w:rPr>
          <w:sz w:val="20"/>
        </w:rPr>
        <w:t>Entidad,</w:t>
      </w:r>
      <w:r>
        <w:rPr>
          <w:spacing w:val="-6"/>
          <w:sz w:val="20"/>
        </w:rPr>
        <w:t> </w:t>
      </w:r>
      <w:r>
        <w:rPr>
          <w:sz w:val="20"/>
        </w:rPr>
        <w:t>de conformidad con lo previsto en la presente Ley.</w:t>
      </w:r>
    </w:p>
    <w:p>
      <w:pPr>
        <w:pStyle w:val="ListParagraph"/>
        <w:numPr>
          <w:ilvl w:val="1"/>
          <w:numId w:val="21"/>
        </w:numPr>
        <w:tabs>
          <w:tab w:pos="688" w:val="left" w:leader="none"/>
        </w:tabs>
        <w:spacing w:line="240" w:lineRule="auto" w:before="228" w:after="0"/>
        <w:ind w:left="262" w:right="285" w:firstLine="0"/>
        <w:jc w:val="both"/>
        <w:rPr>
          <w:sz w:val="20"/>
        </w:rPr>
      </w:pPr>
      <w:r>
        <w:rPr>
          <w:sz w:val="20"/>
        </w:rPr>
        <w:t>Realizar o coordinar estudios y proyectos urbanos derivados del programa Estatal de Ordenamiento Territorial y Desarrollo Urbano.</w:t>
      </w:r>
    </w:p>
    <w:p>
      <w:pPr>
        <w:pStyle w:val="BodyText"/>
        <w:spacing w:before="1"/>
      </w:pPr>
    </w:p>
    <w:p>
      <w:pPr>
        <w:pStyle w:val="ListParagraph"/>
        <w:numPr>
          <w:ilvl w:val="1"/>
          <w:numId w:val="21"/>
        </w:numPr>
        <w:tabs>
          <w:tab w:pos="544" w:val="left" w:leader="none"/>
        </w:tabs>
        <w:spacing w:line="240" w:lineRule="auto" w:before="1" w:after="0"/>
        <w:ind w:left="262" w:right="287" w:firstLine="0"/>
        <w:jc w:val="both"/>
        <w:rPr>
          <w:sz w:val="20"/>
        </w:rPr>
      </w:pPr>
      <w:r>
        <w:rPr>
          <w:sz w:val="20"/>
        </w:rPr>
        <w:t>Participar con los ayuntamientos en la elaboración de los Programas Metropolitanos y de Conurbación de Ordenamiento Territorial y Desarrollo Urbano.</w:t>
      </w:r>
    </w:p>
    <w:p>
      <w:pPr>
        <w:pStyle w:val="ListParagraph"/>
        <w:numPr>
          <w:ilvl w:val="1"/>
          <w:numId w:val="21"/>
        </w:numPr>
        <w:tabs>
          <w:tab w:pos="544" w:val="left" w:leader="none"/>
        </w:tabs>
        <w:spacing w:line="240" w:lineRule="auto" w:before="228" w:after="0"/>
        <w:ind w:left="262" w:right="287" w:firstLine="0"/>
        <w:jc w:val="both"/>
        <w:rPr>
          <w:sz w:val="20"/>
        </w:rPr>
      </w:pPr>
      <w:r>
        <w:rPr>
          <w:spacing w:val="-2"/>
          <w:sz w:val="20"/>
        </w:rPr>
        <w:t>Proponer</w:t>
      </w:r>
      <w:r>
        <w:rPr>
          <w:spacing w:val="-5"/>
          <w:sz w:val="20"/>
        </w:rPr>
        <w:t> </w:t>
      </w:r>
      <w:r>
        <w:rPr>
          <w:spacing w:val="-2"/>
          <w:sz w:val="20"/>
        </w:rPr>
        <w:t>y asesorar a solicitud</w:t>
      </w:r>
      <w:r>
        <w:rPr>
          <w:spacing w:val="-3"/>
          <w:sz w:val="20"/>
        </w:rPr>
        <w:t> </w:t>
      </w:r>
      <w:r>
        <w:rPr>
          <w:spacing w:val="-2"/>
          <w:sz w:val="20"/>
        </w:rPr>
        <w:t>de</w:t>
      </w:r>
      <w:r>
        <w:rPr>
          <w:spacing w:val="-3"/>
          <w:sz w:val="20"/>
        </w:rPr>
        <w:t> </w:t>
      </w:r>
      <w:r>
        <w:rPr>
          <w:spacing w:val="-2"/>
          <w:sz w:val="20"/>
        </w:rPr>
        <w:t>los</w:t>
      </w:r>
      <w:r>
        <w:rPr>
          <w:spacing w:val="-5"/>
          <w:sz w:val="20"/>
        </w:rPr>
        <w:t> </w:t>
      </w:r>
      <w:r>
        <w:rPr>
          <w:spacing w:val="-2"/>
          <w:sz w:val="20"/>
        </w:rPr>
        <w:t>ayuntamientos en</w:t>
      </w:r>
      <w:r>
        <w:rPr>
          <w:spacing w:val="-3"/>
          <w:sz w:val="20"/>
        </w:rPr>
        <w:t> </w:t>
      </w:r>
      <w:r>
        <w:rPr>
          <w:spacing w:val="-2"/>
          <w:sz w:val="20"/>
        </w:rPr>
        <w:t>la</w:t>
      </w:r>
      <w:r>
        <w:rPr>
          <w:spacing w:val="-6"/>
          <w:sz w:val="20"/>
        </w:rPr>
        <w:t> </w:t>
      </w:r>
      <w:r>
        <w:rPr>
          <w:spacing w:val="-2"/>
          <w:sz w:val="20"/>
        </w:rPr>
        <w:t>realización, actualización,</w:t>
      </w:r>
      <w:r>
        <w:rPr>
          <w:spacing w:val="-5"/>
          <w:sz w:val="20"/>
        </w:rPr>
        <w:t> </w:t>
      </w:r>
      <w:r>
        <w:rPr>
          <w:spacing w:val="-2"/>
          <w:sz w:val="20"/>
        </w:rPr>
        <w:t>modificación </w:t>
      </w:r>
      <w:r>
        <w:rPr>
          <w:sz w:val="20"/>
        </w:rPr>
        <w:t>de sus Programas de Ordenamiento Territorial y Desarrollo Urbano.</w:t>
      </w:r>
    </w:p>
    <w:p>
      <w:pPr>
        <w:pStyle w:val="BodyText"/>
        <w:spacing w:before="2"/>
      </w:pPr>
    </w:p>
    <w:p>
      <w:pPr>
        <w:pStyle w:val="ListParagraph"/>
        <w:numPr>
          <w:ilvl w:val="1"/>
          <w:numId w:val="21"/>
        </w:numPr>
        <w:tabs>
          <w:tab w:pos="544" w:val="left" w:leader="none"/>
        </w:tabs>
        <w:spacing w:line="240" w:lineRule="auto" w:before="0" w:after="0"/>
        <w:ind w:left="544" w:right="0" w:hanging="282"/>
        <w:jc w:val="both"/>
        <w:rPr>
          <w:sz w:val="20"/>
        </w:rPr>
      </w:pPr>
      <w:r>
        <w:rPr>
          <w:sz w:val="20"/>
        </w:rPr>
        <w:t>Auxiliar</w:t>
      </w:r>
      <w:r>
        <w:rPr>
          <w:spacing w:val="-8"/>
          <w:sz w:val="20"/>
        </w:rPr>
        <w:t> </w:t>
      </w:r>
      <w:r>
        <w:rPr>
          <w:sz w:val="20"/>
        </w:rPr>
        <w:t>a</w:t>
      </w:r>
      <w:r>
        <w:rPr>
          <w:spacing w:val="-7"/>
          <w:sz w:val="20"/>
        </w:rPr>
        <w:t> </w:t>
      </w:r>
      <w:r>
        <w:rPr>
          <w:sz w:val="20"/>
        </w:rPr>
        <w:t>la</w:t>
      </w:r>
      <w:r>
        <w:rPr>
          <w:spacing w:val="-7"/>
          <w:sz w:val="20"/>
        </w:rPr>
        <w:t> </w:t>
      </w:r>
      <w:r>
        <w:rPr>
          <w:sz w:val="20"/>
        </w:rPr>
        <w:t>autoridad</w:t>
      </w:r>
      <w:r>
        <w:rPr>
          <w:spacing w:val="-5"/>
          <w:sz w:val="20"/>
        </w:rPr>
        <w:t> </w:t>
      </w:r>
      <w:r>
        <w:rPr>
          <w:sz w:val="20"/>
        </w:rPr>
        <w:t>estatal</w:t>
      </w:r>
      <w:r>
        <w:rPr>
          <w:spacing w:val="-8"/>
          <w:sz w:val="20"/>
        </w:rPr>
        <w:t> </w:t>
      </w:r>
      <w:r>
        <w:rPr>
          <w:sz w:val="20"/>
        </w:rPr>
        <w:t>en</w:t>
      </w:r>
      <w:r>
        <w:rPr>
          <w:spacing w:val="-8"/>
          <w:sz w:val="20"/>
        </w:rPr>
        <w:t> </w:t>
      </w:r>
      <w:r>
        <w:rPr>
          <w:sz w:val="20"/>
        </w:rPr>
        <w:t>materia</w:t>
      </w:r>
      <w:r>
        <w:rPr>
          <w:spacing w:val="-7"/>
          <w:sz w:val="20"/>
        </w:rPr>
        <w:t> </w:t>
      </w:r>
      <w:r>
        <w:rPr>
          <w:sz w:val="20"/>
        </w:rPr>
        <w:t>de</w:t>
      </w:r>
      <w:r>
        <w:rPr>
          <w:spacing w:val="-7"/>
          <w:sz w:val="20"/>
        </w:rPr>
        <w:t> </w:t>
      </w:r>
      <w:r>
        <w:rPr>
          <w:sz w:val="20"/>
        </w:rPr>
        <w:t>ordenamiento</w:t>
      </w:r>
      <w:r>
        <w:rPr>
          <w:spacing w:val="-8"/>
          <w:sz w:val="20"/>
        </w:rPr>
        <w:t> </w:t>
      </w:r>
      <w:r>
        <w:rPr>
          <w:sz w:val="20"/>
        </w:rPr>
        <w:t>territorial</w:t>
      </w:r>
      <w:r>
        <w:rPr>
          <w:spacing w:val="-8"/>
          <w:sz w:val="20"/>
        </w:rPr>
        <w:t> </w:t>
      </w:r>
      <w:r>
        <w:rPr>
          <w:sz w:val="20"/>
        </w:rPr>
        <w:t>y</w:t>
      </w:r>
      <w:r>
        <w:rPr>
          <w:spacing w:val="-6"/>
          <w:sz w:val="20"/>
        </w:rPr>
        <w:t> </w:t>
      </w:r>
      <w:r>
        <w:rPr>
          <w:sz w:val="20"/>
        </w:rPr>
        <w:t>desarrollo</w:t>
      </w:r>
      <w:r>
        <w:rPr>
          <w:spacing w:val="-6"/>
          <w:sz w:val="20"/>
        </w:rPr>
        <w:t> </w:t>
      </w:r>
      <w:r>
        <w:rPr>
          <w:spacing w:val="-2"/>
          <w:sz w:val="20"/>
        </w:rPr>
        <w:t>urbano;</w:t>
      </w:r>
    </w:p>
    <w:p>
      <w:pPr>
        <w:pStyle w:val="ListParagraph"/>
        <w:numPr>
          <w:ilvl w:val="0"/>
          <w:numId w:val="21"/>
        </w:numPr>
        <w:tabs>
          <w:tab w:pos="543" w:val="left" w:leader="none"/>
        </w:tabs>
        <w:spacing w:line="240" w:lineRule="auto" w:before="229" w:after="0"/>
        <w:ind w:left="543" w:right="0" w:hanging="281"/>
        <w:jc w:val="left"/>
        <w:rPr>
          <w:sz w:val="20"/>
        </w:rPr>
      </w:pPr>
      <w:r>
        <w:rPr>
          <w:sz w:val="20"/>
        </w:rPr>
        <w:t>En</w:t>
      </w:r>
      <w:r>
        <w:rPr>
          <w:spacing w:val="-6"/>
          <w:sz w:val="20"/>
        </w:rPr>
        <w:t> </w:t>
      </w:r>
      <w:r>
        <w:rPr>
          <w:sz w:val="20"/>
        </w:rPr>
        <w:t>materia</w:t>
      </w:r>
      <w:r>
        <w:rPr>
          <w:spacing w:val="-7"/>
          <w:sz w:val="20"/>
        </w:rPr>
        <w:t> </w:t>
      </w:r>
      <w:r>
        <w:rPr>
          <w:sz w:val="20"/>
        </w:rPr>
        <w:t>de</w:t>
      </w:r>
      <w:r>
        <w:rPr>
          <w:spacing w:val="-8"/>
          <w:sz w:val="20"/>
        </w:rPr>
        <w:t> </w:t>
      </w:r>
      <w:r>
        <w:rPr>
          <w:sz w:val="20"/>
        </w:rPr>
        <w:t>seguimiento,</w:t>
      </w:r>
      <w:r>
        <w:rPr>
          <w:spacing w:val="-5"/>
          <w:sz w:val="20"/>
        </w:rPr>
        <w:t> </w:t>
      </w:r>
      <w:r>
        <w:rPr>
          <w:sz w:val="20"/>
        </w:rPr>
        <w:t>control</w:t>
      </w:r>
      <w:r>
        <w:rPr>
          <w:spacing w:val="-8"/>
          <w:sz w:val="20"/>
        </w:rPr>
        <w:t> </w:t>
      </w:r>
      <w:r>
        <w:rPr>
          <w:sz w:val="20"/>
        </w:rPr>
        <w:t>y</w:t>
      </w:r>
      <w:r>
        <w:rPr>
          <w:spacing w:val="-5"/>
          <w:sz w:val="20"/>
        </w:rPr>
        <w:t> </w:t>
      </w:r>
      <w:r>
        <w:rPr>
          <w:spacing w:val="-2"/>
          <w:sz w:val="20"/>
        </w:rPr>
        <w:t>evaluación:</w:t>
      </w:r>
    </w:p>
    <w:p>
      <w:pPr>
        <w:pStyle w:val="ListParagraph"/>
        <w:numPr>
          <w:ilvl w:val="1"/>
          <w:numId w:val="21"/>
        </w:numPr>
        <w:tabs>
          <w:tab w:pos="544" w:val="left" w:leader="none"/>
        </w:tabs>
        <w:spacing w:line="240" w:lineRule="auto" w:before="223" w:after="0"/>
        <w:ind w:left="544" w:right="0" w:hanging="282"/>
        <w:jc w:val="both"/>
        <w:rPr>
          <w:sz w:val="20"/>
        </w:rPr>
      </w:pPr>
      <w:r>
        <w:rPr>
          <w:sz w:val="20"/>
        </w:rPr>
        <w:t>Dar</w:t>
      </w:r>
      <w:r>
        <w:rPr>
          <w:spacing w:val="-7"/>
          <w:sz w:val="20"/>
        </w:rPr>
        <w:t> </w:t>
      </w:r>
      <w:r>
        <w:rPr>
          <w:sz w:val="20"/>
        </w:rPr>
        <w:t>seguimiento</w:t>
      </w:r>
      <w:r>
        <w:rPr>
          <w:spacing w:val="-6"/>
          <w:sz w:val="20"/>
        </w:rPr>
        <w:t> </w:t>
      </w:r>
      <w:r>
        <w:rPr>
          <w:sz w:val="20"/>
        </w:rPr>
        <w:t>a</w:t>
      </w:r>
      <w:r>
        <w:rPr>
          <w:spacing w:val="-6"/>
          <w:sz w:val="20"/>
        </w:rPr>
        <w:t> </w:t>
      </w:r>
      <w:r>
        <w:rPr>
          <w:sz w:val="20"/>
        </w:rPr>
        <w:t>los</w:t>
      </w:r>
      <w:r>
        <w:rPr>
          <w:spacing w:val="-5"/>
          <w:sz w:val="20"/>
        </w:rPr>
        <w:t> </w:t>
      </w:r>
      <w:r>
        <w:rPr>
          <w:sz w:val="20"/>
        </w:rPr>
        <w:t>procesos</w:t>
      </w:r>
      <w:r>
        <w:rPr>
          <w:spacing w:val="-6"/>
          <w:sz w:val="20"/>
        </w:rPr>
        <w:t> </w:t>
      </w:r>
      <w:r>
        <w:rPr>
          <w:sz w:val="20"/>
        </w:rPr>
        <w:t>de</w:t>
      </w:r>
      <w:r>
        <w:rPr>
          <w:spacing w:val="-8"/>
          <w:sz w:val="20"/>
        </w:rPr>
        <w:t> </w:t>
      </w:r>
      <w:r>
        <w:rPr>
          <w:sz w:val="20"/>
        </w:rPr>
        <w:t>planeación</w:t>
      </w:r>
      <w:r>
        <w:rPr>
          <w:spacing w:val="-6"/>
          <w:sz w:val="20"/>
        </w:rPr>
        <w:t> </w:t>
      </w:r>
      <w:r>
        <w:rPr>
          <w:sz w:val="20"/>
        </w:rPr>
        <w:t>del</w:t>
      </w:r>
      <w:r>
        <w:rPr>
          <w:spacing w:val="-7"/>
          <w:sz w:val="20"/>
        </w:rPr>
        <w:t> </w:t>
      </w:r>
      <w:r>
        <w:rPr>
          <w:sz w:val="20"/>
        </w:rPr>
        <w:t>desarrollo</w:t>
      </w:r>
      <w:r>
        <w:rPr>
          <w:spacing w:val="-7"/>
          <w:sz w:val="20"/>
        </w:rPr>
        <w:t> </w:t>
      </w:r>
      <w:r>
        <w:rPr>
          <w:sz w:val="20"/>
        </w:rPr>
        <w:t>urbano</w:t>
      </w:r>
      <w:r>
        <w:rPr>
          <w:spacing w:val="-5"/>
          <w:sz w:val="20"/>
        </w:rPr>
        <w:t> </w:t>
      </w:r>
      <w:r>
        <w:rPr>
          <w:sz w:val="20"/>
        </w:rPr>
        <w:t>de</w:t>
      </w:r>
      <w:r>
        <w:rPr>
          <w:spacing w:val="-7"/>
          <w:sz w:val="20"/>
        </w:rPr>
        <w:t> </w:t>
      </w:r>
      <w:r>
        <w:rPr>
          <w:sz w:val="20"/>
        </w:rPr>
        <w:t>la</w:t>
      </w:r>
      <w:r>
        <w:rPr>
          <w:spacing w:val="-5"/>
          <w:sz w:val="20"/>
        </w:rPr>
        <w:t> </w:t>
      </w:r>
      <w:r>
        <w:rPr>
          <w:spacing w:val="-2"/>
          <w:sz w:val="20"/>
        </w:rPr>
        <w:t>Entidad.</w:t>
      </w:r>
    </w:p>
    <w:p>
      <w:pPr>
        <w:pStyle w:val="ListParagraph"/>
        <w:numPr>
          <w:ilvl w:val="1"/>
          <w:numId w:val="21"/>
        </w:numPr>
        <w:tabs>
          <w:tab w:pos="544" w:val="left" w:leader="none"/>
        </w:tabs>
        <w:spacing w:line="240" w:lineRule="auto" w:before="228" w:after="0"/>
        <w:ind w:left="262" w:right="285" w:firstLine="0"/>
        <w:jc w:val="both"/>
        <w:rPr>
          <w:sz w:val="20"/>
        </w:rPr>
      </w:pPr>
      <w:r>
        <w:rPr>
          <w:sz w:val="20"/>
        </w:rPr>
        <w:t>Evaluar</w:t>
      </w:r>
      <w:r>
        <w:rPr>
          <w:spacing w:val="-9"/>
          <w:sz w:val="20"/>
        </w:rPr>
        <w:t> </w:t>
      </w:r>
      <w:r>
        <w:rPr>
          <w:sz w:val="20"/>
        </w:rPr>
        <w:t>el</w:t>
      </w:r>
      <w:r>
        <w:rPr>
          <w:spacing w:val="-10"/>
          <w:sz w:val="20"/>
        </w:rPr>
        <w:t> </w:t>
      </w:r>
      <w:r>
        <w:rPr>
          <w:sz w:val="20"/>
        </w:rPr>
        <w:t>cumplimiento</w:t>
      </w:r>
      <w:r>
        <w:rPr>
          <w:spacing w:val="-10"/>
          <w:sz w:val="20"/>
        </w:rPr>
        <w:t> </w:t>
      </w:r>
      <w:r>
        <w:rPr>
          <w:sz w:val="20"/>
        </w:rPr>
        <w:t>del</w:t>
      </w:r>
      <w:r>
        <w:rPr>
          <w:spacing w:val="-9"/>
          <w:sz w:val="20"/>
        </w:rPr>
        <w:t> </w:t>
      </w:r>
      <w:r>
        <w:rPr>
          <w:sz w:val="20"/>
        </w:rPr>
        <w:t>Programa</w:t>
      </w:r>
      <w:r>
        <w:rPr>
          <w:spacing w:val="-8"/>
          <w:sz w:val="20"/>
        </w:rPr>
        <w:t> </w:t>
      </w:r>
      <w:r>
        <w:rPr>
          <w:sz w:val="20"/>
        </w:rPr>
        <w:t>Estatal</w:t>
      </w:r>
      <w:r>
        <w:rPr>
          <w:spacing w:val="-8"/>
          <w:sz w:val="20"/>
        </w:rPr>
        <w:t> </w:t>
      </w:r>
      <w:r>
        <w:rPr>
          <w:sz w:val="20"/>
        </w:rPr>
        <w:t>de</w:t>
      </w:r>
      <w:r>
        <w:rPr>
          <w:spacing w:val="-10"/>
          <w:sz w:val="20"/>
        </w:rPr>
        <w:t> </w:t>
      </w:r>
      <w:r>
        <w:rPr>
          <w:sz w:val="20"/>
        </w:rPr>
        <w:t>Ordenamiento</w:t>
      </w:r>
      <w:r>
        <w:rPr>
          <w:spacing w:val="-10"/>
          <w:sz w:val="20"/>
        </w:rPr>
        <w:t> </w:t>
      </w:r>
      <w:r>
        <w:rPr>
          <w:sz w:val="20"/>
        </w:rPr>
        <w:t>Territorial</w:t>
      </w:r>
      <w:r>
        <w:rPr>
          <w:spacing w:val="-10"/>
          <w:sz w:val="20"/>
        </w:rPr>
        <w:t> </w:t>
      </w:r>
      <w:r>
        <w:rPr>
          <w:sz w:val="20"/>
        </w:rPr>
        <w:t>y</w:t>
      </w:r>
      <w:r>
        <w:rPr>
          <w:spacing w:val="-9"/>
          <w:sz w:val="20"/>
        </w:rPr>
        <w:t> </w:t>
      </w:r>
      <w:r>
        <w:rPr>
          <w:sz w:val="20"/>
        </w:rPr>
        <w:t>Desarrollo</w:t>
      </w:r>
      <w:r>
        <w:rPr>
          <w:spacing w:val="-8"/>
          <w:sz w:val="20"/>
        </w:rPr>
        <w:t> </w:t>
      </w:r>
      <w:r>
        <w:rPr>
          <w:sz w:val="20"/>
        </w:rPr>
        <w:t>Urbano</w:t>
      </w:r>
      <w:r>
        <w:rPr>
          <w:spacing w:val="-10"/>
          <w:sz w:val="20"/>
        </w:rPr>
        <w:t> </w:t>
      </w:r>
      <w:r>
        <w:rPr>
          <w:sz w:val="20"/>
        </w:rPr>
        <w:t>y, en su caso, hacer las recomendaciones necesarias;</w:t>
      </w:r>
    </w:p>
    <w:p>
      <w:pPr>
        <w:pStyle w:val="BodyText"/>
        <w:spacing w:before="2"/>
      </w:pPr>
    </w:p>
    <w:p>
      <w:pPr>
        <w:pStyle w:val="ListParagraph"/>
        <w:numPr>
          <w:ilvl w:val="0"/>
          <w:numId w:val="21"/>
        </w:numPr>
        <w:tabs>
          <w:tab w:pos="598" w:val="left" w:leader="none"/>
        </w:tabs>
        <w:spacing w:line="240" w:lineRule="auto" w:before="0" w:after="0"/>
        <w:ind w:left="598" w:right="0" w:hanging="336"/>
        <w:jc w:val="left"/>
        <w:rPr>
          <w:sz w:val="20"/>
        </w:rPr>
      </w:pPr>
      <w:r>
        <w:rPr>
          <w:sz w:val="20"/>
        </w:rPr>
        <w:t>En</w:t>
      </w:r>
      <w:r>
        <w:rPr>
          <w:spacing w:val="-5"/>
          <w:sz w:val="20"/>
        </w:rPr>
        <w:t> </w:t>
      </w:r>
      <w:r>
        <w:rPr>
          <w:sz w:val="20"/>
        </w:rPr>
        <w:t>materia</w:t>
      </w:r>
      <w:r>
        <w:rPr>
          <w:spacing w:val="-5"/>
          <w:sz w:val="20"/>
        </w:rPr>
        <w:t> </w:t>
      </w:r>
      <w:r>
        <w:rPr>
          <w:sz w:val="20"/>
        </w:rPr>
        <w:t>de</w:t>
      </w:r>
      <w:r>
        <w:rPr>
          <w:spacing w:val="-6"/>
          <w:sz w:val="20"/>
        </w:rPr>
        <w:t> </w:t>
      </w:r>
      <w:r>
        <w:rPr>
          <w:sz w:val="20"/>
        </w:rPr>
        <w:t>estudios</w:t>
      </w:r>
      <w:r>
        <w:rPr>
          <w:spacing w:val="-5"/>
          <w:sz w:val="20"/>
        </w:rPr>
        <w:t> </w:t>
      </w:r>
      <w:r>
        <w:rPr>
          <w:sz w:val="20"/>
        </w:rPr>
        <w:t>y</w:t>
      </w:r>
      <w:r>
        <w:rPr>
          <w:spacing w:val="-5"/>
          <w:sz w:val="20"/>
        </w:rPr>
        <w:t> </w:t>
      </w:r>
      <w:r>
        <w:rPr>
          <w:spacing w:val="-2"/>
          <w:sz w:val="20"/>
        </w:rPr>
        <w:t>proyectos:</w:t>
      </w:r>
    </w:p>
    <w:p>
      <w:pPr>
        <w:pStyle w:val="ListParagraph"/>
        <w:numPr>
          <w:ilvl w:val="1"/>
          <w:numId w:val="21"/>
        </w:numPr>
        <w:tabs>
          <w:tab w:pos="544" w:val="left" w:leader="none"/>
        </w:tabs>
        <w:spacing w:line="240" w:lineRule="auto" w:before="220" w:after="0"/>
        <w:ind w:left="262" w:right="285" w:firstLine="0"/>
        <w:jc w:val="both"/>
        <w:rPr>
          <w:sz w:val="20"/>
        </w:rPr>
      </w:pPr>
      <w:r>
        <w:rPr>
          <w:sz w:val="20"/>
        </w:rPr>
        <w:t>Coordinar o realizar</w:t>
      </w:r>
      <w:r>
        <w:rPr>
          <w:spacing w:val="40"/>
          <w:sz w:val="20"/>
        </w:rPr>
        <w:t> </w:t>
      </w:r>
      <w:r>
        <w:rPr>
          <w:sz w:val="20"/>
        </w:rPr>
        <w:t>estudios y proyectos urbanos derivados del Programa Estatal de Ordenamiento Territorial y Desarrollo Urbano.</w:t>
      </w:r>
    </w:p>
    <w:p>
      <w:pPr>
        <w:pStyle w:val="ListParagraph"/>
        <w:numPr>
          <w:ilvl w:val="1"/>
          <w:numId w:val="21"/>
        </w:numPr>
        <w:tabs>
          <w:tab w:pos="544" w:val="left" w:leader="none"/>
        </w:tabs>
        <w:spacing w:line="240" w:lineRule="auto" w:before="229" w:after="0"/>
        <w:ind w:left="262" w:right="287" w:firstLine="0"/>
        <w:jc w:val="both"/>
        <w:rPr>
          <w:sz w:val="20"/>
        </w:rPr>
      </w:pPr>
      <w:r>
        <w:rPr>
          <w:sz w:val="20"/>
        </w:rPr>
        <w:t>Apoyar a los municipios, cuando así lo soliciten, en la elaboración de los proyectos de los programas municipales.</w:t>
      </w:r>
    </w:p>
    <w:p>
      <w:pPr>
        <w:pStyle w:val="BodyText"/>
        <w:spacing w:before="2"/>
      </w:pPr>
    </w:p>
    <w:p>
      <w:pPr>
        <w:pStyle w:val="ListParagraph"/>
        <w:numPr>
          <w:ilvl w:val="1"/>
          <w:numId w:val="21"/>
        </w:numPr>
        <w:tabs>
          <w:tab w:pos="544" w:val="left" w:leader="none"/>
        </w:tabs>
        <w:spacing w:line="240" w:lineRule="auto" w:before="0" w:after="0"/>
        <w:ind w:left="544" w:right="0" w:hanging="282"/>
        <w:jc w:val="both"/>
        <w:rPr>
          <w:sz w:val="20"/>
        </w:rPr>
      </w:pPr>
      <w:r>
        <w:rPr>
          <w:sz w:val="20"/>
        </w:rPr>
        <w:t>Generar</w:t>
      </w:r>
      <w:r>
        <w:rPr>
          <w:spacing w:val="-6"/>
          <w:sz w:val="20"/>
        </w:rPr>
        <w:t> </w:t>
      </w:r>
      <w:r>
        <w:rPr>
          <w:sz w:val="20"/>
        </w:rPr>
        <w:t>un</w:t>
      </w:r>
      <w:r>
        <w:rPr>
          <w:spacing w:val="-6"/>
          <w:sz w:val="20"/>
        </w:rPr>
        <w:t> </w:t>
      </w:r>
      <w:r>
        <w:rPr>
          <w:sz w:val="20"/>
        </w:rPr>
        <w:t>Banco</w:t>
      </w:r>
      <w:r>
        <w:rPr>
          <w:spacing w:val="-5"/>
          <w:sz w:val="20"/>
        </w:rPr>
        <w:t> </w:t>
      </w:r>
      <w:r>
        <w:rPr>
          <w:sz w:val="20"/>
        </w:rPr>
        <w:t>Estatal</w:t>
      </w:r>
      <w:r>
        <w:rPr>
          <w:spacing w:val="-5"/>
          <w:sz w:val="20"/>
        </w:rPr>
        <w:t> </w:t>
      </w:r>
      <w:r>
        <w:rPr>
          <w:sz w:val="20"/>
        </w:rPr>
        <w:t>de</w:t>
      </w:r>
      <w:r>
        <w:rPr>
          <w:spacing w:val="-7"/>
          <w:sz w:val="20"/>
        </w:rPr>
        <w:t> </w:t>
      </w:r>
      <w:r>
        <w:rPr>
          <w:spacing w:val="-2"/>
          <w:sz w:val="20"/>
        </w:rPr>
        <w:t>Proyectos;</w:t>
      </w:r>
    </w:p>
    <w:p>
      <w:pPr>
        <w:pStyle w:val="BodyText"/>
        <w:spacing w:before="2"/>
      </w:pPr>
    </w:p>
    <w:p>
      <w:pPr>
        <w:pStyle w:val="ListParagraph"/>
        <w:numPr>
          <w:ilvl w:val="0"/>
          <w:numId w:val="21"/>
        </w:numPr>
        <w:tabs>
          <w:tab w:pos="687" w:val="left" w:leader="none"/>
        </w:tabs>
        <w:spacing w:line="240" w:lineRule="auto" w:before="0" w:after="0"/>
        <w:ind w:left="687" w:right="0" w:hanging="425"/>
        <w:jc w:val="left"/>
        <w:rPr>
          <w:sz w:val="20"/>
        </w:rPr>
      </w:pPr>
      <w:r>
        <w:rPr>
          <w:sz w:val="20"/>
        </w:rPr>
        <w:t>En</w:t>
      </w:r>
      <w:r>
        <w:rPr>
          <w:spacing w:val="-4"/>
          <w:sz w:val="20"/>
        </w:rPr>
        <w:t> </w:t>
      </w:r>
      <w:r>
        <w:rPr>
          <w:sz w:val="20"/>
        </w:rPr>
        <w:t>materia</w:t>
      </w:r>
      <w:r>
        <w:rPr>
          <w:spacing w:val="-5"/>
          <w:sz w:val="20"/>
        </w:rPr>
        <w:t> </w:t>
      </w:r>
      <w:r>
        <w:rPr>
          <w:sz w:val="20"/>
        </w:rPr>
        <w:t>de</w:t>
      </w:r>
      <w:r>
        <w:rPr>
          <w:spacing w:val="-6"/>
          <w:sz w:val="20"/>
        </w:rPr>
        <w:t> </w:t>
      </w:r>
      <w:r>
        <w:rPr>
          <w:spacing w:val="-2"/>
          <w:sz w:val="20"/>
        </w:rPr>
        <w:t>normatividad:</w:t>
      </w:r>
    </w:p>
    <w:p>
      <w:pPr>
        <w:pStyle w:val="ListParagraph"/>
        <w:numPr>
          <w:ilvl w:val="1"/>
          <w:numId w:val="21"/>
        </w:numPr>
        <w:tabs>
          <w:tab w:pos="544" w:val="left" w:leader="none"/>
        </w:tabs>
        <w:spacing w:line="240" w:lineRule="auto" w:before="220" w:after="0"/>
        <w:ind w:left="262" w:right="287" w:firstLine="0"/>
        <w:jc w:val="both"/>
        <w:rPr>
          <w:sz w:val="20"/>
        </w:rPr>
      </w:pPr>
      <w:r>
        <w:rPr>
          <w:sz w:val="20"/>
        </w:rPr>
        <w:t>Actualizar</w:t>
      </w:r>
      <w:r>
        <w:rPr>
          <w:spacing w:val="-1"/>
          <w:sz w:val="20"/>
        </w:rPr>
        <w:t> </w:t>
      </w:r>
      <w:r>
        <w:rPr>
          <w:sz w:val="20"/>
        </w:rPr>
        <w:t>y</w:t>
      </w:r>
      <w:r>
        <w:rPr>
          <w:spacing w:val="-1"/>
          <w:sz w:val="20"/>
        </w:rPr>
        <w:t> </w:t>
      </w:r>
      <w:r>
        <w:rPr>
          <w:sz w:val="20"/>
        </w:rPr>
        <w:t>en</w:t>
      </w:r>
      <w:r>
        <w:rPr>
          <w:spacing w:val="-2"/>
          <w:sz w:val="20"/>
        </w:rPr>
        <w:t> </w:t>
      </w:r>
      <w:r>
        <w:rPr>
          <w:sz w:val="20"/>
        </w:rPr>
        <w:t>su</w:t>
      </w:r>
      <w:r>
        <w:rPr>
          <w:spacing w:val="-2"/>
          <w:sz w:val="20"/>
        </w:rPr>
        <w:t> </w:t>
      </w:r>
      <w:r>
        <w:rPr>
          <w:sz w:val="20"/>
        </w:rPr>
        <w:t>caso elaborar</w:t>
      </w:r>
      <w:r>
        <w:rPr>
          <w:spacing w:val="-1"/>
          <w:sz w:val="20"/>
        </w:rPr>
        <w:t> </w:t>
      </w:r>
      <w:r>
        <w:rPr>
          <w:sz w:val="20"/>
        </w:rPr>
        <w:t>las</w:t>
      </w:r>
      <w:r>
        <w:rPr>
          <w:spacing w:val="-1"/>
          <w:sz w:val="20"/>
        </w:rPr>
        <w:t> </w:t>
      </w:r>
      <w:r>
        <w:rPr>
          <w:sz w:val="20"/>
        </w:rPr>
        <w:t>iniciativas</w:t>
      </w:r>
      <w:r>
        <w:rPr>
          <w:spacing w:val="-1"/>
          <w:sz w:val="20"/>
        </w:rPr>
        <w:t> </w:t>
      </w:r>
      <w:r>
        <w:rPr>
          <w:sz w:val="20"/>
        </w:rPr>
        <w:t>de</w:t>
      </w:r>
      <w:r>
        <w:rPr>
          <w:spacing w:val="-2"/>
          <w:sz w:val="20"/>
        </w:rPr>
        <w:t> </w:t>
      </w:r>
      <w:r>
        <w:rPr>
          <w:sz w:val="20"/>
        </w:rPr>
        <w:t>Ley Estatal</w:t>
      </w:r>
      <w:r>
        <w:rPr>
          <w:spacing w:val="-3"/>
          <w:sz w:val="20"/>
        </w:rPr>
        <w:t> </w:t>
      </w:r>
      <w:r>
        <w:rPr>
          <w:sz w:val="20"/>
        </w:rPr>
        <w:t>y</w:t>
      </w:r>
      <w:r>
        <w:rPr>
          <w:spacing w:val="-1"/>
          <w:sz w:val="20"/>
        </w:rPr>
        <w:t> </w:t>
      </w:r>
      <w:r>
        <w:rPr>
          <w:sz w:val="20"/>
        </w:rPr>
        <w:t>sus</w:t>
      </w:r>
      <w:r>
        <w:rPr>
          <w:spacing w:val="-1"/>
          <w:sz w:val="20"/>
        </w:rPr>
        <w:t> </w:t>
      </w:r>
      <w:r>
        <w:rPr>
          <w:sz w:val="20"/>
        </w:rPr>
        <w:t>Reglamentos, en materia de Ordenamiento Territorial y Desarrollo Urbano y proponerlos a la consideración del Titular del Ejecutivo del estado para su presentación al Congreso del Estado.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21"/>
        </w:numPr>
        <w:tabs>
          <w:tab w:pos="688" w:val="left" w:leader="none"/>
        </w:tabs>
        <w:spacing w:line="240" w:lineRule="auto" w:before="0" w:after="0"/>
        <w:ind w:left="262" w:right="282" w:firstLine="0"/>
        <w:jc w:val="both"/>
        <w:rPr>
          <w:sz w:val="20"/>
        </w:rPr>
      </w:pPr>
      <w:r>
        <w:rPr>
          <w:sz w:val="20"/>
        </w:rPr>
        <w:t>Proponer a los ayuntamientos las reformas a la reglamentación en materia ordenamiento territorial y desarrollo urbano;</w:t>
      </w:r>
    </w:p>
    <w:p>
      <w:pPr>
        <w:pStyle w:val="BodyText"/>
        <w:spacing w:before="2"/>
      </w:pPr>
    </w:p>
    <w:p>
      <w:pPr>
        <w:pStyle w:val="ListParagraph"/>
        <w:numPr>
          <w:ilvl w:val="0"/>
          <w:numId w:val="21"/>
        </w:numPr>
        <w:tabs>
          <w:tab w:pos="687" w:val="left" w:leader="none"/>
        </w:tabs>
        <w:spacing w:line="240" w:lineRule="auto" w:before="1" w:after="0"/>
        <w:ind w:left="687" w:right="0" w:hanging="425"/>
        <w:jc w:val="both"/>
        <w:rPr>
          <w:sz w:val="20"/>
        </w:rPr>
      </w:pPr>
      <w:r>
        <w:rPr>
          <w:sz w:val="20"/>
        </w:rPr>
        <w:t>En</w:t>
      </w:r>
      <w:r>
        <w:rPr>
          <w:spacing w:val="-4"/>
          <w:sz w:val="20"/>
        </w:rPr>
        <w:t> </w:t>
      </w:r>
      <w:r>
        <w:rPr>
          <w:sz w:val="20"/>
        </w:rPr>
        <w:t>materia</w:t>
      </w:r>
      <w:r>
        <w:rPr>
          <w:spacing w:val="-5"/>
          <w:sz w:val="20"/>
        </w:rPr>
        <w:t> </w:t>
      </w:r>
      <w:r>
        <w:rPr>
          <w:sz w:val="20"/>
        </w:rPr>
        <w:t>de</w:t>
      </w:r>
      <w:r>
        <w:rPr>
          <w:spacing w:val="-4"/>
          <w:sz w:val="20"/>
        </w:rPr>
        <w:t> </w:t>
      </w:r>
      <w:r>
        <w:rPr>
          <w:spacing w:val="-2"/>
          <w:sz w:val="20"/>
        </w:rPr>
        <w:t>información:</w:t>
      </w:r>
    </w:p>
    <w:p>
      <w:pPr>
        <w:pStyle w:val="ListParagraph"/>
        <w:numPr>
          <w:ilvl w:val="1"/>
          <w:numId w:val="21"/>
        </w:numPr>
        <w:tabs>
          <w:tab w:pos="687" w:val="left" w:leader="none"/>
        </w:tabs>
        <w:spacing w:line="240" w:lineRule="auto" w:before="219" w:after="0"/>
        <w:ind w:left="262" w:right="286" w:firstLine="0"/>
        <w:jc w:val="both"/>
        <w:rPr>
          <w:sz w:val="20"/>
        </w:rPr>
      </w:pPr>
      <w:r>
        <w:rPr>
          <w:sz w:val="20"/>
        </w:rPr>
        <w:t>Crear, actualizar y administrar una Plataforma Estatal de información de Ordenamiento Territorial y Desarrollo Urbano.</w:t>
      </w:r>
    </w:p>
    <w:p>
      <w:pPr>
        <w:pStyle w:val="ListParagraph"/>
        <w:numPr>
          <w:ilvl w:val="1"/>
          <w:numId w:val="21"/>
        </w:numPr>
        <w:tabs>
          <w:tab w:pos="688" w:val="left" w:leader="none"/>
        </w:tabs>
        <w:spacing w:line="240" w:lineRule="auto" w:before="229" w:after="0"/>
        <w:ind w:left="262" w:right="282" w:firstLine="0"/>
        <w:jc w:val="both"/>
        <w:rPr>
          <w:sz w:val="20"/>
        </w:rPr>
      </w:pPr>
      <w:r>
        <w:rPr>
          <w:sz w:val="20"/>
        </w:rPr>
        <w:t>Crear</w:t>
      </w:r>
      <w:r>
        <w:rPr>
          <w:spacing w:val="-4"/>
          <w:sz w:val="20"/>
        </w:rPr>
        <w:t> </w:t>
      </w:r>
      <w:r>
        <w:rPr>
          <w:sz w:val="20"/>
        </w:rPr>
        <w:t>un</w:t>
      </w:r>
      <w:r>
        <w:rPr>
          <w:spacing w:val="-6"/>
          <w:sz w:val="20"/>
        </w:rPr>
        <w:t> </w:t>
      </w:r>
      <w:r>
        <w:rPr>
          <w:sz w:val="20"/>
        </w:rPr>
        <w:t>archivo,</w:t>
      </w:r>
      <w:r>
        <w:rPr>
          <w:spacing w:val="-5"/>
          <w:sz w:val="20"/>
        </w:rPr>
        <w:t> </w:t>
      </w:r>
      <w:r>
        <w:rPr>
          <w:sz w:val="20"/>
        </w:rPr>
        <w:t>difundir,</w:t>
      </w:r>
      <w:r>
        <w:rPr>
          <w:spacing w:val="-5"/>
          <w:sz w:val="20"/>
        </w:rPr>
        <w:t> </w:t>
      </w:r>
      <w:r>
        <w:rPr>
          <w:sz w:val="20"/>
        </w:rPr>
        <w:t>resguardar</w:t>
      </w:r>
      <w:r>
        <w:rPr>
          <w:spacing w:val="-5"/>
          <w:sz w:val="20"/>
        </w:rPr>
        <w:t> </w:t>
      </w:r>
      <w:r>
        <w:rPr>
          <w:sz w:val="20"/>
        </w:rPr>
        <w:t>y</w:t>
      </w:r>
      <w:r>
        <w:rPr>
          <w:spacing w:val="-3"/>
          <w:sz w:val="20"/>
        </w:rPr>
        <w:t> </w:t>
      </w:r>
      <w:r>
        <w:rPr>
          <w:sz w:val="20"/>
        </w:rPr>
        <w:t>poner</w:t>
      </w:r>
      <w:r>
        <w:rPr>
          <w:spacing w:val="-4"/>
          <w:sz w:val="20"/>
        </w:rPr>
        <w:t> </w:t>
      </w:r>
      <w:r>
        <w:rPr>
          <w:sz w:val="20"/>
        </w:rPr>
        <w:t>a</w:t>
      </w:r>
      <w:r>
        <w:rPr>
          <w:spacing w:val="-6"/>
          <w:sz w:val="20"/>
        </w:rPr>
        <w:t> </w:t>
      </w:r>
      <w:r>
        <w:rPr>
          <w:sz w:val="20"/>
        </w:rPr>
        <w:t>disposición</w:t>
      </w:r>
      <w:r>
        <w:rPr>
          <w:spacing w:val="-4"/>
          <w:sz w:val="20"/>
        </w:rPr>
        <w:t> </w:t>
      </w:r>
      <w:r>
        <w:rPr>
          <w:sz w:val="20"/>
        </w:rPr>
        <w:t>de</w:t>
      </w:r>
      <w:r>
        <w:rPr>
          <w:spacing w:val="-6"/>
          <w:sz w:val="20"/>
        </w:rPr>
        <w:t> </w:t>
      </w:r>
      <w:r>
        <w:rPr>
          <w:sz w:val="20"/>
        </w:rPr>
        <w:t>la</w:t>
      </w:r>
      <w:r>
        <w:rPr>
          <w:spacing w:val="-5"/>
          <w:sz w:val="20"/>
        </w:rPr>
        <w:t> </w:t>
      </w:r>
      <w:r>
        <w:rPr>
          <w:sz w:val="20"/>
        </w:rPr>
        <w:t>ciudadanía</w:t>
      </w:r>
      <w:r>
        <w:rPr>
          <w:spacing w:val="-6"/>
          <w:sz w:val="20"/>
        </w:rPr>
        <w:t> </w:t>
      </w:r>
      <w:r>
        <w:rPr>
          <w:sz w:val="20"/>
        </w:rPr>
        <w:t>los</w:t>
      </w:r>
      <w:r>
        <w:rPr>
          <w:spacing w:val="-4"/>
          <w:sz w:val="20"/>
        </w:rPr>
        <w:t> </w:t>
      </w:r>
      <w:r>
        <w:rPr>
          <w:sz w:val="20"/>
        </w:rPr>
        <w:t>Programas</w:t>
      </w:r>
      <w:r>
        <w:rPr>
          <w:spacing w:val="-4"/>
          <w:sz w:val="20"/>
        </w:rPr>
        <w:t> </w:t>
      </w:r>
      <w:r>
        <w:rPr>
          <w:sz w:val="20"/>
        </w:rPr>
        <w:t>de Ordenamiento Territorial y Desarrollo Urbano en el Estado para su consulta.</w:t>
      </w:r>
    </w:p>
    <w:p>
      <w:pPr>
        <w:pStyle w:val="BodyText"/>
        <w:spacing w:before="2"/>
      </w:pPr>
    </w:p>
    <w:p>
      <w:pPr>
        <w:pStyle w:val="ListParagraph"/>
        <w:numPr>
          <w:ilvl w:val="1"/>
          <w:numId w:val="21"/>
        </w:numPr>
        <w:tabs>
          <w:tab w:pos="687" w:val="left" w:leader="none"/>
        </w:tabs>
        <w:spacing w:line="240" w:lineRule="auto" w:before="0" w:after="0"/>
        <w:ind w:left="262" w:right="285" w:firstLine="0"/>
        <w:jc w:val="both"/>
        <w:rPr>
          <w:sz w:val="20"/>
        </w:rPr>
      </w:pPr>
      <w:r>
        <w:rPr>
          <w:sz w:val="20"/>
        </w:rPr>
        <w:t>Emitir y publicar en su página web, de forma periódica los resultados de sus indicadores de gestión y desempeño que permitan al Consejo Estatal de Ordenamiento Territorial y Desarrollo Urbano, evaluar su actuación;</w:t>
      </w:r>
    </w:p>
    <w:p>
      <w:pPr>
        <w:pStyle w:val="BodyText"/>
        <w:spacing w:before="7"/>
      </w:pPr>
    </w:p>
    <w:p>
      <w:pPr>
        <w:pStyle w:val="ListParagraph"/>
        <w:numPr>
          <w:ilvl w:val="0"/>
          <w:numId w:val="21"/>
        </w:numPr>
        <w:tabs>
          <w:tab w:pos="687" w:val="left" w:leader="none"/>
        </w:tabs>
        <w:spacing w:line="232" w:lineRule="auto" w:before="0" w:after="0"/>
        <w:ind w:left="262" w:right="284" w:firstLine="0"/>
        <w:jc w:val="both"/>
        <w:rPr>
          <w:sz w:val="20"/>
        </w:rPr>
      </w:pPr>
      <w:r>
        <w:rPr>
          <w:sz w:val="20"/>
        </w:rPr>
        <w:t>En materia de investigación: Desarrollar los proyectos y programas de investigación y planeación que resulten necesarios para el cumplimiento de sus fines;</w:t>
      </w:r>
    </w:p>
    <w:p>
      <w:pPr>
        <w:pStyle w:val="BodyText"/>
        <w:spacing w:before="4"/>
      </w:pPr>
    </w:p>
    <w:p>
      <w:pPr>
        <w:pStyle w:val="ListParagraph"/>
        <w:numPr>
          <w:ilvl w:val="0"/>
          <w:numId w:val="21"/>
        </w:numPr>
        <w:tabs>
          <w:tab w:pos="687" w:val="left" w:leader="none"/>
        </w:tabs>
        <w:spacing w:line="235" w:lineRule="auto" w:before="0" w:after="0"/>
        <w:ind w:left="262" w:right="286" w:firstLine="0"/>
        <w:jc w:val="both"/>
        <w:rPr>
          <w:sz w:val="20"/>
        </w:rPr>
      </w:pPr>
      <w:r>
        <w:rPr>
          <w:sz w:val="20"/>
        </w:rPr>
        <w:t>En materia de asesorías: Desarrollar mecanismos que permitan al Instituto Estatal realizar la prestación de asesorías y el desarrollo de proyectos que fortalezcan la obtención de recursos propios, y</w:t>
      </w:r>
    </w:p>
    <w:p>
      <w:pPr>
        <w:pStyle w:val="BodyText"/>
        <w:spacing w:before="9"/>
      </w:pPr>
    </w:p>
    <w:p>
      <w:pPr>
        <w:pStyle w:val="ListParagraph"/>
        <w:numPr>
          <w:ilvl w:val="0"/>
          <w:numId w:val="21"/>
        </w:numPr>
        <w:tabs>
          <w:tab w:pos="826" w:val="left" w:leader="none"/>
        </w:tabs>
        <w:spacing w:line="232" w:lineRule="auto" w:before="0" w:after="0"/>
        <w:ind w:left="262" w:right="285" w:firstLine="0"/>
        <w:jc w:val="both"/>
        <w:rPr>
          <w:sz w:val="20"/>
        </w:rPr>
      </w:pPr>
      <w:r>
        <w:rPr>
          <w:sz w:val="20"/>
        </w:rPr>
        <w:t>Las</w:t>
      </w:r>
      <w:r>
        <w:rPr>
          <w:spacing w:val="-4"/>
          <w:sz w:val="20"/>
        </w:rPr>
        <w:t> </w:t>
      </w:r>
      <w:r>
        <w:rPr>
          <w:sz w:val="20"/>
        </w:rPr>
        <w:t>demás</w:t>
      </w:r>
      <w:r>
        <w:rPr>
          <w:spacing w:val="-4"/>
          <w:sz w:val="20"/>
        </w:rPr>
        <w:t> </w:t>
      </w:r>
      <w:r>
        <w:rPr>
          <w:sz w:val="20"/>
        </w:rPr>
        <w:t>que</w:t>
      </w:r>
      <w:r>
        <w:rPr>
          <w:spacing w:val="-4"/>
          <w:sz w:val="20"/>
        </w:rPr>
        <w:t> </w:t>
      </w:r>
      <w:r>
        <w:rPr>
          <w:sz w:val="20"/>
        </w:rPr>
        <w:t>establezca</w:t>
      </w:r>
      <w:r>
        <w:rPr>
          <w:spacing w:val="-3"/>
          <w:sz w:val="20"/>
        </w:rPr>
        <w:t> </w:t>
      </w:r>
      <w:r>
        <w:rPr>
          <w:sz w:val="20"/>
        </w:rPr>
        <w:t>el</w:t>
      </w:r>
      <w:r>
        <w:rPr>
          <w:spacing w:val="-6"/>
          <w:sz w:val="20"/>
        </w:rPr>
        <w:t> </w:t>
      </w:r>
      <w:r>
        <w:rPr>
          <w:sz w:val="20"/>
        </w:rPr>
        <w:t>Reglamento</w:t>
      </w:r>
      <w:r>
        <w:rPr>
          <w:spacing w:val="-3"/>
          <w:sz w:val="20"/>
        </w:rPr>
        <w:t> </w:t>
      </w:r>
      <w:r>
        <w:rPr>
          <w:sz w:val="20"/>
        </w:rPr>
        <w:t>de</w:t>
      </w:r>
      <w:r>
        <w:rPr>
          <w:spacing w:val="-3"/>
          <w:sz w:val="20"/>
        </w:rPr>
        <w:t> </w:t>
      </w:r>
      <w:r>
        <w:rPr>
          <w:sz w:val="20"/>
        </w:rPr>
        <w:t>conformidad</w:t>
      </w:r>
      <w:r>
        <w:rPr>
          <w:spacing w:val="-5"/>
          <w:sz w:val="20"/>
        </w:rPr>
        <w:t> </w:t>
      </w:r>
      <w:r>
        <w:rPr>
          <w:sz w:val="20"/>
        </w:rPr>
        <w:t>con</w:t>
      </w:r>
      <w:r>
        <w:rPr>
          <w:spacing w:val="-5"/>
          <w:sz w:val="20"/>
        </w:rPr>
        <w:t> </w:t>
      </w:r>
      <w:r>
        <w:rPr>
          <w:sz w:val="20"/>
        </w:rPr>
        <w:t>las</w:t>
      </w:r>
      <w:r>
        <w:rPr>
          <w:spacing w:val="-4"/>
          <w:sz w:val="20"/>
        </w:rPr>
        <w:t> </w:t>
      </w:r>
      <w:r>
        <w:rPr>
          <w:sz w:val="20"/>
        </w:rPr>
        <w:t>atribuciones</w:t>
      </w:r>
      <w:r>
        <w:rPr>
          <w:spacing w:val="-2"/>
          <w:sz w:val="20"/>
        </w:rPr>
        <w:t> </w:t>
      </w:r>
      <w:r>
        <w:rPr>
          <w:sz w:val="20"/>
        </w:rPr>
        <w:t>anteriores,</w:t>
      </w:r>
      <w:r>
        <w:rPr>
          <w:spacing w:val="-5"/>
          <w:sz w:val="20"/>
        </w:rPr>
        <w:t> </w:t>
      </w:r>
      <w:r>
        <w:rPr>
          <w:sz w:val="20"/>
        </w:rPr>
        <w:t>su objeto y fines.</w:t>
      </w:r>
    </w:p>
    <w:p>
      <w:pPr>
        <w:pStyle w:val="BodyText"/>
        <w:spacing w:before="229"/>
        <w:ind w:left="262" w:right="283"/>
        <w:jc w:val="both"/>
      </w:pPr>
      <w:r>
        <w:rPr>
          <w:rFonts w:ascii="Arial" w:hAnsi="Arial"/>
          <w:b/>
        </w:rPr>
        <w:t>ARTÍCULO 37. </w:t>
      </w:r>
      <w:r>
        <w:rPr/>
        <w:t>El Reglamento Interior del Instituto Estatal de Planeación Urbana, determinará con base en lo señalado en el artículo inmediato anterior, la integración del Cuerpo Técnico, así como sus</w:t>
      </w:r>
      <w:r>
        <w:rPr>
          <w:spacing w:val="-4"/>
        </w:rPr>
        <w:t> </w:t>
      </w:r>
      <w:r>
        <w:rPr/>
        <w:t>funciones,</w:t>
      </w:r>
      <w:r>
        <w:rPr>
          <w:spacing w:val="-5"/>
        </w:rPr>
        <w:t> </w:t>
      </w:r>
      <w:r>
        <w:rPr/>
        <w:t>organización</w:t>
      </w:r>
      <w:r>
        <w:rPr>
          <w:spacing w:val="-5"/>
        </w:rPr>
        <w:t> </w:t>
      </w:r>
      <w:r>
        <w:rPr/>
        <w:t>y</w:t>
      </w:r>
      <w:r>
        <w:rPr>
          <w:spacing w:val="-4"/>
        </w:rPr>
        <w:t> </w:t>
      </w:r>
      <w:r>
        <w:rPr/>
        <w:t>funcionamiento,</w:t>
      </w:r>
      <w:r>
        <w:rPr>
          <w:spacing w:val="-5"/>
        </w:rPr>
        <w:t> </w:t>
      </w:r>
      <w:r>
        <w:rPr/>
        <w:t>pudiendo</w:t>
      </w:r>
      <w:r>
        <w:rPr>
          <w:spacing w:val="-6"/>
        </w:rPr>
        <w:t> </w:t>
      </w:r>
      <w:r>
        <w:rPr/>
        <w:t>ampliar</w:t>
      </w:r>
      <w:r>
        <w:rPr>
          <w:spacing w:val="-5"/>
        </w:rPr>
        <w:t> </w:t>
      </w:r>
      <w:r>
        <w:rPr/>
        <w:t>su</w:t>
      </w:r>
      <w:r>
        <w:rPr>
          <w:spacing w:val="-5"/>
        </w:rPr>
        <w:t> </w:t>
      </w:r>
      <w:r>
        <w:rPr/>
        <w:t>estructura</w:t>
      </w:r>
      <w:r>
        <w:rPr>
          <w:spacing w:val="-5"/>
        </w:rPr>
        <w:t> </w:t>
      </w:r>
      <w:r>
        <w:rPr/>
        <w:t>orgánica,</w:t>
      </w:r>
      <w:r>
        <w:rPr>
          <w:spacing w:val="-5"/>
        </w:rPr>
        <w:t> </w:t>
      </w:r>
      <w:r>
        <w:rPr/>
        <w:t>conforme</w:t>
      </w:r>
      <w:r>
        <w:rPr>
          <w:spacing w:val="-5"/>
        </w:rPr>
        <w:t> </w:t>
      </w:r>
      <w:r>
        <w:rPr/>
        <w:t>a sus necesidades y presupuesto asignado.</w:t>
      </w:r>
    </w:p>
    <w:p>
      <w:pPr>
        <w:pStyle w:val="BodyText"/>
      </w:pPr>
    </w:p>
    <w:p>
      <w:pPr>
        <w:pStyle w:val="BodyText"/>
      </w:pPr>
    </w:p>
    <w:p>
      <w:pPr>
        <w:pStyle w:val="Heading2"/>
        <w:ind w:right="16"/>
      </w:pPr>
      <w:r>
        <w:rPr/>
        <w:t>Sección</w:t>
      </w:r>
      <w:r>
        <w:rPr>
          <w:spacing w:val="-9"/>
        </w:rPr>
        <w:t> </w:t>
      </w:r>
      <w:r>
        <w:rPr>
          <w:spacing w:val="-2"/>
        </w:rPr>
        <w:t>Segunda</w:t>
      </w:r>
    </w:p>
    <w:p>
      <w:pPr>
        <w:pStyle w:val="BodyText"/>
        <w:spacing w:before="1"/>
        <w:rPr>
          <w:rFonts w:ascii="Arial"/>
          <w:b/>
        </w:rPr>
      </w:pPr>
    </w:p>
    <w:p>
      <w:pPr>
        <w:spacing w:before="0"/>
        <w:ind w:left="5" w:right="24" w:firstLine="0"/>
        <w:jc w:val="center"/>
        <w:rPr>
          <w:rFonts w:ascii="Arial" w:hAnsi="Arial"/>
          <w:b/>
          <w:sz w:val="20"/>
        </w:rPr>
      </w:pPr>
      <w:r>
        <w:rPr>
          <w:rFonts w:ascii="Arial" w:hAnsi="Arial"/>
          <w:b/>
          <w:sz w:val="20"/>
        </w:rPr>
        <w:t>Institutos</w:t>
      </w:r>
      <w:r>
        <w:rPr>
          <w:rFonts w:ascii="Arial" w:hAnsi="Arial"/>
          <w:b/>
          <w:spacing w:val="-11"/>
          <w:sz w:val="20"/>
        </w:rPr>
        <w:t> </w:t>
      </w:r>
      <w:r>
        <w:rPr>
          <w:rFonts w:ascii="Arial" w:hAnsi="Arial"/>
          <w:b/>
          <w:sz w:val="20"/>
        </w:rPr>
        <w:t>Municipales</w:t>
      </w:r>
      <w:r>
        <w:rPr>
          <w:rFonts w:ascii="Arial" w:hAnsi="Arial"/>
          <w:b/>
          <w:spacing w:val="-11"/>
          <w:sz w:val="20"/>
        </w:rPr>
        <w:t> </w:t>
      </w:r>
      <w:r>
        <w:rPr>
          <w:rFonts w:ascii="Arial" w:hAnsi="Arial"/>
          <w:b/>
          <w:sz w:val="20"/>
        </w:rPr>
        <w:t>de</w:t>
      </w:r>
      <w:r>
        <w:rPr>
          <w:rFonts w:ascii="Arial" w:hAnsi="Arial"/>
          <w:b/>
          <w:spacing w:val="-9"/>
          <w:sz w:val="20"/>
        </w:rPr>
        <w:t> </w:t>
      </w:r>
      <w:r>
        <w:rPr>
          <w:rFonts w:ascii="Arial" w:hAnsi="Arial"/>
          <w:b/>
          <w:sz w:val="20"/>
        </w:rPr>
        <w:t>Planeación</w:t>
      </w:r>
      <w:r>
        <w:rPr>
          <w:rFonts w:ascii="Arial" w:hAnsi="Arial"/>
          <w:b/>
          <w:spacing w:val="-10"/>
          <w:sz w:val="20"/>
        </w:rPr>
        <w:t> </w:t>
      </w:r>
      <w:r>
        <w:rPr>
          <w:rFonts w:ascii="Arial" w:hAnsi="Arial"/>
          <w:b/>
          <w:spacing w:val="-2"/>
          <w:sz w:val="20"/>
        </w:rPr>
        <w:t>Urbana</w:t>
      </w:r>
    </w:p>
    <w:p>
      <w:pPr>
        <w:pStyle w:val="BodyText"/>
        <w:spacing w:before="1"/>
        <w:rPr>
          <w:rFonts w:ascii="Arial"/>
          <w:b/>
        </w:rPr>
      </w:pPr>
    </w:p>
    <w:p>
      <w:pPr>
        <w:pStyle w:val="BodyText"/>
        <w:ind w:left="262" w:right="277"/>
        <w:jc w:val="both"/>
      </w:pPr>
      <w:r>
        <w:rPr>
          <w:rFonts w:ascii="Arial" w:hAnsi="Arial"/>
          <w:b/>
        </w:rPr>
        <w:t>ARTÍCULO 38. </w:t>
      </w:r>
      <w:r>
        <w:rPr/>
        <w:t>Los institutos municipales y los metropolitanos de planeación urbana, podrán constituirse</w:t>
      </w:r>
      <w:r>
        <w:rPr>
          <w:spacing w:val="-14"/>
        </w:rPr>
        <w:t> </w:t>
      </w:r>
      <w:r>
        <w:rPr/>
        <w:t>como</w:t>
      </w:r>
      <w:r>
        <w:rPr>
          <w:spacing w:val="-14"/>
        </w:rPr>
        <w:t> </w:t>
      </w:r>
      <w:r>
        <w:rPr/>
        <w:t>organismos</w:t>
      </w:r>
      <w:r>
        <w:rPr>
          <w:spacing w:val="-14"/>
        </w:rPr>
        <w:t> </w:t>
      </w:r>
      <w:r>
        <w:rPr/>
        <w:t>descentralizados,</w:t>
      </w:r>
      <w:r>
        <w:rPr>
          <w:spacing w:val="-14"/>
        </w:rPr>
        <w:t> </w:t>
      </w:r>
      <w:r>
        <w:rPr/>
        <w:t>con</w:t>
      </w:r>
      <w:r>
        <w:rPr>
          <w:spacing w:val="-14"/>
        </w:rPr>
        <w:t> </w:t>
      </w:r>
      <w:r>
        <w:rPr/>
        <w:t>personalidad</w:t>
      </w:r>
      <w:r>
        <w:rPr>
          <w:spacing w:val="-14"/>
        </w:rPr>
        <w:t> </w:t>
      </w:r>
      <w:r>
        <w:rPr/>
        <w:t>jurídica</w:t>
      </w:r>
      <w:r>
        <w:rPr>
          <w:spacing w:val="-14"/>
        </w:rPr>
        <w:t> </w:t>
      </w:r>
      <w:r>
        <w:rPr/>
        <w:t>y</w:t>
      </w:r>
      <w:r>
        <w:rPr>
          <w:spacing w:val="-14"/>
        </w:rPr>
        <w:t> </w:t>
      </w:r>
      <w:r>
        <w:rPr/>
        <w:t>patrimonio</w:t>
      </w:r>
      <w:r>
        <w:rPr>
          <w:spacing w:val="-14"/>
        </w:rPr>
        <w:t> </w:t>
      </w:r>
      <w:r>
        <w:rPr/>
        <w:t>propio,</w:t>
      </w:r>
      <w:r>
        <w:rPr>
          <w:spacing w:val="-13"/>
        </w:rPr>
        <w:t> </w:t>
      </w:r>
      <w:r>
        <w:rPr/>
        <w:t>o</w:t>
      </w:r>
      <w:r>
        <w:rPr>
          <w:spacing w:val="-14"/>
        </w:rPr>
        <w:t> </w:t>
      </w:r>
      <w:r>
        <w:rPr/>
        <w:t>bien como</w:t>
      </w:r>
      <w:r>
        <w:rPr>
          <w:spacing w:val="-14"/>
        </w:rPr>
        <w:t> </w:t>
      </w:r>
      <w:r>
        <w:rPr/>
        <w:t>órganos</w:t>
      </w:r>
      <w:r>
        <w:rPr>
          <w:spacing w:val="-14"/>
        </w:rPr>
        <w:t> </w:t>
      </w:r>
      <w:r>
        <w:rPr/>
        <w:t>desconcentrados</w:t>
      </w:r>
      <w:r>
        <w:rPr>
          <w:spacing w:val="-14"/>
        </w:rPr>
        <w:t> </w:t>
      </w:r>
      <w:r>
        <w:rPr/>
        <w:t>de</w:t>
      </w:r>
      <w:r>
        <w:rPr>
          <w:spacing w:val="-12"/>
        </w:rPr>
        <w:t> </w:t>
      </w:r>
      <w:r>
        <w:rPr/>
        <w:t>la</w:t>
      </w:r>
      <w:r>
        <w:rPr>
          <w:spacing w:val="-13"/>
        </w:rPr>
        <w:t> </w:t>
      </w:r>
      <w:r>
        <w:rPr/>
        <w:t>administración</w:t>
      </w:r>
      <w:r>
        <w:rPr>
          <w:spacing w:val="-13"/>
        </w:rPr>
        <w:t> </w:t>
      </w:r>
      <w:r>
        <w:rPr/>
        <w:t>pública</w:t>
      </w:r>
      <w:r>
        <w:rPr>
          <w:spacing w:val="-13"/>
        </w:rPr>
        <w:t> </w:t>
      </w:r>
      <w:r>
        <w:rPr/>
        <w:t>municipal;</w:t>
      </w:r>
      <w:r>
        <w:rPr>
          <w:spacing w:val="-13"/>
        </w:rPr>
        <w:t> </w:t>
      </w:r>
      <w:r>
        <w:rPr/>
        <w:t>tendrán</w:t>
      </w:r>
      <w:r>
        <w:rPr>
          <w:spacing w:val="-7"/>
        </w:rPr>
        <w:t> </w:t>
      </w:r>
      <w:r>
        <w:rPr/>
        <w:t>la</w:t>
      </w:r>
      <w:r>
        <w:rPr>
          <w:spacing w:val="-13"/>
        </w:rPr>
        <w:t> </w:t>
      </w:r>
      <w:r>
        <w:rPr/>
        <w:t>organización</w:t>
      </w:r>
      <w:r>
        <w:rPr>
          <w:spacing w:val="-14"/>
        </w:rPr>
        <w:t> </w:t>
      </w:r>
      <w:r>
        <w:rPr/>
        <w:t>y</w:t>
      </w:r>
      <w:r>
        <w:rPr>
          <w:spacing w:val="-12"/>
        </w:rPr>
        <w:t> </w:t>
      </w:r>
      <w:r>
        <w:rPr/>
        <w:t>las funciones que les señalen las disposiciones jurídicas que los establezcan, con base en lo previsto en</w:t>
      </w:r>
      <w:r>
        <w:rPr>
          <w:spacing w:val="-12"/>
        </w:rPr>
        <w:t> </w:t>
      </w:r>
      <w:r>
        <w:rPr/>
        <w:t>esta</w:t>
      </w:r>
      <w:r>
        <w:rPr>
          <w:spacing w:val="-9"/>
        </w:rPr>
        <w:t> </w:t>
      </w:r>
      <w:r>
        <w:rPr/>
        <w:t>Ley,</w:t>
      </w:r>
      <w:r>
        <w:rPr>
          <w:spacing w:val="-9"/>
        </w:rPr>
        <w:t> </w:t>
      </w:r>
      <w:r>
        <w:rPr/>
        <w:t>y</w:t>
      </w:r>
      <w:r>
        <w:rPr>
          <w:spacing w:val="-10"/>
        </w:rPr>
        <w:t> </w:t>
      </w:r>
      <w:r>
        <w:rPr/>
        <w:t>coadyuvarán</w:t>
      </w:r>
      <w:r>
        <w:rPr>
          <w:spacing w:val="-9"/>
        </w:rPr>
        <w:t> </w:t>
      </w:r>
      <w:r>
        <w:rPr/>
        <w:t>con</w:t>
      </w:r>
      <w:r>
        <w:rPr>
          <w:spacing w:val="-12"/>
        </w:rPr>
        <w:t> </w:t>
      </w:r>
      <w:r>
        <w:rPr/>
        <w:t>los</w:t>
      </w:r>
      <w:r>
        <w:rPr>
          <w:spacing w:val="-10"/>
        </w:rPr>
        <w:t> </w:t>
      </w:r>
      <w:r>
        <w:rPr/>
        <w:t>ayuntamientos</w:t>
      </w:r>
      <w:r>
        <w:rPr>
          <w:spacing w:val="-10"/>
        </w:rPr>
        <w:t> </w:t>
      </w:r>
      <w:r>
        <w:rPr/>
        <w:t>y</w:t>
      </w:r>
      <w:r>
        <w:rPr>
          <w:spacing w:val="-10"/>
        </w:rPr>
        <w:t> </w:t>
      </w:r>
      <w:r>
        <w:rPr/>
        <w:t>los</w:t>
      </w:r>
      <w:r>
        <w:rPr>
          <w:spacing w:val="-10"/>
        </w:rPr>
        <w:t> </w:t>
      </w:r>
      <w:r>
        <w:rPr/>
        <w:t>Consejos</w:t>
      </w:r>
      <w:r>
        <w:rPr>
          <w:spacing w:val="-10"/>
        </w:rPr>
        <w:t> </w:t>
      </w:r>
      <w:r>
        <w:rPr/>
        <w:t>Municipales</w:t>
      </w:r>
      <w:r>
        <w:rPr>
          <w:spacing w:val="-10"/>
        </w:rPr>
        <w:t> </w:t>
      </w:r>
      <w:r>
        <w:rPr/>
        <w:t>de</w:t>
      </w:r>
      <w:r>
        <w:rPr>
          <w:spacing w:val="-9"/>
        </w:rPr>
        <w:t> </w:t>
      </w:r>
      <w:r>
        <w:rPr/>
        <w:t>Desarrollo</w:t>
      </w:r>
      <w:r>
        <w:rPr>
          <w:spacing w:val="-11"/>
        </w:rPr>
        <w:t> </w:t>
      </w:r>
      <w:r>
        <w:rPr/>
        <w:t>Urbano y Vivienda en la planeación del desarrollo urbano así como en la elaboración de programas y </w:t>
      </w:r>
      <w:r>
        <w:rPr>
          <w:spacing w:val="-2"/>
        </w:rPr>
        <w:t>proyectos.</w:t>
      </w:r>
    </w:p>
    <w:p>
      <w:pPr>
        <w:pStyle w:val="BodyText"/>
        <w:spacing w:before="229"/>
        <w:ind w:left="262" w:right="286"/>
        <w:jc w:val="both"/>
      </w:pPr>
      <w:r>
        <w:rPr>
          <w:rFonts w:ascii="Arial" w:hAnsi="Arial"/>
          <w:b/>
        </w:rPr>
        <w:t>ARTÍCULO 39. </w:t>
      </w:r>
      <w:r>
        <w:rPr/>
        <w:t>Los Institutos Municipales de Planeación Urbana cuando se constituyan como organismos</w:t>
      </w:r>
      <w:r>
        <w:rPr>
          <w:spacing w:val="-2"/>
        </w:rPr>
        <w:t> </w:t>
      </w:r>
      <w:r>
        <w:rPr/>
        <w:t>públicos</w:t>
      </w:r>
      <w:r>
        <w:rPr>
          <w:spacing w:val="-2"/>
        </w:rPr>
        <w:t> </w:t>
      </w:r>
      <w:r>
        <w:rPr/>
        <w:t>descentralizados,</w:t>
      </w:r>
      <w:r>
        <w:rPr>
          <w:spacing w:val="-3"/>
        </w:rPr>
        <w:t> </w:t>
      </w:r>
      <w:r>
        <w:rPr/>
        <w:t>contarán</w:t>
      </w:r>
      <w:r>
        <w:rPr>
          <w:spacing w:val="-3"/>
        </w:rPr>
        <w:t> </w:t>
      </w:r>
      <w:r>
        <w:rPr/>
        <w:t>como</w:t>
      </w:r>
      <w:r>
        <w:rPr>
          <w:spacing w:val="-1"/>
        </w:rPr>
        <w:t> </w:t>
      </w:r>
      <w:r>
        <w:rPr/>
        <w:t>mínimo</w:t>
      </w:r>
      <w:r>
        <w:rPr>
          <w:spacing w:val="-1"/>
        </w:rPr>
        <w:t> </w:t>
      </w:r>
      <w:r>
        <w:rPr/>
        <w:t>con</w:t>
      </w:r>
      <w:r>
        <w:rPr>
          <w:spacing w:val="-2"/>
        </w:rPr>
        <w:t> </w:t>
      </w:r>
      <w:r>
        <w:rPr/>
        <w:t>la</w:t>
      </w:r>
      <w:r>
        <w:rPr>
          <w:spacing w:val="-3"/>
        </w:rPr>
        <w:t> </w:t>
      </w:r>
      <w:r>
        <w:rPr/>
        <w:t>siguiente</w:t>
      </w:r>
      <w:r>
        <w:rPr>
          <w:spacing w:val="-3"/>
        </w:rPr>
        <w:t> </w:t>
      </w:r>
      <w:r>
        <w:rPr/>
        <w:t>estructura</w:t>
      </w:r>
      <w:r>
        <w:rPr>
          <w:spacing w:val="-3"/>
        </w:rPr>
        <w:t> </w:t>
      </w:r>
      <w:r>
        <w:rPr/>
        <w:t>orgánica:</w:t>
      </w:r>
    </w:p>
    <w:p>
      <w:pPr>
        <w:pStyle w:val="BodyText"/>
        <w:spacing w:before="3"/>
      </w:pPr>
    </w:p>
    <w:p>
      <w:pPr>
        <w:pStyle w:val="ListParagraph"/>
        <w:numPr>
          <w:ilvl w:val="0"/>
          <w:numId w:val="22"/>
        </w:numPr>
        <w:tabs>
          <w:tab w:pos="543" w:val="left" w:leader="none"/>
        </w:tabs>
        <w:spacing w:line="237" w:lineRule="auto" w:before="0" w:after="0"/>
        <w:ind w:left="262" w:right="287" w:firstLine="0"/>
        <w:jc w:val="both"/>
        <w:rPr>
          <w:sz w:val="20"/>
        </w:rPr>
      </w:pPr>
      <w:r>
        <w:rPr>
          <w:sz w:val="20"/>
        </w:rPr>
        <w:t>Una Junta de Gobierno presidida por el Presidente Municipal integrada por el Director General del Instituto, funcionarios municipales, regidores y representantes de la comunidad. Los miembros</w:t>
      </w:r>
    </w:p>
    <w:p>
      <w:pPr>
        <w:pStyle w:val="ListParagraph"/>
        <w:spacing w:after="0" w:line="237"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1"/>
        <w:jc w:val="both"/>
      </w:pPr>
      <w:r>
        <w:rPr/>
        <w:t>de</w:t>
      </w:r>
      <w:r>
        <w:rPr>
          <w:spacing w:val="-6"/>
        </w:rPr>
        <w:t> </w:t>
      </w:r>
      <w:r>
        <w:rPr/>
        <w:t>la</w:t>
      </w:r>
      <w:r>
        <w:rPr>
          <w:spacing w:val="-6"/>
        </w:rPr>
        <w:t> </w:t>
      </w:r>
      <w:r>
        <w:rPr/>
        <w:t>Junta</w:t>
      </w:r>
      <w:r>
        <w:rPr>
          <w:spacing w:val="-6"/>
        </w:rPr>
        <w:t> </w:t>
      </w:r>
      <w:r>
        <w:rPr/>
        <w:t>de</w:t>
      </w:r>
      <w:r>
        <w:rPr>
          <w:spacing w:val="-6"/>
        </w:rPr>
        <w:t> </w:t>
      </w:r>
      <w:r>
        <w:rPr/>
        <w:t>Gobierno</w:t>
      </w:r>
      <w:r>
        <w:rPr>
          <w:spacing w:val="-3"/>
        </w:rPr>
        <w:t> </w:t>
      </w:r>
      <w:r>
        <w:rPr/>
        <w:t>tendrán</w:t>
      </w:r>
      <w:r>
        <w:rPr>
          <w:spacing w:val="-5"/>
        </w:rPr>
        <w:t> </w:t>
      </w:r>
      <w:r>
        <w:rPr/>
        <w:t>voz</w:t>
      </w:r>
      <w:r>
        <w:rPr>
          <w:spacing w:val="-5"/>
        </w:rPr>
        <w:t> </w:t>
      </w:r>
      <w:r>
        <w:rPr/>
        <w:t>y</w:t>
      </w:r>
      <w:r>
        <w:rPr>
          <w:spacing w:val="-4"/>
        </w:rPr>
        <w:t> </w:t>
      </w:r>
      <w:r>
        <w:rPr/>
        <w:t>voto,</w:t>
      </w:r>
      <w:r>
        <w:rPr>
          <w:spacing w:val="-5"/>
        </w:rPr>
        <w:t> </w:t>
      </w:r>
      <w:r>
        <w:rPr/>
        <w:t>con</w:t>
      </w:r>
      <w:r>
        <w:rPr>
          <w:spacing w:val="-6"/>
        </w:rPr>
        <w:t> </w:t>
      </w:r>
      <w:r>
        <w:rPr/>
        <w:t>excepción</w:t>
      </w:r>
      <w:r>
        <w:rPr>
          <w:spacing w:val="-6"/>
        </w:rPr>
        <w:t> </w:t>
      </w:r>
      <w:r>
        <w:rPr/>
        <w:t>del</w:t>
      </w:r>
      <w:r>
        <w:rPr>
          <w:spacing w:val="-4"/>
        </w:rPr>
        <w:t> </w:t>
      </w:r>
      <w:r>
        <w:rPr/>
        <w:t>Director</w:t>
      </w:r>
      <w:r>
        <w:rPr>
          <w:spacing w:val="-5"/>
        </w:rPr>
        <w:t> </w:t>
      </w:r>
      <w:r>
        <w:rPr/>
        <w:t>General</w:t>
      </w:r>
      <w:r>
        <w:rPr>
          <w:spacing w:val="-6"/>
        </w:rPr>
        <w:t> </w:t>
      </w:r>
      <w:r>
        <w:rPr/>
        <w:t>que</w:t>
      </w:r>
      <w:r>
        <w:rPr>
          <w:spacing w:val="-6"/>
        </w:rPr>
        <w:t> </w:t>
      </w:r>
      <w:r>
        <w:rPr/>
        <w:t>solo</w:t>
      </w:r>
      <w:r>
        <w:rPr>
          <w:spacing w:val="-6"/>
        </w:rPr>
        <w:t> </w:t>
      </w:r>
      <w:r>
        <w:rPr/>
        <w:t>tendrá</w:t>
      </w:r>
      <w:r>
        <w:rPr>
          <w:spacing w:val="-6"/>
        </w:rPr>
        <w:t> </w:t>
      </w:r>
      <w:r>
        <w:rPr/>
        <w:t>voz y</w:t>
      </w:r>
      <w:r>
        <w:rPr>
          <w:spacing w:val="-3"/>
        </w:rPr>
        <w:t> </w:t>
      </w:r>
      <w:r>
        <w:rPr/>
        <w:t>actuará</w:t>
      </w:r>
      <w:r>
        <w:rPr>
          <w:spacing w:val="-4"/>
        </w:rPr>
        <w:t> </w:t>
      </w:r>
      <w:r>
        <w:rPr/>
        <w:t>como</w:t>
      </w:r>
      <w:r>
        <w:rPr>
          <w:spacing w:val="-4"/>
        </w:rPr>
        <w:t> </w:t>
      </w:r>
      <w:r>
        <w:rPr/>
        <w:t>Secretario</w:t>
      </w:r>
      <w:r>
        <w:rPr>
          <w:spacing w:val="-3"/>
        </w:rPr>
        <w:t> </w:t>
      </w:r>
      <w:r>
        <w:rPr/>
        <w:t>Técnico</w:t>
      </w:r>
      <w:r>
        <w:rPr>
          <w:spacing w:val="-4"/>
        </w:rPr>
        <w:t> </w:t>
      </w:r>
      <w:r>
        <w:rPr/>
        <w:t>de</w:t>
      </w:r>
      <w:r>
        <w:rPr>
          <w:spacing w:val="-4"/>
        </w:rPr>
        <w:t> </w:t>
      </w:r>
      <w:r>
        <w:rPr/>
        <w:t>la</w:t>
      </w:r>
      <w:r>
        <w:rPr>
          <w:spacing w:val="-4"/>
        </w:rPr>
        <w:t> </w:t>
      </w:r>
      <w:r>
        <w:rPr/>
        <w:t>misma;</w:t>
      </w:r>
      <w:r>
        <w:rPr>
          <w:spacing w:val="-4"/>
        </w:rPr>
        <w:t> </w:t>
      </w:r>
      <w:r>
        <w:rPr/>
        <w:t>el</w:t>
      </w:r>
      <w:r>
        <w:rPr>
          <w:spacing w:val="-5"/>
        </w:rPr>
        <w:t> </w:t>
      </w:r>
      <w:r>
        <w:rPr/>
        <w:t>Presidente</w:t>
      </w:r>
      <w:r>
        <w:rPr>
          <w:spacing w:val="-5"/>
        </w:rPr>
        <w:t> </w:t>
      </w:r>
      <w:r>
        <w:rPr/>
        <w:t>de</w:t>
      </w:r>
      <w:r>
        <w:rPr>
          <w:spacing w:val="-3"/>
        </w:rPr>
        <w:t> </w:t>
      </w:r>
      <w:r>
        <w:rPr/>
        <w:t>la</w:t>
      </w:r>
      <w:r>
        <w:rPr>
          <w:spacing w:val="-4"/>
        </w:rPr>
        <w:t> </w:t>
      </w:r>
      <w:r>
        <w:rPr/>
        <w:t>Junta</w:t>
      </w:r>
      <w:r>
        <w:rPr>
          <w:spacing w:val="-4"/>
        </w:rPr>
        <w:t> </w:t>
      </w:r>
      <w:r>
        <w:rPr/>
        <w:t>tendrá</w:t>
      </w:r>
      <w:r>
        <w:rPr>
          <w:spacing w:val="-2"/>
        </w:rPr>
        <w:t> </w:t>
      </w:r>
      <w:r>
        <w:rPr/>
        <w:t>voto</w:t>
      </w:r>
      <w:r>
        <w:rPr>
          <w:spacing w:val="-5"/>
        </w:rPr>
        <w:t> </w:t>
      </w:r>
      <w:r>
        <w:rPr/>
        <w:t>de</w:t>
      </w:r>
      <w:r>
        <w:rPr>
          <w:spacing w:val="-5"/>
        </w:rPr>
        <w:t> </w:t>
      </w:r>
      <w:r>
        <w:rPr/>
        <w:t>calidad</w:t>
      </w:r>
      <w:r>
        <w:rPr>
          <w:spacing w:val="-4"/>
        </w:rPr>
        <w:t> </w:t>
      </w:r>
      <w:r>
        <w:rPr/>
        <w:t>en caso de empate;</w:t>
      </w:r>
    </w:p>
    <w:p>
      <w:pPr>
        <w:pStyle w:val="BodyText"/>
        <w:spacing w:before="1"/>
      </w:pPr>
    </w:p>
    <w:p>
      <w:pPr>
        <w:pStyle w:val="ListParagraph"/>
        <w:numPr>
          <w:ilvl w:val="0"/>
          <w:numId w:val="22"/>
        </w:numPr>
        <w:tabs>
          <w:tab w:pos="543" w:val="left" w:leader="none"/>
        </w:tabs>
        <w:spacing w:line="240" w:lineRule="auto" w:before="1" w:after="0"/>
        <w:ind w:left="543" w:right="0" w:hanging="281"/>
        <w:jc w:val="both"/>
        <w:rPr>
          <w:sz w:val="20"/>
        </w:rPr>
      </w:pPr>
      <w:r>
        <w:rPr>
          <w:sz w:val="20"/>
        </w:rPr>
        <w:t>Un</w:t>
      </w:r>
      <w:r>
        <w:rPr>
          <w:spacing w:val="-8"/>
          <w:sz w:val="20"/>
        </w:rPr>
        <w:t> </w:t>
      </w:r>
      <w:r>
        <w:rPr>
          <w:sz w:val="20"/>
        </w:rPr>
        <w:t>Consejo</w:t>
      </w:r>
      <w:r>
        <w:rPr>
          <w:spacing w:val="-7"/>
          <w:sz w:val="20"/>
        </w:rPr>
        <w:t> </w:t>
      </w:r>
      <w:r>
        <w:rPr>
          <w:sz w:val="20"/>
        </w:rPr>
        <w:t>Consultivo,</w:t>
      </w:r>
      <w:r>
        <w:rPr>
          <w:spacing w:val="-7"/>
          <w:sz w:val="20"/>
        </w:rPr>
        <w:t> </w:t>
      </w:r>
      <w:r>
        <w:rPr>
          <w:sz w:val="20"/>
        </w:rPr>
        <w:t>que</w:t>
      </w:r>
      <w:r>
        <w:rPr>
          <w:spacing w:val="-7"/>
          <w:sz w:val="20"/>
        </w:rPr>
        <w:t> </w:t>
      </w:r>
      <w:r>
        <w:rPr>
          <w:sz w:val="20"/>
        </w:rPr>
        <w:t>será</w:t>
      </w:r>
      <w:r>
        <w:rPr>
          <w:spacing w:val="-7"/>
          <w:sz w:val="20"/>
        </w:rPr>
        <w:t> </w:t>
      </w:r>
      <w:r>
        <w:rPr>
          <w:sz w:val="20"/>
        </w:rPr>
        <w:t>el</w:t>
      </w:r>
      <w:r>
        <w:rPr>
          <w:spacing w:val="-8"/>
          <w:sz w:val="20"/>
        </w:rPr>
        <w:t> </w:t>
      </w:r>
      <w:r>
        <w:rPr>
          <w:sz w:val="20"/>
        </w:rPr>
        <w:t>Consejo</w:t>
      </w:r>
      <w:r>
        <w:rPr>
          <w:spacing w:val="-7"/>
          <w:sz w:val="20"/>
        </w:rPr>
        <w:t> </w:t>
      </w:r>
      <w:r>
        <w:rPr>
          <w:sz w:val="20"/>
        </w:rPr>
        <w:t>Municipal</w:t>
      </w:r>
      <w:r>
        <w:rPr>
          <w:spacing w:val="-8"/>
          <w:sz w:val="20"/>
        </w:rPr>
        <w:t> </w:t>
      </w:r>
      <w:r>
        <w:rPr>
          <w:sz w:val="20"/>
        </w:rPr>
        <w:t>de</w:t>
      </w:r>
      <w:r>
        <w:rPr>
          <w:spacing w:val="-5"/>
          <w:sz w:val="20"/>
        </w:rPr>
        <w:t> </w:t>
      </w:r>
      <w:r>
        <w:rPr>
          <w:sz w:val="20"/>
        </w:rPr>
        <w:t>Desarrollo</w:t>
      </w:r>
      <w:r>
        <w:rPr>
          <w:spacing w:val="-5"/>
          <w:sz w:val="20"/>
        </w:rPr>
        <w:t> </w:t>
      </w:r>
      <w:r>
        <w:rPr>
          <w:sz w:val="20"/>
        </w:rPr>
        <w:t>Urbano</w:t>
      </w:r>
      <w:r>
        <w:rPr>
          <w:spacing w:val="-8"/>
          <w:sz w:val="20"/>
        </w:rPr>
        <w:t> </w:t>
      </w:r>
      <w:r>
        <w:rPr>
          <w:sz w:val="20"/>
        </w:rPr>
        <w:t>y</w:t>
      </w:r>
      <w:r>
        <w:rPr>
          <w:spacing w:val="-6"/>
          <w:sz w:val="20"/>
        </w:rPr>
        <w:t> </w:t>
      </w:r>
      <w:r>
        <w:rPr>
          <w:spacing w:val="-2"/>
          <w:sz w:val="20"/>
        </w:rPr>
        <w:t>Vivienda;</w:t>
      </w:r>
    </w:p>
    <w:p>
      <w:pPr>
        <w:pStyle w:val="ListParagraph"/>
        <w:numPr>
          <w:ilvl w:val="0"/>
          <w:numId w:val="22"/>
        </w:numPr>
        <w:tabs>
          <w:tab w:pos="597" w:val="left" w:leader="none"/>
        </w:tabs>
        <w:spacing w:line="240" w:lineRule="auto" w:before="228" w:after="0"/>
        <w:ind w:left="262" w:right="280" w:firstLine="0"/>
        <w:jc w:val="both"/>
        <w:rPr>
          <w:sz w:val="20"/>
        </w:rPr>
      </w:pPr>
      <w:r>
        <w:rPr>
          <w:sz w:val="20"/>
        </w:rPr>
        <w:t>Un Director General, que deberá acreditar contar con título y cédula profesional de ingeniero civil, arquitecto o carrera afín, así como experiencia y conocimientos en materia de planeación del desarrollo urbano y ordenamiento territorial, designado por el Presidente Municipal de entre una terna propuesta por el Consejo Consultivo, y</w:t>
      </w:r>
    </w:p>
    <w:p>
      <w:pPr>
        <w:pStyle w:val="BodyText"/>
      </w:pPr>
    </w:p>
    <w:p>
      <w:pPr>
        <w:pStyle w:val="ListParagraph"/>
        <w:numPr>
          <w:ilvl w:val="0"/>
          <w:numId w:val="22"/>
        </w:numPr>
        <w:tabs>
          <w:tab w:pos="545" w:val="left" w:leader="none"/>
        </w:tabs>
        <w:spacing w:line="240" w:lineRule="auto" w:before="0" w:after="0"/>
        <w:ind w:left="262" w:right="287" w:firstLine="0"/>
        <w:jc w:val="both"/>
        <w:rPr>
          <w:sz w:val="20"/>
        </w:rPr>
      </w:pPr>
      <w:r>
        <w:rPr>
          <w:sz w:val="20"/>
        </w:rPr>
        <w:t>El personal necesario para el desempeño de las funciones encomendadas, con la formación profesional y experiencia requerida, conforme al presupuesto asignado.</w:t>
      </w:r>
    </w:p>
    <w:p>
      <w:pPr>
        <w:pStyle w:val="BodyText"/>
        <w:spacing w:before="1"/>
      </w:pPr>
    </w:p>
    <w:p>
      <w:pPr>
        <w:pStyle w:val="BodyText"/>
        <w:spacing w:before="1"/>
        <w:ind w:left="262"/>
        <w:jc w:val="both"/>
      </w:pPr>
      <w:r>
        <w:rPr/>
        <w:t>Los</w:t>
      </w:r>
      <w:r>
        <w:rPr>
          <w:spacing w:val="-7"/>
        </w:rPr>
        <w:t> </w:t>
      </w:r>
      <w:r>
        <w:rPr/>
        <w:t>Directores</w:t>
      </w:r>
      <w:r>
        <w:rPr>
          <w:spacing w:val="-5"/>
        </w:rPr>
        <w:t> </w:t>
      </w:r>
      <w:r>
        <w:rPr/>
        <w:t>de</w:t>
      </w:r>
      <w:r>
        <w:rPr>
          <w:spacing w:val="-6"/>
        </w:rPr>
        <w:t> </w:t>
      </w:r>
      <w:r>
        <w:rPr/>
        <w:t>los</w:t>
      </w:r>
      <w:r>
        <w:rPr>
          <w:spacing w:val="-7"/>
        </w:rPr>
        <w:t> </w:t>
      </w:r>
      <w:r>
        <w:rPr/>
        <w:t>Institutos,</w:t>
      </w:r>
      <w:r>
        <w:rPr>
          <w:spacing w:val="-7"/>
        </w:rPr>
        <w:t> </w:t>
      </w:r>
      <w:r>
        <w:rPr/>
        <w:t>durarán</w:t>
      </w:r>
      <w:r>
        <w:rPr>
          <w:spacing w:val="-6"/>
        </w:rPr>
        <w:t> </w:t>
      </w:r>
      <w:r>
        <w:rPr/>
        <w:t>en</w:t>
      </w:r>
      <w:r>
        <w:rPr>
          <w:spacing w:val="-8"/>
        </w:rPr>
        <w:t> </w:t>
      </w:r>
      <w:r>
        <w:rPr/>
        <w:t>su</w:t>
      </w:r>
      <w:r>
        <w:rPr>
          <w:spacing w:val="-6"/>
        </w:rPr>
        <w:t> </w:t>
      </w:r>
      <w:r>
        <w:rPr/>
        <w:t>encargo</w:t>
      </w:r>
      <w:r>
        <w:rPr>
          <w:spacing w:val="-7"/>
        </w:rPr>
        <w:t> </w:t>
      </w:r>
      <w:r>
        <w:rPr/>
        <w:t>cuatro</w:t>
      </w:r>
      <w:r>
        <w:rPr>
          <w:spacing w:val="-5"/>
        </w:rPr>
        <w:t> </w:t>
      </w:r>
      <w:r>
        <w:rPr/>
        <w:t>años,</w:t>
      </w:r>
      <w:r>
        <w:rPr>
          <w:spacing w:val="-6"/>
        </w:rPr>
        <w:t> </w:t>
      </w:r>
      <w:r>
        <w:rPr/>
        <w:t>pudiendo</w:t>
      </w:r>
      <w:r>
        <w:rPr>
          <w:spacing w:val="-7"/>
        </w:rPr>
        <w:t> </w:t>
      </w:r>
      <w:r>
        <w:rPr/>
        <w:t>ser</w:t>
      </w:r>
      <w:r>
        <w:rPr>
          <w:spacing w:val="-6"/>
        </w:rPr>
        <w:t> </w:t>
      </w:r>
      <w:r>
        <w:rPr>
          <w:spacing w:val="-2"/>
        </w:rPr>
        <w:t>reelegidos.</w:t>
      </w:r>
    </w:p>
    <w:p>
      <w:pPr>
        <w:pStyle w:val="BodyText"/>
      </w:pPr>
    </w:p>
    <w:p>
      <w:pPr>
        <w:pStyle w:val="BodyText"/>
        <w:ind w:left="262" w:right="284"/>
        <w:jc w:val="both"/>
      </w:pPr>
      <w:r>
        <w:rPr>
          <w:rFonts w:ascii="Arial" w:hAnsi="Arial"/>
          <w:b/>
        </w:rPr>
        <w:t>ARTÍCULO 40. </w:t>
      </w:r>
      <w:r>
        <w:rPr/>
        <w:t>Las funciones de los institutos serán señaladas en el Decreto que los establezca, así como en su respectivo reglamento, incluyendo al menos las siguientes:</w:t>
      </w:r>
    </w:p>
    <w:p>
      <w:pPr>
        <w:pStyle w:val="ListParagraph"/>
        <w:numPr>
          <w:ilvl w:val="0"/>
          <w:numId w:val="23"/>
        </w:numPr>
        <w:tabs>
          <w:tab w:pos="543" w:val="left" w:leader="none"/>
        </w:tabs>
        <w:spacing w:line="240" w:lineRule="auto" w:before="229" w:after="0"/>
        <w:ind w:left="262" w:right="280" w:firstLine="0"/>
        <w:jc w:val="both"/>
        <w:rPr>
          <w:sz w:val="20"/>
        </w:rPr>
      </w:pPr>
      <w:r>
        <w:rPr>
          <w:sz w:val="20"/>
        </w:rPr>
        <w:t>En materia de planeación: Proponer al ayuntamiento realización, actualización, modificación de los programas de ordenamiento territorial y desarrollo urbano; participar en la elaboración del Plan Municipal de Desarrollo; proponer los criterios de planeación y programación de las acciones municipales, y auxiliar a la autoridad municipal en la conducción del desarrollo urbano y el ordenamiento territorial;</w:t>
      </w:r>
    </w:p>
    <w:p>
      <w:pPr>
        <w:pStyle w:val="BodyText"/>
        <w:spacing w:before="1"/>
      </w:pPr>
    </w:p>
    <w:p>
      <w:pPr>
        <w:pStyle w:val="ListParagraph"/>
        <w:numPr>
          <w:ilvl w:val="0"/>
          <w:numId w:val="23"/>
        </w:numPr>
        <w:tabs>
          <w:tab w:pos="543" w:val="left" w:leader="none"/>
        </w:tabs>
        <w:spacing w:line="240" w:lineRule="auto" w:before="0" w:after="0"/>
        <w:ind w:left="262" w:right="281" w:firstLine="0"/>
        <w:jc w:val="both"/>
        <w:rPr>
          <w:sz w:val="20"/>
        </w:rPr>
      </w:pPr>
      <w:r>
        <w:rPr>
          <w:sz w:val="20"/>
        </w:rPr>
        <w:t>En materia de seguimiento, control y evaluación: Dar continuidad a los procesos de planeación; evaluar el cumplimiento de los programas de desarrollo urbano y ordenamiento territorial municipal </w:t>
      </w:r>
      <w:r>
        <w:rPr>
          <w:spacing w:val="-2"/>
          <w:sz w:val="20"/>
        </w:rPr>
        <w:t>y,</w:t>
      </w:r>
      <w:r>
        <w:rPr>
          <w:spacing w:val="-6"/>
          <w:sz w:val="20"/>
        </w:rPr>
        <w:t> </w:t>
      </w:r>
      <w:r>
        <w:rPr>
          <w:spacing w:val="-2"/>
          <w:sz w:val="20"/>
        </w:rPr>
        <w:t>en</w:t>
      </w:r>
      <w:r>
        <w:rPr>
          <w:spacing w:val="-5"/>
          <w:sz w:val="20"/>
        </w:rPr>
        <w:t> </w:t>
      </w:r>
      <w:r>
        <w:rPr>
          <w:spacing w:val="-2"/>
          <w:sz w:val="20"/>
        </w:rPr>
        <w:t>su</w:t>
      </w:r>
      <w:r>
        <w:rPr>
          <w:spacing w:val="-7"/>
          <w:sz w:val="20"/>
        </w:rPr>
        <w:t> </w:t>
      </w:r>
      <w:r>
        <w:rPr>
          <w:spacing w:val="-2"/>
          <w:sz w:val="20"/>
        </w:rPr>
        <w:t>caso,</w:t>
      </w:r>
      <w:r>
        <w:rPr>
          <w:spacing w:val="-5"/>
          <w:sz w:val="20"/>
        </w:rPr>
        <w:t> </w:t>
      </w:r>
      <w:r>
        <w:rPr>
          <w:spacing w:val="-2"/>
          <w:sz w:val="20"/>
        </w:rPr>
        <w:t>hacer las</w:t>
      </w:r>
      <w:r>
        <w:rPr>
          <w:spacing w:val="-6"/>
          <w:sz w:val="20"/>
        </w:rPr>
        <w:t> </w:t>
      </w:r>
      <w:r>
        <w:rPr>
          <w:spacing w:val="-2"/>
          <w:sz w:val="20"/>
        </w:rPr>
        <w:t>recomendaciones necesarias;</w:t>
      </w:r>
      <w:r>
        <w:rPr>
          <w:spacing w:val="-3"/>
          <w:sz w:val="20"/>
        </w:rPr>
        <w:t> </w:t>
      </w:r>
      <w:r>
        <w:rPr>
          <w:spacing w:val="-2"/>
          <w:sz w:val="20"/>
        </w:rPr>
        <w:t>proponer al</w:t>
      </w:r>
      <w:r>
        <w:rPr>
          <w:spacing w:val="-5"/>
          <w:sz w:val="20"/>
        </w:rPr>
        <w:t> </w:t>
      </w:r>
      <w:r>
        <w:rPr>
          <w:spacing w:val="-2"/>
          <w:sz w:val="20"/>
        </w:rPr>
        <w:t>ayuntamiento</w:t>
      </w:r>
      <w:r>
        <w:rPr>
          <w:spacing w:val="-5"/>
          <w:sz w:val="20"/>
        </w:rPr>
        <w:t> </w:t>
      </w:r>
      <w:r>
        <w:rPr>
          <w:spacing w:val="-2"/>
          <w:sz w:val="20"/>
        </w:rPr>
        <w:t>los</w:t>
      </w:r>
      <w:r>
        <w:rPr>
          <w:spacing w:val="-5"/>
          <w:sz w:val="20"/>
        </w:rPr>
        <w:t> </w:t>
      </w:r>
      <w:r>
        <w:rPr>
          <w:spacing w:val="-2"/>
          <w:sz w:val="20"/>
        </w:rPr>
        <w:t>criterios técnicos </w:t>
      </w:r>
      <w:r>
        <w:rPr>
          <w:sz w:val="20"/>
        </w:rPr>
        <w:t>para el control urbano; dictaminar sobre la autorización de desarrollos urbanos habitacionales o mixtos, privados o públicos, en materia de alineamiento, congruencia con los programas establecidos y modalidades de diseño que contribuyan al ordenamiento territorial y al sistema vial </w:t>
      </w:r>
      <w:r>
        <w:rPr>
          <w:spacing w:val="-2"/>
          <w:sz w:val="20"/>
        </w:rPr>
        <w:t>municipal;</w:t>
      </w:r>
    </w:p>
    <w:p>
      <w:pPr>
        <w:pStyle w:val="BodyText"/>
        <w:spacing w:before="1"/>
      </w:pPr>
    </w:p>
    <w:p>
      <w:pPr>
        <w:pStyle w:val="ListParagraph"/>
        <w:numPr>
          <w:ilvl w:val="0"/>
          <w:numId w:val="23"/>
        </w:numPr>
        <w:tabs>
          <w:tab w:pos="741" w:val="left" w:leader="none"/>
        </w:tabs>
        <w:spacing w:line="240" w:lineRule="auto" w:before="0" w:after="0"/>
        <w:ind w:left="262" w:right="283" w:firstLine="0"/>
        <w:jc w:val="both"/>
        <w:rPr>
          <w:sz w:val="20"/>
        </w:rPr>
      </w:pPr>
      <w:r>
        <w:rPr>
          <w:sz w:val="20"/>
        </w:rPr>
        <w:t>En materia de estudios y proyectos: Realizar o coordinar estudios y proyectos urbanos de apoyo a los programas municipales, y generar un banco municipal de proyectos;</w:t>
      </w:r>
    </w:p>
    <w:p>
      <w:pPr>
        <w:pStyle w:val="ListParagraph"/>
        <w:numPr>
          <w:ilvl w:val="0"/>
          <w:numId w:val="23"/>
        </w:numPr>
        <w:tabs>
          <w:tab w:pos="688" w:val="left" w:leader="none"/>
        </w:tabs>
        <w:spacing w:line="240" w:lineRule="auto" w:before="229" w:after="0"/>
        <w:ind w:left="262" w:right="285" w:firstLine="0"/>
        <w:jc w:val="both"/>
        <w:rPr>
          <w:sz w:val="20"/>
        </w:rPr>
      </w:pPr>
      <w:r>
        <w:rPr>
          <w:sz w:val="20"/>
        </w:rPr>
        <w:t>En materia de normatividad: Proponer al ayuntamiento las reformas a la reglamentación en materia de desarrollo urbano y ordenamiento territorial, así como los proyectos de iniciativa de reglamentos en materia municipal;</w:t>
      </w:r>
    </w:p>
    <w:p>
      <w:pPr>
        <w:pStyle w:val="ListParagraph"/>
        <w:numPr>
          <w:ilvl w:val="0"/>
          <w:numId w:val="23"/>
        </w:numPr>
        <w:tabs>
          <w:tab w:pos="688" w:val="left" w:leader="none"/>
        </w:tabs>
        <w:spacing w:line="240" w:lineRule="auto" w:before="229" w:after="0"/>
        <w:ind w:left="262" w:right="281" w:firstLine="0"/>
        <w:jc w:val="both"/>
        <w:rPr>
          <w:sz w:val="20"/>
        </w:rPr>
      </w:pPr>
      <w:r>
        <w:rPr>
          <w:sz w:val="20"/>
        </w:rPr>
        <w:t>En</w:t>
      </w:r>
      <w:r>
        <w:rPr>
          <w:spacing w:val="-9"/>
          <w:sz w:val="20"/>
        </w:rPr>
        <w:t> </w:t>
      </w:r>
      <w:r>
        <w:rPr>
          <w:sz w:val="20"/>
        </w:rPr>
        <w:t>materia</w:t>
      </w:r>
      <w:r>
        <w:rPr>
          <w:spacing w:val="-9"/>
          <w:sz w:val="20"/>
        </w:rPr>
        <w:t> </w:t>
      </w:r>
      <w:r>
        <w:rPr>
          <w:sz w:val="20"/>
        </w:rPr>
        <w:t>de</w:t>
      </w:r>
      <w:r>
        <w:rPr>
          <w:spacing w:val="-9"/>
          <w:sz w:val="20"/>
        </w:rPr>
        <w:t> </w:t>
      </w:r>
      <w:r>
        <w:rPr>
          <w:sz w:val="20"/>
        </w:rPr>
        <w:t>información:</w:t>
      </w:r>
      <w:r>
        <w:rPr>
          <w:spacing w:val="-7"/>
          <w:sz w:val="20"/>
        </w:rPr>
        <w:t> </w:t>
      </w:r>
      <w:r>
        <w:rPr>
          <w:sz w:val="20"/>
        </w:rPr>
        <w:t>Alimentar</w:t>
      </w:r>
      <w:r>
        <w:rPr>
          <w:spacing w:val="-9"/>
          <w:sz w:val="20"/>
        </w:rPr>
        <w:t> </w:t>
      </w:r>
      <w:r>
        <w:rPr>
          <w:sz w:val="20"/>
        </w:rPr>
        <w:t>el</w:t>
      </w:r>
      <w:r>
        <w:rPr>
          <w:spacing w:val="-8"/>
          <w:sz w:val="20"/>
        </w:rPr>
        <w:t> </w:t>
      </w:r>
      <w:r>
        <w:rPr>
          <w:sz w:val="20"/>
        </w:rPr>
        <w:t>Sistema</w:t>
      </w:r>
      <w:r>
        <w:rPr>
          <w:spacing w:val="-8"/>
          <w:sz w:val="20"/>
        </w:rPr>
        <w:t> </w:t>
      </w:r>
      <w:r>
        <w:rPr>
          <w:sz w:val="20"/>
        </w:rPr>
        <w:t>Estatal</w:t>
      </w:r>
      <w:r>
        <w:rPr>
          <w:spacing w:val="-10"/>
          <w:sz w:val="20"/>
        </w:rPr>
        <w:t> </w:t>
      </w:r>
      <w:r>
        <w:rPr>
          <w:sz w:val="20"/>
        </w:rPr>
        <w:t>Información</w:t>
      </w:r>
      <w:r>
        <w:rPr>
          <w:spacing w:val="-9"/>
          <w:sz w:val="20"/>
        </w:rPr>
        <w:t> </w:t>
      </w:r>
      <w:r>
        <w:rPr>
          <w:sz w:val="20"/>
        </w:rPr>
        <w:t>Territorial</w:t>
      </w:r>
      <w:r>
        <w:rPr>
          <w:spacing w:val="-10"/>
          <w:sz w:val="20"/>
        </w:rPr>
        <w:t> </w:t>
      </w:r>
      <w:r>
        <w:rPr>
          <w:sz w:val="20"/>
        </w:rPr>
        <w:t>y</w:t>
      </w:r>
      <w:r>
        <w:rPr>
          <w:spacing w:val="-9"/>
          <w:sz w:val="20"/>
        </w:rPr>
        <w:t> </w:t>
      </w:r>
      <w:r>
        <w:rPr>
          <w:sz w:val="20"/>
        </w:rPr>
        <w:t>Urbana,</w:t>
      </w:r>
      <w:r>
        <w:rPr>
          <w:spacing w:val="-9"/>
          <w:sz w:val="20"/>
        </w:rPr>
        <w:t> </w:t>
      </w:r>
      <w:r>
        <w:rPr>
          <w:sz w:val="20"/>
        </w:rPr>
        <w:t>con</w:t>
      </w:r>
      <w:r>
        <w:rPr>
          <w:spacing w:val="-8"/>
          <w:sz w:val="20"/>
        </w:rPr>
        <w:t> </w:t>
      </w:r>
      <w:r>
        <w:rPr>
          <w:sz w:val="20"/>
        </w:rPr>
        <w:t>la información estadística, geográfica y cartográfica de su municipio, y poner a disposición del ayuntamiento y de la ciudadanía la información que al respecto se solicite;</w:t>
      </w:r>
    </w:p>
    <w:p>
      <w:pPr>
        <w:pStyle w:val="BodyText"/>
        <w:spacing w:before="2"/>
      </w:pPr>
    </w:p>
    <w:p>
      <w:pPr>
        <w:pStyle w:val="ListParagraph"/>
        <w:numPr>
          <w:ilvl w:val="0"/>
          <w:numId w:val="23"/>
        </w:numPr>
        <w:tabs>
          <w:tab w:pos="688" w:val="left" w:leader="none"/>
        </w:tabs>
        <w:spacing w:line="240" w:lineRule="auto" w:before="0" w:after="0"/>
        <w:ind w:left="262" w:right="284" w:firstLine="0"/>
        <w:jc w:val="both"/>
        <w:rPr>
          <w:sz w:val="20"/>
        </w:rPr>
      </w:pPr>
      <w:r>
        <w:rPr>
          <w:sz w:val="20"/>
        </w:rPr>
        <w:t>En materia de investigación: Desarrollar los proyectos y programas de investigación y planeación que le sean solicitados por el ayuntamiento, así como los que resulten necesarios para el cumplimiento de sus fines y que sean autorizados por la Junta de Gobierno;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23"/>
        </w:numPr>
        <w:tabs>
          <w:tab w:pos="827" w:val="left" w:leader="none"/>
        </w:tabs>
        <w:spacing w:line="240" w:lineRule="auto" w:before="0" w:after="0"/>
        <w:ind w:left="262" w:right="286" w:firstLine="0"/>
        <w:jc w:val="both"/>
        <w:rPr>
          <w:sz w:val="20"/>
        </w:rPr>
      </w:pPr>
      <w:r>
        <w:rPr>
          <w:sz w:val="20"/>
        </w:rPr>
        <w:t>Emitir y publicar en su página web, de forma periódica los resultados de sus indicadores de gestión y desempeño que permitan al Consejo Estatal de Ordenamiento Territorial y Desarrollo Urbano, evaluar su actuación, y</w:t>
      </w:r>
    </w:p>
    <w:p>
      <w:pPr>
        <w:pStyle w:val="BodyText"/>
        <w:spacing w:before="1"/>
      </w:pPr>
    </w:p>
    <w:p>
      <w:pPr>
        <w:pStyle w:val="ListParagraph"/>
        <w:numPr>
          <w:ilvl w:val="0"/>
          <w:numId w:val="23"/>
        </w:numPr>
        <w:tabs>
          <w:tab w:pos="827" w:val="left" w:leader="none"/>
        </w:tabs>
        <w:spacing w:line="240" w:lineRule="auto" w:before="1" w:after="0"/>
        <w:ind w:left="262" w:right="286" w:firstLine="0"/>
        <w:jc w:val="both"/>
        <w:rPr>
          <w:sz w:val="20"/>
        </w:rPr>
      </w:pPr>
      <w:r>
        <w:rPr>
          <w:sz w:val="20"/>
        </w:rPr>
        <w:t>Desarrollar mecanismos que permitan al Instituto realizar la prestación de asesorías y el desarrollo de proyectos que fortalezcan la obtención de ingresos propios.</w:t>
      </w:r>
    </w:p>
    <w:p>
      <w:pPr>
        <w:pStyle w:val="BodyText"/>
        <w:spacing w:before="228"/>
        <w:ind w:left="262" w:right="288"/>
        <w:jc w:val="both"/>
      </w:pPr>
      <w:r>
        <w:rPr/>
        <w:t>Cuando dichos organismos se constituyan como desconcentrados, tendrán la estructura y organización que determine su decreto de creación.</w:t>
      </w:r>
    </w:p>
    <w:p>
      <w:pPr>
        <w:pStyle w:val="BodyText"/>
        <w:spacing w:before="2"/>
      </w:pPr>
    </w:p>
    <w:p>
      <w:pPr>
        <w:pStyle w:val="BodyText"/>
        <w:ind w:left="262" w:right="279"/>
        <w:jc w:val="both"/>
      </w:pPr>
      <w:r>
        <w:rPr>
          <w:rFonts w:ascii="Arial" w:hAnsi="Arial"/>
          <w:b/>
        </w:rPr>
        <w:t>ARTÍCULO</w:t>
      </w:r>
      <w:r>
        <w:rPr>
          <w:rFonts w:ascii="Arial" w:hAnsi="Arial"/>
          <w:b/>
          <w:spacing w:val="-2"/>
        </w:rPr>
        <w:t> </w:t>
      </w:r>
      <w:r>
        <w:rPr>
          <w:rFonts w:ascii="Arial" w:hAnsi="Arial"/>
          <w:b/>
        </w:rPr>
        <w:t>41. </w:t>
      </w:r>
      <w:r>
        <w:rPr/>
        <w:t>El</w:t>
      </w:r>
      <w:r>
        <w:rPr>
          <w:spacing w:val="-4"/>
        </w:rPr>
        <w:t> </w:t>
      </w:r>
      <w:r>
        <w:rPr/>
        <w:t>Reglamento</w:t>
      </w:r>
      <w:r>
        <w:rPr>
          <w:spacing w:val="-1"/>
        </w:rPr>
        <w:t> </w:t>
      </w:r>
      <w:r>
        <w:rPr/>
        <w:t>del</w:t>
      </w:r>
      <w:r>
        <w:rPr>
          <w:spacing w:val="-2"/>
        </w:rPr>
        <w:t> </w:t>
      </w:r>
      <w:r>
        <w:rPr/>
        <w:t>Instituto</w:t>
      </w:r>
      <w:r>
        <w:rPr>
          <w:spacing w:val="-1"/>
        </w:rPr>
        <w:t> </w:t>
      </w:r>
      <w:r>
        <w:rPr/>
        <w:t>Municipal</w:t>
      </w:r>
      <w:r>
        <w:rPr>
          <w:spacing w:val="-1"/>
        </w:rPr>
        <w:t> </w:t>
      </w:r>
      <w:r>
        <w:rPr/>
        <w:t>de</w:t>
      </w:r>
      <w:r>
        <w:rPr>
          <w:spacing w:val="-4"/>
        </w:rPr>
        <w:t> </w:t>
      </w:r>
      <w:r>
        <w:rPr/>
        <w:t>Planeación</w:t>
      </w:r>
      <w:r>
        <w:rPr>
          <w:spacing w:val="-4"/>
        </w:rPr>
        <w:t> </w:t>
      </w:r>
      <w:r>
        <w:rPr/>
        <w:t>Urbana,</w:t>
      </w:r>
      <w:r>
        <w:rPr>
          <w:spacing w:val="-3"/>
        </w:rPr>
        <w:t> </w:t>
      </w:r>
      <w:r>
        <w:rPr/>
        <w:t>determinará</w:t>
      </w:r>
      <w:r>
        <w:rPr>
          <w:spacing w:val="-3"/>
        </w:rPr>
        <w:t> </w:t>
      </w:r>
      <w:r>
        <w:rPr/>
        <w:t>con</w:t>
      </w:r>
      <w:r>
        <w:rPr>
          <w:spacing w:val="-1"/>
        </w:rPr>
        <w:t> </w:t>
      </w:r>
      <w:r>
        <w:rPr/>
        <w:t>base en lo señalado en el artículo inmediato anterior, la integración de la Junta de Gobierno y el Cuerpo Técnico,</w:t>
      </w:r>
      <w:r>
        <w:rPr>
          <w:spacing w:val="-2"/>
        </w:rPr>
        <w:t> </w:t>
      </w:r>
      <w:r>
        <w:rPr/>
        <w:t>así</w:t>
      </w:r>
      <w:r>
        <w:rPr>
          <w:spacing w:val="-2"/>
        </w:rPr>
        <w:t> </w:t>
      </w:r>
      <w:r>
        <w:rPr/>
        <w:t>como</w:t>
      </w:r>
      <w:r>
        <w:rPr>
          <w:spacing w:val="-2"/>
        </w:rPr>
        <w:t> </w:t>
      </w:r>
      <w:r>
        <w:rPr/>
        <w:t>sus</w:t>
      </w:r>
      <w:r>
        <w:rPr>
          <w:spacing w:val="-1"/>
        </w:rPr>
        <w:t> </w:t>
      </w:r>
      <w:r>
        <w:rPr/>
        <w:t>atribuciones,</w:t>
      </w:r>
      <w:r>
        <w:rPr>
          <w:spacing w:val="-2"/>
        </w:rPr>
        <w:t> </w:t>
      </w:r>
      <w:r>
        <w:rPr/>
        <w:t>organización</w:t>
      </w:r>
      <w:r>
        <w:rPr>
          <w:spacing w:val="-3"/>
        </w:rPr>
        <w:t> </w:t>
      </w:r>
      <w:r>
        <w:rPr/>
        <w:t>y</w:t>
      </w:r>
      <w:r>
        <w:rPr>
          <w:spacing w:val="-1"/>
        </w:rPr>
        <w:t> </w:t>
      </w:r>
      <w:r>
        <w:rPr/>
        <w:t>funcionamiento,</w:t>
      </w:r>
      <w:r>
        <w:rPr>
          <w:spacing w:val="-2"/>
        </w:rPr>
        <w:t> </w:t>
      </w:r>
      <w:r>
        <w:rPr/>
        <w:t>pudiendo</w:t>
      </w:r>
      <w:r>
        <w:rPr>
          <w:spacing w:val="-2"/>
        </w:rPr>
        <w:t> </w:t>
      </w:r>
      <w:r>
        <w:rPr/>
        <w:t>ampliar</w:t>
      </w:r>
      <w:r>
        <w:rPr>
          <w:spacing w:val="-1"/>
        </w:rPr>
        <w:t> </w:t>
      </w:r>
      <w:r>
        <w:rPr/>
        <w:t>su</w:t>
      </w:r>
      <w:r>
        <w:rPr>
          <w:spacing w:val="-2"/>
        </w:rPr>
        <w:t> </w:t>
      </w:r>
      <w:r>
        <w:rPr/>
        <w:t>estructura orgánica, conforme a sus necesidades y presupuesto asignado.</w:t>
      </w:r>
    </w:p>
    <w:p>
      <w:pPr>
        <w:pStyle w:val="BodyText"/>
      </w:pPr>
    </w:p>
    <w:p>
      <w:pPr>
        <w:pStyle w:val="BodyText"/>
      </w:pPr>
    </w:p>
    <w:p>
      <w:pPr>
        <w:pStyle w:val="Heading2"/>
      </w:pPr>
      <w:r>
        <w:rPr/>
        <w:t>Sección</w:t>
      </w:r>
      <w:r>
        <w:rPr>
          <w:spacing w:val="-9"/>
        </w:rPr>
        <w:t> </w:t>
      </w:r>
      <w:r>
        <w:rPr>
          <w:spacing w:val="-2"/>
        </w:rPr>
        <w:t>Tercera</w:t>
      </w:r>
    </w:p>
    <w:p>
      <w:pPr>
        <w:spacing w:before="229"/>
        <w:ind w:left="0" w:right="22" w:firstLine="0"/>
        <w:jc w:val="center"/>
        <w:rPr>
          <w:rFonts w:ascii="Arial" w:hAnsi="Arial"/>
          <w:b/>
          <w:sz w:val="20"/>
        </w:rPr>
      </w:pPr>
      <w:r>
        <w:rPr>
          <w:rFonts w:ascii="Arial" w:hAnsi="Arial"/>
          <w:b/>
          <w:sz w:val="20"/>
        </w:rPr>
        <w:t>Institutos</w:t>
      </w:r>
      <w:r>
        <w:rPr>
          <w:rFonts w:ascii="Arial" w:hAnsi="Arial"/>
          <w:b/>
          <w:spacing w:val="-11"/>
          <w:sz w:val="20"/>
        </w:rPr>
        <w:t> </w:t>
      </w:r>
      <w:r>
        <w:rPr>
          <w:rFonts w:ascii="Arial" w:hAnsi="Arial"/>
          <w:b/>
          <w:sz w:val="20"/>
        </w:rPr>
        <w:t>Metropolitanos</w:t>
      </w:r>
      <w:r>
        <w:rPr>
          <w:rFonts w:ascii="Arial" w:hAnsi="Arial"/>
          <w:b/>
          <w:spacing w:val="-7"/>
          <w:sz w:val="20"/>
        </w:rPr>
        <w:t> </w:t>
      </w:r>
      <w:r>
        <w:rPr>
          <w:rFonts w:ascii="Arial" w:hAnsi="Arial"/>
          <w:b/>
          <w:sz w:val="20"/>
        </w:rPr>
        <w:t>de</w:t>
      </w:r>
      <w:r>
        <w:rPr>
          <w:rFonts w:ascii="Arial" w:hAnsi="Arial"/>
          <w:b/>
          <w:spacing w:val="-11"/>
          <w:sz w:val="20"/>
        </w:rPr>
        <w:t> </w:t>
      </w:r>
      <w:r>
        <w:rPr>
          <w:rFonts w:ascii="Arial" w:hAnsi="Arial"/>
          <w:b/>
          <w:sz w:val="20"/>
        </w:rPr>
        <w:t>Planeación</w:t>
      </w:r>
      <w:r>
        <w:rPr>
          <w:rFonts w:ascii="Arial" w:hAnsi="Arial"/>
          <w:b/>
          <w:spacing w:val="-10"/>
          <w:sz w:val="20"/>
        </w:rPr>
        <w:t> </w:t>
      </w:r>
      <w:r>
        <w:rPr>
          <w:rFonts w:ascii="Arial" w:hAnsi="Arial"/>
          <w:b/>
          <w:spacing w:val="-2"/>
          <w:sz w:val="20"/>
        </w:rPr>
        <w:t>Urbana</w:t>
      </w:r>
    </w:p>
    <w:p>
      <w:pPr>
        <w:pStyle w:val="BodyText"/>
        <w:spacing w:before="1"/>
        <w:rPr>
          <w:rFonts w:ascii="Arial"/>
          <w:b/>
        </w:rPr>
      </w:pPr>
    </w:p>
    <w:p>
      <w:pPr>
        <w:pStyle w:val="BodyText"/>
        <w:ind w:left="262" w:right="278"/>
        <w:jc w:val="both"/>
      </w:pPr>
      <w:r>
        <w:rPr>
          <w:rFonts w:ascii="Arial" w:hAnsi="Arial"/>
          <w:b/>
        </w:rPr>
        <w:t>ARTÍCULO 42. </w:t>
      </w:r>
      <w:r>
        <w:rPr/>
        <w:t>Los institutos metropolitanos de planeación urbana, serán organismos descentralizados, con personalidad jurídica y patrimonio propio, tendrán la organización y las funciones que les señalen las disposiciones jurídicas que los establezcan, con base en lo previsto en esta Ley, y coadyuvarán con los ayuntamientos y las Comisiones Metropolitanas y de Conurbación en la planeación del desarrollo urbano y el ordenamiento territorial, así como en la elaboración de programas y proyectos.</w:t>
      </w:r>
    </w:p>
    <w:p>
      <w:pPr>
        <w:pStyle w:val="BodyText"/>
      </w:pPr>
    </w:p>
    <w:p>
      <w:pPr>
        <w:pStyle w:val="BodyText"/>
        <w:spacing w:before="1"/>
        <w:ind w:left="262"/>
        <w:jc w:val="both"/>
      </w:pPr>
      <w:r>
        <w:rPr/>
        <w:t>Dichos</w:t>
      </w:r>
      <w:r>
        <w:rPr>
          <w:spacing w:val="-7"/>
        </w:rPr>
        <w:t> </w:t>
      </w:r>
      <w:r>
        <w:rPr/>
        <w:t>Institutos</w:t>
      </w:r>
      <w:r>
        <w:rPr>
          <w:spacing w:val="-6"/>
        </w:rPr>
        <w:t> </w:t>
      </w:r>
      <w:r>
        <w:rPr/>
        <w:t>se</w:t>
      </w:r>
      <w:r>
        <w:rPr>
          <w:spacing w:val="-7"/>
        </w:rPr>
        <w:t> </w:t>
      </w:r>
      <w:r>
        <w:rPr/>
        <w:t>instituirán</w:t>
      </w:r>
      <w:r>
        <w:rPr>
          <w:spacing w:val="-8"/>
        </w:rPr>
        <w:t> </w:t>
      </w:r>
      <w:r>
        <w:rPr/>
        <w:t>por</w:t>
      </w:r>
      <w:r>
        <w:rPr>
          <w:spacing w:val="-7"/>
        </w:rPr>
        <w:t> </w:t>
      </w:r>
      <w:r>
        <w:rPr/>
        <w:t>acuerdo</w:t>
      </w:r>
      <w:r>
        <w:rPr>
          <w:spacing w:val="-8"/>
        </w:rPr>
        <w:t> </w:t>
      </w:r>
      <w:r>
        <w:rPr/>
        <w:t>o</w:t>
      </w:r>
      <w:r>
        <w:rPr>
          <w:spacing w:val="-8"/>
        </w:rPr>
        <w:t> </w:t>
      </w:r>
      <w:r>
        <w:rPr/>
        <w:t>convenio</w:t>
      </w:r>
      <w:r>
        <w:rPr>
          <w:spacing w:val="-5"/>
        </w:rPr>
        <w:t> </w:t>
      </w:r>
      <w:r>
        <w:rPr/>
        <w:t>de</w:t>
      </w:r>
      <w:r>
        <w:rPr>
          <w:spacing w:val="-8"/>
        </w:rPr>
        <w:t> </w:t>
      </w:r>
      <w:r>
        <w:rPr/>
        <w:t>los</w:t>
      </w:r>
      <w:r>
        <w:rPr>
          <w:spacing w:val="-6"/>
        </w:rPr>
        <w:t> </w:t>
      </w:r>
      <w:r>
        <w:rPr/>
        <w:t>municipios</w:t>
      </w:r>
      <w:r>
        <w:rPr>
          <w:spacing w:val="-7"/>
        </w:rPr>
        <w:t> </w:t>
      </w:r>
      <w:r>
        <w:rPr>
          <w:spacing w:val="-2"/>
        </w:rPr>
        <w:t>correspondientes.</w:t>
      </w:r>
    </w:p>
    <w:p>
      <w:pPr>
        <w:pStyle w:val="BodyText"/>
        <w:spacing w:before="228"/>
        <w:ind w:left="262" w:right="278"/>
        <w:jc w:val="both"/>
      </w:pPr>
      <w:r>
        <w:rPr/>
        <w:t>El Director del mismo será elegido por concurso de oposición, mediante convocatoria pública que emitirá</w:t>
      </w:r>
      <w:r>
        <w:rPr>
          <w:spacing w:val="-14"/>
        </w:rPr>
        <w:t> </w:t>
      </w:r>
      <w:r>
        <w:rPr/>
        <w:t>el</w:t>
      </w:r>
      <w:r>
        <w:rPr>
          <w:spacing w:val="-14"/>
        </w:rPr>
        <w:t> </w:t>
      </w:r>
      <w:r>
        <w:rPr/>
        <w:t>Consejo</w:t>
      </w:r>
      <w:r>
        <w:rPr>
          <w:spacing w:val="-14"/>
        </w:rPr>
        <w:t> </w:t>
      </w:r>
      <w:r>
        <w:rPr/>
        <w:t>Consultivo</w:t>
      </w:r>
      <w:r>
        <w:rPr>
          <w:spacing w:val="-14"/>
        </w:rPr>
        <w:t> </w:t>
      </w:r>
      <w:r>
        <w:rPr/>
        <w:t>de</w:t>
      </w:r>
      <w:r>
        <w:rPr>
          <w:spacing w:val="-14"/>
        </w:rPr>
        <w:t> </w:t>
      </w:r>
      <w:r>
        <w:rPr/>
        <w:t>Desarrollo</w:t>
      </w:r>
      <w:r>
        <w:rPr>
          <w:spacing w:val="-14"/>
        </w:rPr>
        <w:t> </w:t>
      </w:r>
      <w:r>
        <w:rPr/>
        <w:t>Metropolitano</w:t>
      </w:r>
      <w:r>
        <w:rPr>
          <w:spacing w:val="-14"/>
        </w:rPr>
        <w:t> </w:t>
      </w:r>
      <w:r>
        <w:rPr/>
        <w:t>y</w:t>
      </w:r>
      <w:r>
        <w:rPr>
          <w:spacing w:val="-14"/>
        </w:rPr>
        <w:t> </w:t>
      </w:r>
      <w:r>
        <w:rPr/>
        <w:t>Zona</w:t>
      </w:r>
      <w:r>
        <w:rPr>
          <w:spacing w:val="-14"/>
        </w:rPr>
        <w:t> </w:t>
      </w:r>
      <w:r>
        <w:rPr/>
        <w:t>Conurbada.</w:t>
      </w:r>
      <w:r>
        <w:rPr>
          <w:spacing w:val="-13"/>
        </w:rPr>
        <w:t> </w:t>
      </w:r>
      <w:r>
        <w:rPr/>
        <w:t>Su</w:t>
      </w:r>
      <w:r>
        <w:rPr>
          <w:spacing w:val="-14"/>
        </w:rPr>
        <w:t> </w:t>
      </w:r>
      <w:r>
        <w:rPr/>
        <w:t>designación</w:t>
      </w:r>
      <w:r>
        <w:rPr>
          <w:spacing w:val="-14"/>
        </w:rPr>
        <w:t> </w:t>
      </w:r>
      <w:r>
        <w:rPr/>
        <w:t>deberá ser ratificada por los presidentes municipales correspondientes.</w:t>
      </w:r>
    </w:p>
    <w:p>
      <w:pPr>
        <w:pStyle w:val="BodyText"/>
        <w:spacing w:before="2"/>
      </w:pPr>
    </w:p>
    <w:p>
      <w:pPr>
        <w:pStyle w:val="BodyText"/>
        <w:ind w:left="262" w:right="283"/>
        <w:jc w:val="both"/>
      </w:pPr>
      <w:r>
        <w:rPr/>
        <w:t>El Director del mismo deberá acreditar contar con título y cédula profesional de ingeniero civil, arquitecto o carrera afín, así como experiencia y conocimientos en materia de planeación del desarrollo urbano y ordenamiento territorial.</w:t>
      </w:r>
    </w:p>
    <w:p>
      <w:pPr>
        <w:pStyle w:val="BodyText"/>
        <w:spacing w:before="229"/>
        <w:ind w:left="262" w:right="284"/>
        <w:jc w:val="both"/>
      </w:pPr>
      <w:r>
        <w:rPr/>
        <w:t>Los presidentes municipales formarán parte de la Junta de Gobierno, debiendo presidir la misma durante</w:t>
      </w:r>
      <w:r>
        <w:rPr>
          <w:spacing w:val="-14"/>
        </w:rPr>
        <w:t> </w:t>
      </w:r>
      <w:r>
        <w:rPr/>
        <w:t>dieciocho</w:t>
      </w:r>
      <w:r>
        <w:rPr>
          <w:spacing w:val="-12"/>
        </w:rPr>
        <w:t> </w:t>
      </w:r>
      <w:r>
        <w:rPr/>
        <w:t>meses,</w:t>
      </w:r>
      <w:r>
        <w:rPr>
          <w:spacing w:val="-12"/>
        </w:rPr>
        <w:t> </w:t>
      </w:r>
      <w:r>
        <w:rPr/>
        <w:t>el</w:t>
      </w:r>
      <w:r>
        <w:rPr>
          <w:spacing w:val="-14"/>
        </w:rPr>
        <w:t> </w:t>
      </w:r>
      <w:r>
        <w:rPr/>
        <w:t>presidente</w:t>
      </w:r>
      <w:r>
        <w:rPr>
          <w:spacing w:val="-12"/>
        </w:rPr>
        <w:t> </w:t>
      </w:r>
      <w:r>
        <w:rPr/>
        <w:t>municipal</w:t>
      </w:r>
      <w:r>
        <w:rPr>
          <w:spacing w:val="-12"/>
        </w:rPr>
        <w:t> </w:t>
      </w:r>
      <w:r>
        <w:rPr/>
        <w:t>que</w:t>
      </w:r>
      <w:r>
        <w:rPr>
          <w:spacing w:val="-12"/>
        </w:rPr>
        <w:t> </w:t>
      </w:r>
      <w:r>
        <w:rPr/>
        <w:t>los</w:t>
      </w:r>
      <w:r>
        <w:rPr>
          <w:spacing w:val="-13"/>
        </w:rPr>
        <w:t> </w:t>
      </w:r>
      <w:r>
        <w:rPr/>
        <w:t>mismos</w:t>
      </w:r>
      <w:r>
        <w:rPr>
          <w:spacing w:val="-13"/>
        </w:rPr>
        <w:t> </w:t>
      </w:r>
      <w:r>
        <w:rPr/>
        <w:t>elijan.</w:t>
      </w:r>
      <w:r>
        <w:rPr>
          <w:spacing w:val="-14"/>
        </w:rPr>
        <w:t> </w:t>
      </w:r>
      <w:r>
        <w:rPr/>
        <w:t>La</w:t>
      </w:r>
      <w:r>
        <w:rPr>
          <w:spacing w:val="-14"/>
        </w:rPr>
        <w:t> </w:t>
      </w:r>
      <w:r>
        <w:rPr/>
        <w:t>Presidencia</w:t>
      </w:r>
      <w:r>
        <w:rPr>
          <w:spacing w:val="-12"/>
        </w:rPr>
        <w:t> </w:t>
      </w:r>
      <w:r>
        <w:rPr/>
        <w:t>será</w:t>
      </w:r>
      <w:r>
        <w:rPr>
          <w:spacing w:val="-13"/>
        </w:rPr>
        <w:t> </w:t>
      </w:r>
      <w:r>
        <w:rPr/>
        <w:t>rotativa en el orden que los ediles acuerden.</w:t>
      </w:r>
    </w:p>
    <w:p>
      <w:pPr>
        <w:pStyle w:val="BodyText"/>
      </w:pPr>
    </w:p>
    <w:p>
      <w:pPr>
        <w:pStyle w:val="BodyText"/>
      </w:pPr>
    </w:p>
    <w:p>
      <w:pPr>
        <w:pStyle w:val="Heading2"/>
        <w:spacing w:line="480" w:lineRule="auto"/>
        <w:ind w:left="3547" w:right="3563"/>
      </w:pPr>
      <w:r>
        <w:rPr/>
        <w:t>Capítulo VI Procuraduría</w:t>
      </w:r>
      <w:r>
        <w:rPr>
          <w:spacing w:val="-14"/>
        </w:rPr>
        <w:t> </w:t>
      </w:r>
      <w:r>
        <w:rPr/>
        <w:t>Urbana</w:t>
      </w:r>
    </w:p>
    <w:p>
      <w:pPr>
        <w:pStyle w:val="BodyText"/>
        <w:ind w:left="262" w:right="282"/>
        <w:jc w:val="both"/>
      </w:pPr>
      <w:r>
        <w:rPr>
          <w:rFonts w:ascii="Arial" w:hAnsi="Arial"/>
          <w:b/>
        </w:rPr>
        <w:t>ARTÍCULO 43. </w:t>
      </w:r>
      <w:r>
        <w:rPr/>
        <w:t>El titular del Ejecutivo del Estado constituirá la Procuraduría Urbana, como organismo público descentralizado de la administración pública estatal, con personalidad jurídica y patrimonio</w:t>
      </w:r>
      <w:r>
        <w:rPr>
          <w:spacing w:val="40"/>
        </w:rPr>
        <w:t> </w:t>
      </w:r>
      <w:r>
        <w:rPr/>
        <w:t>propio,</w:t>
      </w:r>
      <w:r>
        <w:rPr>
          <w:spacing w:val="40"/>
        </w:rPr>
        <w:t> </w:t>
      </w:r>
      <w:r>
        <w:rPr/>
        <w:t>y</w:t>
      </w:r>
      <w:r>
        <w:rPr>
          <w:spacing w:val="40"/>
        </w:rPr>
        <w:t> </w:t>
      </w:r>
      <w:r>
        <w:rPr/>
        <w:t>autonomía</w:t>
      </w:r>
      <w:r>
        <w:rPr>
          <w:spacing w:val="40"/>
        </w:rPr>
        <w:t> </w:t>
      </w:r>
      <w:r>
        <w:rPr/>
        <w:t>técnica</w:t>
      </w:r>
      <w:r>
        <w:rPr>
          <w:spacing w:val="40"/>
        </w:rPr>
        <w:t> </w:t>
      </w:r>
      <w:r>
        <w:rPr/>
        <w:t>y</w:t>
      </w:r>
      <w:r>
        <w:rPr>
          <w:spacing w:val="40"/>
        </w:rPr>
        <w:t> </w:t>
      </w:r>
      <w:r>
        <w:rPr/>
        <w:t>de</w:t>
      </w:r>
      <w:r>
        <w:rPr>
          <w:spacing w:val="40"/>
        </w:rPr>
        <w:t> </w:t>
      </w:r>
      <w:r>
        <w:rPr/>
        <w:t>gestión,</w:t>
      </w:r>
      <w:r>
        <w:rPr>
          <w:spacing w:val="40"/>
        </w:rPr>
        <w:t> </w:t>
      </w:r>
      <w:r>
        <w:rPr/>
        <w:t>sectorizado</w:t>
      </w:r>
      <w:r>
        <w:rPr>
          <w:spacing w:val="40"/>
        </w:rPr>
        <w:t> </w:t>
      </w:r>
      <w:r>
        <w:rPr/>
        <w:t>a</w:t>
      </w:r>
      <w:r>
        <w:rPr>
          <w:spacing w:val="40"/>
        </w:rPr>
        <w:t> </w:t>
      </w:r>
      <w:r>
        <w:rPr/>
        <w:t>la</w:t>
      </w:r>
      <w:r>
        <w:rPr>
          <w:spacing w:val="40"/>
        </w:rPr>
        <w:t> </w:t>
      </w:r>
      <w:r>
        <w:rPr/>
        <w:t>Secretaría</w:t>
      </w:r>
      <w:r>
        <w:rPr>
          <w:spacing w:val="40"/>
        </w:rPr>
        <w:t> </w:t>
      </w:r>
      <w:r>
        <w:rPr/>
        <w:t>General</w:t>
      </w:r>
      <w:r>
        <w:rPr>
          <w:spacing w:val="40"/>
        </w:rPr>
        <w:t> </w:t>
      </w:r>
      <w:r>
        <w:rPr/>
        <w:t>de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Gobierno, y</w:t>
      </w:r>
      <w:r>
        <w:rPr>
          <w:spacing w:val="-2"/>
        </w:rPr>
        <w:t> </w:t>
      </w:r>
      <w:r>
        <w:rPr/>
        <w:t>tendrá</w:t>
      </w:r>
      <w:r>
        <w:rPr>
          <w:spacing w:val="-1"/>
        </w:rPr>
        <w:t> </w:t>
      </w:r>
      <w:r>
        <w:rPr/>
        <w:t>la</w:t>
      </w:r>
      <w:r>
        <w:rPr>
          <w:spacing w:val="-3"/>
        </w:rPr>
        <w:t> </w:t>
      </w:r>
      <w:r>
        <w:rPr/>
        <w:t>organización</w:t>
      </w:r>
      <w:r>
        <w:rPr>
          <w:spacing w:val="-1"/>
        </w:rPr>
        <w:t> </w:t>
      </w:r>
      <w:r>
        <w:rPr/>
        <w:t>y las atribuciones que</w:t>
      </w:r>
      <w:r>
        <w:rPr>
          <w:spacing w:val="-1"/>
        </w:rPr>
        <w:t> </w:t>
      </w:r>
      <w:r>
        <w:rPr/>
        <w:t>le</w:t>
      </w:r>
      <w:r>
        <w:rPr>
          <w:spacing w:val="-1"/>
        </w:rPr>
        <w:t> </w:t>
      </w:r>
      <w:r>
        <w:rPr/>
        <w:t>señalen</w:t>
      </w:r>
      <w:r>
        <w:rPr>
          <w:spacing w:val="-1"/>
        </w:rPr>
        <w:t> </w:t>
      </w:r>
      <w:r>
        <w:rPr/>
        <w:t>las disposiciones</w:t>
      </w:r>
      <w:r>
        <w:rPr>
          <w:spacing w:val="-2"/>
        </w:rPr>
        <w:t> </w:t>
      </w:r>
      <w:r>
        <w:rPr/>
        <w:t>jurídicas</w:t>
      </w:r>
      <w:r>
        <w:rPr>
          <w:spacing w:val="-2"/>
        </w:rPr>
        <w:t> </w:t>
      </w:r>
      <w:r>
        <w:rPr/>
        <w:t>que la establezcan, con base en lo previsto en esta Ley.</w:t>
      </w:r>
    </w:p>
    <w:p>
      <w:pPr>
        <w:pStyle w:val="BodyText"/>
        <w:spacing w:before="1"/>
      </w:pPr>
    </w:p>
    <w:p>
      <w:pPr>
        <w:pStyle w:val="BodyText"/>
        <w:ind w:left="262" w:right="285"/>
        <w:jc w:val="both"/>
      </w:pPr>
      <w:r>
        <w:rPr/>
        <w:t>La Procuraduría Urbana tendrá por objeto orientar, asesorar y defender a los ciudadanos en los asuntos relacionados con el proceso de urbanización, conforme a las disposiciones de la presente Ley y el reglamento de dicho organismo.</w:t>
      </w:r>
    </w:p>
    <w:p>
      <w:pPr>
        <w:pStyle w:val="BodyText"/>
        <w:spacing w:before="229"/>
        <w:ind w:left="262" w:right="279"/>
        <w:jc w:val="both"/>
      </w:pPr>
      <w:r>
        <w:rPr>
          <w:rFonts w:ascii="Arial" w:hAnsi="Arial"/>
          <w:b/>
        </w:rPr>
        <w:t>ARTÍCULO</w:t>
      </w:r>
      <w:r>
        <w:rPr>
          <w:rFonts w:ascii="Arial" w:hAnsi="Arial"/>
          <w:b/>
          <w:spacing w:val="-5"/>
        </w:rPr>
        <w:t> </w:t>
      </w:r>
      <w:r>
        <w:rPr>
          <w:rFonts w:ascii="Arial" w:hAnsi="Arial"/>
          <w:b/>
        </w:rPr>
        <w:t>44.</w:t>
      </w:r>
      <w:r>
        <w:rPr>
          <w:rFonts w:ascii="Arial" w:hAnsi="Arial"/>
          <w:b/>
          <w:spacing w:val="-4"/>
        </w:rPr>
        <w:t> </w:t>
      </w:r>
      <w:r>
        <w:rPr/>
        <w:t>La</w:t>
      </w:r>
      <w:r>
        <w:rPr>
          <w:spacing w:val="-5"/>
        </w:rPr>
        <w:t> </w:t>
      </w:r>
      <w:r>
        <w:rPr/>
        <w:t>Procuraduría</w:t>
      </w:r>
      <w:r>
        <w:rPr>
          <w:spacing w:val="40"/>
        </w:rPr>
        <w:t> </w:t>
      </w:r>
      <w:r>
        <w:rPr/>
        <w:t>Urbana</w:t>
      </w:r>
      <w:r>
        <w:rPr>
          <w:spacing w:val="-4"/>
        </w:rPr>
        <w:t> </w:t>
      </w:r>
      <w:r>
        <w:rPr/>
        <w:t>estará</w:t>
      </w:r>
      <w:r>
        <w:rPr>
          <w:spacing w:val="-6"/>
        </w:rPr>
        <w:t> </w:t>
      </w:r>
      <w:r>
        <w:rPr/>
        <w:t>a</w:t>
      </w:r>
      <w:r>
        <w:rPr>
          <w:spacing w:val="-7"/>
        </w:rPr>
        <w:t> </w:t>
      </w:r>
      <w:r>
        <w:rPr/>
        <w:t>cargo</w:t>
      </w:r>
      <w:r>
        <w:rPr>
          <w:spacing w:val="-7"/>
        </w:rPr>
        <w:t> </w:t>
      </w:r>
      <w:r>
        <w:rPr/>
        <w:t>de</w:t>
      </w:r>
      <w:r>
        <w:rPr>
          <w:spacing w:val="-7"/>
        </w:rPr>
        <w:t> </w:t>
      </w:r>
      <w:r>
        <w:rPr/>
        <w:t>un</w:t>
      </w:r>
      <w:r>
        <w:rPr>
          <w:spacing w:val="-7"/>
        </w:rPr>
        <w:t> </w:t>
      </w:r>
      <w:r>
        <w:rPr/>
        <w:t>Procurador</w:t>
      </w:r>
      <w:r>
        <w:rPr>
          <w:spacing w:val="-6"/>
        </w:rPr>
        <w:t> </w:t>
      </w:r>
      <w:r>
        <w:rPr/>
        <w:t>Urbano,</w:t>
      </w:r>
      <w:r>
        <w:rPr>
          <w:spacing w:val="-6"/>
        </w:rPr>
        <w:t> </w:t>
      </w:r>
      <w:r>
        <w:rPr/>
        <w:t>designado</w:t>
      </w:r>
      <w:r>
        <w:rPr>
          <w:spacing w:val="-7"/>
        </w:rPr>
        <w:t> </w:t>
      </w:r>
      <w:r>
        <w:rPr/>
        <w:t>por</w:t>
      </w:r>
      <w:r>
        <w:rPr>
          <w:spacing w:val="-6"/>
        </w:rPr>
        <w:t> </w:t>
      </w:r>
      <w:r>
        <w:rPr/>
        <w:t>el Órgano de Gobierno de dicha entidad, a propuesta del Gobernador del Estado, de una terna propuesta</w:t>
      </w:r>
      <w:r>
        <w:rPr>
          <w:spacing w:val="-14"/>
        </w:rPr>
        <w:t> </w:t>
      </w:r>
      <w:r>
        <w:rPr/>
        <w:t>por</w:t>
      </w:r>
      <w:r>
        <w:rPr>
          <w:spacing w:val="-14"/>
        </w:rPr>
        <w:t> </w:t>
      </w:r>
      <w:r>
        <w:rPr/>
        <w:t>el</w:t>
      </w:r>
      <w:r>
        <w:rPr>
          <w:spacing w:val="-14"/>
        </w:rPr>
        <w:t> </w:t>
      </w:r>
      <w:r>
        <w:rPr/>
        <w:t>Consejo</w:t>
      </w:r>
      <w:r>
        <w:rPr>
          <w:spacing w:val="-14"/>
        </w:rPr>
        <w:t> </w:t>
      </w:r>
      <w:r>
        <w:rPr/>
        <w:t>Estatal</w:t>
      </w:r>
      <w:r>
        <w:rPr>
          <w:spacing w:val="-14"/>
        </w:rPr>
        <w:t> </w:t>
      </w:r>
      <w:r>
        <w:rPr/>
        <w:t>de</w:t>
      </w:r>
      <w:r>
        <w:rPr>
          <w:spacing w:val="-14"/>
        </w:rPr>
        <w:t> </w:t>
      </w:r>
      <w:r>
        <w:rPr/>
        <w:t>Ordenamiento</w:t>
      </w:r>
      <w:r>
        <w:rPr>
          <w:spacing w:val="-14"/>
        </w:rPr>
        <w:t> </w:t>
      </w:r>
      <w:r>
        <w:rPr/>
        <w:t>Territorial</w:t>
      </w:r>
      <w:r>
        <w:rPr>
          <w:spacing w:val="-14"/>
        </w:rPr>
        <w:t> </w:t>
      </w:r>
      <w:r>
        <w:rPr/>
        <w:t>y</w:t>
      </w:r>
      <w:r>
        <w:rPr>
          <w:spacing w:val="-14"/>
        </w:rPr>
        <w:t> </w:t>
      </w:r>
      <w:r>
        <w:rPr/>
        <w:t>Desarrollo</w:t>
      </w:r>
      <w:r>
        <w:rPr>
          <w:spacing w:val="-13"/>
        </w:rPr>
        <w:t> </w:t>
      </w:r>
      <w:r>
        <w:rPr/>
        <w:t>Urbano,</w:t>
      </w:r>
      <w:r>
        <w:rPr>
          <w:spacing w:val="-14"/>
        </w:rPr>
        <w:t> </w:t>
      </w:r>
      <w:r>
        <w:rPr/>
        <w:t>quien</w:t>
      </w:r>
      <w:r>
        <w:rPr>
          <w:spacing w:val="-14"/>
        </w:rPr>
        <w:t> </w:t>
      </w:r>
      <w:r>
        <w:rPr/>
        <w:t>para</w:t>
      </w:r>
      <w:r>
        <w:rPr>
          <w:spacing w:val="-14"/>
        </w:rPr>
        <w:t> </w:t>
      </w:r>
      <w:r>
        <w:rPr/>
        <w:t>ocupar dicho cargo deberá contar con título de licenciado en derecho o carrera afín, y tener experiencia probada en materia de derecho urbano.</w:t>
      </w:r>
    </w:p>
    <w:p>
      <w:pPr>
        <w:pStyle w:val="BodyText"/>
        <w:spacing w:before="1"/>
      </w:pPr>
    </w:p>
    <w:p>
      <w:pPr>
        <w:pStyle w:val="BodyText"/>
        <w:ind w:left="262" w:right="285"/>
        <w:jc w:val="both"/>
      </w:pPr>
      <w:r>
        <w:rPr/>
        <w:t>Para</w:t>
      </w:r>
      <w:r>
        <w:rPr>
          <w:spacing w:val="-8"/>
        </w:rPr>
        <w:t> </w:t>
      </w:r>
      <w:r>
        <w:rPr/>
        <w:t>el</w:t>
      </w:r>
      <w:r>
        <w:rPr>
          <w:spacing w:val="-10"/>
        </w:rPr>
        <w:t> </w:t>
      </w:r>
      <w:r>
        <w:rPr/>
        <w:t>ejercicio</w:t>
      </w:r>
      <w:r>
        <w:rPr>
          <w:spacing w:val="-11"/>
        </w:rPr>
        <w:t> </w:t>
      </w:r>
      <w:r>
        <w:rPr/>
        <w:t>de</w:t>
      </w:r>
      <w:r>
        <w:rPr>
          <w:spacing w:val="-11"/>
        </w:rPr>
        <w:t> </w:t>
      </w:r>
      <w:r>
        <w:rPr/>
        <w:t>sus</w:t>
      </w:r>
      <w:r>
        <w:rPr>
          <w:spacing w:val="-8"/>
        </w:rPr>
        <w:t> </w:t>
      </w:r>
      <w:r>
        <w:rPr/>
        <w:t>atribuciones</w:t>
      </w:r>
      <w:r>
        <w:rPr>
          <w:spacing w:val="-8"/>
        </w:rPr>
        <w:t> </w:t>
      </w:r>
      <w:r>
        <w:rPr/>
        <w:t>la</w:t>
      </w:r>
      <w:r>
        <w:rPr>
          <w:spacing w:val="-9"/>
        </w:rPr>
        <w:t> </w:t>
      </w:r>
      <w:r>
        <w:rPr/>
        <w:t>Procuraduría</w:t>
      </w:r>
      <w:r>
        <w:rPr>
          <w:spacing w:val="-9"/>
        </w:rPr>
        <w:t> </w:t>
      </w:r>
      <w:r>
        <w:rPr/>
        <w:t>Urbana</w:t>
      </w:r>
      <w:r>
        <w:rPr>
          <w:spacing w:val="-10"/>
        </w:rPr>
        <w:t> </w:t>
      </w:r>
      <w:r>
        <w:rPr/>
        <w:t>contará</w:t>
      </w:r>
      <w:r>
        <w:rPr>
          <w:spacing w:val="-11"/>
        </w:rPr>
        <w:t> </w:t>
      </w:r>
      <w:r>
        <w:rPr/>
        <w:t>con</w:t>
      </w:r>
      <w:r>
        <w:rPr>
          <w:spacing w:val="-10"/>
        </w:rPr>
        <w:t> </w:t>
      </w:r>
      <w:r>
        <w:rPr/>
        <w:t>el</w:t>
      </w:r>
      <w:r>
        <w:rPr>
          <w:spacing w:val="-10"/>
        </w:rPr>
        <w:t> </w:t>
      </w:r>
      <w:r>
        <w:rPr/>
        <w:t>personal</w:t>
      </w:r>
      <w:r>
        <w:rPr>
          <w:spacing w:val="-10"/>
        </w:rPr>
        <w:t> </w:t>
      </w:r>
      <w:r>
        <w:rPr/>
        <w:t>que</w:t>
      </w:r>
      <w:r>
        <w:rPr>
          <w:spacing w:val="-11"/>
        </w:rPr>
        <w:t> </w:t>
      </w:r>
      <w:r>
        <w:rPr/>
        <w:t>se</w:t>
      </w:r>
      <w:r>
        <w:rPr>
          <w:spacing w:val="-9"/>
        </w:rPr>
        <w:t> </w:t>
      </w:r>
      <w:r>
        <w:rPr/>
        <w:t>requiera y</w:t>
      </w:r>
      <w:r>
        <w:rPr>
          <w:spacing w:val="-8"/>
        </w:rPr>
        <w:t> </w:t>
      </w:r>
      <w:r>
        <w:rPr/>
        <w:t>se</w:t>
      </w:r>
      <w:r>
        <w:rPr>
          <w:spacing w:val="-9"/>
        </w:rPr>
        <w:t> </w:t>
      </w:r>
      <w:r>
        <w:rPr/>
        <w:t>autorice</w:t>
      </w:r>
      <w:r>
        <w:rPr>
          <w:spacing w:val="-9"/>
        </w:rPr>
        <w:t> </w:t>
      </w:r>
      <w:r>
        <w:rPr/>
        <w:t>en</w:t>
      </w:r>
      <w:r>
        <w:rPr>
          <w:spacing w:val="-7"/>
        </w:rPr>
        <w:t> </w:t>
      </w:r>
      <w:r>
        <w:rPr/>
        <w:t>su</w:t>
      </w:r>
      <w:r>
        <w:rPr>
          <w:spacing w:val="-9"/>
        </w:rPr>
        <w:t> </w:t>
      </w:r>
      <w:r>
        <w:rPr/>
        <w:t>presupuesto</w:t>
      </w:r>
      <w:r>
        <w:rPr>
          <w:spacing w:val="-9"/>
        </w:rPr>
        <w:t> </w:t>
      </w:r>
      <w:r>
        <w:rPr/>
        <w:t>asignado.</w:t>
      </w:r>
      <w:r>
        <w:rPr>
          <w:spacing w:val="-6"/>
        </w:rPr>
        <w:t> </w:t>
      </w:r>
      <w:r>
        <w:rPr/>
        <w:t>Su</w:t>
      </w:r>
      <w:r>
        <w:rPr>
          <w:spacing w:val="-7"/>
        </w:rPr>
        <w:t> </w:t>
      </w:r>
      <w:r>
        <w:rPr/>
        <w:t>estructura</w:t>
      </w:r>
      <w:r>
        <w:rPr>
          <w:spacing w:val="-9"/>
        </w:rPr>
        <w:t> </w:t>
      </w:r>
      <w:r>
        <w:rPr/>
        <w:t>orgánica</w:t>
      </w:r>
      <w:r>
        <w:rPr>
          <w:spacing w:val="-9"/>
        </w:rPr>
        <w:t> </w:t>
      </w:r>
      <w:r>
        <w:rPr/>
        <w:t>y</w:t>
      </w:r>
      <w:r>
        <w:rPr>
          <w:spacing w:val="-5"/>
        </w:rPr>
        <w:t> </w:t>
      </w:r>
      <w:r>
        <w:rPr/>
        <w:t>las</w:t>
      </w:r>
      <w:r>
        <w:rPr>
          <w:spacing w:val="-8"/>
        </w:rPr>
        <w:t> </w:t>
      </w:r>
      <w:r>
        <w:rPr/>
        <w:t>atribuciones</w:t>
      </w:r>
      <w:r>
        <w:rPr>
          <w:spacing w:val="-8"/>
        </w:rPr>
        <w:t> </w:t>
      </w:r>
      <w:r>
        <w:rPr/>
        <w:t>de</w:t>
      </w:r>
      <w:r>
        <w:rPr>
          <w:spacing w:val="-9"/>
        </w:rPr>
        <w:t> </w:t>
      </w:r>
      <w:r>
        <w:rPr/>
        <w:t>sus</w:t>
      </w:r>
      <w:r>
        <w:rPr>
          <w:spacing w:val="-8"/>
        </w:rPr>
        <w:t> </w:t>
      </w:r>
      <w:r>
        <w:rPr/>
        <w:t>áreas</w:t>
      </w:r>
      <w:r>
        <w:rPr>
          <w:spacing w:val="-8"/>
        </w:rPr>
        <w:t> </w:t>
      </w:r>
      <w:r>
        <w:rPr/>
        <w:t>se establecerán en su Reglamento Interior.</w:t>
      </w:r>
    </w:p>
    <w:p>
      <w:pPr>
        <w:pStyle w:val="BodyText"/>
        <w:spacing w:before="229"/>
        <w:ind w:left="262" w:right="283"/>
        <w:jc w:val="both"/>
      </w:pPr>
      <w:r>
        <w:rPr>
          <w:rFonts w:ascii="Arial" w:hAnsi="Arial"/>
          <w:b/>
        </w:rPr>
        <w:t>ARTÍCULO</w:t>
      </w:r>
      <w:r>
        <w:rPr>
          <w:rFonts w:ascii="Arial" w:hAnsi="Arial"/>
          <w:b/>
          <w:spacing w:val="-14"/>
        </w:rPr>
        <w:t> </w:t>
      </w:r>
      <w:r>
        <w:rPr>
          <w:rFonts w:ascii="Arial" w:hAnsi="Arial"/>
          <w:b/>
        </w:rPr>
        <w:t>45.</w:t>
      </w:r>
      <w:r>
        <w:rPr>
          <w:rFonts w:ascii="Arial" w:hAnsi="Arial"/>
          <w:b/>
          <w:spacing w:val="-13"/>
        </w:rPr>
        <w:t> </w:t>
      </w:r>
      <w:r>
        <w:rPr/>
        <w:t>El</w:t>
      </w:r>
      <w:r>
        <w:rPr>
          <w:spacing w:val="-12"/>
        </w:rPr>
        <w:t> </w:t>
      </w:r>
      <w:r>
        <w:rPr/>
        <w:t>órgano</w:t>
      </w:r>
      <w:r>
        <w:rPr>
          <w:spacing w:val="-14"/>
        </w:rPr>
        <w:t> </w:t>
      </w:r>
      <w:r>
        <w:rPr/>
        <w:t>de</w:t>
      </w:r>
      <w:r>
        <w:rPr>
          <w:spacing w:val="-14"/>
        </w:rPr>
        <w:t> </w:t>
      </w:r>
      <w:r>
        <w:rPr/>
        <w:t>gobierno</w:t>
      </w:r>
      <w:r>
        <w:rPr>
          <w:spacing w:val="-14"/>
        </w:rPr>
        <w:t> </w:t>
      </w:r>
      <w:r>
        <w:rPr/>
        <w:t>de</w:t>
      </w:r>
      <w:r>
        <w:rPr>
          <w:spacing w:val="-12"/>
        </w:rPr>
        <w:t> </w:t>
      </w:r>
      <w:r>
        <w:rPr/>
        <w:t>la</w:t>
      </w:r>
      <w:r>
        <w:rPr>
          <w:spacing w:val="-12"/>
        </w:rPr>
        <w:t> </w:t>
      </w:r>
      <w:r>
        <w:rPr/>
        <w:t>Procuraduría</w:t>
      </w:r>
      <w:r>
        <w:rPr>
          <w:spacing w:val="-14"/>
        </w:rPr>
        <w:t> </w:t>
      </w:r>
      <w:r>
        <w:rPr/>
        <w:t>Urbana</w:t>
      </w:r>
      <w:r>
        <w:rPr>
          <w:spacing w:val="-14"/>
        </w:rPr>
        <w:t> </w:t>
      </w:r>
      <w:r>
        <w:rPr/>
        <w:t>será</w:t>
      </w:r>
      <w:r>
        <w:rPr>
          <w:spacing w:val="-13"/>
        </w:rPr>
        <w:t> </w:t>
      </w:r>
      <w:r>
        <w:rPr/>
        <w:t>una</w:t>
      </w:r>
      <w:r>
        <w:rPr>
          <w:spacing w:val="-14"/>
        </w:rPr>
        <w:t> </w:t>
      </w:r>
      <w:r>
        <w:rPr/>
        <w:t>Junta</w:t>
      </w:r>
      <w:r>
        <w:rPr>
          <w:spacing w:val="-14"/>
        </w:rPr>
        <w:t> </w:t>
      </w:r>
      <w:r>
        <w:rPr/>
        <w:t>Directiva,</w:t>
      </w:r>
      <w:r>
        <w:rPr>
          <w:spacing w:val="-14"/>
        </w:rPr>
        <w:t> </w:t>
      </w:r>
      <w:r>
        <w:rPr/>
        <w:t>integrada de la siguiente forma:</w:t>
      </w:r>
    </w:p>
    <w:p>
      <w:pPr>
        <w:pStyle w:val="BodyText"/>
        <w:spacing w:before="2"/>
      </w:pPr>
    </w:p>
    <w:p>
      <w:pPr>
        <w:pStyle w:val="ListParagraph"/>
        <w:numPr>
          <w:ilvl w:val="0"/>
          <w:numId w:val="24"/>
        </w:numPr>
        <w:tabs>
          <w:tab w:pos="543" w:val="left" w:leader="none"/>
        </w:tabs>
        <w:spacing w:line="240" w:lineRule="auto" w:before="0" w:after="0"/>
        <w:ind w:left="543" w:right="0" w:hanging="281"/>
        <w:jc w:val="left"/>
        <w:rPr>
          <w:sz w:val="20"/>
        </w:rPr>
      </w:pPr>
      <w:r>
        <w:rPr>
          <w:sz w:val="20"/>
        </w:rPr>
        <w:t>Por</w:t>
      </w:r>
      <w:r>
        <w:rPr>
          <w:spacing w:val="-7"/>
          <w:sz w:val="20"/>
        </w:rPr>
        <w:t> </w:t>
      </w:r>
      <w:r>
        <w:rPr>
          <w:sz w:val="20"/>
        </w:rPr>
        <w:t>las</w:t>
      </w:r>
      <w:r>
        <w:rPr>
          <w:spacing w:val="-6"/>
          <w:sz w:val="20"/>
        </w:rPr>
        <w:t> </w:t>
      </w:r>
      <w:r>
        <w:rPr>
          <w:sz w:val="20"/>
        </w:rPr>
        <w:t>o</w:t>
      </w:r>
      <w:r>
        <w:rPr>
          <w:spacing w:val="-6"/>
          <w:sz w:val="20"/>
        </w:rPr>
        <w:t> </w:t>
      </w:r>
      <w:r>
        <w:rPr>
          <w:sz w:val="20"/>
        </w:rPr>
        <w:t>los</w:t>
      </w:r>
      <w:r>
        <w:rPr>
          <w:spacing w:val="-6"/>
          <w:sz w:val="20"/>
        </w:rPr>
        <w:t> </w:t>
      </w:r>
      <w:r>
        <w:rPr>
          <w:sz w:val="20"/>
        </w:rPr>
        <w:t>Titulares</w:t>
      </w:r>
      <w:r>
        <w:rPr>
          <w:spacing w:val="-5"/>
          <w:sz w:val="20"/>
        </w:rPr>
        <w:t> </w:t>
      </w:r>
      <w:r>
        <w:rPr>
          <w:sz w:val="20"/>
        </w:rPr>
        <w:t>de</w:t>
      </w:r>
      <w:r>
        <w:rPr>
          <w:spacing w:val="-6"/>
          <w:sz w:val="20"/>
        </w:rPr>
        <w:t> </w:t>
      </w:r>
      <w:r>
        <w:rPr>
          <w:sz w:val="20"/>
        </w:rPr>
        <w:t>las</w:t>
      </w:r>
      <w:r>
        <w:rPr>
          <w:spacing w:val="-6"/>
          <w:sz w:val="20"/>
        </w:rPr>
        <w:t> </w:t>
      </w:r>
      <w:r>
        <w:rPr>
          <w:sz w:val="20"/>
        </w:rPr>
        <w:t>siguientes</w:t>
      </w:r>
      <w:r>
        <w:rPr>
          <w:spacing w:val="-4"/>
          <w:sz w:val="20"/>
        </w:rPr>
        <w:t> </w:t>
      </w:r>
      <w:r>
        <w:rPr>
          <w:sz w:val="20"/>
        </w:rPr>
        <w:t>Secretarías,</w:t>
      </w:r>
      <w:r>
        <w:rPr>
          <w:spacing w:val="-7"/>
          <w:sz w:val="20"/>
        </w:rPr>
        <w:t> </w:t>
      </w:r>
      <w:r>
        <w:rPr>
          <w:sz w:val="20"/>
        </w:rPr>
        <w:t>entidades</w:t>
      </w:r>
      <w:r>
        <w:rPr>
          <w:spacing w:val="-4"/>
          <w:sz w:val="20"/>
        </w:rPr>
        <w:t> </w:t>
      </w:r>
      <w:r>
        <w:rPr>
          <w:sz w:val="20"/>
        </w:rPr>
        <w:t>e</w:t>
      </w:r>
      <w:r>
        <w:rPr>
          <w:spacing w:val="-7"/>
          <w:sz w:val="20"/>
        </w:rPr>
        <w:t> </w:t>
      </w:r>
      <w:r>
        <w:rPr>
          <w:spacing w:val="-2"/>
          <w:sz w:val="20"/>
        </w:rPr>
        <w:t>instituciones:</w:t>
      </w:r>
    </w:p>
    <w:p>
      <w:pPr>
        <w:pStyle w:val="ListParagraph"/>
        <w:numPr>
          <w:ilvl w:val="1"/>
          <w:numId w:val="24"/>
        </w:numPr>
        <w:tabs>
          <w:tab w:pos="544" w:val="left" w:leader="none"/>
        </w:tabs>
        <w:spacing w:line="240" w:lineRule="auto" w:before="228" w:after="0"/>
        <w:ind w:left="544" w:right="0" w:hanging="282"/>
        <w:jc w:val="left"/>
        <w:rPr>
          <w:sz w:val="20"/>
        </w:rPr>
      </w:pPr>
      <w:r>
        <w:rPr>
          <w:sz w:val="20"/>
        </w:rPr>
        <w:t>Secretaría</w:t>
      </w:r>
      <w:r>
        <w:rPr>
          <w:spacing w:val="-7"/>
          <w:sz w:val="20"/>
        </w:rPr>
        <w:t> </w:t>
      </w:r>
      <w:r>
        <w:rPr>
          <w:sz w:val="20"/>
        </w:rPr>
        <w:t>General</w:t>
      </w:r>
      <w:r>
        <w:rPr>
          <w:spacing w:val="-7"/>
          <w:sz w:val="20"/>
        </w:rPr>
        <w:t> </w:t>
      </w:r>
      <w:r>
        <w:rPr>
          <w:sz w:val="20"/>
        </w:rPr>
        <w:t>de</w:t>
      </w:r>
      <w:r>
        <w:rPr>
          <w:spacing w:val="-9"/>
          <w:sz w:val="20"/>
        </w:rPr>
        <w:t> </w:t>
      </w:r>
      <w:r>
        <w:rPr>
          <w:sz w:val="20"/>
        </w:rPr>
        <w:t>Gobierno,</w:t>
      </w:r>
      <w:r>
        <w:rPr>
          <w:spacing w:val="-9"/>
          <w:sz w:val="20"/>
        </w:rPr>
        <w:t> </w:t>
      </w:r>
      <w:r>
        <w:rPr>
          <w:sz w:val="20"/>
        </w:rPr>
        <w:t>quien</w:t>
      </w:r>
      <w:r>
        <w:rPr>
          <w:spacing w:val="-7"/>
          <w:sz w:val="20"/>
        </w:rPr>
        <w:t> </w:t>
      </w:r>
      <w:r>
        <w:rPr>
          <w:sz w:val="20"/>
        </w:rPr>
        <w:t>la</w:t>
      </w:r>
      <w:r>
        <w:rPr>
          <w:spacing w:val="-6"/>
          <w:sz w:val="20"/>
        </w:rPr>
        <w:t> </w:t>
      </w:r>
      <w:r>
        <w:rPr>
          <w:spacing w:val="-2"/>
          <w:sz w:val="20"/>
        </w:rPr>
        <w:t>presidirá.</w:t>
      </w:r>
    </w:p>
    <w:p>
      <w:pPr>
        <w:pStyle w:val="BodyText"/>
        <w:spacing w:before="1"/>
      </w:pPr>
    </w:p>
    <w:p>
      <w:pPr>
        <w:pStyle w:val="ListParagraph"/>
        <w:numPr>
          <w:ilvl w:val="1"/>
          <w:numId w:val="24"/>
        </w:numPr>
        <w:tabs>
          <w:tab w:pos="544" w:val="left" w:leader="none"/>
        </w:tabs>
        <w:spacing w:line="240" w:lineRule="auto" w:before="0" w:after="0"/>
        <w:ind w:left="544" w:right="0" w:hanging="282"/>
        <w:jc w:val="left"/>
        <w:rPr>
          <w:sz w:val="20"/>
        </w:rPr>
      </w:pPr>
      <w:r>
        <w:rPr>
          <w:spacing w:val="-2"/>
          <w:sz w:val="20"/>
        </w:rPr>
        <w:t>SEDUVOP.</w:t>
      </w:r>
    </w:p>
    <w:p>
      <w:pPr>
        <w:pStyle w:val="BodyText"/>
        <w:spacing w:before="1"/>
      </w:pPr>
    </w:p>
    <w:p>
      <w:pPr>
        <w:pStyle w:val="ListParagraph"/>
        <w:numPr>
          <w:ilvl w:val="1"/>
          <w:numId w:val="24"/>
        </w:numPr>
        <w:tabs>
          <w:tab w:pos="544" w:val="left" w:leader="none"/>
        </w:tabs>
        <w:spacing w:line="240" w:lineRule="auto" w:before="0" w:after="0"/>
        <w:ind w:left="544" w:right="0" w:hanging="282"/>
        <w:jc w:val="left"/>
        <w:rPr>
          <w:sz w:val="20"/>
        </w:rPr>
      </w:pPr>
      <w:r>
        <w:rPr>
          <w:sz w:val="20"/>
        </w:rPr>
        <w:t>Instituto</w:t>
      </w:r>
      <w:r>
        <w:rPr>
          <w:spacing w:val="-8"/>
          <w:sz w:val="20"/>
        </w:rPr>
        <w:t> </w:t>
      </w:r>
      <w:r>
        <w:rPr>
          <w:sz w:val="20"/>
        </w:rPr>
        <w:t>Estatal</w:t>
      </w:r>
      <w:r>
        <w:rPr>
          <w:spacing w:val="-10"/>
          <w:sz w:val="20"/>
        </w:rPr>
        <w:t> </w:t>
      </w:r>
      <w:r>
        <w:rPr>
          <w:sz w:val="20"/>
        </w:rPr>
        <w:t>de</w:t>
      </w:r>
      <w:r>
        <w:rPr>
          <w:spacing w:val="-9"/>
          <w:sz w:val="20"/>
        </w:rPr>
        <w:t> </w:t>
      </w:r>
      <w:r>
        <w:rPr>
          <w:sz w:val="20"/>
        </w:rPr>
        <w:t>Planeación</w:t>
      </w:r>
      <w:r>
        <w:rPr>
          <w:spacing w:val="-8"/>
          <w:sz w:val="20"/>
        </w:rPr>
        <w:t> </w:t>
      </w:r>
      <w:r>
        <w:rPr>
          <w:spacing w:val="-2"/>
          <w:sz w:val="20"/>
        </w:rPr>
        <w:t>Urbana.</w:t>
      </w:r>
    </w:p>
    <w:p>
      <w:pPr>
        <w:pStyle w:val="ListParagraph"/>
        <w:numPr>
          <w:ilvl w:val="1"/>
          <w:numId w:val="24"/>
        </w:numPr>
        <w:tabs>
          <w:tab w:pos="544" w:val="left" w:leader="none"/>
        </w:tabs>
        <w:spacing w:line="240" w:lineRule="auto" w:before="229" w:after="0"/>
        <w:ind w:left="544" w:right="0" w:hanging="282"/>
        <w:jc w:val="left"/>
        <w:rPr>
          <w:sz w:val="20"/>
        </w:rPr>
      </w:pPr>
      <w:r>
        <w:rPr>
          <w:sz w:val="20"/>
        </w:rPr>
        <w:t>Secretaría</w:t>
      </w:r>
      <w:r>
        <w:rPr>
          <w:spacing w:val="-9"/>
          <w:sz w:val="20"/>
        </w:rPr>
        <w:t> </w:t>
      </w:r>
      <w:r>
        <w:rPr>
          <w:sz w:val="20"/>
        </w:rPr>
        <w:t>de</w:t>
      </w:r>
      <w:r>
        <w:rPr>
          <w:spacing w:val="-9"/>
          <w:sz w:val="20"/>
        </w:rPr>
        <w:t> </w:t>
      </w:r>
      <w:r>
        <w:rPr>
          <w:sz w:val="20"/>
        </w:rPr>
        <w:t>Comunicaciones</w:t>
      </w:r>
      <w:r>
        <w:rPr>
          <w:spacing w:val="-9"/>
          <w:sz w:val="20"/>
        </w:rPr>
        <w:t> </w:t>
      </w:r>
      <w:r>
        <w:rPr>
          <w:sz w:val="20"/>
        </w:rPr>
        <w:t>y</w:t>
      </w:r>
      <w:r>
        <w:rPr>
          <w:spacing w:val="-9"/>
          <w:sz w:val="20"/>
        </w:rPr>
        <w:t> </w:t>
      </w:r>
      <w:r>
        <w:rPr>
          <w:spacing w:val="-2"/>
          <w:sz w:val="20"/>
        </w:rPr>
        <w:t>Trasportes.</w:t>
      </w:r>
    </w:p>
    <w:p>
      <w:pPr>
        <w:pStyle w:val="BodyText"/>
      </w:pPr>
    </w:p>
    <w:p>
      <w:pPr>
        <w:pStyle w:val="ListParagraph"/>
        <w:numPr>
          <w:ilvl w:val="1"/>
          <w:numId w:val="24"/>
        </w:numPr>
        <w:tabs>
          <w:tab w:pos="544" w:val="left" w:leader="none"/>
        </w:tabs>
        <w:spacing w:line="240" w:lineRule="auto" w:before="0" w:after="0"/>
        <w:ind w:left="544" w:right="0" w:hanging="282"/>
        <w:jc w:val="left"/>
        <w:rPr>
          <w:sz w:val="20"/>
        </w:rPr>
      </w:pPr>
      <w:r>
        <w:rPr>
          <w:sz w:val="20"/>
        </w:rPr>
        <w:t>Secretaría</w:t>
      </w:r>
      <w:r>
        <w:rPr>
          <w:spacing w:val="-7"/>
          <w:sz w:val="20"/>
        </w:rPr>
        <w:t> </w:t>
      </w:r>
      <w:r>
        <w:rPr>
          <w:sz w:val="20"/>
        </w:rPr>
        <w:t>de</w:t>
      </w:r>
      <w:r>
        <w:rPr>
          <w:spacing w:val="-7"/>
          <w:sz w:val="20"/>
        </w:rPr>
        <w:t> </w:t>
      </w:r>
      <w:r>
        <w:rPr>
          <w:sz w:val="20"/>
        </w:rPr>
        <w:t>Ecología</w:t>
      </w:r>
      <w:r>
        <w:rPr>
          <w:spacing w:val="-7"/>
          <w:sz w:val="20"/>
        </w:rPr>
        <w:t> </w:t>
      </w:r>
      <w:r>
        <w:rPr>
          <w:sz w:val="20"/>
        </w:rPr>
        <w:t>y</w:t>
      </w:r>
      <w:r>
        <w:rPr>
          <w:spacing w:val="-7"/>
          <w:sz w:val="20"/>
        </w:rPr>
        <w:t> </w:t>
      </w:r>
      <w:r>
        <w:rPr>
          <w:sz w:val="20"/>
        </w:rPr>
        <w:t>Gestión</w:t>
      </w:r>
      <w:r>
        <w:rPr>
          <w:spacing w:val="-7"/>
          <w:sz w:val="20"/>
        </w:rPr>
        <w:t> </w:t>
      </w:r>
      <w:r>
        <w:rPr>
          <w:spacing w:val="-2"/>
          <w:sz w:val="20"/>
        </w:rPr>
        <w:t>Ambiental.</w:t>
      </w:r>
    </w:p>
    <w:p>
      <w:pPr>
        <w:pStyle w:val="BodyText"/>
        <w:spacing w:before="1"/>
      </w:pPr>
    </w:p>
    <w:p>
      <w:pPr>
        <w:pStyle w:val="ListParagraph"/>
        <w:numPr>
          <w:ilvl w:val="1"/>
          <w:numId w:val="24"/>
        </w:numPr>
        <w:tabs>
          <w:tab w:pos="543" w:val="left" w:leader="none"/>
        </w:tabs>
        <w:spacing w:line="240" w:lineRule="auto" w:before="0" w:after="0"/>
        <w:ind w:left="543" w:right="0" w:hanging="281"/>
        <w:jc w:val="left"/>
        <w:rPr>
          <w:sz w:val="20"/>
        </w:rPr>
      </w:pPr>
      <w:r>
        <w:rPr>
          <w:sz w:val="20"/>
        </w:rPr>
        <w:t>Secretaría</w:t>
      </w:r>
      <w:r>
        <w:rPr>
          <w:spacing w:val="-8"/>
          <w:sz w:val="20"/>
        </w:rPr>
        <w:t> </w:t>
      </w:r>
      <w:r>
        <w:rPr>
          <w:sz w:val="20"/>
        </w:rPr>
        <w:t>de</w:t>
      </w:r>
      <w:r>
        <w:rPr>
          <w:spacing w:val="-8"/>
          <w:sz w:val="20"/>
        </w:rPr>
        <w:t> </w:t>
      </w:r>
      <w:r>
        <w:rPr>
          <w:sz w:val="20"/>
        </w:rPr>
        <w:t>Desarrollo</w:t>
      </w:r>
      <w:r>
        <w:rPr>
          <w:spacing w:val="-7"/>
          <w:sz w:val="20"/>
        </w:rPr>
        <w:t> </w:t>
      </w:r>
      <w:r>
        <w:rPr>
          <w:sz w:val="20"/>
        </w:rPr>
        <w:t>Agropecuario</w:t>
      </w:r>
      <w:r>
        <w:rPr>
          <w:spacing w:val="-9"/>
          <w:sz w:val="20"/>
        </w:rPr>
        <w:t> </w:t>
      </w:r>
      <w:r>
        <w:rPr>
          <w:sz w:val="20"/>
        </w:rPr>
        <w:t>y</w:t>
      </w:r>
      <w:r>
        <w:rPr>
          <w:spacing w:val="-8"/>
          <w:sz w:val="20"/>
        </w:rPr>
        <w:t> </w:t>
      </w:r>
      <w:r>
        <w:rPr>
          <w:sz w:val="20"/>
        </w:rPr>
        <w:t>Recursos</w:t>
      </w:r>
      <w:r>
        <w:rPr>
          <w:spacing w:val="-8"/>
          <w:sz w:val="20"/>
        </w:rPr>
        <w:t> </w:t>
      </w:r>
      <w:r>
        <w:rPr>
          <w:spacing w:val="-2"/>
          <w:sz w:val="20"/>
        </w:rPr>
        <w:t>Hidráulicos.</w:t>
      </w:r>
    </w:p>
    <w:p>
      <w:pPr>
        <w:pStyle w:val="ListParagraph"/>
        <w:numPr>
          <w:ilvl w:val="1"/>
          <w:numId w:val="24"/>
        </w:numPr>
        <w:tabs>
          <w:tab w:pos="544" w:val="left" w:leader="none"/>
        </w:tabs>
        <w:spacing w:line="240" w:lineRule="auto" w:before="229" w:after="0"/>
        <w:ind w:left="544" w:right="0" w:hanging="282"/>
        <w:jc w:val="left"/>
        <w:rPr>
          <w:sz w:val="20"/>
        </w:rPr>
      </w:pPr>
      <w:r>
        <w:rPr>
          <w:sz w:val="20"/>
        </w:rPr>
        <w:t>Comisión</w:t>
      </w:r>
      <w:r>
        <w:rPr>
          <w:spacing w:val="-7"/>
          <w:sz w:val="20"/>
        </w:rPr>
        <w:t> </w:t>
      </w:r>
      <w:r>
        <w:rPr>
          <w:sz w:val="20"/>
        </w:rPr>
        <w:t>Estatal</w:t>
      </w:r>
      <w:r>
        <w:rPr>
          <w:spacing w:val="-7"/>
          <w:sz w:val="20"/>
        </w:rPr>
        <w:t> </w:t>
      </w:r>
      <w:r>
        <w:rPr>
          <w:sz w:val="20"/>
        </w:rPr>
        <w:t>del</w:t>
      </w:r>
      <w:r>
        <w:rPr>
          <w:spacing w:val="-10"/>
          <w:sz w:val="20"/>
        </w:rPr>
        <w:t> </w:t>
      </w:r>
      <w:r>
        <w:rPr>
          <w:spacing w:val="-4"/>
          <w:sz w:val="20"/>
        </w:rPr>
        <w:t>Agua.</w:t>
      </w:r>
    </w:p>
    <w:p>
      <w:pPr>
        <w:pStyle w:val="BodyText"/>
      </w:pPr>
    </w:p>
    <w:p>
      <w:pPr>
        <w:pStyle w:val="ListParagraph"/>
        <w:numPr>
          <w:ilvl w:val="1"/>
          <w:numId w:val="24"/>
        </w:numPr>
        <w:tabs>
          <w:tab w:pos="544" w:val="left" w:leader="none"/>
        </w:tabs>
        <w:spacing w:line="240" w:lineRule="auto" w:before="1" w:after="0"/>
        <w:ind w:left="544" w:right="0" w:hanging="282"/>
        <w:jc w:val="left"/>
        <w:rPr>
          <w:sz w:val="20"/>
        </w:rPr>
      </w:pPr>
      <w:r>
        <w:rPr>
          <w:sz w:val="20"/>
        </w:rPr>
        <w:t>Instituto</w:t>
      </w:r>
      <w:r>
        <w:rPr>
          <w:spacing w:val="-9"/>
          <w:sz w:val="20"/>
        </w:rPr>
        <w:t> </w:t>
      </w:r>
      <w:r>
        <w:rPr>
          <w:sz w:val="20"/>
        </w:rPr>
        <w:t>de</w:t>
      </w:r>
      <w:r>
        <w:rPr>
          <w:spacing w:val="-7"/>
          <w:sz w:val="20"/>
        </w:rPr>
        <w:t> </w:t>
      </w:r>
      <w:r>
        <w:rPr>
          <w:sz w:val="20"/>
        </w:rPr>
        <w:t>Vivienda</w:t>
      </w:r>
      <w:r>
        <w:rPr>
          <w:spacing w:val="-7"/>
          <w:sz w:val="20"/>
        </w:rPr>
        <w:t> </w:t>
      </w:r>
      <w:r>
        <w:rPr>
          <w:sz w:val="20"/>
        </w:rPr>
        <w:t>del</w:t>
      </w:r>
      <w:r>
        <w:rPr>
          <w:spacing w:val="-6"/>
          <w:sz w:val="20"/>
        </w:rPr>
        <w:t> </w:t>
      </w:r>
      <w:r>
        <w:rPr>
          <w:spacing w:val="-2"/>
          <w:sz w:val="20"/>
        </w:rPr>
        <w:t>Estado.</w:t>
      </w:r>
    </w:p>
    <w:p>
      <w:pPr>
        <w:pStyle w:val="BodyText"/>
      </w:pPr>
    </w:p>
    <w:p>
      <w:pPr>
        <w:pStyle w:val="ListParagraph"/>
        <w:numPr>
          <w:ilvl w:val="1"/>
          <w:numId w:val="24"/>
        </w:numPr>
        <w:tabs>
          <w:tab w:pos="543" w:val="left" w:leader="none"/>
        </w:tabs>
        <w:spacing w:line="240" w:lineRule="auto" w:before="0" w:after="0"/>
        <w:ind w:left="543" w:right="0" w:hanging="281"/>
        <w:jc w:val="left"/>
        <w:rPr>
          <w:sz w:val="20"/>
        </w:rPr>
      </w:pPr>
      <w:r>
        <w:rPr>
          <w:sz w:val="20"/>
        </w:rPr>
        <w:t>Instituto</w:t>
      </w:r>
      <w:r>
        <w:rPr>
          <w:spacing w:val="-9"/>
          <w:sz w:val="20"/>
        </w:rPr>
        <w:t> </w:t>
      </w:r>
      <w:r>
        <w:rPr>
          <w:sz w:val="20"/>
        </w:rPr>
        <w:t>Registral</w:t>
      </w:r>
      <w:r>
        <w:rPr>
          <w:spacing w:val="-8"/>
          <w:sz w:val="20"/>
        </w:rPr>
        <w:t> </w:t>
      </w:r>
      <w:r>
        <w:rPr>
          <w:sz w:val="20"/>
        </w:rPr>
        <w:t>y</w:t>
      </w:r>
      <w:r>
        <w:rPr>
          <w:spacing w:val="-6"/>
          <w:sz w:val="20"/>
        </w:rPr>
        <w:t> </w:t>
      </w:r>
      <w:r>
        <w:rPr>
          <w:sz w:val="20"/>
        </w:rPr>
        <w:t>Catastral</w:t>
      </w:r>
      <w:r>
        <w:rPr>
          <w:spacing w:val="-9"/>
          <w:sz w:val="20"/>
        </w:rPr>
        <w:t> </w:t>
      </w:r>
      <w:r>
        <w:rPr>
          <w:sz w:val="20"/>
        </w:rPr>
        <w:t>del</w:t>
      </w:r>
      <w:r>
        <w:rPr>
          <w:spacing w:val="-6"/>
          <w:sz w:val="20"/>
        </w:rPr>
        <w:t> </w:t>
      </w:r>
      <w:r>
        <w:rPr>
          <w:spacing w:val="-2"/>
          <w:sz w:val="20"/>
        </w:rPr>
        <w:t>Estado.</w:t>
      </w:r>
    </w:p>
    <w:p>
      <w:pPr>
        <w:pStyle w:val="ListParagraph"/>
        <w:numPr>
          <w:ilvl w:val="1"/>
          <w:numId w:val="24"/>
        </w:numPr>
        <w:tabs>
          <w:tab w:pos="543" w:val="left" w:leader="none"/>
        </w:tabs>
        <w:spacing w:line="240" w:lineRule="auto" w:before="229" w:after="0"/>
        <w:ind w:left="543" w:right="0" w:hanging="281"/>
        <w:jc w:val="left"/>
        <w:rPr>
          <w:sz w:val="20"/>
        </w:rPr>
      </w:pPr>
      <w:r>
        <w:rPr>
          <w:sz w:val="20"/>
        </w:rPr>
        <w:t>Promotora</w:t>
      </w:r>
      <w:r>
        <w:rPr>
          <w:spacing w:val="-9"/>
          <w:sz w:val="20"/>
        </w:rPr>
        <w:t> </w:t>
      </w:r>
      <w:r>
        <w:rPr>
          <w:sz w:val="20"/>
        </w:rPr>
        <w:t>del</w:t>
      </w:r>
      <w:r>
        <w:rPr>
          <w:spacing w:val="-9"/>
          <w:sz w:val="20"/>
        </w:rPr>
        <w:t> </w:t>
      </w:r>
      <w:r>
        <w:rPr>
          <w:sz w:val="20"/>
        </w:rPr>
        <w:t>Estado,</w:t>
      </w:r>
      <w:r>
        <w:rPr>
          <w:spacing w:val="-9"/>
          <w:sz w:val="20"/>
        </w:rPr>
        <w:t> </w:t>
      </w:r>
      <w:r>
        <w:rPr>
          <w:spacing w:val="-10"/>
          <w:sz w:val="20"/>
        </w:rPr>
        <w:t>y</w:t>
      </w:r>
    </w:p>
    <w:p>
      <w:pPr>
        <w:pStyle w:val="BodyText"/>
        <w:spacing w:before="1"/>
      </w:pPr>
    </w:p>
    <w:p>
      <w:pPr>
        <w:pStyle w:val="ListParagraph"/>
        <w:numPr>
          <w:ilvl w:val="0"/>
          <w:numId w:val="24"/>
        </w:numPr>
        <w:tabs>
          <w:tab w:pos="543" w:val="left" w:leader="none"/>
        </w:tabs>
        <w:spacing w:line="240" w:lineRule="auto" w:before="0" w:after="0"/>
        <w:ind w:left="262" w:right="281" w:firstLine="0"/>
        <w:jc w:val="left"/>
        <w:rPr>
          <w:sz w:val="20"/>
        </w:rPr>
      </w:pPr>
      <w:r>
        <w:rPr>
          <w:sz w:val="20"/>
        </w:rPr>
        <w:t>Por</w:t>
      </w:r>
      <w:r>
        <w:rPr>
          <w:spacing w:val="-6"/>
          <w:sz w:val="20"/>
        </w:rPr>
        <w:t> </w:t>
      </w:r>
      <w:r>
        <w:rPr>
          <w:sz w:val="20"/>
        </w:rPr>
        <w:t>un</w:t>
      </w:r>
      <w:r>
        <w:rPr>
          <w:spacing w:val="-4"/>
          <w:sz w:val="20"/>
        </w:rPr>
        <w:t> </w:t>
      </w:r>
      <w:r>
        <w:rPr>
          <w:sz w:val="20"/>
        </w:rPr>
        <w:t>Secretario</w:t>
      </w:r>
      <w:r>
        <w:rPr>
          <w:spacing w:val="-5"/>
          <w:sz w:val="20"/>
        </w:rPr>
        <w:t> </w:t>
      </w:r>
      <w:r>
        <w:rPr>
          <w:sz w:val="20"/>
        </w:rPr>
        <w:t>Técnico que</w:t>
      </w:r>
      <w:r>
        <w:rPr>
          <w:spacing w:val="-5"/>
          <w:sz w:val="20"/>
        </w:rPr>
        <w:t> </w:t>
      </w:r>
      <w:r>
        <w:rPr>
          <w:sz w:val="20"/>
        </w:rPr>
        <w:t>será</w:t>
      </w:r>
      <w:r>
        <w:rPr>
          <w:spacing w:val="-6"/>
          <w:sz w:val="20"/>
        </w:rPr>
        <w:t> </w:t>
      </w:r>
      <w:r>
        <w:rPr>
          <w:sz w:val="20"/>
        </w:rPr>
        <w:t>el</w:t>
      </w:r>
      <w:r>
        <w:rPr>
          <w:spacing w:val="-7"/>
          <w:sz w:val="20"/>
        </w:rPr>
        <w:t> </w:t>
      </w:r>
      <w:r>
        <w:rPr>
          <w:sz w:val="20"/>
        </w:rPr>
        <w:t>Titular</w:t>
      </w:r>
      <w:r>
        <w:rPr>
          <w:spacing w:val="-4"/>
          <w:sz w:val="20"/>
        </w:rPr>
        <w:t> </w:t>
      </w:r>
      <w:r>
        <w:rPr>
          <w:sz w:val="20"/>
        </w:rPr>
        <w:t>de</w:t>
      </w:r>
      <w:r>
        <w:rPr>
          <w:spacing w:val="-5"/>
          <w:sz w:val="20"/>
        </w:rPr>
        <w:t> </w:t>
      </w:r>
      <w:r>
        <w:rPr>
          <w:sz w:val="20"/>
        </w:rPr>
        <w:t>la</w:t>
      </w:r>
      <w:r>
        <w:rPr>
          <w:spacing w:val="-5"/>
          <w:sz w:val="20"/>
        </w:rPr>
        <w:t> </w:t>
      </w:r>
      <w:r>
        <w:rPr>
          <w:sz w:val="20"/>
        </w:rPr>
        <w:t>Procuraduría</w:t>
      </w:r>
      <w:r>
        <w:rPr>
          <w:spacing w:val="-4"/>
          <w:sz w:val="20"/>
        </w:rPr>
        <w:t> </w:t>
      </w:r>
      <w:r>
        <w:rPr>
          <w:sz w:val="20"/>
        </w:rPr>
        <w:t>Urbana,</w:t>
      </w:r>
      <w:r>
        <w:rPr>
          <w:spacing w:val="-4"/>
          <w:sz w:val="20"/>
        </w:rPr>
        <w:t> </w:t>
      </w:r>
      <w:r>
        <w:rPr>
          <w:sz w:val="20"/>
        </w:rPr>
        <w:t>quien</w:t>
      </w:r>
      <w:r>
        <w:rPr>
          <w:spacing w:val="-5"/>
          <w:sz w:val="20"/>
        </w:rPr>
        <w:t> </w:t>
      </w:r>
      <w:r>
        <w:rPr>
          <w:sz w:val="20"/>
        </w:rPr>
        <w:t>participará</w:t>
      </w:r>
      <w:r>
        <w:rPr>
          <w:spacing w:val="-5"/>
          <w:sz w:val="20"/>
        </w:rPr>
        <w:t> </w:t>
      </w:r>
      <w:r>
        <w:rPr>
          <w:sz w:val="20"/>
        </w:rPr>
        <w:t>en</w:t>
      </w:r>
      <w:r>
        <w:rPr>
          <w:spacing w:val="-4"/>
          <w:sz w:val="20"/>
        </w:rPr>
        <w:t> </w:t>
      </w:r>
      <w:r>
        <w:rPr>
          <w:sz w:val="20"/>
        </w:rPr>
        <w:t>las sesiones con voz pero sin voto.</w:t>
      </w:r>
    </w:p>
    <w:p>
      <w:pPr>
        <w:pStyle w:val="BodyText"/>
        <w:spacing w:before="229"/>
        <w:ind w:left="262" w:right="288"/>
        <w:jc w:val="both"/>
      </w:pPr>
      <w:r>
        <w:rPr/>
        <w:t>La Junta Directiva, podrá invitar a sus sesiones a otras autoridades, instituciones u organizaciones cuya participación considere necesaria por la naturaleza de los asuntos a tratar. Los invitados participarán en las sesiones, con voz, pero sin voto.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4"/>
        <w:jc w:val="both"/>
      </w:pPr>
      <w:r>
        <w:rPr/>
        <w:t>Los</w:t>
      </w:r>
      <w:r>
        <w:rPr>
          <w:spacing w:val="-5"/>
        </w:rPr>
        <w:t> </w:t>
      </w:r>
      <w:r>
        <w:rPr/>
        <w:t>cargos</w:t>
      </w:r>
      <w:r>
        <w:rPr>
          <w:spacing w:val="-5"/>
        </w:rPr>
        <w:t> </w:t>
      </w:r>
      <w:r>
        <w:rPr/>
        <w:t>de</w:t>
      </w:r>
      <w:r>
        <w:rPr>
          <w:spacing w:val="-7"/>
        </w:rPr>
        <w:t> </w:t>
      </w:r>
      <w:r>
        <w:rPr/>
        <w:t>integrantes</w:t>
      </w:r>
      <w:r>
        <w:rPr>
          <w:spacing w:val="-5"/>
        </w:rPr>
        <w:t> </w:t>
      </w:r>
      <w:r>
        <w:rPr/>
        <w:t>de</w:t>
      </w:r>
      <w:r>
        <w:rPr>
          <w:spacing w:val="-7"/>
        </w:rPr>
        <w:t> </w:t>
      </w:r>
      <w:r>
        <w:rPr/>
        <w:t>la</w:t>
      </w:r>
      <w:r>
        <w:rPr>
          <w:spacing w:val="-7"/>
        </w:rPr>
        <w:t> </w:t>
      </w:r>
      <w:r>
        <w:rPr/>
        <w:t>Junta</w:t>
      </w:r>
      <w:r>
        <w:rPr>
          <w:spacing w:val="-7"/>
        </w:rPr>
        <w:t> </w:t>
      </w:r>
      <w:r>
        <w:rPr/>
        <w:t>Directiva</w:t>
      </w:r>
      <w:r>
        <w:rPr>
          <w:spacing w:val="-7"/>
        </w:rPr>
        <w:t> </w:t>
      </w:r>
      <w:r>
        <w:rPr/>
        <w:t>serán</w:t>
      </w:r>
      <w:r>
        <w:rPr>
          <w:spacing w:val="-6"/>
        </w:rPr>
        <w:t> </w:t>
      </w:r>
      <w:r>
        <w:rPr/>
        <w:t>de</w:t>
      </w:r>
      <w:r>
        <w:rPr>
          <w:spacing w:val="-7"/>
        </w:rPr>
        <w:t> </w:t>
      </w:r>
      <w:r>
        <w:rPr/>
        <w:t>carácter</w:t>
      </w:r>
      <w:r>
        <w:rPr>
          <w:spacing w:val="-6"/>
        </w:rPr>
        <w:t> </w:t>
      </w:r>
      <w:r>
        <w:rPr/>
        <w:t>honorífico</w:t>
      </w:r>
      <w:r>
        <w:rPr>
          <w:spacing w:val="-7"/>
        </w:rPr>
        <w:t> </w:t>
      </w:r>
      <w:r>
        <w:rPr/>
        <w:t>por</w:t>
      </w:r>
      <w:r>
        <w:rPr>
          <w:spacing w:val="-6"/>
        </w:rPr>
        <w:t> </w:t>
      </w:r>
      <w:r>
        <w:rPr/>
        <w:t>lo</w:t>
      </w:r>
      <w:r>
        <w:rPr>
          <w:spacing w:val="-4"/>
        </w:rPr>
        <w:t> </w:t>
      </w:r>
      <w:r>
        <w:rPr/>
        <w:t>que</w:t>
      </w:r>
      <w:r>
        <w:rPr>
          <w:spacing w:val="-7"/>
        </w:rPr>
        <w:t> </w:t>
      </w:r>
      <w:r>
        <w:rPr/>
        <w:t>no</w:t>
      </w:r>
      <w:r>
        <w:rPr>
          <w:spacing w:val="-7"/>
        </w:rPr>
        <w:t> </w:t>
      </w:r>
      <w:r>
        <w:rPr/>
        <w:t>percibirán emolumento alguno por su desempeño.</w:t>
      </w:r>
    </w:p>
    <w:p>
      <w:pPr>
        <w:pStyle w:val="BodyText"/>
        <w:spacing w:before="1"/>
      </w:pPr>
    </w:p>
    <w:p>
      <w:pPr>
        <w:pStyle w:val="BodyText"/>
        <w:ind w:left="262" w:right="289"/>
        <w:jc w:val="both"/>
      </w:pPr>
      <w:r>
        <w:rPr/>
        <w:t>La Junta Directiva sesionará de forma ordinaria cada tres meses y de forma extraordinaria cuando convoque su Presidente por conducto de la Secretaría Técnica.</w:t>
      </w:r>
    </w:p>
    <w:p>
      <w:pPr>
        <w:pStyle w:val="BodyText"/>
        <w:spacing w:before="229"/>
        <w:ind w:left="262"/>
        <w:jc w:val="both"/>
      </w:pPr>
      <w:r>
        <w:rPr>
          <w:rFonts w:ascii="Arial" w:hAnsi="Arial"/>
          <w:b/>
        </w:rPr>
        <w:t>ARTÍCULO</w:t>
      </w:r>
      <w:r>
        <w:rPr>
          <w:rFonts w:ascii="Arial" w:hAnsi="Arial"/>
          <w:b/>
          <w:spacing w:val="-9"/>
        </w:rPr>
        <w:t> </w:t>
      </w:r>
      <w:r>
        <w:rPr>
          <w:rFonts w:ascii="Arial" w:hAnsi="Arial"/>
          <w:b/>
        </w:rPr>
        <w:t>46.</w:t>
      </w:r>
      <w:r>
        <w:rPr>
          <w:rFonts w:ascii="Arial" w:hAnsi="Arial"/>
          <w:b/>
          <w:spacing w:val="-8"/>
        </w:rPr>
        <w:t> </w:t>
      </w:r>
      <w:r>
        <w:rPr/>
        <w:t>La</w:t>
      </w:r>
      <w:r>
        <w:rPr>
          <w:spacing w:val="-8"/>
        </w:rPr>
        <w:t> </w:t>
      </w:r>
      <w:r>
        <w:rPr/>
        <w:t>Procuraduría</w:t>
      </w:r>
      <w:r>
        <w:rPr>
          <w:spacing w:val="-10"/>
        </w:rPr>
        <w:t> </w:t>
      </w:r>
      <w:r>
        <w:rPr/>
        <w:t>Urbana</w:t>
      </w:r>
      <w:r>
        <w:rPr>
          <w:spacing w:val="-8"/>
        </w:rPr>
        <w:t> </w:t>
      </w:r>
      <w:r>
        <w:rPr/>
        <w:t>tendrá</w:t>
      </w:r>
      <w:r>
        <w:rPr>
          <w:spacing w:val="-7"/>
        </w:rPr>
        <w:t> </w:t>
      </w:r>
      <w:r>
        <w:rPr/>
        <w:t>las</w:t>
      </w:r>
      <w:r>
        <w:rPr>
          <w:spacing w:val="-9"/>
        </w:rPr>
        <w:t> </w:t>
      </w:r>
      <w:r>
        <w:rPr/>
        <w:t>siguientes</w:t>
      </w:r>
      <w:r>
        <w:rPr>
          <w:spacing w:val="-8"/>
        </w:rPr>
        <w:t> </w:t>
      </w:r>
      <w:r>
        <w:rPr>
          <w:spacing w:val="-2"/>
        </w:rPr>
        <w:t>atribuciones.</w:t>
      </w:r>
    </w:p>
    <w:p>
      <w:pPr>
        <w:pStyle w:val="BodyText"/>
        <w:spacing w:before="1"/>
      </w:pPr>
    </w:p>
    <w:p>
      <w:pPr>
        <w:pStyle w:val="ListParagraph"/>
        <w:numPr>
          <w:ilvl w:val="0"/>
          <w:numId w:val="25"/>
        </w:numPr>
        <w:tabs>
          <w:tab w:pos="543" w:val="left" w:leader="none"/>
        </w:tabs>
        <w:spacing w:line="240" w:lineRule="auto" w:before="0" w:after="0"/>
        <w:ind w:left="262" w:right="287" w:firstLine="0"/>
        <w:jc w:val="both"/>
        <w:rPr>
          <w:sz w:val="20"/>
        </w:rPr>
      </w:pPr>
      <w:r>
        <w:rPr>
          <w:sz w:val="20"/>
        </w:rPr>
        <w:t>Orientar</w:t>
      </w:r>
      <w:r>
        <w:rPr>
          <w:spacing w:val="-1"/>
          <w:sz w:val="20"/>
        </w:rPr>
        <w:t> </w:t>
      </w:r>
      <w:r>
        <w:rPr>
          <w:sz w:val="20"/>
        </w:rPr>
        <w:t>y asesorar a los</w:t>
      </w:r>
      <w:r>
        <w:rPr>
          <w:spacing w:val="-1"/>
          <w:sz w:val="20"/>
        </w:rPr>
        <w:t> </w:t>
      </w:r>
      <w:r>
        <w:rPr>
          <w:sz w:val="20"/>
        </w:rPr>
        <w:t>ciudadanos a</w:t>
      </w:r>
      <w:r>
        <w:rPr>
          <w:spacing w:val="-2"/>
          <w:sz w:val="20"/>
        </w:rPr>
        <w:t> </w:t>
      </w:r>
      <w:r>
        <w:rPr>
          <w:sz w:val="20"/>
        </w:rPr>
        <w:t>fin de que las acciones urbanas</w:t>
      </w:r>
      <w:r>
        <w:rPr>
          <w:spacing w:val="-1"/>
          <w:sz w:val="20"/>
        </w:rPr>
        <w:t> </w:t>
      </w:r>
      <w:r>
        <w:rPr>
          <w:sz w:val="20"/>
        </w:rPr>
        <w:t>se</w:t>
      </w:r>
      <w:r>
        <w:rPr>
          <w:spacing w:val="-2"/>
          <w:sz w:val="20"/>
        </w:rPr>
        <w:t> </w:t>
      </w:r>
      <w:r>
        <w:rPr>
          <w:sz w:val="20"/>
        </w:rPr>
        <w:t>realicen</w:t>
      </w:r>
      <w:r>
        <w:rPr>
          <w:spacing w:val="-3"/>
          <w:sz w:val="20"/>
        </w:rPr>
        <w:t> </w:t>
      </w:r>
      <w:r>
        <w:rPr>
          <w:sz w:val="20"/>
        </w:rPr>
        <w:t>con apego</w:t>
      </w:r>
      <w:r>
        <w:rPr>
          <w:spacing w:val="-2"/>
          <w:sz w:val="20"/>
        </w:rPr>
        <w:t> </w:t>
      </w:r>
      <w:r>
        <w:rPr>
          <w:sz w:val="20"/>
        </w:rPr>
        <w:t>a las normas jurídicas aplicables y a los instrumentos de planeación urbana, con eficiencia, oportunidad y sentido humano;</w:t>
      </w:r>
    </w:p>
    <w:p>
      <w:pPr>
        <w:pStyle w:val="BodyText"/>
      </w:pPr>
    </w:p>
    <w:p>
      <w:pPr>
        <w:pStyle w:val="ListParagraph"/>
        <w:numPr>
          <w:ilvl w:val="0"/>
          <w:numId w:val="25"/>
        </w:numPr>
        <w:tabs>
          <w:tab w:pos="543" w:val="left" w:leader="none"/>
        </w:tabs>
        <w:spacing w:line="240" w:lineRule="auto" w:before="0" w:after="0"/>
        <w:ind w:left="262" w:right="284" w:firstLine="0"/>
        <w:jc w:val="both"/>
        <w:rPr>
          <w:sz w:val="20"/>
        </w:rPr>
      </w:pPr>
      <w:r>
        <w:rPr>
          <w:sz w:val="20"/>
        </w:rPr>
        <w:t>Representar a los ciudadanos cuando considere que se han incumplido por parte de las autoridades</w:t>
      </w:r>
      <w:r>
        <w:rPr>
          <w:spacing w:val="-14"/>
          <w:sz w:val="20"/>
        </w:rPr>
        <w:t> </w:t>
      </w:r>
      <w:r>
        <w:rPr>
          <w:sz w:val="20"/>
        </w:rPr>
        <w:t>las</w:t>
      </w:r>
      <w:r>
        <w:rPr>
          <w:spacing w:val="-14"/>
          <w:sz w:val="20"/>
        </w:rPr>
        <w:t> </w:t>
      </w:r>
      <w:r>
        <w:rPr>
          <w:sz w:val="20"/>
        </w:rPr>
        <w:t>disposiciones</w:t>
      </w:r>
      <w:r>
        <w:rPr>
          <w:spacing w:val="-14"/>
          <w:sz w:val="20"/>
        </w:rPr>
        <w:t> </w:t>
      </w:r>
      <w:r>
        <w:rPr>
          <w:sz w:val="20"/>
        </w:rPr>
        <w:t>que</w:t>
      </w:r>
      <w:r>
        <w:rPr>
          <w:spacing w:val="-14"/>
          <w:sz w:val="20"/>
        </w:rPr>
        <w:t> </w:t>
      </w:r>
      <w:r>
        <w:rPr>
          <w:sz w:val="20"/>
        </w:rPr>
        <w:t>ordenan</w:t>
      </w:r>
      <w:r>
        <w:rPr>
          <w:spacing w:val="-14"/>
          <w:sz w:val="20"/>
        </w:rPr>
        <w:t> </w:t>
      </w:r>
      <w:r>
        <w:rPr>
          <w:sz w:val="20"/>
        </w:rPr>
        <w:t>y</w:t>
      </w:r>
      <w:r>
        <w:rPr>
          <w:spacing w:val="-14"/>
          <w:sz w:val="20"/>
        </w:rPr>
        <w:t> </w:t>
      </w:r>
      <w:r>
        <w:rPr>
          <w:sz w:val="20"/>
        </w:rPr>
        <w:t>regulan</w:t>
      </w:r>
      <w:r>
        <w:rPr>
          <w:spacing w:val="-14"/>
          <w:sz w:val="20"/>
        </w:rPr>
        <w:t> </w:t>
      </w:r>
      <w:r>
        <w:rPr>
          <w:sz w:val="20"/>
        </w:rPr>
        <w:t>el</w:t>
      </w:r>
      <w:r>
        <w:rPr>
          <w:spacing w:val="-14"/>
          <w:sz w:val="20"/>
        </w:rPr>
        <w:t> </w:t>
      </w:r>
      <w:r>
        <w:rPr>
          <w:sz w:val="20"/>
        </w:rPr>
        <w:t>ordenamiento</w:t>
      </w:r>
      <w:r>
        <w:rPr>
          <w:spacing w:val="-14"/>
          <w:sz w:val="20"/>
        </w:rPr>
        <w:t> </w:t>
      </w:r>
      <w:r>
        <w:rPr>
          <w:sz w:val="20"/>
        </w:rPr>
        <w:t>territorial</w:t>
      </w:r>
      <w:r>
        <w:rPr>
          <w:spacing w:val="-13"/>
          <w:sz w:val="20"/>
        </w:rPr>
        <w:t> </w:t>
      </w:r>
      <w:r>
        <w:rPr>
          <w:sz w:val="20"/>
        </w:rPr>
        <w:t>y</w:t>
      </w:r>
      <w:r>
        <w:rPr>
          <w:spacing w:val="-14"/>
          <w:sz w:val="20"/>
        </w:rPr>
        <w:t> </w:t>
      </w:r>
      <w:r>
        <w:rPr>
          <w:sz w:val="20"/>
        </w:rPr>
        <w:t>el</w:t>
      </w:r>
      <w:r>
        <w:rPr>
          <w:spacing w:val="-14"/>
          <w:sz w:val="20"/>
        </w:rPr>
        <w:t> </w:t>
      </w:r>
      <w:r>
        <w:rPr>
          <w:sz w:val="20"/>
        </w:rPr>
        <w:t>desarrollo</w:t>
      </w:r>
      <w:r>
        <w:rPr>
          <w:spacing w:val="-14"/>
          <w:sz w:val="20"/>
        </w:rPr>
        <w:t> </w:t>
      </w:r>
      <w:r>
        <w:rPr>
          <w:sz w:val="20"/>
        </w:rPr>
        <w:t>urbano en la Entidad, cuando con ellos se cause afectación a éstos o al</w:t>
      </w:r>
      <w:r>
        <w:rPr>
          <w:spacing w:val="40"/>
          <w:sz w:val="20"/>
        </w:rPr>
        <w:t> </w:t>
      </w:r>
      <w:r>
        <w:rPr>
          <w:sz w:val="20"/>
        </w:rPr>
        <w:t>medio urbano;</w:t>
      </w:r>
    </w:p>
    <w:p>
      <w:pPr>
        <w:pStyle w:val="BodyText"/>
        <w:spacing w:before="1"/>
      </w:pPr>
    </w:p>
    <w:p>
      <w:pPr>
        <w:pStyle w:val="ListParagraph"/>
        <w:numPr>
          <w:ilvl w:val="0"/>
          <w:numId w:val="25"/>
        </w:numPr>
        <w:tabs>
          <w:tab w:pos="541" w:val="left" w:leader="none"/>
        </w:tabs>
        <w:spacing w:line="240" w:lineRule="auto" w:before="0" w:after="0"/>
        <w:ind w:left="262" w:right="280" w:firstLine="0"/>
        <w:jc w:val="both"/>
        <w:rPr>
          <w:sz w:val="20"/>
        </w:rPr>
      </w:pPr>
      <w:r>
        <w:rPr>
          <w:sz w:val="20"/>
        </w:rPr>
        <w:t>Realizar acciones de información, orientación, difusión, e investigación relacionadas con la planeación</w:t>
      </w:r>
      <w:r>
        <w:rPr>
          <w:spacing w:val="-14"/>
          <w:sz w:val="20"/>
        </w:rPr>
        <w:t> </w:t>
      </w:r>
      <w:r>
        <w:rPr>
          <w:sz w:val="20"/>
        </w:rPr>
        <w:t>para</w:t>
      </w:r>
      <w:r>
        <w:rPr>
          <w:spacing w:val="-14"/>
          <w:sz w:val="20"/>
        </w:rPr>
        <w:t> </w:t>
      </w:r>
      <w:r>
        <w:rPr>
          <w:sz w:val="20"/>
        </w:rPr>
        <w:t>el</w:t>
      </w:r>
      <w:r>
        <w:rPr>
          <w:spacing w:val="-14"/>
          <w:sz w:val="20"/>
        </w:rPr>
        <w:t> </w:t>
      </w:r>
      <w:r>
        <w:rPr>
          <w:sz w:val="20"/>
        </w:rPr>
        <w:t>desarrollo</w:t>
      </w:r>
      <w:r>
        <w:rPr>
          <w:spacing w:val="-14"/>
          <w:sz w:val="20"/>
        </w:rPr>
        <w:t> </w:t>
      </w:r>
      <w:r>
        <w:rPr>
          <w:sz w:val="20"/>
        </w:rPr>
        <w:t>urbano,</w:t>
      </w:r>
      <w:r>
        <w:rPr>
          <w:spacing w:val="-14"/>
          <w:sz w:val="20"/>
        </w:rPr>
        <w:t> </w:t>
      </w:r>
      <w:r>
        <w:rPr>
          <w:sz w:val="20"/>
        </w:rPr>
        <w:t>en</w:t>
      </w:r>
      <w:r>
        <w:rPr>
          <w:spacing w:val="-14"/>
          <w:sz w:val="20"/>
        </w:rPr>
        <w:t> </w:t>
      </w:r>
      <w:r>
        <w:rPr>
          <w:sz w:val="20"/>
        </w:rPr>
        <w:t>atención</w:t>
      </w:r>
      <w:r>
        <w:rPr>
          <w:spacing w:val="-14"/>
          <w:sz w:val="20"/>
        </w:rPr>
        <w:t> </w:t>
      </w:r>
      <w:r>
        <w:rPr>
          <w:sz w:val="20"/>
        </w:rPr>
        <w:t>de</w:t>
      </w:r>
      <w:r>
        <w:rPr>
          <w:spacing w:val="-14"/>
          <w:sz w:val="20"/>
        </w:rPr>
        <w:t> </w:t>
      </w:r>
      <w:r>
        <w:rPr>
          <w:sz w:val="20"/>
        </w:rPr>
        <w:t>particulares,</w:t>
      </w:r>
      <w:r>
        <w:rPr>
          <w:spacing w:val="-14"/>
          <w:sz w:val="20"/>
        </w:rPr>
        <w:t> </w:t>
      </w:r>
      <w:r>
        <w:rPr>
          <w:sz w:val="20"/>
        </w:rPr>
        <w:t>organizaciones</w:t>
      </w:r>
      <w:r>
        <w:rPr>
          <w:spacing w:val="-13"/>
          <w:sz w:val="20"/>
        </w:rPr>
        <w:t> </w:t>
      </w:r>
      <w:r>
        <w:rPr>
          <w:sz w:val="20"/>
        </w:rPr>
        <w:t>civiles</w:t>
      </w:r>
      <w:r>
        <w:rPr>
          <w:spacing w:val="-14"/>
          <w:sz w:val="20"/>
        </w:rPr>
        <w:t> </w:t>
      </w:r>
      <w:r>
        <w:rPr>
          <w:sz w:val="20"/>
        </w:rPr>
        <w:t>y</w:t>
      </w:r>
      <w:r>
        <w:rPr>
          <w:spacing w:val="-14"/>
          <w:sz w:val="20"/>
        </w:rPr>
        <w:t> </w:t>
      </w:r>
      <w:r>
        <w:rPr>
          <w:sz w:val="20"/>
        </w:rPr>
        <w:t>servidores públicos, para lograr la correcta aplicación de las normas urbanas vigentes en las acciones urbanísticas, de edificación, así como en la protección y conservación del patrimonio cultural edificado, en representación de los ciudadanos y en beneficio del interés público;</w:t>
      </w:r>
    </w:p>
    <w:p>
      <w:pPr>
        <w:pStyle w:val="ListParagraph"/>
        <w:numPr>
          <w:ilvl w:val="0"/>
          <w:numId w:val="25"/>
        </w:numPr>
        <w:tabs>
          <w:tab w:pos="688" w:val="left" w:leader="none"/>
        </w:tabs>
        <w:spacing w:line="240" w:lineRule="auto" w:before="228" w:after="0"/>
        <w:ind w:left="262" w:right="287" w:firstLine="0"/>
        <w:jc w:val="both"/>
        <w:rPr>
          <w:sz w:val="20"/>
        </w:rPr>
      </w:pPr>
      <w:r>
        <w:rPr>
          <w:sz w:val="20"/>
        </w:rPr>
        <w:t>Participar</w:t>
      </w:r>
      <w:r>
        <w:rPr>
          <w:spacing w:val="-2"/>
          <w:sz w:val="20"/>
        </w:rPr>
        <w:t> </w:t>
      </w:r>
      <w:r>
        <w:rPr>
          <w:sz w:val="20"/>
        </w:rPr>
        <w:t>en</w:t>
      </w:r>
      <w:r>
        <w:rPr>
          <w:spacing w:val="-3"/>
          <w:sz w:val="20"/>
        </w:rPr>
        <w:t> </w:t>
      </w:r>
      <w:r>
        <w:rPr>
          <w:sz w:val="20"/>
        </w:rPr>
        <w:t>los</w:t>
      </w:r>
      <w:r>
        <w:rPr>
          <w:spacing w:val="-4"/>
          <w:sz w:val="20"/>
        </w:rPr>
        <w:t> </w:t>
      </w:r>
      <w:r>
        <w:rPr>
          <w:sz w:val="20"/>
        </w:rPr>
        <w:t>procesos</w:t>
      </w:r>
      <w:r>
        <w:rPr>
          <w:spacing w:val="-2"/>
          <w:sz w:val="20"/>
        </w:rPr>
        <w:t> </w:t>
      </w:r>
      <w:r>
        <w:rPr>
          <w:sz w:val="20"/>
        </w:rPr>
        <w:t>de</w:t>
      </w:r>
      <w:r>
        <w:rPr>
          <w:spacing w:val="-6"/>
          <w:sz w:val="20"/>
        </w:rPr>
        <w:t> </w:t>
      </w:r>
      <w:r>
        <w:rPr>
          <w:sz w:val="20"/>
        </w:rPr>
        <w:t>consulta</w:t>
      </w:r>
      <w:r>
        <w:rPr>
          <w:spacing w:val="-5"/>
          <w:sz w:val="20"/>
        </w:rPr>
        <w:t> </w:t>
      </w:r>
      <w:r>
        <w:rPr>
          <w:sz w:val="20"/>
        </w:rPr>
        <w:t>que</w:t>
      </w:r>
      <w:r>
        <w:rPr>
          <w:spacing w:val="-3"/>
          <w:sz w:val="20"/>
        </w:rPr>
        <w:t> </w:t>
      </w:r>
      <w:r>
        <w:rPr>
          <w:sz w:val="20"/>
        </w:rPr>
        <w:t>convoquen</w:t>
      </w:r>
      <w:r>
        <w:rPr>
          <w:spacing w:val="-3"/>
          <w:sz w:val="20"/>
        </w:rPr>
        <w:t> </w:t>
      </w:r>
      <w:r>
        <w:rPr>
          <w:sz w:val="20"/>
        </w:rPr>
        <w:t>las</w:t>
      </w:r>
      <w:r>
        <w:rPr>
          <w:spacing w:val="-2"/>
          <w:sz w:val="20"/>
        </w:rPr>
        <w:t> </w:t>
      </w:r>
      <w:r>
        <w:rPr>
          <w:sz w:val="20"/>
        </w:rPr>
        <w:t>autoridades</w:t>
      </w:r>
      <w:r>
        <w:rPr>
          <w:spacing w:val="-2"/>
          <w:sz w:val="20"/>
        </w:rPr>
        <w:t> </w:t>
      </w:r>
      <w:r>
        <w:rPr>
          <w:sz w:val="20"/>
        </w:rPr>
        <w:t>para</w:t>
      </w:r>
      <w:r>
        <w:rPr>
          <w:spacing w:val="-3"/>
          <w:sz w:val="20"/>
        </w:rPr>
        <w:t> </w:t>
      </w:r>
      <w:r>
        <w:rPr>
          <w:sz w:val="20"/>
        </w:rPr>
        <w:t>elaborar,</w:t>
      </w:r>
      <w:r>
        <w:rPr>
          <w:spacing w:val="-5"/>
          <w:sz w:val="20"/>
        </w:rPr>
        <w:t> </w:t>
      </w:r>
      <w:r>
        <w:rPr>
          <w:sz w:val="20"/>
        </w:rPr>
        <w:t>evaluar</w:t>
      </w:r>
      <w:r>
        <w:rPr>
          <w:spacing w:val="-4"/>
          <w:sz w:val="20"/>
        </w:rPr>
        <w:t> </w:t>
      </w:r>
      <w:r>
        <w:rPr>
          <w:sz w:val="20"/>
        </w:rPr>
        <w:t>y revisar los programas de ordenamiento territorial y de desarrollo urbano;</w:t>
      </w:r>
    </w:p>
    <w:p>
      <w:pPr>
        <w:pStyle w:val="BodyText"/>
        <w:spacing w:before="2"/>
      </w:pPr>
    </w:p>
    <w:p>
      <w:pPr>
        <w:pStyle w:val="ListParagraph"/>
        <w:numPr>
          <w:ilvl w:val="0"/>
          <w:numId w:val="25"/>
        </w:numPr>
        <w:tabs>
          <w:tab w:pos="688" w:val="left" w:leader="none"/>
        </w:tabs>
        <w:spacing w:line="240" w:lineRule="auto" w:before="0" w:after="0"/>
        <w:ind w:left="262" w:right="282" w:firstLine="0"/>
        <w:jc w:val="both"/>
        <w:rPr>
          <w:sz w:val="20"/>
        </w:rPr>
      </w:pPr>
      <w:r>
        <w:rPr>
          <w:sz w:val="20"/>
        </w:rPr>
        <w:t>Solicitar a las autoridades competentes, de oficio o a petición de parte, que se determinen y apliquen</w:t>
      </w:r>
      <w:r>
        <w:rPr>
          <w:spacing w:val="-12"/>
          <w:sz w:val="20"/>
        </w:rPr>
        <w:t> </w:t>
      </w:r>
      <w:r>
        <w:rPr>
          <w:sz w:val="20"/>
        </w:rPr>
        <w:t>las</w:t>
      </w:r>
      <w:r>
        <w:rPr>
          <w:spacing w:val="-13"/>
          <w:sz w:val="20"/>
        </w:rPr>
        <w:t> </w:t>
      </w:r>
      <w:r>
        <w:rPr>
          <w:sz w:val="20"/>
        </w:rPr>
        <w:t>sanciones</w:t>
      </w:r>
      <w:r>
        <w:rPr>
          <w:spacing w:val="-12"/>
          <w:sz w:val="20"/>
        </w:rPr>
        <w:t> </w:t>
      </w:r>
      <w:r>
        <w:rPr>
          <w:sz w:val="20"/>
        </w:rPr>
        <w:t>administrativas</w:t>
      </w:r>
      <w:r>
        <w:rPr>
          <w:spacing w:val="-13"/>
          <w:sz w:val="20"/>
        </w:rPr>
        <w:t> </w:t>
      </w:r>
      <w:r>
        <w:rPr>
          <w:sz w:val="20"/>
        </w:rPr>
        <w:t>en</w:t>
      </w:r>
      <w:r>
        <w:rPr>
          <w:spacing w:val="-14"/>
          <w:sz w:val="20"/>
        </w:rPr>
        <w:t> </w:t>
      </w:r>
      <w:r>
        <w:rPr>
          <w:sz w:val="20"/>
        </w:rPr>
        <w:t>que</w:t>
      </w:r>
      <w:r>
        <w:rPr>
          <w:spacing w:val="-12"/>
          <w:sz w:val="20"/>
        </w:rPr>
        <w:t> </w:t>
      </w:r>
      <w:r>
        <w:rPr>
          <w:sz w:val="20"/>
        </w:rPr>
        <w:t>incurran</w:t>
      </w:r>
      <w:r>
        <w:rPr>
          <w:spacing w:val="-14"/>
          <w:sz w:val="20"/>
        </w:rPr>
        <w:t> </w:t>
      </w:r>
      <w:r>
        <w:rPr>
          <w:sz w:val="20"/>
        </w:rPr>
        <w:t>los</w:t>
      </w:r>
      <w:r>
        <w:rPr>
          <w:spacing w:val="-13"/>
          <w:sz w:val="20"/>
        </w:rPr>
        <w:t> </w:t>
      </w:r>
      <w:r>
        <w:rPr>
          <w:sz w:val="20"/>
        </w:rPr>
        <w:t>servidores</w:t>
      </w:r>
      <w:r>
        <w:rPr>
          <w:spacing w:val="-13"/>
          <w:sz w:val="20"/>
        </w:rPr>
        <w:t> </w:t>
      </w:r>
      <w:r>
        <w:rPr>
          <w:sz w:val="20"/>
        </w:rPr>
        <w:t>públicos,</w:t>
      </w:r>
      <w:r>
        <w:rPr>
          <w:spacing w:val="-11"/>
          <w:sz w:val="20"/>
        </w:rPr>
        <w:t> </w:t>
      </w:r>
      <w:r>
        <w:rPr>
          <w:sz w:val="20"/>
        </w:rPr>
        <w:t>previstas</w:t>
      </w:r>
      <w:r>
        <w:rPr>
          <w:spacing w:val="-13"/>
          <w:sz w:val="20"/>
        </w:rPr>
        <w:t> </w:t>
      </w:r>
      <w:r>
        <w:rPr>
          <w:sz w:val="20"/>
        </w:rPr>
        <w:t>en</w:t>
      </w:r>
      <w:r>
        <w:rPr>
          <w:spacing w:val="-12"/>
          <w:sz w:val="20"/>
        </w:rPr>
        <w:t> </w:t>
      </w:r>
      <w:r>
        <w:rPr>
          <w:sz w:val="20"/>
        </w:rPr>
        <w:t>esta</w:t>
      </w:r>
      <w:r>
        <w:rPr>
          <w:spacing w:val="-12"/>
          <w:sz w:val="20"/>
        </w:rPr>
        <w:t> </w:t>
      </w:r>
      <w:r>
        <w:rPr>
          <w:sz w:val="20"/>
        </w:rPr>
        <w:t>Ley y</w:t>
      </w:r>
      <w:r>
        <w:rPr>
          <w:spacing w:val="-8"/>
          <w:sz w:val="20"/>
        </w:rPr>
        <w:t> </w:t>
      </w:r>
      <w:r>
        <w:rPr>
          <w:sz w:val="20"/>
        </w:rPr>
        <w:t>las</w:t>
      </w:r>
      <w:r>
        <w:rPr>
          <w:spacing w:val="-6"/>
          <w:sz w:val="20"/>
        </w:rPr>
        <w:t> </w:t>
      </w:r>
      <w:r>
        <w:rPr>
          <w:sz w:val="20"/>
        </w:rPr>
        <w:t>demás</w:t>
      </w:r>
      <w:r>
        <w:rPr>
          <w:spacing w:val="-8"/>
          <w:sz w:val="20"/>
        </w:rPr>
        <w:t> </w:t>
      </w:r>
      <w:r>
        <w:rPr>
          <w:sz w:val="20"/>
        </w:rPr>
        <w:t>que</w:t>
      </w:r>
      <w:r>
        <w:rPr>
          <w:spacing w:val="-9"/>
          <w:sz w:val="20"/>
        </w:rPr>
        <w:t> </w:t>
      </w:r>
      <w:r>
        <w:rPr>
          <w:sz w:val="20"/>
        </w:rPr>
        <w:t>se</w:t>
      </w:r>
      <w:r>
        <w:rPr>
          <w:spacing w:val="-7"/>
          <w:sz w:val="20"/>
        </w:rPr>
        <w:t> </w:t>
      </w:r>
      <w:r>
        <w:rPr>
          <w:sz w:val="20"/>
        </w:rPr>
        <w:t>señalen</w:t>
      </w:r>
      <w:r>
        <w:rPr>
          <w:spacing w:val="-9"/>
          <w:sz w:val="20"/>
        </w:rPr>
        <w:t> </w:t>
      </w:r>
      <w:r>
        <w:rPr>
          <w:sz w:val="20"/>
        </w:rPr>
        <w:t>en</w:t>
      </w:r>
      <w:r>
        <w:rPr>
          <w:spacing w:val="-9"/>
          <w:sz w:val="20"/>
        </w:rPr>
        <w:t> </w:t>
      </w:r>
      <w:r>
        <w:rPr>
          <w:sz w:val="20"/>
        </w:rPr>
        <w:t>otras</w:t>
      </w:r>
      <w:r>
        <w:rPr>
          <w:spacing w:val="-8"/>
          <w:sz w:val="20"/>
        </w:rPr>
        <w:t> </w:t>
      </w:r>
      <w:r>
        <w:rPr>
          <w:sz w:val="20"/>
        </w:rPr>
        <w:t>normas</w:t>
      </w:r>
      <w:r>
        <w:rPr>
          <w:spacing w:val="-8"/>
          <w:sz w:val="20"/>
        </w:rPr>
        <w:t> </w:t>
      </w:r>
      <w:r>
        <w:rPr>
          <w:sz w:val="20"/>
        </w:rPr>
        <w:t>jurídicas,</w:t>
      </w:r>
      <w:r>
        <w:rPr>
          <w:spacing w:val="-7"/>
          <w:sz w:val="20"/>
        </w:rPr>
        <w:t> </w:t>
      </w:r>
      <w:r>
        <w:rPr>
          <w:sz w:val="20"/>
        </w:rPr>
        <w:t>cuando</w:t>
      </w:r>
      <w:r>
        <w:rPr>
          <w:spacing w:val="-3"/>
          <w:sz w:val="20"/>
        </w:rPr>
        <w:t> </w:t>
      </w:r>
      <w:r>
        <w:rPr>
          <w:sz w:val="20"/>
        </w:rPr>
        <w:t>considere</w:t>
      </w:r>
      <w:r>
        <w:rPr>
          <w:spacing w:val="-6"/>
          <w:sz w:val="20"/>
        </w:rPr>
        <w:t> </w:t>
      </w:r>
      <w:r>
        <w:rPr>
          <w:sz w:val="20"/>
        </w:rPr>
        <w:t>que</w:t>
      </w:r>
      <w:r>
        <w:rPr>
          <w:spacing w:val="-7"/>
          <w:sz w:val="20"/>
        </w:rPr>
        <w:t> </w:t>
      </w:r>
      <w:r>
        <w:rPr>
          <w:sz w:val="20"/>
        </w:rPr>
        <w:t>éstos</w:t>
      </w:r>
      <w:r>
        <w:rPr>
          <w:spacing w:val="-8"/>
          <w:sz w:val="20"/>
        </w:rPr>
        <w:t> </w:t>
      </w:r>
      <w:r>
        <w:rPr>
          <w:sz w:val="20"/>
        </w:rPr>
        <w:t>han</w:t>
      </w:r>
      <w:r>
        <w:rPr>
          <w:spacing w:val="-7"/>
          <w:sz w:val="20"/>
        </w:rPr>
        <w:t> </w:t>
      </w:r>
      <w:r>
        <w:rPr>
          <w:sz w:val="20"/>
        </w:rPr>
        <w:t>incurrido</w:t>
      </w:r>
      <w:r>
        <w:rPr>
          <w:spacing w:val="-7"/>
          <w:sz w:val="20"/>
        </w:rPr>
        <w:t> </w:t>
      </w:r>
      <w:r>
        <w:rPr>
          <w:sz w:val="20"/>
        </w:rPr>
        <w:t>en responsabilidades en dicha materia;</w:t>
      </w:r>
    </w:p>
    <w:p>
      <w:pPr>
        <w:pStyle w:val="ListParagraph"/>
        <w:numPr>
          <w:ilvl w:val="0"/>
          <w:numId w:val="25"/>
        </w:numPr>
        <w:tabs>
          <w:tab w:pos="688" w:val="left" w:leader="none"/>
        </w:tabs>
        <w:spacing w:line="240" w:lineRule="auto" w:before="229" w:after="0"/>
        <w:ind w:left="262" w:right="283" w:firstLine="0"/>
        <w:jc w:val="both"/>
        <w:rPr>
          <w:sz w:val="20"/>
        </w:rPr>
      </w:pPr>
      <w:r>
        <w:rPr>
          <w:sz w:val="20"/>
        </w:rPr>
        <w:t>Recomendar a las autoridades municipales se apliquen de manera inmediata las medidas de seguridad</w:t>
      </w:r>
      <w:r>
        <w:rPr>
          <w:spacing w:val="-12"/>
          <w:sz w:val="20"/>
        </w:rPr>
        <w:t> </w:t>
      </w:r>
      <w:r>
        <w:rPr>
          <w:sz w:val="20"/>
        </w:rPr>
        <w:t>determinadas</w:t>
      </w:r>
      <w:r>
        <w:rPr>
          <w:spacing w:val="-13"/>
          <w:sz w:val="20"/>
        </w:rPr>
        <w:t> </w:t>
      </w:r>
      <w:r>
        <w:rPr>
          <w:sz w:val="20"/>
        </w:rPr>
        <w:t>en</w:t>
      </w:r>
      <w:r>
        <w:rPr>
          <w:spacing w:val="-12"/>
          <w:sz w:val="20"/>
        </w:rPr>
        <w:t> </w:t>
      </w:r>
      <w:r>
        <w:rPr>
          <w:sz w:val="20"/>
        </w:rPr>
        <w:t>esta</w:t>
      </w:r>
      <w:r>
        <w:rPr>
          <w:spacing w:val="-14"/>
          <w:sz w:val="20"/>
        </w:rPr>
        <w:t> </w:t>
      </w:r>
      <w:r>
        <w:rPr>
          <w:sz w:val="20"/>
        </w:rPr>
        <w:t>Ley,</w:t>
      </w:r>
      <w:r>
        <w:rPr>
          <w:spacing w:val="-11"/>
          <w:sz w:val="20"/>
        </w:rPr>
        <w:t> </w:t>
      </w:r>
      <w:r>
        <w:rPr>
          <w:sz w:val="20"/>
        </w:rPr>
        <w:t>en</w:t>
      </w:r>
      <w:r>
        <w:rPr>
          <w:spacing w:val="-12"/>
          <w:sz w:val="20"/>
        </w:rPr>
        <w:t> </w:t>
      </w:r>
      <w:r>
        <w:rPr>
          <w:sz w:val="20"/>
        </w:rPr>
        <w:t>los</w:t>
      </w:r>
      <w:r>
        <w:rPr>
          <w:spacing w:val="-13"/>
          <w:sz w:val="20"/>
        </w:rPr>
        <w:t> </w:t>
      </w:r>
      <w:r>
        <w:rPr>
          <w:sz w:val="20"/>
        </w:rPr>
        <w:t>casos</w:t>
      </w:r>
      <w:r>
        <w:rPr>
          <w:spacing w:val="-13"/>
          <w:sz w:val="20"/>
        </w:rPr>
        <w:t> </w:t>
      </w:r>
      <w:r>
        <w:rPr>
          <w:sz w:val="20"/>
        </w:rPr>
        <w:t>en</w:t>
      </w:r>
      <w:r>
        <w:rPr>
          <w:spacing w:val="-14"/>
          <w:sz w:val="20"/>
        </w:rPr>
        <w:t> </w:t>
      </w:r>
      <w:r>
        <w:rPr>
          <w:sz w:val="20"/>
        </w:rPr>
        <w:t>que</w:t>
      </w:r>
      <w:r>
        <w:rPr>
          <w:spacing w:val="-14"/>
          <w:sz w:val="20"/>
        </w:rPr>
        <w:t> </w:t>
      </w:r>
      <w:r>
        <w:rPr>
          <w:sz w:val="20"/>
        </w:rPr>
        <w:t>se</w:t>
      </w:r>
      <w:r>
        <w:rPr>
          <w:spacing w:val="-14"/>
          <w:sz w:val="20"/>
        </w:rPr>
        <w:t> </w:t>
      </w:r>
      <w:r>
        <w:rPr>
          <w:sz w:val="20"/>
        </w:rPr>
        <w:t>presuman</w:t>
      </w:r>
      <w:r>
        <w:rPr>
          <w:spacing w:val="-13"/>
          <w:sz w:val="20"/>
        </w:rPr>
        <w:t> </w:t>
      </w:r>
      <w:r>
        <w:rPr>
          <w:sz w:val="20"/>
        </w:rPr>
        <w:t>violaciones</w:t>
      </w:r>
      <w:r>
        <w:rPr>
          <w:spacing w:val="-13"/>
          <w:sz w:val="20"/>
        </w:rPr>
        <w:t> </w:t>
      </w:r>
      <w:r>
        <w:rPr>
          <w:sz w:val="20"/>
        </w:rPr>
        <w:t>a</w:t>
      </w:r>
      <w:r>
        <w:rPr>
          <w:spacing w:val="-14"/>
          <w:sz w:val="20"/>
        </w:rPr>
        <w:t> </w:t>
      </w:r>
      <w:r>
        <w:rPr>
          <w:sz w:val="20"/>
        </w:rPr>
        <w:t>la</w:t>
      </w:r>
      <w:r>
        <w:rPr>
          <w:spacing w:val="-14"/>
          <w:sz w:val="20"/>
        </w:rPr>
        <w:t> </w:t>
      </w:r>
      <w:r>
        <w:rPr>
          <w:sz w:val="20"/>
        </w:rPr>
        <w:t>normatividad urbana vigente;</w:t>
      </w:r>
    </w:p>
    <w:p>
      <w:pPr>
        <w:pStyle w:val="BodyText"/>
      </w:pPr>
    </w:p>
    <w:p>
      <w:pPr>
        <w:pStyle w:val="ListParagraph"/>
        <w:numPr>
          <w:ilvl w:val="0"/>
          <w:numId w:val="25"/>
        </w:numPr>
        <w:tabs>
          <w:tab w:pos="827" w:val="left" w:leader="none"/>
        </w:tabs>
        <w:spacing w:line="240" w:lineRule="auto" w:before="0" w:after="0"/>
        <w:ind w:left="262" w:right="286" w:firstLine="0"/>
        <w:jc w:val="both"/>
        <w:rPr>
          <w:sz w:val="20"/>
        </w:rPr>
      </w:pPr>
      <w:r>
        <w:rPr>
          <w:sz w:val="20"/>
        </w:rPr>
        <w:t>Solicitar la intervención de la autoridad municipal o estatal que corresponda a efecto de que inicie procedimiento administrativo de aplicación y ejecución de sanciones, y</w:t>
      </w:r>
    </w:p>
    <w:p>
      <w:pPr>
        <w:pStyle w:val="BodyText"/>
        <w:spacing w:before="1"/>
      </w:pPr>
    </w:p>
    <w:p>
      <w:pPr>
        <w:pStyle w:val="ListParagraph"/>
        <w:numPr>
          <w:ilvl w:val="0"/>
          <w:numId w:val="25"/>
        </w:numPr>
        <w:tabs>
          <w:tab w:pos="827" w:val="left" w:leader="none"/>
        </w:tabs>
        <w:spacing w:line="240" w:lineRule="auto" w:before="0" w:after="0"/>
        <w:ind w:left="827" w:right="0" w:hanging="565"/>
        <w:jc w:val="both"/>
        <w:rPr>
          <w:sz w:val="20"/>
        </w:rPr>
      </w:pPr>
      <w:r>
        <w:rPr>
          <w:sz w:val="20"/>
        </w:rPr>
        <w:t>Las</w:t>
      </w:r>
      <w:r>
        <w:rPr>
          <w:spacing w:val="-7"/>
          <w:sz w:val="20"/>
        </w:rPr>
        <w:t> </w:t>
      </w:r>
      <w:r>
        <w:rPr>
          <w:sz w:val="20"/>
        </w:rPr>
        <w:t>demás</w:t>
      </w:r>
      <w:r>
        <w:rPr>
          <w:spacing w:val="-6"/>
          <w:sz w:val="20"/>
        </w:rPr>
        <w:t> </w:t>
      </w:r>
      <w:r>
        <w:rPr>
          <w:sz w:val="20"/>
        </w:rPr>
        <w:t>que</w:t>
      </w:r>
      <w:r>
        <w:rPr>
          <w:spacing w:val="-9"/>
          <w:sz w:val="20"/>
        </w:rPr>
        <w:t> </w:t>
      </w:r>
      <w:r>
        <w:rPr>
          <w:sz w:val="20"/>
        </w:rPr>
        <w:t>establezca</w:t>
      </w:r>
      <w:r>
        <w:rPr>
          <w:spacing w:val="-5"/>
          <w:sz w:val="20"/>
        </w:rPr>
        <w:t> </w:t>
      </w:r>
      <w:r>
        <w:rPr>
          <w:sz w:val="20"/>
        </w:rPr>
        <w:t>su</w:t>
      </w:r>
      <w:r>
        <w:rPr>
          <w:spacing w:val="-8"/>
          <w:sz w:val="20"/>
        </w:rPr>
        <w:t> </w:t>
      </w:r>
      <w:r>
        <w:rPr>
          <w:sz w:val="20"/>
        </w:rPr>
        <w:t>Reglamento</w:t>
      </w:r>
      <w:r>
        <w:rPr>
          <w:spacing w:val="-7"/>
          <w:sz w:val="20"/>
        </w:rPr>
        <w:t> </w:t>
      </w:r>
      <w:r>
        <w:rPr>
          <w:sz w:val="20"/>
        </w:rPr>
        <w:t>Interior,</w:t>
      </w:r>
      <w:r>
        <w:rPr>
          <w:spacing w:val="-7"/>
          <w:sz w:val="20"/>
        </w:rPr>
        <w:t> </w:t>
      </w:r>
      <w:r>
        <w:rPr>
          <w:sz w:val="20"/>
        </w:rPr>
        <w:t>y</w:t>
      </w:r>
      <w:r>
        <w:rPr>
          <w:spacing w:val="-5"/>
          <w:sz w:val="20"/>
        </w:rPr>
        <w:t> </w:t>
      </w:r>
      <w:r>
        <w:rPr>
          <w:sz w:val="20"/>
        </w:rPr>
        <w:t>demás</w:t>
      </w:r>
      <w:r>
        <w:rPr>
          <w:spacing w:val="-7"/>
          <w:sz w:val="20"/>
        </w:rPr>
        <w:t> </w:t>
      </w:r>
      <w:r>
        <w:rPr>
          <w:sz w:val="20"/>
        </w:rPr>
        <w:t>ordenamientos</w:t>
      </w:r>
      <w:r>
        <w:rPr>
          <w:spacing w:val="-6"/>
          <w:sz w:val="20"/>
        </w:rPr>
        <w:t> </w:t>
      </w:r>
      <w:r>
        <w:rPr>
          <w:sz w:val="20"/>
        </w:rPr>
        <w:t>de</w:t>
      </w:r>
      <w:r>
        <w:rPr>
          <w:spacing w:val="-7"/>
          <w:sz w:val="20"/>
        </w:rPr>
        <w:t> </w:t>
      </w:r>
      <w:r>
        <w:rPr>
          <w:sz w:val="20"/>
        </w:rPr>
        <w:t>la</w:t>
      </w:r>
      <w:r>
        <w:rPr>
          <w:spacing w:val="-5"/>
          <w:sz w:val="20"/>
        </w:rPr>
        <w:t> </w:t>
      </w:r>
      <w:r>
        <w:rPr>
          <w:spacing w:val="-2"/>
          <w:sz w:val="20"/>
        </w:rPr>
        <w:t>materia.</w:t>
      </w:r>
    </w:p>
    <w:p>
      <w:pPr>
        <w:pStyle w:val="BodyText"/>
        <w:spacing w:before="1"/>
      </w:pPr>
    </w:p>
    <w:p>
      <w:pPr>
        <w:pStyle w:val="BodyText"/>
        <w:ind w:left="262" w:right="281"/>
        <w:jc w:val="both"/>
      </w:pPr>
      <w:r>
        <w:rPr>
          <w:rFonts w:ascii="Arial" w:hAnsi="Arial"/>
          <w:b/>
        </w:rPr>
        <w:t>ARTÍCULO 47. </w:t>
      </w:r>
      <w:r>
        <w:rPr/>
        <w:t>El Reglamento Interior la Procuraduría, determinará con base en lo dispuesto en esta Ley, sus atribuciones, organización y funcionamiento, conforme a sus necesidades y presupuesto asignado.</w:t>
      </w:r>
    </w:p>
    <w:p>
      <w:pPr>
        <w:pStyle w:val="BodyText"/>
      </w:pPr>
    </w:p>
    <w:p>
      <w:pPr>
        <w:pStyle w:val="BodyText"/>
      </w:pPr>
    </w:p>
    <w:p>
      <w:pPr>
        <w:pStyle w:val="Heading1"/>
        <w:ind w:right="17"/>
      </w:pPr>
      <w:r>
        <w:rPr/>
        <w:t>TÍTULO</w:t>
      </w:r>
      <w:r>
        <w:rPr>
          <w:spacing w:val="-10"/>
        </w:rPr>
        <w:t> </w:t>
      </w:r>
      <w:r>
        <w:rPr>
          <w:spacing w:val="-2"/>
        </w:rPr>
        <w:t>CUARTO</w:t>
      </w:r>
    </w:p>
    <w:p>
      <w:pPr>
        <w:spacing w:before="229"/>
        <w:ind w:left="5" w:right="24" w:firstLine="0"/>
        <w:jc w:val="center"/>
        <w:rPr>
          <w:rFonts w:ascii="Arial" w:hAnsi="Arial"/>
          <w:b/>
          <w:sz w:val="20"/>
        </w:rPr>
      </w:pPr>
      <w:r>
        <w:rPr>
          <w:rFonts w:ascii="Arial" w:hAnsi="Arial"/>
          <w:b/>
          <w:sz w:val="20"/>
        </w:rPr>
        <w:t>INSTRUMENTOS</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PARTICIPACIÓN</w:t>
      </w:r>
      <w:r>
        <w:rPr>
          <w:rFonts w:ascii="Arial" w:hAnsi="Arial"/>
          <w:b/>
          <w:spacing w:val="-9"/>
          <w:sz w:val="20"/>
        </w:rPr>
        <w:t> </w:t>
      </w:r>
      <w:r>
        <w:rPr>
          <w:rFonts w:ascii="Arial" w:hAnsi="Arial"/>
          <w:b/>
          <w:sz w:val="20"/>
        </w:rPr>
        <w:t>DEMOCRÁTICA</w:t>
      </w:r>
      <w:r>
        <w:rPr>
          <w:rFonts w:ascii="Arial" w:hAnsi="Arial"/>
          <w:b/>
          <w:spacing w:val="-10"/>
          <w:sz w:val="20"/>
        </w:rPr>
        <w:t> </w:t>
      </w:r>
      <w:r>
        <w:rPr>
          <w:rFonts w:ascii="Arial" w:hAnsi="Arial"/>
          <w:b/>
          <w:sz w:val="20"/>
        </w:rPr>
        <w:t>Y</w:t>
      </w:r>
      <w:r>
        <w:rPr>
          <w:rFonts w:ascii="Arial" w:hAnsi="Arial"/>
          <w:b/>
          <w:spacing w:val="-9"/>
          <w:sz w:val="20"/>
        </w:rPr>
        <w:t> </w:t>
      </w:r>
      <w:r>
        <w:rPr>
          <w:rFonts w:ascii="Arial" w:hAnsi="Arial"/>
          <w:b/>
          <w:spacing w:val="-2"/>
          <w:sz w:val="20"/>
        </w:rPr>
        <w:t>TRANSPARENCIA</w:t>
      </w:r>
    </w:p>
    <w:p>
      <w:pPr>
        <w:pStyle w:val="BodyText"/>
        <w:rPr>
          <w:rFonts w:ascii="Arial"/>
          <w:b/>
        </w:rPr>
      </w:pPr>
    </w:p>
    <w:p>
      <w:pPr>
        <w:pStyle w:val="BodyText"/>
        <w:spacing w:before="1"/>
        <w:rPr>
          <w:rFonts w:ascii="Arial"/>
          <w:b/>
        </w:rPr>
      </w:pPr>
    </w:p>
    <w:p>
      <w:pPr>
        <w:pStyle w:val="Heading2"/>
      </w:pPr>
      <w:r>
        <w:rPr/>
        <w:t>Capítulo</w:t>
      </w:r>
      <w:r>
        <w:rPr>
          <w:spacing w:val="-8"/>
        </w:rPr>
        <w:t> </w:t>
      </w:r>
      <w:r>
        <w:rPr>
          <w:spacing w:val="-10"/>
        </w:rPr>
        <w:t>I</w:t>
      </w:r>
    </w:p>
    <w:p>
      <w:pPr>
        <w:pStyle w:val="Heading2"/>
        <w:spacing w:after="0"/>
        <w:sectPr>
          <w:pgSz w:w="12240" w:h="15840"/>
          <w:pgMar w:header="720" w:footer="697" w:top="2100" w:bottom="880" w:left="1440" w:right="1440"/>
        </w:sectPr>
      </w:pPr>
    </w:p>
    <w:p>
      <w:pPr>
        <w:pStyle w:val="BodyText"/>
        <w:rPr>
          <w:rFonts w:ascii="Arial"/>
          <w:b/>
        </w:rPr>
      </w:pPr>
    </w:p>
    <w:p>
      <w:pPr>
        <w:pStyle w:val="BodyText"/>
        <w:rPr>
          <w:rFonts w:ascii="Arial"/>
          <w:b/>
        </w:rPr>
      </w:pPr>
    </w:p>
    <w:p>
      <w:pPr>
        <w:pStyle w:val="BodyText"/>
        <w:spacing w:before="71"/>
        <w:rPr>
          <w:rFonts w:ascii="Arial"/>
          <w:b/>
        </w:rPr>
      </w:pPr>
    </w:p>
    <w:p>
      <w:pPr>
        <w:spacing w:before="0"/>
        <w:ind w:left="0" w:right="16" w:firstLine="0"/>
        <w:jc w:val="center"/>
        <w:rPr>
          <w:rFonts w:ascii="Arial" w:hAnsi="Arial"/>
          <w:b/>
          <w:sz w:val="20"/>
        </w:rPr>
      </w:pPr>
      <w:r>
        <w:rPr>
          <w:rFonts w:ascii="Arial" w:hAnsi="Arial"/>
          <w:b/>
          <w:sz w:val="20"/>
        </w:rPr>
        <w:t>Participación</w:t>
      </w:r>
      <w:r>
        <w:rPr>
          <w:rFonts w:ascii="Arial" w:hAnsi="Arial"/>
          <w:b/>
          <w:spacing w:val="-9"/>
          <w:sz w:val="20"/>
        </w:rPr>
        <w:t> </w:t>
      </w:r>
      <w:r>
        <w:rPr>
          <w:rFonts w:ascii="Arial" w:hAnsi="Arial"/>
          <w:b/>
          <w:sz w:val="20"/>
        </w:rPr>
        <w:t>Ciudadana</w:t>
      </w:r>
      <w:r>
        <w:rPr>
          <w:rFonts w:ascii="Arial" w:hAnsi="Arial"/>
          <w:b/>
          <w:spacing w:val="-8"/>
          <w:sz w:val="20"/>
        </w:rPr>
        <w:t> </w:t>
      </w:r>
      <w:r>
        <w:rPr>
          <w:rFonts w:ascii="Arial" w:hAnsi="Arial"/>
          <w:b/>
          <w:sz w:val="20"/>
        </w:rPr>
        <w:t>y</w:t>
      </w:r>
      <w:r>
        <w:rPr>
          <w:rFonts w:ascii="Arial" w:hAnsi="Arial"/>
          <w:b/>
          <w:spacing w:val="-9"/>
          <w:sz w:val="20"/>
        </w:rPr>
        <w:t> </w:t>
      </w:r>
      <w:r>
        <w:rPr>
          <w:rFonts w:ascii="Arial" w:hAnsi="Arial"/>
          <w:b/>
          <w:spacing w:val="-2"/>
          <w:sz w:val="20"/>
        </w:rPr>
        <w:t>Social</w:t>
      </w:r>
    </w:p>
    <w:p>
      <w:pPr>
        <w:pStyle w:val="BodyText"/>
        <w:spacing w:before="1"/>
        <w:rPr>
          <w:rFonts w:ascii="Arial"/>
          <w:b/>
        </w:rPr>
      </w:pPr>
    </w:p>
    <w:p>
      <w:pPr>
        <w:pStyle w:val="BodyText"/>
        <w:ind w:left="262" w:right="284"/>
        <w:jc w:val="both"/>
      </w:pPr>
      <w:r>
        <w:rPr>
          <w:rFonts w:ascii="Arial" w:hAnsi="Arial"/>
          <w:b/>
        </w:rPr>
        <w:t>ARTÍCULO 48. </w:t>
      </w:r>
      <w:r>
        <w:rPr/>
        <w:t>El Estado y los municipios, promoverán la participación ciudadana en todas las etapas del proceso de ordenamiento territorial y la planeación del Ordenamiento Territorial, Desarrollo Urbano y Desarrollo Metropolitano.</w:t>
      </w:r>
    </w:p>
    <w:p>
      <w:pPr>
        <w:pStyle w:val="BodyText"/>
        <w:spacing w:before="229"/>
        <w:ind w:left="262" w:right="276"/>
        <w:jc w:val="both"/>
      </w:pPr>
      <w:r>
        <w:rPr>
          <w:rFonts w:ascii="Arial" w:hAnsi="Arial"/>
          <w:b/>
        </w:rPr>
        <w:t>ARTÍCULO 49. </w:t>
      </w:r>
      <w:r>
        <w:rPr/>
        <w:t>Las autoridades en el ámbito de sus respectivas competencias deberán emitir disposiciones reglamentarias que hagan efectiva la participación ciudadana y social estableciendo los mecanismos que validen su colaboración en los procesos de ordenamiento del territorio y el desarrollo urbano, en al menos las materias siguientes:</w:t>
      </w:r>
    </w:p>
    <w:p>
      <w:pPr>
        <w:pStyle w:val="BodyText"/>
        <w:spacing w:before="1"/>
      </w:pPr>
    </w:p>
    <w:p>
      <w:pPr>
        <w:pStyle w:val="ListParagraph"/>
        <w:numPr>
          <w:ilvl w:val="0"/>
          <w:numId w:val="26"/>
        </w:numPr>
        <w:tabs>
          <w:tab w:pos="543" w:val="left" w:leader="none"/>
        </w:tabs>
        <w:spacing w:line="240" w:lineRule="auto" w:before="0" w:after="0"/>
        <w:ind w:left="262" w:right="284" w:firstLine="0"/>
        <w:jc w:val="both"/>
        <w:rPr>
          <w:sz w:val="20"/>
        </w:rPr>
      </w:pPr>
      <w:r>
        <w:rPr>
          <w:sz w:val="20"/>
        </w:rPr>
        <w:t>La</w:t>
      </w:r>
      <w:r>
        <w:rPr>
          <w:spacing w:val="-6"/>
          <w:sz w:val="20"/>
        </w:rPr>
        <w:t> </w:t>
      </w:r>
      <w:r>
        <w:rPr>
          <w:sz w:val="20"/>
        </w:rPr>
        <w:t>formulación,</w:t>
      </w:r>
      <w:r>
        <w:rPr>
          <w:spacing w:val="-5"/>
          <w:sz w:val="20"/>
        </w:rPr>
        <w:t> </w:t>
      </w:r>
      <w:r>
        <w:rPr>
          <w:sz w:val="20"/>
        </w:rPr>
        <w:t>seguimiento,</w:t>
      </w:r>
      <w:r>
        <w:rPr>
          <w:spacing w:val="-5"/>
          <w:sz w:val="20"/>
        </w:rPr>
        <w:t> </w:t>
      </w:r>
      <w:r>
        <w:rPr>
          <w:sz w:val="20"/>
        </w:rPr>
        <w:t>modificaciones</w:t>
      </w:r>
      <w:r>
        <w:rPr>
          <w:spacing w:val="-4"/>
          <w:sz w:val="20"/>
        </w:rPr>
        <w:t> </w:t>
      </w:r>
      <w:r>
        <w:rPr>
          <w:sz w:val="20"/>
        </w:rPr>
        <w:t>y</w:t>
      </w:r>
      <w:r>
        <w:rPr>
          <w:spacing w:val="-5"/>
          <w:sz w:val="20"/>
        </w:rPr>
        <w:t> </w:t>
      </w:r>
      <w:r>
        <w:rPr>
          <w:sz w:val="20"/>
        </w:rPr>
        <w:t>evaluación</w:t>
      </w:r>
      <w:r>
        <w:rPr>
          <w:spacing w:val="-4"/>
          <w:sz w:val="20"/>
        </w:rPr>
        <w:t> </w:t>
      </w:r>
      <w:r>
        <w:rPr>
          <w:sz w:val="20"/>
        </w:rPr>
        <w:t>del</w:t>
      </w:r>
      <w:r>
        <w:rPr>
          <w:spacing w:val="-5"/>
          <w:sz w:val="20"/>
        </w:rPr>
        <w:t> </w:t>
      </w:r>
      <w:r>
        <w:rPr>
          <w:sz w:val="20"/>
        </w:rPr>
        <w:t>cumplimiento</w:t>
      </w:r>
      <w:r>
        <w:rPr>
          <w:spacing w:val="-4"/>
          <w:sz w:val="20"/>
        </w:rPr>
        <w:t> </w:t>
      </w:r>
      <w:r>
        <w:rPr>
          <w:sz w:val="20"/>
        </w:rPr>
        <w:t>de</w:t>
      </w:r>
      <w:r>
        <w:rPr>
          <w:spacing w:val="-4"/>
          <w:sz w:val="20"/>
        </w:rPr>
        <w:t> </w:t>
      </w:r>
      <w:r>
        <w:rPr>
          <w:sz w:val="20"/>
        </w:rPr>
        <w:t>los</w:t>
      </w:r>
      <w:r>
        <w:rPr>
          <w:spacing w:val="-3"/>
          <w:sz w:val="20"/>
        </w:rPr>
        <w:t> </w:t>
      </w:r>
      <w:r>
        <w:rPr>
          <w:sz w:val="20"/>
        </w:rPr>
        <w:t>programas</w:t>
      </w:r>
      <w:r>
        <w:rPr>
          <w:spacing w:val="-4"/>
          <w:sz w:val="20"/>
        </w:rPr>
        <w:t> </w:t>
      </w:r>
      <w:r>
        <w:rPr>
          <w:sz w:val="20"/>
        </w:rPr>
        <w:t>de ordenamiento territorial y desarrollo urbano, en los términos de esta Ley;</w:t>
      </w:r>
    </w:p>
    <w:p>
      <w:pPr>
        <w:pStyle w:val="BodyText"/>
        <w:spacing w:before="1"/>
      </w:pPr>
    </w:p>
    <w:p>
      <w:pPr>
        <w:pStyle w:val="ListParagraph"/>
        <w:numPr>
          <w:ilvl w:val="0"/>
          <w:numId w:val="26"/>
        </w:numPr>
        <w:tabs>
          <w:tab w:pos="543" w:val="left" w:leader="none"/>
        </w:tabs>
        <w:spacing w:line="240" w:lineRule="auto" w:before="0" w:after="0"/>
        <w:ind w:left="262" w:right="290" w:firstLine="0"/>
        <w:jc w:val="both"/>
        <w:rPr>
          <w:sz w:val="20"/>
        </w:rPr>
      </w:pPr>
      <w:r>
        <w:rPr>
          <w:sz w:val="20"/>
        </w:rPr>
        <w:t>La supervisión del diseño, financiamiento, construcción y operación de proyectos ejecutivos de infraestructura, equipamiento y prestación de servicios públicos urbanos;</w:t>
      </w:r>
    </w:p>
    <w:p>
      <w:pPr>
        <w:pStyle w:val="ListParagraph"/>
        <w:numPr>
          <w:ilvl w:val="0"/>
          <w:numId w:val="26"/>
        </w:numPr>
        <w:tabs>
          <w:tab w:pos="597" w:val="left" w:leader="none"/>
        </w:tabs>
        <w:spacing w:line="240" w:lineRule="auto" w:before="229" w:after="0"/>
        <w:ind w:left="262" w:right="286" w:firstLine="0"/>
        <w:jc w:val="both"/>
        <w:rPr>
          <w:sz w:val="20"/>
        </w:rPr>
      </w:pPr>
      <w:r>
        <w:rPr>
          <w:sz w:val="20"/>
        </w:rPr>
        <w:t>La supervisión y vigilancia en la ejecución de acciones y obras urbanas para el mejoramiento y conservación de zonas populares de los centros de población y de las comunidades rurales e </w:t>
      </w:r>
      <w:r>
        <w:rPr>
          <w:spacing w:val="-2"/>
          <w:sz w:val="20"/>
        </w:rPr>
        <w:t>indígenas;</w:t>
      </w:r>
    </w:p>
    <w:p>
      <w:pPr>
        <w:pStyle w:val="ListParagraph"/>
        <w:numPr>
          <w:ilvl w:val="0"/>
          <w:numId w:val="26"/>
        </w:numPr>
        <w:tabs>
          <w:tab w:pos="545" w:val="left" w:leader="none"/>
        </w:tabs>
        <w:spacing w:line="240" w:lineRule="auto" w:before="229" w:after="0"/>
        <w:ind w:left="262" w:right="288" w:firstLine="0"/>
        <w:jc w:val="both"/>
        <w:rPr>
          <w:sz w:val="20"/>
        </w:rPr>
      </w:pPr>
      <w:r>
        <w:rPr>
          <w:sz w:val="20"/>
        </w:rPr>
        <w:t>La promoción de cambios en áreas educativas y demás que por su naturaleza puedan transitar hacia un uso sostenible;</w:t>
      </w:r>
    </w:p>
    <w:p>
      <w:pPr>
        <w:pStyle w:val="BodyText"/>
        <w:spacing w:before="2"/>
      </w:pPr>
    </w:p>
    <w:p>
      <w:pPr>
        <w:pStyle w:val="ListParagraph"/>
        <w:numPr>
          <w:ilvl w:val="0"/>
          <w:numId w:val="26"/>
        </w:numPr>
        <w:tabs>
          <w:tab w:pos="688" w:val="left" w:leader="none"/>
        </w:tabs>
        <w:spacing w:line="240" w:lineRule="auto" w:before="0" w:after="0"/>
        <w:ind w:left="262" w:right="285" w:firstLine="0"/>
        <w:jc w:val="both"/>
        <w:rPr>
          <w:sz w:val="20"/>
        </w:rPr>
      </w:pPr>
      <w:r>
        <w:rPr>
          <w:sz w:val="20"/>
        </w:rPr>
        <w:t>El financiamiento y operación de proyectos estratégicos urbanos, habitacionales, industriales, comerciales, recreativos y turísticos;</w:t>
      </w:r>
    </w:p>
    <w:p>
      <w:pPr>
        <w:pStyle w:val="ListParagraph"/>
        <w:numPr>
          <w:ilvl w:val="0"/>
          <w:numId w:val="26"/>
        </w:numPr>
        <w:tabs>
          <w:tab w:pos="688" w:val="left" w:leader="none"/>
        </w:tabs>
        <w:spacing w:line="240" w:lineRule="auto" w:before="229" w:after="0"/>
        <w:ind w:left="262" w:right="287" w:firstLine="0"/>
        <w:jc w:val="both"/>
        <w:rPr>
          <w:sz w:val="20"/>
        </w:rPr>
      </w:pPr>
      <w:r>
        <w:rPr>
          <w:sz w:val="20"/>
        </w:rPr>
        <w:t>La ejecución de acciones y obras urbanas para el mejoramiento y conservación de zonas populares de los centros de población y de las comunidades rurales e indígenas;</w:t>
      </w:r>
    </w:p>
    <w:p>
      <w:pPr>
        <w:pStyle w:val="BodyText"/>
        <w:spacing w:before="1"/>
      </w:pPr>
    </w:p>
    <w:p>
      <w:pPr>
        <w:pStyle w:val="ListParagraph"/>
        <w:numPr>
          <w:ilvl w:val="0"/>
          <w:numId w:val="26"/>
        </w:numPr>
        <w:tabs>
          <w:tab w:pos="688" w:val="left" w:leader="none"/>
        </w:tabs>
        <w:spacing w:line="240" w:lineRule="auto" w:before="0" w:after="0"/>
        <w:ind w:left="688" w:right="0" w:hanging="426"/>
        <w:jc w:val="both"/>
        <w:rPr>
          <w:sz w:val="20"/>
        </w:rPr>
      </w:pPr>
      <w:r>
        <w:rPr>
          <w:sz w:val="20"/>
        </w:rPr>
        <w:t>La</w:t>
      </w:r>
      <w:r>
        <w:rPr>
          <w:spacing w:val="-7"/>
          <w:sz w:val="20"/>
        </w:rPr>
        <w:t> </w:t>
      </w:r>
      <w:r>
        <w:rPr>
          <w:sz w:val="20"/>
        </w:rPr>
        <w:t>protección</w:t>
      </w:r>
      <w:r>
        <w:rPr>
          <w:spacing w:val="-5"/>
          <w:sz w:val="20"/>
        </w:rPr>
        <w:t> </w:t>
      </w:r>
      <w:r>
        <w:rPr>
          <w:sz w:val="20"/>
        </w:rPr>
        <w:t>del</w:t>
      </w:r>
      <w:r>
        <w:rPr>
          <w:spacing w:val="-7"/>
          <w:sz w:val="20"/>
        </w:rPr>
        <w:t> </w:t>
      </w:r>
      <w:r>
        <w:rPr>
          <w:sz w:val="20"/>
        </w:rPr>
        <w:t>patrimonio</w:t>
      </w:r>
      <w:r>
        <w:rPr>
          <w:spacing w:val="-6"/>
          <w:sz w:val="20"/>
        </w:rPr>
        <w:t> </w:t>
      </w:r>
      <w:r>
        <w:rPr>
          <w:sz w:val="20"/>
        </w:rPr>
        <w:t>natural</w:t>
      </w:r>
      <w:r>
        <w:rPr>
          <w:spacing w:val="-7"/>
          <w:sz w:val="20"/>
        </w:rPr>
        <w:t> </w:t>
      </w:r>
      <w:r>
        <w:rPr>
          <w:sz w:val="20"/>
        </w:rPr>
        <w:t>y</w:t>
      </w:r>
      <w:r>
        <w:rPr>
          <w:spacing w:val="-5"/>
          <w:sz w:val="20"/>
        </w:rPr>
        <w:t> </w:t>
      </w:r>
      <w:r>
        <w:rPr>
          <w:sz w:val="20"/>
        </w:rPr>
        <w:t>cultural</w:t>
      </w:r>
      <w:r>
        <w:rPr>
          <w:spacing w:val="-7"/>
          <w:sz w:val="20"/>
        </w:rPr>
        <w:t> </w:t>
      </w:r>
      <w:r>
        <w:rPr>
          <w:sz w:val="20"/>
        </w:rPr>
        <w:t>en</w:t>
      </w:r>
      <w:r>
        <w:rPr>
          <w:spacing w:val="-6"/>
          <w:sz w:val="20"/>
        </w:rPr>
        <w:t> </w:t>
      </w:r>
      <w:r>
        <w:rPr>
          <w:sz w:val="20"/>
        </w:rPr>
        <w:t>el</w:t>
      </w:r>
      <w:r>
        <w:rPr>
          <w:spacing w:val="-5"/>
          <w:sz w:val="20"/>
        </w:rPr>
        <w:t> </w:t>
      </w:r>
      <w:r>
        <w:rPr>
          <w:spacing w:val="-2"/>
          <w:sz w:val="20"/>
        </w:rPr>
        <w:t>Estado;</w:t>
      </w:r>
    </w:p>
    <w:p>
      <w:pPr>
        <w:pStyle w:val="BodyText"/>
        <w:spacing w:before="1"/>
      </w:pPr>
    </w:p>
    <w:p>
      <w:pPr>
        <w:pStyle w:val="ListParagraph"/>
        <w:numPr>
          <w:ilvl w:val="0"/>
          <w:numId w:val="26"/>
        </w:numPr>
        <w:tabs>
          <w:tab w:pos="688" w:val="left" w:leader="none"/>
        </w:tabs>
        <w:spacing w:line="240" w:lineRule="auto" w:before="0" w:after="0"/>
        <w:ind w:left="688" w:right="0" w:hanging="426"/>
        <w:jc w:val="both"/>
        <w:rPr>
          <w:sz w:val="20"/>
        </w:rPr>
      </w:pPr>
      <w:r>
        <w:rPr>
          <w:sz w:val="20"/>
        </w:rPr>
        <w:t>La</w:t>
      </w:r>
      <w:r>
        <w:rPr>
          <w:spacing w:val="-7"/>
          <w:sz w:val="20"/>
        </w:rPr>
        <w:t> </w:t>
      </w:r>
      <w:r>
        <w:rPr>
          <w:sz w:val="20"/>
        </w:rPr>
        <w:t>preservación</w:t>
      </w:r>
      <w:r>
        <w:rPr>
          <w:spacing w:val="-7"/>
          <w:sz w:val="20"/>
        </w:rPr>
        <w:t> </w:t>
      </w:r>
      <w:r>
        <w:rPr>
          <w:sz w:val="20"/>
        </w:rPr>
        <w:t>del</w:t>
      </w:r>
      <w:r>
        <w:rPr>
          <w:spacing w:val="-5"/>
          <w:sz w:val="20"/>
        </w:rPr>
        <w:t> </w:t>
      </w:r>
      <w:r>
        <w:rPr>
          <w:sz w:val="20"/>
        </w:rPr>
        <w:t>ambiente</w:t>
      </w:r>
      <w:r>
        <w:rPr>
          <w:spacing w:val="-7"/>
          <w:sz w:val="20"/>
        </w:rPr>
        <w:t> </w:t>
      </w:r>
      <w:r>
        <w:rPr>
          <w:sz w:val="20"/>
        </w:rPr>
        <w:t>en</w:t>
      </w:r>
      <w:r>
        <w:rPr>
          <w:spacing w:val="-6"/>
          <w:sz w:val="20"/>
        </w:rPr>
        <w:t> </w:t>
      </w:r>
      <w:r>
        <w:rPr>
          <w:sz w:val="20"/>
        </w:rPr>
        <w:t>los</w:t>
      </w:r>
      <w:r>
        <w:rPr>
          <w:spacing w:val="-6"/>
          <w:sz w:val="20"/>
        </w:rPr>
        <w:t> </w:t>
      </w:r>
      <w:r>
        <w:rPr>
          <w:sz w:val="20"/>
        </w:rPr>
        <w:t>centros</w:t>
      </w:r>
      <w:r>
        <w:rPr>
          <w:spacing w:val="-5"/>
          <w:sz w:val="20"/>
        </w:rPr>
        <w:t> </w:t>
      </w:r>
      <w:r>
        <w:rPr>
          <w:sz w:val="20"/>
        </w:rPr>
        <w:t>de</w:t>
      </w:r>
      <w:r>
        <w:rPr>
          <w:spacing w:val="-6"/>
          <w:sz w:val="20"/>
        </w:rPr>
        <w:t> </w:t>
      </w:r>
      <w:r>
        <w:rPr>
          <w:sz w:val="20"/>
        </w:rPr>
        <w:t>población</w:t>
      </w:r>
      <w:r>
        <w:rPr>
          <w:spacing w:val="-7"/>
          <w:sz w:val="20"/>
        </w:rPr>
        <w:t> </w:t>
      </w:r>
      <w:r>
        <w:rPr>
          <w:sz w:val="20"/>
        </w:rPr>
        <w:t>y</w:t>
      </w:r>
      <w:r>
        <w:rPr>
          <w:spacing w:val="-5"/>
          <w:sz w:val="20"/>
        </w:rPr>
        <w:t> </w:t>
      </w:r>
      <w:r>
        <w:rPr>
          <w:sz w:val="20"/>
        </w:rPr>
        <w:t>demás</w:t>
      </w:r>
      <w:r>
        <w:rPr>
          <w:spacing w:val="-5"/>
          <w:sz w:val="20"/>
        </w:rPr>
        <w:t> </w:t>
      </w:r>
      <w:r>
        <w:rPr>
          <w:sz w:val="20"/>
        </w:rPr>
        <w:t>zonas</w:t>
      </w:r>
      <w:r>
        <w:rPr>
          <w:spacing w:val="-5"/>
          <w:sz w:val="20"/>
        </w:rPr>
        <w:t> </w:t>
      </w:r>
      <w:r>
        <w:rPr>
          <w:sz w:val="20"/>
        </w:rPr>
        <w:t>del</w:t>
      </w:r>
      <w:r>
        <w:rPr>
          <w:spacing w:val="-5"/>
          <w:sz w:val="20"/>
        </w:rPr>
        <w:t> </w:t>
      </w:r>
      <w:r>
        <w:rPr>
          <w:spacing w:val="-2"/>
          <w:sz w:val="20"/>
        </w:rPr>
        <w:t>Estado;</w:t>
      </w:r>
    </w:p>
    <w:p>
      <w:pPr>
        <w:pStyle w:val="ListParagraph"/>
        <w:numPr>
          <w:ilvl w:val="0"/>
          <w:numId w:val="26"/>
        </w:numPr>
        <w:tabs>
          <w:tab w:pos="688" w:val="left" w:leader="none"/>
        </w:tabs>
        <w:spacing w:line="240" w:lineRule="auto" w:before="228" w:after="0"/>
        <w:ind w:left="262" w:right="286" w:firstLine="0"/>
        <w:jc w:val="both"/>
        <w:rPr>
          <w:sz w:val="20"/>
        </w:rPr>
      </w:pPr>
      <w:r>
        <w:rPr>
          <w:sz w:val="20"/>
        </w:rPr>
        <w:t>La prevención, control y atención de riesgos y contingencias ambientales y urbanas en los asentamiento humanos, y</w:t>
      </w:r>
    </w:p>
    <w:p>
      <w:pPr>
        <w:pStyle w:val="BodyText"/>
        <w:spacing w:before="1"/>
      </w:pPr>
    </w:p>
    <w:p>
      <w:pPr>
        <w:pStyle w:val="ListParagraph"/>
        <w:numPr>
          <w:ilvl w:val="0"/>
          <w:numId w:val="26"/>
        </w:numPr>
        <w:tabs>
          <w:tab w:pos="688" w:val="left" w:leader="none"/>
        </w:tabs>
        <w:spacing w:line="240" w:lineRule="auto" w:before="0" w:after="0"/>
        <w:ind w:left="688" w:right="0" w:hanging="426"/>
        <w:jc w:val="both"/>
        <w:rPr>
          <w:sz w:val="20"/>
        </w:rPr>
      </w:pPr>
      <w:r>
        <w:rPr>
          <w:sz w:val="20"/>
        </w:rPr>
        <w:t>La</w:t>
      </w:r>
      <w:r>
        <w:rPr>
          <w:spacing w:val="-8"/>
          <w:sz w:val="20"/>
        </w:rPr>
        <w:t> </w:t>
      </w:r>
      <w:r>
        <w:rPr>
          <w:sz w:val="20"/>
        </w:rPr>
        <w:t>participación</w:t>
      </w:r>
      <w:r>
        <w:rPr>
          <w:spacing w:val="-8"/>
          <w:sz w:val="20"/>
        </w:rPr>
        <w:t> </w:t>
      </w:r>
      <w:r>
        <w:rPr>
          <w:sz w:val="20"/>
        </w:rPr>
        <w:t>en</w:t>
      </w:r>
      <w:r>
        <w:rPr>
          <w:spacing w:val="-7"/>
          <w:sz w:val="20"/>
        </w:rPr>
        <w:t> </w:t>
      </w:r>
      <w:r>
        <w:rPr>
          <w:sz w:val="20"/>
        </w:rPr>
        <w:t>los</w:t>
      </w:r>
      <w:r>
        <w:rPr>
          <w:spacing w:val="-6"/>
          <w:sz w:val="20"/>
        </w:rPr>
        <w:t> </w:t>
      </w:r>
      <w:r>
        <w:rPr>
          <w:sz w:val="20"/>
        </w:rPr>
        <w:t>procesos</w:t>
      </w:r>
      <w:r>
        <w:rPr>
          <w:spacing w:val="-6"/>
          <w:sz w:val="20"/>
        </w:rPr>
        <w:t> </w:t>
      </w:r>
      <w:r>
        <w:rPr>
          <w:sz w:val="20"/>
        </w:rPr>
        <w:t>de</w:t>
      </w:r>
      <w:r>
        <w:rPr>
          <w:spacing w:val="-6"/>
          <w:sz w:val="20"/>
        </w:rPr>
        <w:t> </w:t>
      </w:r>
      <w:r>
        <w:rPr>
          <w:sz w:val="20"/>
        </w:rPr>
        <w:t>los</w:t>
      </w:r>
      <w:r>
        <w:rPr>
          <w:spacing w:val="-6"/>
          <w:sz w:val="20"/>
        </w:rPr>
        <w:t> </w:t>
      </w:r>
      <w:r>
        <w:rPr>
          <w:sz w:val="20"/>
        </w:rPr>
        <w:t>observatorios</w:t>
      </w:r>
      <w:r>
        <w:rPr>
          <w:spacing w:val="-7"/>
          <w:sz w:val="20"/>
        </w:rPr>
        <w:t> </w:t>
      </w:r>
      <w:r>
        <w:rPr>
          <w:spacing w:val="-2"/>
          <w:sz w:val="20"/>
        </w:rPr>
        <w:t>ciudadanos.</w:t>
      </w:r>
    </w:p>
    <w:p>
      <w:pPr>
        <w:pStyle w:val="BodyText"/>
      </w:pPr>
    </w:p>
    <w:p>
      <w:pPr>
        <w:pStyle w:val="BodyText"/>
      </w:pPr>
    </w:p>
    <w:p>
      <w:pPr>
        <w:pStyle w:val="Heading2"/>
        <w:ind w:right="15"/>
      </w:pPr>
      <w:r>
        <w:rPr/>
        <w:t>Capítulo</w:t>
      </w:r>
      <w:r>
        <w:rPr>
          <w:spacing w:val="-8"/>
        </w:rPr>
        <w:t> </w:t>
      </w:r>
      <w:r>
        <w:rPr>
          <w:spacing w:val="-5"/>
        </w:rPr>
        <w:t>II</w:t>
      </w:r>
    </w:p>
    <w:p>
      <w:pPr>
        <w:pStyle w:val="BodyText"/>
        <w:rPr>
          <w:rFonts w:ascii="Arial"/>
          <w:b/>
        </w:rPr>
      </w:pPr>
    </w:p>
    <w:p>
      <w:pPr>
        <w:spacing w:before="1"/>
        <w:ind w:left="0" w:right="22" w:firstLine="0"/>
        <w:jc w:val="center"/>
        <w:rPr>
          <w:rFonts w:ascii="Arial" w:hAnsi="Arial"/>
          <w:b/>
          <w:sz w:val="20"/>
        </w:rPr>
      </w:pPr>
      <w:r>
        <w:rPr>
          <w:rFonts w:ascii="Arial" w:hAnsi="Arial"/>
          <w:b/>
          <w:sz w:val="20"/>
        </w:rPr>
        <w:t>Información</w:t>
      </w:r>
      <w:r>
        <w:rPr>
          <w:rFonts w:ascii="Arial" w:hAnsi="Arial"/>
          <w:b/>
          <w:spacing w:val="-8"/>
          <w:sz w:val="20"/>
        </w:rPr>
        <w:t> </w:t>
      </w:r>
      <w:r>
        <w:rPr>
          <w:rFonts w:ascii="Arial" w:hAnsi="Arial"/>
          <w:b/>
          <w:sz w:val="20"/>
        </w:rPr>
        <w:t>Pública,</w:t>
      </w:r>
      <w:r>
        <w:rPr>
          <w:rFonts w:ascii="Arial" w:hAnsi="Arial"/>
          <w:b/>
          <w:spacing w:val="-10"/>
          <w:sz w:val="20"/>
        </w:rPr>
        <w:t> </w:t>
      </w:r>
      <w:r>
        <w:rPr>
          <w:rFonts w:ascii="Arial" w:hAnsi="Arial"/>
          <w:b/>
          <w:sz w:val="20"/>
        </w:rPr>
        <w:t>Transparencia</w:t>
      </w:r>
      <w:r>
        <w:rPr>
          <w:rFonts w:ascii="Arial" w:hAnsi="Arial"/>
          <w:b/>
          <w:spacing w:val="-8"/>
          <w:sz w:val="20"/>
        </w:rPr>
        <w:t> </w:t>
      </w:r>
      <w:r>
        <w:rPr>
          <w:rFonts w:ascii="Arial" w:hAnsi="Arial"/>
          <w:b/>
          <w:sz w:val="20"/>
        </w:rPr>
        <w:t>y</w:t>
      </w:r>
      <w:r>
        <w:rPr>
          <w:rFonts w:ascii="Arial" w:hAnsi="Arial"/>
          <w:b/>
          <w:spacing w:val="-10"/>
          <w:sz w:val="20"/>
        </w:rPr>
        <w:t> </w:t>
      </w:r>
      <w:r>
        <w:rPr>
          <w:rFonts w:ascii="Arial" w:hAnsi="Arial"/>
          <w:b/>
          <w:sz w:val="20"/>
        </w:rPr>
        <w:t>Rendición</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pacing w:val="-2"/>
          <w:sz w:val="20"/>
        </w:rPr>
        <w:t>Cuentas</w:t>
      </w:r>
    </w:p>
    <w:p>
      <w:pPr>
        <w:pStyle w:val="BodyText"/>
        <w:spacing w:before="228"/>
        <w:ind w:left="262" w:right="276"/>
        <w:jc w:val="both"/>
      </w:pPr>
      <w:r>
        <w:rPr>
          <w:rFonts w:ascii="Arial" w:hAnsi="Arial"/>
          <w:b/>
        </w:rPr>
        <w:t>ARTÍCULO 50. </w:t>
      </w:r>
      <w:r>
        <w:rPr/>
        <w:t>Constituye un derecho de las personas obtener información gratuita, oportuna, veraz, pertinente, completa y en formatos abiertos, en términos de la Ley de la materia, de las disposiciones de ordenamiento territorial, planeación urbana y zonificación que regulan el aprovechamiento de predios en sus propiedades, barrios y colonias.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8"/>
        <w:jc w:val="both"/>
      </w:pPr>
      <w:r>
        <w:rPr/>
        <w:t>Las autoridades estatales y municipales, tienen la obligación de informar con oportunidad y veracidad de tales disposiciones, así como de reconocer y respetar las formas de organización social, de conformidad con la legislación correspondiente aplicable en materia de transparencia y acceso a la información pública.</w:t>
      </w:r>
    </w:p>
    <w:p>
      <w:pPr>
        <w:pStyle w:val="BodyText"/>
        <w:spacing w:before="230"/>
        <w:ind w:left="262" w:right="280"/>
        <w:jc w:val="both"/>
      </w:pPr>
      <w:r>
        <w:rPr/>
        <w:t>Por</w:t>
      </w:r>
      <w:r>
        <w:rPr>
          <w:spacing w:val="-4"/>
        </w:rPr>
        <w:t> </w:t>
      </w:r>
      <w:r>
        <w:rPr/>
        <w:t>su</w:t>
      </w:r>
      <w:r>
        <w:rPr>
          <w:spacing w:val="-4"/>
        </w:rPr>
        <w:t> </w:t>
      </w:r>
      <w:r>
        <w:rPr/>
        <w:t>parte,</w:t>
      </w:r>
      <w:r>
        <w:rPr>
          <w:spacing w:val="-4"/>
        </w:rPr>
        <w:t> </w:t>
      </w:r>
      <w:r>
        <w:rPr/>
        <w:t>es</w:t>
      </w:r>
      <w:r>
        <w:rPr>
          <w:spacing w:val="-3"/>
        </w:rPr>
        <w:t> </w:t>
      </w:r>
      <w:r>
        <w:rPr/>
        <w:t>obligación</w:t>
      </w:r>
      <w:r>
        <w:rPr>
          <w:spacing w:val="-2"/>
        </w:rPr>
        <w:t> </w:t>
      </w:r>
      <w:r>
        <w:rPr/>
        <w:t>de</w:t>
      </w:r>
      <w:r>
        <w:rPr>
          <w:spacing w:val="-5"/>
        </w:rPr>
        <w:t> </w:t>
      </w:r>
      <w:r>
        <w:rPr/>
        <w:t>las</w:t>
      </w:r>
      <w:r>
        <w:rPr>
          <w:spacing w:val="-3"/>
        </w:rPr>
        <w:t> </w:t>
      </w:r>
      <w:r>
        <w:rPr/>
        <w:t>autoridades</w:t>
      </w:r>
      <w:r>
        <w:rPr>
          <w:spacing w:val="-3"/>
        </w:rPr>
        <w:t> </w:t>
      </w:r>
      <w:r>
        <w:rPr/>
        <w:t>estatales</w:t>
      </w:r>
      <w:r>
        <w:rPr>
          <w:spacing w:val="-3"/>
        </w:rPr>
        <w:t> </w:t>
      </w:r>
      <w:r>
        <w:rPr/>
        <w:t>y</w:t>
      </w:r>
      <w:r>
        <w:rPr>
          <w:spacing w:val="-3"/>
        </w:rPr>
        <w:t> </w:t>
      </w:r>
      <w:r>
        <w:rPr/>
        <w:t>municipales</w:t>
      </w:r>
      <w:r>
        <w:rPr>
          <w:spacing w:val="-3"/>
        </w:rPr>
        <w:t> </w:t>
      </w:r>
      <w:r>
        <w:rPr/>
        <w:t>difundir</w:t>
      </w:r>
      <w:r>
        <w:rPr>
          <w:spacing w:val="-3"/>
        </w:rPr>
        <w:t> </w:t>
      </w:r>
      <w:r>
        <w:rPr/>
        <w:t>y</w:t>
      </w:r>
      <w:r>
        <w:rPr>
          <w:spacing w:val="-3"/>
        </w:rPr>
        <w:t> </w:t>
      </w:r>
      <w:r>
        <w:rPr/>
        <w:t>poner</w:t>
      </w:r>
      <w:r>
        <w:rPr>
          <w:spacing w:val="-3"/>
        </w:rPr>
        <w:t> </w:t>
      </w:r>
      <w:r>
        <w:rPr/>
        <w:t>a</w:t>
      </w:r>
      <w:r>
        <w:rPr>
          <w:spacing w:val="-5"/>
        </w:rPr>
        <w:t> </w:t>
      </w:r>
      <w:r>
        <w:rPr/>
        <w:t>disposición para</w:t>
      </w:r>
      <w:r>
        <w:rPr>
          <w:spacing w:val="-9"/>
        </w:rPr>
        <w:t> </w:t>
      </w:r>
      <w:r>
        <w:rPr/>
        <w:t>su</w:t>
      </w:r>
      <w:r>
        <w:rPr>
          <w:spacing w:val="-7"/>
        </w:rPr>
        <w:t> </w:t>
      </w:r>
      <w:r>
        <w:rPr/>
        <w:t>consulta</w:t>
      </w:r>
      <w:r>
        <w:rPr>
          <w:spacing w:val="-7"/>
        </w:rPr>
        <w:t> </w:t>
      </w:r>
      <w:r>
        <w:rPr/>
        <w:t>pública</w:t>
      </w:r>
      <w:r>
        <w:rPr>
          <w:spacing w:val="-7"/>
        </w:rPr>
        <w:t> </w:t>
      </w:r>
      <w:r>
        <w:rPr/>
        <w:t>en</w:t>
      </w:r>
      <w:r>
        <w:rPr>
          <w:spacing w:val="-7"/>
        </w:rPr>
        <w:t> </w:t>
      </w:r>
      <w:r>
        <w:rPr/>
        <w:t>medios</w:t>
      </w:r>
      <w:r>
        <w:rPr>
          <w:spacing w:val="-8"/>
        </w:rPr>
        <w:t> </w:t>
      </w:r>
      <w:r>
        <w:rPr/>
        <w:t>digitales,</w:t>
      </w:r>
      <w:r>
        <w:rPr>
          <w:spacing w:val="-9"/>
        </w:rPr>
        <w:t> </w:t>
      </w:r>
      <w:r>
        <w:rPr/>
        <w:t>remotos</w:t>
      </w:r>
      <w:r>
        <w:rPr>
          <w:spacing w:val="-6"/>
        </w:rPr>
        <w:t> </w:t>
      </w:r>
      <w:r>
        <w:rPr/>
        <w:t>y</w:t>
      </w:r>
      <w:r>
        <w:rPr>
          <w:spacing w:val="-8"/>
        </w:rPr>
        <w:t> </w:t>
      </w:r>
      <w:r>
        <w:rPr/>
        <w:t>físicos</w:t>
      </w:r>
      <w:r>
        <w:rPr>
          <w:spacing w:val="-6"/>
        </w:rPr>
        <w:t> </w:t>
      </w:r>
      <w:r>
        <w:rPr/>
        <w:t>la</w:t>
      </w:r>
      <w:r>
        <w:rPr>
          <w:spacing w:val="-7"/>
        </w:rPr>
        <w:t> </w:t>
      </w:r>
      <w:r>
        <w:rPr/>
        <w:t>documentación</w:t>
      </w:r>
      <w:r>
        <w:rPr>
          <w:spacing w:val="-7"/>
        </w:rPr>
        <w:t> </w:t>
      </w:r>
      <w:r>
        <w:rPr/>
        <w:t>completa</w:t>
      </w:r>
      <w:r>
        <w:rPr>
          <w:spacing w:val="-7"/>
        </w:rPr>
        <w:t> </w:t>
      </w:r>
      <w:r>
        <w:rPr/>
        <w:t>e</w:t>
      </w:r>
      <w:r>
        <w:rPr>
          <w:spacing w:val="-7"/>
        </w:rPr>
        <w:t> </w:t>
      </w:r>
      <w:r>
        <w:rPr/>
        <w:t>íntegra relativa a los programas de ordenamiento territorial, desarrollo urbano y desarrollo metropolitano aprobados,</w:t>
      </w:r>
      <w:r>
        <w:rPr>
          <w:spacing w:val="-2"/>
        </w:rPr>
        <w:t> </w:t>
      </w:r>
      <w:r>
        <w:rPr/>
        <w:t>validados</w:t>
      </w:r>
      <w:r>
        <w:rPr>
          <w:spacing w:val="-1"/>
        </w:rPr>
        <w:t> </w:t>
      </w:r>
      <w:r>
        <w:rPr/>
        <w:t>y</w:t>
      </w:r>
      <w:r>
        <w:rPr>
          <w:spacing w:val="-1"/>
        </w:rPr>
        <w:t> </w:t>
      </w:r>
      <w:r>
        <w:rPr/>
        <w:t>registrados,</w:t>
      </w:r>
      <w:r>
        <w:rPr>
          <w:spacing w:val="-2"/>
        </w:rPr>
        <w:t> </w:t>
      </w:r>
      <w:r>
        <w:rPr/>
        <w:t>así</w:t>
      </w:r>
      <w:r>
        <w:rPr>
          <w:spacing w:val="-2"/>
        </w:rPr>
        <w:t> </w:t>
      </w:r>
      <w:r>
        <w:rPr/>
        <w:t>como los datos relativos</w:t>
      </w:r>
      <w:r>
        <w:rPr>
          <w:spacing w:val="-1"/>
        </w:rPr>
        <w:t> </w:t>
      </w:r>
      <w:r>
        <w:rPr/>
        <w:t>a las</w:t>
      </w:r>
      <w:r>
        <w:rPr>
          <w:spacing w:val="-1"/>
        </w:rPr>
        <w:t> </w:t>
      </w:r>
      <w:r>
        <w:rPr/>
        <w:t>autorizaciones,</w:t>
      </w:r>
      <w:r>
        <w:rPr>
          <w:spacing w:val="-2"/>
        </w:rPr>
        <w:t> </w:t>
      </w:r>
      <w:r>
        <w:rPr/>
        <w:t>inversiones</w:t>
      </w:r>
      <w:r>
        <w:rPr>
          <w:spacing w:val="-1"/>
        </w:rPr>
        <w:t> </w:t>
      </w:r>
      <w:r>
        <w:rPr/>
        <w:t>y proyectos en la materia, resguardando en su caso los datos personales protegidos por las leyes correspondientes, así como en aquellos casos en los que se haya pactado cláusula de confidencialidad entre la instancia gubernamental y la empresa respectiva. Igual obligación corresponde cuando dichos programas se encuentren en su fase de consulta.</w:t>
      </w:r>
    </w:p>
    <w:p>
      <w:pPr>
        <w:pStyle w:val="BodyText"/>
        <w:spacing w:before="1"/>
      </w:pPr>
    </w:p>
    <w:p>
      <w:pPr>
        <w:pStyle w:val="BodyText"/>
        <w:spacing w:before="1"/>
        <w:ind w:left="262" w:right="278"/>
        <w:jc w:val="both"/>
      </w:pPr>
      <w:r>
        <w:rPr>
          <w:rFonts w:ascii="Arial" w:hAnsi="Arial"/>
          <w:b/>
        </w:rPr>
        <w:t>ARTÍCULO 51. </w:t>
      </w:r>
      <w:r>
        <w:rPr/>
        <w:t>Las autoridades de planeación, en colaboración con los organismos de transparencia y acceso a la información, generarán políticas o programas para brindar información en</w:t>
      </w:r>
      <w:r>
        <w:rPr>
          <w:spacing w:val="-6"/>
        </w:rPr>
        <w:t> </w:t>
      </w:r>
      <w:r>
        <w:rPr/>
        <w:t>medios</w:t>
      </w:r>
      <w:r>
        <w:rPr>
          <w:spacing w:val="-4"/>
        </w:rPr>
        <w:t> </w:t>
      </w:r>
      <w:r>
        <w:rPr/>
        <w:t>físicos</w:t>
      </w:r>
      <w:r>
        <w:rPr>
          <w:spacing w:val="-7"/>
        </w:rPr>
        <w:t> </w:t>
      </w:r>
      <w:r>
        <w:rPr/>
        <w:t>y</w:t>
      </w:r>
      <w:r>
        <w:rPr>
          <w:spacing w:val="-4"/>
        </w:rPr>
        <w:t> </w:t>
      </w:r>
      <w:r>
        <w:rPr/>
        <w:t>remotos</w:t>
      </w:r>
      <w:r>
        <w:rPr>
          <w:spacing w:val="-6"/>
        </w:rPr>
        <w:t> </w:t>
      </w:r>
      <w:r>
        <w:rPr/>
        <w:t>en</w:t>
      </w:r>
      <w:r>
        <w:rPr>
          <w:spacing w:val="-6"/>
        </w:rPr>
        <w:t> </w:t>
      </w:r>
      <w:r>
        <w:rPr/>
        <w:t>aquellos</w:t>
      </w:r>
      <w:r>
        <w:rPr>
          <w:spacing w:val="-4"/>
        </w:rPr>
        <w:t> </w:t>
      </w:r>
      <w:r>
        <w:rPr/>
        <w:t>polígonos</w:t>
      </w:r>
      <w:r>
        <w:rPr>
          <w:spacing w:val="-4"/>
        </w:rPr>
        <w:t> </w:t>
      </w:r>
      <w:r>
        <w:rPr/>
        <w:t>en</w:t>
      </w:r>
      <w:r>
        <w:rPr>
          <w:spacing w:val="-3"/>
        </w:rPr>
        <w:t> </w:t>
      </w:r>
      <w:r>
        <w:rPr/>
        <w:t>los</w:t>
      </w:r>
      <w:r>
        <w:rPr>
          <w:spacing w:val="-7"/>
        </w:rPr>
        <w:t> </w:t>
      </w:r>
      <w:r>
        <w:rPr/>
        <w:t>que</w:t>
      </w:r>
      <w:r>
        <w:rPr>
          <w:spacing w:val="-6"/>
        </w:rPr>
        <w:t> </w:t>
      </w:r>
      <w:r>
        <w:rPr/>
        <w:t>se</w:t>
      </w:r>
      <w:r>
        <w:rPr>
          <w:spacing w:val="-5"/>
        </w:rPr>
        <w:t> </w:t>
      </w:r>
      <w:r>
        <w:rPr/>
        <w:t>otorguen</w:t>
      </w:r>
      <w:r>
        <w:rPr>
          <w:spacing w:val="-6"/>
        </w:rPr>
        <w:t> </w:t>
      </w:r>
      <w:r>
        <w:rPr/>
        <w:t>autorizaciones, permisos y licencias urbanísticas. Deberán privilegiar la oportunidad de la información y el impacto esperado de dichas autorizaciones, permisos y licencias. La publicación en medios físicos deberá realizarse en ámbitos de concurrencia pública, como escuelas, bibliotecas, mercados, entre otros, a fin de facilitar su conocimiento.</w:t>
      </w:r>
    </w:p>
    <w:p>
      <w:pPr>
        <w:pStyle w:val="BodyText"/>
        <w:spacing w:before="228"/>
      </w:pPr>
    </w:p>
    <w:p>
      <w:pPr>
        <w:pStyle w:val="Heading2"/>
        <w:spacing w:line="482" w:lineRule="auto" w:before="1"/>
        <w:ind w:left="3560" w:right="3571" w:firstLine="600"/>
        <w:jc w:val="left"/>
      </w:pPr>
      <w:r>
        <w:rPr/>
        <w:t>Capítulo III Desarrollo</w:t>
      </w:r>
      <w:r>
        <w:rPr>
          <w:spacing w:val="-14"/>
        </w:rPr>
        <w:t> </w:t>
      </w:r>
      <w:r>
        <w:rPr/>
        <w:t>Institucional</w:t>
      </w:r>
    </w:p>
    <w:p>
      <w:pPr>
        <w:pStyle w:val="BodyText"/>
        <w:spacing w:line="237" w:lineRule="auto"/>
        <w:ind w:left="262" w:right="284"/>
        <w:jc w:val="both"/>
      </w:pPr>
      <w:r>
        <w:rPr>
          <w:rFonts w:ascii="Arial" w:hAnsi="Arial"/>
          <w:b/>
        </w:rPr>
        <w:t>ARTÍCULO 52. </w:t>
      </w:r>
      <w:r>
        <w:rPr/>
        <w:t>El Estado y los municipios promoverán programas de capacitación para los servidores públicos en la materia de esta Ley.</w:t>
      </w:r>
    </w:p>
    <w:p>
      <w:pPr>
        <w:pStyle w:val="BodyText"/>
      </w:pPr>
    </w:p>
    <w:p>
      <w:pPr>
        <w:pStyle w:val="BodyText"/>
        <w:ind w:left="262" w:right="285"/>
        <w:jc w:val="both"/>
      </w:pPr>
      <w:r>
        <w:rPr/>
        <w:t>Se</w:t>
      </w:r>
      <w:r>
        <w:rPr>
          <w:spacing w:val="-6"/>
        </w:rPr>
        <w:t> </w:t>
      </w:r>
      <w:r>
        <w:rPr/>
        <w:t>promoverá:</w:t>
      </w:r>
      <w:r>
        <w:rPr>
          <w:spacing w:val="-6"/>
        </w:rPr>
        <w:t> </w:t>
      </w:r>
      <w:r>
        <w:rPr/>
        <w:t>la</w:t>
      </w:r>
      <w:r>
        <w:rPr>
          <w:spacing w:val="-6"/>
        </w:rPr>
        <w:t> </w:t>
      </w:r>
      <w:r>
        <w:rPr/>
        <w:t>legalidad,</w:t>
      </w:r>
      <w:r>
        <w:rPr>
          <w:spacing w:val="-6"/>
        </w:rPr>
        <w:t> </w:t>
      </w:r>
      <w:r>
        <w:rPr/>
        <w:t>eficiencia,</w:t>
      </w:r>
      <w:r>
        <w:rPr>
          <w:spacing w:val="-6"/>
        </w:rPr>
        <w:t> </w:t>
      </w:r>
      <w:r>
        <w:rPr/>
        <w:t>objetividad,</w:t>
      </w:r>
      <w:r>
        <w:rPr>
          <w:spacing w:val="-9"/>
        </w:rPr>
        <w:t> </w:t>
      </w:r>
      <w:r>
        <w:rPr/>
        <w:t>calidad,</w:t>
      </w:r>
      <w:r>
        <w:rPr>
          <w:spacing w:val="-7"/>
        </w:rPr>
        <w:t> </w:t>
      </w:r>
      <w:r>
        <w:rPr/>
        <w:t>imparcialidad,</w:t>
      </w:r>
      <w:r>
        <w:rPr>
          <w:spacing w:val="-9"/>
        </w:rPr>
        <w:t> </w:t>
      </w:r>
      <w:r>
        <w:rPr/>
        <w:t>equidad,</w:t>
      </w:r>
      <w:r>
        <w:rPr>
          <w:spacing w:val="-8"/>
        </w:rPr>
        <w:t> </w:t>
      </w:r>
      <w:r>
        <w:rPr/>
        <w:t>competencia</w:t>
      </w:r>
      <w:r>
        <w:rPr>
          <w:spacing w:val="-6"/>
        </w:rPr>
        <w:t> </w:t>
      </w:r>
      <w:r>
        <w:rPr/>
        <w:t>por mérito y equidad de género, como principios del servicio público.</w:t>
      </w:r>
    </w:p>
    <w:p>
      <w:pPr>
        <w:pStyle w:val="BodyText"/>
        <w:spacing w:before="2"/>
      </w:pPr>
    </w:p>
    <w:p>
      <w:pPr>
        <w:pStyle w:val="BodyText"/>
        <w:ind w:left="262"/>
        <w:jc w:val="both"/>
      </w:pPr>
      <w:r>
        <w:rPr/>
        <w:t>Se</w:t>
      </w:r>
      <w:r>
        <w:rPr>
          <w:spacing w:val="-9"/>
        </w:rPr>
        <w:t> </w:t>
      </w:r>
      <w:r>
        <w:rPr/>
        <w:t>promoverá</w:t>
      </w:r>
      <w:r>
        <w:rPr>
          <w:spacing w:val="-6"/>
        </w:rPr>
        <w:t> </w:t>
      </w:r>
      <w:r>
        <w:rPr/>
        <w:t>programas</w:t>
      </w:r>
      <w:r>
        <w:rPr>
          <w:spacing w:val="-8"/>
        </w:rPr>
        <w:t> </w:t>
      </w:r>
      <w:r>
        <w:rPr/>
        <w:t>permanentes</w:t>
      </w:r>
      <w:r>
        <w:rPr>
          <w:spacing w:val="-6"/>
        </w:rPr>
        <w:t> </w:t>
      </w:r>
      <w:r>
        <w:rPr/>
        <w:t>de</w:t>
      </w:r>
      <w:r>
        <w:rPr>
          <w:spacing w:val="-10"/>
        </w:rPr>
        <w:t> </w:t>
      </w:r>
      <w:r>
        <w:rPr/>
        <w:t>capacitación</w:t>
      </w:r>
      <w:r>
        <w:rPr>
          <w:spacing w:val="-8"/>
        </w:rPr>
        <w:t> </w:t>
      </w:r>
      <w:r>
        <w:rPr/>
        <w:t>en</w:t>
      </w:r>
      <w:r>
        <w:rPr>
          <w:spacing w:val="-7"/>
        </w:rPr>
        <w:t> </w:t>
      </w:r>
      <w:r>
        <w:rPr/>
        <w:t>las</w:t>
      </w:r>
      <w:r>
        <w:rPr>
          <w:spacing w:val="-8"/>
        </w:rPr>
        <w:t> </w:t>
      </w:r>
      <w:r>
        <w:rPr/>
        <w:t>materias</w:t>
      </w:r>
      <w:r>
        <w:rPr>
          <w:spacing w:val="-8"/>
        </w:rPr>
        <w:t> </w:t>
      </w:r>
      <w:r>
        <w:rPr/>
        <w:t>de</w:t>
      </w:r>
      <w:r>
        <w:rPr>
          <w:spacing w:val="-7"/>
        </w:rPr>
        <w:t> </w:t>
      </w:r>
      <w:r>
        <w:rPr/>
        <w:t>esta</w:t>
      </w:r>
      <w:r>
        <w:rPr>
          <w:spacing w:val="-7"/>
        </w:rPr>
        <w:t> </w:t>
      </w:r>
      <w:r>
        <w:rPr>
          <w:spacing w:val="-4"/>
        </w:rPr>
        <w:t>Ley.</w:t>
      </w:r>
    </w:p>
    <w:p>
      <w:pPr>
        <w:pStyle w:val="BodyText"/>
        <w:spacing w:before="228"/>
        <w:ind w:left="262" w:right="277"/>
        <w:jc w:val="both"/>
      </w:pPr>
      <w:r>
        <w:rPr/>
        <w:t>Se impulsarán programas y apoyos para la mejora regulatoria en la administración y gestión del desarrollo</w:t>
      </w:r>
      <w:r>
        <w:rPr>
          <w:spacing w:val="-7"/>
        </w:rPr>
        <w:t> </w:t>
      </w:r>
      <w:r>
        <w:rPr/>
        <w:t>urbano</w:t>
      </w:r>
      <w:r>
        <w:rPr>
          <w:spacing w:val="-7"/>
        </w:rPr>
        <w:t> </w:t>
      </w:r>
      <w:r>
        <w:rPr/>
        <w:t>que</w:t>
      </w:r>
      <w:r>
        <w:rPr>
          <w:spacing w:val="-7"/>
        </w:rPr>
        <w:t> </w:t>
      </w:r>
      <w:r>
        <w:rPr/>
        <w:t>propicien</w:t>
      </w:r>
      <w:r>
        <w:rPr>
          <w:spacing w:val="-7"/>
        </w:rPr>
        <w:t> </w:t>
      </w:r>
      <w:r>
        <w:rPr/>
        <w:t>la</w:t>
      </w:r>
      <w:r>
        <w:rPr>
          <w:spacing w:val="-7"/>
        </w:rPr>
        <w:t> </w:t>
      </w:r>
      <w:r>
        <w:rPr/>
        <w:t>uniformidad</w:t>
      </w:r>
      <w:r>
        <w:rPr>
          <w:spacing w:val="-7"/>
        </w:rPr>
        <w:t> </w:t>
      </w:r>
      <w:r>
        <w:rPr/>
        <w:t>en</w:t>
      </w:r>
      <w:r>
        <w:rPr>
          <w:spacing w:val="-7"/>
        </w:rPr>
        <w:t> </w:t>
      </w:r>
      <w:r>
        <w:rPr/>
        <w:t>trámites,</w:t>
      </w:r>
      <w:r>
        <w:rPr>
          <w:spacing w:val="-6"/>
        </w:rPr>
        <w:t> </w:t>
      </w:r>
      <w:r>
        <w:rPr/>
        <w:t>permisos</w:t>
      </w:r>
      <w:r>
        <w:rPr>
          <w:spacing w:val="-6"/>
        </w:rPr>
        <w:t> </w:t>
      </w:r>
      <w:r>
        <w:rPr/>
        <w:t>y</w:t>
      </w:r>
      <w:r>
        <w:rPr>
          <w:spacing w:val="-5"/>
        </w:rPr>
        <w:t> </w:t>
      </w:r>
      <w:r>
        <w:rPr/>
        <w:t>autorizaciones</w:t>
      </w:r>
      <w:r>
        <w:rPr>
          <w:spacing w:val="-5"/>
        </w:rPr>
        <w:t> </w:t>
      </w:r>
      <w:r>
        <w:rPr/>
        <w:t>en</w:t>
      </w:r>
      <w:r>
        <w:rPr>
          <w:spacing w:val="-7"/>
        </w:rPr>
        <w:t> </w:t>
      </w:r>
      <w:r>
        <w:rPr/>
        <w:t>la</w:t>
      </w:r>
      <w:r>
        <w:rPr>
          <w:spacing w:val="-7"/>
        </w:rPr>
        <w:t> </w:t>
      </w:r>
      <w:r>
        <w:rPr/>
        <w:t>materia, para</w:t>
      </w:r>
      <w:r>
        <w:rPr>
          <w:spacing w:val="-14"/>
        </w:rPr>
        <w:t> </w:t>
      </w:r>
      <w:r>
        <w:rPr/>
        <w:t>disminuir</w:t>
      </w:r>
      <w:r>
        <w:rPr>
          <w:spacing w:val="-14"/>
        </w:rPr>
        <w:t> </w:t>
      </w:r>
      <w:r>
        <w:rPr/>
        <w:t>sus</w:t>
      </w:r>
      <w:r>
        <w:rPr>
          <w:spacing w:val="-14"/>
        </w:rPr>
        <w:t> </w:t>
      </w:r>
      <w:r>
        <w:rPr/>
        <w:t>costos,</w:t>
      </w:r>
      <w:r>
        <w:rPr>
          <w:spacing w:val="-14"/>
        </w:rPr>
        <w:t> </w:t>
      </w:r>
      <w:r>
        <w:rPr/>
        <w:t>tiempos</w:t>
      </w:r>
      <w:r>
        <w:rPr>
          <w:spacing w:val="-14"/>
        </w:rPr>
        <w:t> </w:t>
      </w:r>
      <w:r>
        <w:rPr/>
        <w:t>e</w:t>
      </w:r>
      <w:r>
        <w:rPr>
          <w:spacing w:val="-14"/>
        </w:rPr>
        <w:t> </w:t>
      </w:r>
      <w:r>
        <w:rPr/>
        <w:t>incrementar</w:t>
      </w:r>
      <w:r>
        <w:rPr>
          <w:spacing w:val="-14"/>
        </w:rPr>
        <w:t> </w:t>
      </w:r>
      <w:r>
        <w:rPr/>
        <w:t>la</w:t>
      </w:r>
      <w:r>
        <w:rPr>
          <w:spacing w:val="-14"/>
        </w:rPr>
        <w:t> </w:t>
      </w:r>
      <w:r>
        <w:rPr/>
        <w:t>transparencia.</w:t>
      </w:r>
      <w:r>
        <w:rPr>
          <w:spacing w:val="-14"/>
        </w:rPr>
        <w:t> </w:t>
      </w:r>
      <w:r>
        <w:rPr/>
        <w:t>Igualmente</w:t>
      </w:r>
      <w:r>
        <w:rPr>
          <w:spacing w:val="-13"/>
        </w:rPr>
        <w:t> </w:t>
      </w:r>
      <w:r>
        <w:rPr/>
        <w:t>fomentará</w:t>
      </w:r>
      <w:r>
        <w:rPr>
          <w:spacing w:val="-14"/>
        </w:rPr>
        <w:t> </w:t>
      </w:r>
      <w:r>
        <w:rPr/>
        <w:t>la</w:t>
      </w:r>
      <w:r>
        <w:rPr>
          <w:spacing w:val="-14"/>
        </w:rPr>
        <w:t> </w:t>
      </w:r>
      <w:r>
        <w:rPr/>
        <w:t>adopción de</w:t>
      </w:r>
      <w:r>
        <w:rPr>
          <w:spacing w:val="-3"/>
        </w:rPr>
        <w:t> </w:t>
      </w:r>
      <w:r>
        <w:rPr/>
        <w:t>tecnologías</w:t>
      </w:r>
      <w:r>
        <w:rPr>
          <w:spacing w:val="-1"/>
        </w:rPr>
        <w:t> </w:t>
      </w:r>
      <w:r>
        <w:rPr/>
        <w:t>de</w:t>
      </w:r>
      <w:r>
        <w:rPr>
          <w:spacing w:val="-2"/>
        </w:rPr>
        <w:t> </w:t>
      </w:r>
      <w:r>
        <w:rPr/>
        <w:t>la información</w:t>
      </w:r>
      <w:r>
        <w:rPr>
          <w:spacing w:val="-3"/>
        </w:rPr>
        <w:t> </w:t>
      </w:r>
      <w:r>
        <w:rPr/>
        <w:t>y</w:t>
      </w:r>
      <w:r>
        <w:rPr>
          <w:spacing w:val="-1"/>
        </w:rPr>
        <w:t> </w:t>
      </w:r>
      <w:r>
        <w:rPr/>
        <w:t>comunicación en los</w:t>
      </w:r>
      <w:r>
        <w:rPr>
          <w:spacing w:val="-1"/>
        </w:rPr>
        <w:t> </w:t>
      </w:r>
      <w:r>
        <w:rPr/>
        <w:t>procesos</w:t>
      </w:r>
      <w:r>
        <w:rPr>
          <w:spacing w:val="-1"/>
        </w:rPr>
        <w:t> </w:t>
      </w:r>
      <w:r>
        <w:rPr/>
        <w:t>administrativos que</w:t>
      </w:r>
      <w:r>
        <w:rPr>
          <w:spacing w:val="-2"/>
        </w:rPr>
        <w:t> </w:t>
      </w:r>
      <w:r>
        <w:rPr/>
        <w:t>se</w:t>
      </w:r>
      <w:r>
        <w:rPr>
          <w:spacing w:val="-2"/>
        </w:rPr>
        <w:t> </w:t>
      </w:r>
      <w:r>
        <w:rPr/>
        <w:t>relacionen con la gestión y administración territorial y los servicios urbanos.</w:t>
      </w:r>
    </w:p>
    <w:p>
      <w:pPr>
        <w:pStyle w:val="BodyText"/>
      </w:pPr>
    </w:p>
    <w:p>
      <w:pPr>
        <w:pStyle w:val="BodyText"/>
        <w:spacing w:before="1"/>
      </w:pPr>
    </w:p>
    <w:p>
      <w:pPr>
        <w:pStyle w:val="Heading2"/>
        <w:spacing w:line="480" w:lineRule="auto"/>
        <w:ind w:left="3394" w:right="3403" w:firstLine="756"/>
        <w:jc w:val="left"/>
      </w:pPr>
      <w:r>
        <w:rPr/>
        <w:t>Capítulo IV Observatorios</w:t>
      </w:r>
      <w:r>
        <w:rPr>
          <w:spacing w:val="-14"/>
        </w:rPr>
        <w:t> </w:t>
      </w:r>
      <w:r>
        <w:rPr/>
        <w:t>Ciudadanos</w:t>
      </w:r>
    </w:p>
    <w:p>
      <w:pPr>
        <w:spacing w:line="229" w:lineRule="exact" w:before="0"/>
        <w:ind w:left="26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4"/>
          <w:sz w:val="20"/>
        </w:rPr>
        <w:t>2024)</w:t>
      </w:r>
    </w:p>
    <w:p>
      <w:pPr>
        <w:pStyle w:val="BodyText"/>
        <w:spacing w:before="1"/>
        <w:ind w:left="262" w:right="276"/>
        <w:jc w:val="both"/>
      </w:pPr>
      <w:r>
        <w:rPr>
          <w:rFonts w:ascii="Arial" w:hAnsi="Arial"/>
          <w:b/>
        </w:rPr>
        <w:t>ARTÍCULO 53. </w:t>
      </w:r>
      <w:r>
        <w:rPr/>
        <w:t>El sector social y privado podrá crear observatorios urbanos, con la participación plural de la sociedad, de las instituciones de investigación académica, de los colegios de profesionistas,</w:t>
      </w:r>
      <w:r>
        <w:rPr>
          <w:spacing w:val="26"/>
        </w:rPr>
        <w:t> </w:t>
      </w:r>
      <w:r>
        <w:rPr/>
        <w:t>de</w:t>
      </w:r>
      <w:r>
        <w:rPr>
          <w:spacing w:val="26"/>
        </w:rPr>
        <w:t> </w:t>
      </w:r>
      <w:r>
        <w:rPr/>
        <w:t>los</w:t>
      </w:r>
      <w:r>
        <w:rPr>
          <w:spacing w:val="27"/>
        </w:rPr>
        <w:t> </w:t>
      </w:r>
      <w:r>
        <w:rPr/>
        <w:t>organismos</w:t>
      </w:r>
      <w:r>
        <w:rPr>
          <w:spacing w:val="28"/>
        </w:rPr>
        <w:t> </w:t>
      </w:r>
      <w:r>
        <w:rPr/>
        <w:t>empresariales,</w:t>
      </w:r>
      <w:r>
        <w:rPr>
          <w:spacing w:val="26"/>
        </w:rPr>
        <w:t> </w:t>
      </w:r>
      <w:r>
        <w:rPr/>
        <w:t>de</w:t>
      </w:r>
      <w:r>
        <w:rPr>
          <w:spacing w:val="26"/>
        </w:rPr>
        <w:t> </w:t>
      </w:r>
      <w:r>
        <w:rPr/>
        <w:t>las</w:t>
      </w:r>
      <w:r>
        <w:rPr>
          <w:spacing w:val="27"/>
        </w:rPr>
        <w:t> </w:t>
      </w:r>
      <w:r>
        <w:rPr/>
        <w:t>organizaciones</w:t>
      </w:r>
      <w:r>
        <w:rPr>
          <w:spacing w:val="28"/>
        </w:rPr>
        <w:t> </w:t>
      </w:r>
      <w:r>
        <w:rPr/>
        <w:t>de</w:t>
      </w:r>
      <w:r>
        <w:rPr>
          <w:spacing w:val="28"/>
        </w:rPr>
        <w:t> </w:t>
      </w:r>
      <w:r>
        <w:rPr/>
        <w:t>la</w:t>
      </w:r>
      <w:r>
        <w:rPr>
          <w:spacing w:val="26"/>
        </w:rPr>
        <w:t> </w:t>
      </w:r>
      <w:r>
        <w:rPr/>
        <w:t>sociedad</w:t>
      </w:r>
      <w:r>
        <w:rPr>
          <w:spacing w:val="26"/>
        </w:rPr>
        <w:t> </w:t>
      </w:r>
      <w:r>
        <w:rPr/>
        <w:t>civil</w:t>
      </w:r>
      <w:r>
        <w:rPr>
          <w:spacing w:val="26"/>
        </w:rPr>
        <w:t> </w:t>
      </w:r>
      <w:r>
        <w:rPr/>
        <w:t>y</w:t>
      </w:r>
      <w:r>
        <w:rPr>
          <w:spacing w:val="28"/>
        </w:rPr>
        <w:t> </w:t>
      </w:r>
      <w:r>
        <w:rPr/>
        <w:t>el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gobierno, para el estudio, investigación, organización y difusión de información y conocimientos sobre los problemas socioeconómicos y espaciales, y los nuevos modelos de políticas urbanas, regionales y de gestión pública, así como de la movilidad y la seguridad vial.</w:t>
      </w:r>
    </w:p>
    <w:p>
      <w:pPr>
        <w:pStyle w:val="BodyText"/>
        <w:spacing w:before="1"/>
      </w:pPr>
    </w:p>
    <w:p>
      <w:pPr>
        <w:pStyle w:val="BodyText"/>
        <w:spacing w:before="1"/>
        <w:ind w:left="262" w:right="281"/>
        <w:jc w:val="both"/>
      </w:pPr>
      <w:r>
        <w:rPr/>
        <w:t>Los</w:t>
      </w:r>
      <w:r>
        <w:rPr>
          <w:spacing w:val="-5"/>
        </w:rPr>
        <w:t> </w:t>
      </w:r>
      <w:r>
        <w:rPr/>
        <w:t>observatorios</w:t>
      </w:r>
      <w:r>
        <w:rPr>
          <w:spacing w:val="-6"/>
        </w:rPr>
        <w:t> </w:t>
      </w:r>
      <w:r>
        <w:rPr/>
        <w:t>tendrán</w:t>
      </w:r>
      <w:r>
        <w:rPr>
          <w:spacing w:val="-5"/>
        </w:rPr>
        <w:t> </w:t>
      </w:r>
      <w:r>
        <w:rPr/>
        <w:t>a</w:t>
      </w:r>
      <w:r>
        <w:rPr>
          <w:spacing w:val="-7"/>
        </w:rPr>
        <w:t> </w:t>
      </w:r>
      <w:r>
        <w:rPr/>
        <w:t>su</w:t>
      </w:r>
      <w:r>
        <w:rPr>
          <w:spacing w:val="-7"/>
        </w:rPr>
        <w:t> </w:t>
      </w:r>
      <w:r>
        <w:rPr/>
        <w:t>cargo</w:t>
      </w:r>
      <w:r>
        <w:rPr>
          <w:spacing w:val="-6"/>
        </w:rPr>
        <w:t> </w:t>
      </w:r>
      <w:r>
        <w:rPr/>
        <w:t>las</w:t>
      </w:r>
      <w:r>
        <w:rPr>
          <w:spacing w:val="-6"/>
        </w:rPr>
        <w:t> </w:t>
      </w:r>
      <w:r>
        <w:rPr/>
        <w:t>tareas</w:t>
      </w:r>
      <w:r>
        <w:rPr>
          <w:spacing w:val="-6"/>
        </w:rPr>
        <w:t> </w:t>
      </w:r>
      <w:r>
        <w:rPr/>
        <w:t>de</w:t>
      </w:r>
      <w:r>
        <w:rPr>
          <w:spacing w:val="-7"/>
        </w:rPr>
        <w:t> </w:t>
      </w:r>
      <w:r>
        <w:rPr/>
        <w:t>analizar</w:t>
      </w:r>
      <w:r>
        <w:rPr>
          <w:spacing w:val="-6"/>
        </w:rPr>
        <w:t> </w:t>
      </w:r>
      <w:r>
        <w:rPr/>
        <w:t>y</w:t>
      </w:r>
      <w:r>
        <w:rPr>
          <w:spacing w:val="-5"/>
        </w:rPr>
        <w:t> </w:t>
      </w:r>
      <w:r>
        <w:rPr/>
        <w:t>difundir</w:t>
      </w:r>
      <w:r>
        <w:rPr>
          <w:spacing w:val="-6"/>
        </w:rPr>
        <w:t> </w:t>
      </w:r>
      <w:r>
        <w:rPr/>
        <w:t>la</w:t>
      </w:r>
      <w:r>
        <w:rPr>
          <w:spacing w:val="-7"/>
        </w:rPr>
        <w:t> </w:t>
      </w:r>
      <w:r>
        <w:rPr/>
        <w:t>evolución</w:t>
      </w:r>
      <w:r>
        <w:rPr>
          <w:spacing w:val="-5"/>
        </w:rPr>
        <w:t> </w:t>
      </w:r>
      <w:r>
        <w:rPr/>
        <w:t>de</w:t>
      </w:r>
      <w:r>
        <w:rPr>
          <w:spacing w:val="-7"/>
        </w:rPr>
        <w:t> </w:t>
      </w:r>
      <w:r>
        <w:rPr/>
        <w:t>los</w:t>
      </w:r>
      <w:r>
        <w:rPr>
          <w:spacing w:val="-6"/>
        </w:rPr>
        <w:t> </w:t>
      </w:r>
      <w:r>
        <w:rPr/>
        <w:t>fenómenos socioeconómicos</w:t>
      </w:r>
      <w:r>
        <w:rPr>
          <w:spacing w:val="-8"/>
        </w:rPr>
        <w:t> </w:t>
      </w:r>
      <w:r>
        <w:rPr/>
        <w:t>y</w:t>
      </w:r>
      <w:r>
        <w:rPr>
          <w:spacing w:val="-8"/>
        </w:rPr>
        <w:t> </w:t>
      </w:r>
      <w:r>
        <w:rPr/>
        <w:t>espaciales,</w:t>
      </w:r>
      <w:r>
        <w:rPr>
          <w:spacing w:val="-6"/>
        </w:rPr>
        <w:t> </w:t>
      </w:r>
      <w:r>
        <w:rPr/>
        <w:t>en</w:t>
      </w:r>
      <w:r>
        <w:rPr>
          <w:spacing w:val="-7"/>
        </w:rPr>
        <w:t> </w:t>
      </w:r>
      <w:r>
        <w:rPr/>
        <w:t>la</w:t>
      </w:r>
      <w:r>
        <w:rPr>
          <w:spacing w:val="-7"/>
        </w:rPr>
        <w:t> </w:t>
      </w:r>
      <w:r>
        <w:rPr/>
        <w:t>escala,</w:t>
      </w:r>
      <w:r>
        <w:rPr>
          <w:spacing w:val="-7"/>
        </w:rPr>
        <w:t> </w:t>
      </w:r>
      <w:r>
        <w:rPr/>
        <w:t>ámbito,</w:t>
      </w:r>
      <w:r>
        <w:rPr>
          <w:spacing w:val="-7"/>
        </w:rPr>
        <w:t> </w:t>
      </w:r>
      <w:r>
        <w:rPr/>
        <w:t>sector</w:t>
      </w:r>
      <w:r>
        <w:rPr>
          <w:spacing w:val="-8"/>
        </w:rPr>
        <w:t> </w:t>
      </w:r>
      <w:r>
        <w:rPr/>
        <w:t>o</w:t>
      </w:r>
      <w:r>
        <w:rPr>
          <w:spacing w:val="-9"/>
        </w:rPr>
        <w:t> </w:t>
      </w:r>
      <w:r>
        <w:rPr/>
        <w:t>fenómeno</w:t>
      </w:r>
      <w:r>
        <w:rPr>
          <w:spacing w:val="-7"/>
        </w:rPr>
        <w:t> </w:t>
      </w:r>
      <w:r>
        <w:rPr/>
        <w:t>que</w:t>
      </w:r>
      <w:r>
        <w:rPr>
          <w:spacing w:val="-7"/>
        </w:rPr>
        <w:t> </w:t>
      </w:r>
      <w:r>
        <w:rPr/>
        <w:t>corresponda</w:t>
      </w:r>
      <w:r>
        <w:rPr>
          <w:spacing w:val="-9"/>
        </w:rPr>
        <w:t> </w:t>
      </w:r>
      <w:r>
        <w:rPr/>
        <w:t>según</w:t>
      </w:r>
      <w:r>
        <w:rPr>
          <w:spacing w:val="-7"/>
        </w:rPr>
        <w:t> </w:t>
      </w:r>
      <w:r>
        <w:rPr/>
        <w:t>sus objetivos, las políticas públicas en la materia, la difusión sistemática y periódica, a través de indicadores y sistemas de información geográfica de sus resultados e impactos.</w:t>
      </w:r>
    </w:p>
    <w:p>
      <w:pPr>
        <w:pStyle w:val="BodyText"/>
        <w:spacing w:before="229"/>
        <w:ind w:left="262" w:right="287"/>
        <w:jc w:val="both"/>
      </w:pPr>
      <w:r>
        <w:rPr/>
        <w:t>El Estado y los municipios promoverán y apoyarán la creación y funcionamiento de dichos </w:t>
      </w:r>
      <w:r>
        <w:rPr>
          <w:spacing w:val="-2"/>
        </w:rPr>
        <w:t>observatorios.</w:t>
      </w:r>
    </w:p>
    <w:p>
      <w:pPr>
        <w:pStyle w:val="BodyText"/>
      </w:pPr>
    </w:p>
    <w:p>
      <w:pPr>
        <w:pStyle w:val="BodyText"/>
        <w:ind w:left="262" w:right="287"/>
        <w:jc w:val="both"/>
      </w:pPr>
      <w:r>
        <w:rPr>
          <w:rFonts w:ascii="Arial" w:hAnsi="Arial"/>
          <w:b/>
        </w:rPr>
        <w:t>ARTÍCULO 54. </w:t>
      </w:r>
      <w:r>
        <w:rPr/>
        <w:t>Para apoyar el funcionamiento de los observatorios, las dependencias y entidades de la Administración Pública Estatal y municipal, deberán:</w:t>
      </w:r>
    </w:p>
    <w:p>
      <w:pPr>
        <w:pStyle w:val="BodyText"/>
        <w:spacing w:before="1"/>
      </w:pPr>
    </w:p>
    <w:p>
      <w:pPr>
        <w:spacing w:before="0"/>
        <w:ind w:left="262" w:right="0" w:firstLine="0"/>
        <w:jc w:val="both"/>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5"/>
          <w:sz w:val="20"/>
        </w:rPr>
        <w:t> </w:t>
      </w:r>
      <w:r>
        <w:rPr>
          <w:rFonts w:ascii="Arial"/>
          <w:i/>
          <w:spacing w:val="-4"/>
          <w:sz w:val="20"/>
        </w:rPr>
        <w:t>2024)</w:t>
      </w:r>
    </w:p>
    <w:p>
      <w:pPr>
        <w:pStyle w:val="ListParagraph"/>
        <w:numPr>
          <w:ilvl w:val="0"/>
          <w:numId w:val="27"/>
        </w:numPr>
        <w:tabs>
          <w:tab w:pos="543" w:val="left" w:leader="none"/>
        </w:tabs>
        <w:spacing w:line="240" w:lineRule="auto" w:before="0" w:after="0"/>
        <w:ind w:left="262" w:right="280" w:firstLine="0"/>
        <w:jc w:val="both"/>
        <w:rPr>
          <w:sz w:val="20"/>
        </w:rPr>
      </w:pPr>
      <w:r>
        <w:rPr>
          <w:sz w:val="20"/>
        </w:rPr>
        <w:t>Proporcionarles</w:t>
      </w:r>
      <w:r>
        <w:rPr>
          <w:spacing w:val="-14"/>
          <w:sz w:val="20"/>
        </w:rPr>
        <w:t> </w:t>
      </w:r>
      <w:r>
        <w:rPr>
          <w:sz w:val="20"/>
        </w:rPr>
        <w:t>la</w:t>
      </w:r>
      <w:r>
        <w:rPr>
          <w:spacing w:val="-14"/>
          <w:sz w:val="20"/>
        </w:rPr>
        <w:t> </w:t>
      </w:r>
      <w:r>
        <w:rPr>
          <w:sz w:val="20"/>
        </w:rPr>
        <w:t>información</w:t>
      </w:r>
      <w:r>
        <w:rPr>
          <w:spacing w:val="-14"/>
          <w:sz w:val="20"/>
        </w:rPr>
        <w:t> </w:t>
      </w:r>
      <w:r>
        <w:rPr>
          <w:sz w:val="20"/>
        </w:rPr>
        <w:t>sobre</w:t>
      </w:r>
      <w:r>
        <w:rPr>
          <w:spacing w:val="-14"/>
          <w:sz w:val="20"/>
        </w:rPr>
        <w:t> </w:t>
      </w:r>
      <w:r>
        <w:rPr>
          <w:sz w:val="20"/>
        </w:rPr>
        <w:t>el</w:t>
      </w:r>
      <w:r>
        <w:rPr>
          <w:spacing w:val="-14"/>
          <w:sz w:val="20"/>
        </w:rPr>
        <w:t> </w:t>
      </w:r>
      <w:r>
        <w:rPr>
          <w:sz w:val="20"/>
        </w:rPr>
        <w:t>proceso</w:t>
      </w:r>
      <w:r>
        <w:rPr>
          <w:spacing w:val="-13"/>
          <w:sz w:val="20"/>
        </w:rPr>
        <w:t> </w:t>
      </w:r>
      <w:r>
        <w:rPr>
          <w:sz w:val="20"/>
        </w:rPr>
        <w:t>de</w:t>
      </w:r>
      <w:r>
        <w:rPr>
          <w:spacing w:val="-14"/>
          <w:sz w:val="20"/>
        </w:rPr>
        <w:t> </w:t>
      </w:r>
      <w:r>
        <w:rPr>
          <w:sz w:val="20"/>
        </w:rPr>
        <w:t>reglamentación</w:t>
      </w:r>
      <w:r>
        <w:rPr>
          <w:spacing w:val="-14"/>
          <w:sz w:val="20"/>
        </w:rPr>
        <w:t> </w:t>
      </w:r>
      <w:r>
        <w:rPr>
          <w:sz w:val="20"/>
        </w:rPr>
        <w:t>de</w:t>
      </w:r>
      <w:r>
        <w:rPr>
          <w:spacing w:val="-13"/>
          <w:sz w:val="20"/>
        </w:rPr>
        <w:t> </w:t>
      </w:r>
      <w:r>
        <w:rPr>
          <w:sz w:val="20"/>
        </w:rPr>
        <w:t>la</w:t>
      </w:r>
      <w:r>
        <w:rPr>
          <w:spacing w:val="-14"/>
          <w:sz w:val="20"/>
        </w:rPr>
        <w:t> </w:t>
      </w:r>
      <w:r>
        <w:rPr>
          <w:sz w:val="20"/>
        </w:rPr>
        <w:t>movilidad,</w:t>
      </w:r>
      <w:r>
        <w:rPr>
          <w:spacing w:val="-12"/>
          <w:sz w:val="20"/>
        </w:rPr>
        <w:t> </w:t>
      </w:r>
      <w:r>
        <w:rPr>
          <w:sz w:val="20"/>
        </w:rPr>
        <w:t>del</w:t>
      </w:r>
      <w:r>
        <w:rPr>
          <w:spacing w:val="-14"/>
          <w:sz w:val="20"/>
        </w:rPr>
        <w:t> </w:t>
      </w:r>
      <w:r>
        <w:rPr>
          <w:sz w:val="20"/>
        </w:rPr>
        <w:t>transporte y del tránsito, los planes de desarrollo urbano, de ordenamiento territorial metropolitanos, los actos administrativos y autorizaciones de uso de suelo, así como las bases de datos que forman la base de información de la entidad federativa correspondiente, municipio, demarcación territorial y zona </w:t>
      </w:r>
      <w:r>
        <w:rPr>
          <w:spacing w:val="-2"/>
          <w:sz w:val="20"/>
        </w:rPr>
        <w:t>metropolitana.</w:t>
      </w:r>
    </w:p>
    <w:p>
      <w:pPr>
        <w:pStyle w:val="ListParagraph"/>
        <w:numPr>
          <w:ilvl w:val="0"/>
          <w:numId w:val="27"/>
        </w:numPr>
        <w:tabs>
          <w:tab w:pos="543" w:val="left" w:leader="none"/>
        </w:tabs>
        <w:spacing w:line="240" w:lineRule="auto" w:before="228" w:after="0"/>
        <w:ind w:left="262" w:right="287" w:firstLine="0"/>
        <w:jc w:val="both"/>
        <w:rPr>
          <w:sz w:val="20"/>
        </w:rPr>
      </w:pPr>
      <w:r>
        <w:rPr>
          <w:sz w:val="20"/>
        </w:rPr>
        <w:t>Promover, desarrollar y difundir investigaciones, estudios, diagnósticos y propuestas en la materia, con participación interdisciplinaria, que apoye el desarrollo urbano sostenible;</w:t>
      </w:r>
    </w:p>
    <w:p>
      <w:pPr>
        <w:pStyle w:val="BodyText"/>
        <w:spacing w:before="2"/>
      </w:pPr>
    </w:p>
    <w:p>
      <w:pPr>
        <w:pStyle w:val="ListParagraph"/>
        <w:numPr>
          <w:ilvl w:val="0"/>
          <w:numId w:val="27"/>
        </w:numPr>
        <w:tabs>
          <w:tab w:pos="597" w:val="left" w:leader="none"/>
        </w:tabs>
        <w:spacing w:line="240" w:lineRule="auto" w:before="0" w:after="0"/>
        <w:ind w:left="262" w:right="287" w:firstLine="0"/>
        <w:jc w:val="both"/>
        <w:rPr>
          <w:sz w:val="20"/>
        </w:rPr>
      </w:pPr>
      <w:r>
        <w:rPr>
          <w:sz w:val="20"/>
        </w:rPr>
        <w:t>Mejorar la recolección, manejo, análisis y uso de la información en la formulación de políticas </w:t>
      </w:r>
      <w:r>
        <w:rPr>
          <w:spacing w:val="-2"/>
          <w:sz w:val="20"/>
        </w:rPr>
        <w:t>urbanas;</w:t>
      </w:r>
    </w:p>
    <w:p>
      <w:pPr>
        <w:pStyle w:val="ListParagraph"/>
        <w:numPr>
          <w:ilvl w:val="0"/>
          <w:numId w:val="27"/>
        </w:numPr>
        <w:tabs>
          <w:tab w:pos="545" w:val="left" w:leader="none"/>
        </w:tabs>
        <w:spacing w:line="240" w:lineRule="auto" w:before="229" w:after="0"/>
        <w:ind w:left="262" w:right="286" w:firstLine="0"/>
        <w:jc w:val="both"/>
        <w:rPr>
          <w:sz w:val="20"/>
        </w:rPr>
      </w:pPr>
      <w:r>
        <w:rPr>
          <w:sz w:val="20"/>
        </w:rPr>
        <w:t>Estimular</w:t>
      </w:r>
      <w:r>
        <w:rPr>
          <w:spacing w:val="-14"/>
          <w:sz w:val="20"/>
        </w:rPr>
        <w:t> </w:t>
      </w:r>
      <w:r>
        <w:rPr>
          <w:sz w:val="20"/>
        </w:rPr>
        <w:t>procesos</w:t>
      </w:r>
      <w:r>
        <w:rPr>
          <w:spacing w:val="-14"/>
          <w:sz w:val="20"/>
        </w:rPr>
        <w:t> </w:t>
      </w:r>
      <w:r>
        <w:rPr>
          <w:sz w:val="20"/>
        </w:rPr>
        <w:t>de</w:t>
      </w:r>
      <w:r>
        <w:rPr>
          <w:spacing w:val="-14"/>
          <w:sz w:val="20"/>
        </w:rPr>
        <w:t> </w:t>
      </w:r>
      <w:r>
        <w:rPr>
          <w:sz w:val="20"/>
        </w:rPr>
        <w:t>consulta</w:t>
      </w:r>
      <w:r>
        <w:rPr>
          <w:spacing w:val="-13"/>
          <w:sz w:val="20"/>
        </w:rPr>
        <w:t> </w:t>
      </w:r>
      <w:r>
        <w:rPr>
          <w:sz w:val="20"/>
        </w:rPr>
        <w:t>y</w:t>
      </w:r>
      <w:r>
        <w:rPr>
          <w:spacing w:val="-13"/>
          <w:sz w:val="20"/>
        </w:rPr>
        <w:t> </w:t>
      </w:r>
      <w:r>
        <w:rPr>
          <w:sz w:val="20"/>
        </w:rPr>
        <w:t>deliberación</w:t>
      </w:r>
      <w:r>
        <w:rPr>
          <w:spacing w:val="-14"/>
          <w:sz w:val="20"/>
        </w:rPr>
        <w:t> </w:t>
      </w:r>
      <w:r>
        <w:rPr>
          <w:sz w:val="20"/>
        </w:rPr>
        <w:t>para</w:t>
      </w:r>
      <w:r>
        <w:rPr>
          <w:spacing w:val="-14"/>
          <w:sz w:val="20"/>
        </w:rPr>
        <w:t> </w:t>
      </w:r>
      <w:r>
        <w:rPr>
          <w:sz w:val="20"/>
        </w:rPr>
        <w:t>ayudar</w:t>
      </w:r>
      <w:r>
        <w:rPr>
          <w:spacing w:val="-14"/>
          <w:sz w:val="20"/>
        </w:rPr>
        <w:t> </w:t>
      </w:r>
      <w:r>
        <w:rPr>
          <w:sz w:val="20"/>
        </w:rPr>
        <w:t>a</w:t>
      </w:r>
      <w:r>
        <w:rPr>
          <w:spacing w:val="-12"/>
          <w:sz w:val="20"/>
        </w:rPr>
        <w:t> </w:t>
      </w:r>
      <w:r>
        <w:rPr>
          <w:sz w:val="20"/>
        </w:rPr>
        <w:t>identificar</w:t>
      </w:r>
      <w:r>
        <w:rPr>
          <w:spacing w:val="-14"/>
          <w:sz w:val="20"/>
        </w:rPr>
        <w:t> </w:t>
      </w:r>
      <w:r>
        <w:rPr>
          <w:sz w:val="20"/>
        </w:rPr>
        <w:t>e</w:t>
      </w:r>
      <w:r>
        <w:rPr>
          <w:spacing w:val="-12"/>
          <w:sz w:val="20"/>
        </w:rPr>
        <w:t> </w:t>
      </w:r>
      <w:r>
        <w:rPr>
          <w:sz w:val="20"/>
        </w:rPr>
        <w:t>integrar</w:t>
      </w:r>
      <w:r>
        <w:rPr>
          <w:spacing w:val="-12"/>
          <w:sz w:val="20"/>
        </w:rPr>
        <w:t> </w:t>
      </w:r>
      <w:r>
        <w:rPr>
          <w:sz w:val="20"/>
        </w:rPr>
        <w:t>las</w:t>
      </w:r>
      <w:r>
        <w:rPr>
          <w:spacing w:val="-13"/>
          <w:sz w:val="20"/>
        </w:rPr>
        <w:t> </w:t>
      </w:r>
      <w:r>
        <w:rPr>
          <w:sz w:val="20"/>
        </w:rPr>
        <w:t>necesidades de información;</w:t>
      </w:r>
    </w:p>
    <w:p>
      <w:pPr>
        <w:pStyle w:val="BodyText"/>
        <w:spacing w:before="1"/>
      </w:pPr>
    </w:p>
    <w:p>
      <w:pPr>
        <w:pStyle w:val="ListParagraph"/>
        <w:numPr>
          <w:ilvl w:val="0"/>
          <w:numId w:val="27"/>
        </w:numPr>
        <w:tabs>
          <w:tab w:pos="688" w:val="left" w:leader="none"/>
        </w:tabs>
        <w:spacing w:line="240" w:lineRule="auto" w:before="0" w:after="0"/>
        <w:ind w:left="262" w:right="286" w:firstLine="0"/>
        <w:jc w:val="both"/>
        <w:rPr>
          <w:sz w:val="20"/>
        </w:rPr>
      </w:pPr>
      <w:r>
        <w:rPr>
          <w:sz w:val="20"/>
        </w:rPr>
        <w:t>Ayudar a desarrollar capacidades para la recolección, manejo y aplicaciones de información urbana, centrada en indicadores y mejores prácticas;</w:t>
      </w:r>
    </w:p>
    <w:p>
      <w:pPr>
        <w:pStyle w:val="ListParagraph"/>
        <w:numPr>
          <w:ilvl w:val="0"/>
          <w:numId w:val="27"/>
        </w:numPr>
        <w:tabs>
          <w:tab w:pos="688" w:val="left" w:leader="none"/>
        </w:tabs>
        <w:spacing w:line="240" w:lineRule="auto" w:before="229" w:after="0"/>
        <w:ind w:left="262" w:right="285" w:firstLine="0"/>
        <w:jc w:val="both"/>
        <w:rPr>
          <w:sz w:val="20"/>
        </w:rPr>
      </w:pPr>
      <w:r>
        <w:rPr>
          <w:sz w:val="20"/>
        </w:rPr>
        <w:t>Proveer</w:t>
      </w:r>
      <w:r>
        <w:rPr>
          <w:spacing w:val="-14"/>
          <w:sz w:val="20"/>
        </w:rPr>
        <w:t> </w:t>
      </w:r>
      <w:r>
        <w:rPr>
          <w:sz w:val="20"/>
        </w:rPr>
        <w:t>información</w:t>
      </w:r>
      <w:r>
        <w:rPr>
          <w:spacing w:val="-14"/>
          <w:sz w:val="20"/>
        </w:rPr>
        <w:t> </w:t>
      </w:r>
      <w:r>
        <w:rPr>
          <w:sz w:val="20"/>
        </w:rPr>
        <w:t>y</w:t>
      </w:r>
      <w:r>
        <w:rPr>
          <w:spacing w:val="-14"/>
          <w:sz w:val="20"/>
        </w:rPr>
        <w:t> </w:t>
      </w:r>
      <w:r>
        <w:rPr>
          <w:sz w:val="20"/>
        </w:rPr>
        <w:t>análisis</w:t>
      </w:r>
      <w:r>
        <w:rPr>
          <w:spacing w:val="-14"/>
          <w:sz w:val="20"/>
        </w:rPr>
        <w:t> </w:t>
      </w:r>
      <w:r>
        <w:rPr>
          <w:sz w:val="20"/>
        </w:rPr>
        <w:t>a</w:t>
      </w:r>
      <w:r>
        <w:rPr>
          <w:spacing w:val="-14"/>
          <w:sz w:val="20"/>
        </w:rPr>
        <w:t> </w:t>
      </w:r>
      <w:r>
        <w:rPr>
          <w:sz w:val="20"/>
        </w:rPr>
        <w:t>todos</w:t>
      </w:r>
      <w:r>
        <w:rPr>
          <w:spacing w:val="-14"/>
          <w:sz w:val="20"/>
        </w:rPr>
        <w:t> </w:t>
      </w:r>
      <w:r>
        <w:rPr>
          <w:sz w:val="20"/>
        </w:rPr>
        <w:t>los</w:t>
      </w:r>
      <w:r>
        <w:rPr>
          <w:spacing w:val="-14"/>
          <w:sz w:val="20"/>
        </w:rPr>
        <w:t> </w:t>
      </w:r>
      <w:r>
        <w:rPr>
          <w:sz w:val="20"/>
        </w:rPr>
        <w:t>interesados</w:t>
      </w:r>
      <w:r>
        <w:rPr>
          <w:spacing w:val="-14"/>
          <w:sz w:val="20"/>
        </w:rPr>
        <w:t> </w:t>
      </w:r>
      <w:r>
        <w:rPr>
          <w:sz w:val="20"/>
        </w:rPr>
        <w:t>para</w:t>
      </w:r>
      <w:r>
        <w:rPr>
          <w:spacing w:val="-14"/>
          <w:sz w:val="20"/>
        </w:rPr>
        <w:t> </w:t>
      </w:r>
      <w:r>
        <w:rPr>
          <w:sz w:val="20"/>
        </w:rPr>
        <w:t>lograr</w:t>
      </w:r>
      <w:r>
        <w:rPr>
          <w:spacing w:val="-13"/>
          <w:sz w:val="20"/>
        </w:rPr>
        <w:t> </w:t>
      </w:r>
      <w:r>
        <w:rPr>
          <w:sz w:val="20"/>
        </w:rPr>
        <w:t>una</w:t>
      </w:r>
      <w:r>
        <w:rPr>
          <w:spacing w:val="-14"/>
          <w:sz w:val="20"/>
        </w:rPr>
        <w:t> </w:t>
      </w:r>
      <w:r>
        <w:rPr>
          <w:sz w:val="20"/>
        </w:rPr>
        <w:t>participación</w:t>
      </w:r>
      <w:r>
        <w:rPr>
          <w:spacing w:val="-14"/>
          <w:sz w:val="20"/>
        </w:rPr>
        <w:t> </w:t>
      </w:r>
      <w:r>
        <w:rPr>
          <w:sz w:val="20"/>
        </w:rPr>
        <w:t>más</w:t>
      </w:r>
      <w:r>
        <w:rPr>
          <w:spacing w:val="-14"/>
          <w:sz w:val="20"/>
        </w:rPr>
        <w:t> </w:t>
      </w:r>
      <w:r>
        <w:rPr>
          <w:sz w:val="20"/>
        </w:rPr>
        <w:t>efectiva en la toma de decisiones sobre desarrollo urbano y ordenamiento territorial;</w:t>
      </w:r>
    </w:p>
    <w:p>
      <w:pPr>
        <w:pStyle w:val="BodyText"/>
        <w:spacing w:before="1"/>
      </w:pPr>
    </w:p>
    <w:p>
      <w:pPr>
        <w:pStyle w:val="ListParagraph"/>
        <w:numPr>
          <w:ilvl w:val="0"/>
          <w:numId w:val="27"/>
        </w:numPr>
        <w:tabs>
          <w:tab w:pos="688" w:val="left" w:leader="none"/>
        </w:tabs>
        <w:spacing w:line="240" w:lineRule="auto" w:before="0" w:after="0"/>
        <w:ind w:left="262" w:right="286" w:firstLine="0"/>
        <w:jc w:val="both"/>
        <w:rPr>
          <w:sz w:val="20"/>
        </w:rPr>
      </w:pPr>
      <w:r>
        <w:rPr>
          <w:sz w:val="20"/>
        </w:rPr>
        <w:t>Compartir información y conocimientos con todos los interesados en el desarrollo urbano y el ordenamiento del territorio, y</w:t>
      </w:r>
    </w:p>
    <w:p>
      <w:pPr>
        <w:pStyle w:val="ListParagraph"/>
        <w:numPr>
          <w:ilvl w:val="0"/>
          <w:numId w:val="27"/>
        </w:numPr>
        <w:tabs>
          <w:tab w:pos="827" w:val="left" w:leader="none"/>
        </w:tabs>
        <w:spacing w:line="240" w:lineRule="auto" w:before="229" w:after="0"/>
        <w:ind w:left="827" w:right="0" w:hanging="565"/>
        <w:jc w:val="both"/>
        <w:rPr>
          <w:sz w:val="20"/>
        </w:rPr>
      </w:pPr>
      <w:r>
        <w:rPr>
          <w:sz w:val="20"/>
        </w:rPr>
        <w:t>Garantizar</w:t>
      </w:r>
      <w:r>
        <w:rPr>
          <w:spacing w:val="-6"/>
          <w:sz w:val="20"/>
        </w:rPr>
        <w:t> </w:t>
      </w:r>
      <w:r>
        <w:rPr>
          <w:sz w:val="20"/>
        </w:rPr>
        <w:t>la</w:t>
      </w:r>
      <w:r>
        <w:rPr>
          <w:spacing w:val="-7"/>
          <w:sz w:val="20"/>
        </w:rPr>
        <w:t> </w:t>
      </w:r>
      <w:r>
        <w:rPr>
          <w:sz w:val="20"/>
        </w:rPr>
        <w:t>interoperabilidad</w:t>
      </w:r>
      <w:r>
        <w:rPr>
          <w:spacing w:val="-8"/>
          <w:sz w:val="20"/>
        </w:rPr>
        <w:t> </w:t>
      </w:r>
      <w:r>
        <w:rPr>
          <w:sz w:val="20"/>
        </w:rPr>
        <w:t>y</w:t>
      </w:r>
      <w:r>
        <w:rPr>
          <w:spacing w:val="-5"/>
          <w:sz w:val="20"/>
        </w:rPr>
        <w:t> </w:t>
      </w:r>
      <w:r>
        <w:rPr>
          <w:sz w:val="20"/>
        </w:rPr>
        <w:t>la</w:t>
      </w:r>
      <w:r>
        <w:rPr>
          <w:spacing w:val="-8"/>
          <w:sz w:val="20"/>
        </w:rPr>
        <w:t> </w:t>
      </w:r>
      <w:r>
        <w:rPr>
          <w:sz w:val="20"/>
        </w:rPr>
        <w:t>consulta</w:t>
      </w:r>
      <w:r>
        <w:rPr>
          <w:spacing w:val="-7"/>
          <w:sz w:val="20"/>
        </w:rPr>
        <w:t> </w:t>
      </w:r>
      <w:r>
        <w:rPr>
          <w:sz w:val="20"/>
        </w:rPr>
        <w:t>pública</w:t>
      </w:r>
      <w:r>
        <w:rPr>
          <w:spacing w:val="-8"/>
          <w:sz w:val="20"/>
        </w:rPr>
        <w:t> </w:t>
      </w:r>
      <w:r>
        <w:rPr>
          <w:sz w:val="20"/>
        </w:rPr>
        <w:t>remota</w:t>
      </w:r>
      <w:r>
        <w:rPr>
          <w:spacing w:val="-7"/>
          <w:sz w:val="20"/>
        </w:rPr>
        <w:t> </w:t>
      </w:r>
      <w:r>
        <w:rPr>
          <w:sz w:val="20"/>
        </w:rPr>
        <w:t>de</w:t>
      </w:r>
      <w:r>
        <w:rPr>
          <w:spacing w:val="-7"/>
          <w:sz w:val="20"/>
        </w:rPr>
        <w:t> </w:t>
      </w:r>
      <w:r>
        <w:rPr>
          <w:sz w:val="20"/>
        </w:rPr>
        <w:t>los</w:t>
      </w:r>
      <w:r>
        <w:rPr>
          <w:spacing w:val="-7"/>
          <w:sz w:val="20"/>
        </w:rPr>
        <w:t> </w:t>
      </w:r>
      <w:r>
        <w:rPr>
          <w:sz w:val="20"/>
        </w:rPr>
        <w:t>sistemas</w:t>
      </w:r>
      <w:r>
        <w:rPr>
          <w:spacing w:val="-7"/>
          <w:sz w:val="20"/>
        </w:rPr>
        <w:t> </w:t>
      </w:r>
      <w:r>
        <w:rPr>
          <w:sz w:val="20"/>
        </w:rPr>
        <w:t>de</w:t>
      </w:r>
      <w:r>
        <w:rPr>
          <w:spacing w:val="-9"/>
          <w:sz w:val="20"/>
        </w:rPr>
        <w:t> </w:t>
      </w:r>
      <w:r>
        <w:rPr>
          <w:spacing w:val="-2"/>
          <w:sz w:val="20"/>
        </w:rPr>
        <w:t>información.</w:t>
      </w:r>
    </w:p>
    <w:p>
      <w:pPr>
        <w:pStyle w:val="BodyText"/>
        <w:spacing w:before="1"/>
      </w:pPr>
    </w:p>
    <w:p>
      <w:pPr>
        <w:pStyle w:val="BodyText"/>
        <w:ind w:left="262" w:right="286"/>
        <w:jc w:val="both"/>
      </w:pPr>
      <w:r>
        <w:rPr/>
        <w:t>El Estado establecerá las regulaciones específicas a que se sujetará la creación y operación de observatorios urbanos y para el ordenamiento territorial con base en esta Ley.</w:t>
      </w:r>
    </w:p>
    <w:p>
      <w:pPr>
        <w:spacing w:before="229"/>
        <w:ind w:left="26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14</w:t>
      </w:r>
      <w:r>
        <w:rPr>
          <w:rFonts w:ascii="Arial"/>
          <w:i/>
          <w:spacing w:val="-7"/>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4"/>
          <w:sz w:val="20"/>
        </w:rPr>
        <w:t>2024)</w:t>
      </w:r>
    </w:p>
    <w:p>
      <w:pPr>
        <w:pStyle w:val="BodyText"/>
        <w:spacing w:before="1"/>
        <w:ind w:left="262" w:right="285"/>
        <w:jc w:val="both"/>
      </w:pPr>
      <w:r>
        <w:rPr/>
        <w:t>Los Observatorios podrán llevar a cabo, de manera conjunta con los institutos de planeación del Estado, de los municipios y de las áreas metropolitanas que comprendan dos o más municipios; procesos de consulta y deliberación.</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pPr>
    </w:p>
    <w:p>
      <w:pPr>
        <w:pStyle w:val="BodyText"/>
      </w:pPr>
    </w:p>
    <w:p>
      <w:pPr>
        <w:pStyle w:val="BodyText"/>
        <w:spacing w:before="72"/>
      </w:pPr>
    </w:p>
    <w:p>
      <w:pPr>
        <w:pStyle w:val="Heading1"/>
        <w:spacing w:line="477" w:lineRule="auto"/>
        <w:ind w:left="3176" w:right="2331" w:firstLine="717"/>
        <w:jc w:val="left"/>
      </w:pPr>
      <w:r>
        <w:rPr/>
        <w:t>TÍTULO QUINTO INSTRUMENTOS</w:t>
      </w:r>
      <w:r>
        <w:rPr>
          <w:spacing w:val="-14"/>
        </w:rPr>
        <w:t> </w:t>
      </w:r>
      <w:r>
        <w:rPr/>
        <w:t>DE</w:t>
      </w:r>
      <w:r>
        <w:rPr>
          <w:spacing w:val="-14"/>
        </w:rPr>
        <w:t> </w:t>
      </w:r>
      <w:r>
        <w:rPr/>
        <w:t>FOMENTO</w:t>
      </w:r>
    </w:p>
    <w:p>
      <w:pPr>
        <w:pStyle w:val="BodyText"/>
        <w:spacing w:before="4"/>
        <w:rPr>
          <w:rFonts w:ascii="Arial"/>
          <w:b/>
        </w:rPr>
      </w:pPr>
    </w:p>
    <w:p>
      <w:pPr>
        <w:pStyle w:val="Heading2"/>
        <w:spacing w:line="482" w:lineRule="auto"/>
        <w:ind w:left="3238" w:right="3159" w:firstLine="727"/>
        <w:jc w:val="left"/>
      </w:pPr>
      <w:r>
        <w:rPr/>
        <w:t>Capítulo Único Fomento</w:t>
      </w:r>
      <w:r>
        <w:rPr>
          <w:spacing w:val="-13"/>
        </w:rPr>
        <w:t> </w:t>
      </w:r>
      <w:r>
        <w:rPr/>
        <w:t>al</w:t>
      </w:r>
      <w:r>
        <w:rPr>
          <w:spacing w:val="-14"/>
        </w:rPr>
        <w:t> </w:t>
      </w:r>
      <w:r>
        <w:rPr/>
        <w:t>Desarrollo</w:t>
      </w:r>
      <w:r>
        <w:rPr>
          <w:spacing w:val="-14"/>
        </w:rPr>
        <w:t> </w:t>
      </w:r>
      <w:r>
        <w:rPr/>
        <w:t>Urbano</w:t>
      </w:r>
    </w:p>
    <w:p>
      <w:pPr>
        <w:pStyle w:val="BodyText"/>
        <w:ind w:left="262" w:right="284"/>
        <w:jc w:val="both"/>
      </w:pPr>
      <w:r>
        <w:rPr>
          <w:rFonts w:ascii="Arial" w:hAnsi="Arial"/>
          <w:b/>
        </w:rPr>
        <w:t>ARTÍCULO</w:t>
      </w:r>
      <w:r>
        <w:rPr>
          <w:rFonts w:ascii="Arial" w:hAnsi="Arial"/>
          <w:b/>
          <w:spacing w:val="-6"/>
        </w:rPr>
        <w:t> </w:t>
      </w:r>
      <w:r>
        <w:rPr>
          <w:rFonts w:ascii="Arial" w:hAnsi="Arial"/>
          <w:b/>
        </w:rPr>
        <w:t>55.</w:t>
      </w:r>
      <w:r>
        <w:rPr>
          <w:rFonts w:ascii="Arial" w:hAnsi="Arial"/>
          <w:b/>
          <w:spacing w:val="-7"/>
        </w:rPr>
        <w:t> </w:t>
      </w:r>
      <w:r>
        <w:rPr/>
        <w:t>El</w:t>
      </w:r>
      <w:r>
        <w:rPr>
          <w:spacing w:val="-6"/>
        </w:rPr>
        <w:t> </w:t>
      </w:r>
      <w:r>
        <w:rPr/>
        <w:t>Estado</w:t>
      </w:r>
      <w:r>
        <w:rPr>
          <w:spacing w:val="-7"/>
        </w:rPr>
        <w:t> </w:t>
      </w:r>
      <w:r>
        <w:rPr/>
        <w:t>y</w:t>
      </w:r>
      <w:r>
        <w:rPr>
          <w:spacing w:val="-6"/>
        </w:rPr>
        <w:t> </w:t>
      </w:r>
      <w:r>
        <w:rPr/>
        <w:t>los</w:t>
      </w:r>
      <w:r>
        <w:rPr>
          <w:spacing w:val="-7"/>
        </w:rPr>
        <w:t> </w:t>
      </w:r>
      <w:r>
        <w:rPr/>
        <w:t>municipios</w:t>
      </w:r>
      <w:r>
        <w:rPr>
          <w:spacing w:val="-7"/>
        </w:rPr>
        <w:t> </w:t>
      </w:r>
      <w:r>
        <w:rPr/>
        <w:t>sujetos</w:t>
      </w:r>
      <w:r>
        <w:rPr>
          <w:spacing w:val="-6"/>
        </w:rPr>
        <w:t> </w:t>
      </w:r>
      <w:r>
        <w:rPr/>
        <w:t>a</w:t>
      </w:r>
      <w:r>
        <w:rPr>
          <w:spacing w:val="-6"/>
        </w:rPr>
        <w:t> </w:t>
      </w:r>
      <w:r>
        <w:rPr/>
        <w:t>su</w:t>
      </w:r>
      <w:r>
        <w:rPr>
          <w:spacing w:val="-6"/>
        </w:rPr>
        <w:t> </w:t>
      </w:r>
      <w:r>
        <w:rPr/>
        <w:t>disponibilidad</w:t>
      </w:r>
      <w:r>
        <w:rPr>
          <w:spacing w:val="-5"/>
        </w:rPr>
        <w:t> </w:t>
      </w:r>
      <w:r>
        <w:rPr/>
        <w:t>presupuestaria,</w:t>
      </w:r>
      <w:r>
        <w:rPr>
          <w:spacing w:val="-8"/>
        </w:rPr>
        <w:t> </w:t>
      </w:r>
      <w:r>
        <w:rPr/>
        <w:t>fomentarán</w:t>
      </w:r>
      <w:r>
        <w:rPr>
          <w:spacing w:val="-8"/>
        </w:rPr>
        <w:t> </w:t>
      </w:r>
      <w:r>
        <w:rPr/>
        <w:t>la coordinación</w:t>
      </w:r>
      <w:r>
        <w:rPr>
          <w:spacing w:val="-7"/>
        </w:rPr>
        <w:t> </w:t>
      </w:r>
      <w:r>
        <w:rPr/>
        <w:t>y</w:t>
      </w:r>
      <w:r>
        <w:rPr>
          <w:spacing w:val="-5"/>
        </w:rPr>
        <w:t> </w:t>
      </w:r>
      <w:r>
        <w:rPr/>
        <w:t>la</w:t>
      </w:r>
      <w:r>
        <w:rPr>
          <w:spacing w:val="-7"/>
        </w:rPr>
        <w:t> </w:t>
      </w:r>
      <w:r>
        <w:rPr/>
        <w:t>concertación</w:t>
      </w:r>
      <w:r>
        <w:rPr>
          <w:spacing w:val="-7"/>
        </w:rPr>
        <w:t> </w:t>
      </w:r>
      <w:r>
        <w:rPr/>
        <w:t>de</w:t>
      </w:r>
      <w:r>
        <w:rPr>
          <w:spacing w:val="-7"/>
        </w:rPr>
        <w:t> </w:t>
      </w:r>
      <w:r>
        <w:rPr/>
        <w:t>acciones</w:t>
      </w:r>
      <w:r>
        <w:rPr>
          <w:spacing w:val="-5"/>
        </w:rPr>
        <w:t> </w:t>
      </w:r>
      <w:r>
        <w:rPr/>
        <w:t>e</w:t>
      </w:r>
      <w:r>
        <w:rPr>
          <w:spacing w:val="-7"/>
        </w:rPr>
        <w:t> </w:t>
      </w:r>
      <w:r>
        <w:rPr/>
        <w:t>inversiones</w:t>
      </w:r>
      <w:r>
        <w:rPr>
          <w:spacing w:val="-6"/>
        </w:rPr>
        <w:t> </w:t>
      </w:r>
      <w:r>
        <w:rPr/>
        <w:t>entre</w:t>
      </w:r>
      <w:r>
        <w:rPr>
          <w:spacing w:val="-7"/>
        </w:rPr>
        <w:t> </w:t>
      </w:r>
      <w:r>
        <w:rPr/>
        <w:t>los</w:t>
      </w:r>
      <w:r>
        <w:rPr>
          <w:spacing w:val="-6"/>
        </w:rPr>
        <w:t> </w:t>
      </w:r>
      <w:r>
        <w:rPr/>
        <w:t>sectores</w:t>
      </w:r>
      <w:r>
        <w:rPr>
          <w:spacing w:val="-5"/>
        </w:rPr>
        <w:t> </w:t>
      </w:r>
      <w:r>
        <w:rPr/>
        <w:t>público,</w:t>
      </w:r>
      <w:r>
        <w:rPr>
          <w:spacing w:val="-7"/>
        </w:rPr>
        <w:t> </w:t>
      </w:r>
      <w:r>
        <w:rPr/>
        <w:t>social</w:t>
      </w:r>
      <w:r>
        <w:rPr>
          <w:spacing w:val="-8"/>
        </w:rPr>
        <w:t> </w:t>
      </w:r>
      <w:r>
        <w:rPr/>
        <w:t>y</w:t>
      </w:r>
      <w:r>
        <w:rPr>
          <w:spacing w:val="-5"/>
        </w:rPr>
        <w:t> </w:t>
      </w:r>
      <w:r>
        <w:rPr/>
        <w:t>privado </w:t>
      </w:r>
      <w:r>
        <w:rPr>
          <w:spacing w:val="-2"/>
        </w:rPr>
        <w:t>para:</w:t>
      </w:r>
    </w:p>
    <w:p>
      <w:pPr>
        <w:pStyle w:val="ListParagraph"/>
        <w:numPr>
          <w:ilvl w:val="0"/>
          <w:numId w:val="28"/>
        </w:numPr>
        <w:tabs>
          <w:tab w:pos="543" w:val="left" w:leader="none"/>
        </w:tabs>
        <w:spacing w:line="240" w:lineRule="auto" w:before="227" w:after="0"/>
        <w:ind w:left="262" w:right="284" w:firstLine="0"/>
        <w:jc w:val="both"/>
        <w:rPr>
          <w:sz w:val="20"/>
        </w:rPr>
      </w:pPr>
      <w:r>
        <w:rPr>
          <w:sz w:val="20"/>
        </w:rPr>
        <w:t>La aplicación de los programas de ordenamiento territorial y desarrollo urbano, regional, de conurbación o zona metropolitana, procurando la participación multidisciplinaria dirigida a lograr la sostenibilidad y resiliencia de los mismos;</w:t>
      </w:r>
    </w:p>
    <w:p>
      <w:pPr>
        <w:pStyle w:val="BodyText"/>
      </w:pPr>
    </w:p>
    <w:p>
      <w:pPr>
        <w:pStyle w:val="ListParagraph"/>
        <w:numPr>
          <w:ilvl w:val="0"/>
          <w:numId w:val="28"/>
        </w:numPr>
        <w:tabs>
          <w:tab w:pos="543" w:val="left" w:leader="none"/>
        </w:tabs>
        <w:spacing w:line="240" w:lineRule="auto" w:before="0" w:after="0"/>
        <w:ind w:left="262" w:right="286" w:firstLine="0"/>
        <w:jc w:val="both"/>
        <w:rPr>
          <w:sz w:val="20"/>
        </w:rPr>
      </w:pPr>
      <w:r>
        <w:rPr>
          <w:sz w:val="20"/>
        </w:rPr>
        <w:t>El establecimiento de mecanismos e instrumentos para el Desarrollo Urbano sostenible y ordenamiento territorial, regional, de Conurbación o Zona Metropolitana;</w:t>
      </w:r>
    </w:p>
    <w:p>
      <w:pPr>
        <w:pStyle w:val="ListParagraph"/>
        <w:numPr>
          <w:ilvl w:val="0"/>
          <w:numId w:val="28"/>
        </w:numPr>
        <w:tabs>
          <w:tab w:pos="597" w:val="left" w:leader="none"/>
        </w:tabs>
        <w:spacing w:line="240" w:lineRule="auto" w:before="229" w:after="0"/>
        <w:ind w:left="262" w:right="281" w:firstLine="0"/>
        <w:jc w:val="both"/>
        <w:rPr>
          <w:sz w:val="20"/>
        </w:rPr>
      </w:pPr>
      <w:r>
        <w:rPr>
          <w:sz w:val="20"/>
        </w:rPr>
        <w:t>El otorgamiento de incentivos fiscales, tarifarios y crediticios para impulsar el ordenamiento territorial</w:t>
      </w:r>
      <w:r>
        <w:rPr>
          <w:spacing w:val="-8"/>
          <w:sz w:val="20"/>
        </w:rPr>
        <w:t> </w:t>
      </w:r>
      <w:r>
        <w:rPr>
          <w:sz w:val="20"/>
        </w:rPr>
        <w:t>de</w:t>
      </w:r>
      <w:r>
        <w:rPr>
          <w:spacing w:val="-5"/>
          <w:sz w:val="20"/>
        </w:rPr>
        <w:t> </w:t>
      </w:r>
      <w:r>
        <w:rPr>
          <w:sz w:val="20"/>
        </w:rPr>
        <w:t>los</w:t>
      </w:r>
      <w:r>
        <w:rPr>
          <w:spacing w:val="-6"/>
          <w:sz w:val="20"/>
        </w:rPr>
        <w:t> </w:t>
      </w:r>
      <w:r>
        <w:rPr>
          <w:sz w:val="20"/>
        </w:rPr>
        <w:t>Asentamientos</w:t>
      </w:r>
      <w:r>
        <w:rPr>
          <w:spacing w:val="-8"/>
          <w:sz w:val="20"/>
        </w:rPr>
        <w:t> </w:t>
      </w:r>
      <w:r>
        <w:rPr>
          <w:sz w:val="20"/>
        </w:rPr>
        <w:t>Humanos</w:t>
      </w:r>
      <w:r>
        <w:rPr>
          <w:spacing w:val="-8"/>
          <w:sz w:val="20"/>
        </w:rPr>
        <w:t> </w:t>
      </w:r>
      <w:r>
        <w:rPr>
          <w:sz w:val="20"/>
        </w:rPr>
        <w:t>y</w:t>
      </w:r>
      <w:r>
        <w:rPr>
          <w:spacing w:val="-5"/>
          <w:sz w:val="20"/>
        </w:rPr>
        <w:t> </w:t>
      </w:r>
      <w:r>
        <w:rPr>
          <w:sz w:val="20"/>
        </w:rPr>
        <w:t>el</w:t>
      </w:r>
      <w:r>
        <w:rPr>
          <w:spacing w:val="-10"/>
          <w:sz w:val="20"/>
        </w:rPr>
        <w:t> </w:t>
      </w:r>
      <w:r>
        <w:rPr>
          <w:sz w:val="20"/>
        </w:rPr>
        <w:t>Desarrollo</w:t>
      </w:r>
      <w:r>
        <w:rPr>
          <w:spacing w:val="-7"/>
          <w:sz w:val="20"/>
        </w:rPr>
        <w:t> </w:t>
      </w:r>
      <w:r>
        <w:rPr>
          <w:sz w:val="20"/>
        </w:rPr>
        <w:t>Urbano</w:t>
      </w:r>
      <w:r>
        <w:rPr>
          <w:spacing w:val="-7"/>
          <w:sz w:val="20"/>
        </w:rPr>
        <w:t> </w:t>
      </w:r>
      <w:r>
        <w:rPr>
          <w:sz w:val="20"/>
        </w:rPr>
        <w:t>de</w:t>
      </w:r>
      <w:r>
        <w:rPr>
          <w:spacing w:val="-7"/>
          <w:sz w:val="20"/>
        </w:rPr>
        <w:t> </w:t>
      </w:r>
      <w:r>
        <w:rPr>
          <w:sz w:val="20"/>
        </w:rPr>
        <w:t>Centros</w:t>
      </w:r>
      <w:r>
        <w:rPr>
          <w:spacing w:val="-8"/>
          <w:sz w:val="20"/>
        </w:rPr>
        <w:t> </w:t>
      </w:r>
      <w:r>
        <w:rPr>
          <w:sz w:val="20"/>
        </w:rPr>
        <w:t>de</w:t>
      </w:r>
      <w:r>
        <w:rPr>
          <w:spacing w:val="-7"/>
          <w:sz w:val="20"/>
        </w:rPr>
        <w:t> </w:t>
      </w:r>
      <w:r>
        <w:rPr>
          <w:sz w:val="20"/>
        </w:rPr>
        <w:t>Población,</w:t>
      </w:r>
      <w:r>
        <w:rPr>
          <w:spacing w:val="-6"/>
          <w:sz w:val="20"/>
        </w:rPr>
        <w:t> </w:t>
      </w:r>
      <w:r>
        <w:rPr>
          <w:sz w:val="20"/>
        </w:rPr>
        <w:t>así</w:t>
      </w:r>
      <w:r>
        <w:rPr>
          <w:spacing w:val="-9"/>
          <w:sz w:val="20"/>
        </w:rPr>
        <w:t> </w:t>
      </w:r>
      <w:r>
        <w:rPr>
          <w:sz w:val="20"/>
        </w:rPr>
        <w:t>como para el fomento de vivienda, servicios, comercio y turismo en zonas con valores históricos y </w:t>
      </w:r>
      <w:r>
        <w:rPr>
          <w:spacing w:val="-2"/>
          <w:sz w:val="20"/>
        </w:rPr>
        <w:t>culturales;</w:t>
      </w:r>
    </w:p>
    <w:p>
      <w:pPr>
        <w:pStyle w:val="ListParagraph"/>
        <w:numPr>
          <w:ilvl w:val="0"/>
          <w:numId w:val="28"/>
        </w:numPr>
        <w:tabs>
          <w:tab w:pos="688" w:val="left" w:leader="none"/>
        </w:tabs>
        <w:spacing w:line="240" w:lineRule="auto" w:before="230" w:after="0"/>
        <w:ind w:left="262" w:right="283" w:firstLine="0"/>
        <w:jc w:val="both"/>
        <w:rPr>
          <w:sz w:val="20"/>
        </w:rPr>
      </w:pPr>
      <w:r>
        <w:rPr>
          <w:sz w:val="20"/>
        </w:rPr>
        <w:t>La canalización de inversiones para constituir Reservas territoriales, así como para la introducción o mejoramiento de infraestructura, equipamiento, espacios públicos y Servicios </w:t>
      </w:r>
      <w:r>
        <w:rPr>
          <w:spacing w:val="-2"/>
          <w:sz w:val="20"/>
        </w:rPr>
        <w:t>Urbanos;</w:t>
      </w:r>
    </w:p>
    <w:p>
      <w:pPr>
        <w:pStyle w:val="BodyText"/>
        <w:spacing w:before="1"/>
      </w:pPr>
    </w:p>
    <w:p>
      <w:pPr>
        <w:pStyle w:val="ListParagraph"/>
        <w:numPr>
          <w:ilvl w:val="0"/>
          <w:numId w:val="28"/>
        </w:numPr>
        <w:tabs>
          <w:tab w:pos="688" w:val="left" w:leader="none"/>
        </w:tabs>
        <w:spacing w:line="240" w:lineRule="auto" w:before="0" w:after="0"/>
        <w:ind w:left="262" w:right="286" w:firstLine="0"/>
        <w:jc w:val="both"/>
        <w:rPr>
          <w:sz w:val="20"/>
        </w:rPr>
      </w:pPr>
      <w:r>
        <w:rPr>
          <w:sz w:val="20"/>
        </w:rPr>
        <w:t>La satisfacción de las necesidades complementarias en infraestructura, espacios públicos, equipamiento y Servicios Urbanos, generadas por las inversiones y obras;</w:t>
      </w:r>
    </w:p>
    <w:p>
      <w:pPr>
        <w:pStyle w:val="ListParagraph"/>
        <w:numPr>
          <w:ilvl w:val="0"/>
          <w:numId w:val="28"/>
        </w:numPr>
        <w:tabs>
          <w:tab w:pos="688" w:val="left" w:leader="none"/>
        </w:tabs>
        <w:spacing w:line="240" w:lineRule="auto" w:before="229" w:after="0"/>
        <w:ind w:left="688" w:right="0" w:hanging="426"/>
        <w:jc w:val="both"/>
        <w:rPr>
          <w:sz w:val="20"/>
        </w:rPr>
      </w:pPr>
      <w:r>
        <w:rPr>
          <w:sz w:val="20"/>
        </w:rPr>
        <w:t>La</w:t>
      </w:r>
      <w:r>
        <w:rPr>
          <w:spacing w:val="-8"/>
          <w:sz w:val="20"/>
        </w:rPr>
        <w:t> </w:t>
      </w:r>
      <w:r>
        <w:rPr>
          <w:sz w:val="20"/>
        </w:rPr>
        <w:t>protección</w:t>
      </w:r>
      <w:r>
        <w:rPr>
          <w:spacing w:val="-5"/>
          <w:sz w:val="20"/>
        </w:rPr>
        <w:t> </w:t>
      </w:r>
      <w:r>
        <w:rPr>
          <w:sz w:val="20"/>
        </w:rPr>
        <w:t>del</w:t>
      </w:r>
      <w:r>
        <w:rPr>
          <w:spacing w:val="-7"/>
          <w:sz w:val="20"/>
        </w:rPr>
        <w:t> </w:t>
      </w:r>
      <w:r>
        <w:rPr>
          <w:sz w:val="20"/>
        </w:rPr>
        <w:t>Patrimonio</w:t>
      </w:r>
      <w:r>
        <w:rPr>
          <w:spacing w:val="-7"/>
          <w:sz w:val="20"/>
        </w:rPr>
        <w:t> </w:t>
      </w:r>
      <w:r>
        <w:rPr>
          <w:sz w:val="20"/>
        </w:rPr>
        <w:t>Natural</w:t>
      </w:r>
      <w:r>
        <w:rPr>
          <w:spacing w:val="-7"/>
          <w:sz w:val="20"/>
        </w:rPr>
        <w:t> </w:t>
      </w:r>
      <w:r>
        <w:rPr>
          <w:sz w:val="20"/>
        </w:rPr>
        <w:t>y</w:t>
      </w:r>
      <w:r>
        <w:rPr>
          <w:spacing w:val="-6"/>
          <w:sz w:val="20"/>
        </w:rPr>
        <w:t> </w:t>
      </w:r>
      <w:r>
        <w:rPr>
          <w:sz w:val="20"/>
        </w:rPr>
        <w:t>Cultural</w:t>
      </w:r>
      <w:r>
        <w:rPr>
          <w:spacing w:val="-6"/>
          <w:sz w:val="20"/>
        </w:rPr>
        <w:t> </w:t>
      </w:r>
      <w:r>
        <w:rPr>
          <w:sz w:val="20"/>
        </w:rPr>
        <w:t>de</w:t>
      </w:r>
      <w:r>
        <w:rPr>
          <w:spacing w:val="-5"/>
          <w:sz w:val="20"/>
        </w:rPr>
        <w:t> </w:t>
      </w:r>
      <w:r>
        <w:rPr>
          <w:sz w:val="20"/>
        </w:rPr>
        <w:t>los</w:t>
      </w:r>
      <w:r>
        <w:rPr>
          <w:spacing w:val="-4"/>
          <w:sz w:val="20"/>
        </w:rPr>
        <w:t> </w:t>
      </w:r>
      <w:r>
        <w:rPr>
          <w:sz w:val="20"/>
        </w:rPr>
        <w:t>Centros</w:t>
      </w:r>
      <w:r>
        <w:rPr>
          <w:spacing w:val="-6"/>
          <w:sz w:val="20"/>
        </w:rPr>
        <w:t> </w:t>
      </w:r>
      <w:r>
        <w:rPr>
          <w:sz w:val="20"/>
        </w:rPr>
        <w:t>de</w:t>
      </w:r>
      <w:r>
        <w:rPr>
          <w:spacing w:val="-7"/>
          <w:sz w:val="20"/>
        </w:rPr>
        <w:t> </w:t>
      </w:r>
      <w:r>
        <w:rPr>
          <w:spacing w:val="-2"/>
          <w:sz w:val="20"/>
        </w:rPr>
        <w:t>Población;</w:t>
      </w:r>
    </w:p>
    <w:p>
      <w:pPr>
        <w:pStyle w:val="BodyText"/>
        <w:spacing w:before="1"/>
      </w:pPr>
    </w:p>
    <w:p>
      <w:pPr>
        <w:pStyle w:val="ListParagraph"/>
        <w:numPr>
          <w:ilvl w:val="0"/>
          <w:numId w:val="28"/>
        </w:numPr>
        <w:tabs>
          <w:tab w:pos="688" w:val="left" w:leader="none"/>
        </w:tabs>
        <w:spacing w:line="240" w:lineRule="auto" w:before="0" w:after="0"/>
        <w:ind w:left="262" w:right="284" w:firstLine="0"/>
        <w:jc w:val="both"/>
        <w:rPr>
          <w:sz w:val="20"/>
        </w:rPr>
      </w:pPr>
      <w:r>
        <w:rPr>
          <w:sz w:val="20"/>
        </w:rPr>
        <w:t>La</w:t>
      </w:r>
      <w:r>
        <w:rPr>
          <w:spacing w:val="-10"/>
          <w:sz w:val="20"/>
        </w:rPr>
        <w:t> </w:t>
      </w:r>
      <w:r>
        <w:rPr>
          <w:sz w:val="20"/>
        </w:rPr>
        <w:t>simplificación</w:t>
      </w:r>
      <w:r>
        <w:rPr>
          <w:spacing w:val="-8"/>
          <w:sz w:val="20"/>
        </w:rPr>
        <w:t> </w:t>
      </w:r>
      <w:r>
        <w:rPr>
          <w:sz w:val="20"/>
        </w:rPr>
        <w:t>de</w:t>
      </w:r>
      <w:r>
        <w:rPr>
          <w:spacing w:val="-8"/>
          <w:sz w:val="20"/>
        </w:rPr>
        <w:t> </w:t>
      </w:r>
      <w:r>
        <w:rPr>
          <w:sz w:val="20"/>
        </w:rPr>
        <w:t>los</w:t>
      </w:r>
      <w:r>
        <w:rPr>
          <w:spacing w:val="-9"/>
          <w:sz w:val="20"/>
        </w:rPr>
        <w:t> </w:t>
      </w:r>
      <w:r>
        <w:rPr>
          <w:sz w:val="20"/>
        </w:rPr>
        <w:t>trámites</w:t>
      </w:r>
      <w:r>
        <w:rPr>
          <w:spacing w:val="-9"/>
          <w:sz w:val="20"/>
        </w:rPr>
        <w:t> </w:t>
      </w:r>
      <w:r>
        <w:rPr>
          <w:sz w:val="20"/>
        </w:rPr>
        <w:t>administrativos</w:t>
      </w:r>
      <w:r>
        <w:rPr>
          <w:spacing w:val="-9"/>
          <w:sz w:val="20"/>
        </w:rPr>
        <w:t> </w:t>
      </w:r>
      <w:r>
        <w:rPr>
          <w:sz w:val="20"/>
        </w:rPr>
        <w:t>que</w:t>
      </w:r>
      <w:r>
        <w:rPr>
          <w:spacing w:val="-10"/>
          <w:sz w:val="20"/>
        </w:rPr>
        <w:t> </w:t>
      </w:r>
      <w:r>
        <w:rPr>
          <w:sz w:val="20"/>
        </w:rPr>
        <w:t>se</w:t>
      </w:r>
      <w:r>
        <w:rPr>
          <w:spacing w:val="-10"/>
          <w:sz w:val="20"/>
        </w:rPr>
        <w:t> </w:t>
      </w:r>
      <w:r>
        <w:rPr>
          <w:sz w:val="20"/>
        </w:rPr>
        <w:t>requieran</w:t>
      </w:r>
      <w:r>
        <w:rPr>
          <w:spacing w:val="-7"/>
          <w:sz w:val="20"/>
        </w:rPr>
        <w:t> </w:t>
      </w:r>
      <w:r>
        <w:rPr>
          <w:sz w:val="20"/>
        </w:rPr>
        <w:t>para</w:t>
      </w:r>
      <w:r>
        <w:rPr>
          <w:spacing w:val="-8"/>
          <w:sz w:val="20"/>
        </w:rPr>
        <w:t> </w:t>
      </w:r>
      <w:r>
        <w:rPr>
          <w:sz w:val="20"/>
        </w:rPr>
        <w:t>la</w:t>
      </w:r>
      <w:r>
        <w:rPr>
          <w:spacing w:val="-8"/>
          <w:sz w:val="20"/>
        </w:rPr>
        <w:t> </w:t>
      </w:r>
      <w:r>
        <w:rPr>
          <w:sz w:val="20"/>
        </w:rPr>
        <w:t>ejecución</w:t>
      </w:r>
      <w:r>
        <w:rPr>
          <w:spacing w:val="-10"/>
          <w:sz w:val="20"/>
        </w:rPr>
        <w:t> </w:t>
      </w:r>
      <w:r>
        <w:rPr>
          <w:sz w:val="20"/>
        </w:rPr>
        <w:t>de</w:t>
      </w:r>
      <w:r>
        <w:rPr>
          <w:spacing w:val="-10"/>
          <w:sz w:val="20"/>
        </w:rPr>
        <w:t> </w:t>
      </w:r>
      <w:r>
        <w:rPr>
          <w:sz w:val="20"/>
        </w:rPr>
        <w:t>acciones e inversiones de Desarrollo Urbano;</w:t>
      </w:r>
    </w:p>
    <w:p>
      <w:pPr>
        <w:pStyle w:val="ListParagraph"/>
        <w:numPr>
          <w:ilvl w:val="0"/>
          <w:numId w:val="28"/>
        </w:numPr>
        <w:tabs>
          <w:tab w:pos="688" w:val="left" w:leader="none"/>
        </w:tabs>
        <w:spacing w:line="240" w:lineRule="auto" w:before="229" w:after="0"/>
        <w:ind w:left="262" w:right="286" w:firstLine="0"/>
        <w:jc w:val="both"/>
        <w:rPr>
          <w:sz w:val="20"/>
        </w:rPr>
      </w:pPr>
      <w:r>
        <w:rPr>
          <w:sz w:val="20"/>
        </w:rPr>
        <w:t>El fortalecimiento de las administraciones públicas estatales y municipales para el Desarrollo </w:t>
      </w:r>
      <w:r>
        <w:rPr>
          <w:spacing w:val="-2"/>
          <w:sz w:val="20"/>
        </w:rPr>
        <w:t>Urbano;</w:t>
      </w:r>
    </w:p>
    <w:p>
      <w:pPr>
        <w:pStyle w:val="BodyText"/>
        <w:spacing w:before="1"/>
      </w:pPr>
    </w:p>
    <w:p>
      <w:pPr>
        <w:pStyle w:val="ListParagraph"/>
        <w:numPr>
          <w:ilvl w:val="0"/>
          <w:numId w:val="28"/>
        </w:numPr>
        <w:tabs>
          <w:tab w:pos="827" w:val="left" w:leader="none"/>
        </w:tabs>
        <w:spacing w:line="240" w:lineRule="auto" w:before="1" w:after="0"/>
        <w:ind w:left="262" w:right="285" w:firstLine="0"/>
        <w:jc w:val="both"/>
        <w:rPr>
          <w:sz w:val="20"/>
        </w:rPr>
      </w:pPr>
      <w:r>
        <w:rPr>
          <w:sz w:val="20"/>
        </w:rPr>
        <w:t>La</w:t>
      </w:r>
      <w:r>
        <w:rPr>
          <w:spacing w:val="-6"/>
          <w:sz w:val="20"/>
        </w:rPr>
        <w:t> </w:t>
      </w:r>
      <w:r>
        <w:rPr>
          <w:sz w:val="20"/>
        </w:rPr>
        <w:t>modernización</w:t>
      </w:r>
      <w:r>
        <w:rPr>
          <w:spacing w:val="-5"/>
          <w:sz w:val="20"/>
        </w:rPr>
        <w:t> </w:t>
      </w:r>
      <w:r>
        <w:rPr>
          <w:sz w:val="20"/>
        </w:rPr>
        <w:t>de</w:t>
      </w:r>
      <w:r>
        <w:rPr>
          <w:spacing w:val="-3"/>
          <w:sz w:val="20"/>
        </w:rPr>
        <w:t> </w:t>
      </w:r>
      <w:r>
        <w:rPr>
          <w:sz w:val="20"/>
        </w:rPr>
        <w:t>los</w:t>
      </w:r>
      <w:r>
        <w:rPr>
          <w:spacing w:val="-4"/>
          <w:sz w:val="20"/>
        </w:rPr>
        <w:t> </w:t>
      </w:r>
      <w:r>
        <w:rPr>
          <w:sz w:val="20"/>
        </w:rPr>
        <w:t>sistemas</w:t>
      </w:r>
      <w:r>
        <w:rPr>
          <w:spacing w:val="-4"/>
          <w:sz w:val="20"/>
        </w:rPr>
        <w:t> </w:t>
      </w:r>
      <w:r>
        <w:rPr>
          <w:sz w:val="20"/>
        </w:rPr>
        <w:t>catastrales</w:t>
      </w:r>
      <w:r>
        <w:rPr>
          <w:spacing w:val="-4"/>
          <w:sz w:val="20"/>
        </w:rPr>
        <w:t> </w:t>
      </w:r>
      <w:r>
        <w:rPr>
          <w:sz w:val="20"/>
        </w:rPr>
        <w:t>y</w:t>
      </w:r>
      <w:r>
        <w:rPr>
          <w:spacing w:val="-4"/>
          <w:sz w:val="20"/>
        </w:rPr>
        <w:t> </w:t>
      </w:r>
      <w:r>
        <w:rPr>
          <w:sz w:val="20"/>
        </w:rPr>
        <w:t>registrales</w:t>
      </w:r>
      <w:r>
        <w:rPr>
          <w:spacing w:val="-4"/>
          <w:sz w:val="20"/>
        </w:rPr>
        <w:t> </w:t>
      </w:r>
      <w:r>
        <w:rPr>
          <w:sz w:val="20"/>
        </w:rPr>
        <w:t>de</w:t>
      </w:r>
      <w:r>
        <w:rPr>
          <w:spacing w:val="-4"/>
          <w:sz w:val="20"/>
        </w:rPr>
        <w:t> </w:t>
      </w:r>
      <w:r>
        <w:rPr>
          <w:sz w:val="20"/>
        </w:rPr>
        <w:t>la</w:t>
      </w:r>
      <w:r>
        <w:rPr>
          <w:spacing w:val="-3"/>
          <w:sz w:val="20"/>
        </w:rPr>
        <w:t> </w:t>
      </w:r>
      <w:r>
        <w:rPr>
          <w:sz w:val="20"/>
        </w:rPr>
        <w:t>propiedad</w:t>
      </w:r>
      <w:r>
        <w:rPr>
          <w:spacing w:val="-6"/>
          <w:sz w:val="20"/>
        </w:rPr>
        <w:t> </w:t>
      </w:r>
      <w:r>
        <w:rPr>
          <w:sz w:val="20"/>
        </w:rPr>
        <w:t>inmobiliaria</w:t>
      </w:r>
      <w:r>
        <w:rPr>
          <w:spacing w:val="-5"/>
          <w:sz w:val="20"/>
        </w:rPr>
        <w:t> </w:t>
      </w:r>
      <w:r>
        <w:rPr>
          <w:sz w:val="20"/>
        </w:rPr>
        <w:t>en</w:t>
      </w:r>
      <w:r>
        <w:rPr>
          <w:spacing w:val="-5"/>
          <w:sz w:val="20"/>
        </w:rPr>
        <w:t> </w:t>
      </w:r>
      <w:r>
        <w:rPr>
          <w:sz w:val="20"/>
        </w:rPr>
        <w:t>los Centros de Población;</w:t>
      </w:r>
    </w:p>
    <w:p>
      <w:pPr>
        <w:pStyle w:val="ListParagraph"/>
        <w:numPr>
          <w:ilvl w:val="0"/>
          <w:numId w:val="28"/>
        </w:numPr>
        <w:tabs>
          <w:tab w:pos="688" w:val="left" w:leader="none"/>
        </w:tabs>
        <w:spacing w:line="240" w:lineRule="auto" w:before="229" w:after="0"/>
        <w:ind w:left="262" w:right="285" w:firstLine="0"/>
        <w:jc w:val="both"/>
        <w:rPr>
          <w:sz w:val="20"/>
        </w:rPr>
      </w:pPr>
      <w:r>
        <w:rPr>
          <w:sz w:val="20"/>
        </w:rPr>
        <w:t>La adecuación y actualización de las disposiciones jurídicas locales en materia de Desarrollo </w:t>
      </w:r>
      <w:r>
        <w:rPr>
          <w:spacing w:val="-2"/>
          <w:sz w:val="20"/>
        </w:rPr>
        <w:t>Urbano;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28"/>
        </w:numPr>
        <w:tabs>
          <w:tab w:pos="688" w:val="left" w:leader="none"/>
        </w:tabs>
        <w:spacing w:line="240" w:lineRule="auto" w:before="0" w:after="0"/>
        <w:ind w:left="262" w:right="290" w:firstLine="0"/>
        <w:jc w:val="both"/>
        <w:rPr>
          <w:sz w:val="20"/>
        </w:rPr>
      </w:pPr>
      <w:r>
        <w:rPr>
          <w:sz w:val="20"/>
        </w:rPr>
        <w:t>El impulso a las tecnologías de información y comunicación, educación, investigación y capacitación en materia de Desarrollo Urbano;</w:t>
      </w:r>
    </w:p>
    <w:p>
      <w:pPr>
        <w:pStyle w:val="BodyText"/>
        <w:spacing w:before="1"/>
      </w:pPr>
    </w:p>
    <w:p>
      <w:pPr>
        <w:pStyle w:val="ListParagraph"/>
        <w:numPr>
          <w:ilvl w:val="0"/>
          <w:numId w:val="28"/>
        </w:numPr>
        <w:tabs>
          <w:tab w:pos="827" w:val="left" w:leader="none"/>
        </w:tabs>
        <w:spacing w:line="240" w:lineRule="auto" w:before="0" w:after="0"/>
        <w:ind w:left="262" w:right="286" w:firstLine="0"/>
        <w:jc w:val="both"/>
        <w:rPr>
          <w:sz w:val="20"/>
        </w:rPr>
      </w:pPr>
      <w:r>
        <w:rPr>
          <w:sz w:val="20"/>
        </w:rPr>
        <w:t>La aplicación de tecnologías que preserven y restauren el equilibrio ecológico, protejan al ambiente,</w:t>
      </w:r>
      <w:r>
        <w:rPr>
          <w:spacing w:val="-13"/>
          <w:sz w:val="20"/>
        </w:rPr>
        <w:t> </w:t>
      </w:r>
      <w:r>
        <w:rPr>
          <w:sz w:val="20"/>
        </w:rPr>
        <w:t>impulsen</w:t>
      </w:r>
      <w:r>
        <w:rPr>
          <w:spacing w:val="-12"/>
          <w:sz w:val="20"/>
        </w:rPr>
        <w:t> </w:t>
      </w:r>
      <w:r>
        <w:rPr>
          <w:sz w:val="20"/>
        </w:rPr>
        <w:t>las</w:t>
      </w:r>
      <w:r>
        <w:rPr>
          <w:spacing w:val="-13"/>
          <w:sz w:val="20"/>
        </w:rPr>
        <w:t> </w:t>
      </w:r>
      <w:r>
        <w:rPr>
          <w:sz w:val="20"/>
        </w:rPr>
        <w:t>acciones</w:t>
      </w:r>
      <w:r>
        <w:rPr>
          <w:spacing w:val="-13"/>
          <w:sz w:val="20"/>
        </w:rPr>
        <w:t> </w:t>
      </w:r>
      <w:r>
        <w:rPr>
          <w:sz w:val="20"/>
        </w:rPr>
        <w:t>de</w:t>
      </w:r>
      <w:r>
        <w:rPr>
          <w:spacing w:val="-14"/>
          <w:sz w:val="20"/>
        </w:rPr>
        <w:t> </w:t>
      </w:r>
      <w:r>
        <w:rPr>
          <w:sz w:val="20"/>
        </w:rPr>
        <w:t>adaptación</w:t>
      </w:r>
      <w:r>
        <w:rPr>
          <w:spacing w:val="-14"/>
          <w:sz w:val="20"/>
        </w:rPr>
        <w:t> </w:t>
      </w:r>
      <w:r>
        <w:rPr>
          <w:sz w:val="20"/>
        </w:rPr>
        <w:t>y</w:t>
      </w:r>
      <w:r>
        <w:rPr>
          <w:spacing w:val="-10"/>
          <w:sz w:val="20"/>
        </w:rPr>
        <w:t> </w:t>
      </w:r>
      <w:r>
        <w:rPr>
          <w:sz w:val="20"/>
        </w:rPr>
        <w:t>mitigación</w:t>
      </w:r>
      <w:r>
        <w:rPr>
          <w:spacing w:val="-12"/>
          <w:sz w:val="20"/>
        </w:rPr>
        <w:t> </w:t>
      </w:r>
      <w:r>
        <w:rPr>
          <w:sz w:val="20"/>
        </w:rPr>
        <w:t>al</w:t>
      </w:r>
      <w:r>
        <w:rPr>
          <w:spacing w:val="-14"/>
          <w:sz w:val="20"/>
        </w:rPr>
        <w:t> </w:t>
      </w:r>
      <w:r>
        <w:rPr>
          <w:sz w:val="20"/>
        </w:rPr>
        <w:t>cambio</w:t>
      </w:r>
      <w:r>
        <w:rPr>
          <w:spacing w:val="-14"/>
          <w:sz w:val="20"/>
        </w:rPr>
        <w:t> </w:t>
      </w:r>
      <w:r>
        <w:rPr>
          <w:sz w:val="20"/>
        </w:rPr>
        <w:t>climático,</w:t>
      </w:r>
      <w:r>
        <w:rPr>
          <w:spacing w:val="-14"/>
          <w:sz w:val="20"/>
        </w:rPr>
        <w:t> </w:t>
      </w:r>
      <w:r>
        <w:rPr>
          <w:sz w:val="20"/>
        </w:rPr>
        <w:t>reduzcan</w:t>
      </w:r>
      <w:r>
        <w:rPr>
          <w:spacing w:val="-12"/>
          <w:sz w:val="20"/>
        </w:rPr>
        <w:t> </w:t>
      </w:r>
      <w:r>
        <w:rPr>
          <w:sz w:val="20"/>
        </w:rPr>
        <w:t>los</w:t>
      </w:r>
      <w:r>
        <w:rPr>
          <w:spacing w:val="-13"/>
          <w:sz w:val="20"/>
        </w:rPr>
        <w:t> </w:t>
      </w:r>
      <w:r>
        <w:rPr>
          <w:sz w:val="20"/>
        </w:rPr>
        <w:t>costos y mejoren la calidad de la urbanización;</w:t>
      </w:r>
    </w:p>
    <w:p>
      <w:pPr>
        <w:pStyle w:val="ListParagraph"/>
        <w:numPr>
          <w:ilvl w:val="0"/>
          <w:numId w:val="28"/>
        </w:numPr>
        <w:tabs>
          <w:tab w:pos="827" w:val="left" w:leader="none"/>
        </w:tabs>
        <w:spacing w:line="240" w:lineRule="auto" w:before="229" w:after="0"/>
        <w:ind w:left="262" w:right="286" w:firstLine="0"/>
        <w:jc w:val="both"/>
        <w:rPr>
          <w:sz w:val="20"/>
        </w:rPr>
      </w:pPr>
      <w:r>
        <w:rPr>
          <w:sz w:val="20"/>
        </w:rPr>
        <w:t>Promover la construcción y adecuación de la infraestructura, el equipamiento y los Servicios Urbanos</w:t>
      </w:r>
      <w:r>
        <w:rPr>
          <w:spacing w:val="-6"/>
          <w:sz w:val="20"/>
        </w:rPr>
        <w:t> </w:t>
      </w:r>
      <w:r>
        <w:rPr>
          <w:sz w:val="20"/>
        </w:rPr>
        <w:t>que</w:t>
      </w:r>
      <w:r>
        <w:rPr>
          <w:spacing w:val="-7"/>
          <w:sz w:val="20"/>
        </w:rPr>
        <w:t> </w:t>
      </w:r>
      <w:r>
        <w:rPr>
          <w:sz w:val="20"/>
        </w:rPr>
        <w:t>requiera</w:t>
      </w:r>
      <w:r>
        <w:rPr>
          <w:spacing w:val="-9"/>
          <w:sz w:val="20"/>
        </w:rPr>
        <w:t> </w:t>
      </w:r>
      <w:r>
        <w:rPr>
          <w:sz w:val="20"/>
        </w:rPr>
        <w:t>toda</w:t>
      </w:r>
      <w:r>
        <w:rPr>
          <w:spacing w:val="-6"/>
          <w:sz w:val="20"/>
        </w:rPr>
        <w:t> </w:t>
      </w:r>
      <w:r>
        <w:rPr>
          <w:sz w:val="20"/>
        </w:rPr>
        <w:t>la</w:t>
      </w:r>
      <w:r>
        <w:rPr>
          <w:spacing w:val="-7"/>
          <w:sz w:val="20"/>
        </w:rPr>
        <w:t> </w:t>
      </w:r>
      <w:r>
        <w:rPr>
          <w:sz w:val="20"/>
        </w:rPr>
        <w:t>población</w:t>
      </w:r>
      <w:r>
        <w:rPr>
          <w:spacing w:val="-7"/>
          <w:sz w:val="20"/>
        </w:rPr>
        <w:t> </w:t>
      </w:r>
      <w:r>
        <w:rPr>
          <w:sz w:val="20"/>
        </w:rPr>
        <w:t>en</w:t>
      </w:r>
      <w:r>
        <w:rPr>
          <w:spacing w:val="-9"/>
          <w:sz w:val="20"/>
        </w:rPr>
        <w:t> </w:t>
      </w:r>
      <w:r>
        <w:rPr>
          <w:sz w:val="20"/>
        </w:rPr>
        <w:t>condición</w:t>
      </w:r>
      <w:r>
        <w:rPr>
          <w:spacing w:val="-9"/>
          <w:sz w:val="20"/>
        </w:rPr>
        <w:t> </w:t>
      </w:r>
      <w:r>
        <w:rPr>
          <w:sz w:val="20"/>
        </w:rPr>
        <w:t>de</w:t>
      </w:r>
      <w:r>
        <w:rPr>
          <w:spacing w:val="-9"/>
          <w:sz w:val="20"/>
        </w:rPr>
        <w:t> </w:t>
      </w:r>
      <w:r>
        <w:rPr>
          <w:sz w:val="20"/>
        </w:rPr>
        <w:t>vulnerabilidad,</w:t>
      </w:r>
      <w:r>
        <w:rPr>
          <w:spacing w:val="-7"/>
          <w:sz w:val="20"/>
        </w:rPr>
        <w:t> </w:t>
      </w:r>
      <w:r>
        <w:rPr>
          <w:sz w:val="20"/>
        </w:rPr>
        <w:t>así</w:t>
      </w:r>
      <w:r>
        <w:rPr>
          <w:spacing w:val="-9"/>
          <w:sz w:val="20"/>
        </w:rPr>
        <w:t> </w:t>
      </w:r>
      <w:r>
        <w:rPr>
          <w:sz w:val="20"/>
        </w:rPr>
        <w:t>como</w:t>
      </w:r>
      <w:r>
        <w:rPr>
          <w:spacing w:val="-7"/>
          <w:sz w:val="20"/>
        </w:rPr>
        <w:t> </w:t>
      </w:r>
      <w:r>
        <w:rPr>
          <w:sz w:val="20"/>
        </w:rPr>
        <w:t>de</w:t>
      </w:r>
      <w:r>
        <w:rPr>
          <w:spacing w:val="-7"/>
          <w:sz w:val="20"/>
        </w:rPr>
        <w:t> </w:t>
      </w:r>
      <w:r>
        <w:rPr>
          <w:sz w:val="20"/>
        </w:rPr>
        <w:t>los</w:t>
      </w:r>
      <w:r>
        <w:rPr>
          <w:spacing w:val="-8"/>
          <w:sz w:val="20"/>
        </w:rPr>
        <w:t> </w:t>
      </w:r>
      <w:r>
        <w:rPr>
          <w:sz w:val="20"/>
        </w:rPr>
        <w:t>sistemas</w:t>
      </w:r>
      <w:r>
        <w:rPr>
          <w:spacing w:val="-8"/>
          <w:sz w:val="20"/>
        </w:rPr>
        <w:t> </w:t>
      </w:r>
      <w:r>
        <w:rPr>
          <w:sz w:val="20"/>
        </w:rPr>
        <w:t>de Movilidad, que promuevan la inclusión, y</w:t>
      </w:r>
    </w:p>
    <w:p>
      <w:pPr>
        <w:pStyle w:val="BodyText"/>
      </w:pPr>
    </w:p>
    <w:p>
      <w:pPr>
        <w:pStyle w:val="ListParagraph"/>
        <w:numPr>
          <w:ilvl w:val="0"/>
          <w:numId w:val="28"/>
        </w:numPr>
        <w:tabs>
          <w:tab w:pos="828" w:val="left" w:leader="none"/>
        </w:tabs>
        <w:spacing w:line="240" w:lineRule="auto" w:before="0" w:after="0"/>
        <w:ind w:left="262" w:right="285" w:firstLine="0"/>
        <w:jc w:val="both"/>
        <w:rPr>
          <w:sz w:val="20"/>
        </w:rPr>
      </w:pPr>
      <w:r>
        <w:rPr>
          <w:sz w:val="20"/>
        </w:rPr>
        <w:t>La</w:t>
      </w:r>
      <w:r>
        <w:rPr>
          <w:spacing w:val="-8"/>
          <w:sz w:val="20"/>
        </w:rPr>
        <w:t> </w:t>
      </w:r>
      <w:r>
        <w:rPr>
          <w:sz w:val="20"/>
        </w:rPr>
        <w:t>protección,</w:t>
      </w:r>
      <w:r>
        <w:rPr>
          <w:spacing w:val="-5"/>
          <w:sz w:val="20"/>
        </w:rPr>
        <w:t> </w:t>
      </w:r>
      <w:r>
        <w:rPr>
          <w:sz w:val="20"/>
        </w:rPr>
        <w:t>mejoramiento</w:t>
      </w:r>
      <w:r>
        <w:rPr>
          <w:spacing w:val="-8"/>
          <w:sz w:val="20"/>
        </w:rPr>
        <w:t> </w:t>
      </w:r>
      <w:r>
        <w:rPr>
          <w:sz w:val="20"/>
        </w:rPr>
        <w:t>y</w:t>
      </w:r>
      <w:r>
        <w:rPr>
          <w:spacing w:val="-6"/>
          <w:sz w:val="20"/>
        </w:rPr>
        <w:t> </w:t>
      </w:r>
      <w:r>
        <w:rPr>
          <w:sz w:val="20"/>
        </w:rPr>
        <w:t>ampliación</w:t>
      </w:r>
      <w:r>
        <w:rPr>
          <w:spacing w:val="-8"/>
          <w:sz w:val="20"/>
        </w:rPr>
        <w:t> </w:t>
      </w:r>
      <w:r>
        <w:rPr>
          <w:sz w:val="20"/>
        </w:rPr>
        <w:t>de</w:t>
      </w:r>
      <w:r>
        <w:rPr>
          <w:spacing w:val="-6"/>
          <w:sz w:val="20"/>
        </w:rPr>
        <w:t> </w:t>
      </w:r>
      <w:r>
        <w:rPr>
          <w:sz w:val="20"/>
        </w:rPr>
        <w:t>los</w:t>
      </w:r>
      <w:r>
        <w:rPr>
          <w:spacing w:val="-7"/>
          <w:sz w:val="20"/>
        </w:rPr>
        <w:t> </w:t>
      </w:r>
      <w:r>
        <w:rPr>
          <w:sz w:val="20"/>
        </w:rPr>
        <w:t>espacios</w:t>
      </w:r>
      <w:r>
        <w:rPr>
          <w:spacing w:val="-7"/>
          <w:sz w:val="20"/>
        </w:rPr>
        <w:t> </w:t>
      </w:r>
      <w:r>
        <w:rPr>
          <w:sz w:val="20"/>
        </w:rPr>
        <w:t>públicos</w:t>
      </w:r>
      <w:r>
        <w:rPr>
          <w:spacing w:val="-7"/>
          <w:sz w:val="20"/>
        </w:rPr>
        <w:t> </w:t>
      </w:r>
      <w:r>
        <w:rPr>
          <w:sz w:val="20"/>
        </w:rPr>
        <w:t>de</w:t>
      </w:r>
      <w:r>
        <w:rPr>
          <w:spacing w:val="-8"/>
          <w:sz w:val="20"/>
        </w:rPr>
        <w:t> </w:t>
      </w:r>
      <w:r>
        <w:rPr>
          <w:sz w:val="20"/>
        </w:rPr>
        <w:t>calidad</w:t>
      </w:r>
      <w:r>
        <w:rPr>
          <w:spacing w:val="-5"/>
          <w:sz w:val="20"/>
        </w:rPr>
        <w:t> </w:t>
      </w:r>
      <w:r>
        <w:rPr>
          <w:sz w:val="20"/>
        </w:rPr>
        <w:t>para</w:t>
      </w:r>
      <w:r>
        <w:rPr>
          <w:spacing w:val="-8"/>
          <w:sz w:val="20"/>
        </w:rPr>
        <w:t> </w:t>
      </w:r>
      <w:r>
        <w:rPr>
          <w:sz w:val="20"/>
        </w:rPr>
        <w:t>garantizar el acceso universal a zonas verdes y espacios públicos seguros, inclusivos y accesibles.</w:t>
      </w:r>
    </w:p>
    <w:p>
      <w:pPr>
        <w:pStyle w:val="BodyText"/>
        <w:spacing w:before="1"/>
      </w:pPr>
    </w:p>
    <w:p>
      <w:pPr>
        <w:pStyle w:val="BodyText"/>
        <w:spacing w:before="1"/>
        <w:ind w:left="262" w:right="281"/>
        <w:jc w:val="both"/>
      </w:pPr>
      <w:r>
        <w:rPr>
          <w:rFonts w:ascii="Arial" w:hAnsi="Arial"/>
          <w:b/>
        </w:rPr>
        <w:t>ARTÍCULO</w:t>
      </w:r>
      <w:r>
        <w:rPr>
          <w:rFonts w:ascii="Arial" w:hAnsi="Arial"/>
          <w:b/>
          <w:spacing w:val="-6"/>
        </w:rPr>
        <w:t> </w:t>
      </w:r>
      <w:r>
        <w:rPr>
          <w:rFonts w:ascii="Arial" w:hAnsi="Arial"/>
          <w:b/>
        </w:rPr>
        <w:t>56.</w:t>
      </w:r>
      <w:r>
        <w:rPr>
          <w:rFonts w:ascii="Arial" w:hAnsi="Arial"/>
          <w:b/>
          <w:spacing w:val="-5"/>
        </w:rPr>
        <w:t> </w:t>
      </w:r>
      <w:r>
        <w:rPr/>
        <w:t>Sin</w:t>
      </w:r>
      <w:r>
        <w:rPr>
          <w:spacing w:val="-6"/>
        </w:rPr>
        <w:t> </w:t>
      </w:r>
      <w:r>
        <w:rPr/>
        <w:t>perjuicio</w:t>
      </w:r>
      <w:r>
        <w:rPr>
          <w:spacing w:val="-8"/>
        </w:rPr>
        <w:t> </w:t>
      </w:r>
      <w:r>
        <w:rPr/>
        <w:t>de</w:t>
      </w:r>
      <w:r>
        <w:rPr>
          <w:spacing w:val="-6"/>
        </w:rPr>
        <w:t> </w:t>
      </w:r>
      <w:r>
        <w:rPr/>
        <w:t>lo</w:t>
      </w:r>
      <w:r>
        <w:rPr>
          <w:spacing w:val="-6"/>
        </w:rPr>
        <w:t> </w:t>
      </w:r>
      <w:r>
        <w:rPr/>
        <w:t>establecido</w:t>
      </w:r>
      <w:r>
        <w:rPr>
          <w:spacing w:val="-6"/>
        </w:rPr>
        <w:t> </w:t>
      </w:r>
      <w:r>
        <w:rPr/>
        <w:t>por</w:t>
      </w:r>
      <w:r>
        <w:rPr>
          <w:spacing w:val="-4"/>
        </w:rPr>
        <w:t> </w:t>
      </w:r>
      <w:r>
        <w:rPr/>
        <w:t>las</w:t>
      </w:r>
      <w:r>
        <w:rPr>
          <w:spacing w:val="-4"/>
        </w:rPr>
        <w:t> </w:t>
      </w:r>
      <w:r>
        <w:rPr/>
        <w:t>disposiciones</w:t>
      </w:r>
      <w:r>
        <w:rPr>
          <w:spacing w:val="-7"/>
        </w:rPr>
        <w:t> </w:t>
      </w:r>
      <w:r>
        <w:rPr/>
        <w:t>en</w:t>
      </w:r>
      <w:r>
        <w:rPr>
          <w:spacing w:val="-6"/>
        </w:rPr>
        <w:t> </w:t>
      </w:r>
      <w:r>
        <w:rPr/>
        <w:t>materia</w:t>
      </w:r>
      <w:r>
        <w:rPr>
          <w:spacing w:val="-6"/>
        </w:rPr>
        <w:t> </w:t>
      </w:r>
      <w:r>
        <w:rPr/>
        <w:t>financiera,</w:t>
      </w:r>
      <w:r>
        <w:rPr>
          <w:spacing w:val="-7"/>
        </w:rPr>
        <w:t> </w:t>
      </w:r>
      <w:r>
        <w:rPr/>
        <w:t>el</w:t>
      </w:r>
      <w:r>
        <w:rPr>
          <w:spacing w:val="-6"/>
        </w:rPr>
        <w:t> </w:t>
      </w:r>
      <w:r>
        <w:rPr/>
        <w:t>Estado y</w:t>
      </w:r>
      <w:r>
        <w:rPr>
          <w:spacing w:val="-3"/>
        </w:rPr>
        <w:t> </w:t>
      </w:r>
      <w:r>
        <w:rPr/>
        <w:t>los</w:t>
      </w:r>
      <w:r>
        <w:rPr>
          <w:spacing w:val="-3"/>
        </w:rPr>
        <w:t> </w:t>
      </w:r>
      <w:r>
        <w:rPr/>
        <w:t>municipios,</w:t>
      </w:r>
      <w:r>
        <w:rPr>
          <w:spacing w:val="-4"/>
        </w:rPr>
        <w:t> </w:t>
      </w:r>
      <w:r>
        <w:rPr/>
        <w:t>para</w:t>
      </w:r>
      <w:r>
        <w:rPr>
          <w:spacing w:val="-4"/>
        </w:rPr>
        <w:t> </w:t>
      </w:r>
      <w:r>
        <w:rPr/>
        <w:t>estar</w:t>
      </w:r>
      <w:r>
        <w:rPr>
          <w:spacing w:val="-1"/>
        </w:rPr>
        <w:t> </w:t>
      </w:r>
      <w:r>
        <w:rPr/>
        <w:t>en</w:t>
      </w:r>
      <w:r>
        <w:rPr>
          <w:spacing w:val="-3"/>
        </w:rPr>
        <w:t> </w:t>
      </w:r>
      <w:r>
        <w:rPr/>
        <w:t>posibilidad</w:t>
      </w:r>
      <w:r>
        <w:rPr>
          <w:spacing w:val="-3"/>
        </w:rPr>
        <w:t> </w:t>
      </w:r>
      <w:r>
        <w:rPr/>
        <w:t>de</w:t>
      </w:r>
      <w:r>
        <w:rPr>
          <w:spacing w:val="-5"/>
        </w:rPr>
        <w:t> </w:t>
      </w:r>
      <w:r>
        <w:rPr/>
        <w:t>ser</w:t>
      </w:r>
      <w:r>
        <w:rPr>
          <w:spacing w:val="-4"/>
        </w:rPr>
        <w:t> </w:t>
      </w:r>
      <w:r>
        <w:rPr/>
        <w:t>sujetos</w:t>
      </w:r>
      <w:r>
        <w:rPr>
          <w:spacing w:val="-3"/>
        </w:rPr>
        <w:t> </w:t>
      </w:r>
      <w:r>
        <w:rPr/>
        <w:t>de</w:t>
      </w:r>
      <w:r>
        <w:rPr>
          <w:spacing w:val="-5"/>
        </w:rPr>
        <w:t> </w:t>
      </w:r>
      <w:r>
        <w:rPr/>
        <w:t>financiamiento</w:t>
      </w:r>
      <w:r>
        <w:rPr>
          <w:spacing w:val="-4"/>
        </w:rPr>
        <w:t> </w:t>
      </w:r>
      <w:r>
        <w:rPr/>
        <w:t>para</w:t>
      </w:r>
      <w:r>
        <w:rPr>
          <w:spacing w:val="-2"/>
        </w:rPr>
        <w:t> </w:t>
      </w:r>
      <w:r>
        <w:rPr/>
        <w:t>el</w:t>
      </w:r>
      <w:r>
        <w:rPr>
          <w:spacing w:val="-5"/>
        </w:rPr>
        <w:t> </w:t>
      </w:r>
      <w:r>
        <w:rPr/>
        <w:t>desarrollo</w:t>
      </w:r>
      <w:r>
        <w:rPr>
          <w:spacing w:val="-2"/>
        </w:rPr>
        <w:t> </w:t>
      </w:r>
      <w:r>
        <w:rPr/>
        <w:t>de</w:t>
      </w:r>
      <w:r>
        <w:rPr>
          <w:spacing w:val="-3"/>
        </w:rPr>
        <w:t> </w:t>
      </w:r>
      <w:r>
        <w:rPr/>
        <w:t>los proyectos que incidan en el ámbito de competencia de la presente Ley, deberán cumplir con lo establecido</w:t>
      </w:r>
      <w:r>
        <w:rPr>
          <w:spacing w:val="-7"/>
        </w:rPr>
        <w:t> </w:t>
      </w:r>
      <w:r>
        <w:rPr/>
        <w:t>por</w:t>
      </w:r>
      <w:r>
        <w:rPr>
          <w:spacing w:val="-6"/>
        </w:rPr>
        <w:t> </w:t>
      </w:r>
      <w:r>
        <w:rPr/>
        <w:t>la</w:t>
      </w:r>
      <w:r>
        <w:rPr>
          <w:spacing w:val="-7"/>
        </w:rPr>
        <w:t> </w:t>
      </w:r>
      <w:r>
        <w:rPr/>
        <w:t>Ley</w:t>
      </w:r>
      <w:r>
        <w:rPr>
          <w:spacing w:val="-6"/>
        </w:rPr>
        <w:t> </w:t>
      </w:r>
      <w:r>
        <w:rPr/>
        <w:t>de</w:t>
      </w:r>
      <w:r>
        <w:rPr>
          <w:spacing w:val="-7"/>
        </w:rPr>
        <w:t> </w:t>
      </w:r>
      <w:r>
        <w:rPr/>
        <w:t>Disciplina</w:t>
      </w:r>
      <w:r>
        <w:rPr>
          <w:spacing w:val="-7"/>
        </w:rPr>
        <w:t> </w:t>
      </w:r>
      <w:r>
        <w:rPr/>
        <w:t>Financiera</w:t>
      </w:r>
      <w:r>
        <w:rPr>
          <w:spacing w:val="-6"/>
        </w:rPr>
        <w:t> </w:t>
      </w:r>
      <w:r>
        <w:rPr/>
        <w:t>de</w:t>
      </w:r>
      <w:r>
        <w:rPr>
          <w:spacing w:val="-7"/>
        </w:rPr>
        <w:t> </w:t>
      </w:r>
      <w:r>
        <w:rPr/>
        <w:t>las</w:t>
      </w:r>
      <w:r>
        <w:rPr>
          <w:spacing w:val="-6"/>
        </w:rPr>
        <w:t> </w:t>
      </w:r>
      <w:r>
        <w:rPr/>
        <w:t>Entidades</w:t>
      </w:r>
      <w:r>
        <w:rPr>
          <w:spacing w:val="-6"/>
        </w:rPr>
        <w:t> </w:t>
      </w:r>
      <w:r>
        <w:rPr/>
        <w:t>Federativas</w:t>
      </w:r>
      <w:r>
        <w:rPr>
          <w:spacing w:val="-6"/>
        </w:rPr>
        <w:t> </w:t>
      </w:r>
      <w:r>
        <w:rPr/>
        <w:t>y</w:t>
      </w:r>
      <w:r>
        <w:rPr>
          <w:spacing w:val="-6"/>
        </w:rPr>
        <w:t> </w:t>
      </w:r>
      <w:r>
        <w:rPr/>
        <w:t>los</w:t>
      </w:r>
      <w:r>
        <w:rPr>
          <w:spacing w:val="-6"/>
        </w:rPr>
        <w:t> </w:t>
      </w:r>
      <w:r>
        <w:rPr/>
        <w:t>Municipios,</w:t>
      </w:r>
      <w:r>
        <w:rPr>
          <w:spacing w:val="-6"/>
        </w:rPr>
        <w:t> </w:t>
      </w:r>
      <w:r>
        <w:rPr/>
        <w:t>la</w:t>
      </w:r>
      <w:r>
        <w:rPr>
          <w:spacing w:val="-7"/>
        </w:rPr>
        <w:t> </w:t>
      </w:r>
      <w:r>
        <w:rPr/>
        <w:t>Ley de Deuda Pública del Estado, así como presentar a las instituciones de crédito el instrumento expedido</w:t>
      </w:r>
      <w:r>
        <w:rPr>
          <w:spacing w:val="-5"/>
        </w:rPr>
        <w:t> </w:t>
      </w:r>
      <w:r>
        <w:rPr/>
        <w:t>por</w:t>
      </w:r>
      <w:r>
        <w:rPr>
          <w:spacing w:val="-3"/>
        </w:rPr>
        <w:t> </w:t>
      </w:r>
      <w:r>
        <w:rPr/>
        <w:t>la</w:t>
      </w:r>
      <w:r>
        <w:rPr>
          <w:spacing w:val="-5"/>
        </w:rPr>
        <w:t> </w:t>
      </w:r>
      <w:r>
        <w:rPr/>
        <w:t>autoridad</w:t>
      </w:r>
      <w:r>
        <w:rPr>
          <w:spacing w:val="-5"/>
        </w:rPr>
        <w:t> </w:t>
      </w:r>
      <w:r>
        <w:rPr/>
        <w:t>competente,</w:t>
      </w:r>
      <w:r>
        <w:rPr>
          <w:spacing w:val="-4"/>
        </w:rPr>
        <w:t> </w:t>
      </w:r>
      <w:r>
        <w:rPr/>
        <w:t>a</w:t>
      </w:r>
      <w:r>
        <w:rPr>
          <w:spacing w:val="-6"/>
        </w:rPr>
        <w:t> </w:t>
      </w:r>
      <w:r>
        <w:rPr/>
        <w:t>través</w:t>
      </w:r>
      <w:r>
        <w:rPr>
          <w:spacing w:val="-3"/>
        </w:rPr>
        <w:t> </w:t>
      </w:r>
      <w:r>
        <w:rPr/>
        <w:t>del</w:t>
      </w:r>
      <w:r>
        <w:rPr>
          <w:spacing w:val="-6"/>
        </w:rPr>
        <w:t> </w:t>
      </w:r>
      <w:r>
        <w:rPr/>
        <w:t>cual</w:t>
      </w:r>
      <w:r>
        <w:rPr>
          <w:spacing w:val="-7"/>
        </w:rPr>
        <w:t> </w:t>
      </w:r>
      <w:r>
        <w:rPr/>
        <w:t>se</w:t>
      </w:r>
      <w:r>
        <w:rPr>
          <w:spacing w:val="-5"/>
        </w:rPr>
        <w:t> </w:t>
      </w:r>
      <w:r>
        <w:rPr/>
        <w:t>determine</w:t>
      </w:r>
      <w:r>
        <w:rPr>
          <w:spacing w:val="-5"/>
        </w:rPr>
        <w:t> </w:t>
      </w:r>
      <w:r>
        <w:rPr/>
        <w:t>que</w:t>
      </w:r>
      <w:r>
        <w:rPr>
          <w:spacing w:val="-6"/>
        </w:rPr>
        <w:t> </w:t>
      </w:r>
      <w:r>
        <w:rPr/>
        <w:t>el</w:t>
      </w:r>
      <w:r>
        <w:rPr>
          <w:spacing w:val="-5"/>
        </w:rPr>
        <w:t> </w:t>
      </w:r>
      <w:r>
        <w:rPr/>
        <w:t>proyecto</w:t>
      </w:r>
      <w:r>
        <w:rPr>
          <w:spacing w:val="-6"/>
        </w:rPr>
        <w:t> </w:t>
      </w:r>
      <w:r>
        <w:rPr/>
        <w:t>cumple</w:t>
      </w:r>
      <w:r>
        <w:rPr>
          <w:spacing w:val="-6"/>
        </w:rPr>
        <w:t> </w:t>
      </w:r>
      <w:r>
        <w:rPr/>
        <w:t>con</w:t>
      </w:r>
      <w:r>
        <w:rPr>
          <w:spacing w:val="-5"/>
        </w:rPr>
        <w:t> </w:t>
      </w:r>
      <w:r>
        <w:rPr/>
        <w:t>la legislación y los programas en materia de Desarrollo Urbano.</w:t>
      </w:r>
    </w:p>
    <w:p>
      <w:pPr>
        <w:pStyle w:val="BodyText"/>
        <w:spacing w:before="228"/>
        <w:ind w:left="262" w:right="283"/>
        <w:jc w:val="both"/>
      </w:pPr>
      <w:r>
        <w:rPr/>
        <w:t>Asimismo,</w:t>
      </w:r>
      <w:r>
        <w:rPr>
          <w:spacing w:val="-11"/>
        </w:rPr>
        <w:t> </w:t>
      </w:r>
      <w:r>
        <w:rPr/>
        <w:t>las</w:t>
      </w:r>
      <w:r>
        <w:rPr>
          <w:spacing w:val="-13"/>
        </w:rPr>
        <w:t> </w:t>
      </w:r>
      <w:r>
        <w:rPr/>
        <w:t>secretarías</w:t>
      </w:r>
      <w:r>
        <w:rPr>
          <w:spacing w:val="-12"/>
        </w:rPr>
        <w:t> </w:t>
      </w:r>
      <w:r>
        <w:rPr/>
        <w:t>de</w:t>
      </w:r>
      <w:r>
        <w:rPr>
          <w:spacing w:val="-14"/>
        </w:rPr>
        <w:t> </w:t>
      </w:r>
      <w:r>
        <w:rPr/>
        <w:t>Hacienda</w:t>
      </w:r>
      <w:r>
        <w:rPr>
          <w:spacing w:val="-14"/>
        </w:rPr>
        <w:t> </w:t>
      </w:r>
      <w:r>
        <w:rPr/>
        <w:t>y</w:t>
      </w:r>
      <w:r>
        <w:rPr>
          <w:spacing w:val="-12"/>
        </w:rPr>
        <w:t> </w:t>
      </w:r>
      <w:r>
        <w:rPr/>
        <w:t>Crédito</w:t>
      </w:r>
      <w:r>
        <w:rPr>
          <w:spacing w:val="-11"/>
        </w:rPr>
        <w:t> </w:t>
      </w:r>
      <w:r>
        <w:rPr/>
        <w:t>Público</w:t>
      </w:r>
      <w:r>
        <w:rPr>
          <w:spacing w:val="-14"/>
        </w:rPr>
        <w:t> </w:t>
      </w:r>
      <w:r>
        <w:rPr/>
        <w:t>y</w:t>
      </w:r>
      <w:r>
        <w:rPr>
          <w:spacing w:val="-12"/>
        </w:rPr>
        <w:t> </w:t>
      </w:r>
      <w:r>
        <w:rPr/>
        <w:t>de</w:t>
      </w:r>
      <w:r>
        <w:rPr>
          <w:spacing w:val="-12"/>
        </w:rPr>
        <w:t> </w:t>
      </w:r>
      <w:r>
        <w:rPr/>
        <w:t>Desarrollo</w:t>
      </w:r>
      <w:r>
        <w:rPr>
          <w:spacing w:val="-12"/>
        </w:rPr>
        <w:t> </w:t>
      </w:r>
      <w:r>
        <w:rPr/>
        <w:t>Agrario,</w:t>
      </w:r>
      <w:r>
        <w:rPr>
          <w:spacing w:val="-14"/>
        </w:rPr>
        <w:t> </w:t>
      </w:r>
      <w:r>
        <w:rPr/>
        <w:t>Territorial</w:t>
      </w:r>
      <w:r>
        <w:rPr>
          <w:spacing w:val="-14"/>
        </w:rPr>
        <w:t> </w:t>
      </w:r>
      <w:r>
        <w:rPr/>
        <w:t>y</w:t>
      </w:r>
      <w:r>
        <w:rPr>
          <w:spacing w:val="-12"/>
        </w:rPr>
        <w:t> </w:t>
      </w:r>
      <w:r>
        <w:rPr/>
        <w:t>Urbano se coordinarán a efecto de que las acciones e inversiones de las dependencias y entidades de la Administración Pública Federal cumplan, en su caso, con lo dispuesto en esta Ley y en las demás aplicables</w:t>
      </w:r>
      <w:r>
        <w:rPr>
          <w:spacing w:val="-11"/>
        </w:rPr>
        <w:t> </w:t>
      </w:r>
      <w:r>
        <w:rPr/>
        <w:t>en</w:t>
      </w:r>
      <w:r>
        <w:rPr>
          <w:spacing w:val="-11"/>
        </w:rPr>
        <w:t> </w:t>
      </w:r>
      <w:r>
        <w:rPr/>
        <w:t>la</w:t>
      </w:r>
      <w:r>
        <w:rPr>
          <w:spacing w:val="-12"/>
        </w:rPr>
        <w:t> </w:t>
      </w:r>
      <w:r>
        <w:rPr/>
        <w:t>materia.</w:t>
      </w:r>
      <w:r>
        <w:rPr>
          <w:spacing w:val="-13"/>
        </w:rPr>
        <w:t> </w:t>
      </w:r>
      <w:r>
        <w:rPr/>
        <w:t>Para</w:t>
      </w:r>
      <w:r>
        <w:rPr>
          <w:spacing w:val="-12"/>
        </w:rPr>
        <w:t> </w:t>
      </w:r>
      <w:r>
        <w:rPr/>
        <w:t>el</w:t>
      </w:r>
      <w:r>
        <w:rPr>
          <w:spacing w:val="-13"/>
        </w:rPr>
        <w:t> </w:t>
      </w:r>
      <w:r>
        <w:rPr/>
        <w:t>despliegue,</w:t>
      </w:r>
      <w:r>
        <w:rPr>
          <w:spacing w:val="-12"/>
        </w:rPr>
        <w:t> </w:t>
      </w:r>
      <w:r>
        <w:rPr/>
        <w:t>instalación,</w:t>
      </w:r>
      <w:r>
        <w:rPr>
          <w:spacing w:val="-12"/>
        </w:rPr>
        <w:t> </w:t>
      </w:r>
      <w:r>
        <w:rPr/>
        <w:t>construcción,</w:t>
      </w:r>
      <w:r>
        <w:rPr>
          <w:spacing w:val="-12"/>
        </w:rPr>
        <w:t> </w:t>
      </w:r>
      <w:r>
        <w:rPr/>
        <w:t>mantenimiento</w:t>
      </w:r>
      <w:r>
        <w:rPr>
          <w:spacing w:val="-13"/>
        </w:rPr>
        <w:t> </w:t>
      </w:r>
      <w:r>
        <w:rPr/>
        <w:t>y</w:t>
      </w:r>
      <w:r>
        <w:rPr>
          <w:spacing w:val="-11"/>
        </w:rPr>
        <w:t> </w:t>
      </w:r>
      <w:r>
        <w:rPr/>
        <w:t>modificación de infraestructura de telecomunicaciones y radiodifusión, se coordinarán con la Secretaría de Comunicaciones y Transportes.</w:t>
      </w:r>
    </w:p>
    <w:p>
      <w:pPr>
        <w:pStyle w:val="BodyText"/>
        <w:spacing w:before="1"/>
      </w:pPr>
    </w:p>
    <w:p>
      <w:pPr>
        <w:pStyle w:val="BodyText"/>
        <w:ind w:left="262" w:right="287"/>
        <w:jc w:val="both"/>
      </w:pPr>
      <w:r>
        <w:rPr>
          <w:rFonts w:ascii="Arial" w:hAnsi="Arial"/>
          <w:b/>
        </w:rPr>
        <w:t>ARTÍCULO</w:t>
      </w:r>
      <w:r>
        <w:rPr>
          <w:rFonts w:ascii="Arial" w:hAnsi="Arial"/>
          <w:b/>
          <w:spacing w:val="-3"/>
        </w:rPr>
        <w:t> </w:t>
      </w:r>
      <w:r>
        <w:rPr>
          <w:rFonts w:ascii="Arial" w:hAnsi="Arial"/>
          <w:b/>
        </w:rPr>
        <w:t>57</w:t>
      </w:r>
      <w:r>
        <w:rPr/>
        <w:t>.</w:t>
      </w:r>
      <w:r>
        <w:rPr>
          <w:spacing w:val="-3"/>
        </w:rPr>
        <w:t> </w:t>
      </w:r>
      <w:r>
        <w:rPr/>
        <w:t>La</w:t>
      </w:r>
      <w:r>
        <w:rPr>
          <w:spacing w:val="-3"/>
        </w:rPr>
        <w:t> </w:t>
      </w:r>
      <w:r>
        <w:rPr/>
        <w:t>planeación</w:t>
      </w:r>
      <w:r>
        <w:rPr>
          <w:spacing w:val="-3"/>
        </w:rPr>
        <w:t> </w:t>
      </w:r>
      <w:r>
        <w:rPr/>
        <w:t>de</w:t>
      </w:r>
      <w:r>
        <w:rPr>
          <w:spacing w:val="-3"/>
        </w:rPr>
        <w:t> </w:t>
      </w:r>
      <w:r>
        <w:rPr/>
        <w:t>las</w:t>
      </w:r>
      <w:r>
        <w:rPr>
          <w:spacing w:val="-2"/>
        </w:rPr>
        <w:t> </w:t>
      </w:r>
      <w:r>
        <w:rPr/>
        <w:t>obras</w:t>
      </w:r>
      <w:r>
        <w:rPr>
          <w:spacing w:val="-2"/>
        </w:rPr>
        <w:t> </w:t>
      </w:r>
      <w:r>
        <w:rPr/>
        <w:t>públicas</w:t>
      </w:r>
      <w:r>
        <w:rPr>
          <w:spacing w:val="-3"/>
        </w:rPr>
        <w:t> </w:t>
      </w:r>
      <w:r>
        <w:rPr/>
        <w:t>y</w:t>
      </w:r>
      <w:r>
        <w:rPr>
          <w:spacing w:val="-2"/>
        </w:rPr>
        <w:t> </w:t>
      </w:r>
      <w:r>
        <w:rPr/>
        <w:t>de</w:t>
      </w:r>
      <w:r>
        <w:rPr>
          <w:spacing w:val="-3"/>
        </w:rPr>
        <w:t> </w:t>
      </w:r>
      <w:r>
        <w:rPr/>
        <w:t>los</w:t>
      </w:r>
      <w:r>
        <w:rPr>
          <w:spacing w:val="-3"/>
        </w:rPr>
        <w:t> </w:t>
      </w:r>
      <w:r>
        <w:rPr/>
        <w:t>servicios</w:t>
      </w:r>
      <w:r>
        <w:rPr>
          <w:spacing w:val="-3"/>
        </w:rPr>
        <w:t> </w:t>
      </w:r>
      <w:r>
        <w:rPr/>
        <w:t>relacionados</w:t>
      </w:r>
      <w:r>
        <w:rPr>
          <w:spacing w:val="-3"/>
        </w:rPr>
        <w:t> </w:t>
      </w:r>
      <w:r>
        <w:rPr/>
        <w:t>con</w:t>
      </w:r>
      <w:r>
        <w:rPr>
          <w:spacing w:val="-3"/>
        </w:rPr>
        <w:t> </w:t>
      </w:r>
      <w:r>
        <w:rPr/>
        <w:t>las</w:t>
      </w:r>
      <w:r>
        <w:rPr>
          <w:spacing w:val="-2"/>
        </w:rPr>
        <w:t> </w:t>
      </w:r>
      <w:r>
        <w:rPr/>
        <w:t>mismas deberá ajustarse a lo dispuesto en el presente ordenamiento, así como a los programas de ordenamiento territorial, de Desarrollo Urbano y Desarrollo Metropolitano.</w:t>
      </w:r>
    </w:p>
    <w:p>
      <w:pPr>
        <w:pStyle w:val="BodyText"/>
        <w:spacing w:before="2"/>
      </w:pPr>
    </w:p>
    <w:p>
      <w:pPr>
        <w:pStyle w:val="BodyText"/>
        <w:ind w:left="262" w:right="277"/>
        <w:jc w:val="both"/>
      </w:pPr>
      <w:r>
        <w:rPr>
          <w:rFonts w:ascii="Arial" w:hAnsi="Arial"/>
          <w:b/>
        </w:rPr>
        <w:t>ARTÍCULO 58. </w:t>
      </w:r>
      <w:r>
        <w:rPr/>
        <w:t>Para la realización de acciones, obras e inversiones destinadas al ordenamiento territorial y desarrollo urbano, con recursos federales o</w:t>
      </w:r>
      <w:r>
        <w:rPr>
          <w:spacing w:val="40"/>
        </w:rPr>
        <w:t> </w:t>
      </w:r>
      <w:r>
        <w:rPr/>
        <w:t>estatales, se dará prioridad a aquellos municipios</w:t>
      </w:r>
      <w:r>
        <w:rPr>
          <w:spacing w:val="-3"/>
        </w:rPr>
        <w:t> </w:t>
      </w:r>
      <w:r>
        <w:rPr/>
        <w:t>que</w:t>
      </w:r>
      <w:r>
        <w:rPr>
          <w:spacing w:val="-4"/>
        </w:rPr>
        <w:t> </w:t>
      </w:r>
      <w:r>
        <w:rPr/>
        <w:t>hayan</w:t>
      </w:r>
      <w:r>
        <w:rPr>
          <w:spacing w:val="-4"/>
        </w:rPr>
        <w:t> </w:t>
      </w:r>
      <w:r>
        <w:rPr/>
        <w:t>cumplido</w:t>
      </w:r>
      <w:r>
        <w:rPr>
          <w:spacing w:val="-5"/>
        </w:rPr>
        <w:t> </w:t>
      </w:r>
      <w:r>
        <w:rPr/>
        <w:t>con</w:t>
      </w:r>
      <w:r>
        <w:rPr>
          <w:spacing w:val="-3"/>
        </w:rPr>
        <w:t> </w:t>
      </w:r>
      <w:r>
        <w:rPr/>
        <w:t>las</w:t>
      </w:r>
      <w:r>
        <w:rPr>
          <w:spacing w:val="-3"/>
        </w:rPr>
        <w:t> </w:t>
      </w:r>
      <w:r>
        <w:rPr/>
        <w:t>recomendaciones</w:t>
      </w:r>
      <w:r>
        <w:rPr>
          <w:spacing w:val="-3"/>
        </w:rPr>
        <w:t> </w:t>
      </w:r>
      <w:r>
        <w:rPr/>
        <w:t>y</w:t>
      </w:r>
      <w:r>
        <w:rPr>
          <w:spacing w:val="-3"/>
        </w:rPr>
        <w:t> </w:t>
      </w:r>
      <w:r>
        <w:rPr/>
        <w:t>lineamientos</w:t>
      </w:r>
      <w:r>
        <w:rPr>
          <w:spacing w:val="-3"/>
        </w:rPr>
        <w:t> </w:t>
      </w:r>
      <w:r>
        <w:rPr/>
        <w:t>en</w:t>
      </w:r>
      <w:r>
        <w:rPr>
          <w:spacing w:val="-3"/>
        </w:rPr>
        <w:t> </w:t>
      </w:r>
      <w:r>
        <w:rPr/>
        <w:t>materia</w:t>
      </w:r>
      <w:r>
        <w:rPr>
          <w:spacing w:val="-4"/>
        </w:rPr>
        <w:t> </w:t>
      </w:r>
      <w:r>
        <w:rPr/>
        <w:t>de</w:t>
      </w:r>
      <w:r>
        <w:rPr>
          <w:spacing w:val="-4"/>
        </w:rPr>
        <w:t> </w:t>
      </w:r>
      <w:r>
        <w:rPr/>
        <w:t>fomento</w:t>
      </w:r>
      <w:r>
        <w:rPr>
          <w:spacing w:val="-5"/>
        </w:rPr>
        <w:t> </w:t>
      </w:r>
      <w:r>
        <w:rPr/>
        <w:t>del desarrollo urbano, con las disposiciones de esta Ley y con los programas de desarrollo urbano y ordenamiento territorial.</w:t>
      </w:r>
    </w:p>
    <w:p>
      <w:pPr>
        <w:pStyle w:val="BodyText"/>
        <w:spacing w:before="228"/>
      </w:pPr>
    </w:p>
    <w:p>
      <w:pPr>
        <w:pStyle w:val="Heading1"/>
        <w:ind w:right="17"/>
      </w:pPr>
      <w:r>
        <w:rPr/>
        <w:t>TÍTULO</w:t>
      </w:r>
      <w:r>
        <w:rPr>
          <w:spacing w:val="-10"/>
        </w:rPr>
        <w:t> </w:t>
      </w:r>
      <w:r>
        <w:rPr>
          <w:spacing w:val="-2"/>
        </w:rPr>
        <w:t>SEXTO</w:t>
      </w:r>
    </w:p>
    <w:p>
      <w:pPr>
        <w:pStyle w:val="BodyText"/>
        <w:spacing w:before="1"/>
        <w:rPr>
          <w:rFonts w:ascii="Arial"/>
          <w:b/>
        </w:rPr>
      </w:pPr>
    </w:p>
    <w:p>
      <w:pPr>
        <w:spacing w:before="0"/>
        <w:ind w:left="148" w:right="171" w:firstLine="0"/>
        <w:jc w:val="center"/>
        <w:rPr>
          <w:rFonts w:ascii="Arial"/>
          <w:b/>
          <w:sz w:val="20"/>
        </w:rPr>
      </w:pPr>
      <w:r>
        <w:rPr>
          <w:rFonts w:ascii="Arial"/>
          <w:b/>
          <w:sz w:val="20"/>
        </w:rPr>
        <w:t>INSTRUMENTOS</w:t>
      </w:r>
      <w:r>
        <w:rPr>
          <w:rFonts w:ascii="Arial"/>
          <w:b/>
          <w:spacing w:val="-12"/>
          <w:sz w:val="20"/>
        </w:rPr>
        <w:t> </w:t>
      </w:r>
      <w:r>
        <w:rPr>
          <w:rFonts w:ascii="Arial"/>
          <w:b/>
          <w:sz w:val="20"/>
        </w:rPr>
        <w:t>PARA</w:t>
      </w:r>
      <w:r>
        <w:rPr>
          <w:rFonts w:ascii="Arial"/>
          <w:b/>
          <w:spacing w:val="-9"/>
          <w:sz w:val="20"/>
        </w:rPr>
        <w:t> </w:t>
      </w:r>
      <w:r>
        <w:rPr>
          <w:rFonts w:ascii="Arial"/>
          <w:b/>
          <w:sz w:val="20"/>
        </w:rPr>
        <w:t>EL</w:t>
      </w:r>
      <w:r>
        <w:rPr>
          <w:rFonts w:ascii="Arial"/>
          <w:b/>
          <w:spacing w:val="-11"/>
          <w:sz w:val="20"/>
        </w:rPr>
        <w:t> </w:t>
      </w:r>
      <w:r>
        <w:rPr>
          <w:rFonts w:ascii="Arial"/>
          <w:b/>
          <w:sz w:val="20"/>
        </w:rPr>
        <w:t>FINANCIAMIENTO</w:t>
      </w:r>
      <w:r>
        <w:rPr>
          <w:rFonts w:ascii="Arial"/>
          <w:b/>
          <w:spacing w:val="-10"/>
          <w:sz w:val="20"/>
        </w:rPr>
        <w:t> </w:t>
      </w:r>
      <w:r>
        <w:rPr>
          <w:rFonts w:ascii="Arial"/>
          <w:b/>
          <w:sz w:val="20"/>
        </w:rPr>
        <w:t>DEL</w:t>
      </w:r>
      <w:r>
        <w:rPr>
          <w:rFonts w:ascii="Arial"/>
          <w:b/>
          <w:spacing w:val="-9"/>
          <w:sz w:val="20"/>
        </w:rPr>
        <w:t> </w:t>
      </w:r>
      <w:r>
        <w:rPr>
          <w:rFonts w:ascii="Arial"/>
          <w:b/>
          <w:sz w:val="20"/>
        </w:rPr>
        <w:t>DESARROLLO</w:t>
      </w:r>
      <w:r>
        <w:rPr>
          <w:rFonts w:ascii="Arial"/>
          <w:b/>
          <w:spacing w:val="-11"/>
          <w:sz w:val="20"/>
        </w:rPr>
        <w:t> </w:t>
      </w:r>
      <w:r>
        <w:rPr>
          <w:rFonts w:ascii="Arial"/>
          <w:b/>
          <w:sz w:val="20"/>
        </w:rPr>
        <w:t>URBANO</w:t>
      </w:r>
      <w:r>
        <w:rPr>
          <w:rFonts w:ascii="Arial"/>
          <w:b/>
          <w:spacing w:val="-9"/>
          <w:sz w:val="20"/>
        </w:rPr>
        <w:t> </w:t>
      </w:r>
      <w:r>
        <w:rPr>
          <w:rFonts w:ascii="Arial"/>
          <w:b/>
          <w:spacing w:val="-2"/>
          <w:sz w:val="20"/>
        </w:rPr>
        <w:t>SOSTENIBLE</w:t>
      </w:r>
    </w:p>
    <w:p>
      <w:pPr>
        <w:pStyle w:val="BodyText"/>
        <w:spacing w:before="229"/>
        <w:rPr>
          <w:rFonts w:ascii="Arial"/>
          <w:b/>
        </w:rPr>
      </w:pPr>
    </w:p>
    <w:p>
      <w:pPr>
        <w:pStyle w:val="Heading2"/>
        <w:spacing w:line="480" w:lineRule="auto"/>
        <w:ind w:left="3982" w:right="4000" w:hanging="1"/>
      </w:pPr>
      <w:r>
        <w:rPr/>
        <w:t>Capítulo I </w:t>
      </w:r>
      <w:r>
        <w:rPr>
          <w:spacing w:val="-2"/>
        </w:rPr>
        <w:t>Generalidades</w:t>
      </w:r>
    </w:p>
    <w:p>
      <w:pPr>
        <w:pStyle w:val="Heading2"/>
        <w:spacing w:after="0" w:line="480" w:lineRule="auto"/>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79"/>
        <w:jc w:val="both"/>
      </w:pPr>
      <w:r>
        <w:rPr>
          <w:rFonts w:ascii="Arial" w:hAnsi="Arial"/>
          <w:b/>
        </w:rPr>
        <w:t>ARTÍCULO 59. </w:t>
      </w:r>
      <w:r>
        <w:rPr/>
        <w:t>El Gobierno del Estado y los municipios en los términos de las leyes locales y federales aplicables y sin prejuicio a lo previsto en la fracción IV del artículo 115 de la Constitución Política de los Estados Unidos Mexicanos, podrá hacer uso de los instrumentos de financiamiento que le permitan acceder a recursos financieros y fiscales, provenientes éstos de:</w:t>
      </w:r>
    </w:p>
    <w:p>
      <w:pPr>
        <w:pStyle w:val="ListParagraph"/>
        <w:numPr>
          <w:ilvl w:val="0"/>
          <w:numId w:val="29"/>
        </w:numPr>
        <w:tabs>
          <w:tab w:pos="543" w:val="left" w:leader="none"/>
        </w:tabs>
        <w:spacing w:line="240" w:lineRule="auto" w:before="230" w:after="0"/>
        <w:ind w:left="262" w:right="279" w:firstLine="0"/>
        <w:jc w:val="both"/>
        <w:rPr>
          <w:sz w:val="20"/>
        </w:rPr>
      </w:pPr>
      <w:r>
        <w:rPr>
          <w:sz w:val="20"/>
        </w:rPr>
        <w:t>Las contribuciones y aprovechamientos como impuesto sobre aumento de valor y mejoría específica de la propiedad, contribuciones especiales por mejoras o incremento de plusvalías derivadas</w:t>
      </w:r>
      <w:r>
        <w:rPr>
          <w:spacing w:val="-11"/>
          <w:sz w:val="20"/>
        </w:rPr>
        <w:t> </w:t>
      </w:r>
      <w:r>
        <w:rPr>
          <w:sz w:val="20"/>
        </w:rPr>
        <w:t>de</w:t>
      </w:r>
      <w:r>
        <w:rPr>
          <w:spacing w:val="-13"/>
          <w:sz w:val="20"/>
        </w:rPr>
        <w:t> </w:t>
      </w:r>
      <w:r>
        <w:rPr>
          <w:sz w:val="20"/>
        </w:rPr>
        <w:t>las</w:t>
      </w:r>
      <w:r>
        <w:rPr>
          <w:spacing w:val="-11"/>
          <w:sz w:val="20"/>
        </w:rPr>
        <w:t> </w:t>
      </w:r>
      <w:r>
        <w:rPr>
          <w:sz w:val="20"/>
        </w:rPr>
        <w:t>acciones,</w:t>
      </w:r>
      <w:r>
        <w:rPr>
          <w:spacing w:val="-12"/>
          <w:sz w:val="20"/>
        </w:rPr>
        <w:t> </w:t>
      </w:r>
      <w:r>
        <w:rPr>
          <w:sz w:val="20"/>
        </w:rPr>
        <w:t>obras</w:t>
      </w:r>
      <w:r>
        <w:rPr>
          <w:spacing w:val="-11"/>
          <w:sz w:val="20"/>
        </w:rPr>
        <w:t> </w:t>
      </w:r>
      <w:r>
        <w:rPr>
          <w:sz w:val="20"/>
        </w:rPr>
        <w:t>y</w:t>
      </w:r>
      <w:r>
        <w:rPr>
          <w:spacing w:val="-11"/>
          <w:sz w:val="20"/>
        </w:rPr>
        <w:t> </w:t>
      </w:r>
      <w:r>
        <w:rPr>
          <w:sz w:val="20"/>
        </w:rPr>
        <w:t>servicios</w:t>
      </w:r>
      <w:r>
        <w:rPr>
          <w:spacing w:val="-11"/>
          <w:sz w:val="20"/>
        </w:rPr>
        <w:t> </w:t>
      </w:r>
      <w:r>
        <w:rPr>
          <w:sz w:val="20"/>
        </w:rPr>
        <w:t>públicos,</w:t>
      </w:r>
      <w:r>
        <w:rPr>
          <w:spacing w:val="-12"/>
          <w:sz w:val="20"/>
        </w:rPr>
        <w:t> </w:t>
      </w:r>
      <w:r>
        <w:rPr>
          <w:sz w:val="20"/>
        </w:rPr>
        <w:t>asimismo</w:t>
      </w:r>
      <w:r>
        <w:rPr>
          <w:spacing w:val="-13"/>
          <w:sz w:val="20"/>
        </w:rPr>
        <w:t> </w:t>
      </w:r>
      <w:r>
        <w:rPr>
          <w:sz w:val="20"/>
        </w:rPr>
        <w:t>se</w:t>
      </w:r>
      <w:r>
        <w:rPr>
          <w:spacing w:val="-12"/>
          <w:sz w:val="20"/>
        </w:rPr>
        <w:t> </w:t>
      </w:r>
      <w:r>
        <w:rPr>
          <w:sz w:val="20"/>
        </w:rPr>
        <w:t>desincentiven</w:t>
      </w:r>
      <w:r>
        <w:rPr>
          <w:spacing w:val="-10"/>
          <w:sz w:val="20"/>
        </w:rPr>
        <w:t> </w:t>
      </w:r>
      <w:r>
        <w:rPr>
          <w:sz w:val="20"/>
        </w:rPr>
        <w:t>a</w:t>
      </w:r>
      <w:r>
        <w:rPr>
          <w:spacing w:val="-12"/>
          <w:sz w:val="20"/>
        </w:rPr>
        <w:t> </w:t>
      </w:r>
      <w:r>
        <w:rPr>
          <w:sz w:val="20"/>
        </w:rPr>
        <w:t>predios</w:t>
      </w:r>
      <w:r>
        <w:rPr>
          <w:spacing w:val="-11"/>
          <w:sz w:val="20"/>
        </w:rPr>
        <w:t> </w:t>
      </w:r>
      <w:r>
        <w:rPr>
          <w:sz w:val="20"/>
        </w:rPr>
        <w:t>vacantes y subutilizados que tengan cobertura de infraestructura y servicios. El destino específico de esta fuente de financiamiento, deberá observar las siguientes recomendaciones:</w:t>
      </w:r>
    </w:p>
    <w:p>
      <w:pPr>
        <w:pStyle w:val="BodyText"/>
      </w:pPr>
    </w:p>
    <w:p>
      <w:pPr>
        <w:pStyle w:val="ListParagraph"/>
        <w:numPr>
          <w:ilvl w:val="1"/>
          <w:numId w:val="29"/>
        </w:numPr>
        <w:tabs>
          <w:tab w:pos="544" w:val="left" w:leader="none"/>
        </w:tabs>
        <w:spacing w:line="240" w:lineRule="auto" w:before="0" w:after="0"/>
        <w:ind w:left="544" w:right="0" w:hanging="282"/>
        <w:jc w:val="both"/>
        <w:rPr>
          <w:sz w:val="20"/>
        </w:rPr>
      </w:pPr>
      <w:r>
        <w:rPr>
          <w:sz w:val="20"/>
        </w:rPr>
        <w:t>Utilizarlas</w:t>
      </w:r>
      <w:r>
        <w:rPr>
          <w:spacing w:val="-7"/>
          <w:sz w:val="20"/>
        </w:rPr>
        <w:t> </w:t>
      </w:r>
      <w:r>
        <w:rPr>
          <w:sz w:val="20"/>
        </w:rPr>
        <w:t>para</w:t>
      </w:r>
      <w:r>
        <w:rPr>
          <w:spacing w:val="-6"/>
          <w:sz w:val="20"/>
        </w:rPr>
        <w:t> </w:t>
      </w:r>
      <w:r>
        <w:rPr>
          <w:sz w:val="20"/>
        </w:rPr>
        <w:t>el</w:t>
      </w:r>
      <w:r>
        <w:rPr>
          <w:spacing w:val="-8"/>
          <w:sz w:val="20"/>
        </w:rPr>
        <w:t> </w:t>
      </w:r>
      <w:r>
        <w:rPr>
          <w:sz w:val="20"/>
        </w:rPr>
        <w:t>financiamiento</w:t>
      </w:r>
      <w:r>
        <w:rPr>
          <w:spacing w:val="-7"/>
          <w:sz w:val="20"/>
        </w:rPr>
        <w:t> </w:t>
      </w:r>
      <w:r>
        <w:rPr>
          <w:sz w:val="20"/>
        </w:rPr>
        <w:t>de</w:t>
      </w:r>
      <w:r>
        <w:rPr>
          <w:spacing w:val="-8"/>
          <w:sz w:val="20"/>
        </w:rPr>
        <w:t> </w:t>
      </w:r>
      <w:r>
        <w:rPr>
          <w:sz w:val="20"/>
        </w:rPr>
        <w:t>obras</w:t>
      </w:r>
      <w:r>
        <w:rPr>
          <w:spacing w:val="-6"/>
          <w:sz w:val="20"/>
        </w:rPr>
        <w:t> </w:t>
      </w:r>
      <w:r>
        <w:rPr>
          <w:sz w:val="20"/>
        </w:rPr>
        <w:t>y</w:t>
      </w:r>
      <w:r>
        <w:rPr>
          <w:spacing w:val="-6"/>
          <w:sz w:val="20"/>
        </w:rPr>
        <w:t> </w:t>
      </w:r>
      <w:r>
        <w:rPr>
          <w:sz w:val="20"/>
        </w:rPr>
        <w:t>proyectos</w:t>
      </w:r>
      <w:r>
        <w:rPr>
          <w:spacing w:val="-5"/>
          <w:sz w:val="20"/>
        </w:rPr>
        <w:t> </w:t>
      </w:r>
      <w:r>
        <w:rPr>
          <w:sz w:val="20"/>
        </w:rPr>
        <w:t>pequeños</w:t>
      </w:r>
      <w:r>
        <w:rPr>
          <w:spacing w:val="-5"/>
          <w:sz w:val="20"/>
        </w:rPr>
        <w:t> </w:t>
      </w:r>
      <w:r>
        <w:rPr>
          <w:sz w:val="20"/>
        </w:rPr>
        <w:t>de</w:t>
      </w:r>
      <w:r>
        <w:rPr>
          <w:spacing w:val="-8"/>
          <w:sz w:val="20"/>
        </w:rPr>
        <w:t> </w:t>
      </w:r>
      <w:r>
        <w:rPr>
          <w:sz w:val="20"/>
        </w:rPr>
        <w:t>tipo</w:t>
      </w:r>
      <w:r>
        <w:rPr>
          <w:spacing w:val="-6"/>
          <w:sz w:val="20"/>
        </w:rPr>
        <w:t> </w:t>
      </w:r>
      <w:r>
        <w:rPr>
          <w:spacing w:val="-2"/>
          <w:sz w:val="20"/>
        </w:rPr>
        <w:t>local.</w:t>
      </w:r>
    </w:p>
    <w:p>
      <w:pPr>
        <w:pStyle w:val="BodyText"/>
        <w:spacing w:before="1"/>
      </w:pPr>
    </w:p>
    <w:p>
      <w:pPr>
        <w:pStyle w:val="ListParagraph"/>
        <w:numPr>
          <w:ilvl w:val="1"/>
          <w:numId w:val="29"/>
        </w:numPr>
        <w:tabs>
          <w:tab w:pos="544" w:val="left" w:leader="none"/>
        </w:tabs>
        <w:spacing w:line="240" w:lineRule="auto" w:before="0" w:after="0"/>
        <w:ind w:left="544" w:right="0" w:hanging="282"/>
        <w:jc w:val="both"/>
        <w:rPr>
          <w:sz w:val="20"/>
        </w:rPr>
      </w:pPr>
      <w:r>
        <w:rPr>
          <w:sz w:val="20"/>
        </w:rPr>
        <w:t>Aumentar</w:t>
      </w:r>
      <w:r>
        <w:rPr>
          <w:spacing w:val="-8"/>
          <w:sz w:val="20"/>
        </w:rPr>
        <w:t> </w:t>
      </w:r>
      <w:r>
        <w:rPr>
          <w:sz w:val="20"/>
        </w:rPr>
        <w:t>la</w:t>
      </w:r>
      <w:r>
        <w:rPr>
          <w:spacing w:val="-8"/>
          <w:sz w:val="20"/>
        </w:rPr>
        <w:t> </w:t>
      </w:r>
      <w:r>
        <w:rPr>
          <w:sz w:val="20"/>
        </w:rPr>
        <w:t>construcción</w:t>
      </w:r>
      <w:r>
        <w:rPr>
          <w:spacing w:val="-7"/>
          <w:sz w:val="20"/>
        </w:rPr>
        <w:t> </w:t>
      </w:r>
      <w:r>
        <w:rPr>
          <w:sz w:val="20"/>
        </w:rPr>
        <w:t>de</w:t>
      </w:r>
      <w:r>
        <w:rPr>
          <w:spacing w:val="-8"/>
          <w:sz w:val="20"/>
        </w:rPr>
        <w:t> </w:t>
      </w:r>
      <w:r>
        <w:rPr>
          <w:sz w:val="20"/>
        </w:rPr>
        <w:t>obras</w:t>
      </w:r>
      <w:r>
        <w:rPr>
          <w:spacing w:val="-6"/>
          <w:sz w:val="20"/>
        </w:rPr>
        <w:t> </w:t>
      </w:r>
      <w:r>
        <w:rPr>
          <w:sz w:val="20"/>
        </w:rPr>
        <w:t>dirigidas</w:t>
      </w:r>
      <w:r>
        <w:rPr>
          <w:spacing w:val="-7"/>
          <w:sz w:val="20"/>
        </w:rPr>
        <w:t> </w:t>
      </w:r>
      <w:r>
        <w:rPr>
          <w:sz w:val="20"/>
        </w:rPr>
        <w:t>a</w:t>
      </w:r>
      <w:r>
        <w:rPr>
          <w:spacing w:val="-6"/>
          <w:sz w:val="20"/>
        </w:rPr>
        <w:t> </w:t>
      </w:r>
      <w:r>
        <w:rPr>
          <w:sz w:val="20"/>
        </w:rPr>
        <w:t>la</w:t>
      </w:r>
      <w:r>
        <w:rPr>
          <w:spacing w:val="-8"/>
          <w:sz w:val="20"/>
        </w:rPr>
        <w:t> </w:t>
      </w:r>
      <w:r>
        <w:rPr>
          <w:sz w:val="20"/>
        </w:rPr>
        <w:t>sostenibilidad</w:t>
      </w:r>
      <w:r>
        <w:rPr>
          <w:spacing w:val="-7"/>
          <w:sz w:val="20"/>
        </w:rPr>
        <w:t> </w:t>
      </w:r>
      <w:r>
        <w:rPr>
          <w:spacing w:val="-2"/>
          <w:sz w:val="20"/>
        </w:rPr>
        <w:t>urbana.</w:t>
      </w:r>
    </w:p>
    <w:p>
      <w:pPr>
        <w:pStyle w:val="BodyText"/>
        <w:spacing w:before="1"/>
      </w:pPr>
    </w:p>
    <w:p>
      <w:pPr>
        <w:pStyle w:val="ListParagraph"/>
        <w:numPr>
          <w:ilvl w:val="1"/>
          <w:numId w:val="29"/>
        </w:numPr>
        <w:tabs>
          <w:tab w:pos="544" w:val="left" w:leader="none"/>
        </w:tabs>
        <w:spacing w:line="240" w:lineRule="auto" w:before="0" w:after="0"/>
        <w:ind w:left="544" w:right="0" w:hanging="282"/>
        <w:jc w:val="both"/>
        <w:rPr>
          <w:sz w:val="20"/>
        </w:rPr>
      </w:pPr>
      <w:r>
        <w:rPr>
          <w:sz w:val="20"/>
        </w:rPr>
        <w:t>Realizar</w:t>
      </w:r>
      <w:r>
        <w:rPr>
          <w:spacing w:val="-6"/>
          <w:sz w:val="20"/>
        </w:rPr>
        <w:t> </w:t>
      </w:r>
      <w:r>
        <w:rPr>
          <w:sz w:val="20"/>
        </w:rPr>
        <w:t>las</w:t>
      </w:r>
      <w:r>
        <w:rPr>
          <w:spacing w:val="-4"/>
          <w:sz w:val="20"/>
        </w:rPr>
        <w:t> </w:t>
      </w:r>
      <w:r>
        <w:rPr>
          <w:sz w:val="20"/>
        </w:rPr>
        <w:t>obras</w:t>
      </w:r>
      <w:r>
        <w:rPr>
          <w:spacing w:val="-3"/>
          <w:sz w:val="20"/>
        </w:rPr>
        <w:t> </w:t>
      </w:r>
      <w:r>
        <w:rPr>
          <w:sz w:val="20"/>
        </w:rPr>
        <w:t>en</w:t>
      </w:r>
      <w:r>
        <w:rPr>
          <w:spacing w:val="-6"/>
          <w:sz w:val="20"/>
        </w:rPr>
        <w:t> </w:t>
      </w:r>
      <w:r>
        <w:rPr>
          <w:sz w:val="20"/>
        </w:rPr>
        <w:t>un</w:t>
      </w:r>
      <w:r>
        <w:rPr>
          <w:spacing w:val="-6"/>
          <w:sz w:val="20"/>
        </w:rPr>
        <w:t> </w:t>
      </w:r>
      <w:r>
        <w:rPr>
          <w:sz w:val="20"/>
        </w:rPr>
        <w:t>lapso</w:t>
      </w:r>
      <w:r>
        <w:rPr>
          <w:spacing w:val="-5"/>
          <w:sz w:val="20"/>
        </w:rPr>
        <w:t> </w:t>
      </w:r>
      <w:r>
        <w:rPr>
          <w:sz w:val="20"/>
        </w:rPr>
        <w:t>de</w:t>
      </w:r>
      <w:r>
        <w:rPr>
          <w:spacing w:val="-4"/>
          <w:sz w:val="20"/>
        </w:rPr>
        <w:t> </w:t>
      </w:r>
      <w:r>
        <w:rPr>
          <w:sz w:val="20"/>
        </w:rPr>
        <w:t>tiempo</w:t>
      </w:r>
      <w:r>
        <w:rPr>
          <w:spacing w:val="-5"/>
          <w:sz w:val="20"/>
        </w:rPr>
        <w:t> </w:t>
      </w:r>
      <w:r>
        <w:rPr>
          <w:sz w:val="20"/>
        </w:rPr>
        <w:t>no</w:t>
      </w:r>
      <w:r>
        <w:rPr>
          <w:spacing w:val="-3"/>
          <w:sz w:val="20"/>
        </w:rPr>
        <w:t> </w:t>
      </w:r>
      <w:r>
        <w:rPr>
          <w:sz w:val="20"/>
        </w:rPr>
        <w:t>mayor</w:t>
      </w:r>
      <w:r>
        <w:rPr>
          <w:spacing w:val="-3"/>
          <w:sz w:val="20"/>
        </w:rPr>
        <w:t> </w:t>
      </w:r>
      <w:r>
        <w:rPr>
          <w:sz w:val="20"/>
        </w:rPr>
        <w:t>a</w:t>
      </w:r>
      <w:r>
        <w:rPr>
          <w:spacing w:val="-4"/>
          <w:sz w:val="20"/>
        </w:rPr>
        <w:t> </w:t>
      </w:r>
      <w:r>
        <w:rPr>
          <w:sz w:val="20"/>
        </w:rPr>
        <w:t>un</w:t>
      </w:r>
      <w:r>
        <w:rPr>
          <w:spacing w:val="-6"/>
          <w:sz w:val="20"/>
        </w:rPr>
        <w:t> </w:t>
      </w:r>
      <w:r>
        <w:rPr>
          <w:spacing w:val="-4"/>
          <w:sz w:val="20"/>
        </w:rPr>
        <w:t>año.</w:t>
      </w:r>
    </w:p>
    <w:p>
      <w:pPr>
        <w:pStyle w:val="ListParagraph"/>
        <w:numPr>
          <w:ilvl w:val="1"/>
          <w:numId w:val="29"/>
        </w:numPr>
        <w:tabs>
          <w:tab w:pos="544" w:val="left" w:leader="none"/>
        </w:tabs>
        <w:spacing w:line="240" w:lineRule="auto" w:before="228" w:after="0"/>
        <w:ind w:left="544" w:right="0" w:hanging="282"/>
        <w:jc w:val="both"/>
        <w:rPr>
          <w:sz w:val="20"/>
        </w:rPr>
      </w:pPr>
      <w:r>
        <w:rPr>
          <w:sz w:val="20"/>
        </w:rPr>
        <w:t>Recuperar</w:t>
      </w:r>
      <w:r>
        <w:rPr>
          <w:spacing w:val="-3"/>
          <w:sz w:val="20"/>
        </w:rPr>
        <w:t> </w:t>
      </w:r>
      <w:r>
        <w:rPr>
          <w:sz w:val="20"/>
        </w:rPr>
        <w:t>los</w:t>
      </w:r>
      <w:r>
        <w:rPr>
          <w:spacing w:val="-5"/>
          <w:sz w:val="20"/>
        </w:rPr>
        <w:t> </w:t>
      </w:r>
      <w:r>
        <w:rPr>
          <w:sz w:val="20"/>
        </w:rPr>
        <w:t>costos</w:t>
      </w:r>
      <w:r>
        <w:rPr>
          <w:spacing w:val="-4"/>
          <w:sz w:val="20"/>
        </w:rPr>
        <w:t> </w:t>
      </w:r>
      <w:r>
        <w:rPr>
          <w:sz w:val="20"/>
        </w:rPr>
        <w:t>en</w:t>
      </w:r>
      <w:r>
        <w:rPr>
          <w:spacing w:val="-6"/>
          <w:sz w:val="20"/>
        </w:rPr>
        <w:t> </w:t>
      </w:r>
      <w:r>
        <w:rPr>
          <w:sz w:val="20"/>
        </w:rPr>
        <w:t>un</w:t>
      </w:r>
      <w:r>
        <w:rPr>
          <w:spacing w:val="-4"/>
          <w:sz w:val="20"/>
        </w:rPr>
        <w:t> </w:t>
      </w:r>
      <w:r>
        <w:rPr>
          <w:sz w:val="20"/>
        </w:rPr>
        <w:t>plazo</w:t>
      </w:r>
      <w:r>
        <w:rPr>
          <w:spacing w:val="-3"/>
          <w:sz w:val="20"/>
        </w:rPr>
        <w:t> </w:t>
      </w:r>
      <w:r>
        <w:rPr>
          <w:sz w:val="20"/>
        </w:rPr>
        <w:t>no</w:t>
      </w:r>
      <w:r>
        <w:rPr>
          <w:spacing w:val="-5"/>
          <w:sz w:val="20"/>
        </w:rPr>
        <w:t> </w:t>
      </w:r>
      <w:r>
        <w:rPr>
          <w:sz w:val="20"/>
        </w:rPr>
        <w:t>mayor</w:t>
      </w:r>
      <w:r>
        <w:rPr>
          <w:spacing w:val="-5"/>
          <w:sz w:val="20"/>
        </w:rPr>
        <w:t> </w:t>
      </w:r>
      <w:r>
        <w:rPr>
          <w:sz w:val="20"/>
        </w:rPr>
        <w:t>a</w:t>
      </w:r>
      <w:r>
        <w:rPr>
          <w:spacing w:val="-4"/>
          <w:sz w:val="20"/>
        </w:rPr>
        <w:t> </w:t>
      </w:r>
      <w:r>
        <w:rPr>
          <w:sz w:val="20"/>
        </w:rPr>
        <w:t>tres</w:t>
      </w:r>
      <w:r>
        <w:rPr>
          <w:spacing w:val="-4"/>
          <w:sz w:val="20"/>
        </w:rPr>
        <w:t> años.</w:t>
      </w:r>
    </w:p>
    <w:p>
      <w:pPr>
        <w:pStyle w:val="BodyText"/>
        <w:spacing w:before="1"/>
      </w:pPr>
    </w:p>
    <w:p>
      <w:pPr>
        <w:pStyle w:val="ListParagraph"/>
        <w:numPr>
          <w:ilvl w:val="1"/>
          <w:numId w:val="29"/>
        </w:numPr>
        <w:tabs>
          <w:tab w:pos="544" w:val="left" w:leader="none"/>
        </w:tabs>
        <w:spacing w:line="240" w:lineRule="auto" w:before="0" w:after="0"/>
        <w:ind w:left="262" w:right="289" w:firstLine="0"/>
        <w:jc w:val="both"/>
        <w:rPr>
          <w:sz w:val="20"/>
        </w:rPr>
      </w:pPr>
      <w:r>
        <w:rPr>
          <w:sz w:val="20"/>
        </w:rPr>
        <w:t>Aplicar los principios de equidad y proporcionalidad en la determinación de las obligaciones de pago de los contribuyentes;</w:t>
      </w:r>
    </w:p>
    <w:p>
      <w:pPr>
        <w:pStyle w:val="ListParagraph"/>
        <w:numPr>
          <w:ilvl w:val="0"/>
          <w:numId w:val="29"/>
        </w:numPr>
        <w:tabs>
          <w:tab w:pos="543" w:val="left" w:leader="none"/>
        </w:tabs>
        <w:spacing w:line="240" w:lineRule="auto" w:before="229" w:after="0"/>
        <w:ind w:left="543" w:right="0" w:hanging="281"/>
        <w:jc w:val="both"/>
        <w:rPr>
          <w:sz w:val="20"/>
        </w:rPr>
      </w:pPr>
      <w:r>
        <w:rPr>
          <w:sz w:val="20"/>
        </w:rPr>
        <w:t>La</w:t>
      </w:r>
      <w:r>
        <w:rPr>
          <w:spacing w:val="-9"/>
          <w:sz w:val="20"/>
        </w:rPr>
        <w:t> </w:t>
      </w:r>
      <w:r>
        <w:rPr>
          <w:sz w:val="20"/>
        </w:rPr>
        <w:t>emisión</w:t>
      </w:r>
      <w:r>
        <w:rPr>
          <w:spacing w:val="-6"/>
          <w:sz w:val="20"/>
        </w:rPr>
        <w:t> </w:t>
      </w:r>
      <w:r>
        <w:rPr>
          <w:sz w:val="20"/>
        </w:rPr>
        <w:t>de</w:t>
      </w:r>
      <w:r>
        <w:rPr>
          <w:spacing w:val="-8"/>
          <w:sz w:val="20"/>
        </w:rPr>
        <w:t> </w:t>
      </w:r>
      <w:r>
        <w:rPr>
          <w:sz w:val="20"/>
        </w:rPr>
        <w:t>certificados</w:t>
      </w:r>
      <w:r>
        <w:rPr>
          <w:spacing w:val="-5"/>
          <w:sz w:val="20"/>
        </w:rPr>
        <w:t> </w:t>
      </w:r>
      <w:r>
        <w:rPr>
          <w:sz w:val="20"/>
        </w:rPr>
        <w:t>bursátiles</w:t>
      </w:r>
      <w:r>
        <w:rPr>
          <w:spacing w:val="-7"/>
          <w:sz w:val="20"/>
        </w:rPr>
        <w:t> </w:t>
      </w:r>
      <w:r>
        <w:rPr>
          <w:sz w:val="20"/>
        </w:rPr>
        <w:t>emitidos</w:t>
      </w:r>
      <w:r>
        <w:rPr>
          <w:spacing w:val="-4"/>
          <w:sz w:val="20"/>
        </w:rPr>
        <w:t> </w:t>
      </w:r>
      <w:r>
        <w:rPr>
          <w:sz w:val="20"/>
        </w:rPr>
        <w:t>por</w:t>
      </w:r>
      <w:r>
        <w:rPr>
          <w:spacing w:val="-7"/>
          <w:sz w:val="20"/>
        </w:rPr>
        <w:t> </w:t>
      </w:r>
      <w:r>
        <w:rPr>
          <w:sz w:val="20"/>
        </w:rPr>
        <w:t>el</w:t>
      </w:r>
      <w:r>
        <w:rPr>
          <w:spacing w:val="-6"/>
          <w:sz w:val="20"/>
        </w:rPr>
        <w:t> </w:t>
      </w:r>
      <w:r>
        <w:rPr>
          <w:sz w:val="20"/>
        </w:rPr>
        <w:t>Estado</w:t>
      </w:r>
      <w:r>
        <w:rPr>
          <w:spacing w:val="-7"/>
          <w:sz w:val="20"/>
        </w:rPr>
        <w:t> </w:t>
      </w:r>
      <w:r>
        <w:rPr>
          <w:sz w:val="20"/>
        </w:rPr>
        <w:t>o</w:t>
      </w:r>
      <w:r>
        <w:rPr>
          <w:spacing w:val="-6"/>
          <w:sz w:val="20"/>
        </w:rPr>
        <w:t> </w:t>
      </w:r>
      <w:r>
        <w:rPr>
          <w:sz w:val="20"/>
        </w:rPr>
        <w:t>por</w:t>
      </w:r>
      <w:r>
        <w:rPr>
          <w:spacing w:val="-5"/>
          <w:sz w:val="20"/>
        </w:rPr>
        <w:t> </w:t>
      </w:r>
      <w:r>
        <w:rPr>
          <w:sz w:val="20"/>
        </w:rPr>
        <w:t>los</w:t>
      </w:r>
      <w:r>
        <w:rPr>
          <w:spacing w:val="-6"/>
          <w:sz w:val="20"/>
        </w:rPr>
        <w:t> </w:t>
      </w:r>
      <w:r>
        <w:rPr>
          <w:spacing w:val="-2"/>
          <w:sz w:val="20"/>
        </w:rPr>
        <w:t>municipios;</w:t>
      </w:r>
    </w:p>
    <w:p>
      <w:pPr>
        <w:pStyle w:val="BodyText"/>
        <w:spacing w:before="1"/>
      </w:pPr>
    </w:p>
    <w:p>
      <w:pPr>
        <w:pStyle w:val="ListParagraph"/>
        <w:numPr>
          <w:ilvl w:val="0"/>
          <w:numId w:val="29"/>
        </w:numPr>
        <w:tabs>
          <w:tab w:pos="597" w:val="left" w:leader="none"/>
        </w:tabs>
        <w:spacing w:line="240" w:lineRule="auto" w:before="0" w:after="0"/>
        <w:ind w:left="597" w:right="0" w:hanging="335"/>
        <w:jc w:val="both"/>
        <w:rPr>
          <w:sz w:val="20"/>
        </w:rPr>
      </w:pPr>
      <w:r>
        <w:rPr>
          <w:sz w:val="20"/>
        </w:rPr>
        <w:t>Recursos</w:t>
      </w:r>
      <w:r>
        <w:rPr>
          <w:spacing w:val="-8"/>
          <w:sz w:val="20"/>
        </w:rPr>
        <w:t> </w:t>
      </w:r>
      <w:r>
        <w:rPr>
          <w:spacing w:val="-2"/>
          <w:sz w:val="20"/>
        </w:rPr>
        <w:t>propios;</w:t>
      </w:r>
    </w:p>
    <w:p>
      <w:pPr>
        <w:pStyle w:val="BodyText"/>
        <w:spacing w:before="1"/>
      </w:pPr>
    </w:p>
    <w:p>
      <w:pPr>
        <w:pStyle w:val="ListParagraph"/>
        <w:numPr>
          <w:ilvl w:val="0"/>
          <w:numId w:val="29"/>
        </w:numPr>
        <w:tabs>
          <w:tab w:pos="545" w:val="left" w:leader="none"/>
        </w:tabs>
        <w:spacing w:line="240" w:lineRule="auto" w:before="0" w:after="0"/>
        <w:ind w:left="262" w:right="285" w:firstLine="0"/>
        <w:jc w:val="both"/>
        <w:rPr>
          <w:sz w:val="20"/>
        </w:rPr>
      </w:pPr>
      <w:r>
        <w:rPr>
          <w:sz w:val="20"/>
        </w:rPr>
        <w:t>Instituciones de financiamiento público y fondos especiales como</w:t>
      </w:r>
      <w:r>
        <w:rPr>
          <w:spacing w:val="40"/>
          <w:sz w:val="20"/>
        </w:rPr>
        <w:t> </w:t>
      </w:r>
      <w:r>
        <w:rPr>
          <w:sz w:val="20"/>
        </w:rPr>
        <w:t>Fondo Nacional de Infraestructura y el Fondo Metropolitano;</w:t>
      </w:r>
    </w:p>
    <w:p>
      <w:pPr>
        <w:pStyle w:val="ListParagraph"/>
        <w:numPr>
          <w:ilvl w:val="0"/>
          <w:numId w:val="29"/>
        </w:numPr>
        <w:tabs>
          <w:tab w:pos="544" w:val="left" w:leader="none"/>
        </w:tabs>
        <w:spacing w:line="240" w:lineRule="auto" w:before="229" w:after="0"/>
        <w:ind w:left="544" w:right="0" w:hanging="282"/>
        <w:jc w:val="both"/>
        <w:rPr>
          <w:sz w:val="20"/>
        </w:rPr>
      </w:pPr>
      <w:r>
        <w:rPr>
          <w:sz w:val="20"/>
        </w:rPr>
        <w:t>El</w:t>
      </w:r>
      <w:r>
        <w:rPr>
          <w:spacing w:val="-11"/>
          <w:sz w:val="20"/>
        </w:rPr>
        <w:t> </w:t>
      </w:r>
      <w:r>
        <w:rPr>
          <w:sz w:val="20"/>
        </w:rPr>
        <w:t>financiamiento</w:t>
      </w:r>
      <w:r>
        <w:rPr>
          <w:spacing w:val="-10"/>
          <w:sz w:val="20"/>
        </w:rPr>
        <w:t> </w:t>
      </w:r>
      <w:r>
        <w:rPr>
          <w:sz w:val="20"/>
        </w:rPr>
        <w:t>privado,</w:t>
      </w:r>
      <w:r>
        <w:rPr>
          <w:spacing w:val="-9"/>
          <w:sz w:val="20"/>
        </w:rPr>
        <w:t> </w:t>
      </w:r>
      <w:r>
        <w:rPr>
          <w:spacing w:val="-10"/>
          <w:sz w:val="20"/>
        </w:rPr>
        <w:t>y</w:t>
      </w:r>
    </w:p>
    <w:p>
      <w:pPr>
        <w:pStyle w:val="BodyText"/>
        <w:spacing w:before="1"/>
      </w:pPr>
    </w:p>
    <w:p>
      <w:pPr>
        <w:pStyle w:val="ListParagraph"/>
        <w:numPr>
          <w:ilvl w:val="0"/>
          <w:numId w:val="29"/>
        </w:numPr>
        <w:tabs>
          <w:tab w:pos="544" w:val="left" w:leader="none"/>
        </w:tabs>
        <w:spacing w:line="240" w:lineRule="auto" w:before="0" w:after="0"/>
        <w:ind w:left="544" w:right="0" w:hanging="282"/>
        <w:jc w:val="both"/>
        <w:rPr>
          <w:sz w:val="20"/>
        </w:rPr>
      </w:pPr>
      <w:r>
        <w:rPr>
          <w:spacing w:val="-2"/>
          <w:sz w:val="20"/>
        </w:rPr>
        <w:t>Fideicomisos.</w:t>
      </w:r>
    </w:p>
    <w:p>
      <w:pPr>
        <w:pStyle w:val="BodyText"/>
        <w:spacing w:before="1"/>
      </w:pPr>
    </w:p>
    <w:p>
      <w:pPr>
        <w:pStyle w:val="BodyText"/>
        <w:ind w:left="262" w:right="278"/>
        <w:jc w:val="both"/>
      </w:pPr>
      <w:r>
        <w:rPr>
          <w:rFonts w:ascii="Arial" w:hAnsi="Arial"/>
          <w:b/>
        </w:rPr>
        <w:t>ARTÍCULO</w:t>
      </w:r>
      <w:r>
        <w:rPr>
          <w:rFonts w:ascii="Arial" w:hAnsi="Arial"/>
          <w:b/>
          <w:spacing w:val="-6"/>
        </w:rPr>
        <w:t> </w:t>
      </w:r>
      <w:r>
        <w:rPr>
          <w:rFonts w:ascii="Arial" w:hAnsi="Arial"/>
          <w:b/>
        </w:rPr>
        <w:t>60.</w:t>
      </w:r>
      <w:r>
        <w:rPr>
          <w:rFonts w:ascii="Arial" w:hAnsi="Arial"/>
          <w:b/>
          <w:spacing w:val="-5"/>
        </w:rPr>
        <w:t> </w:t>
      </w:r>
      <w:r>
        <w:rPr/>
        <w:t>El</w:t>
      </w:r>
      <w:r>
        <w:rPr>
          <w:spacing w:val="-6"/>
        </w:rPr>
        <w:t> </w:t>
      </w:r>
      <w:r>
        <w:rPr/>
        <w:t>Estado</w:t>
      </w:r>
      <w:r>
        <w:rPr>
          <w:spacing w:val="-7"/>
        </w:rPr>
        <w:t> </w:t>
      </w:r>
      <w:r>
        <w:rPr/>
        <w:t>en</w:t>
      </w:r>
      <w:r>
        <w:rPr>
          <w:spacing w:val="-7"/>
        </w:rPr>
        <w:t> </w:t>
      </w:r>
      <w:r>
        <w:rPr/>
        <w:t>coordinación</w:t>
      </w:r>
      <w:r>
        <w:rPr>
          <w:spacing w:val="-7"/>
        </w:rPr>
        <w:t> </w:t>
      </w:r>
      <w:r>
        <w:rPr/>
        <w:t>con</w:t>
      </w:r>
      <w:r>
        <w:rPr>
          <w:spacing w:val="-6"/>
        </w:rPr>
        <w:t> </w:t>
      </w:r>
      <w:r>
        <w:rPr/>
        <w:t>las</w:t>
      </w:r>
      <w:r>
        <w:rPr>
          <w:spacing w:val="-6"/>
        </w:rPr>
        <w:t> </w:t>
      </w:r>
      <w:r>
        <w:rPr/>
        <w:t>autoridades</w:t>
      </w:r>
      <w:r>
        <w:rPr>
          <w:spacing w:val="-6"/>
        </w:rPr>
        <w:t> </w:t>
      </w:r>
      <w:r>
        <w:rPr/>
        <w:t>de</w:t>
      </w:r>
      <w:r>
        <w:rPr>
          <w:spacing w:val="-7"/>
        </w:rPr>
        <w:t> </w:t>
      </w:r>
      <w:r>
        <w:rPr/>
        <w:t>los</w:t>
      </w:r>
      <w:r>
        <w:rPr>
          <w:spacing w:val="-6"/>
        </w:rPr>
        <w:t> </w:t>
      </w:r>
      <w:r>
        <w:rPr/>
        <w:t>distintos</w:t>
      </w:r>
      <w:r>
        <w:rPr>
          <w:spacing w:val="-6"/>
        </w:rPr>
        <w:t> </w:t>
      </w:r>
      <w:r>
        <w:rPr/>
        <w:t>órdenes</w:t>
      </w:r>
      <w:r>
        <w:rPr>
          <w:spacing w:val="-6"/>
        </w:rPr>
        <w:t> </w:t>
      </w:r>
      <w:r>
        <w:rPr/>
        <w:t>de</w:t>
      </w:r>
      <w:r>
        <w:rPr>
          <w:spacing w:val="-6"/>
        </w:rPr>
        <w:t> </w:t>
      </w:r>
      <w:r>
        <w:rPr/>
        <w:t>gobierno, podrán aplicar instrumentos de financiamiento que permitan que los costos de la ejecución o introducción</w:t>
      </w:r>
      <w:r>
        <w:rPr>
          <w:spacing w:val="-4"/>
        </w:rPr>
        <w:t> </w:t>
      </w:r>
      <w:r>
        <w:rPr/>
        <w:t>de</w:t>
      </w:r>
      <w:r>
        <w:rPr>
          <w:spacing w:val="-6"/>
        </w:rPr>
        <w:t> </w:t>
      </w:r>
      <w:r>
        <w:rPr/>
        <w:t>infraestructura</w:t>
      </w:r>
      <w:r>
        <w:rPr>
          <w:spacing w:val="-5"/>
        </w:rPr>
        <w:t> </w:t>
      </w:r>
      <w:r>
        <w:rPr/>
        <w:t>primaria,</w:t>
      </w:r>
      <w:r>
        <w:rPr>
          <w:spacing w:val="-5"/>
        </w:rPr>
        <w:t> </w:t>
      </w:r>
      <w:r>
        <w:rPr/>
        <w:t>servicios</w:t>
      </w:r>
      <w:r>
        <w:rPr>
          <w:spacing w:val="-4"/>
        </w:rPr>
        <w:t> </w:t>
      </w:r>
      <w:r>
        <w:rPr/>
        <w:t>básicos,</w:t>
      </w:r>
      <w:r>
        <w:rPr>
          <w:spacing w:val="-5"/>
        </w:rPr>
        <w:t> </w:t>
      </w:r>
      <w:r>
        <w:rPr/>
        <w:t>otras</w:t>
      </w:r>
      <w:r>
        <w:rPr>
          <w:spacing w:val="-4"/>
        </w:rPr>
        <w:t> </w:t>
      </w:r>
      <w:r>
        <w:rPr/>
        <w:t>obras</w:t>
      </w:r>
      <w:r>
        <w:rPr>
          <w:spacing w:val="-4"/>
        </w:rPr>
        <w:t> </w:t>
      </w:r>
      <w:r>
        <w:rPr/>
        <w:t>y</w:t>
      </w:r>
      <w:r>
        <w:rPr>
          <w:spacing w:val="-4"/>
        </w:rPr>
        <w:t> </w:t>
      </w:r>
      <w:r>
        <w:rPr/>
        <w:t>acciones</w:t>
      </w:r>
      <w:r>
        <w:rPr>
          <w:spacing w:val="-1"/>
        </w:rPr>
        <w:t> </w:t>
      </w:r>
      <w:r>
        <w:rPr/>
        <w:t>de</w:t>
      </w:r>
      <w:r>
        <w:rPr>
          <w:spacing w:val="-6"/>
        </w:rPr>
        <w:t> </w:t>
      </w:r>
      <w:r>
        <w:rPr/>
        <w:t>interés</w:t>
      </w:r>
      <w:r>
        <w:rPr>
          <w:spacing w:val="-4"/>
        </w:rPr>
        <w:t> </w:t>
      </w:r>
      <w:r>
        <w:rPr/>
        <w:t>público urbano se carguen de manera preferente a los que se benefician directamente de los mismos.</w:t>
      </w:r>
    </w:p>
    <w:p>
      <w:pPr>
        <w:pStyle w:val="BodyText"/>
        <w:spacing w:before="229"/>
        <w:ind w:left="262" w:right="287"/>
        <w:jc w:val="both"/>
      </w:pPr>
      <w:r>
        <w:rPr>
          <w:rFonts w:ascii="Arial" w:hAnsi="Arial"/>
          <w:b/>
        </w:rPr>
        <w:t>ARTÍCULO 61. </w:t>
      </w:r>
      <w:r>
        <w:rPr/>
        <w:t>Los instrumentos de</w:t>
      </w:r>
      <w:r>
        <w:rPr>
          <w:spacing w:val="-1"/>
        </w:rPr>
        <w:t> </w:t>
      </w:r>
      <w:r>
        <w:rPr/>
        <w:t>financiamiento a</w:t>
      </w:r>
      <w:r>
        <w:rPr>
          <w:spacing w:val="-1"/>
        </w:rPr>
        <w:t> </w:t>
      </w:r>
      <w:r>
        <w:rPr/>
        <w:t>que alude</w:t>
      </w:r>
      <w:r>
        <w:rPr>
          <w:spacing w:val="-1"/>
        </w:rPr>
        <w:t> </w:t>
      </w:r>
      <w:r>
        <w:rPr/>
        <w:t>el</w:t>
      </w:r>
      <w:r>
        <w:rPr>
          <w:spacing w:val="-1"/>
        </w:rPr>
        <w:t> </w:t>
      </w:r>
      <w:r>
        <w:rPr/>
        <w:t>artículo</w:t>
      </w:r>
      <w:r>
        <w:rPr>
          <w:spacing w:val="-1"/>
        </w:rPr>
        <w:t> </w:t>
      </w:r>
      <w:r>
        <w:rPr/>
        <w:t>anterior atenderán</w:t>
      </w:r>
      <w:r>
        <w:rPr>
          <w:spacing w:val="-1"/>
        </w:rPr>
        <w:t> </w:t>
      </w:r>
      <w:r>
        <w:rPr/>
        <w:t>a</w:t>
      </w:r>
      <w:r>
        <w:rPr>
          <w:spacing w:val="-1"/>
        </w:rPr>
        <w:t> </w:t>
      </w:r>
      <w:r>
        <w:rPr/>
        <w:t>las prioridades que establece la Estrategia Nacional y los programas de ordenamiento territorial y desarrollo urbano aplicables, y podrán dirigirse a:</w:t>
      </w:r>
    </w:p>
    <w:p>
      <w:pPr>
        <w:pStyle w:val="BodyText"/>
      </w:pPr>
    </w:p>
    <w:p>
      <w:pPr>
        <w:pStyle w:val="ListParagraph"/>
        <w:numPr>
          <w:ilvl w:val="0"/>
          <w:numId w:val="30"/>
        </w:numPr>
        <w:tabs>
          <w:tab w:pos="543" w:val="left" w:leader="none"/>
        </w:tabs>
        <w:spacing w:line="240" w:lineRule="auto" w:before="0" w:after="0"/>
        <w:ind w:left="262" w:right="286" w:firstLine="0"/>
        <w:jc w:val="both"/>
        <w:rPr>
          <w:sz w:val="20"/>
        </w:rPr>
      </w:pPr>
      <w:r>
        <w:rPr>
          <w:sz w:val="20"/>
        </w:rPr>
        <w:t>Apoyar el desarrollo de acciones, obras, servicios públicos, proyectos intermunicipales y de movilidad urbana sustentable;</w:t>
      </w:r>
    </w:p>
    <w:p>
      <w:pPr>
        <w:pStyle w:val="ListParagraph"/>
        <w:numPr>
          <w:ilvl w:val="0"/>
          <w:numId w:val="30"/>
        </w:numPr>
        <w:tabs>
          <w:tab w:pos="543" w:val="left" w:leader="none"/>
        </w:tabs>
        <w:spacing w:line="240" w:lineRule="auto" w:before="229" w:after="0"/>
        <w:ind w:left="262" w:right="279" w:firstLine="0"/>
        <w:jc w:val="both"/>
        <w:rPr>
          <w:sz w:val="20"/>
        </w:rPr>
      </w:pPr>
      <w:r>
        <w:rPr>
          <w:sz w:val="20"/>
        </w:rPr>
        <w:t>Apoyar o complementar a los municipios o a los organismos o asociaciones intermunicipales, el desarrollo de acciones, obras, servicios públicos o proyectos en las materias de interés para el desarrollo de las zonas metropolitanas o conurbaciones, así como de los proyectos, información, investigación, consultoría, capacitación, divulgación y asistencia técnica necesarios;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30"/>
        </w:numPr>
        <w:tabs>
          <w:tab w:pos="597" w:val="left" w:leader="none"/>
        </w:tabs>
        <w:spacing w:line="240" w:lineRule="auto" w:before="0" w:after="0"/>
        <w:ind w:left="262" w:right="285" w:firstLine="0"/>
        <w:jc w:val="both"/>
        <w:rPr>
          <w:sz w:val="20"/>
        </w:rPr>
      </w:pPr>
      <w:r>
        <w:rPr>
          <w:sz w:val="20"/>
        </w:rPr>
        <w:t>Elaborar</w:t>
      </w:r>
      <w:r>
        <w:rPr>
          <w:spacing w:val="-4"/>
          <w:sz w:val="20"/>
        </w:rPr>
        <w:t> </w:t>
      </w:r>
      <w:r>
        <w:rPr>
          <w:sz w:val="20"/>
        </w:rPr>
        <w:t>y</w:t>
      </w:r>
      <w:r>
        <w:rPr>
          <w:spacing w:val="-6"/>
          <w:sz w:val="20"/>
        </w:rPr>
        <w:t> </w:t>
      </w:r>
      <w:r>
        <w:rPr>
          <w:sz w:val="20"/>
        </w:rPr>
        <w:t>desarrollar</w:t>
      </w:r>
      <w:r>
        <w:rPr>
          <w:spacing w:val="-7"/>
          <w:sz w:val="20"/>
        </w:rPr>
        <w:t> </w:t>
      </w:r>
      <w:r>
        <w:rPr>
          <w:sz w:val="20"/>
        </w:rPr>
        <w:t>programas</w:t>
      </w:r>
      <w:r>
        <w:rPr>
          <w:spacing w:val="-7"/>
          <w:sz w:val="20"/>
        </w:rPr>
        <w:t> </w:t>
      </w:r>
      <w:r>
        <w:rPr>
          <w:sz w:val="20"/>
        </w:rPr>
        <w:t>y</w:t>
      </w:r>
      <w:r>
        <w:rPr>
          <w:spacing w:val="-6"/>
          <w:sz w:val="20"/>
        </w:rPr>
        <w:t> </w:t>
      </w:r>
      <w:r>
        <w:rPr>
          <w:sz w:val="20"/>
        </w:rPr>
        <w:t>proyectos</w:t>
      </w:r>
      <w:r>
        <w:rPr>
          <w:spacing w:val="-7"/>
          <w:sz w:val="20"/>
        </w:rPr>
        <w:t> </w:t>
      </w:r>
      <w:r>
        <w:rPr>
          <w:sz w:val="20"/>
        </w:rPr>
        <w:t>para</w:t>
      </w:r>
      <w:r>
        <w:rPr>
          <w:spacing w:val="-6"/>
          <w:sz w:val="20"/>
        </w:rPr>
        <w:t> </w:t>
      </w:r>
      <w:r>
        <w:rPr>
          <w:sz w:val="20"/>
        </w:rPr>
        <w:t>la</w:t>
      </w:r>
      <w:r>
        <w:rPr>
          <w:spacing w:val="-5"/>
          <w:sz w:val="20"/>
        </w:rPr>
        <w:t> </w:t>
      </w:r>
      <w:r>
        <w:rPr>
          <w:sz w:val="20"/>
        </w:rPr>
        <w:t>adquisición</w:t>
      </w:r>
      <w:r>
        <w:rPr>
          <w:spacing w:val="-7"/>
          <w:sz w:val="20"/>
        </w:rPr>
        <w:t> </w:t>
      </w:r>
      <w:r>
        <w:rPr>
          <w:sz w:val="20"/>
        </w:rPr>
        <w:t>y</w:t>
      </w:r>
      <w:r>
        <w:rPr>
          <w:spacing w:val="-6"/>
          <w:sz w:val="20"/>
        </w:rPr>
        <w:t> </w:t>
      </w:r>
      <w:r>
        <w:rPr>
          <w:sz w:val="20"/>
        </w:rPr>
        <w:t>construcción</w:t>
      </w:r>
      <w:r>
        <w:rPr>
          <w:spacing w:val="-3"/>
          <w:sz w:val="20"/>
        </w:rPr>
        <w:t> </w:t>
      </w:r>
      <w:r>
        <w:rPr>
          <w:sz w:val="20"/>
        </w:rPr>
        <w:t>de</w:t>
      </w:r>
      <w:r>
        <w:rPr>
          <w:spacing w:val="-7"/>
          <w:sz w:val="20"/>
        </w:rPr>
        <w:t> </w:t>
      </w:r>
      <w:r>
        <w:rPr>
          <w:sz w:val="20"/>
        </w:rPr>
        <w:t>vivienda,</w:t>
      </w:r>
      <w:r>
        <w:rPr>
          <w:spacing w:val="-5"/>
          <w:sz w:val="20"/>
        </w:rPr>
        <w:t> </w:t>
      </w:r>
      <w:r>
        <w:rPr>
          <w:sz w:val="20"/>
        </w:rPr>
        <w:t>así como de giros comerciales y de servicios, en zonas con valores históricos y culturales;</w:t>
      </w:r>
    </w:p>
    <w:p>
      <w:pPr>
        <w:pStyle w:val="BodyText"/>
        <w:spacing w:before="1"/>
      </w:pPr>
    </w:p>
    <w:p>
      <w:pPr>
        <w:pStyle w:val="ListParagraph"/>
        <w:numPr>
          <w:ilvl w:val="0"/>
          <w:numId w:val="30"/>
        </w:numPr>
        <w:tabs>
          <w:tab w:pos="688" w:val="left" w:leader="none"/>
        </w:tabs>
        <w:spacing w:line="240" w:lineRule="auto" w:before="0" w:after="0"/>
        <w:ind w:left="262" w:right="285" w:firstLine="0"/>
        <w:jc w:val="both"/>
        <w:rPr>
          <w:sz w:val="20"/>
        </w:rPr>
      </w:pPr>
      <w:r>
        <w:rPr>
          <w:sz w:val="20"/>
        </w:rPr>
        <w:t>Apoyar</w:t>
      </w:r>
      <w:r>
        <w:rPr>
          <w:spacing w:val="-2"/>
          <w:sz w:val="20"/>
        </w:rPr>
        <w:t> </w:t>
      </w:r>
      <w:r>
        <w:rPr>
          <w:sz w:val="20"/>
        </w:rPr>
        <w:t>y</w:t>
      </w:r>
      <w:r>
        <w:rPr>
          <w:spacing w:val="-2"/>
          <w:sz w:val="20"/>
        </w:rPr>
        <w:t> </w:t>
      </w:r>
      <w:r>
        <w:rPr>
          <w:sz w:val="20"/>
        </w:rPr>
        <w:t>desarrollar</w:t>
      </w:r>
      <w:r>
        <w:rPr>
          <w:spacing w:val="-2"/>
          <w:sz w:val="20"/>
        </w:rPr>
        <w:t> </w:t>
      </w:r>
      <w:r>
        <w:rPr>
          <w:sz w:val="20"/>
        </w:rPr>
        <w:t>programas</w:t>
      </w:r>
      <w:r>
        <w:rPr>
          <w:spacing w:val="-2"/>
          <w:sz w:val="20"/>
        </w:rPr>
        <w:t> </w:t>
      </w:r>
      <w:r>
        <w:rPr>
          <w:sz w:val="20"/>
        </w:rPr>
        <w:t>de</w:t>
      </w:r>
      <w:r>
        <w:rPr>
          <w:spacing w:val="-4"/>
          <w:sz w:val="20"/>
        </w:rPr>
        <w:t> </w:t>
      </w:r>
      <w:r>
        <w:rPr>
          <w:sz w:val="20"/>
        </w:rPr>
        <w:t>adquisición,</w:t>
      </w:r>
      <w:r>
        <w:rPr>
          <w:spacing w:val="-3"/>
          <w:sz w:val="20"/>
        </w:rPr>
        <w:t> </w:t>
      </w:r>
      <w:r>
        <w:rPr>
          <w:sz w:val="20"/>
        </w:rPr>
        <w:t>habilitación</w:t>
      </w:r>
      <w:r>
        <w:rPr>
          <w:spacing w:val="-4"/>
          <w:sz w:val="20"/>
        </w:rPr>
        <w:t> </w:t>
      </w:r>
      <w:r>
        <w:rPr>
          <w:sz w:val="20"/>
        </w:rPr>
        <w:t>y</w:t>
      </w:r>
      <w:r>
        <w:rPr>
          <w:spacing w:val="-2"/>
          <w:sz w:val="20"/>
        </w:rPr>
        <w:t> </w:t>
      </w:r>
      <w:r>
        <w:rPr>
          <w:sz w:val="20"/>
        </w:rPr>
        <w:t>venta</w:t>
      </w:r>
      <w:r>
        <w:rPr>
          <w:spacing w:val="-1"/>
          <w:sz w:val="20"/>
        </w:rPr>
        <w:t> </w:t>
      </w:r>
      <w:r>
        <w:rPr>
          <w:sz w:val="20"/>
        </w:rPr>
        <w:t>de</w:t>
      </w:r>
      <w:r>
        <w:rPr>
          <w:spacing w:val="-4"/>
          <w:sz w:val="20"/>
        </w:rPr>
        <w:t> </w:t>
      </w:r>
      <w:r>
        <w:rPr>
          <w:sz w:val="20"/>
        </w:rPr>
        <w:t>suelo</w:t>
      </w:r>
      <w:r>
        <w:rPr>
          <w:spacing w:val="-3"/>
          <w:sz w:val="20"/>
        </w:rPr>
        <w:t> </w:t>
      </w:r>
      <w:r>
        <w:rPr>
          <w:sz w:val="20"/>
        </w:rPr>
        <w:t>para lograr</w:t>
      </w:r>
      <w:r>
        <w:rPr>
          <w:spacing w:val="-2"/>
          <w:sz w:val="20"/>
        </w:rPr>
        <w:t> </w:t>
      </w:r>
      <w:r>
        <w:rPr>
          <w:sz w:val="20"/>
        </w:rPr>
        <w:t>zonas metropolitanas o conurbaciones más organizadas y compactas, y para atender las distintas necesidades del desarrollo urbano, y</w:t>
      </w:r>
    </w:p>
    <w:p>
      <w:pPr>
        <w:pStyle w:val="ListParagraph"/>
        <w:numPr>
          <w:ilvl w:val="0"/>
          <w:numId w:val="30"/>
        </w:numPr>
        <w:tabs>
          <w:tab w:pos="688" w:val="left" w:leader="none"/>
        </w:tabs>
        <w:spacing w:line="240" w:lineRule="auto" w:before="229" w:after="0"/>
        <w:ind w:left="688" w:right="0" w:hanging="426"/>
        <w:jc w:val="both"/>
        <w:rPr>
          <w:sz w:val="20"/>
        </w:rPr>
      </w:pPr>
      <w:r>
        <w:rPr>
          <w:sz w:val="20"/>
        </w:rPr>
        <w:t>Elaborar,</w:t>
      </w:r>
      <w:r>
        <w:rPr>
          <w:spacing w:val="-7"/>
          <w:sz w:val="20"/>
        </w:rPr>
        <w:t> </w:t>
      </w:r>
      <w:r>
        <w:rPr>
          <w:sz w:val="20"/>
        </w:rPr>
        <w:t>actualizar</w:t>
      </w:r>
      <w:r>
        <w:rPr>
          <w:spacing w:val="-9"/>
          <w:sz w:val="20"/>
        </w:rPr>
        <w:t> </w:t>
      </w:r>
      <w:r>
        <w:rPr>
          <w:sz w:val="20"/>
        </w:rPr>
        <w:t>o</w:t>
      </w:r>
      <w:r>
        <w:rPr>
          <w:spacing w:val="-7"/>
          <w:sz w:val="20"/>
        </w:rPr>
        <w:t> </w:t>
      </w:r>
      <w:r>
        <w:rPr>
          <w:sz w:val="20"/>
        </w:rPr>
        <w:t>modificar</w:t>
      </w:r>
      <w:r>
        <w:rPr>
          <w:spacing w:val="-9"/>
          <w:sz w:val="20"/>
        </w:rPr>
        <w:t> </w:t>
      </w:r>
      <w:r>
        <w:rPr>
          <w:sz w:val="20"/>
        </w:rPr>
        <w:t>los</w:t>
      </w:r>
      <w:r>
        <w:rPr>
          <w:spacing w:val="-8"/>
          <w:sz w:val="20"/>
        </w:rPr>
        <w:t> </w:t>
      </w:r>
      <w:r>
        <w:rPr>
          <w:sz w:val="20"/>
        </w:rPr>
        <w:t>programas</w:t>
      </w:r>
      <w:r>
        <w:rPr>
          <w:spacing w:val="-8"/>
          <w:sz w:val="20"/>
        </w:rPr>
        <w:t> </w:t>
      </w:r>
      <w:r>
        <w:rPr>
          <w:sz w:val="20"/>
        </w:rPr>
        <w:t>de</w:t>
      </w:r>
      <w:r>
        <w:rPr>
          <w:spacing w:val="-9"/>
          <w:sz w:val="20"/>
        </w:rPr>
        <w:t> </w:t>
      </w:r>
      <w:r>
        <w:rPr>
          <w:sz w:val="20"/>
        </w:rPr>
        <w:t>ordenamiento</w:t>
      </w:r>
      <w:r>
        <w:rPr>
          <w:spacing w:val="-9"/>
          <w:sz w:val="20"/>
        </w:rPr>
        <w:t> </w:t>
      </w:r>
      <w:r>
        <w:rPr>
          <w:sz w:val="20"/>
        </w:rPr>
        <w:t>territorial</w:t>
      </w:r>
      <w:r>
        <w:rPr>
          <w:spacing w:val="-9"/>
          <w:sz w:val="20"/>
        </w:rPr>
        <w:t> </w:t>
      </w:r>
      <w:r>
        <w:rPr>
          <w:sz w:val="20"/>
        </w:rPr>
        <w:t>y</w:t>
      </w:r>
      <w:r>
        <w:rPr>
          <w:spacing w:val="-9"/>
          <w:sz w:val="20"/>
        </w:rPr>
        <w:t> </w:t>
      </w:r>
      <w:r>
        <w:rPr>
          <w:sz w:val="20"/>
        </w:rPr>
        <w:t>desarrollo</w:t>
      </w:r>
      <w:r>
        <w:rPr>
          <w:spacing w:val="-9"/>
          <w:sz w:val="20"/>
        </w:rPr>
        <w:t> </w:t>
      </w:r>
      <w:r>
        <w:rPr>
          <w:spacing w:val="-2"/>
          <w:sz w:val="20"/>
        </w:rPr>
        <w:t>urbano.</w:t>
      </w:r>
    </w:p>
    <w:p>
      <w:pPr>
        <w:pStyle w:val="BodyText"/>
      </w:pPr>
    </w:p>
    <w:p>
      <w:pPr>
        <w:pStyle w:val="BodyText"/>
        <w:spacing w:before="2"/>
      </w:pPr>
    </w:p>
    <w:p>
      <w:pPr>
        <w:pStyle w:val="Heading2"/>
        <w:ind w:right="15"/>
      </w:pPr>
      <w:r>
        <w:rPr/>
        <w:t>Capítulo</w:t>
      </w:r>
      <w:r>
        <w:rPr>
          <w:spacing w:val="-8"/>
        </w:rPr>
        <w:t> </w:t>
      </w:r>
      <w:r>
        <w:rPr>
          <w:spacing w:val="-5"/>
        </w:rPr>
        <w:t>II</w:t>
      </w:r>
    </w:p>
    <w:p>
      <w:pPr>
        <w:spacing w:before="229"/>
        <w:ind w:left="5" w:right="24" w:firstLine="0"/>
        <w:jc w:val="center"/>
        <w:rPr>
          <w:rFonts w:ascii="Arial"/>
          <w:b/>
          <w:sz w:val="20"/>
        </w:rPr>
      </w:pPr>
      <w:r>
        <w:rPr>
          <w:rFonts w:ascii="Arial"/>
          <w:b/>
          <w:spacing w:val="-2"/>
          <w:sz w:val="20"/>
        </w:rPr>
        <w:t>Programas</w:t>
      </w:r>
      <w:r>
        <w:rPr>
          <w:rFonts w:ascii="Arial"/>
          <w:b/>
          <w:spacing w:val="5"/>
          <w:sz w:val="20"/>
        </w:rPr>
        <w:t> </w:t>
      </w:r>
      <w:r>
        <w:rPr>
          <w:rFonts w:ascii="Arial"/>
          <w:b/>
          <w:spacing w:val="-2"/>
          <w:sz w:val="20"/>
        </w:rPr>
        <w:t>Territoriales</w:t>
      </w:r>
      <w:r>
        <w:rPr>
          <w:rFonts w:ascii="Arial"/>
          <w:b/>
          <w:spacing w:val="7"/>
          <w:sz w:val="20"/>
        </w:rPr>
        <w:t> </w:t>
      </w:r>
      <w:r>
        <w:rPr>
          <w:rFonts w:ascii="Arial"/>
          <w:b/>
          <w:spacing w:val="-2"/>
          <w:sz w:val="20"/>
        </w:rPr>
        <w:t>Operativos</w:t>
      </w:r>
    </w:p>
    <w:p>
      <w:pPr>
        <w:pStyle w:val="BodyText"/>
        <w:rPr>
          <w:rFonts w:ascii="Arial"/>
          <w:b/>
        </w:rPr>
      </w:pPr>
    </w:p>
    <w:p>
      <w:pPr>
        <w:pStyle w:val="BodyText"/>
        <w:spacing w:before="1"/>
        <w:ind w:left="262" w:right="285"/>
        <w:jc w:val="both"/>
      </w:pPr>
      <w:r>
        <w:rPr>
          <w:rFonts w:ascii="Arial" w:hAnsi="Arial"/>
          <w:b/>
        </w:rPr>
        <w:t>ARTÍCULO 62. </w:t>
      </w:r>
      <w:r>
        <w:rPr/>
        <w:t>Los Programas Territoriales Operativos serán la guía para la concentración de acciones e inversiones intersectoriales de los tres órdenes de gobierno.</w:t>
      </w:r>
    </w:p>
    <w:p>
      <w:pPr>
        <w:pStyle w:val="BodyText"/>
        <w:spacing w:before="228"/>
        <w:ind w:left="262" w:right="286"/>
        <w:jc w:val="both"/>
      </w:pPr>
      <w:r>
        <w:rPr/>
        <w:t>Los Programas serán formulados de acuerdo al procedimiento de elaboración, alcances, instituciones</w:t>
      </w:r>
      <w:r>
        <w:rPr>
          <w:spacing w:val="-14"/>
        </w:rPr>
        <w:t> </w:t>
      </w:r>
      <w:r>
        <w:rPr/>
        <w:t>participantes</w:t>
      </w:r>
      <w:r>
        <w:rPr>
          <w:spacing w:val="-13"/>
        </w:rPr>
        <w:t> </w:t>
      </w:r>
      <w:r>
        <w:rPr/>
        <w:t>y</w:t>
      </w:r>
      <w:r>
        <w:rPr>
          <w:spacing w:val="-13"/>
        </w:rPr>
        <w:t> </w:t>
      </w:r>
      <w:r>
        <w:rPr/>
        <w:t>mecanismos</w:t>
      </w:r>
      <w:r>
        <w:rPr>
          <w:spacing w:val="-11"/>
        </w:rPr>
        <w:t> </w:t>
      </w:r>
      <w:r>
        <w:rPr/>
        <w:t>de</w:t>
      </w:r>
      <w:r>
        <w:rPr>
          <w:spacing w:val="-14"/>
        </w:rPr>
        <w:t> </w:t>
      </w:r>
      <w:r>
        <w:rPr/>
        <w:t>seguimiento</w:t>
      </w:r>
      <w:r>
        <w:rPr>
          <w:spacing w:val="-14"/>
        </w:rPr>
        <w:t> </w:t>
      </w:r>
      <w:r>
        <w:rPr/>
        <w:t>y</w:t>
      </w:r>
      <w:r>
        <w:rPr>
          <w:spacing w:val="-13"/>
        </w:rPr>
        <w:t> </w:t>
      </w:r>
      <w:r>
        <w:rPr/>
        <w:t>evaluación;</w:t>
      </w:r>
      <w:r>
        <w:rPr>
          <w:spacing w:val="-12"/>
        </w:rPr>
        <w:t> </w:t>
      </w:r>
      <w:r>
        <w:rPr/>
        <w:t>de</w:t>
      </w:r>
      <w:r>
        <w:rPr>
          <w:spacing w:val="-13"/>
        </w:rPr>
        <w:t> </w:t>
      </w:r>
      <w:r>
        <w:rPr/>
        <w:t>acuerdo</w:t>
      </w:r>
      <w:r>
        <w:rPr>
          <w:spacing w:val="-13"/>
        </w:rPr>
        <w:t> </w:t>
      </w:r>
      <w:r>
        <w:rPr/>
        <w:t>a</w:t>
      </w:r>
      <w:r>
        <w:rPr>
          <w:spacing w:val="-14"/>
        </w:rPr>
        <w:t> </w:t>
      </w:r>
      <w:r>
        <w:rPr/>
        <w:t>los</w:t>
      </w:r>
      <w:r>
        <w:rPr>
          <w:spacing w:val="-14"/>
        </w:rPr>
        <w:t> </w:t>
      </w:r>
      <w:r>
        <w:rPr/>
        <w:t>criterios</w:t>
      </w:r>
      <w:r>
        <w:rPr>
          <w:spacing w:val="-14"/>
        </w:rPr>
        <w:t> </w:t>
      </w:r>
      <w:r>
        <w:rPr/>
        <w:t>que para tal propósito señale la Secretaría.</w:t>
      </w:r>
    </w:p>
    <w:p>
      <w:pPr>
        <w:pStyle w:val="BodyText"/>
        <w:spacing w:before="2"/>
      </w:pPr>
    </w:p>
    <w:p>
      <w:pPr>
        <w:pStyle w:val="BodyText"/>
        <w:ind w:left="262"/>
        <w:jc w:val="both"/>
      </w:pPr>
      <w:r>
        <w:rPr>
          <w:rFonts w:ascii="Arial" w:hAnsi="Arial"/>
          <w:b/>
        </w:rPr>
        <w:t>ARTÍCULO</w:t>
      </w:r>
      <w:r>
        <w:rPr>
          <w:rFonts w:ascii="Arial" w:hAnsi="Arial"/>
          <w:b/>
          <w:spacing w:val="-10"/>
        </w:rPr>
        <w:t> </w:t>
      </w:r>
      <w:r>
        <w:rPr>
          <w:rFonts w:ascii="Arial" w:hAnsi="Arial"/>
          <w:b/>
        </w:rPr>
        <w:t>63.</w:t>
      </w:r>
      <w:r>
        <w:rPr>
          <w:rFonts w:ascii="Arial" w:hAnsi="Arial"/>
          <w:b/>
          <w:spacing w:val="-9"/>
        </w:rPr>
        <w:t> </w:t>
      </w:r>
      <w:r>
        <w:rPr/>
        <w:t>Los</w:t>
      </w:r>
      <w:r>
        <w:rPr>
          <w:spacing w:val="-7"/>
        </w:rPr>
        <w:t> </w:t>
      </w:r>
      <w:r>
        <w:rPr/>
        <w:t>Programas</w:t>
      </w:r>
      <w:r>
        <w:rPr>
          <w:spacing w:val="-10"/>
        </w:rPr>
        <w:t> </w:t>
      </w:r>
      <w:r>
        <w:rPr/>
        <w:t>Territoriales</w:t>
      </w:r>
      <w:r>
        <w:rPr>
          <w:spacing w:val="-9"/>
        </w:rPr>
        <w:t> </w:t>
      </w:r>
      <w:r>
        <w:rPr/>
        <w:t>Operativos</w:t>
      </w:r>
      <w:r>
        <w:rPr>
          <w:spacing w:val="-9"/>
        </w:rPr>
        <w:t> </w:t>
      </w:r>
      <w:r>
        <w:rPr/>
        <w:t>tienen</w:t>
      </w:r>
      <w:r>
        <w:rPr>
          <w:spacing w:val="-10"/>
        </w:rPr>
        <w:t> </w:t>
      </w:r>
      <w:r>
        <w:rPr/>
        <w:t>los</w:t>
      </w:r>
      <w:r>
        <w:rPr>
          <w:spacing w:val="-9"/>
        </w:rPr>
        <w:t> </w:t>
      </w:r>
      <w:r>
        <w:rPr/>
        <w:t>siguientes</w:t>
      </w:r>
      <w:r>
        <w:rPr>
          <w:spacing w:val="-8"/>
        </w:rPr>
        <w:t> </w:t>
      </w:r>
      <w:r>
        <w:rPr>
          <w:spacing w:val="-2"/>
        </w:rPr>
        <w:t>propósitos:</w:t>
      </w:r>
    </w:p>
    <w:p>
      <w:pPr>
        <w:pStyle w:val="ListParagraph"/>
        <w:numPr>
          <w:ilvl w:val="0"/>
          <w:numId w:val="31"/>
        </w:numPr>
        <w:tabs>
          <w:tab w:pos="598" w:val="left" w:leader="none"/>
        </w:tabs>
        <w:spacing w:line="240" w:lineRule="auto" w:before="229" w:after="0"/>
        <w:ind w:left="262" w:right="285" w:firstLine="0"/>
        <w:jc w:val="both"/>
        <w:rPr>
          <w:sz w:val="20"/>
        </w:rPr>
      </w:pPr>
      <w:r>
        <w:rPr>
          <w:sz w:val="20"/>
        </w:rPr>
        <w:t>Impulsar en un territorio común determinado, estrategias intersectoriales integradas de ordenamiento territorial o desarrollo urbano, en situaciones que requieren de acciones prioritarias y/o urgentes;</w:t>
      </w:r>
    </w:p>
    <w:p>
      <w:pPr>
        <w:pStyle w:val="BodyText"/>
        <w:spacing w:before="1"/>
      </w:pPr>
    </w:p>
    <w:p>
      <w:pPr>
        <w:pStyle w:val="ListParagraph"/>
        <w:numPr>
          <w:ilvl w:val="0"/>
          <w:numId w:val="31"/>
        </w:numPr>
        <w:tabs>
          <w:tab w:pos="543" w:val="left" w:leader="none"/>
        </w:tabs>
        <w:spacing w:line="240" w:lineRule="auto" w:before="1" w:after="0"/>
        <w:ind w:left="262" w:right="288" w:firstLine="0"/>
        <w:jc w:val="both"/>
        <w:rPr>
          <w:sz w:val="20"/>
        </w:rPr>
      </w:pPr>
      <w:r>
        <w:rPr>
          <w:sz w:val="20"/>
        </w:rPr>
        <w:t>Plantear</w:t>
      </w:r>
      <w:r>
        <w:rPr>
          <w:spacing w:val="-1"/>
          <w:sz w:val="20"/>
        </w:rPr>
        <w:t> </w:t>
      </w:r>
      <w:r>
        <w:rPr>
          <w:sz w:val="20"/>
        </w:rPr>
        <w:t>secuencias</w:t>
      </w:r>
      <w:r>
        <w:rPr>
          <w:spacing w:val="-1"/>
          <w:sz w:val="20"/>
        </w:rPr>
        <w:t> </w:t>
      </w:r>
      <w:r>
        <w:rPr>
          <w:sz w:val="20"/>
        </w:rPr>
        <w:t>eficaces</w:t>
      </w:r>
      <w:r>
        <w:rPr>
          <w:spacing w:val="-1"/>
          <w:sz w:val="20"/>
        </w:rPr>
        <w:t> </w:t>
      </w:r>
      <w:r>
        <w:rPr>
          <w:sz w:val="20"/>
        </w:rPr>
        <w:t>de acción en el</w:t>
      </w:r>
      <w:r>
        <w:rPr>
          <w:spacing w:val="-1"/>
          <w:sz w:val="20"/>
        </w:rPr>
        <w:t> </w:t>
      </w:r>
      <w:r>
        <w:rPr>
          <w:sz w:val="20"/>
        </w:rPr>
        <w:t>tiempo</w:t>
      </w:r>
      <w:r>
        <w:rPr>
          <w:spacing w:val="-2"/>
          <w:sz w:val="20"/>
        </w:rPr>
        <w:t> </w:t>
      </w:r>
      <w:r>
        <w:rPr>
          <w:sz w:val="20"/>
        </w:rPr>
        <w:t>y de ubicación en el</w:t>
      </w:r>
      <w:r>
        <w:rPr>
          <w:spacing w:val="-3"/>
          <w:sz w:val="20"/>
        </w:rPr>
        <w:t> </w:t>
      </w:r>
      <w:r>
        <w:rPr>
          <w:sz w:val="20"/>
        </w:rPr>
        <w:t>territorio,</w:t>
      </w:r>
      <w:r>
        <w:rPr>
          <w:spacing w:val="-2"/>
          <w:sz w:val="20"/>
        </w:rPr>
        <w:t> </w:t>
      </w:r>
      <w:r>
        <w:rPr>
          <w:sz w:val="20"/>
        </w:rPr>
        <w:t>que incluyan programas y proyectos estratégicos, y un esquema efectivo de financiamiento, y</w:t>
      </w:r>
    </w:p>
    <w:p>
      <w:pPr>
        <w:pStyle w:val="ListParagraph"/>
        <w:numPr>
          <w:ilvl w:val="0"/>
          <w:numId w:val="31"/>
        </w:numPr>
        <w:tabs>
          <w:tab w:pos="541" w:val="left" w:leader="none"/>
        </w:tabs>
        <w:spacing w:line="240" w:lineRule="auto" w:before="228" w:after="0"/>
        <w:ind w:left="541" w:right="0" w:hanging="279"/>
        <w:jc w:val="both"/>
        <w:rPr>
          <w:sz w:val="20"/>
        </w:rPr>
      </w:pPr>
      <w:r>
        <w:rPr>
          <w:sz w:val="20"/>
        </w:rPr>
        <w:t>Dar</w:t>
      </w:r>
      <w:r>
        <w:rPr>
          <w:spacing w:val="-8"/>
          <w:sz w:val="20"/>
        </w:rPr>
        <w:t> </w:t>
      </w:r>
      <w:r>
        <w:rPr>
          <w:sz w:val="20"/>
        </w:rPr>
        <w:t>un</w:t>
      </w:r>
      <w:r>
        <w:rPr>
          <w:spacing w:val="-8"/>
          <w:sz w:val="20"/>
        </w:rPr>
        <w:t> </w:t>
      </w:r>
      <w:r>
        <w:rPr>
          <w:sz w:val="20"/>
        </w:rPr>
        <w:t>seguimiento,</w:t>
      </w:r>
      <w:r>
        <w:rPr>
          <w:spacing w:val="-8"/>
          <w:sz w:val="20"/>
        </w:rPr>
        <w:t> </w:t>
      </w:r>
      <w:r>
        <w:rPr>
          <w:sz w:val="20"/>
        </w:rPr>
        <w:t>evaluación</w:t>
      </w:r>
      <w:r>
        <w:rPr>
          <w:spacing w:val="-9"/>
          <w:sz w:val="20"/>
        </w:rPr>
        <w:t> </w:t>
      </w:r>
      <w:r>
        <w:rPr>
          <w:sz w:val="20"/>
        </w:rPr>
        <w:t>y</w:t>
      </w:r>
      <w:r>
        <w:rPr>
          <w:spacing w:val="-7"/>
          <w:sz w:val="20"/>
        </w:rPr>
        <w:t> </w:t>
      </w:r>
      <w:r>
        <w:rPr>
          <w:sz w:val="20"/>
        </w:rPr>
        <w:t>retroalimentación</w:t>
      </w:r>
      <w:r>
        <w:rPr>
          <w:spacing w:val="-7"/>
          <w:sz w:val="20"/>
        </w:rPr>
        <w:t> </w:t>
      </w:r>
      <w:r>
        <w:rPr>
          <w:sz w:val="20"/>
        </w:rPr>
        <w:t>efectivos</w:t>
      </w:r>
      <w:r>
        <w:rPr>
          <w:spacing w:val="-7"/>
          <w:sz w:val="20"/>
        </w:rPr>
        <w:t> </w:t>
      </w:r>
      <w:r>
        <w:rPr>
          <w:sz w:val="20"/>
        </w:rPr>
        <w:t>a</w:t>
      </w:r>
      <w:r>
        <w:rPr>
          <w:spacing w:val="-9"/>
          <w:sz w:val="20"/>
        </w:rPr>
        <w:t> </w:t>
      </w:r>
      <w:r>
        <w:rPr>
          <w:sz w:val="20"/>
        </w:rPr>
        <w:t>estos</w:t>
      </w:r>
      <w:r>
        <w:rPr>
          <w:spacing w:val="-7"/>
          <w:sz w:val="20"/>
        </w:rPr>
        <w:t> </w:t>
      </w:r>
      <w:r>
        <w:rPr>
          <w:sz w:val="20"/>
        </w:rPr>
        <w:t>programas</w:t>
      </w:r>
      <w:r>
        <w:rPr>
          <w:spacing w:val="-7"/>
          <w:sz w:val="20"/>
        </w:rPr>
        <w:t> </w:t>
      </w:r>
      <w:r>
        <w:rPr>
          <w:sz w:val="20"/>
        </w:rPr>
        <w:t>y</w:t>
      </w:r>
      <w:r>
        <w:rPr>
          <w:spacing w:val="-8"/>
          <w:sz w:val="20"/>
        </w:rPr>
        <w:t> </w:t>
      </w:r>
      <w:r>
        <w:rPr>
          <w:spacing w:val="-2"/>
          <w:sz w:val="20"/>
        </w:rPr>
        <w:t>proyectos.</w:t>
      </w:r>
    </w:p>
    <w:p>
      <w:pPr>
        <w:pStyle w:val="BodyText"/>
        <w:spacing w:before="1"/>
      </w:pPr>
    </w:p>
    <w:p>
      <w:pPr>
        <w:pStyle w:val="BodyText"/>
        <w:ind w:left="262" w:right="285"/>
        <w:jc w:val="both"/>
      </w:pPr>
      <w:r>
        <w:rPr>
          <w:rFonts w:ascii="Arial" w:hAnsi="Arial"/>
          <w:b/>
        </w:rPr>
        <w:t>ARTÍCULO 64. </w:t>
      </w:r>
      <w:r>
        <w:rPr/>
        <w:t>Los Programas Territoriales Operativos podrán comprender como ámbito espacial las siguientes posibilidades:</w:t>
      </w:r>
    </w:p>
    <w:p>
      <w:pPr>
        <w:pStyle w:val="ListParagraph"/>
        <w:numPr>
          <w:ilvl w:val="0"/>
          <w:numId w:val="32"/>
        </w:numPr>
        <w:tabs>
          <w:tab w:pos="742" w:val="left" w:leader="none"/>
        </w:tabs>
        <w:spacing w:line="240" w:lineRule="auto" w:before="229" w:after="0"/>
        <w:ind w:left="742" w:right="0" w:hanging="480"/>
        <w:jc w:val="both"/>
        <w:rPr>
          <w:sz w:val="20"/>
        </w:rPr>
      </w:pPr>
      <w:r>
        <w:rPr>
          <w:sz w:val="20"/>
        </w:rPr>
        <w:t>Un</w:t>
      </w:r>
      <w:r>
        <w:rPr>
          <w:spacing w:val="-5"/>
          <w:sz w:val="20"/>
        </w:rPr>
        <w:t> </w:t>
      </w:r>
      <w:r>
        <w:rPr>
          <w:spacing w:val="-2"/>
          <w:sz w:val="20"/>
        </w:rPr>
        <w:t>municipio;</w:t>
      </w:r>
    </w:p>
    <w:p>
      <w:pPr>
        <w:pStyle w:val="BodyText"/>
        <w:spacing w:before="1"/>
      </w:pPr>
    </w:p>
    <w:p>
      <w:pPr>
        <w:pStyle w:val="ListParagraph"/>
        <w:numPr>
          <w:ilvl w:val="0"/>
          <w:numId w:val="32"/>
        </w:numPr>
        <w:tabs>
          <w:tab w:pos="686" w:val="left" w:leader="none"/>
        </w:tabs>
        <w:spacing w:line="240" w:lineRule="auto" w:before="0" w:after="0"/>
        <w:ind w:left="686" w:right="0" w:hanging="424"/>
        <w:jc w:val="both"/>
        <w:rPr>
          <w:sz w:val="20"/>
        </w:rPr>
      </w:pPr>
      <w:r>
        <w:rPr>
          <w:sz w:val="20"/>
        </w:rPr>
        <w:t>Varios</w:t>
      </w:r>
      <w:r>
        <w:rPr>
          <w:spacing w:val="-11"/>
          <w:sz w:val="20"/>
        </w:rPr>
        <w:t> </w:t>
      </w:r>
      <w:r>
        <w:rPr>
          <w:sz w:val="20"/>
        </w:rPr>
        <w:t>municipios</w:t>
      </w:r>
      <w:r>
        <w:rPr>
          <w:spacing w:val="-9"/>
          <w:sz w:val="20"/>
        </w:rPr>
        <w:t> </w:t>
      </w:r>
      <w:r>
        <w:rPr>
          <w:spacing w:val="-2"/>
          <w:sz w:val="20"/>
        </w:rPr>
        <w:t>interrelacionados;</w:t>
      </w:r>
    </w:p>
    <w:p>
      <w:pPr>
        <w:pStyle w:val="BodyText"/>
        <w:spacing w:before="1"/>
      </w:pPr>
    </w:p>
    <w:p>
      <w:pPr>
        <w:pStyle w:val="ListParagraph"/>
        <w:numPr>
          <w:ilvl w:val="0"/>
          <w:numId w:val="32"/>
        </w:numPr>
        <w:tabs>
          <w:tab w:pos="741" w:val="left" w:leader="none"/>
        </w:tabs>
        <w:spacing w:line="240" w:lineRule="auto" w:before="0" w:after="0"/>
        <w:ind w:left="741" w:right="0" w:hanging="479"/>
        <w:jc w:val="both"/>
        <w:rPr>
          <w:sz w:val="20"/>
        </w:rPr>
      </w:pPr>
      <w:r>
        <w:rPr>
          <w:sz w:val="20"/>
        </w:rPr>
        <w:t>Un</w:t>
      </w:r>
      <w:r>
        <w:rPr>
          <w:spacing w:val="-8"/>
          <w:sz w:val="20"/>
        </w:rPr>
        <w:t> </w:t>
      </w:r>
      <w:r>
        <w:rPr>
          <w:sz w:val="20"/>
        </w:rPr>
        <w:t>sistema</w:t>
      </w:r>
      <w:r>
        <w:rPr>
          <w:spacing w:val="-8"/>
          <w:sz w:val="20"/>
        </w:rPr>
        <w:t> </w:t>
      </w:r>
      <w:r>
        <w:rPr>
          <w:sz w:val="20"/>
        </w:rPr>
        <w:t>urbano</w:t>
      </w:r>
      <w:r>
        <w:rPr>
          <w:spacing w:val="-8"/>
          <w:sz w:val="20"/>
        </w:rPr>
        <w:t> </w:t>
      </w:r>
      <w:r>
        <w:rPr>
          <w:sz w:val="20"/>
        </w:rPr>
        <w:t>rural</w:t>
      </w:r>
      <w:r>
        <w:rPr>
          <w:spacing w:val="-9"/>
          <w:sz w:val="20"/>
        </w:rPr>
        <w:t> </w:t>
      </w:r>
      <w:r>
        <w:rPr>
          <w:sz w:val="20"/>
        </w:rPr>
        <w:t>funcional,</w:t>
      </w:r>
      <w:r>
        <w:rPr>
          <w:spacing w:val="-6"/>
          <w:sz w:val="20"/>
        </w:rPr>
        <w:t> </w:t>
      </w:r>
      <w:r>
        <w:rPr>
          <w:spacing w:val="-10"/>
          <w:sz w:val="20"/>
        </w:rPr>
        <w:t>o</w:t>
      </w:r>
    </w:p>
    <w:p>
      <w:pPr>
        <w:pStyle w:val="ListParagraph"/>
        <w:numPr>
          <w:ilvl w:val="0"/>
          <w:numId w:val="32"/>
        </w:numPr>
        <w:tabs>
          <w:tab w:pos="688" w:val="left" w:leader="none"/>
        </w:tabs>
        <w:spacing w:line="240" w:lineRule="auto" w:before="229" w:after="0"/>
        <w:ind w:left="688" w:right="0" w:hanging="426"/>
        <w:jc w:val="both"/>
        <w:rPr>
          <w:sz w:val="20"/>
        </w:rPr>
      </w:pPr>
      <w:r>
        <w:rPr>
          <w:sz w:val="20"/>
        </w:rPr>
        <w:t>La</w:t>
      </w:r>
      <w:r>
        <w:rPr>
          <w:spacing w:val="-8"/>
          <w:sz w:val="20"/>
        </w:rPr>
        <w:t> </w:t>
      </w:r>
      <w:r>
        <w:rPr>
          <w:sz w:val="20"/>
        </w:rPr>
        <w:t>agrupación</w:t>
      </w:r>
      <w:r>
        <w:rPr>
          <w:spacing w:val="-6"/>
          <w:sz w:val="20"/>
        </w:rPr>
        <w:t> </w:t>
      </w:r>
      <w:r>
        <w:rPr>
          <w:sz w:val="20"/>
        </w:rPr>
        <w:t>de</w:t>
      </w:r>
      <w:r>
        <w:rPr>
          <w:spacing w:val="-8"/>
          <w:sz w:val="20"/>
        </w:rPr>
        <w:t> </w:t>
      </w:r>
      <w:r>
        <w:rPr>
          <w:sz w:val="20"/>
        </w:rPr>
        <w:t>varios</w:t>
      </w:r>
      <w:r>
        <w:rPr>
          <w:spacing w:val="-6"/>
          <w:sz w:val="20"/>
        </w:rPr>
        <w:t> </w:t>
      </w:r>
      <w:r>
        <w:rPr>
          <w:sz w:val="20"/>
        </w:rPr>
        <w:t>sistemas</w:t>
      </w:r>
      <w:r>
        <w:rPr>
          <w:spacing w:val="-6"/>
          <w:sz w:val="20"/>
        </w:rPr>
        <w:t> </w:t>
      </w:r>
      <w:r>
        <w:rPr>
          <w:sz w:val="20"/>
        </w:rPr>
        <w:t>urbano</w:t>
      </w:r>
      <w:r>
        <w:rPr>
          <w:spacing w:val="-6"/>
          <w:sz w:val="20"/>
        </w:rPr>
        <w:t> </w:t>
      </w:r>
      <w:r>
        <w:rPr>
          <w:spacing w:val="-2"/>
          <w:sz w:val="20"/>
        </w:rPr>
        <w:t>rurales.</w:t>
      </w:r>
    </w:p>
    <w:p>
      <w:pPr>
        <w:pStyle w:val="BodyText"/>
      </w:pPr>
    </w:p>
    <w:p>
      <w:pPr>
        <w:pStyle w:val="BodyText"/>
        <w:spacing w:before="1"/>
      </w:pPr>
    </w:p>
    <w:p>
      <w:pPr>
        <w:pStyle w:val="Heading1"/>
        <w:ind w:right="17"/>
      </w:pPr>
      <w:r>
        <w:rPr/>
        <w:t>TÍTULO</w:t>
      </w:r>
      <w:r>
        <w:rPr>
          <w:spacing w:val="-10"/>
        </w:rPr>
        <w:t> </w:t>
      </w:r>
      <w:r>
        <w:rPr>
          <w:spacing w:val="-2"/>
        </w:rPr>
        <w:t>SÉPTIMO</w:t>
      </w:r>
    </w:p>
    <w:p>
      <w:pPr>
        <w:spacing w:before="228"/>
        <w:ind w:left="2138" w:right="2154" w:firstLine="0"/>
        <w:jc w:val="center"/>
        <w:rPr>
          <w:rFonts w:ascii="Arial" w:hAnsi="Arial"/>
          <w:b/>
          <w:sz w:val="20"/>
        </w:rPr>
      </w:pPr>
      <w:r>
        <w:rPr>
          <w:rFonts w:ascii="Arial" w:hAnsi="Arial"/>
          <w:b/>
          <w:sz w:val="20"/>
        </w:rPr>
        <w:t>PLANEACIÓN</w:t>
      </w:r>
      <w:r>
        <w:rPr>
          <w:rFonts w:ascii="Arial" w:hAnsi="Arial"/>
          <w:b/>
          <w:spacing w:val="-11"/>
          <w:sz w:val="20"/>
        </w:rPr>
        <w:t> </w:t>
      </w:r>
      <w:r>
        <w:rPr>
          <w:rFonts w:ascii="Arial" w:hAnsi="Arial"/>
          <w:b/>
          <w:sz w:val="20"/>
        </w:rPr>
        <w:t>DEL</w:t>
      </w:r>
      <w:r>
        <w:rPr>
          <w:rFonts w:ascii="Arial" w:hAnsi="Arial"/>
          <w:b/>
          <w:spacing w:val="-10"/>
          <w:sz w:val="20"/>
        </w:rPr>
        <w:t> </w:t>
      </w:r>
      <w:r>
        <w:rPr>
          <w:rFonts w:ascii="Arial" w:hAnsi="Arial"/>
          <w:b/>
          <w:sz w:val="20"/>
        </w:rPr>
        <w:t>ORDENAMIENTO</w:t>
      </w:r>
      <w:r>
        <w:rPr>
          <w:rFonts w:ascii="Arial" w:hAnsi="Arial"/>
          <w:b/>
          <w:spacing w:val="-10"/>
          <w:sz w:val="20"/>
        </w:rPr>
        <w:t> </w:t>
      </w:r>
      <w:r>
        <w:rPr>
          <w:rFonts w:ascii="Arial" w:hAnsi="Arial"/>
          <w:b/>
          <w:sz w:val="20"/>
        </w:rPr>
        <w:t>TERRITORIAL</w:t>
      </w:r>
      <w:r>
        <w:rPr>
          <w:rFonts w:ascii="Arial" w:hAnsi="Arial"/>
          <w:b/>
          <w:spacing w:val="-10"/>
          <w:sz w:val="20"/>
        </w:rPr>
        <w:t> </w:t>
      </w:r>
      <w:r>
        <w:rPr>
          <w:rFonts w:ascii="Arial" w:hAnsi="Arial"/>
          <w:b/>
          <w:sz w:val="20"/>
        </w:rPr>
        <w:t>Y DESARROLLO URBANO Y METROPOLITANO</w:t>
      </w:r>
    </w:p>
    <w:p>
      <w:pPr>
        <w:spacing w:after="0"/>
        <w:jc w:val="center"/>
        <w:rPr>
          <w:rFonts w:ascii="Arial" w:hAnsi="Arial"/>
          <w:b/>
          <w:sz w:val="20"/>
        </w:rPr>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Heading2"/>
      </w:pPr>
      <w:r>
        <w:rPr/>
        <w:t>Capítulo</w:t>
      </w:r>
      <w:r>
        <w:rPr>
          <w:spacing w:val="-8"/>
        </w:rPr>
        <w:t> </w:t>
      </w:r>
      <w:r>
        <w:rPr>
          <w:spacing w:val="-10"/>
        </w:rPr>
        <w:t>I</w:t>
      </w:r>
    </w:p>
    <w:p>
      <w:pPr>
        <w:pStyle w:val="BodyText"/>
        <w:spacing w:before="1"/>
        <w:rPr>
          <w:rFonts w:ascii="Arial"/>
          <w:b/>
        </w:rPr>
      </w:pPr>
    </w:p>
    <w:p>
      <w:pPr>
        <w:spacing w:before="0"/>
        <w:ind w:left="1666" w:right="1688" w:firstLine="0"/>
        <w:jc w:val="center"/>
        <w:rPr>
          <w:rFonts w:ascii="Arial" w:hAnsi="Arial"/>
          <w:b/>
          <w:sz w:val="20"/>
        </w:rPr>
      </w:pPr>
      <w:r>
        <w:rPr>
          <w:rFonts w:ascii="Arial" w:hAnsi="Arial"/>
          <w:b/>
          <w:sz w:val="20"/>
        </w:rPr>
        <w:t>Sistema</w:t>
      </w:r>
      <w:r>
        <w:rPr>
          <w:rFonts w:ascii="Arial" w:hAnsi="Arial"/>
          <w:b/>
          <w:spacing w:val="-7"/>
          <w:sz w:val="20"/>
        </w:rPr>
        <w:t> </w:t>
      </w:r>
      <w:r>
        <w:rPr>
          <w:rFonts w:ascii="Arial" w:hAnsi="Arial"/>
          <w:b/>
          <w:sz w:val="20"/>
        </w:rPr>
        <w:t>Estatal</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Planeación</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7"/>
          <w:sz w:val="20"/>
        </w:rPr>
        <w:t> </w:t>
      </w:r>
      <w:r>
        <w:rPr>
          <w:rFonts w:ascii="Arial" w:hAnsi="Arial"/>
          <w:b/>
          <w:sz w:val="20"/>
        </w:rPr>
        <w:t>Ordenamiento</w:t>
      </w:r>
      <w:r>
        <w:rPr>
          <w:rFonts w:ascii="Arial" w:hAnsi="Arial"/>
          <w:b/>
          <w:spacing w:val="-6"/>
          <w:sz w:val="20"/>
        </w:rPr>
        <w:t> </w:t>
      </w:r>
      <w:r>
        <w:rPr>
          <w:rFonts w:ascii="Arial" w:hAnsi="Arial"/>
          <w:b/>
          <w:sz w:val="20"/>
        </w:rPr>
        <w:t>Territorial y Desarrollo Urbano y Metropolitano</w:t>
      </w:r>
    </w:p>
    <w:p>
      <w:pPr>
        <w:pStyle w:val="BodyText"/>
        <w:spacing w:before="229"/>
        <w:ind w:left="262" w:right="279"/>
        <w:jc w:val="both"/>
      </w:pPr>
      <w:r>
        <w:rPr>
          <w:rFonts w:ascii="Arial" w:hAnsi="Arial"/>
          <w:b/>
        </w:rPr>
        <w:t>ARTÍCULO 65. </w:t>
      </w:r>
      <w:r>
        <w:rPr/>
        <w:t>La planeación, regulación y evaluación del ordenamiento territorial, así como de la fundación, conservación, mejoramiento, crecimiento y desarrollo de los centros de población, constituyen las acciones fundamentales previstas en esta Ley, a fin de lograr un desarrollo urbano integral, sostenible, resiliente y equilibrado en el territorio estatal.</w:t>
      </w:r>
    </w:p>
    <w:p>
      <w:pPr>
        <w:pStyle w:val="BodyText"/>
        <w:spacing w:before="2"/>
      </w:pPr>
    </w:p>
    <w:p>
      <w:pPr>
        <w:pStyle w:val="BodyText"/>
        <w:ind w:left="262" w:right="284"/>
        <w:jc w:val="both"/>
      </w:pPr>
      <w:r>
        <w:rPr/>
        <w:t>Estas acciones estarán a cargo, en forma concurrente, del Gobierno del Estado y de los ayuntamientos, conforme a su competencia y jurisdicción, de acuerdo a lo dispuesto en la Ley General, la presente Ley y demás disposiciones jurídicas aplicables.</w:t>
      </w:r>
    </w:p>
    <w:p>
      <w:pPr>
        <w:pStyle w:val="BodyText"/>
        <w:spacing w:before="230"/>
        <w:ind w:left="262" w:right="278"/>
        <w:jc w:val="both"/>
      </w:pPr>
      <w:r>
        <w:rPr/>
        <w:t>La planeación del ordenamiento territorial y desarrollo urbano y metropolitano sostenibles, en los órdenes estatal y municipal, forma parte de la planeación del desarrollo integral, como una política prioritaria que coadyuva al logro de los objetivos de los Programas Estatal y Municipales de Desarrollo, con base en lo previsto en la Ley de Planeación del Estado y Municipios.</w:t>
      </w:r>
    </w:p>
    <w:p>
      <w:pPr>
        <w:pStyle w:val="BodyText"/>
        <w:spacing w:before="229"/>
        <w:ind w:left="262" w:right="276"/>
        <w:jc w:val="both"/>
      </w:pPr>
      <w:r>
        <w:rPr>
          <w:rFonts w:ascii="Arial" w:hAnsi="Arial"/>
          <w:b/>
        </w:rPr>
        <w:t>ARTÍCULO 66. </w:t>
      </w:r>
      <w:r>
        <w:rPr/>
        <w:t>La planeación y regulación del ordenamiento territorial y del desarrollo urbano y metropolitano sostenible en la Entidad, se llevará a cabo a través de un Sistema Estatal de Planeación para el Ordenamiento Territorial y el Desarrollo Urbano y Metropolitano, integrado por los siguientes programas:</w:t>
      </w:r>
    </w:p>
    <w:p>
      <w:pPr>
        <w:pStyle w:val="BodyText"/>
      </w:pPr>
    </w:p>
    <w:p>
      <w:pPr>
        <w:pStyle w:val="ListParagraph"/>
        <w:numPr>
          <w:ilvl w:val="0"/>
          <w:numId w:val="33"/>
        </w:numPr>
        <w:tabs>
          <w:tab w:pos="543" w:val="left" w:leader="none"/>
        </w:tabs>
        <w:spacing w:line="240" w:lineRule="auto" w:before="0" w:after="0"/>
        <w:ind w:left="543" w:right="0" w:hanging="281"/>
        <w:jc w:val="left"/>
        <w:rPr>
          <w:sz w:val="20"/>
        </w:rPr>
      </w:pPr>
      <w:r>
        <w:rPr>
          <w:sz w:val="20"/>
        </w:rPr>
        <w:t>El</w:t>
      </w:r>
      <w:r>
        <w:rPr>
          <w:spacing w:val="-8"/>
          <w:sz w:val="20"/>
        </w:rPr>
        <w:t> </w:t>
      </w:r>
      <w:r>
        <w:rPr>
          <w:sz w:val="20"/>
        </w:rPr>
        <w:t>Programa</w:t>
      </w:r>
      <w:r>
        <w:rPr>
          <w:spacing w:val="-7"/>
          <w:sz w:val="20"/>
        </w:rPr>
        <w:t> </w:t>
      </w:r>
      <w:r>
        <w:rPr>
          <w:sz w:val="20"/>
        </w:rPr>
        <w:t>Estatal</w:t>
      </w:r>
      <w:r>
        <w:rPr>
          <w:spacing w:val="-7"/>
          <w:sz w:val="20"/>
        </w:rPr>
        <w:t> </w:t>
      </w:r>
      <w:r>
        <w:rPr>
          <w:sz w:val="20"/>
        </w:rPr>
        <w:t>de</w:t>
      </w:r>
      <w:r>
        <w:rPr>
          <w:spacing w:val="-9"/>
          <w:sz w:val="20"/>
        </w:rPr>
        <w:t> </w:t>
      </w:r>
      <w:r>
        <w:rPr>
          <w:sz w:val="20"/>
        </w:rPr>
        <w:t>Ordenamiento</w:t>
      </w:r>
      <w:r>
        <w:rPr>
          <w:spacing w:val="-10"/>
          <w:sz w:val="20"/>
        </w:rPr>
        <w:t> </w:t>
      </w:r>
      <w:r>
        <w:rPr>
          <w:sz w:val="20"/>
        </w:rPr>
        <w:t>Territorial</w:t>
      </w:r>
      <w:r>
        <w:rPr>
          <w:spacing w:val="-9"/>
          <w:sz w:val="20"/>
        </w:rPr>
        <w:t> </w:t>
      </w:r>
      <w:r>
        <w:rPr>
          <w:sz w:val="20"/>
        </w:rPr>
        <w:t>y</w:t>
      </w:r>
      <w:r>
        <w:rPr>
          <w:spacing w:val="-7"/>
          <w:sz w:val="20"/>
        </w:rPr>
        <w:t> </w:t>
      </w:r>
      <w:r>
        <w:rPr>
          <w:sz w:val="20"/>
        </w:rPr>
        <w:t>Desarrollo</w:t>
      </w:r>
      <w:r>
        <w:rPr>
          <w:spacing w:val="-9"/>
          <w:sz w:val="20"/>
        </w:rPr>
        <w:t> </w:t>
      </w:r>
      <w:r>
        <w:rPr>
          <w:spacing w:val="-2"/>
          <w:sz w:val="20"/>
        </w:rPr>
        <w:t>Urbano;</w:t>
      </w:r>
    </w:p>
    <w:p>
      <w:pPr>
        <w:pStyle w:val="BodyText"/>
        <w:spacing w:before="1"/>
      </w:pPr>
    </w:p>
    <w:p>
      <w:pPr>
        <w:pStyle w:val="ListParagraph"/>
        <w:numPr>
          <w:ilvl w:val="0"/>
          <w:numId w:val="33"/>
        </w:numPr>
        <w:tabs>
          <w:tab w:pos="543" w:val="left" w:leader="none"/>
        </w:tabs>
        <w:spacing w:line="240" w:lineRule="auto" w:before="0" w:after="0"/>
        <w:ind w:left="543" w:right="0" w:hanging="281"/>
        <w:jc w:val="left"/>
        <w:rPr>
          <w:sz w:val="20"/>
        </w:rPr>
      </w:pPr>
      <w:r>
        <w:rPr>
          <w:sz w:val="20"/>
        </w:rPr>
        <w:t>Los</w:t>
      </w:r>
      <w:r>
        <w:rPr>
          <w:spacing w:val="-8"/>
          <w:sz w:val="20"/>
        </w:rPr>
        <w:t> </w:t>
      </w:r>
      <w:r>
        <w:rPr>
          <w:sz w:val="20"/>
        </w:rPr>
        <w:t>Programas</w:t>
      </w:r>
      <w:r>
        <w:rPr>
          <w:spacing w:val="-5"/>
          <w:sz w:val="20"/>
        </w:rPr>
        <w:t> </w:t>
      </w:r>
      <w:r>
        <w:rPr>
          <w:sz w:val="20"/>
        </w:rPr>
        <w:t>Metropolitanos</w:t>
      </w:r>
      <w:r>
        <w:rPr>
          <w:spacing w:val="-7"/>
          <w:sz w:val="20"/>
        </w:rPr>
        <w:t> </w:t>
      </w:r>
      <w:r>
        <w:rPr>
          <w:sz w:val="20"/>
        </w:rPr>
        <w:t>y</w:t>
      </w:r>
      <w:r>
        <w:rPr>
          <w:spacing w:val="-7"/>
          <w:sz w:val="20"/>
        </w:rPr>
        <w:t> </w:t>
      </w:r>
      <w:r>
        <w:rPr>
          <w:sz w:val="20"/>
        </w:rPr>
        <w:t>de</w:t>
      </w:r>
      <w:r>
        <w:rPr>
          <w:spacing w:val="-9"/>
          <w:sz w:val="20"/>
        </w:rPr>
        <w:t> </w:t>
      </w:r>
      <w:r>
        <w:rPr>
          <w:sz w:val="20"/>
        </w:rPr>
        <w:t>Zonas</w:t>
      </w:r>
      <w:r>
        <w:rPr>
          <w:spacing w:val="-7"/>
          <w:sz w:val="20"/>
        </w:rPr>
        <w:t> </w:t>
      </w:r>
      <w:r>
        <w:rPr>
          <w:spacing w:val="-2"/>
          <w:sz w:val="20"/>
        </w:rPr>
        <w:t>Conurbadas;</w:t>
      </w:r>
    </w:p>
    <w:p>
      <w:pPr>
        <w:pStyle w:val="ListParagraph"/>
        <w:numPr>
          <w:ilvl w:val="0"/>
          <w:numId w:val="33"/>
        </w:numPr>
        <w:tabs>
          <w:tab w:pos="597" w:val="left" w:leader="none"/>
        </w:tabs>
        <w:spacing w:line="240" w:lineRule="auto" w:before="229" w:after="0"/>
        <w:ind w:left="597" w:right="0" w:hanging="335"/>
        <w:jc w:val="left"/>
        <w:rPr>
          <w:sz w:val="20"/>
        </w:rPr>
      </w:pPr>
      <w:r>
        <w:rPr>
          <w:sz w:val="20"/>
        </w:rPr>
        <w:t>Los</w:t>
      </w:r>
      <w:r>
        <w:rPr>
          <w:spacing w:val="-8"/>
          <w:sz w:val="20"/>
        </w:rPr>
        <w:t> </w:t>
      </w:r>
      <w:r>
        <w:rPr>
          <w:sz w:val="20"/>
        </w:rPr>
        <w:t>Programas</w:t>
      </w:r>
      <w:r>
        <w:rPr>
          <w:spacing w:val="-8"/>
          <w:sz w:val="20"/>
        </w:rPr>
        <w:t> </w:t>
      </w:r>
      <w:r>
        <w:rPr>
          <w:sz w:val="20"/>
        </w:rPr>
        <w:t>Municipales</w:t>
      </w:r>
      <w:r>
        <w:rPr>
          <w:spacing w:val="-8"/>
          <w:sz w:val="20"/>
        </w:rPr>
        <w:t> </w:t>
      </w:r>
      <w:r>
        <w:rPr>
          <w:sz w:val="20"/>
        </w:rPr>
        <w:t>de</w:t>
      </w:r>
      <w:r>
        <w:rPr>
          <w:spacing w:val="-10"/>
          <w:sz w:val="20"/>
        </w:rPr>
        <w:t> </w:t>
      </w:r>
      <w:r>
        <w:rPr>
          <w:sz w:val="20"/>
        </w:rPr>
        <w:t>Ordenamiento</w:t>
      </w:r>
      <w:r>
        <w:rPr>
          <w:spacing w:val="-8"/>
          <w:sz w:val="20"/>
        </w:rPr>
        <w:t> </w:t>
      </w:r>
      <w:r>
        <w:rPr>
          <w:sz w:val="20"/>
        </w:rPr>
        <w:t>Territorial</w:t>
      </w:r>
      <w:r>
        <w:rPr>
          <w:spacing w:val="-10"/>
          <w:sz w:val="20"/>
        </w:rPr>
        <w:t> </w:t>
      </w:r>
      <w:r>
        <w:rPr>
          <w:sz w:val="20"/>
        </w:rPr>
        <w:t>y</w:t>
      </w:r>
      <w:r>
        <w:rPr>
          <w:spacing w:val="-8"/>
          <w:sz w:val="20"/>
        </w:rPr>
        <w:t> </w:t>
      </w:r>
      <w:r>
        <w:rPr>
          <w:sz w:val="20"/>
        </w:rPr>
        <w:t>Desarrollo</w:t>
      </w:r>
      <w:r>
        <w:rPr>
          <w:spacing w:val="-9"/>
          <w:sz w:val="20"/>
        </w:rPr>
        <w:t> </w:t>
      </w:r>
      <w:r>
        <w:rPr>
          <w:spacing w:val="-2"/>
          <w:sz w:val="20"/>
        </w:rPr>
        <w:t>Urbano;</w:t>
      </w:r>
    </w:p>
    <w:p>
      <w:pPr>
        <w:pStyle w:val="BodyText"/>
      </w:pPr>
    </w:p>
    <w:p>
      <w:pPr>
        <w:pStyle w:val="ListParagraph"/>
        <w:numPr>
          <w:ilvl w:val="0"/>
          <w:numId w:val="33"/>
        </w:numPr>
        <w:tabs>
          <w:tab w:pos="545" w:val="left" w:leader="none"/>
        </w:tabs>
        <w:spacing w:line="240" w:lineRule="auto" w:before="0" w:after="0"/>
        <w:ind w:left="545" w:right="0" w:hanging="283"/>
        <w:jc w:val="left"/>
        <w:rPr>
          <w:sz w:val="20"/>
        </w:rPr>
      </w:pPr>
      <w:r>
        <w:rPr>
          <w:sz w:val="20"/>
        </w:rPr>
        <w:t>Los</w:t>
      </w:r>
      <w:r>
        <w:rPr>
          <w:spacing w:val="-6"/>
          <w:sz w:val="20"/>
        </w:rPr>
        <w:t> </w:t>
      </w:r>
      <w:r>
        <w:rPr>
          <w:sz w:val="20"/>
        </w:rPr>
        <w:t>Programas</w:t>
      </w:r>
      <w:r>
        <w:rPr>
          <w:spacing w:val="-5"/>
          <w:sz w:val="20"/>
        </w:rPr>
        <w:t> </w:t>
      </w:r>
      <w:r>
        <w:rPr>
          <w:sz w:val="20"/>
        </w:rPr>
        <w:t>de</w:t>
      </w:r>
      <w:r>
        <w:rPr>
          <w:spacing w:val="-7"/>
          <w:sz w:val="20"/>
        </w:rPr>
        <w:t> </w:t>
      </w:r>
      <w:r>
        <w:rPr>
          <w:sz w:val="20"/>
        </w:rPr>
        <w:t>Desarrollo</w:t>
      </w:r>
      <w:r>
        <w:rPr>
          <w:spacing w:val="-7"/>
          <w:sz w:val="20"/>
        </w:rPr>
        <w:t> </w:t>
      </w:r>
      <w:r>
        <w:rPr>
          <w:sz w:val="20"/>
        </w:rPr>
        <w:t>Urbano</w:t>
      </w:r>
      <w:r>
        <w:rPr>
          <w:spacing w:val="-5"/>
          <w:sz w:val="20"/>
        </w:rPr>
        <w:t> </w:t>
      </w:r>
      <w:r>
        <w:rPr>
          <w:sz w:val="20"/>
        </w:rPr>
        <w:t>de</w:t>
      </w:r>
      <w:r>
        <w:rPr>
          <w:spacing w:val="-6"/>
          <w:sz w:val="20"/>
        </w:rPr>
        <w:t> </w:t>
      </w:r>
      <w:r>
        <w:rPr>
          <w:sz w:val="20"/>
        </w:rPr>
        <w:t>Centro</w:t>
      </w:r>
      <w:r>
        <w:rPr>
          <w:spacing w:val="-7"/>
          <w:sz w:val="20"/>
        </w:rPr>
        <w:t> </w:t>
      </w:r>
      <w:r>
        <w:rPr>
          <w:sz w:val="20"/>
        </w:rPr>
        <w:t>de</w:t>
      </w:r>
      <w:r>
        <w:rPr>
          <w:spacing w:val="-5"/>
          <w:sz w:val="20"/>
        </w:rPr>
        <w:t> </w:t>
      </w:r>
      <w:r>
        <w:rPr>
          <w:spacing w:val="-2"/>
          <w:sz w:val="20"/>
        </w:rPr>
        <w:t>Población;</w:t>
      </w:r>
    </w:p>
    <w:p>
      <w:pPr>
        <w:pStyle w:val="BodyText"/>
        <w:spacing w:before="1"/>
      </w:pPr>
    </w:p>
    <w:p>
      <w:pPr>
        <w:pStyle w:val="ListParagraph"/>
        <w:numPr>
          <w:ilvl w:val="0"/>
          <w:numId w:val="33"/>
        </w:numPr>
        <w:tabs>
          <w:tab w:pos="544" w:val="left" w:leader="none"/>
        </w:tabs>
        <w:spacing w:line="240" w:lineRule="auto" w:before="0" w:after="0"/>
        <w:ind w:left="544" w:right="0" w:hanging="282"/>
        <w:jc w:val="left"/>
        <w:rPr>
          <w:sz w:val="20"/>
        </w:rPr>
      </w:pPr>
      <w:r>
        <w:rPr>
          <w:sz w:val="20"/>
        </w:rPr>
        <w:t>Los</w:t>
      </w:r>
      <w:r>
        <w:rPr>
          <w:spacing w:val="-8"/>
          <w:sz w:val="20"/>
        </w:rPr>
        <w:t> </w:t>
      </w:r>
      <w:r>
        <w:rPr>
          <w:sz w:val="20"/>
        </w:rPr>
        <w:t>Programas</w:t>
      </w:r>
      <w:r>
        <w:rPr>
          <w:spacing w:val="-6"/>
          <w:sz w:val="20"/>
        </w:rPr>
        <w:t> </w:t>
      </w:r>
      <w:r>
        <w:rPr>
          <w:sz w:val="20"/>
        </w:rPr>
        <w:t>Parciales</w:t>
      </w:r>
      <w:r>
        <w:rPr>
          <w:spacing w:val="-6"/>
          <w:sz w:val="20"/>
        </w:rPr>
        <w:t> </w:t>
      </w:r>
      <w:r>
        <w:rPr>
          <w:sz w:val="20"/>
        </w:rPr>
        <w:t>de</w:t>
      </w:r>
      <w:r>
        <w:rPr>
          <w:spacing w:val="-9"/>
          <w:sz w:val="20"/>
        </w:rPr>
        <w:t> </w:t>
      </w:r>
      <w:r>
        <w:rPr>
          <w:sz w:val="20"/>
        </w:rPr>
        <w:t>Desarrollo</w:t>
      </w:r>
      <w:r>
        <w:rPr>
          <w:spacing w:val="-7"/>
          <w:sz w:val="20"/>
        </w:rPr>
        <w:t> </w:t>
      </w:r>
      <w:r>
        <w:rPr>
          <w:spacing w:val="-2"/>
          <w:sz w:val="20"/>
        </w:rPr>
        <w:t>Urbano;</w:t>
      </w:r>
    </w:p>
    <w:p>
      <w:pPr>
        <w:pStyle w:val="ListParagraph"/>
        <w:numPr>
          <w:ilvl w:val="0"/>
          <w:numId w:val="33"/>
        </w:numPr>
        <w:tabs>
          <w:tab w:pos="544" w:val="left" w:leader="none"/>
        </w:tabs>
        <w:spacing w:line="240" w:lineRule="auto" w:before="229" w:after="0"/>
        <w:ind w:left="544" w:right="0" w:hanging="282"/>
        <w:jc w:val="left"/>
        <w:rPr>
          <w:sz w:val="20"/>
        </w:rPr>
      </w:pPr>
      <w:r>
        <w:rPr>
          <w:sz w:val="20"/>
        </w:rPr>
        <w:t>Las</w:t>
      </w:r>
      <w:r>
        <w:rPr>
          <w:spacing w:val="-9"/>
          <w:sz w:val="20"/>
        </w:rPr>
        <w:t> </w:t>
      </w:r>
      <w:r>
        <w:rPr>
          <w:sz w:val="20"/>
        </w:rPr>
        <w:t>Estrategias</w:t>
      </w:r>
      <w:r>
        <w:rPr>
          <w:spacing w:val="-8"/>
          <w:sz w:val="20"/>
        </w:rPr>
        <w:t> </w:t>
      </w:r>
      <w:r>
        <w:rPr>
          <w:sz w:val="20"/>
        </w:rPr>
        <w:t>de</w:t>
      </w:r>
      <w:r>
        <w:rPr>
          <w:spacing w:val="-8"/>
          <w:sz w:val="20"/>
        </w:rPr>
        <w:t> </w:t>
      </w:r>
      <w:r>
        <w:rPr>
          <w:sz w:val="20"/>
        </w:rPr>
        <w:t>Componentes</w:t>
      </w:r>
      <w:r>
        <w:rPr>
          <w:spacing w:val="-8"/>
          <w:sz w:val="20"/>
        </w:rPr>
        <w:t> </w:t>
      </w:r>
      <w:r>
        <w:rPr>
          <w:sz w:val="20"/>
        </w:rPr>
        <w:t>Urbanos,</w:t>
      </w:r>
      <w:r>
        <w:rPr>
          <w:spacing w:val="-9"/>
          <w:sz w:val="20"/>
        </w:rPr>
        <w:t> </w:t>
      </w:r>
      <w:r>
        <w:rPr>
          <w:spacing w:val="-10"/>
          <w:sz w:val="20"/>
        </w:rPr>
        <w:t>y</w:t>
      </w:r>
    </w:p>
    <w:p>
      <w:pPr>
        <w:pStyle w:val="BodyText"/>
      </w:pPr>
    </w:p>
    <w:p>
      <w:pPr>
        <w:pStyle w:val="ListParagraph"/>
        <w:numPr>
          <w:ilvl w:val="0"/>
          <w:numId w:val="33"/>
        </w:numPr>
        <w:tabs>
          <w:tab w:pos="688" w:val="left" w:leader="none"/>
        </w:tabs>
        <w:spacing w:line="240" w:lineRule="auto" w:before="1" w:after="0"/>
        <w:ind w:left="688" w:right="0" w:hanging="426"/>
        <w:jc w:val="left"/>
        <w:rPr>
          <w:sz w:val="20"/>
        </w:rPr>
      </w:pPr>
      <w:r>
        <w:rPr>
          <w:sz w:val="20"/>
        </w:rPr>
        <w:t>Los</w:t>
      </w:r>
      <w:r>
        <w:rPr>
          <w:spacing w:val="-7"/>
          <w:sz w:val="20"/>
        </w:rPr>
        <w:t> </w:t>
      </w:r>
      <w:r>
        <w:rPr>
          <w:sz w:val="20"/>
        </w:rPr>
        <w:t>Esquemas</w:t>
      </w:r>
      <w:r>
        <w:rPr>
          <w:spacing w:val="-7"/>
          <w:sz w:val="20"/>
        </w:rPr>
        <w:t> </w:t>
      </w:r>
      <w:r>
        <w:rPr>
          <w:sz w:val="20"/>
        </w:rPr>
        <w:t>de</w:t>
      </w:r>
      <w:r>
        <w:rPr>
          <w:spacing w:val="-8"/>
          <w:sz w:val="20"/>
        </w:rPr>
        <w:t> </w:t>
      </w:r>
      <w:r>
        <w:rPr>
          <w:sz w:val="20"/>
        </w:rPr>
        <w:t>Desarrollo</w:t>
      </w:r>
      <w:r>
        <w:rPr>
          <w:spacing w:val="-8"/>
          <w:sz w:val="20"/>
        </w:rPr>
        <w:t> </w:t>
      </w:r>
      <w:r>
        <w:rPr>
          <w:spacing w:val="-2"/>
          <w:sz w:val="20"/>
        </w:rPr>
        <w:t>Urbano.</w:t>
      </w:r>
    </w:p>
    <w:p>
      <w:pPr>
        <w:pStyle w:val="BodyText"/>
      </w:pPr>
    </w:p>
    <w:p>
      <w:pPr>
        <w:pStyle w:val="BodyText"/>
        <w:ind w:left="262" w:right="278"/>
        <w:jc w:val="both"/>
      </w:pPr>
      <w:r>
        <w:rPr/>
        <w:t>Los</w:t>
      </w:r>
      <w:r>
        <w:rPr>
          <w:spacing w:val="-3"/>
        </w:rPr>
        <w:t> </w:t>
      </w:r>
      <w:r>
        <w:rPr/>
        <w:t>instrumentos</w:t>
      </w:r>
      <w:r>
        <w:rPr>
          <w:spacing w:val="-3"/>
        </w:rPr>
        <w:t> </w:t>
      </w:r>
      <w:r>
        <w:rPr/>
        <w:t>de</w:t>
      </w:r>
      <w:r>
        <w:rPr>
          <w:spacing w:val="-4"/>
        </w:rPr>
        <w:t> </w:t>
      </w:r>
      <w:r>
        <w:rPr/>
        <w:t>planeación</w:t>
      </w:r>
      <w:r>
        <w:rPr>
          <w:spacing w:val="-3"/>
        </w:rPr>
        <w:t> </w:t>
      </w:r>
      <w:r>
        <w:rPr/>
        <w:t>a</w:t>
      </w:r>
      <w:r>
        <w:rPr>
          <w:spacing w:val="-4"/>
        </w:rPr>
        <w:t> </w:t>
      </w:r>
      <w:r>
        <w:rPr/>
        <w:t>que</w:t>
      </w:r>
      <w:r>
        <w:rPr>
          <w:spacing w:val="-5"/>
        </w:rPr>
        <w:t> </w:t>
      </w:r>
      <w:r>
        <w:rPr/>
        <w:t>se</w:t>
      </w:r>
      <w:r>
        <w:rPr>
          <w:spacing w:val="-2"/>
        </w:rPr>
        <w:t> </w:t>
      </w:r>
      <w:r>
        <w:rPr/>
        <w:t>refiere</w:t>
      </w:r>
      <w:r>
        <w:rPr>
          <w:spacing w:val="-4"/>
        </w:rPr>
        <w:t> </w:t>
      </w:r>
      <w:r>
        <w:rPr/>
        <w:t>este</w:t>
      </w:r>
      <w:r>
        <w:rPr>
          <w:spacing w:val="-2"/>
        </w:rPr>
        <w:t> </w:t>
      </w:r>
      <w:r>
        <w:rPr/>
        <w:t>artículo,</w:t>
      </w:r>
      <w:r>
        <w:rPr>
          <w:spacing w:val="-2"/>
        </w:rPr>
        <w:t> </w:t>
      </w:r>
      <w:r>
        <w:rPr/>
        <w:t>se</w:t>
      </w:r>
      <w:r>
        <w:rPr>
          <w:spacing w:val="-4"/>
        </w:rPr>
        <w:t> </w:t>
      </w:r>
      <w:r>
        <w:rPr/>
        <w:t>regirán</w:t>
      </w:r>
      <w:r>
        <w:rPr>
          <w:spacing w:val="-2"/>
        </w:rPr>
        <w:t> </w:t>
      </w:r>
      <w:r>
        <w:rPr/>
        <w:t>por</w:t>
      </w:r>
      <w:r>
        <w:rPr>
          <w:spacing w:val="-1"/>
        </w:rPr>
        <w:t> </w:t>
      </w:r>
      <w:r>
        <w:rPr/>
        <w:t>las</w:t>
      </w:r>
      <w:r>
        <w:rPr>
          <w:spacing w:val="-1"/>
        </w:rPr>
        <w:t> </w:t>
      </w:r>
      <w:r>
        <w:rPr/>
        <w:t>disposiciones</w:t>
      </w:r>
      <w:r>
        <w:rPr>
          <w:spacing w:val="-3"/>
        </w:rPr>
        <w:t> </w:t>
      </w:r>
      <w:r>
        <w:rPr/>
        <w:t>de</w:t>
      </w:r>
      <w:r>
        <w:rPr>
          <w:spacing w:val="-3"/>
        </w:rPr>
        <w:t> </w:t>
      </w:r>
      <w:r>
        <w:rPr/>
        <w:t>la Ley General, esta Ley y por los reglamentos y normas administrativas estatales y municipales aplicables.</w:t>
      </w:r>
      <w:r>
        <w:rPr>
          <w:spacing w:val="-4"/>
        </w:rPr>
        <w:t> </w:t>
      </w:r>
      <w:r>
        <w:rPr/>
        <w:t>Son</w:t>
      </w:r>
      <w:r>
        <w:rPr>
          <w:spacing w:val="-5"/>
        </w:rPr>
        <w:t> </w:t>
      </w:r>
      <w:r>
        <w:rPr/>
        <w:t>de</w:t>
      </w:r>
      <w:r>
        <w:rPr>
          <w:spacing w:val="-4"/>
        </w:rPr>
        <w:t> </w:t>
      </w:r>
      <w:r>
        <w:rPr/>
        <w:t>carácter</w:t>
      </w:r>
      <w:r>
        <w:rPr>
          <w:spacing w:val="-4"/>
        </w:rPr>
        <w:t> </w:t>
      </w:r>
      <w:r>
        <w:rPr/>
        <w:t>obligatorio,</w:t>
      </w:r>
      <w:r>
        <w:rPr>
          <w:spacing w:val="-4"/>
        </w:rPr>
        <w:t> </w:t>
      </w:r>
      <w:r>
        <w:rPr/>
        <w:t>y</w:t>
      </w:r>
      <w:r>
        <w:rPr>
          <w:spacing w:val="-3"/>
        </w:rPr>
        <w:t> </w:t>
      </w:r>
      <w:r>
        <w:rPr/>
        <w:t>deberán</w:t>
      </w:r>
      <w:r>
        <w:rPr>
          <w:spacing w:val="-5"/>
        </w:rPr>
        <w:t> </w:t>
      </w:r>
      <w:r>
        <w:rPr/>
        <w:t>incorporarse</w:t>
      </w:r>
      <w:r>
        <w:rPr>
          <w:spacing w:val="-4"/>
        </w:rPr>
        <w:t> </w:t>
      </w:r>
      <w:r>
        <w:rPr/>
        <w:t>al</w:t>
      </w:r>
      <w:r>
        <w:rPr>
          <w:spacing w:val="-3"/>
        </w:rPr>
        <w:t> </w:t>
      </w:r>
      <w:r>
        <w:rPr/>
        <w:t>Sistema</w:t>
      </w:r>
      <w:r>
        <w:rPr>
          <w:spacing w:val="-4"/>
        </w:rPr>
        <w:t> </w:t>
      </w:r>
      <w:r>
        <w:rPr/>
        <w:t>de</w:t>
      </w:r>
      <w:r>
        <w:rPr>
          <w:spacing w:val="-4"/>
        </w:rPr>
        <w:t> </w:t>
      </w:r>
      <w:r>
        <w:rPr/>
        <w:t>Información</w:t>
      </w:r>
      <w:r>
        <w:rPr>
          <w:spacing w:val="-5"/>
        </w:rPr>
        <w:t> </w:t>
      </w:r>
      <w:r>
        <w:rPr/>
        <w:t>Territorial y Urbano.</w:t>
      </w:r>
    </w:p>
    <w:p>
      <w:pPr>
        <w:pStyle w:val="BodyText"/>
      </w:pPr>
    </w:p>
    <w:p>
      <w:pPr>
        <w:pStyle w:val="BodyText"/>
        <w:spacing w:before="1"/>
        <w:ind w:left="262" w:right="282"/>
        <w:jc w:val="both"/>
      </w:pPr>
      <w:r>
        <w:rPr/>
        <w:t>Los</w:t>
      </w:r>
      <w:r>
        <w:rPr>
          <w:spacing w:val="-10"/>
        </w:rPr>
        <w:t> </w:t>
      </w:r>
      <w:r>
        <w:rPr/>
        <w:t>diversos</w:t>
      </w:r>
      <w:r>
        <w:rPr>
          <w:spacing w:val="-10"/>
        </w:rPr>
        <w:t> </w:t>
      </w:r>
      <w:r>
        <w:rPr/>
        <w:t>programas</w:t>
      </w:r>
      <w:r>
        <w:rPr>
          <w:spacing w:val="-10"/>
        </w:rPr>
        <w:t> </w:t>
      </w:r>
      <w:r>
        <w:rPr/>
        <w:t>de</w:t>
      </w:r>
      <w:r>
        <w:rPr>
          <w:spacing w:val="-9"/>
        </w:rPr>
        <w:t> </w:t>
      </w:r>
      <w:r>
        <w:rPr/>
        <w:t>ordenamiento</w:t>
      </w:r>
      <w:r>
        <w:rPr>
          <w:spacing w:val="-11"/>
        </w:rPr>
        <w:t> </w:t>
      </w:r>
      <w:r>
        <w:rPr/>
        <w:t>territorial</w:t>
      </w:r>
      <w:r>
        <w:rPr>
          <w:spacing w:val="-12"/>
        </w:rPr>
        <w:t> </w:t>
      </w:r>
      <w:r>
        <w:rPr/>
        <w:t>y</w:t>
      </w:r>
      <w:r>
        <w:rPr>
          <w:spacing w:val="-10"/>
        </w:rPr>
        <w:t> </w:t>
      </w:r>
      <w:r>
        <w:rPr/>
        <w:t>desarrollo</w:t>
      </w:r>
      <w:r>
        <w:rPr>
          <w:spacing w:val="-11"/>
        </w:rPr>
        <w:t> </w:t>
      </w:r>
      <w:r>
        <w:rPr/>
        <w:t>urbano</w:t>
      </w:r>
      <w:r>
        <w:rPr>
          <w:spacing w:val="-11"/>
        </w:rPr>
        <w:t> </w:t>
      </w:r>
      <w:r>
        <w:rPr/>
        <w:t>y</w:t>
      </w:r>
      <w:r>
        <w:rPr>
          <w:spacing w:val="-10"/>
        </w:rPr>
        <w:t> </w:t>
      </w:r>
      <w:r>
        <w:rPr/>
        <w:t>metropolitano</w:t>
      </w:r>
      <w:r>
        <w:rPr>
          <w:spacing w:val="-11"/>
        </w:rPr>
        <w:t> </w:t>
      </w:r>
      <w:r>
        <w:rPr/>
        <w:t>establecidos en esta Ley, deberán ajustarse y ser congruentes con las disposiciones que se establezcan dentro de la Estrategia Nacional de Ordenamiento Territorial, el Programa Nacional de Ordenamiento Territorial y Desarrollo Urbano, el Plan Estatal y los Planes municipales de Desarrollo, según corresponda en cada caso. Así como con las Normas Oficiales Mexicanas en la materia.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2"/>
        <w:jc w:val="both"/>
      </w:pPr>
      <w:r>
        <w:rPr/>
        <w:t>Los instrumentos de planeación referidos, deberán guardar congruencia entre sí, sujetándose al orden jerárquico que establece su ámbito territorial, y contando con los dictámenes de validación y congruencia que para ese fin serán solicitados y emitidos por la Secretaría, para su aplicación y </w:t>
      </w:r>
      <w:r>
        <w:rPr>
          <w:spacing w:val="-2"/>
        </w:rPr>
        <w:t>cumplimiento.</w:t>
      </w:r>
    </w:p>
    <w:p>
      <w:pPr>
        <w:spacing w:before="230"/>
        <w:ind w:left="262" w:right="0" w:firstLine="0"/>
        <w:jc w:val="both"/>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6"/>
          <w:sz w:val="20"/>
        </w:rPr>
        <w:t> </w:t>
      </w:r>
      <w:r>
        <w:rPr>
          <w:rFonts w:ascii="Arial"/>
          <w:i/>
          <w:sz w:val="20"/>
        </w:rPr>
        <w:t>14</w:t>
      </w:r>
      <w:r>
        <w:rPr>
          <w:rFonts w:ascii="Arial"/>
          <w:i/>
          <w:spacing w:val="-7"/>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BodyText"/>
        <w:ind w:left="262" w:right="264"/>
        <w:jc w:val="both"/>
      </w:pPr>
      <w:r>
        <w:rPr/>
        <w:t>Los instrumentos de planeación que establece este artículo serán el sustento territorial para definir y orientar la inversión pública e inducir las obras, acciones e inversiones de los sectores privado y social.</w:t>
      </w:r>
      <w:r>
        <w:rPr>
          <w:spacing w:val="-1"/>
        </w:rPr>
        <w:t> </w:t>
      </w:r>
      <w:r>
        <w:rPr/>
        <w:t>Además,</w:t>
      </w:r>
      <w:r>
        <w:rPr>
          <w:spacing w:val="-3"/>
        </w:rPr>
        <w:t> </w:t>
      </w:r>
      <w:r>
        <w:rPr/>
        <w:t>podrán</w:t>
      </w:r>
      <w:r>
        <w:rPr>
          <w:spacing w:val="-3"/>
        </w:rPr>
        <w:t> </w:t>
      </w:r>
      <w:r>
        <w:rPr/>
        <w:t>ser</w:t>
      </w:r>
      <w:r>
        <w:rPr>
          <w:spacing w:val="-1"/>
        </w:rPr>
        <w:t> </w:t>
      </w:r>
      <w:r>
        <w:rPr/>
        <w:t>utilizados</w:t>
      </w:r>
      <w:r>
        <w:rPr>
          <w:spacing w:val="-2"/>
        </w:rPr>
        <w:t> </w:t>
      </w:r>
      <w:r>
        <w:rPr/>
        <w:t>por</w:t>
      </w:r>
      <w:r>
        <w:rPr>
          <w:spacing w:val="-2"/>
        </w:rPr>
        <w:t> </w:t>
      </w:r>
      <w:r>
        <w:rPr/>
        <w:t>el</w:t>
      </w:r>
      <w:r>
        <w:rPr>
          <w:spacing w:val="-2"/>
        </w:rPr>
        <w:t> </w:t>
      </w:r>
      <w:r>
        <w:rPr/>
        <w:t>Estado y</w:t>
      </w:r>
      <w:r>
        <w:rPr>
          <w:spacing w:val="-2"/>
        </w:rPr>
        <w:t> </w:t>
      </w:r>
      <w:r>
        <w:rPr/>
        <w:t>los</w:t>
      </w:r>
      <w:r>
        <w:rPr>
          <w:spacing w:val="-2"/>
        </w:rPr>
        <w:t> </w:t>
      </w:r>
      <w:r>
        <w:rPr/>
        <w:t>municipios</w:t>
      </w:r>
      <w:r>
        <w:rPr>
          <w:spacing w:val="-2"/>
        </w:rPr>
        <w:t> </w:t>
      </w:r>
      <w:r>
        <w:rPr/>
        <w:t>para</w:t>
      </w:r>
      <w:r>
        <w:rPr>
          <w:spacing w:val="-3"/>
        </w:rPr>
        <w:t> </w:t>
      </w:r>
      <w:r>
        <w:rPr/>
        <w:t>tomar</w:t>
      </w:r>
      <w:r>
        <w:rPr>
          <w:spacing w:val="-2"/>
        </w:rPr>
        <w:t> </w:t>
      </w:r>
      <w:r>
        <w:rPr/>
        <w:t>acciones</w:t>
      </w:r>
      <w:r>
        <w:rPr>
          <w:spacing w:val="-2"/>
        </w:rPr>
        <w:t> </w:t>
      </w:r>
      <w:r>
        <w:rPr/>
        <w:t>tendentes a la regulación del mercado, evitar la especulación de inmuebles y predios aptos para el desarrollo urbano y la vivienda, y favorecer la creación y disponibilidad de vivienda de interés social, considerando una perspectiva a largo plazo.</w:t>
      </w:r>
    </w:p>
    <w:p>
      <w:pPr>
        <w:pStyle w:val="BodyText"/>
        <w:spacing w:before="1"/>
      </w:pPr>
    </w:p>
    <w:p>
      <w:pPr>
        <w:pStyle w:val="BodyText"/>
        <w:ind w:left="262" w:right="285"/>
        <w:jc w:val="both"/>
      </w:pPr>
      <w:r>
        <w:rPr/>
        <w:t>La</w:t>
      </w:r>
      <w:r>
        <w:rPr>
          <w:spacing w:val="-7"/>
        </w:rPr>
        <w:t> </w:t>
      </w:r>
      <w:r>
        <w:rPr/>
        <w:t>Federación</w:t>
      </w:r>
      <w:r>
        <w:rPr>
          <w:spacing w:val="-5"/>
        </w:rPr>
        <w:t> </w:t>
      </w:r>
      <w:r>
        <w:rPr/>
        <w:t>y</w:t>
      </w:r>
      <w:r>
        <w:rPr>
          <w:spacing w:val="-5"/>
        </w:rPr>
        <w:t> </w:t>
      </w:r>
      <w:r>
        <w:rPr/>
        <w:t>el</w:t>
      </w:r>
      <w:r>
        <w:rPr>
          <w:spacing w:val="-5"/>
        </w:rPr>
        <w:t> </w:t>
      </w:r>
      <w:r>
        <w:rPr/>
        <w:t>Estado</w:t>
      </w:r>
      <w:r>
        <w:rPr>
          <w:spacing w:val="-4"/>
        </w:rPr>
        <w:t> </w:t>
      </w:r>
      <w:r>
        <w:rPr/>
        <w:t>podrán</w:t>
      </w:r>
      <w:r>
        <w:rPr>
          <w:spacing w:val="-7"/>
        </w:rPr>
        <w:t> </w:t>
      </w:r>
      <w:r>
        <w:rPr/>
        <w:t>convenir</w:t>
      </w:r>
      <w:r>
        <w:rPr>
          <w:spacing w:val="-3"/>
        </w:rPr>
        <w:t> </w:t>
      </w:r>
      <w:r>
        <w:rPr/>
        <w:t>mecanismos</w:t>
      </w:r>
      <w:r>
        <w:rPr>
          <w:spacing w:val="-6"/>
        </w:rPr>
        <w:t> </w:t>
      </w:r>
      <w:r>
        <w:rPr/>
        <w:t>de</w:t>
      </w:r>
      <w:r>
        <w:rPr>
          <w:spacing w:val="-5"/>
        </w:rPr>
        <w:t> </w:t>
      </w:r>
      <w:r>
        <w:rPr/>
        <w:t>planeación</w:t>
      </w:r>
      <w:r>
        <w:rPr>
          <w:spacing w:val="-5"/>
        </w:rPr>
        <w:t> </w:t>
      </w:r>
      <w:r>
        <w:rPr/>
        <w:t>de</w:t>
      </w:r>
      <w:r>
        <w:rPr>
          <w:spacing w:val="-5"/>
        </w:rPr>
        <w:t> </w:t>
      </w:r>
      <w:r>
        <w:rPr/>
        <w:t>las</w:t>
      </w:r>
      <w:r>
        <w:rPr>
          <w:spacing w:val="-6"/>
        </w:rPr>
        <w:t> </w:t>
      </w:r>
      <w:r>
        <w:rPr/>
        <w:t>zonas</w:t>
      </w:r>
      <w:r>
        <w:rPr>
          <w:spacing w:val="-5"/>
        </w:rPr>
        <w:t> </w:t>
      </w:r>
      <w:r>
        <w:rPr/>
        <w:t>metropolitanas para</w:t>
      </w:r>
      <w:r>
        <w:rPr>
          <w:spacing w:val="-8"/>
        </w:rPr>
        <w:t> </w:t>
      </w:r>
      <w:r>
        <w:rPr/>
        <w:t>coordinar</w:t>
      </w:r>
      <w:r>
        <w:rPr>
          <w:spacing w:val="-7"/>
        </w:rPr>
        <w:t> </w:t>
      </w:r>
      <w:r>
        <w:rPr/>
        <w:t>acciones</w:t>
      </w:r>
      <w:r>
        <w:rPr>
          <w:spacing w:val="-7"/>
        </w:rPr>
        <w:t> </w:t>
      </w:r>
      <w:r>
        <w:rPr/>
        <w:t>e</w:t>
      </w:r>
      <w:r>
        <w:rPr>
          <w:spacing w:val="-5"/>
        </w:rPr>
        <w:t> </w:t>
      </w:r>
      <w:r>
        <w:rPr/>
        <w:t>inversiones</w:t>
      </w:r>
      <w:r>
        <w:rPr>
          <w:spacing w:val="-4"/>
        </w:rPr>
        <w:t> </w:t>
      </w:r>
      <w:r>
        <w:rPr/>
        <w:t>que</w:t>
      </w:r>
      <w:r>
        <w:rPr>
          <w:spacing w:val="-5"/>
        </w:rPr>
        <w:t> </w:t>
      </w:r>
      <w:r>
        <w:rPr/>
        <w:t>propicien</w:t>
      </w:r>
      <w:r>
        <w:rPr>
          <w:spacing w:val="-8"/>
        </w:rPr>
        <w:t> </w:t>
      </w:r>
      <w:r>
        <w:rPr/>
        <w:t>el</w:t>
      </w:r>
      <w:r>
        <w:rPr>
          <w:spacing w:val="-6"/>
        </w:rPr>
        <w:t> </w:t>
      </w:r>
      <w:r>
        <w:rPr/>
        <w:t>desarrollo</w:t>
      </w:r>
      <w:r>
        <w:rPr>
          <w:spacing w:val="-8"/>
        </w:rPr>
        <w:t> </w:t>
      </w:r>
      <w:r>
        <w:rPr/>
        <w:t>y</w:t>
      </w:r>
      <w:r>
        <w:rPr>
          <w:spacing w:val="-6"/>
        </w:rPr>
        <w:t> </w:t>
      </w:r>
      <w:r>
        <w:rPr/>
        <w:t>regulación</w:t>
      </w:r>
      <w:r>
        <w:rPr>
          <w:spacing w:val="-8"/>
        </w:rPr>
        <w:t> </w:t>
      </w:r>
      <w:r>
        <w:rPr/>
        <w:t>de</w:t>
      </w:r>
      <w:r>
        <w:rPr>
          <w:spacing w:val="-8"/>
        </w:rPr>
        <w:t> </w:t>
      </w:r>
      <w:r>
        <w:rPr/>
        <w:t>los</w:t>
      </w:r>
      <w:r>
        <w:rPr>
          <w:spacing w:val="-7"/>
        </w:rPr>
        <w:t> </w:t>
      </w:r>
      <w:r>
        <w:rPr/>
        <w:t>asentamientos humanos, con la participación que corresponda a los municipios de acuerdo con esta Ley.</w:t>
      </w:r>
    </w:p>
    <w:p>
      <w:pPr>
        <w:pStyle w:val="BodyText"/>
        <w:spacing w:before="229"/>
        <w:ind w:left="262" w:right="277"/>
        <w:jc w:val="both"/>
      </w:pPr>
      <w:r>
        <w:rPr>
          <w:rFonts w:ascii="Arial" w:hAnsi="Arial"/>
          <w:b/>
        </w:rPr>
        <w:t>ARTÍCULO</w:t>
      </w:r>
      <w:r>
        <w:rPr>
          <w:rFonts w:ascii="Arial" w:hAnsi="Arial"/>
          <w:b/>
          <w:spacing w:val="-11"/>
        </w:rPr>
        <w:t> </w:t>
      </w:r>
      <w:r>
        <w:rPr>
          <w:rFonts w:ascii="Arial" w:hAnsi="Arial"/>
          <w:b/>
        </w:rPr>
        <w:t>67.</w:t>
      </w:r>
      <w:r>
        <w:rPr>
          <w:rFonts w:ascii="Arial" w:hAnsi="Arial"/>
          <w:b/>
          <w:spacing w:val="-9"/>
        </w:rPr>
        <w:t> </w:t>
      </w:r>
      <w:r>
        <w:rPr/>
        <w:t>Los</w:t>
      </w:r>
      <w:r>
        <w:rPr>
          <w:spacing w:val="-9"/>
        </w:rPr>
        <w:t> </w:t>
      </w:r>
      <w:r>
        <w:rPr/>
        <w:t>Programas</w:t>
      </w:r>
      <w:r>
        <w:rPr>
          <w:spacing w:val="-11"/>
        </w:rPr>
        <w:t> </w:t>
      </w:r>
      <w:r>
        <w:rPr/>
        <w:t>que</w:t>
      </w:r>
      <w:r>
        <w:rPr>
          <w:spacing w:val="-12"/>
        </w:rPr>
        <w:t> </w:t>
      </w:r>
      <w:r>
        <w:rPr/>
        <w:t>integran</w:t>
      </w:r>
      <w:r>
        <w:rPr>
          <w:spacing w:val="-12"/>
        </w:rPr>
        <w:t> </w:t>
      </w:r>
      <w:r>
        <w:rPr/>
        <w:t>el</w:t>
      </w:r>
      <w:r>
        <w:rPr>
          <w:spacing w:val="-13"/>
        </w:rPr>
        <w:t> </w:t>
      </w:r>
      <w:r>
        <w:rPr/>
        <w:t>Sistema</w:t>
      </w:r>
      <w:r>
        <w:rPr>
          <w:spacing w:val="-12"/>
        </w:rPr>
        <w:t> </w:t>
      </w:r>
      <w:r>
        <w:rPr/>
        <w:t>Estatal</w:t>
      </w:r>
      <w:r>
        <w:rPr>
          <w:spacing w:val="-11"/>
        </w:rPr>
        <w:t> </w:t>
      </w:r>
      <w:r>
        <w:rPr/>
        <w:t>de</w:t>
      </w:r>
      <w:r>
        <w:rPr>
          <w:spacing w:val="-10"/>
        </w:rPr>
        <w:t> </w:t>
      </w:r>
      <w:r>
        <w:rPr/>
        <w:t>Planeación</w:t>
      </w:r>
      <w:r>
        <w:rPr>
          <w:spacing w:val="-10"/>
        </w:rPr>
        <w:t> </w:t>
      </w:r>
      <w:r>
        <w:rPr/>
        <w:t>para</w:t>
      </w:r>
      <w:r>
        <w:rPr>
          <w:spacing w:val="-12"/>
        </w:rPr>
        <w:t> </w:t>
      </w:r>
      <w:r>
        <w:rPr/>
        <w:t>el</w:t>
      </w:r>
      <w:r>
        <w:rPr>
          <w:spacing w:val="-13"/>
        </w:rPr>
        <w:t> </w:t>
      </w:r>
      <w:r>
        <w:rPr/>
        <w:t>Ordenamiento Territorial y el Desarrollo Urbano y Metropolitano, serán congruentes en lo conducente, con los programas que expida el gobierno federal, con base en las leyes de Planeación y General de Asentamientos Humanos, Ordenamiento Territorial y Desarrollo Urbano.</w:t>
      </w:r>
    </w:p>
    <w:p>
      <w:pPr>
        <w:pStyle w:val="BodyText"/>
      </w:pPr>
    </w:p>
    <w:p>
      <w:pPr>
        <w:pStyle w:val="BodyText"/>
        <w:ind w:left="262" w:right="278"/>
        <w:jc w:val="both"/>
      </w:pPr>
      <w:r>
        <w:rPr/>
        <w:t>Las</w:t>
      </w:r>
      <w:r>
        <w:rPr>
          <w:spacing w:val="-8"/>
        </w:rPr>
        <w:t> </w:t>
      </w:r>
      <w:r>
        <w:rPr/>
        <w:t>autoridades</w:t>
      </w:r>
      <w:r>
        <w:rPr>
          <w:spacing w:val="-8"/>
        </w:rPr>
        <w:t> </w:t>
      </w:r>
      <w:r>
        <w:rPr/>
        <w:t>públicas</w:t>
      </w:r>
      <w:r>
        <w:rPr>
          <w:spacing w:val="-8"/>
        </w:rPr>
        <w:t> </w:t>
      </w:r>
      <w:r>
        <w:rPr/>
        <w:t>encargadas</w:t>
      </w:r>
      <w:r>
        <w:rPr>
          <w:spacing w:val="-8"/>
        </w:rPr>
        <w:t> </w:t>
      </w:r>
      <w:r>
        <w:rPr/>
        <w:t>de</w:t>
      </w:r>
      <w:r>
        <w:rPr>
          <w:spacing w:val="-7"/>
        </w:rPr>
        <w:t> </w:t>
      </w:r>
      <w:r>
        <w:rPr/>
        <w:t>la</w:t>
      </w:r>
      <w:r>
        <w:rPr>
          <w:spacing w:val="-9"/>
        </w:rPr>
        <w:t> </w:t>
      </w:r>
      <w:r>
        <w:rPr/>
        <w:t>ejecución</w:t>
      </w:r>
      <w:r>
        <w:rPr>
          <w:spacing w:val="-7"/>
        </w:rPr>
        <w:t> </w:t>
      </w:r>
      <w:r>
        <w:rPr/>
        <w:t>de</w:t>
      </w:r>
      <w:r>
        <w:rPr>
          <w:spacing w:val="-9"/>
        </w:rPr>
        <w:t> </w:t>
      </w:r>
      <w:r>
        <w:rPr/>
        <w:t>los</w:t>
      </w:r>
      <w:r>
        <w:rPr>
          <w:spacing w:val="-8"/>
        </w:rPr>
        <w:t> </w:t>
      </w:r>
      <w:r>
        <w:rPr/>
        <w:t>programas</w:t>
      </w:r>
      <w:r>
        <w:rPr>
          <w:spacing w:val="-8"/>
        </w:rPr>
        <w:t> </w:t>
      </w:r>
      <w:r>
        <w:rPr/>
        <w:t>referidos</w:t>
      </w:r>
      <w:r>
        <w:rPr>
          <w:spacing w:val="-5"/>
        </w:rPr>
        <w:t> </w:t>
      </w:r>
      <w:r>
        <w:rPr/>
        <w:t>en</w:t>
      </w:r>
      <w:r>
        <w:rPr>
          <w:spacing w:val="-9"/>
        </w:rPr>
        <w:t> </w:t>
      </w:r>
      <w:r>
        <w:rPr/>
        <w:t>el</w:t>
      </w:r>
      <w:r>
        <w:rPr>
          <w:spacing w:val="-10"/>
        </w:rPr>
        <w:t> </w:t>
      </w:r>
      <w:r>
        <w:rPr/>
        <w:t>artículo</w:t>
      </w:r>
      <w:r>
        <w:rPr>
          <w:spacing w:val="-9"/>
        </w:rPr>
        <w:t> </w:t>
      </w:r>
      <w:r>
        <w:rPr/>
        <w:t>66</w:t>
      </w:r>
      <w:r>
        <w:rPr>
          <w:spacing w:val="-9"/>
        </w:rPr>
        <w:t> </w:t>
      </w:r>
      <w:r>
        <w:rPr/>
        <w:t>de este</w:t>
      </w:r>
      <w:r>
        <w:rPr>
          <w:spacing w:val="-14"/>
        </w:rPr>
        <w:t> </w:t>
      </w:r>
      <w:r>
        <w:rPr/>
        <w:t>Ordenamiento,</w:t>
      </w:r>
      <w:r>
        <w:rPr>
          <w:spacing w:val="-14"/>
        </w:rPr>
        <w:t> </w:t>
      </w:r>
      <w:r>
        <w:rPr/>
        <w:t>tienen</w:t>
      </w:r>
      <w:r>
        <w:rPr>
          <w:spacing w:val="-14"/>
        </w:rPr>
        <w:t> </w:t>
      </w:r>
      <w:r>
        <w:rPr/>
        <w:t>la</w:t>
      </w:r>
      <w:r>
        <w:rPr>
          <w:spacing w:val="-14"/>
        </w:rPr>
        <w:t> </w:t>
      </w:r>
      <w:r>
        <w:rPr/>
        <w:t>obligación</w:t>
      </w:r>
      <w:r>
        <w:rPr>
          <w:spacing w:val="-14"/>
        </w:rPr>
        <w:t> </w:t>
      </w:r>
      <w:r>
        <w:rPr/>
        <w:t>de</w:t>
      </w:r>
      <w:r>
        <w:rPr>
          <w:spacing w:val="-14"/>
        </w:rPr>
        <w:t> </w:t>
      </w:r>
      <w:r>
        <w:rPr/>
        <w:t>facilitar</w:t>
      </w:r>
      <w:r>
        <w:rPr>
          <w:spacing w:val="-14"/>
        </w:rPr>
        <w:t> </w:t>
      </w:r>
      <w:r>
        <w:rPr/>
        <w:t>su</w:t>
      </w:r>
      <w:r>
        <w:rPr>
          <w:spacing w:val="-14"/>
        </w:rPr>
        <w:t> </w:t>
      </w:r>
      <w:r>
        <w:rPr/>
        <w:t>consulta</w:t>
      </w:r>
      <w:r>
        <w:rPr>
          <w:spacing w:val="-14"/>
        </w:rPr>
        <w:t> </w:t>
      </w:r>
      <w:r>
        <w:rPr/>
        <w:t>pública</w:t>
      </w:r>
      <w:r>
        <w:rPr>
          <w:spacing w:val="-13"/>
        </w:rPr>
        <w:t> </w:t>
      </w:r>
      <w:r>
        <w:rPr/>
        <w:t>de</w:t>
      </w:r>
      <w:r>
        <w:rPr>
          <w:spacing w:val="-14"/>
        </w:rPr>
        <w:t> </w:t>
      </w:r>
      <w:r>
        <w:rPr/>
        <w:t>forma</w:t>
      </w:r>
      <w:r>
        <w:rPr>
          <w:spacing w:val="-14"/>
        </w:rPr>
        <w:t> </w:t>
      </w:r>
      <w:r>
        <w:rPr/>
        <w:t>física</w:t>
      </w:r>
      <w:r>
        <w:rPr>
          <w:spacing w:val="-14"/>
        </w:rPr>
        <w:t> </w:t>
      </w:r>
      <w:r>
        <w:rPr/>
        <w:t>en</w:t>
      </w:r>
      <w:r>
        <w:rPr>
          <w:spacing w:val="-14"/>
        </w:rPr>
        <w:t> </w:t>
      </w:r>
      <w:r>
        <w:rPr/>
        <w:t>sus</w:t>
      </w:r>
      <w:r>
        <w:rPr>
          <w:spacing w:val="-14"/>
        </w:rPr>
        <w:t> </w:t>
      </w:r>
      <w:r>
        <w:rPr/>
        <w:t>oficinas y de forma electrónica, a través de sus sitios web, en términos de la legislación en materia de </w:t>
      </w:r>
      <w:r>
        <w:rPr>
          <w:spacing w:val="-2"/>
        </w:rPr>
        <w:t>transparencia.</w:t>
      </w:r>
    </w:p>
    <w:p>
      <w:pPr>
        <w:pStyle w:val="BodyText"/>
        <w:spacing w:before="2"/>
      </w:pPr>
    </w:p>
    <w:p>
      <w:pPr>
        <w:pStyle w:val="BodyText"/>
        <w:spacing w:before="1"/>
        <w:ind w:left="262" w:right="285"/>
        <w:jc w:val="both"/>
      </w:pPr>
      <w:r>
        <w:rPr>
          <w:rFonts w:ascii="Arial" w:hAnsi="Arial"/>
          <w:b/>
        </w:rPr>
        <w:t>ARTÍCULO</w:t>
      </w:r>
      <w:r>
        <w:rPr>
          <w:rFonts w:ascii="Arial" w:hAnsi="Arial"/>
          <w:b/>
          <w:spacing w:val="-8"/>
        </w:rPr>
        <w:t> </w:t>
      </w:r>
      <w:r>
        <w:rPr>
          <w:rFonts w:ascii="Arial" w:hAnsi="Arial"/>
          <w:b/>
        </w:rPr>
        <w:t>68.</w:t>
      </w:r>
      <w:r>
        <w:rPr>
          <w:rFonts w:ascii="Arial" w:hAnsi="Arial"/>
          <w:b/>
          <w:spacing w:val="-8"/>
        </w:rPr>
        <w:t> </w:t>
      </w:r>
      <w:r>
        <w:rPr/>
        <w:t>Los</w:t>
      </w:r>
      <w:r>
        <w:rPr>
          <w:spacing w:val="-8"/>
        </w:rPr>
        <w:t> </w:t>
      </w:r>
      <w:r>
        <w:rPr/>
        <w:t>programas</w:t>
      </w:r>
      <w:r>
        <w:rPr>
          <w:spacing w:val="-8"/>
        </w:rPr>
        <w:t> </w:t>
      </w:r>
      <w:r>
        <w:rPr/>
        <w:t>a</w:t>
      </w:r>
      <w:r>
        <w:rPr>
          <w:spacing w:val="-7"/>
        </w:rPr>
        <w:t> </w:t>
      </w:r>
      <w:r>
        <w:rPr/>
        <w:t>que</w:t>
      </w:r>
      <w:r>
        <w:rPr>
          <w:spacing w:val="-9"/>
        </w:rPr>
        <w:t> </w:t>
      </w:r>
      <w:r>
        <w:rPr/>
        <w:t>se</w:t>
      </w:r>
      <w:r>
        <w:rPr>
          <w:spacing w:val="-9"/>
        </w:rPr>
        <w:t> </w:t>
      </w:r>
      <w:r>
        <w:rPr/>
        <w:t>refiere</w:t>
      </w:r>
      <w:r>
        <w:rPr>
          <w:spacing w:val="-6"/>
        </w:rPr>
        <w:t> </w:t>
      </w:r>
      <w:r>
        <w:rPr/>
        <w:t>el</w:t>
      </w:r>
      <w:r>
        <w:rPr>
          <w:spacing w:val="-8"/>
        </w:rPr>
        <w:t> </w:t>
      </w:r>
      <w:r>
        <w:rPr/>
        <w:t>artículo</w:t>
      </w:r>
      <w:r>
        <w:rPr>
          <w:spacing w:val="-7"/>
        </w:rPr>
        <w:t> </w:t>
      </w:r>
      <w:r>
        <w:rPr/>
        <w:t>66</w:t>
      </w:r>
      <w:r>
        <w:rPr>
          <w:spacing w:val="-7"/>
        </w:rPr>
        <w:t> </w:t>
      </w:r>
      <w:r>
        <w:rPr/>
        <w:t>de</w:t>
      </w:r>
      <w:r>
        <w:rPr>
          <w:spacing w:val="-7"/>
        </w:rPr>
        <w:t> </w:t>
      </w:r>
      <w:r>
        <w:rPr/>
        <w:t>esta</w:t>
      </w:r>
      <w:r>
        <w:rPr>
          <w:spacing w:val="-9"/>
        </w:rPr>
        <w:t> </w:t>
      </w:r>
      <w:r>
        <w:rPr/>
        <w:t>Ley,</w:t>
      </w:r>
      <w:r>
        <w:rPr>
          <w:spacing w:val="-9"/>
        </w:rPr>
        <w:t> </w:t>
      </w:r>
      <w:r>
        <w:rPr/>
        <w:t>contendrán</w:t>
      </w:r>
      <w:r>
        <w:rPr>
          <w:spacing w:val="-9"/>
        </w:rPr>
        <w:t> </w:t>
      </w:r>
      <w:r>
        <w:rPr/>
        <w:t>los</w:t>
      </w:r>
      <w:r>
        <w:rPr>
          <w:spacing w:val="-8"/>
        </w:rPr>
        <w:t> </w:t>
      </w:r>
      <w:r>
        <w:rPr/>
        <w:t>elementos básicos que hagan posible su congruencia y uniformidad para su debida ejecución técnica, jurídica y administrativa; dichos elementos deberán comprender:</w:t>
      </w:r>
    </w:p>
    <w:p>
      <w:pPr>
        <w:pStyle w:val="ListParagraph"/>
        <w:numPr>
          <w:ilvl w:val="0"/>
          <w:numId w:val="34"/>
        </w:numPr>
        <w:tabs>
          <w:tab w:pos="688" w:val="left" w:leader="none"/>
        </w:tabs>
        <w:spacing w:line="240" w:lineRule="auto" w:before="229" w:after="0"/>
        <w:ind w:left="262" w:right="283" w:firstLine="0"/>
        <w:jc w:val="both"/>
        <w:rPr>
          <w:sz w:val="20"/>
        </w:rPr>
      </w:pPr>
      <w:r>
        <w:rPr>
          <w:rFonts w:ascii="Arial" w:hAnsi="Arial"/>
          <w:b/>
          <w:sz w:val="20"/>
        </w:rPr>
        <w:t>Introducción: </w:t>
      </w:r>
      <w:r>
        <w:rPr>
          <w:sz w:val="20"/>
        </w:rPr>
        <w:t>la denominación, antecedentes y ámbito espacial de aplicación, así como los lineamientos generales de articulación y congruencia con la estrategia nacional de ordenamiento </w:t>
      </w:r>
      <w:r>
        <w:rPr>
          <w:spacing w:val="-2"/>
          <w:sz w:val="20"/>
        </w:rPr>
        <w:t>territorial;</w:t>
      </w:r>
    </w:p>
    <w:p>
      <w:pPr>
        <w:pStyle w:val="ListParagraph"/>
        <w:numPr>
          <w:ilvl w:val="0"/>
          <w:numId w:val="34"/>
        </w:numPr>
        <w:tabs>
          <w:tab w:pos="686" w:val="left" w:leader="none"/>
        </w:tabs>
        <w:spacing w:line="240" w:lineRule="auto" w:before="229" w:after="0"/>
        <w:ind w:left="262" w:right="276" w:firstLine="0"/>
        <w:jc w:val="both"/>
        <w:rPr>
          <w:sz w:val="20"/>
        </w:rPr>
      </w:pPr>
      <w:r>
        <w:rPr>
          <w:rFonts w:ascii="Arial" w:hAnsi="Arial"/>
          <w:b/>
          <w:sz w:val="20"/>
        </w:rPr>
        <w:t>Normatividad:</w:t>
      </w:r>
      <w:r>
        <w:rPr>
          <w:rFonts w:ascii="Arial" w:hAnsi="Arial"/>
          <w:b/>
          <w:spacing w:val="-7"/>
          <w:sz w:val="20"/>
        </w:rPr>
        <w:t> </w:t>
      </w:r>
      <w:r>
        <w:rPr>
          <w:sz w:val="20"/>
        </w:rPr>
        <w:t>el</w:t>
      </w:r>
      <w:r>
        <w:rPr>
          <w:spacing w:val="-9"/>
          <w:sz w:val="20"/>
        </w:rPr>
        <w:t> </w:t>
      </w:r>
      <w:r>
        <w:rPr>
          <w:sz w:val="20"/>
        </w:rPr>
        <w:t>análisis</w:t>
      </w:r>
      <w:r>
        <w:rPr>
          <w:spacing w:val="-5"/>
          <w:sz w:val="20"/>
        </w:rPr>
        <w:t> </w:t>
      </w:r>
      <w:r>
        <w:rPr>
          <w:sz w:val="20"/>
        </w:rPr>
        <w:t>y</w:t>
      </w:r>
      <w:r>
        <w:rPr>
          <w:spacing w:val="-8"/>
          <w:sz w:val="20"/>
        </w:rPr>
        <w:t> </w:t>
      </w:r>
      <w:r>
        <w:rPr>
          <w:sz w:val="20"/>
        </w:rPr>
        <w:t>congruencia</w:t>
      </w:r>
      <w:r>
        <w:rPr>
          <w:spacing w:val="-8"/>
          <w:sz w:val="20"/>
        </w:rPr>
        <w:t> </w:t>
      </w:r>
      <w:r>
        <w:rPr>
          <w:sz w:val="20"/>
        </w:rPr>
        <w:t>con</w:t>
      </w:r>
      <w:r>
        <w:rPr>
          <w:spacing w:val="-7"/>
          <w:sz w:val="20"/>
        </w:rPr>
        <w:t> </w:t>
      </w:r>
      <w:r>
        <w:rPr>
          <w:sz w:val="20"/>
        </w:rPr>
        <w:t>el</w:t>
      </w:r>
      <w:r>
        <w:rPr>
          <w:spacing w:val="-7"/>
          <w:sz w:val="20"/>
        </w:rPr>
        <w:t> </w:t>
      </w:r>
      <w:r>
        <w:rPr>
          <w:sz w:val="20"/>
        </w:rPr>
        <w:t>Programa</w:t>
      </w:r>
      <w:r>
        <w:rPr>
          <w:spacing w:val="-8"/>
          <w:sz w:val="20"/>
        </w:rPr>
        <w:t> </w:t>
      </w:r>
      <w:r>
        <w:rPr>
          <w:sz w:val="20"/>
        </w:rPr>
        <w:t>Nacional</w:t>
      </w:r>
      <w:r>
        <w:rPr>
          <w:spacing w:val="-9"/>
          <w:sz w:val="20"/>
        </w:rPr>
        <w:t> </w:t>
      </w:r>
      <w:r>
        <w:rPr>
          <w:sz w:val="20"/>
        </w:rPr>
        <w:t>de</w:t>
      </w:r>
      <w:r>
        <w:rPr>
          <w:spacing w:val="-8"/>
          <w:sz w:val="20"/>
        </w:rPr>
        <w:t> </w:t>
      </w:r>
      <w:r>
        <w:rPr>
          <w:sz w:val="20"/>
        </w:rPr>
        <w:t>Ordenamiento</w:t>
      </w:r>
      <w:r>
        <w:rPr>
          <w:spacing w:val="-8"/>
          <w:sz w:val="20"/>
        </w:rPr>
        <w:t> </w:t>
      </w:r>
      <w:r>
        <w:rPr>
          <w:sz w:val="20"/>
        </w:rPr>
        <w:t>Territorial y Desarrollo Urbano, con otros programas de ordenamiento territorial, desarrollo urbano, ordenamiento ecológico, prevención de riesgos y de otros programas sectoriales que incidan en el ámbito de aplicación del programa que se elabora;</w:t>
      </w:r>
    </w:p>
    <w:p>
      <w:pPr>
        <w:pStyle w:val="BodyText"/>
      </w:pPr>
    </w:p>
    <w:p>
      <w:pPr>
        <w:pStyle w:val="ListParagraph"/>
        <w:numPr>
          <w:ilvl w:val="0"/>
          <w:numId w:val="34"/>
        </w:numPr>
        <w:tabs>
          <w:tab w:pos="741" w:val="left" w:leader="none"/>
        </w:tabs>
        <w:spacing w:line="240" w:lineRule="auto" w:before="0" w:after="0"/>
        <w:ind w:left="262" w:right="283" w:firstLine="0"/>
        <w:jc w:val="both"/>
        <w:rPr>
          <w:sz w:val="20"/>
        </w:rPr>
      </w:pPr>
      <w:r>
        <w:rPr>
          <w:rFonts w:ascii="Arial" w:hAnsi="Arial"/>
          <w:b/>
          <w:sz w:val="20"/>
        </w:rPr>
        <w:t>Bases jurídicas: </w:t>
      </w:r>
      <w:r>
        <w:rPr>
          <w:sz w:val="20"/>
        </w:rPr>
        <w:t>el enunciado del marco general de leyes, reglamentos, normas, programas territoriales de ámbitos territoriales más amplios o que se inscriben en el programa en formulación, que fundamentan la elaboración del mismo;</w:t>
      </w:r>
    </w:p>
    <w:p>
      <w:pPr>
        <w:pStyle w:val="BodyText"/>
        <w:spacing w:before="2"/>
      </w:pPr>
    </w:p>
    <w:p>
      <w:pPr>
        <w:pStyle w:val="ListParagraph"/>
        <w:numPr>
          <w:ilvl w:val="0"/>
          <w:numId w:val="34"/>
        </w:numPr>
        <w:tabs>
          <w:tab w:pos="688" w:val="left" w:leader="none"/>
        </w:tabs>
        <w:spacing w:line="240" w:lineRule="auto" w:before="0" w:after="0"/>
        <w:ind w:left="262" w:right="276" w:firstLine="0"/>
        <w:jc w:val="both"/>
        <w:rPr>
          <w:sz w:val="20"/>
        </w:rPr>
      </w:pPr>
      <w:r>
        <w:rPr>
          <w:rFonts w:ascii="Arial" w:hAnsi="Arial"/>
          <w:b/>
          <w:sz w:val="20"/>
        </w:rPr>
        <w:t>Diagnóstico-Pronóstico: </w:t>
      </w:r>
      <w:r>
        <w:rPr>
          <w:sz w:val="20"/>
        </w:rPr>
        <w:t>en el que se analizarán la situación actual y las tendencias del ordenamiento territorial y desarrollo urbano que comprenda el programa, en sus aspectos territoriales,</w:t>
      </w:r>
      <w:r>
        <w:rPr>
          <w:spacing w:val="-14"/>
          <w:sz w:val="20"/>
        </w:rPr>
        <w:t> </w:t>
      </w:r>
      <w:r>
        <w:rPr>
          <w:sz w:val="20"/>
        </w:rPr>
        <w:t>socioeconómicos,</w:t>
      </w:r>
      <w:r>
        <w:rPr>
          <w:spacing w:val="-14"/>
          <w:sz w:val="20"/>
        </w:rPr>
        <w:t> </w:t>
      </w:r>
      <w:r>
        <w:rPr>
          <w:sz w:val="20"/>
        </w:rPr>
        <w:t>físicos,</w:t>
      </w:r>
      <w:r>
        <w:rPr>
          <w:spacing w:val="-14"/>
          <w:sz w:val="20"/>
        </w:rPr>
        <w:t> </w:t>
      </w:r>
      <w:r>
        <w:rPr>
          <w:sz w:val="20"/>
        </w:rPr>
        <w:t>poblacionales,</w:t>
      </w:r>
      <w:r>
        <w:rPr>
          <w:spacing w:val="-14"/>
          <w:sz w:val="20"/>
        </w:rPr>
        <w:t> </w:t>
      </w:r>
      <w:r>
        <w:rPr>
          <w:sz w:val="20"/>
        </w:rPr>
        <w:t>suelo,</w:t>
      </w:r>
      <w:r>
        <w:rPr>
          <w:spacing w:val="-14"/>
          <w:sz w:val="20"/>
        </w:rPr>
        <w:t> </w:t>
      </w:r>
      <w:r>
        <w:rPr>
          <w:sz w:val="20"/>
        </w:rPr>
        <w:t>infraestructura,</w:t>
      </w:r>
      <w:r>
        <w:rPr>
          <w:spacing w:val="-14"/>
          <w:sz w:val="20"/>
        </w:rPr>
        <w:t> </w:t>
      </w:r>
      <w:r>
        <w:rPr>
          <w:sz w:val="20"/>
        </w:rPr>
        <w:t>equipamiento,</w:t>
      </w:r>
      <w:r>
        <w:rPr>
          <w:spacing w:val="-14"/>
          <w:sz w:val="20"/>
        </w:rPr>
        <w:t> </w:t>
      </w:r>
      <w:r>
        <w:rPr>
          <w:sz w:val="20"/>
        </w:rPr>
        <w:t>servicios, vivienda,</w:t>
      </w:r>
      <w:r>
        <w:rPr>
          <w:spacing w:val="-1"/>
          <w:sz w:val="20"/>
        </w:rPr>
        <w:t> </w:t>
      </w:r>
      <w:r>
        <w:rPr>
          <w:sz w:val="20"/>
        </w:rPr>
        <w:t>ecológicos, riesgos y demás componentes urbanos, así como</w:t>
      </w:r>
      <w:r>
        <w:rPr>
          <w:spacing w:val="-1"/>
          <w:sz w:val="20"/>
        </w:rPr>
        <w:t> </w:t>
      </w:r>
      <w:r>
        <w:rPr>
          <w:sz w:val="20"/>
        </w:rPr>
        <w:t>la enunciación</w:t>
      </w:r>
      <w:r>
        <w:rPr>
          <w:spacing w:val="-1"/>
          <w:sz w:val="20"/>
        </w:rPr>
        <w:t> </w:t>
      </w:r>
      <w:r>
        <w:rPr>
          <w:sz w:val="20"/>
        </w:rPr>
        <w:t>de objetivos y resultados deseados, que deben abordarse simultáneamente; así como la forma en la cual se efectuará</w:t>
      </w:r>
      <w:r>
        <w:rPr>
          <w:spacing w:val="-14"/>
          <w:sz w:val="20"/>
        </w:rPr>
        <w:t> </w:t>
      </w:r>
      <w:r>
        <w:rPr>
          <w:sz w:val="20"/>
        </w:rPr>
        <w:t>el</w:t>
      </w:r>
      <w:r>
        <w:rPr>
          <w:spacing w:val="-14"/>
          <w:sz w:val="20"/>
        </w:rPr>
        <w:t> </w:t>
      </w:r>
      <w:r>
        <w:rPr>
          <w:sz w:val="20"/>
        </w:rPr>
        <w:t>diagnóstico</w:t>
      </w:r>
      <w:r>
        <w:rPr>
          <w:spacing w:val="-14"/>
          <w:sz w:val="20"/>
        </w:rPr>
        <w:t> </w:t>
      </w:r>
      <w:r>
        <w:rPr>
          <w:sz w:val="20"/>
        </w:rPr>
        <w:t>y</w:t>
      </w:r>
      <w:r>
        <w:rPr>
          <w:spacing w:val="-14"/>
          <w:sz w:val="20"/>
        </w:rPr>
        <w:t> </w:t>
      </w:r>
      <w:r>
        <w:rPr>
          <w:sz w:val="20"/>
        </w:rPr>
        <w:t>pronósticos</w:t>
      </w:r>
      <w:r>
        <w:rPr>
          <w:spacing w:val="-14"/>
          <w:sz w:val="20"/>
        </w:rPr>
        <w:t> </w:t>
      </w:r>
      <w:r>
        <w:rPr>
          <w:sz w:val="20"/>
        </w:rPr>
        <w:t>tendenciales</w:t>
      </w:r>
      <w:r>
        <w:rPr>
          <w:spacing w:val="-14"/>
          <w:sz w:val="20"/>
        </w:rPr>
        <w:t> </w:t>
      </w:r>
      <w:r>
        <w:rPr>
          <w:sz w:val="20"/>
        </w:rPr>
        <w:t>y</w:t>
      </w:r>
      <w:r>
        <w:rPr>
          <w:spacing w:val="-14"/>
          <w:sz w:val="20"/>
        </w:rPr>
        <w:t> </w:t>
      </w:r>
      <w:r>
        <w:rPr>
          <w:sz w:val="20"/>
        </w:rPr>
        <w:t>normativos,</w:t>
      </w:r>
      <w:r>
        <w:rPr>
          <w:spacing w:val="-14"/>
          <w:sz w:val="20"/>
        </w:rPr>
        <w:t> </w:t>
      </w:r>
      <w:r>
        <w:rPr>
          <w:sz w:val="20"/>
        </w:rPr>
        <w:t>que</w:t>
      </w:r>
      <w:r>
        <w:rPr>
          <w:spacing w:val="-14"/>
          <w:sz w:val="20"/>
        </w:rPr>
        <w:t> </w:t>
      </w:r>
      <w:r>
        <w:rPr>
          <w:sz w:val="20"/>
        </w:rPr>
        <w:t>resumen</w:t>
      </w:r>
      <w:r>
        <w:rPr>
          <w:spacing w:val="-14"/>
          <w:sz w:val="20"/>
        </w:rPr>
        <w:t> </w:t>
      </w:r>
      <w:r>
        <w:rPr>
          <w:sz w:val="20"/>
        </w:rPr>
        <w:t>la</w:t>
      </w:r>
      <w:r>
        <w:rPr>
          <w:spacing w:val="-14"/>
          <w:sz w:val="20"/>
        </w:rPr>
        <w:t> </w:t>
      </w:r>
      <w:r>
        <w:rPr>
          <w:sz w:val="20"/>
        </w:rPr>
        <w:t>confrontación</w:t>
      </w:r>
      <w:r>
        <w:rPr>
          <w:spacing w:val="-14"/>
          <w:sz w:val="20"/>
        </w:rPr>
        <w:t> </w:t>
      </w:r>
      <w:r>
        <w:rPr>
          <w:sz w:val="20"/>
        </w:rPr>
        <w:t>entre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jc w:val="both"/>
      </w:pPr>
      <w:r>
        <w:rPr/>
        <w:t>la</w:t>
      </w:r>
      <w:r>
        <w:rPr>
          <w:spacing w:val="-6"/>
        </w:rPr>
        <w:t> </w:t>
      </w:r>
      <w:r>
        <w:rPr/>
        <w:t>realidad</w:t>
      </w:r>
      <w:r>
        <w:rPr>
          <w:spacing w:val="-5"/>
        </w:rPr>
        <w:t> </w:t>
      </w:r>
      <w:r>
        <w:rPr/>
        <w:t>y</w:t>
      </w:r>
      <w:r>
        <w:rPr>
          <w:spacing w:val="-4"/>
        </w:rPr>
        <w:t> </w:t>
      </w:r>
      <w:r>
        <w:rPr/>
        <w:t>lo</w:t>
      </w:r>
      <w:r>
        <w:rPr>
          <w:spacing w:val="-4"/>
        </w:rPr>
        <w:t> </w:t>
      </w:r>
      <w:r>
        <w:rPr>
          <w:spacing w:val="-2"/>
        </w:rPr>
        <w:t>deseado;</w:t>
      </w:r>
    </w:p>
    <w:p>
      <w:pPr>
        <w:pStyle w:val="BodyText"/>
        <w:spacing w:before="1"/>
      </w:pPr>
    </w:p>
    <w:p>
      <w:pPr>
        <w:pStyle w:val="ListParagraph"/>
        <w:numPr>
          <w:ilvl w:val="0"/>
          <w:numId w:val="34"/>
        </w:numPr>
        <w:tabs>
          <w:tab w:pos="688" w:val="left" w:leader="none"/>
        </w:tabs>
        <w:spacing w:line="240" w:lineRule="auto" w:before="0" w:after="0"/>
        <w:ind w:left="262" w:right="278" w:firstLine="0"/>
        <w:jc w:val="both"/>
        <w:rPr>
          <w:sz w:val="20"/>
        </w:rPr>
      </w:pPr>
      <w:r>
        <w:rPr>
          <w:rFonts w:ascii="Arial" w:hAnsi="Arial"/>
          <w:b/>
          <w:sz w:val="20"/>
        </w:rPr>
        <w:t>Estrategia:</w:t>
      </w:r>
      <w:r>
        <w:rPr>
          <w:rFonts w:ascii="Arial" w:hAnsi="Arial"/>
          <w:b/>
          <w:spacing w:val="-7"/>
          <w:sz w:val="20"/>
        </w:rPr>
        <w:t> </w:t>
      </w:r>
      <w:r>
        <w:rPr>
          <w:sz w:val="20"/>
        </w:rPr>
        <w:t>en</w:t>
      </w:r>
      <w:r>
        <w:rPr>
          <w:spacing w:val="-8"/>
          <w:sz w:val="20"/>
        </w:rPr>
        <w:t> </w:t>
      </w:r>
      <w:r>
        <w:rPr>
          <w:sz w:val="20"/>
        </w:rPr>
        <w:t>la</w:t>
      </w:r>
      <w:r>
        <w:rPr>
          <w:spacing w:val="-8"/>
          <w:sz w:val="20"/>
        </w:rPr>
        <w:t> </w:t>
      </w:r>
      <w:r>
        <w:rPr>
          <w:sz w:val="20"/>
        </w:rPr>
        <w:t>que</w:t>
      </w:r>
      <w:r>
        <w:rPr>
          <w:spacing w:val="-8"/>
          <w:sz w:val="20"/>
        </w:rPr>
        <w:t> </w:t>
      </w:r>
      <w:r>
        <w:rPr>
          <w:sz w:val="20"/>
        </w:rPr>
        <w:t>se</w:t>
      </w:r>
      <w:r>
        <w:rPr>
          <w:spacing w:val="-8"/>
          <w:sz w:val="20"/>
        </w:rPr>
        <w:t> </w:t>
      </w:r>
      <w:r>
        <w:rPr>
          <w:sz w:val="20"/>
        </w:rPr>
        <w:t>establecerán</w:t>
      </w:r>
      <w:r>
        <w:rPr>
          <w:spacing w:val="-8"/>
          <w:sz w:val="20"/>
        </w:rPr>
        <w:t> </w:t>
      </w:r>
      <w:r>
        <w:rPr>
          <w:sz w:val="20"/>
        </w:rPr>
        <w:t>objetivos,</w:t>
      </w:r>
      <w:r>
        <w:rPr>
          <w:spacing w:val="-7"/>
          <w:sz w:val="20"/>
        </w:rPr>
        <w:t> </w:t>
      </w:r>
      <w:r>
        <w:rPr>
          <w:sz w:val="20"/>
        </w:rPr>
        <w:t>hipótesis</w:t>
      </w:r>
      <w:r>
        <w:rPr>
          <w:spacing w:val="-8"/>
          <w:sz w:val="20"/>
        </w:rPr>
        <w:t> </w:t>
      </w:r>
      <w:r>
        <w:rPr>
          <w:sz w:val="20"/>
        </w:rPr>
        <w:t>de</w:t>
      </w:r>
      <w:r>
        <w:rPr>
          <w:spacing w:val="-8"/>
          <w:sz w:val="20"/>
        </w:rPr>
        <w:t> </w:t>
      </w:r>
      <w:r>
        <w:rPr>
          <w:sz w:val="20"/>
        </w:rPr>
        <w:t>crecimiento</w:t>
      </w:r>
      <w:r>
        <w:rPr>
          <w:spacing w:val="-8"/>
          <w:sz w:val="20"/>
        </w:rPr>
        <w:t> </w:t>
      </w:r>
      <w:r>
        <w:rPr>
          <w:sz w:val="20"/>
        </w:rPr>
        <w:t>poblacional</w:t>
      </w:r>
      <w:r>
        <w:rPr>
          <w:spacing w:val="-8"/>
          <w:sz w:val="20"/>
        </w:rPr>
        <w:t> </w:t>
      </w:r>
      <w:r>
        <w:rPr>
          <w:sz w:val="20"/>
        </w:rPr>
        <w:t>y</w:t>
      </w:r>
      <w:r>
        <w:rPr>
          <w:spacing w:val="-8"/>
          <w:sz w:val="20"/>
        </w:rPr>
        <w:t> </w:t>
      </w:r>
      <w:r>
        <w:rPr>
          <w:sz w:val="20"/>
        </w:rPr>
        <w:t>urbano, lineamientos,</w:t>
      </w:r>
      <w:r>
        <w:rPr>
          <w:spacing w:val="-12"/>
          <w:sz w:val="20"/>
        </w:rPr>
        <w:t> </w:t>
      </w:r>
      <w:r>
        <w:rPr>
          <w:sz w:val="20"/>
        </w:rPr>
        <w:t>políticas,</w:t>
      </w:r>
      <w:r>
        <w:rPr>
          <w:spacing w:val="-12"/>
          <w:sz w:val="20"/>
        </w:rPr>
        <w:t> </w:t>
      </w:r>
      <w:r>
        <w:rPr>
          <w:sz w:val="20"/>
        </w:rPr>
        <w:t>estructura</w:t>
      </w:r>
      <w:r>
        <w:rPr>
          <w:spacing w:val="-12"/>
          <w:sz w:val="20"/>
        </w:rPr>
        <w:t> </w:t>
      </w:r>
      <w:r>
        <w:rPr>
          <w:sz w:val="20"/>
        </w:rPr>
        <w:t>para</w:t>
      </w:r>
      <w:r>
        <w:rPr>
          <w:spacing w:val="-12"/>
          <w:sz w:val="20"/>
        </w:rPr>
        <w:t> </w:t>
      </w:r>
      <w:r>
        <w:rPr>
          <w:sz w:val="20"/>
        </w:rPr>
        <w:t>la</w:t>
      </w:r>
      <w:r>
        <w:rPr>
          <w:spacing w:val="-12"/>
          <w:sz w:val="20"/>
        </w:rPr>
        <w:t> </w:t>
      </w:r>
      <w:r>
        <w:rPr>
          <w:sz w:val="20"/>
        </w:rPr>
        <w:t>ordenación</w:t>
      </w:r>
      <w:r>
        <w:rPr>
          <w:spacing w:val="-12"/>
          <w:sz w:val="20"/>
        </w:rPr>
        <w:t> </w:t>
      </w:r>
      <w:r>
        <w:rPr>
          <w:sz w:val="20"/>
        </w:rPr>
        <w:t>y</w:t>
      </w:r>
      <w:r>
        <w:rPr>
          <w:spacing w:val="-11"/>
          <w:sz w:val="20"/>
        </w:rPr>
        <w:t> </w:t>
      </w:r>
      <w:r>
        <w:rPr>
          <w:sz w:val="20"/>
        </w:rPr>
        <w:t>zonificación</w:t>
      </w:r>
      <w:r>
        <w:rPr>
          <w:spacing w:val="-13"/>
          <w:sz w:val="20"/>
        </w:rPr>
        <w:t> </w:t>
      </w:r>
      <w:r>
        <w:rPr>
          <w:sz w:val="20"/>
        </w:rPr>
        <w:t>del</w:t>
      </w:r>
      <w:r>
        <w:rPr>
          <w:spacing w:val="-13"/>
          <w:sz w:val="20"/>
        </w:rPr>
        <w:t> </w:t>
      </w:r>
      <w:r>
        <w:rPr>
          <w:sz w:val="20"/>
        </w:rPr>
        <w:t>suelo</w:t>
      </w:r>
      <w:r>
        <w:rPr>
          <w:spacing w:val="-12"/>
          <w:sz w:val="20"/>
        </w:rPr>
        <w:t> </w:t>
      </w:r>
      <w:r>
        <w:rPr>
          <w:sz w:val="20"/>
        </w:rPr>
        <w:t>y</w:t>
      </w:r>
      <w:r>
        <w:rPr>
          <w:spacing w:val="-11"/>
          <w:sz w:val="20"/>
        </w:rPr>
        <w:t> </w:t>
      </w:r>
      <w:r>
        <w:rPr>
          <w:sz w:val="20"/>
        </w:rPr>
        <w:t>el</w:t>
      </w:r>
      <w:r>
        <w:rPr>
          <w:spacing w:val="-13"/>
          <w:sz w:val="20"/>
        </w:rPr>
        <w:t> </w:t>
      </w:r>
      <w:r>
        <w:rPr>
          <w:sz w:val="20"/>
        </w:rPr>
        <w:t>planteamiento</w:t>
      </w:r>
      <w:r>
        <w:rPr>
          <w:spacing w:val="-12"/>
          <w:sz w:val="20"/>
        </w:rPr>
        <w:t> </w:t>
      </w:r>
      <w:r>
        <w:rPr>
          <w:sz w:val="20"/>
        </w:rPr>
        <w:t>para la</w:t>
      </w:r>
      <w:r>
        <w:rPr>
          <w:spacing w:val="-14"/>
          <w:sz w:val="20"/>
        </w:rPr>
        <w:t> </w:t>
      </w:r>
      <w:r>
        <w:rPr>
          <w:sz w:val="20"/>
        </w:rPr>
        <w:t>realización</w:t>
      </w:r>
      <w:r>
        <w:rPr>
          <w:spacing w:val="-14"/>
          <w:sz w:val="20"/>
        </w:rPr>
        <w:t> </w:t>
      </w:r>
      <w:r>
        <w:rPr>
          <w:sz w:val="20"/>
        </w:rPr>
        <w:t>de</w:t>
      </w:r>
      <w:r>
        <w:rPr>
          <w:spacing w:val="-14"/>
          <w:sz w:val="20"/>
        </w:rPr>
        <w:t> </w:t>
      </w:r>
      <w:r>
        <w:rPr>
          <w:sz w:val="20"/>
        </w:rPr>
        <w:t>la</w:t>
      </w:r>
      <w:r>
        <w:rPr>
          <w:spacing w:val="-14"/>
          <w:sz w:val="20"/>
        </w:rPr>
        <w:t> </w:t>
      </w:r>
      <w:r>
        <w:rPr>
          <w:sz w:val="20"/>
        </w:rPr>
        <w:t>misma,</w:t>
      </w:r>
      <w:r>
        <w:rPr>
          <w:spacing w:val="-12"/>
          <w:sz w:val="20"/>
        </w:rPr>
        <w:t> </w:t>
      </w:r>
      <w:r>
        <w:rPr>
          <w:sz w:val="20"/>
        </w:rPr>
        <w:t>así</w:t>
      </w:r>
      <w:r>
        <w:rPr>
          <w:spacing w:val="-14"/>
          <w:sz w:val="20"/>
        </w:rPr>
        <w:t> </w:t>
      </w:r>
      <w:r>
        <w:rPr>
          <w:sz w:val="20"/>
        </w:rPr>
        <w:t>como</w:t>
      </w:r>
      <w:r>
        <w:rPr>
          <w:spacing w:val="-14"/>
          <w:sz w:val="20"/>
        </w:rPr>
        <w:t> </w:t>
      </w:r>
      <w:r>
        <w:rPr>
          <w:sz w:val="20"/>
        </w:rPr>
        <w:t>las</w:t>
      </w:r>
      <w:r>
        <w:rPr>
          <w:spacing w:val="-13"/>
          <w:sz w:val="20"/>
        </w:rPr>
        <w:t> </w:t>
      </w:r>
      <w:r>
        <w:rPr>
          <w:sz w:val="20"/>
        </w:rPr>
        <w:t>estrategias</w:t>
      </w:r>
      <w:r>
        <w:rPr>
          <w:spacing w:val="-13"/>
          <w:sz w:val="20"/>
        </w:rPr>
        <w:t> </w:t>
      </w:r>
      <w:r>
        <w:rPr>
          <w:sz w:val="20"/>
        </w:rPr>
        <w:t>a</w:t>
      </w:r>
      <w:r>
        <w:rPr>
          <w:spacing w:val="-11"/>
          <w:sz w:val="20"/>
        </w:rPr>
        <w:t> </w:t>
      </w:r>
      <w:r>
        <w:rPr>
          <w:sz w:val="20"/>
        </w:rPr>
        <w:t>mediano</w:t>
      </w:r>
      <w:r>
        <w:rPr>
          <w:spacing w:val="-14"/>
          <w:sz w:val="20"/>
        </w:rPr>
        <w:t> </w:t>
      </w:r>
      <w:r>
        <w:rPr>
          <w:sz w:val="20"/>
        </w:rPr>
        <w:t>y</w:t>
      </w:r>
      <w:r>
        <w:rPr>
          <w:spacing w:val="-12"/>
          <w:sz w:val="20"/>
        </w:rPr>
        <w:t> </w:t>
      </w:r>
      <w:r>
        <w:rPr>
          <w:sz w:val="20"/>
        </w:rPr>
        <w:t>largo</w:t>
      </w:r>
      <w:r>
        <w:rPr>
          <w:spacing w:val="-12"/>
          <w:sz w:val="20"/>
        </w:rPr>
        <w:t> </w:t>
      </w:r>
      <w:r>
        <w:rPr>
          <w:sz w:val="20"/>
        </w:rPr>
        <w:t>plazo</w:t>
      </w:r>
      <w:r>
        <w:rPr>
          <w:spacing w:val="-14"/>
          <w:sz w:val="20"/>
        </w:rPr>
        <w:t> </w:t>
      </w:r>
      <w:r>
        <w:rPr>
          <w:sz w:val="20"/>
        </w:rPr>
        <w:t>para</w:t>
      </w:r>
      <w:r>
        <w:rPr>
          <w:spacing w:val="-11"/>
          <w:sz w:val="20"/>
        </w:rPr>
        <w:t> </w:t>
      </w:r>
      <w:r>
        <w:rPr>
          <w:sz w:val="20"/>
        </w:rPr>
        <w:t>su</w:t>
      </w:r>
      <w:r>
        <w:rPr>
          <w:spacing w:val="-14"/>
          <w:sz w:val="20"/>
        </w:rPr>
        <w:t> </w:t>
      </w:r>
      <w:r>
        <w:rPr>
          <w:sz w:val="20"/>
        </w:rPr>
        <w:t>implementación, su evaluación y selección de la más favorable para cerrar las brechas entre la situación, sus tendencias y el escenario deseado;</w:t>
      </w:r>
    </w:p>
    <w:p>
      <w:pPr>
        <w:pStyle w:val="BodyText"/>
      </w:pPr>
    </w:p>
    <w:p>
      <w:pPr>
        <w:pStyle w:val="ListParagraph"/>
        <w:numPr>
          <w:ilvl w:val="0"/>
          <w:numId w:val="34"/>
        </w:numPr>
        <w:tabs>
          <w:tab w:pos="969" w:val="left" w:leader="none"/>
        </w:tabs>
        <w:spacing w:line="240" w:lineRule="auto" w:before="0" w:after="0"/>
        <w:ind w:left="262" w:right="280" w:firstLine="0"/>
        <w:jc w:val="both"/>
        <w:rPr>
          <w:sz w:val="20"/>
        </w:rPr>
      </w:pPr>
      <w:r>
        <w:rPr>
          <w:rFonts w:ascii="Arial" w:hAnsi="Arial"/>
          <w:b/>
          <w:sz w:val="20"/>
        </w:rPr>
        <w:t>Líneas de acción y corresponsabilidad sectorial: </w:t>
      </w:r>
      <w:r>
        <w:rPr>
          <w:sz w:val="20"/>
        </w:rPr>
        <w:t>determinará las acciones, obras, servicios e inversiones que deban realizarse para la implementación de la estrategia en el corto, mediano y largo plazo, estableciendo los responsables de su ejecución;</w:t>
      </w:r>
    </w:p>
    <w:p>
      <w:pPr>
        <w:pStyle w:val="BodyText"/>
      </w:pPr>
    </w:p>
    <w:p>
      <w:pPr>
        <w:pStyle w:val="ListParagraph"/>
        <w:numPr>
          <w:ilvl w:val="0"/>
          <w:numId w:val="34"/>
        </w:numPr>
        <w:tabs>
          <w:tab w:pos="968" w:val="left" w:leader="none"/>
        </w:tabs>
        <w:spacing w:line="240" w:lineRule="auto" w:before="0" w:after="0"/>
        <w:ind w:left="262" w:right="285" w:firstLine="0"/>
        <w:jc w:val="both"/>
        <w:rPr>
          <w:sz w:val="20"/>
        </w:rPr>
      </w:pPr>
      <w:r>
        <w:rPr>
          <w:rFonts w:ascii="Arial" w:hAnsi="Arial"/>
          <w:b/>
          <w:sz w:val="20"/>
        </w:rPr>
        <w:t>Instrumentación: </w:t>
      </w:r>
      <w:r>
        <w:rPr>
          <w:sz w:val="20"/>
        </w:rPr>
        <w:t>contendrán el conjunto de medidas, mecanismos y disposiciones jurídicas, técnicas y administrativas, así como la determinación de metas, que permitan la institucionalización, ejecución, control, y periodos para evaluación de resultados del programa;</w:t>
      </w:r>
    </w:p>
    <w:p>
      <w:pPr>
        <w:pStyle w:val="BodyText"/>
        <w:spacing w:before="1"/>
      </w:pPr>
    </w:p>
    <w:p>
      <w:pPr>
        <w:pStyle w:val="ListParagraph"/>
        <w:numPr>
          <w:ilvl w:val="0"/>
          <w:numId w:val="34"/>
        </w:numPr>
        <w:tabs>
          <w:tab w:pos="827" w:val="left" w:leader="none"/>
        </w:tabs>
        <w:spacing w:line="240" w:lineRule="auto" w:before="0" w:after="0"/>
        <w:ind w:left="262" w:right="283" w:firstLine="0"/>
        <w:jc w:val="both"/>
        <w:rPr>
          <w:sz w:val="20"/>
        </w:rPr>
      </w:pPr>
      <w:r>
        <w:rPr>
          <w:rFonts w:ascii="Arial" w:hAnsi="Arial"/>
          <w:b/>
          <w:sz w:val="20"/>
        </w:rPr>
        <w:t>Proyectos estratégicos: </w:t>
      </w:r>
      <w:r>
        <w:rPr>
          <w:sz w:val="20"/>
        </w:rPr>
        <w:t>contendrán los proyectos que deberán ejecutarse de manera </w:t>
      </w:r>
      <w:r>
        <w:rPr>
          <w:spacing w:val="-2"/>
          <w:sz w:val="20"/>
        </w:rPr>
        <w:t>prioritaria;</w:t>
      </w:r>
    </w:p>
    <w:p>
      <w:pPr>
        <w:pStyle w:val="ListParagraph"/>
        <w:numPr>
          <w:ilvl w:val="0"/>
          <w:numId w:val="34"/>
        </w:numPr>
        <w:tabs>
          <w:tab w:pos="969" w:val="left" w:leader="none"/>
        </w:tabs>
        <w:spacing w:line="240" w:lineRule="auto" w:before="229" w:after="0"/>
        <w:ind w:left="262" w:right="284" w:firstLine="0"/>
        <w:jc w:val="both"/>
        <w:rPr>
          <w:sz w:val="20"/>
        </w:rPr>
      </w:pPr>
      <w:r>
        <w:rPr>
          <w:rFonts w:ascii="Arial" w:hAnsi="Arial"/>
          <w:b/>
          <w:sz w:val="20"/>
        </w:rPr>
        <w:t>Bases Financiero Programáticas: </w:t>
      </w:r>
      <w:r>
        <w:rPr>
          <w:sz w:val="20"/>
        </w:rPr>
        <w:t>en las que se preverán los recursos financieros y presupuestales disponibles o proyectados</w:t>
      </w:r>
      <w:r>
        <w:rPr>
          <w:spacing w:val="40"/>
          <w:sz w:val="20"/>
        </w:rPr>
        <w:t> </w:t>
      </w:r>
      <w:r>
        <w:rPr>
          <w:sz w:val="20"/>
        </w:rPr>
        <w:t>para alcanzar las metas;</w:t>
      </w:r>
    </w:p>
    <w:p>
      <w:pPr>
        <w:pStyle w:val="ListParagraph"/>
        <w:numPr>
          <w:ilvl w:val="0"/>
          <w:numId w:val="34"/>
        </w:numPr>
        <w:tabs>
          <w:tab w:pos="688" w:val="left" w:leader="none"/>
        </w:tabs>
        <w:spacing w:line="240" w:lineRule="auto" w:before="1" w:after="0"/>
        <w:ind w:left="262" w:right="281" w:firstLine="0"/>
        <w:jc w:val="both"/>
        <w:rPr>
          <w:sz w:val="20"/>
        </w:rPr>
      </w:pPr>
      <w:r>
        <w:rPr>
          <w:rFonts w:ascii="Arial" w:hAnsi="Arial"/>
          <w:b/>
          <w:sz w:val="20"/>
        </w:rPr>
        <w:t>Acciones de inversión: </w:t>
      </w:r>
      <w:r>
        <w:rPr>
          <w:sz w:val="20"/>
        </w:rPr>
        <w:t>en las que se contendrán las prioridades del gasto público y la inversión privada;</w:t>
      </w:r>
    </w:p>
    <w:p>
      <w:pPr>
        <w:pStyle w:val="ListParagraph"/>
        <w:numPr>
          <w:ilvl w:val="0"/>
          <w:numId w:val="34"/>
        </w:numPr>
        <w:tabs>
          <w:tab w:pos="688" w:val="left" w:leader="none"/>
        </w:tabs>
        <w:spacing w:line="240" w:lineRule="auto" w:before="229" w:after="0"/>
        <w:ind w:left="262" w:right="274" w:firstLine="0"/>
        <w:jc w:val="both"/>
        <w:rPr>
          <w:sz w:val="20"/>
        </w:rPr>
      </w:pPr>
      <w:r>
        <w:rPr>
          <w:rFonts w:ascii="Arial" w:hAnsi="Arial"/>
          <w:b/>
          <w:sz w:val="20"/>
        </w:rPr>
        <w:t>Anexo</w:t>
      </w:r>
      <w:r>
        <w:rPr>
          <w:rFonts w:ascii="Arial" w:hAnsi="Arial"/>
          <w:b/>
          <w:spacing w:val="-3"/>
          <w:sz w:val="20"/>
        </w:rPr>
        <w:t> </w:t>
      </w:r>
      <w:r>
        <w:rPr>
          <w:rFonts w:ascii="Arial" w:hAnsi="Arial"/>
          <w:b/>
          <w:sz w:val="20"/>
        </w:rPr>
        <w:t>cartográfico</w:t>
      </w:r>
      <w:r>
        <w:rPr>
          <w:rFonts w:ascii="Arial" w:hAnsi="Arial"/>
          <w:b/>
          <w:spacing w:val="-4"/>
          <w:sz w:val="20"/>
        </w:rPr>
        <w:t> </w:t>
      </w:r>
      <w:r>
        <w:rPr>
          <w:rFonts w:ascii="Arial" w:hAnsi="Arial"/>
          <w:b/>
          <w:sz w:val="20"/>
        </w:rPr>
        <w:t>actualizado: </w:t>
      </w:r>
      <w:r>
        <w:rPr>
          <w:sz w:val="20"/>
        </w:rPr>
        <w:t>que</w:t>
      </w:r>
      <w:r>
        <w:rPr>
          <w:spacing w:val="-2"/>
          <w:sz w:val="20"/>
        </w:rPr>
        <w:t> </w:t>
      </w:r>
      <w:r>
        <w:rPr>
          <w:sz w:val="20"/>
        </w:rPr>
        <w:t>expresará</w:t>
      </w:r>
      <w:r>
        <w:rPr>
          <w:spacing w:val="-4"/>
          <w:sz w:val="20"/>
        </w:rPr>
        <w:t> </w:t>
      </w:r>
      <w:r>
        <w:rPr>
          <w:sz w:val="20"/>
        </w:rPr>
        <w:t>en</w:t>
      </w:r>
      <w:r>
        <w:rPr>
          <w:spacing w:val="-4"/>
          <w:sz w:val="20"/>
        </w:rPr>
        <w:t> </w:t>
      </w:r>
      <w:r>
        <w:rPr>
          <w:sz w:val="20"/>
        </w:rPr>
        <w:t>una</w:t>
      </w:r>
      <w:r>
        <w:rPr>
          <w:spacing w:val="-5"/>
          <w:sz w:val="20"/>
        </w:rPr>
        <w:t> </w:t>
      </w:r>
      <w:r>
        <w:rPr>
          <w:sz w:val="20"/>
        </w:rPr>
        <w:t>forma</w:t>
      </w:r>
      <w:r>
        <w:rPr>
          <w:spacing w:val="-4"/>
          <w:sz w:val="20"/>
        </w:rPr>
        <w:t> </w:t>
      </w:r>
      <w:r>
        <w:rPr>
          <w:sz w:val="20"/>
        </w:rPr>
        <w:t>descriptiva</w:t>
      </w:r>
      <w:r>
        <w:rPr>
          <w:spacing w:val="-2"/>
          <w:sz w:val="20"/>
        </w:rPr>
        <w:t> </w:t>
      </w:r>
      <w:r>
        <w:rPr>
          <w:sz w:val="20"/>
        </w:rPr>
        <w:t>y</w:t>
      </w:r>
      <w:r>
        <w:rPr>
          <w:spacing w:val="-3"/>
          <w:sz w:val="20"/>
        </w:rPr>
        <w:t> </w:t>
      </w:r>
      <w:r>
        <w:rPr>
          <w:sz w:val="20"/>
        </w:rPr>
        <w:t>clara</w:t>
      </w:r>
      <w:r>
        <w:rPr>
          <w:spacing w:val="-1"/>
          <w:sz w:val="20"/>
        </w:rPr>
        <w:t> </w:t>
      </w:r>
      <w:r>
        <w:rPr>
          <w:sz w:val="20"/>
        </w:rPr>
        <w:t>el</w:t>
      </w:r>
      <w:r>
        <w:rPr>
          <w:spacing w:val="-5"/>
          <w:sz w:val="20"/>
        </w:rPr>
        <w:t> </w:t>
      </w:r>
      <w:r>
        <w:rPr>
          <w:sz w:val="20"/>
        </w:rPr>
        <w:t>contenido básico</w:t>
      </w:r>
      <w:r>
        <w:rPr>
          <w:spacing w:val="-14"/>
          <w:sz w:val="20"/>
        </w:rPr>
        <w:t> </w:t>
      </w:r>
      <w:r>
        <w:rPr>
          <w:sz w:val="20"/>
        </w:rPr>
        <w:t>del</w:t>
      </w:r>
      <w:r>
        <w:rPr>
          <w:spacing w:val="-13"/>
          <w:sz w:val="20"/>
        </w:rPr>
        <w:t> </w:t>
      </w:r>
      <w:r>
        <w:rPr>
          <w:sz w:val="20"/>
        </w:rPr>
        <w:t>programa</w:t>
      </w:r>
      <w:r>
        <w:rPr>
          <w:spacing w:val="-14"/>
          <w:sz w:val="20"/>
        </w:rPr>
        <w:t> </w:t>
      </w:r>
      <w:r>
        <w:rPr>
          <w:sz w:val="20"/>
        </w:rPr>
        <w:t>y</w:t>
      </w:r>
      <w:r>
        <w:rPr>
          <w:spacing w:val="-12"/>
          <w:sz w:val="20"/>
        </w:rPr>
        <w:t> </w:t>
      </w:r>
      <w:r>
        <w:rPr>
          <w:sz w:val="20"/>
        </w:rPr>
        <w:t>la</w:t>
      </w:r>
      <w:r>
        <w:rPr>
          <w:spacing w:val="-14"/>
          <w:sz w:val="20"/>
        </w:rPr>
        <w:t> </w:t>
      </w:r>
      <w:r>
        <w:rPr>
          <w:sz w:val="20"/>
        </w:rPr>
        <w:t>ubicación</w:t>
      </w:r>
      <w:r>
        <w:rPr>
          <w:spacing w:val="-13"/>
          <w:sz w:val="20"/>
        </w:rPr>
        <w:t> </w:t>
      </w:r>
      <w:r>
        <w:rPr>
          <w:sz w:val="20"/>
        </w:rPr>
        <w:t>espacial</w:t>
      </w:r>
      <w:r>
        <w:rPr>
          <w:spacing w:val="-14"/>
          <w:sz w:val="20"/>
        </w:rPr>
        <w:t> </w:t>
      </w:r>
      <w:r>
        <w:rPr>
          <w:sz w:val="20"/>
        </w:rPr>
        <w:t>de</w:t>
      </w:r>
      <w:r>
        <w:rPr>
          <w:spacing w:val="-12"/>
          <w:sz w:val="20"/>
        </w:rPr>
        <w:t> </w:t>
      </w:r>
      <w:r>
        <w:rPr>
          <w:sz w:val="20"/>
        </w:rPr>
        <w:t>las</w:t>
      </w:r>
      <w:r>
        <w:rPr>
          <w:spacing w:val="-13"/>
          <w:sz w:val="20"/>
        </w:rPr>
        <w:t> </w:t>
      </w:r>
      <w:r>
        <w:rPr>
          <w:sz w:val="20"/>
        </w:rPr>
        <w:t>acciones</w:t>
      </w:r>
      <w:r>
        <w:rPr>
          <w:spacing w:val="-12"/>
          <w:sz w:val="20"/>
        </w:rPr>
        <w:t> </w:t>
      </w:r>
      <w:r>
        <w:rPr>
          <w:sz w:val="20"/>
        </w:rPr>
        <w:t>y</w:t>
      </w:r>
      <w:r>
        <w:rPr>
          <w:spacing w:val="-12"/>
          <w:sz w:val="20"/>
        </w:rPr>
        <w:t> </w:t>
      </w:r>
      <w:r>
        <w:rPr>
          <w:sz w:val="20"/>
        </w:rPr>
        <w:t>obras</w:t>
      </w:r>
      <w:r>
        <w:rPr>
          <w:spacing w:val="-13"/>
          <w:sz w:val="20"/>
        </w:rPr>
        <w:t> </w:t>
      </w:r>
      <w:r>
        <w:rPr>
          <w:sz w:val="20"/>
        </w:rPr>
        <w:t>a</w:t>
      </w:r>
      <w:r>
        <w:rPr>
          <w:spacing w:val="-14"/>
          <w:sz w:val="20"/>
        </w:rPr>
        <w:t> </w:t>
      </w:r>
      <w:r>
        <w:rPr>
          <w:sz w:val="20"/>
        </w:rPr>
        <w:t>ejecutar,</w:t>
      </w:r>
      <w:r>
        <w:rPr>
          <w:spacing w:val="-13"/>
          <w:sz w:val="20"/>
        </w:rPr>
        <w:t> </w:t>
      </w:r>
      <w:r>
        <w:rPr>
          <w:sz w:val="20"/>
        </w:rPr>
        <w:t>asi</w:t>
      </w:r>
      <w:r>
        <w:rPr>
          <w:spacing w:val="-14"/>
          <w:sz w:val="20"/>
        </w:rPr>
        <w:t> </w:t>
      </w:r>
      <w:r>
        <w:rPr>
          <w:sz w:val="20"/>
        </w:rPr>
        <w:t>como</w:t>
      </w:r>
      <w:r>
        <w:rPr>
          <w:spacing w:val="-11"/>
          <w:sz w:val="20"/>
        </w:rPr>
        <w:t> </w:t>
      </w:r>
      <w:r>
        <w:rPr>
          <w:sz w:val="20"/>
        </w:rPr>
        <w:t>los</w:t>
      </w:r>
      <w:r>
        <w:rPr>
          <w:spacing w:val="-13"/>
          <w:sz w:val="20"/>
        </w:rPr>
        <w:t> </w:t>
      </w:r>
      <w:r>
        <w:rPr>
          <w:sz w:val="20"/>
        </w:rPr>
        <w:t>términos de georreferenciación que faciliten la integración de información para otras instancias con las que se tenga que complementar la misma y su aplicación en diversas temáticas de planeación y de ordenamiento territorial, y</w:t>
      </w:r>
    </w:p>
    <w:p>
      <w:pPr>
        <w:pStyle w:val="BodyText"/>
      </w:pPr>
    </w:p>
    <w:p>
      <w:pPr>
        <w:pStyle w:val="ListParagraph"/>
        <w:numPr>
          <w:ilvl w:val="0"/>
          <w:numId w:val="34"/>
        </w:numPr>
        <w:tabs>
          <w:tab w:pos="688" w:val="left" w:leader="none"/>
        </w:tabs>
        <w:spacing w:line="240" w:lineRule="auto" w:before="0" w:after="0"/>
        <w:ind w:left="262" w:right="284" w:firstLine="0"/>
        <w:jc w:val="both"/>
        <w:rPr>
          <w:sz w:val="20"/>
        </w:rPr>
      </w:pPr>
      <w:r>
        <w:rPr>
          <w:rFonts w:ascii="Arial" w:hAnsi="Arial"/>
          <w:b/>
          <w:sz w:val="20"/>
        </w:rPr>
        <w:t>La congruencia: </w:t>
      </w:r>
      <w:r>
        <w:rPr>
          <w:sz w:val="20"/>
        </w:rPr>
        <w:t>con el Atlas Nacional de Riesgos, avalada ésta, cuando el presupuesto asignado así lo permita, por expertos, profesionales e investigadores en materia de planeación, ordenamiento territorial y análisis de riesgos sobre el territorio.</w:t>
      </w:r>
    </w:p>
    <w:p>
      <w:pPr>
        <w:pStyle w:val="BodyText"/>
      </w:pPr>
    </w:p>
    <w:p>
      <w:pPr>
        <w:pStyle w:val="BodyText"/>
        <w:ind w:left="262" w:right="284"/>
        <w:jc w:val="both"/>
      </w:pPr>
      <w:r>
        <w:rPr>
          <w:rFonts w:ascii="Arial" w:hAnsi="Arial"/>
          <w:b/>
        </w:rPr>
        <w:t>ARTÍCULO</w:t>
      </w:r>
      <w:r>
        <w:rPr>
          <w:rFonts w:ascii="Arial" w:hAnsi="Arial"/>
          <w:b/>
          <w:spacing w:val="-5"/>
        </w:rPr>
        <w:t> </w:t>
      </w:r>
      <w:r>
        <w:rPr>
          <w:rFonts w:ascii="Arial" w:hAnsi="Arial"/>
          <w:b/>
        </w:rPr>
        <w:t>69.</w:t>
      </w:r>
      <w:r>
        <w:rPr>
          <w:rFonts w:ascii="Arial" w:hAnsi="Arial"/>
          <w:b/>
          <w:spacing w:val="-4"/>
        </w:rPr>
        <w:t> </w:t>
      </w:r>
      <w:r>
        <w:rPr/>
        <w:t>Para</w:t>
      </w:r>
      <w:r>
        <w:rPr>
          <w:spacing w:val="-4"/>
        </w:rPr>
        <w:t> </w:t>
      </w:r>
      <w:r>
        <w:rPr/>
        <w:t>la</w:t>
      </w:r>
      <w:r>
        <w:rPr>
          <w:spacing w:val="-5"/>
        </w:rPr>
        <w:t> </w:t>
      </w:r>
      <w:r>
        <w:rPr/>
        <w:t>formulación,</w:t>
      </w:r>
      <w:r>
        <w:rPr>
          <w:spacing w:val="-4"/>
        </w:rPr>
        <w:t> </w:t>
      </w:r>
      <w:r>
        <w:rPr/>
        <w:t>actualización</w:t>
      </w:r>
      <w:r>
        <w:rPr>
          <w:spacing w:val="-5"/>
        </w:rPr>
        <w:t> </w:t>
      </w:r>
      <w:r>
        <w:rPr/>
        <w:t>y</w:t>
      </w:r>
      <w:r>
        <w:rPr>
          <w:spacing w:val="-5"/>
        </w:rPr>
        <w:t> </w:t>
      </w:r>
      <w:r>
        <w:rPr/>
        <w:t>modificación,</w:t>
      </w:r>
      <w:r>
        <w:rPr>
          <w:spacing w:val="-5"/>
        </w:rPr>
        <w:t> </w:t>
      </w:r>
      <w:r>
        <w:rPr/>
        <w:t>de</w:t>
      </w:r>
      <w:r>
        <w:rPr>
          <w:spacing w:val="-5"/>
        </w:rPr>
        <w:t> </w:t>
      </w:r>
      <w:r>
        <w:rPr/>
        <w:t>los</w:t>
      </w:r>
      <w:r>
        <w:rPr>
          <w:spacing w:val="-6"/>
        </w:rPr>
        <w:t> </w:t>
      </w:r>
      <w:r>
        <w:rPr/>
        <w:t>programas</w:t>
      </w:r>
      <w:r>
        <w:rPr>
          <w:spacing w:val="-6"/>
        </w:rPr>
        <w:t> </w:t>
      </w:r>
      <w:r>
        <w:rPr/>
        <w:t>a</w:t>
      </w:r>
      <w:r>
        <w:rPr>
          <w:spacing w:val="-5"/>
        </w:rPr>
        <w:t> </w:t>
      </w:r>
      <w:r>
        <w:rPr/>
        <w:t>que</w:t>
      </w:r>
      <w:r>
        <w:rPr>
          <w:spacing w:val="-7"/>
        </w:rPr>
        <w:t> </w:t>
      </w:r>
      <w:r>
        <w:rPr/>
        <w:t>se</w:t>
      </w:r>
      <w:r>
        <w:rPr>
          <w:spacing w:val="-5"/>
        </w:rPr>
        <w:t> </w:t>
      </w:r>
      <w:r>
        <w:rPr/>
        <w:t>refiere el artículo 66 de esta Ley, se deberá contemplar el siguiente procedimiento:</w:t>
      </w:r>
    </w:p>
    <w:p>
      <w:pPr>
        <w:pStyle w:val="BodyText"/>
        <w:spacing w:before="1"/>
      </w:pPr>
    </w:p>
    <w:p>
      <w:pPr>
        <w:pStyle w:val="ListParagraph"/>
        <w:numPr>
          <w:ilvl w:val="0"/>
          <w:numId w:val="35"/>
        </w:numPr>
        <w:tabs>
          <w:tab w:pos="457" w:val="left" w:leader="none"/>
        </w:tabs>
        <w:spacing w:line="240" w:lineRule="auto" w:before="0" w:after="0"/>
        <w:ind w:left="262" w:right="280" w:firstLine="0"/>
        <w:jc w:val="both"/>
        <w:rPr>
          <w:sz w:val="20"/>
        </w:rPr>
      </w:pPr>
      <w:r>
        <w:rPr>
          <w:sz w:val="20"/>
        </w:rPr>
        <w:t>El Ejecutivo del Estado por conducto de la Secretaría y los ayuntamientos ordenarán la elaboración,</w:t>
      </w:r>
      <w:r>
        <w:rPr>
          <w:spacing w:val="-10"/>
          <w:sz w:val="20"/>
        </w:rPr>
        <w:t> </w:t>
      </w:r>
      <w:r>
        <w:rPr>
          <w:sz w:val="20"/>
        </w:rPr>
        <w:t>modificación</w:t>
      </w:r>
      <w:r>
        <w:rPr>
          <w:spacing w:val="-10"/>
          <w:sz w:val="20"/>
        </w:rPr>
        <w:t> </w:t>
      </w:r>
      <w:r>
        <w:rPr>
          <w:sz w:val="20"/>
        </w:rPr>
        <w:t>o</w:t>
      </w:r>
      <w:r>
        <w:rPr>
          <w:spacing w:val="-10"/>
          <w:sz w:val="20"/>
        </w:rPr>
        <w:t> </w:t>
      </w:r>
      <w:r>
        <w:rPr>
          <w:sz w:val="20"/>
        </w:rPr>
        <w:t>actualización</w:t>
      </w:r>
      <w:r>
        <w:rPr>
          <w:spacing w:val="-11"/>
          <w:sz w:val="20"/>
        </w:rPr>
        <w:t> </w:t>
      </w:r>
      <w:r>
        <w:rPr>
          <w:sz w:val="20"/>
        </w:rPr>
        <w:t>del</w:t>
      </w:r>
      <w:r>
        <w:rPr>
          <w:spacing w:val="-11"/>
          <w:sz w:val="20"/>
        </w:rPr>
        <w:t> </w:t>
      </w:r>
      <w:r>
        <w:rPr>
          <w:sz w:val="20"/>
        </w:rPr>
        <w:t>Programa</w:t>
      </w:r>
      <w:r>
        <w:rPr>
          <w:spacing w:val="-10"/>
          <w:sz w:val="20"/>
        </w:rPr>
        <w:t> </w:t>
      </w:r>
      <w:r>
        <w:rPr>
          <w:sz w:val="20"/>
        </w:rPr>
        <w:t>respectivo</w:t>
      </w:r>
      <w:r>
        <w:rPr>
          <w:rFonts w:ascii="Arial" w:hAnsi="Arial"/>
          <w:b/>
          <w:sz w:val="20"/>
        </w:rPr>
        <w:t>,</w:t>
      </w:r>
      <w:r>
        <w:rPr>
          <w:rFonts w:ascii="Arial" w:hAnsi="Arial"/>
          <w:b/>
          <w:spacing w:val="-12"/>
          <w:sz w:val="20"/>
        </w:rPr>
        <w:t> </w:t>
      </w:r>
      <w:r>
        <w:rPr>
          <w:sz w:val="20"/>
        </w:rPr>
        <w:t>así</w:t>
      </w:r>
      <w:r>
        <w:rPr>
          <w:spacing w:val="-10"/>
          <w:sz w:val="20"/>
        </w:rPr>
        <w:t> </w:t>
      </w:r>
      <w:r>
        <w:rPr>
          <w:sz w:val="20"/>
        </w:rPr>
        <w:t>como</w:t>
      </w:r>
      <w:r>
        <w:rPr>
          <w:spacing w:val="-10"/>
          <w:sz w:val="20"/>
        </w:rPr>
        <w:t> </w:t>
      </w:r>
      <w:r>
        <w:rPr>
          <w:sz w:val="20"/>
        </w:rPr>
        <w:t>la</w:t>
      </w:r>
      <w:r>
        <w:rPr>
          <w:spacing w:val="-10"/>
          <w:sz w:val="20"/>
        </w:rPr>
        <w:t> </w:t>
      </w:r>
      <w:r>
        <w:rPr>
          <w:sz w:val="20"/>
        </w:rPr>
        <w:t>determinación</w:t>
      </w:r>
      <w:r>
        <w:rPr>
          <w:spacing w:val="-10"/>
          <w:sz w:val="20"/>
        </w:rPr>
        <w:t> </w:t>
      </w:r>
      <w:r>
        <w:rPr>
          <w:sz w:val="20"/>
        </w:rPr>
        <w:t>de</w:t>
      </w:r>
      <w:r>
        <w:rPr>
          <w:spacing w:val="-10"/>
          <w:sz w:val="20"/>
        </w:rPr>
        <w:t> </w:t>
      </w:r>
      <w:r>
        <w:rPr>
          <w:sz w:val="20"/>
        </w:rPr>
        <w:t>los recursos y la forma</w:t>
      </w:r>
      <w:r>
        <w:rPr>
          <w:spacing w:val="-1"/>
          <w:sz w:val="20"/>
        </w:rPr>
        <w:t> </w:t>
      </w:r>
      <w:r>
        <w:rPr>
          <w:sz w:val="20"/>
        </w:rPr>
        <w:t>de llevarlo a</w:t>
      </w:r>
      <w:r>
        <w:rPr>
          <w:spacing w:val="-1"/>
          <w:sz w:val="20"/>
        </w:rPr>
        <w:t> </w:t>
      </w:r>
      <w:r>
        <w:rPr>
          <w:sz w:val="20"/>
        </w:rPr>
        <w:t>cabo; tratándose de los programas municipales la</w:t>
      </w:r>
      <w:r>
        <w:rPr>
          <w:spacing w:val="-1"/>
          <w:sz w:val="20"/>
        </w:rPr>
        <w:t> </w:t>
      </w:r>
      <w:r>
        <w:rPr>
          <w:sz w:val="20"/>
        </w:rPr>
        <w:t>decisión</w:t>
      </w:r>
      <w:r>
        <w:rPr>
          <w:spacing w:val="-1"/>
          <w:sz w:val="20"/>
        </w:rPr>
        <w:t> </w:t>
      </w:r>
      <w:r>
        <w:rPr>
          <w:sz w:val="20"/>
        </w:rPr>
        <w:t>deberá tomarse por el voto de la mayoría de los miembros del Cabildo; para ambos casos se dará aviso público del inicio del proceso de planeación, debiendo publicar para tal efecto dicho aviso en su página web, en el periódico de mayor circulación y en la estación de radio con mayor audiencia en la localidad.</w:t>
      </w:r>
    </w:p>
    <w:p>
      <w:pPr>
        <w:pStyle w:val="BodyText"/>
        <w:spacing w:before="229"/>
        <w:ind w:left="262" w:right="286"/>
        <w:jc w:val="both"/>
      </w:pPr>
      <w:r>
        <w:rPr/>
        <w:t>En el caso de los programas metropolitanos y de zona conurbada, será la Comisión de Desarrollo Metropolitano y Zona Conurbada quién ordene la elaboración, modificación o actualización del programa respectivo;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ListParagraph"/>
        <w:numPr>
          <w:ilvl w:val="0"/>
          <w:numId w:val="35"/>
        </w:numPr>
        <w:tabs>
          <w:tab w:pos="686" w:val="left" w:leader="none"/>
        </w:tabs>
        <w:spacing w:line="240" w:lineRule="auto" w:before="0" w:after="0"/>
        <w:ind w:left="262" w:right="278" w:firstLine="0"/>
        <w:jc w:val="both"/>
        <w:rPr>
          <w:sz w:val="20"/>
        </w:rPr>
      </w:pPr>
      <w:r>
        <w:rPr>
          <w:sz w:val="20"/>
        </w:rPr>
        <w:t>Durante el proceso de elaboración del programa o de su actualización o modificación, se realizará</w:t>
      </w:r>
      <w:r>
        <w:rPr>
          <w:spacing w:val="-4"/>
          <w:sz w:val="20"/>
        </w:rPr>
        <w:t> </w:t>
      </w:r>
      <w:r>
        <w:rPr>
          <w:sz w:val="20"/>
        </w:rPr>
        <w:t>cuando</w:t>
      </w:r>
      <w:r>
        <w:rPr>
          <w:spacing w:val="-5"/>
          <w:sz w:val="20"/>
        </w:rPr>
        <w:t> </w:t>
      </w:r>
      <w:r>
        <w:rPr>
          <w:sz w:val="20"/>
        </w:rPr>
        <w:t>menos</w:t>
      </w:r>
      <w:r>
        <w:rPr>
          <w:spacing w:val="-3"/>
          <w:sz w:val="20"/>
        </w:rPr>
        <w:t> </w:t>
      </w:r>
      <w:r>
        <w:rPr>
          <w:sz w:val="20"/>
        </w:rPr>
        <w:t>un</w:t>
      </w:r>
      <w:r>
        <w:rPr>
          <w:spacing w:val="-2"/>
          <w:sz w:val="20"/>
        </w:rPr>
        <w:t> </w:t>
      </w:r>
      <w:r>
        <w:rPr>
          <w:sz w:val="20"/>
        </w:rPr>
        <w:t>taller</w:t>
      </w:r>
      <w:r>
        <w:rPr>
          <w:spacing w:val="-4"/>
          <w:sz w:val="20"/>
        </w:rPr>
        <w:t> </w:t>
      </w:r>
      <w:r>
        <w:rPr>
          <w:sz w:val="20"/>
        </w:rPr>
        <w:t>de</w:t>
      </w:r>
      <w:r>
        <w:rPr>
          <w:spacing w:val="-4"/>
          <w:sz w:val="20"/>
        </w:rPr>
        <w:t> </w:t>
      </w:r>
      <w:r>
        <w:rPr>
          <w:sz w:val="20"/>
        </w:rPr>
        <w:t>planeación</w:t>
      </w:r>
      <w:r>
        <w:rPr>
          <w:spacing w:val="-5"/>
          <w:sz w:val="20"/>
        </w:rPr>
        <w:t> </w:t>
      </w:r>
      <w:r>
        <w:rPr>
          <w:sz w:val="20"/>
        </w:rPr>
        <w:t>estratégica</w:t>
      </w:r>
      <w:r>
        <w:rPr>
          <w:spacing w:val="-4"/>
          <w:sz w:val="20"/>
        </w:rPr>
        <w:t> </w:t>
      </w:r>
      <w:r>
        <w:rPr>
          <w:sz w:val="20"/>
        </w:rPr>
        <w:t>con</w:t>
      </w:r>
      <w:r>
        <w:rPr>
          <w:spacing w:val="-3"/>
          <w:sz w:val="20"/>
        </w:rPr>
        <w:t> </w:t>
      </w:r>
      <w:r>
        <w:rPr>
          <w:sz w:val="20"/>
        </w:rPr>
        <w:t>la</w:t>
      </w:r>
      <w:r>
        <w:rPr>
          <w:spacing w:val="-4"/>
          <w:sz w:val="20"/>
        </w:rPr>
        <w:t> </w:t>
      </w:r>
      <w:r>
        <w:rPr>
          <w:sz w:val="20"/>
        </w:rPr>
        <w:t>participación</w:t>
      </w:r>
      <w:r>
        <w:rPr>
          <w:spacing w:val="-4"/>
          <w:sz w:val="20"/>
        </w:rPr>
        <w:t> </w:t>
      </w:r>
      <w:r>
        <w:rPr>
          <w:sz w:val="20"/>
        </w:rPr>
        <w:t>de</w:t>
      </w:r>
      <w:r>
        <w:rPr>
          <w:spacing w:val="-2"/>
          <w:sz w:val="20"/>
        </w:rPr>
        <w:t> </w:t>
      </w:r>
      <w:r>
        <w:rPr>
          <w:sz w:val="20"/>
        </w:rPr>
        <w:t>los</w:t>
      </w:r>
      <w:r>
        <w:rPr>
          <w:spacing w:val="-3"/>
          <w:sz w:val="20"/>
        </w:rPr>
        <w:t> </w:t>
      </w:r>
      <w:r>
        <w:rPr>
          <w:sz w:val="20"/>
        </w:rPr>
        <w:t>ciudadanos</w:t>
      </w:r>
      <w:r>
        <w:rPr>
          <w:spacing w:val="-3"/>
          <w:sz w:val="20"/>
        </w:rPr>
        <w:t> </w:t>
      </w:r>
      <w:r>
        <w:rPr>
          <w:sz w:val="20"/>
        </w:rPr>
        <w:t>y de representantes de los sectores público, social y privado, en el cual se les presentará el diagnóstico–pronóstico</w:t>
      </w:r>
      <w:r>
        <w:rPr>
          <w:spacing w:val="-5"/>
          <w:sz w:val="20"/>
        </w:rPr>
        <w:t> </w:t>
      </w:r>
      <w:r>
        <w:rPr>
          <w:sz w:val="20"/>
        </w:rPr>
        <w:t>correspondiente,</w:t>
      </w:r>
      <w:r>
        <w:rPr>
          <w:spacing w:val="-4"/>
          <w:sz w:val="20"/>
        </w:rPr>
        <w:t> </w:t>
      </w:r>
      <w:r>
        <w:rPr>
          <w:sz w:val="20"/>
        </w:rPr>
        <w:t>a</w:t>
      </w:r>
      <w:r>
        <w:rPr>
          <w:spacing w:val="-5"/>
          <w:sz w:val="20"/>
        </w:rPr>
        <w:t> </w:t>
      </w:r>
      <w:r>
        <w:rPr>
          <w:sz w:val="20"/>
        </w:rPr>
        <w:t>fin</w:t>
      </w:r>
      <w:r>
        <w:rPr>
          <w:spacing w:val="-7"/>
          <w:sz w:val="20"/>
        </w:rPr>
        <w:t> </w:t>
      </w:r>
      <w:r>
        <w:rPr>
          <w:sz w:val="20"/>
        </w:rPr>
        <w:t>de</w:t>
      </w:r>
      <w:r>
        <w:rPr>
          <w:spacing w:val="-4"/>
          <w:sz w:val="20"/>
        </w:rPr>
        <w:t> </w:t>
      </w:r>
      <w:r>
        <w:rPr>
          <w:sz w:val="20"/>
        </w:rPr>
        <w:t>que</w:t>
      </w:r>
      <w:r>
        <w:rPr>
          <w:spacing w:val="-5"/>
          <w:sz w:val="20"/>
        </w:rPr>
        <w:t> </w:t>
      </w:r>
      <w:r>
        <w:rPr>
          <w:sz w:val="20"/>
        </w:rPr>
        <w:t>los</w:t>
      </w:r>
      <w:r>
        <w:rPr>
          <w:spacing w:val="-5"/>
          <w:sz w:val="20"/>
        </w:rPr>
        <w:t> </w:t>
      </w:r>
      <w:r>
        <w:rPr>
          <w:sz w:val="20"/>
        </w:rPr>
        <w:t>asistentes</w:t>
      </w:r>
      <w:r>
        <w:rPr>
          <w:spacing w:val="-6"/>
          <w:sz w:val="20"/>
        </w:rPr>
        <w:t> </w:t>
      </w:r>
      <w:r>
        <w:rPr>
          <w:sz w:val="20"/>
        </w:rPr>
        <w:t>expresen</w:t>
      </w:r>
      <w:r>
        <w:rPr>
          <w:spacing w:val="-7"/>
          <w:sz w:val="20"/>
        </w:rPr>
        <w:t> </w:t>
      </w:r>
      <w:r>
        <w:rPr>
          <w:sz w:val="20"/>
        </w:rPr>
        <w:t>su</w:t>
      </w:r>
      <w:r>
        <w:rPr>
          <w:spacing w:val="-5"/>
          <w:sz w:val="20"/>
        </w:rPr>
        <w:t> </w:t>
      </w:r>
      <w:r>
        <w:rPr>
          <w:sz w:val="20"/>
        </w:rPr>
        <w:t>opinión</w:t>
      </w:r>
      <w:r>
        <w:rPr>
          <w:spacing w:val="-5"/>
          <w:sz w:val="20"/>
        </w:rPr>
        <w:t> </w:t>
      </w:r>
      <w:r>
        <w:rPr>
          <w:sz w:val="20"/>
        </w:rPr>
        <w:t>al</w:t>
      </w:r>
      <w:r>
        <w:rPr>
          <w:spacing w:val="-7"/>
          <w:sz w:val="20"/>
        </w:rPr>
        <w:t> </w:t>
      </w:r>
      <w:r>
        <w:rPr>
          <w:sz w:val="20"/>
        </w:rPr>
        <w:t>respecto y planteen soluciones o propuestas para la estrategia;</w:t>
      </w:r>
    </w:p>
    <w:p>
      <w:pPr>
        <w:pStyle w:val="BodyText"/>
      </w:pPr>
    </w:p>
    <w:p>
      <w:pPr>
        <w:pStyle w:val="ListParagraph"/>
        <w:numPr>
          <w:ilvl w:val="0"/>
          <w:numId w:val="35"/>
        </w:numPr>
        <w:tabs>
          <w:tab w:pos="741" w:val="left" w:leader="none"/>
        </w:tabs>
        <w:spacing w:line="240" w:lineRule="auto" w:before="0" w:after="0"/>
        <w:ind w:left="262" w:right="278" w:firstLine="0"/>
        <w:jc w:val="both"/>
        <w:rPr>
          <w:sz w:val="20"/>
        </w:rPr>
      </w:pPr>
      <w:r>
        <w:rPr>
          <w:sz w:val="20"/>
        </w:rPr>
        <w:t>Una</w:t>
      </w:r>
      <w:r>
        <w:rPr>
          <w:spacing w:val="-13"/>
          <w:sz w:val="20"/>
        </w:rPr>
        <w:t> </w:t>
      </w:r>
      <w:r>
        <w:rPr>
          <w:sz w:val="20"/>
        </w:rPr>
        <w:t>vez</w:t>
      </w:r>
      <w:r>
        <w:rPr>
          <w:spacing w:val="-9"/>
          <w:sz w:val="20"/>
        </w:rPr>
        <w:t> </w:t>
      </w:r>
      <w:r>
        <w:rPr>
          <w:sz w:val="20"/>
        </w:rPr>
        <w:t>que</w:t>
      </w:r>
      <w:r>
        <w:rPr>
          <w:spacing w:val="-13"/>
          <w:sz w:val="20"/>
        </w:rPr>
        <w:t> </w:t>
      </w:r>
      <w:r>
        <w:rPr>
          <w:sz w:val="20"/>
        </w:rPr>
        <w:t>se</w:t>
      </w:r>
      <w:r>
        <w:rPr>
          <w:spacing w:val="-13"/>
          <w:sz w:val="20"/>
        </w:rPr>
        <w:t> </w:t>
      </w:r>
      <w:r>
        <w:rPr>
          <w:sz w:val="20"/>
        </w:rPr>
        <w:t>cuente</w:t>
      </w:r>
      <w:r>
        <w:rPr>
          <w:spacing w:val="-11"/>
          <w:sz w:val="20"/>
        </w:rPr>
        <w:t> </w:t>
      </w:r>
      <w:r>
        <w:rPr>
          <w:sz w:val="20"/>
        </w:rPr>
        <w:t>con</w:t>
      </w:r>
      <w:r>
        <w:rPr>
          <w:spacing w:val="-11"/>
          <w:sz w:val="20"/>
        </w:rPr>
        <w:t> </w:t>
      </w:r>
      <w:r>
        <w:rPr>
          <w:sz w:val="20"/>
        </w:rPr>
        <w:t>el</w:t>
      </w:r>
      <w:r>
        <w:rPr>
          <w:spacing w:val="-12"/>
          <w:sz w:val="20"/>
        </w:rPr>
        <w:t> </w:t>
      </w:r>
      <w:r>
        <w:rPr>
          <w:sz w:val="20"/>
        </w:rPr>
        <w:t>proyecto,</w:t>
      </w:r>
      <w:r>
        <w:rPr>
          <w:spacing w:val="-11"/>
          <w:sz w:val="20"/>
        </w:rPr>
        <w:t> </w:t>
      </w:r>
      <w:r>
        <w:rPr>
          <w:sz w:val="20"/>
        </w:rPr>
        <w:t>la</w:t>
      </w:r>
      <w:r>
        <w:rPr>
          <w:spacing w:val="-13"/>
          <w:sz w:val="20"/>
        </w:rPr>
        <w:t> </w:t>
      </w:r>
      <w:r>
        <w:rPr>
          <w:sz w:val="20"/>
        </w:rPr>
        <w:t>autoridad</w:t>
      </w:r>
      <w:r>
        <w:rPr>
          <w:spacing w:val="-13"/>
          <w:sz w:val="20"/>
        </w:rPr>
        <w:t> </w:t>
      </w:r>
      <w:r>
        <w:rPr>
          <w:sz w:val="20"/>
        </w:rPr>
        <w:t>respectiva</w:t>
      </w:r>
      <w:r>
        <w:rPr>
          <w:spacing w:val="-13"/>
          <w:sz w:val="20"/>
        </w:rPr>
        <w:t> </w:t>
      </w:r>
      <w:r>
        <w:rPr>
          <w:sz w:val="20"/>
        </w:rPr>
        <w:t>dará</w:t>
      </w:r>
      <w:r>
        <w:rPr>
          <w:spacing w:val="-10"/>
          <w:sz w:val="20"/>
        </w:rPr>
        <w:t> </w:t>
      </w:r>
      <w:r>
        <w:rPr>
          <w:sz w:val="20"/>
        </w:rPr>
        <w:t>aviso</w:t>
      </w:r>
      <w:r>
        <w:rPr>
          <w:spacing w:val="-10"/>
          <w:sz w:val="20"/>
        </w:rPr>
        <w:t> </w:t>
      </w:r>
      <w:r>
        <w:rPr>
          <w:sz w:val="20"/>
        </w:rPr>
        <w:t>del</w:t>
      </w:r>
      <w:r>
        <w:rPr>
          <w:spacing w:val="-11"/>
          <w:sz w:val="20"/>
        </w:rPr>
        <w:t> </w:t>
      </w:r>
      <w:r>
        <w:rPr>
          <w:sz w:val="20"/>
        </w:rPr>
        <w:t>inicio</w:t>
      </w:r>
      <w:r>
        <w:rPr>
          <w:spacing w:val="-13"/>
          <w:sz w:val="20"/>
        </w:rPr>
        <w:t> </w:t>
      </w:r>
      <w:r>
        <w:rPr>
          <w:sz w:val="20"/>
        </w:rPr>
        <w:t>del</w:t>
      </w:r>
      <w:r>
        <w:rPr>
          <w:spacing w:val="-11"/>
          <w:sz w:val="20"/>
        </w:rPr>
        <w:t> </w:t>
      </w:r>
      <w:r>
        <w:rPr>
          <w:sz w:val="20"/>
        </w:rPr>
        <w:t>proceso de consulta pública de elaboración, modificación o actualización del Programa correspondiente a través de una convocatoria pública, que deberá publicarse en el Periódico Oficial del Estado y en alguno de los de mayor circulación de la entidad o del municipio de que se trate, así como en los estrados del mismo, agregando una versión abreviada del proyecto; igualmente deberá publicar la convocatoria y la versión completa del proyecto en su página web, incluyendo todos sus anexos; igualmente deberá proporcionarla en versión electrónica a quien lo solicite y además</w:t>
      </w:r>
      <w:r>
        <w:rPr>
          <w:spacing w:val="40"/>
          <w:sz w:val="20"/>
        </w:rPr>
        <w:t> </w:t>
      </w:r>
      <w:r>
        <w:rPr>
          <w:sz w:val="20"/>
        </w:rPr>
        <w:t>se tendrá en forma</w:t>
      </w:r>
      <w:r>
        <w:rPr>
          <w:spacing w:val="-14"/>
          <w:sz w:val="20"/>
        </w:rPr>
        <w:t> </w:t>
      </w:r>
      <w:r>
        <w:rPr>
          <w:sz w:val="20"/>
        </w:rPr>
        <w:t>física</w:t>
      </w:r>
      <w:r>
        <w:rPr>
          <w:spacing w:val="-14"/>
          <w:sz w:val="20"/>
        </w:rPr>
        <w:t> </w:t>
      </w:r>
      <w:r>
        <w:rPr>
          <w:sz w:val="20"/>
        </w:rPr>
        <w:t>un</w:t>
      </w:r>
      <w:r>
        <w:rPr>
          <w:spacing w:val="-14"/>
          <w:sz w:val="20"/>
        </w:rPr>
        <w:t> </w:t>
      </w:r>
      <w:r>
        <w:rPr>
          <w:sz w:val="20"/>
        </w:rPr>
        <w:t>ejemplar</w:t>
      </w:r>
      <w:r>
        <w:rPr>
          <w:spacing w:val="-14"/>
          <w:sz w:val="20"/>
        </w:rPr>
        <w:t> </w:t>
      </w:r>
      <w:r>
        <w:rPr>
          <w:sz w:val="20"/>
        </w:rPr>
        <w:t>de</w:t>
      </w:r>
      <w:r>
        <w:rPr>
          <w:spacing w:val="-14"/>
          <w:sz w:val="20"/>
        </w:rPr>
        <w:t> </w:t>
      </w:r>
      <w:r>
        <w:rPr>
          <w:sz w:val="20"/>
        </w:rPr>
        <w:t>la</w:t>
      </w:r>
      <w:r>
        <w:rPr>
          <w:spacing w:val="-14"/>
          <w:sz w:val="20"/>
        </w:rPr>
        <w:t> </w:t>
      </w:r>
      <w:r>
        <w:rPr>
          <w:sz w:val="20"/>
        </w:rPr>
        <w:t>versión</w:t>
      </w:r>
      <w:r>
        <w:rPr>
          <w:spacing w:val="-14"/>
          <w:sz w:val="20"/>
        </w:rPr>
        <w:t> </w:t>
      </w:r>
      <w:r>
        <w:rPr>
          <w:sz w:val="20"/>
        </w:rPr>
        <w:t>completa</w:t>
      </w:r>
      <w:r>
        <w:rPr>
          <w:spacing w:val="-14"/>
          <w:sz w:val="20"/>
        </w:rPr>
        <w:t> </w:t>
      </w:r>
      <w:r>
        <w:rPr>
          <w:sz w:val="20"/>
        </w:rPr>
        <w:t>en</w:t>
      </w:r>
      <w:r>
        <w:rPr>
          <w:spacing w:val="-14"/>
          <w:sz w:val="20"/>
        </w:rPr>
        <w:t> </w:t>
      </w:r>
      <w:r>
        <w:rPr>
          <w:sz w:val="20"/>
        </w:rPr>
        <w:t>las</w:t>
      </w:r>
      <w:r>
        <w:rPr>
          <w:spacing w:val="-13"/>
          <w:sz w:val="20"/>
        </w:rPr>
        <w:t> </w:t>
      </w:r>
      <w:r>
        <w:rPr>
          <w:sz w:val="20"/>
        </w:rPr>
        <w:t>oficinas</w:t>
      </w:r>
      <w:r>
        <w:rPr>
          <w:spacing w:val="-14"/>
          <w:sz w:val="20"/>
        </w:rPr>
        <w:t> </w:t>
      </w:r>
      <w:r>
        <w:rPr>
          <w:sz w:val="20"/>
        </w:rPr>
        <w:t>de</w:t>
      </w:r>
      <w:r>
        <w:rPr>
          <w:spacing w:val="-14"/>
          <w:sz w:val="20"/>
        </w:rPr>
        <w:t> </w:t>
      </w:r>
      <w:r>
        <w:rPr>
          <w:sz w:val="20"/>
        </w:rPr>
        <w:t>la</w:t>
      </w:r>
      <w:r>
        <w:rPr>
          <w:spacing w:val="-14"/>
          <w:sz w:val="20"/>
        </w:rPr>
        <w:t> </w:t>
      </w:r>
      <w:r>
        <w:rPr>
          <w:sz w:val="20"/>
        </w:rPr>
        <w:t>Secretaría</w:t>
      </w:r>
      <w:r>
        <w:rPr>
          <w:spacing w:val="-14"/>
          <w:sz w:val="20"/>
        </w:rPr>
        <w:t> </w:t>
      </w:r>
      <w:r>
        <w:rPr>
          <w:sz w:val="20"/>
        </w:rPr>
        <w:t>o</w:t>
      </w:r>
      <w:r>
        <w:rPr>
          <w:spacing w:val="-14"/>
          <w:sz w:val="20"/>
        </w:rPr>
        <w:t> </w:t>
      </w:r>
      <w:r>
        <w:rPr>
          <w:sz w:val="20"/>
        </w:rPr>
        <w:t>del</w:t>
      </w:r>
      <w:r>
        <w:rPr>
          <w:spacing w:val="-14"/>
          <w:sz w:val="20"/>
        </w:rPr>
        <w:t> </w:t>
      </w:r>
      <w:r>
        <w:rPr>
          <w:sz w:val="20"/>
        </w:rPr>
        <w:t>municipio,</w:t>
      </w:r>
      <w:r>
        <w:rPr>
          <w:spacing w:val="-14"/>
          <w:sz w:val="20"/>
        </w:rPr>
        <w:t> </w:t>
      </w:r>
      <w:r>
        <w:rPr>
          <w:sz w:val="20"/>
        </w:rPr>
        <w:t>según el caso, para efecto de la misma consulta pública.</w:t>
      </w:r>
    </w:p>
    <w:p>
      <w:pPr>
        <w:pStyle w:val="BodyText"/>
        <w:spacing w:before="2"/>
      </w:pPr>
    </w:p>
    <w:p>
      <w:pPr>
        <w:pStyle w:val="BodyText"/>
        <w:ind w:left="262"/>
      </w:pPr>
      <w:r>
        <w:rPr/>
        <w:t>La</w:t>
      </w:r>
      <w:r>
        <w:rPr>
          <w:spacing w:val="-1"/>
        </w:rPr>
        <w:t> </w:t>
      </w:r>
      <w:r>
        <w:rPr/>
        <w:t>versión abreviada de un programa, para los efectos del proceso de elaboración, actualización o modificación, se integrará por:</w:t>
      </w:r>
    </w:p>
    <w:p>
      <w:pPr>
        <w:pStyle w:val="ListParagraph"/>
        <w:numPr>
          <w:ilvl w:val="1"/>
          <w:numId w:val="35"/>
        </w:numPr>
        <w:tabs>
          <w:tab w:pos="544" w:val="left" w:leader="none"/>
        </w:tabs>
        <w:spacing w:line="240" w:lineRule="auto" w:before="229" w:after="0"/>
        <w:ind w:left="544" w:right="0" w:hanging="282"/>
        <w:jc w:val="both"/>
        <w:rPr>
          <w:sz w:val="20"/>
        </w:rPr>
      </w:pPr>
      <w:r>
        <w:rPr>
          <w:sz w:val="20"/>
        </w:rPr>
        <w:t>El</w:t>
      </w:r>
      <w:r>
        <w:rPr>
          <w:spacing w:val="-6"/>
          <w:sz w:val="20"/>
        </w:rPr>
        <w:t> </w:t>
      </w:r>
      <w:r>
        <w:rPr>
          <w:sz w:val="20"/>
        </w:rPr>
        <w:t>enunciado</w:t>
      </w:r>
      <w:r>
        <w:rPr>
          <w:spacing w:val="-6"/>
          <w:sz w:val="20"/>
        </w:rPr>
        <w:t> </w:t>
      </w:r>
      <w:r>
        <w:rPr>
          <w:sz w:val="20"/>
        </w:rPr>
        <w:t>del</w:t>
      </w:r>
      <w:r>
        <w:rPr>
          <w:spacing w:val="-6"/>
          <w:sz w:val="20"/>
        </w:rPr>
        <w:t> </w:t>
      </w:r>
      <w:r>
        <w:rPr>
          <w:sz w:val="20"/>
        </w:rPr>
        <w:t>programa</w:t>
      </w:r>
      <w:r>
        <w:rPr>
          <w:spacing w:val="-4"/>
          <w:sz w:val="20"/>
        </w:rPr>
        <w:t> </w:t>
      </w:r>
      <w:r>
        <w:rPr>
          <w:sz w:val="20"/>
        </w:rPr>
        <w:t>de</w:t>
      </w:r>
      <w:r>
        <w:rPr>
          <w:spacing w:val="-7"/>
          <w:sz w:val="20"/>
        </w:rPr>
        <w:t> </w:t>
      </w:r>
      <w:r>
        <w:rPr>
          <w:sz w:val="20"/>
        </w:rPr>
        <w:t>que</w:t>
      </w:r>
      <w:r>
        <w:rPr>
          <w:spacing w:val="-6"/>
          <w:sz w:val="20"/>
        </w:rPr>
        <w:t> </w:t>
      </w:r>
      <w:r>
        <w:rPr>
          <w:sz w:val="20"/>
        </w:rPr>
        <w:t>se</w:t>
      </w:r>
      <w:r>
        <w:rPr>
          <w:spacing w:val="-6"/>
          <w:sz w:val="20"/>
        </w:rPr>
        <w:t> </w:t>
      </w:r>
      <w:r>
        <w:rPr>
          <w:spacing w:val="-2"/>
          <w:sz w:val="20"/>
        </w:rPr>
        <w:t>trate.</w:t>
      </w:r>
    </w:p>
    <w:p>
      <w:pPr>
        <w:pStyle w:val="BodyText"/>
        <w:spacing w:before="1"/>
      </w:pPr>
    </w:p>
    <w:p>
      <w:pPr>
        <w:pStyle w:val="ListParagraph"/>
        <w:numPr>
          <w:ilvl w:val="1"/>
          <w:numId w:val="35"/>
        </w:numPr>
        <w:tabs>
          <w:tab w:pos="544" w:val="left" w:leader="none"/>
        </w:tabs>
        <w:spacing w:line="240" w:lineRule="auto" w:before="0" w:after="0"/>
        <w:ind w:left="262" w:right="290" w:firstLine="0"/>
        <w:jc w:val="both"/>
        <w:rPr>
          <w:sz w:val="20"/>
        </w:rPr>
      </w:pPr>
      <w:r>
        <w:rPr>
          <w:sz w:val="20"/>
        </w:rPr>
        <w:t>La referencia a los programas con los que por disposiciones de esta Ley y Ley General, deba guardar congruencia.</w:t>
      </w:r>
    </w:p>
    <w:p>
      <w:pPr>
        <w:pStyle w:val="ListParagraph"/>
        <w:numPr>
          <w:ilvl w:val="1"/>
          <w:numId w:val="35"/>
        </w:numPr>
        <w:tabs>
          <w:tab w:pos="544" w:val="left" w:leader="none"/>
        </w:tabs>
        <w:spacing w:line="240" w:lineRule="auto" w:before="229" w:after="0"/>
        <w:ind w:left="544" w:right="0" w:hanging="282"/>
        <w:jc w:val="both"/>
        <w:rPr>
          <w:sz w:val="20"/>
        </w:rPr>
      </w:pPr>
      <w:r>
        <w:rPr>
          <w:sz w:val="20"/>
        </w:rPr>
        <w:t>La</w:t>
      </w:r>
      <w:r>
        <w:rPr>
          <w:spacing w:val="-8"/>
          <w:sz w:val="20"/>
        </w:rPr>
        <w:t> </w:t>
      </w:r>
      <w:r>
        <w:rPr>
          <w:sz w:val="20"/>
        </w:rPr>
        <w:t>descripción</w:t>
      </w:r>
      <w:r>
        <w:rPr>
          <w:spacing w:val="-5"/>
          <w:sz w:val="20"/>
        </w:rPr>
        <w:t> </w:t>
      </w:r>
      <w:r>
        <w:rPr>
          <w:sz w:val="20"/>
        </w:rPr>
        <w:t>del</w:t>
      </w:r>
      <w:r>
        <w:rPr>
          <w:spacing w:val="-7"/>
          <w:sz w:val="20"/>
        </w:rPr>
        <w:t> </w:t>
      </w:r>
      <w:r>
        <w:rPr>
          <w:sz w:val="20"/>
        </w:rPr>
        <w:t>área</w:t>
      </w:r>
      <w:r>
        <w:rPr>
          <w:spacing w:val="-7"/>
          <w:sz w:val="20"/>
        </w:rPr>
        <w:t> </w:t>
      </w:r>
      <w:r>
        <w:rPr>
          <w:sz w:val="20"/>
        </w:rPr>
        <w:t>de</w:t>
      </w:r>
      <w:r>
        <w:rPr>
          <w:spacing w:val="-5"/>
          <w:sz w:val="20"/>
        </w:rPr>
        <w:t> </w:t>
      </w:r>
      <w:r>
        <w:rPr>
          <w:sz w:val="20"/>
        </w:rPr>
        <w:t>aplicación,</w:t>
      </w:r>
      <w:r>
        <w:rPr>
          <w:spacing w:val="-6"/>
          <w:sz w:val="20"/>
        </w:rPr>
        <w:t> </w:t>
      </w:r>
      <w:r>
        <w:rPr>
          <w:sz w:val="20"/>
        </w:rPr>
        <w:t>con</w:t>
      </w:r>
      <w:r>
        <w:rPr>
          <w:spacing w:val="-8"/>
          <w:sz w:val="20"/>
        </w:rPr>
        <w:t> </w:t>
      </w:r>
      <w:r>
        <w:rPr>
          <w:sz w:val="20"/>
        </w:rPr>
        <w:t>su</w:t>
      </w:r>
      <w:r>
        <w:rPr>
          <w:spacing w:val="-4"/>
          <w:sz w:val="20"/>
        </w:rPr>
        <w:t> </w:t>
      </w:r>
      <w:r>
        <w:rPr>
          <w:sz w:val="20"/>
        </w:rPr>
        <w:t>versión</w:t>
      </w:r>
      <w:r>
        <w:rPr>
          <w:spacing w:val="-6"/>
          <w:sz w:val="20"/>
        </w:rPr>
        <w:t> </w:t>
      </w:r>
      <w:r>
        <w:rPr>
          <w:spacing w:val="-2"/>
          <w:sz w:val="20"/>
        </w:rPr>
        <w:t>gráfica.</w:t>
      </w:r>
    </w:p>
    <w:p>
      <w:pPr>
        <w:pStyle w:val="BodyText"/>
        <w:spacing w:before="1"/>
      </w:pPr>
    </w:p>
    <w:p>
      <w:pPr>
        <w:pStyle w:val="ListParagraph"/>
        <w:numPr>
          <w:ilvl w:val="1"/>
          <w:numId w:val="35"/>
        </w:numPr>
        <w:tabs>
          <w:tab w:pos="544" w:val="left" w:leader="none"/>
        </w:tabs>
        <w:spacing w:line="240" w:lineRule="auto" w:before="0" w:after="0"/>
        <w:ind w:left="544" w:right="0" w:hanging="282"/>
        <w:jc w:val="both"/>
        <w:rPr>
          <w:sz w:val="20"/>
        </w:rPr>
      </w:pPr>
      <w:r>
        <w:rPr>
          <w:sz w:val="20"/>
        </w:rPr>
        <w:t>Los</w:t>
      </w:r>
      <w:r>
        <w:rPr>
          <w:spacing w:val="-6"/>
          <w:sz w:val="20"/>
        </w:rPr>
        <w:t> </w:t>
      </w:r>
      <w:r>
        <w:rPr>
          <w:sz w:val="20"/>
        </w:rPr>
        <w:t>objetivos</w:t>
      </w:r>
      <w:r>
        <w:rPr>
          <w:spacing w:val="-6"/>
          <w:sz w:val="20"/>
        </w:rPr>
        <w:t> </w:t>
      </w:r>
      <w:r>
        <w:rPr>
          <w:sz w:val="20"/>
        </w:rPr>
        <w:t>del</w:t>
      </w:r>
      <w:r>
        <w:rPr>
          <w:spacing w:val="-7"/>
          <w:sz w:val="20"/>
        </w:rPr>
        <w:t> </w:t>
      </w:r>
      <w:r>
        <w:rPr>
          <w:spacing w:val="-2"/>
          <w:sz w:val="20"/>
        </w:rPr>
        <w:t>mismo.</w:t>
      </w:r>
    </w:p>
    <w:p>
      <w:pPr>
        <w:pStyle w:val="ListParagraph"/>
        <w:numPr>
          <w:ilvl w:val="1"/>
          <w:numId w:val="35"/>
        </w:numPr>
        <w:tabs>
          <w:tab w:pos="544" w:val="left" w:leader="none"/>
        </w:tabs>
        <w:spacing w:line="240" w:lineRule="auto" w:before="229" w:after="0"/>
        <w:ind w:left="262" w:right="284" w:firstLine="0"/>
        <w:jc w:val="both"/>
        <w:rPr>
          <w:sz w:val="20"/>
        </w:rPr>
      </w:pPr>
      <w:r>
        <w:rPr>
          <w:sz w:val="20"/>
        </w:rPr>
        <w:t>La</w:t>
      </w:r>
      <w:r>
        <w:rPr>
          <w:spacing w:val="-5"/>
          <w:sz w:val="20"/>
        </w:rPr>
        <w:t> </w:t>
      </w:r>
      <w:r>
        <w:rPr>
          <w:sz w:val="20"/>
        </w:rPr>
        <w:t>descripción</w:t>
      </w:r>
      <w:r>
        <w:rPr>
          <w:spacing w:val="-5"/>
          <w:sz w:val="20"/>
        </w:rPr>
        <w:t> </w:t>
      </w:r>
      <w:r>
        <w:rPr>
          <w:sz w:val="20"/>
        </w:rPr>
        <w:t>de</w:t>
      </w:r>
      <w:r>
        <w:rPr>
          <w:spacing w:val="-3"/>
          <w:sz w:val="20"/>
        </w:rPr>
        <w:t> </w:t>
      </w:r>
      <w:r>
        <w:rPr>
          <w:sz w:val="20"/>
        </w:rPr>
        <w:t>la</w:t>
      </w:r>
      <w:r>
        <w:rPr>
          <w:spacing w:val="-4"/>
          <w:sz w:val="20"/>
        </w:rPr>
        <w:t> </w:t>
      </w:r>
      <w:r>
        <w:rPr>
          <w:sz w:val="20"/>
        </w:rPr>
        <w:t>estrategia</w:t>
      </w:r>
      <w:r>
        <w:rPr>
          <w:spacing w:val="-4"/>
          <w:sz w:val="20"/>
        </w:rPr>
        <w:t> </w:t>
      </w:r>
      <w:r>
        <w:rPr>
          <w:sz w:val="20"/>
        </w:rPr>
        <w:t>de</w:t>
      </w:r>
      <w:r>
        <w:rPr>
          <w:spacing w:val="-4"/>
          <w:sz w:val="20"/>
        </w:rPr>
        <w:t> </w:t>
      </w:r>
      <w:r>
        <w:rPr>
          <w:sz w:val="20"/>
        </w:rPr>
        <w:t>zonificación,</w:t>
      </w:r>
      <w:r>
        <w:rPr>
          <w:spacing w:val="-4"/>
          <w:sz w:val="20"/>
        </w:rPr>
        <w:t> </w:t>
      </w:r>
      <w:r>
        <w:rPr>
          <w:sz w:val="20"/>
        </w:rPr>
        <w:t>según</w:t>
      </w:r>
      <w:r>
        <w:rPr>
          <w:spacing w:val="-4"/>
          <w:sz w:val="20"/>
        </w:rPr>
        <w:t> </w:t>
      </w:r>
      <w:r>
        <w:rPr>
          <w:sz w:val="20"/>
        </w:rPr>
        <w:t>el</w:t>
      </w:r>
      <w:r>
        <w:rPr>
          <w:spacing w:val="-5"/>
          <w:sz w:val="20"/>
        </w:rPr>
        <w:t> </w:t>
      </w:r>
      <w:r>
        <w:rPr>
          <w:sz w:val="20"/>
        </w:rPr>
        <w:t>nivel</w:t>
      </w:r>
      <w:r>
        <w:rPr>
          <w:spacing w:val="-5"/>
          <w:sz w:val="20"/>
        </w:rPr>
        <w:t> </w:t>
      </w:r>
      <w:r>
        <w:rPr>
          <w:sz w:val="20"/>
        </w:rPr>
        <w:t>de</w:t>
      </w:r>
      <w:r>
        <w:rPr>
          <w:spacing w:val="-5"/>
          <w:sz w:val="20"/>
        </w:rPr>
        <w:t> </w:t>
      </w:r>
      <w:r>
        <w:rPr>
          <w:sz w:val="20"/>
        </w:rPr>
        <w:t>planeación</w:t>
      </w:r>
      <w:r>
        <w:rPr>
          <w:spacing w:val="-5"/>
          <w:sz w:val="20"/>
        </w:rPr>
        <w:t> </w:t>
      </w:r>
      <w:r>
        <w:rPr>
          <w:sz w:val="20"/>
        </w:rPr>
        <w:t>que</w:t>
      </w:r>
      <w:r>
        <w:rPr>
          <w:spacing w:val="-5"/>
          <w:sz w:val="20"/>
        </w:rPr>
        <w:t> </w:t>
      </w:r>
      <w:r>
        <w:rPr>
          <w:sz w:val="20"/>
        </w:rPr>
        <w:t>le</w:t>
      </w:r>
      <w:r>
        <w:rPr>
          <w:spacing w:val="-4"/>
          <w:sz w:val="20"/>
        </w:rPr>
        <w:t> </w:t>
      </w:r>
      <w:r>
        <w:rPr>
          <w:sz w:val="20"/>
        </w:rPr>
        <w:t>corresponda, con su respectiva versión gráfica.</w:t>
      </w:r>
    </w:p>
    <w:p>
      <w:pPr>
        <w:pStyle w:val="BodyText"/>
        <w:spacing w:before="1"/>
      </w:pPr>
    </w:p>
    <w:p>
      <w:pPr>
        <w:pStyle w:val="ListParagraph"/>
        <w:numPr>
          <w:ilvl w:val="1"/>
          <w:numId w:val="35"/>
        </w:numPr>
        <w:tabs>
          <w:tab w:pos="402" w:val="left" w:leader="none"/>
        </w:tabs>
        <w:spacing w:line="240" w:lineRule="auto" w:before="0" w:after="0"/>
        <w:ind w:left="262" w:right="288" w:firstLine="0"/>
        <w:jc w:val="left"/>
        <w:rPr>
          <w:sz w:val="20"/>
        </w:rPr>
      </w:pPr>
      <w:r>
        <w:rPr>
          <w:sz w:val="20"/>
        </w:rPr>
        <w:t>La</w:t>
      </w:r>
      <w:r>
        <w:rPr>
          <w:spacing w:val="40"/>
          <w:sz w:val="20"/>
        </w:rPr>
        <w:t> </w:t>
      </w:r>
      <w:r>
        <w:rPr>
          <w:sz w:val="20"/>
        </w:rPr>
        <w:t>descripción</w:t>
      </w:r>
      <w:r>
        <w:rPr>
          <w:spacing w:val="40"/>
          <w:sz w:val="20"/>
        </w:rPr>
        <w:t> </w:t>
      </w:r>
      <w:r>
        <w:rPr>
          <w:sz w:val="20"/>
        </w:rPr>
        <w:t>general</w:t>
      </w:r>
      <w:r>
        <w:rPr>
          <w:spacing w:val="40"/>
          <w:sz w:val="20"/>
        </w:rPr>
        <w:t> </w:t>
      </w:r>
      <w:r>
        <w:rPr>
          <w:sz w:val="20"/>
        </w:rPr>
        <w:t>de</w:t>
      </w:r>
      <w:r>
        <w:rPr>
          <w:spacing w:val="40"/>
          <w:sz w:val="20"/>
        </w:rPr>
        <w:t> </w:t>
      </w:r>
      <w:r>
        <w:rPr>
          <w:sz w:val="20"/>
        </w:rPr>
        <w:t>las</w:t>
      </w:r>
      <w:r>
        <w:rPr>
          <w:spacing w:val="40"/>
          <w:sz w:val="20"/>
        </w:rPr>
        <w:t> </w:t>
      </w:r>
      <w:r>
        <w:rPr>
          <w:sz w:val="20"/>
        </w:rPr>
        <w:t>acciones</w:t>
      </w:r>
      <w:r>
        <w:rPr>
          <w:spacing w:val="40"/>
          <w:sz w:val="20"/>
        </w:rPr>
        <w:t> </w:t>
      </w:r>
      <w:r>
        <w:rPr>
          <w:sz w:val="20"/>
        </w:rPr>
        <w:t>que</w:t>
      </w:r>
      <w:r>
        <w:rPr>
          <w:spacing w:val="40"/>
          <w:sz w:val="20"/>
        </w:rPr>
        <w:t> </w:t>
      </w:r>
      <w:r>
        <w:rPr>
          <w:sz w:val="20"/>
        </w:rPr>
        <w:t>se</w:t>
      </w:r>
      <w:r>
        <w:rPr>
          <w:spacing w:val="40"/>
          <w:sz w:val="20"/>
        </w:rPr>
        <w:t> </w:t>
      </w:r>
      <w:r>
        <w:rPr>
          <w:sz w:val="20"/>
        </w:rPr>
        <w:t>instrumenten</w:t>
      </w:r>
      <w:r>
        <w:rPr>
          <w:spacing w:val="40"/>
          <w:sz w:val="20"/>
        </w:rPr>
        <w:t> </w:t>
      </w:r>
      <w:r>
        <w:rPr>
          <w:sz w:val="20"/>
        </w:rPr>
        <w:t>y</w:t>
      </w:r>
      <w:r>
        <w:rPr>
          <w:spacing w:val="40"/>
          <w:sz w:val="20"/>
        </w:rPr>
        <w:t> </w:t>
      </w:r>
      <w:r>
        <w:rPr>
          <w:sz w:val="20"/>
        </w:rPr>
        <w:t>los</w:t>
      </w:r>
      <w:r>
        <w:rPr>
          <w:spacing w:val="40"/>
          <w:sz w:val="20"/>
        </w:rPr>
        <w:t> </w:t>
      </w:r>
      <w:r>
        <w:rPr>
          <w:sz w:val="20"/>
        </w:rPr>
        <w:t>plazos</w:t>
      </w:r>
      <w:r>
        <w:rPr>
          <w:spacing w:val="40"/>
          <w:sz w:val="20"/>
        </w:rPr>
        <w:t> </w:t>
      </w:r>
      <w:r>
        <w:rPr>
          <w:sz w:val="20"/>
        </w:rPr>
        <w:t>previstos</w:t>
      </w:r>
      <w:r>
        <w:rPr>
          <w:spacing w:val="40"/>
          <w:sz w:val="20"/>
        </w:rPr>
        <w:t> </w:t>
      </w:r>
      <w:r>
        <w:rPr>
          <w:sz w:val="20"/>
        </w:rPr>
        <w:t>para</w:t>
      </w:r>
      <w:r>
        <w:rPr>
          <w:spacing w:val="40"/>
          <w:sz w:val="20"/>
        </w:rPr>
        <w:t> </w:t>
      </w:r>
      <w:r>
        <w:rPr>
          <w:sz w:val="20"/>
        </w:rPr>
        <w:t>su </w:t>
      </w:r>
      <w:r>
        <w:rPr>
          <w:spacing w:val="-2"/>
          <w:sz w:val="20"/>
        </w:rPr>
        <w:t>realización.</w:t>
      </w:r>
    </w:p>
    <w:p>
      <w:pPr>
        <w:pStyle w:val="ListParagraph"/>
        <w:numPr>
          <w:ilvl w:val="1"/>
          <w:numId w:val="35"/>
        </w:numPr>
        <w:tabs>
          <w:tab w:pos="688" w:val="left" w:leader="none"/>
        </w:tabs>
        <w:spacing w:line="240" w:lineRule="auto" w:before="229" w:after="0"/>
        <w:ind w:left="262" w:right="286" w:firstLine="0"/>
        <w:jc w:val="both"/>
        <w:rPr>
          <w:sz w:val="20"/>
        </w:rPr>
      </w:pPr>
      <w:r>
        <w:rPr>
          <w:sz w:val="20"/>
        </w:rPr>
        <w:t>La</w:t>
      </w:r>
      <w:r>
        <w:rPr>
          <w:spacing w:val="-13"/>
          <w:sz w:val="20"/>
        </w:rPr>
        <w:t> </w:t>
      </w:r>
      <w:r>
        <w:rPr>
          <w:sz w:val="20"/>
        </w:rPr>
        <w:t>descripción</w:t>
      </w:r>
      <w:r>
        <w:rPr>
          <w:spacing w:val="-12"/>
          <w:sz w:val="20"/>
        </w:rPr>
        <w:t> </w:t>
      </w:r>
      <w:r>
        <w:rPr>
          <w:sz w:val="20"/>
        </w:rPr>
        <w:t>general</w:t>
      </w:r>
      <w:r>
        <w:rPr>
          <w:spacing w:val="-13"/>
          <w:sz w:val="20"/>
        </w:rPr>
        <w:t> </w:t>
      </w:r>
      <w:r>
        <w:rPr>
          <w:sz w:val="20"/>
        </w:rPr>
        <w:t>de</w:t>
      </w:r>
      <w:r>
        <w:rPr>
          <w:spacing w:val="-13"/>
          <w:sz w:val="20"/>
        </w:rPr>
        <w:t> </w:t>
      </w:r>
      <w:r>
        <w:rPr>
          <w:sz w:val="20"/>
        </w:rPr>
        <w:t>las</w:t>
      </w:r>
      <w:r>
        <w:rPr>
          <w:spacing w:val="-14"/>
          <w:sz w:val="20"/>
        </w:rPr>
        <w:t> </w:t>
      </w:r>
      <w:r>
        <w:rPr>
          <w:sz w:val="20"/>
        </w:rPr>
        <w:t>obligaciones</w:t>
      </w:r>
      <w:r>
        <w:rPr>
          <w:spacing w:val="-11"/>
          <w:sz w:val="20"/>
        </w:rPr>
        <w:t> </w:t>
      </w:r>
      <w:r>
        <w:rPr>
          <w:sz w:val="20"/>
        </w:rPr>
        <w:t>que</w:t>
      </w:r>
      <w:r>
        <w:rPr>
          <w:spacing w:val="-13"/>
          <w:sz w:val="20"/>
        </w:rPr>
        <w:t> </w:t>
      </w:r>
      <w:r>
        <w:rPr>
          <w:sz w:val="20"/>
        </w:rPr>
        <w:t>se</w:t>
      </w:r>
      <w:r>
        <w:rPr>
          <w:spacing w:val="-12"/>
          <w:sz w:val="20"/>
        </w:rPr>
        <w:t> </w:t>
      </w:r>
      <w:r>
        <w:rPr>
          <w:sz w:val="20"/>
        </w:rPr>
        <w:t>deriven</w:t>
      </w:r>
      <w:r>
        <w:rPr>
          <w:spacing w:val="-14"/>
          <w:sz w:val="20"/>
        </w:rPr>
        <w:t> </w:t>
      </w:r>
      <w:r>
        <w:rPr>
          <w:sz w:val="20"/>
        </w:rPr>
        <w:t>del</w:t>
      </w:r>
      <w:r>
        <w:rPr>
          <w:spacing w:val="-14"/>
          <w:sz w:val="20"/>
        </w:rPr>
        <w:t> </w:t>
      </w:r>
      <w:r>
        <w:rPr>
          <w:sz w:val="20"/>
        </w:rPr>
        <w:t>mismo,</w:t>
      </w:r>
      <w:r>
        <w:rPr>
          <w:spacing w:val="-12"/>
          <w:sz w:val="20"/>
        </w:rPr>
        <w:t> </w:t>
      </w:r>
      <w:r>
        <w:rPr>
          <w:sz w:val="20"/>
        </w:rPr>
        <w:t>a</w:t>
      </w:r>
      <w:r>
        <w:rPr>
          <w:spacing w:val="-14"/>
          <w:sz w:val="20"/>
        </w:rPr>
        <w:t> </w:t>
      </w:r>
      <w:r>
        <w:rPr>
          <w:sz w:val="20"/>
        </w:rPr>
        <w:t>cargo</w:t>
      </w:r>
      <w:r>
        <w:rPr>
          <w:spacing w:val="-13"/>
          <w:sz w:val="20"/>
        </w:rPr>
        <w:t> </w:t>
      </w:r>
      <w:r>
        <w:rPr>
          <w:sz w:val="20"/>
        </w:rPr>
        <w:t>de</w:t>
      </w:r>
      <w:r>
        <w:rPr>
          <w:spacing w:val="-11"/>
          <w:sz w:val="20"/>
        </w:rPr>
        <w:t> </w:t>
      </w:r>
      <w:r>
        <w:rPr>
          <w:sz w:val="20"/>
        </w:rPr>
        <w:t>dependencias, organismos públicos y los particulares;</w:t>
      </w:r>
    </w:p>
    <w:p>
      <w:pPr>
        <w:pStyle w:val="BodyText"/>
        <w:spacing w:before="1"/>
      </w:pPr>
    </w:p>
    <w:p>
      <w:pPr>
        <w:pStyle w:val="ListParagraph"/>
        <w:numPr>
          <w:ilvl w:val="0"/>
          <w:numId w:val="35"/>
        </w:numPr>
        <w:tabs>
          <w:tab w:pos="688" w:val="left" w:leader="none"/>
        </w:tabs>
        <w:spacing w:line="240" w:lineRule="auto" w:before="0" w:after="0"/>
        <w:ind w:left="262" w:right="278" w:firstLine="0"/>
        <w:jc w:val="both"/>
        <w:rPr>
          <w:sz w:val="20"/>
        </w:rPr>
      </w:pPr>
      <w:r>
        <w:rPr>
          <w:sz w:val="20"/>
        </w:rPr>
        <w:t>El proyecto a que se refiere la fracción anterior deberá difundirse ampliamente entre los organismos, instituciones, asociaciones, colegios y cámaras relacionados con la materia, así como entre</w:t>
      </w:r>
      <w:r>
        <w:rPr>
          <w:spacing w:val="-14"/>
          <w:sz w:val="20"/>
        </w:rPr>
        <w:t> </w:t>
      </w:r>
      <w:r>
        <w:rPr>
          <w:sz w:val="20"/>
        </w:rPr>
        <w:t>la</w:t>
      </w:r>
      <w:r>
        <w:rPr>
          <w:spacing w:val="-14"/>
          <w:sz w:val="20"/>
        </w:rPr>
        <w:t> </w:t>
      </w:r>
      <w:r>
        <w:rPr>
          <w:sz w:val="20"/>
        </w:rPr>
        <w:t>ciudadanía</w:t>
      </w:r>
      <w:r>
        <w:rPr>
          <w:spacing w:val="-14"/>
          <w:sz w:val="20"/>
        </w:rPr>
        <w:t> </w:t>
      </w:r>
      <w:r>
        <w:rPr>
          <w:sz w:val="20"/>
        </w:rPr>
        <w:t>en</w:t>
      </w:r>
      <w:r>
        <w:rPr>
          <w:spacing w:val="-14"/>
          <w:sz w:val="20"/>
        </w:rPr>
        <w:t> </w:t>
      </w:r>
      <w:r>
        <w:rPr>
          <w:sz w:val="20"/>
        </w:rPr>
        <w:t>general,</w:t>
      </w:r>
      <w:r>
        <w:rPr>
          <w:spacing w:val="-14"/>
          <w:sz w:val="20"/>
        </w:rPr>
        <w:t> </w:t>
      </w:r>
      <w:r>
        <w:rPr>
          <w:sz w:val="20"/>
        </w:rPr>
        <w:t>apoyándose</w:t>
      </w:r>
      <w:r>
        <w:rPr>
          <w:spacing w:val="-14"/>
          <w:sz w:val="20"/>
        </w:rPr>
        <w:t> </w:t>
      </w:r>
      <w:r>
        <w:rPr>
          <w:sz w:val="20"/>
        </w:rPr>
        <w:t>para</w:t>
      </w:r>
      <w:r>
        <w:rPr>
          <w:spacing w:val="-14"/>
          <w:sz w:val="20"/>
        </w:rPr>
        <w:t> </w:t>
      </w:r>
      <w:r>
        <w:rPr>
          <w:sz w:val="20"/>
        </w:rPr>
        <w:t>tal</w:t>
      </w:r>
      <w:r>
        <w:rPr>
          <w:spacing w:val="-14"/>
          <w:sz w:val="20"/>
        </w:rPr>
        <w:t> </w:t>
      </w:r>
      <w:r>
        <w:rPr>
          <w:sz w:val="20"/>
        </w:rPr>
        <w:t>efecto</w:t>
      </w:r>
      <w:r>
        <w:rPr>
          <w:spacing w:val="-14"/>
          <w:sz w:val="20"/>
        </w:rPr>
        <w:t> </w:t>
      </w:r>
      <w:r>
        <w:rPr>
          <w:sz w:val="20"/>
        </w:rPr>
        <w:t>según</w:t>
      </w:r>
      <w:r>
        <w:rPr>
          <w:spacing w:val="-13"/>
          <w:sz w:val="20"/>
        </w:rPr>
        <w:t> </w:t>
      </w:r>
      <w:r>
        <w:rPr>
          <w:sz w:val="20"/>
        </w:rPr>
        <w:t>corresponda,</w:t>
      </w:r>
      <w:r>
        <w:rPr>
          <w:spacing w:val="-14"/>
          <w:sz w:val="20"/>
        </w:rPr>
        <w:t> </w:t>
      </w:r>
      <w:r>
        <w:rPr>
          <w:sz w:val="20"/>
        </w:rPr>
        <w:t>en</w:t>
      </w:r>
      <w:r>
        <w:rPr>
          <w:spacing w:val="-14"/>
          <w:sz w:val="20"/>
        </w:rPr>
        <w:t> </w:t>
      </w:r>
      <w:r>
        <w:rPr>
          <w:sz w:val="20"/>
        </w:rPr>
        <w:t>el</w:t>
      </w:r>
      <w:r>
        <w:rPr>
          <w:spacing w:val="-14"/>
          <w:sz w:val="20"/>
        </w:rPr>
        <w:t> </w:t>
      </w:r>
      <w:r>
        <w:rPr>
          <w:sz w:val="20"/>
        </w:rPr>
        <w:t>Consejo</w:t>
      </w:r>
      <w:r>
        <w:rPr>
          <w:spacing w:val="-14"/>
          <w:sz w:val="20"/>
        </w:rPr>
        <w:t> </w:t>
      </w:r>
      <w:r>
        <w:rPr>
          <w:sz w:val="20"/>
        </w:rPr>
        <w:t>Estatal de Ordenamiento Territorial y Desarrollo Urbano, los Consejos municipales de Desarrollo Urbano y Vivienda, o en el Consejo Consultivo de Desarrollo Metropolitano y de Zona Conurbada; los interesados podrán obtener una copia magnética o impresa, a su costa;</w:t>
      </w:r>
    </w:p>
    <w:p>
      <w:pPr>
        <w:pStyle w:val="BodyText"/>
        <w:spacing w:before="1"/>
      </w:pPr>
    </w:p>
    <w:p>
      <w:pPr>
        <w:pStyle w:val="ListParagraph"/>
        <w:numPr>
          <w:ilvl w:val="0"/>
          <w:numId w:val="35"/>
        </w:numPr>
        <w:tabs>
          <w:tab w:pos="688" w:val="left" w:leader="none"/>
        </w:tabs>
        <w:spacing w:line="240" w:lineRule="auto" w:before="0" w:after="0"/>
        <w:ind w:left="262" w:right="275" w:firstLine="0"/>
        <w:jc w:val="both"/>
        <w:rPr>
          <w:sz w:val="20"/>
        </w:rPr>
      </w:pPr>
      <w:r>
        <w:rPr>
          <w:sz w:val="20"/>
        </w:rPr>
        <w:t>Se establecerá un plazo de treinta a sesenta días hábiles según disponga la convocatoria considerando la magnitud del programa, y un calendario de audiencias públicas para que los interesados presenten por escrito a las autoridades competentes, los planteamientos fundamentados</w:t>
      </w:r>
      <w:r>
        <w:rPr>
          <w:spacing w:val="-6"/>
          <w:sz w:val="20"/>
        </w:rPr>
        <w:t> </w:t>
      </w:r>
      <w:r>
        <w:rPr>
          <w:sz w:val="20"/>
        </w:rPr>
        <w:t>que</w:t>
      </w:r>
      <w:r>
        <w:rPr>
          <w:spacing w:val="-8"/>
          <w:sz w:val="20"/>
        </w:rPr>
        <w:t> </w:t>
      </w:r>
      <w:r>
        <w:rPr>
          <w:sz w:val="20"/>
        </w:rPr>
        <w:t>consideren</w:t>
      </w:r>
      <w:r>
        <w:rPr>
          <w:spacing w:val="-7"/>
          <w:sz w:val="20"/>
        </w:rPr>
        <w:t> </w:t>
      </w:r>
      <w:r>
        <w:rPr>
          <w:sz w:val="20"/>
        </w:rPr>
        <w:t>respecto</w:t>
      </w:r>
      <w:r>
        <w:rPr>
          <w:spacing w:val="-6"/>
          <w:sz w:val="20"/>
        </w:rPr>
        <w:t> </w:t>
      </w:r>
      <w:r>
        <w:rPr>
          <w:sz w:val="20"/>
        </w:rPr>
        <w:t>al</w:t>
      </w:r>
      <w:r>
        <w:rPr>
          <w:spacing w:val="-6"/>
          <w:sz w:val="20"/>
        </w:rPr>
        <w:t> </w:t>
      </w:r>
      <w:r>
        <w:rPr>
          <w:sz w:val="20"/>
        </w:rPr>
        <w:t>proyecto</w:t>
      </w:r>
      <w:r>
        <w:rPr>
          <w:spacing w:val="-8"/>
          <w:sz w:val="20"/>
        </w:rPr>
        <w:t> </w:t>
      </w:r>
      <w:r>
        <w:rPr>
          <w:sz w:val="20"/>
        </w:rPr>
        <w:t>sometido</w:t>
      </w:r>
      <w:r>
        <w:rPr>
          <w:spacing w:val="-6"/>
          <w:sz w:val="20"/>
        </w:rPr>
        <w:t> </w:t>
      </w:r>
      <w:r>
        <w:rPr>
          <w:sz w:val="20"/>
        </w:rPr>
        <w:t>a</w:t>
      </w:r>
      <w:r>
        <w:rPr>
          <w:spacing w:val="-8"/>
          <w:sz w:val="20"/>
        </w:rPr>
        <w:t> </w:t>
      </w:r>
      <w:r>
        <w:rPr>
          <w:sz w:val="20"/>
        </w:rPr>
        <w:t>consulta,</w:t>
      </w:r>
      <w:r>
        <w:rPr>
          <w:spacing w:val="-5"/>
          <w:sz w:val="20"/>
        </w:rPr>
        <w:t> </w:t>
      </w:r>
      <w:r>
        <w:rPr>
          <w:sz w:val="20"/>
        </w:rPr>
        <w:t>incluyendo</w:t>
      </w:r>
      <w:r>
        <w:rPr>
          <w:spacing w:val="-8"/>
          <w:sz w:val="20"/>
        </w:rPr>
        <w:t> </w:t>
      </w:r>
      <w:r>
        <w:rPr>
          <w:sz w:val="20"/>
        </w:rPr>
        <w:t>domicilio</w:t>
      </w:r>
      <w:r>
        <w:rPr>
          <w:spacing w:val="-5"/>
          <w:sz w:val="20"/>
        </w:rPr>
        <w:t> </w:t>
      </w:r>
      <w:r>
        <w:rPr>
          <w:sz w:val="20"/>
        </w:rPr>
        <w:t>para oír y recibir notificaciones.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3"/>
        <w:jc w:val="both"/>
      </w:pPr>
      <w:r>
        <w:rPr/>
        <w:t>En el caso del Programa Estatal, se solicitará por escrito la opinión del Consejo Estatal de Ordenamiento</w:t>
      </w:r>
      <w:r>
        <w:rPr>
          <w:spacing w:val="-1"/>
        </w:rPr>
        <w:t> </w:t>
      </w:r>
      <w:r>
        <w:rPr/>
        <w:t>Territorial</w:t>
      </w:r>
      <w:r>
        <w:rPr>
          <w:spacing w:val="-4"/>
        </w:rPr>
        <w:t> </w:t>
      </w:r>
      <w:r>
        <w:rPr/>
        <w:t>y Desarrollo</w:t>
      </w:r>
      <w:r>
        <w:rPr>
          <w:spacing w:val="-1"/>
        </w:rPr>
        <w:t> </w:t>
      </w:r>
      <w:r>
        <w:rPr/>
        <w:t>Urbano;</w:t>
      </w:r>
      <w:r>
        <w:rPr>
          <w:spacing w:val="-1"/>
        </w:rPr>
        <w:t> </w:t>
      </w:r>
      <w:r>
        <w:rPr/>
        <w:t>tratándose</w:t>
      </w:r>
      <w:r>
        <w:rPr>
          <w:spacing w:val="-3"/>
        </w:rPr>
        <w:t> </w:t>
      </w:r>
      <w:r>
        <w:rPr/>
        <w:t>de</w:t>
      </w:r>
      <w:r>
        <w:rPr>
          <w:spacing w:val="-1"/>
        </w:rPr>
        <w:t> </w:t>
      </w:r>
      <w:r>
        <w:rPr/>
        <w:t>programas municipales</w:t>
      </w:r>
      <w:r>
        <w:rPr>
          <w:spacing w:val="-2"/>
        </w:rPr>
        <w:t> </w:t>
      </w:r>
      <w:r>
        <w:rPr/>
        <w:t>se</w:t>
      </w:r>
      <w:r>
        <w:rPr>
          <w:spacing w:val="-1"/>
        </w:rPr>
        <w:t> </w:t>
      </w:r>
      <w:r>
        <w:rPr/>
        <w:t>solicitará la opinión a</w:t>
      </w:r>
      <w:r>
        <w:rPr>
          <w:spacing w:val="-1"/>
        </w:rPr>
        <w:t> </w:t>
      </w:r>
      <w:r>
        <w:rPr/>
        <w:t>los Consejos Municipales de Desarrollo</w:t>
      </w:r>
      <w:r>
        <w:rPr>
          <w:spacing w:val="-1"/>
        </w:rPr>
        <w:t> </w:t>
      </w:r>
      <w:r>
        <w:rPr/>
        <w:t>Urbano</w:t>
      </w:r>
      <w:r>
        <w:rPr>
          <w:spacing w:val="-1"/>
        </w:rPr>
        <w:t> </w:t>
      </w:r>
      <w:r>
        <w:rPr/>
        <w:t>y Vivienda, y en el</w:t>
      </w:r>
      <w:r>
        <w:rPr>
          <w:spacing w:val="-2"/>
        </w:rPr>
        <w:t> </w:t>
      </w:r>
      <w:r>
        <w:rPr/>
        <w:t>caso</w:t>
      </w:r>
      <w:r>
        <w:rPr>
          <w:spacing w:val="-1"/>
        </w:rPr>
        <w:t> </w:t>
      </w:r>
      <w:r>
        <w:rPr/>
        <w:t>del Programa de Desarrollo Metropolitano y Conurbación, al Consejo Metropolitano y de Conurbación correspondiente,</w:t>
      </w:r>
      <w:r>
        <w:rPr>
          <w:spacing w:val="-7"/>
        </w:rPr>
        <w:t> </w:t>
      </w:r>
      <w:r>
        <w:rPr/>
        <w:t>para</w:t>
      </w:r>
      <w:r>
        <w:rPr>
          <w:spacing w:val="-7"/>
        </w:rPr>
        <w:t> </w:t>
      </w:r>
      <w:r>
        <w:rPr/>
        <w:t>que</w:t>
      </w:r>
      <w:r>
        <w:rPr>
          <w:spacing w:val="-5"/>
        </w:rPr>
        <w:t> </w:t>
      </w:r>
      <w:r>
        <w:rPr/>
        <w:t>emitan</w:t>
      </w:r>
      <w:r>
        <w:rPr>
          <w:spacing w:val="-7"/>
        </w:rPr>
        <w:t> </w:t>
      </w:r>
      <w:r>
        <w:rPr/>
        <w:t>su</w:t>
      </w:r>
      <w:r>
        <w:rPr>
          <w:spacing w:val="-9"/>
        </w:rPr>
        <w:t> </w:t>
      </w:r>
      <w:r>
        <w:rPr/>
        <w:t>opinión</w:t>
      </w:r>
      <w:r>
        <w:rPr>
          <w:spacing w:val="-9"/>
        </w:rPr>
        <w:t> </w:t>
      </w:r>
      <w:r>
        <w:rPr/>
        <w:t>dentro</w:t>
      </w:r>
      <w:r>
        <w:rPr>
          <w:spacing w:val="-7"/>
        </w:rPr>
        <w:t> </w:t>
      </w:r>
      <w:r>
        <w:rPr/>
        <w:t>del</w:t>
      </w:r>
      <w:r>
        <w:rPr>
          <w:spacing w:val="-10"/>
        </w:rPr>
        <w:t> </w:t>
      </w:r>
      <w:r>
        <w:rPr/>
        <w:t>término</w:t>
      </w:r>
      <w:r>
        <w:rPr>
          <w:spacing w:val="-9"/>
        </w:rPr>
        <w:t> </w:t>
      </w:r>
      <w:r>
        <w:rPr/>
        <w:t>referido</w:t>
      </w:r>
      <w:r>
        <w:rPr>
          <w:spacing w:val="-9"/>
        </w:rPr>
        <w:t> </w:t>
      </w:r>
      <w:r>
        <w:rPr/>
        <w:t>en</w:t>
      </w:r>
      <w:r>
        <w:rPr>
          <w:spacing w:val="-7"/>
        </w:rPr>
        <w:t> </w:t>
      </w:r>
      <w:r>
        <w:rPr/>
        <w:t>el</w:t>
      </w:r>
      <w:r>
        <w:rPr>
          <w:spacing w:val="-8"/>
        </w:rPr>
        <w:t> </w:t>
      </w:r>
      <w:r>
        <w:rPr/>
        <w:t>párrafo</w:t>
      </w:r>
      <w:r>
        <w:rPr>
          <w:spacing w:val="-7"/>
        </w:rPr>
        <w:t> </w:t>
      </w:r>
      <w:r>
        <w:rPr/>
        <w:t>anterior;</w:t>
      </w:r>
      <w:r>
        <w:rPr>
          <w:spacing w:val="-6"/>
        </w:rPr>
        <w:t> </w:t>
      </w:r>
      <w:r>
        <w:rPr/>
        <w:t>de</w:t>
      </w:r>
      <w:r>
        <w:rPr>
          <w:spacing w:val="-7"/>
        </w:rPr>
        <w:t> </w:t>
      </w:r>
      <w:r>
        <w:rPr/>
        <w:t>no hacerlo dentro de plazo referido, se considerará que no tienen inconveniente en que el programa o las modificaciones o actualización sean aprobadas por la autoridad correspondiente;</w:t>
      </w:r>
    </w:p>
    <w:p>
      <w:pPr>
        <w:pStyle w:val="BodyText"/>
        <w:spacing w:before="1"/>
      </w:pPr>
    </w:p>
    <w:p>
      <w:pPr>
        <w:pStyle w:val="ListParagraph"/>
        <w:numPr>
          <w:ilvl w:val="0"/>
          <w:numId w:val="35"/>
        </w:numPr>
        <w:tabs>
          <w:tab w:pos="688" w:val="left" w:leader="none"/>
        </w:tabs>
        <w:spacing w:line="240" w:lineRule="auto" w:before="0" w:after="0"/>
        <w:ind w:left="262" w:right="280" w:firstLine="0"/>
        <w:jc w:val="both"/>
        <w:rPr>
          <w:sz w:val="20"/>
        </w:rPr>
      </w:pPr>
      <w:r>
        <w:rPr>
          <w:sz w:val="20"/>
        </w:rPr>
        <w:t>Concluido</w:t>
      </w:r>
      <w:r>
        <w:rPr>
          <w:spacing w:val="-14"/>
          <w:sz w:val="20"/>
        </w:rPr>
        <w:t> </w:t>
      </w:r>
      <w:r>
        <w:rPr>
          <w:sz w:val="20"/>
        </w:rPr>
        <w:t>el</w:t>
      </w:r>
      <w:r>
        <w:rPr>
          <w:spacing w:val="-14"/>
          <w:sz w:val="20"/>
        </w:rPr>
        <w:t> </w:t>
      </w:r>
      <w:r>
        <w:rPr>
          <w:sz w:val="20"/>
        </w:rPr>
        <w:t>término</w:t>
      </w:r>
      <w:r>
        <w:rPr>
          <w:spacing w:val="-14"/>
          <w:sz w:val="20"/>
        </w:rPr>
        <w:t> </w:t>
      </w:r>
      <w:r>
        <w:rPr>
          <w:sz w:val="20"/>
        </w:rPr>
        <w:t>a</w:t>
      </w:r>
      <w:r>
        <w:rPr>
          <w:spacing w:val="-14"/>
          <w:sz w:val="20"/>
        </w:rPr>
        <w:t> </w:t>
      </w:r>
      <w:r>
        <w:rPr>
          <w:sz w:val="20"/>
        </w:rPr>
        <w:t>que</w:t>
      </w:r>
      <w:r>
        <w:rPr>
          <w:spacing w:val="-14"/>
          <w:sz w:val="20"/>
        </w:rPr>
        <w:t> </w:t>
      </w:r>
      <w:r>
        <w:rPr>
          <w:sz w:val="20"/>
        </w:rPr>
        <w:t>se</w:t>
      </w:r>
      <w:r>
        <w:rPr>
          <w:spacing w:val="-14"/>
          <w:sz w:val="20"/>
        </w:rPr>
        <w:t> </w:t>
      </w:r>
      <w:r>
        <w:rPr>
          <w:sz w:val="20"/>
        </w:rPr>
        <w:t>refiere</w:t>
      </w:r>
      <w:r>
        <w:rPr>
          <w:spacing w:val="-14"/>
          <w:sz w:val="20"/>
        </w:rPr>
        <w:t> </w:t>
      </w:r>
      <w:r>
        <w:rPr>
          <w:sz w:val="20"/>
        </w:rPr>
        <w:t>la</w:t>
      </w:r>
      <w:r>
        <w:rPr>
          <w:spacing w:val="-14"/>
          <w:sz w:val="20"/>
        </w:rPr>
        <w:t> </w:t>
      </w:r>
      <w:r>
        <w:rPr>
          <w:sz w:val="20"/>
        </w:rPr>
        <w:t>fracción</w:t>
      </w:r>
      <w:r>
        <w:rPr>
          <w:spacing w:val="-14"/>
          <w:sz w:val="20"/>
        </w:rPr>
        <w:t> </w:t>
      </w:r>
      <w:r>
        <w:rPr>
          <w:sz w:val="20"/>
        </w:rPr>
        <w:t>anterior,</w:t>
      </w:r>
      <w:r>
        <w:rPr>
          <w:spacing w:val="-13"/>
          <w:sz w:val="20"/>
        </w:rPr>
        <w:t> </w:t>
      </w:r>
      <w:r>
        <w:rPr>
          <w:sz w:val="20"/>
        </w:rPr>
        <w:t>la</w:t>
      </w:r>
      <w:r>
        <w:rPr>
          <w:spacing w:val="-14"/>
          <w:sz w:val="20"/>
        </w:rPr>
        <w:t> </w:t>
      </w:r>
      <w:r>
        <w:rPr>
          <w:sz w:val="20"/>
        </w:rPr>
        <w:t>autoridad</w:t>
      </w:r>
      <w:r>
        <w:rPr>
          <w:spacing w:val="-14"/>
          <w:sz w:val="20"/>
        </w:rPr>
        <w:t> </w:t>
      </w:r>
      <w:r>
        <w:rPr>
          <w:sz w:val="20"/>
        </w:rPr>
        <w:t>estatal</w:t>
      </w:r>
      <w:r>
        <w:rPr>
          <w:spacing w:val="-14"/>
          <w:sz w:val="20"/>
        </w:rPr>
        <w:t> </w:t>
      </w:r>
      <w:r>
        <w:rPr>
          <w:sz w:val="20"/>
        </w:rPr>
        <w:t>o</w:t>
      </w:r>
      <w:r>
        <w:rPr>
          <w:spacing w:val="-14"/>
          <w:sz w:val="20"/>
        </w:rPr>
        <w:t> </w:t>
      </w:r>
      <w:r>
        <w:rPr>
          <w:sz w:val="20"/>
        </w:rPr>
        <w:t>municipal</w:t>
      </w:r>
      <w:r>
        <w:rPr>
          <w:spacing w:val="-14"/>
          <w:sz w:val="20"/>
        </w:rPr>
        <w:t> </w:t>
      </w:r>
      <w:r>
        <w:rPr>
          <w:sz w:val="20"/>
        </w:rPr>
        <w:t>contará con un plazo de veinte días hábiles para emitir las respuestas a los planteamientos improcedentes y las adecuaciones del proyecto, las que deberán fundamentarse debidamente, y estarán a disposición</w:t>
      </w:r>
      <w:r>
        <w:rPr>
          <w:spacing w:val="-2"/>
          <w:sz w:val="20"/>
        </w:rPr>
        <w:t> </w:t>
      </w:r>
      <w:r>
        <w:rPr>
          <w:sz w:val="20"/>
        </w:rPr>
        <w:t>del</w:t>
      </w:r>
      <w:r>
        <w:rPr>
          <w:spacing w:val="-3"/>
          <w:sz w:val="20"/>
        </w:rPr>
        <w:t> </w:t>
      </w:r>
      <w:r>
        <w:rPr>
          <w:sz w:val="20"/>
        </w:rPr>
        <w:t>público</w:t>
      </w:r>
      <w:r>
        <w:rPr>
          <w:spacing w:val="-2"/>
          <w:sz w:val="20"/>
        </w:rPr>
        <w:t> </w:t>
      </w:r>
      <w:r>
        <w:rPr>
          <w:sz w:val="20"/>
        </w:rPr>
        <w:t>en</w:t>
      </w:r>
      <w:r>
        <w:rPr>
          <w:spacing w:val="-2"/>
          <w:sz w:val="20"/>
        </w:rPr>
        <w:t> </w:t>
      </w:r>
      <w:r>
        <w:rPr>
          <w:sz w:val="20"/>
        </w:rPr>
        <w:t>las</w:t>
      </w:r>
      <w:r>
        <w:rPr>
          <w:spacing w:val="-3"/>
          <w:sz w:val="20"/>
        </w:rPr>
        <w:t> </w:t>
      </w:r>
      <w:r>
        <w:rPr>
          <w:sz w:val="20"/>
        </w:rPr>
        <w:t>oficinas de</w:t>
      </w:r>
      <w:r>
        <w:rPr>
          <w:spacing w:val="-2"/>
          <w:sz w:val="20"/>
        </w:rPr>
        <w:t> </w:t>
      </w:r>
      <w:r>
        <w:rPr>
          <w:sz w:val="20"/>
        </w:rPr>
        <w:t>la</w:t>
      </w:r>
      <w:r>
        <w:rPr>
          <w:spacing w:val="-2"/>
          <w:sz w:val="20"/>
        </w:rPr>
        <w:t> </w:t>
      </w:r>
      <w:r>
        <w:rPr>
          <w:sz w:val="20"/>
        </w:rPr>
        <w:t>autoridad</w:t>
      </w:r>
      <w:r>
        <w:rPr>
          <w:spacing w:val="-3"/>
          <w:sz w:val="20"/>
        </w:rPr>
        <w:t> </w:t>
      </w:r>
      <w:r>
        <w:rPr>
          <w:sz w:val="20"/>
        </w:rPr>
        <w:t>estatal</w:t>
      </w:r>
      <w:r>
        <w:rPr>
          <w:spacing w:val="-5"/>
          <w:sz w:val="20"/>
        </w:rPr>
        <w:t> </w:t>
      </w:r>
      <w:r>
        <w:rPr>
          <w:sz w:val="20"/>
        </w:rPr>
        <w:t>o</w:t>
      </w:r>
      <w:r>
        <w:rPr>
          <w:spacing w:val="-2"/>
          <w:sz w:val="20"/>
        </w:rPr>
        <w:t> </w:t>
      </w:r>
      <w:r>
        <w:rPr>
          <w:sz w:val="20"/>
        </w:rPr>
        <w:t>municipal</w:t>
      </w:r>
      <w:r>
        <w:rPr>
          <w:spacing w:val="-3"/>
          <w:sz w:val="20"/>
        </w:rPr>
        <w:t> </w:t>
      </w:r>
      <w:r>
        <w:rPr>
          <w:sz w:val="20"/>
        </w:rPr>
        <w:t>correspondiente,</w:t>
      </w:r>
      <w:r>
        <w:rPr>
          <w:spacing w:val="-2"/>
          <w:sz w:val="20"/>
        </w:rPr>
        <w:t> </w:t>
      </w:r>
      <w:r>
        <w:rPr>
          <w:sz w:val="20"/>
        </w:rPr>
        <w:t>en</w:t>
      </w:r>
      <w:r>
        <w:rPr>
          <w:spacing w:val="-2"/>
          <w:sz w:val="20"/>
        </w:rPr>
        <w:t> </w:t>
      </w:r>
      <w:r>
        <w:rPr>
          <w:sz w:val="20"/>
        </w:rPr>
        <w:t>forma </w:t>
      </w:r>
      <w:r>
        <w:rPr>
          <w:spacing w:val="-2"/>
          <w:sz w:val="20"/>
        </w:rPr>
        <w:t>impresa</w:t>
      </w:r>
      <w:r>
        <w:rPr>
          <w:spacing w:val="-5"/>
          <w:sz w:val="20"/>
        </w:rPr>
        <w:t> </w:t>
      </w:r>
      <w:r>
        <w:rPr>
          <w:spacing w:val="-2"/>
          <w:sz w:val="20"/>
        </w:rPr>
        <w:t>y</w:t>
      </w:r>
      <w:r>
        <w:rPr>
          <w:spacing w:val="-6"/>
          <w:sz w:val="20"/>
        </w:rPr>
        <w:t> </w:t>
      </w:r>
      <w:r>
        <w:rPr>
          <w:spacing w:val="-2"/>
          <w:sz w:val="20"/>
        </w:rPr>
        <w:t>en</w:t>
      </w:r>
      <w:r>
        <w:rPr>
          <w:spacing w:val="-9"/>
          <w:sz w:val="20"/>
        </w:rPr>
        <w:t> </w:t>
      </w:r>
      <w:r>
        <w:rPr>
          <w:spacing w:val="-2"/>
          <w:sz w:val="20"/>
        </w:rPr>
        <w:t>forma</w:t>
      </w:r>
      <w:r>
        <w:rPr>
          <w:spacing w:val="-5"/>
          <w:sz w:val="20"/>
        </w:rPr>
        <w:t> </w:t>
      </w:r>
      <w:r>
        <w:rPr>
          <w:spacing w:val="-2"/>
          <w:sz w:val="20"/>
        </w:rPr>
        <w:t>electrónica</w:t>
      </w:r>
      <w:r>
        <w:rPr>
          <w:spacing w:val="-9"/>
          <w:sz w:val="20"/>
        </w:rPr>
        <w:t> </w:t>
      </w:r>
      <w:r>
        <w:rPr>
          <w:spacing w:val="-2"/>
          <w:sz w:val="20"/>
        </w:rPr>
        <w:t>a</w:t>
      </w:r>
      <w:r>
        <w:rPr>
          <w:spacing w:val="-5"/>
          <w:sz w:val="20"/>
        </w:rPr>
        <w:t> </w:t>
      </w:r>
      <w:r>
        <w:rPr>
          <w:spacing w:val="-2"/>
          <w:sz w:val="20"/>
        </w:rPr>
        <w:t>través</w:t>
      </w:r>
      <w:r>
        <w:rPr>
          <w:spacing w:val="-4"/>
          <w:sz w:val="20"/>
        </w:rPr>
        <w:t> </w:t>
      </w:r>
      <w:r>
        <w:rPr>
          <w:spacing w:val="-2"/>
          <w:sz w:val="20"/>
        </w:rPr>
        <w:t>de</w:t>
      </w:r>
      <w:r>
        <w:rPr>
          <w:spacing w:val="-6"/>
          <w:sz w:val="20"/>
        </w:rPr>
        <w:t> </w:t>
      </w:r>
      <w:r>
        <w:rPr>
          <w:spacing w:val="-2"/>
          <w:sz w:val="20"/>
        </w:rPr>
        <w:t>sus</w:t>
      </w:r>
      <w:r>
        <w:rPr>
          <w:spacing w:val="-8"/>
          <w:sz w:val="20"/>
        </w:rPr>
        <w:t> </w:t>
      </w:r>
      <w:r>
        <w:rPr>
          <w:spacing w:val="-2"/>
          <w:sz w:val="20"/>
        </w:rPr>
        <w:t>sitios</w:t>
      </w:r>
      <w:r>
        <w:rPr>
          <w:spacing w:val="-8"/>
          <w:sz w:val="20"/>
        </w:rPr>
        <w:t> </w:t>
      </w:r>
      <w:r>
        <w:rPr>
          <w:spacing w:val="-2"/>
          <w:sz w:val="20"/>
        </w:rPr>
        <w:t>web,</w:t>
      </w:r>
      <w:r>
        <w:rPr>
          <w:spacing w:val="-9"/>
          <w:sz w:val="20"/>
        </w:rPr>
        <w:t> </w:t>
      </w:r>
      <w:r>
        <w:rPr>
          <w:spacing w:val="-2"/>
          <w:sz w:val="20"/>
        </w:rPr>
        <w:t>hasta</w:t>
      </w:r>
      <w:r>
        <w:rPr>
          <w:spacing w:val="-5"/>
          <w:sz w:val="20"/>
        </w:rPr>
        <w:t> </w:t>
      </w:r>
      <w:r>
        <w:rPr>
          <w:spacing w:val="-2"/>
          <w:sz w:val="20"/>
        </w:rPr>
        <w:t>la</w:t>
      </w:r>
      <w:r>
        <w:rPr>
          <w:spacing w:val="-5"/>
          <w:sz w:val="20"/>
        </w:rPr>
        <w:t> </w:t>
      </w:r>
      <w:r>
        <w:rPr>
          <w:spacing w:val="-2"/>
          <w:sz w:val="20"/>
        </w:rPr>
        <w:t>fecha</w:t>
      </w:r>
      <w:r>
        <w:rPr>
          <w:spacing w:val="-5"/>
          <w:sz w:val="20"/>
        </w:rPr>
        <w:t> </w:t>
      </w:r>
      <w:r>
        <w:rPr>
          <w:spacing w:val="-2"/>
          <w:sz w:val="20"/>
        </w:rPr>
        <w:t>de</w:t>
      </w:r>
      <w:r>
        <w:rPr>
          <w:spacing w:val="-6"/>
          <w:sz w:val="20"/>
        </w:rPr>
        <w:t> </w:t>
      </w:r>
      <w:r>
        <w:rPr>
          <w:spacing w:val="-2"/>
          <w:sz w:val="20"/>
        </w:rPr>
        <w:t>aprobación</w:t>
      </w:r>
      <w:r>
        <w:rPr>
          <w:spacing w:val="-6"/>
          <w:sz w:val="20"/>
        </w:rPr>
        <w:t> </w:t>
      </w:r>
      <w:r>
        <w:rPr>
          <w:spacing w:val="-2"/>
          <w:sz w:val="20"/>
        </w:rPr>
        <w:t>del</w:t>
      </w:r>
      <w:r>
        <w:rPr>
          <w:spacing w:val="-9"/>
          <w:sz w:val="20"/>
        </w:rPr>
        <w:t> </w:t>
      </w:r>
      <w:r>
        <w:rPr>
          <w:spacing w:val="-2"/>
          <w:sz w:val="20"/>
        </w:rPr>
        <w:t>programa; </w:t>
      </w:r>
      <w:r>
        <w:rPr>
          <w:sz w:val="20"/>
        </w:rPr>
        <w:t>en</w:t>
      </w:r>
      <w:r>
        <w:rPr>
          <w:spacing w:val="-7"/>
          <w:sz w:val="20"/>
        </w:rPr>
        <w:t> </w:t>
      </w:r>
      <w:r>
        <w:rPr>
          <w:sz w:val="20"/>
        </w:rPr>
        <w:t>el</w:t>
      </w:r>
      <w:r>
        <w:rPr>
          <w:spacing w:val="-8"/>
          <w:sz w:val="20"/>
        </w:rPr>
        <w:t> </w:t>
      </w:r>
      <w:r>
        <w:rPr>
          <w:sz w:val="20"/>
        </w:rPr>
        <w:t>caso</w:t>
      </w:r>
      <w:r>
        <w:rPr>
          <w:spacing w:val="-7"/>
          <w:sz w:val="20"/>
        </w:rPr>
        <w:t> </w:t>
      </w:r>
      <w:r>
        <w:rPr>
          <w:sz w:val="20"/>
        </w:rPr>
        <w:t>de</w:t>
      </w:r>
      <w:r>
        <w:rPr>
          <w:spacing w:val="-5"/>
          <w:sz w:val="20"/>
        </w:rPr>
        <w:t> </w:t>
      </w:r>
      <w:r>
        <w:rPr>
          <w:sz w:val="20"/>
        </w:rPr>
        <w:t>los</w:t>
      </w:r>
      <w:r>
        <w:rPr>
          <w:spacing w:val="-6"/>
          <w:sz w:val="20"/>
        </w:rPr>
        <w:t> </w:t>
      </w:r>
      <w:r>
        <w:rPr>
          <w:sz w:val="20"/>
        </w:rPr>
        <w:t>programas</w:t>
      </w:r>
      <w:r>
        <w:rPr>
          <w:spacing w:val="-5"/>
          <w:sz w:val="20"/>
        </w:rPr>
        <w:t> </w:t>
      </w:r>
      <w:r>
        <w:rPr>
          <w:sz w:val="20"/>
        </w:rPr>
        <w:t>metropolitanos</w:t>
      </w:r>
      <w:r>
        <w:rPr>
          <w:spacing w:val="-6"/>
          <w:sz w:val="20"/>
        </w:rPr>
        <w:t> </w:t>
      </w:r>
      <w:r>
        <w:rPr>
          <w:sz w:val="20"/>
        </w:rPr>
        <w:t>deberá</w:t>
      </w:r>
      <w:r>
        <w:rPr>
          <w:spacing w:val="-7"/>
          <w:sz w:val="20"/>
        </w:rPr>
        <w:t> </w:t>
      </w:r>
      <w:r>
        <w:rPr>
          <w:sz w:val="20"/>
        </w:rPr>
        <w:t>estar</w:t>
      </w:r>
      <w:r>
        <w:rPr>
          <w:spacing w:val="-6"/>
          <w:sz w:val="20"/>
        </w:rPr>
        <w:t> </w:t>
      </w:r>
      <w:r>
        <w:rPr>
          <w:sz w:val="20"/>
        </w:rPr>
        <w:t>a</w:t>
      </w:r>
      <w:r>
        <w:rPr>
          <w:spacing w:val="-7"/>
          <w:sz w:val="20"/>
        </w:rPr>
        <w:t> </w:t>
      </w:r>
      <w:r>
        <w:rPr>
          <w:sz w:val="20"/>
        </w:rPr>
        <w:t>disposición</w:t>
      </w:r>
      <w:r>
        <w:rPr>
          <w:spacing w:val="-7"/>
          <w:sz w:val="20"/>
        </w:rPr>
        <w:t> </w:t>
      </w:r>
      <w:r>
        <w:rPr>
          <w:sz w:val="20"/>
        </w:rPr>
        <w:t>del</w:t>
      </w:r>
      <w:r>
        <w:rPr>
          <w:spacing w:val="-8"/>
          <w:sz w:val="20"/>
        </w:rPr>
        <w:t> </w:t>
      </w:r>
      <w:r>
        <w:rPr>
          <w:sz w:val="20"/>
        </w:rPr>
        <w:t>público</w:t>
      </w:r>
      <w:r>
        <w:rPr>
          <w:spacing w:val="-5"/>
          <w:sz w:val="20"/>
        </w:rPr>
        <w:t> </w:t>
      </w:r>
      <w:r>
        <w:rPr>
          <w:sz w:val="20"/>
        </w:rPr>
        <w:t>en</w:t>
      </w:r>
      <w:r>
        <w:rPr>
          <w:spacing w:val="-7"/>
          <w:sz w:val="20"/>
        </w:rPr>
        <w:t> </w:t>
      </w:r>
      <w:r>
        <w:rPr>
          <w:sz w:val="20"/>
        </w:rPr>
        <w:t>los</w:t>
      </w:r>
      <w:r>
        <w:rPr>
          <w:spacing w:val="-6"/>
          <w:sz w:val="20"/>
        </w:rPr>
        <w:t> </w:t>
      </w:r>
      <w:r>
        <w:rPr>
          <w:sz w:val="20"/>
        </w:rPr>
        <w:t>municipios involucrados y en la Secretaría;</w:t>
      </w:r>
    </w:p>
    <w:p>
      <w:pPr>
        <w:pStyle w:val="BodyText"/>
        <w:spacing w:before="1"/>
      </w:pPr>
    </w:p>
    <w:p>
      <w:pPr>
        <w:pStyle w:val="ListParagraph"/>
        <w:numPr>
          <w:ilvl w:val="0"/>
          <w:numId w:val="35"/>
        </w:numPr>
        <w:tabs>
          <w:tab w:pos="688" w:val="left" w:leader="none"/>
        </w:tabs>
        <w:spacing w:line="240" w:lineRule="auto" w:before="0" w:after="0"/>
        <w:ind w:left="262" w:right="287" w:firstLine="0"/>
        <w:jc w:val="both"/>
        <w:rPr>
          <w:sz w:val="20"/>
        </w:rPr>
      </w:pPr>
      <w:r>
        <w:rPr>
          <w:sz w:val="20"/>
        </w:rPr>
        <w:t>Cumplidas las formalidades antes señaladas, el Ejecutivo del Estado o el Ayuntamiento o ayuntamientos correspondientes, procederán a la aprobación del programa respectivo o las modificaciones o actualización del mismo de la siguiente forma:</w:t>
      </w:r>
    </w:p>
    <w:p>
      <w:pPr>
        <w:pStyle w:val="BodyText"/>
      </w:pPr>
    </w:p>
    <w:p>
      <w:pPr>
        <w:pStyle w:val="ListParagraph"/>
        <w:numPr>
          <w:ilvl w:val="1"/>
          <w:numId w:val="35"/>
        </w:numPr>
        <w:tabs>
          <w:tab w:pos="687" w:val="left" w:leader="none"/>
        </w:tabs>
        <w:spacing w:line="240" w:lineRule="auto" w:before="0" w:after="0"/>
        <w:ind w:left="262" w:right="285" w:firstLine="0"/>
        <w:jc w:val="both"/>
        <w:rPr>
          <w:sz w:val="20"/>
        </w:rPr>
      </w:pPr>
      <w:r>
        <w:rPr>
          <w:sz w:val="20"/>
        </w:rPr>
        <w:t>En los Programas que corresponda emitir al Estado, será el Gobernador del Estado quien resuelva en definitiva sobre la aprobación de los mismos.</w:t>
      </w:r>
    </w:p>
    <w:p>
      <w:pPr>
        <w:pStyle w:val="ListParagraph"/>
        <w:numPr>
          <w:ilvl w:val="1"/>
          <w:numId w:val="35"/>
        </w:numPr>
        <w:tabs>
          <w:tab w:pos="688" w:val="left" w:leader="none"/>
        </w:tabs>
        <w:spacing w:line="240" w:lineRule="auto" w:before="229" w:after="0"/>
        <w:ind w:left="262" w:right="284" w:firstLine="0"/>
        <w:jc w:val="both"/>
        <w:rPr>
          <w:sz w:val="20"/>
        </w:rPr>
      </w:pPr>
      <w:r>
        <w:rPr>
          <w:sz w:val="20"/>
        </w:rPr>
        <w:t>Tratándose de programas municipales será el Ayuntamiento en sesión de Cabildo quien resuelva en definitiva con el voto favorable de al menos las dos terceras partes de sus miembros.</w:t>
      </w:r>
    </w:p>
    <w:p>
      <w:pPr>
        <w:pStyle w:val="BodyText"/>
        <w:spacing w:before="1"/>
      </w:pPr>
    </w:p>
    <w:p>
      <w:pPr>
        <w:pStyle w:val="ListParagraph"/>
        <w:numPr>
          <w:ilvl w:val="1"/>
          <w:numId w:val="35"/>
        </w:numPr>
        <w:tabs>
          <w:tab w:pos="687" w:val="left" w:leader="none"/>
        </w:tabs>
        <w:spacing w:line="240" w:lineRule="auto" w:before="0" w:after="0"/>
        <w:ind w:left="262" w:right="286" w:firstLine="0"/>
        <w:jc w:val="both"/>
        <w:rPr>
          <w:sz w:val="20"/>
        </w:rPr>
      </w:pPr>
      <w:r>
        <w:rPr>
          <w:sz w:val="20"/>
        </w:rPr>
        <w:t>Tratándose de programas metropolitanos, será la Comisión de Desarrollo Metropolitano y de Conurbación, quien resuelva en definitiva, previo dictamen de congruencia de la Secretaría y aprobación de los Cabildos correspondientes.</w:t>
      </w:r>
    </w:p>
    <w:p>
      <w:pPr>
        <w:pStyle w:val="ListParagraph"/>
        <w:numPr>
          <w:ilvl w:val="1"/>
          <w:numId w:val="35"/>
        </w:numPr>
        <w:tabs>
          <w:tab w:pos="688" w:val="left" w:leader="none"/>
        </w:tabs>
        <w:spacing w:line="240" w:lineRule="auto" w:before="229" w:after="0"/>
        <w:ind w:left="688" w:right="0" w:hanging="426"/>
        <w:jc w:val="both"/>
        <w:rPr>
          <w:sz w:val="20"/>
        </w:rPr>
      </w:pPr>
      <w:r>
        <w:rPr>
          <w:sz w:val="20"/>
        </w:rPr>
        <w:t>Las</w:t>
      </w:r>
      <w:r>
        <w:rPr>
          <w:spacing w:val="-7"/>
          <w:sz w:val="20"/>
        </w:rPr>
        <w:t> </w:t>
      </w:r>
      <w:r>
        <w:rPr>
          <w:sz w:val="20"/>
        </w:rPr>
        <w:t>resoluciones</w:t>
      </w:r>
      <w:r>
        <w:rPr>
          <w:spacing w:val="-6"/>
          <w:sz w:val="20"/>
        </w:rPr>
        <w:t> </w:t>
      </w:r>
      <w:r>
        <w:rPr>
          <w:sz w:val="20"/>
        </w:rPr>
        <w:t>serán</w:t>
      </w:r>
      <w:r>
        <w:rPr>
          <w:spacing w:val="-5"/>
          <w:sz w:val="20"/>
        </w:rPr>
        <w:t> </w:t>
      </w:r>
      <w:r>
        <w:rPr>
          <w:sz w:val="20"/>
        </w:rPr>
        <w:t>definitivas</w:t>
      </w:r>
      <w:r>
        <w:rPr>
          <w:spacing w:val="-7"/>
          <w:sz w:val="20"/>
        </w:rPr>
        <w:t> </w:t>
      </w:r>
      <w:r>
        <w:rPr>
          <w:sz w:val="20"/>
        </w:rPr>
        <w:t>y</w:t>
      </w:r>
      <w:r>
        <w:rPr>
          <w:spacing w:val="-6"/>
          <w:sz w:val="20"/>
        </w:rPr>
        <w:t> </w:t>
      </w:r>
      <w:r>
        <w:rPr>
          <w:sz w:val="20"/>
        </w:rPr>
        <w:t>con</w:t>
      </w:r>
      <w:r>
        <w:rPr>
          <w:spacing w:val="-8"/>
          <w:sz w:val="20"/>
        </w:rPr>
        <w:t> </w:t>
      </w:r>
      <w:r>
        <w:rPr>
          <w:sz w:val="20"/>
        </w:rPr>
        <w:t>carácter</w:t>
      </w:r>
      <w:r>
        <w:rPr>
          <w:spacing w:val="-7"/>
          <w:sz w:val="20"/>
        </w:rPr>
        <w:t> </w:t>
      </w:r>
      <w:r>
        <w:rPr>
          <w:sz w:val="20"/>
        </w:rPr>
        <w:t>de</w:t>
      </w:r>
      <w:r>
        <w:rPr>
          <w:spacing w:val="-8"/>
          <w:sz w:val="20"/>
        </w:rPr>
        <w:t> </w:t>
      </w:r>
      <w:r>
        <w:rPr>
          <w:spacing w:val="-2"/>
          <w:sz w:val="20"/>
        </w:rPr>
        <w:t>irrevocables;</w:t>
      </w:r>
    </w:p>
    <w:p>
      <w:pPr>
        <w:pStyle w:val="BodyText"/>
        <w:spacing w:before="1"/>
      </w:pPr>
    </w:p>
    <w:p>
      <w:pPr>
        <w:pStyle w:val="ListParagraph"/>
        <w:numPr>
          <w:ilvl w:val="0"/>
          <w:numId w:val="35"/>
        </w:numPr>
        <w:tabs>
          <w:tab w:pos="827" w:val="left" w:leader="none"/>
        </w:tabs>
        <w:spacing w:line="240" w:lineRule="auto" w:before="0" w:after="0"/>
        <w:ind w:left="262" w:right="280" w:firstLine="0"/>
        <w:jc w:val="both"/>
        <w:rPr>
          <w:sz w:val="20"/>
        </w:rPr>
      </w:pPr>
      <w:r>
        <w:rPr>
          <w:sz w:val="20"/>
        </w:rPr>
        <w:t>Una vez aprobado el programa municipal, el presidente municipal solicitará a la Secretaría emita el correspondiente dictamen de congruencia con el Sistema Estatal de Planeación, con los instrumentos federales de planeación, con el contenido y con el proceso de formulación, para los cual anexará los siguientes documentos:</w:t>
      </w:r>
    </w:p>
    <w:p>
      <w:pPr>
        <w:pStyle w:val="BodyText"/>
      </w:pPr>
    </w:p>
    <w:p>
      <w:pPr>
        <w:pStyle w:val="ListParagraph"/>
        <w:numPr>
          <w:ilvl w:val="1"/>
          <w:numId w:val="35"/>
        </w:numPr>
        <w:tabs>
          <w:tab w:pos="687" w:val="left" w:leader="none"/>
        </w:tabs>
        <w:spacing w:line="240" w:lineRule="auto" w:before="0" w:after="0"/>
        <w:ind w:left="262" w:right="289" w:firstLine="0"/>
        <w:jc w:val="both"/>
        <w:rPr>
          <w:sz w:val="20"/>
        </w:rPr>
      </w:pPr>
      <w:r>
        <w:rPr>
          <w:sz w:val="20"/>
        </w:rPr>
        <w:t>La certificación de las actas de Cabildo en las cuales se aprobó la formulación del</w:t>
      </w:r>
      <w:r>
        <w:rPr>
          <w:spacing w:val="-1"/>
          <w:sz w:val="20"/>
        </w:rPr>
        <w:t> </w:t>
      </w:r>
      <w:r>
        <w:rPr>
          <w:sz w:val="20"/>
        </w:rPr>
        <w:t>programa y en la que se aprobó el mismo.</w:t>
      </w:r>
    </w:p>
    <w:p>
      <w:pPr>
        <w:pStyle w:val="ListParagraph"/>
        <w:numPr>
          <w:ilvl w:val="1"/>
          <w:numId w:val="35"/>
        </w:numPr>
        <w:tabs>
          <w:tab w:pos="688" w:val="left" w:leader="none"/>
        </w:tabs>
        <w:spacing w:line="240" w:lineRule="auto" w:before="229" w:after="0"/>
        <w:ind w:left="262" w:right="287" w:firstLine="0"/>
        <w:jc w:val="both"/>
        <w:rPr>
          <w:sz w:val="20"/>
        </w:rPr>
      </w:pPr>
      <w:r>
        <w:rPr>
          <w:sz w:val="20"/>
        </w:rPr>
        <w:t>La documentación que acredite la realización del taller de planeación estratégica y de la consulta pública.</w:t>
      </w:r>
    </w:p>
    <w:p>
      <w:pPr>
        <w:pStyle w:val="ListParagraph"/>
        <w:numPr>
          <w:ilvl w:val="1"/>
          <w:numId w:val="35"/>
        </w:numPr>
        <w:tabs>
          <w:tab w:pos="544" w:val="left" w:leader="none"/>
        </w:tabs>
        <w:spacing w:line="240" w:lineRule="auto" w:before="1" w:after="0"/>
        <w:ind w:left="544" w:right="0" w:hanging="282"/>
        <w:jc w:val="both"/>
        <w:rPr>
          <w:sz w:val="20"/>
        </w:rPr>
      </w:pPr>
      <w:r>
        <w:rPr>
          <w:sz w:val="20"/>
        </w:rPr>
        <w:t>La</w:t>
      </w:r>
      <w:r>
        <w:rPr>
          <w:spacing w:val="-7"/>
          <w:sz w:val="20"/>
        </w:rPr>
        <w:t> </w:t>
      </w:r>
      <w:r>
        <w:rPr>
          <w:sz w:val="20"/>
        </w:rPr>
        <w:t>versión</w:t>
      </w:r>
      <w:r>
        <w:rPr>
          <w:spacing w:val="-6"/>
          <w:sz w:val="20"/>
        </w:rPr>
        <w:t> </w:t>
      </w:r>
      <w:r>
        <w:rPr>
          <w:sz w:val="20"/>
        </w:rPr>
        <w:t>completa</w:t>
      </w:r>
      <w:r>
        <w:rPr>
          <w:spacing w:val="-6"/>
          <w:sz w:val="20"/>
        </w:rPr>
        <w:t> </w:t>
      </w:r>
      <w:r>
        <w:rPr>
          <w:sz w:val="20"/>
        </w:rPr>
        <w:t>del</w:t>
      </w:r>
      <w:r>
        <w:rPr>
          <w:spacing w:val="-4"/>
          <w:sz w:val="20"/>
        </w:rPr>
        <w:t> </w:t>
      </w:r>
      <w:r>
        <w:rPr>
          <w:sz w:val="20"/>
        </w:rPr>
        <w:t>programa</w:t>
      </w:r>
      <w:r>
        <w:rPr>
          <w:spacing w:val="-6"/>
          <w:sz w:val="20"/>
        </w:rPr>
        <w:t> </w:t>
      </w:r>
      <w:r>
        <w:rPr>
          <w:sz w:val="20"/>
        </w:rPr>
        <w:t>y</w:t>
      </w:r>
      <w:r>
        <w:rPr>
          <w:spacing w:val="-5"/>
          <w:sz w:val="20"/>
        </w:rPr>
        <w:t> </w:t>
      </w:r>
      <w:r>
        <w:rPr>
          <w:sz w:val="20"/>
        </w:rPr>
        <w:t>sus</w:t>
      </w:r>
      <w:r>
        <w:rPr>
          <w:spacing w:val="-5"/>
          <w:sz w:val="20"/>
        </w:rPr>
        <w:t> </w:t>
      </w:r>
      <w:r>
        <w:rPr>
          <w:spacing w:val="-2"/>
          <w:sz w:val="20"/>
        </w:rPr>
        <w:t>anexos.</w:t>
      </w:r>
    </w:p>
    <w:p>
      <w:pPr>
        <w:pStyle w:val="BodyText"/>
        <w:spacing w:before="1"/>
      </w:pPr>
    </w:p>
    <w:p>
      <w:pPr>
        <w:pStyle w:val="ListParagraph"/>
        <w:numPr>
          <w:ilvl w:val="1"/>
          <w:numId w:val="35"/>
        </w:numPr>
        <w:tabs>
          <w:tab w:pos="544" w:val="left" w:leader="none"/>
        </w:tabs>
        <w:spacing w:line="240" w:lineRule="auto" w:before="0" w:after="0"/>
        <w:ind w:left="544" w:right="0" w:hanging="282"/>
        <w:jc w:val="both"/>
        <w:rPr>
          <w:sz w:val="20"/>
        </w:rPr>
      </w:pPr>
      <w:r>
        <w:rPr>
          <w:sz w:val="20"/>
        </w:rPr>
        <w:t>La</w:t>
      </w:r>
      <w:r>
        <w:rPr>
          <w:spacing w:val="-8"/>
          <w:sz w:val="20"/>
        </w:rPr>
        <w:t> </w:t>
      </w:r>
      <w:r>
        <w:rPr>
          <w:sz w:val="20"/>
        </w:rPr>
        <w:t>versión</w:t>
      </w:r>
      <w:r>
        <w:rPr>
          <w:spacing w:val="-6"/>
          <w:sz w:val="20"/>
        </w:rPr>
        <w:t> </w:t>
      </w:r>
      <w:r>
        <w:rPr>
          <w:sz w:val="20"/>
        </w:rPr>
        <w:t>abreviada</w:t>
      </w:r>
      <w:r>
        <w:rPr>
          <w:spacing w:val="-6"/>
          <w:sz w:val="20"/>
        </w:rPr>
        <w:t> </w:t>
      </w:r>
      <w:r>
        <w:rPr>
          <w:sz w:val="20"/>
        </w:rPr>
        <w:t>del</w:t>
      </w:r>
      <w:r>
        <w:rPr>
          <w:spacing w:val="-6"/>
          <w:sz w:val="20"/>
        </w:rPr>
        <w:t> </w:t>
      </w:r>
      <w:r>
        <w:rPr>
          <w:spacing w:val="-2"/>
          <w:sz w:val="20"/>
        </w:rPr>
        <w:t>mismo;</w:t>
      </w:r>
    </w:p>
    <w:p>
      <w:pPr>
        <w:pStyle w:val="ListParagraph"/>
        <w:numPr>
          <w:ilvl w:val="0"/>
          <w:numId w:val="35"/>
        </w:numPr>
        <w:tabs>
          <w:tab w:pos="545" w:val="left" w:leader="none"/>
        </w:tabs>
        <w:spacing w:line="240" w:lineRule="auto" w:before="229" w:after="0"/>
        <w:ind w:left="262" w:right="284" w:firstLine="0"/>
        <w:jc w:val="both"/>
        <w:rPr>
          <w:sz w:val="20"/>
        </w:rPr>
      </w:pPr>
      <w:r>
        <w:rPr>
          <w:sz w:val="20"/>
        </w:rPr>
        <w:t>La Secretaria contará con un término máximo de noventa treinta días hábiles contados a partir de la recepción del expediente respectivo para emitir dicho dictamen, el cual contendrá cuando </w:t>
      </w:r>
      <w:r>
        <w:rPr>
          <w:spacing w:val="-2"/>
          <w:sz w:val="20"/>
        </w:rPr>
        <w:t>menos: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35"/>
        </w:numPr>
        <w:tabs>
          <w:tab w:pos="544" w:val="left" w:leader="none"/>
        </w:tabs>
        <w:spacing w:line="240" w:lineRule="auto" w:before="0" w:after="0"/>
        <w:ind w:left="544" w:right="0" w:hanging="282"/>
        <w:jc w:val="both"/>
        <w:rPr>
          <w:sz w:val="20"/>
        </w:rPr>
      </w:pPr>
      <w:r>
        <w:rPr>
          <w:sz w:val="20"/>
        </w:rPr>
        <w:t>La</w:t>
      </w:r>
      <w:r>
        <w:rPr>
          <w:spacing w:val="-9"/>
          <w:sz w:val="20"/>
        </w:rPr>
        <w:t> </w:t>
      </w:r>
      <w:r>
        <w:rPr>
          <w:sz w:val="20"/>
        </w:rPr>
        <w:t>denominación</w:t>
      </w:r>
      <w:r>
        <w:rPr>
          <w:spacing w:val="-9"/>
          <w:sz w:val="20"/>
        </w:rPr>
        <w:t> </w:t>
      </w:r>
      <w:r>
        <w:rPr>
          <w:sz w:val="20"/>
        </w:rPr>
        <w:t>del</w:t>
      </w:r>
      <w:r>
        <w:rPr>
          <w:spacing w:val="-7"/>
          <w:sz w:val="20"/>
        </w:rPr>
        <w:t> </w:t>
      </w:r>
      <w:r>
        <w:rPr>
          <w:spacing w:val="-2"/>
          <w:sz w:val="20"/>
        </w:rPr>
        <w:t>programa.</w:t>
      </w:r>
    </w:p>
    <w:p>
      <w:pPr>
        <w:pStyle w:val="BodyText"/>
        <w:spacing w:before="1"/>
      </w:pPr>
    </w:p>
    <w:p>
      <w:pPr>
        <w:pStyle w:val="ListParagraph"/>
        <w:numPr>
          <w:ilvl w:val="1"/>
          <w:numId w:val="35"/>
        </w:numPr>
        <w:tabs>
          <w:tab w:pos="544" w:val="left" w:leader="none"/>
        </w:tabs>
        <w:spacing w:line="240" w:lineRule="auto" w:before="0" w:after="0"/>
        <w:ind w:left="262" w:right="287" w:firstLine="0"/>
        <w:jc w:val="both"/>
        <w:rPr>
          <w:sz w:val="20"/>
        </w:rPr>
      </w:pPr>
      <w:r>
        <w:rPr>
          <w:sz w:val="20"/>
        </w:rPr>
        <w:t>El listado de los documentos que acompañan la solicitud y que hacen constar la realización del procedimiento descrito en este artículo.</w:t>
      </w:r>
    </w:p>
    <w:p>
      <w:pPr>
        <w:pStyle w:val="ListParagraph"/>
        <w:numPr>
          <w:ilvl w:val="1"/>
          <w:numId w:val="35"/>
        </w:numPr>
        <w:tabs>
          <w:tab w:pos="687" w:val="left" w:leader="none"/>
        </w:tabs>
        <w:spacing w:line="240" w:lineRule="auto" w:before="229" w:after="0"/>
        <w:ind w:left="262" w:right="286" w:firstLine="0"/>
        <w:jc w:val="both"/>
        <w:rPr>
          <w:sz w:val="20"/>
        </w:rPr>
      </w:pPr>
      <w:r>
        <w:rPr>
          <w:sz w:val="20"/>
        </w:rPr>
        <w:t>Las referencias de programa en donde se atiende a la congruencia con los programas de ordenamiento territorial y desarrollo urbano que inciden y condicionan su estrategia.</w:t>
      </w:r>
    </w:p>
    <w:p>
      <w:pPr>
        <w:pStyle w:val="BodyText"/>
        <w:spacing w:before="1"/>
      </w:pPr>
    </w:p>
    <w:p>
      <w:pPr>
        <w:pStyle w:val="ListParagraph"/>
        <w:numPr>
          <w:ilvl w:val="1"/>
          <w:numId w:val="35"/>
        </w:numPr>
        <w:tabs>
          <w:tab w:pos="688" w:val="left" w:leader="none"/>
        </w:tabs>
        <w:spacing w:line="240" w:lineRule="auto" w:before="0" w:after="0"/>
        <w:ind w:left="262" w:right="287" w:firstLine="0"/>
        <w:jc w:val="both"/>
        <w:rPr>
          <w:sz w:val="20"/>
        </w:rPr>
      </w:pPr>
      <w:r>
        <w:rPr>
          <w:sz w:val="20"/>
        </w:rPr>
        <w:t>La</w:t>
      </w:r>
      <w:r>
        <w:rPr>
          <w:spacing w:val="-14"/>
          <w:sz w:val="20"/>
        </w:rPr>
        <w:t> </w:t>
      </w:r>
      <w:r>
        <w:rPr>
          <w:sz w:val="20"/>
        </w:rPr>
        <w:t>revisión</w:t>
      </w:r>
      <w:r>
        <w:rPr>
          <w:spacing w:val="-13"/>
          <w:sz w:val="20"/>
        </w:rPr>
        <w:t> </w:t>
      </w:r>
      <w:r>
        <w:rPr>
          <w:sz w:val="20"/>
        </w:rPr>
        <w:t>del</w:t>
      </w:r>
      <w:r>
        <w:rPr>
          <w:spacing w:val="-14"/>
          <w:sz w:val="20"/>
        </w:rPr>
        <w:t> </w:t>
      </w:r>
      <w:r>
        <w:rPr>
          <w:sz w:val="20"/>
        </w:rPr>
        <w:t>contenido</w:t>
      </w:r>
      <w:r>
        <w:rPr>
          <w:spacing w:val="-13"/>
          <w:sz w:val="20"/>
        </w:rPr>
        <w:t> </w:t>
      </w:r>
      <w:r>
        <w:rPr>
          <w:sz w:val="20"/>
        </w:rPr>
        <w:t>del</w:t>
      </w:r>
      <w:r>
        <w:rPr>
          <w:spacing w:val="-13"/>
          <w:sz w:val="20"/>
        </w:rPr>
        <w:t> </w:t>
      </w:r>
      <w:r>
        <w:rPr>
          <w:sz w:val="20"/>
        </w:rPr>
        <w:t>programa,</w:t>
      </w:r>
      <w:r>
        <w:rPr>
          <w:spacing w:val="-12"/>
          <w:sz w:val="20"/>
        </w:rPr>
        <w:t> </w:t>
      </w:r>
      <w:r>
        <w:rPr>
          <w:sz w:val="20"/>
        </w:rPr>
        <w:t>confirmado</w:t>
      </w:r>
      <w:r>
        <w:rPr>
          <w:spacing w:val="-13"/>
          <w:sz w:val="20"/>
        </w:rPr>
        <w:t> </w:t>
      </w:r>
      <w:r>
        <w:rPr>
          <w:sz w:val="20"/>
        </w:rPr>
        <w:t>su</w:t>
      </w:r>
      <w:r>
        <w:rPr>
          <w:spacing w:val="-12"/>
          <w:sz w:val="20"/>
        </w:rPr>
        <w:t> </w:t>
      </w:r>
      <w:r>
        <w:rPr>
          <w:sz w:val="20"/>
        </w:rPr>
        <w:t>congruencia</w:t>
      </w:r>
      <w:r>
        <w:rPr>
          <w:spacing w:val="-13"/>
          <w:sz w:val="20"/>
        </w:rPr>
        <w:t> </w:t>
      </w:r>
      <w:r>
        <w:rPr>
          <w:sz w:val="20"/>
        </w:rPr>
        <w:t>con</w:t>
      </w:r>
      <w:r>
        <w:rPr>
          <w:spacing w:val="-13"/>
          <w:sz w:val="20"/>
        </w:rPr>
        <w:t> </w:t>
      </w:r>
      <w:r>
        <w:rPr>
          <w:sz w:val="20"/>
        </w:rPr>
        <w:t>lo</w:t>
      </w:r>
      <w:r>
        <w:rPr>
          <w:spacing w:val="-13"/>
          <w:sz w:val="20"/>
        </w:rPr>
        <w:t> </w:t>
      </w:r>
      <w:r>
        <w:rPr>
          <w:sz w:val="20"/>
        </w:rPr>
        <w:t>mínimo</w:t>
      </w:r>
      <w:r>
        <w:rPr>
          <w:spacing w:val="-10"/>
          <w:sz w:val="20"/>
        </w:rPr>
        <w:t> </w:t>
      </w:r>
      <w:r>
        <w:rPr>
          <w:sz w:val="20"/>
        </w:rPr>
        <w:t>requerido</w:t>
      </w:r>
      <w:r>
        <w:rPr>
          <w:spacing w:val="-13"/>
          <w:sz w:val="20"/>
        </w:rPr>
        <w:t> </w:t>
      </w:r>
      <w:r>
        <w:rPr>
          <w:sz w:val="20"/>
        </w:rPr>
        <w:t>por esta Ley.</w:t>
      </w:r>
    </w:p>
    <w:p>
      <w:pPr>
        <w:pStyle w:val="ListParagraph"/>
        <w:numPr>
          <w:ilvl w:val="1"/>
          <w:numId w:val="35"/>
        </w:numPr>
        <w:tabs>
          <w:tab w:pos="687" w:val="left" w:leader="none"/>
        </w:tabs>
        <w:spacing w:line="240" w:lineRule="auto" w:before="229" w:after="0"/>
        <w:ind w:left="262" w:right="279" w:firstLine="0"/>
        <w:jc w:val="both"/>
        <w:rPr>
          <w:sz w:val="20"/>
        </w:rPr>
      </w:pPr>
      <w:r>
        <w:rPr>
          <w:sz w:val="20"/>
        </w:rPr>
        <w:t>La conclusión en la que se expresará claramente si el programa cumple con la congruencia, contenido y procedimiento que establece esta Ley para su formulación; en caso contrario señalará los</w:t>
      </w:r>
      <w:r>
        <w:rPr>
          <w:spacing w:val="-14"/>
          <w:sz w:val="20"/>
        </w:rPr>
        <w:t> </w:t>
      </w:r>
      <w:r>
        <w:rPr>
          <w:sz w:val="20"/>
        </w:rPr>
        <w:t>procedimientos</w:t>
      </w:r>
      <w:r>
        <w:rPr>
          <w:spacing w:val="-14"/>
          <w:sz w:val="20"/>
        </w:rPr>
        <w:t> </w:t>
      </w:r>
      <w:r>
        <w:rPr>
          <w:sz w:val="20"/>
        </w:rPr>
        <w:t>que</w:t>
      </w:r>
      <w:r>
        <w:rPr>
          <w:spacing w:val="-14"/>
          <w:sz w:val="20"/>
        </w:rPr>
        <w:t> </w:t>
      </w:r>
      <w:r>
        <w:rPr>
          <w:sz w:val="20"/>
        </w:rPr>
        <w:t>requieran</w:t>
      </w:r>
      <w:r>
        <w:rPr>
          <w:spacing w:val="-14"/>
          <w:sz w:val="20"/>
        </w:rPr>
        <w:t> </w:t>
      </w:r>
      <w:r>
        <w:rPr>
          <w:sz w:val="20"/>
        </w:rPr>
        <w:t>subsanarse</w:t>
      </w:r>
      <w:r>
        <w:rPr>
          <w:spacing w:val="-14"/>
          <w:sz w:val="20"/>
        </w:rPr>
        <w:t> </w:t>
      </w:r>
      <w:r>
        <w:rPr>
          <w:sz w:val="20"/>
        </w:rPr>
        <w:t>o</w:t>
      </w:r>
      <w:r>
        <w:rPr>
          <w:spacing w:val="-14"/>
          <w:sz w:val="20"/>
        </w:rPr>
        <w:t> </w:t>
      </w:r>
      <w:r>
        <w:rPr>
          <w:sz w:val="20"/>
        </w:rPr>
        <w:t>las</w:t>
      </w:r>
      <w:r>
        <w:rPr>
          <w:spacing w:val="-14"/>
          <w:sz w:val="20"/>
        </w:rPr>
        <w:t> </w:t>
      </w:r>
      <w:r>
        <w:rPr>
          <w:sz w:val="20"/>
        </w:rPr>
        <w:t>modificaciones</w:t>
      </w:r>
      <w:r>
        <w:rPr>
          <w:spacing w:val="-14"/>
          <w:sz w:val="20"/>
        </w:rPr>
        <w:t> </w:t>
      </w:r>
      <w:r>
        <w:rPr>
          <w:sz w:val="20"/>
        </w:rPr>
        <w:t>que</w:t>
      </w:r>
      <w:r>
        <w:rPr>
          <w:spacing w:val="-9"/>
          <w:sz w:val="20"/>
        </w:rPr>
        <w:t> </w:t>
      </w:r>
      <w:r>
        <w:rPr>
          <w:sz w:val="20"/>
        </w:rPr>
        <w:t>se</w:t>
      </w:r>
      <w:r>
        <w:rPr>
          <w:spacing w:val="-12"/>
          <w:sz w:val="20"/>
        </w:rPr>
        <w:t> </w:t>
      </w:r>
      <w:r>
        <w:rPr>
          <w:sz w:val="20"/>
        </w:rPr>
        <w:t>precisen</w:t>
      </w:r>
      <w:r>
        <w:rPr>
          <w:spacing w:val="-14"/>
          <w:sz w:val="20"/>
        </w:rPr>
        <w:t> </w:t>
      </w:r>
      <w:r>
        <w:rPr>
          <w:sz w:val="20"/>
        </w:rPr>
        <w:t>para</w:t>
      </w:r>
      <w:r>
        <w:rPr>
          <w:spacing w:val="-14"/>
          <w:sz w:val="20"/>
        </w:rPr>
        <w:t> </w:t>
      </w:r>
      <w:r>
        <w:rPr>
          <w:sz w:val="20"/>
        </w:rPr>
        <w:t>su</w:t>
      </w:r>
      <w:r>
        <w:rPr>
          <w:spacing w:val="-12"/>
          <w:sz w:val="20"/>
        </w:rPr>
        <w:t> </w:t>
      </w:r>
      <w:r>
        <w:rPr>
          <w:sz w:val="20"/>
        </w:rPr>
        <w:t>legalidad y uniformidad metodológica.</w:t>
      </w:r>
    </w:p>
    <w:p>
      <w:pPr>
        <w:pStyle w:val="BodyText"/>
        <w:spacing w:before="2"/>
      </w:pPr>
    </w:p>
    <w:p>
      <w:pPr>
        <w:pStyle w:val="BodyText"/>
        <w:ind w:left="262" w:right="287"/>
        <w:jc w:val="both"/>
      </w:pPr>
      <w:r>
        <w:rPr/>
        <w:t>Tratándose</w:t>
      </w:r>
      <w:r>
        <w:rPr>
          <w:spacing w:val="-5"/>
        </w:rPr>
        <w:t> </w:t>
      </w:r>
      <w:r>
        <w:rPr/>
        <w:t>de</w:t>
      </w:r>
      <w:r>
        <w:rPr>
          <w:spacing w:val="-5"/>
        </w:rPr>
        <w:t> </w:t>
      </w:r>
      <w:r>
        <w:rPr/>
        <w:t>programas</w:t>
      </w:r>
      <w:r>
        <w:rPr>
          <w:spacing w:val="-2"/>
        </w:rPr>
        <w:t> </w:t>
      </w:r>
      <w:r>
        <w:rPr/>
        <w:t>metropolitanos</w:t>
      </w:r>
      <w:r>
        <w:rPr>
          <w:spacing w:val="-4"/>
        </w:rPr>
        <w:t> </w:t>
      </w:r>
      <w:r>
        <w:rPr/>
        <w:t>y</w:t>
      </w:r>
      <w:r>
        <w:rPr>
          <w:spacing w:val="-4"/>
        </w:rPr>
        <w:t> </w:t>
      </w:r>
      <w:r>
        <w:rPr/>
        <w:t>de</w:t>
      </w:r>
      <w:r>
        <w:rPr>
          <w:spacing w:val="-5"/>
        </w:rPr>
        <w:t> </w:t>
      </w:r>
      <w:r>
        <w:rPr/>
        <w:t>zonas</w:t>
      </w:r>
      <w:r>
        <w:rPr>
          <w:spacing w:val="-4"/>
        </w:rPr>
        <w:t> </w:t>
      </w:r>
      <w:r>
        <w:rPr/>
        <w:t>conurbadas,</w:t>
      </w:r>
      <w:r>
        <w:rPr>
          <w:spacing w:val="-5"/>
        </w:rPr>
        <w:t> </w:t>
      </w:r>
      <w:r>
        <w:rPr/>
        <w:t>será</w:t>
      </w:r>
      <w:r>
        <w:rPr>
          <w:spacing w:val="-3"/>
        </w:rPr>
        <w:t> </w:t>
      </w:r>
      <w:r>
        <w:rPr/>
        <w:t>la</w:t>
      </w:r>
      <w:r>
        <w:rPr>
          <w:spacing w:val="-3"/>
        </w:rPr>
        <w:t> </w:t>
      </w:r>
      <w:r>
        <w:rPr/>
        <w:t>Comisión</w:t>
      </w:r>
      <w:r>
        <w:rPr>
          <w:spacing w:val="-6"/>
        </w:rPr>
        <w:t> </w:t>
      </w:r>
      <w:r>
        <w:rPr/>
        <w:t>Metropolitana</w:t>
      </w:r>
      <w:r>
        <w:rPr>
          <w:spacing w:val="-4"/>
        </w:rPr>
        <w:t> </w:t>
      </w:r>
      <w:r>
        <w:rPr/>
        <w:t>y de Conurbación quien formule la solicitud del dictamen de congruencia a la Secretaría;</w:t>
      </w:r>
    </w:p>
    <w:p>
      <w:pPr>
        <w:pStyle w:val="ListParagraph"/>
        <w:numPr>
          <w:ilvl w:val="0"/>
          <w:numId w:val="35"/>
        </w:numPr>
        <w:tabs>
          <w:tab w:pos="544" w:val="left" w:leader="none"/>
        </w:tabs>
        <w:spacing w:line="240" w:lineRule="auto" w:before="229" w:after="0"/>
        <w:ind w:left="262" w:right="279" w:firstLine="0"/>
        <w:jc w:val="both"/>
        <w:rPr>
          <w:sz w:val="20"/>
        </w:rPr>
      </w:pPr>
      <w:r>
        <w:rPr>
          <w:sz w:val="20"/>
        </w:rPr>
        <w:t>Cumplido lo anterior, el presidente municipal o la Comisión Metropolitana y de Conurbación solicitará al Gobernador del Estado la publicación del programa en forma completa en el Periódico Oficial del Gobierno del Estado “Plan de San Luis”. Por su parte las autoridades municipales lo publicarán</w:t>
      </w:r>
      <w:r>
        <w:rPr>
          <w:spacing w:val="-4"/>
          <w:sz w:val="20"/>
        </w:rPr>
        <w:t> </w:t>
      </w:r>
      <w:r>
        <w:rPr>
          <w:sz w:val="20"/>
        </w:rPr>
        <w:t>en</w:t>
      </w:r>
      <w:r>
        <w:rPr>
          <w:spacing w:val="-4"/>
          <w:sz w:val="20"/>
        </w:rPr>
        <w:t> </w:t>
      </w:r>
      <w:r>
        <w:rPr>
          <w:sz w:val="20"/>
        </w:rPr>
        <w:t>forma</w:t>
      </w:r>
      <w:r>
        <w:rPr>
          <w:spacing w:val="-4"/>
          <w:sz w:val="20"/>
        </w:rPr>
        <w:t> </w:t>
      </w:r>
      <w:r>
        <w:rPr>
          <w:sz w:val="20"/>
        </w:rPr>
        <w:t>abreviada</w:t>
      </w:r>
      <w:r>
        <w:rPr>
          <w:spacing w:val="-4"/>
          <w:sz w:val="20"/>
        </w:rPr>
        <w:t> </w:t>
      </w:r>
      <w:r>
        <w:rPr>
          <w:sz w:val="20"/>
        </w:rPr>
        <w:t>en</w:t>
      </w:r>
      <w:r>
        <w:rPr>
          <w:spacing w:val="-2"/>
          <w:sz w:val="20"/>
        </w:rPr>
        <w:t> </w:t>
      </w:r>
      <w:r>
        <w:rPr>
          <w:sz w:val="20"/>
        </w:rPr>
        <w:t>el</w:t>
      </w:r>
      <w:r>
        <w:rPr>
          <w:spacing w:val="-5"/>
          <w:sz w:val="20"/>
        </w:rPr>
        <w:t> </w:t>
      </w:r>
      <w:r>
        <w:rPr>
          <w:sz w:val="20"/>
        </w:rPr>
        <w:t>diario</w:t>
      </w:r>
      <w:r>
        <w:rPr>
          <w:spacing w:val="-4"/>
          <w:sz w:val="20"/>
        </w:rPr>
        <w:t> </w:t>
      </w:r>
      <w:r>
        <w:rPr>
          <w:sz w:val="20"/>
        </w:rPr>
        <w:t>de</w:t>
      </w:r>
      <w:r>
        <w:rPr>
          <w:spacing w:val="-4"/>
          <w:sz w:val="20"/>
        </w:rPr>
        <w:t> </w:t>
      </w:r>
      <w:r>
        <w:rPr>
          <w:sz w:val="20"/>
        </w:rPr>
        <w:t>mayor</w:t>
      </w:r>
      <w:r>
        <w:rPr>
          <w:spacing w:val="-4"/>
          <w:sz w:val="20"/>
        </w:rPr>
        <w:t> </w:t>
      </w:r>
      <w:r>
        <w:rPr>
          <w:sz w:val="20"/>
        </w:rPr>
        <w:t>circulación</w:t>
      </w:r>
      <w:r>
        <w:rPr>
          <w:spacing w:val="-4"/>
          <w:sz w:val="20"/>
        </w:rPr>
        <w:t> </w:t>
      </w:r>
      <w:r>
        <w:rPr>
          <w:sz w:val="20"/>
        </w:rPr>
        <w:t>en</w:t>
      </w:r>
      <w:r>
        <w:rPr>
          <w:spacing w:val="-4"/>
          <w:sz w:val="20"/>
        </w:rPr>
        <w:t> </w:t>
      </w:r>
      <w:r>
        <w:rPr>
          <w:sz w:val="20"/>
        </w:rPr>
        <w:t>la</w:t>
      </w:r>
      <w:r>
        <w:rPr>
          <w:spacing w:val="-2"/>
          <w:sz w:val="20"/>
        </w:rPr>
        <w:t> </w:t>
      </w:r>
      <w:r>
        <w:rPr>
          <w:sz w:val="20"/>
        </w:rPr>
        <w:t>localidad,</w:t>
      </w:r>
      <w:r>
        <w:rPr>
          <w:spacing w:val="-4"/>
          <w:sz w:val="20"/>
        </w:rPr>
        <w:t> </w:t>
      </w:r>
      <w:r>
        <w:rPr>
          <w:sz w:val="20"/>
        </w:rPr>
        <w:t>y</w:t>
      </w:r>
      <w:r>
        <w:rPr>
          <w:spacing w:val="-3"/>
          <w:sz w:val="20"/>
        </w:rPr>
        <w:t> </w:t>
      </w:r>
      <w:r>
        <w:rPr>
          <w:sz w:val="20"/>
        </w:rPr>
        <w:t>en</w:t>
      </w:r>
      <w:r>
        <w:rPr>
          <w:spacing w:val="-5"/>
          <w:sz w:val="20"/>
        </w:rPr>
        <w:t> </w:t>
      </w:r>
      <w:r>
        <w:rPr>
          <w:sz w:val="20"/>
        </w:rPr>
        <w:t>su</w:t>
      </w:r>
      <w:r>
        <w:rPr>
          <w:spacing w:val="-4"/>
          <w:sz w:val="20"/>
        </w:rPr>
        <w:t> </w:t>
      </w:r>
      <w:r>
        <w:rPr>
          <w:sz w:val="20"/>
        </w:rPr>
        <w:t>caso,</w:t>
      </w:r>
      <w:r>
        <w:rPr>
          <w:spacing w:val="-4"/>
          <w:sz w:val="20"/>
        </w:rPr>
        <w:t> </w:t>
      </w:r>
      <w:r>
        <w:rPr>
          <w:sz w:val="20"/>
        </w:rPr>
        <w:t>en</w:t>
      </w:r>
      <w:r>
        <w:rPr>
          <w:spacing w:val="-5"/>
          <w:sz w:val="20"/>
        </w:rPr>
        <w:t> </w:t>
      </w:r>
      <w:r>
        <w:rPr>
          <w:sz w:val="20"/>
        </w:rPr>
        <w:t>las gacetas</w:t>
      </w:r>
      <w:r>
        <w:rPr>
          <w:spacing w:val="40"/>
          <w:sz w:val="20"/>
        </w:rPr>
        <w:t> </w:t>
      </w:r>
      <w:r>
        <w:rPr>
          <w:sz w:val="20"/>
        </w:rPr>
        <w:t>municipales;</w:t>
      </w:r>
    </w:p>
    <w:p>
      <w:pPr>
        <w:pStyle w:val="BodyText"/>
        <w:spacing w:before="1"/>
      </w:pPr>
    </w:p>
    <w:p>
      <w:pPr>
        <w:pStyle w:val="ListParagraph"/>
        <w:numPr>
          <w:ilvl w:val="0"/>
          <w:numId w:val="35"/>
        </w:numPr>
        <w:tabs>
          <w:tab w:pos="688" w:val="left" w:leader="none"/>
        </w:tabs>
        <w:spacing w:line="240" w:lineRule="auto" w:before="0" w:after="0"/>
        <w:ind w:left="262" w:right="280" w:firstLine="0"/>
        <w:jc w:val="both"/>
        <w:rPr>
          <w:sz w:val="20"/>
        </w:rPr>
      </w:pPr>
      <w:r>
        <w:rPr>
          <w:sz w:val="20"/>
        </w:rPr>
        <w:t>Una vez hecho lo anterior, la autoridad estatal o municipal tendrán un plazo de treinta días hábiles</w:t>
      </w:r>
      <w:r>
        <w:rPr>
          <w:spacing w:val="-3"/>
          <w:sz w:val="20"/>
        </w:rPr>
        <w:t> </w:t>
      </w:r>
      <w:r>
        <w:rPr>
          <w:sz w:val="20"/>
        </w:rPr>
        <w:t>siguientes</w:t>
      </w:r>
      <w:r>
        <w:rPr>
          <w:spacing w:val="-3"/>
          <w:sz w:val="20"/>
        </w:rPr>
        <w:t> </w:t>
      </w:r>
      <w:r>
        <w:rPr>
          <w:sz w:val="20"/>
        </w:rPr>
        <w:t>a</w:t>
      </w:r>
      <w:r>
        <w:rPr>
          <w:spacing w:val="-5"/>
          <w:sz w:val="20"/>
        </w:rPr>
        <w:t> </w:t>
      </w:r>
      <w:r>
        <w:rPr>
          <w:sz w:val="20"/>
        </w:rPr>
        <w:t>la</w:t>
      </w:r>
      <w:r>
        <w:rPr>
          <w:spacing w:val="-2"/>
          <w:sz w:val="20"/>
        </w:rPr>
        <w:t> </w:t>
      </w:r>
      <w:r>
        <w:rPr>
          <w:sz w:val="20"/>
        </w:rPr>
        <w:t>publicación</w:t>
      </w:r>
      <w:r>
        <w:rPr>
          <w:spacing w:val="-5"/>
          <w:sz w:val="20"/>
        </w:rPr>
        <w:t> </w:t>
      </w:r>
      <w:r>
        <w:rPr>
          <w:sz w:val="20"/>
        </w:rPr>
        <w:t>a</w:t>
      </w:r>
      <w:r>
        <w:rPr>
          <w:spacing w:val="-5"/>
          <w:sz w:val="20"/>
        </w:rPr>
        <w:t> </w:t>
      </w:r>
      <w:r>
        <w:rPr>
          <w:sz w:val="20"/>
        </w:rPr>
        <w:t>que</w:t>
      </w:r>
      <w:r>
        <w:rPr>
          <w:spacing w:val="-5"/>
          <w:sz w:val="20"/>
        </w:rPr>
        <w:t> </w:t>
      </w:r>
      <w:r>
        <w:rPr>
          <w:sz w:val="20"/>
        </w:rPr>
        <w:t>se</w:t>
      </w:r>
      <w:r>
        <w:rPr>
          <w:spacing w:val="-4"/>
          <w:sz w:val="20"/>
        </w:rPr>
        <w:t> </w:t>
      </w:r>
      <w:r>
        <w:rPr>
          <w:sz w:val="20"/>
        </w:rPr>
        <w:t>refiere</w:t>
      </w:r>
      <w:r>
        <w:rPr>
          <w:spacing w:val="-2"/>
          <w:sz w:val="20"/>
        </w:rPr>
        <w:t> </w:t>
      </w:r>
      <w:r>
        <w:rPr>
          <w:sz w:val="20"/>
        </w:rPr>
        <w:t>la</w:t>
      </w:r>
      <w:r>
        <w:rPr>
          <w:spacing w:val="-4"/>
          <w:sz w:val="20"/>
        </w:rPr>
        <w:t> </w:t>
      </w:r>
      <w:r>
        <w:rPr>
          <w:sz w:val="20"/>
        </w:rPr>
        <w:t>fracción</w:t>
      </w:r>
      <w:r>
        <w:rPr>
          <w:spacing w:val="-5"/>
          <w:sz w:val="20"/>
        </w:rPr>
        <w:t> </w:t>
      </w:r>
      <w:r>
        <w:rPr>
          <w:sz w:val="20"/>
        </w:rPr>
        <w:t>anterior,</w:t>
      </w:r>
      <w:r>
        <w:rPr>
          <w:spacing w:val="-4"/>
          <w:sz w:val="20"/>
        </w:rPr>
        <w:t> </w:t>
      </w:r>
      <w:r>
        <w:rPr>
          <w:sz w:val="20"/>
        </w:rPr>
        <w:t>para</w:t>
      </w:r>
      <w:r>
        <w:rPr>
          <w:spacing w:val="-2"/>
          <w:sz w:val="20"/>
        </w:rPr>
        <w:t> </w:t>
      </w:r>
      <w:r>
        <w:rPr>
          <w:sz w:val="20"/>
        </w:rPr>
        <w:t>inscribir</w:t>
      </w:r>
      <w:r>
        <w:rPr>
          <w:spacing w:val="-3"/>
          <w:sz w:val="20"/>
        </w:rPr>
        <w:t> </w:t>
      </w:r>
      <w:r>
        <w:rPr>
          <w:sz w:val="20"/>
        </w:rPr>
        <w:t>el</w:t>
      </w:r>
      <w:r>
        <w:rPr>
          <w:spacing w:val="-5"/>
          <w:sz w:val="20"/>
        </w:rPr>
        <w:t> </w:t>
      </w:r>
      <w:r>
        <w:rPr>
          <w:sz w:val="20"/>
        </w:rPr>
        <w:t>programa</w:t>
      </w:r>
      <w:r>
        <w:rPr>
          <w:spacing w:val="-4"/>
          <w:sz w:val="20"/>
        </w:rPr>
        <w:t> </w:t>
      </w:r>
      <w:r>
        <w:rPr>
          <w:sz w:val="20"/>
        </w:rPr>
        <w:t>en la</w:t>
      </w:r>
      <w:r>
        <w:rPr>
          <w:spacing w:val="-14"/>
          <w:sz w:val="20"/>
        </w:rPr>
        <w:t> </w:t>
      </w:r>
      <w:r>
        <w:rPr>
          <w:sz w:val="20"/>
        </w:rPr>
        <w:t>sección</w:t>
      </w:r>
      <w:r>
        <w:rPr>
          <w:spacing w:val="-14"/>
          <w:sz w:val="20"/>
        </w:rPr>
        <w:t> </w:t>
      </w:r>
      <w:r>
        <w:rPr>
          <w:sz w:val="20"/>
        </w:rPr>
        <w:t>correspondiente</w:t>
      </w:r>
      <w:r>
        <w:rPr>
          <w:spacing w:val="-14"/>
          <w:sz w:val="20"/>
        </w:rPr>
        <w:t> </w:t>
      </w:r>
      <w:r>
        <w:rPr>
          <w:sz w:val="20"/>
        </w:rPr>
        <w:t>del</w:t>
      </w:r>
      <w:r>
        <w:rPr>
          <w:spacing w:val="-14"/>
          <w:sz w:val="20"/>
        </w:rPr>
        <w:t> </w:t>
      </w:r>
      <w:r>
        <w:rPr>
          <w:sz w:val="20"/>
        </w:rPr>
        <w:t>Registro</w:t>
      </w:r>
      <w:r>
        <w:rPr>
          <w:spacing w:val="-14"/>
          <w:sz w:val="20"/>
        </w:rPr>
        <w:t> </w:t>
      </w:r>
      <w:r>
        <w:rPr>
          <w:sz w:val="20"/>
        </w:rPr>
        <w:t>Público</w:t>
      </w:r>
      <w:r>
        <w:rPr>
          <w:spacing w:val="-14"/>
          <w:sz w:val="20"/>
        </w:rPr>
        <w:t> </w:t>
      </w:r>
      <w:r>
        <w:rPr>
          <w:sz w:val="20"/>
        </w:rPr>
        <w:t>de</w:t>
      </w:r>
      <w:r>
        <w:rPr>
          <w:spacing w:val="-14"/>
          <w:sz w:val="20"/>
        </w:rPr>
        <w:t> </w:t>
      </w:r>
      <w:r>
        <w:rPr>
          <w:sz w:val="20"/>
        </w:rPr>
        <w:t>la</w:t>
      </w:r>
      <w:r>
        <w:rPr>
          <w:spacing w:val="-14"/>
          <w:sz w:val="20"/>
        </w:rPr>
        <w:t> </w:t>
      </w:r>
      <w:r>
        <w:rPr>
          <w:sz w:val="20"/>
        </w:rPr>
        <w:t>Propiedad</w:t>
      </w:r>
      <w:r>
        <w:rPr>
          <w:spacing w:val="-14"/>
          <w:sz w:val="20"/>
        </w:rPr>
        <w:t> </w:t>
      </w:r>
      <w:r>
        <w:rPr>
          <w:sz w:val="20"/>
        </w:rPr>
        <w:t>del</w:t>
      </w:r>
      <w:r>
        <w:rPr>
          <w:spacing w:val="-13"/>
          <w:sz w:val="20"/>
        </w:rPr>
        <w:t> </w:t>
      </w:r>
      <w:r>
        <w:rPr>
          <w:sz w:val="20"/>
        </w:rPr>
        <w:t>Estado,</w:t>
      </w:r>
      <w:r>
        <w:rPr>
          <w:spacing w:val="-14"/>
          <w:sz w:val="20"/>
        </w:rPr>
        <w:t> </w:t>
      </w:r>
      <w:r>
        <w:rPr>
          <w:sz w:val="20"/>
        </w:rPr>
        <w:t>dependiente</w:t>
      </w:r>
      <w:r>
        <w:rPr>
          <w:spacing w:val="-14"/>
          <w:sz w:val="20"/>
        </w:rPr>
        <w:t> </w:t>
      </w:r>
      <w:r>
        <w:rPr>
          <w:sz w:val="20"/>
        </w:rPr>
        <w:t>del</w:t>
      </w:r>
      <w:r>
        <w:rPr>
          <w:spacing w:val="-14"/>
          <w:sz w:val="20"/>
        </w:rPr>
        <w:t> </w:t>
      </w:r>
      <w:r>
        <w:rPr>
          <w:sz w:val="20"/>
        </w:rPr>
        <w:t>Instituto Registral y Catastral del Estado, y</w:t>
      </w:r>
    </w:p>
    <w:p>
      <w:pPr>
        <w:pStyle w:val="ListParagraph"/>
        <w:numPr>
          <w:ilvl w:val="0"/>
          <w:numId w:val="35"/>
        </w:numPr>
        <w:tabs>
          <w:tab w:pos="688" w:val="left" w:leader="none"/>
        </w:tabs>
        <w:spacing w:line="240" w:lineRule="auto" w:before="229" w:after="0"/>
        <w:ind w:left="262" w:right="278" w:firstLine="0"/>
        <w:jc w:val="both"/>
        <w:rPr>
          <w:sz w:val="20"/>
        </w:rPr>
      </w:pPr>
      <w:r>
        <w:rPr>
          <w:sz w:val="20"/>
        </w:rPr>
        <w:t>En el caso de los programas del ámbito municipal, así como los de zonas metropolitanas y conurbadas, se entregará a la Secretaría un tanto de la versión completa del programa original debidamente firmado y sellado por el presidente municipal y el secretario del ayuntamiento, en el caso de un programa municipal; tratándose de los programas metropolitanos y de conurbación, de los presidentes municipales y secretarios de los ayuntamientos correspondientes, acompañado de un ejemplar de la publicación en el Periódico Oficial del Gobierno del Estado “Plan de San Luis” y de</w:t>
      </w:r>
      <w:r>
        <w:rPr>
          <w:spacing w:val="-3"/>
          <w:sz w:val="20"/>
        </w:rPr>
        <w:t> </w:t>
      </w:r>
      <w:r>
        <w:rPr>
          <w:sz w:val="20"/>
        </w:rPr>
        <w:t>la</w:t>
      </w:r>
      <w:r>
        <w:rPr>
          <w:spacing w:val="-2"/>
          <w:sz w:val="20"/>
        </w:rPr>
        <w:t> </w:t>
      </w:r>
      <w:r>
        <w:rPr>
          <w:sz w:val="20"/>
        </w:rPr>
        <w:t>versión</w:t>
      </w:r>
      <w:r>
        <w:rPr>
          <w:spacing w:val="-2"/>
          <w:sz w:val="20"/>
        </w:rPr>
        <w:t> </w:t>
      </w:r>
      <w:r>
        <w:rPr>
          <w:sz w:val="20"/>
        </w:rPr>
        <w:t>electrónica;</w:t>
      </w:r>
      <w:r>
        <w:rPr>
          <w:spacing w:val="-2"/>
          <w:sz w:val="20"/>
        </w:rPr>
        <w:t> </w:t>
      </w:r>
      <w:r>
        <w:rPr>
          <w:sz w:val="20"/>
        </w:rPr>
        <w:t>para</w:t>
      </w:r>
      <w:r>
        <w:rPr>
          <w:spacing w:val="-4"/>
          <w:sz w:val="20"/>
        </w:rPr>
        <w:t> </w:t>
      </w:r>
      <w:r>
        <w:rPr>
          <w:sz w:val="20"/>
        </w:rPr>
        <w:t>su</w:t>
      </w:r>
      <w:r>
        <w:rPr>
          <w:spacing w:val="-2"/>
          <w:sz w:val="20"/>
        </w:rPr>
        <w:t> </w:t>
      </w:r>
      <w:r>
        <w:rPr>
          <w:sz w:val="20"/>
        </w:rPr>
        <w:t>resguardo</w:t>
      </w:r>
      <w:r>
        <w:rPr>
          <w:spacing w:val="-5"/>
          <w:sz w:val="20"/>
        </w:rPr>
        <w:t> </w:t>
      </w:r>
      <w:r>
        <w:rPr>
          <w:sz w:val="20"/>
        </w:rPr>
        <w:t>y difusión.</w:t>
      </w:r>
      <w:r>
        <w:rPr>
          <w:spacing w:val="-4"/>
          <w:sz w:val="20"/>
        </w:rPr>
        <w:t> </w:t>
      </w:r>
      <w:r>
        <w:rPr>
          <w:sz w:val="20"/>
        </w:rPr>
        <w:t>La Secretaría integrará</w:t>
      </w:r>
      <w:r>
        <w:rPr>
          <w:spacing w:val="-2"/>
          <w:sz w:val="20"/>
        </w:rPr>
        <w:t> </w:t>
      </w:r>
      <w:r>
        <w:rPr>
          <w:sz w:val="20"/>
        </w:rPr>
        <w:t>dichos</w:t>
      </w:r>
      <w:r>
        <w:rPr>
          <w:spacing w:val="-3"/>
          <w:sz w:val="20"/>
        </w:rPr>
        <w:t> </w:t>
      </w:r>
      <w:r>
        <w:rPr>
          <w:sz w:val="20"/>
        </w:rPr>
        <w:t>programas</w:t>
      </w:r>
      <w:r>
        <w:rPr>
          <w:spacing w:val="-1"/>
          <w:sz w:val="20"/>
        </w:rPr>
        <w:t> </w:t>
      </w:r>
      <w:r>
        <w:rPr>
          <w:sz w:val="20"/>
        </w:rPr>
        <w:t>al </w:t>
      </w:r>
      <w:r>
        <w:rPr>
          <w:spacing w:val="-2"/>
          <w:sz w:val="20"/>
        </w:rPr>
        <w:t>SITU.</w:t>
      </w:r>
    </w:p>
    <w:p>
      <w:pPr>
        <w:pStyle w:val="BodyText"/>
        <w:spacing w:before="2"/>
      </w:pPr>
    </w:p>
    <w:p>
      <w:pPr>
        <w:pStyle w:val="BodyText"/>
        <w:ind w:left="262" w:right="285"/>
        <w:jc w:val="both"/>
      </w:pPr>
      <w:r>
        <w:rPr>
          <w:rFonts w:ascii="Arial" w:hAnsi="Arial"/>
          <w:b/>
        </w:rPr>
        <w:t>ARTÍCULO 70. </w:t>
      </w:r>
      <w:r>
        <w:rPr/>
        <w:t>Una vez formulados y después de haber sido sometidos a consulta pública, los proyectos de programas, sus modificaciones o actualización, deberán contener los elementos y características que se prevén en esta Ley, y serán de cumplimiento obligatorio.</w:t>
      </w:r>
    </w:p>
    <w:p>
      <w:pPr>
        <w:pStyle w:val="BodyText"/>
      </w:pPr>
    </w:p>
    <w:p>
      <w:pPr>
        <w:pStyle w:val="BodyText"/>
        <w:ind w:left="262" w:right="285"/>
        <w:jc w:val="both"/>
      </w:pPr>
      <w:r>
        <w:rPr/>
        <w:t>El Programa Estatal será actualizado cada seis años; los municipales y de zonas metropolitanas y conurbadas</w:t>
      </w:r>
      <w:r>
        <w:rPr>
          <w:spacing w:val="-12"/>
        </w:rPr>
        <w:t> </w:t>
      </w:r>
      <w:r>
        <w:rPr/>
        <w:t>deberán</w:t>
      </w:r>
      <w:r>
        <w:rPr>
          <w:spacing w:val="-13"/>
        </w:rPr>
        <w:t> </w:t>
      </w:r>
      <w:r>
        <w:rPr/>
        <w:t>revisarse</w:t>
      </w:r>
      <w:r>
        <w:rPr>
          <w:spacing w:val="-13"/>
        </w:rPr>
        <w:t> </w:t>
      </w:r>
      <w:r>
        <w:rPr/>
        <w:t>cada</w:t>
      </w:r>
      <w:r>
        <w:rPr>
          <w:spacing w:val="-13"/>
        </w:rPr>
        <w:t> </w:t>
      </w:r>
      <w:r>
        <w:rPr/>
        <w:t>tres</w:t>
      </w:r>
      <w:r>
        <w:rPr>
          <w:spacing w:val="-10"/>
        </w:rPr>
        <w:t> </w:t>
      </w:r>
      <w:r>
        <w:rPr/>
        <w:t>años</w:t>
      </w:r>
      <w:r>
        <w:rPr>
          <w:spacing w:val="-10"/>
        </w:rPr>
        <w:t> </w:t>
      </w:r>
      <w:r>
        <w:rPr/>
        <w:t>para</w:t>
      </w:r>
      <w:r>
        <w:rPr>
          <w:spacing w:val="-13"/>
        </w:rPr>
        <w:t> </w:t>
      </w:r>
      <w:r>
        <w:rPr/>
        <w:t>su</w:t>
      </w:r>
      <w:r>
        <w:rPr>
          <w:spacing w:val="-9"/>
        </w:rPr>
        <w:t> </w:t>
      </w:r>
      <w:r>
        <w:rPr/>
        <w:t>actualización;</w:t>
      </w:r>
      <w:r>
        <w:rPr>
          <w:spacing w:val="-11"/>
        </w:rPr>
        <w:t> </w:t>
      </w:r>
      <w:r>
        <w:rPr/>
        <w:t>igualmente</w:t>
      </w:r>
      <w:r>
        <w:rPr>
          <w:spacing w:val="-11"/>
        </w:rPr>
        <w:t> </w:t>
      </w:r>
      <w:r>
        <w:rPr/>
        <w:t>podrán</w:t>
      </w:r>
      <w:r>
        <w:rPr>
          <w:spacing w:val="-11"/>
        </w:rPr>
        <w:t> </w:t>
      </w:r>
      <w:r>
        <w:rPr/>
        <w:t>actualizarse o modificarse cuando:</w:t>
      </w:r>
    </w:p>
    <w:p>
      <w:pPr>
        <w:pStyle w:val="ListParagraph"/>
        <w:numPr>
          <w:ilvl w:val="0"/>
          <w:numId w:val="36"/>
        </w:numPr>
        <w:tabs>
          <w:tab w:pos="543" w:val="left" w:leader="none"/>
        </w:tabs>
        <w:spacing w:line="240" w:lineRule="auto" w:before="229" w:after="0"/>
        <w:ind w:left="543" w:right="0" w:hanging="281"/>
        <w:jc w:val="both"/>
        <w:rPr>
          <w:sz w:val="20"/>
        </w:rPr>
      </w:pPr>
      <w:r>
        <w:rPr>
          <w:sz w:val="20"/>
        </w:rPr>
        <w:t>Exista</w:t>
      </w:r>
      <w:r>
        <w:rPr>
          <w:spacing w:val="-9"/>
          <w:sz w:val="20"/>
        </w:rPr>
        <w:t> </w:t>
      </w:r>
      <w:r>
        <w:rPr>
          <w:sz w:val="20"/>
        </w:rPr>
        <w:t>una</w:t>
      </w:r>
      <w:r>
        <w:rPr>
          <w:spacing w:val="-8"/>
          <w:sz w:val="20"/>
        </w:rPr>
        <w:t> </w:t>
      </w:r>
      <w:r>
        <w:rPr>
          <w:sz w:val="20"/>
        </w:rPr>
        <w:t>variación</w:t>
      </w:r>
      <w:r>
        <w:rPr>
          <w:spacing w:val="-7"/>
          <w:sz w:val="20"/>
        </w:rPr>
        <w:t> </w:t>
      </w:r>
      <w:r>
        <w:rPr>
          <w:sz w:val="20"/>
        </w:rPr>
        <w:t>sustancial</w:t>
      </w:r>
      <w:r>
        <w:rPr>
          <w:spacing w:val="-7"/>
          <w:sz w:val="20"/>
        </w:rPr>
        <w:t> </w:t>
      </w:r>
      <w:r>
        <w:rPr>
          <w:sz w:val="20"/>
        </w:rPr>
        <w:t>en</w:t>
      </w:r>
      <w:r>
        <w:rPr>
          <w:spacing w:val="-7"/>
          <w:sz w:val="20"/>
        </w:rPr>
        <w:t> </w:t>
      </w:r>
      <w:r>
        <w:rPr>
          <w:sz w:val="20"/>
        </w:rPr>
        <w:t>las</w:t>
      </w:r>
      <w:r>
        <w:rPr>
          <w:spacing w:val="-6"/>
          <w:sz w:val="20"/>
        </w:rPr>
        <w:t> </w:t>
      </w:r>
      <w:r>
        <w:rPr>
          <w:sz w:val="20"/>
        </w:rPr>
        <w:t>condiciones</w:t>
      </w:r>
      <w:r>
        <w:rPr>
          <w:spacing w:val="-7"/>
          <w:sz w:val="20"/>
        </w:rPr>
        <w:t> </w:t>
      </w:r>
      <w:r>
        <w:rPr>
          <w:sz w:val="20"/>
        </w:rPr>
        <w:t>que</w:t>
      </w:r>
      <w:r>
        <w:rPr>
          <w:spacing w:val="-6"/>
          <w:sz w:val="20"/>
        </w:rPr>
        <w:t> </w:t>
      </w:r>
      <w:r>
        <w:rPr>
          <w:sz w:val="20"/>
        </w:rPr>
        <w:t>le</w:t>
      </w:r>
      <w:r>
        <w:rPr>
          <w:spacing w:val="-8"/>
          <w:sz w:val="20"/>
        </w:rPr>
        <w:t> </w:t>
      </w:r>
      <w:r>
        <w:rPr>
          <w:sz w:val="20"/>
        </w:rPr>
        <w:t>dieron</w:t>
      </w:r>
      <w:r>
        <w:rPr>
          <w:spacing w:val="-7"/>
          <w:sz w:val="20"/>
        </w:rPr>
        <w:t> </w:t>
      </w:r>
      <w:r>
        <w:rPr>
          <w:spacing w:val="-2"/>
          <w:sz w:val="20"/>
        </w:rPr>
        <w:t>origen;</w:t>
      </w:r>
    </w:p>
    <w:p>
      <w:pPr>
        <w:pStyle w:val="BodyText"/>
        <w:spacing w:before="1"/>
      </w:pPr>
    </w:p>
    <w:p>
      <w:pPr>
        <w:pStyle w:val="ListParagraph"/>
        <w:numPr>
          <w:ilvl w:val="0"/>
          <w:numId w:val="36"/>
        </w:numPr>
        <w:tabs>
          <w:tab w:pos="543" w:val="left" w:leader="none"/>
        </w:tabs>
        <w:spacing w:line="240" w:lineRule="auto" w:before="0" w:after="0"/>
        <w:ind w:left="543" w:right="0" w:hanging="281"/>
        <w:jc w:val="both"/>
        <w:rPr>
          <w:sz w:val="20"/>
        </w:rPr>
      </w:pPr>
      <w:r>
        <w:rPr>
          <w:sz w:val="20"/>
        </w:rPr>
        <w:t>Se</w:t>
      </w:r>
      <w:r>
        <w:rPr>
          <w:spacing w:val="-8"/>
          <w:sz w:val="20"/>
        </w:rPr>
        <w:t> </w:t>
      </w:r>
      <w:r>
        <w:rPr>
          <w:sz w:val="20"/>
        </w:rPr>
        <w:t>produzcan</w:t>
      </w:r>
      <w:r>
        <w:rPr>
          <w:spacing w:val="-9"/>
          <w:sz w:val="20"/>
        </w:rPr>
        <w:t> </w:t>
      </w:r>
      <w:r>
        <w:rPr>
          <w:sz w:val="20"/>
        </w:rPr>
        <w:t>cambios</w:t>
      </w:r>
      <w:r>
        <w:rPr>
          <w:spacing w:val="-7"/>
          <w:sz w:val="20"/>
        </w:rPr>
        <w:t> </w:t>
      </w:r>
      <w:r>
        <w:rPr>
          <w:sz w:val="20"/>
        </w:rPr>
        <w:t>en</w:t>
      </w:r>
      <w:r>
        <w:rPr>
          <w:spacing w:val="-6"/>
          <w:sz w:val="20"/>
        </w:rPr>
        <w:t> </w:t>
      </w:r>
      <w:r>
        <w:rPr>
          <w:sz w:val="20"/>
        </w:rPr>
        <w:t>el</w:t>
      </w:r>
      <w:r>
        <w:rPr>
          <w:spacing w:val="-9"/>
          <w:sz w:val="20"/>
        </w:rPr>
        <w:t> </w:t>
      </w:r>
      <w:r>
        <w:rPr>
          <w:sz w:val="20"/>
        </w:rPr>
        <w:t>aspecto</w:t>
      </w:r>
      <w:r>
        <w:rPr>
          <w:spacing w:val="-9"/>
          <w:sz w:val="20"/>
        </w:rPr>
        <w:t> </w:t>
      </w:r>
      <w:r>
        <w:rPr>
          <w:sz w:val="20"/>
        </w:rPr>
        <w:t>financiero</w:t>
      </w:r>
      <w:r>
        <w:rPr>
          <w:spacing w:val="-5"/>
          <w:sz w:val="20"/>
        </w:rPr>
        <w:t> </w:t>
      </w:r>
      <w:r>
        <w:rPr>
          <w:sz w:val="20"/>
        </w:rPr>
        <w:t>que</w:t>
      </w:r>
      <w:r>
        <w:rPr>
          <w:spacing w:val="-8"/>
          <w:sz w:val="20"/>
        </w:rPr>
        <w:t> </w:t>
      </w:r>
      <w:r>
        <w:rPr>
          <w:sz w:val="20"/>
        </w:rPr>
        <w:t>los</w:t>
      </w:r>
      <w:r>
        <w:rPr>
          <w:spacing w:val="-7"/>
          <w:sz w:val="20"/>
        </w:rPr>
        <w:t> </w:t>
      </w:r>
      <w:r>
        <w:rPr>
          <w:sz w:val="20"/>
        </w:rPr>
        <w:t>hagan</w:t>
      </w:r>
      <w:r>
        <w:rPr>
          <w:spacing w:val="-8"/>
          <w:sz w:val="20"/>
        </w:rPr>
        <w:t> </w:t>
      </w:r>
      <w:r>
        <w:rPr>
          <w:sz w:val="20"/>
        </w:rPr>
        <w:t>irrealizables</w:t>
      </w:r>
      <w:r>
        <w:rPr>
          <w:spacing w:val="-7"/>
          <w:sz w:val="20"/>
        </w:rPr>
        <w:t> </w:t>
      </w:r>
      <w:r>
        <w:rPr>
          <w:sz w:val="20"/>
        </w:rPr>
        <w:t>o</w:t>
      </w:r>
      <w:r>
        <w:rPr>
          <w:spacing w:val="-6"/>
          <w:sz w:val="20"/>
        </w:rPr>
        <w:t> </w:t>
      </w:r>
      <w:r>
        <w:rPr>
          <w:sz w:val="20"/>
        </w:rPr>
        <w:t>incosteables,</w:t>
      </w:r>
      <w:r>
        <w:rPr>
          <w:spacing w:val="-8"/>
          <w:sz w:val="20"/>
        </w:rPr>
        <w:t> </w:t>
      </w:r>
      <w:r>
        <w:rPr>
          <w:spacing w:val="-10"/>
          <w:sz w:val="20"/>
        </w:rPr>
        <w:t>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36"/>
        </w:numPr>
        <w:tabs>
          <w:tab w:pos="597" w:val="left" w:leader="none"/>
        </w:tabs>
        <w:spacing w:line="240" w:lineRule="auto" w:before="0" w:after="0"/>
        <w:ind w:left="597" w:right="0" w:hanging="335"/>
        <w:jc w:val="both"/>
        <w:rPr>
          <w:sz w:val="20"/>
        </w:rPr>
      </w:pPr>
      <w:r>
        <w:rPr>
          <w:sz w:val="20"/>
        </w:rPr>
        <w:t>Sobrevenga</w:t>
      </w:r>
      <w:r>
        <w:rPr>
          <w:spacing w:val="-8"/>
          <w:sz w:val="20"/>
        </w:rPr>
        <w:t> </w:t>
      </w:r>
      <w:r>
        <w:rPr>
          <w:sz w:val="20"/>
        </w:rPr>
        <w:t>otra</w:t>
      </w:r>
      <w:r>
        <w:rPr>
          <w:spacing w:val="-6"/>
          <w:sz w:val="20"/>
        </w:rPr>
        <w:t> </w:t>
      </w:r>
      <w:r>
        <w:rPr>
          <w:sz w:val="20"/>
        </w:rPr>
        <w:t>causa</w:t>
      </w:r>
      <w:r>
        <w:rPr>
          <w:spacing w:val="-7"/>
          <w:sz w:val="20"/>
        </w:rPr>
        <w:t> </w:t>
      </w:r>
      <w:r>
        <w:rPr>
          <w:sz w:val="20"/>
        </w:rPr>
        <w:t>significativa</w:t>
      </w:r>
      <w:r>
        <w:rPr>
          <w:spacing w:val="-6"/>
          <w:sz w:val="20"/>
        </w:rPr>
        <w:t> </w:t>
      </w:r>
      <w:r>
        <w:rPr>
          <w:sz w:val="20"/>
        </w:rPr>
        <w:t>que</w:t>
      </w:r>
      <w:r>
        <w:rPr>
          <w:spacing w:val="-6"/>
          <w:sz w:val="20"/>
        </w:rPr>
        <w:t> </w:t>
      </w:r>
      <w:r>
        <w:rPr>
          <w:sz w:val="20"/>
        </w:rPr>
        <w:t>así</w:t>
      </w:r>
      <w:r>
        <w:rPr>
          <w:spacing w:val="-7"/>
          <w:sz w:val="20"/>
        </w:rPr>
        <w:t> </w:t>
      </w:r>
      <w:r>
        <w:rPr>
          <w:sz w:val="20"/>
        </w:rPr>
        <w:t>lo</w:t>
      </w:r>
      <w:r>
        <w:rPr>
          <w:spacing w:val="-8"/>
          <w:sz w:val="20"/>
        </w:rPr>
        <w:t> </w:t>
      </w:r>
      <w:r>
        <w:rPr>
          <w:spacing w:val="-2"/>
          <w:sz w:val="20"/>
        </w:rPr>
        <w:t>amerite.</w:t>
      </w:r>
    </w:p>
    <w:p>
      <w:pPr>
        <w:pStyle w:val="BodyText"/>
        <w:spacing w:before="1"/>
      </w:pPr>
    </w:p>
    <w:p>
      <w:pPr>
        <w:pStyle w:val="BodyText"/>
        <w:ind w:left="262" w:right="282"/>
        <w:jc w:val="both"/>
      </w:pPr>
      <w:r>
        <w:rPr/>
        <w:t>La actualización o modificación de los programas de ordenamiento territorial y desarrollo urbano, podrá ser</w:t>
      </w:r>
      <w:r>
        <w:rPr>
          <w:spacing w:val="-1"/>
        </w:rPr>
        <w:t> </w:t>
      </w:r>
      <w:r>
        <w:rPr/>
        <w:t>solicitada por escrito</w:t>
      </w:r>
      <w:r>
        <w:rPr>
          <w:spacing w:val="-2"/>
        </w:rPr>
        <w:t> </w:t>
      </w:r>
      <w:r>
        <w:rPr/>
        <w:t>a la autoridad que lo haya</w:t>
      </w:r>
      <w:r>
        <w:rPr>
          <w:spacing w:val="-2"/>
        </w:rPr>
        <w:t> </w:t>
      </w:r>
      <w:r>
        <w:rPr/>
        <w:t>aprobado, por el</w:t>
      </w:r>
      <w:r>
        <w:rPr>
          <w:spacing w:val="-1"/>
        </w:rPr>
        <w:t> </w:t>
      </w:r>
      <w:r>
        <w:rPr/>
        <w:t>Gobernador del</w:t>
      </w:r>
      <w:r>
        <w:rPr>
          <w:spacing w:val="-1"/>
        </w:rPr>
        <w:t> </w:t>
      </w:r>
      <w:r>
        <w:rPr/>
        <w:t>Estado, los ayuntamientos cuando tengan efectos en el territorio de su jurisdicción, las dependencias y entidades de la administración pública estatal y municipal encargadas de ejecutar las acciones previstas en los programa;, los institutos de planeación, así como los organismos de participación social y de consulta.</w:t>
      </w:r>
    </w:p>
    <w:p>
      <w:pPr>
        <w:pStyle w:val="BodyText"/>
        <w:spacing w:before="1"/>
      </w:pPr>
    </w:p>
    <w:p>
      <w:pPr>
        <w:pStyle w:val="BodyText"/>
        <w:ind w:left="262" w:right="286"/>
        <w:jc w:val="both"/>
      </w:pPr>
      <w:r>
        <w:rPr/>
        <w:t>Serán nulas de pleno derecho las aprobaciones, modificaciones o actualización de programas que se</w:t>
      </w:r>
      <w:r>
        <w:rPr>
          <w:spacing w:val="-3"/>
        </w:rPr>
        <w:t> </w:t>
      </w:r>
      <w:r>
        <w:rPr/>
        <w:t>realicen</w:t>
      </w:r>
      <w:r>
        <w:rPr>
          <w:spacing w:val="-1"/>
        </w:rPr>
        <w:t> </w:t>
      </w:r>
      <w:r>
        <w:rPr/>
        <w:t>sin</w:t>
      </w:r>
      <w:r>
        <w:rPr>
          <w:spacing w:val="-1"/>
        </w:rPr>
        <w:t> </w:t>
      </w:r>
      <w:r>
        <w:rPr/>
        <w:t>atender</w:t>
      </w:r>
      <w:r>
        <w:rPr>
          <w:spacing w:val="-3"/>
        </w:rPr>
        <w:t> </w:t>
      </w:r>
      <w:r>
        <w:rPr/>
        <w:t>al</w:t>
      </w:r>
      <w:r>
        <w:rPr>
          <w:spacing w:val="-2"/>
        </w:rPr>
        <w:t> </w:t>
      </w:r>
      <w:r>
        <w:rPr/>
        <w:t>procedimiento</w:t>
      </w:r>
      <w:r>
        <w:rPr>
          <w:spacing w:val="-1"/>
        </w:rPr>
        <w:t> </w:t>
      </w:r>
      <w:r>
        <w:rPr/>
        <w:t>que</w:t>
      </w:r>
      <w:r>
        <w:rPr>
          <w:spacing w:val="-3"/>
        </w:rPr>
        <w:t> </w:t>
      </w:r>
      <w:r>
        <w:rPr/>
        <w:t>se</w:t>
      </w:r>
      <w:r>
        <w:rPr>
          <w:spacing w:val="-1"/>
        </w:rPr>
        <w:t> </w:t>
      </w:r>
      <w:r>
        <w:rPr/>
        <w:t>dispone</w:t>
      </w:r>
      <w:r>
        <w:rPr>
          <w:spacing w:val="-3"/>
        </w:rPr>
        <w:t> </w:t>
      </w:r>
      <w:r>
        <w:rPr/>
        <w:t>en</w:t>
      </w:r>
      <w:r>
        <w:rPr>
          <w:spacing w:val="-3"/>
        </w:rPr>
        <w:t> </w:t>
      </w:r>
      <w:r>
        <w:rPr/>
        <w:t>el</w:t>
      </w:r>
      <w:r>
        <w:rPr>
          <w:spacing w:val="-2"/>
        </w:rPr>
        <w:t> </w:t>
      </w:r>
      <w:r>
        <w:rPr/>
        <w:t>artículo</w:t>
      </w:r>
      <w:r>
        <w:rPr>
          <w:spacing w:val="40"/>
        </w:rPr>
        <w:t> </w:t>
      </w:r>
      <w:r>
        <w:rPr/>
        <w:t>69</w:t>
      </w:r>
      <w:r>
        <w:rPr>
          <w:spacing w:val="-1"/>
        </w:rPr>
        <w:t> </w:t>
      </w:r>
      <w:r>
        <w:rPr/>
        <w:t>y</w:t>
      </w:r>
      <w:r>
        <w:rPr>
          <w:spacing w:val="-2"/>
        </w:rPr>
        <w:t> </w:t>
      </w:r>
      <w:r>
        <w:rPr/>
        <w:t>demás</w:t>
      </w:r>
      <w:r>
        <w:rPr>
          <w:spacing w:val="-2"/>
        </w:rPr>
        <w:t> </w:t>
      </w:r>
      <w:r>
        <w:rPr/>
        <w:t>relativos</w:t>
      </w:r>
      <w:r>
        <w:rPr>
          <w:spacing w:val="-2"/>
        </w:rPr>
        <w:t> </w:t>
      </w:r>
      <w:r>
        <w:rPr/>
        <w:t>de</w:t>
      </w:r>
      <w:r>
        <w:rPr>
          <w:spacing w:val="-3"/>
        </w:rPr>
        <w:t> </w:t>
      </w:r>
      <w:r>
        <w:rPr/>
        <w:t>esta </w:t>
      </w:r>
      <w:r>
        <w:rPr>
          <w:spacing w:val="-4"/>
        </w:rPr>
        <w:t>Ley.</w:t>
      </w:r>
    </w:p>
    <w:p>
      <w:pPr>
        <w:pStyle w:val="BodyText"/>
        <w:spacing w:before="230"/>
        <w:ind w:left="262" w:right="289"/>
        <w:jc w:val="both"/>
      </w:pPr>
      <w:r>
        <w:rPr/>
        <w:t>Los programas de ordenamiento territorial y desarrollo urbano entrarán en vigor al día siguiente de su publicación en el Periódico Oficial del Estado.</w:t>
      </w:r>
    </w:p>
    <w:p>
      <w:pPr>
        <w:pStyle w:val="BodyText"/>
        <w:spacing w:before="229"/>
      </w:pPr>
    </w:p>
    <w:p>
      <w:pPr>
        <w:pStyle w:val="Heading2"/>
        <w:ind w:right="15"/>
      </w:pPr>
      <w:r>
        <w:rPr/>
        <w:t>Capítulo</w:t>
      </w:r>
      <w:r>
        <w:rPr>
          <w:spacing w:val="-8"/>
        </w:rPr>
        <w:t> </w:t>
      </w:r>
      <w:r>
        <w:rPr>
          <w:spacing w:val="-5"/>
        </w:rPr>
        <w:t>II</w:t>
      </w:r>
    </w:p>
    <w:p>
      <w:pPr>
        <w:pStyle w:val="BodyText"/>
        <w:spacing w:before="1"/>
        <w:rPr>
          <w:rFonts w:ascii="Arial"/>
          <w:b/>
        </w:rPr>
      </w:pPr>
    </w:p>
    <w:p>
      <w:pPr>
        <w:spacing w:before="0"/>
        <w:ind w:left="0" w:right="23" w:firstLine="0"/>
        <w:jc w:val="center"/>
        <w:rPr>
          <w:rFonts w:ascii="Arial"/>
          <w:b/>
          <w:sz w:val="20"/>
        </w:rPr>
      </w:pPr>
      <w:r>
        <w:rPr>
          <w:rFonts w:ascii="Arial"/>
          <w:b/>
          <w:sz w:val="20"/>
        </w:rPr>
        <w:t>Programa</w:t>
      </w:r>
      <w:r>
        <w:rPr>
          <w:rFonts w:ascii="Arial"/>
          <w:b/>
          <w:spacing w:val="-8"/>
          <w:sz w:val="20"/>
        </w:rPr>
        <w:t> </w:t>
      </w:r>
      <w:r>
        <w:rPr>
          <w:rFonts w:ascii="Arial"/>
          <w:b/>
          <w:sz w:val="20"/>
        </w:rPr>
        <w:t>Estatal</w:t>
      </w:r>
      <w:r>
        <w:rPr>
          <w:rFonts w:ascii="Arial"/>
          <w:b/>
          <w:spacing w:val="-8"/>
          <w:sz w:val="20"/>
        </w:rPr>
        <w:t> </w:t>
      </w:r>
      <w:r>
        <w:rPr>
          <w:rFonts w:ascii="Arial"/>
          <w:b/>
          <w:sz w:val="20"/>
        </w:rPr>
        <w:t>de</w:t>
      </w:r>
      <w:r>
        <w:rPr>
          <w:rFonts w:ascii="Arial"/>
          <w:b/>
          <w:spacing w:val="-9"/>
          <w:sz w:val="20"/>
        </w:rPr>
        <w:t> </w:t>
      </w:r>
      <w:r>
        <w:rPr>
          <w:rFonts w:ascii="Arial"/>
          <w:b/>
          <w:sz w:val="20"/>
        </w:rPr>
        <w:t>Ordenamiento</w:t>
      </w:r>
      <w:r>
        <w:rPr>
          <w:rFonts w:ascii="Arial"/>
          <w:b/>
          <w:spacing w:val="-8"/>
          <w:sz w:val="20"/>
        </w:rPr>
        <w:t> </w:t>
      </w:r>
      <w:r>
        <w:rPr>
          <w:rFonts w:ascii="Arial"/>
          <w:b/>
          <w:sz w:val="20"/>
        </w:rPr>
        <w:t>Territorial</w:t>
      </w:r>
      <w:r>
        <w:rPr>
          <w:rFonts w:ascii="Arial"/>
          <w:b/>
          <w:spacing w:val="-9"/>
          <w:sz w:val="20"/>
        </w:rPr>
        <w:t> </w:t>
      </w:r>
      <w:r>
        <w:rPr>
          <w:rFonts w:ascii="Arial"/>
          <w:b/>
          <w:sz w:val="20"/>
        </w:rPr>
        <w:t>y</w:t>
      </w:r>
      <w:r>
        <w:rPr>
          <w:rFonts w:ascii="Arial"/>
          <w:b/>
          <w:spacing w:val="-7"/>
          <w:sz w:val="20"/>
        </w:rPr>
        <w:t> </w:t>
      </w:r>
      <w:r>
        <w:rPr>
          <w:rFonts w:ascii="Arial"/>
          <w:b/>
          <w:sz w:val="20"/>
        </w:rPr>
        <w:t>Desarrollo</w:t>
      </w:r>
      <w:r>
        <w:rPr>
          <w:rFonts w:ascii="Arial"/>
          <w:b/>
          <w:spacing w:val="-9"/>
          <w:sz w:val="20"/>
        </w:rPr>
        <w:t> </w:t>
      </w:r>
      <w:r>
        <w:rPr>
          <w:rFonts w:ascii="Arial"/>
          <w:b/>
          <w:spacing w:val="-2"/>
          <w:sz w:val="20"/>
        </w:rPr>
        <w:t>Urbano</w:t>
      </w:r>
    </w:p>
    <w:p>
      <w:pPr>
        <w:pStyle w:val="BodyText"/>
        <w:spacing w:before="228"/>
        <w:ind w:left="262" w:right="278"/>
        <w:jc w:val="both"/>
      </w:pPr>
      <w:r>
        <w:rPr>
          <w:rFonts w:ascii="Arial" w:hAnsi="Arial"/>
          <w:b/>
        </w:rPr>
        <w:t>ARTÍCULO 71. </w:t>
      </w:r>
      <w:r>
        <w:rPr/>
        <w:t>El Programa Estatal de Ordenamiento Territorial y Desarrollo Urbano es el documento</w:t>
      </w:r>
      <w:r>
        <w:rPr>
          <w:spacing w:val="-7"/>
        </w:rPr>
        <w:t> </w:t>
      </w:r>
      <w:r>
        <w:rPr/>
        <w:t>rector</w:t>
      </w:r>
      <w:r>
        <w:rPr>
          <w:spacing w:val="-6"/>
        </w:rPr>
        <w:t> </w:t>
      </w:r>
      <w:r>
        <w:rPr/>
        <w:t>de</w:t>
      </w:r>
      <w:r>
        <w:rPr>
          <w:spacing w:val="-7"/>
        </w:rPr>
        <w:t> </w:t>
      </w:r>
      <w:r>
        <w:rPr/>
        <w:t>esta</w:t>
      </w:r>
      <w:r>
        <w:rPr>
          <w:spacing w:val="-7"/>
        </w:rPr>
        <w:t> </w:t>
      </w:r>
      <w:r>
        <w:rPr/>
        <w:t>materia</w:t>
      </w:r>
      <w:r>
        <w:rPr>
          <w:spacing w:val="-7"/>
        </w:rPr>
        <w:t> </w:t>
      </w:r>
      <w:r>
        <w:rPr/>
        <w:t>en</w:t>
      </w:r>
      <w:r>
        <w:rPr>
          <w:spacing w:val="-7"/>
        </w:rPr>
        <w:t> </w:t>
      </w:r>
      <w:r>
        <w:rPr/>
        <w:t>el</w:t>
      </w:r>
      <w:r>
        <w:rPr>
          <w:spacing w:val="-7"/>
        </w:rPr>
        <w:t> </w:t>
      </w:r>
      <w:r>
        <w:rPr/>
        <w:t>Estado,</w:t>
      </w:r>
      <w:r>
        <w:rPr>
          <w:spacing w:val="-6"/>
        </w:rPr>
        <w:t> </w:t>
      </w:r>
      <w:r>
        <w:rPr/>
        <w:t>donde</w:t>
      </w:r>
      <w:r>
        <w:rPr>
          <w:spacing w:val="-7"/>
        </w:rPr>
        <w:t> </w:t>
      </w:r>
      <w:r>
        <w:rPr/>
        <w:t>se</w:t>
      </w:r>
      <w:r>
        <w:rPr>
          <w:spacing w:val="-7"/>
        </w:rPr>
        <w:t> </w:t>
      </w:r>
      <w:r>
        <w:rPr/>
        <w:t>integran</w:t>
      </w:r>
      <w:r>
        <w:rPr>
          <w:spacing w:val="-7"/>
        </w:rPr>
        <w:t> </w:t>
      </w:r>
      <w:r>
        <w:rPr/>
        <w:t>el</w:t>
      </w:r>
      <w:r>
        <w:rPr>
          <w:spacing w:val="-8"/>
        </w:rPr>
        <w:t> </w:t>
      </w:r>
      <w:r>
        <w:rPr/>
        <w:t>conjunto</w:t>
      </w:r>
      <w:r>
        <w:rPr>
          <w:spacing w:val="-7"/>
        </w:rPr>
        <w:t> </w:t>
      </w:r>
      <w:r>
        <w:rPr/>
        <w:t>de</w:t>
      </w:r>
      <w:r>
        <w:rPr>
          <w:spacing w:val="-5"/>
        </w:rPr>
        <w:t> </w:t>
      </w:r>
      <w:r>
        <w:rPr/>
        <w:t>estudios,</w:t>
      </w:r>
      <w:r>
        <w:rPr>
          <w:spacing w:val="-6"/>
        </w:rPr>
        <w:t> </w:t>
      </w:r>
      <w:r>
        <w:rPr/>
        <w:t>políticas, normas técnicas, disposiciones e instrumentos tendentes a promover el desarrollo integral de los asentamientos humanos de la Entidad.</w:t>
      </w:r>
    </w:p>
    <w:p>
      <w:pPr>
        <w:pStyle w:val="BodyText"/>
        <w:spacing w:before="2"/>
      </w:pPr>
    </w:p>
    <w:p>
      <w:pPr>
        <w:pStyle w:val="BodyText"/>
        <w:spacing w:before="1"/>
        <w:ind w:left="262" w:right="281"/>
        <w:jc w:val="both"/>
      </w:pPr>
      <w:r>
        <w:rPr/>
        <w:t>El</w:t>
      </w:r>
      <w:r>
        <w:rPr>
          <w:spacing w:val="-7"/>
        </w:rPr>
        <w:t> </w:t>
      </w:r>
      <w:r>
        <w:rPr/>
        <w:t>Programa</w:t>
      </w:r>
      <w:r>
        <w:rPr>
          <w:spacing w:val="-7"/>
        </w:rPr>
        <w:t> </w:t>
      </w:r>
      <w:r>
        <w:rPr/>
        <w:t>Estatal</w:t>
      </w:r>
      <w:r>
        <w:rPr>
          <w:spacing w:val="-8"/>
        </w:rPr>
        <w:t> </w:t>
      </w:r>
      <w:r>
        <w:rPr/>
        <w:t>será</w:t>
      </w:r>
      <w:r>
        <w:rPr>
          <w:spacing w:val="-6"/>
        </w:rPr>
        <w:t> </w:t>
      </w:r>
      <w:r>
        <w:rPr/>
        <w:t>actualizado</w:t>
      </w:r>
      <w:r>
        <w:rPr>
          <w:spacing w:val="-7"/>
        </w:rPr>
        <w:t> </w:t>
      </w:r>
      <w:r>
        <w:rPr/>
        <w:t>cada</w:t>
      </w:r>
      <w:r>
        <w:rPr>
          <w:spacing w:val="-7"/>
        </w:rPr>
        <w:t> </w:t>
      </w:r>
      <w:r>
        <w:rPr/>
        <w:t>seis</w:t>
      </w:r>
      <w:r>
        <w:rPr>
          <w:spacing w:val="-5"/>
        </w:rPr>
        <w:t> </w:t>
      </w:r>
      <w:r>
        <w:rPr/>
        <w:t>años</w:t>
      </w:r>
      <w:r>
        <w:rPr>
          <w:spacing w:val="-6"/>
        </w:rPr>
        <w:t> </w:t>
      </w:r>
      <w:r>
        <w:rPr/>
        <w:t>por</w:t>
      </w:r>
      <w:r>
        <w:rPr>
          <w:spacing w:val="-6"/>
        </w:rPr>
        <w:t> </w:t>
      </w:r>
      <w:r>
        <w:rPr/>
        <w:t>el</w:t>
      </w:r>
      <w:r>
        <w:rPr>
          <w:spacing w:val="-8"/>
        </w:rPr>
        <w:t> </w:t>
      </w:r>
      <w:r>
        <w:rPr/>
        <w:t>titular</w:t>
      </w:r>
      <w:r>
        <w:rPr>
          <w:spacing w:val="-6"/>
        </w:rPr>
        <w:t> </w:t>
      </w:r>
      <w:r>
        <w:rPr/>
        <w:t>del</w:t>
      </w:r>
      <w:r>
        <w:rPr>
          <w:spacing w:val="-5"/>
        </w:rPr>
        <w:t> </w:t>
      </w:r>
      <w:r>
        <w:rPr/>
        <w:t>Ejecutivo</w:t>
      </w:r>
      <w:r>
        <w:rPr>
          <w:spacing w:val="-7"/>
        </w:rPr>
        <w:t> </w:t>
      </w:r>
      <w:r>
        <w:rPr/>
        <w:t>del</w:t>
      </w:r>
      <w:r>
        <w:rPr>
          <w:spacing w:val="-6"/>
        </w:rPr>
        <w:t> </w:t>
      </w:r>
      <w:r>
        <w:rPr/>
        <w:t>Estado</w:t>
      </w:r>
      <w:r>
        <w:rPr>
          <w:spacing w:val="-7"/>
        </w:rPr>
        <w:t> </w:t>
      </w:r>
      <w:r>
        <w:rPr/>
        <w:t>dentro</w:t>
      </w:r>
      <w:r>
        <w:rPr>
          <w:spacing w:val="-7"/>
        </w:rPr>
        <w:t> </w:t>
      </w:r>
      <w:r>
        <w:rPr/>
        <w:t>de los</w:t>
      </w:r>
      <w:r>
        <w:rPr>
          <w:spacing w:val="-13"/>
        </w:rPr>
        <w:t> </w:t>
      </w:r>
      <w:r>
        <w:rPr/>
        <w:t>nueve</w:t>
      </w:r>
      <w:r>
        <w:rPr>
          <w:spacing w:val="-12"/>
        </w:rPr>
        <w:t> </w:t>
      </w:r>
      <w:r>
        <w:rPr/>
        <w:t>meses</w:t>
      </w:r>
      <w:r>
        <w:rPr>
          <w:spacing w:val="-13"/>
        </w:rPr>
        <w:t> </w:t>
      </w:r>
      <w:r>
        <w:rPr/>
        <w:t>siguientes</w:t>
      </w:r>
      <w:r>
        <w:rPr>
          <w:spacing w:val="-10"/>
        </w:rPr>
        <w:t> </w:t>
      </w:r>
      <w:r>
        <w:rPr/>
        <w:t>al</w:t>
      </w:r>
      <w:r>
        <w:rPr>
          <w:spacing w:val="-13"/>
        </w:rPr>
        <w:t> </w:t>
      </w:r>
      <w:r>
        <w:rPr/>
        <w:t>inicio</w:t>
      </w:r>
      <w:r>
        <w:rPr>
          <w:spacing w:val="-11"/>
        </w:rPr>
        <w:t> </w:t>
      </w:r>
      <w:r>
        <w:rPr/>
        <w:t>de</w:t>
      </w:r>
      <w:r>
        <w:rPr>
          <w:spacing w:val="-14"/>
        </w:rPr>
        <w:t> </w:t>
      </w:r>
      <w:r>
        <w:rPr/>
        <w:t>su</w:t>
      </w:r>
      <w:r>
        <w:rPr>
          <w:spacing w:val="-12"/>
        </w:rPr>
        <w:t> </w:t>
      </w:r>
      <w:r>
        <w:rPr/>
        <w:t>administración,</w:t>
      </w:r>
      <w:r>
        <w:rPr>
          <w:spacing w:val="-14"/>
        </w:rPr>
        <w:t> </w:t>
      </w:r>
      <w:r>
        <w:rPr/>
        <w:t>con</w:t>
      </w:r>
      <w:r>
        <w:rPr>
          <w:spacing w:val="-11"/>
        </w:rPr>
        <w:t> </w:t>
      </w:r>
      <w:r>
        <w:rPr/>
        <w:t>la</w:t>
      </w:r>
      <w:r>
        <w:rPr>
          <w:spacing w:val="-11"/>
        </w:rPr>
        <w:t> </w:t>
      </w:r>
      <w:r>
        <w:rPr/>
        <w:t>opinión</w:t>
      </w:r>
      <w:r>
        <w:rPr>
          <w:spacing w:val="-12"/>
        </w:rPr>
        <w:t> </w:t>
      </w:r>
      <w:r>
        <w:rPr/>
        <w:t>del</w:t>
      </w:r>
      <w:r>
        <w:rPr>
          <w:spacing w:val="-12"/>
        </w:rPr>
        <w:t> </w:t>
      </w:r>
      <w:r>
        <w:rPr/>
        <w:t>Consejo</w:t>
      </w:r>
      <w:r>
        <w:rPr>
          <w:spacing w:val="-14"/>
        </w:rPr>
        <w:t> </w:t>
      </w:r>
      <w:r>
        <w:rPr/>
        <w:t>Estatal</w:t>
      </w:r>
      <w:r>
        <w:rPr>
          <w:spacing w:val="-13"/>
        </w:rPr>
        <w:t> </w:t>
      </w:r>
      <w:r>
        <w:rPr/>
        <w:t>y</w:t>
      </w:r>
      <w:r>
        <w:rPr>
          <w:spacing w:val="-12"/>
        </w:rPr>
        <w:t> </w:t>
      </w:r>
      <w:r>
        <w:rPr/>
        <w:t>estará sometido a un proceso permanente de control y evaluación. Sus modificaciones se realizarán con las mismas formalidades previstas para su aprobación.</w:t>
      </w:r>
    </w:p>
    <w:p>
      <w:pPr>
        <w:pStyle w:val="BodyText"/>
        <w:spacing w:before="229"/>
        <w:ind w:left="262" w:right="278"/>
        <w:jc w:val="both"/>
      </w:pPr>
      <w:r>
        <w:rPr/>
        <w:t>El Programa Estatal de Ordenamiento Territorial y Desarrollo Urbano, será ejecutado, controlado, evaluado y modificados por la Secretaría, con las formalidades previstas en esta Ley, y en congruencia con las normas oficiales mexicanas en la materia. En los casos en que se encuentre operando el Instituto Estatal de Planeación, la Secretaría se auxiliará de dicho órgano para tales </w:t>
      </w:r>
      <w:r>
        <w:rPr>
          <w:spacing w:val="-2"/>
        </w:rPr>
        <w:t>efectos.</w:t>
      </w:r>
    </w:p>
    <w:p>
      <w:pPr>
        <w:pStyle w:val="BodyText"/>
      </w:pPr>
    </w:p>
    <w:p>
      <w:pPr>
        <w:pStyle w:val="BodyText"/>
        <w:ind w:left="262" w:right="286"/>
        <w:jc w:val="both"/>
      </w:pPr>
      <w:r>
        <w:rPr>
          <w:rFonts w:ascii="Arial" w:hAnsi="Arial"/>
          <w:b/>
        </w:rPr>
        <w:t>ARTÍCULO</w:t>
      </w:r>
      <w:r>
        <w:rPr>
          <w:rFonts w:ascii="Arial" w:hAnsi="Arial"/>
          <w:b/>
          <w:spacing w:val="-11"/>
        </w:rPr>
        <w:t> </w:t>
      </w:r>
      <w:r>
        <w:rPr>
          <w:rFonts w:ascii="Arial" w:hAnsi="Arial"/>
          <w:b/>
        </w:rPr>
        <w:t>72.</w:t>
      </w:r>
      <w:r>
        <w:rPr>
          <w:rFonts w:ascii="Arial" w:hAnsi="Arial"/>
          <w:b/>
          <w:spacing w:val="-12"/>
        </w:rPr>
        <w:t> </w:t>
      </w:r>
      <w:r>
        <w:rPr/>
        <w:t>Los</w:t>
      </w:r>
      <w:r>
        <w:rPr>
          <w:spacing w:val="-11"/>
        </w:rPr>
        <w:t> </w:t>
      </w:r>
      <w:r>
        <w:rPr/>
        <w:t>objetivos</w:t>
      </w:r>
      <w:r>
        <w:rPr>
          <w:spacing w:val="-11"/>
        </w:rPr>
        <w:t> </w:t>
      </w:r>
      <w:r>
        <w:rPr/>
        <w:t>del</w:t>
      </w:r>
      <w:r>
        <w:rPr>
          <w:spacing w:val="-11"/>
        </w:rPr>
        <w:t> </w:t>
      </w:r>
      <w:r>
        <w:rPr/>
        <w:t>Programa</w:t>
      </w:r>
      <w:r>
        <w:rPr>
          <w:spacing w:val="-12"/>
        </w:rPr>
        <w:t> </w:t>
      </w:r>
      <w:r>
        <w:rPr/>
        <w:t>Estatal</w:t>
      </w:r>
      <w:r>
        <w:rPr>
          <w:spacing w:val="-13"/>
        </w:rPr>
        <w:t> </w:t>
      </w:r>
      <w:r>
        <w:rPr/>
        <w:t>de</w:t>
      </w:r>
      <w:r>
        <w:rPr>
          <w:spacing w:val="-8"/>
        </w:rPr>
        <w:t> </w:t>
      </w:r>
      <w:r>
        <w:rPr/>
        <w:t>Ordenamiento</w:t>
      </w:r>
      <w:r>
        <w:rPr>
          <w:spacing w:val="-13"/>
        </w:rPr>
        <w:t> </w:t>
      </w:r>
      <w:r>
        <w:rPr/>
        <w:t>Territorial</w:t>
      </w:r>
      <w:r>
        <w:rPr>
          <w:spacing w:val="-13"/>
        </w:rPr>
        <w:t> </w:t>
      </w:r>
      <w:r>
        <w:rPr/>
        <w:t>y</w:t>
      </w:r>
      <w:r>
        <w:rPr>
          <w:spacing w:val="-9"/>
        </w:rPr>
        <w:t> </w:t>
      </w:r>
      <w:r>
        <w:rPr/>
        <w:t>Desarrollo</w:t>
      </w:r>
      <w:r>
        <w:rPr>
          <w:spacing w:val="-12"/>
        </w:rPr>
        <w:t> </w:t>
      </w:r>
      <w:r>
        <w:rPr/>
        <w:t>Urbano, estarán dirigidos a:</w:t>
      </w:r>
    </w:p>
    <w:p>
      <w:pPr>
        <w:pStyle w:val="BodyText"/>
      </w:pPr>
    </w:p>
    <w:p>
      <w:pPr>
        <w:pStyle w:val="ListParagraph"/>
        <w:numPr>
          <w:ilvl w:val="0"/>
          <w:numId w:val="37"/>
        </w:numPr>
        <w:tabs>
          <w:tab w:pos="543" w:val="left" w:leader="none"/>
        </w:tabs>
        <w:spacing w:line="240" w:lineRule="auto" w:before="0" w:after="0"/>
        <w:ind w:left="262" w:right="282" w:firstLine="0"/>
        <w:jc w:val="both"/>
        <w:rPr>
          <w:sz w:val="20"/>
        </w:rPr>
      </w:pPr>
      <w:r>
        <w:rPr>
          <w:sz w:val="20"/>
        </w:rPr>
        <w:t>Configurar la dimensión geo-espacial del desarrollo del Estado en el largo plazo y, en consecuencia,</w:t>
      </w:r>
      <w:r>
        <w:rPr>
          <w:spacing w:val="-4"/>
          <w:sz w:val="20"/>
        </w:rPr>
        <w:t> </w:t>
      </w:r>
      <w:r>
        <w:rPr>
          <w:sz w:val="20"/>
        </w:rPr>
        <w:t>establecer</w:t>
      </w:r>
      <w:r>
        <w:rPr>
          <w:spacing w:val="-4"/>
          <w:sz w:val="20"/>
        </w:rPr>
        <w:t> </w:t>
      </w:r>
      <w:r>
        <w:rPr>
          <w:sz w:val="20"/>
        </w:rPr>
        <w:t>el</w:t>
      </w:r>
      <w:r>
        <w:rPr>
          <w:spacing w:val="-7"/>
          <w:sz w:val="20"/>
        </w:rPr>
        <w:t> </w:t>
      </w:r>
      <w:r>
        <w:rPr>
          <w:sz w:val="20"/>
        </w:rPr>
        <w:t>marco</w:t>
      </w:r>
      <w:r>
        <w:rPr>
          <w:spacing w:val="-4"/>
          <w:sz w:val="20"/>
        </w:rPr>
        <w:t> </w:t>
      </w:r>
      <w:r>
        <w:rPr>
          <w:sz w:val="20"/>
        </w:rPr>
        <w:t>básico</w:t>
      </w:r>
      <w:r>
        <w:rPr>
          <w:spacing w:val="-5"/>
          <w:sz w:val="20"/>
        </w:rPr>
        <w:t> </w:t>
      </w:r>
      <w:r>
        <w:rPr>
          <w:sz w:val="20"/>
        </w:rPr>
        <w:t>de</w:t>
      </w:r>
      <w:r>
        <w:rPr>
          <w:spacing w:val="-5"/>
          <w:sz w:val="20"/>
        </w:rPr>
        <w:t> </w:t>
      </w:r>
      <w:r>
        <w:rPr>
          <w:sz w:val="20"/>
        </w:rPr>
        <w:t>referencia</w:t>
      </w:r>
      <w:r>
        <w:rPr>
          <w:spacing w:val="-7"/>
          <w:sz w:val="20"/>
        </w:rPr>
        <w:t> </w:t>
      </w:r>
      <w:r>
        <w:rPr>
          <w:sz w:val="20"/>
        </w:rPr>
        <w:t>y</w:t>
      </w:r>
      <w:r>
        <w:rPr>
          <w:spacing w:val="-5"/>
          <w:sz w:val="20"/>
        </w:rPr>
        <w:t> </w:t>
      </w:r>
      <w:r>
        <w:rPr>
          <w:sz w:val="20"/>
        </w:rPr>
        <w:t>congruencia</w:t>
      </w:r>
      <w:r>
        <w:rPr>
          <w:spacing w:val="-5"/>
          <w:sz w:val="20"/>
        </w:rPr>
        <w:t> </w:t>
      </w:r>
      <w:r>
        <w:rPr>
          <w:sz w:val="20"/>
        </w:rPr>
        <w:t>territorial</w:t>
      </w:r>
      <w:r>
        <w:rPr>
          <w:spacing w:val="-5"/>
          <w:sz w:val="20"/>
        </w:rPr>
        <w:t> </w:t>
      </w:r>
      <w:r>
        <w:rPr>
          <w:sz w:val="20"/>
        </w:rPr>
        <w:t>del</w:t>
      </w:r>
      <w:r>
        <w:rPr>
          <w:spacing w:val="-5"/>
          <w:sz w:val="20"/>
        </w:rPr>
        <w:t> </w:t>
      </w:r>
      <w:r>
        <w:rPr>
          <w:sz w:val="20"/>
        </w:rPr>
        <w:t>Plan</w:t>
      </w:r>
      <w:r>
        <w:rPr>
          <w:spacing w:val="-5"/>
          <w:sz w:val="20"/>
        </w:rPr>
        <w:t> </w:t>
      </w:r>
      <w:r>
        <w:rPr>
          <w:sz w:val="20"/>
        </w:rPr>
        <w:t>Nacional</w:t>
      </w:r>
      <w:r>
        <w:rPr>
          <w:spacing w:val="-6"/>
          <w:sz w:val="20"/>
        </w:rPr>
        <w:t> </w:t>
      </w:r>
      <w:r>
        <w:rPr>
          <w:sz w:val="20"/>
        </w:rPr>
        <w:t>y Estatal de Desarrollo y demás programas de la Entidad;</w:t>
      </w:r>
    </w:p>
    <w:p>
      <w:pPr>
        <w:pStyle w:val="ListParagraph"/>
        <w:numPr>
          <w:ilvl w:val="0"/>
          <w:numId w:val="37"/>
        </w:numPr>
        <w:tabs>
          <w:tab w:pos="543" w:val="left" w:leader="none"/>
        </w:tabs>
        <w:spacing w:line="240" w:lineRule="auto" w:before="229" w:after="0"/>
        <w:ind w:left="262" w:right="285" w:firstLine="0"/>
        <w:jc w:val="both"/>
        <w:rPr>
          <w:sz w:val="20"/>
        </w:rPr>
      </w:pPr>
      <w:r>
        <w:rPr>
          <w:sz w:val="20"/>
        </w:rPr>
        <w:t>Aplicar</w:t>
      </w:r>
      <w:r>
        <w:rPr>
          <w:spacing w:val="-10"/>
          <w:sz w:val="20"/>
        </w:rPr>
        <w:t> </w:t>
      </w:r>
      <w:r>
        <w:rPr>
          <w:sz w:val="20"/>
        </w:rPr>
        <w:t>un</w:t>
      </w:r>
      <w:r>
        <w:rPr>
          <w:spacing w:val="-11"/>
          <w:sz w:val="20"/>
        </w:rPr>
        <w:t> </w:t>
      </w:r>
      <w:r>
        <w:rPr>
          <w:sz w:val="20"/>
        </w:rPr>
        <w:t>enfoque</w:t>
      </w:r>
      <w:r>
        <w:rPr>
          <w:spacing w:val="-12"/>
          <w:sz w:val="20"/>
        </w:rPr>
        <w:t> </w:t>
      </w:r>
      <w:r>
        <w:rPr>
          <w:sz w:val="20"/>
        </w:rPr>
        <w:t>territorial</w:t>
      </w:r>
      <w:r>
        <w:rPr>
          <w:spacing w:val="-12"/>
          <w:sz w:val="20"/>
        </w:rPr>
        <w:t> </w:t>
      </w:r>
      <w:r>
        <w:rPr>
          <w:sz w:val="20"/>
        </w:rPr>
        <w:t>que</w:t>
      </w:r>
      <w:r>
        <w:rPr>
          <w:spacing w:val="-11"/>
          <w:sz w:val="20"/>
        </w:rPr>
        <w:t> </w:t>
      </w:r>
      <w:r>
        <w:rPr>
          <w:sz w:val="20"/>
        </w:rPr>
        <w:t>sustente</w:t>
      </w:r>
      <w:r>
        <w:rPr>
          <w:spacing w:val="-11"/>
          <w:sz w:val="20"/>
        </w:rPr>
        <w:t> </w:t>
      </w:r>
      <w:r>
        <w:rPr>
          <w:sz w:val="20"/>
        </w:rPr>
        <w:t>la</w:t>
      </w:r>
      <w:r>
        <w:rPr>
          <w:spacing w:val="-11"/>
          <w:sz w:val="20"/>
        </w:rPr>
        <w:t> </w:t>
      </w:r>
      <w:r>
        <w:rPr>
          <w:sz w:val="20"/>
        </w:rPr>
        <w:t>acción</w:t>
      </w:r>
      <w:r>
        <w:rPr>
          <w:spacing w:val="-11"/>
          <w:sz w:val="20"/>
        </w:rPr>
        <w:t> </w:t>
      </w:r>
      <w:r>
        <w:rPr>
          <w:sz w:val="20"/>
        </w:rPr>
        <w:t>articulada,</w:t>
      </w:r>
      <w:r>
        <w:rPr>
          <w:spacing w:val="-12"/>
          <w:sz w:val="20"/>
        </w:rPr>
        <w:t> </w:t>
      </w:r>
      <w:r>
        <w:rPr>
          <w:sz w:val="20"/>
        </w:rPr>
        <w:t>sinérgica</w:t>
      </w:r>
      <w:r>
        <w:rPr>
          <w:spacing w:val="-11"/>
          <w:sz w:val="20"/>
        </w:rPr>
        <w:t> </w:t>
      </w:r>
      <w:r>
        <w:rPr>
          <w:sz w:val="20"/>
        </w:rPr>
        <w:t>y</w:t>
      </w:r>
      <w:r>
        <w:rPr>
          <w:spacing w:val="-8"/>
          <w:sz w:val="20"/>
        </w:rPr>
        <w:t> </w:t>
      </w:r>
      <w:r>
        <w:rPr>
          <w:sz w:val="20"/>
        </w:rPr>
        <w:t>eficaz</w:t>
      </w:r>
      <w:r>
        <w:rPr>
          <w:spacing w:val="-10"/>
          <w:sz w:val="20"/>
        </w:rPr>
        <w:t> </w:t>
      </w:r>
      <w:r>
        <w:rPr>
          <w:sz w:val="20"/>
        </w:rPr>
        <w:t>de</w:t>
      </w:r>
      <w:r>
        <w:rPr>
          <w:spacing w:val="-11"/>
          <w:sz w:val="20"/>
        </w:rPr>
        <w:t> </w:t>
      </w:r>
      <w:r>
        <w:rPr>
          <w:sz w:val="20"/>
        </w:rPr>
        <w:t>los</w:t>
      </w:r>
      <w:r>
        <w:rPr>
          <w:spacing w:val="-10"/>
          <w:sz w:val="20"/>
        </w:rPr>
        <w:t> </w:t>
      </w:r>
      <w:r>
        <w:rPr>
          <w:sz w:val="20"/>
        </w:rPr>
        <w:t>diferentes sectores de la Administración Pública Estatal;</w:t>
      </w:r>
    </w:p>
    <w:p>
      <w:pPr>
        <w:pStyle w:val="BodyText"/>
        <w:spacing w:before="1"/>
      </w:pPr>
    </w:p>
    <w:p>
      <w:pPr>
        <w:pStyle w:val="ListParagraph"/>
        <w:numPr>
          <w:ilvl w:val="0"/>
          <w:numId w:val="37"/>
        </w:numPr>
        <w:tabs>
          <w:tab w:pos="597" w:val="left" w:leader="none"/>
        </w:tabs>
        <w:spacing w:line="240" w:lineRule="auto" w:before="0" w:after="0"/>
        <w:ind w:left="262" w:right="286" w:firstLine="0"/>
        <w:jc w:val="both"/>
        <w:rPr>
          <w:sz w:val="20"/>
        </w:rPr>
      </w:pPr>
      <w:r>
        <w:rPr>
          <w:sz w:val="20"/>
        </w:rPr>
        <w:t>Estructurar</w:t>
      </w:r>
      <w:r>
        <w:rPr>
          <w:spacing w:val="-6"/>
          <w:sz w:val="20"/>
        </w:rPr>
        <w:t> </w:t>
      </w:r>
      <w:r>
        <w:rPr>
          <w:sz w:val="20"/>
        </w:rPr>
        <w:t>la</w:t>
      </w:r>
      <w:r>
        <w:rPr>
          <w:spacing w:val="-7"/>
          <w:sz w:val="20"/>
        </w:rPr>
        <w:t> </w:t>
      </w:r>
      <w:r>
        <w:rPr>
          <w:sz w:val="20"/>
        </w:rPr>
        <w:t>relación</w:t>
      </w:r>
      <w:r>
        <w:rPr>
          <w:spacing w:val="-5"/>
          <w:sz w:val="20"/>
        </w:rPr>
        <w:t> </w:t>
      </w:r>
      <w:r>
        <w:rPr>
          <w:sz w:val="20"/>
        </w:rPr>
        <w:t>entre</w:t>
      </w:r>
      <w:r>
        <w:rPr>
          <w:spacing w:val="-7"/>
          <w:sz w:val="20"/>
        </w:rPr>
        <w:t> </w:t>
      </w:r>
      <w:r>
        <w:rPr>
          <w:sz w:val="20"/>
        </w:rPr>
        <w:t>los</w:t>
      </w:r>
      <w:r>
        <w:rPr>
          <w:spacing w:val="-6"/>
          <w:sz w:val="20"/>
        </w:rPr>
        <w:t> </w:t>
      </w:r>
      <w:r>
        <w:rPr>
          <w:sz w:val="20"/>
        </w:rPr>
        <w:t>centros</w:t>
      </w:r>
      <w:r>
        <w:rPr>
          <w:spacing w:val="-6"/>
          <w:sz w:val="20"/>
        </w:rPr>
        <w:t> </w:t>
      </w:r>
      <w:r>
        <w:rPr>
          <w:sz w:val="20"/>
        </w:rPr>
        <w:t>de</w:t>
      </w:r>
      <w:r>
        <w:rPr>
          <w:spacing w:val="-7"/>
          <w:sz w:val="20"/>
        </w:rPr>
        <w:t> </w:t>
      </w:r>
      <w:r>
        <w:rPr>
          <w:sz w:val="20"/>
        </w:rPr>
        <w:t>población</w:t>
      </w:r>
      <w:r>
        <w:rPr>
          <w:spacing w:val="-5"/>
          <w:sz w:val="20"/>
        </w:rPr>
        <w:t> </w:t>
      </w:r>
      <w:r>
        <w:rPr>
          <w:sz w:val="20"/>
        </w:rPr>
        <w:t>con</w:t>
      </w:r>
      <w:r>
        <w:rPr>
          <w:spacing w:val="-7"/>
          <w:sz w:val="20"/>
        </w:rPr>
        <w:t> </w:t>
      </w:r>
      <w:r>
        <w:rPr>
          <w:sz w:val="20"/>
        </w:rPr>
        <w:t>base</w:t>
      </w:r>
      <w:r>
        <w:rPr>
          <w:spacing w:val="-7"/>
          <w:sz w:val="20"/>
        </w:rPr>
        <w:t> </w:t>
      </w:r>
      <w:r>
        <w:rPr>
          <w:sz w:val="20"/>
        </w:rPr>
        <w:t>en</w:t>
      </w:r>
      <w:r>
        <w:rPr>
          <w:spacing w:val="-7"/>
          <w:sz w:val="20"/>
        </w:rPr>
        <w:t> </w:t>
      </w:r>
      <w:r>
        <w:rPr>
          <w:sz w:val="20"/>
        </w:rPr>
        <w:t>las</w:t>
      </w:r>
      <w:r>
        <w:rPr>
          <w:spacing w:val="-6"/>
          <w:sz w:val="20"/>
        </w:rPr>
        <w:t> </w:t>
      </w:r>
      <w:r>
        <w:rPr>
          <w:sz w:val="20"/>
        </w:rPr>
        <w:t>regiones</w:t>
      </w:r>
      <w:r>
        <w:rPr>
          <w:spacing w:val="-5"/>
          <w:sz w:val="20"/>
        </w:rPr>
        <w:t> </w:t>
      </w:r>
      <w:r>
        <w:rPr>
          <w:sz w:val="20"/>
        </w:rPr>
        <w:t>y</w:t>
      </w:r>
      <w:r>
        <w:rPr>
          <w:spacing w:val="-5"/>
          <w:sz w:val="20"/>
        </w:rPr>
        <w:t> </w:t>
      </w:r>
      <w:r>
        <w:rPr>
          <w:sz w:val="20"/>
        </w:rPr>
        <w:t>de</w:t>
      </w:r>
      <w:r>
        <w:rPr>
          <w:spacing w:val="-7"/>
          <w:sz w:val="20"/>
        </w:rPr>
        <w:t> </w:t>
      </w:r>
      <w:r>
        <w:rPr>
          <w:sz w:val="20"/>
        </w:rPr>
        <w:t>los</w:t>
      </w:r>
      <w:r>
        <w:rPr>
          <w:spacing w:val="-6"/>
          <w:sz w:val="20"/>
        </w:rPr>
        <w:t> </w:t>
      </w:r>
      <w:r>
        <w:rPr>
          <w:sz w:val="20"/>
        </w:rPr>
        <w:t>servicios que se requieran, estableciendo la función de los centros de población y la política aplicable para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jc w:val="both"/>
      </w:pPr>
      <w:r>
        <w:rPr/>
        <w:t>obtener</w:t>
      </w:r>
      <w:r>
        <w:rPr>
          <w:spacing w:val="-8"/>
        </w:rPr>
        <w:t> </w:t>
      </w:r>
      <w:r>
        <w:rPr/>
        <w:t>el</w:t>
      </w:r>
      <w:r>
        <w:rPr>
          <w:spacing w:val="-10"/>
        </w:rPr>
        <w:t> </w:t>
      </w:r>
      <w:r>
        <w:rPr/>
        <w:t>grado</w:t>
      </w:r>
      <w:r>
        <w:rPr>
          <w:spacing w:val="-9"/>
        </w:rPr>
        <w:t> </w:t>
      </w:r>
      <w:r>
        <w:rPr/>
        <w:t>óptimo</w:t>
      </w:r>
      <w:r>
        <w:rPr>
          <w:spacing w:val="-7"/>
        </w:rPr>
        <w:t> </w:t>
      </w:r>
      <w:r>
        <w:rPr/>
        <w:t>de</w:t>
      </w:r>
      <w:r>
        <w:rPr>
          <w:spacing w:val="-8"/>
        </w:rPr>
        <w:t> </w:t>
      </w:r>
      <w:r>
        <w:rPr/>
        <w:t>autosuficiencia</w:t>
      </w:r>
      <w:r>
        <w:rPr>
          <w:spacing w:val="-8"/>
        </w:rPr>
        <w:t> </w:t>
      </w:r>
      <w:r>
        <w:rPr>
          <w:spacing w:val="-2"/>
        </w:rPr>
        <w:t>regional;</w:t>
      </w:r>
    </w:p>
    <w:p>
      <w:pPr>
        <w:pStyle w:val="BodyText"/>
        <w:spacing w:before="1"/>
      </w:pPr>
    </w:p>
    <w:p>
      <w:pPr>
        <w:pStyle w:val="ListParagraph"/>
        <w:numPr>
          <w:ilvl w:val="0"/>
          <w:numId w:val="37"/>
        </w:numPr>
        <w:tabs>
          <w:tab w:pos="688" w:val="left" w:leader="none"/>
        </w:tabs>
        <w:spacing w:line="240" w:lineRule="auto" w:before="0" w:after="0"/>
        <w:ind w:left="262" w:right="286" w:firstLine="0"/>
        <w:jc w:val="both"/>
        <w:rPr>
          <w:sz w:val="20"/>
        </w:rPr>
      </w:pPr>
      <w:r>
        <w:rPr>
          <w:sz w:val="20"/>
        </w:rPr>
        <w:t>Lograr el equilibrio poblacional de la Entidad, conforme a la capacidad de cada una de las regiones que la integran, considerando su extensión territorial, recursos naturales, industria y servicios, a fin de lograr su desarrollo sustentable;</w:t>
      </w:r>
    </w:p>
    <w:p>
      <w:pPr>
        <w:pStyle w:val="ListParagraph"/>
        <w:numPr>
          <w:ilvl w:val="0"/>
          <w:numId w:val="37"/>
        </w:numPr>
        <w:tabs>
          <w:tab w:pos="688" w:val="left" w:leader="none"/>
        </w:tabs>
        <w:spacing w:line="240" w:lineRule="auto" w:before="229" w:after="0"/>
        <w:ind w:left="262" w:right="286" w:firstLine="0"/>
        <w:jc w:val="both"/>
        <w:rPr>
          <w:sz w:val="20"/>
        </w:rPr>
      </w:pPr>
      <w:r>
        <w:rPr>
          <w:sz w:val="20"/>
        </w:rPr>
        <w:t>Consolidar</w:t>
      </w:r>
      <w:r>
        <w:rPr>
          <w:spacing w:val="40"/>
          <w:sz w:val="20"/>
        </w:rPr>
        <w:t> </w:t>
      </w:r>
      <w:r>
        <w:rPr>
          <w:sz w:val="20"/>
        </w:rPr>
        <w:t>los</w:t>
      </w:r>
      <w:r>
        <w:rPr>
          <w:spacing w:val="-2"/>
          <w:sz w:val="20"/>
        </w:rPr>
        <w:t> </w:t>
      </w:r>
      <w:r>
        <w:rPr>
          <w:sz w:val="20"/>
        </w:rPr>
        <w:t>enlaces</w:t>
      </w:r>
      <w:r>
        <w:rPr>
          <w:spacing w:val="-2"/>
          <w:sz w:val="20"/>
        </w:rPr>
        <w:t> </w:t>
      </w:r>
      <w:r>
        <w:rPr>
          <w:sz w:val="20"/>
        </w:rPr>
        <w:t>y</w:t>
      </w:r>
      <w:r>
        <w:rPr>
          <w:spacing w:val="-2"/>
          <w:sz w:val="20"/>
        </w:rPr>
        <w:t> </w:t>
      </w:r>
      <w:r>
        <w:rPr>
          <w:sz w:val="20"/>
        </w:rPr>
        <w:t>corredores</w:t>
      </w:r>
      <w:r>
        <w:rPr>
          <w:spacing w:val="-1"/>
          <w:sz w:val="20"/>
        </w:rPr>
        <w:t> </w:t>
      </w:r>
      <w:r>
        <w:rPr>
          <w:sz w:val="20"/>
        </w:rPr>
        <w:t>principales</w:t>
      </w:r>
      <w:r>
        <w:rPr>
          <w:spacing w:val="-2"/>
          <w:sz w:val="20"/>
        </w:rPr>
        <w:t> </w:t>
      </w:r>
      <w:r>
        <w:rPr>
          <w:sz w:val="20"/>
        </w:rPr>
        <w:t>que</w:t>
      </w:r>
      <w:r>
        <w:rPr>
          <w:spacing w:val="-3"/>
          <w:sz w:val="20"/>
        </w:rPr>
        <w:t> </w:t>
      </w:r>
      <w:r>
        <w:rPr>
          <w:sz w:val="20"/>
        </w:rPr>
        <w:t>se</w:t>
      </w:r>
      <w:r>
        <w:rPr>
          <w:spacing w:val="-3"/>
          <w:sz w:val="20"/>
        </w:rPr>
        <w:t> </w:t>
      </w:r>
      <w:r>
        <w:rPr>
          <w:sz w:val="20"/>
        </w:rPr>
        <w:t>requiere</w:t>
      </w:r>
      <w:r>
        <w:rPr>
          <w:spacing w:val="-3"/>
          <w:sz w:val="20"/>
        </w:rPr>
        <w:t> </w:t>
      </w:r>
      <w:r>
        <w:rPr>
          <w:sz w:val="20"/>
        </w:rPr>
        <w:t>para</w:t>
      </w:r>
      <w:r>
        <w:rPr>
          <w:spacing w:val="-3"/>
          <w:sz w:val="20"/>
        </w:rPr>
        <w:t> </w:t>
      </w:r>
      <w:r>
        <w:rPr>
          <w:sz w:val="20"/>
        </w:rPr>
        <w:t>articular</w:t>
      </w:r>
      <w:r>
        <w:rPr>
          <w:spacing w:val="-2"/>
          <w:sz w:val="20"/>
        </w:rPr>
        <w:t> </w:t>
      </w:r>
      <w:r>
        <w:rPr>
          <w:sz w:val="20"/>
        </w:rPr>
        <w:t>las</w:t>
      </w:r>
      <w:r>
        <w:rPr>
          <w:spacing w:val="-2"/>
          <w:sz w:val="20"/>
        </w:rPr>
        <w:t> </w:t>
      </w:r>
      <w:r>
        <w:rPr>
          <w:sz w:val="20"/>
        </w:rPr>
        <w:t>regiones</w:t>
      </w:r>
      <w:r>
        <w:rPr>
          <w:spacing w:val="-2"/>
          <w:sz w:val="20"/>
        </w:rPr>
        <w:t> </w:t>
      </w:r>
      <w:r>
        <w:rPr>
          <w:sz w:val="20"/>
        </w:rPr>
        <w:t>del estado entre sí y con otros estados;</w:t>
      </w:r>
    </w:p>
    <w:p>
      <w:pPr>
        <w:pStyle w:val="BodyText"/>
        <w:spacing w:before="1"/>
      </w:pPr>
    </w:p>
    <w:p>
      <w:pPr>
        <w:pStyle w:val="ListParagraph"/>
        <w:numPr>
          <w:ilvl w:val="0"/>
          <w:numId w:val="37"/>
        </w:numPr>
        <w:tabs>
          <w:tab w:pos="688" w:val="left" w:leader="none"/>
        </w:tabs>
        <w:spacing w:line="240" w:lineRule="auto" w:before="0" w:after="0"/>
        <w:ind w:left="262" w:right="284" w:firstLine="0"/>
        <w:jc w:val="both"/>
        <w:rPr>
          <w:sz w:val="20"/>
        </w:rPr>
      </w:pPr>
      <w:r>
        <w:rPr>
          <w:sz w:val="20"/>
        </w:rPr>
        <w:t>Mejorar</w:t>
      </w:r>
      <w:r>
        <w:rPr>
          <w:spacing w:val="-6"/>
          <w:sz w:val="20"/>
        </w:rPr>
        <w:t> </w:t>
      </w:r>
      <w:r>
        <w:rPr>
          <w:sz w:val="20"/>
        </w:rPr>
        <w:t>la</w:t>
      </w:r>
      <w:r>
        <w:rPr>
          <w:spacing w:val="-5"/>
          <w:sz w:val="20"/>
        </w:rPr>
        <w:t> </w:t>
      </w:r>
      <w:r>
        <w:rPr>
          <w:sz w:val="20"/>
        </w:rPr>
        <w:t>infraestructura</w:t>
      </w:r>
      <w:r>
        <w:rPr>
          <w:spacing w:val="-7"/>
          <w:sz w:val="20"/>
        </w:rPr>
        <w:t> </w:t>
      </w:r>
      <w:r>
        <w:rPr>
          <w:sz w:val="20"/>
        </w:rPr>
        <w:t>y</w:t>
      </w:r>
      <w:r>
        <w:rPr>
          <w:spacing w:val="-4"/>
          <w:sz w:val="20"/>
        </w:rPr>
        <w:t> </w:t>
      </w:r>
      <w:r>
        <w:rPr>
          <w:sz w:val="20"/>
        </w:rPr>
        <w:t>definir</w:t>
      </w:r>
      <w:r>
        <w:rPr>
          <w:spacing w:val="-4"/>
          <w:sz w:val="20"/>
        </w:rPr>
        <w:t> </w:t>
      </w:r>
      <w:r>
        <w:rPr>
          <w:sz w:val="20"/>
        </w:rPr>
        <w:t>los</w:t>
      </w:r>
      <w:r>
        <w:rPr>
          <w:spacing w:val="-7"/>
          <w:sz w:val="20"/>
        </w:rPr>
        <w:t> </w:t>
      </w:r>
      <w:r>
        <w:rPr>
          <w:sz w:val="20"/>
        </w:rPr>
        <w:t>requerimientos</w:t>
      </w:r>
      <w:r>
        <w:rPr>
          <w:spacing w:val="-7"/>
          <w:sz w:val="20"/>
        </w:rPr>
        <w:t> </w:t>
      </w:r>
      <w:r>
        <w:rPr>
          <w:sz w:val="20"/>
        </w:rPr>
        <w:t>de</w:t>
      </w:r>
      <w:r>
        <w:rPr>
          <w:spacing w:val="-8"/>
          <w:sz w:val="20"/>
        </w:rPr>
        <w:t> </w:t>
      </w:r>
      <w:r>
        <w:rPr>
          <w:sz w:val="20"/>
        </w:rPr>
        <w:t>equipamiento</w:t>
      </w:r>
      <w:r>
        <w:rPr>
          <w:spacing w:val="-6"/>
          <w:sz w:val="20"/>
        </w:rPr>
        <w:t> </w:t>
      </w:r>
      <w:r>
        <w:rPr>
          <w:sz w:val="20"/>
        </w:rPr>
        <w:t>de</w:t>
      </w:r>
      <w:r>
        <w:rPr>
          <w:spacing w:val="-6"/>
          <w:sz w:val="20"/>
        </w:rPr>
        <w:t> </w:t>
      </w:r>
      <w:r>
        <w:rPr>
          <w:sz w:val="20"/>
        </w:rPr>
        <w:t>nivel</w:t>
      </w:r>
      <w:r>
        <w:rPr>
          <w:spacing w:val="-8"/>
          <w:sz w:val="20"/>
        </w:rPr>
        <w:t> </w:t>
      </w:r>
      <w:r>
        <w:rPr>
          <w:sz w:val="20"/>
        </w:rPr>
        <w:t>regional,</w:t>
      </w:r>
      <w:r>
        <w:rPr>
          <w:spacing w:val="-5"/>
          <w:sz w:val="20"/>
        </w:rPr>
        <w:t> </w:t>
      </w:r>
      <w:r>
        <w:rPr>
          <w:sz w:val="20"/>
        </w:rPr>
        <w:t>estatal e intermedio;</w:t>
      </w:r>
    </w:p>
    <w:p>
      <w:pPr>
        <w:pStyle w:val="BodyText"/>
      </w:pPr>
    </w:p>
    <w:p>
      <w:pPr>
        <w:pStyle w:val="ListParagraph"/>
        <w:numPr>
          <w:ilvl w:val="0"/>
          <w:numId w:val="37"/>
        </w:numPr>
        <w:tabs>
          <w:tab w:pos="688" w:val="left" w:leader="none"/>
        </w:tabs>
        <w:spacing w:line="240" w:lineRule="auto" w:before="0" w:after="0"/>
        <w:ind w:left="262" w:right="281" w:firstLine="0"/>
        <w:jc w:val="both"/>
        <w:rPr>
          <w:sz w:val="20"/>
        </w:rPr>
      </w:pPr>
      <w:r>
        <w:rPr>
          <w:sz w:val="20"/>
        </w:rPr>
        <w:t>Promover la sustentabilidad a través de un desarrollo ordenado, compacto y que reduzca la presión</w:t>
      </w:r>
      <w:r>
        <w:rPr>
          <w:spacing w:val="-3"/>
          <w:sz w:val="20"/>
        </w:rPr>
        <w:t> </w:t>
      </w:r>
      <w:r>
        <w:rPr>
          <w:sz w:val="20"/>
        </w:rPr>
        <w:t>de</w:t>
      </w:r>
      <w:r>
        <w:rPr>
          <w:spacing w:val="-2"/>
          <w:sz w:val="20"/>
        </w:rPr>
        <w:t> </w:t>
      </w:r>
      <w:r>
        <w:rPr>
          <w:sz w:val="20"/>
        </w:rPr>
        <w:t>la</w:t>
      </w:r>
      <w:r>
        <w:rPr>
          <w:spacing w:val="-2"/>
          <w:sz w:val="20"/>
        </w:rPr>
        <w:t> </w:t>
      </w:r>
      <w:r>
        <w:rPr>
          <w:sz w:val="20"/>
        </w:rPr>
        <w:t>ocupación</w:t>
      </w:r>
      <w:r>
        <w:rPr>
          <w:spacing w:val="-3"/>
          <w:sz w:val="20"/>
        </w:rPr>
        <w:t> </w:t>
      </w:r>
      <w:r>
        <w:rPr>
          <w:sz w:val="20"/>
        </w:rPr>
        <w:t>de tierras</w:t>
      </w:r>
      <w:r>
        <w:rPr>
          <w:spacing w:val="-1"/>
          <w:sz w:val="20"/>
        </w:rPr>
        <w:t> </w:t>
      </w:r>
      <w:r>
        <w:rPr>
          <w:sz w:val="20"/>
        </w:rPr>
        <w:t>agrícolas,</w:t>
      </w:r>
      <w:r>
        <w:rPr>
          <w:spacing w:val="40"/>
          <w:sz w:val="20"/>
        </w:rPr>
        <w:t> </w:t>
      </w:r>
      <w:r>
        <w:rPr>
          <w:sz w:val="20"/>
        </w:rPr>
        <w:t>de</w:t>
      </w:r>
      <w:r>
        <w:rPr>
          <w:spacing w:val="-3"/>
          <w:sz w:val="20"/>
        </w:rPr>
        <w:t> </w:t>
      </w:r>
      <w:r>
        <w:rPr>
          <w:sz w:val="20"/>
        </w:rPr>
        <w:t>áreas</w:t>
      </w:r>
      <w:r>
        <w:rPr>
          <w:spacing w:val="-1"/>
          <w:sz w:val="20"/>
        </w:rPr>
        <w:t> </w:t>
      </w:r>
      <w:r>
        <w:rPr>
          <w:sz w:val="20"/>
        </w:rPr>
        <w:t>con</w:t>
      </w:r>
      <w:r>
        <w:rPr>
          <w:spacing w:val="-3"/>
          <w:sz w:val="20"/>
        </w:rPr>
        <w:t> </w:t>
      </w:r>
      <w:r>
        <w:rPr>
          <w:sz w:val="20"/>
        </w:rPr>
        <w:t>valor</w:t>
      </w:r>
      <w:r>
        <w:rPr>
          <w:spacing w:val="-1"/>
          <w:sz w:val="20"/>
        </w:rPr>
        <w:t> </w:t>
      </w:r>
      <w:r>
        <w:rPr>
          <w:sz w:val="20"/>
        </w:rPr>
        <w:t>ambiental</w:t>
      </w:r>
      <w:r>
        <w:rPr>
          <w:spacing w:val="-3"/>
          <w:sz w:val="20"/>
        </w:rPr>
        <w:t> </w:t>
      </w:r>
      <w:r>
        <w:rPr>
          <w:sz w:val="20"/>
        </w:rPr>
        <w:t>y</w:t>
      </w:r>
      <w:r>
        <w:rPr>
          <w:spacing w:val="-1"/>
          <w:sz w:val="20"/>
        </w:rPr>
        <w:t> </w:t>
      </w:r>
      <w:r>
        <w:rPr>
          <w:sz w:val="20"/>
        </w:rPr>
        <w:t>de</w:t>
      </w:r>
      <w:r>
        <w:rPr>
          <w:spacing w:val="-3"/>
          <w:sz w:val="20"/>
        </w:rPr>
        <w:t> </w:t>
      </w:r>
      <w:r>
        <w:rPr>
          <w:sz w:val="20"/>
        </w:rPr>
        <w:t>reservas</w:t>
      </w:r>
      <w:r>
        <w:rPr>
          <w:spacing w:val="-1"/>
          <w:sz w:val="20"/>
        </w:rPr>
        <w:t> </w:t>
      </w:r>
      <w:r>
        <w:rPr>
          <w:sz w:val="20"/>
        </w:rPr>
        <w:t>naturales, propiciando</w:t>
      </w:r>
      <w:r>
        <w:rPr>
          <w:spacing w:val="-7"/>
          <w:sz w:val="20"/>
        </w:rPr>
        <w:t> </w:t>
      </w:r>
      <w:r>
        <w:rPr>
          <w:sz w:val="20"/>
        </w:rPr>
        <w:t>un</w:t>
      </w:r>
      <w:r>
        <w:rPr>
          <w:spacing w:val="-7"/>
          <w:sz w:val="20"/>
        </w:rPr>
        <w:t> </w:t>
      </w:r>
      <w:r>
        <w:rPr>
          <w:sz w:val="20"/>
        </w:rPr>
        <w:t>uso</w:t>
      </w:r>
      <w:r>
        <w:rPr>
          <w:spacing w:val="-9"/>
          <w:sz w:val="20"/>
        </w:rPr>
        <w:t> </w:t>
      </w:r>
      <w:r>
        <w:rPr>
          <w:sz w:val="20"/>
        </w:rPr>
        <w:t>racional</w:t>
      </w:r>
      <w:r>
        <w:rPr>
          <w:spacing w:val="-7"/>
          <w:sz w:val="20"/>
        </w:rPr>
        <w:t> </w:t>
      </w:r>
      <w:r>
        <w:rPr>
          <w:sz w:val="20"/>
        </w:rPr>
        <w:t>del</w:t>
      </w:r>
      <w:r>
        <w:rPr>
          <w:spacing w:val="-10"/>
          <w:sz w:val="20"/>
        </w:rPr>
        <w:t> </w:t>
      </w:r>
      <w:r>
        <w:rPr>
          <w:sz w:val="20"/>
        </w:rPr>
        <w:t>agua</w:t>
      </w:r>
      <w:r>
        <w:rPr>
          <w:spacing w:val="-7"/>
          <w:sz w:val="20"/>
        </w:rPr>
        <w:t> </w:t>
      </w:r>
      <w:r>
        <w:rPr>
          <w:sz w:val="20"/>
        </w:rPr>
        <w:t>y</w:t>
      </w:r>
      <w:r>
        <w:rPr>
          <w:spacing w:val="-8"/>
          <w:sz w:val="20"/>
        </w:rPr>
        <w:t> </w:t>
      </w:r>
      <w:r>
        <w:rPr>
          <w:sz w:val="20"/>
        </w:rPr>
        <w:t>de</w:t>
      </w:r>
      <w:r>
        <w:rPr>
          <w:spacing w:val="-7"/>
          <w:sz w:val="20"/>
        </w:rPr>
        <w:t> </w:t>
      </w:r>
      <w:r>
        <w:rPr>
          <w:sz w:val="20"/>
        </w:rPr>
        <w:t>la</w:t>
      </w:r>
      <w:r>
        <w:rPr>
          <w:spacing w:val="-7"/>
          <w:sz w:val="20"/>
        </w:rPr>
        <w:t> </w:t>
      </w:r>
      <w:r>
        <w:rPr>
          <w:sz w:val="20"/>
        </w:rPr>
        <w:t>energía,</w:t>
      </w:r>
      <w:r>
        <w:rPr>
          <w:spacing w:val="-7"/>
          <w:sz w:val="20"/>
        </w:rPr>
        <w:t> </w:t>
      </w:r>
      <w:r>
        <w:rPr>
          <w:sz w:val="20"/>
        </w:rPr>
        <w:t>y</w:t>
      </w:r>
      <w:r>
        <w:rPr>
          <w:spacing w:val="-5"/>
          <w:sz w:val="20"/>
        </w:rPr>
        <w:t> </w:t>
      </w:r>
      <w:r>
        <w:rPr>
          <w:sz w:val="20"/>
        </w:rPr>
        <w:t>contribuyendo</w:t>
      </w:r>
      <w:r>
        <w:rPr>
          <w:spacing w:val="-9"/>
          <w:sz w:val="20"/>
        </w:rPr>
        <w:t> </w:t>
      </w:r>
      <w:r>
        <w:rPr>
          <w:sz w:val="20"/>
        </w:rPr>
        <w:t>a</w:t>
      </w:r>
      <w:r>
        <w:rPr>
          <w:spacing w:val="-7"/>
          <w:sz w:val="20"/>
        </w:rPr>
        <w:t> </w:t>
      </w:r>
      <w:r>
        <w:rPr>
          <w:sz w:val="20"/>
        </w:rPr>
        <w:t>respetar</w:t>
      </w:r>
      <w:r>
        <w:rPr>
          <w:spacing w:val="-6"/>
          <w:sz w:val="20"/>
        </w:rPr>
        <w:t> </w:t>
      </w:r>
      <w:r>
        <w:rPr>
          <w:sz w:val="20"/>
        </w:rPr>
        <w:t>la</w:t>
      </w:r>
      <w:r>
        <w:rPr>
          <w:spacing w:val="-7"/>
          <w:sz w:val="20"/>
        </w:rPr>
        <w:t> </w:t>
      </w:r>
      <w:r>
        <w:rPr>
          <w:sz w:val="20"/>
        </w:rPr>
        <w:t>capacidad</w:t>
      </w:r>
      <w:r>
        <w:rPr>
          <w:spacing w:val="-7"/>
          <w:sz w:val="20"/>
        </w:rPr>
        <w:t> </w:t>
      </w:r>
      <w:r>
        <w:rPr>
          <w:sz w:val="20"/>
        </w:rPr>
        <w:t>de</w:t>
      </w:r>
      <w:r>
        <w:rPr>
          <w:spacing w:val="-7"/>
          <w:sz w:val="20"/>
        </w:rPr>
        <w:t> </w:t>
      </w:r>
      <w:r>
        <w:rPr>
          <w:sz w:val="20"/>
        </w:rPr>
        <w:t>los ecosistemas locales y globales de auto regenerarse, en concordancia con la legislación ambiental aplicable,</w:t>
      </w:r>
      <w:r>
        <w:rPr>
          <w:spacing w:val="-14"/>
          <w:sz w:val="20"/>
        </w:rPr>
        <w:t> </w:t>
      </w:r>
      <w:r>
        <w:rPr>
          <w:sz w:val="20"/>
        </w:rPr>
        <w:t>considerando</w:t>
      </w:r>
      <w:r>
        <w:rPr>
          <w:spacing w:val="-14"/>
          <w:sz w:val="20"/>
        </w:rPr>
        <w:t> </w:t>
      </w:r>
      <w:r>
        <w:rPr>
          <w:sz w:val="20"/>
        </w:rPr>
        <w:t>los</w:t>
      </w:r>
      <w:r>
        <w:rPr>
          <w:spacing w:val="-14"/>
          <w:sz w:val="20"/>
        </w:rPr>
        <w:t> </w:t>
      </w:r>
      <w:r>
        <w:rPr>
          <w:sz w:val="20"/>
        </w:rPr>
        <w:t>planes</w:t>
      </w:r>
      <w:r>
        <w:rPr>
          <w:spacing w:val="-14"/>
          <w:sz w:val="20"/>
        </w:rPr>
        <w:t> </w:t>
      </w:r>
      <w:r>
        <w:rPr>
          <w:sz w:val="20"/>
        </w:rPr>
        <w:t>o</w:t>
      </w:r>
      <w:r>
        <w:rPr>
          <w:spacing w:val="-14"/>
          <w:sz w:val="20"/>
        </w:rPr>
        <w:t> </w:t>
      </w:r>
      <w:r>
        <w:rPr>
          <w:sz w:val="20"/>
        </w:rPr>
        <w:t>programas</w:t>
      </w:r>
      <w:r>
        <w:rPr>
          <w:spacing w:val="-14"/>
          <w:sz w:val="20"/>
        </w:rPr>
        <w:t> </w:t>
      </w:r>
      <w:r>
        <w:rPr>
          <w:sz w:val="20"/>
        </w:rPr>
        <w:t>de</w:t>
      </w:r>
      <w:r>
        <w:rPr>
          <w:spacing w:val="-14"/>
          <w:sz w:val="20"/>
        </w:rPr>
        <w:t> </w:t>
      </w:r>
      <w:r>
        <w:rPr>
          <w:sz w:val="20"/>
        </w:rPr>
        <w:t>ordenamiento</w:t>
      </w:r>
      <w:r>
        <w:rPr>
          <w:spacing w:val="-14"/>
          <w:sz w:val="20"/>
        </w:rPr>
        <w:t> </w:t>
      </w:r>
      <w:r>
        <w:rPr>
          <w:sz w:val="20"/>
        </w:rPr>
        <w:t>ecológico</w:t>
      </w:r>
      <w:r>
        <w:rPr>
          <w:spacing w:val="-14"/>
          <w:sz w:val="20"/>
        </w:rPr>
        <w:t> </w:t>
      </w:r>
      <w:r>
        <w:rPr>
          <w:sz w:val="20"/>
        </w:rPr>
        <w:t>expedidos</w:t>
      </w:r>
      <w:r>
        <w:rPr>
          <w:spacing w:val="-13"/>
          <w:sz w:val="20"/>
        </w:rPr>
        <w:t> </w:t>
      </w:r>
      <w:r>
        <w:rPr>
          <w:sz w:val="20"/>
        </w:rPr>
        <w:t>por</w:t>
      </w:r>
      <w:r>
        <w:rPr>
          <w:spacing w:val="-14"/>
          <w:sz w:val="20"/>
        </w:rPr>
        <w:t> </w:t>
      </w:r>
      <w:r>
        <w:rPr>
          <w:sz w:val="20"/>
        </w:rPr>
        <w:t>el</w:t>
      </w:r>
      <w:r>
        <w:rPr>
          <w:spacing w:val="-14"/>
          <w:sz w:val="20"/>
        </w:rPr>
        <w:t> </w:t>
      </w:r>
      <w:r>
        <w:rPr>
          <w:sz w:val="20"/>
        </w:rPr>
        <w:t>Estado;</w:t>
      </w:r>
    </w:p>
    <w:p>
      <w:pPr>
        <w:pStyle w:val="BodyText"/>
      </w:pPr>
    </w:p>
    <w:p>
      <w:pPr>
        <w:pStyle w:val="ListParagraph"/>
        <w:numPr>
          <w:ilvl w:val="0"/>
          <w:numId w:val="37"/>
        </w:numPr>
        <w:tabs>
          <w:tab w:pos="688" w:val="left" w:leader="none"/>
        </w:tabs>
        <w:spacing w:line="240" w:lineRule="auto" w:before="0" w:after="0"/>
        <w:ind w:left="262" w:right="286" w:firstLine="0"/>
        <w:jc w:val="both"/>
        <w:rPr>
          <w:sz w:val="20"/>
        </w:rPr>
      </w:pPr>
      <w:r>
        <w:rPr>
          <w:sz w:val="20"/>
        </w:rPr>
        <w:t>Alentar la permanencia de la población en los centros de población de dimensiones medias y en el medio rural a fin de consolidar su desarrollo sustentable;</w:t>
      </w:r>
    </w:p>
    <w:p>
      <w:pPr>
        <w:pStyle w:val="BodyText"/>
        <w:spacing w:before="1"/>
      </w:pPr>
    </w:p>
    <w:p>
      <w:pPr>
        <w:pStyle w:val="ListParagraph"/>
        <w:numPr>
          <w:ilvl w:val="0"/>
          <w:numId w:val="37"/>
        </w:numPr>
        <w:tabs>
          <w:tab w:pos="688" w:val="left" w:leader="none"/>
        </w:tabs>
        <w:spacing w:line="240" w:lineRule="auto" w:before="0" w:after="0"/>
        <w:ind w:left="688" w:right="0" w:hanging="426"/>
        <w:jc w:val="both"/>
        <w:rPr>
          <w:sz w:val="20"/>
        </w:rPr>
      </w:pPr>
      <w:r>
        <w:rPr>
          <w:sz w:val="20"/>
        </w:rPr>
        <w:t>Mejorar</w:t>
      </w:r>
      <w:r>
        <w:rPr>
          <w:spacing w:val="-8"/>
          <w:sz w:val="20"/>
        </w:rPr>
        <w:t> </w:t>
      </w:r>
      <w:r>
        <w:rPr>
          <w:sz w:val="20"/>
        </w:rPr>
        <w:t>las</w:t>
      </w:r>
      <w:r>
        <w:rPr>
          <w:spacing w:val="-8"/>
          <w:sz w:val="20"/>
        </w:rPr>
        <w:t> </w:t>
      </w:r>
      <w:r>
        <w:rPr>
          <w:sz w:val="20"/>
        </w:rPr>
        <w:t>condiciones</w:t>
      </w:r>
      <w:r>
        <w:rPr>
          <w:spacing w:val="-7"/>
          <w:sz w:val="20"/>
        </w:rPr>
        <w:t> </w:t>
      </w:r>
      <w:r>
        <w:rPr>
          <w:sz w:val="20"/>
        </w:rPr>
        <w:t>ambientales</w:t>
      </w:r>
      <w:r>
        <w:rPr>
          <w:spacing w:val="-8"/>
          <w:sz w:val="20"/>
        </w:rPr>
        <w:t> </w:t>
      </w:r>
      <w:r>
        <w:rPr>
          <w:sz w:val="20"/>
        </w:rPr>
        <w:t>de</w:t>
      </w:r>
      <w:r>
        <w:rPr>
          <w:spacing w:val="-7"/>
          <w:sz w:val="20"/>
        </w:rPr>
        <w:t> </w:t>
      </w:r>
      <w:r>
        <w:rPr>
          <w:sz w:val="20"/>
        </w:rPr>
        <w:t>los</w:t>
      </w:r>
      <w:r>
        <w:rPr>
          <w:spacing w:val="-8"/>
          <w:sz w:val="20"/>
        </w:rPr>
        <w:t> </w:t>
      </w:r>
      <w:r>
        <w:rPr>
          <w:sz w:val="20"/>
        </w:rPr>
        <w:t>centros</w:t>
      </w:r>
      <w:r>
        <w:rPr>
          <w:spacing w:val="-7"/>
          <w:sz w:val="20"/>
        </w:rPr>
        <w:t> </w:t>
      </w:r>
      <w:r>
        <w:rPr>
          <w:sz w:val="20"/>
        </w:rPr>
        <w:t>de</w:t>
      </w:r>
      <w:r>
        <w:rPr>
          <w:spacing w:val="-5"/>
          <w:sz w:val="20"/>
        </w:rPr>
        <w:t> </w:t>
      </w:r>
      <w:r>
        <w:rPr>
          <w:sz w:val="20"/>
        </w:rPr>
        <w:t>población,</w:t>
      </w:r>
      <w:r>
        <w:rPr>
          <w:spacing w:val="-9"/>
          <w:sz w:val="20"/>
        </w:rPr>
        <w:t> </w:t>
      </w:r>
      <w:r>
        <w:rPr>
          <w:spacing w:val="-10"/>
          <w:sz w:val="20"/>
        </w:rPr>
        <w:t>y</w:t>
      </w:r>
    </w:p>
    <w:p>
      <w:pPr>
        <w:pStyle w:val="ListParagraph"/>
        <w:numPr>
          <w:ilvl w:val="0"/>
          <w:numId w:val="37"/>
        </w:numPr>
        <w:tabs>
          <w:tab w:pos="688" w:val="left" w:leader="none"/>
        </w:tabs>
        <w:spacing w:line="240" w:lineRule="auto" w:before="229" w:after="0"/>
        <w:ind w:left="262" w:right="287" w:firstLine="0"/>
        <w:jc w:val="both"/>
        <w:rPr>
          <w:sz w:val="20"/>
        </w:rPr>
      </w:pPr>
      <w:r>
        <w:rPr>
          <w:sz w:val="20"/>
        </w:rPr>
        <w:t>Distribuir equitativamente en la Entidad los beneficios y cargas que genera el proceso de urbanización, a fin de promover un desarrollo integral.</w:t>
      </w:r>
    </w:p>
    <w:p>
      <w:pPr>
        <w:pStyle w:val="BodyText"/>
        <w:spacing w:before="1"/>
      </w:pPr>
    </w:p>
    <w:p>
      <w:pPr>
        <w:pStyle w:val="BodyText"/>
        <w:ind w:left="262" w:right="281"/>
        <w:jc w:val="both"/>
      </w:pPr>
      <w:r>
        <w:rPr>
          <w:rFonts w:ascii="Arial" w:hAnsi="Arial"/>
          <w:b/>
        </w:rPr>
        <w:t>ARTÍCULO</w:t>
      </w:r>
      <w:r>
        <w:rPr>
          <w:rFonts w:ascii="Arial" w:hAnsi="Arial"/>
          <w:b/>
          <w:spacing w:val="-1"/>
        </w:rPr>
        <w:t> </w:t>
      </w:r>
      <w:r>
        <w:rPr>
          <w:rFonts w:ascii="Arial" w:hAnsi="Arial"/>
          <w:b/>
        </w:rPr>
        <w:t>73. </w:t>
      </w:r>
      <w:r>
        <w:rPr/>
        <w:t>El</w:t>
      </w:r>
      <w:r>
        <w:rPr>
          <w:spacing w:val="-3"/>
        </w:rPr>
        <w:t> </w:t>
      </w:r>
      <w:r>
        <w:rPr/>
        <w:t>Programa</w:t>
      </w:r>
      <w:r>
        <w:rPr>
          <w:spacing w:val="-2"/>
        </w:rPr>
        <w:t> </w:t>
      </w:r>
      <w:r>
        <w:rPr/>
        <w:t>Estatal</w:t>
      </w:r>
      <w:r>
        <w:rPr>
          <w:spacing w:val="-1"/>
        </w:rPr>
        <w:t> </w:t>
      </w:r>
      <w:r>
        <w:rPr/>
        <w:t>de</w:t>
      </w:r>
      <w:r>
        <w:rPr>
          <w:spacing w:val="-3"/>
        </w:rPr>
        <w:t> </w:t>
      </w:r>
      <w:r>
        <w:rPr/>
        <w:t>Ordenamiento Territorial</w:t>
      </w:r>
      <w:r>
        <w:rPr>
          <w:spacing w:val="-3"/>
        </w:rPr>
        <w:t> </w:t>
      </w:r>
      <w:r>
        <w:rPr/>
        <w:t>y</w:t>
      </w:r>
      <w:r>
        <w:rPr>
          <w:spacing w:val="-1"/>
        </w:rPr>
        <w:t> </w:t>
      </w:r>
      <w:r>
        <w:rPr/>
        <w:t>Desarrollo Urbano,</w:t>
      </w:r>
      <w:r>
        <w:rPr>
          <w:spacing w:val="-2"/>
        </w:rPr>
        <w:t> </w:t>
      </w:r>
      <w:r>
        <w:rPr/>
        <w:t>se</w:t>
      </w:r>
      <w:r>
        <w:rPr>
          <w:spacing w:val="-2"/>
        </w:rPr>
        <w:t> </w:t>
      </w:r>
      <w:r>
        <w:rPr/>
        <w:t>sujetará</w:t>
      </w:r>
      <w:r>
        <w:rPr>
          <w:spacing w:val="-2"/>
        </w:rPr>
        <w:t> </w:t>
      </w:r>
      <w:r>
        <w:rPr/>
        <w:t>a la</w:t>
      </w:r>
      <w:r>
        <w:rPr>
          <w:spacing w:val="-9"/>
        </w:rPr>
        <w:t> </w:t>
      </w:r>
      <w:r>
        <w:rPr/>
        <w:t>Estrategia</w:t>
      </w:r>
      <w:r>
        <w:rPr>
          <w:spacing w:val="-9"/>
        </w:rPr>
        <w:t> </w:t>
      </w:r>
      <w:r>
        <w:rPr/>
        <w:t>Nacional</w:t>
      </w:r>
      <w:r>
        <w:rPr>
          <w:spacing w:val="-8"/>
        </w:rPr>
        <w:t> </w:t>
      </w:r>
      <w:r>
        <w:rPr/>
        <w:t>de</w:t>
      </w:r>
      <w:r>
        <w:rPr>
          <w:spacing w:val="-9"/>
        </w:rPr>
        <w:t> </w:t>
      </w:r>
      <w:r>
        <w:rPr/>
        <w:t>Ordenamiento</w:t>
      </w:r>
      <w:r>
        <w:rPr>
          <w:spacing w:val="-9"/>
        </w:rPr>
        <w:t> </w:t>
      </w:r>
      <w:r>
        <w:rPr/>
        <w:t>Territorial</w:t>
      </w:r>
      <w:r>
        <w:rPr>
          <w:spacing w:val="-10"/>
        </w:rPr>
        <w:t> </w:t>
      </w:r>
      <w:r>
        <w:rPr/>
        <w:t>y</w:t>
      </w:r>
      <w:r>
        <w:rPr>
          <w:spacing w:val="-8"/>
        </w:rPr>
        <w:t> </w:t>
      </w:r>
      <w:r>
        <w:rPr/>
        <w:t>a</w:t>
      </w:r>
      <w:r>
        <w:rPr>
          <w:spacing w:val="-7"/>
        </w:rPr>
        <w:t> </w:t>
      </w:r>
      <w:r>
        <w:rPr/>
        <w:t>las</w:t>
      </w:r>
      <w:r>
        <w:rPr>
          <w:spacing w:val="-8"/>
        </w:rPr>
        <w:t> </w:t>
      </w:r>
      <w:r>
        <w:rPr/>
        <w:t>previsiones</w:t>
      </w:r>
      <w:r>
        <w:rPr>
          <w:spacing w:val="-8"/>
        </w:rPr>
        <w:t> </w:t>
      </w:r>
      <w:r>
        <w:rPr/>
        <w:t>del</w:t>
      </w:r>
      <w:r>
        <w:rPr>
          <w:spacing w:val="-10"/>
        </w:rPr>
        <w:t> </w:t>
      </w:r>
      <w:r>
        <w:rPr/>
        <w:t>Plan</w:t>
      </w:r>
      <w:r>
        <w:rPr>
          <w:spacing w:val="-7"/>
        </w:rPr>
        <w:t> </w:t>
      </w:r>
      <w:r>
        <w:rPr/>
        <w:t>Estatal</w:t>
      </w:r>
      <w:r>
        <w:rPr>
          <w:spacing w:val="-7"/>
        </w:rPr>
        <w:t> </w:t>
      </w:r>
      <w:r>
        <w:rPr/>
        <w:t>de</w:t>
      </w:r>
      <w:r>
        <w:rPr>
          <w:spacing w:val="-9"/>
        </w:rPr>
        <w:t> </w:t>
      </w:r>
      <w:r>
        <w:rPr/>
        <w:t>Desarrollo, y contendrá además de lo señalado en el artículo 68 de esta Ley, lo siguiente:</w:t>
      </w:r>
    </w:p>
    <w:p>
      <w:pPr>
        <w:pStyle w:val="ListParagraph"/>
        <w:numPr>
          <w:ilvl w:val="0"/>
          <w:numId w:val="38"/>
        </w:numPr>
        <w:tabs>
          <w:tab w:pos="543" w:val="left" w:leader="none"/>
        </w:tabs>
        <w:spacing w:line="240" w:lineRule="auto" w:before="229" w:after="0"/>
        <w:ind w:left="262" w:right="287" w:firstLine="0"/>
        <w:jc w:val="both"/>
        <w:rPr>
          <w:sz w:val="20"/>
        </w:rPr>
      </w:pPr>
      <w:r>
        <w:rPr>
          <w:sz w:val="20"/>
        </w:rPr>
        <w:t>El diagnóstico de la situación del Ordenamiento Territorial y los Asentamientos Humanos en el Estado, que incluya, entre otros elementos:</w:t>
      </w:r>
    </w:p>
    <w:p>
      <w:pPr>
        <w:pStyle w:val="BodyText"/>
        <w:spacing w:before="2"/>
      </w:pPr>
    </w:p>
    <w:p>
      <w:pPr>
        <w:pStyle w:val="ListParagraph"/>
        <w:numPr>
          <w:ilvl w:val="1"/>
          <w:numId w:val="38"/>
        </w:numPr>
        <w:tabs>
          <w:tab w:pos="544" w:val="left" w:leader="none"/>
        </w:tabs>
        <w:spacing w:line="240" w:lineRule="auto" w:before="0" w:after="0"/>
        <w:ind w:left="262" w:right="285" w:firstLine="0"/>
        <w:jc w:val="both"/>
        <w:rPr>
          <w:sz w:val="20"/>
        </w:rPr>
      </w:pPr>
      <w:r>
        <w:rPr>
          <w:spacing w:val="-2"/>
          <w:sz w:val="20"/>
        </w:rPr>
        <w:t>La</w:t>
      </w:r>
      <w:r>
        <w:rPr>
          <w:spacing w:val="-6"/>
          <w:sz w:val="20"/>
        </w:rPr>
        <w:t> </w:t>
      </w:r>
      <w:r>
        <w:rPr>
          <w:spacing w:val="-2"/>
          <w:sz w:val="20"/>
        </w:rPr>
        <w:t>vinculación</w:t>
      </w:r>
      <w:r>
        <w:rPr>
          <w:spacing w:val="-5"/>
          <w:sz w:val="20"/>
        </w:rPr>
        <w:t> </w:t>
      </w:r>
      <w:r>
        <w:rPr>
          <w:spacing w:val="-2"/>
          <w:sz w:val="20"/>
        </w:rPr>
        <w:t>económica,</w:t>
      </w:r>
      <w:r>
        <w:rPr>
          <w:spacing w:val="-5"/>
          <w:sz w:val="20"/>
        </w:rPr>
        <w:t> </w:t>
      </w:r>
      <w:r>
        <w:rPr>
          <w:spacing w:val="-2"/>
          <w:sz w:val="20"/>
        </w:rPr>
        <w:t>social</w:t>
      </w:r>
      <w:r>
        <w:rPr>
          <w:spacing w:val="-6"/>
          <w:sz w:val="20"/>
        </w:rPr>
        <w:t> </w:t>
      </w:r>
      <w:r>
        <w:rPr>
          <w:spacing w:val="-2"/>
          <w:sz w:val="20"/>
        </w:rPr>
        <w:t>y</w:t>
      </w:r>
      <w:r>
        <w:rPr>
          <w:spacing w:val="-4"/>
          <w:sz w:val="20"/>
        </w:rPr>
        <w:t> </w:t>
      </w:r>
      <w:r>
        <w:rPr>
          <w:spacing w:val="-2"/>
          <w:sz w:val="20"/>
        </w:rPr>
        <w:t>urbana</w:t>
      </w:r>
      <w:r>
        <w:rPr>
          <w:spacing w:val="-5"/>
          <w:sz w:val="20"/>
        </w:rPr>
        <w:t> </w:t>
      </w:r>
      <w:r>
        <w:rPr>
          <w:spacing w:val="-2"/>
          <w:sz w:val="20"/>
        </w:rPr>
        <w:t>del</w:t>
      </w:r>
      <w:r>
        <w:rPr>
          <w:spacing w:val="-6"/>
          <w:sz w:val="20"/>
        </w:rPr>
        <w:t> </w:t>
      </w:r>
      <w:r>
        <w:rPr>
          <w:spacing w:val="-2"/>
          <w:sz w:val="20"/>
        </w:rPr>
        <w:t>Estado</w:t>
      </w:r>
      <w:r>
        <w:rPr>
          <w:spacing w:val="-6"/>
          <w:sz w:val="20"/>
        </w:rPr>
        <w:t> </w:t>
      </w:r>
      <w:r>
        <w:rPr>
          <w:spacing w:val="-2"/>
          <w:sz w:val="20"/>
        </w:rPr>
        <w:t>con</w:t>
      </w:r>
      <w:r>
        <w:rPr>
          <w:spacing w:val="-6"/>
          <w:sz w:val="20"/>
        </w:rPr>
        <w:t> </w:t>
      </w:r>
      <w:r>
        <w:rPr>
          <w:spacing w:val="-2"/>
          <w:sz w:val="20"/>
        </w:rPr>
        <w:t>las</w:t>
      </w:r>
      <w:r>
        <w:rPr>
          <w:spacing w:val="-4"/>
          <w:sz w:val="20"/>
        </w:rPr>
        <w:t> </w:t>
      </w:r>
      <w:r>
        <w:rPr>
          <w:spacing w:val="-2"/>
          <w:sz w:val="20"/>
        </w:rPr>
        <w:t>Entidades</w:t>
      </w:r>
      <w:r>
        <w:rPr>
          <w:spacing w:val="-4"/>
          <w:sz w:val="20"/>
        </w:rPr>
        <w:t> </w:t>
      </w:r>
      <w:r>
        <w:rPr>
          <w:spacing w:val="-2"/>
          <w:sz w:val="20"/>
        </w:rPr>
        <w:t>vecinas</w:t>
      </w:r>
      <w:r>
        <w:rPr>
          <w:spacing w:val="-4"/>
          <w:sz w:val="20"/>
        </w:rPr>
        <w:t> </w:t>
      </w:r>
      <w:r>
        <w:rPr>
          <w:spacing w:val="-2"/>
          <w:sz w:val="20"/>
        </w:rPr>
        <w:t>y</w:t>
      </w:r>
      <w:r>
        <w:rPr>
          <w:spacing w:val="-4"/>
          <w:sz w:val="20"/>
        </w:rPr>
        <w:t> </w:t>
      </w:r>
      <w:r>
        <w:rPr>
          <w:spacing w:val="-2"/>
          <w:sz w:val="20"/>
        </w:rPr>
        <w:t>su</w:t>
      </w:r>
      <w:r>
        <w:rPr>
          <w:spacing w:val="-5"/>
          <w:sz w:val="20"/>
        </w:rPr>
        <w:t> </w:t>
      </w:r>
      <w:r>
        <w:rPr>
          <w:spacing w:val="-2"/>
          <w:sz w:val="20"/>
        </w:rPr>
        <w:t>participación </w:t>
      </w:r>
      <w:r>
        <w:rPr>
          <w:sz w:val="20"/>
        </w:rPr>
        <w:t>en el contexto nacional y su sistema urbano.</w:t>
      </w:r>
    </w:p>
    <w:p>
      <w:pPr>
        <w:pStyle w:val="ListParagraph"/>
        <w:numPr>
          <w:ilvl w:val="1"/>
          <w:numId w:val="38"/>
        </w:numPr>
        <w:tabs>
          <w:tab w:pos="544" w:val="left" w:leader="none"/>
        </w:tabs>
        <w:spacing w:line="240" w:lineRule="auto" w:before="229" w:after="0"/>
        <w:ind w:left="262" w:right="290" w:firstLine="0"/>
        <w:jc w:val="both"/>
        <w:rPr>
          <w:sz w:val="20"/>
        </w:rPr>
      </w:pPr>
      <w:r>
        <w:rPr>
          <w:sz w:val="20"/>
        </w:rPr>
        <w:t>El medio físico natural y sus recursos, la clasificación del suelo según sus usos, e identificación de la unidades territoriales estratégicas.</w:t>
      </w:r>
    </w:p>
    <w:p>
      <w:pPr>
        <w:pStyle w:val="BodyText"/>
        <w:spacing w:before="1"/>
      </w:pPr>
    </w:p>
    <w:p>
      <w:pPr>
        <w:pStyle w:val="ListParagraph"/>
        <w:numPr>
          <w:ilvl w:val="1"/>
          <w:numId w:val="38"/>
        </w:numPr>
        <w:tabs>
          <w:tab w:pos="544" w:val="left" w:leader="none"/>
        </w:tabs>
        <w:spacing w:line="240" w:lineRule="auto" w:before="0" w:after="0"/>
        <w:ind w:left="262" w:right="287" w:firstLine="0"/>
        <w:jc w:val="both"/>
        <w:rPr>
          <w:sz w:val="20"/>
        </w:rPr>
      </w:pPr>
      <w:r>
        <w:rPr>
          <w:sz w:val="20"/>
        </w:rPr>
        <w:t>La</w:t>
      </w:r>
      <w:r>
        <w:rPr>
          <w:spacing w:val="-13"/>
          <w:sz w:val="20"/>
        </w:rPr>
        <w:t> </w:t>
      </w:r>
      <w:r>
        <w:rPr>
          <w:sz w:val="20"/>
        </w:rPr>
        <w:t>identificación</w:t>
      </w:r>
      <w:r>
        <w:rPr>
          <w:spacing w:val="-13"/>
          <w:sz w:val="20"/>
        </w:rPr>
        <w:t> </w:t>
      </w:r>
      <w:r>
        <w:rPr>
          <w:sz w:val="20"/>
        </w:rPr>
        <w:t>de</w:t>
      </w:r>
      <w:r>
        <w:rPr>
          <w:spacing w:val="-13"/>
          <w:sz w:val="20"/>
        </w:rPr>
        <w:t> </w:t>
      </w:r>
      <w:r>
        <w:rPr>
          <w:sz w:val="20"/>
        </w:rPr>
        <w:t>los</w:t>
      </w:r>
      <w:r>
        <w:rPr>
          <w:spacing w:val="-14"/>
          <w:sz w:val="20"/>
        </w:rPr>
        <w:t> </w:t>
      </w:r>
      <w:r>
        <w:rPr>
          <w:sz w:val="20"/>
        </w:rPr>
        <w:t>principales</w:t>
      </w:r>
      <w:r>
        <w:rPr>
          <w:spacing w:val="-14"/>
          <w:sz w:val="20"/>
        </w:rPr>
        <w:t> </w:t>
      </w:r>
      <w:r>
        <w:rPr>
          <w:sz w:val="20"/>
        </w:rPr>
        <w:t>problemas</w:t>
      </w:r>
      <w:r>
        <w:rPr>
          <w:spacing w:val="-11"/>
          <w:sz w:val="20"/>
        </w:rPr>
        <w:t> </w:t>
      </w:r>
      <w:r>
        <w:rPr>
          <w:sz w:val="20"/>
        </w:rPr>
        <w:t>de</w:t>
      </w:r>
      <w:r>
        <w:rPr>
          <w:spacing w:val="-13"/>
          <w:sz w:val="20"/>
        </w:rPr>
        <w:t> </w:t>
      </w:r>
      <w:r>
        <w:rPr>
          <w:sz w:val="20"/>
        </w:rPr>
        <w:t>contaminación</w:t>
      </w:r>
      <w:r>
        <w:rPr>
          <w:spacing w:val="-14"/>
          <w:sz w:val="20"/>
        </w:rPr>
        <w:t> </w:t>
      </w:r>
      <w:r>
        <w:rPr>
          <w:sz w:val="20"/>
        </w:rPr>
        <w:t>ambiental,</w:t>
      </w:r>
      <w:r>
        <w:rPr>
          <w:spacing w:val="-14"/>
          <w:sz w:val="20"/>
        </w:rPr>
        <w:t> </w:t>
      </w:r>
      <w:r>
        <w:rPr>
          <w:sz w:val="20"/>
        </w:rPr>
        <w:t>y</w:t>
      </w:r>
      <w:r>
        <w:rPr>
          <w:spacing w:val="-11"/>
          <w:sz w:val="20"/>
        </w:rPr>
        <w:t> </w:t>
      </w:r>
      <w:r>
        <w:rPr>
          <w:sz w:val="20"/>
        </w:rPr>
        <w:t>de</w:t>
      </w:r>
      <w:r>
        <w:rPr>
          <w:spacing w:val="-13"/>
          <w:sz w:val="20"/>
        </w:rPr>
        <w:t> </w:t>
      </w:r>
      <w:r>
        <w:rPr>
          <w:sz w:val="20"/>
        </w:rPr>
        <w:t>riesgos</w:t>
      </w:r>
      <w:r>
        <w:rPr>
          <w:spacing w:val="-13"/>
          <w:sz w:val="20"/>
        </w:rPr>
        <w:t> </w:t>
      </w:r>
      <w:r>
        <w:rPr>
          <w:sz w:val="20"/>
        </w:rPr>
        <w:t>naturales y antropogénicos, sus causas, perspectivas y posibles soluciones.</w:t>
      </w:r>
    </w:p>
    <w:p>
      <w:pPr>
        <w:pStyle w:val="ListParagraph"/>
        <w:numPr>
          <w:ilvl w:val="1"/>
          <w:numId w:val="38"/>
        </w:numPr>
        <w:tabs>
          <w:tab w:pos="544" w:val="left" w:leader="none"/>
        </w:tabs>
        <w:spacing w:line="240" w:lineRule="auto" w:before="229" w:after="0"/>
        <w:ind w:left="262" w:right="285" w:firstLine="0"/>
        <w:jc w:val="both"/>
        <w:rPr>
          <w:sz w:val="20"/>
        </w:rPr>
      </w:pPr>
      <w:r>
        <w:rPr>
          <w:sz w:val="20"/>
        </w:rPr>
        <w:t>La localización y características, así como el estado de conservación y deterioro y el equipamiento de</w:t>
      </w:r>
      <w:r>
        <w:rPr>
          <w:spacing w:val="-1"/>
          <w:sz w:val="20"/>
        </w:rPr>
        <w:t> </w:t>
      </w:r>
      <w:r>
        <w:rPr>
          <w:sz w:val="20"/>
        </w:rPr>
        <w:t>las áreas naturales en general, de</w:t>
      </w:r>
      <w:r>
        <w:rPr>
          <w:spacing w:val="-1"/>
          <w:sz w:val="20"/>
        </w:rPr>
        <w:t> </w:t>
      </w:r>
      <w:r>
        <w:rPr>
          <w:sz w:val="20"/>
        </w:rPr>
        <w:t>conformidad</w:t>
      </w:r>
      <w:r>
        <w:rPr>
          <w:spacing w:val="-1"/>
          <w:sz w:val="20"/>
        </w:rPr>
        <w:t> </w:t>
      </w:r>
      <w:r>
        <w:rPr>
          <w:sz w:val="20"/>
        </w:rPr>
        <w:t>a</w:t>
      </w:r>
      <w:r>
        <w:rPr>
          <w:spacing w:val="-1"/>
          <w:sz w:val="20"/>
        </w:rPr>
        <w:t> </w:t>
      </w:r>
      <w:r>
        <w:rPr>
          <w:sz w:val="20"/>
        </w:rPr>
        <w:t>lo</w:t>
      </w:r>
      <w:r>
        <w:rPr>
          <w:spacing w:val="-1"/>
          <w:sz w:val="20"/>
        </w:rPr>
        <w:t> </w:t>
      </w:r>
      <w:r>
        <w:rPr>
          <w:sz w:val="20"/>
        </w:rPr>
        <w:t>establecido en</w:t>
      </w:r>
      <w:r>
        <w:rPr>
          <w:spacing w:val="-1"/>
          <w:sz w:val="20"/>
        </w:rPr>
        <w:t> </w:t>
      </w:r>
      <w:r>
        <w:rPr>
          <w:sz w:val="20"/>
        </w:rPr>
        <w:t>los programas de ordenamiento ecológico.</w:t>
      </w:r>
    </w:p>
    <w:p>
      <w:pPr>
        <w:pStyle w:val="ListParagraph"/>
        <w:numPr>
          <w:ilvl w:val="1"/>
          <w:numId w:val="38"/>
        </w:numPr>
        <w:tabs>
          <w:tab w:pos="544" w:val="left" w:leader="none"/>
        </w:tabs>
        <w:spacing w:line="240" w:lineRule="auto" w:before="230" w:after="0"/>
        <w:ind w:left="544" w:right="0" w:hanging="282"/>
        <w:jc w:val="both"/>
        <w:rPr>
          <w:sz w:val="20"/>
        </w:rPr>
      </w:pPr>
      <w:r>
        <w:rPr>
          <w:sz w:val="20"/>
        </w:rPr>
        <w:t>La</w:t>
      </w:r>
      <w:r>
        <w:rPr>
          <w:spacing w:val="-8"/>
          <w:sz w:val="20"/>
        </w:rPr>
        <w:t> </w:t>
      </w:r>
      <w:r>
        <w:rPr>
          <w:sz w:val="20"/>
        </w:rPr>
        <w:t>clasificación</w:t>
      </w:r>
      <w:r>
        <w:rPr>
          <w:spacing w:val="-5"/>
          <w:sz w:val="20"/>
        </w:rPr>
        <w:t> </w:t>
      </w:r>
      <w:r>
        <w:rPr>
          <w:sz w:val="20"/>
        </w:rPr>
        <w:t>de</w:t>
      </w:r>
      <w:r>
        <w:rPr>
          <w:spacing w:val="-5"/>
          <w:sz w:val="20"/>
        </w:rPr>
        <w:t> </w:t>
      </w:r>
      <w:r>
        <w:rPr>
          <w:sz w:val="20"/>
        </w:rPr>
        <w:t>la</w:t>
      </w:r>
      <w:r>
        <w:rPr>
          <w:spacing w:val="-5"/>
          <w:sz w:val="20"/>
        </w:rPr>
        <w:t> </w:t>
      </w:r>
      <w:r>
        <w:rPr>
          <w:sz w:val="20"/>
        </w:rPr>
        <w:t>aptitud</w:t>
      </w:r>
      <w:r>
        <w:rPr>
          <w:spacing w:val="-6"/>
          <w:sz w:val="20"/>
        </w:rPr>
        <w:t> </w:t>
      </w:r>
      <w:r>
        <w:rPr>
          <w:sz w:val="20"/>
        </w:rPr>
        <w:t>del</w:t>
      </w:r>
      <w:r>
        <w:rPr>
          <w:spacing w:val="-7"/>
          <w:sz w:val="20"/>
        </w:rPr>
        <w:t> </w:t>
      </w:r>
      <w:r>
        <w:rPr>
          <w:sz w:val="20"/>
        </w:rPr>
        <w:t>suelo</w:t>
      </w:r>
      <w:r>
        <w:rPr>
          <w:spacing w:val="-5"/>
          <w:sz w:val="20"/>
        </w:rPr>
        <w:t> </w:t>
      </w:r>
      <w:r>
        <w:rPr>
          <w:sz w:val="20"/>
        </w:rPr>
        <w:t>en</w:t>
      </w:r>
      <w:r>
        <w:rPr>
          <w:spacing w:val="-7"/>
          <w:sz w:val="20"/>
        </w:rPr>
        <w:t> </w:t>
      </w:r>
      <w:r>
        <w:rPr>
          <w:sz w:val="20"/>
        </w:rPr>
        <w:t>el</w:t>
      </w:r>
      <w:r>
        <w:rPr>
          <w:spacing w:val="-7"/>
          <w:sz w:val="20"/>
        </w:rPr>
        <w:t> </w:t>
      </w:r>
      <w:r>
        <w:rPr>
          <w:sz w:val="20"/>
        </w:rPr>
        <w:t>territorio</w:t>
      </w:r>
      <w:r>
        <w:rPr>
          <w:spacing w:val="-6"/>
          <w:sz w:val="20"/>
        </w:rPr>
        <w:t> </w:t>
      </w:r>
      <w:r>
        <w:rPr>
          <w:sz w:val="20"/>
        </w:rPr>
        <w:t>del</w:t>
      </w:r>
      <w:r>
        <w:rPr>
          <w:spacing w:val="-8"/>
          <w:sz w:val="20"/>
        </w:rPr>
        <w:t> </w:t>
      </w:r>
      <w:r>
        <w:rPr>
          <w:spacing w:val="-2"/>
          <w:sz w:val="20"/>
        </w:rPr>
        <w:t>estado.</w:t>
      </w:r>
    </w:p>
    <w:p>
      <w:pPr>
        <w:pStyle w:val="BodyText"/>
      </w:pPr>
    </w:p>
    <w:p>
      <w:pPr>
        <w:pStyle w:val="ListParagraph"/>
        <w:numPr>
          <w:ilvl w:val="1"/>
          <w:numId w:val="38"/>
        </w:numPr>
        <w:tabs>
          <w:tab w:pos="543" w:val="left" w:leader="none"/>
        </w:tabs>
        <w:spacing w:line="240" w:lineRule="auto" w:before="0" w:after="0"/>
        <w:ind w:left="262" w:right="290" w:firstLine="0"/>
        <w:jc w:val="both"/>
        <w:rPr>
          <w:sz w:val="20"/>
        </w:rPr>
      </w:pPr>
      <w:r>
        <w:rPr>
          <w:sz w:val="20"/>
        </w:rPr>
        <w:t>Las características de la población y su distribución territorial, así como su dinámica de </w:t>
      </w:r>
      <w:r>
        <w:rPr>
          <w:spacing w:val="-2"/>
          <w:sz w:val="20"/>
        </w:rPr>
        <w:t>crecimiento.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38"/>
        </w:numPr>
        <w:tabs>
          <w:tab w:pos="544" w:val="left" w:leader="none"/>
        </w:tabs>
        <w:spacing w:line="240" w:lineRule="auto" w:before="0" w:after="0"/>
        <w:ind w:left="262" w:right="291" w:firstLine="0"/>
        <w:jc w:val="both"/>
        <w:rPr>
          <w:sz w:val="20"/>
        </w:rPr>
      </w:pPr>
      <w:r>
        <w:rPr>
          <w:sz w:val="20"/>
        </w:rPr>
        <w:t>Las características de las actividades económicas y su distribución en el territorio, y su participación en la economía nacional.</w:t>
      </w:r>
    </w:p>
    <w:p>
      <w:pPr>
        <w:pStyle w:val="BodyText"/>
        <w:spacing w:before="1"/>
      </w:pPr>
    </w:p>
    <w:p>
      <w:pPr>
        <w:pStyle w:val="ListParagraph"/>
        <w:numPr>
          <w:ilvl w:val="1"/>
          <w:numId w:val="38"/>
        </w:numPr>
        <w:tabs>
          <w:tab w:pos="544" w:val="left" w:leader="none"/>
        </w:tabs>
        <w:spacing w:line="240" w:lineRule="auto" w:before="1" w:after="0"/>
        <w:ind w:left="262" w:right="288" w:firstLine="0"/>
        <w:jc w:val="both"/>
        <w:rPr>
          <w:sz w:val="20"/>
        </w:rPr>
      </w:pPr>
      <w:r>
        <w:rPr>
          <w:sz w:val="20"/>
        </w:rPr>
        <w:t>La ubicación de los centros de población urbanos y rurales, su relación con las actividades productivas y económicas, su nivel de servicios y su relación con otros centros de población.</w:t>
      </w:r>
    </w:p>
    <w:p>
      <w:pPr>
        <w:pStyle w:val="ListParagraph"/>
        <w:numPr>
          <w:ilvl w:val="1"/>
          <w:numId w:val="38"/>
        </w:numPr>
        <w:tabs>
          <w:tab w:pos="543" w:val="left" w:leader="none"/>
        </w:tabs>
        <w:spacing w:line="240" w:lineRule="auto" w:before="228" w:after="0"/>
        <w:ind w:left="262" w:right="286" w:firstLine="0"/>
        <w:jc w:val="both"/>
        <w:rPr>
          <w:sz w:val="20"/>
        </w:rPr>
      </w:pPr>
      <w:r>
        <w:rPr>
          <w:sz w:val="20"/>
        </w:rPr>
        <w:t>La</w:t>
      </w:r>
      <w:r>
        <w:rPr>
          <w:spacing w:val="-4"/>
          <w:sz w:val="20"/>
        </w:rPr>
        <w:t> </w:t>
      </w:r>
      <w:r>
        <w:rPr>
          <w:sz w:val="20"/>
        </w:rPr>
        <w:t>infraestructura,</w:t>
      </w:r>
      <w:r>
        <w:rPr>
          <w:spacing w:val="-3"/>
          <w:sz w:val="20"/>
        </w:rPr>
        <w:t> </w:t>
      </w:r>
      <w:r>
        <w:rPr>
          <w:sz w:val="20"/>
        </w:rPr>
        <w:t>equipamiento</w:t>
      </w:r>
      <w:r>
        <w:rPr>
          <w:spacing w:val="-5"/>
          <w:sz w:val="20"/>
        </w:rPr>
        <w:t> </w:t>
      </w:r>
      <w:r>
        <w:rPr>
          <w:sz w:val="20"/>
        </w:rPr>
        <w:t>y</w:t>
      </w:r>
      <w:r>
        <w:rPr>
          <w:spacing w:val="-4"/>
          <w:sz w:val="20"/>
        </w:rPr>
        <w:t> </w:t>
      </w:r>
      <w:r>
        <w:rPr>
          <w:sz w:val="20"/>
        </w:rPr>
        <w:t>servicios</w:t>
      </w:r>
      <w:r>
        <w:rPr>
          <w:spacing w:val="-4"/>
          <w:sz w:val="20"/>
        </w:rPr>
        <w:t> </w:t>
      </w:r>
      <w:r>
        <w:rPr>
          <w:sz w:val="20"/>
        </w:rPr>
        <w:t>públicos</w:t>
      </w:r>
      <w:r>
        <w:rPr>
          <w:spacing w:val="-4"/>
          <w:sz w:val="20"/>
        </w:rPr>
        <w:t> </w:t>
      </w:r>
      <w:r>
        <w:rPr>
          <w:sz w:val="20"/>
        </w:rPr>
        <w:t>estatales</w:t>
      </w:r>
      <w:r>
        <w:rPr>
          <w:spacing w:val="-4"/>
          <w:sz w:val="20"/>
        </w:rPr>
        <w:t> </w:t>
      </w:r>
      <w:r>
        <w:rPr>
          <w:sz w:val="20"/>
        </w:rPr>
        <w:t>y</w:t>
      </w:r>
      <w:r>
        <w:rPr>
          <w:spacing w:val="-4"/>
          <w:sz w:val="20"/>
        </w:rPr>
        <w:t> </w:t>
      </w:r>
      <w:r>
        <w:rPr>
          <w:sz w:val="20"/>
        </w:rPr>
        <w:t>regionales,</w:t>
      </w:r>
      <w:r>
        <w:rPr>
          <w:spacing w:val="-5"/>
          <w:sz w:val="20"/>
        </w:rPr>
        <w:t> </w:t>
      </w:r>
      <w:r>
        <w:rPr>
          <w:sz w:val="20"/>
        </w:rPr>
        <w:t>así</w:t>
      </w:r>
      <w:r>
        <w:rPr>
          <w:spacing w:val="-3"/>
          <w:sz w:val="20"/>
        </w:rPr>
        <w:t> </w:t>
      </w:r>
      <w:r>
        <w:rPr>
          <w:sz w:val="20"/>
        </w:rPr>
        <w:t>como</w:t>
      </w:r>
      <w:r>
        <w:rPr>
          <w:spacing w:val="-3"/>
          <w:sz w:val="20"/>
        </w:rPr>
        <w:t> </w:t>
      </w:r>
      <w:r>
        <w:rPr>
          <w:sz w:val="20"/>
        </w:rPr>
        <w:t>el</w:t>
      </w:r>
      <w:r>
        <w:rPr>
          <w:spacing w:val="-4"/>
          <w:sz w:val="20"/>
        </w:rPr>
        <w:t> </w:t>
      </w:r>
      <w:r>
        <w:rPr>
          <w:sz w:val="20"/>
        </w:rPr>
        <w:t>balance de sus características y capacidades globales en relación a la población y las necesidades por </w:t>
      </w:r>
      <w:r>
        <w:rPr>
          <w:spacing w:val="-2"/>
          <w:sz w:val="20"/>
        </w:rPr>
        <w:t>atender.</w:t>
      </w:r>
    </w:p>
    <w:p>
      <w:pPr>
        <w:pStyle w:val="BodyText"/>
      </w:pPr>
    </w:p>
    <w:p>
      <w:pPr>
        <w:pStyle w:val="ListParagraph"/>
        <w:numPr>
          <w:ilvl w:val="1"/>
          <w:numId w:val="38"/>
        </w:numPr>
        <w:tabs>
          <w:tab w:pos="543" w:val="left" w:leader="none"/>
        </w:tabs>
        <w:spacing w:line="240" w:lineRule="auto" w:before="0" w:after="0"/>
        <w:ind w:left="262" w:right="286" w:firstLine="0"/>
        <w:jc w:val="both"/>
        <w:rPr>
          <w:sz w:val="20"/>
        </w:rPr>
      </w:pPr>
      <w:r>
        <w:rPr>
          <w:sz w:val="20"/>
        </w:rPr>
        <w:t>La administración estatal del desarrollo urbano, sus procedimientos y normatividad, recursos, instrumentos de gestión y de participación social;</w:t>
      </w:r>
    </w:p>
    <w:p>
      <w:pPr>
        <w:pStyle w:val="BodyText"/>
        <w:spacing w:before="1"/>
      </w:pPr>
    </w:p>
    <w:p>
      <w:pPr>
        <w:pStyle w:val="ListParagraph"/>
        <w:numPr>
          <w:ilvl w:val="0"/>
          <w:numId w:val="38"/>
        </w:numPr>
        <w:tabs>
          <w:tab w:pos="543" w:val="left" w:leader="none"/>
        </w:tabs>
        <w:spacing w:line="240" w:lineRule="auto" w:before="1" w:after="0"/>
        <w:ind w:left="543" w:right="0" w:hanging="281"/>
        <w:jc w:val="both"/>
        <w:rPr>
          <w:sz w:val="20"/>
        </w:rPr>
      </w:pPr>
      <w:r>
        <w:rPr>
          <w:sz w:val="20"/>
        </w:rPr>
        <w:t>La</w:t>
      </w:r>
      <w:r>
        <w:rPr>
          <w:spacing w:val="-9"/>
          <w:sz w:val="20"/>
        </w:rPr>
        <w:t> </w:t>
      </w:r>
      <w:r>
        <w:rPr>
          <w:sz w:val="20"/>
        </w:rPr>
        <w:t>regionalización</w:t>
      </w:r>
      <w:r>
        <w:rPr>
          <w:spacing w:val="-7"/>
          <w:sz w:val="20"/>
        </w:rPr>
        <w:t> </w:t>
      </w:r>
      <w:r>
        <w:rPr>
          <w:sz w:val="20"/>
        </w:rPr>
        <w:t>del</w:t>
      </w:r>
      <w:r>
        <w:rPr>
          <w:spacing w:val="-7"/>
          <w:sz w:val="20"/>
        </w:rPr>
        <w:t> </w:t>
      </w:r>
      <w:r>
        <w:rPr>
          <w:sz w:val="20"/>
        </w:rPr>
        <w:t>Estado,</w:t>
      </w:r>
      <w:r>
        <w:rPr>
          <w:spacing w:val="-7"/>
          <w:sz w:val="20"/>
        </w:rPr>
        <w:t> </w:t>
      </w:r>
      <w:r>
        <w:rPr>
          <w:sz w:val="20"/>
        </w:rPr>
        <w:t>mediante</w:t>
      </w:r>
      <w:r>
        <w:rPr>
          <w:spacing w:val="-6"/>
          <w:sz w:val="20"/>
        </w:rPr>
        <w:t> </w:t>
      </w:r>
      <w:r>
        <w:rPr>
          <w:sz w:val="20"/>
        </w:rPr>
        <w:t>la</w:t>
      </w:r>
      <w:r>
        <w:rPr>
          <w:spacing w:val="-8"/>
          <w:sz w:val="20"/>
        </w:rPr>
        <w:t> </w:t>
      </w:r>
      <w:r>
        <w:rPr>
          <w:sz w:val="20"/>
        </w:rPr>
        <w:t>suma</w:t>
      </w:r>
      <w:r>
        <w:rPr>
          <w:spacing w:val="-7"/>
          <w:sz w:val="20"/>
        </w:rPr>
        <w:t> </w:t>
      </w:r>
      <w:r>
        <w:rPr>
          <w:sz w:val="20"/>
        </w:rPr>
        <w:t>y</w:t>
      </w:r>
      <w:r>
        <w:rPr>
          <w:spacing w:val="-7"/>
          <w:sz w:val="20"/>
        </w:rPr>
        <w:t> </w:t>
      </w:r>
      <w:r>
        <w:rPr>
          <w:sz w:val="20"/>
        </w:rPr>
        <w:t>articulación</w:t>
      </w:r>
      <w:r>
        <w:rPr>
          <w:spacing w:val="-7"/>
          <w:sz w:val="20"/>
        </w:rPr>
        <w:t> </w:t>
      </w:r>
      <w:r>
        <w:rPr>
          <w:sz w:val="20"/>
        </w:rPr>
        <w:t>de</w:t>
      </w:r>
      <w:r>
        <w:rPr>
          <w:spacing w:val="-8"/>
          <w:sz w:val="20"/>
        </w:rPr>
        <w:t> </w:t>
      </w:r>
      <w:r>
        <w:rPr>
          <w:sz w:val="20"/>
        </w:rPr>
        <w:t>sistemas</w:t>
      </w:r>
      <w:r>
        <w:rPr>
          <w:spacing w:val="-6"/>
          <w:sz w:val="20"/>
        </w:rPr>
        <w:t> </w:t>
      </w:r>
      <w:r>
        <w:rPr>
          <w:sz w:val="20"/>
        </w:rPr>
        <w:t>urbano</w:t>
      </w:r>
      <w:r>
        <w:rPr>
          <w:spacing w:val="-8"/>
          <w:sz w:val="20"/>
        </w:rPr>
        <w:t> </w:t>
      </w:r>
      <w:r>
        <w:rPr>
          <w:spacing w:val="-2"/>
          <w:sz w:val="20"/>
        </w:rPr>
        <w:t>rurales;</w:t>
      </w:r>
    </w:p>
    <w:p>
      <w:pPr>
        <w:pStyle w:val="BodyText"/>
      </w:pPr>
    </w:p>
    <w:p>
      <w:pPr>
        <w:pStyle w:val="ListParagraph"/>
        <w:numPr>
          <w:ilvl w:val="0"/>
          <w:numId w:val="38"/>
        </w:numPr>
        <w:tabs>
          <w:tab w:pos="741" w:val="left" w:leader="none"/>
        </w:tabs>
        <w:spacing w:line="240" w:lineRule="auto" w:before="0" w:after="0"/>
        <w:ind w:left="262" w:right="278" w:firstLine="0"/>
        <w:jc w:val="both"/>
        <w:rPr>
          <w:sz w:val="20"/>
        </w:rPr>
      </w:pPr>
      <w:r>
        <w:rPr>
          <w:sz w:val="20"/>
        </w:rPr>
        <w:t>La caracterización de las principales ciudades y zonas metropolitanas, de acuerdo a sus condiciones socioeconómicas y culturales, su localización en el entorno regional y estatal, sus </w:t>
      </w:r>
      <w:r>
        <w:rPr>
          <w:spacing w:val="-2"/>
          <w:sz w:val="20"/>
        </w:rPr>
        <w:t>capacidades de</w:t>
      </w:r>
      <w:r>
        <w:rPr>
          <w:spacing w:val="-4"/>
          <w:sz w:val="20"/>
        </w:rPr>
        <w:t> </w:t>
      </w:r>
      <w:r>
        <w:rPr>
          <w:spacing w:val="-2"/>
          <w:sz w:val="20"/>
        </w:rPr>
        <w:t>absorción</w:t>
      </w:r>
      <w:r>
        <w:rPr>
          <w:spacing w:val="-4"/>
          <w:sz w:val="20"/>
        </w:rPr>
        <w:t> </w:t>
      </w:r>
      <w:r>
        <w:rPr>
          <w:spacing w:val="-2"/>
          <w:sz w:val="20"/>
        </w:rPr>
        <w:t>de</w:t>
      </w:r>
      <w:r>
        <w:rPr>
          <w:spacing w:val="-7"/>
          <w:sz w:val="20"/>
        </w:rPr>
        <w:t> </w:t>
      </w:r>
      <w:r>
        <w:rPr>
          <w:spacing w:val="-2"/>
          <w:sz w:val="20"/>
        </w:rPr>
        <w:t>población</w:t>
      </w:r>
      <w:r>
        <w:rPr>
          <w:spacing w:val="-7"/>
          <w:sz w:val="20"/>
        </w:rPr>
        <w:t> </w:t>
      </w:r>
      <w:r>
        <w:rPr>
          <w:spacing w:val="-2"/>
          <w:sz w:val="20"/>
        </w:rPr>
        <w:t>y actividades,</w:t>
      </w:r>
      <w:r>
        <w:rPr>
          <w:spacing w:val="-5"/>
          <w:sz w:val="20"/>
        </w:rPr>
        <w:t> </w:t>
      </w:r>
      <w:r>
        <w:rPr>
          <w:spacing w:val="-2"/>
          <w:sz w:val="20"/>
        </w:rPr>
        <w:t>y su</w:t>
      </w:r>
      <w:r>
        <w:rPr>
          <w:spacing w:val="-7"/>
          <w:sz w:val="20"/>
        </w:rPr>
        <w:t> </w:t>
      </w:r>
      <w:r>
        <w:rPr>
          <w:spacing w:val="-2"/>
          <w:sz w:val="20"/>
        </w:rPr>
        <w:t>crecimiento</w:t>
      </w:r>
      <w:r>
        <w:rPr>
          <w:spacing w:val="-7"/>
          <w:sz w:val="20"/>
        </w:rPr>
        <w:t> </w:t>
      </w:r>
      <w:r>
        <w:rPr>
          <w:spacing w:val="-2"/>
          <w:sz w:val="20"/>
        </w:rPr>
        <w:t>con</w:t>
      </w:r>
      <w:r>
        <w:rPr>
          <w:spacing w:val="-7"/>
          <w:sz w:val="20"/>
        </w:rPr>
        <w:t> </w:t>
      </w:r>
      <w:r>
        <w:rPr>
          <w:spacing w:val="-2"/>
          <w:sz w:val="20"/>
        </w:rPr>
        <w:t>relación a</w:t>
      </w:r>
      <w:r>
        <w:rPr>
          <w:spacing w:val="-7"/>
          <w:sz w:val="20"/>
        </w:rPr>
        <w:t> </w:t>
      </w:r>
      <w:r>
        <w:rPr>
          <w:spacing w:val="-2"/>
          <w:sz w:val="20"/>
        </w:rPr>
        <w:t>las</w:t>
      </w:r>
      <w:r>
        <w:rPr>
          <w:spacing w:val="-5"/>
          <w:sz w:val="20"/>
        </w:rPr>
        <w:t> </w:t>
      </w:r>
      <w:r>
        <w:rPr>
          <w:spacing w:val="-2"/>
          <w:sz w:val="20"/>
        </w:rPr>
        <w:t>condiciones </w:t>
      </w:r>
      <w:r>
        <w:rPr>
          <w:sz w:val="20"/>
        </w:rPr>
        <w:t>ambientales, en particular de acceso al agua y aptitud del suelo;</w:t>
      </w:r>
    </w:p>
    <w:p>
      <w:pPr>
        <w:pStyle w:val="BodyText"/>
      </w:pPr>
    </w:p>
    <w:p>
      <w:pPr>
        <w:pStyle w:val="ListParagraph"/>
        <w:numPr>
          <w:ilvl w:val="0"/>
          <w:numId w:val="38"/>
        </w:numPr>
        <w:tabs>
          <w:tab w:pos="688" w:val="left" w:leader="none"/>
        </w:tabs>
        <w:spacing w:line="240" w:lineRule="auto" w:before="0" w:after="0"/>
        <w:ind w:left="262" w:right="287" w:firstLine="0"/>
        <w:jc w:val="both"/>
        <w:rPr>
          <w:sz w:val="20"/>
        </w:rPr>
      </w:pPr>
      <w:r>
        <w:rPr>
          <w:sz w:val="20"/>
        </w:rPr>
        <w:t>La evaluación del Programa Estatal de Ordenamiento territorial y Desarrollo Urbano vigente, identificando los logros alcanzados;</w:t>
      </w:r>
    </w:p>
    <w:p>
      <w:pPr>
        <w:pStyle w:val="ListParagraph"/>
        <w:numPr>
          <w:ilvl w:val="0"/>
          <w:numId w:val="38"/>
        </w:numPr>
        <w:tabs>
          <w:tab w:pos="688" w:val="left" w:leader="none"/>
        </w:tabs>
        <w:spacing w:line="240" w:lineRule="auto" w:before="229" w:after="0"/>
        <w:ind w:left="262" w:right="274" w:firstLine="0"/>
        <w:jc w:val="both"/>
        <w:rPr>
          <w:sz w:val="20"/>
        </w:rPr>
      </w:pPr>
      <w:r>
        <w:rPr>
          <w:sz w:val="20"/>
        </w:rPr>
        <w:t>Los lineamientos, políticas y acciones que incidan en el estado y que establezcan la congruencia con el Plan Nacional de Desarrollo y los Programas relacionados con la materia que derivan de él, así como con el Programa Estatal de Desarrollo y el Programa Estatal de Ordenamiento Ecológico;</w:t>
      </w:r>
    </w:p>
    <w:p>
      <w:pPr>
        <w:pStyle w:val="BodyText"/>
      </w:pPr>
    </w:p>
    <w:p>
      <w:pPr>
        <w:pStyle w:val="ListParagraph"/>
        <w:numPr>
          <w:ilvl w:val="0"/>
          <w:numId w:val="38"/>
        </w:numPr>
        <w:tabs>
          <w:tab w:pos="827" w:val="left" w:leader="none"/>
        </w:tabs>
        <w:spacing w:line="240" w:lineRule="auto" w:before="0" w:after="0"/>
        <w:ind w:left="262" w:right="287" w:firstLine="0"/>
        <w:jc w:val="both"/>
        <w:rPr>
          <w:sz w:val="20"/>
        </w:rPr>
      </w:pPr>
      <w:r>
        <w:rPr>
          <w:sz w:val="20"/>
        </w:rPr>
        <w:t>La prospectiva de crecimiento poblacional y la identificación de requerimientos de suelo, vivienda, equipamiento e infraestructura en el escenario de planeación;</w:t>
      </w:r>
    </w:p>
    <w:p>
      <w:pPr>
        <w:pStyle w:val="BodyText"/>
        <w:spacing w:before="1"/>
      </w:pPr>
    </w:p>
    <w:p>
      <w:pPr>
        <w:pStyle w:val="ListParagraph"/>
        <w:numPr>
          <w:ilvl w:val="0"/>
          <w:numId w:val="38"/>
        </w:numPr>
        <w:tabs>
          <w:tab w:pos="827" w:val="left" w:leader="none"/>
        </w:tabs>
        <w:spacing w:line="240" w:lineRule="auto" w:before="0" w:after="0"/>
        <w:ind w:left="262" w:right="283" w:firstLine="0"/>
        <w:jc w:val="both"/>
        <w:rPr>
          <w:sz w:val="20"/>
        </w:rPr>
      </w:pPr>
      <w:r>
        <w:rPr>
          <w:sz w:val="20"/>
        </w:rPr>
        <w:t>Las definiciones territoriales para la dotación de la infraestructura, equipamientos e instalaciones fundamentales para el desarrollo de las regiones y el estado, y las prioridades de localización y ejecución en el tiempo;</w:t>
      </w:r>
    </w:p>
    <w:p>
      <w:pPr>
        <w:pStyle w:val="ListParagraph"/>
        <w:numPr>
          <w:ilvl w:val="0"/>
          <w:numId w:val="38"/>
        </w:numPr>
        <w:tabs>
          <w:tab w:pos="827" w:val="left" w:leader="none"/>
        </w:tabs>
        <w:spacing w:line="240" w:lineRule="auto" w:before="230" w:after="0"/>
        <w:ind w:left="262" w:right="284" w:firstLine="0"/>
        <w:jc w:val="both"/>
        <w:rPr>
          <w:sz w:val="20"/>
        </w:rPr>
      </w:pPr>
      <w:r>
        <w:rPr>
          <w:sz w:val="20"/>
        </w:rPr>
        <w:t>La</w:t>
      </w:r>
      <w:r>
        <w:rPr>
          <w:spacing w:val="-7"/>
          <w:sz w:val="20"/>
        </w:rPr>
        <w:t> </w:t>
      </w:r>
      <w:r>
        <w:rPr>
          <w:sz w:val="20"/>
        </w:rPr>
        <w:t>estrategia</w:t>
      </w:r>
      <w:r>
        <w:rPr>
          <w:spacing w:val="-7"/>
          <w:sz w:val="20"/>
        </w:rPr>
        <w:t> </w:t>
      </w:r>
      <w:r>
        <w:rPr>
          <w:sz w:val="20"/>
        </w:rPr>
        <w:t>general</w:t>
      </w:r>
      <w:r>
        <w:rPr>
          <w:spacing w:val="-7"/>
          <w:sz w:val="20"/>
        </w:rPr>
        <w:t> </w:t>
      </w:r>
      <w:r>
        <w:rPr>
          <w:sz w:val="20"/>
        </w:rPr>
        <w:t>del</w:t>
      </w:r>
      <w:r>
        <w:rPr>
          <w:spacing w:val="-7"/>
          <w:sz w:val="20"/>
        </w:rPr>
        <w:t> </w:t>
      </w:r>
      <w:r>
        <w:rPr>
          <w:sz w:val="20"/>
        </w:rPr>
        <w:t>desarrollo</w:t>
      </w:r>
      <w:r>
        <w:rPr>
          <w:spacing w:val="-7"/>
          <w:sz w:val="20"/>
        </w:rPr>
        <w:t> </w:t>
      </w:r>
      <w:r>
        <w:rPr>
          <w:sz w:val="20"/>
        </w:rPr>
        <w:t>urbano</w:t>
      </w:r>
      <w:r>
        <w:rPr>
          <w:spacing w:val="-7"/>
          <w:sz w:val="20"/>
        </w:rPr>
        <w:t> </w:t>
      </w:r>
      <w:r>
        <w:rPr>
          <w:sz w:val="20"/>
        </w:rPr>
        <w:t>y</w:t>
      </w:r>
      <w:r>
        <w:rPr>
          <w:spacing w:val="-5"/>
          <w:sz w:val="20"/>
        </w:rPr>
        <w:t> </w:t>
      </w:r>
      <w:r>
        <w:rPr>
          <w:sz w:val="20"/>
        </w:rPr>
        <w:t>el</w:t>
      </w:r>
      <w:r>
        <w:rPr>
          <w:spacing w:val="-5"/>
          <w:sz w:val="20"/>
        </w:rPr>
        <w:t> </w:t>
      </w:r>
      <w:r>
        <w:rPr>
          <w:sz w:val="20"/>
        </w:rPr>
        <w:t>ordenamiento</w:t>
      </w:r>
      <w:r>
        <w:rPr>
          <w:spacing w:val="-5"/>
          <w:sz w:val="20"/>
        </w:rPr>
        <w:t> </w:t>
      </w:r>
      <w:r>
        <w:rPr>
          <w:sz w:val="20"/>
        </w:rPr>
        <w:t>del</w:t>
      </w:r>
      <w:r>
        <w:rPr>
          <w:spacing w:val="-7"/>
          <w:sz w:val="20"/>
        </w:rPr>
        <w:t> </w:t>
      </w:r>
      <w:r>
        <w:rPr>
          <w:sz w:val="20"/>
        </w:rPr>
        <w:t>territorio</w:t>
      </w:r>
      <w:r>
        <w:rPr>
          <w:spacing w:val="-7"/>
          <w:sz w:val="20"/>
        </w:rPr>
        <w:t> </w:t>
      </w:r>
      <w:r>
        <w:rPr>
          <w:sz w:val="20"/>
        </w:rPr>
        <w:t>a</w:t>
      </w:r>
      <w:r>
        <w:rPr>
          <w:spacing w:val="-5"/>
          <w:sz w:val="20"/>
        </w:rPr>
        <w:t> </w:t>
      </w:r>
      <w:r>
        <w:rPr>
          <w:sz w:val="20"/>
        </w:rPr>
        <w:t>nivel</w:t>
      </w:r>
      <w:r>
        <w:rPr>
          <w:spacing w:val="-5"/>
          <w:sz w:val="20"/>
        </w:rPr>
        <w:t> </w:t>
      </w:r>
      <w:r>
        <w:rPr>
          <w:sz w:val="20"/>
        </w:rPr>
        <w:t>estatal,</w:t>
      </w:r>
      <w:r>
        <w:rPr>
          <w:spacing w:val="-6"/>
          <w:sz w:val="20"/>
        </w:rPr>
        <w:t> </w:t>
      </w:r>
      <w:r>
        <w:rPr>
          <w:sz w:val="20"/>
        </w:rPr>
        <w:t>que deberá incluir, cuando menos:</w:t>
      </w:r>
    </w:p>
    <w:p>
      <w:pPr>
        <w:pStyle w:val="BodyText"/>
        <w:spacing w:before="1"/>
      </w:pPr>
    </w:p>
    <w:p>
      <w:pPr>
        <w:pStyle w:val="ListParagraph"/>
        <w:numPr>
          <w:ilvl w:val="1"/>
          <w:numId w:val="38"/>
        </w:numPr>
        <w:tabs>
          <w:tab w:pos="544" w:val="left" w:leader="none"/>
        </w:tabs>
        <w:spacing w:line="240" w:lineRule="auto" w:before="0" w:after="0"/>
        <w:ind w:left="544" w:right="0" w:hanging="282"/>
        <w:jc w:val="both"/>
        <w:rPr>
          <w:sz w:val="20"/>
        </w:rPr>
      </w:pPr>
      <w:r>
        <w:rPr>
          <w:spacing w:val="-2"/>
          <w:sz w:val="20"/>
        </w:rPr>
        <w:t>Objetivos.</w:t>
      </w:r>
    </w:p>
    <w:p>
      <w:pPr>
        <w:pStyle w:val="ListParagraph"/>
        <w:numPr>
          <w:ilvl w:val="1"/>
          <w:numId w:val="38"/>
        </w:numPr>
        <w:tabs>
          <w:tab w:pos="544" w:val="left" w:leader="none"/>
        </w:tabs>
        <w:spacing w:line="240" w:lineRule="auto" w:before="229" w:after="0"/>
        <w:ind w:left="544" w:right="0" w:hanging="282"/>
        <w:jc w:val="both"/>
        <w:rPr>
          <w:sz w:val="20"/>
        </w:rPr>
      </w:pPr>
      <w:r>
        <w:rPr>
          <w:sz w:val="20"/>
        </w:rPr>
        <w:t>Directrices</w:t>
      </w:r>
      <w:r>
        <w:rPr>
          <w:spacing w:val="-7"/>
          <w:sz w:val="20"/>
        </w:rPr>
        <w:t> </w:t>
      </w:r>
      <w:r>
        <w:rPr>
          <w:sz w:val="20"/>
        </w:rPr>
        <w:t>y</w:t>
      </w:r>
      <w:r>
        <w:rPr>
          <w:spacing w:val="-7"/>
          <w:sz w:val="20"/>
        </w:rPr>
        <w:t> </w:t>
      </w:r>
      <w:r>
        <w:rPr>
          <w:spacing w:val="-2"/>
          <w:sz w:val="20"/>
        </w:rPr>
        <w:t>políticas.</w:t>
      </w:r>
    </w:p>
    <w:p>
      <w:pPr>
        <w:pStyle w:val="BodyText"/>
        <w:spacing w:before="1"/>
      </w:pPr>
    </w:p>
    <w:p>
      <w:pPr>
        <w:pStyle w:val="ListParagraph"/>
        <w:numPr>
          <w:ilvl w:val="1"/>
          <w:numId w:val="38"/>
        </w:numPr>
        <w:tabs>
          <w:tab w:pos="544" w:val="left" w:leader="none"/>
        </w:tabs>
        <w:spacing w:line="240" w:lineRule="auto" w:before="0" w:after="0"/>
        <w:ind w:left="262" w:right="279" w:firstLine="0"/>
        <w:jc w:val="both"/>
        <w:rPr>
          <w:sz w:val="20"/>
        </w:rPr>
      </w:pPr>
      <w:r>
        <w:rPr>
          <w:sz w:val="20"/>
        </w:rPr>
        <w:t>El</w:t>
      </w:r>
      <w:r>
        <w:rPr>
          <w:spacing w:val="-14"/>
          <w:sz w:val="20"/>
        </w:rPr>
        <w:t> </w:t>
      </w:r>
      <w:r>
        <w:rPr>
          <w:sz w:val="20"/>
        </w:rPr>
        <w:t>ordenamiento</w:t>
      </w:r>
      <w:r>
        <w:rPr>
          <w:spacing w:val="-14"/>
          <w:sz w:val="20"/>
        </w:rPr>
        <w:t> </w:t>
      </w:r>
      <w:r>
        <w:rPr>
          <w:sz w:val="20"/>
        </w:rPr>
        <w:t>de</w:t>
      </w:r>
      <w:r>
        <w:rPr>
          <w:spacing w:val="-14"/>
          <w:sz w:val="20"/>
        </w:rPr>
        <w:t> </w:t>
      </w:r>
      <w:r>
        <w:rPr>
          <w:sz w:val="20"/>
        </w:rPr>
        <w:t>los</w:t>
      </w:r>
      <w:r>
        <w:rPr>
          <w:spacing w:val="-14"/>
          <w:sz w:val="20"/>
        </w:rPr>
        <w:t> </w:t>
      </w:r>
      <w:r>
        <w:rPr>
          <w:sz w:val="20"/>
        </w:rPr>
        <w:t>asentamientos</w:t>
      </w:r>
      <w:r>
        <w:rPr>
          <w:spacing w:val="-14"/>
          <w:sz w:val="20"/>
        </w:rPr>
        <w:t> </w:t>
      </w:r>
      <w:r>
        <w:rPr>
          <w:sz w:val="20"/>
        </w:rPr>
        <w:t>humanos,</w:t>
      </w:r>
      <w:r>
        <w:rPr>
          <w:spacing w:val="-14"/>
          <w:sz w:val="20"/>
        </w:rPr>
        <w:t> </w:t>
      </w:r>
      <w:r>
        <w:rPr>
          <w:sz w:val="20"/>
        </w:rPr>
        <w:t>que</w:t>
      </w:r>
      <w:r>
        <w:rPr>
          <w:spacing w:val="-14"/>
          <w:sz w:val="20"/>
        </w:rPr>
        <w:t> </w:t>
      </w:r>
      <w:r>
        <w:rPr>
          <w:sz w:val="20"/>
        </w:rPr>
        <w:t>comprende</w:t>
      </w:r>
      <w:r>
        <w:rPr>
          <w:spacing w:val="-14"/>
          <w:sz w:val="20"/>
        </w:rPr>
        <w:t> </w:t>
      </w:r>
      <w:r>
        <w:rPr>
          <w:sz w:val="20"/>
        </w:rPr>
        <w:t>el</w:t>
      </w:r>
      <w:r>
        <w:rPr>
          <w:spacing w:val="-14"/>
          <w:sz w:val="20"/>
        </w:rPr>
        <w:t> </w:t>
      </w:r>
      <w:r>
        <w:rPr>
          <w:sz w:val="20"/>
        </w:rPr>
        <w:t>patrón</w:t>
      </w:r>
      <w:r>
        <w:rPr>
          <w:spacing w:val="-13"/>
          <w:sz w:val="20"/>
        </w:rPr>
        <w:t> </w:t>
      </w:r>
      <w:r>
        <w:rPr>
          <w:sz w:val="20"/>
        </w:rPr>
        <w:t>de</w:t>
      </w:r>
      <w:r>
        <w:rPr>
          <w:spacing w:val="-14"/>
          <w:sz w:val="20"/>
        </w:rPr>
        <w:t> </w:t>
      </w:r>
      <w:r>
        <w:rPr>
          <w:sz w:val="20"/>
        </w:rPr>
        <w:t>distribución</w:t>
      </w:r>
      <w:r>
        <w:rPr>
          <w:spacing w:val="-14"/>
          <w:sz w:val="20"/>
        </w:rPr>
        <w:t> </w:t>
      </w:r>
      <w:r>
        <w:rPr>
          <w:sz w:val="20"/>
        </w:rPr>
        <w:t>general de la población, de las actividades económicas y de los servicios en el territorio estatal; las áreas geográficas y sectores prioritarios; y el Sistema Estatal de Centros de Población, en donde se establezca la función y nivel de servicio de cada componente, la identificación de los centros de población estratégicos y</w:t>
      </w:r>
      <w:r>
        <w:rPr>
          <w:spacing w:val="40"/>
          <w:sz w:val="20"/>
        </w:rPr>
        <w:t> </w:t>
      </w:r>
      <w:r>
        <w:rPr>
          <w:sz w:val="20"/>
        </w:rPr>
        <w:t>de las zonas conurbadas y metropolitanas, así como, en su caso, la necesidad de fundación de un nuevo centro de población.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38"/>
        </w:numPr>
        <w:tabs>
          <w:tab w:pos="544" w:val="left" w:leader="none"/>
        </w:tabs>
        <w:spacing w:line="240" w:lineRule="auto" w:before="0" w:after="0"/>
        <w:ind w:left="262" w:right="287" w:firstLine="0"/>
        <w:jc w:val="both"/>
        <w:rPr>
          <w:sz w:val="20"/>
        </w:rPr>
      </w:pPr>
      <w:r>
        <w:rPr>
          <w:sz w:val="20"/>
        </w:rPr>
        <w:t>La</w:t>
      </w:r>
      <w:r>
        <w:rPr>
          <w:spacing w:val="-12"/>
          <w:sz w:val="20"/>
        </w:rPr>
        <w:t> </w:t>
      </w:r>
      <w:r>
        <w:rPr>
          <w:sz w:val="20"/>
        </w:rPr>
        <w:t>zonificación</w:t>
      </w:r>
      <w:r>
        <w:rPr>
          <w:spacing w:val="-11"/>
          <w:sz w:val="20"/>
        </w:rPr>
        <w:t> </w:t>
      </w:r>
      <w:r>
        <w:rPr>
          <w:sz w:val="20"/>
        </w:rPr>
        <w:t>general</w:t>
      </w:r>
      <w:r>
        <w:rPr>
          <w:spacing w:val="-10"/>
          <w:sz w:val="20"/>
        </w:rPr>
        <w:t> </w:t>
      </w:r>
      <w:r>
        <w:rPr>
          <w:sz w:val="20"/>
        </w:rPr>
        <w:t>del</w:t>
      </w:r>
      <w:r>
        <w:rPr>
          <w:spacing w:val="-12"/>
          <w:sz w:val="20"/>
        </w:rPr>
        <w:t> </w:t>
      </w:r>
      <w:r>
        <w:rPr>
          <w:sz w:val="20"/>
        </w:rPr>
        <w:t>territorio</w:t>
      </w:r>
      <w:r>
        <w:rPr>
          <w:spacing w:val="-9"/>
          <w:sz w:val="20"/>
        </w:rPr>
        <w:t> </w:t>
      </w:r>
      <w:r>
        <w:rPr>
          <w:sz w:val="20"/>
        </w:rPr>
        <w:t>estatal</w:t>
      </w:r>
      <w:r>
        <w:rPr>
          <w:spacing w:val="-10"/>
          <w:sz w:val="20"/>
        </w:rPr>
        <w:t> </w:t>
      </w:r>
      <w:r>
        <w:rPr>
          <w:sz w:val="20"/>
        </w:rPr>
        <w:t>para</w:t>
      </w:r>
      <w:r>
        <w:rPr>
          <w:spacing w:val="-11"/>
          <w:sz w:val="20"/>
        </w:rPr>
        <w:t> </w:t>
      </w:r>
      <w:r>
        <w:rPr>
          <w:sz w:val="20"/>
        </w:rPr>
        <w:t>efectos</w:t>
      </w:r>
      <w:r>
        <w:rPr>
          <w:spacing w:val="-10"/>
          <w:sz w:val="20"/>
        </w:rPr>
        <w:t> </w:t>
      </w:r>
      <w:r>
        <w:rPr>
          <w:sz w:val="20"/>
        </w:rPr>
        <w:t>de</w:t>
      </w:r>
      <w:r>
        <w:rPr>
          <w:spacing w:val="-9"/>
          <w:sz w:val="20"/>
        </w:rPr>
        <w:t> </w:t>
      </w:r>
      <w:r>
        <w:rPr>
          <w:sz w:val="20"/>
        </w:rPr>
        <w:t>la</w:t>
      </w:r>
      <w:r>
        <w:rPr>
          <w:spacing w:val="-9"/>
          <w:sz w:val="20"/>
        </w:rPr>
        <w:t> </w:t>
      </w:r>
      <w:r>
        <w:rPr>
          <w:sz w:val="20"/>
        </w:rPr>
        <w:t>aplicación</w:t>
      </w:r>
      <w:r>
        <w:rPr>
          <w:spacing w:val="-10"/>
          <w:sz w:val="20"/>
        </w:rPr>
        <w:t> </w:t>
      </w:r>
      <w:r>
        <w:rPr>
          <w:sz w:val="20"/>
        </w:rPr>
        <w:t>de</w:t>
      </w:r>
      <w:r>
        <w:rPr>
          <w:spacing w:val="-10"/>
          <w:sz w:val="20"/>
        </w:rPr>
        <w:t> </w:t>
      </w:r>
      <w:r>
        <w:rPr>
          <w:sz w:val="20"/>
        </w:rPr>
        <w:t>políticas</w:t>
      </w:r>
      <w:r>
        <w:rPr>
          <w:spacing w:val="-10"/>
          <w:sz w:val="20"/>
        </w:rPr>
        <w:t> </w:t>
      </w:r>
      <w:r>
        <w:rPr>
          <w:sz w:val="20"/>
        </w:rPr>
        <w:t>y</w:t>
      </w:r>
      <w:r>
        <w:rPr>
          <w:spacing w:val="-10"/>
          <w:sz w:val="20"/>
        </w:rPr>
        <w:t> </w:t>
      </w:r>
      <w:r>
        <w:rPr>
          <w:sz w:val="20"/>
        </w:rPr>
        <w:t>programas </w:t>
      </w:r>
      <w:r>
        <w:rPr>
          <w:spacing w:val="-2"/>
          <w:sz w:val="20"/>
        </w:rPr>
        <w:t>urbanos.</w:t>
      </w:r>
    </w:p>
    <w:p>
      <w:pPr>
        <w:pStyle w:val="BodyText"/>
        <w:spacing w:before="1"/>
      </w:pPr>
    </w:p>
    <w:p>
      <w:pPr>
        <w:pStyle w:val="ListParagraph"/>
        <w:numPr>
          <w:ilvl w:val="1"/>
          <w:numId w:val="38"/>
        </w:numPr>
        <w:tabs>
          <w:tab w:pos="544" w:val="left" w:leader="none"/>
        </w:tabs>
        <w:spacing w:line="240" w:lineRule="auto" w:before="0" w:after="0"/>
        <w:ind w:left="544" w:right="0" w:hanging="282"/>
        <w:jc w:val="both"/>
        <w:rPr>
          <w:sz w:val="20"/>
        </w:rPr>
      </w:pPr>
      <w:r>
        <w:rPr>
          <w:sz w:val="20"/>
        </w:rPr>
        <w:t>Modelo</w:t>
      </w:r>
      <w:r>
        <w:rPr>
          <w:spacing w:val="-8"/>
          <w:sz w:val="20"/>
        </w:rPr>
        <w:t> </w:t>
      </w:r>
      <w:r>
        <w:rPr>
          <w:sz w:val="20"/>
        </w:rPr>
        <w:t>de</w:t>
      </w:r>
      <w:r>
        <w:rPr>
          <w:spacing w:val="-9"/>
          <w:sz w:val="20"/>
        </w:rPr>
        <w:t> </w:t>
      </w:r>
      <w:r>
        <w:rPr>
          <w:sz w:val="20"/>
        </w:rPr>
        <w:t>ocupación</w:t>
      </w:r>
      <w:r>
        <w:rPr>
          <w:spacing w:val="-8"/>
          <w:sz w:val="20"/>
        </w:rPr>
        <w:t> </w:t>
      </w:r>
      <w:r>
        <w:rPr>
          <w:spacing w:val="-2"/>
          <w:sz w:val="20"/>
        </w:rPr>
        <w:t>territorial.</w:t>
      </w:r>
    </w:p>
    <w:p>
      <w:pPr>
        <w:pStyle w:val="ListParagraph"/>
        <w:numPr>
          <w:ilvl w:val="1"/>
          <w:numId w:val="38"/>
        </w:numPr>
        <w:tabs>
          <w:tab w:pos="543" w:val="left" w:leader="none"/>
        </w:tabs>
        <w:spacing w:line="240" w:lineRule="auto" w:before="229" w:after="0"/>
        <w:ind w:left="543" w:right="0" w:hanging="281"/>
        <w:jc w:val="both"/>
        <w:rPr>
          <w:sz w:val="20"/>
        </w:rPr>
      </w:pPr>
      <w:r>
        <w:rPr>
          <w:sz w:val="20"/>
        </w:rPr>
        <w:t>La</w:t>
      </w:r>
      <w:r>
        <w:rPr>
          <w:spacing w:val="-7"/>
          <w:sz w:val="20"/>
        </w:rPr>
        <w:t> </w:t>
      </w:r>
      <w:r>
        <w:rPr>
          <w:sz w:val="20"/>
        </w:rPr>
        <w:t>infraestructura</w:t>
      </w:r>
      <w:r>
        <w:rPr>
          <w:spacing w:val="-6"/>
          <w:sz w:val="20"/>
        </w:rPr>
        <w:t> </w:t>
      </w:r>
      <w:r>
        <w:rPr>
          <w:sz w:val="20"/>
        </w:rPr>
        <w:t>necesaria</w:t>
      </w:r>
      <w:r>
        <w:rPr>
          <w:spacing w:val="-7"/>
          <w:sz w:val="20"/>
        </w:rPr>
        <w:t> </w:t>
      </w:r>
      <w:r>
        <w:rPr>
          <w:sz w:val="20"/>
        </w:rPr>
        <w:t>para</w:t>
      </w:r>
      <w:r>
        <w:rPr>
          <w:spacing w:val="-4"/>
          <w:sz w:val="20"/>
        </w:rPr>
        <w:t> </w:t>
      </w:r>
      <w:r>
        <w:rPr>
          <w:sz w:val="20"/>
        </w:rPr>
        <w:t>el</w:t>
      </w:r>
      <w:r>
        <w:rPr>
          <w:spacing w:val="-5"/>
          <w:sz w:val="20"/>
        </w:rPr>
        <w:t> </w:t>
      </w:r>
      <w:r>
        <w:rPr>
          <w:sz w:val="20"/>
        </w:rPr>
        <w:t>logro</w:t>
      </w:r>
      <w:r>
        <w:rPr>
          <w:spacing w:val="-6"/>
          <w:sz w:val="20"/>
        </w:rPr>
        <w:t> </w:t>
      </w:r>
      <w:r>
        <w:rPr>
          <w:sz w:val="20"/>
        </w:rPr>
        <w:t>de</w:t>
      </w:r>
      <w:r>
        <w:rPr>
          <w:spacing w:val="-6"/>
          <w:sz w:val="20"/>
        </w:rPr>
        <w:t> </w:t>
      </w:r>
      <w:r>
        <w:rPr>
          <w:sz w:val="20"/>
        </w:rPr>
        <w:t>la</w:t>
      </w:r>
      <w:r>
        <w:rPr>
          <w:spacing w:val="-6"/>
          <w:sz w:val="20"/>
        </w:rPr>
        <w:t> </w:t>
      </w:r>
      <w:r>
        <w:rPr>
          <w:spacing w:val="-2"/>
          <w:sz w:val="20"/>
        </w:rPr>
        <w:t>estrategia.</w:t>
      </w:r>
    </w:p>
    <w:p>
      <w:pPr>
        <w:pStyle w:val="BodyText"/>
      </w:pPr>
    </w:p>
    <w:p>
      <w:pPr>
        <w:pStyle w:val="ListParagraph"/>
        <w:numPr>
          <w:ilvl w:val="1"/>
          <w:numId w:val="38"/>
        </w:numPr>
        <w:tabs>
          <w:tab w:pos="544" w:val="left" w:leader="none"/>
        </w:tabs>
        <w:spacing w:line="240" w:lineRule="auto" w:before="0" w:after="0"/>
        <w:ind w:left="262" w:right="286" w:firstLine="0"/>
        <w:jc w:val="both"/>
        <w:rPr>
          <w:sz w:val="20"/>
        </w:rPr>
      </w:pPr>
      <w:r>
        <w:rPr>
          <w:sz w:val="20"/>
        </w:rPr>
        <w:t>La orientación general para la definición y constitución de reservas territoriales y de áreas de preservación ecológica.</w:t>
      </w:r>
    </w:p>
    <w:p>
      <w:pPr>
        <w:pStyle w:val="BodyText"/>
        <w:spacing w:before="2"/>
      </w:pPr>
    </w:p>
    <w:p>
      <w:pPr>
        <w:pStyle w:val="ListParagraph"/>
        <w:numPr>
          <w:ilvl w:val="1"/>
          <w:numId w:val="38"/>
        </w:numPr>
        <w:tabs>
          <w:tab w:pos="544" w:val="left" w:leader="none"/>
        </w:tabs>
        <w:spacing w:line="240" w:lineRule="auto" w:before="0" w:after="0"/>
        <w:ind w:left="262" w:right="289" w:firstLine="0"/>
        <w:jc w:val="both"/>
        <w:rPr>
          <w:sz w:val="20"/>
        </w:rPr>
      </w:pPr>
      <w:r>
        <w:rPr>
          <w:sz w:val="20"/>
        </w:rPr>
        <w:t>La estrategia en materia de riesgos que conduzca hacia un desarrollo urbano sostenible y resiliente, en congruencia con el Atlas Nacional y el Estatal de Riesgos.</w:t>
      </w:r>
    </w:p>
    <w:p>
      <w:pPr>
        <w:pStyle w:val="ListParagraph"/>
        <w:numPr>
          <w:ilvl w:val="1"/>
          <w:numId w:val="38"/>
        </w:numPr>
        <w:tabs>
          <w:tab w:pos="688" w:val="left" w:leader="none"/>
        </w:tabs>
        <w:spacing w:line="240" w:lineRule="auto" w:before="229" w:after="0"/>
        <w:ind w:left="262" w:right="281" w:firstLine="0"/>
        <w:jc w:val="both"/>
        <w:rPr>
          <w:sz w:val="20"/>
        </w:rPr>
      </w:pPr>
      <w:r>
        <w:rPr>
          <w:spacing w:val="-2"/>
          <w:sz w:val="20"/>
        </w:rPr>
        <w:t>Las</w:t>
      </w:r>
      <w:r>
        <w:rPr>
          <w:spacing w:val="-5"/>
          <w:sz w:val="20"/>
        </w:rPr>
        <w:t> </w:t>
      </w:r>
      <w:r>
        <w:rPr>
          <w:spacing w:val="-2"/>
          <w:sz w:val="20"/>
        </w:rPr>
        <w:t>estrategias</w:t>
      </w:r>
      <w:r>
        <w:rPr>
          <w:spacing w:val="-6"/>
          <w:sz w:val="20"/>
        </w:rPr>
        <w:t> </w:t>
      </w:r>
      <w:r>
        <w:rPr>
          <w:spacing w:val="-2"/>
          <w:sz w:val="20"/>
        </w:rPr>
        <w:t>generales</w:t>
      </w:r>
      <w:r>
        <w:rPr>
          <w:spacing w:val="-3"/>
          <w:sz w:val="20"/>
        </w:rPr>
        <w:t> </w:t>
      </w:r>
      <w:r>
        <w:rPr>
          <w:spacing w:val="-2"/>
          <w:sz w:val="20"/>
        </w:rPr>
        <w:t>para</w:t>
      </w:r>
      <w:r>
        <w:rPr>
          <w:spacing w:val="-6"/>
          <w:sz w:val="20"/>
        </w:rPr>
        <w:t> </w:t>
      </w:r>
      <w:r>
        <w:rPr>
          <w:spacing w:val="-2"/>
          <w:sz w:val="20"/>
        </w:rPr>
        <w:t>prevenir</w:t>
      </w:r>
      <w:r>
        <w:rPr>
          <w:spacing w:val="-3"/>
          <w:sz w:val="20"/>
        </w:rPr>
        <w:t> </w:t>
      </w:r>
      <w:r>
        <w:rPr>
          <w:spacing w:val="-2"/>
          <w:sz w:val="20"/>
        </w:rPr>
        <w:t>los</w:t>
      </w:r>
      <w:r>
        <w:rPr>
          <w:spacing w:val="-3"/>
          <w:sz w:val="20"/>
        </w:rPr>
        <w:t> </w:t>
      </w:r>
      <w:r>
        <w:rPr>
          <w:spacing w:val="-2"/>
          <w:sz w:val="20"/>
        </w:rPr>
        <w:t>impactos</w:t>
      </w:r>
      <w:r>
        <w:rPr>
          <w:spacing w:val="-3"/>
          <w:sz w:val="20"/>
        </w:rPr>
        <w:t> </w:t>
      </w:r>
      <w:r>
        <w:rPr>
          <w:spacing w:val="-2"/>
          <w:sz w:val="20"/>
        </w:rPr>
        <w:t>negativos</w:t>
      </w:r>
      <w:r>
        <w:rPr>
          <w:spacing w:val="-6"/>
          <w:sz w:val="20"/>
        </w:rPr>
        <w:t> </w:t>
      </w:r>
      <w:r>
        <w:rPr>
          <w:spacing w:val="-2"/>
          <w:sz w:val="20"/>
        </w:rPr>
        <w:t>en</w:t>
      </w:r>
      <w:r>
        <w:rPr>
          <w:spacing w:val="-8"/>
          <w:sz w:val="20"/>
        </w:rPr>
        <w:t> </w:t>
      </w:r>
      <w:r>
        <w:rPr>
          <w:spacing w:val="-2"/>
          <w:sz w:val="20"/>
        </w:rPr>
        <w:t>el</w:t>
      </w:r>
      <w:r>
        <w:rPr>
          <w:spacing w:val="-5"/>
          <w:sz w:val="20"/>
        </w:rPr>
        <w:t> </w:t>
      </w:r>
      <w:r>
        <w:rPr>
          <w:spacing w:val="-2"/>
          <w:sz w:val="20"/>
        </w:rPr>
        <w:t>ambiente</w:t>
      </w:r>
      <w:r>
        <w:rPr>
          <w:spacing w:val="-5"/>
          <w:sz w:val="20"/>
        </w:rPr>
        <w:t> </w:t>
      </w:r>
      <w:r>
        <w:rPr>
          <w:spacing w:val="-2"/>
          <w:sz w:val="20"/>
        </w:rPr>
        <w:t>urbano</w:t>
      </w:r>
      <w:r>
        <w:rPr>
          <w:spacing w:val="-8"/>
          <w:sz w:val="20"/>
        </w:rPr>
        <w:t> </w:t>
      </w:r>
      <w:r>
        <w:rPr>
          <w:spacing w:val="-2"/>
          <w:sz w:val="20"/>
        </w:rPr>
        <w:t>y</w:t>
      </w:r>
      <w:r>
        <w:rPr>
          <w:spacing w:val="-3"/>
          <w:sz w:val="20"/>
        </w:rPr>
        <w:t> </w:t>
      </w:r>
      <w:r>
        <w:rPr>
          <w:spacing w:val="-2"/>
          <w:sz w:val="20"/>
        </w:rPr>
        <w:t>regional </w:t>
      </w:r>
      <w:r>
        <w:rPr>
          <w:sz w:val="20"/>
        </w:rPr>
        <w:t>originados por la fundación, conservación, mejoramiento y crecimiento de los centros de población y para fomentar la gestión integral del riesgo y la resiliencia urbana en el marco de derechos </w:t>
      </w:r>
      <w:r>
        <w:rPr>
          <w:spacing w:val="-2"/>
          <w:sz w:val="20"/>
        </w:rPr>
        <w:t>humanos;</w:t>
      </w:r>
    </w:p>
    <w:p>
      <w:pPr>
        <w:pStyle w:val="BodyText"/>
      </w:pPr>
    </w:p>
    <w:p>
      <w:pPr>
        <w:pStyle w:val="ListParagraph"/>
        <w:numPr>
          <w:ilvl w:val="0"/>
          <w:numId w:val="38"/>
        </w:numPr>
        <w:tabs>
          <w:tab w:pos="688" w:val="left" w:leader="none"/>
        </w:tabs>
        <w:spacing w:line="240" w:lineRule="auto" w:before="0" w:after="0"/>
        <w:ind w:left="262" w:right="278" w:firstLine="0"/>
        <w:jc w:val="both"/>
        <w:rPr>
          <w:sz w:val="20"/>
        </w:rPr>
      </w:pPr>
      <w:r>
        <w:rPr>
          <w:sz w:val="20"/>
        </w:rPr>
        <w:t>Las orientaciones para el</w:t>
      </w:r>
      <w:r>
        <w:rPr>
          <w:spacing w:val="-1"/>
          <w:sz w:val="20"/>
        </w:rPr>
        <w:t> </w:t>
      </w:r>
      <w:r>
        <w:rPr>
          <w:sz w:val="20"/>
        </w:rPr>
        <w:t>desarrollo sustentable de las regiones del Estado, en función de sus recursos</w:t>
      </w:r>
      <w:r>
        <w:rPr>
          <w:spacing w:val="-9"/>
          <w:sz w:val="20"/>
        </w:rPr>
        <w:t> </w:t>
      </w:r>
      <w:r>
        <w:rPr>
          <w:sz w:val="20"/>
        </w:rPr>
        <w:t>naturales,</w:t>
      </w:r>
      <w:r>
        <w:rPr>
          <w:spacing w:val="-7"/>
          <w:sz w:val="20"/>
        </w:rPr>
        <w:t> </w:t>
      </w:r>
      <w:r>
        <w:rPr>
          <w:sz w:val="20"/>
        </w:rPr>
        <w:t>de</w:t>
      </w:r>
      <w:r>
        <w:rPr>
          <w:spacing w:val="-10"/>
          <w:sz w:val="20"/>
        </w:rPr>
        <w:t> </w:t>
      </w:r>
      <w:r>
        <w:rPr>
          <w:sz w:val="20"/>
        </w:rPr>
        <w:t>sus</w:t>
      </w:r>
      <w:r>
        <w:rPr>
          <w:spacing w:val="-7"/>
          <w:sz w:val="20"/>
        </w:rPr>
        <w:t> </w:t>
      </w:r>
      <w:r>
        <w:rPr>
          <w:sz w:val="20"/>
        </w:rPr>
        <w:t>actividades</w:t>
      </w:r>
      <w:r>
        <w:rPr>
          <w:spacing w:val="-7"/>
          <w:sz w:val="20"/>
        </w:rPr>
        <w:t> </w:t>
      </w:r>
      <w:r>
        <w:rPr>
          <w:sz w:val="20"/>
        </w:rPr>
        <w:t>productivas</w:t>
      </w:r>
      <w:r>
        <w:rPr>
          <w:spacing w:val="-9"/>
          <w:sz w:val="20"/>
        </w:rPr>
        <w:t> </w:t>
      </w:r>
      <w:r>
        <w:rPr>
          <w:sz w:val="20"/>
        </w:rPr>
        <w:t>y</w:t>
      </w:r>
      <w:r>
        <w:rPr>
          <w:spacing w:val="-9"/>
          <w:sz w:val="20"/>
        </w:rPr>
        <w:t> </w:t>
      </w:r>
      <w:r>
        <w:rPr>
          <w:sz w:val="20"/>
        </w:rPr>
        <w:t>del</w:t>
      </w:r>
      <w:r>
        <w:rPr>
          <w:spacing w:val="-9"/>
          <w:sz w:val="20"/>
        </w:rPr>
        <w:t> </w:t>
      </w:r>
      <w:r>
        <w:rPr>
          <w:sz w:val="20"/>
        </w:rPr>
        <w:t>equilibrio</w:t>
      </w:r>
      <w:r>
        <w:rPr>
          <w:spacing w:val="-10"/>
          <w:sz w:val="20"/>
        </w:rPr>
        <w:t> </w:t>
      </w:r>
      <w:r>
        <w:rPr>
          <w:sz w:val="20"/>
        </w:rPr>
        <w:t>entre</w:t>
      </w:r>
      <w:r>
        <w:rPr>
          <w:spacing w:val="-7"/>
          <w:sz w:val="20"/>
        </w:rPr>
        <w:t> </w:t>
      </w:r>
      <w:r>
        <w:rPr>
          <w:sz w:val="20"/>
        </w:rPr>
        <w:t>los</w:t>
      </w:r>
      <w:r>
        <w:rPr>
          <w:spacing w:val="-7"/>
          <w:sz w:val="20"/>
        </w:rPr>
        <w:t> </w:t>
      </w:r>
      <w:r>
        <w:rPr>
          <w:sz w:val="20"/>
        </w:rPr>
        <w:t>asentamientos</w:t>
      </w:r>
      <w:r>
        <w:rPr>
          <w:spacing w:val="-7"/>
          <w:sz w:val="20"/>
        </w:rPr>
        <w:t> </w:t>
      </w:r>
      <w:r>
        <w:rPr>
          <w:sz w:val="20"/>
        </w:rPr>
        <w:t>humanos y sus condiciones ambientales, indicando la preservación, protección, restauración y aprovechamiento</w:t>
      </w:r>
      <w:r>
        <w:rPr>
          <w:spacing w:val="-2"/>
          <w:sz w:val="20"/>
        </w:rPr>
        <w:t> </w:t>
      </w:r>
      <w:r>
        <w:rPr>
          <w:sz w:val="20"/>
        </w:rPr>
        <w:t>de</w:t>
      </w:r>
      <w:r>
        <w:rPr>
          <w:spacing w:val="-3"/>
          <w:sz w:val="20"/>
        </w:rPr>
        <w:t> </w:t>
      </w:r>
      <w:r>
        <w:rPr>
          <w:sz w:val="20"/>
        </w:rPr>
        <w:t>áreas</w:t>
      </w:r>
      <w:r>
        <w:rPr>
          <w:spacing w:val="-1"/>
          <w:sz w:val="20"/>
        </w:rPr>
        <w:t> </w:t>
      </w:r>
      <w:r>
        <w:rPr>
          <w:sz w:val="20"/>
        </w:rPr>
        <w:t>de</w:t>
      </w:r>
      <w:r>
        <w:rPr>
          <w:spacing w:val="-5"/>
          <w:sz w:val="20"/>
        </w:rPr>
        <w:t> </w:t>
      </w:r>
      <w:r>
        <w:rPr>
          <w:sz w:val="20"/>
        </w:rPr>
        <w:t>valor</w:t>
      </w:r>
      <w:r>
        <w:rPr>
          <w:spacing w:val="-4"/>
          <w:sz w:val="20"/>
        </w:rPr>
        <w:t> </w:t>
      </w:r>
      <w:r>
        <w:rPr>
          <w:sz w:val="20"/>
        </w:rPr>
        <w:t>ambiental</w:t>
      </w:r>
      <w:r>
        <w:rPr>
          <w:spacing w:val="-3"/>
          <w:sz w:val="20"/>
        </w:rPr>
        <w:t> </w:t>
      </w:r>
      <w:r>
        <w:rPr>
          <w:sz w:val="20"/>
        </w:rPr>
        <w:t>o</w:t>
      </w:r>
      <w:r>
        <w:rPr>
          <w:spacing w:val="-4"/>
          <w:sz w:val="20"/>
        </w:rPr>
        <w:t> </w:t>
      </w:r>
      <w:r>
        <w:rPr>
          <w:sz w:val="20"/>
        </w:rPr>
        <w:t>para</w:t>
      </w:r>
      <w:r>
        <w:rPr>
          <w:spacing w:val="-4"/>
          <w:sz w:val="20"/>
        </w:rPr>
        <w:t> </w:t>
      </w:r>
      <w:r>
        <w:rPr>
          <w:sz w:val="20"/>
        </w:rPr>
        <w:t>el</w:t>
      </w:r>
      <w:r>
        <w:rPr>
          <w:spacing w:val="-5"/>
          <w:sz w:val="20"/>
        </w:rPr>
        <w:t> </w:t>
      </w:r>
      <w:r>
        <w:rPr>
          <w:sz w:val="20"/>
        </w:rPr>
        <w:t>desarrollo</w:t>
      </w:r>
      <w:r>
        <w:rPr>
          <w:spacing w:val="-4"/>
          <w:sz w:val="20"/>
        </w:rPr>
        <w:t> </w:t>
      </w:r>
      <w:r>
        <w:rPr>
          <w:sz w:val="20"/>
        </w:rPr>
        <w:t>de</w:t>
      </w:r>
      <w:r>
        <w:rPr>
          <w:spacing w:val="-4"/>
          <w:sz w:val="20"/>
        </w:rPr>
        <w:t> </w:t>
      </w:r>
      <w:r>
        <w:rPr>
          <w:sz w:val="20"/>
        </w:rPr>
        <w:t>actividades</w:t>
      </w:r>
      <w:r>
        <w:rPr>
          <w:spacing w:val="-1"/>
          <w:sz w:val="20"/>
        </w:rPr>
        <w:t> </w:t>
      </w:r>
      <w:r>
        <w:rPr>
          <w:sz w:val="20"/>
        </w:rPr>
        <w:t>no</w:t>
      </w:r>
      <w:r>
        <w:rPr>
          <w:spacing w:val="-5"/>
          <w:sz w:val="20"/>
        </w:rPr>
        <w:t> </w:t>
      </w:r>
      <w:r>
        <w:rPr>
          <w:sz w:val="20"/>
        </w:rPr>
        <w:t>urbanas,</w:t>
      </w:r>
      <w:r>
        <w:rPr>
          <w:spacing w:val="-4"/>
          <w:sz w:val="20"/>
        </w:rPr>
        <w:t> </w:t>
      </w:r>
      <w:r>
        <w:rPr>
          <w:sz w:val="20"/>
        </w:rPr>
        <w:t>como agropecuarias, forestales y mineras, entre otras, en concordancia con la legislación ambiental;</w:t>
      </w:r>
    </w:p>
    <w:p>
      <w:pPr>
        <w:pStyle w:val="BodyText"/>
      </w:pPr>
    </w:p>
    <w:p>
      <w:pPr>
        <w:pStyle w:val="ListParagraph"/>
        <w:numPr>
          <w:ilvl w:val="0"/>
          <w:numId w:val="38"/>
        </w:numPr>
        <w:tabs>
          <w:tab w:pos="688" w:val="left" w:leader="none"/>
        </w:tabs>
        <w:spacing w:line="240" w:lineRule="auto" w:before="0" w:after="0"/>
        <w:ind w:left="262" w:right="286" w:firstLine="0"/>
        <w:jc w:val="both"/>
        <w:rPr>
          <w:sz w:val="20"/>
        </w:rPr>
      </w:pPr>
      <w:r>
        <w:rPr>
          <w:sz w:val="20"/>
        </w:rPr>
        <w:t>La definición de las zonas metropolitanas para el desarrollo territorial estatal, con base en los cuales,</w:t>
      </w:r>
      <w:r>
        <w:rPr>
          <w:spacing w:val="40"/>
          <w:sz w:val="20"/>
        </w:rPr>
        <w:t> </w:t>
      </w:r>
      <w:r>
        <w:rPr>
          <w:sz w:val="20"/>
        </w:rPr>
        <w:t>el Estado y los municipios respectivos, procederán a su delimitación, gestión y administración de manera conjunta y coordinada;</w:t>
      </w:r>
    </w:p>
    <w:p>
      <w:pPr>
        <w:pStyle w:val="ListParagraph"/>
        <w:numPr>
          <w:ilvl w:val="0"/>
          <w:numId w:val="38"/>
        </w:numPr>
        <w:tabs>
          <w:tab w:pos="688" w:val="left" w:leader="none"/>
        </w:tabs>
        <w:spacing w:line="240" w:lineRule="auto" w:before="230" w:after="0"/>
        <w:ind w:left="262" w:right="280" w:firstLine="0"/>
        <w:jc w:val="both"/>
        <w:rPr>
          <w:sz w:val="20"/>
        </w:rPr>
      </w:pPr>
      <w:r>
        <w:rPr>
          <w:sz w:val="20"/>
        </w:rPr>
        <w:t>Las</w:t>
      </w:r>
      <w:r>
        <w:rPr>
          <w:spacing w:val="-14"/>
          <w:sz w:val="20"/>
        </w:rPr>
        <w:t> </w:t>
      </w:r>
      <w:r>
        <w:rPr>
          <w:sz w:val="20"/>
        </w:rPr>
        <w:t>líneas</w:t>
      </w:r>
      <w:r>
        <w:rPr>
          <w:spacing w:val="-14"/>
          <w:sz w:val="20"/>
        </w:rPr>
        <w:t> </w:t>
      </w:r>
      <w:r>
        <w:rPr>
          <w:sz w:val="20"/>
        </w:rPr>
        <w:t>de</w:t>
      </w:r>
      <w:r>
        <w:rPr>
          <w:spacing w:val="-14"/>
          <w:sz w:val="20"/>
        </w:rPr>
        <w:t> </w:t>
      </w:r>
      <w:r>
        <w:rPr>
          <w:sz w:val="20"/>
        </w:rPr>
        <w:t>acción</w:t>
      </w:r>
      <w:r>
        <w:rPr>
          <w:spacing w:val="-14"/>
          <w:sz w:val="20"/>
        </w:rPr>
        <w:t> </w:t>
      </w:r>
      <w:r>
        <w:rPr>
          <w:sz w:val="20"/>
        </w:rPr>
        <w:t>y</w:t>
      </w:r>
      <w:r>
        <w:rPr>
          <w:spacing w:val="-14"/>
          <w:sz w:val="20"/>
        </w:rPr>
        <w:t> </w:t>
      </w:r>
      <w:r>
        <w:rPr>
          <w:sz w:val="20"/>
        </w:rPr>
        <w:t>corresponsabilidad</w:t>
      </w:r>
      <w:r>
        <w:rPr>
          <w:spacing w:val="-14"/>
          <w:sz w:val="20"/>
        </w:rPr>
        <w:t> </w:t>
      </w:r>
      <w:r>
        <w:rPr>
          <w:sz w:val="20"/>
        </w:rPr>
        <w:t>sectorial,</w:t>
      </w:r>
      <w:r>
        <w:rPr>
          <w:spacing w:val="-14"/>
          <w:sz w:val="20"/>
        </w:rPr>
        <w:t> </w:t>
      </w:r>
      <w:r>
        <w:rPr>
          <w:sz w:val="20"/>
        </w:rPr>
        <w:t>describiendo</w:t>
      </w:r>
      <w:r>
        <w:rPr>
          <w:spacing w:val="-12"/>
          <w:sz w:val="20"/>
        </w:rPr>
        <w:t> </w:t>
      </w:r>
      <w:r>
        <w:rPr>
          <w:sz w:val="20"/>
        </w:rPr>
        <w:t>las</w:t>
      </w:r>
      <w:r>
        <w:rPr>
          <w:spacing w:val="-14"/>
          <w:sz w:val="20"/>
        </w:rPr>
        <w:t> </w:t>
      </w:r>
      <w:r>
        <w:rPr>
          <w:sz w:val="20"/>
        </w:rPr>
        <w:t>acciones,</w:t>
      </w:r>
      <w:r>
        <w:rPr>
          <w:spacing w:val="-14"/>
          <w:sz w:val="20"/>
        </w:rPr>
        <w:t> </w:t>
      </w:r>
      <w:r>
        <w:rPr>
          <w:sz w:val="20"/>
        </w:rPr>
        <w:t>obras</w:t>
      </w:r>
      <w:r>
        <w:rPr>
          <w:spacing w:val="-13"/>
          <w:sz w:val="20"/>
        </w:rPr>
        <w:t> </w:t>
      </w:r>
      <w:r>
        <w:rPr>
          <w:sz w:val="20"/>
        </w:rPr>
        <w:t>y</w:t>
      </w:r>
      <w:r>
        <w:rPr>
          <w:spacing w:val="-13"/>
          <w:sz w:val="20"/>
        </w:rPr>
        <w:t> </w:t>
      </w:r>
      <w:r>
        <w:rPr>
          <w:sz w:val="20"/>
        </w:rPr>
        <w:t>servicios que derivan de la estrategia, el plazo, cantidad, responsable, y la concertación entre los sectores público, privado y social para su ejecución. Además se distinguirán aquellas acciones y proyectos que por su importancia se consideren estratégicos;</w:t>
      </w:r>
    </w:p>
    <w:p>
      <w:pPr>
        <w:pStyle w:val="BodyText"/>
        <w:spacing w:before="2"/>
      </w:pPr>
    </w:p>
    <w:p>
      <w:pPr>
        <w:pStyle w:val="ListParagraph"/>
        <w:numPr>
          <w:ilvl w:val="0"/>
          <w:numId w:val="38"/>
        </w:numPr>
        <w:tabs>
          <w:tab w:pos="688" w:val="left" w:leader="none"/>
        </w:tabs>
        <w:spacing w:line="240" w:lineRule="auto" w:before="0" w:after="0"/>
        <w:ind w:left="262" w:right="280" w:firstLine="0"/>
        <w:jc w:val="both"/>
        <w:rPr>
          <w:sz w:val="20"/>
        </w:rPr>
      </w:pPr>
      <w:r>
        <w:rPr>
          <w:sz w:val="20"/>
        </w:rPr>
        <w:t>La instrumentación jurídica, administrativa, de participación social, y financiera del programa que se elabora, así como el procedimiento de evaluación del programa que incluya la definición de indicadores y metas en el corto, mediano y largo plazo; así como las metas generales en cuanto a la calidad de vida en los centros de población urbanos y rurales del estado, así como en las comunidades indígenas;</w:t>
      </w:r>
    </w:p>
    <w:p>
      <w:pPr>
        <w:pStyle w:val="BodyText"/>
      </w:pPr>
    </w:p>
    <w:p>
      <w:pPr>
        <w:pStyle w:val="ListParagraph"/>
        <w:numPr>
          <w:ilvl w:val="0"/>
          <w:numId w:val="38"/>
        </w:numPr>
        <w:tabs>
          <w:tab w:pos="827" w:val="left" w:leader="none"/>
        </w:tabs>
        <w:spacing w:line="240" w:lineRule="auto" w:before="0" w:after="0"/>
        <w:ind w:left="262" w:right="288" w:firstLine="0"/>
        <w:jc w:val="both"/>
        <w:rPr>
          <w:sz w:val="20"/>
        </w:rPr>
      </w:pPr>
      <w:r>
        <w:rPr>
          <w:sz w:val="20"/>
        </w:rPr>
        <w:t>Los requerimientos globales de reservas territoriales para el desarrollo urbano, así como los mecanismos para satisfacer dichas necesidades;</w:t>
      </w:r>
    </w:p>
    <w:p>
      <w:pPr>
        <w:pStyle w:val="ListParagraph"/>
        <w:numPr>
          <w:ilvl w:val="0"/>
          <w:numId w:val="38"/>
        </w:numPr>
        <w:tabs>
          <w:tab w:pos="828" w:val="left" w:leader="none"/>
        </w:tabs>
        <w:spacing w:line="240" w:lineRule="auto" w:before="229" w:after="0"/>
        <w:ind w:left="262" w:right="285" w:firstLine="0"/>
        <w:jc w:val="both"/>
        <w:rPr>
          <w:sz w:val="20"/>
        </w:rPr>
      </w:pPr>
      <w:r>
        <w:rPr>
          <w:sz w:val="20"/>
        </w:rPr>
        <w:t>La</w:t>
      </w:r>
      <w:r>
        <w:rPr>
          <w:spacing w:val="-6"/>
          <w:sz w:val="20"/>
        </w:rPr>
        <w:t> </w:t>
      </w:r>
      <w:r>
        <w:rPr>
          <w:sz w:val="20"/>
        </w:rPr>
        <w:t>indicación</w:t>
      </w:r>
      <w:r>
        <w:rPr>
          <w:spacing w:val="-6"/>
          <w:sz w:val="20"/>
        </w:rPr>
        <w:t> </w:t>
      </w:r>
      <w:r>
        <w:rPr>
          <w:sz w:val="20"/>
        </w:rPr>
        <w:t>de</w:t>
      </w:r>
      <w:r>
        <w:rPr>
          <w:spacing w:val="-6"/>
          <w:sz w:val="20"/>
        </w:rPr>
        <w:t> </w:t>
      </w:r>
      <w:r>
        <w:rPr>
          <w:sz w:val="20"/>
        </w:rPr>
        <w:t>los</w:t>
      </w:r>
      <w:r>
        <w:rPr>
          <w:spacing w:val="-6"/>
          <w:sz w:val="20"/>
        </w:rPr>
        <w:t> </w:t>
      </w:r>
      <w:r>
        <w:rPr>
          <w:sz w:val="20"/>
        </w:rPr>
        <w:t>mecanismos</w:t>
      </w:r>
      <w:r>
        <w:rPr>
          <w:spacing w:val="-6"/>
          <w:sz w:val="20"/>
        </w:rPr>
        <w:t> </w:t>
      </w:r>
      <w:r>
        <w:rPr>
          <w:sz w:val="20"/>
        </w:rPr>
        <w:t>e</w:t>
      </w:r>
      <w:r>
        <w:rPr>
          <w:spacing w:val="-6"/>
          <w:sz w:val="20"/>
        </w:rPr>
        <w:t> </w:t>
      </w:r>
      <w:r>
        <w:rPr>
          <w:sz w:val="20"/>
        </w:rPr>
        <w:t>instrumentos</w:t>
      </w:r>
      <w:r>
        <w:rPr>
          <w:spacing w:val="-6"/>
          <w:sz w:val="20"/>
        </w:rPr>
        <w:t> </w:t>
      </w:r>
      <w:r>
        <w:rPr>
          <w:sz w:val="20"/>
        </w:rPr>
        <w:t>financieros</w:t>
      </w:r>
      <w:r>
        <w:rPr>
          <w:spacing w:val="-3"/>
          <w:sz w:val="20"/>
        </w:rPr>
        <w:t> </w:t>
      </w:r>
      <w:r>
        <w:rPr>
          <w:sz w:val="20"/>
        </w:rPr>
        <w:t>para</w:t>
      </w:r>
      <w:r>
        <w:rPr>
          <w:spacing w:val="-6"/>
          <w:sz w:val="20"/>
        </w:rPr>
        <w:t> </w:t>
      </w:r>
      <w:r>
        <w:rPr>
          <w:sz w:val="20"/>
        </w:rPr>
        <w:t>el</w:t>
      </w:r>
      <w:r>
        <w:rPr>
          <w:spacing w:val="-6"/>
          <w:sz w:val="20"/>
        </w:rPr>
        <w:t> </w:t>
      </w:r>
      <w:r>
        <w:rPr>
          <w:sz w:val="20"/>
        </w:rPr>
        <w:t>desarrollo</w:t>
      </w:r>
      <w:r>
        <w:rPr>
          <w:spacing w:val="-5"/>
          <w:sz w:val="20"/>
        </w:rPr>
        <w:t> </w:t>
      </w:r>
      <w:r>
        <w:rPr>
          <w:sz w:val="20"/>
        </w:rPr>
        <w:t>urbano</w:t>
      </w:r>
      <w:r>
        <w:rPr>
          <w:spacing w:val="-6"/>
          <w:sz w:val="20"/>
        </w:rPr>
        <w:t> </w:t>
      </w:r>
      <w:r>
        <w:rPr>
          <w:sz w:val="20"/>
        </w:rPr>
        <w:t>para</w:t>
      </w:r>
      <w:r>
        <w:rPr>
          <w:spacing w:val="-6"/>
          <w:sz w:val="20"/>
        </w:rPr>
        <w:t> </w:t>
      </w:r>
      <w:r>
        <w:rPr>
          <w:sz w:val="20"/>
        </w:rPr>
        <w:t>la ejecución y cumplimiento del programa;</w:t>
      </w:r>
    </w:p>
    <w:p>
      <w:pPr>
        <w:pStyle w:val="ListParagraph"/>
        <w:numPr>
          <w:ilvl w:val="0"/>
          <w:numId w:val="38"/>
        </w:numPr>
        <w:tabs>
          <w:tab w:pos="827" w:val="left" w:leader="none"/>
        </w:tabs>
        <w:spacing w:line="240" w:lineRule="auto" w:before="229" w:after="0"/>
        <w:ind w:left="262" w:right="286" w:firstLine="0"/>
        <w:jc w:val="both"/>
        <w:rPr>
          <w:sz w:val="20"/>
        </w:rPr>
      </w:pPr>
      <w:r>
        <w:rPr>
          <w:sz w:val="20"/>
        </w:rPr>
        <w:t>Los criterios, mecanismos, objetivos e indicadores en materia de resiliencia que deberán observar los tres órdenes de gobierno en la elaboración de sus programas en las materias de esta Ley,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38"/>
        </w:numPr>
        <w:tabs>
          <w:tab w:pos="827" w:val="left" w:leader="none"/>
        </w:tabs>
        <w:spacing w:line="240" w:lineRule="auto" w:before="0" w:after="0"/>
        <w:ind w:left="262" w:right="287" w:firstLine="0"/>
        <w:jc w:val="both"/>
        <w:rPr>
          <w:sz w:val="20"/>
        </w:rPr>
      </w:pPr>
      <w:r>
        <w:rPr>
          <w:sz w:val="20"/>
        </w:rPr>
        <w:t>Esquemas y mecanismos que fomenten la equidad, inclusión y accesibilidad universal en el desarrollo urbano, el ordenamiento territorial y los asentamientos humanos.</w:t>
      </w:r>
    </w:p>
    <w:p>
      <w:pPr>
        <w:pStyle w:val="BodyText"/>
        <w:spacing w:before="1"/>
      </w:pPr>
    </w:p>
    <w:p>
      <w:pPr>
        <w:pStyle w:val="BodyText"/>
        <w:ind w:left="262" w:right="278"/>
        <w:jc w:val="both"/>
      </w:pPr>
      <w:r>
        <w:rPr>
          <w:rFonts w:ascii="Arial" w:hAnsi="Arial"/>
          <w:b/>
        </w:rPr>
        <w:t>ARTÍCULO 74. </w:t>
      </w:r>
      <w:r>
        <w:rPr/>
        <w:t>La Secretaría promoverá la participación social en la elaboración, actualización y ejecución del Programa Estatal de Ordenamiento Territorial y Desarrollo Urbano, atendiendo a lo dispuesto en la Ley de Planeación y con la intervención de los órganos auxiliares de participación ciudadana y conformación plural previstos en esta Ley.</w:t>
      </w:r>
    </w:p>
    <w:p>
      <w:pPr>
        <w:pStyle w:val="BodyText"/>
      </w:pPr>
    </w:p>
    <w:p>
      <w:pPr>
        <w:pStyle w:val="BodyText"/>
        <w:ind w:left="262" w:right="286"/>
        <w:jc w:val="both"/>
      </w:pPr>
      <w:r>
        <w:rPr/>
        <w:t>La</w:t>
      </w:r>
      <w:r>
        <w:rPr>
          <w:spacing w:val="-10"/>
        </w:rPr>
        <w:t> </w:t>
      </w:r>
      <w:r>
        <w:rPr/>
        <w:t>Secretaría,</w:t>
      </w:r>
      <w:r>
        <w:rPr>
          <w:spacing w:val="-8"/>
        </w:rPr>
        <w:t> </w:t>
      </w:r>
      <w:r>
        <w:rPr/>
        <w:t>anualmente,</w:t>
      </w:r>
      <w:r>
        <w:rPr>
          <w:spacing w:val="-7"/>
        </w:rPr>
        <w:t> </w:t>
      </w:r>
      <w:r>
        <w:rPr/>
        <w:t>presentará</w:t>
      </w:r>
      <w:r>
        <w:rPr>
          <w:spacing w:val="-7"/>
        </w:rPr>
        <w:t> </w:t>
      </w:r>
      <w:r>
        <w:rPr/>
        <w:t>al</w:t>
      </w:r>
      <w:r>
        <w:rPr>
          <w:spacing w:val="-9"/>
        </w:rPr>
        <w:t> </w:t>
      </w:r>
      <w:r>
        <w:rPr/>
        <w:t>Consejo</w:t>
      </w:r>
      <w:r>
        <w:rPr>
          <w:spacing w:val="-8"/>
        </w:rPr>
        <w:t> </w:t>
      </w:r>
      <w:r>
        <w:rPr/>
        <w:t>Estatal</w:t>
      </w:r>
      <w:r>
        <w:rPr>
          <w:spacing w:val="-11"/>
        </w:rPr>
        <w:t> </w:t>
      </w:r>
      <w:r>
        <w:rPr/>
        <w:t>un</w:t>
      </w:r>
      <w:r>
        <w:rPr>
          <w:spacing w:val="-10"/>
        </w:rPr>
        <w:t> </w:t>
      </w:r>
      <w:r>
        <w:rPr/>
        <w:t>informe</w:t>
      </w:r>
      <w:r>
        <w:rPr>
          <w:spacing w:val="-10"/>
        </w:rPr>
        <w:t> </w:t>
      </w:r>
      <w:r>
        <w:rPr/>
        <w:t>de</w:t>
      </w:r>
      <w:r>
        <w:rPr>
          <w:spacing w:val="-8"/>
        </w:rPr>
        <w:t> </w:t>
      </w:r>
      <w:r>
        <w:rPr/>
        <w:t>ejecución</w:t>
      </w:r>
      <w:r>
        <w:rPr>
          <w:spacing w:val="-8"/>
        </w:rPr>
        <w:t> </w:t>
      </w:r>
      <w:r>
        <w:rPr/>
        <w:t>y</w:t>
      </w:r>
      <w:r>
        <w:rPr>
          <w:spacing w:val="-9"/>
        </w:rPr>
        <w:t> </w:t>
      </w:r>
      <w:r>
        <w:rPr/>
        <w:t>seguimiento</w:t>
      </w:r>
      <w:r>
        <w:rPr>
          <w:spacing w:val="-8"/>
        </w:rPr>
        <w:t> </w:t>
      </w:r>
      <w:r>
        <w:rPr/>
        <w:t>del Programa Estatal de Ordenamiento Territorial y Desarrollo Urbano.</w:t>
      </w:r>
    </w:p>
    <w:p>
      <w:pPr>
        <w:pStyle w:val="BodyText"/>
        <w:spacing w:before="229"/>
        <w:ind w:left="262" w:right="281"/>
        <w:jc w:val="both"/>
      </w:pPr>
      <w:r>
        <w:rPr>
          <w:rFonts w:ascii="Arial" w:hAnsi="Arial"/>
          <w:b/>
        </w:rPr>
        <w:t>ARTÍCULO</w:t>
      </w:r>
      <w:r>
        <w:rPr>
          <w:rFonts w:ascii="Arial" w:hAnsi="Arial"/>
          <w:b/>
          <w:spacing w:val="-9"/>
        </w:rPr>
        <w:t> </w:t>
      </w:r>
      <w:r>
        <w:rPr>
          <w:rFonts w:ascii="Arial" w:hAnsi="Arial"/>
          <w:b/>
        </w:rPr>
        <w:t>75.</w:t>
      </w:r>
      <w:r>
        <w:rPr>
          <w:rFonts w:ascii="Arial" w:hAnsi="Arial"/>
          <w:b/>
          <w:spacing w:val="-9"/>
        </w:rPr>
        <w:t> </w:t>
      </w:r>
      <w:r>
        <w:rPr/>
        <w:t>Los</w:t>
      </w:r>
      <w:r>
        <w:rPr>
          <w:spacing w:val="-9"/>
        </w:rPr>
        <w:t> </w:t>
      </w:r>
      <w:r>
        <w:rPr/>
        <w:t>programas</w:t>
      </w:r>
      <w:r>
        <w:rPr>
          <w:spacing w:val="-9"/>
        </w:rPr>
        <w:t> </w:t>
      </w:r>
      <w:r>
        <w:rPr/>
        <w:t>de</w:t>
      </w:r>
      <w:r>
        <w:rPr>
          <w:spacing w:val="-8"/>
        </w:rPr>
        <w:t> </w:t>
      </w:r>
      <w:r>
        <w:rPr/>
        <w:t>Ordenamiento</w:t>
      </w:r>
      <w:r>
        <w:rPr>
          <w:spacing w:val="-10"/>
        </w:rPr>
        <w:t> </w:t>
      </w:r>
      <w:r>
        <w:rPr/>
        <w:t>Territorial</w:t>
      </w:r>
      <w:r>
        <w:rPr>
          <w:spacing w:val="-11"/>
        </w:rPr>
        <w:t> </w:t>
      </w:r>
      <w:r>
        <w:rPr/>
        <w:t>y</w:t>
      </w:r>
      <w:r>
        <w:rPr>
          <w:spacing w:val="-9"/>
        </w:rPr>
        <w:t> </w:t>
      </w:r>
      <w:r>
        <w:rPr/>
        <w:t>Desarrollo</w:t>
      </w:r>
      <w:r>
        <w:rPr>
          <w:spacing w:val="-10"/>
        </w:rPr>
        <w:t> </w:t>
      </w:r>
      <w:r>
        <w:rPr/>
        <w:t>Urbano</w:t>
      </w:r>
      <w:r>
        <w:rPr>
          <w:spacing w:val="-8"/>
        </w:rPr>
        <w:t> </w:t>
      </w:r>
      <w:r>
        <w:rPr/>
        <w:t>deberán</w:t>
      </w:r>
      <w:r>
        <w:rPr>
          <w:spacing w:val="-10"/>
        </w:rPr>
        <w:t> </w:t>
      </w:r>
      <w:r>
        <w:rPr/>
        <w:t>considerar los</w:t>
      </w:r>
      <w:r>
        <w:rPr>
          <w:spacing w:val="-11"/>
        </w:rPr>
        <w:t> </w:t>
      </w:r>
      <w:r>
        <w:rPr/>
        <w:t>ordenamientos</w:t>
      </w:r>
      <w:r>
        <w:rPr>
          <w:spacing w:val="-11"/>
        </w:rPr>
        <w:t> </w:t>
      </w:r>
      <w:r>
        <w:rPr/>
        <w:t>ecológicos</w:t>
      </w:r>
      <w:r>
        <w:rPr>
          <w:spacing w:val="-11"/>
        </w:rPr>
        <w:t> </w:t>
      </w:r>
      <w:r>
        <w:rPr/>
        <w:t>y</w:t>
      </w:r>
      <w:r>
        <w:rPr>
          <w:spacing w:val="-11"/>
        </w:rPr>
        <w:t> </w:t>
      </w:r>
      <w:r>
        <w:rPr/>
        <w:t>los</w:t>
      </w:r>
      <w:r>
        <w:rPr>
          <w:spacing w:val="-8"/>
        </w:rPr>
        <w:t> </w:t>
      </w:r>
      <w:r>
        <w:rPr/>
        <w:t>criterios</w:t>
      </w:r>
      <w:r>
        <w:rPr>
          <w:spacing w:val="-9"/>
        </w:rPr>
        <w:t> </w:t>
      </w:r>
      <w:r>
        <w:rPr/>
        <w:t>generales</w:t>
      </w:r>
      <w:r>
        <w:rPr>
          <w:spacing w:val="-9"/>
        </w:rPr>
        <w:t> </w:t>
      </w:r>
      <w:r>
        <w:rPr/>
        <w:t>de</w:t>
      </w:r>
      <w:r>
        <w:rPr>
          <w:spacing w:val="-13"/>
        </w:rPr>
        <w:t> </w:t>
      </w:r>
      <w:r>
        <w:rPr/>
        <w:t>regulación</w:t>
      </w:r>
      <w:r>
        <w:rPr>
          <w:spacing w:val="-10"/>
        </w:rPr>
        <w:t> </w:t>
      </w:r>
      <w:r>
        <w:rPr/>
        <w:t>ecológica</w:t>
      </w:r>
      <w:r>
        <w:rPr>
          <w:spacing w:val="-10"/>
        </w:rPr>
        <w:t> </w:t>
      </w:r>
      <w:r>
        <w:rPr/>
        <w:t>de</w:t>
      </w:r>
      <w:r>
        <w:rPr>
          <w:spacing w:val="-10"/>
        </w:rPr>
        <w:t> </w:t>
      </w:r>
      <w:r>
        <w:rPr/>
        <w:t>los</w:t>
      </w:r>
      <w:r>
        <w:rPr>
          <w:spacing w:val="-11"/>
        </w:rPr>
        <w:t> </w:t>
      </w:r>
      <w:r>
        <w:rPr/>
        <w:t>asentamientos humanos</w:t>
      </w:r>
      <w:r>
        <w:rPr>
          <w:spacing w:val="-1"/>
        </w:rPr>
        <w:t> </w:t>
      </w:r>
      <w:r>
        <w:rPr/>
        <w:t>establecidos</w:t>
      </w:r>
      <w:r>
        <w:rPr>
          <w:spacing w:val="-1"/>
        </w:rPr>
        <w:t> </w:t>
      </w:r>
      <w:r>
        <w:rPr/>
        <w:t>en</w:t>
      </w:r>
      <w:r>
        <w:rPr>
          <w:spacing w:val="-3"/>
        </w:rPr>
        <w:t> </w:t>
      </w:r>
      <w:r>
        <w:rPr/>
        <w:t>el</w:t>
      </w:r>
      <w:r>
        <w:rPr>
          <w:spacing w:val="-5"/>
        </w:rPr>
        <w:t> </w:t>
      </w:r>
      <w:r>
        <w:rPr/>
        <w:t>artículo</w:t>
      </w:r>
      <w:r>
        <w:rPr>
          <w:spacing w:val="-2"/>
        </w:rPr>
        <w:t> </w:t>
      </w:r>
      <w:r>
        <w:rPr/>
        <w:t>23</w:t>
      </w:r>
      <w:r>
        <w:rPr>
          <w:spacing w:val="-4"/>
        </w:rPr>
        <w:t> </w:t>
      </w:r>
      <w:r>
        <w:rPr/>
        <w:t>de</w:t>
      </w:r>
      <w:r>
        <w:rPr>
          <w:spacing w:val="-2"/>
        </w:rPr>
        <w:t> </w:t>
      </w:r>
      <w:r>
        <w:rPr/>
        <w:t>la</w:t>
      </w:r>
      <w:r>
        <w:rPr>
          <w:spacing w:val="-2"/>
        </w:rPr>
        <w:t> </w:t>
      </w:r>
      <w:r>
        <w:rPr/>
        <w:t>Ley General</w:t>
      </w:r>
      <w:r>
        <w:rPr>
          <w:spacing w:val="-5"/>
        </w:rPr>
        <w:t> </w:t>
      </w:r>
      <w:r>
        <w:rPr/>
        <w:t>del</w:t>
      </w:r>
      <w:r>
        <w:rPr>
          <w:spacing w:val="-3"/>
        </w:rPr>
        <w:t> </w:t>
      </w:r>
      <w:r>
        <w:rPr/>
        <w:t>Equilibrio</w:t>
      </w:r>
      <w:r>
        <w:rPr>
          <w:spacing w:val="-2"/>
        </w:rPr>
        <w:t> </w:t>
      </w:r>
      <w:r>
        <w:rPr/>
        <w:t>Ecológico</w:t>
      </w:r>
      <w:r>
        <w:rPr>
          <w:spacing w:val="-2"/>
        </w:rPr>
        <w:t> </w:t>
      </w:r>
      <w:r>
        <w:rPr/>
        <w:t>y</w:t>
      </w:r>
      <w:r>
        <w:rPr>
          <w:spacing w:val="-3"/>
        </w:rPr>
        <w:t> </w:t>
      </w:r>
      <w:r>
        <w:rPr/>
        <w:t>la</w:t>
      </w:r>
      <w:r>
        <w:rPr>
          <w:spacing w:val="-2"/>
        </w:rPr>
        <w:t> </w:t>
      </w:r>
      <w:r>
        <w:rPr/>
        <w:t>Protección</w:t>
      </w:r>
      <w:r>
        <w:rPr>
          <w:spacing w:val="-2"/>
        </w:rPr>
        <w:t> </w:t>
      </w:r>
      <w:r>
        <w:rPr/>
        <w:t>al Ambiente y en las normas oficiales mexicanas en materia ecológica, así como los planes o programas de ordenamiento ecológico expedidos por el Estado.</w:t>
      </w:r>
    </w:p>
    <w:p>
      <w:pPr>
        <w:pStyle w:val="BodyText"/>
      </w:pPr>
    </w:p>
    <w:p>
      <w:pPr>
        <w:pStyle w:val="BodyText"/>
        <w:ind w:left="262" w:right="277"/>
        <w:jc w:val="both"/>
      </w:pPr>
      <w:r>
        <w:rPr>
          <w:rFonts w:ascii="Arial" w:hAnsi="Arial"/>
          <w:b/>
        </w:rPr>
        <w:t>ARTÍCULO</w:t>
      </w:r>
      <w:r>
        <w:rPr>
          <w:rFonts w:ascii="Arial" w:hAnsi="Arial"/>
          <w:b/>
          <w:spacing w:val="-13"/>
        </w:rPr>
        <w:t> </w:t>
      </w:r>
      <w:r>
        <w:rPr>
          <w:rFonts w:ascii="Arial" w:hAnsi="Arial"/>
          <w:b/>
        </w:rPr>
        <w:t>76.</w:t>
      </w:r>
      <w:r>
        <w:rPr>
          <w:rFonts w:ascii="Arial" w:hAnsi="Arial"/>
          <w:b/>
          <w:spacing w:val="-11"/>
        </w:rPr>
        <w:t> </w:t>
      </w:r>
      <w:r>
        <w:rPr/>
        <w:t>Las</w:t>
      </w:r>
      <w:r>
        <w:rPr>
          <w:spacing w:val="-12"/>
        </w:rPr>
        <w:t> </w:t>
      </w:r>
      <w:r>
        <w:rPr/>
        <w:t>autorizaciones</w:t>
      </w:r>
      <w:r>
        <w:rPr>
          <w:spacing w:val="-13"/>
        </w:rPr>
        <w:t> </w:t>
      </w:r>
      <w:r>
        <w:rPr/>
        <w:t>de</w:t>
      </w:r>
      <w:r>
        <w:rPr>
          <w:spacing w:val="-12"/>
        </w:rPr>
        <w:t> </w:t>
      </w:r>
      <w:r>
        <w:rPr/>
        <w:t>manifestación</w:t>
      </w:r>
      <w:r>
        <w:rPr>
          <w:spacing w:val="-12"/>
        </w:rPr>
        <w:t> </w:t>
      </w:r>
      <w:r>
        <w:rPr/>
        <w:t>de</w:t>
      </w:r>
      <w:r>
        <w:rPr>
          <w:spacing w:val="-14"/>
        </w:rPr>
        <w:t> </w:t>
      </w:r>
      <w:r>
        <w:rPr/>
        <w:t>impacto</w:t>
      </w:r>
      <w:r>
        <w:rPr>
          <w:spacing w:val="-14"/>
        </w:rPr>
        <w:t> </w:t>
      </w:r>
      <w:r>
        <w:rPr/>
        <w:t>ambiental</w:t>
      </w:r>
      <w:r>
        <w:rPr>
          <w:spacing w:val="-13"/>
        </w:rPr>
        <w:t> </w:t>
      </w:r>
      <w:r>
        <w:rPr/>
        <w:t>que</w:t>
      </w:r>
      <w:r>
        <w:rPr>
          <w:spacing w:val="-11"/>
        </w:rPr>
        <w:t> </w:t>
      </w:r>
      <w:r>
        <w:rPr/>
        <w:t>otorgue</w:t>
      </w:r>
      <w:r>
        <w:rPr>
          <w:spacing w:val="-12"/>
        </w:rPr>
        <w:t> </w:t>
      </w:r>
      <w:r>
        <w:rPr/>
        <w:t>la</w:t>
      </w:r>
      <w:r>
        <w:rPr>
          <w:spacing w:val="-12"/>
        </w:rPr>
        <w:t> </w:t>
      </w:r>
      <w:r>
        <w:rPr/>
        <w:t>Secretaría de Ecología y Gestión Ambiental en el ámbito de su competencia y en su caso los municipios conforme a las disposiciones jurídicas ambientales, deberán considerar la observancia de la legislación y los programas en materia de Desarrollo Urbano.</w:t>
      </w:r>
    </w:p>
    <w:p>
      <w:pPr>
        <w:pStyle w:val="BodyText"/>
      </w:pPr>
    </w:p>
    <w:p>
      <w:pPr>
        <w:pStyle w:val="BodyText"/>
        <w:ind w:left="262" w:right="276"/>
        <w:jc w:val="both"/>
      </w:pPr>
      <w:r>
        <w:rPr>
          <w:rFonts w:ascii="Arial" w:hAnsi="Arial"/>
          <w:b/>
        </w:rPr>
        <w:t>ARTÍCULO 77. </w:t>
      </w:r>
      <w:r>
        <w:rPr/>
        <w:t>Los Programas de Desarrollo Urbano deberán considerar las Normas Oficiales Mexicanas emitidas en la materia, las medidas y criterios en materia de Resiliencia previstos en el Programa Nacional de Ordenamiento Territorial y Desarrollo Urbano y en los atlas de riesgos para la definición de los Usos del Suelo, Destinos y Reservas.</w:t>
      </w:r>
    </w:p>
    <w:p>
      <w:pPr>
        <w:pStyle w:val="BodyText"/>
        <w:spacing w:before="2"/>
      </w:pPr>
    </w:p>
    <w:p>
      <w:pPr>
        <w:pStyle w:val="BodyText"/>
        <w:spacing w:before="1"/>
        <w:ind w:left="262" w:right="276"/>
        <w:jc w:val="both"/>
      </w:pPr>
      <w:r>
        <w:rPr>
          <w:rFonts w:ascii="Arial" w:hAnsi="Arial"/>
          <w:b/>
        </w:rPr>
        <w:t>ARTÍCULO 78. </w:t>
      </w:r>
      <w:r>
        <w:rPr/>
        <w:t>Las autorizaciones de construcción, edificación, realización de obras de infraestructura</w:t>
      </w:r>
      <w:r>
        <w:rPr>
          <w:spacing w:val="-6"/>
        </w:rPr>
        <w:t> </w:t>
      </w:r>
      <w:r>
        <w:rPr/>
        <w:t>que</w:t>
      </w:r>
      <w:r>
        <w:rPr>
          <w:spacing w:val="-7"/>
        </w:rPr>
        <w:t> </w:t>
      </w:r>
      <w:r>
        <w:rPr/>
        <w:t>otorgue</w:t>
      </w:r>
      <w:r>
        <w:rPr>
          <w:spacing w:val="-7"/>
        </w:rPr>
        <w:t> </w:t>
      </w:r>
      <w:r>
        <w:rPr/>
        <w:t>la</w:t>
      </w:r>
      <w:r>
        <w:rPr>
          <w:spacing w:val="-7"/>
        </w:rPr>
        <w:t> </w:t>
      </w:r>
      <w:r>
        <w:rPr/>
        <w:t>Secretaría</w:t>
      </w:r>
      <w:r>
        <w:rPr>
          <w:spacing w:val="-6"/>
        </w:rPr>
        <w:t> </w:t>
      </w:r>
      <w:r>
        <w:rPr/>
        <w:t>y</w:t>
      </w:r>
      <w:r>
        <w:rPr>
          <w:spacing w:val="-5"/>
        </w:rPr>
        <w:t> </w:t>
      </w:r>
      <w:r>
        <w:rPr/>
        <w:t>los</w:t>
      </w:r>
      <w:r>
        <w:rPr>
          <w:spacing w:val="-6"/>
        </w:rPr>
        <w:t> </w:t>
      </w:r>
      <w:r>
        <w:rPr/>
        <w:t>municipios</w:t>
      </w:r>
      <w:r>
        <w:rPr>
          <w:spacing w:val="-6"/>
        </w:rPr>
        <w:t> </w:t>
      </w:r>
      <w:r>
        <w:rPr/>
        <w:t>deberán</w:t>
      </w:r>
      <w:r>
        <w:rPr>
          <w:spacing w:val="-7"/>
        </w:rPr>
        <w:t> </w:t>
      </w:r>
      <w:r>
        <w:rPr/>
        <w:t>realizar</w:t>
      </w:r>
      <w:r>
        <w:rPr>
          <w:spacing w:val="-6"/>
        </w:rPr>
        <w:t> </w:t>
      </w:r>
      <w:r>
        <w:rPr/>
        <w:t>un</w:t>
      </w:r>
      <w:r>
        <w:rPr>
          <w:spacing w:val="-7"/>
        </w:rPr>
        <w:t> </w:t>
      </w:r>
      <w:r>
        <w:rPr/>
        <w:t>análisis</w:t>
      </w:r>
      <w:r>
        <w:rPr>
          <w:spacing w:val="-5"/>
        </w:rPr>
        <w:t> </w:t>
      </w:r>
      <w:r>
        <w:rPr/>
        <w:t>de</w:t>
      </w:r>
      <w:r>
        <w:rPr>
          <w:spacing w:val="-7"/>
        </w:rPr>
        <w:t> </w:t>
      </w:r>
      <w:r>
        <w:rPr/>
        <w:t>riesgo</w:t>
      </w:r>
      <w:r>
        <w:rPr>
          <w:spacing w:val="-7"/>
        </w:rPr>
        <w:t> </w:t>
      </w:r>
      <w:r>
        <w:rPr/>
        <w:t>y</w:t>
      </w:r>
      <w:r>
        <w:rPr>
          <w:spacing w:val="-5"/>
        </w:rPr>
        <w:t> </w:t>
      </w:r>
      <w:r>
        <w:rPr/>
        <w:t>en su caso definir las medidas de mitigación para su reducción en el marco de la Ley General de Protección</w:t>
      </w:r>
      <w:r>
        <w:rPr>
          <w:spacing w:val="-1"/>
        </w:rPr>
        <w:t> </w:t>
      </w:r>
      <w:r>
        <w:rPr/>
        <w:t>Civil,</w:t>
      </w:r>
      <w:r>
        <w:rPr>
          <w:spacing w:val="-1"/>
        </w:rPr>
        <w:t> </w:t>
      </w:r>
      <w:r>
        <w:rPr/>
        <w:t>de</w:t>
      </w:r>
      <w:r>
        <w:rPr>
          <w:spacing w:val="-1"/>
        </w:rPr>
        <w:t> </w:t>
      </w:r>
      <w:r>
        <w:rPr/>
        <w:t>la</w:t>
      </w:r>
      <w:r>
        <w:rPr>
          <w:spacing w:val="-1"/>
        </w:rPr>
        <w:t> </w:t>
      </w:r>
      <w:r>
        <w:rPr/>
        <w:t>Ley de</w:t>
      </w:r>
      <w:r>
        <w:rPr>
          <w:spacing w:val="-2"/>
        </w:rPr>
        <w:t> </w:t>
      </w:r>
      <w:r>
        <w:rPr/>
        <w:t>Protección</w:t>
      </w:r>
      <w:r>
        <w:rPr>
          <w:spacing w:val="-2"/>
        </w:rPr>
        <w:t> </w:t>
      </w:r>
      <w:r>
        <w:rPr/>
        <w:t>Civil</w:t>
      </w:r>
      <w:r>
        <w:rPr>
          <w:spacing w:val="-2"/>
        </w:rPr>
        <w:t> </w:t>
      </w:r>
      <w:r>
        <w:rPr/>
        <w:t>del</w:t>
      </w:r>
      <w:r>
        <w:rPr>
          <w:spacing w:val="-2"/>
        </w:rPr>
        <w:t> </w:t>
      </w:r>
      <w:r>
        <w:rPr/>
        <w:t>Estado,</w:t>
      </w:r>
      <w:r>
        <w:rPr>
          <w:spacing w:val="-1"/>
        </w:rPr>
        <w:t> </w:t>
      </w:r>
      <w:r>
        <w:rPr/>
        <w:t>especialmente</w:t>
      </w:r>
      <w:r>
        <w:rPr>
          <w:spacing w:val="-2"/>
        </w:rPr>
        <w:t> </w:t>
      </w:r>
      <w:r>
        <w:rPr/>
        <w:t>en</w:t>
      </w:r>
      <w:r>
        <w:rPr>
          <w:spacing w:val="-1"/>
        </w:rPr>
        <w:t> </w:t>
      </w:r>
      <w:r>
        <w:rPr/>
        <w:t>aquellas</w:t>
      </w:r>
      <w:r>
        <w:rPr>
          <w:spacing w:val="-1"/>
        </w:rPr>
        <w:t> </w:t>
      </w:r>
      <w:r>
        <w:rPr/>
        <w:t>que impliquen impacto ambiental o impacto urbano significativo en términos de esta Ley, y demás legislación </w:t>
      </w:r>
      <w:r>
        <w:rPr>
          <w:spacing w:val="-2"/>
        </w:rPr>
        <w:t>aplicable.</w:t>
      </w:r>
    </w:p>
    <w:p>
      <w:pPr>
        <w:pStyle w:val="BodyText"/>
        <w:spacing w:before="228"/>
      </w:pPr>
    </w:p>
    <w:p>
      <w:pPr>
        <w:pStyle w:val="Heading2"/>
        <w:ind w:right="17"/>
      </w:pPr>
      <w:r>
        <w:rPr/>
        <w:t>Capítulo</w:t>
      </w:r>
      <w:r>
        <w:rPr>
          <w:spacing w:val="-8"/>
        </w:rPr>
        <w:t> </w:t>
      </w:r>
      <w:r>
        <w:rPr>
          <w:spacing w:val="-5"/>
        </w:rPr>
        <w:t>III</w:t>
      </w:r>
    </w:p>
    <w:p>
      <w:pPr>
        <w:pStyle w:val="BodyText"/>
        <w:spacing w:before="1"/>
        <w:rPr>
          <w:rFonts w:ascii="Arial"/>
          <w:b/>
        </w:rPr>
      </w:pPr>
    </w:p>
    <w:p>
      <w:pPr>
        <w:spacing w:before="0"/>
        <w:ind w:left="926" w:right="0" w:firstLine="0"/>
        <w:jc w:val="left"/>
        <w:rPr>
          <w:rFonts w:ascii="Arial"/>
          <w:b/>
          <w:sz w:val="20"/>
        </w:rPr>
      </w:pPr>
      <w:r>
        <w:rPr>
          <w:rFonts w:ascii="Arial"/>
          <w:b/>
          <w:sz w:val="20"/>
        </w:rPr>
        <w:t>Gobernanza</w:t>
      </w:r>
      <w:r>
        <w:rPr>
          <w:rFonts w:ascii="Arial"/>
          <w:b/>
          <w:spacing w:val="-10"/>
          <w:sz w:val="20"/>
        </w:rPr>
        <w:t> </w:t>
      </w:r>
      <w:r>
        <w:rPr>
          <w:rFonts w:ascii="Arial"/>
          <w:b/>
          <w:sz w:val="20"/>
        </w:rPr>
        <w:t>Metropolitana,</w:t>
      </w:r>
      <w:r>
        <w:rPr>
          <w:rFonts w:ascii="Arial"/>
          <w:b/>
          <w:spacing w:val="-10"/>
          <w:sz w:val="20"/>
        </w:rPr>
        <w:t> </w:t>
      </w:r>
      <w:r>
        <w:rPr>
          <w:rFonts w:ascii="Arial"/>
          <w:b/>
          <w:sz w:val="20"/>
        </w:rPr>
        <w:t>Programas</w:t>
      </w:r>
      <w:r>
        <w:rPr>
          <w:rFonts w:ascii="Arial"/>
          <w:b/>
          <w:spacing w:val="-9"/>
          <w:sz w:val="20"/>
        </w:rPr>
        <w:t> </w:t>
      </w:r>
      <w:r>
        <w:rPr>
          <w:rFonts w:ascii="Arial"/>
          <w:b/>
          <w:sz w:val="20"/>
        </w:rPr>
        <w:t>Metropolitanos</w:t>
      </w:r>
      <w:r>
        <w:rPr>
          <w:rFonts w:ascii="Arial"/>
          <w:b/>
          <w:spacing w:val="-10"/>
          <w:sz w:val="20"/>
        </w:rPr>
        <w:t> </w:t>
      </w:r>
      <w:r>
        <w:rPr>
          <w:rFonts w:ascii="Arial"/>
          <w:b/>
          <w:sz w:val="20"/>
        </w:rPr>
        <w:t>y</w:t>
      </w:r>
      <w:r>
        <w:rPr>
          <w:rFonts w:ascii="Arial"/>
          <w:b/>
          <w:spacing w:val="-10"/>
          <w:sz w:val="20"/>
        </w:rPr>
        <w:t> </w:t>
      </w:r>
      <w:r>
        <w:rPr>
          <w:rFonts w:ascii="Arial"/>
          <w:b/>
          <w:sz w:val="20"/>
        </w:rPr>
        <w:t>de</w:t>
      </w:r>
      <w:r>
        <w:rPr>
          <w:rFonts w:ascii="Arial"/>
          <w:b/>
          <w:spacing w:val="-10"/>
          <w:sz w:val="20"/>
        </w:rPr>
        <w:t> </w:t>
      </w:r>
      <w:r>
        <w:rPr>
          <w:rFonts w:ascii="Arial"/>
          <w:b/>
          <w:sz w:val="20"/>
        </w:rPr>
        <w:t>Zonas</w:t>
      </w:r>
      <w:r>
        <w:rPr>
          <w:rFonts w:ascii="Arial"/>
          <w:b/>
          <w:spacing w:val="-10"/>
          <w:sz w:val="20"/>
        </w:rPr>
        <w:t> </w:t>
      </w:r>
      <w:r>
        <w:rPr>
          <w:rFonts w:ascii="Arial"/>
          <w:b/>
          <w:spacing w:val="-2"/>
          <w:sz w:val="20"/>
        </w:rPr>
        <w:t>Conurbadas</w:t>
      </w:r>
    </w:p>
    <w:p>
      <w:pPr>
        <w:pStyle w:val="BodyText"/>
        <w:spacing w:before="1"/>
        <w:rPr>
          <w:rFonts w:ascii="Arial"/>
          <w:b/>
        </w:rPr>
      </w:pPr>
    </w:p>
    <w:p>
      <w:pPr>
        <w:pStyle w:val="BodyText"/>
        <w:ind w:left="262" w:right="287"/>
        <w:jc w:val="both"/>
      </w:pPr>
      <w:r>
        <w:rPr>
          <w:rFonts w:ascii="Arial" w:hAnsi="Arial"/>
          <w:b/>
        </w:rPr>
        <w:t>ARTÍCULO 79. </w:t>
      </w:r>
      <w:r>
        <w:rPr/>
        <w:t>Para lograr</w:t>
      </w:r>
      <w:r>
        <w:rPr>
          <w:spacing w:val="-1"/>
        </w:rPr>
        <w:t> </w:t>
      </w:r>
      <w:r>
        <w:rPr/>
        <w:t>una</w:t>
      </w:r>
      <w:r>
        <w:rPr>
          <w:spacing w:val="-2"/>
        </w:rPr>
        <w:t> </w:t>
      </w:r>
      <w:r>
        <w:rPr/>
        <w:t>eficaz</w:t>
      </w:r>
      <w:r>
        <w:rPr>
          <w:spacing w:val="-1"/>
        </w:rPr>
        <w:t> </w:t>
      </w:r>
      <w:r>
        <w:rPr/>
        <w:t>gobernanza</w:t>
      </w:r>
      <w:r>
        <w:rPr>
          <w:spacing w:val="-2"/>
        </w:rPr>
        <w:t> </w:t>
      </w:r>
      <w:r>
        <w:rPr/>
        <w:t>metropolitana,</w:t>
      </w:r>
      <w:r>
        <w:rPr>
          <w:spacing w:val="-1"/>
        </w:rPr>
        <w:t> </w:t>
      </w:r>
      <w:r>
        <w:rPr/>
        <w:t>se establecerán</w:t>
      </w:r>
      <w:r>
        <w:rPr>
          <w:spacing w:val="-2"/>
        </w:rPr>
        <w:t> </w:t>
      </w:r>
      <w:r>
        <w:rPr/>
        <w:t>los</w:t>
      </w:r>
      <w:r>
        <w:rPr>
          <w:spacing w:val="-1"/>
        </w:rPr>
        <w:t> </w:t>
      </w:r>
      <w:r>
        <w:rPr/>
        <w:t>mecanismos y los instrumentos de carácter obligatorio que aseguren la acción coordinada institucional con los demás órdenes de gobierno y la participación de la sociedad.</w:t>
      </w:r>
    </w:p>
    <w:p>
      <w:pPr>
        <w:pStyle w:val="BodyText"/>
      </w:pPr>
    </w:p>
    <w:p>
      <w:pPr>
        <w:pStyle w:val="BodyText"/>
        <w:ind w:left="262" w:right="288"/>
        <w:jc w:val="both"/>
      </w:pPr>
      <w:r>
        <w:rPr/>
        <w:t>La gestión de las zonas metropolitanas o conurbaciones se efectuará a través de las instancias </w:t>
      </w:r>
      <w:r>
        <w:rPr>
          <w:spacing w:val="-2"/>
        </w:rPr>
        <w:t>siguientes:</w:t>
      </w:r>
    </w:p>
    <w:p>
      <w:pPr>
        <w:pStyle w:val="ListParagraph"/>
        <w:numPr>
          <w:ilvl w:val="0"/>
          <w:numId w:val="39"/>
        </w:numPr>
        <w:tabs>
          <w:tab w:pos="543" w:val="left" w:leader="none"/>
        </w:tabs>
        <w:spacing w:line="240" w:lineRule="auto" w:before="229" w:after="0"/>
        <w:ind w:left="262" w:right="279" w:firstLine="0"/>
        <w:jc w:val="both"/>
        <w:rPr>
          <w:sz w:val="20"/>
        </w:rPr>
      </w:pPr>
      <w:r>
        <w:rPr>
          <w:sz w:val="20"/>
        </w:rPr>
        <w:t>La Comisión Metropolitana y de Conurbación que coordinará la formulación y aprobación de los programas metropolitanos, así como su gestión, evaluación y cumplimiento. A la denominación de las comisiones metropolitanas y de conurbación se agregará el nombre particular de la zona metropolitana correspondiente;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39"/>
        </w:numPr>
        <w:tabs>
          <w:tab w:pos="543" w:val="left" w:leader="none"/>
        </w:tabs>
        <w:spacing w:line="240" w:lineRule="auto" w:before="0" w:after="0"/>
        <w:ind w:left="262" w:right="284" w:firstLine="0"/>
        <w:jc w:val="both"/>
        <w:rPr>
          <w:sz w:val="20"/>
        </w:rPr>
      </w:pPr>
      <w:r>
        <w:rPr>
          <w:sz w:val="20"/>
        </w:rPr>
        <w:t>El Consejo Consultivo de Desarrollo Metropolitano y Zona Conurbada, que promoverá los procesos</w:t>
      </w:r>
      <w:r>
        <w:rPr>
          <w:spacing w:val="-9"/>
          <w:sz w:val="20"/>
        </w:rPr>
        <w:t> </w:t>
      </w:r>
      <w:r>
        <w:rPr>
          <w:sz w:val="20"/>
        </w:rPr>
        <w:t>de</w:t>
      </w:r>
      <w:r>
        <w:rPr>
          <w:spacing w:val="-10"/>
          <w:sz w:val="20"/>
        </w:rPr>
        <w:t> </w:t>
      </w:r>
      <w:r>
        <w:rPr>
          <w:sz w:val="20"/>
        </w:rPr>
        <w:t>consulta</w:t>
      </w:r>
      <w:r>
        <w:rPr>
          <w:spacing w:val="-10"/>
          <w:sz w:val="20"/>
        </w:rPr>
        <w:t> </w:t>
      </w:r>
      <w:r>
        <w:rPr>
          <w:sz w:val="20"/>
        </w:rPr>
        <w:t>pública</w:t>
      </w:r>
      <w:r>
        <w:rPr>
          <w:spacing w:val="-10"/>
          <w:sz w:val="20"/>
        </w:rPr>
        <w:t> </w:t>
      </w:r>
      <w:r>
        <w:rPr>
          <w:sz w:val="20"/>
        </w:rPr>
        <w:t>e</w:t>
      </w:r>
      <w:r>
        <w:rPr>
          <w:spacing w:val="-10"/>
          <w:sz w:val="20"/>
        </w:rPr>
        <w:t> </w:t>
      </w:r>
      <w:r>
        <w:rPr>
          <w:sz w:val="20"/>
        </w:rPr>
        <w:t>interinstitucional</w:t>
      </w:r>
      <w:r>
        <w:rPr>
          <w:spacing w:val="-11"/>
          <w:sz w:val="20"/>
        </w:rPr>
        <w:t> </w:t>
      </w:r>
      <w:r>
        <w:rPr>
          <w:sz w:val="20"/>
        </w:rPr>
        <w:t>en</w:t>
      </w:r>
      <w:r>
        <w:rPr>
          <w:spacing w:val="-8"/>
          <w:sz w:val="20"/>
        </w:rPr>
        <w:t> </w:t>
      </w:r>
      <w:r>
        <w:rPr>
          <w:sz w:val="20"/>
        </w:rPr>
        <w:t>las</w:t>
      </w:r>
      <w:r>
        <w:rPr>
          <w:spacing w:val="-9"/>
          <w:sz w:val="20"/>
        </w:rPr>
        <w:t> </w:t>
      </w:r>
      <w:r>
        <w:rPr>
          <w:sz w:val="20"/>
        </w:rPr>
        <w:t>diversas</w:t>
      </w:r>
      <w:r>
        <w:rPr>
          <w:spacing w:val="-9"/>
          <w:sz w:val="20"/>
        </w:rPr>
        <w:t> </w:t>
      </w:r>
      <w:r>
        <w:rPr>
          <w:sz w:val="20"/>
        </w:rPr>
        <w:t>fases</w:t>
      </w:r>
      <w:r>
        <w:rPr>
          <w:spacing w:val="-9"/>
          <w:sz w:val="20"/>
        </w:rPr>
        <w:t> </w:t>
      </w:r>
      <w:r>
        <w:rPr>
          <w:sz w:val="20"/>
        </w:rPr>
        <w:t>de</w:t>
      </w:r>
      <w:r>
        <w:rPr>
          <w:spacing w:val="-10"/>
          <w:sz w:val="20"/>
        </w:rPr>
        <w:t> </w:t>
      </w:r>
      <w:r>
        <w:rPr>
          <w:sz w:val="20"/>
        </w:rPr>
        <w:t>la</w:t>
      </w:r>
      <w:r>
        <w:rPr>
          <w:spacing w:val="-10"/>
          <w:sz w:val="20"/>
        </w:rPr>
        <w:t> </w:t>
      </w:r>
      <w:r>
        <w:rPr>
          <w:sz w:val="20"/>
        </w:rPr>
        <w:t>formulación,</w:t>
      </w:r>
      <w:r>
        <w:rPr>
          <w:spacing w:val="-10"/>
          <w:sz w:val="20"/>
        </w:rPr>
        <w:t> </w:t>
      </w:r>
      <w:r>
        <w:rPr>
          <w:sz w:val="20"/>
        </w:rPr>
        <w:t>aprobación, ejecución y seguimiento de los programas;</w:t>
      </w:r>
    </w:p>
    <w:p>
      <w:pPr>
        <w:pStyle w:val="ListParagraph"/>
        <w:numPr>
          <w:ilvl w:val="0"/>
          <w:numId w:val="39"/>
        </w:numPr>
        <w:tabs>
          <w:tab w:pos="597" w:val="left" w:leader="none"/>
        </w:tabs>
        <w:spacing w:line="240" w:lineRule="auto" w:before="230" w:after="0"/>
        <w:ind w:left="262" w:right="285" w:firstLine="0"/>
        <w:jc w:val="both"/>
        <w:rPr>
          <w:sz w:val="20"/>
        </w:rPr>
      </w:pPr>
      <w:r>
        <w:rPr>
          <w:sz w:val="20"/>
        </w:rPr>
        <w:t>Los institutos metropolitanos de planeación, que sesionarán permanentemente. Los instrumentos jurídicos, para su integración y funcionamiento, y su reglamento interior, estarán sujetos a lo señalado por la Ley General y por esta Ley;</w:t>
      </w:r>
    </w:p>
    <w:p>
      <w:pPr>
        <w:pStyle w:val="BodyText"/>
        <w:spacing w:before="1"/>
      </w:pPr>
    </w:p>
    <w:p>
      <w:pPr>
        <w:pStyle w:val="ListParagraph"/>
        <w:numPr>
          <w:ilvl w:val="0"/>
          <w:numId w:val="39"/>
        </w:numPr>
        <w:tabs>
          <w:tab w:pos="545" w:val="left" w:leader="none"/>
        </w:tabs>
        <w:spacing w:line="240" w:lineRule="auto" w:before="0" w:after="0"/>
        <w:ind w:left="545" w:right="0" w:hanging="283"/>
        <w:jc w:val="both"/>
        <w:rPr>
          <w:sz w:val="20"/>
        </w:rPr>
      </w:pPr>
      <w:r>
        <w:rPr>
          <w:sz w:val="20"/>
        </w:rPr>
        <w:t>Las</w:t>
      </w:r>
      <w:r>
        <w:rPr>
          <w:spacing w:val="-8"/>
          <w:sz w:val="20"/>
        </w:rPr>
        <w:t> </w:t>
      </w:r>
      <w:r>
        <w:rPr>
          <w:sz w:val="20"/>
        </w:rPr>
        <w:t>instancias</w:t>
      </w:r>
      <w:r>
        <w:rPr>
          <w:spacing w:val="-5"/>
          <w:sz w:val="20"/>
        </w:rPr>
        <w:t> </w:t>
      </w:r>
      <w:r>
        <w:rPr>
          <w:sz w:val="20"/>
        </w:rPr>
        <w:t>que</w:t>
      </w:r>
      <w:r>
        <w:rPr>
          <w:spacing w:val="-7"/>
          <w:sz w:val="20"/>
        </w:rPr>
        <w:t> </w:t>
      </w:r>
      <w:r>
        <w:rPr>
          <w:sz w:val="20"/>
        </w:rPr>
        <w:t>permitan</w:t>
      </w:r>
      <w:r>
        <w:rPr>
          <w:spacing w:val="-8"/>
          <w:sz w:val="20"/>
        </w:rPr>
        <w:t> </w:t>
      </w:r>
      <w:r>
        <w:rPr>
          <w:sz w:val="20"/>
        </w:rPr>
        <w:t>la</w:t>
      </w:r>
      <w:r>
        <w:rPr>
          <w:spacing w:val="-7"/>
          <w:sz w:val="20"/>
        </w:rPr>
        <w:t> </w:t>
      </w:r>
      <w:r>
        <w:rPr>
          <w:sz w:val="20"/>
        </w:rPr>
        <w:t>prestación</w:t>
      </w:r>
      <w:r>
        <w:rPr>
          <w:spacing w:val="-7"/>
          <w:sz w:val="20"/>
        </w:rPr>
        <w:t> </w:t>
      </w:r>
      <w:r>
        <w:rPr>
          <w:sz w:val="20"/>
        </w:rPr>
        <w:t>de</w:t>
      </w:r>
      <w:r>
        <w:rPr>
          <w:spacing w:val="-9"/>
          <w:sz w:val="20"/>
        </w:rPr>
        <w:t> </w:t>
      </w:r>
      <w:r>
        <w:rPr>
          <w:sz w:val="20"/>
        </w:rPr>
        <w:t>servicios</w:t>
      </w:r>
      <w:r>
        <w:rPr>
          <w:spacing w:val="-7"/>
          <w:sz w:val="20"/>
        </w:rPr>
        <w:t> </w:t>
      </w:r>
      <w:r>
        <w:rPr>
          <w:sz w:val="20"/>
        </w:rPr>
        <w:t>públicos</w:t>
      </w:r>
      <w:r>
        <w:rPr>
          <w:spacing w:val="-8"/>
          <w:sz w:val="20"/>
        </w:rPr>
        <w:t> </w:t>
      </w:r>
      <w:r>
        <w:rPr>
          <w:spacing w:val="-2"/>
          <w:sz w:val="20"/>
        </w:rPr>
        <w:t>comunes;</w:t>
      </w:r>
    </w:p>
    <w:p>
      <w:pPr>
        <w:pStyle w:val="ListParagraph"/>
        <w:numPr>
          <w:ilvl w:val="0"/>
          <w:numId w:val="39"/>
        </w:numPr>
        <w:tabs>
          <w:tab w:pos="544" w:val="left" w:leader="none"/>
        </w:tabs>
        <w:spacing w:line="240" w:lineRule="auto" w:before="229" w:after="0"/>
        <w:ind w:left="262" w:right="284" w:firstLine="0"/>
        <w:jc w:val="both"/>
        <w:rPr>
          <w:sz w:val="20"/>
        </w:rPr>
      </w:pPr>
      <w:r>
        <w:rPr>
          <w:sz w:val="20"/>
        </w:rPr>
        <w:t>Los</w:t>
      </w:r>
      <w:r>
        <w:rPr>
          <w:spacing w:val="-14"/>
          <w:sz w:val="20"/>
        </w:rPr>
        <w:t> </w:t>
      </w:r>
      <w:r>
        <w:rPr>
          <w:sz w:val="20"/>
        </w:rPr>
        <w:t>mecanismos</w:t>
      </w:r>
      <w:r>
        <w:rPr>
          <w:spacing w:val="-14"/>
          <w:sz w:val="20"/>
        </w:rPr>
        <w:t> </w:t>
      </w:r>
      <w:r>
        <w:rPr>
          <w:sz w:val="20"/>
        </w:rPr>
        <w:t>y</w:t>
      </w:r>
      <w:r>
        <w:rPr>
          <w:spacing w:val="-14"/>
          <w:sz w:val="20"/>
        </w:rPr>
        <w:t> </w:t>
      </w:r>
      <w:r>
        <w:rPr>
          <w:sz w:val="20"/>
        </w:rPr>
        <w:t>fuentes</w:t>
      </w:r>
      <w:r>
        <w:rPr>
          <w:spacing w:val="-14"/>
          <w:sz w:val="20"/>
        </w:rPr>
        <w:t> </w:t>
      </w:r>
      <w:r>
        <w:rPr>
          <w:sz w:val="20"/>
        </w:rPr>
        <w:t>de</w:t>
      </w:r>
      <w:r>
        <w:rPr>
          <w:spacing w:val="-14"/>
          <w:sz w:val="20"/>
        </w:rPr>
        <w:t> </w:t>
      </w:r>
      <w:r>
        <w:rPr>
          <w:sz w:val="20"/>
        </w:rPr>
        <w:t>financiamiento</w:t>
      </w:r>
      <w:r>
        <w:rPr>
          <w:spacing w:val="-14"/>
          <w:sz w:val="20"/>
        </w:rPr>
        <w:t> </w:t>
      </w:r>
      <w:r>
        <w:rPr>
          <w:sz w:val="20"/>
        </w:rPr>
        <w:t>de</w:t>
      </w:r>
      <w:r>
        <w:rPr>
          <w:spacing w:val="-14"/>
          <w:sz w:val="20"/>
        </w:rPr>
        <w:t> </w:t>
      </w:r>
      <w:r>
        <w:rPr>
          <w:sz w:val="20"/>
        </w:rPr>
        <w:t>las</w:t>
      </w:r>
      <w:r>
        <w:rPr>
          <w:spacing w:val="-14"/>
          <w:sz w:val="20"/>
        </w:rPr>
        <w:t> </w:t>
      </w:r>
      <w:r>
        <w:rPr>
          <w:sz w:val="20"/>
        </w:rPr>
        <w:t>acciones</w:t>
      </w:r>
      <w:r>
        <w:rPr>
          <w:spacing w:val="-14"/>
          <w:sz w:val="20"/>
        </w:rPr>
        <w:t> </w:t>
      </w:r>
      <w:r>
        <w:rPr>
          <w:sz w:val="20"/>
        </w:rPr>
        <w:t>metropolitanas</w:t>
      </w:r>
      <w:r>
        <w:rPr>
          <w:spacing w:val="-13"/>
          <w:sz w:val="20"/>
        </w:rPr>
        <w:t> </w:t>
      </w:r>
      <w:r>
        <w:rPr>
          <w:sz w:val="20"/>
        </w:rPr>
        <w:t>contemplando,</w:t>
      </w:r>
      <w:r>
        <w:rPr>
          <w:spacing w:val="-14"/>
          <w:sz w:val="20"/>
        </w:rPr>
        <w:t> </w:t>
      </w:r>
      <w:r>
        <w:rPr>
          <w:sz w:val="20"/>
        </w:rPr>
        <w:t>entre otros, el fondo metropolitano, y</w:t>
      </w:r>
    </w:p>
    <w:p>
      <w:pPr>
        <w:pStyle w:val="BodyText"/>
        <w:spacing w:before="1"/>
      </w:pPr>
    </w:p>
    <w:p>
      <w:pPr>
        <w:pStyle w:val="ListParagraph"/>
        <w:numPr>
          <w:ilvl w:val="0"/>
          <w:numId w:val="39"/>
        </w:numPr>
        <w:tabs>
          <w:tab w:pos="688" w:val="left" w:leader="none"/>
        </w:tabs>
        <w:spacing w:line="240" w:lineRule="auto" w:before="1" w:after="0"/>
        <w:ind w:left="688" w:right="0" w:hanging="426"/>
        <w:jc w:val="both"/>
        <w:rPr>
          <w:sz w:val="20"/>
        </w:rPr>
      </w:pPr>
      <w:r>
        <w:rPr>
          <w:sz w:val="20"/>
        </w:rPr>
        <w:t>Los</w:t>
      </w:r>
      <w:r>
        <w:rPr>
          <w:spacing w:val="-9"/>
          <w:sz w:val="20"/>
        </w:rPr>
        <w:t> </w:t>
      </w:r>
      <w:r>
        <w:rPr>
          <w:sz w:val="20"/>
        </w:rPr>
        <w:t>mecanismos</w:t>
      </w:r>
      <w:r>
        <w:rPr>
          <w:spacing w:val="-8"/>
          <w:sz w:val="20"/>
        </w:rPr>
        <w:t> </w:t>
      </w:r>
      <w:r>
        <w:rPr>
          <w:sz w:val="20"/>
        </w:rPr>
        <w:t>para</w:t>
      </w:r>
      <w:r>
        <w:rPr>
          <w:spacing w:val="-7"/>
          <w:sz w:val="20"/>
        </w:rPr>
        <w:t> </w:t>
      </w:r>
      <w:r>
        <w:rPr>
          <w:sz w:val="20"/>
        </w:rPr>
        <w:t>aumentar</w:t>
      </w:r>
      <w:r>
        <w:rPr>
          <w:spacing w:val="-7"/>
          <w:sz w:val="20"/>
        </w:rPr>
        <w:t> </w:t>
      </w:r>
      <w:r>
        <w:rPr>
          <w:sz w:val="20"/>
        </w:rPr>
        <w:t>la</w:t>
      </w:r>
      <w:r>
        <w:rPr>
          <w:spacing w:val="-9"/>
          <w:sz w:val="20"/>
        </w:rPr>
        <w:t> </w:t>
      </w:r>
      <w:r>
        <w:rPr>
          <w:sz w:val="20"/>
        </w:rPr>
        <w:t>participación</w:t>
      </w:r>
      <w:r>
        <w:rPr>
          <w:spacing w:val="-10"/>
          <w:sz w:val="20"/>
        </w:rPr>
        <w:t> </w:t>
      </w:r>
      <w:r>
        <w:rPr>
          <w:spacing w:val="-2"/>
          <w:sz w:val="20"/>
        </w:rPr>
        <w:t>social.</w:t>
      </w:r>
    </w:p>
    <w:p>
      <w:pPr>
        <w:pStyle w:val="BodyText"/>
      </w:pPr>
    </w:p>
    <w:p>
      <w:pPr>
        <w:pStyle w:val="BodyText"/>
        <w:ind w:left="262" w:right="277"/>
        <w:jc w:val="both"/>
      </w:pPr>
      <w:r>
        <w:rPr>
          <w:rFonts w:ascii="Arial" w:hAnsi="Arial"/>
          <w:b/>
        </w:rPr>
        <w:t>ARTÍCULO</w:t>
      </w:r>
      <w:r>
        <w:rPr>
          <w:rFonts w:ascii="Arial" w:hAnsi="Arial"/>
          <w:b/>
          <w:spacing w:val="-8"/>
        </w:rPr>
        <w:t> </w:t>
      </w:r>
      <w:r>
        <w:rPr>
          <w:rFonts w:ascii="Arial" w:hAnsi="Arial"/>
          <w:b/>
        </w:rPr>
        <w:t>80.</w:t>
      </w:r>
      <w:r>
        <w:rPr>
          <w:rFonts w:ascii="Arial" w:hAnsi="Arial"/>
          <w:b/>
          <w:spacing w:val="-6"/>
        </w:rPr>
        <w:t> </w:t>
      </w:r>
      <w:r>
        <w:rPr/>
        <w:t>La</w:t>
      </w:r>
      <w:r>
        <w:rPr>
          <w:spacing w:val="-7"/>
        </w:rPr>
        <w:t> </w:t>
      </w:r>
      <w:r>
        <w:rPr/>
        <w:t>Comisión</w:t>
      </w:r>
      <w:r>
        <w:rPr>
          <w:spacing w:val="-9"/>
        </w:rPr>
        <w:t> </w:t>
      </w:r>
      <w:r>
        <w:rPr/>
        <w:t>Metropolitana</w:t>
      </w:r>
      <w:r>
        <w:rPr>
          <w:spacing w:val="-9"/>
        </w:rPr>
        <w:t> </w:t>
      </w:r>
      <w:r>
        <w:rPr/>
        <w:t>y</w:t>
      </w:r>
      <w:r>
        <w:rPr>
          <w:spacing w:val="-5"/>
        </w:rPr>
        <w:t> </w:t>
      </w:r>
      <w:r>
        <w:rPr/>
        <w:t>de</w:t>
      </w:r>
      <w:r>
        <w:rPr>
          <w:spacing w:val="-7"/>
        </w:rPr>
        <w:t> </w:t>
      </w:r>
      <w:r>
        <w:rPr/>
        <w:t>Conurbación,</w:t>
      </w:r>
      <w:r>
        <w:rPr>
          <w:spacing w:val="-9"/>
        </w:rPr>
        <w:t> </w:t>
      </w:r>
      <w:r>
        <w:rPr/>
        <w:t>y</w:t>
      </w:r>
      <w:r>
        <w:rPr>
          <w:spacing w:val="-5"/>
        </w:rPr>
        <w:t> </w:t>
      </w:r>
      <w:r>
        <w:rPr/>
        <w:t>el</w:t>
      </w:r>
      <w:r>
        <w:rPr>
          <w:spacing w:val="-8"/>
        </w:rPr>
        <w:t> </w:t>
      </w:r>
      <w:r>
        <w:rPr/>
        <w:t>Consejo</w:t>
      </w:r>
      <w:r>
        <w:rPr>
          <w:spacing w:val="-9"/>
        </w:rPr>
        <w:t> </w:t>
      </w:r>
      <w:r>
        <w:rPr/>
        <w:t>Consultivo</w:t>
      </w:r>
      <w:r>
        <w:rPr>
          <w:spacing w:val="-7"/>
        </w:rPr>
        <w:t> </w:t>
      </w:r>
      <w:r>
        <w:rPr/>
        <w:t>de</w:t>
      </w:r>
      <w:r>
        <w:rPr>
          <w:spacing w:val="-7"/>
        </w:rPr>
        <w:t> </w:t>
      </w:r>
      <w:r>
        <w:rPr/>
        <w:t>Desarrollo Metropolitano, funcionarán como mecanismos de coordinación institucional y de concertación de acciones e inversiones con los sectores social y privado. Se constituirán mediante convenio celebrado entre los municipios respectivos en términos de este ordenamiento. Los instrumentos jurídicos, para su integración y funcionamiento, y su reglamento interior, estarán sujetos a lo señalado por esta Ley y demás normatividad aplicable.</w:t>
      </w:r>
    </w:p>
    <w:p>
      <w:pPr>
        <w:pStyle w:val="BodyText"/>
        <w:spacing w:before="229"/>
        <w:ind w:left="262" w:right="279"/>
        <w:jc w:val="both"/>
      </w:pPr>
      <w:r>
        <w:rPr/>
        <w:t>La Comisión Metropolitana y de Conurbación podrá convenir la creación de subcomisiones de trabajo</w:t>
      </w:r>
      <w:r>
        <w:rPr>
          <w:spacing w:val="-2"/>
        </w:rPr>
        <w:t> </w:t>
      </w:r>
      <w:r>
        <w:rPr/>
        <w:t>integrados</w:t>
      </w:r>
      <w:r>
        <w:rPr>
          <w:spacing w:val="-1"/>
        </w:rPr>
        <w:t> </w:t>
      </w:r>
      <w:r>
        <w:rPr/>
        <w:t>por</w:t>
      </w:r>
      <w:r>
        <w:rPr>
          <w:spacing w:val="-1"/>
        </w:rPr>
        <w:t> </w:t>
      </w:r>
      <w:r>
        <w:rPr/>
        <w:t>igual</w:t>
      </w:r>
      <w:r>
        <w:rPr>
          <w:spacing w:val="-1"/>
        </w:rPr>
        <w:t> </w:t>
      </w:r>
      <w:r>
        <w:rPr/>
        <w:t>número de</w:t>
      </w:r>
      <w:r>
        <w:rPr>
          <w:spacing w:val="-3"/>
        </w:rPr>
        <w:t> </w:t>
      </w:r>
      <w:r>
        <w:rPr/>
        <w:t>representantes de</w:t>
      </w:r>
      <w:r>
        <w:rPr>
          <w:spacing w:val="-3"/>
        </w:rPr>
        <w:t> </w:t>
      </w:r>
      <w:r>
        <w:rPr/>
        <w:t>los</w:t>
      </w:r>
      <w:r>
        <w:rPr>
          <w:spacing w:val="-1"/>
        </w:rPr>
        <w:t> </w:t>
      </w:r>
      <w:r>
        <w:rPr/>
        <w:t>tres</w:t>
      </w:r>
      <w:r>
        <w:rPr>
          <w:spacing w:val="-1"/>
        </w:rPr>
        <w:t> </w:t>
      </w:r>
      <w:r>
        <w:rPr/>
        <w:t>órdenes</w:t>
      </w:r>
      <w:r>
        <w:rPr>
          <w:spacing w:val="-1"/>
        </w:rPr>
        <w:t> </w:t>
      </w:r>
      <w:r>
        <w:rPr/>
        <w:t>de</w:t>
      </w:r>
      <w:r>
        <w:rPr>
          <w:spacing w:val="-3"/>
        </w:rPr>
        <w:t> </w:t>
      </w:r>
      <w:r>
        <w:rPr/>
        <w:t>gobierno, a</w:t>
      </w:r>
      <w:r>
        <w:rPr>
          <w:spacing w:val="-2"/>
        </w:rPr>
        <w:t> </w:t>
      </w:r>
      <w:r>
        <w:rPr/>
        <w:t>efecto</w:t>
      </w:r>
      <w:r>
        <w:rPr>
          <w:spacing w:val="-2"/>
        </w:rPr>
        <w:t> </w:t>
      </w:r>
      <w:r>
        <w:rPr/>
        <w:t>de coordinar las acciones, obras e inversiones que se requieran para los efectos del programa de metropolitano y de zona conurbada.</w:t>
      </w:r>
    </w:p>
    <w:p>
      <w:pPr>
        <w:pStyle w:val="BodyText"/>
        <w:spacing w:before="230"/>
        <w:ind w:left="262" w:right="286"/>
        <w:jc w:val="both"/>
      </w:pPr>
      <w:r>
        <w:rPr>
          <w:rFonts w:ascii="Arial" w:hAnsi="Arial"/>
          <w:b/>
        </w:rPr>
        <w:t>ARTÍCULO 81. </w:t>
      </w:r>
      <w:r>
        <w:rPr/>
        <w:t>Las Comisiones Metropolitanas y de Conurbación, y los Consejos Consultivos de Desarrollo</w:t>
      </w:r>
      <w:r>
        <w:rPr>
          <w:spacing w:val="-2"/>
        </w:rPr>
        <w:t> </w:t>
      </w:r>
      <w:r>
        <w:rPr/>
        <w:t>Metropolitano,</w:t>
      </w:r>
      <w:r>
        <w:rPr>
          <w:spacing w:val="-2"/>
        </w:rPr>
        <w:t> </w:t>
      </w:r>
      <w:r>
        <w:rPr/>
        <w:t>se</w:t>
      </w:r>
      <w:r>
        <w:rPr>
          <w:spacing w:val="-2"/>
        </w:rPr>
        <w:t> </w:t>
      </w:r>
      <w:r>
        <w:rPr/>
        <w:t>integrarán</w:t>
      </w:r>
      <w:r>
        <w:rPr>
          <w:spacing w:val="-2"/>
        </w:rPr>
        <w:t> </w:t>
      </w:r>
      <w:r>
        <w:rPr/>
        <w:t>de</w:t>
      </w:r>
      <w:r>
        <w:rPr>
          <w:spacing w:val="-2"/>
        </w:rPr>
        <w:t> </w:t>
      </w:r>
      <w:r>
        <w:rPr/>
        <w:t>conformidad</w:t>
      </w:r>
      <w:r>
        <w:rPr>
          <w:spacing w:val="-2"/>
        </w:rPr>
        <w:t> </w:t>
      </w:r>
      <w:r>
        <w:rPr/>
        <w:t>con lo</w:t>
      </w:r>
      <w:r>
        <w:rPr>
          <w:spacing w:val="-2"/>
        </w:rPr>
        <w:t> </w:t>
      </w:r>
      <w:r>
        <w:rPr/>
        <w:t>dispuesto</w:t>
      </w:r>
      <w:r>
        <w:rPr>
          <w:spacing w:val="-2"/>
        </w:rPr>
        <w:t> </w:t>
      </w:r>
      <w:r>
        <w:rPr/>
        <w:t>en</w:t>
      </w:r>
      <w:r>
        <w:rPr>
          <w:spacing w:val="-2"/>
        </w:rPr>
        <w:t> </w:t>
      </w:r>
      <w:r>
        <w:rPr/>
        <w:t>los</w:t>
      </w:r>
      <w:r>
        <w:rPr>
          <w:spacing w:val="-1"/>
        </w:rPr>
        <w:t> </w:t>
      </w:r>
      <w:r>
        <w:rPr/>
        <w:t>artículos</w:t>
      </w:r>
      <w:r>
        <w:rPr>
          <w:spacing w:val="-1"/>
        </w:rPr>
        <w:t> </w:t>
      </w:r>
      <w:r>
        <w:rPr/>
        <w:t>28</w:t>
      </w:r>
      <w:r>
        <w:rPr>
          <w:spacing w:val="-2"/>
        </w:rPr>
        <w:t> </w:t>
      </w:r>
      <w:r>
        <w:rPr/>
        <w:t>y</w:t>
      </w:r>
      <w:r>
        <w:rPr>
          <w:spacing w:val="-1"/>
        </w:rPr>
        <w:t> </w:t>
      </w:r>
      <w:r>
        <w:rPr/>
        <w:t>30 de esta Ley, y tendrán las atribuciones que se señalan en los artículos 29 y 31, respectivamente.</w:t>
      </w:r>
    </w:p>
    <w:p>
      <w:pPr>
        <w:pStyle w:val="BodyText"/>
        <w:spacing w:before="1"/>
      </w:pPr>
    </w:p>
    <w:p>
      <w:pPr>
        <w:pStyle w:val="BodyText"/>
        <w:ind w:left="262" w:right="279"/>
        <w:jc w:val="both"/>
      </w:pPr>
      <w:r>
        <w:rPr/>
        <w:t>Las Comisiones y los Consejos sesionarán válidamente con la mayoría de sus miembros, y por lo menos una vez cada tres meses de manera ordinaria, de acuerdo al calendario que para tal efecto se determine, y de forma extraordinaria tantas veces como sea necesario, a propuesta de su </w:t>
      </w:r>
      <w:r>
        <w:rPr>
          <w:spacing w:val="-2"/>
        </w:rPr>
        <w:t>Presidente.</w:t>
      </w:r>
    </w:p>
    <w:p>
      <w:pPr>
        <w:pStyle w:val="BodyText"/>
      </w:pPr>
    </w:p>
    <w:p>
      <w:pPr>
        <w:pStyle w:val="BodyText"/>
        <w:ind w:left="262" w:right="288"/>
        <w:jc w:val="both"/>
      </w:pPr>
      <w:r>
        <w:rPr/>
        <w:t>Las convocatorias se llevarán a cabo por conducto del Presidente del órgano respectivo con al menos, tres días hábiles de anticipación, y deberán acompañarse del orden del día.</w:t>
      </w:r>
    </w:p>
    <w:p>
      <w:pPr>
        <w:pStyle w:val="BodyText"/>
        <w:spacing w:before="229"/>
        <w:ind w:left="262" w:right="287"/>
        <w:jc w:val="both"/>
      </w:pPr>
      <w:r>
        <w:rPr/>
        <w:t>Todas sus decisiones serán públicas y deberán estar disponibles en medios de comunicación </w:t>
      </w:r>
      <w:r>
        <w:rPr>
          <w:spacing w:val="-2"/>
        </w:rPr>
        <w:t>electrónica.</w:t>
      </w:r>
    </w:p>
    <w:p>
      <w:pPr>
        <w:pStyle w:val="BodyText"/>
        <w:spacing w:before="1"/>
      </w:pPr>
    </w:p>
    <w:p>
      <w:pPr>
        <w:pStyle w:val="BodyText"/>
        <w:spacing w:before="1"/>
        <w:ind w:left="262" w:right="278"/>
        <w:jc w:val="both"/>
      </w:pPr>
      <w:r>
        <w:rPr>
          <w:rFonts w:ascii="Arial" w:hAnsi="Arial"/>
          <w:b/>
        </w:rPr>
        <w:t>ARTÍCULO 82. </w:t>
      </w:r>
      <w:r>
        <w:rPr/>
        <w:t>Las zonas metropolitanas con</w:t>
      </w:r>
      <w:r>
        <w:rPr>
          <w:spacing w:val="-1"/>
        </w:rPr>
        <w:t> </w:t>
      </w:r>
      <w:r>
        <w:rPr/>
        <w:t>relaciones funcionales económicas y sociales, y con problemas territoriales y ambientales comunes, se coordinarán en las materias de interés metropolitano con la Secretaría, y con las demás dependencias y entidades de la Administración Pública estatal.</w:t>
      </w:r>
    </w:p>
    <w:p>
      <w:pPr>
        <w:pStyle w:val="BodyText"/>
        <w:spacing w:before="229"/>
        <w:ind w:left="262" w:right="282"/>
        <w:jc w:val="both"/>
      </w:pPr>
      <w:r>
        <w:rPr>
          <w:rFonts w:ascii="Arial" w:hAnsi="Arial"/>
          <w:b/>
        </w:rPr>
        <w:t>ARTÍCULO</w:t>
      </w:r>
      <w:r>
        <w:rPr>
          <w:rFonts w:ascii="Arial" w:hAnsi="Arial"/>
          <w:b/>
          <w:spacing w:val="-4"/>
        </w:rPr>
        <w:t> </w:t>
      </w:r>
      <w:r>
        <w:rPr>
          <w:rFonts w:ascii="Arial" w:hAnsi="Arial"/>
          <w:b/>
        </w:rPr>
        <w:t>83.</w:t>
      </w:r>
      <w:r>
        <w:rPr>
          <w:rFonts w:ascii="Arial" w:hAnsi="Arial"/>
          <w:b/>
          <w:spacing w:val="-5"/>
        </w:rPr>
        <w:t> </w:t>
      </w:r>
      <w:r>
        <w:rPr/>
        <w:t>Cuando</w:t>
      </w:r>
      <w:r>
        <w:rPr>
          <w:spacing w:val="-3"/>
        </w:rPr>
        <w:t> </w:t>
      </w:r>
      <w:r>
        <w:rPr/>
        <w:t>uno</w:t>
      </w:r>
      <w:r>
        <w:rPr>
          <w:spacing w:val="-5"/>
        </w:rPr>
        <w:t> </w:t>
      </w:r>
      <w:r>
        <w:rPr/>
        <w:t>o</w:t>
      </w:r>
      <w:r>
        <w:rPr>
          <w:spacing w:val="-5"/>
        </w:rPr>
        <w:t> </w:t>
      </w:r>
      <w:r>
        <w:rPr/>
        <w:t>más</w:t>
      </w:r>
      <w:r>
        <w:rPr>
          <w:spacing w:val="-4"/>
        </w:rPr>
        <w:t> </w:t>
      </w:r>
      <w:r>
        <w:rPr/>
        <w:t>centros</w:t>
      </w:r>
      <w:r>
        <w:rPr>
          <w:spacing w:val="-4"/>
        </w:rPr>
        <w:t> </w:t>
      </w:r>
      <w:r>
        <w:rPr/>
        <w:t>urbanos</w:t>
      </w:r>
      <w:r>
        <w:rPr>
          <w:spacing w:val="-4"/>
        </w:rPr>
        <w:t> </w:t>
      </w:r>
      <w:r>
        <w:rPr/>
        <w:t>situados</w:t>
      </w:r>
      <w:r>
        <w:rPr>
          <w:spacing w:val="-4"/>
        </w:rPr>
        <w:t> </w:t>
      </w:r>
      <w:r>
        <w:rPr/>
        <w:t>en</w:t>
      </w:r>
      <w:r>
        <w:rPr>
          <w:spacing w:val="-5"/>
        </w:rPr>
        <w:t> </w:t>
      </w:r>
      <w:r>
        <w:rPr/>
        <w:t>territorios</w:t>
      </w:r>
      <w:r>
        <w:rPr>
          <w:spacing w:val="-4"/>
        </w:rPr>
        <w:t> </w:t>
      </w:r>
      <w:r>
        <w:rPr/>
        <w:t>de</w:t>
      </w:r>
      <w:r>
        <w:rPr>
          <w:spacing w:val="-5"/>
        </w:rPr>
        <w:t> </w:t>
      </w:r>
      <w:r>
        <w:rPr/>
        <w:t>dos</w:t>
      </w:r>
      <w:r>
        <w:rPr>
          <w:spacing w:val="-2"/>
        </w:rPr>
        <w:t> </w:t>
      </w:r>
      <w:r>
        <w:rPr/>
        <w:t>o</w:t>
      </w:r>
      <w:r>
        <w:rPr>
          <w:spacing w:val="-5"/>
        </w:rPr>
        <w:t> </w:t>
      </w:r>
      <w:r>
        <w:rPr/>
        <w:t>más</w:t>
      </w:r>
      <w:r>
        <w:rPr>
          <w:spacing w:val="-4"/>
        </w:rPr>
        <w:t> </w:t>
      </w:r>
      <w:r>
        <w:rPr/>
        <w:t>municipios formen</w:t>
      </w:r>
      <w:r>
        <w:rPr>
          <w:spacing w:val="-7"/>
        </w:rPr>
        <w:t> </w:t>
      </w:r>
      <w:r>
        <w:rPr/>
        <w:t>una</w:t>
      </w:r>
      <w:r>
        <w:rPr>
          <w:spacing w:val="-9"/>
        </w:rPr>
        <w:t> </w:t>
      </w:r>
      <w:r>
        <w:rPr/>
        <w:t>continuidad</w:t>
      </w:r>
      <w:r>
        <w:rPr>
          <w:spacing w:val="-9"/>
        </w:rPr>
        <w:t> </w:t>
      </w:r>
      <w:r>
        <w:rPr/>
        <w:t>física</w:t>
      </w:r>
      <w:r>
        <w:rPr>
          <w:spacing w:val="-9"/>
        </w:rPr>
        <w:t> </w:t>
      </w:r>
      <w:r>
        <w:rPr/>
        <w:t>y</w:t>
      </w:r>
      <w:r>
        <w:rPr>
          <w:spacing w:val="-8"/>
        </w:rPr>
        <w:t> </w:t>
      </w:r>
      <w:r>
        <w:rPr/>
        <w:t>demográfica,</w:t>
      </w:r>
      <w:r>
        <w:rPr>
          <w:spacing w:val="-7"/>
        </w:rPr>
        <w:t> </w:t>
      </w:r>
      <w:r>
        <w:rPr/>
        <w:t>el</w:t>
      </w:r>
      <w:r>
        <w:rPr>
          <w:spacing w:val="-8"/>
        </w:rPr>
        <w:t> </w:t>
      </w:r>
      <w:r>
        <w:rPr/>
        <w:t>Estado</w:t>
      </w:r>
      <w:r>
        <w:rPr>
          <w:spacing w:val="-7"/>
        </w:rPr>
        <w:t> </w:t>
      </w:r>
      <w:r>
        <w:rPr/>
        <w:t>y</w:t>
      </w:r>
      <w:r>
        <w:rPr>
          <w:spacing w:val="-8"/>
        </w:rPr>
        <w:t> </w:t>
      </w:r>
      <w:r>
        <w:rPr/>
        <w:t>los</w:t>
      </w:r>
      <w:r>
        <w:rPr>
          <w:spacing w:val="-6"/>
        </w:rPr>
        <w:t> </w:t>
      </w:r>
      <w:r>
        <w:rPr/>
        <w:t>municipios</w:t>
      </w:r>
      <w:r>
        <w:rPr>
          <w:spacing w:val="-8"/>
        </w:rPr>
        <w:t> </w:t>
      </w:r>
      <w:r>
        <w:rPr/>
        <w:t>respectivos,</w:t>
      </w:r>
      <w:r>
        <w:rPr>
          <w:spacing w:val="-9"/>
        </w:rPr>
        <w:t> </w:t>
      </w:r>
      <w:r>
        <w:rPr/>
        <w:t>en</w:t>
      </w:r>
      <w:r>
        <w:rPr>
          <w:spacing w:val="-7"/>
        </w:rPr>
        <w:t> </w:t>
      </w:r>
      <w:r>
        <w:rPr/>
        <w:t>el</w:t>
      </w:r>
      <w:r>
        <w:rPr>
          <w:spacing w:val="-8"/>
        </w:rPr>
        <w:t> </w:t>
      </w:r>
      <w:r>
        <w:rPr/>
        <w:t>ámbito</w:t>
      </w:r>
      <w:r>
        <w:rPr>
          <w:spacing w:val="-9"/>
        </w:rPr>
        <w:t> </w:t>
      </w:r>
      <w:r>
        <w:rPr/>
        <w:t>de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sus competencias, planearán y regularán de manera conjunta y coordinada el desarrollo de dichos centros urbanos con apego a lo dispuesto por esta Ley, y constituirán una zona metropolitana y conurbada, para lo cual deberán considerar los siguientes elementos:</w:t>
      </w:r>
    </w:p>
    <w:p>
      <w:pPr>
        <w:pStyle w:val="BodyText"/>
        <w:spacing w:before="1"/>
      </w:pPr>
    </w:p>
    <w:p>
      <w:pPr>
        <w:pStyle w:val="ListParagraph"/>
        <w:numPr>
          <w:ilvl w:val="0"/>
          <w:numId w:val="40"/>
        </w:numPr>
        <w:tabs>
          <w:tab w:pos="543" w:val="left" w:leader="none"/>
        </w:tabs>
        <w:spacing w:line="240" w:lineRule="auto" w:before="1" w:after="0"/>
        <w:ind w:left="262" w:right="280" w:firstLine="0"/>
        <w:jc w:val="both"/>
        <w:rPr>
          <w:sz w:val="20"/>
        </w:rPr>
      </w:pPr>
      <w:r>
        <w:rPr>
          <w:sz w:val="20"/>
        </w:rPr>
        <w:t>Que exista continuidad física de un centro de población de cuando menos cincuenta mil habitantes con base en el último censo o conteo oficial de población, que por crecimiento urbano comprenda total o parcialmente el territorio de los municipios solicitantes, sobre el cual se hará la declaración de área metropolitana;</w:t>
      </w:r>
    </w:p>
    <w:p>
      <w:pPr>
        <w:pStyle w:val="ListParagraph"/>
        <w:numPr>
          <w:ilvl w:val="0"/>
          <w:numId w:val="40"/>
        </w:numPr>
        <w:tabs>
          <w:tab w:pos="686" w:val="left" w:leader="none"/>
        </w:tabs>
        <w:spacing w:line="240" w:lineRule="auto" w:before="229" w:after="0"/>
        <w:ind w:left="262" w:right="287" w:firstLine="0"/>
        <w:jc w:val="both"/>
        <w:rPr>
          <w:sz w:val="20"/>
        </w:rPr>
      </w:pPr>
      <w:r>
        <w:rPr>
          <w:sz w:val="20"/>
        </w:rPr>
        <w:t>Que existan relaciones socioeconómicas entre los municipios que constituirán un área </w:t>
      </w:r>
      <w:r>
        <w:rPr>
          <w:spacing w:val="-2"/>
          <w:sz w:val="20"/>
        </w:rPr>
        <w:t>metropolitana;</w:t>
      </w:r>
    </w:p>
    <w:p>
      <w:pPr>
        <w:pStyle w:val="BodyText"/>
      </w:pPr>
    </w:p>
    <w:p>
      <w:pPr>
        <w:pStyle w:val="ListParagraph"/>
        <w:numPr>
          <w:ilvl w:val="0"/>
          <w:numId w:val="40"/>
        </w:numPr>
        <w:tabs>
          <w:tab w:pos="741" w:val="left" w:leader="none"/>
        </w:tabs>
        <w:spacing w:line="240" w:lineRule="auto" w:before="0" w:after="0"/>
        <w:ind w:left="262" w:right="287" w:firstLine="0"/>
        <w:jc w:val="both"/>
        <w:rPr>
          <w:sz w:val="20"/>
        </w:rPr>
      </w:pPr>
      <w:r>
        <w:rPr>
          <w:sz w:val="20"/>
        </w:rPr>
        <w:t>Que cuando menos el diez por ciento de la población total de los municipios participantes del área metropolitana, habiten en dicha área, y</w:t>
      </w:r>
    </w:p>
    <w:p>
      <w:pPr>
        <w:pStyle w:val="BodyText"/>
        <w:spacing w:before="1"/>
      </w:pPr>
    </w:p>
    <w:p>
      <w:pPr>
        <w:pStyle w:val="ListParagraph"/>
        <w:numPr>
          <w:ilvl w:val="0"/>
          <w:numId w:val="40"/>
        </w:numPr>
        <w:tabs>
          <w:tab w:pos="688" w:val="left" w:leader="none"/>
        </w:tabs>
        <w:spacing w:line="240" w:lineRule="auto" w:before="0" w:after="0"/>
        <w:ind w:left="262" w:right="284" w:firstLine="0"/>
        <w:jc w:val="both"/>
        <w:rPr>
          <w:sz w:val="20"/>
        </w:rPr>
      </w:pPr>
      <w:r>
        <w:rPr>
          <w:sz w:val="20"/>
        </w:rPr>
        <w:t>Que</w:t>
      </w:r>
      <w:r>
        <w:rPr>
          <w:spacing w:val="-9"/>
          <w:sz w:val="20"/>
        </w:rPr>
        <w:t> </w:t>
      </w:r>
      <w:r>
        <w:rPr>
          <w:sz w:val="20"/>
        </w:rPr>
        <w:t>exista</w:t>
      </w:r>
      <w:r>
        <w:rPr>
          <w:spacing w:val="-9"/>
          <w:sz w:val="20"/>
        </w:rPr>
        <w:t> </w:t>
      </w:r>
      <w:r>
        <w:rPr>
          <w:sz w:val="20"/>
        </w:rPr>
        <w:t>disposición</w:t>
      </w:r>
      <w:r>
        <w:rPr>
          <w:spacing w:val="-8"/>
          <w:sz w:val="20"/>
        </w:rPr>
        <w:t> </w:t>
      </w:r>
      <w:r>
        <w:rPr>
          <w:sz w:val="20"/>
        </w:rPr>
        <w:t>de</w:t>
      </w:r>
      <w:r>
        <w:rPr>
          <w:spacing w:val="-8"/>
          <w:sz w:val="20"/>
        </w:rPr>
        <w:t> </w:t>
      </w:r>
      <w:r>
        <w:rPr>
          <w:sz w:val="20"/>
        </w:rPr>
        <w:t>prestar</w:t>
      </w:r>
      <w:r>
        <w:rPr>
          <w:spacing w:val="-8"/>
          <w:sz w:val="20"/>
        </w:rPr>
        <w:t> </w:t>
      </w:r>
      <w:r>
        <w:rPr>
          <w:sz w:val="20"/>
        </w:rPr>
        <w:t>manera</w:t>
      </w:r>
      <w:r>
        <w:rPr>
          <w:spacing w:val="-9"/>
          <w:sz w:val="20"/>
        </w:rPr>
        <w:t> </w:t>
      </w:r>
      <w:r>
        <w:rPr>
          <w:sz w:val="20"/>
        </w:rPr>
        <w:t>coordinada</w:t>
      </w:r>
      <w:r>
        <w:rPr>
          <w:spacing w:val="-8"/>
          <w:sz w:val="20"/>
        </w:rPr>
        <w:t> </w:t>
      </w:r>
      <w:r>
        <w:rPr>
          <w:sz w:val="20"/>
        </w:rPr>
        <w:t>los</w:t>
      </w:r>
      <w:r>
        <w:rPr>
          <w:spacing w:val="-8"/>
          <w:sz w:val="20"/>
        </w:rPr>
        <w:t> </w:t>
      </w:r>
      <w:r>
        <w:rPr>
          <w:sz w:val="20"/>
        </w:rPr>
        <w:t>servicios</w:t>
      </w:r>
      <w:r>
        <w:rPr>
          <w:spacing w:val="-8"/>
          <w:sz w:val="20"/>
        </w:rPr>
        <w:t> </w:t>
      </w:r>
      <w:r>
        <w:rPr>
          <w:sz w:val="20"/>
        </w:rPr>
        <w:t>y</w:t>
      </w:r>
      <w:r>
        <w:rPr>
          <w:spacing w:val="-8"/>
          <w:sz w:val="20"/>
        </w:rPr>
        <w:t> </w:t>
      </w:r>
      <w:r>
        <w:rPr>
          <w:sz w:val="20"/>
        </w:rPr>
        <w:t>demás</w:t>
      </w:r>
      <w:r>
        <w:rPr>
          <w:spacing w:val="-7"/>
          <w:sz w:val="20"/>
        </w:rPr>
        <w:t> </w:t>
      </w:r>
      <w:r>
        <w:rPr>
          <w:sz w:val="20"/>
        </w:rPr>
        <w:t>materias</w:t>
      </w:r>
      <w:r>
        <w:rPr>
          <w:spacing w:val="-8"/>
          <w:sz w:val="20"/>
        </w:rPr>
        <w:t> </w:t>
      </w:r>
      <w:r>
        <w:rPr>
          <w:sz w:val="20"/>
        </w:rPr>
        <w:t>de</w:t>
      </w:r>
      <w:r>
        <w:rPr>
          <w:spacing w:val="-8"/>
          <w:sz w:val="20"/>
        </w:rPr>
        <w:t> </w:t>
      </w:r>
      <w:r>
        <w:rPr>
          <w:sz w:val="20"/>
        </w:rPr>
        <w:t>interés que refiere el artículo 55 de esta Ley.</w:t>
      </w:r>
    </w:p>
    <w:p>
      <w:pPr>
        <w:pStyle w:val="BodyText"/>
        <w:spacing w:before="229"/>
        <w:ind w:left="262" w:right="280"/>
        <w:jc w:val="both"/>
      </w:pPr>
      <w:r>
        <w:rPr/>
        <w:t>El</w:t>
      </w:r>
      <w:r>
        <w:rPr>
          <w:spacing w:val="-12"/>
        </w:rPr>
        <w:t> </w:t>
      </w:r>
      <w:r>
        <w:rPr/>
        <w:t>Estado</w:t>
      </w:r>
      <w:r>
        <w:rPr>
          <w:spacing w:val="-12"/>
        </w:rPr>
        <w:t> </w:t>
      </w:r>
      <w:r>
        <w:rPr/>
        <w:t>y</w:t>
      </w:r>
      <w:r>
        <w:rPr>
          <w:spacing w:val="-10"/>
        </w:rPr>
        <w:t> </w:t>
      </w:r>
      <w:r>
        <w:rPr/>
        <w:t>los</w:t>
      </w:r>
      <w:r>
        <w:rPr>
          <w:spacing w:val="-10"/>
        </w:rPr>
        <w:t> </w:t>
      </w:r>
      <w:r>
        <w:rPr/>
        <w:t>municipios</w:t>
      </w:r>
      <w:r>
        <w:rPr>
          <w:spacing w:val="-10"/>
        </w:rPr>
        <w:t> </w:t>
      </w:r>
      <w:r>
        <w:rPr/>
        <w:t>deberán</w:t>
      </w:r>
      <w:r>
        <w:rPr>
          <w:spacing w:val="-14"/>
        </w:rPr>
        <w:t> </w:t>
      </w:r>
      <w:r>
        <w:rPr/>
        <w:t>convenir</w:t>
      </w:r>
      <w:r>
        <w:rPr>
          <w:spacing w:val="-10"/>
        </w:rPr>
        <w:t> </w:t>
      </w:r>
      <w:r>
        <w:rPr/>
        <w:t>la</w:t>
      </w:r>
      <w:r>
        <w:rPr>
          <w:spacing w:val="-11"/>
        </w:rPr>
        <w:t> </w:t>
      </w:r>
      <w:r>
        <w:rPr/>
        <w:t>delimitación</w:t>
      </w:r>
      <w:r>
        <w:rPr>
          <w:spacing w:val="-14"/>
        </w:rPr>
        <w:t> </w:t>
      </w:r>
      <w:r>
        <w:rPr/>
        <w:t>y</w:t>
      </w:r>
      <w:r>
        <w:rPr>
          <w:spacing w:val="-10"/>
        </w:rPr>
        <w:t> </w:t>
      </w:r>
      <w:r>
        <w:rPr/>
        <w:t>constitución</w:t>
      </w:r>
      <w:r>
        <w:rPr>
          <w:spacing w:val="-12"/>
        </w:rPr>
        <w:t> </w:t>
      </w:r>
      <w:r>
        <w:rPr/>
        <w:t>de</w:t>
      </w:r>
      <w:r>
        <w:rPr>
          <w:spacing w:val="-12"/>
        </w:rPr>
        <w:t> </w:t>
      </w:r>
      <w:r>
        <w:rPr/>
        <w:t>una</w:t>
      </w:r>
      <w:r>
        <w:rPr>
          <w:spacing w:val="-14"/>
        </w:rPr>
        <w:t> </w:t>
      </w:r>
      <w:r>
        <w:rPr/>
        <w:t>zona</w:t>
      </w:r>
      <w:r>
        <w:rPr>
          <w:spacing w:val="-12"/>
        </w:rPr>
        <w:t> </w:t>
      </w:r>
      <w:r>
        <w:rPr/>
        <w:t>metropolitana y conurbada cuando sea procedente el estudio y planeación conjunta de dos o más centros de población, situados en el territorio de municipios vecinos; para tal efecto, podrán considerar la evaluación</w:t>
      </w:r>
      <w:r>
        <w:rPr>
          <w:spacing w:val="-6"/>
        </w:rPr>
        <w:t> </w:t>
      </w:r>
      <w:r>
        <w:rPr/>
        <w:t>de</w:t>
      </w:r>
      <w:r>
        <w:rPr>
          <w:spacing w:val="-8"/>
        </w:rPr>
        <w:t> </w:t>
      </w:r>
      <w:r>
        <w:rPr/>
        <w:t>expertos,</w:t>
      </w:r>
      <w:r>
        <w:rPr>
          <w:spacing w:val="-7"/>
        </w:rPr>
        <w:t> </w:t>
      </w:r>
      <w:r>
        <w:rPr/>
        <w:t>investigadores</w:t>
      </w:r>
      <w:r>
        <w:rPr>
          <w:spacing w:val="-7"/>
        </w:rPr>
        <w:t> </w:t>
      </w:r>
      <w:r>
        <w:rPr/>
        <w:t>y</w:t>
      </w:r>
      <w:r>
        <w:rPr>
          <w:spacing w:val="-6"/>
        </w:rPr>
        <w:t> </w:t>
      </w:r>
      <w:r>
        <w:rPr/>
        <w:t>académicos,</w:t>
      </w:r>
      <w:r>
        <w:rPr>
          <w:spacing w:val="-7"/>
        </w:rPr>
        <w:t> </w:t>
      </w:r>
      <w:r>
        <w:rPr/>
        <w:t>sobre</w:t>
      </w:r>
      <w:r>
        <w:rPr>
          <w:spacing w:val="-8"/>
        </w:rPr>
        <w:t> </w:t>
      </w:r>
      <w:r>
        <w:rPr/>
        <w:t>la</w:t>
      </w:r>
      <w:r>
        <w:rPr>
          <w:spacing w:val="-8"/>
        </w:rPr>
        <w:t> </w:t>
      </w:r>
      <w:r>
        <w:rPr/>
        <w:t>problemática</w:t>
      </w:r>
      <w:r>
        <w:rPr>
          <w:spacing w:val="-8"/>
        </w:rPr>
        <w:t> </w:t>
      </w:r>
      <w:r>
        <w:rPr/>
        <w:t>y</w:t>
      </w:r>
      <w:r>
        <w:rPr>
          <w:spacing w:val="-6"/>
        </w:rPr>
        <w:t> </w:t>
      </w:r>
      <w:r>
        <w:rPr/>
        <w:t>áreas</w:t>
      </w:r>
      <w:r>
        <w:rPr>
          <w:spacing w:val="-6"/>
        </w:rPr>
        <w:t> </w:t>
      </w:r>
      <w:r>
        <w:rPr/>
        <w:t>de</w:t>
      </w:r>
      <w:r>
        <w:rPr>
          <w:spacing w:val="-8"/>
        </w:rPr>
        <w:t> </w:t>
      </w:r>
      <w:r>
        <w:rPr/>
        <w:t>oportunidad presentadas en el tema.</w:t>
      </w:r>
    </w:p>
    <w:p>
      <w:pPr>
        <w:pStyle w:val="BodyText"/>
      </w:pPr>
    </w:p>
    <w:p>
      <w:pPr>
        <w:pStyle w:val="BodyText"/>
        <w:ind w:left="262" w:right="278"/>
        <w:jc w:val="both"/>
      </w:pPr>
      <w:r>
        <w:rPr>
          <w:rFonts w:ascii="Arial" w:hAnsi="Arial"/>
          <w:b/>
        </w:rPr>
        <w:t>ARTÍCULO 84.</w:t>
      </w:r>
      <w:r>
        <w:rPr>
          <w:rFonts w:ascii="Arial" w:hAnsi="Arial"/>
          <w:b/>
          <w:spacing w:val="40"/>
        </w:rPr>
        <w:t> </w:t>
      </w:r>
      <w:r>
        <w:rPr/>
        <w:t>Para las zonas metropolitanas y conurbaciones se constituirá una Comisión Metropolitana</w:t>
      </w:r>
      <w:r>
        <w:rPr>
          <w:spacing w:val="-8"/>
        </w:rPr>
        <w:t> </w:t>
      </w:r>
      <w:r>
        <w:rPr/>
        <w:t>y</w:t>
      </w:r>
      <w:r>
        <w:rPr>
          <w:spacing w:val="-6"/>
        </w:rPr>
        <w:t> </w:t>
      </w:r>
      <w:r>
        <w:rPr/>
        <w:t>de</w:t>
      </w:r>
      <w:r>
        <w:rPr>
          <w:spacing w:val="-8"/>
        </w:rPr>
        <w:t> </w:t>
      </w:r>
      <w:r>
        <w:rPr/>
        <w:t>Conurbación,</w:t>
      </w:r>
      <w:r>
        <w:rPr>
          <w:spacing w:val="-5"/>
        </w:rPr>
        <w:t> </w:t>
      </w:r>
      <w:r>
        <w:rPr/>
        <w:t>que</w:t>
      </w:r>
      <w:r>
        <w:rPr>
          <w:spacing w:val="-8"/>
        </w:rPr>
        <w:t> </w:t>
      </w:r>
      <w:r>
        <w:rPr/>
        <w:t>tendrá</w:t>
      </w:r>
      <w:r>
        <w:rPr>
          <w:spacing w:val="-7"/>
        </w:rPr>
        <w:t> </w:t>
      </w:r>
      <w:r>
        <w:rPr/>
        <w:t>carácter</w:t>
      </w:r>
      <w:r>
        <w:rPr>
          <w:spacing w:val="-5"/>
        </w:rPr>
        <w:t> </w:t>
      </w:r>
      <w:r>
        <w:rPr/>
        <w:t>permanente</w:t>
      </w:r>
      <w:r>
        <w:rPr>
          <w:spacing w:val="-8"/>
        </w:rPr>
        <w:t> </w:t>
      </w:r>
      <w:r>
        <w:rPr/>
        <w:t>y</w:t>
      </w:r>
      <w:r>
        <w:rPr>
          <w:spacing w:val="-6"/>
        </w:rPr>
        <w:t> </w:t>
      </w:r>
      <w:r>
        <w:rPr/>
        <w:t>funcionará</w:t>
      </w:r>
      <w:r>
        <w:rPr>
          <w:spacing w:val="-7"/>
        </w:rPr>
        <w:t> </w:t>
      </w:r>
      <w:r>
        <w:rPr/>
        <w:t>como</w:t>
      </w:r>
      <w:r>
        <w:rPr>
          <w:spacing w:val="-5"/>
        </w:rPr>
        <w:t> </w:t>
      </w:r>
      <w:r>
        <w:rPr/>
        <w:t>mecanismo</w:t>
      </w:r>
      <w:r>
        <w:rPr>
          <w:spacing w:val="-5"/>
        </w:rPr>
        <w:t> </w:t>
      </w:r>
      <w:r>
        <w:rPr/>
        <w:t>de coordinación institucional y de concertación de acciones e inversiones con los sectores social y </w:t>
      </w:r>
      <w:r>
        <w:rPr>
          <w:spacing w:val="-2"/>
        </w:rPr>
        <w:t>privado.</w:t>
      </w:r>
    </w:p>
    <w:p>
      <w:pPr>
        <w:pStyle w:val="BodyText"/>
      </w:pPr>
    </w:p>
    <w:p>
      <w:pPr>
        <w:pStyle w:val="BodyText"/>
        <w:ind w:left="262" w:right="285"/>
        <w:jc w:val="both"/>
      </w:pPr>
      <w:r>
        <w:rPr/>
        <w:t>Dicha comisión formulará y aprobará el Programa Metropolitano y de Zona Conurbada intermunicipal, y gestionará y evaluará su cumplimiento.</w:t>
      </w:r>
    </w:p>
    <w:p>
      <w:pPr>
        <w:pStyle w:val="BodyText"/>
        <w:spacing w:before="1"/>
      </w:pPr>
    </w:p>
    <w:p>
      <w:pPr>
        <w:spacing w:before="0"/>
        <w:ind w:left="262"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85.</w:t>
      </w:r>
      <w:r>
        <w:rPr>
          <w:rFonts w:ascii="Arial" w:hAnsi="Arial"/>
          <w:b/>
          <w:spacing w:val="-5"/>
          <w:sz w:val="20"/>
        </w:rPr>
        <w:t> </w:t>
      </w:r>
      <w:r>
        <w:rPr>
          <w:sz w:val="20"/>
        </w:rPr>
        <w:t>Son</w:t>
      </w:r>
      <w:r>
        <w:rPr>
          <w:spacing w:val="-7"/>
          <w:sz w:val="20"/>
        </w:rPr>
        <w:t> </w:t>
      </w:r>
      <w:r>
        <w:rPr>
          <w:sz w:val="20"/>
        </w:rPr>
        <w:t>de</w:t>
      </w:r>
      <w:r>
        <w:rPr>
          <w:spacing w:val="-5"/>
          <w:sz w:val="20"/>
        </w:rPr>
        <w:t> </w:t>
      </w:r>
      <w:r>
        <w:rPr>
          <w:sz w:val="20"/>
        </w:rPr>
        <w:t>interés</w:t>
      </w:r>
      <w:r>
        <w:rPr>
          <w:spacing w:val="-5"/>
          <w:sz w:val="20"/>
        </w:rPr>
        <w:t> </w:t>
      </w:r>
      <w:r>
        <w:rPr>
          <w:spacing w:val="-2"/>
          <w:sz w:val="20"/>
        </w:rPr>
        <w:t>metropolitano:</w:t>
      </w:r>
    </w:p>
    <w:p>
      <w:pPr>
        <w:pStyle w:val="ListParagraph"/>
        <w:numPr>
          <w:ilvl w:val="0"/>
          <w:numId w:val="41"/>
        </w:numPr>
        <w:tabs>
          <w:tab w:pos="688" w:val="left" w:leader="none"/>
        </w:tabs>
        <w:spacing w:line="240" w:lineRule="auto" w:before="229" w:after="0"/>
        <w:ind w:left="262" w:right="284" w:firstLine="0"/>
        <w:jc w:val="both"/>
        <w:rPr>
          <w:sz w:val="20"/>
        </w:rPr>
      </w:pPr>
      <w:r>
        <w:rPr>
          <w:sz w:val="20"/>
        </w:rPr>
        <w:t>La planeación del ordenamiento del territorio y los asentamientos humanos de la zona </w:t>
      </w:r>
      <w:r>
        <w:rPr>
          <w:spacing w:val="-2"/>
          <w:sz w:val="20"/>
        </w:rPr>
        <w:t>conurbada;</w:t>
      </w:r>
    </w:p>
    <w:p>
      <w:pPr>
        <w:pStyle w:val="BodyText"/>
        <w:spacing w:before="1"/>
      </w:pPr>
    </w:p>
    <w:p>
      <w:pPr>
        <w:pStyle w:val="ListParagraph"/>
        <w:numPr>
          <w:ilvl w:val="0"/>
          <w:numId w:val="41"/>
        </w:numPr>
        <w:tabs>
          <w:tab w:pos="686" w:val="left" w:leader="none"/>
        </w:tabs>
        <w:spacing w:line="240" w:lineRule="auto" w:before="0" w:after="0"/>
        <w:ind w:left="686" w:right="0" w:hanging="424"/>
        <w:jc w:val="both"/>
        <w:rPr>
          <w:sz w:val="20"/>
        </w:rPr>
      </w:pPr>
      <w:r>
        <w:rPr>
          <w:sz w:val="20"/>
        </w:rPr>
        <w:t>La</w:t>
      </w:r>
      <w:r>
        <w:rPr>
          <w:spacing w:val="-9"/>
          <w:sz w:val="20"/>
        </w:rPr>
        <w:t> </w:t>
      </w:r>
      <w:r>
        <w:rPr>
          <w:sz w:val="20"/>
        </w:rPr>
        <w:t>planeación</w:t>
      </w:r>
      <w:r>
        <w:rPr>
          <w:spacing w:val="-7"/>
          <w:sz w:val="20"/>
        </w:rPr>
        <w:t> </w:t>
      </w:r>
      <w:r>
        <w:rPr>
          <w:sz w:val="20"/>
        </w:rPr>
        <w:t>del</w:t>
      </w:r>
      <w:r>
        <w:rPr>
          <w:spacing w:val="-7"/>
          <w:sz w:val="20"/>
        </w:rPr>
        <w:t> </w:t>
      </w:r>
      <w:r>
        <w:rPr>
          <w:sz w:val="20"/>
        </w:rPr>
        <w:t>desarrollo</w:t>
      </w:r>
      <w:r>
        <w:rPr>
          <w:spacing w:val="-8"/>
          <w:sz w:val="20"/>
        </w:rPr>
        <w:t> </w:t>
      </w:r>
      <w:r>
        <w:rPr>
          <w:sz w:val="20"/>
        </w:rPr>
        <w:t>metropolitano</w:t>
      </w:r>
      <w:r>
        <w:rPr>
          <w:spacing w:val="-6"/>
          <w:sz w:val="20"/>
        </w:rPr>
        <w:t> </w:t>
      </w:r>
      <w:r>
        <w:rPr>
          <w:sz w:val="20"/>
        </w:rPr>
        <w:t>de</w:t>
      </w:r>
      <w:r>
        <w:rPr>
          <w:spacing w:val="-7"/>
          <w:sz w:val="20"/>
        </w:rPr>
        <w:t> </w:t>
      </w:r>
      <w:r>
        <w:rPr>
          <w:sz w:val="20"/>
        </w:rPr>
        <w:t>la</w:t>
      </w:r>
      <w:r>
        <w:rPr>
          <w:spacing w:val="-8"/>
          <w:sz w:val="20"/>
        </w:rPr>
        <w:t> </w:t>
      </w:r>
      <w:r>
        <w:rPr>
          <w:sz w:val="20"/>
        </w:rPr>
        <w:t>zona</w:t>
      </w:r>
      <w:r>
        <w:rPr>
          <w:spacing w:val="-6"/>
          <w:sz w:val="20"/>
        </w:rPr>
        <w:t> </w:t>
      </w:r>
      <w:r>
        <w:rPr>
          <w:spacing w:val="-2"/>
          <w:sz w:val="20"/>
        </w:rPr>
        <w:t>metropolitana;</w:t>
      </w:r>
    </w:p>
    <w:p>
      <w:pPr>
        <w:pStyle w:val="BodyText"/>
        <w:spacing w:before="1"/>
      </w:pPr>
    </w:p>
    <w:p>
      <w:pPr>
        <w:spacing w:line="229" w:lineRule="exact" w:before="0"/>
        <w:ind w:left="262" w:right="0" w:firstLine="0"/>
        <w:jc w:val="both"/>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5"/>
          <w:sz w:val="20"/>
        </w:rPr>
        <w:t> </w:t>
      </w:r>
      <w:r>
        <w:rPr>
          <w:rFonts w:ascii="Arial"/>
          <w:i/>
          <w:spacing w:val="-4"/>
          <w:sz w:val="20"/>
        </w:rPr>
        <w:t>2024)</w:t>
      </w:r>
    </w:p>
    <w:p>
      <w:pPr>
        <w:pStyle w:val="ListParagraph"/>
        <w:numPr>
          <w:ilvl w:val="0"/>
          <w:numId w:val="41"/>
        </w:numPr>
        <w:tabs>
          <w:tab w:pos="741" w:val="left" w:leader="none"/>
        </w:tabs>
        <w:spacing w:line="229" w:lineRule="exact" w:before="0" w:after="0"/>
        <w:ind w:left="741" w:right="0" w:hanging="479"/>
        <w:jc w:val="both"/>
        <w:rPr>
          <w:sz w:val="20"/>
        </w:rPr>
      </w:pPr>
      <w:r>
        <w:rPr>
          <w:sz w:val="20"/>
        </w:rPr>
        <w:t>La</w:t>
      </w:r>
      <w:r>
        <w:rPr>
          <w:spacing w:val="-8"/>
          <w:sz w:val="20"/>
        </w:rPr>
        <w:t> </w:t>
      </w:r>
      <w:r>
        <w:rPr>
          <w:sz w:val="20"/>
        </w:rPr>
        <w:t>infraestructura</w:t>
      </w:r>
      <w:r>
        <w:rPr>
          <w:spacing w:val="-8"/>
          <w:sz w:val="20"/>
        </w:rPr>
        <w:t> </w:t>
      </w:r>
      <w:r>
        <w:rPr>
          <w:sz w:val="20"/>
        </w:rPr>
        <w:t>vial,</w:t>
      </w:r>
      <w:r>
        <w:rPr>
          <w:spacing w:val="-8"/>
          <w:sz w:val="20"/>
        </w:rPr>
        <w:t> </w:t>
      </w:r>
      <w:r>
        <w:rPr>
          <w:sz w:val="20"/>
        </w:rPr>
        <w:t>tránsito,</w:t>
      </w:r>
      <w:r>
        <w:rPr>
          <w:spacing w:val="-8"/>
          <w:sz w:val="20"/>
        </w:rPr>
        <w:t> </w:t>
      </w:r>
      <w:r>
        <w:rPr>
          <w:sz w:val="20"/>
        </w:rPr>
        <w:t>transporte,</w:t>
      </w:r>
      <w:r>
        <w:rPr>
          <w:spacing w:val="-6"/>
          <w:sz w:val="20"/>
        </w:rPr>
        <w:t> </w:t>
      </w:r>
      <w:r>
        <w:rPr>
          <w:sz w:val="20"/>
        </w:rPr>
        <w:t>la</w:t>
      </w:r>
      <w:r>
        <w:rPr>
          <w:spacing w:val="-6"/>
          <w:sz w:val="20"/>
        </w:rPr>
        <w:t> </w:t>
      </w:r>
      <w:r>
        <w:rPr>
          <w:sz w:val="20"/>
        </w:rPr>
        <w:t>movilidad,</w:t>
      </w:r>
      <w:r>
        <w:rPr>
          <w:spacing w:val="-8"/>
          <w:sz w:val="20"/>
        </w:rPr>
        <w:t> </w:t>
      </w:r>
      <w:r>
        <w:rPr>
          <w:sz w:val="20"/>
        </w:rPr>
        <w:t>y</w:t>
      </w:r>
      <w:r>
        <w:rPr>
          <w:spacing w:val="-7"/>
          <w:sz w:val="20"/>
        </w:rPr>
        <w:t> </w:t>
      </w:r>
      <w:r>
        <w:rPr>
          <w:sz w:val="20"/>
        </w:rPr>
        <w:t>la</w:t>
      </w:r>
      <w:r>
        <w:rPr>
          <w:spacing w:val="-7"/>
          <w:sz w:val="20"/>
        </w:rPr>
        <w:t> </w:t>
      </w:r>
      <w:r>
        <w:rPr>
          <w:sz w:val="20"/>
        </w:rPr>
        <w:t>seguridad</w:t>
      </w:r>
      <w:r>
        <w:rPr>
          <w:spacing w:val="-8"/>
          <w:sz w:val="20"/>
        </w:rPr>
        <w:t> </w:t>
      </w:r>
      <w:r>
        <w:rPr>
          <w:spacing w:val="-2"/>
          <w:sz w:val="20"/>
        </w:rPr>
        <w:t>vial;</w:t>
      </w:r>
    </w:p>
    <w:p>
      <w:pPr>
        <w:pStyle w:val="BodyText"/>
      </w:pPr>
    </w:p>
    <w:p>
      <w:pPr>
        <w:pStyle w:val="ListParagraph"/>
        <w:numPr>
          <w:ilvl w:val="0"/>
          <w:numId w:val="41"/>
        </w:numPr>
        <w:tabs>
          <w:tab w:pos="688" w:val="left" w:leader="none"/>
        </w:tabs>
        <w:spacing w:line="240" w:lineRule="auto" w:before="1" w:after="0"/>
        <w:ind w:left="688" w:right="0" w:hanging="426"/>
        <w:jc w:val="both"/>
        <w:rPr>
          <w:sz w:val="20"/>
        </w:rPr>
      </w:pPr>
      <w:r>
        <w:rPr>
          <w:sz w:val="20"/>
        </w:rPr>
        <w:t>El</w:t>
      </w:r>
      <w:r>
        <w:rPr>
          <w:spacing w:val="-7"/>
          <w:sz w:val="20"/>
        </w:rPr>
        <w:t> </w:t>
      </w:r>
      <w:r>
        <w:rPr>
          <w:sz w:val="20"/>
        </w:rPr>
        <w:t>suelo</w:t>
      </w:r>
      <w:r>
        <w:rPr>
          <w:spacing w:val="-3"/>
          <w:sz w:val="20"/>
        </w:rPr>
        <w:t> </w:t>
      </w:r>
      <w:r>
        <w:rPr>
          <w:sz w:val="20"/>
        </w:rPr>
        <w:t>y</w:t>
      </w:r>
      <w:r>
        <w:rPr>
          <w:spacing w:val="-5"/>
          <w:sz w:val="20"/>
        </w:rPr>
        <w:t> </w:t>
      </w:r>
      <w:r>
        <w:rPr>
          <w:sz w:val="20"/>
        </w:rPr>
        <w:t>las</w:t>
      </w:r>
      <w:r>
        <w:rPr>
          <w:spacing w:val="-4"/>
          <w:sz w:val="20"/>
        </w:rPr>
        <w:t> </w:t>
      </w:r>
      <w:r>
        <w:rPr>
          <w:sz w:val="20"/>
        </w:rPr>
        <w:t>reservas</w:t>
      </w:r>
      <w:r>
        <w:rPr>
          <w:spacing w:val="-4"/>
          <w:sz w:val="20"/>
        </w:rPr>
        <w:t> </w:t>
      </w:r>
      <w:r>
        <w:rPr>
          <w:spacing w:val="-2"/>
          <w:sz w:val="20"/>
        </w:rPr>
        <w:t>territoriales;</w:t>
      </w:r>
    </w:p>
    <w:p>
      <w:pPr>
        <w:pStyle w:val="BodyText"/>
      </w:pPr>
    </w:p>
    <w:p>
      <w:pPr>
        <w:pStyle w:val="ListParagraph"/>
        <w:numPr>
          <w:ilvl w:val="0"/>
          <w:numId w:val="41"/>
        </w:numPr>
        <w:tabs>
          <w:tab w:pos="688" w:val="left" w:leader="none"/>
        </w:tabs>
        <w:spacing w:line="240" w:lineRule="auto" w:before="1" w:after="0"/>
        <w:ind w:left="262" w:right="288" w:firstLine="0"/>
        <w:jc w:val="both"/>
        <w:rPr>
          <w:sz w:val="20"/>
        </w:rPr>
      </w:pPr>
      <w:r>
        <w:rPr>
          <w:sz w:val="20"/>
        </w:rPr>
        <w:t>La densificación, consolidación urbana y uso eficiente del territorio, con espacios públicos seguros y de calidad, como eje articulador;</w:t>
      </w:r>
    </w:p>
    <w:p>
      <w:pPr>
        <w:pStyle w:val="ListParagraph"/>
        <w:numPr>
          <w:ilvl w:val="0"/>
          <w:numId w:val="41"/>
        </w:numPr>
        <w:tabs>
          <w:tab w:pos="688" w:val="left" w:leader="none"/>
        </w:tabs>
        <w:spacing w:line="240" w:lineRule="auto" w:before="228" w:after="0"/>
        <w:ind w:left="688" w:right="0" w:hanging="426"/>
        <w:jc w:val="both"/>
        <w:rPr>
          <w:sz w:val="20"/>
        </w:rPr>
      </w:pPr>
      <w:r>
        <w:rPr>
          <w:sz w:val="20"/>
        </w:rPr>
        <w:t>Las</w:t>
      </w:r>
      <w:r>
        <w:rPr>
          <w:spacing w:val="-8"/>
          <w:sz w:val="20"/>
        </w:rPr>
        <w:t> </w:t>
      </w:r>
      <w:r>
        <w:rPr>
          <w:sz w:val="20"/>
        </w:rPr>
        <w:t>políticas</w:t>
      </w:r>
      <w:r>
        <w:rPr>
          <w:spacing w:val="-8"/>
          <w:sz w:val="20"/>
        </w:rPr>
        <w:t> </w:t>
      </w:r>
      <w:r>
        <w:rPr>
          <w:sz w:val="20"/>
        </w:rPr>
        <w:t>habitacionales</w:t>
      </w:r>
      <w:r>
        <w:rPr>
          <w:spacing w:val="-8"/>
          <w:sz w:val="20"/>
        </w:rPr>
        <w:t> </w:t>
      </w:r>
      <w:r>
        <w:rPr>
          <w:sz w:val="20"/>
        </w:rPr>
        <w:t>y</w:t>
      </w:r>
      <w:r>
        <w:rPr>
          <w:spacing w:val="-8"/>
          <w:sz w:val="20"/>
        </w:rPr>
        <w:t> </w:t>
      </w:r>
      <w:r>
        <w:rPr>
          <w:sz w:val="20"/>
        </w:rPr>
        <w:t>las</w:t>
      </w:r>
      <w:r>
        <w:rPr>
          <w:spacing w:val="-7"/>
          <w:sz w:val="20"/>
        </w:rPr>
        <w:t> </w:t>
      </w:r>
      <w:r>
        <w:rPr>
          <w:sz w:val="20"/>
        </w:rPr>
        <w:t>relativas</w:t>
      </w:r>
      <w:r>
        <w:rPr>
          <w:spacing w:val="-8"/>
          <w:sz w:val="20"/>
        </w:rPr>
        <w:t> </w:t>
      </w:r>
      <w:r>
        <w:rPr>
          <w:sz w:val="20"/>
        </w:rPr>
        <w:t>al</w:t>
      </w:r>
      <w:r>
        <w:rPr>
          <w:spacing w:val="-8"/>
          <w:sz w:val="20"/>
        </w:rPr>
        <w:t> </w:t>
      </w:r>
      <w:r>
        <w:rPr>
          <w:sz w:val="20"/>
        </w:rPr>
        <w:t>equipamiento</w:t>
      </w:r>
      <w:r>
        <w:rPr>
          <w:spacing w:val="-9"/>
          <w:sz w:val="20"/>
        </w:rPr>
        <w:t> </w:t>
      </w:r>
      <w:r>
        <w:rPr>
          <w:sz w:val="20"/>
        </w:rPr>
        <w:t>regional</w:t>
      </w:r>
      <w:r>
        <w:rPr>
          <w:spacing w:val="-10"/>
          <w:sz w:val="20"/>
        </w:rPr>
        <w:t> </w:t>
      </w:r>
      <w:r>
        <w:rPr>
          <w:sz w:val="20"/>
        </w:rPr>
        <w:t>y</w:t>
      </w:r>
      <w:r>
        <w:rPr>
          <w:spacing w:val="-8"/>
          <w:sz w:val="20"/>
        </w:rPr>
        <w:t> </w:t>
      </w:r>
      <w:r>
        <w:rPr>
          <w:spacing w:val="-2"/>
          <w:sz w:val="20"/>
        </w:rPr>
        <w:t>metropolitano;</w:t>
      </w:r>
    </w:p>
    <w:p>
      <w:pPr>
        <w:pStyle w:val="BodyText"/>
        <w:spacing w:before="1"/>
      </w:pPr>
    </w:p>
    <w:p>
      <w:pPr>
        <w:pStyle w:val="ListParagraph"/>
        <w:numPr>
          <w:ilvl w:val="0"/>
          <w:numId w:val="41"/>
        </w:numPr>
        <w:tabs>
          <w:tab w:pos="688" w:val="left" w:leader="none"/>
        </w:tabs>
        <w:spacing w:line="240" w:lineRule="auto" w:before="0" w:after="0"/>
        <w:ind w:left="688" w:right="0" w:hanging="426"/>
        <w:jc w:val="both"/>
        <w:rPr>
          <w:sz w:val="20"/>
        </w:rPr>
      </w:pPr>
      <w:r>
        <w:rPr>
          <w:sz w:val="20"/>
        </w:rPr>
        <w:t>La</w:t>
      </w:r>
      <w:r>
        <w:rPr>
          <w:spacing w:val="-9"/>
          <w:sz w:val="20"/>
        </w:rPr>
        <w:t> </w:t>
      </w:r>
      <w:r>
        <w:rPr>
          <w:sz w:val="20"/>
        </w:rPr>
        <w:t>localización</w:t>
      </w:r>
      <w:r>
        <w:rPr>
          <w:spacing w:val="-8"/>
          <w:sz w:val="20"/>
        </w:rPr>
        <w:t> </w:t>
      </w:r>
      <w:r>
        <w:rPr>
          <w:sz w:val="20"/>
        </w:rPr>
        <w:t>de</w:t>
      </w:r>
      <w:r>
        <w:rPr>
          <w:spacing w:val="-8"/>
          <w:sz w:val="20"/>
        </w:rPr>
        <w:t> </w:t>
      </w:r>
      <w:r>
        <w:rPr>
          <w:sz w:val="20"/>
        </w:rPr>
        <w:t>espacios</w:t>
      </w:r>
      <w:r>
        <w:rPr>
          <w:spacing w:val="-5"/>
          <w:sz w:val="20"/>
        </w:rPr>
        <w:t> </w:t>
      </w:r>
      <w:r>
        <w:rPr>
          <w:sz w:val="20"/>
        </w:rPr>
        <w:t>para</w:t>
      </w:r>
      <w:r>
        <w:rPr>
          <w:spacing w:val="-7"/>
          <w:sz w:val="20"/>
        </w:rPr>
        <w:t> </w:t>
      </w:r>
      <w:r>
        <w:rPr>
          <w:sz w:val="20"/>
        </w:rPr>
        <w:t>desarrollo</w:t>
      </w:r>
      <w:r>
        <w:rPr>
          <w:spacing w:val="-6"/>
          <w:sz w:val="20"/>
        </w:rPr>
        <w:t> </w:t>
      </w:r>
      <w:r>
        <w:rPr>
          <w:sz w:val="20"/>
        </w:rPr>
        <w:t>industrial</w:t>
      </w:r>
      <w:r>
        <w:rPr>
          <w:spacing w:val="-9"/>
          <w:sz w:val="20"/>
        </w:rPr>
        <w:t> </w:t>
      </w:r>
      <w:r>
        <w:rPr>
          <w:sz w:val="20"/>
        </w:rPr>
        <w:t>de</w:t>
      </w:r>
      <w:r>
        <w:rPr>
          <w:spacing w:val="-8"/>
          <w:sz w:val="20"/>
        </w:rPr>
        <w:t> </w:t>
      </w:r>
      <w:r>
        <w:rPr>
          <w:sz w:val="20"/>
        </w:rPr>
        <w:t>carácter</w:t>
      </w:r>
      <w:r>
        <w:rPr>
          <w:spacing w:val="-7"/>
          <w:sz w:val="20"/>
        </w:rPr>
        <w:t> </w:t>
      </w:r>
      <w:r>
        <w:rPr>
          <w:spacing w:val="-2"/>
          <w:sz w:val="20"/>
        </w:rPr>
        <w:t>metropolitano;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41"/>
        </w:numPr>
        <w:tabs>
          <w:tab w:pos="968" w:val="left" w:leader="none"/>
        </w:tabs>
        <w:spacing w:line="240" w:lineRule="auto" w:before="0" w:after="0"/>
        <w:ind w:left="262" w:right="284" w:firstLine="0"/>
        <w:jc w:val="both"/>
        <w:rPr>
          <w:sz w:val="20"/>
        </w:rPr>
      </w:pPr>
      <w:r>
        <w:rPr>
          <w:sz w:val="20"/>
        </w:rPr>
        <w:t>La localización de espacios para generar infraestructura social que contribuya a la disminución de la pobreza urbana;</w:t>
      </w:r>
    </w:p>
    <w:p>
      <w:pPr>
        <w:pStyle w:val="BodyText"/>
        <w:spacing w:before="1"/>
      </w:pPr>
    </w:p>
    <w:p>
      <w:pPr>
        <w:pStyle w:val="ListParagraph"/>
        <w:numPr>
          <w:ilvl w:val="0"/>
          <w:numId w:val="41"/>
        </w:numPr>
        <w:tabs>
          <w:tab w:pos="688" w:val="left" w:leader="none"/>
        </w:tabs>
        <w:spacing w:line="240" w:lineRule="auto" w:before="1" w:after="0"/>
        <w:ind w:left="262" w:right="285" w:firstLine="0"/>
        <w:jc w:val="both"/>
        <w:rPr>
          <w:sz w:val="20"/>
        </w:rPr>
      </w:pPr>
      <w:r>
        <w:rPr>
          <w:sz w:val="20"/>
        </w:rPr>
        <w:t>La</w:t>
      </w:r>
      <w:r>
        <w:rPr>
          <w:spacing w:val="-10"/>
          <w:sz w:val="20"/>
        </w:rPr>
        <w:t> </w:t>
      </w:r>
      <w:r>
        <w:rPr>
          <w:sz w:val="20"/>
        </w:rPr>
        <w:t>localización</w:t>
      </w:r>
      <w:r>
        <w:rPr>
          <w:spacing w:val="-11"/>
          <w:sz w:val="20"/>
        </w:rPr>
        <w:t> </w:t>
      </w:r>
      <w:r>
        <w:rPr>
          <w:sz w:val="20"/>
        </w:rPr>
        <w:t>de</w:t>
      </w:r>
      <w:r>
        <w:rPr>
          <w:spacing w:val="-10"/>
          <w:sz w:val="20"/>
        </w:rPr>
        <w:t> </w:t>
      </w:r>
      <w:r>
        <w:rPr>
          <w:sz w:val="20"/>
        </w:rPr>
        <w:t>espacios</w:t>
      </w:r>
      <w:r>
        <w:rPr>
          <w:spacing w:val="-8"/>
          <w:sz w:val="20"/>
        </w:rPr>
        <w:t> </w:t>
      </w:r>
      <w:r>
        <w:rPr>
          <w:sz w:val="20"/>
        </w:rPr>
        <w:t>para</w:t>
      </w:r>
      <w:r>
        <w:rPr>
          <w:spacing w:val="-10"/>
          <w:sz w:val="20"/>
        </w:rPr>
        <w:t> </w:t>
      </w:r>
      <w:r>
        <w:rPr>
          <w:sz w:val="20"/>
        </w:rPr>
        <w:t>el</w:t>
      </w:r>
      <w:r>
        <w:rPr>
          <w:spacing w:val="-11"/>
          <w:sz w:val="20"/>
        </w:rPr>
        <w:t> </w:t>
      </w:r>
      <w:r>
        <w:rPr>
          <w:sz w:val="20"/>
        </w:rPr>
        <w:t>desarrollo</w:t>
      </w:r>
      <w:r>
        <w:rPr>
          <w:spacing w:val="-10"/>
          <w:sz w:val="20"/>
        </w:rPr>
        <w:t> </w:t>
      </w:r>
      <w:r>
        <w:rPr>
          <w:sz w:val="20"/>
        </w:rPr>
        <w:t>ambiental,</w:t>
      </w:r>
      <w:r>
        <w:rPr>
          <w:spacing w:val="-11"/>
          <w:sz w:val="20"/>
        </w:rPr>
        <w:t> </w:t>
      </w:r>
      <w:r>
        <w:rPr>
          <w:sz w:val="20"/>
        </w:rPr>
        <w:t>tales</w:t>
      </w:r>
      <w:r>
        <w:rPr>
          <w:spacing w:val="-10"/>
          <w:sz w:val="20"/>
        </w:rPr>
        <w:t> </w:t>
      </w:r>
      <w:r>
        <w:rPr>
          <w:sz w:val="20"/>
        </w:rPr>
        <w:t>como</w:t>
      </w:r>
      <w:r>
        <w:rPr>
          <w:spacing w:val="-9"/>
          <w:sz w:val="20"/>
        </w:rPr>
        <w:t> </w:t>
      </w:r>
      <w:r>
        <w:rPr>
          <w:sz w:val="20"/>
        </w:rPr>
        <w:t>áreas</w:t>
      </w:r>
      <w:r>
        <w:rPr>
          <w:spacing w:val="-10"/>
          <w:sz w:val="20"/>
        </w:rPr>
        <w:t> </w:t>
      </w:r>
      <w:r>
        <w:rPr>
          <w:sz w:val="20"/>
        </w:rPr>
        <w:t>naturales</w:t>
      </w:r>
      <w:r>
        <w:rPr>
          <w:spacing w:val="-10"/>
          <w:sz w:val="20"/>
        </w:rPr>
        <w:t> </w:t>
      </w:r>
      <w:r>
        <w:rPr>
          <w:sz w:val="20"/>
        </w:rPr>
        <w:t>protegidas o áreas de protección para la recarga del agua;</w:t>
      </w:r>
    </w:p>
    <w:p>
      <w:pPr>
        <w:pStyle w:val="ListParagraph"/>
        <w:numPr>
          <w:ilvl w:val="0"/>
          <w:numId w:val="41"/>
        </w:numPr>
        <w:tabs>
          <w:tab w:pos="688" w:val="left" w:leader="none"/>
        </w:tabs>
        <w:spacing w:line="240" w:lineRule="auto" w:before="228" w:after="0"/>
        <w:ind w:left="688" w:right="0" w:hanging="426"/>
        <w:jc w:val="both"/>
        <w:rPr>
          <w:sz w:val="20"/>
        </w:rPr>
      </w:pPr>
      <w:r>
        <w:rPr>
          <w:sz w:val="20"/>
        </w:rPr>
        <w:t>La</w:t>
      </w:r>
      <w:r>
        <w:rPr>
          <w:spacing w:val="-8"/>
          <w:sz w:val="20"/>
        </w:rPr>
        <w:t> </w:t>
      </w:r>
      <w:r>
        <w:rPr>
          <w:sz w:val="20"/>
        </w:rPr>
        <w:t>regularización</w:t>
      </w:r>
      <w:r>
        <w:rPr>
          <w:spacing w:val="-6"/>
          <w:sz w:val="20"/>
        </w:rPr>
        <w:t> </w:t>
      </w:r>
      <w:r>
        <w:rPr>
          <w:sz w:val="20"/>
        </w:rPr>
        <w:t>de</w:t>
      </w:r>
      <w:r>
        <w:rPr>
          <w:spacing w:val="-6"/>
          <w:sz w:val="20"/>
        </w:rPr>
        <w:t> </w:t>
      </w:r>
      <w:r>
        <w:rPr>
          <w:sz w:val="20"/>
        </w:rPr>
        <w:t>la</w:t>
      </w:r>
      <w:r>
        <w:rPr>
          <w:spacing w:val="-6"/>
          <w:sz w:val="20"/>
        </w:rPr>
        <w:t> </w:t>
      </w:r>
      <w:r>
        <w:rPr>
          <w:sz w:val="20"/>
        </w:rPr>
        <w:t>tenencia</w:t>
      </w:r>
      <w:r>
        <w:rPr>
          <w:spacing w:val="-4"/>
          <w:sz w:val="20"/>
        </w:rPr>
        <w:t> </w:t>
      </w:r>
      <w:r>
        <w:rPr>
          <w:sz w:val="20"/>
        </w:rPr>
        <w:t>de</w:t>
      </w:r>
      <w:r>
        <w:rPr>
          <w:spacing w:val="-5"/>
          <w:sz w:val="20"/>
        </w:rPr>
        <w:t> </w:t>
      </w:r>
      <w:r>
        <w:rPr>
          <w:sz w:val="20"/>
        </w:rPr>
        <w:t>la</w:t>
      </w:r>
      <w:r>
        <w:rPr>
          <w:spacing w:val="-7"/>
          <w:sz w:val="20"/>
        </w:rPr>
        <w:t> </w:t>
      </w:r>
      <w:r>
        <w:rPr>
          <w:sz w:val="20"/>
        </w:rPr>
        <w:t>tierra</w:t>
      </w:r>
      <w:r>
        <w:rPr>
          <w:spacing w:val="-4"/>
          <w:sz w:val="20"/>
        </w:rPr>
        <w:t> </w:t>
      </w:r>
      <w:r>
        <w:rPr>
          <w:spacing w:val="-2"/>
          <w:sz w:val="20"/>
        </w:rPr>
        <w:t>urbana;</w:t>
      </w:r>
    </w:p>
    <w:p>
      <w:pPr>
        <w:pStyle w:val="BodyText"/>
        <w:spacing w:before="1"/>
      </w:pPr>
    </w:p>
    <w:p>
      <w:pPr>
        <w:pStyle w:val="ListParagraph"/>
        <w:numPr>
          <w:ilvl w:val="0"/>
          <w:numId w:val="41"/>
        </w:numPr>
        <w:tabs>
          <w:tab w:pos="688" w:val="left" w:leader="none"/>
        </w:tabs>
        <w:spacing w:line="240" w:lineRule="auto" w:before="0" w:after="0"/>
        <w:ind w:left="262" w:right="288" w:firstLine="0"/>
        <w:jc w:val="both"/>
        <w:rPr>
          <w:sz w:val="20"/>
        </w:rPr>
      </w:pPr>
      <w:r>
        <w:rPr>
          <w:sz w:val="20"/>
        </w:rPr>
        <w:t>La gestión integral del agua y los recursos hidráulicos, incluyendo el agua potable, el drenaje, saneamiento, tratamiento de aguas residuales, recuperación de cuencas hidrográficas y aprovechamiento de aguas pluviales;</w:t>
      </w:r>
    </w:p>
    <w:p>
      <w:pPr>
        <w:pStyle w:val="BodyText"/>
      </w:pPr>
    </w:p>
    <w:p>
      <w:pPr>
        <w:pStyle w:val="ListParagraph"/>
        <w:numPr>
          <w:ilvl w:val="0"/>
          <w:numId w:val="41"/>
        </w:numPr>
        <w:tabs>
          <w:tab w:pos="827" w:val="left" w:leader="none"/>
        </w:tabs>
        <w:spacing w:line="240" w:lineRule="auto" w:before="0" w:after="0"/>
        <w:ind w:left="262" w:right="283" w:firstLine="0"/>
        <w:jc w:val="both"/>
        <w:rPr>
          <w:sz w:val="20"/>
        </w:rPr>
      </w:pPr>
      <w:r>
        <w:rPr>
          <w:sz w:val="20"/>
        </w:rPr>
        <w:t>La</w:t>
      </w:r>
      <w:r>
        <w:rPr>
          <w:spacing w:val="-13"/>
          <w:sz w:val="20"/>
        </w:rPr>
        <w:t> </w:t>
      </w:r>
      <w:r>
        <w:rPr>
          <w:sz w:val="20"/>
        </w:rPr>
        <w:t>preservación</w:t>
      </w:r>
      <w:r>
        <w:rPr>
          <w:spacing w:val="-12"/>
          <w:sz w:val="20"/>
        </w:rPr>
        <w:t> </w:t>
      </w:r>
      <w:r>
        <w:rPr>
          <w:sz w:val="20"/>
        </w:rPr>
        <w:t>y</w:t>
      </w:r>
      <w:r>
        <w:rPr>
          <w:spacing w:val="-11"/>
          <w:sz w:val="20"/>
        </w:rPr>
        <w:t> </w:t>
      </w:r>
      <w:r>
        <w:rPr>
          <w:sz w:val="20"/>
        </w:rPr>
        <w:t>restauración</w:t>
      </w:r>
      <w:r>
        <w:rPr>
          <w:spacing w:val="-13"/>
          <w:sz w:val="20"/>
        </w:rPr>
        <w:t> </w:t>
      </w:r>
      <w:r>
        <w:rPr>
          <w:sz w:val="20"/>
        </w:rPr>
        <w:t>del</w:t>
      </w:r>
      <w:r>
        <w:rPr>
          <w:spacing w:val="-11"/>
          <w:sz w:val="20"/>
        </w:rPr>
        <w:t> </w:t>
      </w:r>
      <w:r>
        <w:rPr>
          <w:sz w:val="20"/>
        </w:rPr>
        <w:t>equilibrio</w:t>
      </w:r>
      <w:r>
        <w:rPr>
          <w:spacing w:val="-12"/>
          <w:sz w:val="20"/>
        </w:rPr>
        <w:t> </w:t>
      </w:r>
      <w:r>
        <w:rPr>
          <w:sz w:val="20"/>
        </w:rPr>
        <w:t>ecológico,</w:t>
      </w:r>
      <w:r>
        <w:rPr>
          <w:spacing w:val="-10"/>
          <w:sz w:val="20"/>
        </w:rPr>
        <w:t> </w:t>
      </w:r>
      <w:r>
        <w:rPr>
          <w:sz w:val="20"/>
        </w:rPr>
        <w:t>el</w:t>
      </w:r>
      <w:r>
        <w:rPr>
          <w:spacing w:val="-13"/>
          <w:sz w:val="20"/>
        </w:rPr>
        <w:t> </w:t>
      </w:r>
      <w:r>
        <w:rPr>
          <w:sz w:val="20"/>
        </w:rPr>
        <w:t>aprovechamiento</w:t>
      </w:r>
      <w:r>
        <w:rPr>
          <w:spacing w:val="-13"/>
          <w:sz w:val="20"/>
        </w:rPr>
        <w:t> </w:t>
      </w:r>
      <w:r>
        <w:rPr>
          <w:sz w:val="20"/>
        </w:rPr>
        <w:t>sustentable</w:t>
      </w:r>
      <w:r>
        <w:rPr>
          <w:spacing w:val="-12"/>
          <w:sz w:val="20"/>
        </w:rPr>
        <w:t> </w:t>
      </w:r>
      <w:r>
        <w:rPr>
          <w:sz w:val="20"/>
        </w:rPr>
        <w:t>de</w:t>
      </w:r>
      <w:r>
        <w:rPr>
          <w:spacing w:val="-10"/>
          <w:sz w:val="20"/>
        </w:rPr>
        <w:t> </w:t>
      </w:r>
      <w:r>
        <w:rPr>
          <w:sz w:val="20"/>
        </w:rPr>
        <w:t>los recursos naturales y la protección al ambiente, incluyendo la calidad del aire y la protección de la </w:t>
      </w:r>
      <w:r>
        <w:rPr>
          <w:spacing w:val="-2"/>
          <w:sz w:val="20"/>
        </w:rPr>
        <w:t>atmósfera;</w:t>
      </w:r>
    </w:p>
    <w:p>
      <w:pPr>
        <w:pStyle w:val="ListParagraph"/>
        <w:numPr>
          <w:ilvl w:val="0"/>
          <w:numId w:val="41"/>
        </w:numPr>
        <w:tabs>
          <w:tab w:pos="827" w:val="left" w:leader="none"/>
        </w:tabs>
        <w:spacing w:line="240" w:lineRule="auto" w:before="229" w:after="0"/>
        <w:ind w:left="262" w:right="288" w:firstLine="0"/>
        <w:jc w:val="both"/>
        <w:rPr>
          <w:sz w:val="20"/>
        </w:rPr>
      </w:pPr>
      <w:r>
        <w:rPr>
          <w:sz w:val="20"/>
        </w:rPr>
        <w:t>La gestión integral de residuos sólidos municipales, especialmente los industriales y </w:t>
      </w:r>
      <w:r>
        <w:rPr>
          <w:spacing w:val="-2"/>
          <w:sz w:val="20"/>
        </w:rPr>
        <w:t>peligrosos;</w:t>
      </w:r>
    </w:p>
    <w:p>
      <w:pPr>
        <w:pStyle w:val="BodyText"/>
        <w:spacing w:before="2"/>
      </w:pPr>
    </w:p>
    <w:p>
      <w:pPr>
        <w:pStyle w:val="ListParagraph"/>
        <w:numPr>
          <w:ilvl w:val="0"/>
          <w:numId w:val="41"/>
        </w:numPr>
        <w:tabs>
          <w:tab w:pos="828" w:val="left" w:leader="none"/>
        </w:tabs>
        <w:spacing w:line="240" w:lineRule="auto" w:before="0" w:after="0"/>
        <w:ind w:left="828" w:right="0" w:hanging="566"/>
        <w:jc w:val="both"/>
        <w:rPr>
          <w:sz w:val="20"/>
        </w:rPr>
      </w:pPr>
      <w:r>
        <w:rPr>
          <w:sz w:val="20"/>
        </w:rPr>
        <w:t>La</w:t>
      </w:r>
      <w:r>
        <w:rPr>
          <w:spacing w:val="-8"/>
          <w:sz w:val="20"/>
        </w:rPr>
        <w:t> </w:t>
      </w:r>
      <w:r>
        <w:rPr>
          <w:sz w:val="20"/>
        </w:rPr>
        <w:t>prevención,</w:t>
      </w:r>
      <w:r>
        <w:rPr>
          <w:spacing w:val="-7"/>
          <w:sz w:val="20"/>
        </w:rPr>
        <w:t> </w:t>
      </w:r>
      <w:r>
        <w:rPr>
          <w:sz w:val="20"/>
        </w:rPr>
        <w:t>mitigación</w:t>
      </w:r>
      <w:r>
        <w:rPr>
          <w:spacing w:val="-7"/>
          <w:sz w:val="20"/>
        </w:rPr>
        <w:t> </w:t>
      </w:r>
      <w:r>
        <w:rPr>
          <w:sz w:val="20"/>
        </w:rPr>
        <w:t>y</w:t>
      </w:r>
      <w:r>
        <w:rPr>
          <w:spacing w:val="-3"/>
          <w:sz w:val="20"/>
        </w:rPr>
        <w:t> </w:t>
      </w:r>
      <w:r>
        <w:rPr>
          <w:sz w:val="20"/>
        </w:rPr>
        <w:t>resiliencia</w:t>
      </w:r>
      <w:r>
        <w:rPr>
          <w:spacing w:val="-7"/>
          <w:sz w:val="20"/>
        </w:rPr>
        <w:t> </w:t>
      </w:r>
      <w:r>
        <w:rPr>
          <w:sz w:val="20"/>
        </w:rPr>
        <w:t>ante</w:t>
      </w:r>
      <w:r>
        <w:rPr>
          <w:spacing w:val="-6"/>
          <w:sz w:val="20"/>
        </w:rPr>
        <w:t> </w:t>
      </w:r>
      <w:r>
        <w:rPr>
          <w:sz w:val="20"/>
        </w:rPr>
        <w:t>los</w:t>
      </w:r>
      <w:r>
        <w:rPr>
          <w:spacing w:val="-5"/>
          <w:sz w:val="20"/>
        </w:rPr>
        <w:t> </w:t>
      </w:r>
      <w:r>
        <w:rPr>
          <w:sz w:val="20"/>
        </w:rPr>
        <w:t>riesgos</w:t>
      </w:r>
      <w:r>
        <w:rPr>
          <w:spacing w:val="-4"/>
          <w:sz w:val="20"/>
        </w:rPr>
        <w:t> </w:t>
      </w:r>
      <w:r>
        <w:rPr>
          <w:sz w:val="20"/>
        </w:rPr>
        <w:t>y</w:t>
      </w:r>
      <w:r>
        <w:rPr>
          <w:spacing w:val="-5"/>
          <w:sz w:val="20"/>
        </w:rPr>
        <w:t> </w:t>
      </w:r>
      <w:r>
        <w:rPr>
          <w:sz w:val="20"/>
        </w:rPr>
        <w:t>los</w:t>
      </w:r>
      <w:r>
        <w:rPr>
          <w:spacing w:val="-6"/>
          <w:sz w:val="20"/>
        </w:rPr>
        <w:t> </w:t>
      </w:r>
      <w:r>
        <w:rPr>
          <w:sz w:val="20"/>
        </w:rPr>
        <w:t>efectos</w:t>
      </w:r>
      <w:r>
        <w:rPr>
          <w:spacing w:val="-6"/>
          <w:sz w:val="20"/>
        </w:rPr>
        <w:t> </w:t>
      </w:r>
      <w:r>
        <w:rPr>
          <w:sz w:val="20"/>
        </w:rPr>
        <w:t>del</w:t>
      </w:r>
      <w:r>
        <w:rPr>
          <w:spacing w:val="-7"/>
          <w:sz w:val="20"/>
        </w:rPr>
        <w:t> </w:t>
      </w:r>
      <w:r>
        <w:rPr>
          <w:sz w:val="20"/>
        </w:rPr>
        <w:t>cambio</w:t>
      </w:r>
      <w:r>
        <w:rPr>
          <w:spacing w:val="-7"/>
          <w:sz w:val="20"/>
        </w:rPr>
        <w:t> </w:t>
      </w:r>
      <w:r>
        <w:rPr>
          <w:spacing w:val="-2"/>
          <w:sz w:val="20"/>
        </w:rPr>
        <w:t>climático;</w:t>
      </w:r>
    </w:p>
    <w:p>
      <w:pPr>
        <w:pStyle w:val="ListParagraph"/>
        <w:numPr>
          <w:ilvl w:val="0"/>
          <w:numId w:val="41"/>
        </w:numPr>
        <w:tabs>
          <w:tab w:pos="827" w:val="left" w:leader="none"/>
        </w:tabs>
        <w:spacing w:line="240" w:lineRule="auto" w:before="228" w:after="0"/>
        <w:ind w:left="827" w:right="0" w:hanging="565"/>
        <w:jc w:val="both"/>
        <w:rPr>
          <w:sz w:val="20"/>
        </w:rPr>
      </w:pPr>
      <w:r>
        <w:rPr>
          <w:sz w:val="20"/>
        </w:rPr>
        <w:t>La</w:t>
      </w:r>
      <w:r>
        <w:rPr>
          <w:spacing w:val="-8"/>
          <w:sz w:val="20"/>
        </w:rPr>
        <w:t> </w:t>
      </w:r>
      <w:r>
        <w:rPr>
          <w:sz w:val="20"/>
        </w:rPr>
        <w:t>infraestructura</w:t>
      </w:r>
      <w:r>
        <w:rPr>
          <w:spacing w:val="-7"/>
          <w:sz w:val="20"/>
        </w:rPr>
        <w:t> </w:t>
      </w:r>
      <w:r>
        <w:rPr>
          <w:sz w:val="20"/>
        </w:rPr>
        <w:t>y</w:t>
      </w:r>
      <w:r>
        <w:rPr>
          <w:spacing w:val="-6"/>
          <w:sz w:val="20"/>
        </w:rPr>
        <w:t> </w:t>
      </w:r>
      <w:r>
        <w:rPr>
          <w:sz w:val="20"/>
        </w:rPr>
        <w:t>equipamientos</w:t>
      </w:r>
      <w:r>
        <w:rPr>
          <w:spacing w:val="-6"/>
          <w:sz w:val="20"/>
        </w:rPr>
        <w:t> </w:t>
      </w:r>
      <w:r>
        <w:rPr>
          <w:sz w:val="20"/>
        </w:rPr>
        <w:t>de</w:t>
      </w:r>
      <w:r>
        <w:rPr>
          <w:spacing w:val="-7"/>
          <w:sz w:val="20"/>
        </w:rPr>
        <w:t> </w:t>
      </w:r>
      <w:r>
        <w:rPr>
          <w:sz w:val="20"/>
        </w:rPr>
        <w:t>carácter</w:t>
      </w:r>
      <w:r>
        <w:rPr>
          <w:spacing w:val="-7"/>
          <w:sz w:val="20"/>
        </w:rPr>
        <w:t> </w:t>
      </w:r>
      <w:r>
        <w:rPr>
          <w:sz w:val="20"/>
        </w:rPr>
        <w:t>estratégico</w:t>
      </w:r>
      <w:r>
        <w:rPr>
          <w:spacing w:val="-7"/>
          <w:sz w:val="20"/>
        </w:rPr>
        <w:t> </w:t>
      </w:r>
      <w:r>
        <w:rPr>
          <w:sz w:val="20"/>
        </w:rPr>
        <w:t>y</w:t>
      </w:r>
      <w:r>
        <w:rPr>
          <w:spacing w:val="-6"/>
          <w:sz w:val="20"/>
        </w:rPr>
        <w:t> </w:t>
      </w:r>
      <w:r>
        <w:rPr>
          <w:sz w:val="20"/>
        </w:rPr>
        <w:t>de</w:t>
      </w:r>
      <w:r>
        <w:rPr>
          <w:spacing w:val="-7"/>
          <w:sz w:val="20"/>
        </w:rPr>
        <w:t> </w:t>
      </w:r>
      <w:r>
        <w:rPr>
          <w:spacing w:val="-2"/>
          <w:sz w:val="20"/>
        </w:rPr>
        <w:t>seguridad;</w:t>
      </w:r>
    </w:p>
    <w:p>
      <w:pPr>
        <w:pStyle w:val="BodyText"/>
        <w:spacing w:before="1"/>
      </w:pPr>
    </w:p>
    <w:p>
      <w:pPr>
        <w:pStyle w:val="ListParagraph"/>
        <w:numPr>
          <w:ilvl w:val="0"/>
          <w:numId w:val="41"/>
        </w:numPr>
        <w:tabs>
          <w:tab w:pos="827" w:val="left" w:leader="none"/>
        </w:tabs>
        <w:spacing w:line="240" w:lineRule="auto" w:before="0" w:after="0"/>
        <w:ind w:left="262" w:right="288" w:firstLine="0"/>
        <w:jc w:val="both"/>
        <w:rPr>
          <w:sz w:val="20"/>
        </w:rPr>
      </w:pPr>
      <w:r>
        <w:rPr>
          <w:sz w:val="20"/>
        </w:rPr>
        <w:t>La accesibilidad universal y la movilidad, incluyendo mecanismos de progresividad en estas </w:t>
      </w:r>
      <w:r>
        <w:rPr>
          <w:spacing w:val="-2"/>
          <w:sz w:val="20"/>
        </w:rPr>
        <w:t>materias;</w:t>
      </w:r>
    </w:p>
    <w:p>
      <w:pPr>
        <w:pStyle w:val="BodyText"/>
        <w:spacing w:before="1"/>
      </w:pPr>
    </w:p>
    <w:p>
      <w:pPr>
        <w:pStyle w:val="ListParagraph"/>
        <w:numPr>
          <w:ilvl w:val="0"/>
          <w:numId w:val="41"/>
        </w:numPr>
        <w:tabs>
          <w:tab w:pos="826" w:val="left" w:leader="none"/>
        </w:tabs>
        <w:spacing w:line="240" w:lineRule="auto" w:before="1" w:after="0"/>
        <w:ind w:left="262" w:right="288" w:firstLine="0"/>
        <w:jc w:val="both"/>
        <w:rPr>
          <w:sz w:val="20"/>
        </w:rPr>
      </w:pPr>
      <w:r>
        <w:rPr>
          <w:sz w:val="20"/>
        </w:rPr>
        <w:t>La planeación urbana sostenible y la implementación de mecanismos de recuperación y remediación de espacios públicos, encaminados a prevenir, disminuir y combatir los problemas de seguridad pública, y</w:t>
      </w:r>
    </w:p>
    <w:p>
      <w:pPr>
        <w:pStyle w:val="ListParagraph"/>
        <w:numPr>
          <w:ilvl w:val="0"/>
          <w:numId w:val="41"/>
        </w:numPr>
        <w:tabs>
          <w:tab w:pos="826" w:val="left" w:leader="none"/>
        </w:tabs>
        <w:spacing w:line="240" w:lineRule="auto" w:before="229" w:after="0"/>
        <w:ind w:left="262" w:right="286" w:firstLine="0"/>
        <w:jc w:val="both"/>
        <w:rPr>
          <w:sz w:val="20"/>
        </w:rPr>
      </w:pPr>
      <w:r>
        <w:rPr>
          <w:sz w:val="20"/>
        </w:rPr>
        <w:t>Otras acciones que, a propuesta de la Comisión Metropolitana y de Conurbación, se establezcan o declaren por las autoridades competentes.</w:t>
      </w:r>
    </w:p>
    <w:p>
      <w:pPr>
        <w:pStyle w:val="BodyText"/>
        <w:spacing w:before="229"/>
        <w:ind w:left="262" w:right="282"/>
        <w:jc w:val="both"/>
      </w:pPr>
      <w:r>
        <w:rPr>
          <w:rFonts w:ascii="Arial" w:hAnsi="Arial"/>
          <w:b/>
        </w:rPr>
        <w:t>ARTÍCULO 86. </w:t>
      </w:r>
      <w:r>
        <w:rPr/>
        <w:t>Para efectos del artículo anterior, la Secretaría emitirá los lineamientos a través de los</w:t>
      </w:r>
      <w:r>
        <w:rPr>
          <w:spacing w:val="-6"/>
        </w:rPr>
        <w:t> </w:t>
      </w:r>
      <w:r>
        <w:rPr/>
        <w:t>cuales</w:t>
      </w:r>
      <w:r>
        <w:rPr>
          <w:spacing w:val="-6"/>
        </w:rPr>
        <w:t> </w:t>
      </w:r>
      <w:r>
        <w:rPr/>
        <w:t>se</w:t>
      </w:r>
      <w:r>
        <w:rPr>
          <w:spacing w:val="-4"/>
        </w:rPr>
        <w:t> </w:t>
      </w:r>
      <w:r>
        <w:rPr/>
        <w:t>establecerán</w:t>
      </w:r>
      <w:r>
        <w:rPr>
          <w:spacing w:val="-7"/>
        </w:rPr>
        <w:t> </w:t>
      </w:r>
      <w:r>
        <w:rPr/>
        <w:t>los</w:t>
      </w:r>
      <w:r>
        <w:rPr>
          <w:spacing w:val="-6"/>
        </w:rPr>
        <w:t> </w:t>
      </w:r>
      <w:r>
        <w:rPr/>
        <w:t>métodos</w:t>
      </w:r>
      <w:r>
        <w:rPr>
          <w:spacing w:val="-6"/>
        </w:rPr>
        <w:t> </w:t>
      </w:r>
      <w:r>
        <w:rPr/>
        <w:t>y</w:t>
      </w:r>
      <w:r>
        <w:rPr>
          <w:spacing w:val="-3"/>
        </w:rPr>
        <w:t> </w:t>
      </w:r>
      <w:r>
        <w:rPr/>
        <w:t>procedimientos</w:t>
      </w:r>
      <w:r>
        <w:rPr>
          <w:spacing w:val="-6"/>
        </w:rPr>
        <w:t> </w:t>
      </w:r>
      <w:r>
        <w:rPr/>
        <w:t>para</w:t>
      </w:r>
      <w:r>
        <w:rPr>
          <w:spacing w:val="-4"/>
        </w:rPr>
        <w:t> </w:t>
      </w:r>
      <w:r>
        <w:rPr/>
        <w:t>medir</w:t>
      </w:r>
      <w:r>
        <w:rPr>
          <w:spacing w:val="-6"/>
        </w:rPr>
        <w:t> </w:t>
      </w:r>
      <w:r>
        <w:rPr/>
        <w:t>y</w:t>
      </w:r>
      <w:r>
        <w:rPr>
          <w:spacing w:val="-3"/>
        </w:rPr>
        <w:t> </w:t>
      </w:r>
      <w:r>
        <w:rPr/>
        <w:t>asegurar</w:t>
      </w:r>
      <w:r>
        <w:rPr>
          <w:spacing w:val="-3"/>
        </w:rPr>
        <w:t> </w:t>
      </w:r>
      <w:r>
        <w:rPr/>
        <w:t>que</w:t>
      </w:r>
      <w:r>
        <w:rPr>
          <w:spacing w:val="-5"/>
        </w:rPr>
        <w:t> </w:t>
      </w:r>
      <w:r>
        <w:rPr/>
        <w:t>los</w:t>
      </w:r>
      <w:r>
        <w:rPr>
          <w:spacing w:val="-6"/>
        </w:rPr>
        <w:t> </w:t>
      </w:r>
      <w:r>
        <w:rPr/>
        <w:t>proyectos</w:t>
      </w:r>
      <w:r>
        <w:rPr>
          <w:spacing w:val="-6"/>
        </w:rPr>
        <w:t> </w:t>
      </w:r>
      <w:r>
        <w:rPr/>
        <w:t>y acciones vinculados con políticas, directrices y acciones de interés metropolitano, cumplan con su objetivo de cobertura y guarden congruencia con los distintos niveles y ámbitos de planeación.</w:t>
      </w:r>
    </w:p>
    <w:p>
      <w:pPr>
        <w:pStyle w:val="BodyText"/>
        <w:spacing w:before="2"/>
      </w:pPr>
    </w:p>
    <w:p>
      <w:pPr>
        <w:pStyle w:val="BodyText"/>
        <w:ind w:left="262" w:right="284"/>
        <w:jc w:val="both"/>
      </w:pPr>
      <w:r>
        <w:rPr>
          <w:rFonts w:ascii="Arial" w:hAnsi="Arial"/>
          <w:b/>
          <w:spacing w:val="-2"/>
        </w:rPr>
        <w:t>ARTÍCULO</w:t>
      </w:r>
      <w:r>
        <w:rPr>
          <w:rFonts w:ascii="Arial" w:hAnsi="Arial"/>
          <w:b/>
          <w:spacing w:val="-5"/>
        </w:rPr>
        <w:t> </w:t>
      </w:r>
      <w:r>
        <w:rPr>
          <w:rFonts w:ascii="Arial" w:hAnsi="Arial"/>
          <w:b/>
          <w:spacing w:val="-2"/>
        </w:rPr>
        <w:t>87.</w:t>
      </w:r>
      <w:r>
        <w:rPr>
          <w:rFonts w:ascii="Arial" w:hAnsi="Arial"/>
          <w:b/>
          <w:spacing w:val="-4"/>
        </w:rPr>
        <w:t> </w:t>
      </w:r>
      <w:r>
        <w:rPr>
          <w:spacing w:val="-2"/>
        </w:rPr>
        <w:t>Los</w:t>
      </w:r>
      <w:r>
        <w:rPr>
          <w:spacing w:val="-3"/>
        </w:rPr>
        <w:t> </w:t>
      </w:r>
      <w:r>
        <w:rPr>
          <w:spacing w:val="-2"/>
        </w:rPr>
        <w:t>Programas</w:t>
      </w:r>
      <w:r>
        <w:rPr>
          <w:spacing w:val="-5"/>
        </w:rPr>
        <w:t> </w:t>
      </w:r>
      <w:r>
        <w:rPr>
          <w:spacing w:val="-2"/>
        </w:rPr>
        <w:t>Metropolitanos</w:t>
      </w:r>
      <w:r>
        <w:rPr>
          <w:spacing w:val="-5"/>
        </w:rPr>
        <w:t> </w:t>
      </w:r>
      <w:r>
        <w:rPr>
          <w:spacing w:val="-2"/>
        </w:rPr>
        <w:t>y</w:t>
      </w:r>
      <w:r>
        <w:rPr>
          <w:spacing w:val="-3"/>
        </w:rPr>
        <w:t> </w:t>
      </w:r>
      <w:r>
        <w:rPr>
          <w:spacing w:val="-2"/>
        </w:rPr>
        <w:t>de</w:t>
      </w:r>
      <w:r>
        <w:rPr>
          <w:spacing w:val="-8"/>
        </w:rPr>
        <w:t> </w:t>
      </w:r>
      <w:r>
        <w:rPr>
          <w:spacing w:val="-2"/>
        </w:rPr>
        <w:t>Zonas</w:t>
      </w:r>
      <w:r>
        <w:rPr>
          <w:spacing w:val="-5"/>
        </w:rPr>
        <w:t> </w:t>
      </w:r>
      <w:r>
        <w:rPr>
          <w:spacing w:val="-2"/>
        </w:rPr>
        <w:t>Conurbadas</w:t>
      </w:r>
      <w:r>
        <w:rPr>
          <w:spacing w:val="-3"/>
        </w:rPr>
        <w:t> </w:t>
      </w:r>
      <w:r>
        <w:rPr>
          <w:spacing w:val="-2"/>
        </w:rPr>
        <w:t>además</w:t>
      </w:r>
      <w:r>
        <w:rPr>
          <w:spacing w:val="-3"/>
        </w:rPr>
        <w:t> </w:t>
      </w:r>
      <w:r>
        <w:rPr>
          <w:spacing w:val="-2"/>
        </w:rPr>
        <w:t>del</w:t>
      </w:r>
      <w:r>
        <w:rPr>
          <w:spacing w:val="-9"/>
        </w:rPr>
        <w:t> </w:t>
      </w:r>
      <w:r>
        <w:rPr>
          <w:spacing w:val="-2"/>
        </w:rPr>
        <w:t>contenido</w:t>
      </w:r>
      <w:r>
        <w:rPr>
          <w:spacing w:val="-4"/>
        </w:rPr>
        <w:t> </w:t>
      </w:r>
      <w:r>
        <w:rPr>
          <w:spacing w:val="-2"/>
        </w:rPr>
        <w:t>básico </w:t>
      </w:r>
      <w:r>
        <w:rPr/>
        <w:t>señalado en el artículo 68, deberán tener:</w:t>
      </w:r>
    </w:p>
    <w:p>
      <w:pPr>
        <w:pStyle w:val="ListParagraph"/>
        <w:numPr>
          <w:ilvl w:val="0"/>
          <w:numId w:val="42"/>
        </w:numPr>
        <w:tabs>
          <w:tab w:pos="543" w:val="left" w:leader="none"/>
        </w:tabs>
        <w:spacing w:line="240" w:lineRule="auto" w:before="0" w:after="0"/>
        <w:ind w:left="262" w:right="287" w:firstLine="0"/>
        <w:jc w:val="both"/>
        <w:rPr>
          <w:sz w:val="20"/>
        </w:rPr>
      </w:pPr>
      <w:r>
        <w:rPr>
          <w:sz w:val="20"/>
        </w:rPr>
        <w:t>Congruencia con la estrategia nacional de ordenamiento territorial</w:t>
      </w:r>
      <w:r>
        <w:rPr>
          <w:spacing w:val="-1"/>
          <w:sz w:val="20"/>
        </w:rPr>
        <w:t> </w:t>
      </w:r>
      <w:r>
        <w:rPr>
          <w:sz w:val="20"/>
        </w:rPr>
        <w:t>y con el Programa Estatal de Ordenamiento Territorial y Desarrollo Urbano;</w:t>
      </w:r>
    </w:p>
    <w:p>
      <w:pPr>
        <w:pStyle w:val="BodyText"/>
      </w:pPr>
    </w:p>
    <w:p>
      <w:pPr>
        <w:pStyle w:val="ListParagraph"/>
        <w:numPr>
          <w:ilvl w:val="0"/>
          <w:numId w:val="42"/>
        </w:numPr>
        <w:tabs>
          <w:tab w:pos="543" w:val="left" w:leader="none"/>
        </w:tabs>
        <w:spacing w:line="240" w:lineRule="auto" w:before="0" w:after="0"/>
        <w:ind w:left="262" w:right="277" w:firstLine="0"/>
        <w:jc w:val="both"/>
        <w:rPr>
          <w:sz w:val="20"/>
        </w:rPr>
      </w:pPr>
      <w:r>
        <w:rPr>
          <w:sz w:val="20"/>
        </w:rPr>
        <w:t>La descripción geográfica de los límites de la zona metropolitana que comprenderá el conjunto del área urbanizada y urbanizable de los centros de población que han formado una continuidad física, y la delimitación de la zona conurbada que comprenderá el territorio completo de los municipios que la formen;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42"/>
        </w:numPr>
        <w:tabs>
          <w:tab w:pos="597" w:val="left" w:leader="none"/>
        </w:tabs>
        <w:spacing w:line="240" w:lineRule="auto" w:before="0" w:after="0"/>
        <w:ind w:left="262" w:right="284" w:firstLine="0"/>
        <w:jc w:val="both"/>
        <w:rPr>
          <w:sz w:val="20"/>
        </w:rPr>
      </w:pPr>
      <w:r>
        <w:rPr>
          <w:sz w:val="20"/>
        </w:rPr>
        <w:t>Un</w:t>
      </w:r>
      <w:r>
        <w:rPr>
          <w:spacing w:val="-7"/>
          <w:sz w:val="20"/>
        </w:rPr>
        <w:t> </w:t>
      </w:r>
      <w:r>
        <w:rPr>
          <w:sz w:val="20"/>
        </w:rPr>
        <w:t>diagnóstico</w:t>
      </w:r>
      <w:r>
        <w:rPr>
          <w:spacing w:val="-5"/>
          <w:sz w:val="20"/>
        </w:rPr>
        <w:t> </w:t>
      </w:r>
      <w:r>
        <w:rPr>
          <w:sz w:val="20"/>
        </w:rPr>
        <w:t>integral</w:t>
      </w:r>
      <w:r>
        <w:rPr>
          <w:spacing w:val="-7"/>
          <w:sz w:val="20"/>
        </w:rPr>
        <w:t> </w:t>
      </w:r>
      <w:r>
        <w:rPr>
          <w:sz w:val="20"/>
        </w:rPr>
        <w:t>actualizado</w:t>
      </w:r>
      <w:r>
        <w:rPr>
          <w:spacing w:val="-5"/>
          <w:sz w:val="20"/>
        </w:rPr>
        <w:t> </w:t>
      </w:r>
      <w:r>
        <w:rPr>
          <w:sz w:val="20"/>
        </w:rPr>
        <w:t>que</w:t>
      </w:r>
      <w:r>
        <w:rPr>
          <w:spacing w:val="-6"/>
          <w:sz w:val="20"/>
        </w:rPr>
        <w:t> </w:t>
      </w:r>
      <w:r>
        <w:rPr>
          <w:sz w:val="20"/>
        </w:rPr>
        <w:t>incluya</w:t>
      </w:r>
      <w:r>
        <w:rPr>
          <w:spacing w:val="-7"/>
          <w:sz w:val="20"/>
        </w:rPr>
        <w:t> </w:t>
      </w:r>
      <w:r>
        <w:rPr>
          <w:sz w:val="20"/>
        </w:rPr>
        <w:t>una</w:t>
      </w:r>
      <w:r>
        <w:rPr>
          <w:spacing w:val="-7"/>
          <w:sz w:val="20"/>
        </w:rPr>
        <w:t> </w:t>
      </w:r>
      <w:r>
        <w:rPr>
          <w:sz w:val="20"/>
        </w:rPr>
        <w:t>visión</w:t>
      </w:r>
      <w:r>
        <w:rPr>
          <w:spacing w:val="-7"/>
          <w:sz w:val="20"/>
        </w:rPr>
        <w:t> </w:t>
      </w:r>
      <w:r>
        <w:rPr>
          <w:sz w:val="20"/>
        </w:rPr>
        <w:t>prospectiva</w:t>
      </w:r>
      <w:r>
        <w:rPr>
          <w:spacing w:val="-7"/>
          <w:sz w:val="20"/>
        </w:rPr>
        <w:t> </w:t>
      </w:r>
      <w:r>
        <w:rPr>
          <w:sz w:val="20"/>
        </w:rPr>
        <w:t>de</w:t>
      </w:r>
      <w:r>
        <w:rPr>
          <w:spacing w:val="-7"/>
          <w:sz w:val="20"/>
        </w:rPr>
        <w:t> </w:t>
      </w:r>
      <w:r>
        <w:rPr>
          <w:sz w:val="20"/>
        </w:rPr>
        <w:t>corto,</w:t>
      </w:r>
      <w:r>
        <w:rPr>
          <w:spacing w:val="-5"/>
          <w:sz w:val="20"/>
        </w:rPr>
        <w:t> </w:t>
      </w:r>
      <w:r>
        <w:rPr>
          <w:sz w:val="20"/>
        </w:rPr>
        <w:t>mediano</w:t>
      </w:r>
      <w:r>
        <w:rPr>
          <w:spacing w:val="-7"/>
          <w:sz w:val="20"/>
        </w:rPr>
        <w:t> </w:t>
      </w:r>
      <w:r>
        <w:rPr>
          <w:sz w:val="20"/>
        </w:rPr>
        <w:t>y</w:t>
      </w:r>
      <w:r>
        <w:rPr>
          <w:spacing w:val="-6"/>
          <w:sz w:val="20"/>
        </w:rPr>
        <w:t> </w:t>
      </w:r>
      <w:r>
        <w:rPr>
          <w:sz w:val="20"/>
        </w:rPr>
        <w:t>largo </w:t>
      </w:r>
      <w:r>
        <w:rPr>
          <w:spacing w:val="-2"/>
          <w:sz w:val="20"/>
        </w:rPr>
        <w:t>plazo;</w:t>
      </w:r>
    </w:p>
    <w:p>
      <w:pPr>
        <w:pStyle w:val="BodyText"/>
        <w:spacing w:before="1"/>
      </w:pPr>
    </w:p>
    <w:p>
      <w:pPr>
        <w:pStyle w:val="ListParagraph"/>
        <w:numPr>
          <w:ilvl w:val="0"/>
          <w:numId w:val="42"/>
        </w:numPr>
        <w:tabs>
          <w:tab w:pos="545" w:val="left" w:leader="none"/>
        </w:tabs>
        <w:spacing w:line="240" w:lineRule="auto" w:before="0" w:after="0"/>
        <w:ind w:left="262" w:right="285" w:firstLine="0"/>
        <w:jc w:val="both"/>
        <w:rPr>
          <w:sz w:val="20"/>
        </w:rPr>
      </w:pPr>
      <w:r>
        <w:rPr>
          <w:sz w:val="20"/>
        </w:rPr>
        <w:t>La</w:t>
      </w:r>
      <w:r>
        <w:rPr>
          <w:spacing w:val="-5"/>
          <w:sz w:val="20"/>
        </w:rPr>
        <w:t> </w:t>
      </w:r>
      <w:r>
        <w:rPr>
          <w:sz w:val="20"/>
        </w:rPr>
        <w:t>identificación</w:t>
      </w:r>
      <w:r>
        <w:rPr>
          <w:spacing w:val="-4"/>
          <w:sz w:val="20"/>
        </w:rPr>
        <w:t> </w:t>
      </w:r>
      <w:r>
        <w:rPr>
          <w:sz w:val="20"/>
        </w:rPr>
        <w:t>de</w:t>
      </w:r>
      <w:r>
        <w:rPr>
          <w:spacing w:val="-2"/>
          <w:sz w:val="20"/>
        </w:rPr>
        <w:t> </w:t>
      </w:r>
      <w:r>
        <w:rPr>
          <w:sz w:val="20"/>
        </w:rPr>
        <w:t>estrategias</w:t>
      </w:r>
      <w:r>
        <w:rPr>
          <w:spacing w:val="-3"/>
          <w:sz w:val="20"/>
        </w:rPr>
        <w:t> </w:t>
      </w:r>
      <w:r>
        <w:rPr>
          <w:sz w:val="20"/>
        </w:rPr>
        <w:t>y</w:t>
      </w:r>
      <w:r>
        <w:rPr>
          <w:spacing w:val="-3"/>
          <w:sz w:val="20"/>
        </w:rPr>
        <w:t> </w:t>
      </w:r>
      <w:r>
        <w:rPr>
          <w:sz w:val="20"/>
        </w:rPr>
        <w:t>proyectos</w:t>
      </w:r>
      <w:r>
        <w:rPr>
          <w:spacing w:val="-3"/>
          <w:sz w:val="20"/>
        </w:rPr>
        <w:t> </w:t>
      </w:r>
      <w:r>
        <w:rPr>
          <w:sz w:val="20"/>
        </w:rPr>
        <w:t>para</w:t>
      </w:r>
      <w:r>
        <w:rPr>
          <w:spacing w:val="-4"/>
          <w:sz w:val="20"/>
        </w:rPr>
        <w:t> </w:t>
      </w:r>
      <w:r>
        <w:rPr>
          <w:sz w:val="20"/>
        </w:rPr>
        <w:t>el</w:t>
      </w:r>
      <w:r>
        <w:rPr>
          <w:spacing w:val="-5"/>
          <w:sz w:val="20"/>
        </w:rPr>
        <w:t> </w:t>
      </w:r>
      <w:r>
        <w:rPr>
          <w:sz w:val="20"/>
        </w:rPr>
        <w:t>desarrollo</w:t>
      </w:r>
      <w:r>
        <w:rPr>
          <w:spacing w:val="-2"/>
          <w:sz w:val="20"/>
        </w:rPr>
        <w:t> </w:t>
      </w:r>
      <w:r>
        <w:rPr>
          <w:sz w:val="20"/>
        </w:rPr>
        <w:t>integral</w:t>
      </w:r>
      <w:r>
        <w:rPr>
          <w:spacing w:val="-5"/>
          <w:sz w:val="20"/>
        </w:rPr>
        <w:t> </w:t>
      </w:r>
      <w:r>
        <w:rPr>
          <w:sz w:val="20"/>
        </w:rPr>
        <w:t>metropolitano</w:t>
      </w:r>
      <w:r>
        <w:rPr>
          <w:spacing w:val="-5"/>
          <w:sz w:val="20"/>
        </w:rPr>
        <w:t> </w:t>
      </w:r>
      <w:r>
        <w:rPr>
          <w:sz w:val="20"/>
        </w:rPr>
        <w:t>y</w:t>
      </w:r>
      <w:r>
        <w:rPr>
          <w:spacing w:val="-3"/>
          <w:sz w:val="20"/>
        </w:rPr>
        <w:t> </w:t>
      </w:r>
      <w:r>
        <w:rPr>
          <w:sz w:val="20"/>
        </w:rPr>
        <w:t>de</w:t>
      </w:r>
      <w:r>
        <w:rPr>
          <w:spacing w:val="-3"/>
          <w:sz w:val="20"/>
        </w:rPr>
        <w:t> </w:t>
      </w:r>
      <w:r>
        <w:rPr>
          <w:sz w:val="20"/>
        </w:rPr>
        <w:t>la</w:t>
      </w:r>
      <w:r>
        <w:rPr>
          <w:spacing w:val="-4"/>
          <w:sz w:val="20"/>
        </w:rPr>
        <w:t> </w:t>
      </w:r>
      <w:r>
        <w:rPr>
          <w:sz w:val="20"/>
        </w:rPr>
        <w:t>zona conurbada, que articulen los distintos ordenamientos, programas de desarrollo social, económico, urbano, turístico, ambiental y de cambio climático que impactan en su territorio;</w:t>
      </w:r>
    </w:p>
    <w:p>
      <w:pPr>
        <w:pStyle w:val="ListParagraph"/>
        <w:numPr>
          <w:ilvl w:val="0"/>
          <w:numId w:val="42"/>
        </w:numPr>
        <w:tabs>
          <w:tab w:pos="688" w:val="left" w:leader="none"/>
        </w:tabs>
        <w:spacing w:line="240" w:lineRule="auto" w:before="229" w:after="0"/>
        <w:ind w:left="262" w:right="284" w:firstLine="0"/>
        <w:jc w:val="both"/>
        <w:rPr>
          <w:sz w:val="20"/>
        </w:rPr>
      </w:pPr>
      <w:r>
        <w:rPr>
          <w:sz w:val="20"/>
        </w:rPr>
        <w:t>Señalamiento de objetivos, directrices, políticas y estrategias que comprendan los siguientes </w:t>
      </w:r>
      <w:r>
        <w:rPr>
          <w:spacing w:val="-2"/>
          <w:sz w:val="20"/>
        </w:rPr>
        <w:t>aspectos:</w:t>
      </w:r>
    </w:p>
    <w:p>
      <w:pPr>
        <w:pStyle w:val="BodyText"/>
        <w:spacing w:before="2"/>
      </w:pPr>
    </w:p>
    <w:p>
      <w:pPr>
        <w:pStyle w:val="ListParagraph"/>
        <w:numPr>
          <w:ilvl w:val="1"/>
          <w:numId w:val="42"/>
        </w:numPr>
        <w:tabs>
          <w:tab w:pos="687" w:val="left" w:leader="none"/>
        </w:tabs>
        <w:spacing w:line="240" w:lineRule="auto" w:before="0" w:after="0"/>
        <w:ind w:left="262" w:right="285" w:firstLine="0"/>
        <w:jc w:val="both"/>
        <w:rPr>
          <w:sz w:val="20"/>
        </w:rPr>
      </w:pPr>
      <w:r>
        <w:rPr>
          <w:sz w:val="20"/>
        </w:rPr>
        <w:t>La conformación del sistema de centros de población de la zona conurbada, estableciendo la delimitación</w:t>
      </w:r>
      <w:r>
        <w:rPr>
          <w:spacing w:val="-5"/>
          <w:sz w:val="20"/>
        </w:rPr>
        <w:t> </w:t>
      </w:r>
      <w:r>
        <w:rPr>
          <w:sz w:val="20"/>
        </w:rPr>
        <w:t>de</w:t>
      </w:r>
      <w:r>
        <w:rPr>
          <w:spacing w:val="-5"/>
          <w:sz w:val="20"/>
        </w:rPr>
        <w:t> </w:t>
      </w:r>
      <w:r>
        <w:rPr>
          <w:sz w:val="20"/>
        </w:rPr>
        <w:t>los</w:t>
      </w:r>
      <w:r>
        <w:rPr>
          <w:spacing w:val="-6"/>
          <w:sz w:val="20"/>
        </w:rPr>
        <w:t> </w:t>
      </w:r>
      <w:r>
        <w:rPr>
          <w:sz w:val="20"/>
        </w:rPr>
        <w:t>centros</w:t>
      </w:r>
      <w:r>
        <w:rPr>
          <w:spacing w:val="-3"/>
          <w:sz w:val="20"/>
        </w:rPr>
        <w:t> </w:t>
      </w:r>
      <w:r>
        <w:rPr>
          <w:sz w:val="20"/>
        </w:rPr>
        <w:t>de</w:t>
      </w:r>
      <w:r>
        <w:rPr>
          <w:spacing w:val="-5"/>
          <w:sz w:val="20"/>
        </w:rPr>
        <w:t> </w:t>
      </w:r>
      <w:r>
        <w:rPr>
          <w:sz w:val="20"/>
        </w:rPr>
        <w:t>población</w:t>
      </w:r>
      <w:r>
        <w:rPr>
          <w:spacing w:val="-5"/>
          <w:sz w:val="20"/>
        </w:rPr>
        <w:t> </w:t>
      </w:r>
      <w:r>
        <w:rPr>
          <w:sz w:val="20"/>
        </w:rPr>
        <w:t>estratégicos</w:t>
      </w:r>
      <w:r>
        <w:rPr>
          <w:spacing w:val="-6"/>
          <w:sz w:val="20"/>
        </w:rPr>
        <w:t> </w:t>
      </w:r>
      <w:r>
        <w:rPr>
          <w:sz w:val="20"/>
        </w:rPr>
        <w:t>y</w:t>
      </w:r>
      <w:r>
        <w:rPr>
          <w:spacing w:val="-3"/>
          <w:sz w:val="20"/>
        </w:rPr>
        <w:t> </w:t>
      </w:r>
      <w:r>
        <w:rPr>
          <w:sz w:val="20"/>
        </w:rPr>
        <w:t>su</w:t>
      </w:r>
      <w:r>
        <w:rPr>
          <w:spacing w:val="-7"/>
          <w:sz w:val="20"/>
        </w:rPr>
        <w:t> </w:t>
      </w:r>
      <w:r>
        <w:rPr>
          <w:sz w:val="20"/>
        </w:rPr>
        <w:t>zonificación</w:t>
      </w:r>
      <w:r>
        <w:rPr>
          <w:spacing w:val="-7"/>
          <w:sz w:val="20"/>
        </w:rPr>
        <w:t> </w:t>
      </w:r>
      <w:r>
        <w:rPr>
          <w:sz w:val="20"/>
        </w:rPr>
        <w:t>primaria,</w:t>
      </w:r>
      <w:r>
        <w:rPr>
          <w:spacing w:val="-5"/>
          <w:sz w:val="20"/>
        </w:rPr>
        <w:t> </w:t>
      </w:r>
      <w:r>
        <w:rPr>
          <w:sz w:val="20"/>
        </w:rPr>
        <w:t>en</w:t>
      </w:r>
      <w:r>
        <w:rPr>
          <w:spacing w:val="-7"/>
          <w:sz w:val="20"/>
        </w:rPr>
        <w:t> </w:t>
      </w:r>
      <w:r>
        <w:rPr>
          <w:sz w:val="20"/>
        </w:rPr>
        <w:t>congruencia</w:t>
      </w:r>
      <w:r>
        <w:rPr>
          <w:spacing w:val="-7"/>
          <w:sz w:val="20"/>
        </w:rPr>
        <w:t> </w:t>
      </w:r>
      <w:r>
        <w:rPr>
          <w:sz w:val="20"/>
        </w:rPr>
        <w:t>con la estrategia del Programa Estatal de Ordenamiento Territorial y Desarrollo Urbano.</w:t>
      </w:r>
    </w:p>
    <w:p>
      <w:pPr>
        <w:pStyle w:val="ListParagraph"/>
        <w:numPr>
          <w:ilvl w:val="1"/>
          <w:numId w:val="42"/>
        </w:numPr>
        <w:tabs>
          <w:tab w:pos="688" w:val="left" w:leader="none"/>
        </w:tabs>
        <w:spacing w:line="240" w:lineRule="auto" w:before="230" w:after="0"/>
        <w:ind w:left="688" w:right="0" w:hanging="426"/>
        <w:jc w:val="both"/>
        <w:rPr>
          <w:sz w:val="20"/>
        </w:rPr>
      </w:pPr>
      <w:r>
        <w:rPr>
          <w:sz w:val="20"/>
        </w:rPr>
        <w:t>El</w:t>
      </w:r>
      <w:r>
        <w:rPr>
          <w:spacing w:val="-7"/>
          <w:sz w:val="20"/>
        </w:rPr>
        <w:t> </w:t>
      </w:r>
      <w:r>
        <w:rPr>
          <w:sz w:val="20"/>
        </w:rPr>
        <w:t>impulso,</w:t>
      </w:r>
      <w:r>
        <w:rPr>
          <w:spacing w:val="-7"/>
          <w:sz w:val="20"/>
        </w:rPr>
        <w:t> </w:t>
      </w:r>
      <w:r>
        <w:rPr>
          <w:sz w:val="20"/>
        </w:rPr>
        <w:t>consolidación</w:t>
      </w:r>
      <w:r>
        <w:rPr>
          <w:spacing w:val="-8"/>
          <w:sz w:val="20"/>
        </w:rPr>
        <w:t> </w:t>
      </w:r>
      <w:r>
        <w:rPr>
          <w:sz w:val="20"/>
        </w:rPr>
        <w:t>o</w:t>
      </w:r>
      <w:r>
        <w:rPr>
          <w:spacing w:val="-5"/>
          <w:sz w:val="20"/>
        </w:rPr>
        <w:t> </w:t>
      </w:r>
      <w:r>
        <w:rPr>
          <w:sz w:val="20"/>
        </w:rPr>
        <w:t>control</w:t>
      </w:r>
      <w:r>
        <w:rPr>
          <w:spacing w:val="-7"/>
          <w:sz w:val="20"/>
        </w:rPr>
        <w:t> </w:t>
      </w:r>
      <w:r>
        <w:rPr>
          <w:sz w:val="20"/>
        </w:rPr>
        <w:t>del</w:t>
      </w:r>
      <w:r>
        <w:rPr>
          <w:spacing w:val="-8"/>
          <w:sz w:val="20"/>
        </w:rPr>
        <w:t> </w:t>
      </w:r>
      <w:r>
        <w:rPr>
          <w:sz w:val="20"/>
        </w:rPr>
        <w:t>crecimiento</w:t>
      </w:r>
      <w:r>
        <w:rPr>
          <w:spacing w:val="-8"/>
          <w:sz w:val="20"/>
        </w:rPr>
        <w:t> </w:t>
      </w:r>
      <w:r>
        <w:rPr>
          <w:sz w:val="20"/>
        </w:rPr>
        <w:t>de</w:t>
      </w:r>
      <w:r>
        <w:rPr>
          <w:spacing w:val="-8"/>
          <w:sz w:val="20"/>
        </w:rPr>
        <w:t> </w:t>
      </w:r>
      <w:r>
        <w:rPr>
          <w:sz w:val="20"/>
        </w:rPr>
        <w:t>los</w:t>
      </w:r>
      <w:r>
        <w:rPr>
          <w:spacing w:val="-6"/>
          <w:sz w:val="20"/>
        </w:rPr>
        <w:t> </w:t>
      </w:r>
      <w:r>
        <w:rPr>
          <w:sz w:val="20"/>
        </w:rPr>
        <w:t>centros</w:t>
      </w:r>
      <w:r>
        <w:rPr>
          <w:spacing w:val="-7"/>
          <w:sz w:val="20"/>
        </w:rPr>
        <w:t> </w:t>
      </w:r>
      <w:r>
        <w:rPr>
          <w:sz w:val="20"/>
        </w:rPr>
        <w:t>de</w:t>
      </w:r>
      <w:r>
        <w:rPr>
          <w:spacing w:val="-6"/>
          <w:sz w:val="20"/>
        </w:rPr>
        <w:t> </w:t>
      </w:r>
      <w:r>
        <w:rPr>
          <w:spacing w:val="-2"/>
          <w:sz w:val="20"/>
        </w:rPr>
        <w:t>población.</w:t>
      </w:r>
    </w:p>
    <w:p>
      <w:pPr>
        <w:pStyle w:val="BodyText"/>
      </w:pPr>
    </w:p>
    <w:p>
      <w:pPr>
        <w:pStyle w:val="ListParagraph"/>
        <w:numPr>
          <w:ilvl w:val="1"/>
          <w:numId w:val="42"/>
        </w:numPr>
        <w:tabs>
          <w:tab w:pos="544" w:val="left" w:leader="none"/>
        </w:tabs>
        <w:spacing w:line="240" w:lineRule="auto" w:before="0" w:after="0"/>
        <w:ind w:left="262" w:right="285" w:firstLine="0"/>
        <w:jc w:val="both"/>
        <w:rPr>
          <w:sz w:val="20"/>
        </w:rPr>
      </w:pPr>
      <w:r>
        <w:rPr>
          <w:sz w:val="20"/>
        </w:rPr>
        <w:t>La</w:t>
      </w:r>
      <w:r>
        <w:rPr>
          <w:spacing w:val="-9"/>
          <w:sz w:val="20"/>
        </w:rPr>
        <w:t> </w:t>
      </w:r>
      <w:r>
        <w:rPr>
          <w:sz w:val="20"/>
        </w:rPr>
        <w:t>definición</w:t>
      </w:r>
      <w:r>
        <w:rPr>
          <w:spacing w:val="-9"/>
          <w:sz w:val="20"/>
        </w:rPr>
        <w:t> </w:t>
      </w:r>
      <w:r>
        <w:rPr>
          <w:sz w:val="20"/>
        </w:rPr>
        <w:t>de</w:t>
      </w:r>
      <w:r>
        <w:rPr>
          <w:spacing w:val="-7"/>
          <w:sz w:val="20"/>
        </w:rPr>
        <w:t> </w:t>
      </w:r>
      <w:r>
        <w:rPr>
          <w:sz w:val="20"/>
        </w:rPr>
        <w:t>la</w:t>
      </w:r>
      <w:r>
        <w:rPr>
          <w:spacing w:val="-9"/>
          <w:sz w:val="20"/>
        </w:rPr>
        <w:t> </w:t>
      </w:r>
      <w:r>
        <w:rPr>
          <w:sz w:val="20"/>
        </w:rPr>
        <w:t>zonificación</w:t>
      </w:r>
      <w:r>
        <w:rPr>
          <w:spacing w:val="-9"/>
          <w:sz w:val="20"/>
        </w:rPr>
        <w:t> </w:t>
      </w:r>
      <w:r>
        <w:rPr>
          <w:sz w:val="20"/>
        </w:rPr>
        <w:t>general</w:t>
      </w:r>
      <w:r>
        <w:rPr>
          <w:spacing w:val="-9"/>
          <w:sz w:val="20"/>
        </w:rPr>
        <w:t> </w:t>
      </w:r>
      <w:r>
        <w:rPr>
          <w:sz w:val="20"/>
        </w:rPr>
        <w:t>del</w:t>
      </w:r>
      <w:r>
        <w:rPr>
          <w:spacing w:val="-10"/>
          <w:sz w:val="20"/>
        </w:rPr>
        <w:t> </w:t>
      </w:r>
      <w:r>
        <w:rPr>
          <w:sz w:val="20"/>
        </w:rPr>
        <w:t>territorio</w:t>
      </w:r>
      <w:r>
        <w:rPr>
          <w:spacing w:val="-9"/>
          <w:sz w:val="20"/>
        </w:rPr>
        <w:t> </w:t>
      </w:r>
      <w:r>
        <w:rPr>
          <w:sz w:val="20"/>
        </w:rPr>
        <w:t>de</w:t>
      </w:r>
      <w:r>
        <w:rPr>
          <w:spacing w:val="-7"/>
          <w:sz w:val="20"/>
        </w:rPr>
        <w:t> </w:t>
      </w:r>
      <w:r>
        <w:rPr>
          <w:sz w:val="20"/>
        </w:rPr>
        <w:t>la</w:t>
      </w:r>
      <w:r>
        <w:rPr>
          <w:spacing w:val="-9"/>
          <w:sz w:val="20"/>
        </w:rPr>
        <w:t> </w:t>
      </w:r>
      <w:r>
        <w:rPr>
          <w:sz w:val="20"/>
        </w:rPr>
        <w:t>zona</w:t>
      </w:r>
      <w:r>
        <w:rPr>
          <w:spacing w:val="-9"/>
          <w:sz w:val="20"/>
        </w:rPr>
        <w:t> </w:t>
      </w:r>
      <w:r>
        <w:rPr>
          <w:sz w:val="20"/>
        </w:rPr>
        <w:t>conurbada</w:t>
      </w:r>
      <w:r>
        <w:rPr>
          <w:spacing w:val="-9"/>
          <w:sz w:val="20"/>
        </w:rPr>
        <w:t> </w:t>
      </w:r>
      <w:r>
        <w:rPr>
          <w:sz w:val="20"/>
        </w:rPr>
        <w:t>y</w:t>
      </w:r>
      <w:r>
        <w:rPr>
          <w:spacing w:val="-8"/>
          <w:sz w:val="20"/>
        </w:rPr>
        <w:t> </w:t>
      </w:r>
      <w:r>
        <w:rPr>
          <w:sz w:val="20"/>
        </w:rPr>
        <w:t>el</w:t>
      </w:r>
      <w:r>
        <w:rPr>
          <w:spacing w:val="-10"/>
          <w:sz w:val="20"/>
        </w:rPr>
        <w:t> </w:t>
      </w:r>
      <w:r>
        <w:rPr>
          <w:sz w:val="20"/>
        </w:rPr>
        <w:t>establecimiento</w:t>
      </w:r>
      <w:r>
        <w:rPr>
          <w:spacing w:val="-9"/>
          <w:sz w:val="20"/>
        </w:rPr>
        <w:t> </w:t>
      </w:r>
      <w:r>
        <w:rPr>
          <w:sz w:val="20"/>
        </w:rPr>
        <w:t>de las respectivas normas de uso de suelo y aprovechamiento de los recursos.</w:t>
      </w:r>
    </w:p>
    <w:p>
      <w:pPr>
        <w:pStyle w:val="ListParagraph"/>
        <w:numPr>
          <w:ilvl w:val="1"/>
          <w:numId w:val="42"/>
        </w:numPr>
        <w:tabs>
          <w:tab w:pos="544" w:val="left" w:leader="none"/>
        </w:tabs>
        <w:spacing w:line="240" w:lineRule="auto" w:before="229" w:after="0"/>
        <w:ind w:left="262" w:right="285" w:firstLine="0"/>
        <w:jc w:val="both"/>
        <w:rPr>
          <w:sz w:val="20"/>
        </w:rPr>
      </w:pPr>
      <w:r>
        <w:rPr>
          <w:sz w:val="20"/>
        </w:rPr>
        <w:t>La ampliación y mejoramiento de las infraestructuras, equipamientos y servicios públicos de cobertura metropolitana y de zona conurbada, así como las vías de comunicación y de transporte de enlace interurbano y rural.</w:t>
      </w:r>
    </w:p>
    <w:p>
      <w:pPr>
        <w:pStyle w:val="ListParagraph"/>
        <w:numPr>
          <w:ilvl w:val="1"/>
          <w:numId w:val="42"/>
        </w:numPr>
        <w:tabs>
          <w:tab w:pos="544" w:val="left" w:leader="none"/>
        </w:tabs>
        <w:spacing w:line="240" w:lineRule="auto" w:before="230" w:after="0"/>
        <w:ind w:left="262" w:right="289" w:firstLine="0"/>
        <w:jc w:val="both"/>
        <w:rPr>
          <w:sz w:val="20"/>
        </w:rPr>
      </w:pPr>
      <w:r>
        <w:rPr>
          <w:sz w:val="20"/>
        </w:rPr>
        <w:t>Las previsiones de movilidad, incluyendo los medios de</w:t>
      </w:r>
      <w:r>
        <w:rPr>
          <w:spacing w:val="-1"/>
          <w:sz w:val="20"/>
        </w:rPr>
        <w:t> </w:t>
      </w:r>
      <w:r>
        <w:rPr>
          <w:sz w:val="20"/>
        </w:rPr>
        <w:t>transporte público masivo,</w:t>
      </w:r>
      <w:r>
        <w:rPr>
          <w:spacing w:val="-1"/>
          <w:sz w:val="20"/>
        </w:rPr>
        <w:t> </w:t>
      </w:r>
      <w:r>
        <w:rPr>
          <w:sz w:val="20"/>
        </w:rPr>
        <w:t>los sistemas no motorizados y aquellos de bajo impacto ambiental.</w:t>
      </w:r>
    </w:p>
    <w:p>
      <w:pPr>
        <w:pStyle w:val="BodyText"/>
        <w:spacing w:before="1"/>
      </w:pPr>
    </w:p>
    <w:p>
      <w:pPr>
        <w:pStyle w:val="ListParagraph"/>
        <w:numPr>
          <w:ilvl w:val="1"/>
          <w:numId w:val="42"/>
        </w:numPr>
        <w:tabs>
          <w:tab w:pos="543" w:val="left" w:leader="none"/>
        </w:tabs>
        <w:spacing w:line="240" w:lineRule="auto" w:before="0" w:after="0"/>
        <w:ind w:left="262" w:right="284" w:firstLine="0"/>
        <w:jc w:val="both"/>
        <w:rPr>
          <w:sz w:val="20"/>
        </w:rPr>
      </w:pPr>
      <w:r>
        <w:rPr>
          <w:sz w:val="20"/>
        </w:rPr>
        <w:t>La</w:t>
      </w:r>
      <w:r>
        <w:rPr>
          <w:spacing w:val="-9"/>
          <w:sz w:val="20"/>
        </w:rPr>
        <w:t> </w:t>
      </w:r>
      <w:r>
        <w:rPr>
          <w:sz w:val="20"/>
        </w:rPr>
        <w:t>determinación</w:t>
      </w:r>
      <w:r>
        <w:rPr>
          <w:spacing w:val="-9"/>
          <w:sz w:val="20"/>
        </w:rPr>
        <w:t> </w:t>
      </w:r>
      <w:r>
        <w:rPr>
          <w:sz w:val="20"/>
        </w:rPr>
        <w:t>de</w:t>
      </w:r>
      <w:r>
        <w:rPr>
          <w:spacing w:val="-9"/>
          <w:sz w:val="20"/>
        </w:rPr>
        <w:t> </w:t>
      </w:r>
      <w:r>
        <w:rPr>
          <w:sz w:val="20"/>
        </w:rPr>
        <w:t>los</w:t>
      </w:r>
      <w:r>
        <w:rPr>
          <w:spacing w:val="-8"/>
          <w:sz w:val="20"/>
        </w:rPr>
        <w:t> </w:t>
      </w:r>
      <w:r>
        <w:rPr>
          <w:sz w:val="20"/>
        </w:rPr>
        <w:t>centros</w:t>
      </w:r>
      <w:r>
        <w:rPr>
          <w:spacing w:val="-8"/>
          <w:sz w:val="20"/>
        </w:rPr>
        <w:t> </w:t>
      </w:r>
      <w:r>
        <w:rPr>
          <w:sz w:val="20"/>
        </w:rPr>
        <w:t>de</w:t>
      </w:r>
      <w:r>
        <w:rPr>
          <w:spacing w:val="-9"/>
          <w:sz w:val="20"/>
        </w:rPr>
        <w:t> </w:t>
      </w:r>
      <w:r>
        <w:rPr>
          <w:sz w:val="20"/>
        </w:rPr>
        <w:t>población</w:t>
      </w:r>
      <w:r>
        <w:rPr>
          <w:spacing w:val="-9"/>
          <w:sz w:val="20"/>
        </w:rPr>
        <w:t> </w:t>
      </w:r>
      <w:r>
        <w:rPr>
          <w:sz w:val="20"/>
        </w:rPr>
        <w:t>en</w:t>
      </w:r>
      <w:r>
        <w:rPr>
          <w:spacing w:val="-7"/>
          <w:sz w:val="20"/>
        </w:rPr>
        <w:t> </w:t>
      </w:r>
      <w:r>
        <w:rPr>
          <w:sz w:val="20"/>
        </w:rPr>
        <w:t>los</w:t>
      </w:r>
      <w:r>
        <w:rPr>
          <w:spacing w:val="-8"/>
          <w:sz w:val="20"/>
        </w:rPr>
        <w:t> </w:t>
      </w:r>
      <w:r>
        <w:rPr>
          <w:sz w:val="20"/>
        </w:rPr>
        <w:t>que</w:t>
      </w:r>
      <w:r>
        <w:rPr>
          <w:spacing w:val="-9"/>
          <w:sz w:val="20"/>
        </w:rPr>
        <w:t> </w:t>
      </w:r>
      <w:r>
        <w:rPr>
          <w:sz w:val="20"/>
        </w:rPr>
        <w:t>proceda</w:t>
      </w:r>
      <w:r>
        <w:rPr>
          <w:spacing w:val="-9"/>
          <w:sz w:val="20"/>
        </w:rPr>
        <w:t> </w:t>
      </w:r>
      <w:r>
        <w:rPr>
          <w:sz w:val="20"/>
        </w:rPr>
        <w:t>la</w:t>
      </w:r>
      <w:r>
        <w:rPr>
          <w:spacing w:val="-9"/>
          <w:sz w:val="20"/>
        </w:rPr>
        <w:t> </w:t>
      </w:r>
      <w:r>
        <w:rPr>
          <w:sz w:val="20"/>
        </w:rPr>
        <w:t>formulación</w:t>
      </w:r>
      <w:r>
        <w:rPr>
          <w:spacing w:val="-9"/>
          <w:sz w:val="20"/>
        </w:rPr>
        <w:t> </w:t>
      </w:r>
      <w:r>
        <w:rPr>
          <w:sz w:val="20"/>
        </w:rPr>
        <w:t>de</w:t>
      </w:r>
      <w:r>
        <w:rPr>
          <w:spacing w:val="-9"/>
          <w:sz w:val="20"/>
        </w:rPr>
        <w:t> </w:t>
      </w:r>
      <w:r>
        <w:rPr>
          <w:sz w:val="20"/>
        </w:rPr>
        <w:t>esquemas</w:t>
      </w:r>
      <w:r>
        <w:rPr>
          <w:spacing w:val="-8"/>
          <w:sz w:val="20"/>
        </w:rPr>
        <w:t> </w:t>
      </w:r>
      <w:r>
        <w:rPr>
          <w:sz w:val="20"/>
        </w:rPr>
        <w:t>de desarrollo urbano.</w:t>
      </w:r>
    </w:p>
    <w:p>
      <w:pPr>
        <w:pStyle w:val="ListParagraph"/>
        <w:numPr>
          <w:ilvl w:val="1"/>
          <w:numId w:val="42"/>
        </w:numPr>
        <w:tabs>
          <w:tab w:pos="544" w:val="left" w:leader="none"/>
        </w:tabs>
        <w:spacing w:line="240" w:lineRule="auto" w:before="229" w:after="0"/>
        <w:ind w:left="544" w:right="0" w:hanging="282"/>
        <w:jc w:val="both"/>
        <w:rPr>
          <w:sz w:val="20"/>
        </w:rPr>
      </w:pPr>
      <w:r>
        <w:rPr>
          <w:sz w:val="20"/>
        </w:rPr>
        <w:t>Las</w:t>
      </w:r>
      <w:r>
        <w:rPr>
          <w:spacing w:val="-7"/>
          <w:sz w:val="20"/>
        </w:rPr>
        <w:t> </w:t>
      </w:r>
      <w:r>
        <w:rPr>
          <w:sz w:val="20"/>
        </w:rPr>
        <w:t>previsiones</w:t>
      </w:r>
      <w:r>
        <w:rPr>
          <w:spacing w:val="-5"/>
          <w:sz w:val="20"/>
        </w:rPr>
        <w:t> </w:t>
      </w:r>
      <w:r>
        <w:rPr>
          <w:sz w:val="20"/>
        </w:rPr>
        <w:t>para</w:t>
      </w:r>
      <w:r>
        <w:rPr>
          <w:spacing w:val="-6"/>
          <w:sz w:val="20"/>
        </w:rPr>
        <w:t> </w:t>
      </w:r>
      <w:r>
        <w:rPr>
          <w:sz w:val="20"/>
        </w:rPr>
        <w:t>mejorar</w:t>
      </w:r>
      <w:r>
        <w:rPr>
          <w:spacing w:val="-7"/>
          <w:sz w:val="20"/>
        </w:rPr>
        <w:t> </w:t>
      </w:r>
      <w:r>
        <w:rPr>
          <w:sz w:val="20"/>
        </w:rPr>
        <w:t>las</w:t>
      </w:r>
      <w:r>
        <w:rPr>
          <w:spacing w:val="-7"/>
          <w:sz w:val="20"/>
        </w:rPr>
        <w:t> </w:t>
      </w:r>
      <w:r>
        <w:rPr>
          <w:sz w:val="20"/>
        </w:rPr>
        <w:t>condiciones</w:t>
      </w:r>
      <w:r>
        <w:rPr>
          <w:spacing w:val="-4"/>
          <w:sz w:val="20"/>
        </w:rPr>
        <w:t> </w:t>
      </w:r>
      <w:r>
        <w:rPr>
          <w:sz w:val="20"/>
        </w:rPr>
        <w:t>ambientales</w:t>
      </w:r>
      <w:r>
        <w:rPr>
          <w:spacing w:val="-7"/>
          <w:sz w:val="20"/>
        </w:rPr>
        <w:t> </w:t>
      </w:r>
      <w:r>
        <w:rPr>
          <w:sz w:val="20"/>
        </w:rPr>
        <w:t>y</w:t>
      </w:r>
      <w:r>
        <w:rPr>
          <w:spacing w:val="-6"/>
          <w:sz w:val="20"/>
        </w:rPr>
        <w:t> </w:t>
      </w:r>
      <w:r>
        <w:rPr>
          <w:sz w:val="20"/>
        </w:rPr>
        <w:t>el</w:t>
      </w:r>
      <w:r>
        <w:rPr>
          <w:spacing w:val="-9"/>
          <w:sz w:val="20"/>
        </w:rPr>
        <w:t> </w:t>
      </w:r>
      <w:r>
        <w:rPr>
          <w:sz w:val="20"/>
        </w:rPr>
        <w:t>manejo</w:t>
      </w:r>
      <w:r>
        <w:rPr>
          <w:spacing w:val="-5"/>
          <w:sz w:val="20"/>
        </w:rPr>
        <w:t> </w:t>
      </w:r>
      <w:r>
        <w:rPr>
          <w:sz w:val="20"/>
        </w:rPr>
        <w:t>integral</w:t>
      </w:r>
      <w:r>
        <w:rPr>
          <w:spacing w:val="-9"/>
          <w:sz w:val="20"/>
        </w:rPr>
        <w:t> </w:t>
      </w:r>
      <w:r>
        <w:rPr>
          <w:sz w:val="20"/>
        </w:rPr>
        <w:t>de</w:t>
      </w:r>
      <w:r>
        <w:rPr>
          <w:spacing w:val="-5"/>
          <w:sz w:val="20"/>
        </w:rPr>
        <w:t> </w:t>
      </w:r>
      <w:r>
        <w:rPr>
          <w:spacing w:val="-2"/>
          <w:sz w:val="20"/>
        </w:rPr>
        <w:t>agua.</w:t>
      </w:r>
    </w:p>
    <w:p>
      <w:pPr>
        <w:pStyle w:val="BodyText"/>
        <w:spacing w:before="1"/>
      </w:pPr>
    </w:p>
    <w:p>
      <w:pPr>
        <w:pStyle w:val="ListParagraph"/>
        <w:numPr>
          <w:ilvl w:val="1"/>
          <w:numId w:val="42"/>
        </w:numPr>
        <w:tabs>
          <w:tab w:pos="544" w:val="left" w:leader="none"/>
        </w:tabs>
        <w:spacing w:line="240" w:lineRule="auto" w:before="0" w:after="0"/>
        <w:ind w:left="262" w:right="288" w:firstLine="0"/>
        <w:jc w:val="both"/>
        <w:rPr>
          <w:sz w:val="20"/>
        </w:rPr>
      </w:pPr>
      <w:r>
        <w:rPr>
          <w:sz w:val="20"/>
        </w:rPr>
        <w:t>La conservación, protección, mejoramiento y acrecentamiento del espacio público y del medio </w:t>
      </w:r>
      <w:r>
        <w:rPr>
          <w:spacing w:val="-2"/>
          <w:sz w:val="20"/>
        </w:rPr>
        <w:t>ambiente.</w:t>
      </w:r>
    </w:p>
    <w:p>
      <w:pPr>
        <w:pStyle w:val="ListParagraph"/>
        <w:numPr>
          <w:ilvl w:val="1"/>
          <w:numId w:val="42"/>
        </w:numPr>
        <w:tabs>
          <w:tab w:pos="543" w:val="left" w:leader="none"/>
        </w:tabs>
        <w:spacing w:line="240" w:lineRule="auto" w:before="229" w:after="0"/>
        <w:ind w:left="262" w:right="287" w:firstLine="0"/>
        <w:jc w:val="both"/>
        <w:rPr>
          <w:sz w:val="20"/>
        </w:rPr>
      </w:pPr>
      <w:r>
        <w:rPr>
          <w:sz w:val="20"/>
        </w:rPr>
        <w:t>La cohesión social y el fomento a la participación comunitaria mediante la creación de infraestructura social;</w:t>
      </w:r>
    </w:p>
    <w:p>
      <w:pPr>
        <w:pStyle w:val="BodyText"/>
        <w:spacing w:before="1"/>
      </w:pPr>
    </w:p>
    <w:p>
      <w:pPr>
        <w:pStyle w:val="ListParagraph"/>
        <w:numPr>
          <w:ilvl w:val="1"/>
          <w:numId w:val="42"/>
        </w:numPr>
        <w:tabs>
          <w:tab w:pos="543" w:val="left" w:leader="none"/>
        </w:tabs>
        <w:spacing w:line="240" w:lineRule="auto" w:before="0" w:after="0"/>
        <w:ind w:left="543" w:right="0" w:hanging="281"/>
        <w:jc w:val="both"/>
        <w:rPr>
          <w:sz w:val="20"/>
        </w:rPr>
      </w:pPr>
      <w:r>
        <w:rPr>
          <w:sz w:val="20"/>
        </w:rPr>
        <w:t>La</w:t>
      </w:r>
      <w:r>
        <w:rPr>
          <w:spacing w:val="-8"/>
          <w:sz w:val="20"/>
        </w:rPr>
        <w:t> </w:t>
      </w:r>
      <w:r>
        <w:rPr>
          <w:sz w:val="20"/>
        </w:rPr>
        <w:t>conservación</w:t>
      </w:r>
      <w:r>
        <w:rPr>
          <w:spacing w:val="-8"/>
          <w:sz w:val="20"/>
        </w:rPr>
        <w:t> </w:t>
      </w:r>
      <w:r>
        <w:rPr>
          <w:sz w:val="20"/>
        </w:rPr>
        <w:t>y</w:t>
      </w:r>
      <w:r>
        <w:rPr>
          <w:spacing w:val="-6"/>
          <w:sz w:val="20"/>
        </w:rPr>
        <w:t> </w:t>
      </w:r>
      <w:r>
        <w:rPr>
          <w:sz w:val="20"/>
        </w:rPr>
        <w:t>mejoramiento</w:t>
      </w:r>
      <w:r>
        <w:rPr>
          <w:spacing w:val="-7"/>
          <w:sz w:val="20"/>
        </w:rPr>
        <w:t> </w:t>
      </w:r>
      <w:r>
        <w:rPr>
          <w:sz w:val="20"/>
        </w:rPr>
        <w:t>de</w:t>
      </w:r>
      <w:r>
        <w:rPr>
          <w:spacing w:val="-7"/>
          <w:sz w:val="20"/>
        </w:rPr>
        <w:t> </w:t>
      </w:r>
      <w:r>
        <w:rPr>
          <w:sz w:val="20"/>
        </w:rPr>
        <w:t>la</w:t>
      </w:r>
      <w:r>
        <w:rPr>
          <w:spacing w:val="-7"/>
          <w:sz w:val="20"/>
        </w:rPr>
        <w:t> </w:t>
      </w:r>
      <w:r>
        <w:rPr>
          <w:sz w:val="20"/>
        </w:rPr>
        <w:t>imagen</w:t>
      </w:r>
      <w:r>
        <w:rPr>
          <w:spacing w:val="-6"/>
          <w:sz w:val="20"/>
        </w:rPr>
        <w:t> </w:t>
      </w:r>
      <w:r>
        <w:rPr>
          <w:sz w:val="20"/>
        </w:rPr>
        <w:t>urbana</w:t>
      </w:r>
      <w:r>
        <w:rPr>
          <w:spacing w:val="-5"/>
          <w:sz w:val="20"/>
        </w:rPr>
        <w:t> </w:t>
      </w:r>
      <w:r>
        <w:rPr>
          <w:sz w:val="20"/>
        </w:rPr>
        <w:t>y</w:t>
      </w:r>
      <w:r>
        <w:rPr>
          <w:spacing w:val="-6"/>
          <w:sz w:val="20"/>
        </w:rPr>
        <w:t> </w:t>
      </w:r>
      <w:r>
        <w:rPr>
          <w:sz w:val="20"/>
        </w:rPr>
        <w:t>del</w:t>
      </w:r>
      <w:r>
        <w:rPr>
          <w:spacing w:val="-6"/>
          <w:sz w:val="20"/>
        </w:rPr>
        <w:t> </w:t>
      </w:r>
      <w:r>
        <w:rPr>
          <w:sz w:val="20"/>
        </w:rPr>
        <w:t>patrimonio</w:t>
      </w:r>
      <w:r>
        <w:rPr>
          <w:spacing w:val="-5"/>
          <w:sz w:val="20"/>
        </w:rPr>
        <w:t> </w:t>
      </w:r>
      <w:r>
        <w:rPr>
          <w:sz w:val="20"/>
        </w:rPr>
        <w:t>natural</w:t>
      </w:r>
      <w:r>
        <w:rPr>
          <w:spacing w:val="-8"/>
          <w:sz w:val="20"/>
        </w:rPr>
        <w:t> </w:t>
      </w:r>
      <w:r>
        <w:rPr>
          <w:sz w:val="20"/>
        </w:rPr>
        <w:t>y</w:t>
      </w:r>
      <w:r>
        <w:rPr>
          <w:spacing w:val="-6"/>
          <w:sz w:val="20"/>
        </w:rPr>
        <w:t> </w:t>
      </w:r>
      <w:r>
        <w:rPr>
          <w:spacing w:val="-2"/>
          <w:sz w:val="20"/>
        </w:rPr>
        <w:t>cultural.</w:t>
      </w:r>
    </w:p>
    <w:p>
      <w:pPr>
        <w:pStyle w:val="BodyText"/>
        <w:spacing w:before="1"/>
      </w:pPr>
    </w:p>
    <w:p>
      <w:pPr>
        <w:pStyle w:val="ListParagraph"/>
        <w:numPr>
          <w:ilvl w:val="1"/>
          <w:numId w:val="42"/>
        </w:numPr>
        <w:tabs>
          <w:tab w:pos="544" w:val="left" w:leader="none"/>
        </w:tabs>
        <w:spacing w:line="240" w:lineRule="auto" w:before="0" w:after="0"/>
        <w:ind w:left="544" w:right="0" w:hanging="282"/>
        <w:jc w:val="both"/>
        <w:rPr>
          <w:sz w:val="20"/>
        </w:rPr>
      </w:pPr>
      <w:r>
        <w:rPr>
          <w:sz w:val="20"/>
        </w:rPr>
        <w:t>La</w:t>
      </w:r>
      <w:r>
        <w:rPr>
          <w:spacing w:val="-8"/>
          <w:sz w:val="20"/>
        </w:rPr>
        <w:t> </w:t>
      </w:r>
      <w:r>
        <w:rPr>
          <w:sz w:val="20"/>
        </w:rPr>
        <w:t>seguridad,</w:t>
      </w:r>
      <w:r>
        <w:rPr>
          <w:spacing w:val="-5"/>
          <w:sz w:val="20"/>
        </w:rPr>
        <w:t> </w:t>
      </w:r>
      <w:r>
        <w:rPr>
          <w:sz w:val="20"/>
        </w:rPr>
        <w:t>prevención</w:t>
      </w:r>
      <w:r>
        <w:rPr>
          <w:spacing w:val="-8"/>
          <w:sz w:val="20"/>
        </w:rPr>
        <w:t> </w:t>
      </w:r>
      <w:r>
        <w:rPr>
          <w:sz w:val="20"/>
        </w:rPr>
        <w:t>del</w:t>
      </w:r>
      <w:r>
        <w:rPr>
          <w:spacing w:val="-8"/>
          <w:sz w:val="20"/>
        </w:rPr>
        <w:t> </w:t>
      </w:r>
      <w:r>
        <w:rPr>
          <w:sz w:val="20"/>
        </w:rPr>
        <w:t>riesgo</w:t>
      </w:r>
      <w:r>
        <w:rPr>
          <w:spacing w:val="-8"/>
          <w:sz w:val="20"/>
        </w:rPr>
        <w:t> </w:t>
      </w:r>
      <w:r>
        <w:rPr>
          <w:sz w:val="20"/>
        </w:rPr>
        <w:t>y</w:t>
      </w:r>
      <w:r>
        <w:rPr>
          <w:spacing w:val="-6"/>
          <w:sz w:val="20"/>
        </w:rPr>
        <w:t> </w:t>
      </w:r>
      <w:r>
        <w:rPr>
          <w:spacing w:val="-2"/>
          <w:sz w:val="20"/>
        </w:rPr>
        <w:t>resiliencia;</w:t>
      </w:r>
    </w:p>
    <w:p>
      <w:pPr>
        <w:pStyle w:val="ListParagraph"/>
        <w:numPr>
          <w:ilvl w:val="0"/>
          <w:numId w:val="42"/>
        </w:numPr>
        <w:tabs>
          <w:tab w:pos="688" w:val="left" w:leader="none"/>
        </w:tabs>
        <w:spacing w:line="240" w:lineRule="auto" w:before="229" w:after="0"/>
        <w:ind w:left="262" w:right="281" w:firstLine="0"/>
        <w:jc w:val="both"/>
        <w:rPr>
          <w:sz w:val="20"/>
        </w:rPr>
      </w:pPr>
      <w:r>
        <w:rPr>
          <w:sz w:val="20"/>
        </w:rPr>
        <w:t>La</w:t>
      </w:r>
      <w:r>
        <w:rPr>
          <w:spacing w:val="-4"/>
          <w:sz w:val="20"/>
        </w:rPr>
        <w:t> </w:t>
      </w:r>
      <w:r>
        <w:rPr>
          <w:sz w:val="20"/>
        </w:rPr>
        <w:t>determinación</w:t>
      </w:r>
      <w:r>
        <w:rPr>
          <w:spacing w:val="-7"/>
          <w:sz w:val="20"/>
        </w:rPr>
        <w:t> </w:t>
      </w:r>
      <w:r>
        <w:rPr>
          <w:sz w:val="20"/>
        </w:rPr>
        <w:t>de</w:t>
      </w:r>
      <w:r>
        <w:rPr>
          <w:spacing w:val="-4"/>
          <w:sz w:val="20"/>
        </w:rPr>
        <w:t> </w:t>
      </w:r>
      <w:r>
        <w:rPr>
          <w:sz w:val="20"/>
        </w:rPr>
        <w:t>las</w:t>
      </w:r>
      <w:r>
        <w:rPr>
          <w:spacing w:val="-4"/>
          <w:sz w:val="20"/>
        </w:rPr>
        <w:t> </w:t>
      </w:r>
      <w:r>
        <w:rPr>
          <w:sz w:val="20"/>
        </w:rPr>
        <w:t>líneas</w:t>
      </w:r>
      <w:r>
        <w:rPr>
          <w:spacing w:val="-5"/>
          <w:sz w:val="20"/>
        </w:rPr>
        <w:t> </w:t>
      </w:r>
      <w:r>
        <w:rPr>
          <w:sz w:val="20"/>
        </w:rPr>
        <w:t>de</w:t>
      </w:r>
      <w:r>
        <w:rPr>
          <w:spacing w:val="-7"/>
          <w:sz w:val="20"/>
        </w:rPr>
        <w:t> </w:t>
      </w:r>
      <w:r>
        <w:rPr>
          <w:sz w:val="20"/>
        </w:rPr>
        <w:t>acción</w:t>
      </w:r>
      <w:r>
        <w:rPr>
          <w:spacing w:val="-7"/>
          <w:sz w:val="20"/>
        </w:rPr>
        <w:t> </w:t>
      </w:r>
      <w:r>
        <w:rPr>
          <w:sz w:val="20"/>
        </w:rPr>
        <w:t>y</w:t>
      </w:r>
      <w:r>
        <w:rPr>
          <w:spacing w:val="-3"/>
          <w:sz w:val="20"/>
        </w:rPr>
        <w:t> </w:t>
      </w:r>
      <w:r>
        <w:rPr>
          <w:sz w:val="20"/>
        </w:rPr>
        <w:t>la</w:t>
      </w:r>
      <w:r>
        <w:rPr>
          <w:spacing w:val="-5"/>
          <w:sz w:val="20"/>
        </w:rPr>
        <w:t> </w:t>
      </w:r>
      <w:r>
        <w:rPr>
          <w:sz w:val="20"/>
        </w:rPr>
        <w:t>corresponsabilidad</w:t>
      </w:r>
      <w:r>
        <w:rPr>
          <w:spacing w:val="-4"/>
          <w:sz w:val="20"/>
        </w:rPr>
        <w:t> </w:t>
      </w:r>
      <w:r>
        <w:rPr>
          <w:sz w:val="20"/>
        </w:rPr>
        <w:t>sectorial,</w:t>
      </w:r>
      <w:r>
        <w:rPr>
          <w:spacing w:val="-4"/>
          <w:sz w:val="20"/>
        </w:rPr>
        <w:t> </w:t>
      </w:r>
      <w:r>
        <w:rPr>
          <w:sz w:val="20"/>
        </w:rPr>
        <w:t>que</w:t>
      </w:r>
      <w:r>
        <w:rPr>
          <w:spacing w:val="-7"/>
          <w:sz w:val="20"/>
        </w:rPr>
        <w:t> </w:t>
      </w:r>
      <w:r>
        <w:rPr>
          <w:sz w:val="20"/>
        </w:rPr>
        <w:t>se</w:t>
      </w:r>
      <w:r>
        <w:rPr>
          <w:spacing w:val="-4"/>
          <w:sz w:val="20"/>
        </w:rPr>
        <w:t> </w:t>
      </w:r>
      <w:r>
        <w:rPr>
          <w:sz w:val="20"/>
        </w:rPr>
        <w:t>enuncien</w:t>
      </w:r>
      <w:r>
        <w:rPr>
          <w:spacing w:val="-4"/>
          <w:sz w:val="20"/>
        </w:rPr>
        <w:t> </w:t>
      </w:r>
      <w:r>
        <w:rPr>
          <w:sz w:val="20"/>
        </w:rPr>
        <w:t>las acciones, obras y servicios que derivan de la estrategia, el plazo, cantidad, los responsables, y la concertación entre los sectores público, privado y social</w:t>
      </w:r>
      <w:r>
        <w:rPr>
          <w:spacing w:val="-1"/>
          <w:sz w:val="20"/>
        </w:rPr>
        <w:t> </w:t>
      </w:r>
      <w:r>
        <w:rPr>
          <w:sz w:val="20"/>
        </w:rPr>
        <w:t>para su ejecución. Además se distinguirán aquellas acciones y proyectos que por su importancia se consideren estratégicos, y</w:t>
      </w:r>
    </w:p>
    <w:p>
      <w:pPr>
        <w:pStyle w:val="ListParagraph"/>
        <w:numPr>
          <w:ilvl w:val="0"/>
          <w:numId w:val="42"/>
        </w:numPr>
        <w:tabs>
          <w:tab w:pos="688" w:val="left" w:leader="none"/>
        </w:tabs>
        <w:spacing w:line="240" w:lineRule="auto" w:before="229" w:after="0"/>
        <w:ind w:left="262" w:right="280" w:firstLine="0"/>
        <w:jc w:val="both"/>
        <w:rPr>
          <w:sz w:val="20"/>
        </w:rPr>
      </w:pPr>
      <w:r>
        <w:rPr>
          <w:sz w:val="20"/>
        </w:rPr>
        <w:t>La instrumentación jurídica, administrativa, de participación social, y financiera del programa que se elabora, así como el procedimiento de evaluación del programa que incluya la definición de indicadores y metas en el corto, mediano y largo plazo; así como las metas generales en cuanto a la calidad de vida en los centros de población urbanos y rurales de la zona conurbada; se incluirá</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los procedimientos de coordinación entre los municipios y el Estado para la ejecución de las </w:t>
      </w:r>
      <w:r>
        <w:rPr>
          <w:spacing w:val="-2"/>
        </w:rPr>
        <w:t>estrategias.</w:t>
      </w:r>
    </w:p>
    <w:p>
      <w:pPr>
        <w:pStyle w:val="BodyText"/>
        <w:spacing w:before="1"/>
      </w:pPr>
    </w:p>
    <w:p>
      <w:pPr>
        <w:pStyle w:val="BodyText"/>
        <w:ind w:left="262" w:right="280"/>
        <w:jc w:val="both"/>
      </w:pPr>
      <w:r>
        <w:rPr/>
        <w:t>Adicionalmente,</w:t>
      </w:r>
      <w:r>
        <w:rPr>
          <w:spacing w:val="-14"/>
        </w:rPr>
        <w:t> </w:t>
      </w:r>
      <w:r>
        <w:rPr/>
        <w:t>los</w:t>
      </w:r>
      <w:r>
        <w:rPr>
          <w:spacing w:val="-14"/>
        </w:rPr>
        <w:t> </w:t>
      </w:r>
      <w:r>
        <w:rPr/>
        <w:t>municipios,</w:t>
      </w:r>
      <w:r>
        <w:rPr>
          <w:spacing w:val="-14"/>
        </w:rPr>
        <w:t> </w:t>
      </w:r>
      <w:r>
        <w:rPr/>
        <w:t>podrán</w:t>
      </w:r>
      <w:r>
        <w:rPr>
          <w:spacing w:val="-14"/>
        </w:rPr>
        <w:t> </w:t>
      </w:r>
      <w:r>
        <w:rPr/>
        <w:t>formular</w:t>
      </w:r>
      <w:r>
        <w:rPr>
          <w:spacing w:val="-14"/>
        </w:rPr>
        <w:t> </w:t>
      </w:r>
      <w:r>
        <w:rPr/>
        <w:t>y</w:t>
      </w:r>
      <w:r>
        <w:rPr>
          <w:spacing w:val="-14"/>
        </w:rPr>
        <w:t> </w:t>
      </w:r>
      <w:r>
        <w:rPr/>
        <w:t>aprobar</w:t>
      </w:r>
      <w:r>
        <w:rPr>
          <w:spacing w:val="-14"/>
        </w:rPr>
        <w:t> </w:t>
      </w:r>
      <w:r>
        <w:rPr/>
        <w:t>programas</w:t>
      </w:r>
      <w:r>
        <w:rPr>
          <w:spacing w:val="-14"/>
        </w:rPr>
        <w:t> </w:t>
      </w:r>
      <w:r>
        <w:rPr/>
        <w:t>parciales</w:t>
      </w:r>
      <w:r>
        <w:rPr>
          <w:spacing w:val="-14"/>
        </w:rPr>
        <w:t> </w:t>
      </w:r>
      <w:r>
        <w:rPr/>
        <w:t>de</w:t>
      </w:r>
      <w:r>
        <w:rPr>
          <w:spacing w:val="-13"/>
        </w:rPr>
        <w:t> </w:t>
      </w:r>
      <w:r>
        <w:rPr/>
        <w:t>las</w:t>
      </w:r>
      <w:r>
        <w:rPr>
          <w:spacing w:val="-14"/>
        </w:rPr>
        <w:t> </w:t>
      </w:r>
      <w:r>
        <w:rPr/>
        <w:t>áreas</w:t>
      </w:r>
      <w:r>
        <w:rPr>
          <w:spacing w:val="-14"/>
        </w:rPr>
        <w:t> </w:t>
      </w:r>
      <w:r>
        <w:rPr/>
        <w:t>urbanas y</w:t>
      </w:r>
      <w:r>
        <w:rPr>
          <w:spacing w:val="-11"/>
        </w:rPr>
        <w:t> </w:t>
      </w:r>
      <w:r>
        <w:rPr/>
        <w:t>urbanizables,</w:t>
      </w:r>
      <w:r>
        <w:rPr>
          <w:spacing w:val="-10"/>
        </w:rPr>
        <w:t> </w:t>
      </w:r>
      <w:r>
        <w:rPr/>
        <w:t>previamente</w:t>
      </w:r>
      <w:r>
        <w:rPr>
          <w:spacing w:val="-12"/>
        </w:rPr>
        <w:t> </w:t>
      </w:r>
      <w:r>
        <w:rPr/>
        <w:t>señalados</w:t>
      </w:r>
      <w:r>
        <w:rPr>
          <w:spacing w:val="-10"/>
        </w:rPr>
        <w:t> </w:t>
      </w:r>
      <w:r>
        <w:rPr/>
        <w:t>en</w:t>
      </w:r>
      <w:r>
        <w:rPr>
          <w:spacing w:val="-10"/>
        </w:rPr>
        <w:t> </w:t>
      </w:r>
      <w:r>
        <w:rPr/>
        <w:t>la</w:t>
      </w:r>
      <w:r>
        <w:rPr>
          <w:spacing w:val="-10"/>
        </w:rPr>
        <w:t> </w:t>
      </w:r>
      <w:r>
        <w:rPr/>
        <w:t>estrategia</w:t>
      </w:r>
      <w:r>
        <w:rPr>
          <w:spacing w:val="-12"/>
        </w:rPr>
        <w:t> </w:t>
      </w:r>
      <w:r>
        <w:rPr/>
        <w:t>del</w:t>
      </w:r>
      <w:r>
        <w:rPr>
          <w:spacing w:val="-11"/>
        </w:rPr>
        <w:t> </w:t>
      </w:r>
      <w:r>
        <w:rPr/>
        <w:t>correspondiente</w:t>
      </w:r>
      <w:r>
        <w:rPr>
          <w:spacing w:val="-11"/>
        </w:rPr>
        <w:t> </w:t>
      </w:r>
      <w:r>
        <w:rPr/>
        <w:t>programa</w:t>
      </w:r>
      <w:r>
        <w:rPr>
          <w:spacing w:val="-10"/>
        </w:rPr>
        <w:t> </w:t>
      </w:r>
      <w:r>
        <w:rPr/>
        <w:t>metropolitano y</w:t>
      </w:r>
      <w:r>
        <w:rPr>
          <w:spacing w:val="-7"/>
        </w:rPr>
        <w:t> </w:t>
      </w:r>
      <w:r>
        <w:rPr/>
        <w:t>de</w:t>
      </w:r>
      <w:r>
        <w:rPr>
          <w:spacing w:val="-8"/>
        </w:rPr>
        <w:t> </w:t>
      </w:r>
      <w:r>
        <w:rPr/>
        <w:t>zona</w:t>
      </w:r>
      <w:r>
        <w:rPr>
          <w:spacing w:val="-8"/>
        </w:rPr>
        <w:t> </w:t>
      </w:r>
      <w:r>
        <w:rPr/>
        <w:t>conurbada,</w:t>
      </w:r>
      <w:r>
        <w:rPr>
          <w:spacing w:val="-6"/>
        </w:rPr>
        <w:t> </w:t>
      </w:r>
      <w:r>
        <w:rPr/>
        <w:t>acorde</w:t>
      </w:r>
      <w:r>
        <w:rPr>
          <w:spacing w:val="-8"/>
        </w:rPr>
        <w:t> </w:t>
      </w:r>
      <w:r>
        <w:rPr/>
        <w:t>al</w:t>
      </w:r>
      <w:r>
        <w:rPr>
          <w:spacing w:val="-9"/>
        </w:rPr>
        <w:t> </w:t>
      </w:r>
      <w:r>
        <w:rPr/>
        <w:t>contenido</w:t>
      </w:r>
      <w:r>
        <w:rPr>
          <w:spacing w:val="-8"/>
        </w:rPr>
        <w:t> </w:t>
      </w:r>
      <w:r>
        <w:rPr/>
        <w:t>señalado</w:t>
      </w:r>
      <w:r>
        <w:rPr>
          <w:spacing w:val="-6"/>
        </w:rPr>
        <w:t> </w:t>
      </w:r>
      <w:r>
        <w:rPr/>
        <w:t>en</w:t>
      </w:r>
      <w:r>
        <w:rPr>
          <w:spacing w:val="-8"/>
        </w:rPr>
        <w:t> </w:t>
      </w:r>
      <w:r>
        <w:rPr/>
        <w:t>los</w:t>
      </w:r>
      <w:r>
        <w:rPr>
          <w:spacing w:val="-7"/>
        </w:rPr>
        <w:t> </w:t>
      </w:r>
      <w:r>
        <w:rPr/>
        <w:t>artículos</w:t>
      </w:r>
      <w:r>
        <w:rPr>
          <w:spacing w:val="-7"/>
        </w:rPr>
        <w:t> </w:t>
      </w:r>
      <w:r>
        <w:rPr/>
        <w:t>68,</w:t>
      </w:r>
      <w:r>
        <w:rPr>
          <w:spacing w:val="-6"/>
        </w:rPr>
        <w:t> </w:t>
      </w:r>
      <w:r>
        <w:rPr/>
        <w:t>69</w:t>
      </w:r>
      <w:r>
        <w:rPr>
          <w:spacing w:val="-8"/>
        </w:rPr>
        <w:t> </w:t>
      </w:r>
      <w:r>
        <w:rPr/>
        <w:t>y</w:t>
      </w:r>
      <w:r>
        <w:rPr>
          <w:spacing w:val="-4"/>
        </w:rPr>
        <w:t> </w:t>
      </w:r>
      <w:r>
        <w:rPr/>
        <w:t>70</w:t>
      </w:r>
      <w:r>
        <w:rPr>
          <w:spacing w:val="-6"/>
        </w:rPr>
        <w:t> </w:t>
      </w:r>
      <w:r>
        <w:rPr/>
        <w:t>de</w:t>
      </w:r>
      <w:r>
        <w:rPr>
          <w:spacing w:val="-8"/>
        </w:rPr>
        <w:t> </w:t>
      </w:r>
      <w:r>
        <w:rPr/>
        <w:t>esta</w:t>
      </w:r>
      <w:r>
        <w:rPr>
          <w:spacing w:val="-6"/>
        </w:rPr>
        <w:t> </w:t>
      </w:r>
      <w:r>
        <w:rPr/>
        <w:t>Ley,</w:t>
      </w:r>
      <w:r>
        <w:rPr>
          <w:spacing w:val="-6"/>
        </w:rPr>
        <w:t> </w:t>
      </w:r>
      <w:r>
        <w:rPr/>
        <w:t>cuando el tema y territorio de aplicación sean prioritarios para el interés metropolitano.</w:t>
      </w:r>
    </w:p>
    <w:p>
      <w:pPr>
        <w:pStyle w:val="BodyText"/>
      </w:pPr>
    </w:p>
    <w:p>
      <w:pPr>
        <w:pStyle w:val="BodyText"/>
        <w:ind w:left="262" w:right="280"/>
        <w:jc w:val="both"/>
      </w:pPr>
      <w:r>
        <w:rPr>
          <w:rFonts w:ascii="Arial" w:hAnsi="Arial"/>
          <w:b/>
        </w:rPr>
        <w:t>ARTÍCULO</w:t>
      </w:r>
      <w:r>
        <w:rPr>
          <w:rFonts w:ascii="Arial" w:hAnsi="Arial"/>
          <w:b/>
          <w:spacing w:val="-12"/>
        </w:rPr>
        <w:t> </w:t>
      </w:r>
      <w:r>
        <w:rPr>
          <w:rFonts w:ascii="Arial" w:hAnsi="Arial"/>
          <w:b/>
        </w:rPr>
        <w:t>88.</w:t>
      </w:r>
      <w:r>
        <w:rPr>
          <w:rFonts w:ascii="Arial" w:hAnsi="Arial"/>
          <w:b/>
          <w:spacing w:val="-10"/>
        </w:rPr>
        <w:t> </w:t>
      </w:r>
      <w:r>
        <w:rPr/>
        <w:t>Una</w:t>
      </w:r>
      <w:r>
        <w:rPr>
          <w:spacing w:val="-13"/>
        </w:rPr>
        <w:t> </w:t>
      </w:r>
      <w:r>
        <w:rPr/>
        <w:t>vez</w:t>
      </w:r>
      <w:r>
        <w:rPr>
          <w:spacing w:val="-10"/>
        </w:rPr>
        <w:t> </w:t>
      </w:r>
      <w:r>
        <w:rPr/>
        <w:t>aprobados</w:t>
      </w:r>
      <w:r>
        <w:rPr>
          <w:spacing w:val="-12"/>
        </w:rPr>
        <w:t> </w:t>
      </w:r>
      <w:r>
        <w:rPr/>
        <w:t>los</w:t>
      </w:r>
      <w:r>
        <w:rPr>
          <w:spacing w:val="-12"/>
        </w:rPr>
        <w:t> </w:t>
      </w:r>
      <w:r>
        <w:rPr/>
        <w:t>programas</w:t>
      </w:r>
      <w:r>
        <w:rPr>
          <w:spacing w:val="-12"/>
        </w:rPr>
        <w:t> </w:t>
      </w:r>
      <w:r>
        <w:rPr/>
        <w:t>de</w:t>
      </w:r>
      <w:r>
        <w:rPr>
          <w:spacing w:val="-11"/>
        </w:rPr>
        <w:t> </w:t>
      </w:r>
      <w:r>
        <w:rPr/>
        <w:t>las</w:t>
      </w:r>
      <w:r>
        <w:rPr>
          <w:spacing w:val="-12"/>
        </w:rPr>
        <w:t> </w:t>
      </w:r>
      <w:r>
        <w:rPr/>
        <w:t>zonas</w:t>
      </w:r>
      <w:r>
        <w:rPr>
          <w:spacing w:val="-12"/>
        </w:rPr>
        <w:t> </w:t>
      </w:r>
      <w:r>
        <w:rPr/>
        <w:t>metropolitanas</w:t>
      </w:r>
      <w:r>
        <w:rPr>
          <w:spacing w:val="-10"/>
        </w:rPr>
        <w:t> </w:t>
      </w:r>
      <w:r>
        <w:rPr/>
        <w:t>o</w:t>
      </w:r>
      <w:r>
        <w:rPr>
          <w:spacing w:val="-11"/>
        </w:rPr>
        <w:t> </w:t>
      </w:r>
      <w:r>
        <w:rPr/>
        <w:t>conurbaciones,</w:t>
      </w:r>
      <w:r>
        <w:rPr>
          <w:spacing w:val="-11"/>
        </w:rPr>
        <w:t> </w:t>
      </w:r>
      <w:r>
        <w:rPr/>
        <w:t>los municipios tendrán el plazo de un año para expedir o adecuar sus programas de desarrollo urbano y</w:t>
      </w:r>
      <w:r>
        <w:rPr>
          <w:spacing w:val="-1"/>
        </w:rPr>
        <w:t> </w:t>
      </w:r>
      <w:r>
        <w:rPr/>
        <w:t>los</w:t>
      </w:r>
      <w:r>
        <w:rPr>
          <w:spacing w:val="-1"/>
        </w:rPr>
        <w:t> </w:t>
      </w:r>
      <w:r>
        <w:rPr/>
        <w:t>correspondientes</w:t>
      </w:r>
      <w:r>
        <w:rPr>
          <w:spacing w:val="-1"/>
        </w:rPr>
        <w:t> </w:t>
      </w:r>
      <w:r>
        <w:rPr/>
        <w:t>a</w:t>
      </w:r>
      <w:r>
        <w:rPr>
          <w:spacing w:val="-2"/>
        </w:rPr>
        <w:t> </w:t>
      </w:r>
      <w:r>
        <w:rPr/>
        <w:t>los</w:t>
      </w:r>
      <w:r>
        <w:rPr>
          <w:spacing w:val="-1"/>
        </w:rPr>
        <w:t> </w:t>
      </w:r>
      <w:r>
        <w:rPr/>
        <w:t>Centros</w:t>
      </w:r>
      <w:r>
        <w:rPr>
          <w:spacing w:val="-1"/>
        </w:rPr>
        <w:t> </w:t>
      </w:r>
      <w:r>
        <w:rPr/>
        <w:t>de</w:t>
      </w:r>
      <w:r>
        <w:rPr>
          <w:spacing w:val="-3"/>
        </w:rPr>
        <w:t> </w:t>
      </w:r>
      <w:r>
        <w:rPr/>
        <w:t>Población</w:t>
      </w:r>
      <w:r>
        <w:rPr>
          <w:spacing w:val="-3"/>
        </w:rPr>
        <w:t> </w:t>
      </w:r>
      <w:r>
        <w:rPr/>
        <w:t>involucrados,</w:t>
      </w:r>
      <w:r>
        <w:rPr>
          <w:spacing w:val="-2"/>
        </w:rPr>
        <w:t> </w:t>
      </w:r>
      <w:r>
        <w:rPr/>
        <w:t>los</w:t>
      </w:r>
      <w:r>
        <w:rPr>
          <w:spacing w:val="-1"/>
        </w:rPr>
        <w:t> </w:t>
      </w:r>
      <w:r>
        <w:rPr/>
        <w:t>cuales</w:t>
      </w:r>
      <w:r>
        <w:rPr>
          <w:spacing w:val="-1"/>
        </w:rPr>
        <w:t> </w:t>
      </w:r>
      <w:r>
        <w:rPr/>
        <w:t>deberán</w:t>
      </w:r>
      <w:r>
        <w:rPr>
          <w:spacing w:val="-3"/>
        </w:rPr>
        <w:t> </w:t>
      </w:r>
      <w:r>
        <w:rPr/>
        <w:t>tener</w:t>
      </w:r>
      <w:r>
        <w:rPr>
          <w:spacing w:val="-1"/>
        </w:rPr>
        <w:t> </w:t>
      </w:r>
      <w:r>
        <w:rPr/>
        <w:t>la debida congruencia, coordinación y ajuste con el programa de la zona metropolitana y conurbación </w:t>
      </w:r>
      <w:r>
        <w:rPr>
          <w:spacing w:val="-2"/>
        </w:rPr>
        <w:t>correspondiente.</w:t>
      </w:r>
    </w:p>
    <w:p>
      <w:pPr>
        <w:pStyle w:val="BodyText"/>
      </w:pPr>
    </w:p>
    <w:p>
      <w:pPr>
        <w:pStyle w:val="BodyText"/>
        <w:spacing w:before="1"/>
      </w:pPr>
    </w:p>
    <w:p>
      <w:pPr>
        <w:pStyle w:val="Heading2"/>
        <w:ind w:right="15"/>
      </w:pPr>
      <w:r>
        <w:rPr/>
        <w:t>Capítulo</w:t>
      </w:r>
      <w:r>
        <w:rPr>
          <w:spacing w:val="-8"/>
        </w:rPr>
        <w:t> </w:t>
      </w:r>
      <w:r>
        <w:rPr>
          <w:spacing w:val="-5"/>
        </w:rPr>
        <w:t>IV</w:t>
      </w:r>
    </w:p>
    <w:p>
      <w:pPr>
        <w:spacing w:before="228"/>
        <w:ind w:left="1219" w:right="0" w:firstLine="0"/>
        <w:jc w:val="left"/>
        <w:rPr>
          <w:rFonts w:ascii="Arial"/>
          <w:b/>
          <w:sz w:val="20"/>
        </w:rPr>
      </w:pPr>
      <w:r>
        <w:rPr>
          <w:rFonts w:ascii="Arial"/>
          <w:b/>
          <w:sz w:val="20"/>
        </w:rPr>
        <w:t>Programas</w:t>
      </w:r>
      <w:r>
        <w:rPr>
          <w:rFonts w:ascii="Arial"/>
          <w:b/>
          <w:spacing w:val="-9"/>
          <w:sz w:val="20"/>
        </w:rPr>
        <w:t> </w:t>
      </w:r>
      <w:r>
        <w:rPr>
          <w:rFonts w:ascii="Arial"/>
          <w:b/>
          <w:sz w:val="20"/>
        </w:rPr>
        <w:t>Municipales</w:t>
      </w:r>
      <w:r>
        <w:rPr>
          <w:rFonts w:ascii="Arial"/>
          <w:b/>
          <w:spacing w:val="-10"/>
          <w:sz w:val="20"/>
        </w:rPr>
        <w:t> </w:t>
      </w:r>
      <w:r>
        <w:rPr>
          <w:rFonts w:ascii="Arial"/>
          <w:b/>
          <w:sz w:val="20"/>
        </w:rPr>
        <w:t>de</w:t>
      </w:r>
      <w:r>
        <w:rPr>
          <w:rFonts w:ascii="Arial"/>
          <w:b/>
          <w:spacing w:val="-10"/>
          <w:sz w:val="20"/>
        </w:rPr>
        <w:t> </w:t>
      </w:r>
      <w:r>
        <w:rPr>
          <w:rFonts w:ascii="Arial"/>
          <w:b/>
          <w:sz w:val="20"/>
        </w:rPr>
        <w:t>Ordenamiento</w:t>
      </w:r>
      <w:r>
        <w:rPr>
          <w:rFonts w:ascii="Arial"/>
          <w:b/>
          <w:spacing w:val="-9"/>
          <w:sz w:val="20"/>
        </w:rPr>
        <w:t> </w:t>
      </w:r>
      <w:r>
        <w:rPr>
          <w:rFonts w:ascii="Arial"/>
          <w:b/>
          <w:sz w:val="20"/>
        </w:rPr>
        <w:t>Territorial</w:t>
      </w:r>
      <w:r>
        <w:rPr>
          <w:rFonts w:ascii="Arial"/>
          <w:b/>
          <w:spacing w:val="-10"/>
          <w:sz w:val="20"/>
        </w:rPr>
        <w:t> </w:t>
      </w:r>
      <w:r>
        <w:rPr>
          <w:rFonts w:ascii="Arial"/>
          <w:b/>
          <w:sz w:val="20"/>
        </w:rPr>
        <w:t>y</w:t>
      </w:r>
      <w:r>
        <w:rPr>
          <w:rFonts w:ascii="Arial"/>
          <w:b/>
          <w:spacing w:val="-11"/>
          <w:sz w:val="20"/>
        </w:rPr>
        <w:t> </w:t>
      </w:r>
      <w:r>
        <w:rPr>
          <w:rFonts w:ascii="Arial"/>
          <w:b/>
          <w:sz w:val="20"/>
        </w:rPr>
        <w:t>Desarrollo</w:t>
      </w:r>
      <w:r>
        <w:rPr>
          <w:rFonts w:ascii="Arial"/>
          <w:b/>
          <w:spacing w:val="-10"/>
          <w:sz w:val="20"/>
        </w:rPr>
        <w:t> </w:t>
      </w:r>
      <w:r>
        <w:rPr>
          <w:rFonts w:ascii="Arial"/>
          <w:b/>
          <w:spacing w:val="-2"/>
          <w:sz w:val="20"/>
        </w:rPr>
        <w:t>Urbano</w:t>
      </w:r>
    </w:p>
    <w:p>
      <w:pPr>
        <w:pStyle w:val="BodyText"/>
        <w:spacing w:before="1"/>
        <w:rPr>
          <w:rFonts w:ascii="Arial"/>
          <w:b/>
        </w:rPr>
      </w:pPr>
    </w:p>
    <w:p>
      <w:pPr>
        <w:pStyle w:val="BodyText"/>
        <w:ind w:left="262" w:right="279"/>
        <w:jc w:val="both"/>
      </w:pPr>
      <w:r>
        <w:rPr>
          <w:rFonts w:ascii="Arial" w:hAnsi="Arial"/>
          <w:b/>
        </w:rPr>
        <w:t>ARTÍCULO 89. </w:t>
      </w:r>
      <w:r>
        <w:rPr/>
        <w:t>Los programas municipales de ordenamiento territorial y desarrollo urbano, serán aprobados, ejecutados, controlados, evaluados y modificados por las autoridades municipales, con las formalidades previstas en esta Ley, y en congruencia con las normas oficiales mexicanas en la </w:t>
      </w:r>
      <w:r>
        <w:rPr>
          <w:spacing w:val="-2"/>
        </w:rPr>
        <w:t>materia.</w:t>
      </w:r>
    </w:p>
    <w:p>
      <w:pPr>
        <w:pStyle w:val="BodyText"/>
      </w:pPr>
    </w:p>
    <w:p>
      <w:pPr>
        <w:pStyle w:val="BodyText"/>
        <w:ind w:left="262" w:right="287"/>
        <w:jc w:val="both"/>
      </w:pPr>
      <w:r>
        <w:rPr/>
        <w:t>Las autoridades públicas encargadas de la ejecución de los programas referidos en este artículo tienen la obligación de facilitar su consulta pública de forma física en sus oficinas y de forma electrónica, a través de sus sitios web, en términos de la legislación en materia de transparencia.</w:t>
      </w:r>
    </w:p>
    <w:p>
      <w:pPr>
        <w:pStyle w:val="BodyText"/>
        <w:spacing w:before="230"/>
        <w:ind w:left="262" w:right="285"/>
        <w:jc w:val="both"/>
      </w:pPr>
      <w:r>
        <w:rPr>
          <w:rFonts w:ascii="Arial" w:hAnsi="Arial"/>
          <w:b/>
        </w:rPr>
        <w:t>ARTÍCULO 90. </w:t>
      </w:r>
      <w:r>
        <w:rPr/>
        <w:t>Los programas municipales de Ordenamiento Territorial y Desarrollo Urbano señalarán las acciones específicas necesarias para el impulso, control, consolidación y arraigo de los Centros de Población, asimismo establecerán la zonificación correspondiente.</w:t>
      </w:r>
    </w:p>
    <w:p>
      <w:pPr>
        <w:pStyle w:val="BodyText"/>
        <w:spacing w:before="1"/>
      </w:pPr>
    </w:p>
    <w:p>
      <w:pPr>
        <w:spacing w:before="0"/>
        <w:ind w:left="262" w:right="0" w:firstLine="0"/>
        <w:jc w:val="both"/>
        <w:rPr>
          <w:rFonts w:ascii="Arial"/>
          <w:b/>
          <w:i/>
          <w:sz w:val="20"/>
        </w:rPr>
      </w:pPr>
      <w:r>
        <w:rPr>
          <w:rFonts w:ascii="Arial"/>
          <w:b/>
          <w:i/>
          <w:sz w:val="20"/>
        </w:rPr>
        <w:t>(REFORMADO</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6"/>
          <w:sz w:val="20"/>
        </w:rPr>
        <w:t> </w:t>
      </w:r>
      <w:r>
        <w:rPr>
          <w:rFonts w:ascii="Arial"/>
          <w:b/>
          <w:i/>
          <w:sz w:val="20"/>
        </w:rPr>
        <w:t>22</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6"/>
          <w:sz w:val="20"/>
        </w:rPr>
        <w:t> </w:t>
      </w:r>
      <w:r>
        <w:rPr>
          <w:rFonts w:ascii="Arial"/>
          <w:b/>
          <w:i/>
          <w:sz w:val="20"/>
        </w:rPr>
        <w:t>DE</w:t>
      </w:r>
      <w:r>
        <w:rPr>
          <w:rFonts w:ascii="Arial"/>
          <w:b/>
          <w:i/>
          <w:spacing w:val="-4"/>
          <w:sz w:val="20"/>
        </w:rPr>
        <w:t> 2026)</w:t>
      </w:r>
    </w:p>
    <w:p>
      <w:pPr>
        <w:pStyle w:val="Heading2"/>
        <w:spacing w:before="1"/>
        <w:ind w:left="262" w:right="283"/>
        <w:jc w:val="both"/>
      </w:pPr>
      <w:r>
        <w:rPr/>
        <w:t>Igualmente deberán especificar los mecanismos que permitan la instrumentación de sus principales proyectos, tales como constitución de reservas territoriales, creación de infraestructura, equipamiento, servicios, suelo servido, vivienda adecuada, espacios públicos, entre otros.</w:t>
      </w:r>
    </w:p>
    <w:p>
      <w:pPr>
        <w:pStyle w:val="BodyText"/>
        <w:spacing w:before="229"/>
        <w:ind w:left="262" w:right="284"/>
        <w:jc w:val="both"/>
      </w:pPr>
      <w:r>
        <w:rPr/>
        <w:t>En caso de que el ayuntamiento expida el Programa de Desarrollo Urbano del centro de población respectivo,</w:t>
      </w:r>
      <w:r>
        <w:rPr>
          <w:spacing w:val="-5"/>
        </w:rPr>
        <w:t> </w:t>
      </w:r>
      <w:r>
        <w:rPr/>
        <w:t>dichas</w:t>
      </w:r>
      <w:r>
        <w:rPr>
          <w:spacing w:val="-6"/>
        </w:rPr>
        <w:t> </w:t>
      </w:r>
      <w:r>
        <w:rPr/>
        <w:t>acciones</w:t>
      </w:r>
      <w:r>
        <w:rPr>
          <w:spacing w:val="-4"/>
        </w:rPr>
        <w:t> </w:t>
      </w:r>
      <w:r>
        <w:rPr/>
        <w:t>específicas</w:t>
      </w:r>
      <w:r>
        <w:rPr>
          <w:spacing w:val="-6"/>
        </w:rPr>
        <w:t> </w:t>
      </w:r>
      <w:r>
        <w:rPr/>
        <w:t>y</w:t>
      </w:r>
      <w:r>
        <w:rPr>
          <w:spacing w:val="-4"/>
        </w:rPr>
        <w:t> </w:t>
      </w:r>
      <w:r>
        <w:rPr/>
        <w:t>la</w:t>
      </w:r>
      <w:r>
        <w:rPr>
          <w:spacing w:val="-7"/>
        </w:rPr>
        <w:t> </w:t>
      </w:r>
      <w:r>
        <w:rPr/>
        <w:t>Zonificación</w:t>
      </w:r>
      <w:r>
        <w:rPr>
          <w:spacing w:val="-7"/>
        </w:rPr>
        <w:t> </w:t>
      </w:r>
      <w:r>
        <w:rPr/>
        <w:t>aplicable</w:t>
      </w:r>
      <w:r>
        <w:rPr>
          <w:spacing w:val="-7"/>
        </w:rPr>
        <w:t> </w:t>
      </w:r>
      <w:r>
        <w:rPr/>
        <w:t>se</w:t>
      </w:r>
      <w:r>
        <w:rPr>
          <w:spacing w:val="-6"/>
        </w:rPr>
        <w:t> </w:t>
      </w:r>
      <w:r>
        <w:rPr/>
        <w:t>contendrán</w:t>
      </w:r>
      <w:r>
        <w:rPr>
          <w:spacing w:val="-5"/>
        </w:rPr>
        <w:t> </w:t>
      </w:r>
      <w:r>
        <w:rPr/>
        <w:t>en</w:t>
      </w:r>
      <w:r>
        <w:rPr>
          <w:spacing w:val="-7"/>
        </w:rPr>
        <w:t> </w:t>
      </w:r>
      <w:r>
        <w:rPr/>
        <w:t>este</w:t>
      </w:r>
      <w:r>
        <w:rPr>
          <w:spacing w:val="-6"/>
        </w:rPr>
        <w:t> </w:t>
      </w:r>
      <w:r>
        <w:rPr/>
        <w:t>programa.</w:t>
      </w:r>
    </w:p>
    <w:p>
      <w:pPr>
        <w:pStyle w:val="BodyText"/>
      </w:pPr>
    </w:p>
    <w:p>
      <w:pPr>
        <w:pStyle w:val="BodyText"/>
        <w:ind w:left="262" w:right="284"/>
        <w:jc w:val="both"/>
      </w:pPr>
      <w:r>
        <w:rPr>
          <w:rFonts w:ascii="Arial" w:hAnsi="Arial"/>
          <w:b/>
        </w:rPr>
        <w:t>ARTÍCULO 91. </w:t>
      </w:r>
      <w:r>
        <w:rPr/>
        <w:t>Los programas municipales de ordenamiento territorial y desarrollo urbano contendrán</w:t>
      </w:r>
      <w:r>
        <w:rPr>
          <w:spacing w:val="-9"/>
        </w:rPr>
        <w:t> </w:t>
      </w:r>
      <w:r>
        <w:rPr/>
        <w:t>los</w:t>
      </w:r>
      <w:r>
        <w:rPr>
          <w:spacing w:val="-8"/>
        </w:rPr>
        <w:t> </w:t>
      </w:r>
      <w:r>
        <w:rPr/>
        <w:t>elementos</w:t>
      </w:r>
      <w:r>
        <w:rPr>
          <w:spacing w:val="-8"/>
        </w:rPr>
        <w:t> </w:t>
      </w:r>
      <w:r>
        <w:rPr/>
        <w:t>básicos</w:t>
      </w:r>
      <w:r>
        <w:rPr>
          <w:spacing w:val="-8"/>
        </w:rPr>
        <w:t> </w:t>
      </w:r>
      <w:r>
        <w:rPr/>
        <w:t>a</w:t>
      </w:r>
      <w:r>
        <w:rPr>
          <w:spacing w:val="-9"/>
        </w:rPr>
        <w:t> </w:t>
      </w:r>
      <w:r>
        <w:rPr/>
        <w:t>que</w:t>
      </w:r>
      <w:r>
        <w:rPr>
          <w:spacing w:val="-9"/>
        </w:rPr>
        <w:t> </w:t>
      </w:r>
      <w:r>
        <w:rPr/>
        <w:t>se</w:t>
      </w:r>
      <w:r>
        <w:rPr>
          <w:spacing w:val="-9"/>
        </w:rPr>
        <w:t> </w:t>
      </w:r>
      <w:r>
        <w:rPr/>
        <w:t>refiere</w:t>
      </w:r>
      <w:r>
        <w:rPr>
          <w:spacing w:val="-8"/>
        </w:rPr>
        <w:t> </w:t>
      </w:r>
      <w:r>
        <w:rPr/>
        <w:t>el</w:t>
      </w:r>
      <w:r>
        <w:rPr>
          <w:spacing w:val="-10"/>
        </w:rPr>
        <w:t> </w:t>
      </w:r>
      <w:r>
        <w:rPr/>
        <w:t>artículo</w:t>
      </w:r>
      <w:r>
        <w:rPr>
          <w:spacing w:val="-9"/>
        </w:rPr>
        <w:t> </w:t>
      </w:r>
      <w:r>
        <w:rPr/>
        <w:t>68</w:t>
      </w:r>
      <w:r>
        <w:rPr>
          <w:spacing w:val="-9"/>
        </w:rPr>
        <w:t> </w:t>
      </w:r>
      <w:r>
        <w:rPr/>
        <w:t>de</w:t>
      </w:r>
      <w:r>
        <w:rPr>
          <w:spacing w:val="-9"/>
        </w:rPr>
        <w:t> </w:t>
      </w:r>
      <w:r>
        <w:rPr/>
        <w:t>esta</w:t>
      </w:r>
      <w:r>
        <w:rPr>
          <w:spacing w:val="-7"/>
        </w:rPr>
        <w:t> </w:t>
      </w:r>
      <w:r>
        <w:rPr/>
        <w:t>Ley,</w:t>
      </w:r>
      <w:r>
        <w:rPr>
          <w:spacing w:val="-9"/>
        </w:rPr>
        <w:t> </w:t>
      </w:r>
      <w:r>
        <w:rPr/>
        <w:t>y</w:t>
      </w:r>
      <w:r>
        <w:rPr>
          <w:spacing w:val="-8"/>
        </w:rPr>
        <w:t> </w:t>
      </w:r>
      <w:r>
        <w:rPr/>
        <w:t>además,</w:t>
      </w:r>
      <w:r>
        <w:rPr>
          <w:spacing w:val="-9"/>
        </w:rPr>
        <w:t> </w:t>
      </w:r>
      <w:r>
        <w:rPr/>
        <w:t>lo</w:t>
      </w:r>
      <w:r>
        <w:rPr>
          <w:spacing w:val="-9"/>
        </w:rPr>
        <w:t> </w:t>
      </w:r>
      <w:r>
        <w:rPr/>
        <w:t>siguiente:</w:t>
      </w:r>
    </w:p>
    <w:p>
      <w:pPr>
        <w:pStyle w:val="BodyText"/>
        <w:spacing w:before="1"/>
      </w:pPr>
    </w:p>
    <w:p>
      <w:pPr>
        <w:pStyle w:val="ListParagraph"/>
        <w:numPr>
          <w:ilvl w:val="0"/>
          <w:numId w:val="43"/>
        </w:numPr>
        <w:tabs>
          <w:tab w:pos="543" w:val="left" w:leader="none"/>
        </w:tabs>
        <w:spacing w:line="240" w:lineRule="auto" w:before="0" w:after="0"/>
        <w:ind w:left="262" w:right="287" w:firstLine="0"/>
        <w:jc w:val="both"/>
        <w:rPr>
          <w:sz w:val="20"/>
        </w:rPr>
      </w:pPr>
      <w:r>
        <w:rPr>
          <w:sz w:val="20"/>
        </w:rPr>
        <w:t>Los lineamientos generales de</w:t>
      </w:r>
      <w:r>
        <w:rPr>
          <w:spacing w:val="-1"/>
          <w:sz w:val="20"/>
        </w:rPr>
        <w:t> </w:t>
      </w:r>
      <w:r>
        <w:rPr>
          <w:sz w:val="20"/>
        </w:rPr>
        <w:t>articulación</w:t>
      </w:r>
      <w:r>
        <w:rPr>
          <w:spacing w:val="-1"/>
          <w:sz w:val="20"/>
        </w:rPr>
        <w:t> </w:t>
      </w:r>
      <w:r>
        <w:rPr>
          <w:sz w:val="20"/>
        </w:rPr>
        <w:t>y congruencia</w:t>
      </w:r>
      <w:r>
        <w:rPr>
          <w:spacing w:val="-1"/>
          <w:sz w:val="20"/>
        </w:rPr>
        <w:t> </w:t>
      </w:r>
      <w:r>
        <w:rPr>
          <w:sz w:val="20"/>
        </w:rPr>
        <w:t>con</w:t>
      </w:r>
      <w:r>
        <w:rPr>
          <w:spacing w:val="-1"/>
          <w:sz w:val="20"/>
        </w:rPr>
        <w:t> </w:t>
      </w:r>
      <w:r>
        <w:rPr>
          <w:sz w:val="20"/>
        </w:rPr>
        <w:t>la estrategia</w:t>
      </w:r>
      <w:r>
        <w:rPr>
          <w:spacing w:val="-1"/>
          <w:sz w:val="20"/>
        </w:rPr>
        <w:t> </w:t>
      </w:r>
      <w:r>
        <w:rPr>
          <w:sz w:val="20"/>
        </w:rPr>
        <w:t>nacional</w:t>
      </w:r>
      <w:r>
        <w:rPr>
          <w:spacing w:val="-2"/>
          <w:sz w:val="20"/>
        </w:rPr>
        <w:t> </w:t>
      </w:r>
      <w:r>
        <w:rPr>
          <w:sz w:val="20"/>
        </w:rPr>
        <w:t>y estatal</w:t>
      </w:r>
      <w:r>
        <w:rPr>
          <w:spacing w:val="-1"/>
          <w:sz w:val="20"/>
        </w:rPr>
        <w:t> </w:t>
      </w:r>
      <w:r>
        <w:rPr>
          <w:sz w:val="20"/>
        </w:rPr>
        <w:t>de ordenamiento territorial, y con el programa nacional, estatal y municipal de desarrollo;</w:t>
      </w:r>
    </w:p>
    <w:p>
      <w:pPr>
        <w:pStyle w:val="ListParagraph"/>
        <w:numPr>
          <w:ilvl w:val="0"/>
          <w:numId w:val="43"/>
        </w:numPr>
        <w:tabs>
          <w:tab w:pos="543" w:val="left" w:leader="none"/>
        </w:tabs>
        <w:spacing w:line="240" w:lineRule="auto" w:before="229" w:after="0"/>
        <w:ind w:left="262" w:right="287" w:firstLine="0"/>
        <w:jc w:val="both"/>
        <w:rPr>
          <w:sz w:val="20"/>
        </w:rPr>
      </w:pPr>
      <w:r>
        <w:rPr>
          <w:sz w:val="20"/>
        </w:rPr>
        <w:t>El análisis y congruencia territorial con los programas nacional y estatal de ordenamiento territorial y desarrollo urbano, los programas de ordenamiento ecológico, de prevención de riesgos y de otros programas sectoriales que incidan en su ámbito territorial estatal;</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43"/>
        </w:numPr>
        <w:tabs>
          <w:tab w:pos="597" w:val="left" w:leader="none"/>
        </w:tabs>
        <w:spacing w:line="240" w:lineRule="auto" w:before="0" w:after="0"/>
        <w:ind w:left="262" w:right="287" w:firstLine="0"/>
        <w:jc w:val="both"/>
        <w:rPr>
          <w:sz w:val="20"/>
        </w:rPr>
      </w:pPr>
      <w:r>
        <w:rPr>
          <w:sz w:val="20"/>
        </w:rPr>
        <w:t>El marco general de leyes, reglamentos y normas y los programas territoriales de ámbitos territoriales más amplios o que se inscriben en el programa en formulación;</w:t>
      </w:r>
    </w:p>
    <w:p>
      <w:pPr>
        <w:pStyle w:val="BodyText"/>
        <w:spacing w:before="1"/>
      </w:pPr>
    </w:p>
    <w:p>
      <w:pPr>
        <w:pStyle w:val="ListParagraph"/>
        <w:numPr>
          <w:ilvl w:val="0"/>
          <w:numId w:val="43"/>
        </w:numPr>
        <w:tabs>
          <w:tab w:pos="688" w:val="left" w:leader="none"/>
        </w:tabs>
        <w:spacing w:line="240" w:lineRule="auto" w:before="1" w:after="0"/>
        <w:ind w:left="688" w:right="0" w:hanging="426"/>
        <w:jc w:val="both"/>
        <w:rPr>
          <w:sz w:val="20"/>
        </w:rPr>
      </w:pPr>
      <w:r>
        <w:rPr>
          <w:sz w:val="20"/>
        </w:rPr>
        <w:t>La</w:t>
      </w:r>
      <w:r>
        <w:rPr>
          <w:spacing w:val="-9"/>
          <w:sz w:val="20"/>
        </w:rPr>
        <w:t> </w:t>
      </w:r>
      <w:r>
        <w:rPr>
          <w:sz w:val="20"/>
        </w:rPr>
        <w:t>descripción</w:t>
      </w:r>
      <w:r>
        <w:rPr>
          <w:spacing w:val="-7"/>
          <w:sz w:val="20"/>
        </w:rPr>
        <w:t> </w:t>
      </w:r>
      <w:r>
        <w:rPr>
          <w:sz w:val="20"/>
        </w:rPr>
        <w:t>y</w:t>
      </w:r>
      <w:r>
        <w:rPr>
          <w:spacing w:val="-7"/>
          <w:sz w:val="20"/>
        </w:rPr>
        <w:t> </w:t>
      </w:r>
      <w:r>
        <w:rPr>
          <w:sz w:val="20"/>
        </w:rPr>
        <w:t>análisis</w:t>
      </w:r>
      <w:r>
        <w:rPr>
          <w:spacing w:val="-7"/>
          <w:sz w:val="20"/>
        </w:rPr>
        <w:t> </w:t>
      </w:r>
      <w:r>
        <w:rPr>
          <w:sz w:val="20"/>
        </w:rPr>
        <w:t>actualizado</w:t>
      </w:r>
      <w:r>
        <w:rPr>
          <w:spacing w:val="-8"/>
          <w:sz w:val="20"/>
        </w:rPr>
        <w:t> </w:t>
      </w:r>
      <w:r>
        <w:rPr>
          <w:sz w:val="20"/>
        </w:rPr>
        <w:t>del</w:t>
      </w:r>
      <w:r>
        <w:rPr>
          <w:spacing w:val="-9"/>
          <w:sz w:val="20"/>
        </w:rPr>
        <w:t> </w:t>
      </w:r>
      <w:r>
        <w:rPr>
          <w:sz w:val="20"/>
        </w:rPr>
        <w:t>estado</w:t>
      </w:r>
      <w:r>
        <w:rPr>
          <w:spacing w:val="-6"/>
          <w:sz w:val="20"/>
        </w:rPr>
        <w:t> </w:t>
      </w:r>
      <w:r>
        <w:rPr>
          <w:sz w:val="20"/>
        </w:rPr>
        <w:t>y</w:t>
      </w:r>
      <w:r>
        <w:rPr>
          <w:spacing w:val="-7"/>
          <w:sz w:val="20"/>
        </w:rPr>
        <w:t> </w:t>
      </w:r>
      <w:r>
        <w:rPr>
          <w:sz w:val="20"/>
        </w:rPr>
        <w:t>tendencias</w:t>
      </w:r>
      <w:r>
        <w:rPr>
          <w:spacing w:val="-7"/>
          <w:sz w:val="20"/>
        </w:rPr>
        <w:t> </w:t>
      </w:r>
      <w:r>
        <w:rPr>
          <w:spacing w:val="-5"/>
          <w:sz w:val="20"/>
        </w:rPr>
        <w:t>de:</w:t>
      </w:r>
    </w:p>
    <w:p>
      <w:pPr>
        <w:pStyle w:val="ListParagraph"/>
        <w:numPr>
          <w:ilvl w:val="1"/>
          <w:numId w:val="43"/>
        </w:numPr>
        <w:tabs>
          <w:tab w:pos="687" w:val="left" w:leader="none"/>
        </w:tabs>
        <w:spacing w:line="240" w:lineRule="auto" w:before="228" w:after="0"/>
        <w:ind w:left="262" w:right="285" w:firstLine="0"/>
        <w:jc w:val="both"/>
        <w:rPr>
          <w:sz w:val="20"/>
        </w:rPr>
      </w:pPr>
      <w:r>
        <w:rPr>
          <w:sz w:val="20"/>
        </w:rPr>
        <w:t>La</w:t>
      </w:r>
      <w:r>
        <w:rPr>
          <w:spacing w:val="-14"/>
          <w:sz w:val="20"/>
        </w:rPr>
        <w:t> </w:t>
      </w:r>
      <w:r>
        <w:rPr>
          <w:sz w:val="20"/>
        </w:rPr>
        <w:t>vinculación</w:t>
      </w:r>
      <w:r>
        <w:rPr>
          <w:spacing w:val="-14"/>
          <w:sz w:val="20"/>
        </w:rPr>
        <w:t> </w:t>
      </w:r>
      <w:r>
        <w:rPr>
          <w:sz w:val="20"/>
        </w:rPr>
        <w:t>económica,</w:t>
      </w:r>
      <w:r>
        <w:rPr>
          <w:spacing w:val="-14"/>
          <w:sz w:val="20"/>
        </w:rPr>
        <w:t> </w:t>
      </w:r>
      <w:r>
        <w:rPr>
          <w:sz w:val="20"/>
        </w:rPr>
        <w:t>social</w:t>
      </w:r>
      <w:r>
        <w:rPr>
          <w:spacing w:val="-14"/>
          <w:sz w:val="20"/>
        </w:rPr>
        <w:t> </w:t>
      </w:r>
      <w:r>
        <w:rPr>
          <w:sz w:val="20"/>
        </w:rPr>
        <w:t>ecológica</w:t>
      </w:r>
      <w:r>
        <w:rPr>
          <w:spacing w:val="-14"/>
          <w:sz w:val="20"/>
        </w:rPr>
        <w:t> </w:t>
      </w:r>
      <w:r>
        <w:rPr>
          <w:sz w:val="20"/>
        </w:rPr>
        <w:t>y</w:t>
      </w:r>
      <w:r>
        <w:rPr>
          <w:spacing w:val="-14"/>
          <w:sz w:val="20"/>
        </w:rPr>
        <w:t> </w:t>
      </w:r>
      <w:r>
        <w:rPr>
          <w:sz w:val="20"/>
        </w:rPr>
        <w:t>urbana</w:t>
      </w:r>
      <w:r>
        <w:rPr>
          <w:spacing w:val="-14"/>
          <w:sz w:val="20"/>
        </w:rPr>
        <w:t> </w:t>
      </w:r>
      <w:r>
        <w:rPr>
          <w:sz w:val="20"/>
        </w:rPr>
        <w:t>del</w:t>
      </w:r>
      <w:r>
        <w:rPr>
          <w:spacing w:val="-14"/>
          <w:sz w:val="20"/>
        </w:rPr>
        <w:t> </w:t>
      </w:r>
      <w:r>
        <w:rPr>
          <w:sz w:val="20"/>
        </w:rPr>
        <w:t>municipio</w:t>
      </w:r>
      <w:r>
        <w:rPr>
          <w:spacing w:val="-14"/>
          <w:sz w:val="20"/>
        </w:rPr>
        <w:t> </w:t>
      </w:r>
      <w:r>
        <w:rPr>
          <w:sz w:val="20"/>
        </w:rPr>
        <w:t>con</w:t>
      </w:r>
      <w:r>
        <w:rPr>
          <w:spacing w:val="-13"/>
          <w:sz w:val="20"/>
        </w:rPr>
        <w:t> </w:t>
      </w:r>
      <w:r>
        <w:rPr>
          <w:sz w:val="20"/>
        </w:rPr>
        <w:t>el</w:t>
      </w:r>
      <w:r>
        <w:rPr>
          <w:spacing w:val="-14"/>
          <w:sz w:val="20"/>
        </w:rPr>
        <w:t> </w:t>
      </w:r>
      <w:r>
        <w:rPr>
          <w:sz w:val="20"/>
        </w:rPr>
        <w:t>resto</w:t>
      </w:r>
      <w:r>
        <w:rPr>
          <w:spacing w:val="-14"/>
          <w:sz w:val="20"/>
        </w:rPr>
        <w:t> </w:t>
      </w:r>
      <w:r>
        <w:rPr>
          <w:sz w:val="20"/>
        </w:rPr>
        <w:t>de</w:t>
      </w:r>
      <w:r>
        <w:rPr>
          <w:spacing w:val="-14"/>
          <w:sz w:val="20"/>
        </w:rPr>
        <w:t> </w:t>
      </w:r>
      <w:r>
        <w:rPr>
          <w:sz w:val="20"/>
        </w:rPr>
        <w:t>los</w:t>
      </w:r>
      <w:r>
        <w:rPr>
          <w:spacing w:val="-14"/>
          <w:sz w:val="20"/>
        </w:rPr>
        <w:t> </w:t>
      </w:r>
      <w:r>
        <w:rPr>
          <w:sz w:val="20"/>
        </w:rPr>
        <w:t>municipios de</w:t>
      </w:r>
      <w:r>
        <w:rPr>
          <w:spacing w:val="-2"/>
          <w:sz w:val="20"/>
        </w:rPr>
        <w:t> </w:t>
      </w:r>
      <w:r>
        <w:rPr>
          <w:sz w:val="20"/>
        </w:rPr>
        <w:t>la</w:t>
      </w:r>
      <w:r>
        <w:rPr>
          <w:spacing w:val="-1"/>
          <w:sz w:val="20"/>
        </w:rPr>
        <w:t> </w:t>
      </w:r>
      <w:r>
        <w:rPr>
          <w:sz w:val="20"/>
        </w:rPr>
        <w:t>micro</w:t>
      </w:r>
      <w:r>
        <w:rPr>
          <w:spacing w:val="-1"/>
          <w:sz w:val="20"/>
        </w:rPr>
        <w:t> </w:t>
      </w:r>
      <w:r>
        <w:rPr>
          <w:sz w:val="20"/>
        </w:rPr>
        <w:t>región a la</w:t>
      </w:r>
      <w:r>
        <w:rPr>
          <w:spacing w:val="-1"/>
          <w:sz w:val="20"/>
        </w:rPr>
        <w:t> </w:t>
      </w:r>
      <w:r>
        <w:rPr>
          <w:sz w:val="20"/>
        </w:rPr>
        <w:t>que pertenece,</w:t>
      </w:r>
      <w:r>
        <w:rPr>
          <w:spacing w:val="-1"/>
          <w:sz w:val="20"/>
        </w:rPr>
        <w:t> </w:t>
      </w:r>
      <w:r>
        <w:rPr>
          <w:sz w:val="20"/>
        </w:rPr>
        <w:t>y su</w:t>
      </w:r>
      <w:r>
        <w:rPr>
          <w:spacing w:val="-1"/>
          <w:sz w:val="20"/>
        </w:rPr>
        <w:t> </w:t>
      </w:r>
      <w:r>
        <w:rPr>
          <w:sz w:val="20"/>
        </w:rPr>
        <w:t>participación</w:t>
      </w:r>
      <w:r>
        <w:rPr>
          <w:spacing w:val="-1"/>
          <w:sz w:val="20"/>
        </w:rPr>
        <w:t> </w:t>
      </w:r>
      <w:r>
        <w:rPr>
          <w:sz w:val="20"/>
        </w:rPr>
        <w:t>en el</w:t>
      </w:r>
      <w:r>
        <w:rPr>
          <w:spacing w:val="-2"/>
          <w:sz w:val="20"/>
        </w:rPr>
        <w:t> </w:t>
      </w:r>
      <w:r>
        <w:rPr>
          <w:sz w:val="20"/>
        </w:rPr>
        <w:t>contexto Estatal y el sistema urbano.</w:t>
      </w:r>
    </w:p>
    <w:p>
      <w:pPr>
        <w:pStyle w:val="BodyText"/>
        <w:spacing w:before="1"/>
      </w:pPr>
    </w:p>
    <w:p>
      <w:pPr>
        <w:pStyle w:val="ListParagraph"/>
        <w:numPr>
          <w:ilvl w:val="1"/>
          <w:numId w:val="43"/>
        </w:numPr>
        <w:tabs>
          <w:tab w:pos="544" w:val="left" w:leader="none"/>
        </w:tabs>
        <w:spacing w:line="240" w:lineRule="auto" w:before="0" w:after="0"/>
        <w:ind w:left="262" w:right="288" w:firstLine="0"/>
        <w:jc w:val="both"/>
        <w:rPr>
          <w:sz w:val="20"/>
        </w:rPr>
      </w:pPr>
      <w:r>
        <w:rPr>
          <w:sz w:val="20"/>
        </w:rPr>
        <w:t>El medio físico, recursos naturales, las áreas naturales de valor ambiental y usos de suelo del territorio municipal.</w:t>
      </w:r>
    </w:p>
    <w:p>
      <w:pPr>
        <w:pStyle w:val="BodyText"/>
      </w:pPr>
    </w:p>
    <w:p>
      <w:pPr>
        <w:pStyle w:val="ListParagraph"/>
        <w:numPr>
          <w:ilvl w:val="1"/>
          <w:numId w:val="43"/>
        </w:numPr>
        <w:tabs>
          <w:tab w:pos="544" w:val="left" w:leader="none"/>
        </w:tabs>
        <w:spacing w:line="240" w:lineRule="auto" w:before="0" w:after="0"/>
        <w:ind w:left="544" w:right="0" w:hanging="282"/>
        <w:jc w:val="both"/>
        <w:rPr>
          <w:sz w:val="20"/>
        </w:rPr>
      </w:pPr>
      <w:r>
        <w:rPr>
          <w:sz w:val="20"/>
        </w:rPr>
        <w:t>La</w:t>
      </w:r>
      <w:r>
        <w:rPr>
          <w:spacing w:val="-7"/>
          <w:sz w:val="20"/>
        </w:rPr>
        <w:t> </w:t>
      </w:r>
      <w:r>
        <w:rPr>
          <w:sz w:val="20"/>
        </w:rPr>
        <w:t>definición</w:t>
      </w:r>
      <w:r>
        <w:rPr>
          <w:spacing w:val="-7"/>
          <w:sz w:val="20"/>
        </w:rPr>
        <w:t> </w:t>
      </w:r>
      <w:r>
        <w:rPr>
          <w:sz w:val="20"/>
        </w:rPr>
        <w:t>de</w:t>
      </w:r>
      <w:r>
        <w:rPr>
          <w:spacing w:val="-6"/>
          <w:sz w:val="20"/>
        </w:rPr>
        <w:t> </w:t>
      </w:r>
      <w:r>
        <w:rPr>
          <w:sz w:val="20"/>
        </w:rPr>
        <w:t>la</w:t>
      </w:r>
      <w:r>
        <w:rPr>
          <w:spacing w:val="-6"/>
          <w:sz w:val="20"/>
        </w:rPr>
        <w:t> </w:t>
      </w:r>
      <w:r>
        <w:rPr>
          <w:sz w:val="20"/>
        </w:rPr>
        <w:t>aptitud</w:t>
      </w:r>
      <w:r>
        <w:rPr>
          <w:spacing w:val="-5"/>
          <w:sz w:val="20"/>
        </w:rPr>
        <w:t> </w:t>
      </w:r>
      <w:r>
        <w:rPr>
          <w:sz w:val="20"/>
        </w:rPr>
        <w:t>del</w:t>
      </w:r>
      <w:r>
        <w:rPr>
          <w:spacing w:val="-7"/>
          <w:sz w:val="20"/>
        </w:rPr>
        <w:t> </w:t>
      </w:r>
      <w:r>
        <w:rPr>
          <w:spacing w:val="-2"/>
          <w:sz w:val="20"/>
        </w:rPr>
        <w:t>suelo.</w:t>
      </w:r>
    </w:p>
    <w:p>
      <w:pPr>
        <w:pStyle w:val="BodyText"/>
      </w:pPr>
    </w:p>
    <w:p>
      <w:pPr>
        <w:pStyle w:val="ListParagraph"/>
        <w:numPr>
          <w:ilvl w:val="1"/>
          <w:numId w:val="43"/>
        </w:numPr>
        <w:tabs>
          <w:tab w:pos="544" w:val="left" w:leader="none"/>
        </w:tabs>
        <w:spacing w:line="240" w:lineRule="auto" w:before="1" w:after="0"/>
        <w:ind w:left="262" w:right="288" w:firstLine="0"/>
        <w:jc w:val="both"/>
        <w:rPr>
          <w:sz w:val="20"/>
        </w:rPr>
      </w:pPr>
      <w:r>
        <w:rPr>
          <w:sz w:val="20"/>
        </w:rPr>
        <w:t>La identificación de asentamientos humanos irregulares, determinando su ubicación, límites, y número de personas asentadas en los mismos, especificando si se trata de zonas de riesgo.</w:t>
      </w:r>
    </w:p>
    <w:p>
      <w:pPr>
        <w:pStyle w:val="ListParagraph"/>
        <w:numPr>
          <w:ilvl w:val="1"/>
          <w:numId w:val="43"/>
        </w:numPr>
        <w:tabs>
          <w:tab w:pos="544" w:val="left" w:leader="none"/>
        </w:tabs>
        <w:spacing w:line="240" w:lineRule="auto" w:before="228" w:after="0"/>
        <w:ind w:left="544" w:right="0" w:hanging="282"/>
        <w:jc w:val="both"/>
        <w:rPr>
          <w:sz w:val="20"/>
        </w:rPr>
      </w:pPr>
      <w:r>
        <w:rPr>
          <w:sz w:val="20"/>
        </w:rPr>
        <w:t>Las</w:t>
      </w:r>
      <w:r>
        <w:rPr>
          <w:spacing w:val="-11"/>
          <w:sz w:val="20"/>
        </w:rPr>
        <w:t> </w:t>
      </w:r>
      <w:r>
        <w:rPr>
          <w:sz w:val="20"/>
        </w:rPr>
        <w:t>características</w:t>
      </w:r>
      <w:r>
        <w:rPr>
          <w:spacing w:val="-9"/>
          <w:sz w:val="20"/>
        </w:rPr>
        <w:t> </w:t>
      </w:r>
      <w:r>
        <w:rPr>
          <w:sz w:val="20"/>
        </w:rPr>
        <w:t>de</w:t>
      </w:r>
      <w:r>
        <w:rPr>
          <w:spacing w:val="-10"/>
          <w:sz w:val="20"/>
        </w:rPr>
        <w:t> </w:t>
      </w:r>
      <w:r>
        <w:rPr>
          <w:sz w:val="20"/>
        </w:rPr>
        <w:t>la</w:t>
      </w:r>
      <w:r>
        <w:rPr>
          <w:spacing w:val="-10"/>
          <w:sz w:val="20"/>
        </w:rPr>
        <w:t> </w:t>
      </w:r>
      <w:r>
        <w:rPr>
          <w:sz w:val="20"/>
        </w:rPr>
        <w:t>población</w:t>
      </w:r>
      <w:r>
        <w:rPr>
          <w:spacing w:val="-10"/>
          <w:sz w:val="20"/>
        </w:rPr>
        <w:t> </w:t>
      </w:r>
      <w:r>
        <w:rPr>
          <w:sz w:val="20"/>
        </w:rPr>
        <w:t>y</w:t>
      </w:r>
      <w:r>
        <w:rPr>
          <w:spacing w:val="-11"/>
          <w:sz w:val="20"/>
        </w:rPr>
        <w:t> </w:t>
      </w:r>
      <w:r>
        <w:rPr>
          <w:sz w:val="20"/>
        </w:rPr>
        <w:t>las</w:t>
      </w:r>
      <w:r>
        <w:rPr>
          <w:spacing w:val="-9"/>
          <w:sz w:val="20"/>
        </w:rPr>
        <w:t> </w:t>
      </w:r>
      <w:r>
        <w:rPr>
          <w:sz w:val="20"/>
        </w:rPr>
        <w:t>actividades</w:t>
      </w:r>
      <w:r>
        <w:rPr>
          <w:spacing w:val="-11"/>
          <w:sz w:val="20"/>
        </w:rPr>
        <w:t> </w:t>
      </w:r>
      <w:r>
        <w:rPr>
          <w:sz w:val="20"/>
        </w:rPr>
        <w:t>económicas,</w:t>
      </w:r>
      <w:r>
        <w:rPr>
          <w:spacing w:val="-12"/>
          <w:sz w:val="20"/>
        </w:rPr>
        <w:t> </w:t>
      </w:r>
      <w:r>
        <w:rPr>
          <w:sz w:val="20"/>
        </w:rPr>
        <w:t>y</w:t>
      </w:r>
      <w:r>
        <w:rPr>
          <w:spacing w:val="-11"/>
          <w:sz w:val="20"/>
        </w:rPr>
        <w:t> </w:t>
      </w:r>
      <w:r>
        <w:rPr>
          <w:sz w:val="20"/>
        </w:rPr>
        <w:t>su</w:t>
      </w:r>
      <w:r>
        <w:rPr>
          <w:spacing w:val="-10"/>
          <w:sz w:val="20"/>
        </w:rPr>
        <w:t> </w:t>
      </w:r>
      <w:r>
        <w:rPr>
          <w:sz w:val="20"/>
        </w:rPr>
        <w:t>distribución</w:t>
      </w:r>
      <w:r>
        <w:rPr>
          <w:spacing w:val="-8"/>
          <w:sz w:val="20"/>
        </w:rPr>
        <w:t> </w:t>
      </w:r>
      <w:r>
        <w:rPr>
          <w:sz w:val="20"/>
        </w:rPr>
        <w:t>en</w:t>
      </w:r>
      <w:r>
        <w:rPr>
          <w:spacing w:val="-12"/>
          <w:sz w:val="20"/>
        </w:rPr>
        <w:t> </w:t>
      </w:r>
      <w:r>
        <w:rPr>
          <w:sz w:val="20"/>
        </w:rPr>
        <w:t>el</w:t>
      </w:r>
      <w:r>
        <w:rPr>
          <w:spacing w:val="-10"/>
          <w:sz w:val="20"/>
        </w:rPr>
        <w:t> </w:t>
      </w:r>
      <w:r>
        <w:rPr>
          <w:spacing w:val="-2"/>
          <w:sz w:val="20"/>
        </w:rPr>
        <w:t>territorio.</w:t>
      </w:r>
    </w:p>
    <w:p>
      <w:pPr>
        <w:pStyle w:val="BodyText"/>
        <w:spacing w:before="1"/>
      </w:pPr>
    </w:p>
    <w:p>
      <w:pPr>
        <w:pStyle w:val="ListParagraph"/>
        <w:numPr>
          <w:ilvl w:val="1"/>
          <w:numId w:val="43"/>
        </w:numPr>
        <w:tabs>
          <w:tab w:pos="543" w:val="left" w:leader="none"/>
        </w:tabs>
        <w:spacing w:line="240" w:lineRule="auto" w:before="0" w:after="0"/>
        <w:ind w:left="543" w:right="0" w:hanging="281"/>
        <w:jc w:val="both"/>
        <w:rPr>
          <w:sz w:val="20"/>
        </w:rPr>
      </w:pPr>
      <w:r>
        <w:rPr>
          <w:sz w:val="20"/>
        </w:rPr>
        <w:t>La</w:t>
      </w:r>
      <w:r>
        <w:rPr>
          <w:spacing w:val="-8"/>
          <w:sz w:val="20"/>
        </w:rPr>
        <w:t> </w:t>
      </w:r>
      <w:r>
        <w:rPr>
          <w:sz w:val="20"/>
        </w:rPr>
        <w:t>ubicación</w:t>
      </w:r>
      <w:r>
        <w:rPr>
          <w:spacing w:val="-7"/>
          <w:sz w:val="20"/>
        </w:rPr>
        <w:t> </w:t>
      </w:r>
      <w:r>
        <w:rPr>
          <w:sz w:val="20"/>
        </w:rPr>
        <w:t>de</w:t>
      </w:r>
      <w:r>
        <w:rPr>
          <w:spacing w:val="-6"/>
          <w:sz w:val="20"/>
        </w:rPr>
        <w:t> </w:t>
      </w:r>
      <w:r>
        <w:rPr>
          <w:sz w:val="20"/>
        </w:rPr>
        <w:t>los</w:t>
      </w:r>
      <w:r>
        <w:rPr>
          <w:spacing w:val="-6"/>
          <w:sz w:val="20"/>
        </w:rPr>
        <w:t> </w:t>
      </w:r>
      <w:r>
        <w:rPr>
          <w:sz w:val="20"/>
        </w:rPr>
        <w:t>centros</w:t>
      </w:r>
      <w:r>
        <w:rPr>
          <w:spacing w:val="-3"/>
          <w:sz w:val="20"/>
        </w:rPr>
        <w:t> </w:t>
      </w:r>
      <w:r>
        <w:rPr>
          <w:sz w:val="20"/>
        </w:rPr>
        <w:t>de</w:t>
      </w:r>
      <w:r>
        <w:rPr>
          <w:spacing w:val="-8"/>
          <w:sz w:val="20"/>
        </w:rPr>
        <w:t> </w:t>
      </w:r>
      <w:r>
        <w:rPr>
          <w:sz w:val="20"/>
        </w:rPr>
        <w:t>población,</w:t>
      </w:r>
      <w:r>
        <w:rPr>
          <w:spacing w:val="-4"/>
          <w:sz w:val="20"/>
        </w:rPr>
        <w:t> </w:t>
      </w:r>
      <w:r>
        <w:rPr>
          <w:sz w:val="20"/>
        </w:rPr>
        <w:t>la</w:t>
      </w:r>
      <w:r>
        <w:rPr>
          <w:spacing w:val="-6"/>
          <w:sz w:val="20"/>
        </w:rPr>
        <w:t> </w:t>
      </w:r>
      <w:r>
        <w:rPr>
          <w:sz w:val="20"/>
        </w:rPr>
        <w:t>relación</w:t>
      </w:r>
      <w:r>
        <w:rPr>
          <w:spacing w:val="-8"/>
          <w:sz w:val="20"/>
        </w:rPr>
        <w:t> </w:t>
      </w:r>
      <w:r>
        <w:rPr>
          <w:sz w:val="20"/>
        </w:rPr>
        <w:t>entre</w:t>
      </w:r>
      <w:r>
        <w:rPr>
          <w:spacing w:val="-6"/>
          <w:sz w:val="20"/>
        </w:rPr>
        <w:t> </w:t>
      </w:r>
      <w:r>
        <w:rPr>
          <w:sz w:val="20"/>
        </w:rPr>
        <w:t>ellos,</w:t>
      </w:r>
      <w:r>
        <w:rPr>
          <w:spacing w:val="-6"/>
          <w:sz w:val="20"/>
        </w:rPr>
        <w:t> </w:t>
      </w:r>
      <w:r>
        <w:rPr>
          <w:sz w:val="20"/>
        </w:rPr>
        <w:t>su</w:t>
      </w:r>
      <w:r>
        <w:rPr>
          <w:spacing w:val="-5"/>
          <w:sz w:val="20"/>
        </w:rPr>
        <w:t> </w:t>
      </w:r>
      <w:r>
        <w:rPr>
          <w:sz w:val="20"/>
        </w:rPr>
        <w:t>función</w:t>
      </w:r>
      <w:r>
        <w:rPr>
          <w:spacing w:val="-4"/>
          <w:sz w:val="20"/>
        </w:rPr>
        <w:t> </w:t>
      </w:r>
      <w:r>
        <w:rPr>
          <w:sz w:val="20"/>
        </w:rPr>
        <w:t>y</w:t>
      </w:r>
      <w:r>
        <w:rPr>
          <w:spacing w:val="-6"/>
          <w:sz w:val="20"/>
        </w:rPr>
        <w:t> </w:t>
      </w:r>
      <w:r>
        <w:rPr>
          <w:sz w:val="20"/>
        </w:rPr>
        <w:t>nivel</w:t>
      </w:r>
      <w:r>
        <w:rPr>
          <w:spacing w:val="-7"/>
          <w:sz w:val="20"/>
        </w:rPr>
        <w:t> </w:t>
      </w:r>
      <w:r>
        <w:rPr>
          <w:sz w:val="20"/>
        </w:rPr>
        <w:t>de</w:t>
      </w:r>
      <w:r>
        <w:rPr>
          <w:spacing w:val="-5"/>
          <w:sz w:val="20"/>
        </w:rPr>
        <w:t> </w:t>
      </w:r>
      <w:r>
        <w:rPr>
          <w:spacing w:val="-2"/>
          <w:sz w:val="20"/>
        </w:rPr>
        <w:t>servicio.</w:t>
      </w:r>
    </w:p>
    <w:p>
      <w:pPr>
        <w:pStyle w:val="BodyText"/>
        <w:spacing w:before="1"/>
      </w:pPr>
    </w:p>
    <w:p>
      <w:pPr>
        <w:pStyle w:val="ListParagraph"/>
        <w:numPr>
          <w:ilvl w:val="1"/>
          <w:numId w:val="43"/>
        </w:numPr>
        <w:tabs>
          <w:tab w:pos="544" w:val="left" w:leader="none"/>
        </w:tabs>
        <w:spacing w:line="240" w:lineRule="auto" w:before="0" w:after="0"/>
        <w:ind w:left="544" w:right="0" w:hanging="282"/>
        <w:jc w:val="both"/>
        <w:rPr>
          <w:sz w:val="20"/>
        </w:rPr>
      </w:pPr>
      <w:r>
        <w:rPr>
          <w:sz w:val="20"/>
        </w:rPr>
        <w:t>La</w:t>
      </w:r>
      <w:r>
        <w:rPr>
          <w:spacing w:val="-10"/>
          <w:sz w:val="20"/>
        </w:rPr>
        <w:t> </w:t>
      </w:r>
      <w:r>
        <w:rPr>
          <w:sz w:val="20"/>
        </w:rPr>
        <w:t>infraestructura,</w:t>
      </w:r>
      <w:r>
        <w:rPr>
          <w:spacing w:val="-8"/>
          <w:sz w:val="20"/>
        </w:rPr>
        <w:t> </w:t>
      </w:r>
      <w:r>
        <w:rPr>
          <w:sz w:val="20"/>
        </w:rPr>
        <w:t>vialidad,</w:t>
      </w:r>
      <w:r>
        <w:rPr>
          <w:spacing w:val="-7"/>
          <w:sz w:val="20"/>
        </w:rPr>
        <w:t> </w:t>
      </w:r>
      <w:r>
        <w:rPr>
          <w:sz w:val="20"/>
        </w:rPr>
        <w:t>equipamiento,</w:t>
      </w:r>
      <w:r>
        <w:rPr>
          <w:spacing w:val="-8"/>
          <w:sz w:val="20"/>
        </w:rPr>
        <w:t> </w:t>
      </w:r>
      <w:r>
        <w:rPr>
          <w:sz w:val="20"/>
        </w:rPr>
        <w:t>servicios</w:t>
      </w:r>
      <w:r>
        <w:rPr>
          <w:spacing w:val="-8"/>
          <w:sz w:val="20"/>
        </w:rPr>
        <w:t> </w:t>
      </w:r>
      <w:r>
        <w:rPr>
          <w:sz w:val="20"/>
        </w:rPr>
        <w:t>y</w:t>
      </w:r>
      <w:r>
        <w:rPr>
          <w:spacing w:val="-5"/>
          <w:sz w:val="20"/>
        </w:rPr>
        <w:t> </w:t>
      </w:r>
      <w:r>
        <w:rPr>
          <w:sz w:val="20"/>
        </w:rPr>
        <w:t>vivienda</w:t>
      </w:r>
      <w:r>
        <w:rPr>
          <w:spacing w:val="-9"/>
          <w:sz w:val="20"/>
        </w:rPr>
        <w:t> </w:t>
      </w:r>
      <w:r>
        <w:rPr>
          <w:sz w:val="20"/>
        </w:rPr>
        <w:t>existente</w:t>
      </w:r>
      <w:r>
        <w:rPr>
          <w:spacing w:val="-6"/>
          <w:sz w:val="20"/>
        </w:rPr>
        <w:t> </w:t>
      </w:r>
      <w:r>
        <w:rPr>
          <w:sz w:val="20"/>
        </w:rPr>
        <w:t>y</w:t>
      </w:r>
      <w:r>
        <w:rPr>
          <w:spacing w:val="-8"/>
          <w:sz w:val="20"/>
        </w:rPr>
        <w:t> </w:t>
      </w:r>
      <w:r>
        <w:rPr>
          <w:sz w:val="20"/>
        </w:rPr>
        <w:t>sus</w:t>
      </w:r>
      <w:r>
        <w:rPr>
          <w:spacing w:val="-7"/>
          <w:sz w:val="20"/>
        </w:rPr>
        <w:t> </w:t>
      </w:r>
      <w:r>
        <w:rPr>
          <w:spacing w:val="-2"/>
          <w:sz w:val="20"/>
        </w:rPr>
        <w:t>necesidades.</w:t>
      </w:r>
    </w:p>
    <w:p>
      <w:pPr>
        <w:pStyle w:val="ListParagraph"/>
        <w:numPr>
          <w:ilvl w:val="1"/>
          <w:numId w:val="43"/>
        </w:numPr>
        <w:tabs>
          <w:tab w:pos="544" w:val="left" w:leader="none"/>
        </w:tabs>
        <w:spacing w:line="240" w:lineRule="auto" w:before="229" w:after="0"/>
        <w:ind w:left="262" w:right="288" w:firstLine="0"/>
        <w:jc w:val="both"/>
        <w:rPr>
          <w:sz w:val="20"/>
        </w:rPr>
      </w:pPr>
      <w:r>
        <w:rPr>
          <w:sz w:val="20"/>
        </w:rPr>
        <w:t>La administración municipal del desarrollo urbano, sus procedimientos y normatividad, instrumentos de gestión y de participación social;</w:t>
      </w:r>
    </w:p>
    <w:p>
      <w:pPr>
        <w:pStyle w:val="BodyText"/>
        <w:spacing w:before="1"/>
      </w:pPr>
    </w:p>
    <w:p>
      <w:pPr>
        <w:pStyle w:val="ListParagraph"/>
        <w:numPr>
          <w:ilvl w:val="0"/>
          <w:numId w:val="43"/>
        </w:numPr>
        <w:tabs>
          <w:tab w:pos="544" w:val="left" w:leader="none"/>
        </w:tabs>
        <w:spacing w:line="240" w:lineRule="auto" w:before="0" w:after="0"/>
        <w:ind w:left="262" w:right="288" w:firstLine="0"/>
        <w:jc w:val="both"/>
        <w:rPr>
          <w:sz w:val="20"/>
        </w:rPr>
      </w:pPr>
      <w:r>
        <w:rPr>
          <w:sz w:val="20"/>
        </w:rPr>
        <w:t>Señalamiento de objetivos, políticas y estrategias para su implementación, su evaluación y selección de la más favorable para cerrar las brechas entre la situación, sus tendencias y el escenario deseado, que comprendan:</w:t>
      </w:r>
    </w:p>
    <w:p>
      <w:pPr>
        <w:pStyle w:val="ListParagraph"/>
        <w:numPr>
          <w:ilvl w:val="1"/>
          <w:numId w:val="43"/>
        </w:numPr>
        <w:tabs>
          <w:tab w:pos="544" w:val="left" w:leader="none"/>
        </w:tabs>
        <w:spacing w:line="240" w:lineRule="auto" w:before="229" w:after="0"/>
        <w:ind w:left="262" w:right="284" w:firstLine="0"/>
        <w:jc w:val="both"/>
        <w:rPr>
          <w:sz w:val="20"/>
        </w:rPr>
      </w:pPr>
      <w:r>
        <w:rPr>
          <w:sz w:val="20"/>
        </w:rPr>
        <w:t>Conformación</w:t>
      </w:r>
      <w:r>
        <w:rPr>
          <w:spacing w:val="-10"/>
          <w:sz w:val="20"/>
        </w:rPr>
        <w:t> </w:t>
      </w:r>
      <w:r>
        <w:rPr>
          <w:sz w:val="20"/>
        </w:rPr>
        <w:t>del</w:t>
      </w:r>
      <w:r>
        <w:rPr>
          <w:spacing w:val="-11"/>
          <w:sz w:val="20"/>
        </w:rPr>
        <w:t> </w:t>
      </w:r>
      <w:r>
        <w:rPr>
          <w:sz w:val="20"/>
        </w:rPr>
        <w:t>Sistema</w:t>
      </w:r>
      <w:r>
        <w:rPr>
          <w:spacing w:val="-8"/>
          <w:sz w:val="20"/>
        </w:rPr>
        <w:t> </w:t>
      </w:r>
      <w:r>
        <w:rPr>
          <w:sz w:val="20"/>
        </w:rPr>
        <w:t>Municipal</w:t>
      </w:r>
      <w:r>
        <w:rPr>
          <w:spacing w:val="-11"/>
          <w:sz w:val="20"/>
        </w:rPr>
        <w:t> </w:t>
      </w:r>
      <w:r>
        <w:rPr>
          <w:sz w:val="20"/>
        </w:rPr>
        <w:t>de</w:t>
      </w:r>
      <w:r>
        <w:rPr>
          <w:spacing w:val="-10"/>
          <w:sz w:val="20"/>
        </w:rPr>
        <w:t> </w:t>
      </w:r>
      <w:r>
        <w:rPr>
          <w:sz w:val="20"/>
        </w:rPr>
        <w:t>Centros</w:t>
      </w:r>
      <w:r>
        <w:rPr>
          <w:spacing w:val="-9"/>
          <w:sz w:val="20"/>
        </w:rPr>
        <w:t> </w:t>
      </w:r>
      <w:r>
        <w:rPr>
          <w:sz w:val="20"/>
        </w:rPr>
        <w:t>de</w:t>
      </w:r>
      <w:r>
        <w:rPr>
          <w:spacing w:val="-8"/>
          <w:sz w:val="20"/>
        </w:rPr>
        <w:t> </w:t>
      </w:r>
      <w:r>
        <w:rPr>
          <w:sz w:val="20"/>
        </w:rPr>
        <w:t>Población,</w:t>
      </w:r>
      <w:r>
        <w:rPr>
          <w:spacing w:val="-10"/>
          <w:sz w:val="20"/>
        </w:rPr>
        <w:t> </w:t>
      </w:r>
      <w:r>
        <w:rPr>
          <w:sz w:val="20"/>
        </w:rPr>
        <w:t>según</w:t>
      </w:r>
      <w:r>
        <w:rPr>
          <w:spacing w:val="-8"/>
          <w:sz w:val="20"/>
        </w:rPr>
        <w:t> </w:t>
      </w:r>
      <w:r>
        <w:rPr>
          <w:sz w:val="20"/>
        </w:rPr>
        <w:t>el</w:t>
      </w:r>
      <w:r>
        <w:rPr>
          <w:spacing w:val="-11"/>
          <w:sz w:val="20"/>
        </w:rPr>
        <w:t> </w:t>
      </w:r>
      <w:r>
        <w:rPr>
          <w:sz w:val="20"/>
        </w:rPr>
        <w:t>crecimiento</w:t>
      </w:r>
      <w:r>
        <w:rPr>
          <w:spacing w:val="-10"/>
          <w:sz w:val="20"/>
        </w:rPr>
        <w:t> </w:t>
      </w:r>
      <w:r>
        <w:rPr>
          <w:sz w:val="20"/>
        </w:rPr>
        <w:t>demográfico esperado, asignando los niveles de servicio correspondientes.</w:t>
      </w:r>
    </w:p>
    <w:p>
      <w:pPr>
        <w:pStyle w:val="BodyText"/>
        <w:spacing w:before="2"/>
      </w:pPr>
    </w:p>
    <w:p>
      <w:pPr>
        <w:pStyle w:val="ListParagraph"/>
        <w:numPr>
          <w:ilvl w:val="1"/>
          <w:numId w:val="43"/>
        </w:numPr>
        <w:tabs>
          <w:tab w:pos="544" w:val="left" w:leader="none"/>
        </w:tabs>
        <w:spacing w:line="240" w:lineRule="auto" w:before="0" w:after="0"/>
        <w:ind w:left="262" w:right="286" w:firstLine="0"/>
        <w:jc w:val="both"/>
        <w:rPr>
          <w:sz w:val="20"/>
        </w:rPr>
      </w:pPr>
      <w:r>
        <w:rPr>
          <w:sz w:val="20"/>
        </w:rPr>
        <w:t>Ampliar</w:t>
      </w:r>
      <w:r>
        <w:rPr>
          <w:spacing w:val="-14"/>
          <w:sz w:val="20"/>
        </w:rPr>
        <w:t> </w:t>
      </w:r>
      <w:r>
        <w:rPr>
          <w:sz w:val="20"/>
        </w:rPr>
        <w:t>y</w:t>
      </w:r>
      <w:r>
        <w:rPr>
          <w:spacing w:val="-14"/>
          <w:sz w:val="20"/>
        </w:rPr>
        <w:t> </w:t>
      </w:r>
      <w:r>
        <w:rPr>
          <w:sz w:val="20"/>
        </w:rPr>
        <w:t>mejorar</w:t>
      </w:r>
      <w:r>
        <w:rPr>
          <w:spacing w:val="-14"/>
          <w:sz w:val="20"/>
        </w:rPr>
        <w:t> </w:t>
      </w:r>
      <w:r>
        <w:rPr>
          <w:sz w:val="20"/>
        </w:rPr>
        <w:t>las</w:t>
      </w:r>
      <w:r>
        <w:rPr>
          <w:spacing w:val="-11"/>
          <w:sz w:val="20"/>
        </w:rPr>
        <w:t> </w:t>
      </w:r>
      <w:r>
        <w:rPr>
          <w:sz w:val="20"/>
        </w:rPr>
        <w:t>infraestructuras,</w:t>
      </w:r>
      <w:r>
        <w:rPr>
          <w:spacing w:val="-14"/>
          <w:sz w:val="20"/>
        </w:rPr>
        <w:t> </w:t>
      </w:r>
      <w:r>
        <w:rPr>
          <w:sz w:val="20"/>
        </w:rPr>
        <w:t>equipamientos</w:t>
      </w:r>
      <w:r>
        <w:rPr>
          <w:spacing w:val="-14"/>
          <w:sz w:val="20"/>
        </w:rPr>
        <w:t> </w:t>
      </w:r>
      <w:r>
        <w:rPr>
          <w:sz w:val="20"/>
        </w:rPr>
        <w:t>y</w:t>
      </w:r>
      <w:r>
        <w:rPr>
          <w:spacing w:val="-13"/>
          <w:sz w:val="20"/>
        </w:rPr>
        <w:t> </w:t>
      </w:r>
      <w:r>
        <w:rPr>
          <w:sz w:val="20"/>
        </w:rPr>
        <w:t>servicios</w:t>
      </w:r>
      <w:r>
        <w:rPr>
          <w:spacing w:val="-14"/>
          <w:sz w:val="20"/>
        </w:rPr>
        <w:t> </w:t>
      </w:r>
      <w:r>
        <w:rPr>
          <w:sz w:val="20"/>
        </w:rPr>
        <w:t>públicos</w:t>
      </w:r>
      <w:r>
        <w:rPr>
          <w:spacing w:val="-14"/>
          <w:sz w:val="20"/>
        </w:rPr>
        <w:t> </w:t>
      </w:r>
      <w:r>
        <w:rPr>
          <w:sz w:val="20"/>
        </w:rPr>
        <w:t>de</w:t>
      </w:r>
      <w:r>
        <w:rPr>
          <w:spacing w:val="-14"/>
          <w:sz w:val="20"/>
        </w:rPr>
        <w:t> </w:t>
      </w:r>
      <w:r>
        <w:rPr>
          <w:sz w:val="20"/>
        </w:rPr>
        <w:t>cobertura</w:t>
      </w:r>
      <w:r>
        <w:rPr>
          <w:spacing w:val="-14"/>
          <w:sz w:val="20"/>
        </w:rPr>
        <w:t> </w:t>
      </w:r>
      <w:r>
        <w:rPr>
          <w:sz w:val="20"/>
        </w:rPr>
        <w:t>municipal, y vías de comunicación de enlace interurbano y rural.</w:t>
      </w:r>
    </w:p>
    <w:p>
      <w:pPr>
        <w:pStyle w:val="ListParagraph"/>
        <w:numPr>
          <w:ilvl w:val="1"/>
          <w:numId w:val="43"/>
        </w:numPr>
        <w:tabs>
          <w:tab w:pos="544" w:val="left" w:leader="none"/>
        </w:tabs>
        <w:spacing w:line="240" w:lineRule="auto" w:before="229" w:after="0"/>
        <w:ind w:left="544" w:right="0" w:hanging="282"/>
        <w:jc w:val="both"/>
        <w:rPr>
          <w:sz w:val="20"/>
        </w:rPr>
      </w:pPr>
      <w:r>
        <w:rPr>
          <w:sz w:val="20"/>
        </w:rPr>
        <w:t>Impulsar,</w:t>
      </w:r>
      <w:r>
        <w:rPr>
          <w:spacing w:val="-8"/>
          <w:sz w:val="20"/>
        </w:rPr>
        <w:t> </w:t>
      </w:r>
      <w:r>
        <w:rPr>
          <w:sz w:val="20"/>
        </w:rPr>
        <w:t>consolidar</w:t>
      </w:r>
      <w:r>
        <w:rPr>
          <w:spacing w:val="-6"/>
          <w:sz w:val="20"/>
        </w:rPr>
        <w:t> </w:t>
      </w:r>
      <w:r>
        <w:rPr>
          <w:sz w:val="20"/>
        </w:rPr>
        <w:t>o</w:t>
      </w:r>
      <w:r>
        <w:rPr>
          <w:spacing w:val="-8"/>
          <w:sz w:val="20"/>
        </w:rPr>
        <w:t> </w:t>
      </w:r>
      <w:r>
        <w:rPr>
          <w:sz w:val="20"/>
        </w:rPr>
        <w:t>controlar</w:t>
      </w:r>
      <w:r>
        <w:rPr>
          <w:spacing w:val="-7"/>
          <w:sz w:val="20"/>
        </w:rPr>
        <w:t> </w:t>
      </w:r>
      <w:r>
        <w:rPr>
          <w:sz w:val="20"/>
        </w:rPr>
        <w:t>el</w:t>
      </w:r>
      <w:r>
        <w:rPr>
          <w:spacing w:val="-8"/>
          <w:sz w:val="20"/>
        </w:rPr>
        <w:t> </w:t>
      </w:r>
      <w:r>
        <w:rPr>
          <w:sz w:val="20"/>
        </w:rPr>
        <w:t>crecimiento</w:t>
      </w:r>
      <w:r>
        <w:rPr>
          <w:spacing w:val="-9"/>
          <w:sz w:val="20"/>
        </w:rPr>
        <w:t> </w:t>
      </w:r>
      <w:r>
        <w:rPr>
          <w:sz w:val="20"/>
        </w:rPr>
        <w:t>de</w:t>
      </w:r>
      <w:r>
        <w:rPr>
          <w:spacing w:val="-5"/>
          <w:sz w:val="20"/>
        </w:rPr>
        <w:t> </w:t>
      </w:r>
      <w:r>
        <w:rPr>
          <w:sz w:val="20"/>
        </w:rPr>
        <w:t>los</w:t>
      </w:r>
      <w:r>
        <w:rPr>
          <w:spacing w:val="-6"/>
          <w:sz w:val="20"/>
        </w:rPr>
        <w:t> </w:t>
      </w:r>
      <w:r>
        <w:rPr>
          <w:sz w:val="20"/>
        </w:rPr>
        <w:t>centros</w:t>
      </w:r>
      <w:r>
        <w:rPr>
          <w:spacing w:val="-7"/>
          <w:sz w:val="20"/>
        </w:rPr>
        <w:t> </w:t>
      </w:r>
      <w:r>
        <w:rPr>
          <w:sz w:val="20"/>
        </w:rPr>
        <w:t>de</w:t>
      </w:r>
      <w:r>
        <w:rPr>
          <w:spacing w:val="-5"/>
          <w:sz w:val="20"/>
        </w:rPr>
        <w:t> </w:t>
      </w:r>
      <w:r>
        <w:rPr>
          <w:spacing w:val="-2"/>
          <w:sz w:val="20"/>
        </w:rPr>
        <w:t>población;</w:t>
      </w:r>
    </w:p>
    <w:p>
      <w:pPr>
        <w:pStyle w:val="BodyText"/>
      </w:pPr>
    </w:p>
    <w:p>
      <w:pPr>
        <w:pStyle w:val="ListParagraph"/>
        <w:numPr>
          <w:ilvl w:val="0"/>
          <w:numId w:val="43"/>
        </w:numPr>
        <w:tabs>
          <w:tab w:pos="688" w:val="left" w:leader="none"/>
        </w:tabs>
        <w:spacing w:line="240" w:lineRule="auto" w:before="0" w:after="0"/>
        <w:ind w:left="262" w:right="287" w:firstLine="0"/>
        <w:jc w:val="both"/>
        <w:rPr>
          <w:sz w:val="20"/>
        </w:rPr>
      </w:pPr>
      <w:r>
        <w:rPr>
          <w:sz w:val="20"/>
        </w:rPr>
        <w:t>La zonificación general del territorio municipal para la aplicación de políticas urbanas y ecológicas, así como el establecimiento de las respectivas normas de uso de suelo y aprovechamiento de los recursos;</w:t>
      </w:r>
    </w:p>
    <w:p>
      <w:pPr>
        <w:pStyle w:val="BodyText"/>
      </w:pPr>
    </w:p>
    <w:p>
      <w:pPr>
        <w:pStyle w:val="ListParagraph"/>
        <w:numPr>
          <w:ilvl w:val="0"/>
          <w:numId w:val="43"/>
        </w:numPr>
        <w:tabs>
          <w:tab w:pos="688" w:val="left" w:leader="none"/>
        </w:tabs>
        <w:spacing w:line="240" w:lineRule="auto" w:before="0" w:after="0"/>
        <w:ind w:left="262" w:right="283" w:firstLine="0"/>
        <w:jc w:val="both"/>
        <w:rPr>
          <w:sz w:val="20"/>
        </w:rPr>
      </w:pPr>
      <w:r>
        <w:rPr>
          <w:sz w:val="20"/>
        </w:rPr>
        <w:t>Establecer los centros de población en los que proceda la formulación de esquemas de desarrollo</w:t>
      </w:r>
      <w:r>
        <w:rPr>
          <w:spacing w:val="-14"/>
          <w:sz w:val="20"/>
        </w:rPr>
        <w:t> </w:t>
      </w:r>
      <w:r>
        <w:rPr>
          <w:sz w:val="20"/>
        </w:rPr>
        <w:t>urbano</w:t>
      </w:r>
      <w:r>
        <w:rPr>
          <w:spacing w:val="-14"/>
          <w:sz w:val="20"/>
        </w:rPr>
        <w:t> </w:t>
      </w:r>
      <w:r>
        <w:rPr>
          <w:sz w:val="20"/>
        </w:rPr>
        <w:t>que</w:t>
      </w:r>
      <w:r>
        <w:rPr>
          <w:spacing w:val="-14"/>
          <w:sz w:val="20"/>
        </w:rPr>
        <w:t> </w:t>
      </w:r>
      <w:r>
        <w:rPr>
          <w:sz w:val="20"/>
        </w:rPr>
        <w:t>por</w:t>
      </w:r>
      <w:r>
        <w:rPr>
          <w:spacing w:val="-14"/>
          <w:sz w:val="20"/>
        </w:rPr>
        <w:t> </w:t>
      </w:r>
      <w:r>
        <w:rPr>
          <w:sz w:val="20"/>
        </w:rPr>
        <w:t>sus</w:t>
      </w:r>
      <w:r>
        <w:rPr>
          <w:spacing w:val="-14"/>
          <w:sz w:val="20"/>
        </w:rPr>
        <w:t> </w:t>
      </w:r>
      <w:r>
        <w:rPr>
          <w:sz w:val="20"/>
        </w:rPr>
        <w:t>características</w:t>
      </w:r>
      <w:r>
        <w:rPr>
          <w:spacing w:val="-14"/>
          <w:sz w:val="20"/>
        </w:rPr>
        <w:t> </w:t>
      </w:r>
      <w:r>
        <w:rPr>
          <w:sz w:val="20"/>
        </w:rPr>
        <w:t>propias</w:t>
      </w:r>
      <w:r>
        <w:rPr>
          <w:spacing w:val="-14"/>
          <w:sz w:val="20"/>
        </w:rPr>
        <w:t> </w:t>
      </w:r>
      <w:r>
        <w:rPr>
          <w:sz w:val="20"/>
        </w:rPr>
        <w:t>no</w:t>
      </w:r>
      <w:r>
        <w:rPr>
          <w:spacing w:val="-14"/>
          <w:sz w:val="20"/>
        </w:rPr>
        <w:t> </w:t>
      </w:r>
      <w:r>
        <w:rPr>
          <w:sz w:val="20"/>
        </w:rPr>
        <w:t>requieran</w:t>
      </w:r>
      <w:r>
        <w:rPr>
          <w:spacing w:val="-14"/>
          <w:sz w:val="20"/>
        </w:rPr>
        <w:t> </w:t>
      </w:r>
      <w:r>
        <w:rPr>
          <w:sz w:val="20"/>
        </w:rPr>
        <w:t>de</w:t>
      </w:r>
      <w:r>
        <w:rPr>
          <w:spacing w:val="-13"/>
          <w:sz w:val="20"/>
        </w:rPr>
        <w:t> </w:t>
      </w:r>
      <w:r>
        <w:rPr>
          <w:sz w:val="20"/>
        </w:rPr>
        <w:t>la</w:t>
      </w:r>
      <w:r>
        <w:rPr>
          <w:spacing w:val="-14"/>
          <w:sz w:val="20"/>
        </w:rPr>
        <w:t> </w:t>
      </w:r>
      <w:r>
        <w:rPr>
          <w:sz w:val="20"/>
        </w:rPr>
        <w:t>formulación</w:t>
      </w:r>
      <w:r>
        <w:rPr>
          <w:spacing w:val="-14"/>
          <w:sz w:val="20"/>
        </w:rPr>
        <w:t> </w:t>
      </w:r>
      <w:r>
        <w:rPr>
          <w:sz w:val="20"/>
        </w:rPr>
        <w:t>de</w:t>
      </w:r>
      <w:r>
        <w:rPr>
          <w:spacing w:val="-14"/>
          <w:sz w:val="20"/>
        </w:rPr>
        <w:t> </w:t>
      </w:r>
      <w:r>
        <w:rPr>
          <w:sz w:val="20"/>
        </w:rPr>
        <w:t>un</w:t>
      </w:r>
      <w:r>
        <w:rPr>
          <w:spacing w:val="-14"/>
          <w:sz w:val="20"/>
        </w:rPr>
        <w:t> </w:t>
      </w:r>
      <w:r>
        <w:rPr>
          <w:sz w:val="20"/>
        </w:rPr>
        <w:t>programa;</w:t>
      </w:r>
    </w:p>
    <w:p>
      <w:pPr>
        <w:pStyle w:val="ListParagraph"/>
        <w:numPr>
          <w:ilvl w:val="0"/>
          <w:numId w:val="43"/>
        </w:numPr>
        <w:tabs>
          <w:tab w:pos="968" w:val="left" w:leader="none"/>
        </w:tabs>
        <w:spacing w:line="240" w:lineRule="auto" w:before="229" w:after="0"/>
        <w:ind w:left="968" w:right="0" w:hanging="706"/>
        <w:jc w:val="both"/>
        <w:rPr>
          <w:sz w:val="20"/>
        </w:rPr>
      </w:pPr>
      <w:r>
        <w:rPr>
          <w:sz w:val="20"/>
        </w:rPr>
        <w:t>La</w:t>
      </w:r>
      <w:r>
        <w:rPr>
          <w:spacing w:val="-8"/>
          <w:sz w:val="20"/>
        </w:rPr>
        <w:t> </w:t>
      </w:r>
      <w:r>
        <w:rPr>
          <w:sz w:val="20"/>
        </w:rPr>
        <w:t>programación</w:t>
      </w:r>
      <w:r>
        <w:rPr>
          <w:spacing w:val="-5"/>
          <w:sz w:val="20"/>
        </w:rPr>
        <w:t> </w:t>
      </w:r>
      <w:r>
        <w:rPr>
          <w:sz w:val="20"/>
        </w:rPr>
        <w:t>de</w:t>
      </w:r>
      <w:r>
        <w:rPr>
          <w:spacing w:val="-7"/>
          <w:sz w:val="20"/>
        </w:rPr>
        <w:t> </w:t>
      </w:r>
      <w:r>
        <w:rPr>
          <w:sz w:val="20"/>
        </w:rPr>
        <w:t>acciones,</w:t>
      </w:r>
      <w:r>
        <w:rPr>
          <w:spacing w:val="-7"/>
          <w:sz w:val="20"/>
        </w:rPr>
        <w:t> </w:t>
      </w:r>
      <w:r>
        <w:rPr>
          <w:sz w:val="20"/>
        </w:rPr>
        <w:t>obras,</w:t>
      </w:r>
      <w:r>
        <w:rPr>
          <w:spacing w:val="-6"/>
          <w:sz w:val="20"/>
        </w:rPr>
        <w:t> </w:t>
      </w:r>
      <w:r>
        <w:rPr>
          <w:sz w:val="20"/>
        </w:rPr>
        <w:t>servicios</w:t>
      </w:r>
      <w:r>
        <w:rPr>
          <w:spacing w:val="-7"/>
          <w:sz w:val="20"/>
        </w:rPr>
        <w:t> </w:t>
      </w:r>
      <w:r>
        <w:rPr>
          <w:sz w:val="20"/>
        </w:rPr>
        <w:t>y</w:t>
      </w:r>
      <w:r>
        <w:rPr>
          <w:spacing w:val="-6"/>
          <w:sz w:val="20"/>
        </w:rPr>
        <w:t> </w:t>
      </w:r>
      <w:r>
        <w:rPr>
          <w:sz w:val="20"/>
        </w:rPr>
        <w:t>proyectos</w:t>
      </w:r>
      <w:r>
        <w:rPr>
          <w:spacing w:val="-6"/>
          <w:sz w:val="20"/>
        </w:rPr>
        <w:t> </w:t>
      </w:r>
      <w:r>
        <w:rPr>
          <w:spacing w:val="-2"/>
          <w:sz w:val="20"/>
        </w:rPr>
        <w:t>estratégicos;</w:t>
      </w:r>
    </w:p>
    <w:p>
      <w:pPr>
        <w:pStyle w:val="BodyText"/>
        <w:spacing w:before="1"/>
      </w:pPr>
    </w:p>
    <w:p>
      <w:pPr>
        <w:pStyle w:val="ListParagraph"/>
        <w:numPr>
          <w:ilvl w:val="0"/>
          <w:numId w:val="43"/>
        </w:numPr>
        <w:tabs>
          <w:tab w:pos="688" w:val="left" w:leader="none"/>
        </w:tabs>
        <w:spacing w:line="240" w:lineRule="auto" w:before="0" w:after="0"/>
        <w:ind w:left="262" w:right="287" w:firstLine="0"/>
        <w:jc w:val="both"/>
        <w:rPr>
          <w:sz w:val="20"/>
        </w:rPr>
      </w:pPr>
      <w:r>
        <w:rPr>
          <w:sz w:val="20"/>
        </w:rPr>
        <w:t>Las bases técnicas necesarias para la elaboración y ejecución de los programas operativos, que se vayan a realizar en el territorio del municipio;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43"/>
        </w:numPr>
        <w:tabs>
          <w:tab w:pos="689" w:val="left" w:leader="none"/>
        </w:tabs>
        <w:spacing w:line="240" w:lineRule="auto" w:before="0" w:after="0"/>
        <w:ind w:left="262" w:right="287" w:firstLine="0"/>
        <w:jc w:val="left"/>
        <w:rPr>
          <w:sz w:val="20"/>
        </w:rPr>
      </w:pPr>
      <w:r>
        <w:rPr>
          <w:sz w:val="20"/>
        </w:rPr>
        <w:t>Los instrumentos para el cumplimiento y ejecución del programa, y la determinación de metas y los mecanismos y periodos para la evaluación de resultados, y</w:t>
      </w:r>
    </w:p>
    <w:p>
      <w:pPr>
        <w:pStyle w:val="BodyText"/>
        <w:spacing w:before="1"/>
      </w:pPr>
    </w:p>
    <w:p>
      <w:pPr>
        <w:pStyle w:val="ListParagraph"/>
        <w:numPr>
          <w:ilvl w:val="0"/>
          <w:numId w:val="43"/>
        </w:numPr>
        <w:tabs>
          <w:tab w:pos="688" w:val="left" w:leader="none"/>
        </w:tabs>
        <w:spacing w:line="240" w:lineRule="auto" w:before="0" w:after="0"/>
        <w:ind w:left="688" w:right="0" w:hanging="426"/>
        <w:jc w:val="left"/>
        <w:rPr>
          <w:sz w:val="20"/>
        </w:rPr>
      </w:pPr>
      <w:r>
        <w:rPr>
          <w:sz w:val="20"/>
        </w:rPr>
        <w:t>La</w:t>
      </w:r>
      <w:r>
        <w:rPr>
          <w:spacing w:val="-7"/>
          <w:sz w:val="20"/>
        </w:rPr>
        <w:t> </w:t>
      </w:r>
      <w:r>
        <w:rPr>
          <w:sz w:val="20"/>
        </w:rPr>
        <w:t>congruencia</w:t>
      </w:r>
      <w:r>
        <w:rPr>
          <w:spacing w:val="-6"/>
          <w:sz w:val="20"/>
        </w:rPr>
        <w:t> </w:t>
      </w:r>
      <w:r>
        <w:rPr>
          <w:sz w:val="20"/>
        </w:rPr>
        <w:t>con</w:t>
      </w:r>
      <w:r>
        <w:rPr>
          <w:spacing w:val="-5"/>
          <w:sz w:val="20"/>
        </w:rPr>
        <w:t> </w:t>
      </w:r>
      <w:r>
        <w:rPr>
          <w:sz w:val="20"/>
        </w:rPr>
        <w:t>el</w:t>
      </w:r>
      <w:r>
        <w:rPr>
          <w:spacing w:val="-5"/>
          <w:sz w:val="20"/>
        </w:rPr>
        <w:t> </w:t>
      </w:r>
      <w:r>
        <w:rPr>
          <w:sz w:val="20"/>
        </w:rPr>
        <w:t>atlas</w:t>
      </w:r>
      <w:r>
        <w:rPr>
          <w:spacing w:val="-3"/>
          <w:sz w:val="20"/>
        </w:rPr>
        <w:t> </w:t>
      </w:r>
      <w:r>
        <w:rPr>
          <w:sz w:val="20"/>
        </w:rPr>
        <w:t>nacional</w:t>
      </w:r>
      <w:r>
        <w:rPr>
          <w:spacing w:val="-7"/>
          <w:sz w:val="20"/>
        </w:rPr>
        <w:t> </w:t>
      </w:r>
      <w:r>
        <w:rPr>
          <w:sz w:val="20"/>
        </w:rPr>
        <w:t>y</w:t>
      </w:r>
      <w:r>
        <w:rPr>
          <w:spacing w:val="-5"/>
          <w:sz w:val="20"/>
        </w:rPr>
        <w:t> </w:t>
      </w:r>
      <w:r>
        <w:rPr>
          <w:sz w:val="20"/>
        </w:rPr>
        <w:t>estatal</w:t>
      </w:r>
      <w:r>
        <w:rPr>
          <w:spacing w:val="-5"/>
          <w:sz w:val="20"/>
        </w:rPr>
        <w:t> </w:t>
      </w:r>
      <w:r>
        <w:rPr>
          <w:sz w:val="20"/>
        </w:rPr>
        <w:t>de</w:t>
      </w:r>
      <w:r>
        <w:rPr>
          <w:spacing w:val="-7"/>
          <w:sz w:val="20"/>
        </w:rPr>
        <w:t> </w:t>
      </w:r>
      <w:r>
        <w:rPr>
          <w:spacing w:val="-2"/>
          <w:sz w:val="20"/>
        </w:rPr>
        <w:t>riesgos.</w:t>
      </w:r>
    </w:p>
    <w:p>
      <w:pPr>
        <w:pStyle w:val="BodyText"/>
        <w:spacing w:before="229"/>
        <w:ind w:left="262" w:right="277"/>
        <w:jc w:val="both"/>
      </w:pPr>
      <w:r>
        <w:rPr>
          <w:rFonts w:ascii="Arial" w:hAnsi="Arial"/>
          <w:b/>
        </w:rPr>
        <w:t>ARTÍCULO 92. </w:t>
      </w:r>
      <w:r>
        <w:rPr/>
        <w:t>El ayuntamiento, una vez que apruebe el Programa Municipal de Ordenamiento Territorial y Desarrollo Urbano, como requisito previo a su inscripción en el Registro Público de la Propiedad, dependiente del Instituto Registral y Catastral del Estado, deberá consultar a la Secretaría sobre la apropiada congruencia, coordinación y ajuste de dicho instrumento con la planeación estatal. La Secretaría tendrá un plazo de treinta días hábiles para dar respuesta, contados a partir de que sea presentada la solicitud y señalará con precisión si existe o no la congruencia y ajuste. Ante la omisión de respuesta operará la negativa ficta.</w:t>
      </w:r>
    </w:p>
    <w:p>
      <w:pPr>
        <w:pStyle w:val="BodyText"/>
        <w:spacing w:before="1"/>
      </w:pPr>
    </w:p>
    <w:p>
      <w:pPr>
        <w:pStyle w:val="BodyText"/>
        <w:ind w:left="262" w:right="280"/>
        <w:jc w:val="both"/>
      </w:pPr>
      <w:r>
        <w:rPr>
          <w:rFonts w:ascii="Arial" w:hAnsi="Arial"/>
          <w:b/>
        </w:rPr>
        <w:t>ARTÍCULO</w:t>
      </w:r>
      <w:r>
        <w:rPr>
          <w:rFonts w:ascii="Arial" w:hAnsi="Arial"/>
          <w:b/>
          <w:spacing w:val="-1"/>
        </w:rPr>
        <w:t> </w:t>
      </w:r>
      <w:r>
        <w:rPr>
          <w:rFonts w:ascii="Arial" w:hAnsi="Arial"/>
          <w:b/>
        </w:rPr>
        <w:t>93.</w:t>
      </w:r>
      <w:r>
        <w:rPr>
          <w:rFonts w:ascii="Arial" w:hAnsi="Arial"/>
          <w:b/>
          <w:spacing w:val="-1"/>
        </w:rPr>
        <w:t> </w:t>
      </w:r>
      <w:r>
        <w:rPr/>
        <w:t>En</w:t>
      </w:r>
      <w:r>
        <w:rPr>
          <w:spacing w:val="-2"/>
        </w:rPr>
        <w:t> </w:t>
      </w:r>
      <w:r>
        <w:rPr/>
        <w:t>caso</w:t>
      </w:r>
      <w:r>
        <w:rPr>
          <w:spacing w:val="-2"/>
        </w:rPr>
        <w:t> </w:t>
      </w:r>
      <w:r>
        <w:rPr/>
        <w:t>de que</w:t>
      </w:r>
      <w:r>
        <w:rPr>
          <w:spacing w:val="-2"/>
        </w:rPr>
        <w:t> </w:t>
      </w:r>
      <w:r>
        <w:rPr/>
        <w:t>el</w:t>
      </w:r>
      <w:r>
        <w:rPr>
          <w:spacing w:val="-1"/>
        </w:rPr>
        <w:t> </w:t>
      </w:r>
      <w:r>
        <w:rPr/>
        <w:t>dictamen</w:t>
      </w:r>
      <w:r>
        <w:rPr>
          <w:spacing w:val="-2"/>
        </w:rPr>
        <w:t> </w:t>
      </w:r>
      <w:r>
        <w:rPr/>
        <w:t>a que</w:t>
      </w:r>
      <w:r>
        <w:rPr>
          <w:spacing w:val="-2"/>
        </w:rPr>
        <w:t> </w:t>
      </w:r>
      <w:r>
        <w:rPr/>
        <w:t>se</w:t>
      </w:r>
      <w:r>
        <w:rPr>
          <w:spacing w:val="-2"/>
        </w:rPr>
        <w:t> </w:t>
      </w:r>
      <w:r>
        <w:rPr/>
        <w:t>refiere el</w:t>
      </w:r>
      <w:r>
        <w:rPr>
          <w:spacing w:val="-3"/>
        </w:rPr>
        <w:t> </w:t>
      </w:r>
      <w:r>
        <w:rPr/>
        <w:t>artículo</w:t>
      </w:r>
      <w:r>
        <w:rPr>
          <w:spacing w:val="-2"/>
        </w:rPr>
        <w:t> </w:t>
      </w:r>
      <w:r>
        <w:rPr/>
        <w:t>anterior</w:t>
      </w:r>
      <w:r>
        <w:rPr>
          <w:spacing w:val="-1"/>
        </w:rPr>
        <w:t> </w:t>
      </w:r>
      <w:r>
        <w:rPr/>
        <w:t>no sea</w:t>
      </w:r>
      <w:r>
        <w:rPr>
          <w:spacing w:val="-3"/>
        </w:rPr>
        <w:t> </w:t>
      </w:r>
      <w:r>
        <w:rPr/>
        <w:t>favorable,</w:t>
      </w:r>
      <w:r>
        <w:rPr>
          <w:spacing w:val="-2"/>
        </w:rPr>
        <w:t> </w:t>
      </w:r>
      <w:r>
        <w:rPr/>
        <w:t>el mismo</w:t>
      </w:r>
      <w:r>
        <w:rPr>
          <w:spacing w:val="-1"/>
        </w:rPr>
        <w:t> </w:t>
      </w:r>
      <w:r>
        <w:rPr/>
        <w:t>deberá justificar</w:t>
      </w:r>
      <w:r>
        <w:rPr>
          <w:spacing w:val="-1"/>
        </w:rPr>
        <w:t> </w:t>
      </w:r>
      <w:r>
        <w:rPr/>
        <w:t>de</w:t>
      </w:r>
      <w:r>
        <w:rPr>
          <w:spacing w:val="-1"/>
        </w:rPr>
        <w:t> </w:t>
      </w:r>
      <w:r>
        <w:rPr/>
        <w:t>manera</w:t>
      </w:r>
      <w:r>
        <w:rPr>
          <w:spacing w:val="-2"/>
        </w:rPr>
        <w:t> </w:t>
      </w:r>
      <w:r>
        <w:rPr/>
        <w:t>clara</w:t>
      </w:r>
      <w:r>
        <w:rPr>
          <w:spacing w:val="-2"/>
        </w:rPr>
        <w:t> </w:t>
      </w:r>
      <w:r>
        <w:rPr/>
        <w:t>y expresa</w:t>
      </w:r>
      <w:r>
        <w:rPr>
          <w:spacing w:val="-1"/>
        </w:rPr>
        <w:t> </w:t>
      </w:r>
      <w:r>
        <w:rPr/>
        <w:t>las recomendaciones</w:t>
      </w:r>
      <w:r>
        <w:rPr>
          <w:spacing w:val="-1"/>
        </w:rPr>
        <w:t> </w:t>
      </w:r>
      <w:r>
        <w:rPr/>
        <w:t>que</w:t>
      </w:r>
      <w:r>
        <w:rPr>
          <w:spacing w:val="-2"/>
        </w:rPr>
        <w:t> </w:t>
      </w:r>
      <w:r>
        <w:rPr/>
        <w:t>considere</w:t>
      </w:r>
      <w:r>
        <w:rPr>
          <w:spacing w:val="-1"/>
        </w:rPr>
        <w:t> </w:t>
      </w:r>
      <w:r>
        <w:rPr/>
        <w:t>pertinentes para que el ayuntamiento efectúe las modificaciones correspondientes, debiendo presentarlo nuevamente a la Secretaría, en los mismos términos del numeral anterior.</w:t>
      </w:r>
    </w:p>
    <w:p>
      <w:pPr>
        <w:pStyle w:val="BodyText"/>
      </w:pPr>
    </w:p>
    <w:p>
      <w:pPr>
        <w:pStyle w:val="BodyText"/>
        <w:ind w:left="262" w:right="287"/>
        <w:jc w:val="both"/>
      </w:pPr>
      <w:r>
        <w:rPr/>
        <w:t>El Instituto Registral y Catastral se abstendrá de registrar cualquier programa municipal de ordenamiento territorial y desarrollo urbano o de centro de población que no cuente con el referido dictamen favorable de congruencia expedido por la Secretaría.</w:t>
      </w:r>
    </w:p>
    <w:p>
      <w:pPr>
        <w:pStyle w:val="BodyText"/>
        <w:spacing w:before="229"/>
      </w:pPr>
    </w:p>
    <w:p>
      <w:pPr>
        <w:pStyle w:val="Heading2"/>
        <w:spacing w:before="1"/>
        <w:ind w:right="17"/>
      </w:pPr>
      <w:r>
        <w:rPr/>
        <w:t>Capítulo</w:t>
      </w:r>
      <w:r>
        <w:rPr>
          <w:spacing w:val="-8"/>
        </w:rPr>
        <w:t> </w:t>
      </w:r>
      <w:r>
        <w:rPr>
          <w:spacing w:val="-10"/>
        </w:rPr>
        <w:t>V</w:t>
      </w:r>
    </w:p>
    <w:p>
      <w:pPr>
        <w:pStyle w:val="BodyText"/>
        <w:spacing w:before="1"/>
        <w:rPr>
          <w:rFonts w:ascii="Arial"/>
          <w:b/>
        </w:rPr>
      </w:pPr>
    </w:p>
    <w:p>
      <w:pPr>
        <w:spacing w:before="0"/>
        <w:ind w:left="0" w:right="22" w:firstLine="0"/>
        <w:jc w:val="center"/>
        <w:rPr>
          <w:rFonts w:ascii="Arial" w:hAnsi="Arial"/>
          <w:b/>
          <w:sz w:val="20"/>
        </w:rPr>
      </w:pPr>
      <w:r>
        <w:rPr>
          <w:rFonts w:ascii="Arial" w:hAnsi="Arial"/>
          <w:b/>
          <w:sz w:val="20"/>
        </w:rPr>
        <w:t>Programas</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Desarrollo</w:t>
      </w:r>
      <w:r>
        <w:rPr>
          <w:rFonts w:ascii="Arial" w:hAnsi="Arial"/>
          <w:b/>
          <w:spacing w:val="-5"/>
          <w:sz w:val="20"/>
        </w:rPr>
        <w:t> </w:t>
      </w:r>
      <w:r>
        <w:rPr>
          <w:rFonts w:ascii="Arial" w:hAnsi="Arial"/>
          <w:b/>
          <w:sz w:val="20"/>
        </w:rPr>
        <w:t>Urbano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Centro</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Población</w:t>
      </w:r>
    </w:p>
    <w:p>
      <w:pPr>
        <w:pStyle w:val="BodyText"/>
        <w:rPr>
          <w:rFonts w:ascii="Arial"/>
          <w:b/>
        </w:rPr>
      </w:pPr>
    </w:p>
    <w:p>
      <w:pPr>
        <w:pStyle w:val="BodyText"/>
        <w:spacing w:before="1"/>
        <w:ind w:left="262" w:right="276"/>
        <w:jc w:val="both"/>
      </w:pPr>
      <w:r>
        <w:rPr>
          <w:rFonts w:ascii="Arial" w:hAnsi="Arial"/>
          <w:b/>
        </w:rPr>
        <w:t>ARTÍCULO 94. </w:t>
      </w:r>
      <w:r>
        <w:rPr/>
        <w:t>Los programas de desarrollo urbano de centros de población, son el conjunto de disposiciones</w:t>
      </w:r>
      <w:r>
        <w:rPr>
          <w:spacing w:val="-8"/>
        </w:rPr>
        <w:t> </w:t>
      </w:r>
      <w:r>
        <w:rPr/>
        <w:t>y</w:t>
      </w:r>
      <w:r>
        <w:rPr>
          <w:spacing w:val="-8"/>
        </w:rPr>
        <w:t> </w:t>
      </w:r>
      <w:r>
        <w:rPr/>
        <w:t>normas</w:t>
      </w:r>
      <w:r>
        <w:rPr>
          <w:spacing w:val="-8"/>
        </w:rPr>
        <w:t> </w:t>
      </w:r>
      <w:r>
        <w:rPr/>
        <w:t>para</w:t>
      </w:r>
      <w:r>
        <w:rPr>
          <w:spacing w:val="-9"/>
        </w:rPr>
        <w:t> </w:t>
      </w:r>
      <w:r>
        <w:rPr/>
        <w:t>ordenar,</w:t>
      </w:r>
      <w:r>
        <w:rPr>
          <w:spacing w:val="-6"/>
        </w:rPr>
        <w:t> </w:t>
      </w:r>
      <w:r>
        <w:rPr/>
        <w:t>planear</w:t>
      </w:r>
      <w:r>
        <w:rPr>
          <w:spacing w:val="-8"/>
        </w:rPr>
        <w:t> </w:t>
      </w:r>
      <w:r>
        <w:rPr/>
        <w:t>y</w:t>
      </w:r>
      <w:r>
        <w:rPr>
          <w:spacing w:val="-8"/>
        </w:rPr>
        <w:t> </w:t>
      </w:r>
      <w:r>
        <w:rPr/>
        <w:t>regular</w:t>
      </w:r>
      <w:r>
        <w:rPr>
          <w:spacing w:val="-6"/>
        </w:rPr>
        <w:t> </w:t>
      </w:r>
      <w:r>
        <w:rPr/>
        <w:t>la</w:t>
      </w:r>
      <w:r>
        <w:rPr>
          <w:spacing w:val="-9"/>
        </w:rPr>
        <w:t> </w:t>
      </w:r>
      <w:r>
        <w:rPr/>
        <w:t>zonificación,</w:t>
      </w:r>
      <w:r>
        <w:rPr>
          <w:spacing w:val="-6"/>
        </w:rPr>
        <w:t> </w:t>
      </w:r>
      <w:r>
        <w:rPr/>
        <w:t>las</w:t>
      </w:r>
      <w:r>
        <w:rPr>
          <w:spacing w:val="-8"/>
        </w:rPr>
        <w:t> </w:t>
      </w:r>
      <w:r>
        <w:rPr/>
        <w:t>reservas,</w:t>
      </w:r>
      <w:r>
        <w:rPr>
          <w:spacing w:val="-9"/>
        </w:rPr>
        <w:t> </w:t>
      </w:r>
      <w:r>
        <w:rPr/>
        <w:t>usos</w:t>
      </w:r>
      <w:r>
        <w:rPr>
          <w:spacing w:val="-8"/>
        </w:rPr>
        <w:t> </w:t>
      </w:r>
      <w:r>
        <w:rPr/>
        <w:t>y</w:t>
      </w:r>
      <w:r>
        <w:rPr>
          <w:spacing w:val="-8"/>
        </w:rPr>
        <w:t> </w:t>
      </w:r>
      <w:r>
        <w:rPr/>
        <w:t>destinos del</w:t>
      </w:r>
      <w:r>
        <w:rPr>
          <w:spacing w:val="-7"/>
        </w:rPr>
        <w:t> </w:t>
      </w:r>
      <w:r>
        <w:rPr/>
        <w:t>territorio</w:t>
      </w:r>
      <w:r>
        <w:rPr>
          <w:spacing w:val="-7"/>
        </w:rPr>
        <w:t> </w:t>
      </w:r>
      <w:r>
        <w:rPr/>
        <w:t>de</w:t>
      </w:r>
      <w:r>
        <w:rPr>
          <w:spacing w:val="-7"/>
        </w:rPr>
        <w:t> </w:t>
      </w:r>
      <w:r>
        <w:rPr/>
        <w:t>los</w:t>
      </w:r>
      <w:r>
        <w:rPr>
          <w:spacing w:val="-8"/>
        </w:rPr>
        <w:t> </w:t>
      </w:r>
      <w:r>
        <w:rPr/>
        <w:t>centros</w:t>
      </w:r>
      <w:r>
        <w:rPr>
          <w:spacing w:val="-6"/>
        </w:rPr>
        <w:t> </w:t>
      </w:r>
      <w:r>
        <w:rPr/>
        <w:t>de</w:t>
      </w:r>
      <w:r>
        <w:rPr>
          <w:spacing w:val="-7"/>
        </w:rPr>
        <w:t> </w:t>
      </w:r>
      <w:r>
        <w:rPr/>
        <w:t>población</w:t>
      </w:r>
      <w:r>
        <w:rPr>
          <w:spacing w:val="-9"/>
        </w:rPr>
        <w:t> </w:t>
      </w:r>
      <w:r>
        <w:rPr/>
        <w:t>y,</w:t>
      </w:r>
      <w:r>
        <w:rPr>
          <w:spacing w:val="-7"/>
        </w:rPr>
        <w:t> </w:t>
      </w:r>
      <w:r>
        <w:rPr/>
        <w:t>regular</w:t>
      </w:r>
      <w:r>
        <w:rPr>
          <w:spacing w:val="-6"/>
        </w:rPr>
        <w:t> </w:t>
      </w:r>
      <w:r>
        <w:rPr/>
        <w:t>el</w:t>
      </w:r>
      <w:r>
        <w:rPr>
          <w:spacing w:val="-10"/>
        </w:rPr>
        <w:t> </w:t>
      </w:r>
      <w:r>
        <w:rPr/>
        <w:t>funcionamiento</w:t>
      </w:r>
      <w:r>
        <w:rPr>
          <w:spacing w:val="-9"/>
        </w:rPr>
        <w:t> </w:t>
      </w:r>
      <w:r>
        <w:rPr/>
        <w:t>y organización</w:t>
      </w:r>
      <w:r>
        <w:rPr>
          <w:spacing w:val="-9"/>
        </w:rPr>
        <w:t> </w:t>
      </w:r>
      <w:r>
        <w:rPr/>
        <w:t>de</w:t>
      </w:r>
      <w:r>
        <w:rPr>
          <w:spacing w:val="-9"/>
        </w:rPr>
        <w:t> </w:t>
      </w:r>
      <w:r>
        <w:rPr/>
        <w:t>sus</w:t>
      </w:r>
      <w:r>
        <w:rPr>
          <w:spacing w:val="-6"/>
        </w:rPr>
        <w:t> </w:t>
      </w:r>
      <w:r>
        <w:rPr/>
        <w:t>áreas</w:t>
      </w:r>
      <w:r>
        <w:rPr>
          <w:spacing w:val="-5"/>
        </w:rPr>
        <w:t> </w:t>
      </w:r>
      <w:r>
        <w:rPr/>
        <w:t>de conservación, mejoramiento y crecimiento, así como establecer las bases para la ejecución de acciones, obras y servicios.</w:t>
      </w:r>
    </w:p>
    <w:p>
      <w:pPr>
        <w:pStyle w:val="BodyText"/>
      </w:pPr>
    </w:p>
    <w:p>
      <w:pPr>
        <w:pStyle w:val="BodyText"/>
        <w:ind w:left="262" w:right="287"/>
        <w:jc w:val="both"/>
      </w:pPr>
      <w:r>
        <w:rPr>
          <w:rFonts w:ascii="Arial" w:hAnsi="Arial"/>
          <w:b/>
        </w:rPr>
        <w:t>ARTÍCULO 95. </w:t>
      </w:r>
      <w:r>
        <w:rPr/>
        <w:t>Los programas de desarrollo urbano de centros de población contendrán, además de los elementos básicos a que se refiere el artículo 68 de esta Ley, lo siguiente:</w:t>
      </w:r>
    </w:p>
    <w:p>
      <w:pPr>
        <w:pStyle w:val="ListParagraph"/>
        <w:numPr>
          <w:ilvl w:val="0"/>
          <w:numId w:val="44"/>
        </w:numPr>
        <w:tabs>
          <w:tab w:pos="543" w:val="left" w:leader="none"/>
        </w:tabs>
        <w:spacing w:line="240" w:lineRule="auto" w:before="229" w:after="0"/>
        <w:ind w:left="262" w:right="289" w:firstLine="0"/>
        <w:jc w:val="left"/>
        <w:rPr>
          <w:sz w:val="20"/>
        </w:rPr>
      </w:pPr>
      <w:r>
        <w:rPr>
          <w:sz w:val="20"/>
        </w:rPr>
        <w:t>El análisis de los problemas urbanos actuales y previstos, así como de las condiciones para su atención, sobre la base de:</w:t>
      </w:r>
    </w:p>
    <w:p>
      <w:pPr>
        <w:pStyle w:val="BodyText"/>
        <w:spacing w:before="1"/>
      </w:pPr>
    </w:p>
    <w:p>
      <w:pPr>
        <w:pStyle w:val="ListParagraph"/>
        <w:numPr>
          <w:ilvl w:val="1"/>
          <w:numId w:val="44"/>
        </w:numPr>
        <w:tabs>
          <w:tab w:pos="544" w:val="left" w:leader="none"/>
        </w:tabs>
        <w:spacing w:line="240" w:lineRule="auto" w:before="0" w:after="0"/>
        <w:ind w:left="544" w:right="0" w:hanging="282"/>
        <w:jc w:val="left"/>
        <w:rPr>
          <w:sz w:val="20"/>
        </w:rPr>
      </w:pPr>
      <w:r>
        <w:rPr>
          <w:sz w:val="20"/>
        </w:rPr>
        <w:t>El</w:t>
      </w:r>
      <w:r>
        <w:rPr>
          <w:spacing w:val="-6"/>
          <w:sz w:val="20"/>
        </w:rPr>
        <w:t> </w:t>
      </w:r>
      <w:r>
        <w:rPr>
          <w:sz w:val="20"/>
        </w:rPr>
        <w:t>medio</w:t>
      </w:r>
      <w:r>
        <w:rPr>
          <w:spacing w:val="-5"/>
          <w:sz w:val="20"/>
        </w:rPr>
        <w:t> </w:t>
      </w:r>
      <w:r>
        <w:rPr>
          <w:sz w:val="20"/>
        </w:rPr>
        <w:t>físico</w:t>
      </w:r>
      <w:r>
        <w:rPr>
          <w:spacing w:val="-6"/>
          <w:sz w:val="20"/>
        </w:rPr>
        <w:t> </w:t>
      </w:r>
      <w:r>
        <w:rPr>
          <w:sz w:val="20"/>
        </w:rPr>
        <w:t>y</w:t>
      </w:r>
      <w:r>
        <w:rPr>
          <w:spacing w:val="-6"/>
          <w:sz w:val="20"/>
        </w:rPr>
        <w:t> </w:t>
      </w:r>
      <w:r>
        <w:rPr>
          <w:sz w:val="20"/>
        </w:rPr>
        <w:t>los</w:t>
      </w:r>
      <w:r>
        <w:rPr>
          <w:spacing w:val="-5"/>
          <w:sz w:val="20"/>
        </w:rPr>
        <w:t> </w:t>
      </w:r>
      <w:r>
        <w:rPr>
          <w:sz w:val="20"/>
        </w:rPr>
        <w:t>recursos</w:t>
      </w:r>
      <w:r>
        <w:rPr>
          <w:spacing w:val="-6"/>
          <w:sz w:val="20"/>
        </w:rPr>
        <w:t> </w:t>
      </w:r>
      <w:r>
        <w:rPr>
          <w:sz w:val="20"/>
        </w:rPr>
        <w:t>naturales</w:t>
      </w:r>
      <w:r>
        <w:rPr>
          <w:spacing w:val="-4"/>
          <w:sz w:val="20"/>
        </w:rPr>
        <w:t> </w:t>
      </w:r>
      <w:r>
        <w:rPr>
          <w:sz w:val="20"/>
        </w:rPr>
        <w:t>del</w:t>
      </w:r>
      <w:r>
        <w:rPr>
          <w:spacing w:val="-6"/>
          <w:sz w:val="20"/>
        </w:rPr>
        <w:t> </w:t>
      </w:r>
      <w:r>
        <w:rPr>
          <w:spacing w:val="-2"/>
          <w:sz w:val="20"/>
        </w:rPr>
        <w:t>territorio.</w:t>
      </w:r>
    </w:p>
    <w:p>
      <w:pPr>
        <w:pStyle w:val="ListParagraph"/>
        <w:numPr>
          <w:ilvl w:val="1"/>
          <w:numId w:val="44"/>
        </w:numPr>
        <w:tabs>
          <w:tab w:pos="544" w:val="left" w:leader="none"/>
        </w:tabs>
        <w:spacing w:line="240" w:lineRule="auto" w:before="229" w:after="0"/>
        <w:ind w:left="544" w:right="0" w:hanging="282"/>
        <w:jc w:val="left"/>
        <w:rPr>
          <w:sz w:val="20"/>
        </w:rPr>
      </w:pPr>
      <w:r>
        <w:rPr>
          <w:sz w:val="20"/>
        </w:rPr>
        <w:t>Los</w:t>
      </w:r>
      <w:r>
        <w:rPr>
          <w:spacing w:val="-5"/>
          <w:sz w:val="20"/>
        </w:rPr>
        <w:t> </w:t>
      </w:r>
      <w:r>
        <w:rPr>
          <w:sz w:val="20"/>
        </w:rPr>
        <w:t>usos</w:t>
      </w:r>
      <w:r>
        <w:rPr>
          <w:spacing w:val="-5"/>
          <w:sz w:val="20"/>
        </w:rPr>
        <w:t> </w:t>
      </w:r>
      <w:r>
        <w:rPr>
          <w:sz w:val="20"/>
        </w:rPr>
        <w:t>de</w:t>
      </w:r>
      <w:r>
        <w:rPr>
          <w:spacing w:val="-4"/>
          <w:sz w:val="20"/>
        </w:rPr>
        <w:t> </w:t>
      </w:r>
      <w:r>
        <w:rPr>
          <w:sz w:val="20"/>
        </w:rPr>
        <w:t>suelo</w:t>
      </w:r>
      <w:r>
        <w:rPr>
          <w:spacing w:val="-6"/>
          <w:sz w:val="20"/>
        </w:rPr>
        <w:t> </w:t>
      </w:r>
      <w:r>
        <w:rPr>
          <w:sz w:val="20"/>
        </w:rPr>
        <w:t>y</w:t>
      </w:r>
      <w:r>
        <w:rPr>
          <w:spacing w:val="-4"/>
          <w:sz w:val="20"/>
        </w:rPr>
        <w:t> </w:t>
      </w:r>
      <w:r>
        <w:rPr>
          <w:sz w:val="20"/>
        </w:rPr>
        <w:t>la</w:t>
      </w:r>
      <w:r>
        <w:rPr>
          <w:spacing w:val="-6"/>
          <w:sz w:val="20"/>
        </w:rPr>
        <w:t> </w:t>
      </w:r>
      <w:r>
        <w:rPr>
          <w:sz w:val="20"/>
        </w:rPr>
        <w:t>tenencia</w:t>
      </w:r>
      <w:r>
        <w:rPr>
          <w:spacing w:val="-6"/>
          <w:sz w:val="20"/>
        </w:rPr>
        <w:t> </w:t>
      </w:r>
      <w:r>
        <w:rPr>
          <w:sz w:val="20"/>
        </w:rPr>
        <w:t>de</w:t>
      </w:r>
      <w:r>
        <w:rPr>
          <w:spacing w:val="-5"/>
          <w:sz w:val="20"/>
        </w:rPr>
        <w:t> </w:t>
      </w:r>
      <w:r>
        <w:rPr>
          <w:sz w:val="20"/>
        </w:rPr>
        <w:t>la</w:t>
      </w:r>
      <w:r>
        <w:rPr>
          <w:spacing w:val="-6"/>
          <w:sz w:val="20"/>
        </w:rPr>
        <w:t> </w:t>
      </w:r>
      <w:r>
        <w:rPr>
          <w:sz w:val="20"/>
        </w:rPr>
        <w:t>tierra,</w:t>
      </w:r>
      <w:r>
        <w:rPr>
          <w:spacing w:val="-6"/>
          <w:sz w:val="20"/>
        </w:rPr>
        <w:t> </w:t>
      </w:r>
      <w:r>
        <w:rPr>
          <w:sz w:val="20"/>
        </w:rPr>
        <w:t>considerando</w:t>
      </w:r>
      <w:r>
        <w:rPr>
          <w:spacing w:val="-4"/>
          <w:sz w:val="20"/>
        </w:rPr>
        <w:t> </w:t>
      </w:r>
      <w:r>
        <w:rPr>
          <w:sz w:val="20"/>
        </w:rPr>
        <w:t>el</w:t>
      </w:r>
      <w:r>
        <w:rPr>
          <w:spacing w:val="-6"/>
          <w:sz w:val="20"/>
        </w:rPr>
        <w:t> </w:t>
      </w:r>
      <w:r>
        <w:rPr>
          <w:sz w:val="20"/>
        </w:rPr>
        <w:t>valor</w:t>
      </w:r>
      <w:r>
        <w:rPr>
          <w:spacing w:val="-6"/>
          <w:sz w:val="20"/>
        </w:rPr>
        <w:t> </w:t>
      </w:r>
      <w:r>
        <w:rPr>
          <w:spacing w:val="-2"/>
          <w:sz w:val="20"/>
        </w:rPr>
        <w:t>ambiental.</w:t>
      </w:r>
    </w:p>
    <w:p>
      <w:pPr>
        <w:pStyle w:val="BodyText"/>
        <w:spacing w:before="1"/>
      </w:pPr>
    </w:p>
    <w:p>
      <w:pPr>
        <w:spacing w:before="0"/>
        <w:ind w:left="262" w:right="0" w:firstLine="0"/>
        <w:jc w:val="both"/>
        <w:rPr>
          <w:rFonts w:ascii="Arial"/>
          <w:b/>
          <w:i/>
          <w:sz w:val="20"/>
        </w:rPr>
      </w:pPr>
      <w:r>
        <w:rPr>
          <w:rFonts w:ascii="Arial"/>
          <w:b/>
          <w:i/>
          <w:sz w:val="20"/>
        </w:rPr>
        <w:t>(REFORMADO</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4"/>
          <w:sz w:val="20"/>
        </w:rPr>
        <w:t> </w:t>
      </w:r>
      <w:r>
        <w:rPr>
          <w:rFonts w:ascii="Arial"/>
          <w:b/>
          <w:i/>
          <w:sz w:val="20"/>
        </w:rPr>
        <w:t>22</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6"/>
          <w:sz w:val="20"/>
        </w:rPr>
        <w:t> </w:t>
      </w:r>
      <w:r>
        <w:rPr>
          <w:rFonts w:ascii="Arial"/>
          <w:b/>
          <w:i/>
          <w:sz w:val="20"/>
        </w:rPr>
        <w:t>DE</w:t>
      </w:r>
      <w:r>
        <w:rPr>
          <w:rFonts w:ascii="Arial"/>
          <w:b/>
          <w:i/>
          <w:spacing w:val="-4"/>
          <w:sz w:val="20"/>
        </w:rPr>
        <w:t> 2026)</w:t>
      </w:r>
    </w:p>
    <w:p>
      <w:pPr>
        <w:pStyle w:val="Heading2"/>
        <w:numPr>
          <w:ilvl w:val="1"/>
          <w:numId w:val="44"/>
        </w:numPr>
        <w:tabs>
          <w:tab w:pos="544" w:val="left" w:leader="none"/>
        </w:tabs>
        <w:spacing w:line="240" w:lineRule="auto" w:before="0" w:after="0"/>
        <w:ind w:left="262" w:right="285" w:firstLine="0"/>
        <w:jc w:val="left"/>
      </w:pPr>
      <w:r>
        <w:rPr/>
        <w:t>La</w:t>
      </w:r>
      <w:r>
        <w:rPr>
          <w:spacing w:val="40"/>
        </w:rPr>
        <w:t> </w:t>
      </w:r>
      <w:r>
        <w:rPr/>
        <w:t>infraestructura,</w:t>
      </w:r>
      <w:r>
        <w:rPr>
          <w:spacing w:val="40"/>
        </w:rPr>
        <w:t> </w:t>
      </w:r>
      <w:r>
        <w:rPr/>
        <w:t>vivienda</w:t>
      </w:r>
      <w:r>
        <w:rPr>
          <w:spacing w:val="40"/>
        </w:rPr>
        <w:t> </w:t>
      </w:r>
      <w:r>
        <w:rPr/>
        <w:t>adecuada,</w:t>
      </w:r>
      <w:r>
        <w:rPr>
          <w:spacing w:val="40"/>
        </w:rPr>
        <w:t> </w:t>
      </w:r>
      <w:r>
        <w:rPr/>
        <w:t>vialidad,</w:t>
      </w:r>
      <w:r>
        <w:rPr>
          <w:spacing w:val="40"/>
        </w:rPr>
        <w:t> </w:t>
      </w:r>
      <w:r>
        <w:rPr/>
        <w:t>transporte,</w:t>
      </w:r>
      <w:r>
        <w:rPr>
          <w:spacing w:val="40"/>
        </w:rPr>
        <w:t> </w:t>
      </w:r>
      <w:r>
        <w:rPr/>
        <w:t>equipamiento</w:t>
      </w:r>
      <w:r>
        <w:rPr>
          <w:spacing w:val="40"/>
        </w:rPr>
        <w:t> </w:t>
      </w:r>
      <w:r>
        <w:rPr/>
        <w:t>y</w:t>
      </w:r>
      <w:r>
        <w:rPr>
          <w:spacing w:val="40"/>
        </w:rPr>
        <w:t> </w:t>
      </w:r>
      <w:r>
        <w:rPr/>
        <w:t>servicios </w:t>
      </w:r>
      <w:r>
        <w:rPr>
          <w:spacing w:val="-2"/>
        </w:rPr>
        <w:t>urbanos.</w:t>
      </w:r>
    </w:p>
    <w:p>
      <w:pPr>
        <w:pStyle w:val="ListParagraph"/>
        <w:numPr>
          <w:ilvl w:val="1"/>
          <w:numId w:val="44"/>
        </w:numPr>
        <w:tabs>
          <w:tab w:pos="544" w:val="left" w:leader="none"/>
        </w:tabs>
        <w:spacing w:line="240" w:lineRule="auto" w:before="229" w:after="0"/>
        <w:ind w:left="262" w:right="287" w:firstLine="0"/>
        <w:jc w:val="left"/>
        <w:rPr>
          <w:sz w:val="20"/>
        </w:rPr>
      </w:pPr>
      <w:r>
        <w:rPr>
          <w:sz w:val="20"/>
        </w:rPr>
        <w:t>La vulnerabilidad y riesgo a la que estén sujetas las diferentes zonas y sectores del centro de </w:t>
      </w:r>
      <w:r>
        <w:rPr>
          <w:spacing w:val="-2"/>
          <w:sz w:val="20"/>
        </w:rPr>
        <w:t>población.</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44"/>
        </w:numPr>
        <w:tabs>
          <w:tab w:pos="544" w:val="left" w:leader="none"/>
        </w:tabs>
        <w:spacing w:line="240" w:lineRule="auto" w:before="0" w:after="0"/>
        <w:ind w:left="262" w:right="288" w:firstLine="0"/>
        <w:jc w:val="both"/>
        <w:rPr>
          <w:sz w:val="20"/>
        </w:rPr>
      </w:pPr>
      <w:r>
        <w:rPr>
          <w:sz w:val="20"/>
        </w:rPr>
        <w:t>La identificación de asentamientos humanos irregulares, determinando su ubicación, límites, y número de personas asentadas en los mismos, especificando si se trata de zonas de riesgo.</w:t>
      </w:r>
    </w:p>
    <w:p>
      <w:pPr>
        <w:pStyle w:val="BodyText"/>
        <w:spacing w:before="1"/>
      </w:pPr>
    </w:p>
    <w:p>
      <w:pPr>
        <w:pStyle w:val="ListParagraph"/>
        <w:numPr>
          <w:ilvl w:val="1"/>
          <w:numId w:val="44"/>
        </w:numPr>
        <w:tabs>
          <w:tab w:pos="543" w:val="left" w:leader="none"/>
        </w:tabs>
        <w:spacing w:line="240" w:lineRule="auto" w:before="0" w:after="0"/>
        <w:ind w:left="262" w:right="288" w:firstLine="0"/>
        <w:jc w:val="both"/>
        <w:rPr>
          <w:sz w:val="20"/>
        </w:rPr>
      </w:pPr>
      <w:r>
        <w:rPr>
          <w:sz w:val="20"/>
        </w:rPr>
        <w:t>Características formales y de construcción de los elementos que conforman la imagen urbana, así como su valor histórico, artístico, cultural y ambiental.</w:t>
      </w:r>
    </w:p>
    <w:p>
      <w:pPr>
        <w:pStyle w:val="ListParagraph"/>
        <w:numPr>
          <w:ilvl w:val="1"/>
          <w:numId w:val="44"/>
        </w:numPr>
        <w:tabs>
          <w:tab w:pos="544" w:val="left" w:leader="none"/>
        </w:tabs>
        <w:spacing w:line="240" w:lineRule="auto" w:before="229" w:after="0"/>
        <w:ind w:left="262" w:right="289" w:firstLine="0"/>
        <w:jc w:val="both"/>
        <w:rPr>
          <w:sz w:val="20"/>
        </w:rPr>
      </w:pPr>
      <w:r>
        <w:rPr>
          <w:sz w:val="20"/>
        </w:rPr>
        <w:t>La composición y distribución de la población, dinámica de crecimiento y relación con las actividades económicas.</w:t>
      </w:r>
    </w:p>
    <w:p>
      <w:pPr>
        <w:pStyle w:val="BodyText"/>
        <w:spacing w:before="1"/>
      </w:pPr>
    </w:p>
    <w:p>
      <w:pPr>
        <w:pStyle w:val="ListParagraph"/>
        <w:numPr>
          <w:ilvl w:val="1"/>
          <w:numId w:val="44"/>
        </w:numPr>
        <w:tabs>
          <w:tab w:pos="544" w:val="left" w:leader="none"/>
        </w:tabs>
        <w:spacing w:line="240" w:lineRule="auto" w:before="0" w:after="0"/>
        <w:ind w:left="544" w:right="0" w:hanging="282"/>
        <w:jc w:val="both"/>
        <w:rPr>
          <w:sz w:val="20"/>
        </w:rPr>
      </w:pPr>
      <w:r>
        <w:rPr>
          <w:sz w:val="20"/>
        </w:rPr>
        <w:t>Las</w:t>
      </w:r>
      <w:r>
        <w:rPr>
          <w:spacing w:val="-7"/>
          <w:sz w:val="20"/>
        </w:rPr>
        <w:t> </w:t>
      </w:r>
      <w:r>
        <w:rPr>
          <w:sz w:val="20"/>
        </w:rPr>
        <w:t>tendencias</w:t>
      </w:r>
      <w:r>
        <w:rPr>
          <w:spacing w:val="-6"/>
          <w:sz w:val="20"/>
        </w:rPr>
        <w:t> </w:t>
      </w:r>
      <w:r>
        <w:rPr>
          <w:sz w:val="20"/>
        </w:rPr>
        <w:t>y</w:t>
      </w:r>
      <w:r>
        <w:rPr>
          <w:spacing w:val="-6"/>
          <w:sz w:val="20"/>
        </w:rPr>
        <w:t> </w:t>
      </w:r>
      <w:r>
        <w:rPr>
          <w:sz w:val="20"/>
        </w:rPr>
        <w:t>patrones</w:t>
      </w:r>
      <w:r>
        <w:rPr>
          <w:spacing w:val="-4"/>
          <w:sz w:val="20"/>
        </w:rPr>
        <w:t> </w:t>
      </w:r>
      <w:r>
        <w:rPr>
          <w:sz w:val="20"/>
        </w:rPr>
        <w:t>de</w:t>
      </w:r>
      <w:r>
        <w:rPr>
          <w:spacing w:val="-8"/>
          <w:sz w:val="20"/>
        </w:rPr>
        <w:t> </w:t>
      </w:r>
      <w:r>
        <w:rPr>
          <w:sz w:val="20"/>
        </w:rPr>
        <w:t>crecimiento</w:t>
      </w:r>
      <w:r>
        <w:rPr>
          <w:spacing w:val="-8"/>
          <w:sz w:val="20"/>
        </w:rPr>
        <w:t> </w:t>
      </w:r>
      <w:r>
        <w:rPr>
          <w:sz w:val="20"/>
        </w:rPr>
        <w:t>de</w:t>
      </w:r>
      <w:r>
        <w:rPr>
          <w:spacing w:val="-7"/>
          <w:sz w:val="20"/>
        </w:rPr>
        <w:t> </w:t>
      </w:r>
      <w:r>
        <w:rPr>
          <w:sz w:val="20"/>
        </w:rPr>
        <w:t>las</w:t>
      </w:r>
      <w:r>
        <w:rPr>
          <w:spacing w:val="-6"/>
          <w:sz w:val="20"/>
        </w:rPr>
        <w:t> </w:t>
      </w:r>
      <w:r>
        <w:rPr>
          <w:sz w:val="20"/>
        </w:rPr>
        <w:t>áreas</w:t>
      </w:r>
      <w:r>
        <w:rPr>
          <w:spacing w:val="-4"/>
          <w:sz w:val="20"/>
        </w:rPr>
        <w:t> </w:t>
      </w:r>
      <w:r>
        <w:rPr>
          <w:spacing w:val="-2"/>
          <w:sz w:val="20"/>
        </w:rPr>
        <w:t>urbanas.</w:t>
      </w:r>
    </w:p>
    <w:p>
      <w:pPr>
        <w:pStyle w:val="ListParagraph"/>
        <w:numPr>
          <w:ilvl w:val="1"/>
          <w:numId w:val="44"/>
        </w:numPr>
        <w:tabs>
          <w:tab w:pos="543" w:val="left" w:leader="none"/>
        </w:tabs>
        <w:spacing w:line="240" w:lineRule="auto" w:before="229" w:after="0"/>
        <w:ind w:left="262" w:right="288" w:firstLine="0"/>
        <w:jc w:val="both"/>
        <w:rPr>
          <w:sz w:val="20"/>
        </w:rPr>
      </w:pPr>
      <w:r>
        <w:rPr>
          <w:sz w:val="20"/>
        </w:rPr>
        <w:t>La localización, características y estado de conservación de las áreas naturales en general, así como la identificación de los principales problemas ambientales.</w:t>
      </w:r>
    </w:p>
    <w:p>
      <w:pPr>
        <w:pStyle w:val="BodyText"/>
        <w:spacing w:before="1"/>
      </w:pPr>
    </w:p>
    <w:p>
      <w:pPr>
        <w:pStyle w:val="ListParagraph"/>
        <w:numPr>
          <w:ilvl w:val="1"/>
          <w:numId w:val="44"/>
        </w:numPr>
        <w:tabs>
          <w:tab w:pos="543" w:val="left" w:leader="none"/>
        </w:tabs>
        <w:spacing w:line="240" w:lineRule="auto" w:before="1" w:after="0"/>
        <w:ind w:left="543" w:right="0" w:hanging="281"/>
        <w:jc w:val="both"/>
        <w:rPr>
          <w:sz w:val="20"/>
        </w:rPr>
      </w:pPr>
      <w:r>
        <w:rPr>
          <w:sz w:val="20"/>
        </w:rPr>
        <w:t>La</w:t>
      </w:r>
      <w:r>
        <w:rPr>
          <w:spacing w:val="-11"/>
          <w:sz w:val="20"/>
        </w:rPr>
        <w:t> </w:t>
      </w:r>
      <w:r>
        <w:rPr>
          <w:sz w:val="20"/>
        </w:rPr>
        <w:t>organización</w:t>
      </w:r>
      <w:r>
        <w:rPr>
          <w:spacing w:val="-7"/>
          <w:sz w:val="20"/>
        </w:rPr>
        <w:t> </w:t>
      </w:r>
      <w:r>
        <w:rPr>
          <w:sz w:val="20"/>
        </w:rPr>
        <w:t>y</w:t>
      </w:r>
      <w:r>
        <w:rPr>
          <w:spacing w:val="-9"/>
          <w:sz w:val="20"/>
        </w:rPr>
        <w:t> </w:t>
      </w:r>
      <w:r>
        <w:rPr>
          <w:sz w:val="20"/>
        </w:rPr>
        <w:t>procedimientos</w:t>
      </w:r>
      <w:r>
        <w:rPr>
          <w:spacing w:val="-8"/>
          <w:sz w:val="20"/>
        </w:rPr>
        <w:t> </w:t>
      </w:r>
      <w:r>
        <w:rPr>
          <w:sz w:val="20"/>
        </w:rPr>
        <w:t>municipales</w:t>
      </w:r>
      <w:r>
        <w:rPr>
          <w:spacing w:val="-9"/>
          <w:sz w:val="20"/>
        </w:rPr>
        <w:t> </w:t>
      </w:r>
      <w:r>
        <w:rPr>
          <w:sz w:val="20"/>
        </w:rPr>
        <w:t>para</w:t>
      </w:r>
      <w:r>
        <w:rPr>
          <w:spacing w:val="-9"/>
          <w:sz w:val="20"/>
        </w:rPr>
        <w:t> </w:t>
      </w:r>
      <w:r>
        <w:rPr>
          <w:sz w:val="20"/>
        </w:rPr>
        <w:t>la</w:t>
      </w:r>
      <w:r>
        <w:rPr>
          <w:spacing w:val="-8"/>
          <w:sz w:val="20"/>
        </w:rPr>
        <w:t> </w:t>
      </w:r>
      <w:r>
        <w:rPr>
          <w:sz w:val="20"/>
        </w:rPr>
        <w:t>administración</w:t>
      </w:r>
      <w:r>
        <w:rPr>
          <w:spacing w:val="-9"/>
          <w:sz w:val="20"/>
        </w:rPr>
        <w:t> </w:t>
      </w:r>
      <w:r>
        <w:rPr>
          <w:sz w:val="20"/>
        </w:rPr>
        <w:t>del</w:t>
      </w:r>
      <w:r>
        <w:rPr>
          <w:spacing w:val="-10"/>
          <w:sz w:val="20"/>
        </w:rPr>
        <w:t> </w:t>
      </w:r>
      <w:r>
        <w:rPr>
          <w:sz w:val="20"/>
        </w:rPr>
        <w:t>desarrollo</w:t>
      </w:r>
      <w:r>
        <w:rPr>
          <w:spacing w:val="-9"/>
          <w:sz w:val="20"/>
        </w:rPr>
        <w:t> </w:t>
      </w:r>
      <w:r>
        <w:rPr>
          <w:spacing w:val="-2"/>
          <w:sz w:val="20"/>
        </w:rPr>
        <w:t>urbano.</w:t>
      </w:r>
    </w:p>
    <w:p>
      <w:pPr>
        <w:pStyle w:val="BodyText"/>
      </w:pPr>
    </w:p>
    <w:p>
      <w:pPr>
        <w:pStyle w:val="ListParagraph"/>
        <w:numPr>
          <w:ilvl w:val="0"/>
          <w:numId w:val="44"/>
        </w:numPr>
        <w:tabs>
          <w:tab w:pos="686" w:val="left" w:leader="none"/>
        </w:tabs>
        <w:spacing w:line="240" w:lineRule="auto" w:before="0" w:after="0"/>
        <w:ind w:left="262" w:right="286" w:firstLine="0"/>
        <w:jc w:val="both"/>
        <w:rPr>
          <w:sz w:val="20"/>
        </w:rPr>
      </w:pPr>
      <w:r>
        <w:rPr>
          <w:sz w:val="20"/>
        </w:rPr>
        <w:t>Lineamientos y políticas que el Programa Estatal de Desarrollo Urbano y que el Programa Municipal de Desarrollo Urbano, establezcan para el centro de población;</w:t>
      </w:r>
    </w:p>
    <w:p>
      <w:pPr>
        <w:pStyle w:val="ListParagraph"/>
        <w:numPr>
          <w:ilvl w:val="0"/>
          <w:numId w:val="44"/>
        </w:numPr>
        <w:tabs>
          <w:tab w:pos="741" w:val="left" w:leader="none"/>
        </w:tabs>
        <w:spacing w:line="240" w:lineRule="auto" w:before="229" w:after="0"/>
        <w:ind w:left="262" w:right="287" w:firstLine="0"/>
        <w:jc w:val="both"/>
        <w:rPr>
          <w:sz w:val="20"/>
        </w:rPr>
      </w:pPr>
      <w:r>
        <w:rPr>
          <w:sz w:val="20"/>
        </w:rPr>
        <w:t>La construcción de escenarios de crecimiento poblacional que fundamenten el cálculo de los requerimientos urbanos de suelo, vivienda, infraestructura y equipamiento urbano;</w:t>
      </w:r>
    </w:p>
    <w:p>
      <w:pPr>
        <w:pStyle w:val="ListParagraph"/>
        <w:numPr>
          <w:ilvl w:val="0"/>
          <w:numId w:val="44"/>
        </w:numPr>
        <w:tabs>
          <w:tab w:pos="688" w:val="left" w:leader="none"/>
        </w:tabs>
        <w:spacing w:line="240" w:lineRule="auto" w:before="229" w:after="0"/>
        <w:ind w:left="688" w:right="0" w:hanging="426"/>
        <w:jc w:val="both"/>
        <w:rPr>
          <w:sz w:val="20"/>
        </w:rPr>
      </w:pPr>
      <w:r>
        <w:rPr>
          <w:sz w:val="20"/>
        </w:rPr>
        <w:t>Señalamiento</w:t>
      </w:r>
      <w:r>
        <w:rPr>
          <w:spacing w:val="-9"/>
          <w:sz w:val="20"/>
        </w:rPr>
        <w:t> </w:t>
      </w:r>
      <w:r>
        <w:rPr>
          <w:sz w:val="20"/>
        </w:rPr>
        <w:t>de</w:t>
      </w:r>
      <w:r>
        <w:rPr>
          <w:spacing w:val="-7"/>
          <w:sz w:val="20"/>
        </w:rPr>
        <w:t> </w:t>
      </w:r>
      <w:r>
        <w:rPr>
          <w:sz w:val="20"/>
        </w:rPr>
        <w:t>los</w:t>
      </w:r>
      <w:r>
        <w:rPr>
          <w:spacing w:val="-8"/>
          <w:sz w:val="20"/>
        </w:rPr>
        <w:t> </w:t>
      </w:r>
      <w:r>
        <w:rPr>
          <w:sz w:val="20"/>
        </w:rPr>
        <w:t>objetivos,</w:t>
      </w:r>
      <w:r>
        <w:rPr>
          <w:spacing w:val="-8"/>
          <w:sz w:val="20"/>
        </w:rPr>
        <w:t> </w:t>
      </w:r>
      <w:r>
        <w:rPr>
          <w:sz w:val="20"/>
        </w:rPr>
        <w:t>estrategias</w:t>
      </w:r>
      <w:r>
        <w:rPr>
          <w:spacing w:val="-8"/>
          <w:sz w:val="20"/>
        </w:rPr>
        <w:t> </w:t>
      </w:r>
      <w:r>
        <w:rPr>
          <w:sz w:val="20"/>
        </w:rPr>
        <w:t>y</w:t>
      </w:r>
      <w:r>
        <w:rPr>
          <w:spacing w:val="-7"/>
          <w:sz w:val="20"/>
        </w:rPr>
        <w:t> </w:t>
      </w:r>
      <w:r>
        <w:rPr>
          <w:sz w:val="20"/>
        </w:rPr>
        <w:t>políticas</w:t>
      </w:r>
      <w:r>
        <w:rPr>
          <w:spacing w:val="-8"/>
          <w:sz w:val="20"/>
        </w:rPr>
        <w:t> </w:t>
      </w:r>
      <w:r>
        <w:rPr>
          <w:spacing w:val="-2"/>
          <w:sz w:val="20"/>
        </w:rPr>
        <w:t>para:</w:t>
      </w:r>
    </w:p>
    <w:p>
      <w:pPr>
        <w:pStyle w:val="BodyText"/>
        <w:spacing w:before="1"/>
      </w:pPr>
    </w:p>
    <w:p>
      <w:pPr>
        <w:pStyle w:val="ListParagraph"/>
        <w:numPr>
          <w:ilvl w:val="1"/>
          <w:numId w:val="44"/>
        </w:numPr>
        <w:tabs>
          <w:tab w:pos="687" w:val="left" w:leader="none"/>
        </w:tabs>
        <w:spacing w:line="240" w:lineRule="auto" w:before="0" w:after="0"/>
        <w:ind w:left="687" w:right="0" w:hanging="425"/>
        <w:jc w:val="both"/>
        <w:rPr>
          <w:sz w:val="20"/>
        </w:rPr>
      </w:pPr>
      <w:r>
        <w:rPr>
          <w:sz w:val="20"/>
        </w:rPr>
        <w:t>La</w:t>
      </w:r>
      <w:r>
        <w:rPr>
          <w:spacing w:val="-8"/>
          <w:sz w:val="20"/>
        </w:rPr>
        <w:t> </w:t>
      </w:r>
      <w:r>
        <w:rPr>
          <w:sz w:val="20"/>
        </w:rPr>
        <w:t>creación</w:t>
      </w:r>
      <w:r>
        <w:rPr>
          <w:spacing w:val="-7"/>
          <w:sz w:val="20"/>
        </w:rPr>
        <w:t> </w:t>
      </w:r>
      <w:r>
        <w:rPr>
          <w:sz w:val="20"/>
        </w:rPr>
        <w:t>de</w:t>
      </w:r>
      <w:r>
        <w:rPr>
          <w:spacing w:val="-6"/>
          <w:sz w:val="20"/>
        </w:rPr>
        <w:t> </w:t>
      </w:r>
      <w:r>
        <w:rPr>
          <w:sz w:val="20"/>
        </w:rPr>
        <w:t>las</w:t>
      </w:r>
      <w:r>
        <w:rPr>
          <w:spacing w:val="-5"/>
          <w:sz w:val="20"/>
        </w:rPr>
        <w:t> </w:t>
      </w:r>
      <w:r>
        <w:rPr>
          <w:sz w:val="20"/>
        </w:rPr>
        <w:t>reservas</w:t>
      </w:r>
      <w:r>
        <w:rPr>
          <w:spacing w:val="-5"/>
          <w:sz w:val="20"/>
        </w:rPr>
        <w:t> </w:t>
      </w:r>
      <w:r>
        <w:rPr>
          <w:sz w:val="20"/>
        </w:rPr>
        <w:t>de</w:t>
      </w:r>
      <w:r>
        <w:rPr>
          <w:spacing w:val="-7"/>
          <w:sz w:val="20"/>
        </w:rPr>
        <w:t> </w:t>
      </w:r>
      <w:r>
        <w:rPr>
          <w:sz w:val="20"/>
        </w:rPr>
        <w:t>suelo</w:t>
      </w:r>
      <w:r>
        <w:rPr>
          <w:spacing w:val="-5"/>
          <w:sz w:val="20"/>
        </w:rPr>
        <w:t> </w:t>
      </w:r>
      <w:r>
        <w:rPr>
          <w:sz w:val="20"/>
        </w:rPr>
        <w:t>para</w:t>
      </w:r>
      <w:r>
        <w:rPr>
          <w:spacing w:val="-4"/>
          <w:sz w:val="20"/>
        </w:rPr>
        <w:t> </w:t>
      </w:r>
      <w:r>
        <w:rPr>
          <w:sz w:val="20"/>
        </w:rPr>
        <w:t>la</w:t>
      </w:r>
      <w:r>
        <w:rPr>
          <w:spacing w:val="-4"/>
          <w:sz w:val="20"/>
        </w:rPr>
        <w:t> </w:t>
      </w:r>
      <w:r>
        <w:rPr>
          <w:sz w:val="20"/>
        </w:rPr>
        <w:t>expansión</w:t>
      </w:r>
      <w:r>
        <w:rPr>
          <w:spacing w:val="-5"/>
          <w:sz w:val="20"/>
        </w:rPr>
        <w:t> </w:t>
      </w:r>
      <w:r>
        <w:rPr>
          <w:sz w:val="20"/>
        </w:rPr>
        <w:t>del</w:t>
      </w:r>
      <w:r>
        <w:rPr>
          <w:spacing w:val="-5"/>
          <w:sz w:val="20"/>
        </w:rPr>
        <w:t> </w:t>
      </w:r>
      <w:r>
        <w:rPr>
          <w:sz w:val="20"/>
        </w:rPr>
        <w:t>centro</w:t>
      </w:r>
      <w:r>
        <w:rPr>
          <w:spacing w:val="-4"/>
          <w:sz w:val="20"/>
        </w:rPr>
        <w:t> </w:t>
      </w:r>
      <w:r>
        <w:rPr>
          <w:sz w:val="20"/>
        </w:rPr>
        <w:t>de</w:t>
      </w:r>
      <w:r>
        <w:rPr>
          <w:spacing w:val="-6"/>
          <w:sz w:val="20"/>
        </w:rPr>
        <w:t> </w:t>
      </w:r>
      <w:r>
        <w:rPr>
          <w:sz w:val="20"/>
        </w:rPr>
        <w:t>población</w:t>
      </w:r>
      <w:r>
        <w:rPr>
          <w:spacing w:val="-7"/>
          <w:sz w:val="20"/>
        </w:rPr>
        <w:t> </w:t>
      </w:r>
      <w:r>
        <w:rPr>
          <w:sz w:val="20"/>
        </w:rPr>
        <w:t>y</w:t>
      </w:r>
      <w:r>
        <w:rPr>
          <w:spacing w:val="-5"/>
          <w:sz w:val="20"/>
        </w:rPr>
        <w:t> </w:t>
      </w:r>
      <w:r>
        <w:rPr>
          <w:sz w:val="20"/>
        </w:rPr>
        <w:t>la</w:t>
      </w:r>
      <w:r>
        <w:rPr>
          <w:spacing w:val="-6"/>
          <w:sz w:val="20"/>
        </w:rPr>
        <w:t> </w:t>
      </w:r>
      <w:r>
        <w:rPr>
          <w:spacing w:val="-2"/>
          <w:sz w:val="20"/>
        </w:rPr>
        <w:t>vivienda.</w:t>
      </w:r>
    </w:p>
    <w:p>
      <w:pPr>
        <w:pStyle w:val="BodyText"/>
        <w:spacing w:before="1"/>
      </w:pPr>
    </w:p>
    <w:p>
      <w:pPr>
        <w:pStyle w:val="ListParagraph"/>
        <w:numPr>
          <w:ilvl w:val="1"/>
          <w:numId w:val="44"/>
        </w:numPr>
        <w:tabs>
          <w:tab w:pos="544" w:val="left" w:leader="none"/>
        </w:tabs>
        <w:spacing w:line="240" w:lineRule="auto" w:before="0" w:after="0"/>
        <w:ind w:left="262" w:right="286" w:firstLine="0"/>
        <w:jc w:val="both"/>
        <w:rPr>
          <w:sz w:val="20"/>
        </w:rPr>
      </w:pPr>
      <w:r>
        <w:rPr>
          <w:sz w:val="20"/>
        </w:rPr>
        <w:t>La</w:t>
      </w:r>
      <w:r>
        <w:rPr>
          <w:spacing w:val="-10"/>
          <w:sz w:val="20"/>
        </w:rPr>
        <w:t> </w:t>
      </w:r>
      <w:r>
        <w:rPr>
          <w:sz w:val="20"/>
        </w:rPr>
        <w:t>zonificación</w:t>
      </w:r>
      <w:r>
        <w:rPr>
          <w:spacing w:val="-8"/>
          <w:sz w:val="20"/>
        </w:rPr>
        <w:t> </w:t>
      </w:r>
      <w:r>
        <w:rPr>
          <w:sz w:val="20"/>
        </w:rPr>
        <w:t>primaria,</w:t>
      </w:r>
      <w:r>
        <w:rPr>
          <w:spacing w:val="-7"/>
          <w:sz w:val="20"/>
        </w:rPr>
        <w:t> </w:t>
      </w:r>
      <w:r>
        <w:rPr>
          <w:sz w:val="20"/>
        </w:rPr>
        <w:t>identificando</w:t>
      </w:r>
      <w:r>
        <w:rPr>
          <w:spacing w:val="-8"/>
          <w:sz w:val="20"/>
        </w:rPr>
        <w:t> </w:t>
      </w:r>
      <w:r>
        <w:rPr>
          <w:sz w:val="20"/>
        </w:rPr>
        <w:t>el</w:t>
      </w:r>
      <w:r>
        <w:rPr>
          <w:spacing w:val="-8"/>
          <w:sz w:val="20"/>
        </w:rPr>
        <w:t> </w:t>
      </w:r>
      <w:r>
        <w:rPr>
          <w:sz w:val="20"/>
        </w:rPr>
        <w:t>área</w:t>
      </w:r>
      <w:r>
        <w:rPr>
          <w:spacing w:val="-8"/>
          <w:sz w:val="20"/>
        </w:rPr>
        <w:t> </w:t>
      </w:r>
      <w:r>
        <w:rPr>
          <w:sz w:val="20"/>
        </w:rPr>
        <w:t>urbana</w:t>
      </w:r>
      <w:r>
        <w:rPr>
          <w:spacing w:val="-6"/>
          <w:sz w:val="20"/>
        </w:rPr>
        <w:t> </w:t>
      </w:r>
      <w:r>
        <w:rPr>
          <w:sz w:val="20"/>
        </w:rPr>
        <w:t>actual</w:t>
      </w:r>
      <w:r>
        <w:rPr>
          <w:spacing w:val="-8"/>
          <w:sz w:val="20"/>
        </w:rPr>
        <w:t> </w:t>
      </w:r>
      <w:r>
        <w:rPr>
          <w:sz w:val="20"/>
        </w:rPr>
        <w:t>y</w:t>
      </w:r>
      <w:r>
        <w:rPr>
          <w:spacing w:val="-6"/>
          <w:sz w:val="20"/>
        </w:rPr>
        <w:t> </w:t>
      </w:r>
      <w:r>
        <w:rPr>
          <w:sz w:val="20"/>
        </w:rPr>
        <w:t>estableciendo</w:t>
      </w:r>
      <w:r>
        <w:rPr>
          <w:spacing w:val="-8"/>
          <w:sz w:val="20"/>
        </w:rPr>
        <w:t> </w:t>
      </w:r>
      <w:r>
        <w:rPr>
          <w:sz w:val="20"/>
        </w:rPr>
        <w:t>la</w:t>
      </w:r>
      <w:r>
        <w:rPr>
          <w:spacing w:val="-8"/>
          <w:sz w:val="20"/>
        </w:rPr>
        <w:t> </w:t>
      </w:r>
      <w:r>
        <w:rPr>
          <w:sz w:val="20"/>
        </w:rPr>
        <w:t>distribución</w:t>
      </w:r>
      <w:r>
        <w:rPr>
          <w:spacing w:val="-8"/>
          <w:sz w:val="20"/>
        </w:rPr>
        <w:t> </w:t>
      </w:r>
      <w:r>
        <w:rPr>
          <w:sz w:val="20"/>
        </w:rPr>
        <w:t>de</w:t>
      </w:r>
      <w:r>
        <w:rPr>
          <w:spacing w:val="-8"/>
          <w:sz w:val="20"/>
        </w:rPr>
        <w:t> </w:t>
      </w:r>
      <w:r>
        <w:rPr>
          <w:sz w:val="20"/>
        </w:rPr>
        <w:t>las áreas urbanizables y no urbanizables del centro de población, y fijando el límite del crecimiento </w:t>
      </w:r>
      <w:r>
        <w:rPr>
          <w:spacing w:val="-2"/>
          <w:sz w:val="20"/>
        </w:rPr>
        <w:t>urbano.</w:t>
      </w:r>
    </w:p>
    <w:p>
      <w:pPr>
        <w:pStyle w:val="ListParagraph"/>
        <w:numPr>
          <w:ilvl w:val="1"/>
          <w:numId w:val="44"/>
        </w:numPr>
        <w:tabs>
          <w:tab w:pos="544" w:val="left" w:leader="none"/>
        </w:tabs>
        <w:spacing w:line="240" w:lineRule="auto" w:before="229" w:after="0"/>
        <w:ind w:left="262" w:right="279" w:firstLine="0"/>
        <w:jc w:val="both"/>
        <w:rPr>
          <w:sz w:val="20"/>
        </w:rPr>
      </w:pPr>
      <w:r>
        <w:rPr>
          <w:sz w:val="20"/>
        </w:rPr>
        <w:t>La zonificación secundaria; estableciendo las reservas, usos y destinos del territorio del centro de población, para lo cual se clasificará en áreas y zonas, de acuerdo con sus características naturales, potencialidades y condiciones generales. Se describirán las zonas señalando su aprovechamiento, limitaciones, distribución y características generales.</w:t>
      </w:r>
    </w:p>
    <w:p>
      <w:pPr>
        <w:pStyle w:val="BodyText"/>
      </w:pPr>
    </w:p>
    <w:p>
      <w:pPr>
        <w:pStyle w:val="ListParagraph"/>
        <w:numPr>
          <w:ilvl w:val="1"/>
          <w:numId w:val="44"/>
        </w:numPr>
        <w:tabs>
          <w:tab w:pos="544" w:val="left" w:leader="none"/>
        </w:tabs>
        <w:spacing w:line="240" w:lineRule="auto" w:before="0" w:after="0"/>
        <w:ind w:left="544" w:right="0" w:hanging="282"/>
        <w:jc w:val="both"/>
        <w:rPr>
          <w:sz w:val="20"/>
        </w:rPr>
      </w:pPr>
      <w:r>
        <w:rPr>
          <w:sz w:val="20"/>
        </w:rPr>
        <w:t>El</w:t>
      </w:r>
      <w:r>
        <w:rPr>
          <w:spacing w:val="-7"/>
          <w:sz w:val="20"/>
        </w:rPr>
        <w:t> </w:t>
      </w:r>
      <w:r>
        <w:rPr>
          <w:sz w:val="20"/>
        </w:rPr>
        <w:t>ordenamiento</w:t>
      </w:r>
      <w:r>
        <w:rPr>
          <w:spacing w:val="-9"/>
          <w:sz w:val="20"/>
        </w:rPr>
        <w:t> </w:t>
      </w:r>
      <w:r>
        <w:rPr>
          <w:sz w:val="20"/>
        </w:rPr>
        <w:t>de</w:t>
      </w:r>
      <w:r>
        <w:rPr>
          <w:spacing w:val="-7"/>
          <w:sz w:val="20"/>
        </w:rPr>
        <w:t> </w:t>
      </w:r>
      <w:r>
        <w:rPr>
          <w:sz w:val="20"/>
        </w:rPr>
        <w:t>la</w:t>
      </w:r>
      <w:r>
        <w:rPr>
          <w:spacing w:val="-8"/>
          <w:sz w:val="20"/>
        </w:rPr>
        <w:t> </w:t>
      </w:r>
      <w:r>
        <w:rPr>
          <w:sz w:val="20"/>
        </w:rPr>
        <w:t>estructura</w:t>
      </w:r>
      <w:r>
        <w:rPr>
          <w:spacing w:val="-7"/>
          <w:sz w:val="20"/>
        </w:rPr>
        <w:t> </w:t>
      </w:r>
      <w:r>
        <w:rPr>
          <w:spacing w:val="-2"/>
          <w:sz w:val="20"/>
        </w:rPr>
        <w:t>urbana.</w:t>
      </w:r>
    </w:p>
    <w:p>
      <w:pPr>
        <w:pStyle w:val="BodyText"/>
        <w:spacing w:before="1"/>
      </w:pPr>
    </w:p>
    <w:p>
      <w:pPr>
        <w:pStyle w:val="ListParagraph"/>
        <w:numPr>
          <w:ilvl w:val="1"/>
          <w:numId w:val="44"/>
        </w:numPr>
        <w:tabs>
          <w:tab w:pos="544" w:val="left" w:leader="none"/>
        </w:tabs>
        <w:spacing w:line="240" w:lineRule="auto" w:before="0" w:after="0"/>
        <w:ind w:left="262" w:right="288" w:firstLine="0"/>
        <w:jc w:val="both"/>
        <w:rPr>
          <w:sz w:val="20"/>
        </w:rPr>
      </w:pPr>
      <w:r>
        <w:rPr>
          <w:sz w:val="20"/>
        </w:rPr>
        <w:t>La determinación de las áreas sujetas a políticas de conservación, mejoramiento y crecimiento, y en su caso el requerimiento de la formulación de programas parciales.</w:t>
      </w:r>
    </w:p>
    <w:p>
      <w:pPr>
        <w:pStyle w:val="ListParagraph"/>
        <w:numPr>
          <w:ilvl w:val="1"/>
          <w:numId w:val="44"/>
        </w:numPr>
        <w:tabs>
          <w:tab w:pos="543" w:val="left" w:leader="none"/>
        </w:tabs>
        <w:spacing w:line="240" w:lineRule="auto" w:before="229" w:after="0"/>
        <w:ind w:left="262" w:right="288" w:firstLine="0"/>
        <w:jc w:val="both"/>
        <w:rPr>
          <w:sz w:val="20"/>
        </w:rPr>
      </w:pPr>
      <w:r>
        <w:rPr>
          <w:sz w:val="20"/>
        </w:rPr>
        <w:t>La estrategia para llevar acabo la regularización de la tenencia de la tierra en conjunto con los organismos regularizadores.</w:t>
      </w:r>
    </w:p>
    <w:p>
      <w:pPr>
        <w:pStyle w:val="BodyText"/>
        <w:spacing w:before="1"/>
      </w:pPr>
    </w:p>
    <w:p>
      <w:pPr>
        <w:pStyle w:val="ListParagraph"/>
        <w:numPr>
          <w:ilvl w:val="1"/>
          <w:numId w:val="44"/>
        </w:numPr>
        <w:tabs>
          <w:tab w:pos="544" w:val="left" w:leader="none"/>
        </w:tabs>
        <w:spacing w:line="240" w:lineRule="auto" w:before="1" w:after="0"/>
        <w:ind w:left="262" w:right="286" w:firstLine="0"/>
        <w:jc w:val="both"/>
        <w:rPr>
          <w:sz w:val="20"/>
        </w:rPr>
      </w:pPr>
      <w:r>
        <w:rPr>
          <w:sz w:val="20"/>
        </w:rPr>
        <w:t>El mejoramiento y ampliación de la vialidad, el sistema de transporte, la infraestructura, el equipamiento y los servicios públicos.</w:t>
      </w:r>
    </w:p>
    <w:p>
      <w:pPr>
        <w:pStyle w:val="ListParagraph"/>
        <w:numPr>
          <w:ilvl w:val="1"/>
          <w:numId w:val="44"/>
        </w:numPr>
        <w:tabs>
          <w:tab w:pos="544" w:val="left" w:leader="none"/>
        </w:tabs>
        <w:spacing w:line="240" w:lineRule="auto" w:before="229" w:after="0"/>
        <w:ind w:left="544" w:right="0" w:hanging="282"/>
        <w:jc w:val="both"/>
        <w:rPr>
          <w:sz w:val="20"/>
        </w:rPr>
      </w:pPr>
      <w:r>
        <w:rPr>
          <w:sz w:val="20"/>
        </w:rPr>
        <w:t>La</w:t>
      </w:r>
      <w:r>
        <w:rPr>
          <w:spacing w:val="-8"/>
          <w:sz w:val="20"/>
        </w:rPr>
        <w:t> </w:t>
      </w:r>
      <w:r>
        <w:rPr>
          <w:sz w:val="20"/>
        </w:rPr>
        <w:t>conservación</w:t>
      </w:r>
      <w:r>
        <w:rPr>
          <w:spacing w:val="-7"/>
          <w:sz w:val="20"/>
        </w:rPr>
        <w:t> </w:t>
      </w:r>
      <w:r>
        <w:rPr>
          <w:sz w:val="20"/>
        </w:rPr>
        <w:t>y</w:t>
      </w:r>
      <w:r>
        <w:rPr>
          <w:spacing w:val="-6"/>
          <w:sz w:val="20"/>
        </w:rPr>
        <w:t> </w:t>
      </w:r>
      <w:r>
        <w:rPr>
          <w:sz w:val="20"/>
        </w:rPr>
        <w:t>mejoramiento</w:t>
      </w:r>
      <w:r>
        <w:rPr>
          <w:spacing w:val="-6"/>
          <w:sz w:val="20"/>
        </w:rPr>
        <w:t> </w:t>
      </w:r>
      <w:r>
        <w:rPr>
          <w:sz w:val="20"/>
        </w:rPr>
        <w:t>de</w:t>
      </w:r>
      <w:r>
        <w:rPr>
          <w:spacing w:val="-7"/>
          <w:sz w:val="20"/>
        </w:rPr>
        <w:t> </w:t>
      </w:r>
      <w:r>
        <w:rPr>
          <w:sz w:val="20"/>
        </w:rPr>
        <w:t>la</w:t>
      </w:r>
      <w:r>
        <w:rPr>
          <w:spacing w:val="-6"/>
          <w:sz w:val="20"/>
        </w:rPr>
        <w:t> </w:t>
      </w:r>
      <w:r>
        <w:rPr>
          <w:sz w:val="20"/>
        </w:rPr>
        <w:t>imagen</w:t>
      </w:r>
      <w:r>
        <w:rPr>
          <w:spacing w:val="-6"/>
          <w:sz w:val="20"/>
        </w:rPr>
        <w:t> </w:t>
      </w:r>
      <w:r>
        <w:rPr>
          <w:sz w:val="20"/>
        </w:rPr>
        <w:t>urbana</w:t>
      </w:r>
      <w:r>
        <w:rPr>
          <w:spacing w:val="-5"/>
          <w:sz w:val="20"/>
        </w:rPr>
        <w:t> </w:t>
      </w:r>
      <w:r>
        <w:rPr>
          <w:sz w:val="20"/>
        </w:rPr>
        <w:t>y</w:t>
      </w:r>
      <w:r>
        <w:rPr>
          <w:spacing w:val="-5"/>
          <w:sz w:val="20"/>
        </w:rPr>
        <w:t> </w:t>
      </w:r>
      <w:r>
        <w:rPr>
          <w:sz w:val="20"/>
        </w:rPr>
        <w:t>sus</w:t>
      </w:r>
      <w:r>
        <w:rPr>
          <w:spacing w:val="-6"/>
          <w:sz w:val="20"/>
        </w:rPr>
        <w:t> </w:t>
      </w:r>
      <w:r>
        <w:rPr>
          <w:sz w:val="20"/>
        </w:rPr>
        <w:t>rasgos</w:t>
      </w:r>
      <w:r>
        <w:rPr>
          <w:spacing w:val="-5"/>
          <w:sz w:val="20"/>
        </w:rPr>
        <w:t> </w:t>
      </w:r>
      <w:r>
        <w:rPr>
          <w:spacing w:val="-2"/>
          <w:sz w:val="20"/>
        </w:rPr>
        <w:t>típicos.</w:t>
      </w:r>
    </w:p>
    <w:p>
      <w:pPr>
        <w:pStyle w:val="BodyText"/>
      </w:pPr>
    </w:p>
    <w:p>
      <w:pPr>
        <w:pStyle w:val="ListParagraph"/>
        <w:numPr>
          <w:ilvl w:val="1"/>
          <w:numId w:val="44"/>
        </w:numPr>
        <w:tabs>
          <w:tab w:pos="543" w:val="left" w:leader="none"/>
        </w:tabs>
        <w:spacing w:line="240" w:lineRule="auto" w:before="0" w:after="0"/>
        <w:ind w:left="543" w:right="0" w:hanging="281"/>
        <w:jc w:val="both"/>
        <w:rPr>
          <w:sz w:val="20"/>
        </w:rPr>
      </w:pPr>
      <w:r>
        <w:rPr>
          <w:sz w:val="20"/>
        </w:rPr>
        <w:t>El</w:t>
      </w:r>
      <w:r>
        <w:rPr>
          <w:spacing w:val="-7"/>
          <w:sz w:val="20"/>
        </w:rPr>
        <w:t> </w:t>
      </w:r>
      <w:r>
        <w:rPr>
          <w:sz w:val="20"/>
        </w:rPr>
        <w:t>fomento</w:t>
      </w:r>
      <w:r>
        <w:rPr>
          <w:spacing w:val="-5"/>
          <w:sz w:val="20"/>
        </w:rPr>
        <w:t> </w:t>
      </w:r>
      <w:r>
        <w:rPr>
          <w:sz w:val="20"/>
        </w:rPr>
        <w:t>a</w:t>
      </w:r>
      <w:r>
        <w:rPr>
          <w:spacing w:val="-4"/>
          <w:sz w:val="20"/>
        </w:rPr>
        <w:t> </w:t>
      </w:r>
      <w:r>
        <w:rPr>
          <w:sz w:val="20"/>
        </w:rPr>
        <w:t>la</w:t>
      </w:r>
      <w:r>
        <w:rPr>
          <w:spacing w:val="-6"/>
          <w:sz w:val="20"/>
        </w:rPr>
        <w:t> </w:t>
      </w:r>
      <w:r>
        <w:rPr>
          <w:sz w:val="20"/>
        </w:rPr>
        <w:t>economía</w:t>
      </w:r>
      <w:r>
        <w:rPr>
          <w:spacing w:val="-5"/>
          <w:sz w:val="20"/>
        </w:rPr>
        <w:t> </w:t>
      </w:r>
      <w:r>
        <w:rPr>
          <w:spacing w:val="-2"/>
          <w:sz w:val="20"/>
        </w:rPr>
        <w:t>urbana.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44"/>
        </w:numPr>
        <w:tabs>
          <w:tab w:pos="543" w:val="left" w:leader="none"/>
        </w:tabs>
        <w:spacing w:line="240" w:lineRule="auto" w:before="0" w:after="0"/>
        <w:ind w:left="543" w:right="0" w:hanging="281"/>
        <w:jc w:val="left"/>
        <w:rPr>
          <w:sz w:val="20"/>
        </w:rPr>
      </w:pPr>
      <w:r>
        <w:rPr>
          <w:sz w:val="20"/>
        </w:rPr>
        <w:t>La</w:t>
      </w:r>
      <w:r>
        <w:rPr>
          <w:spacing w:val="-8"/>
          <w:sz w:val="20"/>
        </w:rPr>
        <w:t> </w:t>
      </w:r>
      <w:r>
        <w:rPr>
          <w:sz w:val="20"/>
        </w:rPr>
        <w:t>prevención</w:t>
      </w:r>
      <w:r>
        <w:rPr>
          <w:spacing w:val="-7"/>
          <w:sz w:val="20"/>
        </w:rPr>
        <w:t> </w:t>
      </w:r>
      <w:r>
        <w:rPr>
          <w:sz w:val="20"/>
        </w:rPr>
        <w:t>y</w:t>
      </w:r>
      <w:r>
        <w:rPr>
          <w:spacing w:val="-6"/>
          <w:sz w:val="20"/>
        </w:rPr>
        <w:t> </w:t>
      </w:r>
      <w:r>
        <w:rPr>
          <w:sz w:val="20"/>
        </w:rPr>
        <w:t>mitigación</w:t>
      </w:r>
      <w:r>
        <w:rPr>
          <w:spacing w:val="-5"/>
          <w:sz w:val="20"/>
        </w:rPr>
        <w:t> </w:t>
      </w:r>
      <w:r>
        <w:rPr>
          <w:sz w:val="20"/>
        </w:rPr>
        <w:t>de</w:t>
      </w:r>
      <w:r>
        <w:rPr>
          <w:spacing w:val="-8"/>
          <w:sz w:val="20"/>
        </w:rPr>
        <w:t> </w:t>
      </w:r>
      <w:r>
        <w:rPr>
          <w:spacing w:val="-2"/>
          <w:sz w:val="20"/>
        </w:rPr>
        <w:t>riesgos.</w:t>
      </w:r>
    </w:p>
    <w:p>
      <w:pPr>
        <w:pStyle w:val="BodyText"/>
        <w:spacing w:before="1"/>
      </w:pPr>
    </w:p>
    <w:p>
      <w:pPr>
        <w:pStyle w:val="ListParagraph"/>
        <w:numPr>
          <w:ilvl w:val="1"/>
          <w:numId w:val="44"/>
        </w:numPr>
        <w:tabs>
          <w:tab w:pos="544" w:val="left" w:leader="none"/>
        </w:tabs>
        <w:spacing w:line="240" w:lineRule="auto" w:before="0" w:after="0"/>
        <w:ind w:left="544" w:right="0" w:hanging="282"/>
        <w:jc w:val="left"/>
        <w:rPr>
          <w:sz w:val="20"/>
        </w:rPr>
      </w:pPr>
      <w:r>
        <w:rPr>
          <w:sz w:val="20"/>
        </w:rPr>
        <w:t>La</w:t>
      </w:r>
      <w:r>
        <w:rPr>
          <w:spacing w:val="-9"/>
          <w:sz w:val="20"/>
        </w:rPr>
        <w:t> </w:t>
      </w:r>
      <w:r>
        <w:rPr>
          <w:sz w:val="20"/>
        </w:rPr>
        <w:t>protección</w:t>
      </w:r>
      <w:r>
        <w:rPr>
          <w:spacing w:val="-5"/>
          <w:sz w:val="20"/>
        </w:rPr>
        <w:t> </w:t>
      </w:r>
      <w:r>
        <w:rPr>
          <w:sz w:val="20"/>
        </w:rPr>
        <w:t>y</w:t>
      </w:r>
      <w:r>
        <w:rPr>
          <w:spacing w:val="-7"/>
          <w:sz w:val="20"/>
        </w:rPr>
        <w:t> </w:t>
      </w:r>
      <w:r>
        <w:rPr>
          <w:sz w:val="20"/>
        </w:rPr>
        <w:t>conservación</w:t>
      </w:r>
      <w:r>
        <w:rPr>
          <w:spacing w:val="-8"/>
          <w:sz w:val="20"/>
        </w:rPr>
        <w:t> </w:t>
      </w:r>
      <w:r>
        <w:rPr>
          <w:sz w:val="20"/>
        </w:rPr>
        <w:t>del</w:t>
      </w:r>
      <w:r>
        <w:rPr>
          <w:spacing w:val="-6"/>
          <w:sz w:val="20"/>
        </w:rPr>
        <w:t> </w:t>
      </w:r>
      <w:r>
        <w:rPr>
          <w:sz w:val="20"/>
        </w:rPr>
        <w:t>patrimonio</w:t>
      </w:r>
      <w:r>
        <w:rPr>
          <w:spacing w:val="-6"/>
          <w:sz w:val="20"/>
        </w:rPr>
        <w:t> </w:t>
      </w:r>
      <w:r>
        <w:rPr>
          <w:sz w:val="20"/>
        </w:rPr>
        <w:t>natural</w:t>
      </w:r>
      <w:r>
        <w:rPr>
          <w:spacing w:val="-6"/>
          <w:sz w:val="20"/>
        </w:rPr>
        <w:t> </w:t>
      </w:r>
      <w:r>
        <w:rPr>
          <w:sz w:val="20"/>
        </w:rPr>
        <w:t>e</w:t>
      </w:r>
      <w:r>
        <w:rPr>
          <w:spacing w:val="-6"/>
          <w:sz w:val="20"/>
        </w:rPr>
        <w:t> </w:t>
      </w:r>
      <w:r>
        <w:rPr>
          <w:spacing w:val="-2"/>
          <w:sz w:val="20"/>
        </w:rPr>
        <w:t>histórico;</w:t>
      </w:r>
    </w:p>
    <w:p>
      <w:pPr>
        <w:pStyle w:val="BodyText"/>
      </w:pPr>
    </w:p>
    <w:p>
      <w:pPr>
        <w:pStyle w:val="ListParagraph"/>
        <w:numPr>
          <w:ilvl w:val="0"/>
          <w:numId w:val="44"/>
        </w:numPr>
        <w:tabs>
          <w:tab w:pos="544" w:val="left" w:leader="none"/>
        </w:tabs>
        <w:spacing w:line="240" w:lineRule="auto" w:before="1" w:after="0"/>
        <w:ind w:left="544" w:right="0" w:hanging="282"/>
        <w:jc w:val="left"/>
        <w:rPr>
          <w:sz w:val="20"/>
        </w:rPr>
      </w:pPr>
      <w:r>
        <w:rPr>
          <w:sz w:val="20"/>
        </w:rPr>
        <w:t>Las</w:t>
      </w:r>
      <w:r>
        <w:rPr>
          <w:spacing w:val="-7"/>
          <w:sz w:val="20"/>
        </w:rPr>
        <w:t> </w:t>
      </w:r>
      <w:r>
        <w:rPr>
          <w:sz w:val="20"/>
        </w:rPr>
        <w:t>normas</w:t>
      </w:r>
      <w:r>
        <w:rPr>
          <w:spacing w:val="-6"/>
          <w:sz w:val="20"/>
        </w:rPr>
        <w:t> </w:t>
      </w:r>
      <w:r>
        <w:rPr>
          <w:sz w:val="20"/>
        </w:rPr>
        <w:t>para</w:t>
      </w:r>
      <w:r>
        <w:rPr>
          <w:spacing w:val="-6"/>
          <w:sz w:val="20"/>
        </w:rPr>
        <w:t> </w:t>
      </w:r>
      <w:r>
        <w:rPr>
          <w:sz w:val="20"/>
        </w:rPr>
        <w:t>el</w:t>
      </w:r>
      <w:r>
        <w:rPr>
          <w:spacing w:val="-6"/>
          <w:sz w:val="20"/>
        </w:rPr>
        <w:t> </w:t>
      </w:r>
      <w:r>
        <w:rPr>
          <w:sz w:val="20"/>
        </w:rPr>
        <w:t>control</w:t>
      </w:r>
      <w:r>
        <w:rPr>
          <w:spacing w:val="-6"/>
          <w:sz w:val="20"/>
        </w:rPr>
        <w:t> </w:t>
      </w:r>
      <w:r>
        <w:rPr>
          <w:sz w:val="20"/>
        </w:rPr>
        <w:t>y</w:t>
      </w:r>
      <w:r>
        <w:rPr>
          <w:spacing w:val="-7"/>
          <w:sz w:val="20"/>
        </w:rPr>
        <w:t> </w:t>
      </w:r>
      <w:r>
        <w:rPr>
          <w:sz w:val="20"/>
        </w:rPr>
        <w:t>regulación</w:t>
      </w:r>
      <w:r>
        <w:rPr>
          <w:spacing w:val="-5"/>
          <w:sz w:val="20"/>
        </w:rPr>
        <w:t> de:</w:t>
      </w:r>
    </w:p>
    <w:p>
      <w:pPr>
        <w:pStyle w:val="ListParagraph"/>
        <w:numPr>
          <w:ilvl w:val="1"/>
          <w:numId w:val="44"/>
        </w:numPr>
        <w:tabs>
          <w:tab w:pos="544" w:val="left" w:leader="none"/>
        </w:tabs>
        <w:spacing w:line="240" w:lineRule="auto" w:before="228" w:after="0"/>
        <w:ind w:left="262" w:right="288" w:firstLine="0"/>
        <w:jc w:val="left"/>
        <w:rPr>
          <w:sz w:val="20"/>
        </w:rPr>
      </w:pPr>
      <w:r>
        <w:rPr>
          <w:sz w:val="20"/>
        </w:rPr>
        <w:t>Las</w:t>
      </w:r>
      <w:r>
        <w:rPr>
          <w:spacing w:val="-10"/>
          <w:sz w:val="20"/>
        </w:rPr>
        <w:t> </w:t>
      </w:r>
      <w:r>
        <w:rPr>
          <w:sz w:val="20"/>
        </w:rPr>
        <w:t>densidades</w:t>
      </w:r>
      <w:r>
        <w:rPr>
          <w:spacing w:val="-10"/>
          <w:sz w:val="20"/>
        </w:rPr>
        <w:t> </w:t>
      </w:r>
      <w:r>
        <w:rPr>
          <w:sz w:val="20"/>
        </w:rPr>
        <w:t>de</w:t>
      </w:r>
      <w:r>
        <w:rPr>
          <w:spacing w:val="-10"/>
          <w:sz w:val="20"/>
        </w:rPr>
        <w:t> </w:t>
      </w:r>
      <w:r>
        <w:rPr>
          <w:sz w:val="20"/>
        </w:rPr>
        <w:t>población</w:t>
      </w:r>
      <w:r>
        <w:rPr>
          <w:spacing w:val="-12"/>
          <w:sz w:val="20"/>
        </w:rPr>
        <w:t> </w:t>
      </w:r>
      <w:r>
        <w:rPr>
          <w:sz w:val="20"/>
        </w:rPr>
        <w:t>y</w:t>
      </w:r>
      <w:r>
        <w:rPr>
          <w:spacing w:val="-10"/>
          <w:sz w:val="20"/>
        </w:rPr>
        <w:t> </w:t>
      </w:r>
      <w:r>
        <w:rPr>
          <w:sz w:val="20"/>
        </w:rPr>
        <w:t>vivienda,</w:t>
      </w:r>
      <w:r>
        <w:rPr>
          <w:spacing w:val="-9"/>
          <w:sz w:val="20"/>
        </w:rPr>
        <w:t> </w:t>
      </w:r>
      <w:r>
        <w:rPr>
          <w:sz w:val="20"/>
        </w:rPr>
        <w:t>de</w:t>
      </w:r>
      <w:r>
        <w:rPr>
          <w:spacing w:val="-11"/>
          <w:sz w:val="20"/>
        </w:rPr>
        <w:t> </w:t>
      </w:r>
      <w:r>
        <w:rPr>
          <w:sz w:val="20"/>
        </w:rPr>
        <w:t>construcción</w:t>
      </w:r>
      <w:r>
        <w:rPr>
          <w:spacing w:val="-12"/>
          <w:sz w:val="20"/>
        </w:rPr>
        <w:t> </w:t>
      </w:r>
      <w:r>
        <w:rPr>
          <w:sz w:val="20"/>
        </w:rPr>
        <w:t>y</w:t>
      </w:r>
      <w:r>
        <w:rPr>
          <w:spacing w:val="-8"/>
          <w:sz w:val="20"/>
        </w:rPr>
        <w:t> </w:t>
      </w:r>
      <w:r>
        <w:rPr>
          <w:sz w:val="20"/>
        </w:rPr>
        <w:t>de</w:t>
      </w:r>
      <w:r>
        <w:rPr>
          <w:spacing w:val="-10"/>
          <w:sz w:val="20"/>
        </w:rPr>
        <w:t> </w:t>
      </w:r>
      <w:r>
        <w:rPr>
          <w:sz w:val="20"/>
        </w:rPr>
        <w:t>ocupación</w:t>
      </w:r>
      <w:r>
        <w:rPr>
          <w:spacing w:val="-11"/>
          <w:sz w:val="20"/>
        </w:rPr>
        <w:t> </w:t>
      </w:r>
      <w:r>
        <w:rPr>
          <w:sz w:val="20"/>
        </w:rPr>
        <w:t>del</w:t>
      </w:r>
      <w:r>
        <w:rPr>
          <w:spacing w:val="-10"/>
          <w:sz w:val="20"/>
        </w:rPr>
        <w:t> </w:t>
      </w:r>
      <w:r>
        <w:rPr>
          <w:sz w:val="20"/>
        </w:rPr>
        <w:t>suelo,</w:t>
      </w:r>
      <w:r>
        <w:rPr>
          <w:spacing w:val="-11"/>
          <w:sz w:val="20"/>
        </w:rPr>
        <w:t> </w:t>
      </w:r>
      <w:r>
        <w:rPr>
          <w:sz w:val="20"/>
        </w:rPr>
        <w:t>considerando la necesidad de espacios para la infiltración del agua.</w:t>
      </w:r>
    </w:p>
    <w:p>
      <w:pPr>
        <w:pStyle w:val="BodyText"/>
        <w:spacing w:before="1"/>
      </w:pPr>
    </w:p>
    <w:p>
      <w:pPr>
        <w:pStyle w:val="ListParagraph"/>
        <w:numPr>
          <w:ilvl w:val="1"/>
          <w:numId w:val="44"/>
        </w:numPr>
        <w:tabs>
          <w:tab w:pos="689" w:val="left" w:leader="none"/>
        </w:tabs>
        <w:spacing w:line="240" w:lineRule="auto" w:before="0" w:after="0"/>
        <w:ind w:left="262" w:right="282" w:firstLine="0"/>
        <w:jc w:val="left"/>
        <w:rPr>
          <w:sz w:val="20"/>
        </w:rPr>
      </w:pPr>
      <w:r>
        <w:rPr>
          <w:sz w:val="20"/>
        </w:rPr>
        <w:t>La</w:t>
      </w:r>
      <w:r>
        <w:rPr>
          <w:spacing w:val="-6"/>
          <w:sz w:val="20"/>
        </w:rPr>
        <w:t> </w:t>
      </w:r>
      <w:r>
        <w:rPr>
          <w:sz w:val="20"/>
        </w:rPr>
        <w:t>compatibilidad</w:t>
      </w:r>
      <w:r>
        <w:rPr>
          <w:spacing w:val="-5"/>
          <w:sz w:val="20"/>
        </w:rPr>
        <w:t> </w:t>
      </w:r>
      <w:r>
        <w:rPr>
          <w:sz w:val="20"/>
        </w:rPr>
        <w:t>de</w:t>
      </w:r>
      <w:r>
        <w:rPr>
          <w:spacing w:val="-5"/>
          <w:sz w:val="20"/>
        </w:rPr>
        <w:t> </w:t>
      </w:r>
      <w:r>
        <w:rPr>
          <w:sz w:val="20"/>
        </w:rPr>
        <w:t>los</w:t>
      </w:r>
      <w:r>
        <w:rPr>
          <w:spacing w:val="-4"/>
          <w:sz w:val="20"/>
        </w:rPr>
        <w:t> </w:t>
      </w:r>
      <w:r>
        <w:rPr>
          <w:sz w:val="20"/>
        </w:rPr>
        <w:t>usos</w:t>
      </w:r>
      <w:r>
        <w:rPr>
          <w:spacing w:val="-4"/>
          <w:sz w:val="20"/>
        </w:rPr>
        <w:t> </w:t>
      </w:r>
      <w:r>
        <w:rPr>
          <w:sz w:val="20"/>
        </w:rPr>
        <w:t>de</w:t>
      </w:r>
      <w:r>
        <w:rPr>
          <w:spacing w:val="-6"/>
          <w:sz w:val="20"/>
        </w:rPr>
        <w:t> </w:t>
      </w:r>
      <w:r>
        <w:rPr>
          <w:sz w:val="20"/>
        </w:rPr>
        <w:t>suelo</w:t>
      </w:r>
      <w:r>
        <w:rPr>
          <w:spacing w:val="-5"/>
          <w:sz w:val="20"/>
        </w:rPr>
        <w:t> </w:t>
      </w:r>
      <w:r>
        <w:rPr>
          <w:sz w:val="20"/>
        </w:rPr>
        <w:t>en</w:t>
      </w:r>
      <w:r>
        <w:rPr>
          <w:spacing w:val="-5"/>
          <w:sz w:val="20"/>
        </w:rPr>
        <w:t> </w:t>
      </w:r>
      <w:r>
        <w:rPr>
          <w:sz w:val="20"/>
        </w:rPr>
        <w:t>las</w:t>
      </w:r>
      <w:r>
        <w:rPr>
          <w:spacing w:val="-4"/>
          <w:sz w:val="20"/>
        </w:rPr>
        <w:t> </w:t>
      </w:r>
      <w:r>
        <w:rPr>
          <w:sz w:val="20"/>
        </w:rPr>
        <w:t>zonas</w:t>
      </w:r>
      <w:r>
        <w:rPr>
          <w:spacing w:val="-4"/>
          <w:sz w:val="20"/>
        </w:rPr>
        <w:t> </w:t>
      </w:r>
      <w:r>
        <w:rPr>
          <w:sz w:val="20"/>
        </w:rPr>
        <w:t>que</w:t>
      </w:r>
      <w:r>
        <w:rPr>
          <w:spacing w:val="-6"/>
          <w:sz w:val="20"/>
        </w:rPr>
        <w:t> </w:t>
      </w:r>
      <w:r>
        <w:rPr>
          <w:sz w:val="20"/>
        </w:rPr>
        <w:t>conforman</w:t>
      </w:r>
      <w:r>
        <w:rPr>
          <w:spacing w:val="-3"/>
          <w:sz w:val="20"/>
        </w:rPr>
        <w:t> </w:t>
      </w:r>
      <w:r>
        <w:rPr>
          <w:sz w:val="20"/>
        </w:rPr>
        <w:t>la</w:t>
      </w:r>
      <w:r>
        <w:rPr>
          <w:spacing w:val="-5"/>
          <w:sz w:val="20"/>
        </w:rPr>
        <w:t> </w:t>
      </w:r>
      <w:r>
        <w:rPr>
          <w:sz w:val="20"/>
        </w:rPr>
        <w:t>zonificación</w:t>
      </w:r>
      <w:r>
        <w:rPr>
          <w:spacing w:val="-5"/>
          <w:sz w:val="20"/>
        </w:rPr>
        <w:t> </w:t>
      </w:r>
      <w:r>
        <w:rPr>
          <w:sz w:val="20"/>
        </w:rPr>
        <w:t>secundaria, indicando los usos permitidos, prohibidos y condicionados.</w:t>
      </w:r>
    </w:p>
    <w:p>
      <w:pPr>
        <w:pStyle w:val="BodyText"/>
      </w:pPr>
    </w:p>
    <w:p>
      <w:pPr>
        <w:pStyle w:val="ListParagraph"/>
        <w:numPr>
          <w:ilvl w:val="1"/>
          <w:numId w:val="44"/>
        </w:numPr>
        <w:tabs>
          <w:tab w:pos="689" w:val="left" w:leader="none"/>
        </w:tabs>
        <w:spacing w:line="240" w:lineRule="auto" w:before="0" w:after="0"/>
        <w:ind w:left="689" w:right="0" w:hanging="427"/>
        <w:jc w:val="left"/>
        <w:rPr>
          <w:sz w:val="20"/>
        </w:rPr>
      </w:pPr>
      <w:r>
        <w:rPr>
          <w:sz w:val="20"/>
        </w:rPr>
        <w:t>La</w:t>
      </w:r>
      <w:r>
        <w:rPr>
          <w:spacing w:val="-9"/>
          <w:sz w:val="20"/>
        </w:rPr>
        <w:t> </w:t>
      </w:r>
      <w:r>
        <w:rPr>
          <w:sz w:val="20"/>
        </w:rPr>
        <w:t>dotación</w:t>
      </w:r>
      <w:r>
        <w:rPr>
          <w:spacing w:val="-8"/>
          <w:sz w:val="20"/>
        </w:rPr>
        <w:t> </w:t>
      </w:r>
      <w:r>
        <w:rPr>
          <w:sz w:val="20"/>
        </w:rPr>
        <w:t>de</w:t>
      </w:r>
      <w:r>
        <w:rPr>
          <w:spacing w:val="-8"/>
          <w:sz w:val="20"/>
        </w:rPr>
        <w:t> </w:t>
      </w:r>
      <w:r>
        <w:rPr>
          <w:sz w:val="20"/>
        </w:rPr>
        <w:t>equipamiento</w:t>
      </w:r>
      <w:r>
        <w:rPr>
          <w:spacing w:val="-8"/>
          <w:sz w:val="20"/>
        </w:rPr>
        <w:t> </w:t>
      </w:r>
      <w:r>
        <w:rPr>
          <w:sz w:val="20"/>
        </w:rPr>
        <w:t>urbano</w:t>
      </w:r>
      <w:r>
        <w:rPr>
          <w:spacing w:val="-6"/>
          <w:sz w:val="20"/>
        </w:rPr>
        <w:t> </w:t>
      </w:r>
      <w:r>
        <w:rPr>
          <w:sz w:val="20"/>
        </w:rPr>
        <w:t>e</w:t>
      </w:r>
      <w:r>
        <w:rPr>
          <w:spacing w:val="-8"/>
          <w:sz w:val="20"/>
        </w:rPr>
        <w:t> </w:t>
      </w:r>
      <w:r>
        <w:rPr>
          <w:spacing w:val="-2"/>
          <w:sz w:val="20"/>
        </w:rPr>
        <w:t>infraestructura.</w:t>
      </w:r>
    </w:p>
    <w:p>
      <w:pPr>
        <w:pStyle w:val="BodyText"/>
      </w:pPr>
    </w:p>
    <w:p>
      <w:pPr>
        <w:pStyle w:val="ListParagraph"/>
        <w:numPr>
          <w:ilvl w:val="1"/>
          <w:numId w:val="44"/>
        </w:numPr>
        <w:tabs>
          <w:tab w:pos="689" w:val="left" w:leader="none"/>
        </w:tabs>
        <w:spacing w:line="240" w:lineRule="auto" w:before="1" w:after="0"/>
        <w:ind w:left="689" w:right="0" w:hanging="427"/>
        <w:jc w:val="left"/>
        <w:rPr>
          <w:sz w:val="20"/>
        </w:rPr>
      </w:pPr>
      <w:r>
        <w:rPr>
          <w:sz w:val="20"/>
        </w:rPr>
        <w:t>Los</w:t>
      </w:r>
      <w:r>
        <w:rPr>
          <w:spacing w:val="-6"/>
          <w:sz w:val="20"/>
        </w:rPr>
        <w:t> </w:t>
      </w:r>
      <w:r>
        <w:rPr>
          <w:sz w:val="20"/>
        </w:rPr>
        <w:t>derechos</w:t>
      </w:r>
      <w:r>
        <w:rPr>
          <w:spacing w:val="-6"/>
          <w:sz w:val="20"/>
        </w:rPr>
        <w:t> </w:t>
      </w:r>
      <w:r>
        <w:rPr>
          <w:sz w:val="20"/>
        </w:rPr>
        <w:t>de</w:t>
      </w:r>
      <w:r>
        <w:rPr>
          <w:spacing w:val="-6"/>
          <w:sz w:val="20"/>
        </w:rPr>
        <w:t> </w:t>
      </w:r>
      <w:r>
        <w:rPr>
          <w:sz w:val="20"/>
        </w:rPr>
        <w:t>los</w:t>
      </w:r>
      <w:r>
        <w:rPr>
          <w:spacing w:val="-6"/>
          <w:sz w:val="20"/>
        </w:rPr>
        <w:t> </w:t>
      </w:r>
      <w:r>
        <w:rPr>
          <w:sz w:val="20"/>
        </w:rPr>
        <w:t>sistemas</w:t>
      </w:r>
      <w:r>
        <w:rPr>
          <w:spacing w:val="-6"/>
          <w:sz w:val="20"/>
        </w:rPr>
        <w:t> </w:t>
      </w:r>
      <w:r>
        <w:rPr>
          <w:sz w:val="20"/>
        </w:rPr>
        <w:t>de</w:t>
      </w:r>
      <w:r>
        <w:rPr>
          <w:spacing w:val="-5"/>
          <w:sz w:val="20"/>
        </w:rPr>
        <w:t> </w:t>
      </w:r>
      <w:r>
        <w:rPr>
          <w:sz w:val="20"/>
        </w:rPr>
        <w:t>infraestructura</w:t>
      </w:r>
      <w:r>
        <w:rPr>
          <w:spacing w:val="-7"/>
          <w:sz w:val="20"/>
        </w:rPr>
        <w:t> </w:t>
      </w:r>
      <w:r>
        <w:rPr>
          <w:sz w:val="20"/>
        </w:rPr>
        <w:t>y</w:t>
      </w:r>
      <w:r>
        <w:rPr>
          <w:spacing w:val="-6"/>
          <w:sz w:val="20"/>
        </w:rPr>
        <w:t> </w:t>
      </w:r>
      <w:r>
        <w:rPr>
          <w:sz w:val="20"/>
        </w:rPr>
        <w:t>de</w:t>
      </w:r>
      <w:r>
        <w:rPr>
          <w:spacing w:val="-5"/>
          <w:sz w:val="20"/>
        </w:rPr>
        <w:t> </w:t>
      </w:r>
      <w:r>
        <w:rPr>
          <w:spacing w:val="-2"/>
          <w:sz w:val="20"/>
        </w:rPr>
        <w:t>vialidad.</w:t>
      </w:r>
    </w:p>
    <w:p>
      <w:pPr>
        <w:pStyle w:val="BodyText"/>
      </w:pPr>
    </w:p>
    <w:p>
      <w:pPr>
        <w:pStyle w:val="ListParagraph"/>
        <w:numPr>
          <w:ilvl w:val="1"/>
          <w:numId w:val="44"/>
        </w:numPr>
        <w:tabs>
          <w:tab w:pos="689" w:val="left" w:leader="none"/>
        </w:tabs>
        <w:spacing w:line="240" w:lineRule="auto" w:before="0" w:after="0"/>
        <w:ind w:left="262" w:right="287" w:firstLine="0"/>
        <w:jc w:val="left"/>
        <w:rPr>
          <w:sz w:val="20"/>
        </w:rPr>
      </w:pPr>
      <w:r>
        <w:rPr>
          <w:sz w:val="20"/>
        </w:rPr>
        <w:t>Los espacios destinados a las vías públicas, así como las especificaciones y normas técnicas relativas a su diseño, operación y modificación, en congruencia con la traza urbana.</w:t>
      </w:r>
    </w:p>
    <w:p>
      <w:pPr>
        <w:pStyle w:val="ListParagraph"/>
        <w:numPr>
          <w:ilvl w:val="1"/>
          <w:numId w:val="44"/>
        </w:numPr>
        <w:tabs>
          <w:tab w:pos="543" w:val="left" w:leader="none"/>
        </w:tabs>
        <w:spacing w:line="240" w:lineRule="auto" w:before="229" w:after="0"/>
        <w:ind w:left="543" w:right="0" w:hanging="281"/>
        <w:jc w:val="left"/>
        <w:rPr>
          <w:sz w:val="20"/>
        </w:rPr>
      </w:pPr>
      <w:r>
        <w:rPr>
          <w:sz w:val="20"/>
        </w:rPr>
        <w:t>La</w:t>
      </w:r>
      <w:r>
        <w:rPr>
          <w:spacing w:val="-8"/>
          <w:sz w:val="20"/>
        </w:rPr>
        <w:t> </w:t>
      </w:r>
      <w:r>
        <w:rPr>
          <w:sz w:val="20"/>
        </w:rPr>
        <w:t>dotación</w:t>
      </w:r>
      <w:r>
        <w:rPr>
          <w:spacing w:val="-7"/>
          <w:sz w:val="20"/>
        </w:rPr>
        <w:t> </w:t>
      </w:r>
      <w:r>
        <w:rPr>
          <w:sz w:val="20"/>
        </w:rPr>
        <w:t>de</w:t>
      </w:r>
      <w:r>
        <w:rPr>
          <w:spacing w:val="-7"/>
          <w:sz w:val="20"/>
        </w:rPr>
        <w:t> </w:t>
      </w:r>
      <w:r>
        <w:rPr>
          <w:sz w:val="20"/>
        </w:rPr>
        <w:t>cajones</w:t>
      </w:r>
      <w:r>
        <w:rPr>
          <w:spacing w:val="-5"/>
          <w:sz w:val="20"/>
        </w:rPr>
        <w:t> </w:t>
      </w:r>
      <w:r>
        <w:rPr>
          <w:sz w:val="20"/>
        </w:rPr>
        <w:t>de</w:t>
      </w:r>
      <w:r>
        <w:rPr>
          <w:spacing w:val="-6"/>
          <w:sz w:val="20"/>
        </w:rPr>
        <w:t> </w:t>
      </w:r>
      <w:r>
        <w:rPr>
          <w:sz w:val="20"/>
        </w:rPr>
        <w:t>estacionamiento</w:t>
      </w:r>
      <w:r>
        <w:rPr>
          <w:spacing w:val="-7"/>
          <w:sz w:val="20"/>
        </w:rPr>
        <w:t> </w:t>
      </w:r>
      <w:r>
        <w:rPr>
          <w:sz w:val="20"/>
        </w:rPr>
        <w:t>por</w:t>
      </w:r>
      <w:r>
        <w:rPr>
          <w:spacing w:val="-7"/>
          <w:sz w:val="20"/>
        </w:rPr>
        <w:t> </w:t>
      </w:r>
      <w:r>
        <w:rPr>
          <w:sz w:val="20"/>
        </w:rPr>
        <w:t>usos</w:t>
      </w:r>
      <w:r>
        <w:rPr>
          <w:spacing w:val="-5"/>
          <w:sz w:val="20"/>
        </w:rPr>
        <w:t> </w:t>
      </w:r>
      <w:r>
        <w:rPr>
          <w:sz w:val="20"/>
        </w:rPr>
        <w:t>de</w:t>
      </w:r>
      <w:r>
        <w:rPr>
          <w:spacing w:val="-7"/>
          <w:sz w:val="20"/>
        </w:rPr>
        <w:t> </w:t>
      </w:r>
      <w:r>
        <w:rPr>
          <w:spacing w:val="-2"/>
          <w:sz w:val="20"/>
        </w:rPr>
        <w:t>suelo.</w:t>
      </w:r>
    </w:p>
    <w:p>
      <w:pPr>
        <w:pStyle w:val="BodyText"/>
        <w:spacing w:before="1"/>
      </w:pPr>
    </w:p>
    <w:p>
      <w:pPr>
        <w:pStyle w:val="ListParagraph"/>
        <w:numPr>
          <w:ilvl w:val="1"/>
          <w:numId w:val="44"/>
        </w:numPr>
        <w:tabs>
          <w:tab w:pos="544" w:val="left" w:leader="none"/>
        </w:tabs>
        <w:spacing w:line="240" w:lineRule="auto" w:before="0" w:after="0"/>
        <w:ind w:left="544" w:right="0" w:hanging="282"/>
        <w:jc w:val="left"/>
        <w:rPr>
          <w:sz w:val="20"/>
        </w:rPr>
      </w:pPr>
      <w:r>
        <w:rPr>
          <w:sz w:val="20"/>
        </w:rPr>
        <w:t>La</w:t>
      </w:r>
      <w:r>
        <w:rPr>
          <w:spacing w:val="-8"/>
          <w:sz w:val="20"/>
        </w:rPr>
        <w:t> </w:t>
      </w:r>
      <w:r>
        <w:rPr>
          <w:sz w:val="20"/>
        </w:rPr>
        <w:t>imagen</w:t>
      </w:r>
      <w:r>
        <w:rPr>
          <w:spacing w:val="-6"/>
          <w:sz w:val="20"/>
        </w:rPr>
        <w:t> </w:t>
      </w:r>
      <w:r>
        <w:rPr>
          <w:spacing w:val="-2"/>
          <w:sz w:val="20"/>
        </w:rPr>
        <w:t>urbana.</w:t>
      </w:r>
    </w:p>
    <w:p>
      <w:pPr>
        <w:pStyle w:val="ListParagraph"/>
        <w:numPr>
          <w:ilvl w:val="1"/>
          <w:numId w:val="44"/>
        </w:numPr>
        <w:tabs>
          <w:tab w:pos="544" w:val="left" w:leader="none"/>
        </w:tabs>
        <w:spacing w:line="240" w:lineRule="auto" w:before="229" w:after="0"/>
        <w:ind w:left="262" w:right="285" w:firstLine="0"/>
        <w:jc w:val="left"/>
        <w:rPr>
          <w:sz w:val="20"/>
        </w:rPr>
      </w:pPr>
      <w:r>
        <w:rPr>
          <w:sz w:val="20"/>
        </w:rPr>
        <w:t>La</w:t>
      </w:r>
      <w:r>
        <w:rPr>
          <w:spacing w:val="-5"/>
          <w:sz w:val="20"/>
        </w:rPr>
        <w:t> </w:t>
      </w:r>
      <w:r>
        <w:rPr>
          <w:sz w:val="20"/>
        </w:rPr>
        <w:t>protección</w:t>
      </w:r>
      <w:r>
        <w:rPr>
          <w:spacing w:val="-4"/>
          <w:sz w:val="20"/>
        </w:rPr>
        <w:t> </w:t>
      </w:r>
      <w:r>
        <w:rPr>
          <w:sz w:val="20"/>
        </w:rPr>
        <w:t>y</w:t>
      </w:r>
      <w:r>
        <w:rPr>
          <w:spacing w:val="-3"/>
          <w:sz w:val="20"/>
        </w:rPr>
        <w:t> </w:t>
      </w:r>
      <w:r>
        <w:rPr>
          <w:sz w:val="20"/>
        </w:rPr>
        <w:t>conservación</w:t>
      </w:r>
      <w:r>
        <w:rPr>
          <w:spacing w:val="-5"/>
          <w:sz w:val="20"/>
        </w:rPr>
        <w:t> </w:t>
      </w:r>
      <w:r>
        <w:rPr>
          <w:sz w:val="20"/>
        </w:rPr>
        <w:t>del</w:t>
      </w:r>
      <w:r>
        <w:rPr>
          <w:spacing w:val="-3"/>
          <w:sz w:val="20"/>
        </w:rPr>
        <w:t> </w:t>
      </w:r>
      <w:r>
        <w:rPr>
          <w:sz w:val="20"/>
        </w:rPr>
        <w:t>medio</w:t>
      </w:r>
      <w:r>
        <w:rPr>
          <w:spacing w:val="-4"/>
          <w:sz w:val="20"/>
        </w:rPr>
        <w:t> </w:t>
      </w:r>
      <w:r>
        <w:rPr>
          <w:sz w:val="20"/>
        </w:rPr>
        <w:t>natural,</w:t>
      </w:r>
      <w:r>
        <w:rPr>
          <w:spacing w:val="-2"/>
          <w:sz w:val="20"/>
        </w:rPr>
        <w:t> </w:t>
      </w:r>
      <w:r>
        <w:rPr>
          <w:sz w:val="20"/>
        </w:rPr>
        <w:t>así</w:t>
      </w:r>
      <w:r>
        <w:rPr>
          <w:spacing w:val="-4"/>
          <w:sz w:val="20"/>
        </w:rPr>
        <w:t> </w:t>
      </w:r>
      <w:r>
        <w:rPr>
          <w:sz w:val="20"/>
        </w:rPr>
        <w:t>como</w:t>
      </w:r>
      <w:r>
        <w:rPr>
          <w:spacing w:val="-2"/>
          <w:sz w:val="20"/>
        </w:rPr>
        <w:t> </w:t>
      </w:r>
      <w:r>
        <w:rPr>
          <w:sz w:val="20"/>
        </w:rPr>
        <w:t>para</w:t>
      </w:r>
      <w:r>
        <w:rPr>
          <w:spacing w:val="-2"/>
          <w:sz w:val="20"/>
        </w:rPr>
        <w:t> </w:t>
      </w:r>
      <w:r>
        <w:rPr>
          <w:sz w:val="20"/>
        </w:rPr>
        <w:t>la</w:t>
      </w:r>
      <w:r>
        <w:rPr>
          <w:spacing w:val="-4"/>
          <w:sz w:val="20"/>
        </w:rPr>
        <w:t> </w:t>
      </w:r>
      <w:r>
        <w:rPr>
          <w:sz w:val="20"/>
        </w:rPr>
        <w:t>reducción</w:t>
      </w:r>
      <w:r>
        <w:rPr>
          <w:spacing w:val="-2"/>
          <w:sz w:val="20"/>
        </w:rPr>
        <w:t> </w:t>
      </w:r>
      <w:r>
        <w:rPr>
          <w:sz w:val="20"/>
        </w:rPr>
        <w:t>de</w:t>
      </w:r>
      <w:r>
        <w:rPr>
          <w:spacing w:val="-2"/>
          <w:sz w:val="20"/>
        </w:rPr>
        <w:t> </w:t>
      </w:r>
      <w:r>
        <w:rPr>
          <w:sz w:val="20"/>
        </w:rPr>
        <w:t>la</w:t>
      </w:r>
      <w:r>
        <w:rPr>
          <w:spacing w:val="-4"/>
          <w:sz w:val="20"/>
        </w:rPr>
        <w:t> </w:t>
      </w:r>
      <w:r>
        <w:rPr>
          <w:sz w:val="20"/>
        </w:rPr>
        <w:t>contaminación del agua, del suelo, del aire y del ruido.</w:t>
      </w:r>
    </w:p>
    <w:p>
      <w:pPr>
        <w:pStyle w:val="ListParagraph"/>
        <w:numPr>
          <w:ilvl w:val="1"/>
          <w:numId w:val="44"/>
        </w:numPr>
        <w:tabs>
          <w:tab w:pos="543" w:val="left" w:leader="none"/>
        </w:tabs>
        <w:spacing w:line="240" w:lineRule="auto" w:before="1" w:after="0"/>
        <w:ind w:left="543" w:right="0" w:hanging="281"/>
        <w:jc w:val="left"/>
        <w:rPr>
          <w:sz w:val="20"/>
        </w:rPr>
      </w:pPr>
      <w:r>
        <w:rPr>
          <w:sz w:val="20"/>
        </w:rPr>
        <w:t>La</w:t>
      </w:r>
      <w:r>
        <w:rPr>
          <w:spacing w:val="-7"/>
          <w:sz w:val="20"/>
        </w:rPr>
        <w:t> </w:t>
      </w:r>
      <w:r>
        <w:rPr>
          <w:sz w:val="20"/>
        </w:rPr>
        <w:t>ocupación</w:t>
      </w:r>
      <w:r>
        <w:rPr>
          <w:spacing w:val="-6"/>
          <w:sz w:val="20"/>
        </w:rPr>
        <w:t> </w:t>
      </w:r>
      <w:r>
        <w:rPr>
          <w:sz w:val="20"/>
        </w:rPr>
        <w:t>de</w:t>
      </w:r>
      <w:r>
        <w:rPr>
          <w:spacing w:val="-5"/>
          <w:sz w:val="20"/>
        </w:rPr>
        <w:t> </w:t>
      </w:r>
      <w:r>
        <w:rPr>
          <w:sz w:val="20"/>
        </w:rPr>
        <w:t>zonas</w:t>
      </w:r>
      <w:r>
        <w:rPr>
          <w:spacing w:val="-5"/>
          <w:sz w:val="20"/>
        </w:rPr>
        <w:t> </w:t>
      </w:r>
      <w:r>
        <w:rPr>
          <w:sz w:val="20"/>
        </w:rPr>
        <w:t>de</w:t>
      </w:r>
      <w:r>
        <w:rPr>
          <w:spacing w:val="-5"/>
          <w:sz w:val="20"/>
        </w:rPr>
        <w:t> </w:t>
      </w:r>
      <w:r>
        <w:rPr>
          <w:spacing w:val="-2"/>
          <w:sz w:val="20"/>
        </w:rPr>
        <w:t>riesgo;</w:t>
      </w:r>
    </w:p>
    <w:p>
      <w:pPr>
        <w:pStyle w:val="BodyText"/>
      </w:pPr>
    </w:p>
    <w:p>
      <w:pPr>
        <w:pStyle w:val="ListParagraph"/>
        <w:numPr>
          <w:ilvl w:val="0"/>
          <w:numId w:val="44"/>
        </w:numPr>
        <w:tabs>
          <w:tab w:pos="544" w:val="left" w:leader="none"/>
        </w:tabs>
        <w:spacing w:line="240" w:lineRule="auto" w:before="1" w:after="0"/>
        <w:ind w:left="262" w:right="288" w:firstLine="0"/>
        <w:jc w:val="both"/>
        <w:rPr>
          <w:sz w:val="20"/>
        </w:rPr>
      </w:pPr>
      <w:r>
        <w:rPr>
          <w:sz w:val="20"/>
        </w:rPr>
        <w:t>Las líneas de acción, obras y servicios, estableciendo su cuantificación, ubicación, etapa y responsable</w:t>
      </w:r>
      <w:r>
        <w:rPr>
          <w:spacing w:val="-1"/>
          <w:sz w:val="20"/>
        </w:rPr>
        <w:t> </w:t>
      </w:r>
      <w:r>
        <w:rPr>
          <w:sz w:val="20"/>
        </w:rPr>
        <w:t>de</w:t>
      </w:r>
      <w:r>
        <w:rPr>
          <w:spacing w:val="-3"/>
          <w:sz w:val="20"/>
        </w:rPr>
        <w:t> </w:t>
      </w:r>
      <w:r>
        <w:rPr>
          <w:sz w:val="20"/>
        </w:rPr>
        <w:t>su</w:t>
      </w:r>
      <w:r>
        <w:rPr>
          <w:spacing w:val="-1"/>
          <w:sz w:val="20"/>
        </w:rPr>
        <w:t> </w:t>
      </w:r>
      <w:r>
        <w:rPr>
          <w:sz w:val="20"/>
        </w:rPr>
        <w:t>ejecución,</w:t>
      </w:r>
      <w:r>
        <w:rPr>
          <w:spacing w:val="-3"/>
          <w:sz w:val="20"/>
        </w:rPr>
        <w:t> </w:t>
      </w:r>
      <w:r>
        <w:rPr>
          <w:sz w:val="20"/>
        </w:rPr>
        <w:t>se</w:t>
      </w:r>
      <w:r>
        <w:rPr>
          <w:spacing w:val="-3"/>
          <w:sz w:val="20"/>
        </w:rPr>
        <w:t> </w:t>
      </w:r>
      <w:r>
        <w:rPr>
          <w:sz w:val="20"/>
        </w:rPr>
        <w:t>distinguirán</w:t>
      </w:r>
      <w:r>
        <w:rPr>
          <w:spacing w:val="-1"/>
          <w:sz w:val="20"/>
        </w:rPr>
        <w:t> </w:t>
      </w:r>
      <w:r>
        <w:rPr>
          <w:sz w:val="20"/>
        </w:rPr>
        <w:t>las acciones</w:t>
      </w:r>
      <w:r>
        <w:rPr>
          <w:spacing w:val="-2"/>
          <w:sz w:val="20"/>
        </w:rPr>
        <w:t> </w:t>
      </w:r>
      <w:r>
        <w:rPr>
          <w:sz w:val="20"/>
        </w:rPr>
        <w:t>que</w:t>
      </w:r>
      <w:r>
        <w:rPr>
          <w:spacing w:val="-3"/>
          <w:sz w:val="20"/>
        </w:rPr>
        <w:t> </w:t>
      </w:r>
      <w:r>
        <w:rPr>
          <w:sz w:val="20"/>
        </w:rPr>
        <w:t>por</w:t>
      </w:r>
      <w:r>
        <w:rPr>
          <w:spacing w:val="-2"/>
          <w:sz w:val="20"/>
        </w:rPr>
        <w:t> </w:t>
      </w:r>
      <w:r>
        <w:rPr>
          <w:sz w:val="20"/>
        </w:rPr>
        <w:t>su</w:t>
      </w:r>
      <w:r>
        <w:rPr>
          <w:spacing w:val="-3"/>
          <w:sz w:val="20"/>
        </w:rPr>
        <w:t> </w:t>
      </w:r>
      <w:r>
        <w:rPr>
          <w:sz w:val="20"/>
        </w:rPr>
        <w:t>importancia</w:t>
      </w:r>
      <w:r>
        <w:rPr>
          <w:spacing w:val="-1"/>
          <w:sz w:val="20"/>
        </w:rPr>
        <w:t> </w:t>
      </w:r>
      <w:r>
        <w:rPr>
          <w:sz w:val="20"/>
        </w:rPr>
        <w:t>para</w:t>
      </w:r>
      <w:r>
        <w:rPr>
          <w:spacing w:val="-1"/>
          <w:sz w:val="20"/>
        </w:rPr>
        <w:t> </w:t>
      </w:r>
      <w:r>
        <w:rPr>
          <w:sz w:val="20"/>
        </w:rPr>
        <w:t>la</w:t>
      </w:r>
      <w:r>
        <w:rPr>
          <w:spacing w:val="-1"/>
          <w:sz w:val="20"/>
        </w:rPr>
        <w:t> </w:t>
      </w:r>
      <w:r>
        <w:rPr>
          <w:sz w:val="20"/>
        </w:rPr>
        <w:t>estrategia general, se consideren como prioritarias. Las líneas de acción serán cuando menos las siguientes:</w:t>
      </w:r>
    </w:p>
    <w:p>
      <w:pPr>
        <w:pStyle w:val="ListParagraph"/>
        <w:numPr>
          <w:ilvl w:val="1"/>
          <w:numId w:val="44"/>
        </w:numPr>
        <w:tabs>
          <w:tab w:pos="544" w:val="left" w:leader="none"/>
        </w:tabs>
        <w:spacing w:line="240" w:lineRule="auto" w:before="229" w:after="0"/>
        <w:ind w:left="544" w:right="0" w:hanging="282"/>
        <w:jc w:val="both"/>
        <w:rPr>
          <w:sz w:val="20"/>
        </w:rPr>
      </w:pPr>
      <w:r>
        <w:rPr>
          <w:spacing w:val="-2"/>
          <w:sz w:val="20"/>
        </w:rPr>
        <w:t>Planeación</w:t>
      </w:r>
      <w:r>
        <w:rPr>
          <w:spacing w:val="6"/>
          <w:sz w:val="20"/>
        </w:rPr>
        <w:t> </w:t>
      </w:r>
      <w:r>
        <w:rPr>
          <w:spacing w:val="-2"/>
          <w:sz w:val="20"/>
        </w:rPr>
        <w:t>urbana.</w:t>
      </w:r>
    </w:p>
    <w:p>
      <w:pPr>
        <w:pStyle w:val="BodyText"/>
        <w:spacing w:before="1"/>
      </w:pPr>
    </w:p>
    <w:p>
      <w:pPr>
        <w:pStyle w:val="ListParagraph"/>
        <w:numPr>
          <w:ilvl w:val="1"/>
          <w:numId w:val="44"/>
        </w:numPr>
        <w:tabs>
          <w:tab w:pos="544" w:val="left" w:leader="none"/>
        </w:tabs>
        <w:spacing w:line="240" w:lineRule="auto" w:before="0" w:after="0"/>
        <w:ind w:left="544" w:right="0" w:hanging="282"/>
        <w:jc w:val="both"/>
        <w:rPr>
          <w:sz w:val="20"/>
        </w:rPr>
      </w:pPr>
      <w:r>
        <w:rPr>
          <w:sz w:val="20"/>
        </w:rPr>
        <w:t>Imagen</w:t>
      </w:r>
      <w:r>
        <w:rPr>
          <w:spacing w:val="-12"/>
          <w:sz w:val="20"/>
        </w:rPr>
        <w:t> </w:t>
      </w:r>
      <w:r>
        <w:rPr>
          <w:spacing w:val="-2"/>
          <w:sz w:val="20"/>
        </w:rPr>
        <w:t>urbana.</w:t>
      </w:r>
    </w:p>
    <w:p>
      <w:pPr>
        <w:pStyle w:val="ListParagraph"/>
        <w:numPr>
          <w:ilvl w:val="1"/>
          <w:numId w:val="44"/>
        </w:numPr>
        <w:tabs>
          <w:tab w:pos="544" w:val="left" w:leader="none"/>
        </w:tabs>
        <w:spacing w:line="240" w:lineRule="auto" w:before="228" w:after="0"/>
        <w:ind w:left="544" w:right="0" w:hanging="282"/>
        <w:jc w:val="both"/>
        <w:rPr>
          <w:sz w:val="20"/>
        </w:rPr>
      </w:pPr>
      <w:r>
        <w:rPr>
          <w:sz w:val="20"/>
        </w:rPr>
        <w:t>Suelo</w:t>
      </w:r>
      <w:r>
        <w:rPr>
          <w:spacing w:val="-7"/>
          <w:sz w:val="20"/>
        </w:rPr>
        <w:t> </w:t>
      </w:r>
      <w:r>
        <w:rPr>
          <w:sz w:val="20"/>
        </w:rPr>
        <w:t>y</w:t>
      </w:r>
      <w:r>
        <w:rPr>
          <w:spacing w:val="-5"/>
          <w:sz w:val="20"/>
        </w:rPr>
        <w:t> </w:t>
      </w:r>
      <w:r>
        <w:rPr>
          <w:sz w:val="20"/>
        </w:rPr>
        <w:t>reservas</w:t>
      </w:r>
      <w:r>
        <w:rPr>
          <w:spacing w:val="-5"/>
          <w:sz w:val="20"/>
        </w:rPr>
        <w:t> </w:t>
      </w:r>
      <w:r>
        <w:rPr>
          <w:spacing w:val="-2"/>
          <w:sz w:val="20"/>
        </w:rPr>
        <w:t>territoriales.</w:t>
      </w:r>
    </w:p>
    <w:p>
      <w:pPr>
        <w:pStyle w:val="BodyText"/>
        <w:spacing w:before="1"/>
      </w:pPr>
    </w:p>
    <w:p>
      <w:pPr>
        <w:pStyle w:val="ListParagraph"/>
        <w:numPr>
          <w:ilvl w:val="1"/>
          <w:numId w:val="44"/>
        </w:numPr>
        <w:tabs>
          <w:tab w:pos="544" w:val="left" w:leader="none"/>
        </w:tabs>
        <w:spacing w:line="240" w:lineRule="auto" w:before="0" w:after="0"/>
        <w:ind w:left="544" w:right="0" w:hanging="282"/>
        <w:jc w:val="both"/>
        <w:rPr>
          <w:sz w:val="20"/>
        </w:rPr>
      </w:pPr>
      <w:r>
        <w:rPr>
          <w:spacing w:val="-2"/>
          <w:sz w:val="20"/>
        </w:rPr>
        <w:t>Infraestructura.</w:t>
      </w:r>
    </w:p>
    <w:p>
      <w:pPr>
        <w:pStyle w:val="BodyText"/>
        <w:spacing w:before="1"/>
      </w:pPr>
    </w:p>
    <w:p>
      <w:pPr>
        <w:pStyle w:val="ListParagraph"/>
        <w:numPr>
          <w:ilvl w:val="1"/>
          <w:numId w:val="44"/>
        </w:numPr>
        <w:tabs>
          <w:tab w:pos="544" w:val="left" w:leader="none"/>
        </w:tabs>
        <w:spacing w:line="240" w:lineRule="auto" w:before="0" w:after="0"/>
        <w:ind w:left="544" w:right="0" w:hanging="282"/>
        <w:jc w:val="both"/>
        <w:rPr>
          <w:sz w:val="20"/>
        </w:rPr>
      </w:pPr>
      <w:r>
        <w:rPr>
          <w:spacing w:val="-2"/>
          <w:sz w:val="20"/>
        </w:rPr>
        <w:t>Vivienda.</w:t>
      </w:r>
    </w:p>
    <w:p>
      <w:pPr>
        <w:pStyle w:val="ListParagraph"/>
        <w:numPr>
          <w:ilvl w:val="1"/>
          <w:numId w:val="44"/>
        </w:numPr>
        <w:tabs>
          <w:tab w:pos="543" w:val="left" w:leader="none"/>
        </w:tabs>
        <w:spacing w:line="240" w:lineRule="auto" w:before="229" w:after="0"/>
        <w:ind w:left="543" w:right="0" w:hanging="281"/>
        <w:jc w:val="both"/>
        <w:rPr>
          <w:sz w:val="20"/>
        </w:rPr>
      </w:pPr>
      <w:r>
        <w:rPr>
          <w:sz w:val="20"/>
        </w:rPr>
        <w:t>Vialidad</w:t>
      </w:r>
      <w:r>
        <w:rPr>
          <w:spacing w:val="-7"/>
          <w:sz w:val="20"/>
        </w:rPr>
        <w:t> </w:t>
      </w:r>
      <w:r>
        <w:rPr>
          <w:sz w:val="20"/>
        </w:rPr>
        <w:t>y</w:t>
      </w:r>
      <w:r>
        <w:rPr>
          <w:spacing w:val="-6"/>
          <w:sz w:val="20"/>
        </w:rPr>
        <w:t> </w:t>
      </w:r>
      <w:r>
        <w:rPr>
          <w:spacing w:val="-2"/>
          <w:sz w:val="20"/>
        </w:rPr>
        <w:t>transporte.</w:t>
      </w:r>
    </w:p>
    <w:p>
      <w:pPr>
        <w:pStyle w:val="BodyText"/>
      </w:pPr>
    </w:p>
    <w:p>
      <w:pPr>
        <w:pStyle w:val="ListParagraph"/>
        <w:numPr>
          <w:ilvl w:val="1"/>
          <w:numId w:val="44"/>
        </w:numPr>
        <w:tabs>
          <w:tab w:pos="544" w:val="left" w:leader="none"/>
        </w:tabs>
        <w:spacing w:line="240" w:lineRule="auto" w:before="1" w:after="0"/>
        <w:ind w:left="544" w:right="0" w:hanging="282"/>
        <w:jc w:val="both"/>
        <w:rPr>
          <w:sz w:val="20"/>
        </w:rPr>
      </w:pPr>
      <w:r>
        <w:rPr>
          <w:spacing w:val="-2"/>
          <w:sz w:val="20"/>
        </w:rPr>
        <w:t>Equipamiento</w:t>
      </w:r>
      <w:r>
        <w:rPr>
          <w:spacing w:val="8"/>
          <w:sz w:val="20"/>
        </w:rPr>
        <w:t> </w:t>
      </w:r>
      <w:r>
        <w:rPr>
          <w:spacing w:val="-2"/>
          <w:sz w:val="20"/>
        </w:rPr>
        <w:t>urbano.</w:t>
      </w:r>
    </w:p>
    <w:p>
      <w:pPr>
        <w:pStyle w:val="ListParagraph"/>
        <w:numPr>
          <w:ilvl w:val="1"/>
          <w:numId w:val="44"/>
        </w:numPr>
        <w:tabs>
          <w:tab w:pos="544" w:val="left" w:leader="none"/>
        </w:tabs>
        <w:spacing w:line="240" w:lineRule="auto" w:before="228" w:after="0"/>
        <w:ind w:left="544" w:right="0" w:hanging="282"/>
        <w:jc w:val="both"/>
        <w:rPr>
          <w:sz w:val="20"/>
        </w:rPr>
      </w:pPr>
      <w:r>
        <w:rPr>
          <w:sz w:val="20"/>
        </w:rPr>
        <w:t>Medio</w:t>
      </w:r>
      <w:r>
        <w:rPr>
          <w:spacing w:val="-10"/>
          <w:sz w:val="20"/>
        </w:rPr>
        <w:t> </w:t>
      </w:r>
      <w:r>
        <w:rPr>
          <w:spacing w:val="-2"/>
          <w:sz w:val="20"/>
        </w:rPr>
        <w:t>ambiente.</w:t>
      </w:r>
    </w:p>
    <w:p>
      <w:pPr>
        <w:pStyle w:val="BodyText"/>
        <w:spacing w:before="1"/>
      </w:pPr>
    </w:p>
    <w:p>
      <w:pPr>
        <w:pStyle w:val="ListParagraph"/>
        <w:numPr>
          <w:ilvl w:val="1"/>
          <w:numId w:val="44"/>
        </w:numPr>
        <w:tabs>
          <w:tab w:pos="543" w:val="left" w:leader="none"/>
        </w:tabs>
        <w:spacing w:line="240" w:lineRule="auto" w:before="0" w:after="0"/>
        <w:ind w:left="543" w:right="0" w:hanging="281"/>
        <w:jc w:val="both"/>
        <w:rPr>
          <w:sz w:val="20"/>
        </w:rPr>
      </w:pPr>
      <w:r>
        <w:rPr>
          <w:sz w:val="20"/>
        </w:rPr>
        <w:t>Riesgos</w:t>
      </w:r>
      <w:r>
        <w:rPr>
          <w:spacing w:val="-11"/>
          <w:sz w:val="20"/>
        </w:rPr>
        <w:t> </w:t>
      </w:r>
      <w:r>
        <w:rPr>
          <w:sz w:val="20"/>
        </w:rPr>
        <w:t>y</w:t>
      </w:r>
      <w:r>
        <w:rPr>
          <w:spacing w:val="-10"/>
          <w:sz w:val="20"/>
        </w:rPr>
        <w:t> </w:t>
      </w:r>
      <w:r>
        <w:rPr>
          <w:sz w:val="20"/>
        </w:rPr>
        <w:t>vulnerabilidad,</w:t>
      </w:r>
      <w:r>
        <w:rPr>
          <w:spacing w:val="-11"/>
          <w:sz w:val="20"/>
        </w:rPr>
        <w:t> </w:t>
      </w:r>
      <w:r>
        <w:rPr>
          <w:spacing w:val="-10"/>
          <w:sz w:val="20"/>
        </w:rPr>
        <w:t>y</w:t>
      </w:r>
    </w:p>
    <w:p>
      <w:pPr>
        <w:pStyle w:val="BodyText"/>
      </w:pPr>
    </w:p>
    <w:p>
      <w:pPr>
        <w:pStyle w:val="ListParagraph"/>
        <w:numPr>
          <w:ilvl w:val="0"/>
          <w:numId w:val="44"/>
        </w:numPr>
        <w:tabs>
          <w:tab w:pos="688" w:val="left" w:leader="none"/>
        </w:tabs>
        <w:spacing w:line="240" w:lineRule="auto" w:before="1" w:after="0"/>
        <w:ind w:left="688" w:right="0" w:hanging="426"/>
        <w:jc w:val="both"/>
        <w:rPr>
          <w:sz w:val="20"/>
        </w:rPr>
      </w:pPr>
      <w:r>
        <w:rPr>
          <w:sz w:val="20"/>
        </w:rPr>
        <w:t>La</w:t>
      </w:r>
      <w:r>
        <w:rPr>
          <w:spacing w:val="-10"/>
          <w:sz w:val="20"/>
        </w:rPr>
        <w:t> </w:t>
      </w:r>
      <w:r>
        <w:rPr>
          <w:sz w:val="20"/>
        </w:rPr>
        <w:t>instrumentación,</w:t>
      </w:r>
      <w:r>
        <w:rPr>
          <w:spacing w:val="-6"/>
          <w:sz w:val="20"/>
        </w:rPr>
        <w:t> </w:t>
      </w:r>
      <w:r>
        <w:rPr>
          <w:sz w:val="20"/>
        </w:rPr>
        <w:t>que</w:t>
      </w:r>
      <w:r>
        <w:rPr>
          <w:spacing w:val="-8"/>
          <w:sz w:val="20"/>
        </w:rPr>
        <w:t> </w:t>
      </w:r>
      <w:r>
        <w:rPr>
          <w:sz w:val="20"/>
        </w:rPr>
        <w:t>establezca</w:t>
      </w:r>
      <w:r>
        <w:rPr>
          <w:spacing w:val="-9"/>
          <w:sz w:val="20"/>
        </w:rPr>
        <w:t> </w:t>
      </w:r>
      <w:r>
        <w:rPr>
          <w:sz w:val="20"/>
        </w:rPr>
        <w:t>entre</w:t>
      </w:r>
      <w:r>
        <w:rPr>
          <w:spacing w:val="-8"/>
          <w:sz w:val="20"/>
        </w:rPr>
        <w:t> </w:t>
      </w:r>
      <w:r>
        <w:rPr>
          <w:spacing w:val="-2"/>
          <w:sz w:val="20"/>
        </w:rPr>
        <w:t>otros: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44"/>
        </w:numPr>
        <w:tabs>
          <w:tab w:pos="544" w:val="left" w:leader="none"/>
        </w:tabs>
        <w:spacing w:line="240" w:lineRule="auto" w:before="0" w:after="0"/>
        <w:ind w:left="262" w:right="287" w:firstLine="0"/>
        <w:jc w:val="both"/>
        <w:rPr>
          <w:sz w:val="20"/>
        </w:rPr>
      </w:pPr>
      <w:r>
        <w:rPr>
          <w:sz w:val="20"/>
        </w:rPr>
        <w:t>La estrategia para mejorar la organización y procedimientos municipales de administración </w:t>
      </w:r>
      <w:r>
        <w:rPr>
          <w:spacing w:val="-2"/>
          <w:sz w:val="20"/>
        </w:rPr>
        <w:t>urbana.</w:t>
      </w:r>
    </w:p>
    <w:p>
      <w:pPr>
        <w:pStyle w:val="BodyText"/>
        <w:spacing w:before="1"/>
      </w:pPr>
    </w:p>
    <w:p>
      <w:pPr>
        <w:pStyle w:val="ListParagraph"/>
        <w:numPr>
          <w:ilvl w:val="1"/>
          <w:numId w:val="44"/>
        </w:numPr>
        <w:tabs>
          <w:tab w:pos="544" w:val="left" w:leader="none"/>
        </w:tabs>
        <w:spacing w:line="240" w:lineRule="auto" w:before="1" w:after="0"/>
        <w:ind w:left="262" w:right="288" w:firstLine="0"/>
        <w:jc w:val="both"/>
        <w:rPr>
          <w:sz w:val="20"/>
        </w:rPr>
      </w:pPr>
      <w:r>
        <w:rPr>
          <w:sz w:val="20"/>
        </w:rPr>
        <w:t>Los procedimientos de participación ciudadana para el seguimiento del Programa de Desarrollo </w:t>
      </w:r>
      <w:r>
        <w:rPr>
          <w:spacing w:val="-2"/>
          <w:sz w:val="20"/>
        </w:rPr>
        <w:t>Urbano.</w:t>
      </w:r>
    </w:p>
    <w:p>
      <w:pPr>
        <w:pStyle w:val="ListParagraph"/>
        <w:numPr>
          <w:ilvl w:val="1"/>
          <w:numId w:val="44"/>
        </w:numPr>
        <w:tabs>
          <w:tab w:pos="544" w:val="left" w:leader="none"/>
        </w:tabs>
        <w:spacing w:line="240" w:lineRule="auto" w:before="228" w:after="0"/>
        <w:ind w:left="262" w:right="292" w:firstLine="0"/>
        <w:jc w:val="both"/>
        <w:rPr>
          <w:sz w:val="20"/>
        </w:rPr>
      </w:pPr>
      <w:r>
        <w:rPr>
          <w:sz w:val="20"/>
        </w:rPr>
        <w:t>Las bases para los acuerdos de coordinación entre las autoridades, y con los sectores social y privado, para realizar las acciones emanadas del programa.</w:t>
      </w:r>
    </w:p>
    <w:p>
      <w:pPr>
        <w:pStyle w:val="BodyText"/>
        <w:spacing w:before="2"/>
      </w:pPr>
    </w:p>
    <w:p>
      <w:pPr>
        <w:pStyle w:val="ListParagraph"/>
        <w:numPr>
          <w:ilvl w:val="1"/>
          <w:numId w:val="44"/>
        </w:numPr>
        <w:tabs>
          <w:tab w:pos="544" w:val="left" w:leader="none"/>
        </w:tabs>
        <w:spacing w:line="240" w:lineRule="auto" w:before="0" w:after="0"/>
        <w:ind w:left="262" w:right="287" w:firstLine="0"/>
        <w:jc w:val="both"/>
        <w:rPr>
          <w:sz w:val="20"/>
        </w:rPr>
      </w:pPr>
      <w:r>
        <w:rPr>
          <w:sz w:val="20"/>
        </w:rPr>
        <w:t>El sistema de evaluación del mismo programa de desarrollo urbano, señalando indicadores urbanos, sociales y ambientales, sus metas y plazos, y</w:t>
      </w:r>
    </w:p>
    <w:p>
      <w:pPr>
        <w:pStyle w:val="ListParagraph"/>
        <w:numPr>
          <w:ilvl w:val="1"/>
          <w:numId w:val="44"/>
        </w:numPr>
        <w:tabs>
          <w:tab w:pos="544" w:val="left" w:leader="none"/>
        </w:tabs>
        <w:spacing w:line="240" w:lineRule="auto" w:before="229" w:after="0"/>
        <w:ind w:left="262" w:right="287" w:firstLine="0"/>
        <w:jc w:val="both"/>
        <w:rPr>
          <w:sz w:val="20"/>
        </w:rPr>
      </w:pPr>
      <w:r>
        <w:rPr>
          <w:sz w:val="20"/>
        </w:rPr>
        <w:t>Fuentes de financiamiento para la ejecución de acciones, obras y servicios emanados del Programa de Desarrollo Urbano.</w:t>
      </w:r>
    </w:p>
    <w:p>
      <w:pPr>
        <w:pStyle w:val="BodyText"/>
        <w:spacing w:before="229"/>
      </w:pPr>
    </w:p>
    <w:p>
      <w:pPr>
        <w:pStyle w:val="Heading2"/>
        <w:ind w:left="10" w:right="24"/>
      </w:pPr>
      <w:r>
        <w:rPr/>
        <w:t>Capítulo</w:t>
      </w:r>
      <w:r>
        <w:rPr>
          <w:spacing w:val="-8"/>
        </w:rPr>
        <w:t> </w:t>
      </w:r>
      <w:r>
        <w:rPr>
          <w:spacing w:val="-5"/>
        </w:rPr>
        <w:t>VI</w:t>
      </w:r>
    </w:p>
    <w:p>
      <w:pPr>
        <w:pStyle w:val="BodyText"/>
        <w:spacing w:before="1"/>
        <w:rPr>
          <w:rFonts w:ascii="Arial"/>
          <w:b/>
        </w:rPr>
      </w:pPr>
    </w:p>
    <w:p>
      <w:pPr>
        <w:spacing w:line="480" w:lineRule="auto" w:before="0"/>
        <w:ind w:left="262" w:right="1640" w:firstLine="2376"/>
        <w:jc w:val="left"/>
        <w:rPr>
          <w:sz w:val="20"/>
        </w:rPr>
      </w:pPr>
      <w:r>
        <w:rPr>
          <w:rFonts w:ascii="Arial" w:hAnsi="Arial"/>
          <w:b/>
          <w:sz w:val="20"/>
        </w:rPr>
        <w:t>Programas Parciales de Desarrollo Urbano ARTÍCULO</w:t>
      </w:r>
      <w:r>
        <w:rPr>
          <w:rFonts w:ascii="Arial" w:hAnsi="Arial"/>
          <w:b/>
          <w:spacing w:val="-5"/>
          <w:sz w:val="20"/>
        </w:rPr>
        <w:t> </w:t>
      </w:r>
      <w:r>
        <w:rPr>
          <w:rFonts w:ascii="Arial" w:hAnsi="Arial"/>
          <w:b/>
          <w:sz w:val="20"/>
        </w:rPr>
        <w:t>96.</w:t>
      </w:r>
      <w:r>
        <w:rPr>
          <w:rFonts w:ascii="Arial" w:hAnsi="Arial"/>
          <w:b/>
          <w:spacing w:val="-5"/>
          <w:sz w:val="20"/>
        </w:rPr>
        <w:t> </w:t>
      </w:r>
      <w:r>
        <w:rPr>
          <w:sz w:val="20"/>
        </w:rPr>
        <w:t>Los</w:t>
      </w:r>
      <w:r>
        <w:rPr>
          <w:spacing w:val="-3"/>
          <w:sz w:val="20"/>
        </w:rPr>
        <w:t> </w:t>
      </w:r>
      <w:r>
        <w:rPr>
          <w:sz w:val="20"/>
        </w:rPr>
        <w:t>Programas</w:t>
      </w:r>
      <w:r>
        <w:rPr>
          <w:spacing w:val="-5"/>
          <w:sz w:val="20"/>
        </w:rPr>
        <w:t> </w:t>
      </w:r>
      <w:r>
        <w:rPr>
          <w:sz w:val="20"/>
        </w:rPr>
        <w:t>Parciales</w:t>
      </w:r>
      <w:r>
        <w:rPr>
          <w:spacing w:val="-5"/>
          <w:sz w:val="20"/>
        </w:rPr>
        <w:t> </w:t>
      </w:r>
      <w:r>
        <w:rPr>
          <w:sz w:val="20"/>
        </w:rPr>
        <w:t>de</w:t>
      </w:r>
      <w:r>
        <w:rPr>
          <w:spacing w:val="-5"/>
          <w:sz w:val="20"/>
        </w:rPr>
        <w:t> </w:t>
      </w:r>
      <w:r>
        <w:rPr>
          <w:sz w:val="20"/>
        </w:rPr>
        <w:t>Desarrollo</w:t>
      </w:r>
      <w:r>
        <w:rPr>
          <w:spacing w:val="-6"/>
          <w:sz w:val="20"/>
        </w:rPr>
        <w:t> </w:t>
      </w:r>
      <w:r>
        <w:rPr>
          <w:sz w:val="20"/>
        </w:rPr>
        <w:t>Urbano</w:t>
      </w:r>
      <w:r>
        <w:rPr>
          <w:spacing w:val="-6"/>
          <w:sz w:val="20"/>
        </w:rPr>
        <w:t> </w:t>
      </w:r>
      <w:r>
        <w:rPr>
          <w:sz w:val="20"/>
        </w:rPr>
        <w:t>se</w:t>
      </w:r>
      <w:r>
        <w:rPr>
          <w:spacing w:val="-4"/>
          <w:sz w:val="20"/>
        </w:rPr>
        <w:t> </w:t>
      </w:r>
      <w:r>
        <w:rPr>
          <w:sz w:val="20"/>
        </w:rPr>
        <w:t>elaborarán</w:t>
      </w:r>
      <w:r>
        <w:rPr>
          <w:spacing w:val="-6"/>
          <w:sz w:val="20"/>
        </w:rPr>
        <w:t> </w:t>
      </w:r>
      <w:r>
        <w:rPr>
          <w:sz w:val="20"/>
        </w:rPr>
        <w:t>para:</w:t>
      </w:r>
    </w:p>
    <w:p>
      <w:pPr>
        <w:pStyle w:val="ListParagraph"/>
        <w:numPr>
          <w:ilvl w:val="2"/>
          <w:numId w:val="44"/>
        </w:numPr>
        <w:tabs>
          <w:tab w:pos="543" w:val="left" w:leader="none"/>
        </w:tabs>
        <w:spacing w:line="229" w:lineRule="exact" w:before="0" w:after="0"/>
        <w:ind w:left="543" w:right="0" w:hanging="281"/>
        <w:jc w:val="both"/>
        <w:rPr>
          <w:sz w:val="20"/>
        </w:rPr>
      </w:pPr>
      <w:r>
        <w:rPr>
          <w:sz w:val="20"/>
        </w:rPr>
        <w:t>La</w:t>
      </w:r>
      <w:r>
        <w:rPr>
          <w:spacing w:val="-9"/>
          <w:sz w:val="20"/>
        </w:rPr>
        <w:t> </w:t>
      </w:r>
      <w:r>
        <w:rPr>
          <w:sz w:val="20"/>
        </w:rPr>
        <w:t>conservación,</w:t>
      </w:r>
      <w:r>
        <w:rPr>
          <w:spacing w:val="-8"/>
          <w:sz w:val="20"/>
        </w:rPr>
        <w:t> </w:t>
      </w:r>
      <w:r>
        <w:rPr>
          <w:sz w:val="20"/>
        </w:rPr>
        <w:t>rehabilitación</w:t>
      </w:r>
      <w:r>
        <w:rPr>
          <w:spacing w:val="-8"/>
          <w:sz w:val="20"/>
        </w:rPr>
        <w:t> </w:t>
      </w:r>
      <w:r>
        <w:rPr>
          <w:sz w:val="20"/>
        </w:rPr>
        <w:t>y</w:t>
      </w:r>
      <w:r>
        <w:rPr>
          <w:spacing w:val="-7"/>
          <w:sz w:val="20"/>
        </w:rPr>
        <w:t> </w:t>
      </w:r>
      <w:r>
        <w:rPr>
          <w:sz w:val="20"/>
        </w:rPr>
        <w:t>mejoramiento</w:t>
      </w:r>
      <w:r>
        <w:rPr>
          <w:spacing w:val="-8"/>
          <w:sz w:val="20"/>
        </w:rPr>
        <w:t> </w:t>
      </w:r>
      <w:r>
        <w:rPr>
          <w:sz w:val="20"/>
        </w:rPr>
        <w:t>de</w:t>
      </w:r>
      <w:r>
        <w:rPr>
          <w:spacing w:val="-7"/>
          <w:sz w:val="20"/>
        </w:rPr>
        <w:t> </w:t>
      </w:r>
      <w:r>
        <w:rPr>
          <w:sz w:val="20"/>
        </w:rPr>
        <w:t>las</w:t>
      </w:r>
      <w:r>
        <w:rPr>
          <w:spacing w:val="-7"/>
          <w:sz w:val="20"/>
        </w:rPr>
        <w:t> </w:t>
      </w:r>
      <w:r>
        <w:rPr>
          <w:sz w:val="20"/>
        </w:rPr>
        <w:t>zonas</w:t>
      </w:r>
      <w:r>
        <w:rPr>
          <w:spacing w:val="-7"/>
          <w:sz w:val="20"/>
        </w:rPr>
        <w:t> </w:t>
      </w:r>
      <w:r>
        <w:rPr>
          <w:sz w:val="20"/>
        </w:rPr>
        <w:t>con</w:t>
      </w:r>
      <w:r>
        <w:rPr>
          <w:spacing w:val="-9"/>
          <w:sz w:val="20"/>
        </w:rPr>
        <w:t> </w:t>
      </w:r>
      <w:r>
        <w:rPr>
          <w:sz w:val="20"/>
        </w:rPr>
        <w:t>valores</w:t>
      </w:r>
      <w:r>
        <w:rPr>
          <w:spacing w:val="-6"/>
          <w:sz w:val="20"/>
        </w:rPr>
        <w:t> </w:t>
      </w:r>
      <w:r>
        <w:rPr>
          <w:sz w:val="20"/>
        </w:rPr>
        <w:t>históricos</w:t>
      </w:r>
      <w:r>
        <w:rPr>
          <w:spacing w:val="-6"/>
          <w:sz w:val="20"/>
        </w:rPr>
        <w:t> </w:t>
      </w:r>
      <w:r>
        <w:rPr>
          <w:sz w:val="20"/>
        </w:rPr>
        <w:t>y</w:t>
      </w:r>
      <w:r>
        <w:rPr>
          <w:spacing w:val="-7"/>
          <w:sz w:val="20"/>
        </w:rPr>
        <w:t> </w:t>
      </w:r>
      <w:r>
        <w:rPr>
          <w:spacing w:val="-2"/>
          <w:sz w:val="20"/>
        </w:rPr>
        <w:t>culturales;</w:t>
      </w:r>
    </w:p>
    <w:p>
      <w:pPr>
        <w:pStyle w:val="BodyText"/>
        <w:spacing w:before="1"/>
      </w:pPr>
    </w:p>
    <w:p>
      <w:pPr>
        <w:pStyle w:val="ListParagraph"/>
        <w:numPr>
          <w:ilvl w:val="2"/>
          <w:numId w:val="44"/>
        </w:numPr>
        <w:tabs>
          <w:tab w:pos="543" w:val="left" w:leader="none"/>
        </w:tabs>
        <w:spacing w:line="240" w:lineRule="auto" w:before="0" w:after="0"/>
        <w:ind w:left="543" w:right="0" w:hanging="281"/>
        <w:jc w:val="both"/>
        <w:rPr>
          <w:sz w:val="20"/>
        </w:rPr>
      </w:pPr>
      <w:r>
        <w:rPr>
          <w:sz w:val="20"/>
        </w:rPr>
        <w:t>El</w:t>
      </w:r>
      <w:r>
        <w:rPr>
          <w:spacing w:val="-8"/>
          <w:sz w:val="20"/>
        </w:rPr>
        <w:t> </w:t>
      </w:r>
      <w:r>
        <w:rPr>
          <w:sz w:val="20"/>
        </w:rPr>
        <w:t>mejoramiento</w:t>
      </w:r>
      <w:r>
        <w:rPr>
          <w:spacing w:val="-9"/>
          <w:sz w:val="20"/>
        </w:rPr>
        <w:t> </w:t>
      </w:r>
      <w:r>
        <w:rPr>
          <w:sz w:val="20"/>
        </w:rPr>
        <w:t>y</w:t>
      </w:r>
      <w:r>
        <w:rPr>
          <w:spacing w:val="-7"/>
          <w:sz w:val="20"/>
        </w:rPr>
        <w:t> </w:t>
      </w:r>
      <w:r>
        <w:rPr>
          <w:sz w:val="20"/>
        </w:rPr>
        <w:t>conservación</w:t>
      </w:r>
      <w:r>
        <w:rPr>
          <w:spacing w:val="-8"/>
          <w:sz w:val="20"/>
        </w:rPr>
        <w:t> </w:t>
      </w:r>
      <w:r>
        <w:rPr>
          <w:sz w:val="20"/>
        </w:rPr>
        <w:t>de</w:t>
      </w:r>
      <w:r>
        <w:rPr>
          <w:spacing w:val="-9"/>
          <w:sz w:val="20"/>
        </w:rPr>
        <w:t> </w:t>
      </w:r>
      <w:r>
        <w:rPr>
          <w:sz w:val="20"/>
        </w:rPr>
        <w:t>zonas</w:t>
      </w:r>
      <w:r>
        <w:rPr>
          <w:spacing w:val="-7"/>
          <w:sz w:val="20"/>
        </w:rPr>
        <w:t> </w:t>
      </w:r>
      <w:r>
        <w:rPr>
          <w:sz w:val="20"/>
        </w:rPr>
        <w:t>urbanas</w:t>
      </w:r>
      <w:r>
        <w:rPr>
          <w:spacing w:val="-7"/>
          <w:sz w:val="20"/>
        </w:rPr>
        <w:t> </w:t>
      </w:r>
      <w:r>
        <w:rPr>
          <w:sz w:val="20"/>
        </w:rPr>
        <w:t>existentes,</w:t>
      </w:r>
      <w:r>
        <w:rPr>
          <w:spacing w:val="-9"/>
          <w:sz w:val="20"/>
        </w:rPr>
        <w:t> </w:t>
      </w:r>
      <w:r>
        <w:rPr>
          <w:spacing w:val="-10"/>
          <w:sz w:val="20"/>
        </w:rPr>
        <w:t>y</w:t>
      </w:r>
    </w:p>
    <w:p>
      <w:pPr>
        <w:pStyle w:val="BodyText"/>
        <w:spacing w:before="1"/>
      </w:pPr>
    </w:p>
    <w:p>
      <w:pPr>
        <w:pStyle w:val="ListParagraph"/>
        <w:numPr>
          <w:ilvl w:val="2"/>
          <w:numId w:val="44"/>
        </w:numPr>
        <w:tabs>
          <w:tab w:pos="541" w:val="left" w:leader="none"/>
        </w:tabs>
        <w:spacing w:line="240" w:lineRule="auto" w:before="0" w:after="0"/>
        <w:ind w:left="541" w:right="0" w:hanging="279"/>
        <w:jc w:val="both"/>
        <w:rPr>
          <w:sz w:val="20"/>
        </w:rPr>
      </w:pPr>
      <w:r>
        <w:rPr>
          <w:sz w:val="20"/>
        </w:rPr>
        <w:t>El</w:t>
      </w:r>
      <w:r>
        <w:rPr>
          <w:spacing w:val="-8"/>
          <w:sz w:val="20"/>
        </w:rPr>
        <w:t> </w:t>
      </w:r>
      <w:r>
        <w:rPr>
          <w:sz w:val="20"/>
        </w:rPr>
        <w:t>crecimiento</w:t>
      </w:r>
      <w:r>
        <w:rPr>
          <w:spacing w:val="-5"/>
          <w:sz w:val="20"/>
        </w:rPr>
        <w:t> </w:t>
      </w:r>
      <w:r>
        <w:rPr>
          <w:sz w:val="20"/>
        </w:rPr>
        <w:t>de</w:t>
      </w:r>
      <w:r>
        <w:rPr>
          <w:spacing w:val="-8"/>
          <w:sz w:val="20"/>
        </w:rPr>
        <w:t> </w:t>
      </w:r>
      <w:r>
        <w:rPr>
          <w:sz w:val="20"/>
        </w:rPr>
        <w:t>zonas</w:t>
      </w:r>
      <w:r>
        <w:rPr>
          <w:spacing w:val="-6"/>
          <w:sz w:val="20"/>
        </w:rPr>
        <w:t> </w:t>
      </w:r>
      <w:r>
        <w:rPr>
          <w:sz w:val="20"/>
        </w:rPr>
        <w:t>urbanizables</w:t>
      </w:r>
      <w:r>
        <w:rPr>
          <w:spacing w:val="-6"/>
          <w:sz w:val="20"/>
        </w:rPr>
        <w:t> </w:t>
      </w:r>
      <w:r>
        <w:rPr>
          <w:sz w:val="20"/>
        </w:rPr>
        <w:t>de</w:t>
      </w:r>
      <w:r>
        <w:rPr>
          <w:spacing w:val="-6"/>
          <w:sz w:val="20"/>
        </w:rPr>
        <w:t> </w:t>
      </w:r>
      <w:r>
        <w:rPr>
          <w:sz w:val="20"/>
        </w:rPr>
        <w:t>un</w:t>
      </w:r>
      <w:r>
        <w:rPr>
          <w:spacing w:val="-8"/>
          <w:sz w:val="20"/>
        </w:rPr>
        <w:t> </w:t>
      </w:r>
      <w:r>
        <w:rPr>
          <w:sz w:val="20"/>
        </w:rPr>
        <w:t>centro</w:t>
      </w:r>
      <w:r>
        <w:rPr>
          <w:spacing w:val="-7"/>
          <w:sz w:val="20"/>
        </w:rPr>
        <w:t> </w:t>
      </w:r>
      <w:r>
        <w:rPr>
          <w:sz w:val="20"/>
        </w:rPr>
        <w:t>de</w:t>
      </w:r>
      <w:r>
        <w:rPr>
          <w:spacing w:val="-5"/>
          <w:sz w:val="20"/>
        </w:rPr>
        <w:t> </w:t>
      </w:r>
      <w:r>
        <w:rPr>
          <w:spacing w:val="-2"/>
          <w:sz w:val="20"/>
        </w:rPr>
        <w:t>población.</w:t>
      </w:r>
    </w:p>
    <w:p>
      <w:pPr>
        <w:pStyle w:val="BodyText"/>
        <w:spacing w:before="229"/>
        <w:ind w:left="262" w:right="284"/>
        <w:jc w:val="both"/>
      </w:pPr>
      <w:r>
        <w:rPr>
          <w:rFonts w:ascii="Arial" w:hAnsi="Arial"/>
          <w:b/>
        </w:rPr>
        <w:t>ARTÍCULO 97. </w:t>
      </w:r>
      <w:r>
        <w:rPr/>
        <w:t>Los Programas Parciales de Desarrollo Urbano aplicables en centros históricos y zonas</w:t>
      </w:r>
      <w:r>
        <w:rPr>
          <w:spacing w:val="-14"/>
        </w:rPr>
        <w:t> </w:t>
      </w:r>
      <w:r>
        <w:rPr/>
        <w:t>de</w:t>
      </w:r>
      <w:r>
        <w:rPr>
          <w:spacing w:val="-14"/>
        </w:rPr>
        <w:t> </w:t>
      </w:r>
      <w:r>
        <w:rPr/>
        <w:t>patrimonio</w:t>
      </w:r>
      <w:r>
        <w:rPr>
          <w:spacing w:val="-14"/>
        </w:rPr>
        <w:t> </w:t>
      </w:r>
      <w:r>
        <w:rPr/>
        <w:t>histórico,</w:t>
      </w:r>
      <w:r>
        <w:rPr>
          <w:spacing w:val="-14"/>
        </w:rPr>
        <w:t> </w:t>
      </w:r>
      <w:r>
        <w:rPr/>
        <w:t>tienen</w:t>
      </w:r>
      <w:r>
        <w:rPr>
          <w:spacing w:val="-14"/>
        </w:rPr>
        <w:t> </w:t>
      </w:r>
      <w:r>
        <w:rPr/>
        <w:t>como</w:t>
      </w:r>
      <w:r>
        <w:rPr>
          <w:spacing w:val="-14"/>
        </w:rPr>
        <w:t> </w:t>
      </w:r>
      <w:r>
        <w:rPr/>
        <w:t>objetivo</w:t>
      </w:r>
      <w:r>
        <w:rPr>
          <w:spacing w:val="-14"/>
        </w:rPr>
        <w:t> </w:t>
      </w:r>
      <w:r>
        <w:rPr/>
        <w:t>la</w:t>
      </w:r>
      <w:r>
        <w:rPr>
          <w:spacing w:val="-14"/>
        </w:rPr>
        <w:t> </w:t>
      </w:r>
      <w:r>
        <w:rPr/>
        <w:t>restauración,</w:t>
      </w:r>
      <w:r>
        <w:rPr>
          <w:spacing w:val="-14"/>
        </w:rPr>
        <w:t> </w:t>
      </w:r>
      <w:r>
        <w:rPr/>
        <w:t>conservación</w:t>
      </w:r>
      <w:r>
        <w:rPr>
          <w:spacing w:val="-13"/>
        </w:rPr>
        <w:t> </w:t>
      </w:r>
      <w:r>
        <w:rPr/>
        <w:t>y</w:t>
      </w:r>
      <w:r>
        <w:rPr>
          <w:spacing w:val="-14"/>
        </w:rPr>
        <w:t> </w:t>
      </w:r>
      <w:r>
        <w:rPr/>
        <w:t>aprovechamiento sustentable del patrimonio histórico, contendrán además de lo señalado en el artículo 68 de esta Ley, lo siguiente:</w:t>
      </w:r>
    </w:p>
    <w:p>
      <w:pPr>
        <w:pStyle w:val="ListParagraph"/>
        <w:numPr>
          <w:ilvl w:val="0"/>
          <w:numId w:val="45"/>
        </w:numPr>
        <w:tabs>
          <w:tab w:pos="742" w:val="left" w:leader="none"/>
        </w:tabs>
        <w:spacing w:line="240" w:lineRule="auto" w:before="229" w:after="0"/>
        <w:ind w:left="742" w:right="0" w:hanging="480"/>
        <w:jc w:val="both"/>
        <w:rPr>
          <w:sz w:val="20"/>
        </w:rPr>
      </w:pPr>
      <w:r>
        <w:rPr>
          <w:sz w:val="20"/>
        </w:rPr>
        <w:t>La</w:t>
      </w:r>
      <w:r>
        <w:rPr>
          <w:spacing w:val="-9"/>
          <w:sz w:val="20"/>
        </w:rPr>
        <w:t> </w:t>
      </w:r>
      <w:r>
        <w:rPr>
          <w:sz w:val="20"/>
        </w:rPr>
        <w:t>normatividad</w:t>
      </w:r>
      <w:r>
        <w:rPr>
          <w:spacing w:val="-6"/>
          <w:sz w:val="20"/>
        </w:rPr>
        <w:t> </w:t>
      </w:r>
      <w:r>
        <w:rPr>
          <w:sz w:val="20"/>
        </w:rPr>
        <w:t>aplicable</w:t>
      </w:r>
      <w:r>
        <w:rPr>
          <w:spacing w:val="-6"/>
          <w:sz w:val="20"/>
        </w:rPr>
        <w:t> </w:t>
      </w:r>
      <w:r>
        <w:rPr>
          <w:sz w:val="20"/>
        </w:rPr>
        <w:t>en</w:t>
      </w:r>
      <w:r>
        <w:rPr>
          <w:spacing w:val="-8"/>
          <w:sz w:val="20"/>
        </w:rPr>
        <w:t> </w:t>
      </w:r>
      <w:r>
        <w:rPr>
          <w:sz w:val="20"/>
        </w:rPr>
        <w:t>materia</w:t>
      </w:r>
      <w:r>
        <w:rPr>
          <w:spacing w:val="-8"/>
          <w:sz w:val="20"/>
        </w:rPr>
        <w:t> </w:t>
      </w:r>
      <w:r>
        <w:rPr>
          <w:sz w:val="20"/>
        </w:rPr>
        <w:t>de</w:t>
      </w:r>
      <w:r>
        <w:rPr>
          <w:spacing w:val="-7"/>
          <w:sz w:val="20"/>
        </w:rPr>
        <w:t> </w:t>
      </w:r>
      <w:r>
        <w:rPr>
          <w:sz w:val="20"/>
        </w:rPr>
        <w:t>patrimonio</w:t>
      </w:r>
      <w:r>
        <w:rPr>
          <w:spacing w:val="-8"/>
          <w:sz w:val="20"/>
        </w:rPr>
        <w:t> </w:t>
      </w:r>
      <w:r>
        <w:rPr>
          <w:sz w:val="20"/>
        </w:rPr>
        <w:t>histórico</w:t>
      </w:r>
      <w:r>
        <w:rPr>
          <w:spacing w:val="-7"/>
          <w:sz w:val="20"/>
        </w:rPr>
        <w:t> </w:t>
      </w:r>
      <w:r>
        <w:rPr>
          <w:sz w:val="20"/>
        </w:rPr>
        <w:t>para</w:t>
      </w:r>
      <w:r>
        <w:rPr>
          <w:spacing w:val="-5"/>
          <w:sz w:val="20"/>
        </w:rPr>
        <w:t> </w:t>
      </w:r>
      <w:r>
        <w:rPr>
          <w:sz w:val="20"/>
        </w:rPr>
        <w:t>el</w:t>
      </w:r>
      <w:r>
        <w:rPr>
          <w:spacing w:val="-6"/>
          <w:sz w:val="20"/>
        </w:rPr>
        <w:t> </w:t>
      </w:r>
      <w:r>
        <w:rPr>
          <w:sz w:val="20"/>
        </w:rPr>
        <w:t>sitio</w:t>
      </w:r>
      <w:r>
        <w:rPr>
          <w:spacing w:val="-8"/>
          <w:sz w:val="20"/>
        </w:rPr>
        <w:t> </w:t>
      </w:r>
      <w:r>
        <w:rPr>
          <w:sz w:val="20"/>
        </w:rPr>
        <w:t>o</w:t>
      </w:r>
      <w:r>
        <w:rPr>
          <w:spacing w:val="-8"/>
          <w:sz w:val="20"/>
        </w:rPr>
        <w:t> </w:t>
      </w:r>
      <w:r>
        <w:rPr>
          <w:spacing w:val="-2"/>
          <w:sz w:val="20"/>
        </w:rPr>
        <w:t>zona;</w:t>
      </w:r>
    </w:p>
    <w:p>
      <w:pPr>
        <w:pStyle w:val="BodyText"/>
        <w:spacing w:before="1"/>
      </w:pPr>
    </w:p>
    <w:p>
      <w:pPr>
        <w:pStyle w:val="ListParagraph"/>
        <w:numPr>
          <w:ilvl w:val="0"/>
          <w:numId w:val="45"/>
        </w:numPr>
        <w:tabs>
          <w:tab w:pos="686" w:val="left" w:leader="none"/>
        </w:tabs>
        <w:spacing w:line="240" w:lineRule="auto" w:before="0" w:after="0"/>
        <w:ind w:left="686" w:right="0" w:hanging="424"/>
        <w:jc w:val="both"/>
        <w:rPr>
          <w:sz w:val="20"/>
        </w:rPr>
      </w:pPr>
      <w:r>
        <w:rPr>
          <w:sz w:val="20"/>
        </w:rPr>
        <w:t>La</w:t>
      </w:r>
      <w:r>
        <w:rPr>
          <w:spacing w:val="-7"/>
          <w:sz w:val="20"/>
        </w:rPr>
        <w:t> </w:t>
      </w:r>
      <w:r>
        <w:rPr>
          <w:sz w:val="20"/>
        </w:rPr>
        <w:t>referencia</w:t>
      </w:r>
      <w:r>
        <w:rPr>
          <w:spacing w:val="-4"/>
          <w:sz w:val="20"/>
        </w:rPr>
        <w:t> </w:t>
      </w:r>
      <w:r>
        <w:rPr>
          <w:sz w:val="20"/>
        </w:rPr>
        <w:t>al</w:t>
      </w:r>
      <w:r>
        <w:rPr>
          <w:spacing w:val="-5"/>
          <w:sz w:val="20"/>
        </w:rPr>
        <w:t> </w:t>
      </w:r>
      <w:r>
        <w:rPr>
          <w:sz w:val="20"/>
        </w:rPr>
        <w:t>carácter</w:t>
      </w:r>
      <w:r>
        <w:rPr>
          <w:spacing w:val="-5"/>
          <w:sz w:val="20"/>
        </w:rPr>
        <w:t> </w:t>
      </w:r>
      <w:r>
        <w:rPr>
          <w:sz w:val="20"/>
        </w:rPr>
        <w:t>histórico</w:t>
      </w:r>
      <w:r>
        <w:rPr>
          <w:spacing w:val="-6"/>
          <w:sz w:val="20"/>
        </w:rPr>
        <w:t> </w:t>
      </w:r>
      <w:r>
        <w:rPr>
          <w:sz w:val="20"/>
        </w:rPr>
        <w:t>y</w:t>
      </w:r>
      <w:r>
        <w:rPr>
          <w:spacing w:val="-5"/>
          <w:sz w:val="20"/>
        </w:rPr>
        <w:t> </w:t>
      </w:r>
      <w:r>
        <w:rPr>
          <w:sz w:val="20"/>
        </w:rPr>
        <w:t>artístico</w:t>
      </w:r>
      <w:r>
        <w:rPr>
          <w:spacing w:val="-4"/>
          <w:sz w:val="20"/>
        </w:rPr>
        <w:t> </w:t>
      </w:r>
      <w:r>
        <w:rPr>
          <w:sz w:val="20"/>
        </w:rPr>
        <w:t>que</w:t>
      </w:r>
      <w:r>
        <w:rPr>
          <w:spacing w:val="-3"/>
          <w:sz w:val="20"/>
        </w:rPr>
        <w:t> </w:t>
      </w:r>
      <w:r>
        <w:rPr>
          <w:sz w:val="20"/>
        </w:rPr>
        <w:t>se</w:t>
      </w:r>
      <w:r>
        <w:rPr>
          <w:spacing w:val="-6"/>
          <w:sz w:val="20"/>
        </w:rPr>
        <w:t> </w:t>
      </w:r>
      <w:r>
        <w:rPr>
          <w:sz w:val="20"/>
        </w:rPr>
        <w:t>otorga</w:t>
      </w:r>
      <w:r>
        <w:rPr>
          <w:spacing w:val="-6"/>
          <w:sz w:val="20"/>
        </w:rPr>
        <w:t> </w:t>
      </w:r>
      <w:r>
        <w:rPr>
          <w:sz w:val="20"/>
        </w:rPr>
        <w:t>a</w:t>
      </w:r>
      <w:r>
        <w:rPr>
          <w:spacing w:val="-4"/>
          <w:sz w:val="20"/>
        </w:rPr>
        <w:t> </w:t>
      </w:r>
      <w:r>
        <w:rPr>
          <w:sz w:val="20"/>
        </w:rPr>
        <w:t>la</w:t>
      </w:r>
      <w:r>
        <w:rPr>
          <w:spacing w:val="-6"/>
          <w:sz w:val="20"/>
        </w:rPr>
        <w:t> </w:t>
      </w:r>
      <w:r>
        <w:rPr>
          <w:sz w:val="20"/>
        </w:rPr>
        <w:t>zona</w:t>
      </w:r>
      <w:r>
        <w:rPr>
          <w:spacing w:val="-5"/>
          <w:sz w:val="20"/>
        </w:rPr>
        <w:t> </w:t>
      </w:r>
      <w:r>
        <w:rPr>
          <w:sz w:val="20"/>
        </w:rPr>
        <w:t>de</w:t>
      </w:r>
      <w:r>
        <w:rPr>
          <w:spacing w:val="-6"/>
          <w:sz w:val="20"/>
        </w:rPr>
        <w:t> </w:t>
      </w:r>
      <w:r>
        <w:rPr>
          <w:sz w:val="20"/>
        </w:rPr>
        <w:t>su</w:t>
      </w:r>
      <w:r>
        <w:rPr>
          <w:spacing w:val="-4"/>
          <w:sz w:val="20"/>
        </w:rPr>
        <w:t> </w:t>
      </w:r>
      <w:r>
        <w:rPr>
          <w:spacing w:val="-2"/>
          <w:sz w:val="20"/>
        </w:rPr>
        <w:t>aplicación;</w:t>
      </w:r>
    </w:p>
    <w:p>
      <w:pPr>
        <w:pStyle w:val="BodyText"/>
        <w:spacing w:before="1"/>
      </w:pPr>
    </w:p>
    <w:p>
      <w:pPr>
        <w:pStyle w:val="ListParagraph"/>
        <w:numPr>
          <w:ilvl w:val="0"/>
          <w:numId w:val="45"/>
        </w:numPr>
        <w:tabs>
          <w:tab w:pos="741" w:val="left" w:leader="none"/>
        </w:tabs>
        <w:spacing w:line="240" w:lineRule="auto" w:before="0" w:after="0"/>
        <w:ind w:left="262" w:right="281" w:firstLine="0"/>
        <w:jc w:val="both"/>
        <w:rPr>
          <w:sz w:val="20"/>
        </w:rPr>
      </w:pPr>
      <w:r>
        <w:rPr>
          <w:sz w:val="20"/>
        </w:rPr>
        <w:t>La</w:t>
      </w:r>
      <w:r>
        <w:rPr>
          <w:spacing w:val="-10"/>
          <w:sz w:val="20"/>
        </w:rPr>
        <w:t> </w:t>
      </w:r>
      <w:r>
        <w:rPr>
          <w:sz w:val="20"/>
        </w:rPr>
        <w:t>identificación</w:t>
      </w:r>
      <w:r>
        <w:rPr>
          <w:spacing w:val="-8"/>
          <w:sz w:val="20"/>
        </w:rPr>
        <w:t> </w:t>
      </w:r>
      <w:r>
        <w:rPr>
          <w:sz w:val="20"/>
        </w:rPr>
        <w:t>de</w:t>
      </w:r>
      <w:r>
        <w:rPr>
          <w:spacing w:val="-10"/>
          <w:sz w:val="20"/>
        </w:rPr>
        <w:t> </w:t>
      </w:r>
      <w:r>
        <w:rPr>
          <w:sz w:val="20"/>
        </w:rPr>
        <w:t>los</w:t>
      </w:r>
      <w:r>
        <w:rPr>
          <w:spacing w:val="-9"/>
          <w:sz w:val="20"/>
        </w:rPr>
        <w:t> </w:t>
      </w:r>
      <w:r>
        <w:rPr>
          <w:sz w:val="20"/>
        </w:rPr>
        <w:t>sitios,</w:t>
      </w:r>
      <w:r>
        <w:rPr>
          <w:spacing w:val="-10"/>
          <w:sz w:val="20"/>
        </w:rPr>
        <w:t> </w:t>
      </w:r>
      <w:r>
        <w:rPr>
          <w:sz w:val="20"/>
        </w:rPr>
        <w:t>fincas,</w:t>
      </w:r>
      <w:r>
        <w:rPr>
          <w:spacing w:val="-10"/>
          <w:sz w:val="20"/>
        </w:rPr>
        <w:t> </w:t>
      </w:r>
      <w:r>
        <w:rPr>
          <w:sz w:val="20"/>
        </w:rPr>
        <w:t>monumentos</w:t>
      </w:r>
      <w:r>
        <w:rPr>
          <w:spacing w:val="-9"/>
          <w:sz w:val="20"/>
        </w:rPr>
        <w:t> </w:t>
      </w:r>
      <w:r>
        <w:rPr>
          <w:sz w:val="20"/>
        </w:rPr>
        <w:t>y</w:t>
      </w:r>
      <w:r>
        <w:rPr>
          <w:spacing w:val="-9"/>
          <w:sz w:val="20"/>
        </w:rPr>
        <w:t> </w:t>
      </w:r>
      <w:r>
        <w:rPr>
          <w:sz w:val="20"/>
        </w:rPr>
        <w:t>en</w:t>
      </w:r>
      <w:r>
        <w:rPr>
          <w:spacing w:val="-10"/>
          <w:sz w:val="20"/>
        </w:rPr>
        <w:t> </w:t>
      </w:r>
      <w:r>
        <w:rPr>
          <w:sz w:val="20"/>
        </w:rPr>
        <w:t>general,</w:t>
      </w:r>
      <w:r>
        <w:rPr>
          <w:spacing w:val="-7"/>
          <w:sz w:val="20"/>
        </w:rPr>
        <w:t> </w:t>
      </w:r>
      <w:r>
        <w:rPr>
          <w:sz w:val="20"/>
        </w:rPr>
        <w:t>los</w:t>
      </w:r>
      <w:r>
        <w:rPr>
          <w:spacing w:val="-9"/>
          <w:sz w:val="20"/>
        </w:rPr>
        <w:t> </w:t>
      </w:r>
      <w:r>
        <w:rPr>
          <w:sz w:val="20"/>
        </w:rPr>
        <w:t>elementos</w:t>
      </w:r>
      <w:r>
        <w:rPr>
          <w:spacing w:val="-9"/>
          <w:sz w:val="20"/>
        </w:rPr>
        <w:t> </w:t>
      </w:r>
      <w:r>
        <w:rPr>
          <w:sz w:val="20"/>
        </w:rPr>
        <w:t>que</w:t>
      </w:r>
      <w:r>
        <w:rPr>
          <w:spacing w:val="-10"/>
          <w:sz w:val="20"/>
        </w:rPr>
        <w:t> </w:t>
      </w:r>
      <w:r>
        <w:rPr>
          <w:sz w:val="20"/>
        </w:rPr>
        <w:t>se</w:t>
      </w:r>
      <w:r>
        <w:rPr>
          <w:spacing w:val="-10"/>
          <w:sz w:val="20"/>
        </w:rPr>
        <w:t> </w:t>
      </w:r>
      <w:r>
        <w:rPr>
          <w:sz w:val="20"/>
        </w:rPr>
        <w:t>declaren afectos al patrimonio cultural del Estado, precisando el régimen jurídico de propiedad que les </w:t>
      </w:r>
      <w:r>
        <w:rPr>
          <w:spacing w:val="-2"/>
          <w:sz w:val="20"/>
        </w:rPr>
        <w:t>corresponda;</w:t>
      </w:r>
    </w:p>
    <w:p>
      <w:pPr>
        <w:pStyle w:val="BodyText"/>
      </w:pPr>
    </w:p>
    <w:p>
      <w:pPr>
        <w:pStyle w:val="ListParagraph"/>
        <w:numPr>
          <w:ilvl w:val="0"/>
          <w:numId w:val="45"/>
        </w:numPr>
        <w:tabs>
          <w:tab w:pos="688" w:val="left" w:leader="none"/>
        </w:tabs>
        <w:spacing w:line="240" w:lineRule="auto" w:before="0" w:after="0"/>
        <w:ind w:left="262" w:right="283" w:firstLine="0"/>
        <w:jc w:val="both"/>
        <w:rPr>
          <w:sz w:val="20"/>
        </w:rPr>
      </w:pPr>
      <w:r>
        <w:rPr>
          <w:sz w:val="20"/>
        </w:rPr>
        <w:t>Las normas y criterios técnicos aplicables a la acción de conservación y/o mejoramiento, conforme la legislación federal y estatal aplicable;</w:t>
      </w:r>
    </w:p>
    <w:p>
      <w:pPr>
        <w:pStyle w:val="ListParagraph"/>
        <w:numPr>
          <w:ilvl w:val="0"/>
          <w:numId w:val="45"/>
        </w:numPr>
        <w:tabs>
          <w:tab w:pos="688" w:val="left" w:leader="none"/>
        </w:tabs>
        <w:spacing w:line="240" w:lineRule="auto" w:before="229" w:after="0"/>
        <w:ind w:left="262" w:right="285" w:firstLine="0"/>
        <w:jc w:val="both"/>
        <w:rPr>
          <w:sz w:val="20"/>
        </w:rPr>
      </w:pPr>
      <w:r>
        <w:rPr>
          <w:sz w:val="20"/>
        </w:rPr>
        <w:t>Las bases de los acuerdos que se propongan para garantizar la acción coordinada de las autoridades federales, estatales y municipales, tendientes a garantizar su conservación y </w:t>
      </w:r>
      <w:r>
        <w:rPr>
          <w:spacing w:val="-2"/>
          <w:sz w:val="20"/>
        </w:rPr>
        <w:t>mejoramiento;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45"/>
        </w:numPr>
        <w:tabs>
          <w:tab w:pos="688" w:val="left" w:leader="none"/>
        </w:tabs>
        <w:spacing w:line="240" w:lineRule="auto" w:before="0" w:after="0"/>
        <w:ind w:left="262" w:right="284" w:firstLine="0"/>
        <w:jc w:val="both"/>
        <w:rPr>
          <w:sz w:val="20"/>
        </w:rPr>
      </w:pPr>
      <w:r>
        <w:rPr>
          <w:sz w:val="20"/>
        </w:rPr>
        <w:t>Las</w:t>
      </w:r>
      <w:r>
        <w:rPr>
          <w:spacing w:val="-5"/>
          <w:sz w:val="20"/>
        </w:rPr>
        <w:t> </w:t>
      </w:r>
      <w:r>
        <w:rPr>
          <w:sz w:val="20"/>
        </w:rPr>
        <w:t>bases</w:t>
      </w:r>
      <w:r>
        <w:rPr>
          <w:spacing w:val="-6"/>
          <w:sz w:val="20"/>
        </w:rPr>
        <w:t> </w:t>
      </w:r>
      <w:r>
        <w:rPr>
          <w:sz w:val="20"/>
        </w:rPr>
        <w:t>y</w:t>
      </w:r>
      <w:r>
        <w:rPr>
          <w:spacing w:val="-5"/>
          <w:sz w:val="20"/>
        </w:rPr>
        <w:t> </w:t>
      </w:r>
      <w:r>
        <w:rPr>
          <w:sz w:val="20"/>
        </w:rPr>
        <w:t>acuerdos</w:t>
      </w:r>
      <w:r>
        <w:rPr>
          <w:spacing w:val="-6"/>
          <w:sz w:val="20"/>
        </w:rPr>
        <w:t> </w:t>
      </w:r>
      <w:r>
        <w:rPr>
          <w:sz w:val="20"/>
        </w:rPr>
        <w:t>para</w:t>
      </w:r>
      <w:r>
        <w:rPr>
          <w:spacing w:val="-4"/>
          <w:sz w:val="20"/>
        </w:rPr>
        <w:t> </w:t>
      </w:r>
      <w:r>
        <w:rPr>
          <w:sz w:val="20"/>
        </w:rPr>
        <w:t>el</w:t>
      </w:r>
      <w:r>
        <w:rPr>
          <w:spacing w:val="-7"/>
          <w:sz w:val="20"/>
        </w:rPr>
        <w:t> </w:t>
      </w:r>
      <w:r>
        <w:rPr>
          <w:sz w:val="20"/>
        </w:rPr>
        <w:t>impulso</w:t>
      </w:r>
      <w:r>
        <w:rPr>
          <w:spacing w:val="-7"/>
          <w:sz w:val="20"/>
        </w:rPr>
        <w:t> </w:t>
      </w:r>
      <w:r>
        <w:rPr>
          <w:sz w:val="20"/>
        </w:rPr>
        <w:t>y</w:t>
      </w:r>
      <w:r>
        <w:rPr>
          <w:spacing w:val="-5"/>
          <w:sz w:val="20"/>
        </w:rPr>
        <w:t> </w:t>
      </w:r>
      <w:r>
        <w:rPr>
          <w:sz w:val="20"/>
        </w:rPr>
        <w:t>la</w:t>
      </w:r>
      <w:r>
        <w:rPr>
          <w:spacing w:val="-7"/>
          <w:sz w:val="20"/>
        </w:rPr>
        <w:t> </w:t>
      </w:r>
      <w:r>
        <w:rPr>
          <w:sz w:val="20"/>
        </w:rPr>
        <w:t>incentivación</w:t>
      </w:r>
      <w:r>
        <w:rPr>
          <w:spacing w:val="-7"/>
          <w:sz w:val="20"/>
        </w:rPr>
        <w:t> </w:t>
      </w:r>
      <w:r>
        <w:rPr>
          <w:sz w:val="20"/>
        </w:rPr>
        <w:t>de</w:t>
      </w:r>
      <w:r>
        <w:rPr>
          <w:spacing w:val="-7"/>
          <w:sz w:val="20"/>
        </w:rPr>
        <w:t> </w:t>
      </w:r>
      <w:r>
        <w:rPr>
          <w:sz w:val="20"/>
        </w:rPr>
        <w:t>vivienda,</w:t>
      </w:r>
      <w:r>
        <w:rPr>
          <w:spacing w:val="-7"/>
          <w:sz w:val="20"/>
        </w:rPr>
        <w:t> </w:t>
      </w:r>
      <w:r>
        <w:rPr>
          <w:sz w:val="20"/>
        </w:rPr>
        <w:t>el</w:t>
      </w:r>
      <w:r>
        <w:rPr>
          <w:spacing w:val="-7"/>
          <w:sz w:val="20"/>
        </w:rPr>
        <w:t> </w:t>
      </w:r>
      <w:r>
        <w:rPr>
          <w:sz w:val="20"/>
        </w:rPr>
        <w:t>comercio</w:t>
      </w:r>
      <w:r>
        <w:rPr>
          <w:spacing w:val="-7"/>
          <w:sz w:val="20"/>
        </w:rPr>
        <w:t> </w:t>
      </w:r>
      <w:r>
        <w:rPr>
          <w:sz w:val="20"/>
        </w:rPr>
        <w:t>y</w:t>
      </w:r>
      <w:r>
        <w:rPr>
          <w:spacing w:val="-3"/>
          <w:sz w:val="20"/>
        </w:rPr>
        <w:t> </w:t>
      </w:r>
      <w:r>
        <w:rPr>
          <w:sz w:val="20"/>
        </w:rPr>
        <w:t>los</w:t>
      </w:r>
      <w:r>
        <w:rPr>
          <w:spacing w:val="-6"/>
          <w:sz w:val="20"/>
        </w:rPr>
        <w:t> </w:t>
      </w:r>
      <w:r>
        <w:rPr>
          <w:sz w:val="20"/>
        </w:rPr>
        <w:t>servicios en sus diversas tipologías, y</w:t>
      </w:r>
    </w:p>
    <w:p>
      <w:pPr>
        <w:pStyle w:val="BodyText"/>
        <w:spacing w:before="1"/>
      </w:pPr>
    </w:p>
    <w:p>
      <w:pPr>
        <w:pStyle w:val="ListParagraph"/>
        <w:numPr>
          <w:ilvl w:val="0"/>
          <w:numId w:val="45"/>
        </w:numPr>
        <w:tabs>
          <w:tab w:pos="688" w:val="left" w:leader="none"/>
        </w:tabs>
        <w:spacing w:line="240" w:lineRule="auto" w:before="0" w:after="0"/>
        <w:ind w:left="262" w:right="285" w:firstLine="0"/>
        <w:jc w:val="both"/>
        <w:rPr>
          <w:sz w:val="20"/>
        </w:rPr>
      </w:pPr>
      <w:r>
        <w:rPr>
          <w:sz w:val="20"/>
        </w:rPr>
        <w:t>Las</w:t>
      </w:r>
      <w:r>
        <w:rPr>
          <w:spacing w:val="-14"/>
          <w:sz w:val="20"/>
        </w:rPr>
        <w:t> </w:t>
      </w:r>
      <w:r>
        <w:rPr>
          <w:sz w:val="20"/>
        </w:rPr>
        <w:t>bases</w:t>
      </w:r>
      <w:r>
        <w:rPr>
          <w:spacing w:val="-14"/>
          <w:sz w:val="20"/>
        </w:rPr>
        <w:t> </w:t>
      </w:r>
      <w:r>
        <w:rPr>
          <w:sz w:val="20"/>
        </w:rPr>
        <w:t>de</w:t>
      </w:r>
      <w:r>
        <w:rPr>
          <w:spacing w:val="-14"/>
          <w:sz w:val="20"/>
        </w:rPr>
        <w:t> </w:t>
      </w:r>
      <w:r>
        <w:rPr>
          <w:sz w:val="20"/>
        </w:rPr>
        <w:t>los</w:t>
      </w:r>
      <w:r>
        <w:rPr>
          <w:spacing w:val="-14"/>
          <w:sz w:val="20"/>
        </w:rPr>
        <w:t> </w:t>
      </w:r>
      <w:r>
        <w:rPr>
          <w:sz w:val="20"/>
        </w:rPr>
        <w:t>acuerdos</w:t>
      </w:r>
      <w:r>
        <w:rPr>
          <w:spacing w:val="-14"/>
          <w:sz w:val="20"/>
        </w:rPr>
        <w:t> </w:t>
      </w:r>
      <w:r>
        <w:rPr>
          <w:sz w:val="20"/>
        </w:rPr>
        <w:t>de</w:t>
      </w:r>
      <w:r>
        <w:rPr>
          <w:spacing w:val="-14"/>
          <w:sz w:val="20"/>
        </w:rPr>
        <w:t> </w:t>
      </w:r>
      <w:r>
        <w:rPr>
          <w:sz w:val="20"/>
        </w:rPr>
        <w:t>concertación</w:t>
      </w:r>
      <w:r>
        <w:rPr>
          <w:spacing w:val="-14"/>
          <w:sz w:val="20"/>
        </w:rPr>
        <w:t> </w:t>
      </w:r>
      <w:r>
        <w:rPr>
          <w:sz w:val="20"/>
        </w:rPr>
        <w:t>con</w:t>
      </w:r>
      <w:r>
        <w:rPr>
          <w:spacing w:val="-14"/>
          <w:sz w:val="20"/>
        </w:rPr>
        <w:t> </w:t>
      </w:r>
      <w:r>
        <w:rPr>
          <w:sz w:val="20"/>
        </w:rPr>
        <w:t>los</w:t>
      </w:r>
      <w:r>
        <w:rPr>
          <w:spacing w:val="-14"/>
          <w:sz w:val="20"/>
        </w:rPr>
        <w:t> </w:t>
      </w:r>
      <w:r>
        <w:rPr>
          <w:sz w:val="20"/>
        </w:rPr>
        <w:t>propietarios</w:t>
      </w:r>
      <w:r>
        <w:rPr>
          <w:spacing w:val="-13"/>
          <w:sz w:val="20"/>
        </w:rPr>
        <w:t> </w:t>
      </w:r>
      <w:r>
        <w:rPr>
          <w:sz w:val="20"/>
        </w:rPr>
        <w:t>de</w:t>
      </w:r>
      <w:r>
        <w:rPr>
          <w:spacing w:val="-14"/>
          <w:sz w:val="20"/>
        </w:rPr>
        <w:t> </w:t>
      </w:r>
      <w:r>
        <w:rPr>
          <w:sz w:val="20"/>
        </w:rPr>
        <w:t>predios</w:t>
      </w:r>
      <w:r>
        <w:rPr>
          <w:spacing w:val="-14"/>
          <w:sz w:val="20"/>
        </w:rPr>
        <w:t> </w:t>
      </w:r>
      <w:r>
        <w:rPr>
          <w:sz w:val="20"/>
        </w:rPr>
        <w:t>y</w:t>
      </w:r>
      <w:r>
        <w:rPr>
          <w:spacing w:val="-14"/>
          <w:sz w:val="20"/>
        </w:rPr>
        <w:t> </w:t>
      </w:r>
      <w:r>
        <w:rPr>
          <w:sz w:val="20"/>
        </w:rPr>
        <w:t>fincas,</w:t>
      </w:r>
      <w:r>
        <w:rPr>
          <w:spacing w:val="-14"/>
          <w:sz w:val="20"/>
        </w:rPr>
        <w:t> </w:t>
      </w:r>
      <w:r>
        <w:rPr>
          <w:sz w:val="20"/>
        </w:rPr>
        <w:t>para</w:t>
      </w:r>
      <w:r>
        <w:rPr>
          <w:spacing w:val="-14"/>
          <w:sz w:val="20"/>
        </w:rPr>
        <w:t> </w:t>
      </w:r>
      <w:r>
        <w:rPr>
          <w:sz w:val="20"/>
        </w:rPr>
        <w:t>realizar las acciones de conservación y mejoramiento de las edificaciones.</w:t>
      </w:r>
    </w:p>
    <w:p>
      <w:pPr>
        <w:pStyle w:val="BodyText"/>
        <w:spacing w:before="229"/>
        <w:ind w:left="262" w:right="275"/>
        <w:jc w:val="both"/>
      </w:pPr>
      <w:r>
        <w:rPr>
          <w:rFonts w:ascii="Arial" w:hAnsi="Arial"/>
          <w:b/>
        </w:rPr>
        <w:t>ARTÍCULO 98</w:t>
      </w:r>
      <w:r>
        <w:rPr/>
        <w:t>. Los Programas Parciales de Desarrollo Urbano aplicables al mejoramiento y/o conservación de zonas urbanas existentes establecerán la estrategia para mejorar las condiciones de</w:t>
      </w:r>
      <w:r>
        <w:rPr>
          <w:spacing w:val="-12"/>
        </w:rPr>
        <w:t> </w:t>
      </w:r>
      <w:r>
        <w:rPr/>
        <w:t>vida</w:t>
      </w:r>
      <w:r>
        <w:rPr>
          <w:spacing w:val="-9"/>
        </w:rPr>
        <w:t> </w:t>
      </w:r>
      <w:r>
        <w:rPr/>
        <w:t>de</w:t>
      </w:r>
      <w:r>
        <w:rPr>
          <w:spacing w:val="-12"/>
        </w:rPr>
        <w:t> </w:t>
      </w:r>
      <w:r>
        <w:rPr/>
        <w:t>las</w:t>
      </w:r>
      <w:r>
        <w:rPr>
          <w:spacing w:val="-10"/>
        </w:rPr>
        <w:t> </w:t>
      </w:r>
      <w:r>
        <w:rPr/>
        <w:t>áreas</w:t>
      </w:r>
      <w:r>
        <w:rPr>
          <w:spacing w:val="-10"/>
        </w:rPr>
        <w:t> </w:t>
      </w:r>
      <w:r>
        <w:rPr/>
        <w:t>urbanas</w:t>
      </w:r>
      <w:r>
        <w:rPr>
          <w:spacing w:val="-10"/>
        </w:rPr>
        <w:t> </w:t>
      </w:r>
      <w:r>
        <w:rPr/>
        <w:t>de</w:t>
      </w:r>
      <w:r>
        <w:rPr>
          <w:spacing w:val="-12"/>
        </w:rPr>
        <w:t> </w:t>
      </w:r>
      <w:r>
        <w:rPr/>
        <w:t>un</w:t>
      </w:r>
      <w:r>
        <w:rPr>
          <w:spacing w:val="-12"/>
        </w:rPr>
        <w:t> </w:t>
      </w:r>
      <w:r>
        <w:rPr/>
        <w:t>centro</w:t>
      </w:r>
      <w:r>
        <w:rPr>
          <w:spacing w:val="-9"/>
        </w:rPr>
        <w:t> </w:t>
      </w:r>
      <w:r>
        <w:rPr/>
        <w:t>de</w:t>
      </w:r>
      <w:r>
        <w:rPr>
          <w:spacing w:val="-12"/>
        </w:rPr>
        <w:t> </w:t>
      </w:r>
      <w:r>
        <w:rPr/>
        <w:t>población,</w:t>
      </w:r>
      <w:r>
        <w:rPr>
          <w:spacing w:val="-11"/>
        </w:rPr>
        <w:t> </w:t>
      </w:r>
      <w:r>
        <w:rPr/>
        <w:t>así</w:t>
      </w:r>
      <w:r>
        <w:rPr>
          <w:spacing w:val="-11"/>
        </w:rPr>
        <w:t> </w:t>
      </w:r>
      <w:r>
        <w:rPr/>
        <w:t>como</w:t>
      </w:r>
      <w:r>
        <w:rPr>
          <w:spacing w:val="-11"/>
        </w:rPr>
        <w:t> </w:t>
      </w:r>
      <w:r>
        <w:rPr/>
        <w:t>de</w:t>
      </w:r>
      <w:r>
        <w:rPr>
          <w:spacing w:val="-12"/>
        </w:rPr>
        <w:t> </w:t>
      </w:r>
      <w:r>
        <w:rPr/>
        <w:t>su</w:t>
      </w:r>
      <w:r>
        <w:rPr>
          <w:spacing w:val="-9"/>
        </w:rPr>
        <w:t> </w:t>
      </w:r>
      <w:r>
        <w:rPr/>
        <w:t>integración</w:t>
      </w:r>
      <w:r>
        <w:rPr>
          <w:spacing w:val="-11"/>
        </w:rPr>
        <w:t> </w:t>
      </w:r>
      <w:r>
        <w:rPr/>
        <w:t>física</w:t>
      </w:r>
      <w:r>
        <w:rPr>
          <w:spacing w:val="-11"/>
        </w:rPr>
        <w:t> </w:t>
      </w:r>
      <w:r>
        <w:rPr/>
        <w:t>y</w:t>
      </w:r>
      <w:r>
        <w:rPr>
          <w:spacing w:val="-10"/>
        </w:rPr>
        <w:t> </w:t>
      </w:r>
      <w:r>
        <w:rPr/>
        <w:t>funcional con el resto de los sectores; contendrán además de lo señalado en el artículo 68 de esta Ley, lo </w:t>
      </w:r>
      <w:r>
        <w:rPr>
          <w:spacing w:val="-2"/>
        </w:rPr>
        <w:t>siguiente:</w:t>
      </w:r>
    </w:p>
    <w:p>
      <w:pPr>
        <w:pStyle w:val="BodyText"/>
        <w:spacing w:before="1"/>
      </w:pPr>
    </w:p>
    <w:p>
      <w:pPr>
        <w:pStyle w:val="ListParagraph"/>
        <w:numPr>
          <w:ilvl w:val="0"/>
          <w:numId w:val="46"/>
        </w:numPr>
        <w:tabs>
          <w:tab w:pos="688" w:val="left" w:leader="none"/>
        </w:tabs>
        <w:spacing w:line="240" w:lineRule="auto" w:before="0" w:after="0"/>
        <w:ind w:left="262" w:right="285" w:firstLine="0"/>
        <w:jc w:val="both"/>
        <w:rPr>
          <w:sz w:val="20"/>
        </w:rPr>
      </w:pPr>
      <w:r>
        <w:rPr>
          <w:sz w:val="20"/>
        </w:rPr>
        <w:t>Identificación de las necesidades de la comunidad y de sus carencias de infraestructura, servicios y equipamiento urbano;</w:t>
      </w:r>
    </w:p>
    <w:p>
      <w:pPr>
        <w:pStyle w:val="BodyText"/>
        <w:spacing w:before="1"/>
      </w:pPr>
    </w:p>
    <w:p>
      <w:pPr>
        <w:pStyle w:val="ListParagraph"/>
        <w:numPr>
          <w:ilvl w:val="0"/>
          <w:numId w:val="46"/>
        </w:numPr>
        <w:tabs>
          <w:tab w:pos="686" w:val="left" w:leader="none"/>
        </w:tabs>
        <w:spacing w:line="240" w:lineRule="auto" w:before="0" w:after="0"/>
        <w:ind w:left="686" w:right="0" w:hanging="424"/>
        <w:jc w:val="both"/>
        <w:rPr>
          <w:sz w:val="20"/>
        </w:rPr>
      </w:pPr>
      <w:r>
        <w:rPr>
          <w:sz w:val="20"/>
        </w:rPr>
        <w:t>La</w:t>
      </w:r>
      <w:r>
        <w:rPr>
          <w:spacing w:val="-10"/>
          <w:sz w:val="20"/>
        </w:rPr>
        <w:t> </w:t>
      </w:r>
      <w:r>
        <w:rPr>
          <w:sz w:val="20"/>
        </w:rPr>
        <w:t>descripción</w:t>
      </w:r>
      <w:r>
        <w:rPr>
          <w:spacing w:val="-8"/>
          <w:sz w:val="20"/>
        </w:rPr>
        <w:t> </w:t>
      </w:r>
      <w:r>
        <w:rPr>
          <w:sz w:val="20"/>
        </w:rPr>
        <w:t>de</w:t>
      </w:r>
      <w:r>
        <w:rPr>
          <w:spacing w:val="-8"/>
          <w:sz w:val="20"/>
        </w:rPr>
        <w:t> </w:t>
      </w:r>
      <w:r>
        <w:rPr>
          <w:sz w:val="20"/>
        </w:rPr>
        <w:t>los</w:t>
      </w:r>
      <w:r>
        <w:rPr>
          <w:spacing w:val="-8"/>
          <w:sz w:val="20"/>
        </w:rPr>
        <w:t> </w:t>
      </w:r>
      <w:r>
        <w:rPr>
          <w:sz w:val="20"/>
        </w:rPr>
        <w:t>espacios</w:t>
      </w:r>
      <w:r>
        <w:rPr>
          <w:spacing w:val="-9"/>
          <w:sz w:val="20"/>
        </w:rPr>
        <w:t> </w:t>
      </w:r>
      <w:r>
        <w:rPr>
          <w:sz w:val="20"/>
        </w:rPr>
        <w:t>públicos</w:t>
      </w:r>
      <w:r>
        <w:rPr>
          <w:spacing w:val="-6"/>
          <w:sz w:val="20"/>
        </w:rPr>
        <w:t> </w:t>
      </w:r>
      <w:r>
        <w:rPr>
          <w:sz w:val="20"/>
        </w:rPr>
        <w:t>de</w:t>
      </w:r>
      <w:r>
        <w:rPr>
          <w:spacing w:val="-10"/>
          <w:sz w:val="20"/>
        </w:rPr>
        <w:t> </w:t>
      </w:r>
      <w:r>
        <w:rPr>
          <w:sz w:val="20"/>
        </w:rPr>
        <w:t>convivencia</w:t>
      </w:r>
      <w:r>
        <w:rPr>
          <w:spacing w:val="-9"/>
          <w:sz w:val="20"/>
        </w:rPr>
        <w:t> </w:t>
      </w:r>
      <w:r>
        <w:rPr>
          <w:sz w:val="20"/>
        </w:rPr>
        <w:t>comunitaria,</w:t>
      </w:r>
      <w:r>
        <w:rPr>
          <w:spacing w:val="-2"/>
          <w:sz w:val="20"/>
        </w:rPr>
        <w:t> </w:t>
      </w:r>
      <w:r>
        <w:rPr>
          <w:sz w:val="20"/>
        </w:rPr>
        <w:t>e</w:t>
      </w:r>
      <w:r>
        <w:rPr>
          <w:spacing w:val="-7"/>
          <w:sz w:val="20"/>
        </w:rPr>
        <w:t> </w:t>
      </w:r>
      <w:r>
        <w:rPr>
          <w:sz w:val="20"/>
        </w:rPr>
        <w:t>infraestructura</w:t>
      </w:r>
      <w:r>
        <w:rPr>
          <w:spacing w:val="-9"/>
          <w:sz w:val="20"/>
        </w:rPr>
        <w:t> </w:t>
      </w:r>
      <w:r>
        <w:rPr>
          <w:spacing w:val="-2"/>
          <w:sz w:val="20"/>
        </w:rPr>
        <w:t>social;</w:t>
      </w:r>
    </w:p>
    <w:p>
      <w:pPr>
        <w:pStyle w:val="ListParagraph"/>
        <w:numPr>
          <w:ilvl w:val="0"/>
          <w:numId w:val="46"/>
        </w:numPr>
        <w:tabs>
          <w:tab w:pos="741" w:val="left" w:leader="none"/>
        </w:tabs>
        <w:spacing w:line="240" w:lineRule="auto" w:before="228" w:after="0"/>
        <w:ind w:left="741" w:right="0" w:hanging="479"/>
        <w:jc w:val="both"/>
        <w:rPr>
          <w:sz w:val="20"/>
        </w:rPr>
      </w:pPr>
      <w:r>
        <w:rPr>
          <w:sz w:val="20"/>
        </w:rPr>
        <w:t>La</w:t>
      </w:r>
      <w:r>
        <w:rPr>
          <w:spacing w:val="-10"/>
          <w:sz w:val="20"/>
        </w:rPr>
        <w:t> </w:t>
      </w:r>
      <w:r>
        <w:rPr>
          <w:sz w:val="20"/>
        </w:rPr>
        <w:t>estructura</w:t>
      </w:r>
      <w:r>
        <w:rPr>
          <w:spacing w:val="-8"/>
          <w:sz w:val="20"/>
        </w:rPr>
        <w:t> </w:t>
      </w:r>
      <w:r>
        <w:rPr>
          <w:sz w:val="20"/>
        </w:rPr>
        <w:t>urbana,</w:t>
      </w:r>
      <w:r>
        <w:rPr>
          <w:spacing w:val="-6"/>
          <w:sz w:val="20"/>
        </w:rPr>
        <w:t> </w:t>
      </w:r>
      <w:r>
        <w:rPr>
          <w:sz w:val="20"/>
        </w:rPr>
        <w:t>señalando</w:t>
      </w:r>
      <w:r>
        <w:rPr>
          <w:spacing w:val="-7"/>
          <w:sz w:val="20"/>
        </w:rPr>
        <w:t> </w:t>
      </w:r>
      <w:r>
        <w:rPr>
          <w:sz w:val="20"/>
        </w:rPr>
        <w:t>los</w:t>
      </w:r>
      <w:r>
        <w:rPr>
          <w:spacing w:val="-8"/>
          <w:sz w:val="20"/>
        </w:rPr>
        <w:t> </w:t>
      </w:r>
      <w:r>
        <w:rPr>
          <w:sz w:val="20"/>
        </w:rPr>
        <w:t>huecos</w:t>
      </w:r>
      <w:r>
        <w:rPr>
          <w:spacing w:val="-7"/>
          <w:sz w:val="20"/>
        </w:rPr>
        <w:t> </w:t>
      </w:r>
      <w:r>
        <w:rPr>
          <w:sz w:val="20"/>
        </w:rPr>
        <w:t>urbanos</w:t>
      </w:r>
      <w:r>
        <w:rPr>
          <w:spacing w:val="-7"/>
          <w:sz w:val="20"/>
        </w:rPr>
        <w:t> </w:t>
      </w:r>
      <w:r>
        <w:rPr>
          <w:sz w:val="20"/>
        </w:rPr>
        <w:t>y</w:t>
      </w:r>
      <w:r>
        <w:rPr>
          <w:spacing w:val="-5"/>
          <w:sz w:val="20"/>
        </w:rPr>
        <w:t> </w:t>
      </w:r>
      <w:r>
        <w:rPr>
          <w:sz w:val="20"/>
        </w:rPr>
        <w:t>espacios</w:t>
      </w:r>
      <w:r>
        <w:rPr>
          <w:spacing w:val="-6"/>
          <w:sz w:val="20"/>
        </w:rPr>
        <w:t> </w:t>
      </w:r>
      <w:r>
        <w:rPr>
          <w:spacing w:val="-2"/>
          <w:sz w:val="20"/>
        </w:rPr>
        <w:t>baldíos;</w:t>
      </w:r>
    </w:p>
    <w:p>
      <w:pPr>
        <w:pStyle w:val="BodyText"/>
        <w:spacing w:before="1"/>
      </w:pPr>
    </w:p>
    <w:p>
      <w:pPr>
        <w:pStyle w:val="ListParagraph"/>
        <w:numPr>
          <w:ilvl w:val="0"/>
          <w:numId w:val="46"/>
        </w:numPr>
        <w:tabs>
          <w:tab w:pos="688" w:val="left" w:leader="none"/>
        </w:tabs>
        <w:spacing w:line="240" w:lineRule="auto" w:before="0" w:after="0"/>
        <w:ind w:left="688" w:right="0" w:hanging="426"/>
        <w:jc w:val="both"/>
        <w:rPr>
          <w:sz w:val="20"/>
        </w:rPr>
      </w:pPr>
      <w:r>
        <w:rPr>
          <w:sz w:val="20"/>
        </w:rPr>
        <w:t>La</w:t>
      </w:r>
      <w:r>
        <w:rPr>
          <w:spacing w:val="-9"/>
          <w:sz w:val="20"/>
        </w:rPr>
        <w:t> </w:t>
      </w:r>
      <w:r>
        <w:rPr>
          <w:sz w:val="20"/>
        </w:rPr>
        <w:t>descripción</w:t>
      </w:r>
      <w:r>
        <w:rPr>
          <w:spacing w:val="-6"/>
          <w:sz w:val="20"/>
        </w:rPr>
        <w:t> </w:t>
      </w:r>
      <w:r>
        <w:rPr>
          <w:sz w:val="20"/>
        </w:rPr>
        <w:t>de</w:t>
      </w:r>
      <w:r>
        <w:rPr>
          <w:spacing w:val="-7"/>
          <w:sz w:val="20"/>
        </w:rPr>
        <w:t> </w:t>
      </w:r>
      <w:r>
        <w:rPr>
          <w:sz w:val="20"/>
        </w:rPr>
        <w:t>la</w:t>
      </w:r>
      <w:r>
        <w:rPr>
          <w:spacing w:val="-6"/>
          <w:sz w:val="20"/>
        </w:rPr>
        <w:t> </w:t>
      </w:r>
      <w:r>
        <w:rPr>
          <w:sz w:val="20"/>
        </w:rPr>
        <w:t>organización</w:t>
      </w:r>
      <w:r>
        <w:rPr>
          <w:spacing w:val="-8"/>
          <w:sz w:val="20"/>
        </w:rPr>
        <w:t> </w:t>
      </w:r>
      <w:r>
        <w:rPr>
          <w:sz w:val="20"/>
        </w:rPr>
        <w:t>social</w:t>
      </w:r>
      <w:r>
        <w:rPr>
          <w:spacing w:val="-7"/>
          <w:sz w:val="20"/>
        </w:rPr>
        <w:t> </w:t>
      </w:r>
      <w:r>
        <w:rPr>
          <w:sz w:val="20"/>
        </w:rPr>
        <w:t>identificada</w:t>
      </w:r>
      <w:r>
        <w:rPr>
          <w:spacing w:val="-8"/>
          <w:sz w:val="20"/>
        </w:rPr>
        <w:t> </w:t>
      </w:r>
      <w:r>
        <w:rPr>
          <w:sz w:val="20"/>
        </w:rPr>
        <w:t>en</w:t>
      </w:r>
      <w:r>
        <w:rPr>
          <w:spacing w:val="-8"/>
          <w:sz w:val="20"/>
        </w:rPr>
        <w:t> </w:t>
      </w:r>
      <w:r>
        <w:rPr>
          <w:sz w:val="20"/>
        </w:rPr>
        <w:t>la</w:t>
      </w:r>
      <w:r>
        <w:rPr>
          <w:spacing w:val="-6"/>
          <w:sz w:val="20"/>
        </w:rPr>
        <w:t> </w:t>
      </w:r>
      <w:r>
        <w:rPr>
          <w:sz w:val="20"/>
        </w:rPr>
        <w:t>zona</w:t>
      </w:r>
      <w:r>
        <w:rPr>
          <w:spacing w:val="-6"/>
          <w:sz w:val="20"/>
        </w:rPr>
        <w:t> </w:t>
      </w:r>
      <w:r>
        <w:rPr>
          <w:sz w:val="20"/>
        </w:rPr>
        <w:t>de</w:t>
      </w:r>
      <w:r>
        <w:rPr>
          <w:spacing w:val="-7"/>
          <w:sz w:val="20"/>
        </w:rPr>
        <w:t> </w:t>
      </w:r>
      <w:r>
        <w:rPr>
          <w:spacing w:val="-2"/>
          <w:sz w:val="20"/>
        </w:rPr>
        <w:t>estudio;</w:t>
      </w:r>
    </w:p>
    <w:p>
      <w:pPr>
        <w:pStyle w:val="BodyText"/>
        <w:spacing w:before="1"/>
      </w:pPr>
    </w:p>
    <w:p>
      <w:pPr>
        <w:pStyle w:val="ListParagraph"/>
        <w:numPr>
          <w:ilvl w:val="0"/>
          <w:numId w:val="46"/>
        </w:numPr>
        <w:tabs>
          <w:tab w:pos="688" w:val="left" w:leader="none"/>
        </w:tabs>
        <w:spacing w:line="240" w:lineRule="auto" w:before="0" w:after="0"/>
        <w:ind w:left="688" w:right="0" w:hanging="426"/>
        <w:jc w:val="both"/>
        <w:rPr>
          <w:sz w:val="20"/>
        </w:rPr>
      </w:pPr>
      <w:r>
        <w:rPr>
          <w:sz w:val="20"/>
        </w:rPr>
        <w:t>La</w:t>
      </w:r>
      <w:r>
        <w:rPr>
          <w:spacing w:val="-8"/>
          <w:sz w:val="20"/>
        </w:rPr>
        <w:t> </w:t>
      </w:r>
      <w:r>
        <w:rPr>
          <w:sz w:val="20"/>
        </w:rPr>
        <w:t>propuesta</w:t>
      </w:r>
      <w:r>
        <w:rPr>
          <w:spacing w:val="-7"/>
          <w:sz w:val="20"/>
        </w:rPr>
        <w:t> </w:t>
      </w:r>
      <w:r>
        <w:rPr>
          <w:sz w:val="20"/>
        </w:rPr>
        <w:t>de</w:t>
      </w:r>
      <w:r>
        <w:rPr>
          <w:spacing w:val="-5"/>
          <w:sz w:val="20"/>
        </w:rPr>
        <w:t> </w:t>
      </w:r>
      <w:r>
        <w:rPr>
          <w:sz w:val="20"/>
        </w:rPr>
        <w:t>zonas</w:t>
      </w:r>
      <w:r>
        <w:rPr>
          <w:spacing w:val="-6"/>
          <w:sz w:val="20"/>
        </w:rPr>
        <w:t> </w:t>
      </w:r>
      <w:r>
        <w:rPr>
          <w:sz w:val="20"/>
        </w:rPr>
        <w:t>que</w:t>
      </w:r>
      <w:r>
        <w:rPr>
          <w:spacing w:val="-6"/>
          <w:sz w:val="20"/>
        </w:rPr>
        <w:t> </w:t>
      </w:r>
      <w:r>
        <w:rPr>
          <w:sz w:val="20"/>
        </w:rPr>
        <w:t>puedan</w:t>
      </w:r>
      <w:r>
        <w:rPr>
          <w:spacing w:val="-5"/>
          <w:sz w:val="20"/>
        </w:rPr>
        <w:t> </w:t>
      </w:r>
      <w:r>
        <w:rPr>
          <w:sz w:val="20"/>
        </w:rPr>
        <w:t>dedicarse</w:t>
      </w:r>
      <w:r>
        <w:rPr>
          <w:spacing w:val="-7"/>
          <w:sz w:val="20"/>
        </w:rPr>
        <w:t> </w:t>
      </w:r>
      <w:r>
        <w:rPr>
          <w:sz w:val="20"/>
        </w:rPr>
        <w:t>al</w:t>
      </w:r>
      <w:r>
        <w:rPr>
          <w:spacing w:val="-7"/>
          <w:sz w:val="20"/>
        </w:rPr>
        <w:t> </w:t>
      </w:r>
      <w:r>
        <w:rPr>
          <w:sz w:val="20"/>
        </w:rPr>
        <w:t>espacio</w:t>
      </w:r>
      <w:r>
        <w:rPr>
          <w:spacing w:val="-7"/>
          <w:sz w:val="20"/>
        </w:rPr>
        <w:t> </w:t>
      </w:r>
      <w:r>
        <w:rPr>
          <w:spacing w:val="-2"/>
          <w:sz w:val="20"/>
        </w:rPr>
        <w:t>verde;</w:t>
      </w:r>
    </w:p>
    <w:p>
      <w:pPr>
        <w:pStyle w:val="ListParagraph"/>
        <w:numPr>
          <w:ilvl w:val="0"/>
          <w:numId w:val="46"/>
        </w:numPr>
        <w:tabs>
          <w:tab w:pos="688" w:val="left" w:leader="none"/>
        </w:tabs>
        <w:spacing w:line="240" w:lineRule="auto" w:before="229" w:after="0"/>
        <w:ind w:left="262" w:right="284" w:firstLine="0"/>
        <w:jc w:val="both"/>
        <w:rPr>
          <w:sz w:val="20"/>
        </w:rPr>
      </w:pPr>
      <w:r>
        <w:rPr>
          <w:sz w:val="20"/>
        </w:rPr>
        <w:t>Las</w:t>
      </w:r>
      <w:r>
        <w:rPr>
          <w:spacing w:val="-11"/>
          <w:sz w:val="20"/>
        </w:rPr>
        <w:t> </w:t>
      </w:r>
      <w:r>
        <w:rPr>
          <w:sz w:val="20"/>
        </w:rPr>
        <w:t>políticas,</w:t>
      </w:r>
      <w:r>
        <w:rPr>
          <w:spacing w:val="-12"/>
          <w:sz w:val="20"/>
        </w:rPr>
        <w:t> </w:t>
      </w:r>
      <w:r>
        <w:rPr>
          <w:sz w:val="20"/>
        </w:rPr>
        <w:t>objetivos</w:t>
      </w:r>
      <w:r>
        <w:rPr>
          <w:spacing w:val="-11"/>
          <w:sz w:val="20"/>
        </w:rPr>
        <w:t> </w:t>
      </w:r>
      <w:r>
        <w:rPr>
          <w:sz w:val="20"/>
        </w:rPr>
        <w:t>y</w:t>
      </w:r>
      <w:r>
        <w:rPr>
          <w:spacing w:val="-11"/>
          <w:sz w:val="20"/>
        </w:rPr>
        <w:t> </w:t>
      </w:r>
      <w:r>
        <w:rPr>
          <w:sz w:val="20"/>
        </w:rPr>
        <w:t>estrategias</w:t>
      </w:r>
      <w:r>
        <w:rPr>
          <w:spacing w:val="-11"/>
          <w:sz w:val="20"/>
        </w:rPr>
        <w:t> </w:t>
      </w:r>
      <w:r>
        <w:rPr>
          <w:sz w:val="20"/>
        </w:rPr>
        <w:t>para</w:t>
      </w:r>
      <w:r>
        <w:rPr>
          <w:spacing w:val="-12"/>
          <w:sz w:val="20"/>
        </w:rPr>
        <w:t> </w:t>
      </w:r>
      <w:r>
        <w:rPr>
          <w:sz w:val="20"/>
        </w:rPr>
        <w:t>mejorar</w:t>
      </w:r>
      <w:r>
        <w:rPr>
          <w:spacing w:val="-11"/>
          <w:sz w:val="20"/>
        </w:rPr>
        <w:t> </w:t>
      </w:r>
      <w:r>
        <w:rPr>
          <w:sz w:val="20"/>
        </w:rPr>
        <w:t>las</w:t>
      </w:r>
      <w:r>
        <w:rPr>
          <w:spacing w:val="-11"/>
          <w:sz w:val="20"/>
        </w:rPr>
        <w:t> </w:t>
      </w:r>
      <w:r>
        <w:rPr>
          <w:sz w:val="20"/>
        </w:rPr>
        <w:t>condiciones</w:t>
      </w:r>
      <w:r>
        <w:rPr>
          <w:spacing w:val="-11"/>
          <w:sz w:val="20"/>
        </w:rPr>
        <w:t> </w:t>
      </w:r>
      <w:r>
        <w:rPr>
          <w:sz w:val="20"/>
        </w:rPr>
        <w:t>de</w:t>
      </w:r>
      <w:r>
        <w:rPr>
          <w:spacing w:val="-13"/>
          <w:sz w:val="20"/>
        </w:rPr>
        <w:t> </w:t>
      </w:r>
      <w:r>
        <w:rPr>
          <w:sz w:val="20"/>
        </w:rPr>
        <w:t>vida</w:t>
      </w:r>
      <w:r>
        <w:rPr>
          <w:spacing w:val="-12"/>
          <w:sz w:val="20"/>
        </w:rPr>
        <w:t> </w:t>
      </w:r>
      <w:r>
        <w:rPr>
          <w:sz w:val="20"/>
        </w:rPr>
        <w:t>y</w:t>
      </w:r>
      <w:r>
        <w:rPr>
          <w:spacing w:val="-11"/>
          <w:sz w:val="20"/>
        </w:rPr>
        <w:t> </w:t>
      </w:r>
      <w:r>
        <w:rPr>
          <w:sz w:val="20"/>
        </w:rPr>
        <w:t>articular</w:t>
      </w:r>
      <w:r>
        <w:rPr>
          <w:spacing w:val="-11"/>
          <w:sz w:val="20"/>
        </w:rPr>
        <w:t> </w:t>
      </w:r>
      <w:r>
        <w:rPr>
          <w:sz w:val="20"/>
        </w:rPr>
        <w:t>la</w:t>
      </w:r>
      <w:r>
        <w:rPr>
          <w:spacing w:val="-12"/>
          <w:sz w:val="20"/>
        </w:rPr>
        <w:t> </w:t>
      </w:r>
      <w:r>
        <w:rPr>
          <w:sz w:val="20"/>
        </w:rPr>
        <w:t>zona</w:t>
      </w:r>
      <w:r>
        <w:rPr>
          <w:spacing w:val="-12"/>
          <w:sz w:val="20"/>
        </w:rPr>
        <w:t> </w:t>
      </w:r>
      <w:r>
        <w:rPr>
          <w:sz w:val="20"/>
        </w:rPr>
        <w:t>con el resto del centro de población, y</w:t>
      </w:r>
    </w:p>
    <w:p>
      <w:pPr>
        <w:pStyle w:val="BodyText"/>
        <w:spacing w:before="1"/>
      </w:pPr>
    </w:p>
    <w:p>
      <w:pPr>
        <w:pStyle w:val="ListParagraph"/>
        <w:numPr>
          <w:ilvl w:val="0"/>
          <w:numId w:val="46"/>
        </w:numPr>
        <w:tabs>
          <w:tab w:pos="688" w:val="left" w:leader="none"/>
        </w:tabs>
        <w:spacing w:line="240" w:lineRule="auto" w:before="0" w:after="0"/>
        <w:ind w:left="688" w:right="0" w:hanging="426"/>
        <w:jc w:val="both"/>
        <w:rPr>
          <w:sz w:val="20"/>
        </w:rPr>
      </w:pPr>
      <w:r>
        <w:rPr>
          <w:sz w:val="20"/>
        </w:rPr>
        <w:t>El</w:t>
      </w:r>
      <w:r>
        <w:rPr>
          <w:spacing w:val="-7"/>
          <w:sz w:val="20"/>
        </w:rPr>
        <w:t> </w:t>
      </w:r>
      <w:r>
        <w:rPr>
          <w:sz w:val="20"/>
        </w:rPr>
        <w:t>esquema</w:t>
      </w:r>
      <w:r>
        <w:rPr>
          <w:spacing w:val="-5"/>
          <w:sz w:val="20"/>
        </w:rPr>
        <w:t> </w:t>
      </w:r>
      <w:r>
        <w:rPr>
          <w:sz w:val="20"/>
        </w:rPr>
        <w:t>de</w:t>
      </w:r>
      <w:r>
        <w:rPr>
          <w:spacing w:val="-8"/>
          <w:sz w:val="20"/>
        </w:rPr>
        <w:t> </w:t>
      </w:r>
      <w:r>
        <w:rPr>
          <w:sz w:val="20"/>
        </w:rPr>
        <w:t>solución</w:t>
      </w:r>
      <w:r>
        <w:rPr>
          <w:spacing w:val="-8"/>
          <w:sz w:val="20"/>
        </w:rPr>
        <w:t> </w:t>
      </w:r>
      <w:r>
        <w:rPr>
          <w:sz w:val="20"/>
        </w:rPr>
        <w:t>de</w:t>
      </w:r>
      <w:r>
        <w:rPr>
          <w:spacing w:val="-5"/>
          <w:sz w:val="20"/>
        </w:rPr>
        <w:t> </w:t>
      </w:r>
      <w:r>
        <w:rPr>
          <w:sz w:val="20"/>
        </w:rPr>
        <w:t>acciones</w:t>
      </w:r>
      <w:r>
        <w:rPr>
          <w:spacing w:val="-4"/>
          <w:sz w:val="20"/>
        </w:rPr>
        <w:t> </w:t>
      </w:r>
      <w:r>
        <w:rPr>
          <w:spacing w:val="-2"/>
          <w:sz w:val="20"/>
        </w:rPr>
        <w:t>prioritarias.</w:t>
      </w:r>
    </w:p>
    <w:p>
      <w:pPr>
        <w:pStyle w:val="BodyText"/>
        <w:spacing w:before="229"/>
        <w:ind w:left="262" w:right="282"/>
        <w:jc w:val="both"/>
      </w:pPr>
      <w:r>
        <w:rPr>
          <w:rFonts w:ascii="Arial" w:hAnsi="Arial"/>
          <w:b/>
        </w:rPr>
        <w:t>ARTÍCULO</w:t>
      </w:r>
      <w:r>
        <w:rPr>
          <w:rFonts w:ascii="Arial" w:hAnsi="Arial"/>
          <w:b/>
          <w:spacing w:val="-14"/>
        </w:rPr>
        <w:t> </w:t>
      </w:r>
      <w:r>
        <w:rPr>
          <w:rFonts w:ascii="Arial" w:hAnsi="Arial"/>
          <w:b/>
        </w:rPr>
        <w:t>99.</w:t>
      </w:r>
      <w:r>
        <w:rPr>
          <w:rFonts w:ascii="Arial" w:hAnsi="Arial"/>
          <w:b/>
          <w:spacing w:val="-14"/>
        </w:rPr>
        <w:t> </w:t>
      </w:r>
      <w:r>
        <w:rPr/>
        <w:t>Los</w:t>
      </w:r>
      <w:r>
        <w:rPr>
          <w:spacing w:val="-14"/>
        </w:rPr>
        <w:t> </w:t>
      </w:r>
      <w:r>
        <w:rPr/>
        <w:t>Programas</w:t>
      </w:r>
      <w:r>
        <w:rPr>
          <w:spacing w:val="-14"/>
        </w:rPr>
        <w:t> </w:t>
      </w:r>
      <w:r>
        <w:rPr/>
        <w:t>Parciales</w:t>
      </w:r>
      <w:r>
        <w:rPr>
          <w:spacing w:val="-14"/>
        </w:rPr>
        <w:t> </w:t>
      </w:r>
      <w:r>
        <w:rPr/>
        <w:t>aplicables</w:t>
      </w:r>
      <w:r>
        <w:rPr>
          <w:spacing w:val="-14"/>
        </w:rPr>
        <w:t> </w:t>
      </w:r>
      <w:r>
        <w:rPr/>
        <w:t>a</w:t>
      </w:r>
      <w:r>
        <w:rPr>
          <w:spacing w:val="-14"/>
        </w:rPr>
        <w:t> </w:t>
      </w:r>
      <w:r>
        <w:rPr/>
        <w:t>zonas</w:t>
      </w:r>
      <w:r>
        <w:rPr>
          <w:spacing w:val="-14"/>
        </w:rPr>
        <w:t> </w:t>
      </w:r>
      <w:r>
        <w:rPr/>
        <w:t>urbanizables</w:t>
      </w:r>
      <w:r>
        <w:rPr>
          <w:spacing w:val="-14"/>
        </w:rPr>
        <w:t> </w:t>
      </w:r>
      <w:r>
        <w:rPr/>
        <w:t>de</w:t>
      </w:r>
      <w:r>
        <w:rPr>
          <w:spacing w:val="-13"/>
        </w:rPr>
        <w:t> </w:t>
      </w:r>
      <w:r>
        <w:rPr/>
        <w:t>un</w:t>
      </w:r>
      <w:r>
        <w:rPr>
          <w:spacing w:val="-14"/>
        </w:rPr>
        <w:t> </w:t>
      </w:r>
      <w:r>
        <w:rPr/>
        <w:t>centro</w:t>
      </w:r>
      <w:r>
        <w:rPr>
          <w:spacing w:val="-14"/>
        </w:rPr>
        <w:t> </w:t>
      </w:r>
      <w:r>
        <w:rPr/>
        <w:t>de</w:t>
      </w:r>
      <w:r>
        <w:rPr>
          <w:spacing w:val="-14"/>
        </w:rPr>
        <w:t> </w:t>
      </w:r>
      <w:r>
        <w:rPr/>
        <w:t>población, contendrán además de lo señalado en el artículo 68 de este Ordenamiento, lo siguiente:</w:t>
      </w:r>
    </w:p>
    <w:p>
      <w:pPr>
        <w:pStyle w:val="BodyText"/>
        <w:spacing w:before="1"/>
      </w:pPr>
    </w:p>
    <w:p>
      <w:pPr>
        <w:pStyle w:val="ListParagraph"/>
        <w:numPr>
          <w:ilvl w:val="0"/>
          <w:numId w:val="47"/>
        </w:numPr>
        <w:tabs>
          <w:tab w:pos="688" w:val="left" w:leader="none"/>
        </w:tabs>
        <w:spacing w:line="240" w:lineRule="auto" w:before="0" w:after="0"/>
        <w:ind w:left="262" w:right="284" w:firstLine="0"/>
        <w:jc w:val="both"/>
        <w:rPr>
          <w:sz w:val="20"/>
        </w:rPr>
      </w:pPr>
      <w:r>
        <w:rPr>
          <w:sz w:val="20"/>
        </w:rPr>
        <w:t>El análisis detallado de la aptitud del suelo para asentamientos humanos e infraestructura, </w:t>
      </w:r>
      <w:r>
        <w:rPr>
          <w:spacing w:val="-2"/>
          <w:sz w:val="20"/>
        </w:rPr>
        <w:t>identificando</w:t>
      </w:r>
      <w:r>
        <w:rPr>
          <w:spacing w:val="-7"/>
          <w:sz w:val="20"/>
        </w:rPr>
        <w:t> </w:t>
      </w:r>
      <w:r>
        <w:rPr>
          <w:spacing w:val="-2"/>
          <w:sz w:val="20"/>
        </w:rPr>
        <w:t>las</w:t>
      </w:r>
      <w:r>
        <w:rPr>
          <w:spacing w:val="-8"/>
          <w:sz w:val="20"/>
        </w:rPr>
        <w:t> </w:t>
      </w:r>
      <w:r>
        <w:rPr>
          <w:spacing w:val="-2"/>
          <w:sz w:val="20"/>
        </w:rPr>
        <w:t>zonas</w:t>
      </w:r>
      <w:r>
        <w:rPr>
          <w:spacing w:val="-5"/>
          <w:sz w:val="20"/>
        </w:rPr>
        <w:t> </w:t>
      </w:r>
      <w:r>
        <w:rPr>
          <w:spacing w:val="-2"/>
          <w:sz w:val="20"/>
        </w:rPr>
        <w:t>que</w:t>
      </w:r>
      <w:r>
        <w:rPr>
          <w:spacing w:val="-3"/>
          <w:sz w:val="20"/>
        </w:rPr>
        <w:t> </w:t>
      </w:r>
      <w:r>
        <w:rPr>
          <w:spacing w:val="-2"/>
          <w:sz w:val="20"/>
        </w:rPr>
        <w:t>no</w:t>
      </w:r>
      <w:r>
        <w:rPr>
          <w:spacing w:val="-9"/>
          <w:sz w:val="20"/>
        </w:rPr>
        <w:t> </w:t>
      </w:r>
      <w:r>
        <w:rPr>
          <w:spacing w:val="-2"/>
          <w:sz w:val="20"/>
        </w:rPr>
        <w:t>son</w:t>
      </w:r>
      <w:r>
        <w:rPr>
          <w:spacing w:val="-9"/>
          <w:sz w:val="20"/>
        </w:rPr>
        <w:t> </w:t>
      </w:r>
      <w:r>
        <w:rPr>
          <w:spacing w:val="-2"/>
          <w:sz w:val="20"/>
        </w:rPr>
        <w:t>aptas</w:t>
      </w:r>
      <w:r>
        <w:rPr>
          <w:spacing w:val="-5"/>
          <w:sz w:val="20"/>
        </w:rPr>
        <w:t> </w:t>
      </w:r>
      <w:r>
        <w:rPr>
          <w:spacing w:val="-2"/>
          <w:sz w:val="20"/>
        </w:rPr>
        <w:t>por</w:t>
      </w:r>
      <w:r>
        <w:rPr>
          <w:spacing w:val="-8"/>
          <w:sz w:val="20"/>
        </w:rPr>
        <w:t> </w:t>
      </w:r>
      <w:r>
        <w:rPr>
          <w:spacing w:val="-2"/>
          <w:sz w:val="20"/>
        </w:rPr>
        <w:t>su</w:t>
      </w:r>
      <w:r>
        <w:rPr>
          <w:spacing w:val="-6"/>
          <w:sz w:val="20"/>
        </w:rPr>
        <w:t> </w:t>
      </w:r>
      <w:r>
        <w:rPr>
          <w:spacing w:val="-2"/>
          <w:sz w:val="20"/>
        </w:rPr>
        <w:t>alto</w:t>
      </w:r>
      <w:r>
        <w:rPr>
          <w:spacing w:val="-7"/>
          <w:sz w:val="20"/>
        </w:rPr>
        <w:t> </w:t>
      </w:r>
      <w:r>
        <w:rPr>
          <w:spacing w:val="-2"/>
          <w:sz w:val="20"/>
        </w:rPr>
        <w:t>valor</w:t>
      </w:r>
      <w:r>
        <w:rPr>
          <w:spacing w:val="-8"/>
          <w:sz w:val="20"/>
        </w:rPr>
        <w:t> </w:t>
      </w:r>
      <w:r>
        <w:rPr>
          <w:spacing w:val="-2"/>
          <w:sz w:val="20"/>
        </w:rPr>
        <w:t>ambiental,</w:t>
      </w:r>
      <w:r>
        <w:rPr>
          <w:spacing w:val="-6"/>
          <w:sz w:val="20"/>
        </w:rPr>
        <w:t> </w:t>
      </w:r>
      <w:r>
        <w:rPr>
          <w:spacing w:val="-2"/>
          <w:sz w:val="20"/>
        </w:rPr>
        <w:t>o</w:t>
      </w:r>
      <w:r>
        <w:rPr>
          <w:spacing w:val="-6"/>
          <w:sz w:val="20"/>
        </w:rPr>
        <w:t> </w:t>
      </w:r>
      <w:r>
        <w:rPr>
          <w:spacing w:val="-2"/>
          <w:sz w:val="20"/>
        </w:rPr>
        <w:t>por</w:t>
      </w:r>
      <w:r>
        <w:rPr>
          <w:spacing w:val="-5"/>
          <w:sz w:val="20"/>
        </w:rPr>
        <w:t> </w:t>
      </w:r>
      <w:r>
        <w:rPr>
          <w:spacing w:val="-2"/>
          <w:sz w:val="20"/>
        </w:rPr>
        <w:t>estar</w:t>
      </w:r>
      <w:r>
        <w:rPr>
          <w:spacing w:val="-5"/>
          <w:sz w:val="20"/>
        </w:rPr>
        <w:t> </w:t>
      </w:r>
      <w:r>
        <w:rPr>
          <w:spacing w:val="-2"/>
          <w:sz w:val="20"/>
        </w:rPr>
        <w:t>afectadas</w:t>
      </w:r>
      <w:r>
        <w:rPr>
          <w:spacing w:val="-8"/>
          <w:sz w:val="20"/>
        </w:rPr>
        <w:t> </w:t>
      </w:r>
      <w:r>
        <w:rPr>
          <w:spacing w:val="-2"/>
          <w:sz w:val="20"/>
        </w:rPr>
        <w:t>por</w:t>
      </w:r>
      <w:r>
        <w:rPr>
          <w:spacing w:val="-8"/>
          <w:sz w:val="20"/>
        </w:rPr>
        <w:t> </w:t>
      </w:r>
      <w:r>
        <w:rPr>
          <w:spacing w:val="-2"/>
          <w:sz w:val="20"/>
        </w:rPr>
        <w:t>riesgos </w:t>
      </w:r>
      <w:r>
        <w:rPr>
          <w:sz w:val="20"/>
        </w:rPr>
        <w:t>de origen natural y urbano;</w:t>
      </w:r>
    </w:p>
    <w:p>
      <w:pPr>
        <w:pStyle w:val="ListParagraph"/>
        <w:numPr>
          <w:ilvl w:val="0"/>
          <w:numId w:val="47"/>
        </w:numPr>
        <w:tabs>
          <w:tab w:pos="686" w:val="left" w:leader="none"/>
        </w:tabs>
        <w:spacing w:line="240" w:lineRule="auto" w:before="229" w:after="0"/>
        <w:ind w:left="686" w:right="0" w:hanging="424"/>
        <w:jc w:val="both"/>
        <w:rPr>
          <w:sz w:val="20"/>
        </w:rPr>
      </w:pPr>
      <w:r>
        <w:rPr>
          <w:sz w:val="20"/>
        </w:rPr>
        <w:t>Estudio</w:t>
      </w:r>
      <w:r>
        <w:rPr>
          <w:spacing w:val="-7"/>
          <w:sz w:val="20"/>
        </w:rPr>
        <w:t> </w:t>
      </w:r>
      <w:r>
        <w:rPr>
          <w:sz w:val="20"/>
        </w:rPr>
        <w:t>de</w:t>
      </w:r>
      <w:r>
        <w:rPr>
          <w:spacing w:val="-6"/>
          <w:sz w:val="20"/>
        </w:rPr>
        <w:t> </w:t>
      </w:r>
      <w:r>
        <w:rPr>
          <w:sz w:val="20"/>
        </w:rPr>
        <w:t>mecánica</w:t>
      </w:r>
      <w:r>
        <w:rPr>
          <w:spacing w:val="-6"/>
          <w:sz w:val="20"/>
        </w:rPr>
        <w:t> </w:t>
      </w:r>
      <w:r>
        <w:rPr>
          <w:sz w:val="20"/>
        </w:rPr>
        <w:t>de</w:t>
      </w:r>
      <w:r>
        <w:rPr>
          <w:spacing w:val="-6"/>
          <w:sz w:val="20"/>
        </w:rPr>
        <w:t> </w:t>
      </w:r>
      <w:r>
        <w:rPr>
          <w:spacing w:val="-2"/>
          <w:sz w:val="20"/>
        </w:rPr>
        <w:t>suelo;</w:t>
      </w:r>
    </w:p>
    <w:p>
      <w:pPr>
        <w:pStyle w:val="BodyText"/>
        <w:spacing w:before="1"/>
      </w:pPr>
    </w:p>
    <w:p>
      <w:pPr>
        <w:pStyle w:val="ListParagraph"/>
        <w:numPr>
          <w:ilvl w:val="0"/>
          <w:numId w:val="47"/>
        </w:numPr>
        <w:tabs>
          <w:tab w:pos="741" w:val="left" w:leader="none"/>
        </w:tabs>
        <w:spacing w:line="240" w:lineRule="auto" w:before="0" w:after="0"/>
        <w:ind w:left="262" w:right="288" w:firstLine="0"/>
        <w:jc w:val="both"/>
        <w:rPr>
          <w:sz w:val="20"/>
        </w:rPr>
      </w:pPr>
      <w:r>
        <w:rPr>
          <w:sz w:val="20"/>
        </w:rPr>
        <w:t>Estudio para identificar los requerimientos de vialidad generados por el desarrollo de la zona, así como las acciones necesarias para su integración con el resto del área urbana;</w:t>
      </w:r>
    </w:p>
    <w:p>
      <w:pPr>
        <w:pStyle w:val="ListParagraph"/>
        <w:numPr>
          <w:ilvl w:val="0"/>
          <w:numId w:val="47"/>
        </w:numPr>
        <w:tabs>
          <w:tab w:pos="688" w:val="left" w:leader="none"/>
        </w:tabs>
        <w:spacing w:line="240" w:lineRule="auto" w:before="229" w:after="0"/>
        <w:ind w:left="688" w:right="0" w:hanging="426"/>
        <w:jc w:val="both"/>
        <w:rPr>
          <w:sz w:val="20"/>
        </w:rPr>
      </w:pPr>
      <w:r>
        <w:rPr>
          <w:sz w:val="20"/>
        </w:rPr>
        <w:t>Estudio</w:t>
      </w:r>
      <w:r>
        <w:rPr>
          <w:spacing w:val="-9"/>
          <w:sz w:val="20"/>
        </w:rPr>
        <w:t> </w:t>
      </w:r>
      <w:r>
        <w:rPr>
          <w:sz w:val="20"/>
        </w:rPr>
        <w:t>hidrológico</w:t>
      </w:r>
      <w:r>
        <w:rPr>
          <w:spacing w:val="-7"/>
          <w:sz w:val="20"/>
        </w:rPr>
        <w:t> </w:t>
      </w:r>
      <w:r>
        <w:rPr>
          <w:sz w:val="20"/>
        </w:rPr>
        <w:t>de</w:t>
      </w:r>
      <w:r>
        <w:rPr>
          <w:spacing w:val="-7"/>
          <w:sz w:val="20"/>
        </w:rPr>
        <w:t> </w:t>
      </w:r>
      <w:r>
        <w:rPr>
          <w:sz w:val="20"/>
        </w:rPr>
        <w:t>la</w:t>
      </w:r>
      <w:r>
        <w:rPr>
          <w:spacing w:val="-9"/>
          <w:sz w:val="20"/>
        </w:rPr>
        <w:t> </w:t>
      </w:r>
      <w:r>
        <w:rPr>
          <w:spacing w:val="-4"/>
          <w:sz w:val="20"/>
        </w:rPr>
        <w:t>zona;</w:t>
      </w:r>
    </w:p>
    <w:p>
      <w:pPr>
        <w:pStyle w:val="BodyText"/>
        <w:spacing w:before="1"/>
      </w:pPr>
    </w:p>
    <w:p>
      <w:pPr>
        <w:pStyle w:val="ListParagraph"/>
        <w:numPr>
          <w:ilvl w:val="0"/>
          <w:numId w:val="47"/>
        </w:numPr>
        <w:tabs>
          <w:tab w:pos="688" w:val="left" w:leader="none"/>
        </w:tabs>
        <w:spacing w:line="240" w:lineRule="auto" w:before="0" w:after="0"/>
        <w:ind w:left="688" w:right="0" w:hanging="426"/>
        <w:jc w:val="both"/>
        <w:rPr>
          <w:sz w:val="20"/>
        </w:rPr>
      </w:pPr>
      <w:r>
        <w:rPr>
          <w:sz w:val="20"/>
        </w:rPr>
        <w:t>La</w:t>
      </w:r>
      <w:r>
        <w:rPr>
          <w:spacing w:val="-8"/>
          <w:sz w:val="20"/>
        </w:rPr>
        <w:t> </w:t>
      </w:r>
      <w:r>
        <w:rPr>
          <w:sz w:val="20"/>
        </w:rPr>
        <w:t>definición</w:t>
      </w:r>
      <w:r>
        <w:rPr>
          <w:spacing w:val="-8"/>
          <w:sz w:val="20"/>
        </w:rPr>
        <w:t> </w:t>
      </w:r>
      <w:r>
        <w:rPr>
          <w:sz w:val="20"/>
        </w:rPr>
        <w:t>de</w:t>
      </w:r>
      <w:r>
        <w:rPr>
          <w:spacing w:val="-7"/>
          <w:sz w:val="20"/>
        </w:rPr>
        <w:t> </w:t>
      </w:r>
      <w:r>
        <w:rPr>
          <w:sz w:val="20"/>
        </w:rPr>
        <w:t>acciones</w:t>
      </w:r>
      <w:r>
        <w:rPr>
          <w:spacing w:val="-6"/>
          <w:sz w:val="20"/>
        </w:rPr>
        <w:t> </w:t>
      </w:r>
      <w:r>
        <w:rPr>
          <w:sz w:val="20"/>
        </w:rPr>
        <w:t>para</w:t>
      </w:r>
      <w:r>
        <w:rPr>
          <w:spacing w:val="-6"/>
          <w:sz w:val="20"/>
        </w:rPr>
        <w:t> </w:t>
      </w:r>
      <w:r>
        <w:rPr>
          <w:sz w:val="20"/>
        </w:rPr>
        <w:t>la</w:t>
      </w:r>
      <w:r>
        <w:rPr>
          <w:spacing w:val="-5"/>
          <w:sz w:val="20"/>
        </w:rPr>
        <w:t> </w:t>
      </w:r>
      <w:r>
        <w:rPr>
          <w:sz w:val="20"/>
        </w:rPr>
        <w:t>mitigación</w:t>
      </w:r>
      <w:r>
        <w:rPr>
          <w:spacing w:val="-7"/>
          <w:sz w:val="20"/>
        </w:rPr>
        <w:t> </w:t>
      </w:r>
      <w:r>
        <w:rPr>
          <w:sz w:val="20"/>
        </w:rPr>
        <w:t>de</w:t>
      </w:r>
      <w:r>
        <w:rPr>
          <w:spacing w:val="-7"/>
          <w:sz w:val="20"/>
        </w:rPr>
        <w:t> </w:t>
      </w:r>
      <w:r>
        <w:rPr>
          <w:spacing w:val="-2"/>
          <w:sz w:val="20"/>
        </w:rPr>
        <w:t>riesgos;</w:t>
      </w:r>
    </w:p>
    <w:p>
      <w:pPr>
        <w:pStyle w:val="BodyText"/>
        <w:spacing w:before="1"/>
      </w:pPr>
    </w:p>
    <w:p>
      <w:pPr>
        <w:pStyle w:val="ListParagraph"/>
        <w:numPr>
          <w:ilvl w:val="0"/>
          <w:numId w:val="47"/>
        </w:numPr>
        <w:tabs>
          <w:tab w:pos="688" w:val="left" w:leader="none"/>
        </w:tabs>
        <w:spacing w:line="240" w:lineRule="auto" w:before="0" w:after="0"/>
        <w:ind w:left="262" w:right="286" w:firstLine="0"/>
        <w:jc w:val="both"/>
        <w:rPr>
          <w:sz w:val="20"/>
        </w:rPr>
      </w:pPr>
      <w:r>
        <w:rPr>
          <w:sz w:val="20"/>
        </w:rPr>
        <w:t>Las políticas, objetivos y estrategias para la integración con el área urbana actual y para la protección del entorno natural;</w:t>
      </w:r>
    </w:p>
    <w:p>
      <w:pPr>
        <w:pStyle w:val="ListParagraph"/>
        <w:numPr>
          <w:ilvl w:val="0"/>
          <w:numId w:val="47"/>
        </w:numPr>
        <w:tabs>
          <w:tab w:pos="688" w:val="left" w:leader="none"/>
        </w:tabs>
        <w:spacing w:line="240" w:lineRule="auto" w:before="229" w:after="0"/>
        <w:ind w:left="262" w:right="284" w:firstLine="0"/>
        <w:jc w:val="both"/>
        <w:rPr>
          <w:sz w:val="20"/>
        </w:rPr>
      </w:pPr>
      <w:r>
        <w:rPr>
          <w:sz w:val="20"/>
        </w:rPr>
        <w:t>La definición de las normas para el aprovechamiento sustentable de los recursos naturales y para la ordenación de los asentamientos humanos;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47"/>
        </w:numPr>
        <w:tabs>
          <w:tab w:pos="828" w:val="left" w:leader="none"/>
        </w:tabs>
        <w:spacing w:line="240" w:lineRule="auto" w:before="0" w:after="0"/>
        <w:ind w:left="828" w:right="0" w:hanging="566"/>
        <w:jc w:val="left"/>
        <w:rPr>
          <w:sz w:val="20"/>
        </w:rPr>
      </w:pPr>
      <w:r>
        <w:rPr>
          <w:sz w:val="20"/>
        </w:rPr>
        <w:t>Identificar</w:t>
      </w:r>
      <w:r>
        <w:rPr>
          <w:spacing w:val="-9"/>
          <w:sz w:val="20"/>
        </w:rPr>
        <w:t> </w:t>
      </w:r>
      <w:r>
        <w:rPr>
          <w:sz w:val="20"/>
        </w:rPr>
        <w:t>el</w:t>
      </w:r>
      <w:r>
        <w:rPr>
          <w:spacing w:val="-7"/>
          <w:sz w:val="20"/>
        </w:rPr>
        <w:t> </w:t>
      </w:r>
      <w:r>
        <w:rPr>
          <w:sz w:val="20"/>
        </w:rPr>
        <w:t>equipamiento</w:t>
      </w:r>
      <w:r>
        <w:rPr>
          <w:spacing w:val="-6"/>
          <w:sz w:val="20"/>
        </w:rPr>
        <w:t> </w:t>
      </w:r>
      <w:r>
        <w:rPr>
          <w:sz w:val="20"/>
        </w:rPr>
        <w:t>urbano</w:t>
      </w:r>
      <w:r>
        <w:rPr>
          <w:spacing w:val="-8"/>
          <w:sz w:val="20"/>
        </w:rPr>
        <w:t> </w:t>
      </w:r>
      <w:r>
        <w:rPr>
          <w:sz w:val="20"/>
        </w:rPr>
        <w:t>requerido</w:t>
      </w:r>
      <w:r>
        <w:rPr>
          <w:spacing w:val="-9"/>
          <w:sz w:val="20"/>
        </w:rPr>
        <w:t> </w:t>
      </w:r>
      <w:r>
        <w:rPr>
          <w:sz w:val="20"/>
        </w:rPr>
        <w:t>y</w:t>
      </w:r>
      <w:r>
        <w:rPr>
          <w:spacing w:val="-7"/>
          <w:sz w:val="20"/>
        </w:rPr>
        <w:t> </w:t>
      </w:r>
      <w:r>
        <w:rPr>
          <w:sz w:val="20"/>
        </w:rPr>
        <w:t>su</w:t>
      </w:r>
      <w:r>
        <w:rPr>
          <w:spacing w:val="-8"/>
          <w:sz w:val="20"/>
        </w:rPr>
        <w:t> </w:t>
      </w:r>
      <w:r>
        <w:rPr>
          <w:sz w:val="20"/>
        </w:rPr>
        <w:t>distribución</w:t>
      </w:r>
      <w:r>
        <w:rPr>
          <w:spacing w:val="-8"/>
          <w:sz w:val="20"/>
        </w:rPr>
        <w:t> </w:t>
      </w:r>
      <w:r>
        <w:rPr>
          <w:sz w:val="20"/>
        </w:rPr>
        <w:t>en</w:t>
      </w:r>
      <w:r>
        <w:rPr>
          <w:spacing w:val="-7"/>
          <w:sz w:val="20"/>
        </w:rPr>
        <w:t> </w:t>
      </w:r>
      <w:r>
        <w:rPr>
          <w:sz w:val="20"/>
        </w:rPr>
        <w:t>la</w:t>
      </w:r>
      <w:r>
        <w:rPr>
          <w:spacing w:val="-6"/>
          <w:sz w:val="20"/>
        </w:rPr>
        <w:t> </w:t>
      </w:r>
      <w:r>
        <w:rPr>
          <w:sz w:val="20"/>
        </w:rPr>
        <w:t>zona,</w:t>
      </w:r>
      <w:r>
        <w:rPr>
          <w:spacing w:val="-6"/>
          <w:sz w:val="20"/>
        </w:rPr>
        <w:t> </w:t>
      </w:r>
      <w:r>
        <w:rPr>
          <w:spacing w:val="-10"/>
          <w:sz w:val="20"/>
        </w:rPr>
        <w:t>y</w:t>
      </w:r>
    </w:p>
    <w:p>
      <w:pPr>
        <w:pStyle w:val="BodyText"/>
        <w:spacing w:before="1"/>
      </w:pPr>
    </w:p>
    <w:p>
      <w:pPr>
        <w:pStyle w:val="ListParagraph"/>
        <w:numPr>
          <w:ilvl w:val="0"/>
          <w:numId w:val="47"/>
        </w:numPr>
        <w:tabs>
          <w:tab w:pos="828" w:val="left" w:leader="none"/>
        </w:tabs>
        <w:spacing w:line="240" w:lineRule="auto" w:before="0" w:after="0"/>
        <w:ind w:left="828" w:right="0" w:hanging="566"/>
        <w:jc w:val="left"/>
        <w:rPr>
          <w:sz w:val="20"/>
        </w:rPr>
      </w:pPr>
      <w:r>
        <w:rPr>
          <w:sz w:val="20"/>
        </w:rPr>
        <w:t>La</w:t>
      </w:r>
      <w:r>
        <w:rPr>
          <w:spacing w:val="-9"/>
          <w:sz w:val="20"/>
        </w:rPr>
        <w:t> </w:t>
      </w:r>
      <w:r>
        <w:rPr>
          <w:sz w:val="20"/>
        </w:rPr>
        <w:t>identificación</w:t>
      </w:r>
      <w:r>
        <w:rPr>
          <w:spacing w:val="-7"/>
          <w:sz w:val="20"/>
        </w:rPr>
        <w:t> </w:t>
      </w:r>
      <w:r>
        <w:rPr>
          <w:sz w:val="20"/>
        </w:rPr>
        <w:t>de</w:t>
      </w:r>
      <w:r>
        <w:rPr>
          <w:spacing w:val="-7"/>
          <w:sz w:val="20"/>
        </w:rPr>
        <w:t> </w:t>
      </w:r>
      <w:r>
        <w:rPr>
          <w:sz w:val="20"/>
        </w:rPr>
        <w:t>proyectos</w:t>
      </w:r>
      <w:r>
        <w:rPr>
          <w:spacing w:val="-6"/>
          <w:sz w:val="20"/>
        </w:rPr>
        <w:t> </w:t>
      </w:r>
      <w:r>
        <w:rPr>
          <w:sz w:val="20"/>
        </w:rPr>
        <w:t>detonadores</w:t>
      </w:r>
      <w:r>
        <w:rPr>
          <w:spacing w:val="-6"/>
          <w:sz w:val="20"/>
        </w:rPr>
        <w:t> </w:t>
      </w:r>
      <w:r>
        <w:rPr>
          <w:sz w:val="20"/>
        </w:rPr>
        <w:t>del</w:t>
      </w:r>
      <w:r>
        <w:rPr>
          <w:spacing w:val="-8"/>
          <w:sz w:val="20"/>
        </w:rPr>
        <w:t> </w:t>
      </w:r>
      <w:r>
        <w:rPr>
          <w:sz w:val="20"/>
        </w:rPr>
        <w:t>desarrollo</w:t>
      </w:r>
      <w:r>
        <w:rPr>
          <w:spacing w:val="-5"/>
          <w:sz w:val="20"/>
        </w:rPr>
        <w:t> </w:t>
      </w:r>
      <w:r>
        <w:rPr>
          <w:sz w:val="20"/>
        </w:rPr>
        <w:t>de</w:t>
      </w:r>
      <w:r>
        <w:rPr>
          <w:spacing w:val="-7"/>
          <w:sz w:val="20"/>
        </w:rPr>
        <w:t> </w:t>
      </w:r>
      <w:r>
        <w:rPr>
          <w:sz w:val="20"/>
        </w:rPr>
        <w:t>acuerdo</w:t>
      </w:r>
      <w:r>
        <w:rPr>
          <w:spacing w:val="-7"/>
          <w:sz w:val="20"/>
        </w:rPr>
        <w:t> </w:t>
      </w:r>
      <w:r>
        <w:rPr>
          <w:sz w:val="20"/>
        </w:rPr>
        <w:t>al</w:t>
      </w:r>
      <w:r>
        <w:rPr>
          <w:spacing w:val="-8"/>
          <w:sz w:val="20"/>
        </w:rPr>
        <w:t> </w:t>
      </w:r>
      <w:r>
        <w:rPr>
          <w:sz w:val="20"/>
        </w:rPr>
        <w:t>potencial</w:t>
      </w:r>
      <w:r>
        <w:rPr>
          <w:spacing w:val="-6"/>
          <w:sz w:val="20"/>
        </w:rPr>
        <w:t> </w:t>
      </w:r>
      <w:r>
        <w:rPr>
          <w:sz w:val="20"/>
        </w:rPr>
        <w:t>de</w:t>
      </w:r>
      <w:r>
        <w:rPr>
          <w:spacing w:val="-8"/>
          <w:sz w:val="20"/>
        </w:rPr>
        <w:t> </w:t>
      </w:r>
      <w:r>
        <w:rPr>
          <w:sz w:val="20"/>
        </w:rPr>
        <w:t>la</w:t>
      </w:r>
      <w:r>
        <w:rPr>
          <w:spacing w:val="-8"/>
          <w:sz w:val="20"/>
        </w:rPr>
        <w:t> </w:t>
      </w:r>
      <w:r>
        <w:rPr>
          <w:spacing w:val="-2"/>
          <w:sz w:val="20"/>
        </w:rPr>
        <w:t>zona.</w:t>
      </w:r>
    </w:p>
    <w:p>
      <w:pPr>
        <w:pStyle w:val="BodyText"/>
        <w:spacing w:before="228"/>
      </w:pPr>
    </w:p>
    <w:p>
      <w:pPr>
        <w:pStyle w:val="Heading2"/>
        <w:spacing w:before="1"/>
      </w:pPr>
      <w:r>
        <w:rPr/>
        <w:t>Capítulo</w:t>
      </w:r>
      <w:r>
        <w:rPr>
          <w:spacing w:val="-8"/>
        </w:rPr>
        <w:t> </w:t>
      </w:r>
      <w:r>
        <w:rPr>
          <w:spacing w:val="-5"/>
        </w:rPr>
        <w:t>VII</w:t>
      </w:r>
    </w:p>
    <w:p>
      <w:pPr>
        <w:pStyle w:val="BodyText"/>
        <w:rPr>
          <w:rFonts w:ascii="Arial"/>
          <w:b/>
        </w:rPr>
      </w:pPr>
    </w:p>
    <w:p>
      <w:pPr>
        <w:spacing w:before="0"/>
        <w:ind w:left="5" w:right="24" w:firstLine="0"/>
        <w:jc w:val="center"/>
        <w:rPr>
          <w:rFonts w:ascii="Arial"/>
          <w:b/>
          <w:sz w:val="20"/>
        </w:rPr>
      </w:pPr>
      <w:r>
        <w:rPr>
          <w:rFonts w:ascii="Arial"/>
          <w:b/>
          <w:sz w:val="20"/>
        </w:rPr>
        <w:t>Estrategias</w:t>
      </w:r>
      <w:r>
        <w:rPr>
          <w:rFonts w:ascii="Arial"/>
          <w:b/>
          <w:spacing w:val="-12"/>
          <w:sz w:val="20"/>
        </w:rPr>
        <w:t> </w:t>
      </w:r>
      <w:r>
        <w:rPr>
          <w:rFonts w:ascii="Arial"/>
          <w:b/>
          <w:sz w:val="20"/>
        </w:rPr>
        <w:t>de</w:t>
      </w:r>
      <w:r>
        <w:rPr>
          <w:rFonts w:ascii="Arial"/>
          <w:b/>
          <w:spacing w:val="-11"/>
          <w:sz w:val="20"/>
        </w:rPr>
        <w:t> </w:t>
      </w:r>
      <w:r>
        <w:rPr>
          <w:rFonts w:ascii="Arial"/>
          <w:b/>
          <w:sz w:val="20"/>
        </w:rPr>
        <w:t>Componentes</w:t>
      </w:r>
      <w:r>
        <w:rPr>
          <w:rFonts w:ascii="Arial"/>
          <w:b/>
          <w:spacing w:val="-11"/>
          <w:sz w:val="20"/>
        </w:rPr>
        <w:t> </w:t>
      </w:r>
      <w:r>
        <w:rPr>
          <w:rFonts w:ascii="Arial"/>
          <w:b/>
          <w:spacing w:val="-2"/>
          <w:sz w:val="20"/>
        </w:rPr>
        <w:t>Urbanos</w:t>
      </w:r>
    </w:p>
    <w:p>
      <w:pPr>
        <w:pStyle w:val="BodyText"/>
        <w:spacing w:before="1"/>
        <w:rPr>
          <w:rFonts w:ascii="Arial"/>
          <w:b/>
        </w:rPr>
      </w:pPr>
    </w:p>
    <w:p>
      <w:pPr>
        <w:pStyle w:val="BodyText"/>
        <w:ind w:left="262" w:right="278"/>
        <w:jc w:val="both"/>
      </w:pPr>
      <w:r>
        <w:rPr>
          <w:rFonts w:ascii="Arial" w:hAnsi="Arial"/>
          <w:b/>
        </w:rPr>
        <w:t>ARTÍCULO</w:t>
      </w:r>
      <w:r>
        <w:rPr>
          <w:rFonts w:ascii="Arial" w:hAnsi="Arial"/>
          <w:b/>
          <w:spacing w:val="-5"/>
        </w:rPr>
        <w:t> </w:t>
      </w:r>
      <w:r>
        <w:rPr>
          <w:rFonts w:ascii="Arial" w:hAnsi="Arial"/>
          <w:b/>
        </w:rPr>
        <w:t>100.</w:t>
      </w:r>
      <w:r>
        <w:rPr>
          <w:rFonts w:ascii="Arial" w:hAnsi="Arial"/>
          <w:b/>
          <w:spacing w:val="-6"/>
        </w:rPr>
        <w:t> </w:t>
      </w:r>
      <w:r>
        <w:rPr/>
        <w:t>Las</w:t>
      </w:r>
      <w:r>
        <w:rPr>
          <w:spacing w:val="-6"/>
        </w:rPr>
        <w:t> </w:t>
      </w:r>
      <w:r>
        <w:rPr/>
        <w:t>Estrategias</w:t>
      </w:r>
      <w:r>
        <w:rPr>
          <w:spacing w:val="-6"/>
        </w:rPr>
        <w:t> </w:t>
      </w:r>
      <w:r>
        <w:rPr/>
        <w:t>de</w:t>
      </w:r>
      <w:r>
        <w:rPr>
          <w:spacing w:val="-7"/>
        </w:rPr>
        <w:t> </w:t>
      </w:r>
      <w:r>
        <w:rPr/>
        <w:t>Componentes</w:t>
      </w:r>
      <w:r>
        <w:rPr>
          <w:spacing w:val="-6"/>
        </w:rPr>
        <w:t> </w:t>
      </w:r>
      <w:r>
        <w:rPr/>
        <w:t>Urbanos,</w:t>
      </w:r>
      <w:r>
        <w:rPr>
          <w:spacing w:val="-6"/>
        </w:rPr>
        <w:t> </w:t>
      </w:r>
      <w:r>
        <w:rPr/>
        <w:t>son</w:t>
      </w:r>
      <w:r>
        <w:rPr>
          <w:spacing w:val="-5"/>
        </w:rPr>
        <w:t> </w:t>
      </w:r>
      <w:r>
        <w:rPr/>
        <w:t>el</w:t>
      </w:r>
      <w:r>
        <w:rPr>
          <w:spacing w:val="-6"/>
        </w:rPr>
        <w:t> </w:t>
      </w:r>
      <w:r>
        <w:rPr/>
        <w:t>conjunto</w:t>
      </w:r>
      <w:r>
        <w:rPr>
          <w:spacing w:val="-7"/>
        </w:rPr>
        <w:t> </w:t>
      </w:r>
      <w:r>
        <w:rPr/>
        <w:t>de</w:t>
      </w:r>
      <w:r>
        <w:rPr>
          <w:spacing w:val="-7"/>
        </w:rPr>
        <w:t> </w:t>
      </w:r>
      <w:r>
        <w:rPr/>
        <w:t>acciones</w:t>
      </w:r>
      <w:r>
        <w:rPr>
          <w:spacing w:val="-6"/>
        </w:rPr>
        <w:t> </w:t>
      </w:r>
      <w:r>
        <w:rPr/>
        <w:t>dirigidas</w:t>
      </w:r>
      <w:r>
        <w:rPr>
          <w:spacing w:val="-6"/>
        </w:rPr>
        <w:t> </w:t>
      </w:r>
      <w:r>
        <w:rPr/>
        <w:t>a regular de forma específica</w:t>
      </w:r>
      <w:r>
        <w:rPr>
          <w:spacing w:val="40"/>
        </w:rPr>
        <w:t> </w:t>
      </w:r>
      <w:r>
        <w:rPr/>
        <w:t>los elementos, constitutivos de la estructura urbana, éstos podrán comprender la</w:t>
      </w:r>
      <w:r>
        <w:rPr>
          <w:spacing w:val="-1"/>
        </w:rPr>
        <w:t> </w:t>
      </w:r>
      <w:r>
        <w:rPr/>
        <w:t>totalidad</w:t>
      </w:r>
      <w:r>
        <w:rPr>
          <w:spacing w:val="-2"/>
        </w:rPr>
        <w:t> </w:t>
      </w:r>
      <w:r>
        <w:rPr/>
        <w:t>del territorio</w:t>
      </w:r>
      <w:r>
        <w:rPr>
          <w:spacing w:val="-1"/>
        </w:rPr>
        <w:t> </w:t>
      </w:r>
      <w:r>
        <w:rPr/>
        <w:t>o una</w:t>
      </w:r>
      <w:r>
        <w:rPr>
          <w:spacing w:val="-1"/>
        </w:rPr>
        <w:t> </w:t>
      </w:r>
      <w:r>
        <w:rPr/>
        <w:t>parte</w:t>
      </w:r>
      <w:r>
        <w:rPr>
          <w:spacing w:val="-1"/>
        </w:rPr>
        <w:t> </w:t>
      </w:r>
      <w:r>
        <w:rPr/>
        <w:t>de éste</w:t>
      </w:r>
      <w:r>
        <w:rPr>
          <w:spacing w:val="-1"/>
        </w:rPr>
        <w:t> </w:t>
      </w:r>
      <w:r>
        <w:rPr/>
        <w:t>de acuerdo</w:t>
      </w:r>
      <w:r>
        <w:rPr>
          <w:spacing w:val="-1"/>
        </w:rPr>
        <w:t> </w:t>
      </w:r>
      <w:r>
        <w:rPr/>
        <w:t>al</w:t>
      </w:r>
      <w:r>
        <w:rPr>
          <w:spacing w:val="-2"/>
        </w:rPr>
        <w:t> </w:t>
      </w:r>
      <w:r>
        <w:rPr/>
        <w:t>Programa de</w:t>
      </w:r>
      <w:r>
        <w:rPr>
          <w:spacing w:val="-2"/>
        </w:rPr>
        <w:t> </w:t>
      </w:r>
      <w:r>
        <w:rPr/>
        <w:t>Ordenamiento Territorial y Desarrollo Urbano del cual deriva.</w:t>
      </w:r>
    </w:p>
    <w:p>
      <w:pPr>
        <w:pStyle w:val="BodyText"/>
      </w:pPr>
    </w:p>
    <w:p>
      <w:pPr>
        <w:pStyle w:val="BodyText"/>
        <w:spacing w:before="1"/>
        <w:ind w:left="262" w:right="284"/>
        <w:jc w:val="both"/>
      </w:pPr>
      <w:r>
        <w:rPr/>
        <w:t>Su</w:t>
      </w:r>
      <w:r>
        <w:rPr>
          <w:spacing w:val="-14"/>
        </w:rPr>
        <w:t> </w:t>
      </w:r>
      <w:r>
        <w:rPr/>
        <w:t>objetivo</w:t>
      </w:r>
      <w:r>
        <w:rPr>
          <w:spacing w:val="-14"/>
        </w:rPr>
        <w:t> </w:t>
      </w:r>
      <w:r>
        <w:rPr/>
        <w:t>es</w:t>
      </w:r>
      <w:r>
        <w:rPr>
          <w:spacing w:val="-14"/>
        </w:rPr>
        <w:t> </w:t>
      </w:r>
      <w:r>
        <w:rPr/>
        <w:t>precisar</w:t>
      </w:r>
      <w:r>
        <w:rPr>
          <w:spacing w:val="-14"/>
        </w:rPr>
        <w:t> </w:t>
      </w:r>
      <w:r>
        <w:rPr/>
        <w:t>la</w:t>
      </w:r>
      <w:r>
        <w:rPr>
          <w:spacing w:val="-14"/>
        </w:rPr>
        <w:t> </w:t>
      </w:r>
      <w:r>
        <w:rPr/>
        <w:t>estrategia</w:t>
      </w:r>
      <w:r>
        <w:rPr>
          <w:spacing w:val="-14"/>
        </w:rPr>
        <w:t> </w:t>
      </w:r>
      <w:r>
        <w:rPr/>
        <w:t>de</w:t>
      </w:r>
      <w:r>
        <w:rPr>
          <w:spacing w:val="-14"/>
        </w:rPr>
        <w:t> </w:t>
      </w:r>
      <w:r>
        <w:rPr/>
        <w:t>un</w:t>
      </w:r>
      <w:r>
        <w:rPr>
          <w:spacing w:val="-14"/>
        </w:rPr>
        <w:t> </w:t>
      </w:r>
      <w:r>
        <w:rPr/>
        <w:t>Programa</w:t>
      </w:r>
      <w:r>
        <w:rPr>
          <w:spacing w:val="-14"/>
        </w:rPr>
        <w:t> </w:t>
      </w:r>
      <w:r>
        <w:rPr/>
        <w:t>de</w:t>
      </w:r>
      <w:r>
        <w:rPr>
          <w:spacing w:val="-13"/>
        </w:rPr>
        <w:t> </w:t>
      </w:r>
      <w:r>
        <w:rPr/>
        <w:t>Ordenamiento</w:t>
      </w:r>
      <w:r>
        <w:rPr>
          <w:spacing w:val="-14"/>
        </w:rPr>
        <w:t> </w:t>
      </w:r>
      <w:r>
        <w:rPr/>
        <w:t>Territorial</w:t>
      </w:r>
      <w:r>
        <w:rPr>
          <w:spacing w:val="-14"/>
        </w:rPr>
        <w:t> </w:t>
      </w:r>
      <w:r>
        <w:rPr/>
        <w:t>y</w:t>
      </w:r>
      <w:r>
        <w:rPr>
          <w:spacing w:val="-14"/>
        </w:rPr>
        <w:t> </w:t>
      </w:r>
      <w:r>
        <w:rPr/>
        <w:t>Desarrollo</w:t>
      </w:r>
      <w:r>
        <w:rPr>
          <w:spacing w:val="-14"/>
        </w:rPr>
        <w:t> </w:t>
      </w:r>
      <w:r>
        <w:rPr/>
        <w:t>Urbano en cualquiera de las materias que lo integran, enfocándose en la instrumentación y gestión de sus proyectos y acciones, y en ningún caso los modificará.</w:t>
      </w:r>
    </w:p>
    <w:p>
      <w:pPr>
        <w:pStyle w:val="BodyText"/>
        <w:spacing w:before="229"/>
        <w:ind w:left="262" w:right="285"/>
        <w:jc w:val="both"/>
      </w:pPr>
      <w:r>
        <w:rPr/>
        <w:t>Su formulación atenderá el procedimiento señalado en el artículo 69 de esta Ley, y deberá estar indicado en las líneas de acción del programa de ordenamiento territorial y desarrollo urbano del cual deriva. Una vez concluido el proceso, se considerará como integrante de su estrategia.</w:t>
      </w:r>
    </w:p>
    <w:p>
      <w:pPr>
        <w:pStyle w:val="BodyText"/>
        <w:spacing w:before="229"/>
        <w:ind w:left="262" w:right="286"/>
        <w:jc w:val="both"/>
      </w:pPr>
      <w:r>
        <w:rPr>
          <w:rFonts w:ascii="Arial" w:hAnsi="Arial"/>
          <w:b/>
        </w:rPr>
        <w:t>ARTÍCULO 101. </w:t>
      </w:r>
      <w:r>
        <w:rPr/>
        <w:t>Las estrategias de componentes urbanos podrán versar sobre las siguientes </w:t>
      </w:r>
      <w:r>
        <w:rPr>
          <w:spacing w:val="-2"/>
        </w:rPr>
        <w:t>materias:</w:t>
      </w:r>
    </w:p>
    <w:p>
      <w:pPr>
        <w:pStyle w:val="BodyText"/>
        <w:spacing w:before="2"/>
      </w:pPr>
    </w:p>
    <w:p>
      <w:pPr>
        <w:pStyle w:val="ListParagraph"/>
        <w:numPr>
          <w:ilvl w:val="0"/>
          <w:numId w:val="48"/>
        </w:numPr>
        <w:tabs>
          <w:tab w:pos="689" w:val="left" w:leader="none"/>
        </w:tabs>
        <w:spacing w:line="240" w:lineRule="auto" w:before="0" w:after="0"/>
        <w:ind w:left="689" w:right="0" w:hanging="427"/>
        <w:jc w:val="left"/>
        <w:rPr>
          <w:sz w:val="20"/>
        </w:rPr>
      </w:pPr>
      <w:r>
        <w:rPr>
          <w:sz w:val="20"/>
        </w:rPr>
        <w:t>Reservas</w:t>
      </w:r>
      <w:r>
        <w:rPr>
          <w:spacing w:val="-8"/>
          <w:sz w:val="20"/>
        </w:rPr>
        <w:t> </w:t>
      </w:r>
      <w:r>
        <w:rPr>
          <w:spacing w:val="-2"/>
          <w:sz w:val="20"/>
        </w:rPr>
        <w:t>territoriales;</w:t>
      </w:r>
    </w:p>
    <w:p>
      <w:pPr>
        <w:pStyle w:val="BodyText"/>
      </w:pPr>
    </w:p>
    <w:p>
      <w:pPr>
        <w:pStyle w:val="ListParagraph"/>
        <w:numPr>
          <w:ilvl w:val="0"/>
          <w:numId w:val="48"/>
        </w:numPr>
        <w:tabs>
          <w:tab w:pos="689" w:val="left" w:leader="none"/>
        </w:tabs>
        <w:spacing w:line="240" w:lineRule="auto" w:before="1" w:after="0"/>
        <w:ind w:left="689" w:right="0" w:hanging="427"/>
        <w:jc w:val="left"/>
        <w:rPr>
          <w:sz w:val="20"/>
        </w:rPr>
      </w:pPr>
      <w:r>
        <w:rPr>
          <w:sz w:val="20"/>
        </w:rPr>
        <w:t>Regularización</w:t>
      </w:r>
      <w:r>
        <w:rPr>
          <w:spacing w:val="-7"/>
          <w:sz w:val="20"/>
        </w:rPr>
        <w:t> </w:t>
      </w:r>
      <w:r>
        <w:rPr>
          <w:sz w:val="20"/>
        </w:rPr>
        <w:t>de</w:t>
      </w:r>
      <w:r>
        <w:rPr>
          <w:spacing w:val="-7"/>
          <w:sz w:val="20"/>
        </w:rPr>
        <w:t> </w:t>
      </w:r>
      <w:r>
        <w:rPr>
          <w:sz w:val="20"/>
        </w:rPr>
        <w:t>la</w:t>
      </w:r>
      <w:r>
        <w:rPr>
          <w:spacing w:val="-7"/>
          <w:sz w:val="20"/>
        </w:rPr>
        <w:t> </w:t>
      </w:r>
      <w:r>
        <w:rPr>
          <w:sz w:val="20"/>
        </w:rPr>
        <w:t>tenencia</w:t>
      </w:r>
      <w:r>
        <w:rPr>
          <w:spacing w:val="-7"/>
          <w:sz w:val="20"/>
        </w:rPr>
        <w:t> </w:t>
      </w:r>
      <w:r>
        <w:rPr>
          <w:sz w:val="20"/>
        </w:rPr>
        <w:t>de</w:t>
      </w:r>
      <w:r>
        <w:rPr>
          <w:spacing w:val="-6"/>
          <w:sz w:val="20"/>
        </w:rPr>
        <w:t> </w:t>
      </w:r>
      <w:r>
        <w:rPr>
          <w:sz w:val="20"/>
        </w:rPr>
        <w:t>la</w:t>
      </w:r>
      <w:r>
        <w:rPr>
          <w:spacing w:val="-6"/>
          <w:sz w:val="20"/>
        </w:rPr>
        <w:t> </w:t>
      </w:r>
      <w:r>
        <w:rPr>
          <w:spacing w:val="-2"/>
          <w:sz w:val="20"/>
        </w:rPr>
        <w:t>tierra;</w:t>
      </w:r>
    </w:p>
    <w:p>
      <w:pPr>
        <w:pStyle w:val="ListParagraph"/>
        <w:numPr>
          <w:ilvl w:val="0"/>
          <w:numId w:val="48"/>
        </w:numPr>
        <w:tabs>
          <w:tab w:pos="744" w:val="left" w:leader="none"/>
        </w:tabs>
        <w:spacing w:line="240" w:lineRule="auto" w:before="228" w:after="0"/>
        <w:ind w:left="744" w:right="0" w:hanging="482"/>
        <w:jc w:val="left"/>
        <w:rPr>
          <w:sz w:val="20"/>
        </w:rPr>
      </w:pPr>
      <w:r>
        <w:rPr>
          <w:spacing w:val="-2"/>
          <w:sz w:val="20"/>
        </w:rPr>
        <w:t>Vivienda;</w:t>
      </w:r>
    </w:p>
    <w:p>
      <w:pPr>
        <w:pStyle w:val="BodyText"/>
        <w:spacing w:before="1"/>
      </w:pPr>
    </w:p>
    <w:p>
      <w:pPr>
        <w:pStyle w:val="ListParagraph"/>
        <w:numPr>
          <w:ilvl w:val="0"/>
          <w:numId w:val="48"/>
        </w:numPr>
        <w:tabs>
          <w:tab w:pos="688" w:val="left" w:leader="none"/>
        </w:tabs>
        <w:spacing w:line="240" w:lineRule="auto" w:before="0" w:after="0"/>
        <w:ind w:left="688" w:right="0" w:hanging="426"/>
        <w:jc w:val="left"/>
        <w:rPr>
          <w:sz w:val="20"/>
        </w:rPr>
      </w:pPr>
      <w:r>
        <w:rPr>
          <w:sz w:val="20"/>
        </w:rPr>
        <w:t>Patrimonio</w:t>
      </w:r>
      <w:r>
        <w:rPr>
          <w:spacing w:val="-10"/>
          <w:sz w:val="20"/>
        </w:rPr>
        <w:t> </w:t>
      </w:r>
      <w:r>
        <w:rPr>
          <w:sz w:val="20"/>
        </w:rPr>
        <w:t>histórico</w:t>
      </w:r>
      <w:r>
        <w:rPr>
          <w:spacing w:val="-8"/>
          <w:sz w:val="20"/>
        </w:rPr>
        <w:t> </w:t>
      </w:r>
      <w:r>
        <w:rPr>
          <w:sz w:val="20"/>
        </w:rPr>
        <w:t>y</w:t>
      </w:r>
      <w:r>
        <w:rPr>
          <w:spacing w:val="-8"/>
          <w:sz w:val="20"/>
        </w:rPr>
        <w:t> </w:t>
      </w:r>
      <w:r>
        <w:rPr>
          <w:spacing w:val="-2"/>
          <w:sz w:val="20"/>
        </w:rPr>
        <w:t>cultural;</w:t>
      </w:r>
    </w:p>
    <w:p>
      <w:pPr>
        <w:pStyle w:val="BodyText"/>
        <w:spacing w:before="1"/>
      </w:pPr>
    </w:p>
    <w:p>
      <w:pPr>
        <w:pStyle w:val="ListParagraph"/>
        <w:numPr>
          <w:ilvl w:val="0"/>
          <w:numId w:val="48"/>
        </w:numPr>
        <w:tabs>
          <w:tab w:pos="689" w:val="left" w:leader="none"/>
        </w:tabs>
        <w:spacing w:line="240" w:lineRule="auto" w:before="0" w:after="0"/>
        <w:ind w:left="689" w:right="0" w:hanging="427"/>
        <w:jc w:val="left"/>
        <w:rPr>
          <w:sz w:val="20"/>
        </w:rPr>
      </w:pPr>
      <w:r>
        <w:rPr>
          <w:sz w:val="20"/>
        </w:rPr>
        <w:t>Imagen</w:t>
      </w:r>
      <w:r>
        <w:rPr>
          <w:spacing w:val="-12"/>
          <w:sz w:val="20"/>
        </w:rPr>
        <w:t> </w:t>
      </w:r>
      <w:r>
        <w:rPr>
          <w:spacing w:val="-2"/>
          <w:sz w:val="20"/>
        </w:rPr>
        <w:t>Urbana;</w:t>
      </w:r>
    </w:p>
    <w:p>
      <w:pPr>
        <w:pStyle w:val="ListParagraph"/>
        <w:numPr>
          <w:ilvl w:val="0"/>
          <w:numId w:val="48"/>
        </w:numPr>
        <w:tabs>
          <w:tab w:pos="688" w:val="left" w:leader="none"/>
        </w:tabs>
        <w:spacing w:line="240" w:lineRule="auto" w:before="228" w:after="0"/>
        <w:ind w:left="688" w:right="0" w:hanging="426"/>
        <w:jc w:val="left"/>
        <w:rPr>
          <w:sz w:val="20"/>
        </w:rPr>
      </w:pPr>
      <w:r>
        <w:rPr>
          <w:spacing w:val="-2"/>
          <w:sz w:val="20"/>
        </w:rPr>
        <w:t>Turismo;</w:t>
      </w:r>
    </w:p>
    <w:p>
      <w:pPr>
        <w:pStyle w:val="BodyText"/>
        <w:spacing w:before="1"/>
      </w:pPr>
    </w:p>
    <w:p>
      <w:pPr>
        <w:pStyle w:val="ListParagraph"/>
        <w:numPr>
          <w:ilvl w:val="0"/>
          <w:numId w:val="48"/>
        </w:numPr>
        <w:tabs>
          <w:tab w:pos="688" w:val="left" w:leader="none"/>
        </w:tabs>
        <w:spacing w:line="240" w:lineRule="auto" w:before="0" w:after="0"/>
        <w:ind w:left="688" w:right="0" w:hanging="426"/>
        <w:jc w:val="left"/>
        <w:rPr>
          <w:sz w:val="20"/>
        </w:rPr>
      </w:pPr>
      <w:r>
        <w:rPr>
          <w:sz w:val="20"/>
        </w:rPr>
        <w:t>Vialidad</w:t>
      </w:r>
      <w:r>
        <w:rPr>
          <w:spacing w:val="-7"/>
          <w:sz w:val="20"/>
        </w:rPr>
        <w:t> </w:t>
      </w:r>
      <w:r>
        <w:rPr>
          <w:sz w:val="20"/>
        </w:rPr>
        <w:t>y</w:t>
      </w:r>
      <w:r>
        <w:rPr>
          <w:spacing w:val="-6"/>
          <w:sz w:val="20"/>
        </w:rPr>
        <w:t> </w:t>
      </w:r>
      <w:r>
        <w:rPr>
          <w:spacing w:val="-2"/>
          <w:sz w:val="20"/>
        </w:rPr>
        <w:t>estacionamientos;</w:t>
      </w:r>
    </w:p>
    <w:p>
      <w:pPr>
        <w:pStyle w:val="BodyText"/>
        <w:spacing w:before="1"/>
      </w:pPr>
    </w:p>
    <w:p>
      <w:pPr>
        <w:pStyle w:val="ListParagraph"/>
        <w:numPr>
          <w:ilvl w:val="0"/>
          <w:numId w:val="48"/>
        </w:numPr>
        <w:tabs>
          <w:tab w:pos="688" w:val="left" w:leader="none"/>
        </w:tabs>
        <w:spacing w:line="229" w:lineRule="exact" w:before="0" w:after="0"/>
        <w:ind w:left="688" w:right="0" w:hanging="426"/>
        <w:jc w:val="left"/>
        <w:rPr>
          <w:sz w:val="20"/>
        </w:rPr>
      </w:pPr>
      <w:r>
        <w:rPr>
          <w:sz w:val="20"/>
        </w:rPr>
        <w:t>Movilidad</w:t>
      </w:r>
      <w:r>
        <w:rPr>
          <w:spacing w:val="-9"/>
          <w:sz w:val="20"/>
        </w:rPr>
        <w:t> </w:t>
      </w:r>
      <w:r>
        <w:rPr>
          <w:sz w:val="20"/>
        </w:rPr>
        <w:t>y</w:t>
      </w:r>
      <w:r>
        <w:rPr>
          <w:spacing w:val="-7"/>
          <w:sz w:val="20"/>
        </w:rPr>
        <w:t> </w:t>
      </w:r>
      <w:r>
        <w:rPr>
          <w:spacing w:val="-2"/>
          <w:sz w:val="20"/>
        </w:rPr>
        <w:t>Transporte;</w:t>
      </w:r>
    </w:p>
    <w:p>
      <w:pPr>
        <w:pStyle w:val="ListParagraph"/>
        <w:numPr>
          <w:ilvl w:val="0"/>
          <w:numId w:val="48"/>
        </w:numPr>
        <w:tabs>
          <w:tab w:pos="828" w:val="left" w:leader="none"/>
        </w:tabs>
        <w:spacing w:line="229" w:lineRule="exact" w:before="0" w:after="0"/>
        <w:ind w:left="828" w:right="0" w:hanging="566"/>
        <w:jc w:val="left"/>
        <w:rPr>
          <w:sz w:val="20"/>
        </w:rPr>
      </w:pPr>
      <w:r>
        <w:rPr>
          <w:spacing w:val="-2"/>
          <w:sz w:val="20"/>
        </w:rPr>
        <w:t>Equipamiento;</w:t>
      </w:r>
    </w:p>
    <w:p>
      <w:pPr>
        <w:pStyle w:val="BodyText"/>
      </w:pPr>
    </w:p>
    <w:p>
      <w:pPr>
        <w:pStyle w:val="ListParagraph"/>
        <w:numPr>
          <w:ilvl w:val="0"/>
          <w:numId w:val="48"/>
        </w:numPr>
        <w:tabs>
          <w:tab w:pos="828" w:val="left" w:leader="none"/>
        </w:tabs>
        <w:spacing w:line="240" w:lineRule="auto" w:before="1" w:after="0"/>
        <w:ind w:left="828" w:right="0" w:hanging="566"/>
        <w:jc w:val="left"/>
        <w:rPr>
          <w:sz w:val="20"/>
        </w:rPr>
      </w:pPr>
      <w:r>
        <w:rPr>
          <w:spacing w:val="-2"/>
          <w:sz w:val="20"/>
        </w:rPr>
        <w:t>Infraestructura;</w:t>
      </w:r>
    </w:p>
    <w:p>
      <w:pPr>
        <w:pStyle w:val="BodyText"/>
      </w:pPr>
    </w:p>
    <w:p>
      <w:pPr>
        <w:pStyle w:val="ListParagraph"/>
        <w:numPr>
          <w:ilvl w:val="0"/>
          <w:numId w:val="48"/>
        </w:numPr>
        <w:tabs>
          <w:tab w:pos="828" w:val="left" w:leader="none"/>
        </w:tabs>
        <w:spacing w:line="240" w:lineRule="auto" w:before="0" w:after="0"/>
        <w:ind w:left="828" w:right="0" w:hanging="566"/>
        <w:jc w:val="left"/>
        <w:rPr>
          <w:sz w:val="20"/>
        </w:rPr>
      </w:pPr>
      <w:r>
        <w:rPr>
          <w:spacing w:val="-2"/>
          <w:sz w:val="20"/>
        </w:rPr>
        <w:t>Servicios;</w:t>
      </w:r>
    </w:p>
    <w:p>
      <w:pPr>
        <w:pStyle w:val="ListParagraph"/>
        <w:numPr>
          <w:ilvl w:val="0"/>
          <w:numId w:val="48"/>
        </w:numPr>
        <w:tabs>
          <w:tab w:pos="828" w:val="left" w:leader="none"/>
        </w:tabs>
        <w:spacing w:line="240" w:lineRule="auto" w:before="229" w:after="0"/>
        <w:ind w:left="828" w:right="0" w:hanging="566"/>
        <w:jc w:val="left"/>
        <w:rPr>
          <w:sz w:val="20"/>
        </w:rPr>
      </w:pPr>
      <w:r>
        <w:rPr>
          <w:sz w:val="20"/>
        </w:rPr>
        <w:t>Medio</w:t>
      </w:r>
      <w:r>
        <w:rPr>
          <w:spacing w:val="-10"/>
          <w:sz w:val="20"/>
        </w:rPr>
        <w:t> </w:t>
      </w:r>
      <w:r>
        <w:rPr>
          <w:spacing w:val="-2"/>
          <w:sz w:val="20"/>
        </w:rPr>
        <w:t>ambiente;</w:t>
      </w:r>
    </w:p>
    <w:p>
      <w:pPr>
        <w:pStyle w:val="BodyText"/>
      </w:pPr>
    </w:p>
    <w:p>
      <w:pPr>
        <w:pStyle w:val="ListParagraph"/>
        <w:numPr>
          <w:ilvl w:val="0"/>
          <w:numId w:val="48"/>
        </w:numPr>
        <w:tabs>
          <w:tab w:pos="828" w:val="left" w:leader="none"/>
        </w:tabs>
        <w:spacing w:line="240" w:lineRule="auto" w:before="1" w:after="0"/>
        <w:ind w:left="828" w:right="0" w:hanging="566"/>
        <w:jc w:val="left"/>
        <w:rPr>
          <w:sz w:val="20"/>
        </w:rPr>
      </w:pPr>
      <w:r>
        <w:rPr>
          <w:sz w:val="20"/>
        </w:rPr>
        <w:t>Recolección</w:t>
      </w:r>
      <w:r>
        <w:rPr>
          <w:spacing w:val="-8"/>
          <w:sz w:val="20"/>
        </w:rPr>
        <w:t> </w:t>
      </w:r>
      <w:r>
        <w:rPr>
          <w:sz w:val="20"/>
        </w:rPr>
        <w:t>y</w:t>
      </w:r>
      <w:r>
        <w:rPr>
          <w:spacing w:val="-6"/>
          <w:sz w:val="20"/>
        </w:rPr>
        <w:t> </w:t>
      </w:r>
      <w:r>
        <w:rPr>
          <w:sz w:val="20"/>
        </w:rPr>
        <w:t>tratamiento</w:t>
      </w:r>
      <w:r>
        <w:rPr>
          <w:spacing w:val="-5"/>
          <w:sz w:val="20"/>
        </w:rPr>
        <w:t> </w:t>
      </w:r>
      <w:r>
        <w:rPr>
          <w:sz w:val="20"/>
        </w:rPr>
        <w:t>de</w:t>
      </w:r>
      <w:r>
        <w:rPr>
          <w:spacing w:val="-7"/>
          <w:sz w:val="20"/>
        </w:rPr>
        <w:t> </w:t>
      </w:r>
      <w:r>
        <w:rPr>
          <w:sz w:val="20"/>
        </w:rPr>
        <w:t>la</w:t>
      </w:r>
      <w:r>
        <w:rPr>
          <w:spacing w:val="-7"/>
          <w:sz w:val="20"/>
        </w:rPr>
        <w:t> </w:t>
      </w:r>
      <w:r>
        <w:rPr>
          <w:sz w:val="20"/>
        </w:rPr>
        <w:t>basura</w:t>
      </w:r>
      <w:r>
        <w:rPr>
          <w:spacing w:val="-6"/>
          <w:sz w:val="20"/>
        </w:rPr>
        <w:t> </w:t>
      </w:r>
      <w:r>
        <w:rPr>
          <w:sz w:val="20"/>
        </w:rPr>
        <w:t>doméstica</w:t>
      </w:r>
      <w:r>
        <w:rPr>
          <w:spacing w:val="-7"/>
          <w:sz w:val="20"/>
        </w:rPr>
        <w:t> </w:t>
      </w:r>
      <w:r>
        <w:rPr>
          <w:sz w:val="20"/>
        </w:rPr>
        <w:t>e</w:t>
      </w:r>
      <w:r>
        <w:rPr>
          <w:spacing w:val="-6"/>
          <w:sz w:val="20"/>
        </w:rPr>
        <w:t> </w:t>
      </w:r>
      <w:r>
        <w:rPr>
          <w:spacing w:val="-2"/>
          <w:sz w:val="20"/>
        </w:rPr>
        <w:t>industrial;</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48"/>
        </w:numPr>
        <w:tabs>
          <w:tab w:pos="828" w:val="left" w:leader="none"/>
        </w:tabs>
        <w:spacing w:line="240" w:lineRule="auto" w:before="0" w:after="0"/>
        <w:ind w:left="828" w:right="0" w:hanging="566"/>
        <w:jc w:val="left"/>
        <w:rPr>
          <w:sz w:val="20"/>
        </w:rPr>
      </w:pPr>
      <w:r>
        <w:rPr>
          <w:sz w:val="20"/>
        </w:rPr>
        <w:t>La</w:t>
      </w:r>
      <w:r>
        <w:rPr>
          <w:spacing w:val="-9"/>
          <w:sz w:val="20"/>
        </w:rPr>
        <w:t> </w:t>
      </w:r>
      <w:r>
        <w:rPr>
          <w:sz w:val="20"/>
        </w:rPr>
        <w:t>captación</w:t>
      </w:r>
      <w:r>
        <w:rPr>
          <w:spacing w:val="-8"/>
          <w:sz w:val="20"/>
        </w:rPr>
        <w:t> </w:t>
      </w:r>
      <w:r>
        <w:rPr>
          <w:sz w:val="20"/>
        </w:rPr>
        <w:t>y</w:t>
      </w:r>
      <w:r>
        <w:rPr>
          <w:spacing w:val="-7"/>
          <w:sz w:val="20"/>
        </w:rPr>
        <w:t> </w:t>
      </w:r>
      <w:r>
        <w:rPr>
          <w:sz w:val="20"/>
        </w:rPr>
        <w:t>utilización</w:t>
      </w:r>
      <w:r>
        <w:rPr>
          <w:spacing w:val="-8"/>
          <w:sz w:val="20"/>
        </w:rPr>
        <w:t> </w:t>
      </w:r>
      <w:r>
        <w:rPr>
          <w:sz w:val="20"/>
        </w:rPr>
        <w:t>sustentable</w:t>
      </w:r>
      <w:r>
        <w:rPr>
          <w:spacing w:val="-8"/>
          <w:sz w:val="20"/>
        </w:rPr>
        <w:t> </w:t>
      </w:r>
      <w:r>
        <w:rPr>
          <w:sz w:val="20"/>
        </w:rPr>
        <w:t>del</w:t>
      </w:r>
      <w:r>
        <w:rPr>
          <w:spacing w:val="-9"/>
          <w:sz w:val="20"/>
        </w:rPr>
        <w:t> </w:t>
      </w:r>
      <w:r>
        <w:rPr>
          <w:spacing w:val="-4"/>
          <w:sz w:val="20"/>
        </w:rPr>
        <w:t>agua;</w:t>
      </w:r>
    </w:p>
    <w:p>
      <w:pPr>
        <w:pStyle w:val="BodyText"/>
        <w:spacing w:before="1"/>
      </w:pPr>
    </w:p>
    <w:p>
      <w:pPr>
        <w:pStyle w:val="ListParagraph"/>
        <w:numPr>
          <w:ilvl w:val="0"/>
          <w:numId w:val="48"/>
        </w:numPr>
        <w:tabs>
          <w:tab w:pos="828" w:val="left" w:leader="none"/>
        </w:tabs>
        <w:spacing w:line="240" w:lineRule="auto" w:before="0" w:after="0"/>
        <w:ind w:left="828" w:right="0" w:hanging="566"/>
        <w:jc w:val="left"/>
        <w:rPr>
          <w:sz w:val="20"/>
        </w:rPr>
      </w:pPr>
      <w:r>
        <w:rPr>
          <w:sz w:val="20"/>
        </w:rPr>
        <w:t>El</w:t>
      </w:r>
      <w:r>
        <w:rPr>
          <w:spacing w:val="-7"/>
          <w:sz w:val="20"/>
        </w:rPr>
        <w:t> </w:t>
      </w:r>
      <w:r>
        <w:rPr>
          <w:sz w:val="20"/>
        </w:rPr>
        <w:t>drenaje</w:t>
      </w:r>
      <w:r>
        <w:rPr>
          <w:spacing w:val="-8"/>
          <w:sz w:val="20"/>
        </w:rPr>
        <w:t> </w:t>
      </w:r>
      <w:r>
        <w:rPr>
          <w:sz w:val="20"/>
        </w:rPr>
        <w:t>y</w:t>
      </w:r>
      <w:r>
        <w:rPr>
          <w:spacing w:val="-7"/>
          <w:sz w:val="20"/>
        </w:rPr>
        <w:t> </w:t>
      </w:r>
      <w:r>
        <w:rPr>
          <w:sz w:val="20"/>
        </w:rPr>
        <w:t>tratamiento</w:t>
      </w:r>
      <w:r>
        <w:rPr>
          <w:spacing w:val="-7"/>
          <w:sz w:val="20"/>
        </w:rPr>
        <w:t> </w:t>
      </w:r>
      <w:r>
        <w:rPr>
          <w:sz w:val="20"/>
        </w:rPr>
        <w:t>de</w:t>
      </w:r>
      <w:r>
        <w:rPr>
          <w:spacing w:val="-7"/>
          <w:sz w:val="20"/>
        </w:rPr>
        <w:t> </w:t>
      </w:r>
      <w:r>
        <w:rPr>
          <w:sz w:val="20"/>
        </w:rPr>
        <w:t>aguas</w:t>
      </w:r>
      <w:r>
        <w:rPr>
          <w:spacing w:val="-7"/>
          <w:sz w:val="20"/>
        </w:rPr>
        <w:t> </w:t>
      </w:r>
      <w:r>
        <w:rPr>
          <w:spacing w:val="-2"/>
          <w:sz w:val="20"/>
        </w:rPr>
        <w:t>residuales;</w:t>
      </w:r>
    </w:p>
    <w:p>
      <w:pPr>
        <w:pStyle w:val="BodyText"/>
      </w:pPr>
    </w:p>
    <w:p>
      <w:pPr>
        <w:pStyle w:val="ListParagraph"/>
        <w:numPr>
          <w:ilvl w:val="0"/>
          <w:numId w:val="48"/>
        </w:numPr>
        <w:tabs>
          <w:tab w:pos="827" w:val="left" w:leader="none"/>
        </w:tabs>
        <w:spacing w:line="240" w:lineRule="auto" w:before="1" w:after="0"/>
        <w:ind w:left="262" w:right="284" w:firstLine="0"/>
        <w:jc w:val="both"/>
        <w:rPr>
          <w:sz w:val="20"/>
        </w:rPr>
      </w:pPr>
      <w:r>
        <w:rPr>
          <w:sz w:val="20"/>
        </w:rPr>
        <w:t>La</w:t>
      </w:r>
      <w:r>
        <w:rPr>
          <w:spacing w:val="-3"/>
          <w:sz w:val="20"/>
        </w:rPr>
        <w:t> </w:t>
      </w:r>
      <w:r>
        <w:rPr>
          <w:sz w:val="20"/>
        </w:rPr>
        <w:t>prevención</w:t>
      </w:r>
      <w:r>
        <w:rPr>
          <w:spacing w:val="-2"/>
          <w:sz w:val="20"/>
        </w:rPr>
        <w:t> </w:t>
      </w:r>
      <w:r>
        <w:rPr>
          <w:sz w:val="20"/>
        </w:rPr>
        <w:t>de</w:t>
      </w:r>
      <w:r>
        <w:rPr>
          <w:spacing w:val="-2"/>
          <w:sz w:val="20"/>
        </w:rPr>
        <w:t> </w:t>
      </w:r>
      <w:r>
        <w:rPr>
          <w:sz w:val="20"/>
        </w:rPr>
        <w:t>riesgos</w:t>
      </w:r>
      <w:r>
        <w:rPr>
          <w:spacing w:val="-1"/>
          <w:sz w:val="20"/>
        </w:rPr>
        <w:t> </w:t>
      </w:r>
      <w:r>
        <w:rPr>
          <w:sz w:val="20"/>
        </w:rPr>
        <w:t>por</w:t>
      </w:r>
      <w:r>
        <w:rPr>
          <w:spacing w:val="-4"/>
          <w:sz w:val="20"/>
        </w:rPr>
        <w:t> </w:t>
      </w:r>
      <w:r>
        <w:rPr>
          <w:sz w:val="20"/>
        </w:rPr>
        <w:t>diversos</w:t>
      </w:r>
      <w:r>
        <w:rPr>
          <w:spacing w:val="-3"/>
          <w:sz w:val="20"/>
        </w:rPr>
        <w:t> </w:t>
      </w:r>
      <w:r>
        <w:rPr>
          <w:sz w:val="20"/>
        </w:rPr>
        <w:t>agentes</w:t>
      </w:r>
      <w:r>
        <w:rPr>
          <w:spacing w:val="-3"/>
          <w:sz w:val="20"/>
        </w:rPr>
        <w:t> </w:t>
      </w:r>
      <w:r>
        <w:rPr>
          <w:sz w:val="20"/>
        </w:rPr>
        <w:t>como</w:t>
      </w:r>
      <w:r>
        <w:rPr>
          <w:spacing w:val="-2"/>
          <w:sz w:val="20"/>
        </w:rPr>
        <w:t> </w:t>
      </w:r>
      <w:r>
        <w:rPr>
          <w:sz w:val="20"/>
        </w:rPr>
        <w:t>inundaciones,</w:t>
      </w:r>
      <w:r>
        <w:rPr>
          <w:spacing w:val="-4"/>
          <w:sz w:val="20"/>
        </w:rPr>
        <w:t> </w:t>
      </w:r>
      <w:r>
        <w:rPr>
          <w:sz w:val="20"/>
        </w:rPr>
        <w:t>vientos,</w:t>
      </w:r>
      <w:r>
        <w:rPr>
          <w:spacing w:val="-4"/>
          <w:sz w:val="20"/>
        </w:rPr>
        <w:t> </w:t>
      </w:r>
      <w:r>
        <w:rPr>
          <w:sz w:val="20"/>
        </w:rPr>
        <w:t>cruces</w:t>
      </w:r>
      <w:r>
        <w:rPr>
          <w:spacing w:val="-3"/>
          <w:sz w:val="20"/>
        </w:rPr>
        <w:t> </w:t>
      </w:r>
      <w:r>
        <w:rPr>
          <w:sz w:val="20"/>
        </w:rPr>
        <w:t>de líneas de alta tensión, ductos de hidrocarburos, derechos federales de carreteras, vías férreas, fallas geológicas y otras análogas, y</w:t>
      </w:r>
    </w:p>
    <w:p>
      <w:pPr>
        <w:pStyle w:val="ListParagraph"/>
        <w:numPr>
          <w:ilvl w:val="0"/>
          <w:numId w:val="48"/>
        </w:numPr>
        <w:tabs>
          <w:tab w:pos="826" w:val="left" w:leader="none"/>
        </w:tabs>
        <w:spacing w:line="240" w:lineRule="auto" w:before="229" w:after="0"/>
        <w:ind w:left="826" w:right="0" w:hanging="564"/>
        <w:jc w:val="both"/>
        <w:rPr>
          <w:sz w:val="20"/>
        </w:rPr>
      </w:pPr>
      <w:r>
        <w:rPr>
          <w:sz w:val="20"/>
        </w:rPr>
        <w:t>Los</w:t>
      </w:r>
      <w:r>
        <w:rPr>
          <w:spacing w:val="-6"/>
          <w:sz w:val="20"/>
        </w:rPr>
        <w:t> </w:t>
      </w:r>
      <w:r>
        <w:rPr>
          <w:sz w:val="20"/>
        </w:rPr>
        <w:t>que</w:t>
      </w:r>
      <w:r>
        <w:rPr>
          <w:spacing w:val="-7"/>
          <w:sz w:val="20"/>
        </w:rPr>
        <w:t> </w:t>
      </w:r>
      <w:r>
        <w:rPr>
          <w:sz w:val="20"/>
        </w:rPr>
        <w:t>fueren</w:t>
      </w:r>
      <w:r>
        <w:rPr>
          <w:spacing w:val="-5"/>
          <w:sz w:val="20"/>
        </w:rPr>
        <w:t> </w:t>
      </w:r>
      <w:r>
        <w:rPr>
          <w:spacing w:val="-2"/>
          <w:sz w:val="20"/>
        </w:rPr>
        <w:t>necesarios.</w:t>
      </w:r>
    </w:p>
    <w:p>
      <w:pPr>
        <w:pStyle w:val="BodyText"/>
        <w:spacing w:before="1"/>
      </w:pPr>
    </w:p>
    <w:p>
      <w:pPr>
        <w:pStyle w:val="BodyText"/>
        <w:ind w:left="262" w:right="280"/>
        <w:jc w:val="both"/>
      </w:pPr>
      <w:r>
        <w:rPr/>
        <w:t>Los</w:t>
      </w:r>
      <w:r>
        <w:rPr>
          <w:spacing w:val="-14"/>
        </w:rPr>
        <w:t> </w:t>
      </w:r>
      <w:r>
        <w:rPr/>
        <w:t>programas</w:t>
      </w:r>
      <w:r>
        <w:rPr>
          <w:spacing w:val="-14"/>
        </w:rPr>
        <w:t> </w:t>
      </w:r>
      <w:r>
        <w:rPr/>
        <w:t>metropolitanos</w:t>
      </w:r>
      <w:r>
        <w:rPr>
          <w:spacing w:val="-14"/>
        </w:rPr>
        <w:t> </w:t>
      </w:r>
      <w:r>
        <w:rPr/>
        <w:t>y</w:t>
      </w:r>
      <w:r>
        <w:rPr>
          <w:spacing w:val="-14"/>
        </w:rPr>
        <w:t> </w:t>
      </w:r>
      <w:r>
        <w:rPr/>
        <w:t>de</w:t>
      </w:r>
      <w:r>
        <w:rPr>
          <w:spacing w:val="-14"/>
        </w:rPr>
        <w:t> </w:t>
      </w:r>
      <w:r>
        <w:rPr/>
        <w:t>zonas</w:t>
      </w:r>
      <w:r>
        <w:rPr>
          <w:spacing w:val="-14"/>
        </w:rPr>
        <w:t> </w:t>
      </w:r>
      <w:r>
        <w:rPr/>
        <w:t>conurbadas,</w:t>
      </w:r>
      <w:r>
        <w:rPr>
          <w:spacing w:val="-14"/>
        </w:rPr>
        <w:t> </w:t>
      </w:r>
      <w:r>
        <w:rPr/>
        <w:t>así</w:t>
      </w:r>
      <w:r>
        <w:rPr>
          <w:spacing w:val="-14"/>
        </w:rPr>
        <w:t> </w:t>
      </w:r>
      <w:r>
        <w:rPr/>
        <w:t>como</w:t>
      </w:r>
      <w:r>
        <w:rPr>
          <w:spacing w:val="-14"/>
        </w:rPr>
        <w:t> </w:t>
      </w:r>
      <w:r>
        <w:rPr/>
        <w:t>los</w:t>
      </w:r>
      <w:r>
        <w:rPr>
          <w:spacing w:val="-13"/>
        </w:rPr>
        <w:t> </w:t>
      </w:r>
      <w:r>
        <w:rPr/>
        <w:t>programas</w:t>
      </w:r>
      <w:r>
        <w:rPr>
          <w:spacing w:val="-14"/>
        </w:rPr>
        <w:t> </w:t>
      </w:r>
      <w:r>
        <w:rPr/>
        <w:t>de</w:t>
      </w:r>
      <w:r>
        <w:rPr>
          <w:spacing w:val="-14"/>
        </w:rPr>
        <w:t> </w:t>
      </w:r>
      <w:r>
        <w:rPr/>
        <w:t>desarrollo</w:t>
      </w:r>
      <w:r>
        <w:rPr>
          <w:spacing w:val="-14"/>
        </w:rPr>
        <w:t> </w:t>
      </w:r>
      <w:r>
        <w:rPr/>
        <w:t>urbano de centro de población para asentamientos humanos de cincuenta mil habitantes o más, deberán incluir en sus líneas de acción y corresponsabilidad sectorial la formulación de las estrategias de componentes</w:t>
      </w:r>
      <w:r>
        <w:rPr>
          <w:spacing w:val="-1"/>
        </w:rPr>
        <w:t> </w:t>
      </w:r>
      <w:r>
        <w:rPr/>
        <w:t>urbanos</w:t>
      </w:r>
      <w:r>
        <w:rPr>
          <w:spacing w:val="-1"/>
        </w:rPr>
        <w:t> </w:t>
      </w:r>
      <w:r>
        <w:rPr/>
        <w:t>de</w:t>
      </w:r>
      <w:r>
        <w:rPr>
          <w:spacing w:val="-2"/>
        </w:rPr>
        <w:t> </w:t>
      </w:r>
      <w:r>
        <w:rPr/>
        <w:t>los</w:t>
      </w:r>
      <w:r>
        <w:rPr>
          <w:spacing w:val="-1"/>
        </w:rPr>
        <w:t> </w:t>
      </w:r>
      <w:r>
        <w:rPr/>
        <w:t>temas</w:t>
      </w:r>
      <w:r>
        <w:rPr>
          <w:spacing w:val="-1"/>
        </w:rPr>
        <w:t> </w:t>
      </w:r>
      <w:r>
        <w:rPr/>
        <w:t>señalados</w:t>
      </w:r>
      <w:r>
        <w:rPr>
          <w:spacing w:val="-1"/>
        </w:rPr>
        <w:t> </w:t>
      </w:r>
      <w:r>
        <w:rPr/>
        <w:t>en</w:t>
      </w:r>
      <w:r>
        <w:rPr>
          <w:spacing w:val="-1"/>
        </w:rPr>
        <w:t> </w:t>
      </w:r>
      <w:r>
        <w:rPr/>
        <w:t>las fracciones</w:t>
      </w:r>
      <w:r>
        <w:rPr>
          <w:spacing w:val="-1"/>
        </w:rPr>
        <w:t> </w:t>
      </w:r>
      <w:r>
        <w:rPr/>
        <w:t>III,</w:t>
      </w:r>
      <w:r>
        <w:rPr>
          <w:spacing w:val="-2"/>
        </w:rPr>
        <w:t> </w:t>
      </w:r>
      <w:r>
        <w:rPr/>
        <w:t>VII, VIII,</w:t>
      </w:r>
      <w:r>
        <w:rPr>
          <w:spacing w:val="-2"/>
        </w:rPr>
        <w:t> </w:t>
      </w:r>
      <w:r>
        <w:rPr/>
        <w:t>IX, XIII,</w:t>
      </w:r>
      <w:r>
        <w:rPr>
          <w:spacing w:val="-2"/>
        </w:rPr>
        <w:t> </w:t>
      </w:r>
      <w:r>
        <w:rPr/>
        <w:t>XIV, XV</w:t>
      </w:r>
      <w:r>
        <w:rPr>
          <w:spacing w:val="-2"/>
        </w:rPr>
        <w:t> </w:t>
      </w:r>
      <w:r>
        <w:rPr/>
        <w:t>y</w:t>
      </w:r>
      <w:r>
        <w:rPr>
          <w:spacing w:val="-1"/>
        </w:rPr>
        <w:t> </w:t>
      </w:r>
      <w:r>
        <w:rPr/>
        <w:t>XVI.</w:t>
      </w:r>
    </w:p>
    <w:p>
      <w:pPr>
        <w:pStyle w:val="BodyText"/>
      </w:pPr>
    </w:p>
    <w:p>
      <w:pPr>
        <w:pStyle w:val="BodyText"/>
        <w:ind w:left="262" w:right="283"/>
        <w:jc w:val="both"/>
      </w:pPr>
      <w:r>
        <w:rPr>
          <w:rFonts w:ascii="Arial" w:hAnsi="Arial"/>
          <w:b/>
        </w:rPr>
        <w:t>ARTÍCULO 102. </w:t>
      </w:r>
      <w:r>
        <w:rPr/>
        <w:t>Las estrategias de componentes urbanos contendrán, además de lo señalado en el artículo 68 de esta Ley, lo siguiente:</w:t>
      </w:r>
    </w:p>
    <w:p>
      <w:pPr>
        <w:pStyle w:val="ListParagraph"/>
        <w:numPr>
          <w:ilvl w:val="0"/>
          <w:numId w:val="49"/>
        </w:numPr>
        <w:tabs>
          <w:tab w:pos="543" w:val="left" w:leader="none"/>
        </w:tabs>
        <w:spacing w:line="240" w:lineRule="auto" w:before="229" w:after="0"/>
        <w:ind w:left="543" w:right="0" w:hanging="281"/>
        <w:jc w:val="both"/>
        <w:rPr>
          <w:sz w:val="20"/>
        </w:rPr>
      </w:pPr>
      <w:r>
        <w:rPr>
          <w:sz w:val="20"/>
        </w:rPr>
        <w:t>La</w:t>
      </w:r>
      <w:r>
        <w:rPr>
          <w:spacing w:val="-9"/>
          <w:sz w:val="20"/>
        </w:rPr>
        <w:t> </w:t>
      </w:r>
      <w:r>
        <w:rPr>
          <w:sz w:val="20"/>
        </w:rPr>
        <w:t>mención</w:t>
      </w:r>
      <w:r>
        <w:rPr>
          <w:spacing w:val="-8"/>
          <w:sz w:val="20"/>
        </w:rPr>
        <w:t> </w:t>
      </w:r>
      <w:r>
        <w:rPr>
          <w:sz w:val="20"/>
        </w:rPr>
        <w:t>del</w:t>
      </w:r>
      <w:r>
        <w:rPr>
          <w:spacing w:val="-7"/>
          <w:sz w:val="20"/>
        </w:rPr>
        <w:t> </w:t>
      </w:r>
      <w:r>
        <w:rPr>
          <w:sz w:val="20"/>
        </w:rPr>
        <w:t>Programa</w:t>
      </w:r>
      <w:r>
        <w:rPr>
          <w:spacing w:val="-6"/>
          <w:sz w:val="20"/>
        </w:rPr>
        <w:t> </w:t>
      </w:r>
      <w:r>
        <w:rPr>
          <w:sz w:val="20"/>
        </w:rPr>
        <w:t>de</w:t>
      </w:r>
      <w:r>
        <w:rPr>
          <w:spacing w:val="-8"/>
          <w:sz w:val="20"/>
        </w:rPr>
        <w:t> </w:t>
      </w:r>
      <w:r>
        <w:rPr>
          <w:sz w:val="20"/>
        </w:rPr>
        <w:t>Ordenamiento</w:t>
      </w:r>
      <w:r>
        <w:rPr>
          <w:spacing w:val="-9"/>
          <w:sz w:val="20"/>
        </w:rPr>
        <w:t> </w:t>
      </w:r>
      <w:r>
        <w:rPr>
          <w:sz w:val="20"/>
        </w:rPr>
        <w:t>Territorial</w:t>
      </w:r>
      <w:r>
        <w:rPr>
          <w:spacing w:val="-6"/>
          <w:sz w:val="20"/>
        </w:rPr>
        <w:t> </w:t>
      </w:r>
      <w:r>
        <w:rPr>
          <w:sz w:val="20"/>
        </w:rPr>
        <w:t>y</w:t>
      </w:r>
      <w:r>
        <w:rPr>
          <w:spacing w:val="-7"/>
          <w:sz w:val="20"/>
        </w:rPr>
        <w:t> </w:t>
      </w:r>
      <w:r>
        <w:rPr>
          <w:sz w:val="20"/>
        </w:rPr>
        <w:t>Desarrollo</w:t>
      </w:r>
      <w:r>
        <w:rPr>
          <w:spacing w:val="-7"/>
          <w:sz w:val="20"/>
        </w:rPr>
        <w:t> </w:t>
      </w:r>
      <w:r>
        <w:rPr>
          <w:sz w:val="20"/>
        </w:rPr>
        <w:t>Urbano</w:t>
      </w:r>
      <w:r>
        <w:rPr>
          <w:spacing w:val="-6"/>
          <w:sz w:val="20"/>
        </w:rPr>
        <w:t> </w:t>
      </w:r>
      <w:r>
        <w:rPr>
          <w:sz w:val="20"/>
        </w:rPr>
        <w:t>del</w:t>
      </w:r>
      <w:r>
        <w:rPr>
          <w:spacing w:val="-9"/>
          <w:sz w:val="20"/>
        </w:rPr>
        <w:t> </w:t>
      </w:r>
      <w:r>
        <w:rPr>
          <w:sz w:val="20"/>
        </w:rPr>
        <w:t>cual</w:t>
      </w:r>
      <w:r>
        <w:rPr>
          <w:spacing w:val="-8"/>
          <w:sz w:val="20"/>
        </w:rPr>
        <w:t> </w:t>
      </w:r>
      <w:r>
        <w:rPr>
          <w:spacing w:val="-2"/>
          <w:sz w:val="20"/>
        </w:rPr>
        <w:t>deriven;</w:t>
      </w:r>
    </w:p>
    <w:p>
      <w:pPr>
        <w:pStyle w:val="BodyText"/>
        <w:spacing w:before="1"/>
      </w:pPr>
    </w:p>
    <w:p>
      <w:pPr>
        <w:pStyle w:val="ListParagraph"/>
        <w:numPr>
          <w:ilvl w:val="0"/>
          <w:numId w:val="49"/>
        </w:numPr>
        <w:tabs>
          <w:tab w:pos="543" w:val="left" w:leader="none"/>
        </w:tabs>
        <w:spacing w:line="240" w:lineRule="auto" w:before="0" w:after="0"/>
        <w:ind w:left="262" w:right="288" w:firstLine="0"/>
        <w:jc w:val="both"/>
        <w:rPr>
          <w:sz w:val="20"/>
        </w:rPr>
      </w:pPr>
      <w:r>
        <w:rPr>
          <w:sz w:val="20"/>
        </w:rPr>
        <w:t>La determinación de la materia de que tratará y la identificación de la congruencia con la estrategia del programa del cual deriva;</w:t>
      </w:r>
    </w:p>
    <w:p>
      <w:pPr>
        <w:pStyle w:val="ListParagraph"/>
        <w:numPr>
          <w:ilvl w:val="0"/>
          <w:numId w:val="49"/>
        </w:numPr>
        <w:tabs>
          <w:tab w:pos="597" w:val="left" w:leader="none"/>
        </w:tabs>
        <w:spacing w:line="240" w:lineRule="auto" w:before="229" w:after="0"/>
        <w:ind w:left="597" w:right="0" w:hanging="335"/>
        <w:jc w:val="both"/>
        <w:rPr>
          <w:sz w:val="20"/>
        </w:rPr>
      </w:pPr>
      <w:r>
        <w:rPr>
          <w:sz w:val="20"/>
        </w:rPr>
        <w:t>El</w:t>
      </w:r>
      <w:r>
        <w:rPr>
          <w:spacing w:val="-6"/>
          <w:sz w:val="20"/>
        </w:rPr>
        <w:t> </w:t>
      </w:r>
      <w:r>
        <w:rPr>
          <w:sz w:val="20"/>
        </w:rPr>
        <w:t>área</w:t>
      </w:r>
      <w:r>
        <w:rPr>
          <w:spacing w:val="-4"/>
          <w:sz w:val="20"/>
        </w:rPr>
        <w:t> </w:t>
      </w:r>
      <w:r>
        <w:rPr>
          <w:sz w:val="20"/>
        </w:rPr>
        <w:t>o</w:t>
      </w:r>
      <w:r>
        <w:rPr>
          <w:spacing w:val="-6"/>
          <w:sz w:val="20"/>
        </w:rPr>
        <w:t> </w:t>
      </w:r>
      <w:r>
        <w:rPr>
          <w:sz w:val="20"/>
        </w:rPr>
        <w:t>sector</w:t>
      </w:r>
      <w:r>
        <w:rPr>
          <w:spacing w:val="-6"/>
          <w:sz w:val="20"/>
        </w:rPr>
        <w:t> </w:t>
      </w:r>
      <w:r>
        <w:rPr>
          <w:sz w:val="20"/>
        </w:rPr>
        <w:t>en</w:t>
      </w:r>
      <w:r>
        <w:rPr>
          <w:spacing w:val="-6"/>
          <w:sz w:val="20"/>
        </w:rPr>
        <w:t> </w:t>
      </w:r>
      <w:r>
        <w:rPr>
          <w:sz w:val="20"/>
        </w:rPr>
        <w:t>que</w:t>
      </w:r>
      <w:r>
        <w:rPr>
          <w:spacing w:val="-7"/>
          <w:sz w:val="20"/>
        </w:rPr>
        <w:t> </w:t>
      </w:r>
      <w:r>
        <w:rPr>
          <w:sz w:val="20"/>
        </w:rPr>
        <w:t>tendrá</w:t>
      </w:r>
      <w:r>
        <w:rPr>
          <w:spacing w:val="-6"/>
          <w:sz w:val="20"/>
        </w:rPr>
        <w:t> </w:t>
      </w:r>
      <w:r>
        <w:rPr>
          <w:sz w:val="20"/>
        </w:rPr>
        <w:t>aplicación</w:t>
      </w:r>
      <w:r>
        <w:rPr>
          <w:spacing w:val="-7"/>
          <w:sz w:val="20"/>
        </w:rPr>
        <w:t> </w:t>
      </w:r>
      <w:r>
        <w:rPr>
          <w:sz w:val="20"/>
        </w:rPr>
        <w:t>la</w:t>
      </w:r>
      <w:r>
        <w:rPr>
          <w:spacing w:val="-6"/>
          <w:sz w:val="20"/>
        </w:rPr>
        <w:t> </w:t>
      </w:r>
      <w:r>
        <w:rPr>
          <w:sz w:val="20"/>
        </w:rPr>
        <w:t>estrategia</w:t>
      </w:r>
      <w:r>
        <w:rPr>
          <w:spacing w:val="-6"/>
          <w:sz w:val="20"/>
        </w:rPr>
        <w:t> </w:t>
      </w:r>
      <w:r>
        <w:rPr>
          <w:sz w:val="20"/>
        </w:rPr>
        <w:t>del</w:t>
      </w:r>
      <w:r>
        <w:rPr>
          <w:spacing w:val="-7"/>
          <w:sz w:val="20"/>
        </w:rPr>
        <w:t> </w:t>
      </w:r>
      <w:r>
        <w:rPr>
          <w:sz w:val="20"/>
        </w:rPr>
        <w:t>componente</w:t>
      </w:r>
      <w:r>
        <w:rPr>
          <w:spacing w:val="-6"/>
          <w:sz w:val="20"/>
        </w:rPr>
        <w:t> </w:t>
      </w:r>
      <w:r>
        <w:rPr>
          <w:spacing w:val="-2"/>
          <w:sz w:val="20"/>
        </w:rPr>
        <w:t>urbano;</w:t>
      </w:r>
    </w:p>
    <w:p>
      <w:pPr>
        <w:pStyle w:val="BodyText"/>
        <w:spacing w:before="1"/>
      </w:pPr>
    </w:p>
    <w:p>
      <w:pPr>
        <w:pStyle w:val="ListParagraph"/>
        <w:numPr>
          <w:ilvl w:val="0"/>
          <w:numId w:val="49"/>
        </w:numPr>
        <w:tabs>
          <w:tab w:pos="545" w:val="left" w:leader="none"/>
        </w:tabs>
        <w:spacing w:line="240" w:lineRule="auto" w:before="0" w:after="0"/>
        <w:ind w:left="262" w:right="285" w:firstLine="0"/>
        <w:jc w:val="both"/>
        <w:rPr>
          <w:sz w:val="20"/>
        </w:rPr>
      </w:pPr>
      <w:r>
        <w:rPr>
          <w:spacing w:val="-2"/>
          <w:sz w:val="20"/>
        </w:rPr>
        <w:t>La</w:t>
      </w:r>
      <w:r>
        <w:rPr>
          <w:spacing w:val="-8"/>
          <w:sz w:val="20"/>
        </w:rPr>
        <w:t> </w:t>
      </w:r>
      <w:r>
        <w:rPr>
          <w:spacing w:val="-2"/>
          <w:sz w:val="20"/>
        </w:rPr>
        <w:t>precisión</w:t>
      </w:r>
      <w:r>
        <w:rPr>
          <w:spacing w:val="-8"/>
          <w:sz w:val="20"/>
        </w:rPr>
        <w:t> </w:t>
      </w:r>
      <w:r>
        <w:rPr>
          <w:spacing w:val="-2"/>
          <w:sz w:val="20"/>
        </w:rPr>
        <w:t>de</w:t>
      </w:r>
      <w:r>
        <w:rPr>
          <w:spacing w:val="-4"/>
          <w:sz w:val="20"/>
        </w:rPr>
        <w:t> </w:t>
      </w:r>
      <w:r>
        <w:rPr>
          <w:spacing w:val="-2"/>
          <w:sz w:val="20"/>
        </w:rPr>
        <w:t>las</w:t>
      </w:r>
      <w:r>
        <w:rPr>
          <w:spacing w:val="-7"/>
          <w:sz w:val="20"/>
        </w:rPr>
        <w:t> </w:t>
      </w:r>
      <w:r>
        <w:rPr>
          <w:spacing w:val="-2"/>
          <w:sz w:val="20"/>
        </w:rPr>
        <w:t>acciones,</w:t>
      </w:r>
      <w:r>
        <w:rPr>
          <w:spacing w:val="-7"/>
          <w:sz w:val="20"/>
        </w:rPr>
        <w:t> </w:t>
      </w:r>
      <w:r>
        <w:rPr>
          <w:spacing w:val="-2"/>
          <w:sz w:val="20"/>
        </w:rPr>
        <w:t>obras</w:t>
      </w:r>
      <w:r>
        <w:rPr>
          <w:spacing w:val="-7"/>
          <w:sz w:val="20"/>
        </w:rPr>
        <w:t> </w:t>
      </w:r>
      <w:r>
        <w:rPr>
          <w:spacing w:val="-2"/>
          <w:sz w:val="20"/>
        </w:rPr>
        <w:t>y</w:t>
      </w:r>
      <w:r>
        <w:rPr>
          <w:spacing w:val="-3"/>
          <w:sz w:val="20"/>
        </w:rPr>
        <w:t> </w:t>
      </w:r>
      <w:r>
        <w:rPr>
          <w:spacing w:val="-2"/>
          <w:sz w:val="20"/>
        </w:rPr>
        <w:t>proyectos</w:t>
      </w:r>
      <w:r>
        <w:rPr>
          <w:spacing w:val="-7"/>
          <w:sz w:val="20"/>
        </w:rPr>
        <w:t> </w:t>
      </w:r>
      <w:r>
        <w:rPr>
          <w:spacing w:val="-2"/>
          <w:sz w:val="20"/>
        </w:rPr>
        <w:t>que</w:t>
      </w:r>
      <w:r>
        <w:rPr>
          <w:spacing w:val="-5"/>
          <w:sz w:val="20"/>
        </w:rPr>
        <w:t> </w:t>
      </w:r>
      <w:r>
        <w:rPr>
          <w:spacing w:val="-2"/>
          <w:sz w:val="20"/>
        </w:rPr>
        <w:t>integran</w:t>
      </w:r>
      <w:r>
        <w:rPr>
          <w:spacing w:val="-5"/>
          <w:sz w:val="20"/>
        </w:rPr>
        <w:t> </w:t>
      </w:r>
      <w:r>
        <w:rPr>
          <w:spacing w:val="-2"/>
          <w:sz w:val="20"/>
        </w:rPr>
        <w:t>la</w:t>
      </w:r>
      <w:r>
        <w:rPr>
          <w:spacing w:val="-4"/>
          <w:sz w:val="20"/>
        </w:rPr>
        <w:t> </w:t>
      </w:r>
      <w:r>
        <w:rPr>
          <w:spacing w:val="-2"/>
          <w:sz w:val="20"/>
        </w:rPr>
        <w:t>estrategia</w:t>
      </w:r>
      <w:r>
        <w:rPr>
          <w:spacing w:val="-4"/>
          <w:sz w:val="20"/>
        </w:rPr>
        <w:t> </w:t>
      </w:r>
      <w:r>
        <w:rPr>
          <w:spacing w:val="-2"/>
          <w:sz w:val="20"/>
        </w:rPr>
        <w:t>del</w:t>
      </w:r>
      <w:r>
        <w:rPr>
          <w:spacing w:val="-5"/>
          <w:sz w:val="20"/>
        </w:rPr>
        <w:t> </w:t>
      </w:r>
      <w:r>
        <w:rPr>
          <w:spacing w:val="-2"/>
          <w:sz w:val="20"/>
        </w:rPr>
        <w:t>componente</w:t>
      </w:r>
      <w:r>
        <w:rPr>
          <w:spacing w:val="-5"/>
          <w:sz w:val="20"/>
        </w:rPr>
        <w:t> </w:t>
      </w:r>
      <w:r>
        <w:rPr>
          <w:spacing w:val="-2"/>
          <w:sz w:val="20"/>
        </w:rPr>
        <w:t>urbano, </w:t>
      </w:r>
      <w:r>
        <w:rPr>
          <w:sz w:val="20"/>
        </w:rPr>
        <w:t>expresada en documento, planos, matrices y gráficas;</w:t>
      </w:r>
    </w:p>
    <w:p>
      <w:pPr>
        <w:pStyle w:val="ListParagraph"/>
        <w:numPr>
          <w:ilvl w:val="0"/>
          <w:numId w:val="49"/>
        </w:numPr>
        <w:tabs>
          <w:tab w:pos="688" w:val="left" w:leader="none"/>
        </w:tabs>
        <w:spacing w:line="240" w:lineRule="auto" w:before="229" w:after="0"/>
        <w:ind w:left="262" w:right="283" w:firstLine="0"/>
        <w:jc w:val="both"/>
        <w:rPr>
          <w:sz w:val="20"/>
        </w:rPr>
      </w:pPr>
      <w:r>
        <w:rPr>
          <w:sz w:val="20"/>
        </w:rPr>
        <w:t>La</w:t>
      </w:r>
      <w:r>
        <w:rPr>
          <w:spacing w:val="-14"/>
          <w:sz w:val="20"/>
        </w:rPr>
        <w:t> </w:t>
      </w:r>
      <w:r>
        <w:rPr>
          <w:sz w:val="20"/>
        </w:rPr>
        <w:t>indicación</w:t>
      </w:r>
      <w:r>
        <w:rPr>
          <w:spacing w:val="-14"/>
          <w:sz w:val="20"/>
        </w:rPr>
        <w:t> </w:t>
      </w:r>
      <w:r>
        <w:rPr>
          <w:sz w:val="20"/>
        </w:rPr>
        <w:t>de</w:t>
      </w:r>
      <w:r>
        <w:rPr>
          <w:spacing w:val="-14"/>
          <w:sz w:val="20"/>
        </w:rPr>
        <w:t> </w:t>
      </w:r>
      <w:r>
        <w:rPr>
          <w:sz w:val="20"/>
        </w:rPr>
        <w:t>las</w:t>
      </w:r>
      <w:r>
        <w:rPr>
          <w:spacing w:val="-14"/>
          <w:sz w:val="20"/>
        </w:rPr>
        <w:t> </w:t>
      </w:r>
      <w:r>
        <w:rPr>
          <w:sz w:val="20"/>
        </w:rPr>
        <w:t>autoridades</w:t>
      </w:r>
      <w:r>
        <w:rPr>
          <w:spacing w:val="-14"/>
          <w:sz w:val="20"/>
        </w:rPr>
        <w:t> </w:t>
      </w:r>
      <w:r>
        <w:rPr>
          <w:sz w:val="20"/>
        </w:rPr>
        <w:t>responsables</w:t>
      </w:r>
      <w:r>
        <w:rPr>
          <w:spacing w:val="-14"/>
          <w:sz w:val="20"/>
        </w:rPr>
        <w:t> </w:t>
      </w:r>
      <w:r>
        <w:rPr>
          <w:sz w:val="20"/>
        </w:rPr>
        <w:t>de</w:t>
      </w:r>
      <w:r>
        <w:rPr>
          <w:spacing w:val="-14"/>
          <w:sz w:val="20"/>
        </w:rPr>
        <w:t> </w:t>
      </w:r>
      <w:r>
        <w:rPr>
          <w:sz w:val="20"/>
        </w:rPr>
        <w:t>la</w:t>
      </w:r>
      <w:r>
        <w:rPr>
          <w:spacing w:val="-14"/>
          <w:sz w:val="20"/>
        </w:rPr>
        <w:t> </w:t>
      </w:r>
      <w:r>
        <w:rPr>
          <w:sz w:val="20"/>
        </w:rPr>
        <w:t>elaboración,</w:t>
      </w:r>
      <w:r>
        <w:rPr>
          <w:spacing w:val="-14"/>
          <w:sz w:val="20"/>
        </w:rPr>
        <w:t> </w:t>
      </w:r>
      <w:r>
        <w:rPr>
          <w:sz w:val="20"/>
        </w:rPr>
        <w:t>ejecución,</w:t>
      </w:r>
      <w:r>
        <w:rPr>
          <w:spacing w:val="-13"/>
          <w:sz w:val="20"/>
        </w:rPr>
        <w:t> </w:t>
      </w:r>
      <w:r>
        <w:rPr>
          <w:sz w:val="20"/>
        </w:rPr>
        <w:t>control</w:t>
      </w:r>
      <w:r>
        <w:rPr>
          <w:spacing w:val="-14"/>
          <w:sz w:val="20"/>
        </w:rPr>
        <w:t> </w:t>
      </w:r>
      <w:r>
        <w:rPr>
          <w:sz w:val="20"/>
        </w:rPr>
        <w:t>y</w:t>
      </w:r>
      <w:r>
        <w:rPr>
          <w:spacing w:val="-14"/>
          <w:sz w:val="20"/>
        </w:rPr>
        <w:t> </w:t>
      </w:r>
      <w:r>
        <w:rPr>
          <w:sz w:val="20"/>
        </w:rPr>
        <w:t>evaluación de la estrategia del componente urbano;</w:t>
      </w:r>
    </w:p>
    <w:p>
      <w:pPr>
        <w:pStyle w:val="BodyText"/>
        <w:spacing w:before="1"/>
      </w:pPr>
    </w:p>
    <w:p>
      <w:pPr>
        <w:pStyle w:val="ListParagraph"/>
        <w:numPr>
          <w:ilvl w:val="0"/>
          <w:numId w:val="49"/>
        </w:numPr>
        <w:tabs>
          <w:tab w:pos="688" w:val="left" w:leader="none"/>
        </w:tabs>
        <w:spacing w:line="240" w:lineRule="auto" w:before="0" w:after="0"/>
        <w:ind w:left="688" w:right="0" w:hanging="426"/>
        <w:jc w:val="both"/>
        <w:rPr>
          <w:sz w:val="20"/>
        </w:rPr>
      </w:pPr>
      <w:r>
        <w:rPr>
          <w:sz w:val="20"/>
        </w:rPr>
        <w:t>Las</w:t>
      </w:r>
      <w:r>
        <w:rPr>
          <w:spacing w:val="-6"/>
          <w:sz w:val="20"/>
        </w:rPr>
        <w:t> </w:t>
      </w:r>
      <w:r>
        <w:rPr>
          <w:sz w:val="20"/>
        </w:rPr>
        <w:t>etapas</w:t>
      </w:r>
      <w:r>
        <w:rPr>
          <w:spacing w:val="-6"/>
          <w:sz w:val="20"/>
        </w:rPr>
        <w:t> </w:t>
      </w:r>
      <w:r>
        <w:rPr>
          <w:sz w:val="20"/>
        </w:rPr>
        <w:t>de</w:t>
      </w:r>
      <w:r>
        <w:rPr>
          <w:spacing w:val="-7"/>
          <w:sz w:val="20"/>
        </w:rPr>
        <w:t> </w:t>
      </w:r>
      <w:r>
        <w:rPr>
          <w:sz w:val="20"/>
        </w:rPr>
        <w:t>realización</w:t>
      </w:r>
      <w:r>
        <w:rPr>
          <w:spacing w:val="-7"/>
          <w:sz w:val="20"/>
        </w:rPr>
        <w:t> </w:t>
      </w:r>
      <w:r>
        <w:rPr>
          <w:sz w:val="20"/>
        </w:rPr>
        <w:t>y</w:t>
      </w:r>
      <w:r>
        <w:rPr>
          <w:spacing w:val="-3"/>
          <w:sz w:val="20"/>
        </w:rPr>
        <w:t> </w:t>
      </w:r>
      <w:r>
        <w:rPr>
          <w:sz w:val="20"/>
        </w:rPr>
        <w:t>la</w:t>
      </w:r>
      <w:r>
        <w:rPr>
          <w:spacing w:val="-5"/>
          <w:sz w:val="20"/>
        </w:rPr>
        <w:t> </w:t>
      </w:r>
      <w:r>
        <w:rPr>
          <w:sz w:val="20"/>
        </w:rPr>
        <w:t>estimación</w:t>
      </w:r>
      <w:r>
        <w:rPr>
          <w:spacing w:val="-7"/>
          <w:sz w:val="20"/>
        </w:rPr>
        <w:t> </w:t>
      </w:r>
      <w:r>
        <w:rPr>
          <w:sz w:val="20"/>
        </w:rPr>
        <w:t>de</w:t>
      </w:r>
      <w:r>
        <w:rPr>
          <w:spacing w:val="-5"/>
          <w:sz w:val="20"/>
        </w:rPr>
        <w:t> </w:t>
      </w:r>
      <w:r>
        <w:rPr>
          <w:sz w:val="20"/>
        </w:rPr>
        <w:t>los</w:t>
      </w:r>
      <w:r>
        <w:rPr>
          <w:spacing w:val="-5"/>
          <w:sz w:val="20"/>
        </w:rPr>
        <w:t> </w:t>
      </w:r>
      <w:r>
        <w:rPr>
          <w:sz w:val="20"/>
        </w:rPr>
        <w:t>recursos</w:t>
      </w:r>
      <w:r>
        <w:rPr>
          <w:spacing w:val="-6"/>
          <w:sz w:val="20"/>
        </w:rPr>
        <w:t> </w:t>
      </w:r>
      <w:r>
        <w:rPr>
          <w:spacing w:val="-2"/>
          <w:sz w:val="20"/>
        </w:rPr>
        <w:t>necesarios;</w:t>
      </w:r>
    </w:p>
    <w:p>
      <w:pPr>
        <w:pStyle w:val="BodyText"/>
        <w:spacing w:before="1"/>
      </w:pPr>
    </w:p>
    <w:p>
      <w:pPr>
        <w:pStyle w:val="ListParagraph"/>
        <w:numPr>
          <w:ilvl w:val="0"/>
          <w:numId w:val="49"/>
        </w:numPr>
        <w:tabs>
          <w:tab w:pos="688" w:val="left" w:leader="none"/>
        </w:tabs>
        <w:spacing w:line="240" w:lineRule="auto" w:before="0" w:after="0"/>
        <w:ind w:left="688" w:right="0" w:hanging="426"/>
        <w:jc w:val="both"/>
        <w:rPr>
          <w:sz w:val="20"/>
        </w:rPr>
      </w:pPr>
      <w:r>
        <w:rPr>
          <w:sz w:val="20"/>
        </w:rPr>
        <w:t>La</w:t>
      </w:r>
      <w:r>
        <w:rPr>
          <w:spacing w:val="-8"/>
          <w:sz w:val="20"/>
        </w:rPr>
        <w:t> </w:t>
      </w:r>
      <w:r>
        <w:rPr>
          <w:sz w:val="20"/>
        </w:rPr>
        <w:t>participación</w:t>
      </w:r>
      <w:r>
        <w:rPr>
          <w:spacing w:val="-6"/>
          <w:sz w:val="20"/>
        </w:rPr>
        <w:t> </w:t>
      </w:r>
      <w:r>
        <w:rPr>
          <w:sz w:val="20"/>
        </w:rPr>
        <w:t>que</w:t>
      </w:r>
      <w:r>
        <w:rPr>
          <w:spacing w:val="-8"/>
          <w:sz w:val="20"/>
        </w:rPr>
        <w:t> </w:t>
      </w:r>
      <w:r>
        <w:rPr>
          <w:sz w:val="20"/>
        </w:rPr>
        <w:t>corresponda</w:t>
      </w:r>
      <w:r>
        <w:rPr>
          <w:spacing w:val="-6"/>
          <w:sz w:val="20"/>
        </w:rPr>
        <w:t> </w:t>
      </w:r>
      <w:r>
        <w:rPr>
          <w:sz w:val="20"/>
        </w:rPr>
        <w:t>a</w:t>
      </w:r>
      <w:r>
        <w:rPr>
          <w:spacing w:val="-6"/>
          <w:sz w:val="20"/>
        </w:rPr>
        <w:t> </w:t>
      </w:r>
      <w:r>
        <w:rPr>
          <w:sz w:val="20"/>
        </w:rPr>
        <w:t>la</w:t>
      </w:r>
      <w:r>
        <w:rPr>
          <w:spacing w:val="-7"/>
          <w:sz w:val="20"/>
        </w:rPr>
        <w:t> </w:t>
      </w:r>
      <w:r>
        <w:rPr>
          <w:sz w:val="20"/>
        </w:rPr>
        <w:t>comunidad</w:t>
      </w:r>
      <w:r>
        <w:rPr>
          <w:spacing w:val="-5"/>
          <w:sz w:val="20"/>
        </w:rPr>
        <w:t> </w:t>
      </w:r>
      <w:r>
        <w:rPr>
          <w:sz w:val="20"/>
        </w:rPr>
        <w:t>en</w:t>
      </w:r>
      <w:r>
        <w:rPr>
          <w:spacing w:val="-8"/>
          <w:sz w:val="20"/>
        </w:rPr>
        <w:t> </w:t>
      </w:r>
      <w:r>
        <w:rPr>
          <w:sz w:val="20"/>
        </w:rPr>
        <w:t>su</w:t>
      </w:r>
      <w:r>
        <w:rPr>
          <w:spacing w:val="-6"/>
          <w:sz w:val="20"/>
        </w:rPr>
        <w:t> </w:t>
      </w:r>
      <w:r>
        <w:rPr>
          <w:spacing w:val="-2"/>
          <w:sz w:val="20"/>
        </w:rPr>
        <w:t>ejecución;</w:t>
      </w:r>
    </w:p>
    <w:p>
      <w:pPr>
        <w:pStyle w:val="ListParagraph"/>
        <w:numPr>
          <w:ilvl w:val="0"/>
          <w:numId w:val="49"/>
        </w:numPr>
        <w:tabs>
          <w:tab w:pos="688" w:val="left" w:leader="none"/>
        </w:tabs>
        <w:spacing w:line="240" w:lineRule="auto" w:before="228" w:after="0"/>
        <w:ind w:left="262" w:right="286" w:firstLine="0"/>
        <w:jc w:val="both"/>
        <w:rPr>
          <w:sz w:val="20"/>
        </w:rPr>
      </w:pPr>
      <w:r>
        <w:rPr>
          <w:sz w:val="20"/>
        </w:rPr>
        <w:t>Las bases para los acuerdos de coordinación entre las autoridades federales, estatales y municipales para la realización de las acciones y obras, y</w:t>
      </w:r>
    </w:p>
    <w:p>
      <w:pPr>
        <w:pStyle w:val="BodyText"/>
        <w:spacing w:before="1"/>
      </w:pPr>
    </w:p>
    <w:p>
      <w:pPr>
        <w:pStyle w:val="ListParagraph"/>
        <w:numPr>
          <w:ilvl w:val="0"/>
          <w:numId w:val="49"/>
        </w:numPr>
        <w:tabs>
          <w:tab w:pos="688" w:val="left" w:leader="none"/>
        </w:tabs>
        <w:spacing w:line="240" w:lineRule="auto" w:before="0" w:after="0"/>
        <w:ind w:left="688" w:right="0" w:hanging="426"/>
        <w:jc w:val="both"/>
        <w:rPr>
          <w:sz w:val="20"/>
        </w:rPr>
      </w:pPr>
      <w:r>
        <w:rPr>
          <w:sz w:val="20"/>
        </w:rPr>
        <w:t>Los</w:t>
      </w:r>
      <w:r>
        <w:rPr>
          <w:spacing w:val="-8"/>
          <w:sz w:val="20"/>
        </w:rPr>
        <w:t> </w:t>
      </w:r>
      <w:r>
        <w:rPr>
          <w:sz w:val="20"/>
        </w:rPr>
        <w:t>demás</w:t>
      </w:r>
      <w:r>
        <w:rPr>
          <w:spacing w:val="-7"/>
          <w:sz w:val="20"/>
        </w:rPr>
        <w:t> </w:t>
      </w:r>
      <w:r>
        <w:rPr>
          <w:sz w:val="20"/>
        </w:rPr>
        <w:t>requisitos</w:t>
      </w:r>
      <w:r>
        <w:rPr>
          <w:spacing w:val="-7"/>
          <w:sz w:val="20"/>
        </w:rPr>
        <w:t> </w:t>
      </w:r>
      <w:r>
        <w:rPr>
          <w:sz w:val="20"/>
        </w:rPr>
        <w:t>que</w:t>
      </w:r>
      <w:r>
        <w:rPr>
          <w:spacing w:val="-8"/>
          <w:sz w:val="20"/>
        </w:rPr>
        <w:t> </w:t>
      </w:r>
      <w:r>
        <w:rPr>
          <w:sz w:val="20"/>
        </w:rPr>
        <w:t>establezca</w:t>
      </w:r>
      <w:r>
        <w:rPr>
          <w:spacing w:val="-7"/>
          <w:sz w:val="20"/>
        </w:rPr>
        <w:t> </w:t>
      </w:r>
      <w:r>
        <w:rPr>
          <w:sz w:val="20"/>
        </w:rPr>
        <w:t>esta</w:t>
      </w:r>
      <w:r>
        <w:rPr>
          <w:spacing w:val="-9"/>
          <w:sz w:val="20"/>
        </w:rPr>
        <w:t> </w:t>
      </w:r>
      <w:r>
        <w:rPr>
          <w:sz w:val="20"/>
        </w:rPr>
        <w:t>Ley</w:t>
      </w:r>
      <w:r>
        <w:rPr>
          <w:spacing w:val="-7"/>
          <w:sz w:val="20"/>
        </w:rPr>
        <w:t> </w:t>
      </w:r>
      <w:r>
        <w:rPr>
          <w:sz w:val="20"/>
        </w:rPr>
        <w:t>y</w:t>
      </w:r>
      <w:r>
        <w:rPr>
          <w:spacing w:val="-7"/>
          <w:sz w:val="20"/>
        </w:rPr>
        <w:t> </w:t>
      </w:r>
      <w:r>
        <w:rPr>
          <w:sz w:val="20"/>
        </w:rPr>
        <w:t>demás</w:t>
      </w:r>
      <w:r>
        <w:rPr>
          <w:spacing w:val="-7"/>
          <w:sz w:val="20"/>
        </w:rPr>
        <w:t> </w:t>
      </w:r>
      <w:r>
        <w:rPr>
          <w:sz w:val="20"/>
        </w:rPr>
        <w:t>disposiciones</w:t>
      </w:r>
      <w:r>
        <w:rPr>
          <w:spacing w:val="-7"/>
          <w:sz w:val="20"/>
        </w:rPr>
        <w:t> </w:t>
      </w:r>
      <w:r>
        <w:rPr>
          <w:sz w:val="20"/>
        </w:rPr>
        <w:t>jurídicas</w:t>
      </w:r>
      <w:r>
        <w:rPr>
          <w:spacing w:val="-8"/>
          <w:sz w:val="20"/>
        </w:rPr>
        <w:t> </w:t>
      </w:r>
      <w:r>
        <w:rPr>
          <w:spacing w:val="-2"/>
          <w:sz w:val="20"/>
        </w:rPr>
        <w:t>aplicables.</w:t>
      </w:r>
    </w:p>
    <w:p>
      <w:pPr>
        <w:pStyle w:val="BodyText"/>
        <w:spacing w:before="229"/>
        <w:ind w:left="262" w:right="281"/>
        <w:jc w:val="both"/>
      </w:pPr>
      <w:r>
        <w:rPr/>
        <w:t>Las</w:t>
      </w:r>
      <w:r>
        <w:rPr>
          <w:spacing w:val="-9"/>
        </w:rPr>
        <w:t> </w:t>
      </w:r>
      <w:r>
        <w:rPr/>
        <w:t>estrategias</w:t>
      </w:r>
      <w:r>
        <w:rPr>
          <w:spacing w:val="-9"/>
        </w:rPr>
        <w:t> </w:t>
      </w:r>
      <w:r>
        <w:rPr/>
        <w:t>de</w:t>
      </w:r>
      <w:r>
        <w:rPr>
          <w:spacing w:val="-8"/>
        </w:rPr>
        <w:t> </w:t>
      </w:r>
      <w:r>
        <w:rPr/>
        <w:t>componentes</w:t>
      </w:r>
      <w:r>
        <w:rPr>
          <w:spacing w:val="-7"/>
        </w:rPr>
        <w:t> </w:t>
      </w:r>
      <w:r>
        <w:rPr/>
        <w:t>urbanos</w:t>
      </w:r>
      <w:r>
        <w:rPr>
          <w:spacing w:val="-9"/>
        </w:rPr>
        <w:t> </w:t>
      </w:r>
      <w:r>
        <w:rPr/>
        <w:t>en</w:t>
      </w:r>
      <w:r>
        <w:rPr>
          <w:spacing w:val="-8"/>
        </w:rPr>
        <w:t> </w:t>
      </w:r>
      <w:r>
        <w:rPr/>
        <w:t>materia</w:t>
      </w:r>
      <w:r>
        <w:rPr>
          <w:spacing w:val="-10"/>
        </w:rPr>
        <w:t> </w:t>
      </w:r>
      <w:r>
        <w:rPr/>
        <w:t>de</w:t>
      </w:r>
      <w:r>
        <w:rPr>
          <w:spacing w:val="-10"/>
        </w:rPr>
        <w:t> </w:t>
      </w:r>
      <w:r>
        <w:rPr/>
        <w:t>servicios,</w:t>
      </w:r>
      <w:r>
        <w:rPr>
          <w:spacing w:val="-7"/>
        </w:rPr>
        <w:t> </w:t>
      </w:r>
      <w:r>
        <w:rPr/>
        <w:t>equipamiento</w:t>
      </w:r>
      <w:r>
        <w:rPr>
          <w:spacing w:val="-10"/>
        </w:rPr>
        <w:t> </w:t>
      </w:r>
      <w:r>
        <w:rPr/>
        <w:t>e</w:t>
      </w:r>
      <w:r>
        <w:rPr>
          <w:spacing w:val="-8"/>
        </w:rPr>
        <w:t> </w:t>
      </w:r>
      <w:r>
        <w:rPr/>
        <w:t>infraestructura</w:t>
      </w:r>
      <w:r>
        <w:rPr>
          <w:spacing w:val="-7"/>
        </w:rPr>
        <w:t> </w:t>
      </w:r>
      <w:r>
        <w:rPr/>
        <w:t>en centros</w:t>
      </w:r>
      <w:r>
        <w:rPr>
          <w:spacing w:val="-7"/>
        </w:rPr>
        <w:t> </w:t>
      </w:r>
      <w:r>
        <w:rPr/>
        <w:t>de</w:t>
      </w:r>
      <w:r>
        <w:rPr>
          <w:spacing w:val="-8"/>
        </w:rPr>
        <w:t> </w:t>
      </w:r>
      <w:r>
        <w:rPr/>
        <w:t>población,</w:t>
      </w:r>
      <w:r>
        <w:rPr>
          <w:spacing w:val="-5"/>
        </w:rPr>
        <w:t> </w:t>
      </w:r>
      <w:r>
        <w:rPr/>
        <w:t>en</w:t>
      </w:r>
      <w:r>
        <w:rPr>
          <w:spacing w:val="-6"/>
        </w:rPr>
        <w:t> </w:t>
      </w:r>
      <w:r>
        <w:rPr/>
        <w:t>ningún</w:t>
      </w:r>
      <w:r>
        <w:rPr>
          <w:spacing w:val="-6"/>
        </w:rPr>
        <w:t> </w:t>
      </w:r>
      <w:r>
        <w:rPr/>
        <w:t>caso</w:t>
      </w:r>
      <w:r>
        <w:rPr>
          <w:spacing w:val="-5"/>
        </w:rPr>
        <w:t> </w:t>
      </w:r>
      <w:r>
        <w:rPr/>
        <w:t>podrán</w:t>
      </w:r>
      <w:r>
        <w:rPr>
          <w:spacing w:val="-5"/>
        </w:rPr>
        <w:t> </w:t>
      </w:r>
      <w:r>
        <w:rPr/>
        <w:t>plantear</w:t>
      </w:r>
      <w:r>
        <w:rPr>
          <w:spacing w:val="-4"/>
        </w:rPr>
        <w:t> </w:t>
      </w:r>
      <w:r>
        <w:rPr/>
        <w:t>objetivos</w:t>
      </w:r>
      <w:r>
        <w:rPr>
          <w:spacing w:val="-4"/>
        </w:rPr>
        <w:t> </w:t>
      </w:r>
      <w:r>
        <w:rPr/>
        <w:t>o</w:t>
      </w:r>
      <w:r>
        <w:rPr>
          <w:spacing w:val="-6"/>
        </w:rPr>
        <w:t> </w:t>
      </w:r>
      <w:r>
        <w:rPr/>
        <w:t>establecer</w:t>
      </w:r>
      <w:r>
        <w:rPr>
          <w:spacing w:val="-5"/>
        </w:rPr>
        <w:t> </w:t>
      </w:r>
      <w:r>
        <w:rPr/>
        <w:t>acciones</w:t>
      </w:r>
      <w:r>
        <w:rPr>
          <w:spacing w:val="-6"/>
        </w:rPr>
        <w:t> </w:t>
      </w:r>
      <w:r>
        <w:rPr/>
        <w:t>e</w:t>
      </w:r>
      <w:r>
        <w:rPr>
          <w:spacing w:val="-6"/>
        </w:rPr>
        <w:t> </w:t>
      </w:r>
      <w:r>
        <w:rPr/>
        <w:t>inversiones fuera de las áreas urbanas o urbanizables de dichos centros, señalados en la zonificación primaria y secundaria que de los centros de población establezcan los programas correspondientes.</w:t>
      </w:r>
    </w:p>
    <w:p>
      <w:pPr>
        <w:pStyle w:val="BodyText"/>
      </w:pPr>
    </w:p>
    <w:p>
      <w:pPr>
        <w:pStyle w:val="BodyText"/>
        <w:ind w:left="262" w:right="286"/>
        <w:jc w:val="both"/>
      </w:pPr>
      <w:r>
        <w:rPr/>
        <w:t>Las estrategias de componentes urbanos serán elaboradas, aprobadas, ejecutadas, controladas y evaluadas</w:t>
      </w:r>
      <w:r>
        <w:rPr>
          <w:spacing w:val="-2"/>
        </w:rPr>
        <w:t> </w:t>
      </w:r>
      <w:r>
        <w:rPr/>
        <w:t>por</w:t>
      </w:r>
      <w:r>
        <w:rPr>
          <w:spacing w:val="-2"/>
        </w:rPr>
        <w:t> </w:t>
      </w:r>
      <w:r>
        <w:rPr/>
        <w:t>el</w:t>
      </w:r>
      <w:r>
        <w:rPr>
          <w:spacing w:val="-4"/>
        </w:rPr>
        <w:t> </w:t>
      </w:r>
      <w:r>
        <w:rPr/>
        <w:t>Gobierno</w:t>
      </w:r>
      <w:r>
        <w:rPr>
          <w:spacing w:val="-1"/>
        </w:rPr>
        <w:t> </w:t>
      </w:r>
      <w:r>
        <w:rPr/>
        <w:t>del</w:t>
      </w:r>
      <w:r>
        <w:rPr>
          <w:spacing w:val="-1"/>
        </w:rPr>
        <w:t> </w:t>
      </w:r>
      <w:r>
        <w:rPr/>
        <w:t>Estado</w:t>
      </w:r>
      <w:r>
        <w:rPr>
          <w:spacing w:val="-3"/>
        </w:rPr>
        <w:t> </w:t>
      </w:r>
      <w:r>
        <w:rPr/>
        <w:t>o</w:t>
      </w:r>
      <w:r>
        <w:rPr>
          <w:spacing w:val="-3"/>
        </w:rPr>
        <w:t> </w:t>
      </w:r>
      <w:r>
        <w:rPr/>
        <w:t>el</w:t>
      </w:r>
      <w:r>
        <w:rPr>
          <w:spacing w:val="-4"/>
        </w:rPr>
        <w:t> </w:t>
      </w:r>
      <w:r>
        <w:rPr/>
        <w:t>Ayuntamiento</w:t>
      </w:r>
      <w:r>
        <w:rPr>
          <w:spacing w:val="-3"/>
        </w:rPr>
        <w:t> </w:t>
      </w:r>
      <w:r>
        <w:rPr/>
        <w:t>respectivo,</w:t>
      </w:r>
      <w:r>
        <w:rPr>
          <w:spacing w:val="-1"/>
        </w:rPr>
        <w:t> </w:t>
      </w:r>
      <w:r>
        <w:rPr/>
        <w:t>dependiendo</w:t>
      </w:r>
      <w:r>
        <w:rPr>
          <w:spacing w:val="-1"/>
        </w:rPr>
        <w:t> </w:t>
      </w:r>
      <w:r>
        <w:rPr/>
        <w:t>del</w:t>
      </w:r>
      <w:r>
        <w:rPr>
          <w:spacing w:val="-4"/>
        </w:rPr>
        <w:t> </w:t>
      </w:r>
      <w:r>
        <w:rPr/>
        <w:t>programa</w:t>
      </w:r>
      <w:r>
        <w:rPr>
          <w:spacing w:val="-3"/>
        </w:rPr>
        <w:t> </w:t>
      </w:r>
      <w:r>
        <w:rPr/>
        <w:t>del cual deriven, en coordinación con los correspondientes consejos consultivos estatal o municipal.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Heading2"/>
        <w:spacing w:line="480" w:lineRule="auto"/>
        <w:ind w:left="3125" w:right="3131" w:firstLine="967"/>
        <w:jc w:val="left"/>
      </w:pPr>
      <w:r>
        <w:rPr/>
        <w:t>Capítulo VIII Esquemas</w:t>
      </w:r>
      <w:r>
        <w:rPr>
          <w:spacing w:val="-14"/>
        </w:rPr>
        <w:t> </w:t>
      </w:r>
      <w:r>
        <w:rPr/>
        <w:t>de</w:t>
      </w:r>
      <w:r>
        <w:rPr>
          <w:spacing w:val="-14"/>
        </w:rPr>
        <w:t> </w:t>
      </w:r>
      <w:r>
        <w:rPr/>
        <w:t>Desarrollo</w:t>
      </w:r>
      <w:r>
        <w:rPr>
          <w:spacing w:val="-13"/>
        </w:rPr>
        <w:t> </w:t>
      </w:r>
      <w:r>
        <w:rPr/>
        <w:t>Urbano</w:t>
      </w:r>
    </w:p>
    <w:p>
      <w:pPr>
        <w:pStyle w:val="BodyText"/>
        <w:spacing w:before="2"/>
        <w:ind w:left="262" w:right="276"/>
        <w:jc w:val="both"/>
      </w:pPr>
      <w:r>
        <w:rPr>
          <w:rFonts w:ascii="Arial" w:hAnsi="Arial"/>
          <w:b/>
        </w:rPr>
        <w:t>ARTICULO 103</w:t>
      </w:r>
      <w:r>
        <w:rPr/>
        <w:t>. Los Esquemas de Desarrollo Urbano para centros de población tienen como finalidad</w:t>
      </w:r>
      <w:r>
        <w:rPr>
          <w:spacing w:val="-5"/>
        </w:rPr>
        <w:t> </w:t>
      </w:r>
      <w:r>
        <w:rPr/>
        <w:t>ordenar</w:t>
      </w:r>
      <w:r>
        <w:rPr>
          <w:spacing w:val="-6"/>
        </w:rPr>
        <w:t> </w:t>
      </w:r>
      <w:r>
        <w:rPr/>
        <w:t>y</w:t>
      </w:r>
      <w:r>
        <w:rPr>
          <w:spacing w:val="-5"/>
        </w:rPr>
        <w:t> </w:t>
      </w:r>
      <w:r>
        <w:rPr/>
        <w:t>orientar</w:t>
      </w:r>
      <w:r>
        <w:rPr>
          <w:spacing w:val="-4"/>
        </w:rPr>
        <w:t> </w:t>
      </w:r>
      <w:r>
        <w:rPr/>
        <w:t>el</w:t>
      </w:r>
      <w:r>
        <w:rPr>
          <w:spacing w:val="-7"/>
        </w:rPr>
        <w:t> </w:t>
      </w:r>
      <w:r>
        <w:rPr/>
        <w:t>crecimiento</w:t>
      </w:r>
      <w:r>
        <w:rPr>
          <w:spacing w:val="-5"/>
        </w:rPr>
        <w:t> </w:t>
      </w:r>
      <w:r>
        <w:rPr/>
        <w:t>urbano</w:t>
      </w:r>
      <w:r>
        <w:rPr>
          <w:spacing w:val="-7"/>
        </w:rPr>
        <w:t> </w:t>
      </w:r>
      <w:r>
        <w:rPr/>
        <w:t>de</w:t>
      </w:r>
      <w:r>
        <w:rPr>
          <w:spacing w:val="-7"/>
        </w:rPr>
        <w:t> </w:t>
      </w:r>
      <w:r>
        <w:rPr/>
        <w:t>los</w:t>
      </w:r>
      <w:r>
        <w:rPr>
          <w:spacing w:val="-5"/>
        </w:rPr>
        <w:t> </w:t>
      </w:r>
      <w:r>
        <w:rPr/>
        <w:t>asentamientos</w:t>
      </w:r>
      <w:r>
        <w:rPr>
          <w:spacing w:val="-5"/>
        </w:rPr>
        <w:t> </w:t>
      </w:r>
      <w:r>
        <w:rPr/>
        <w:t>humanos</w:t>
      </w:r>
      <w:r>
        <w:rPr>
          <w:spacing w:val="-3"/>
        </w:rPr>
        <w:t> </w:t>
      </w:r>
      <w:r>
        <w:rPr/>
        <w:t>con</w:t>
      </w:r>
      <w:r>
        <w:rPr>
          <w:spacing w:val="-7"/>
        </w:rPr>
        <w:t> </w:t>
      </w:r>
      <w:r>
        <w:rPr/>
        <w:t>una</w:t>
      </w:r>
      <w:r>
        <w:rPr>
          <w:spacing w:val="-7"/>
        </w:rPr>
        <w:t> </w:t>
      </w:r>
      <w:r>
        <w:rPr/>
        <w:t>población menor a diez mil habitantes y que esté señalado en el correspondiente Programa Municipal de Desarrollo Urbano.</w:t>
      </w:r>
    </w:p>
    <w:p>
      <w:pPr>
        <w:pStyle w:val="BodyText"/>
        <w:spacing w:before="229"/>
        <w:ind w:left="262" w:right="277"/>
        <w:jc w:val="both"/>
      </w:pPr>
      <w:r>
        <w:rPr>
          <w:rFonts w:ascii="Arial" w:hAnsi="Arial"/>
          <w:b/>
        </w:rPr>
        <w:t>ARTICULO 104. </w:t>
      </w:r>
      <w:r>
        <w:rPr/>
        <w:t>Los Esquemas de Desarrollo Urbano darán continuidad a las políticas y lineamientos establecidos para el centro de población en el respectivo programa municipal de desarrollo urbano. Así mismo alentarán la permanencia de la</w:t>
      </w:r>
      <w:r>
        <w:rPr>
          <w:spacing w:val="-2"/>
        </w:rPr>
        <w:t> </w:t>
      </w:r>
      <w:r>
        <w:rPr/>
        <w:t>población en su medio mejorando las condiciones de su hábitat, y relacionarán armónicamente el campo y la ciudad, previendo las necesidades del crecimiento urbano y protegiendo los recursos naturales.</w:t>
      </w:r>
    </w:p>
    <w:p>
      <w:pPr>
        <w:pStyle w:val="BodyText"/>
        <w:spacing w:before="1"/>
      </w:pPr>
    </w:p>
    <w:p>
      <w:pPr>
        <w:pStyle w:val="BodyText"/>
        <w:ind w:left="262" w:right="282"/>
        <w:jc w:val="both"/>
      </w:pPr>
      <w:r>
        <w:rPr>
          <w:rFonts w:ascii="Arial" w:hAnsi="Arial"/>
          <w:b/>
        </w:rPr>
        <w:t>ARTICULO 105. </w:t>
      </w:r>
      <w:r>
        <w:rPr/>
        <w:t>Los esquemas de desarrollo urbano contendrán, además de lo señalado en el artículo 68 de esta Ley, lo siguiente:</w:t>
      </w:r>
    </w:p>
    <w:p>
      <w:pPr>
        <w:pStyle w:val="ListParagraph"/>
        <w:numPr>
          <w:ilvl w:val="0"/>
          <w:numId w:val="50"/>
        </w:numPr>
        <w:tabs>
          <w:tab w:pos="543" w:val="left" w:leader="none"/>
        </w:tabs>
        <w:spacing w:line="240" w:lineRule="auto" w:before="229" w:after="0"/>
        <w:ind w:left="543" w:right="0" w:hanging="281"/>
        <w:jc w:val="left"/>
        <w:rPr>
          <w:sz w:val="20"/>
        </w:rPr>
      </w:pPr>
      <w:r>
        <w:rPr>
          <w:sz w:val="20"/>
        </w:rPr>
        <w:t>La</w:t>
      </w:r>
      <w:r>
        <w:rPr>
          <w:spacing w:val="-8"/>
          <w:sz w:val="20"/>
        </w:rPr>
        <w:t> </w:t>
      </w:r>
      <w:r>
        <w:rPr>
          <w:sz w:val="20"/>
        </w:rPr>
        <w:t>ubicación</w:t>
      </w:r>
      <w:r>
        <w:rPr>
          <w:spacing w:val="-8"/>
          <w:sz w:val="20"/>
        </w:rPr>
        <w:t> </w:t>
      </w:r>
      <w:r>
        <w:rPr>
          <w:sz w:val="20"/>
        </w:rPr>
        <w:t>en</w:t>
      </w:r>
      <w:r>
        <w:rPr>
          <w:spacing w:val="-6"/>
          <w:sz w:val="20"/>
        </w:rPr>
        <w:t> </w:t>
      </w:r>
      <w:r>
        <w:rPr>
          <w:sz w:val="20"/>
        </w:rPr>
        <w:t>el</w:t>
      </w:r>
      <w:r>
        <w:rPr>
          <w:spacing w:val="-8"/>
          <w:sz w:val="20"/>
        </w:rPr>
        <w:t> </w:t>
      </w:r>
      <w:r>
        <w:rPr>
          <w:sz w:val="20"/>
        </w:rPr>
        <w:t>contexto</w:t>
      </w:r>
      <w:r>
        <w:rPr>
          <w:spacing w:val="-5"/>
          <w:sz w:val="20"/>
        </w:rPr>
        <w:t> </w:t>
      </w:r>
      <w:r>
        <w:rPr>
          <w:sz w:val="20"/>
        </w:rPr>
        <w:t>municipal,</w:t>
      </w:r>
      <w:r>
        <w:rPr>
          <w:spacing w:val="-4"/>
          <w:sz w:val="20"/>
        </w:rPr>
        <w:t> </w:t>
      </w:r>
      <w:r>
        <w:rPr>
          <w:sz w:val="20"/>
        </w:rPr>
        <w:t>y</w:t>
      </w:r>
      <w:r>
        <w:rPr>
          <w:spacing w:val="-6"/>
          <w:sz w:val="20"/>
        </w:rPr>
        <w:t> </w:t>
      </w:r>
      <w:r>
        <w:rPr>
          <w:sz w:val="20"/>
        </w:rPr>
        <w:t>la</w:t>
      </w:r>
      <w:r>
        <w:rPr>
          <w:spacing w:val="-5"/>
          <w:sz w:val="20"/>
        </w:rPr>
        <w:t> </w:t>
      </w:r>
      <w:r>
        <w:rPr>
          <w:sz w:val="20"/>
        </w:rPr>
        <w:t>definición</w:t>
      </w:r>
      <w:r>
        <w:rPr>
          <w:spacing w:val="-5"/>
          <w:sz w:val="20"/>
        </w:rPr>
        <w:t> </w:t>
      </w:r>
      <w:r>
        <w:rPr>
          <w:sz w:val="20"/>
        </w:rPr>
        <w:t>del</w:t>
      </w:r>
      <w:r>
        <w:rPr>
          <w:spacing w:val="-7"/>
          <w:sz w:val="20"/>
        </w:rPr>
        <w:t> </w:t>
      </w:r>
      <w:r>
        <w:rPr>
          <w:sz w:val="20"/>
        </w:rPr>
        <w:t>área</w:t>
      </w:r>
      <w:r>
        <w:rPr>
          <w:spacing w:val="-7"/>
          <w:sz w:val="20"/>
        </w:rPr>
        <w:t> </w:t>
      </w:r>
      <w:r>
        <w:rPr>
          <w:sz w:val="20"/>
        </w:rPr>
        <w:t>de</w:t>
      </w:r>
      <w:r>
        <w:rPr>
          <w:spacing w:val="-7"/>
          <w:sz w:val="20"/>
        </w:rPr>
        <w:t> </w:t>
      </w:r>
      <w:r>
        <w:rPr>
          <w:sz w:val="20"/>
        </w:rPr>
        <w:t>aplicación</w:t>
      </w:r>
      <w:r>
        <w:rPr>
          <w:spacing w:val="-4"/>
          <w:sz w:val="20"/>
        </w:rPr>
        <w:t> </w:t>
      </w:r>
      <w:r>
        <w:rPr>
          <w:sz w:val="20"/>
        </w:rPr>
        <w:t>del</w:t>
      </w:r>
      <w:r>
        <w:rPr>
          <w:spacing w:val="-8"/>
          <w:sz w:val="20"/>
        </w:rPr>
        <w:t> </w:t>
      </w:r>
      <w:r>
        <w:rPr>
          <w:spacing w:val="-2"/>
          <w:sz w:val="20"/>
        </w:rPr>
        <w:t>esquema;</w:t>
      </w:r>
    </w:p>
    <w:p>
      <w:pPr>
        <w:pStyle w:val="ListParagraph"/>
        <w:numPr>
          <w:ilvl w:val="0"/>
          <w:numId w:val="50"/>
        </w:numPr>
        <w:tabs>
          <w:tab w:pos="543" w:val="left" w:leader="none"/>
        </w:tabs>
        <w:spacing w:line="240" w:lineRule="auto" w:before="0" w:after="0"/>
        <w:ind w:left="262" w:right="291" w:firstLine="0"/>
        <w:jc w:val="left"/>
        <w:rPr>
          <w:sz w:val="20"/>
        </w:rPr>
      </w:pPr>
      <w:r>
        <w:rPr>
          <w:sz w:val="20"/>
        </w:rPr>
        <w:t>El diagnóstico</w:t>
      </w:r>
      <w:r>
        <w:rPr>
          <w:spacing w:val="-1"/>
          <w:sz w:val="20"/>
        </w:rPr>
        <w:t> </w:t>
      </w:r>
      <w:r>
        <w:rPr>
          <w:sz w:val="20"/>
        </w:rPr>
        <w:t>de la</w:t>
      </w:r>
      <w:r>
        <w:rPr>
          <w:spacing w:val="-1"/>
          <w:sz w:val="20"/>
        </w:rPr>
        <w:t> </w:t>
      </w:r>
      <w:r>
        <w:rPr>
          <w:sz w:val="20"/>
        </w:rPr>
        <w:t>situación</w:t>
      </w:r>
      <w:r>
        <w:rPr>
          <w:spacing w:val="-1"/>
          <w:sz w:val="20"/>
        </w:rPr>
        <w:t> </w:t>
      </w:r>
      <w:r>
        <w:rPr>
          <w:sz w:val="20"/>
        </w:rPr>
        <w:t>actual</w:t>
      </w:r>
      <w:r>
        <w:rPr>
          <w:spacing w:val="-2"/>
          <w:sz w:val="20"/>
        </w:rPr>
        <w:t> </w:t>
      </w:r>
      <w:r>
        <w:rPr>
          <w:sz w:val="20"/>
        </w:rPr>
        <w:t>y tendencias de los aspectos naturales, socioeconómicos y urbanos, respecto de:</w:t>
      </w:r>
    </w:p>
    <w:p>
      <w:pPr>
        <w:pStyle w:val="ListParagraph"/>
        <w:numPr>
          <w:ilvl w:val="1"/>
          <w:numId w:val="50"/>
        </w:numPr>
        <w:tabs>
          <w:tab w:pos="544" w:val="left" w:leader="none"/>
        </w:tabs>
        <w:spacing w:line="240" w:lineRule="auto" w:before="229" w:after="0"/>
        <w:ind w:left="544" w:right="0" w:hanging="282"/>
        <w:jc w:val="left"/>
        <w:rPr>
          <w:sz w:val="20"/>
        </w:rPr>
      </w:pPr>
      <w:r>
        <w:rPr>
          <w:sz w:val="20"/>
        </w:rPr>
        <w:t>La</w:t>
      </w:r>
      <w:r>
        <w:rPr>
          <w:spacing w:val="-8"/>
          <w:sz w:val="20"/>
        </w:rPr>
        <w:t> </w:t>
      </w:r>
      <w:r>
        <w:rPr>
          <w:sz w:val="20"/>
        </w:rPr>
        <w:t>identificación</w:t>
      </w:r>
      <w:r>
        <w:rPr>
          <w:spacing w:val="-7"/>
          <w:sz w:val="20"/>
        </w:rPr>
        <w:t> </w:t>
      </w:r>
      <w:r>
        <w:rPr>
          <w:sz w:val="20"/>
        </w:rPr>
        <w:t>de</w:t>
      </w:r>
      <w:r>
        <w:rPr>
          <w:spacing w:val="-7"/>
          <w:sz w:val="20"/>
        </w:rPr>
        <w:t> </w:t>
      </w:r>
      <w:r>
        <w:rPr>
          <w:sz w:val="20"/>
        </w:rPr>
        <w:t>los</w:t>
      </w:r>
      <w:r>
        <w:rPr>
          <w:spacing w:val="-6"/>
          <w:sz w:val="20"/>
        </w:rPr>
        <w:t> </w:t>
      </w:r>
      <w:r>
        <w:rPr>
          <w:sz w:val="20"/>
        </w:rPr>
        <w:t>elementos</w:t>
      </w:r>
      <w:r>
        <w:rPr>
          <w:spacing w:val="-6"/>
          <w:sz w:val="20"/>
        </w:rPr>
        <w:t> </w:t>
      </w:r>
      <w:r>
        <w:rPr>
          <w:sz w:val="20"/>
        </w:rPr>
        <w:t>de</w:t>
      </w:r>
      <w:r>
        <w:rPr>
          <w:spacing w:val="-8"/>
          <w:sz w:val="20"/>
        </w:rPr>
        <w:t> </w:t>
      </w:r>
      <w:r>
        <w:rPr>
          <w:sz w:val="20"/>
        </w:rPr>
        <w:t>valor</w:t>
      </w:r>
      <w:r>
        <w:rPr>
          <w:spacing w:val="-7"/>
          <w:sz w:val="20"/>
        </w:rPr>
        <w:t> </w:t>
      </w:r>
      <w:r>
        <w:rPr>
          <w:spacing w:val="-2"/>
          <w:sz w:val="20"/>
        </w:rPr>
        <w:t>ambiental.</w:t>
      </w:r>
    </w:p>
    <w:p>
      <w:pPr>
        <w:pStyle w:val="BodyText"/>
        <w:spacing w:before="1"/>
      </w:pPr>
    </w:p>
    <w:p>
      <w:pPr>
        <w:pStyle w:val="ListParagraph"/>
        <w:numPr>
          <w:ilvl w:val="1"/>
          <w:numId w:val="50"/>
        </w:numPr>
        <w:tabs>
          <w:tab w:pos="544" w:val="left" w:leader="none"/>
        </w:tabs>
        <w:spacing w:line="240" w:lineRule="auto" w:before="0" w:after="0"/>
        <w:ind w:left="544" w:right="0" w:hanging="282"/>
        <w:jc w:val="left"/>
        <w:rPr>
          <w:sz w:val="20"/>
        </w:rPr>
      </w:pPr>
      <w:r>
        <w:rPr>
          <w:sz w:val="20"/>
        </w:rPr>
        <w:t>La</w:t>
      </w:r>
      <w:r>
        <w:rPr>
          <w:spacing w:val="-8"/>
          <w:sz w:val="20"/>
        </w:rPr>
        <w:t> </w:t>
      </w:r>
      <w:r>
        <w:rPr>
          <w:sz w:val="20"/>
        </w:rPr>
        <w:t>aptitud</w:t>
      </w:r>
      <w:r>
        <w:rPr>
          <w:spacing w:val="-5"/>
          <w:sz w:val="20"/>
        </w:rPr>
        <w:t> </w:t>
      </w:r>
      <w:r>
        <w:rPr>
          <w:sz w:val="20"/>
        </w:rPr>
        <w:t>del</w:t>
      </w:r>
      <w:r>
        <w:rPr>
          <w:spacing w:val="-5"/>
          <w:sz w:val="20"/>
        </w:rPr>
        <w:t> </w:t>
      </w:r>
      <w:r>
        <w:rPr>
          <w:spacing w:val="-2"/>
          <w:sz w:val="20"/>
        </w:rPr>
        <w:t>suelo.</w:t>
      </w:r>
    </w:p>
    <w:p>
      <w:pPr>
        <w:pStyle w:val="BodyText"/>
        <w:spacing w:before="1"/>
      </w:pPr>
    </w:p>
    <w:p>
      <w:pPr>
        <w:pStyle w:val="ListParagraph"/>
        <w:numPr>
          <w:ilvl w:val="1"/>
          <w:numId w:val="50"/>
        </w:numPr>
        <w:tabs>
          <w:tab w:pos="544" w:val="left" w:leader="none"/>
        </w:tabs>
        <w:spacing w:line="240" w:lineRule="auto" w:before="0" w:after="0"/>
        <w:ind w:left="544" w:right="0" w:hanging="282"/>
        <w:jc w:val="left"/>
        <w:rPr>
          <w:sz w:val="20"/>
        </w:rPr>
      </w:pPr>
      <w:r>
        <w:rPr>
          <w:sz w:val="20"/>
        </w:rPr>
        <w:t>Los</w:t>
      </w:r>
      <w:r>
        <w:rPr>
          <w:spacing w:val="-9"/>
          <w:sz w:val="20"/>
        </w:rPr>
        <w:t> </w:t>
      </w:r>
      <w:r>
        <w:rPr>
          <w:sz w:val="20"/>
        </w:rPr>
        <w:t>asentamientos</w:t>
      </w:r>
      <w:r>
        <w:rPr>
          <w:spacing w:val="-9"/>
          <w:sz w:val="20"/>
        </w:rPr>
        <w:t> </w:t>
      </w:r>
      <w:r>
        <w:rPr>
          <w:sz w:val="20"/>
        </w:rPr>
        <w:t>humanos</w:t>
      </w:r>
      <w:r>
        <w:rPr>
          <w:spacing w:val="-9"/>
          <w:sz w:val="20"/>
        </w:rPr>
        <w:t> </w:t>
      </w:r>
      <w:r>
        <w:rPr>
          <w:spacing w:val="-2"/>
          <w:sz w:val="20"/>
        </w:rPr>
        <w:t>irregulares.</w:t>
      </w:r>
    </w:p>
    <w:p>
      <w:pPr>
        <w:pStyle w:val="ListParagraph"/>
        <w:numPr>
          <w:ilvl w:val="1"/>
          <w:numId w:val="50"/>
        </w:numPr>
        <w:tabs>
          <w:tab w:pos="544" w:val="left" w:leader="none"/>
        </w:tabs>
        <w:spacing w:line="240" w:lineRule="auto" w:before="229" w:after="0"/>
        <w:ind w:left="544" w:right="0" w:hanging="282"/>
        <w:jc w:val="left"/>
        <w:rPr>
          <w:sz w:val="20"/>
        </w:rPr>
      </w:pPr>
      <w:r>
        <w:rPr>
          <w:sz w:val="20"/>
        </w:rPr>
        <w:t>La</w:t>
      </w:r>
      <w:r>
        <w:rPr>
          <w:spacing w:val="-11"/>
          <w:sz w:val="20"/>
        </w:rPr>
        <w:t> </w:t>
      </w:r>
      <w:r>
        <w:rPr>
          <w:sz w:val="20"/>
        </w:rPr>
        <w:t>problemática</w:t>
      </w:r>
      <w:r>
        <w:rPr>
          <w:spacing w:val="-9"/>
          <w:sz w:val="20"/>
        </w:rPr>
        <w:t> </w:t>
      </w:r>
      <w:r>
        <w:rPr>
          <w:spacing w:val="-2"/>
          <w:sz w:val="20"/>
        </w:rPr>
        <w:t>ambiental.</w:t>
      </w:r>
    </w:p>
    <w:p>
      <w:pPr>
        <w:pStyle w:val="BodyText"/>
      </w:pPr>
    </w:p>
    <w:p>
      <w:pPr>
        <w:pStyle w:val="ListParagraph"/>
        <w:numPr>
          <w:ilvl w:val="1"/>
          <w:numId w:val="50"/>
        </w:numPr>
        <w:tabs>
          <w:tab w:pos="544" w:val="left" w:leader="none"/>
        </w:tabs>
        <w:spacing w:line="240" w:lineRule="auto" w:before="0" w:after="0"/>
        <w:ind w:left="544" w:right="0" w:hanging="282"/>
        <w:jc w:val="left"/>
        <w:rPr>
          <w:sz w:val="20"/>
        </w:rPr>
      </w:pPr>
      <w:r>
        <w:rPr>
          <w:sz w:val="20"/>
        </w:rPr>
        <w:t>Los</w:t>
      </w:r>
      <w:r>
        <w:rPr>
          <w:spacing w:val="-5"/>
          <w:sz w:val="20"/>
        </w:rPr>
        <w:t> </w:t>
      </w:r>
      <w:r>
        <w:rPr>
          <w:sz w:val="20"/>
        </w:rPr>
        <w:t>riesgos</w:t>
      </w:r>
      <w:r>
        <w:rPr>
          <w:spacing w:val="-4"/>
          <w:sz w:val="20"/>
        </w:rPr>
        <w:t> </w:t>
      </w:r>
      <w:r>
        <w:rPr>
          <w:sz w:val="20"/>
        </w:rPr>
        <w:t>y</w:t>
      </w:r>
      <w:r>
        <w:rPr>
          <w:spacing w:val="-4"/>
          <w:sz w:val="20"/>
        </w:rPr>
        <w:t> </w:t>
      </w:r>
      <w:r>
        <w:rPr>
          <w:sz w:val="20"/>
        </w:rPr>
        <w:t>la</w:t>
      </w:r>
      <w:r>
        <w:rPr>
          <w:spacing w:val="-6"/>
          <w:sz w:val="20"/>
        </w:rPr>
        <w:t> </w:t>
      </w:r>
      <w:r>
        <w:rPr>
          <w:spacing w:val="-2"/>
          <w:sz w:val="20"/>
        </w:rPr>
        <w:t>vulnerabilidad.</w:t>
      </w:r>
    </w:p>
    <w:p>
      <w:pPr>
        <w:pStyle w:val="BodyText"/>
        <w:spacing w:before="1"/>
      </w:pPr>
    </w:p>
    <w:p>
      <w:pPr>
        <w:pStyle w:val="ListParagraph"/>
        <w:numPr>
          <w:ilvl w:val="1"/>
          <w:numId w:val="50"/>
        </w:numPr>
        <w:tabs>
          <w:tab w:pos="543" w:val="left" w:leader="none"/>
        </w:tabs>
        <w:spacing w:line="240" w:lineRule="auto" w:before="0" w:after="0"/>
        <w:ind w:left="543" w:right="0" w:hanging="281"/>
        <w:jc w:val="left"/>
        <w:rPr>
          <w:sz w:val="20"/>
        </w:rPr>
      </w:pPr>
      <w:r>
        <w:rPr>
          <w:sz w:val="20"/>
        </w:rPr>
        <w:t>La</w:t>
      </w:r>
      <w:r>
        <w:rPr>
          <w:spacing w:val="-10"/>
          <w:sz w:val="20"/>
        </w:rPr>
        <w:t> </w:t>
      </w:r>
      <w:r>
        <w:rPr>
          <w:sz w:val="20"/>
        </w:rPr>
        <w:t>dinámica</w:t>
      </w:r>
      <w:r>
        <w:rPr>
          <w:spacing w:val="-7"/>
          <w:sz w:val="20"/>
        </w:rPr>
        <w:t> </w:t>
      </w:r>
      <w:r>
        <w:rPr>
          <w:sz w:val="20"/>
        </w:rPr>
        <w:t>de</w:t>
      </w:r>
      <w:r>
        <w:rPr>
          <w:spacing w:val="-9"/>
          <w:sz w:val="20"/>
        </w:rPr>
        <w:t> </w:t>
      </w:r>
      <w:r>
        <w:rPr>
          <w:sz w:val="20"/>
        </w:rPr>
        <w:t>crecimiento</w:t>
      </w:r>
      <w:r>
        <w:rPr>
          <w:spacing w:val="-7"/>
          <w:sz w:val="20"/>
        </w:rPr>
        <w:t> </w:t>
      </w:r>
      <w:r>
        <w:rPr>
          <w:spacing w:val="-2"/>
          <w:sz w:val="20"/>
        </w:rPr>
        <w:t>poblacional.</w:t>
      </w:r>
    </w:p>
    <w:p>
      <w:pPr>
        <w:pStyle w:val="ListParagraph"/>
        <w:numPr>
          <w:ilvl w:val="1"/>
          <w:numId w:val="50"/>
        </w:numPr>
        <w:tabs>
          <w:tab w:pos="544" w:val="left" w:leader="none"/>
        </w:tabs>
        <w:spacing w:line="240" w:lineRule="auto" w:before="229" w:after="0"/>
        <w:ind w:left="544" w:right="0" w:hanging="282"/>
        <w:jc w:val="left"/>
        <w:rPr>
          <w:sz w:val="20"/>
        </w:rPr>
      </w:pPr>
      <w:r>
        <w:rPr>
          <w:sz w:val="20"/>
        </w:rPr>
        <w:t>La</w:t>
      </w:r>
      <w:r>
        <w:rPr>
          <w:spacing w:val="-11"/>
          <w:sz w:val="20"/>
        </w:rPr>
        <w:t> </w:t>
      </w:r>
      <w:r>
        <w:rPr>
          <w:sz w:val="20"/>
        </w:rPr>
        <w:t>caracterización</w:t>
      </w:r>
      <w:r>
        <w:rPr>
          <w:spacing w:val="-8"/>
          <w:sz w:val="20"/>
        </w:rPr>
        <w:t> </w:t>
      </w:r>
      <w:r>
        <w:rPr>
          <w:sz w:val="20"/>
        </w:rPr>
        <w:t>de</w:t>
      </w:r>
      <w:r>
        <w:rPr>
          <w:spacing w:val="-9"/>
          <w:sz w:val="20"/>
        </w:rPr>
        <w:t> </w:t>
      </w:r>
      <w:r>
        <w:rPr>
          <w:sz w:val="20"/>
        </w:rPr>
        <w:t>las</w:t>
      </w:r>
      <w:r>
        <w:rPr>
          <w:spacing w:val="-8"/>
          <w:sz w:val="20"/>
        </w:rPr>
        <w:t> </w:t>
      </w:r>
      <w:r>
        <w:rPr>
          <w:sz w:val="20"/>
        </w:rPr>
        <w:t>principales</w:t>
      </w:r>
      <w:r>
        <w:rPr>
          <w:spacing w:val="-9"/>
          <w:sz w:val="20"/>
        </w:rPr>
        <w:t> </w:t>
      </w:r>
      <w:r>
        <w:rPr>
          <w:sz w:val="20"/>
        </w:rPr>
        <w:t>actividades</w:t>
      </w:r>
      <w:r>
        <w:rPr>
          <w:spacing w:val="-9"/>
          <w:sz w:val="20"/>
        </w:rPr>
        <w:t> </w:t>
      </w:r>
      <w:r>
        <w:rPr>
          <w:spacing w:val="-2"/>
          <w:sz w:val="20"/>
        </w:rPr>
        <w:t>económicas.</w:t>
      </w:r>
    </w:p>
    <w:p>
      <w:pPr>
        <w:pStyle w:val="BodyText"/>
      </w:pPr>
    </w:p>
    <w:p>
      <w:pPr>
        <w:pStyle w:val="ListParagraph"/>
        <w:numPr>
          <w:ilvl w:val="1"/>
          <w:numId w:val="50"/>
        </w:numPr>
        <w:tabs>
          <w:tab w:pos="544" w:val="left" w:leader="none"/>
        </w:tabs>
        <w:spacing w:line="240" w:lineRule="auto" w:before="1" w:after="0"/>
        <w:ind w:left="544" w:right="0" w:hanging="282"/>
        <w:jc w:val="left"/>
        <w:rPr>
          <w:sz w:val="20"/>
        </w:rPr>
      </w:pPr>
      <w:r>
        <w:rPr>
          <w:sz w:val="20"/>
        </w:rPr>
        <w:t>Los</w:t>
      </w:r>
      <w:r>
        <w:rPr>
          <w:spacing w:val="-7"/>
          <w:sz w:val="20"/>
        </w:rPr>
        <w:t> </w:t>
      </w:r>
      <w:r>
        <w:rPr>
          <w:sz w:val="20"/>
        </w:rPr>
        <w:t>patrones</w:t>
      </w:r>
      <w:r>
        <w:rPr>
          <w:spacing w:val="-7"/>
          <w:sz w:val="20"/>
        </w:rPr>
        <w:t> </w:t>
      </w:r>
      <w:r>
        <w:rPr>
          <w:sz w:val="20"/>
        </w:rPr>
        <w:t>de</w:t>
      </w:r>
      <w:r>
        <w:rPr>
          <w:spacing w:val="-7"/>
          <w:sz w:val="20"/>
        </w:rPr>
        <w:t> </w:t>
      </w:r>
      <w:r>
        <w:rPr>
          <w:sz w:val="20"/>
        </w:rPr>
        <w:t>lotificación</w:t>
      </w:r>
      <w:r>
        <w:rPr>
          <w:spacing w:val="-6"/>
          <w:sz w:val="20"/>
        </w:rPr>
        <w:t> </w:t>
      </w:r>
      <w:r>
        <w:rPr>
          <w:sz w:val="20"/>
        </w:rPr>
        <w:t>y</w:t>
      </w:r>
      <w:r>
        <w:rPr>
          <w:spacing w:val="-6"/>
          <w:sz w:val="20"/>
        </w:rPr>
        <w:t> </w:t>
      </w:r>
      <w:r>
        <w:rPr>
          <w:sz w:val="20"/>
        </w:rPr>
        <w:t>ocupación</w:t>
      </w:r>
      <w:r>
        <w:rPr>
          <w:spacing w:val="-9"/>
          <w:sz w:val="20"/>
        </w:rPr>
        <w:t> </w:t>
      </w:r>
      <w:r>
        <w:rPr>
          <w:sz w:val="20"/>
        </w:rPr>
        <w:t>del</w:t>
      </w:r>
      <w:r>
        <w:rPr>
          <w:spacing w:val="-8"/>
          <w:sz w:val="20"/>
        </w:rPr>
        <w:t> </w:t>
      </w:r>
      <w:r>
        <w:rPr>
          <w:spacing w:val="-2"/>
          <w:sz w:val="20"/>
        </w:rPr>
        <w:t>suelo.</w:t>
      </w:r>
    </w:p>
    <w:p>
      <w:pPr>
        <w:pStyle w:val="BodyText"/>
      </w:pPr>
    </w:p>
    <w:p>
      <w:pPr>
        <w:pStyle w:val="ListParagraph"/>
        <w:numPr>
          <w:ilvl w:val="1"/>
          <w:numId w:val="50"/>
        </w:numPr>
        <w:tabs>
          <w:tab w:pos="543" w:val="left" w:leader="none"/>
        </w:tabs>
        <w:spacing w:line="240" w:lineRule="auto" w:before="0" w:after="0"/>
        <w:ind w:left="543" w:right="0" w:hanging="281"/>
        <w:jc w:val="left"/>
        <w:rPr>
          <w:sz w:val="20"/>
        </w:rPr>
      </w:pPr>
      <w:r>
        <w:rPr>
          <w:sz w:val="20"/>
        </w:rPr>
        <w:t>La</w:t>
      </w:r>
      <w:r>
        <w:rPr>
          <w:spacing w:val="-10"/>
          <w:sz w:val="20"/>
        </w:rPr>
        <w:t> </w:t>
      </w:r>
      <w:r>
        <w:rPr>
          <w:sz w:val="20"/>
        </w:rPr>
        <w:t>estructura</w:t>
      </w:r>
      <w:r>
        <w:rPr>
          <w:spacing w:val="-7"/>
          <w:sz w:val="20"/>
        </w:rPr>
        <w:t> </w:t>
      </w:r>
      <w:r>
        <w:rPr>
          <w:spacing w:val="-2"/>
          <w:sz w:val="20"/>
        </w:rPr>
        <w:t>urbana.</w:t>
      </w:r>
    </w:p>
    <w:p>
      <w:pPr>
        <w:pStyle w:val="ListParagraph"/>
        <w:numPr>
          <w:ilvl w:val="1"/>
          <w:numId w:val="50"/>
        </w:numPr>
        <w:tabs>
          <w:tab w:pos="543" w:val="left" w:leader="none"/>
        </w:tabs>
        <w:spacing w:line="240" w:lineRule="auto" w:before="229" w:after="0"/>
        <w:ind w:left="543" w:right="0" w:hanging="281"/>
        <w:jc w:val="left"/>
        <w:rPr>
          <w:sz w:val="20"/>
        </w:rPr>
      </w:pPr>
      <w:r>
        <w:rPr>
          <w:sz w:val="20"/>
        </w:rPr>
        <w:t>El</w:t>
      </w:r>
      <w:r>
        <w:rPr>
          <w:spacing w:val="-7"/>
          <w:sz w:val="20"/>
        </w:rPr>
        <w:t> </w:t>
      </w:r>
      <w:r>
        <w:rPr>
          <w:sz w:val="20"/>
        </w:rPr>
        <w:t>déficit</w:t>
      </w:r>
      <w:r>
        <w:rPr>
          <w:spacing w:val="-7"/>
          <w:sz w:val="20"/>
        </w:rPr>
        <w:t> </w:t>
      </w:r>
      <w:r>
        <w:rPr>
          <w:sz w:val="20"/>
        </w:rPr>
        <w:t>de</w:t>
      </w:r>
      <w:r>
        <w:rPr>
          <w:spacing w:val="-6"/>
          <w:sz w:val="20"/>
        </w:rPr>
        <w:t> </w:t>
      </w:r>
      <w:r>
        <w:rPr>
          <w:sz w:val="20"/>
        </w:rPr>
        <w:t>equipamiento</w:t>
      </w:r>
      <w:r>
        <w:rPr>
          <w:spacing w:val="-6"/>
          <w:sz w:val="20"/>
        </w:rPr>
        <w:t> </w:t>
      </w:r>
      <w:r>
        <w:rPr>
          <w:sz w:val="20"/>
        </w:rPr>
        <w:t>y</w:t>
      </w:r>
      <w:r>
        <w:rPr>
          <w:spacing w:val="-6"/>
          <w:sz w:val="20"/>
        </w:rPr>
        <w:t> </w:t>
      </w:r>
      <w:r>
        <w:rPr>
          <w:spacing w:val="-2"/>
          <w:sz w:val="20"/>
        </w:rPr>
        <w:t>vivienda.</w:t>
      </w:r>
    </w:p>
    <w:p>
      <w:pPr>
        <w:pStyle w:val="BodyText"/>
        <w:spacing w:before="1"/>
      </w:pPr>
    </w:p>
    <w:p>
      <w:pPr>
        <w:pStyle w:val="ListParagraph"/>
        <w:numPr>
          <w:ilvl w:val="1"/>
          <w:numId w:val="50"/>
        </w:numPr>
        <w:tabs>
          <w:tab w:pos="544" w:val="left" w:leader="none"/>
        </w:tabs>
        <w:spacing w:line="240" w:lineRule="auto" w:before="0" w:after="0"/>
        <w:ind w:left="544" w:right="0" w:hanging="282"/>
        <w:jc w:val="left"/>
        <w:rPr>
          <w:sz w:val="20"/>
        </w:rPr>
      </w:pPr>
      <w:r>
        <w:rPr>
          <w:sz w:val="20"/>
        </w:rPr>
        <w:t>La</w:t>
      </w:r>
      <w:r>
        <w:rPr>
          <w:spacing w:val="-6"/>
          <w:sz w:val="20"/>
        </w:rPr>
        <w:t> </w:t>
      </w:r>
      <w:r>
        <w:rPr>
          <w:sz w:val="20"/>
        </w:rPr>
        <w:t>tenencia</w:t>
      </w:r>
      <w:r>
        <w:rPr>
          <w:spacing w:val="-5"/>
          <w:sz w:val="20"/>
        </w:rPr>
        <w:t> </w:t>
      </w:r>
      <w:r>
        <w:rPr>
          <w:sz w:val="20"/>
        </w:rPr>
        <w:t>de</w:t>
      </w:r>
      <w:r>
        <w:rPr>
          <w:spacing w:val="-5"/>
          <w:sz w:val="20"/>
        </w:rPr>
        <w:t> </w:t>
      </w:r>
      <w:r>
        <w:rPr>
          <w:sz w:val="20"/>
        </w:rPr>
        <w:t>la</w:t>
      </w:r>
      <w:r>
        <w:rPr>
          <w:spacing w:val="-5"/>
          <w:sz w:val="20"/>
        </w:rPr>
        <w:t> </w:t>
      </w:r>
      <w:r>
        <w:rPr>
          <w:spacing w:val="-2"/>
          <w:sz w:val="20"/>
        </w:rPr>
        <w:t>tierra.</w:t>
      </w:r>
    </w:p>
    <w:p>
      <w:pPr>
        <w:pStyle w:val="BodyText"/>
        <w:spacing w:before="1"/>
      </w:pPr>
    </w:p>
    <w:p>
      <w:pPr>
        <w:pStyle w:val="ListParagraph"/>
        <w:numPr>
          <w:ilvl w:val="1"/>
          <w:numId w:val="50"/>
        </w:numPr>
        <w:tabs>
          <w:tab w:pos="543" w:val="left" w:leader="none"/>
        </w:tabs>
        <w:spacing w:line="240" w:lineRule="auto" w:before="0" w:after="0"/>
        <w:ind w:left="543" w:right="0" w:hanging="281"/>
        <w:jc w:val="left"/>
        <w:rPr>
          <w:sz w:val="20"/>
        </w:rPr>
      </w:pPr>
      <w:r>
        <w:rPr>
          <w:sz w:val="20"/>
        </w:rPr>
        <w:t>En</w:t>
      </w:r>
      <w:r>
        <w:rPr>
          <w:spacing w:val="-8"/>
          <w:sz w:val="20"/>
        </w:rPr>
        <w:t> </w:t>
      </w:r>
      <w:r>
        <w:rPr>
          <w:sz w:val="20"/>
        </w:rPr>
        <w:t>su</w:t>
      </w:r>
      <w:r>
        <w:rPr>
          <w:spacing w:val="-8"/>
          <w:sz w:val="20"/>
        </w:rPr>
        <w:t> </w:t>
      </w:r>
      <w:r>
        <w:rPr>
          <w:sz w:val="20"/>
        </w:rPr>
        <w:t>caso</w:t>
      </w:r>
      <w:r>
        <w:rPr>
          <w:spacing w:val="-6"/>
          <w:sz w:val="20"/>
        </w:rPr>
        <w:t> </w:t>
      </w:r>
      <w:r>
        <w:rPr>
          <w:sz w:val="20"/>
        </w:rPr>
        <w:t>la</w:t>
      </w:r>
      <w:r>
        <w:rPr>
          <w:spacing w:val="-6"/>
          <w:sz w:val="20"/>
        </w:rPr>
        <w:t> </w:t>
      </w:r>
      <w:r>
        <w:rPr>
          <w:sz w:val="20"/>
        </w:rPr>
        <w:t>identificación</w:t>
      </w:r>
      <w:r>
        <w:rPr>
          <w:spacing w:val="-6"/>
          <w:sz w:val="20"/>
        </w:rPr>
        <w:t> </w:t>
      </w:r>
      <w:r>
        <w:rPr>
          <w:sz w:val="20"/>
        </w:rPr>
        <w:t>de</w:t>
      </w:r>
      <w:r>
        <w:rPr>
          <w:spacing w:val="-8"/>
          <w:sz w:val="20"/>
        </w:rPr>
        <w:t> </w:t>
      </w:r>
      <w:r>
        <w:rPr>
          <w:sz w:val="20"/>
        </w:rPr>
        <w:t>elementos</w:t>
      </w:r>
      <w:r>
        <w:rPr>
          <w:spacing w:val="-7"/>
          <w:sz w:val="20"/>
        </w:rPr>
        <w:t> </w:t>
      </w:r>
      <w:r>
        <w:rPr>
          <w:sz w:val="20"/>
        </w:rPr>
        <w:t>relevantes</w:t>
      </w:r>
      <w:r>
        <w:rPr>
          <w:spacing w:val="-7"/>
          <w:sz w:val="20"/>
        </w:rPr>
        <w:t> </w:t>
      </w:r>
      <w:r>
        <w:rPr>
          <w:sz w:val="20"/>
        </w:rPr>
        <w:t>del</w:t>
      </w:r>
      <w:r>
        <w:rPr>
          <w:spacing w:val="-8"/>
          <w:sz w:val="20"/>
        </w:rPr>
        <w:t> </w:t>
      </w:r>
      <w:r>
        <w:rPr>
          <w:sz w:val="20"/>
        </w:rPr>
        <w:t>patrimonio</w:t>
      </w:r>
      <w:r>
        <w:rPr>
          <w:spacing w:val="-6"/>
          <w:sz w:val="20"/>
        </w:rPr>
        <w:t> </w:t>
      </w:r>
      <w:r>
        <w:rPr>
          <w:sz w:val="20"/>
        </w:rPr>
        <w:t>histórico,</w:t>
      </w:r>
      <w:r>
        <w:rPr>
          <w:spacing w:val="-8"/>
          <w:sz w:val="20"/>
        </w:rPr>
        <w:t> </w:t>
      </w:r>
      <w:r>
        <w:rPr>
          <w:sz w:val="20"/>
        </w:rPr>
        <w:t>natural</w:t>
      </w:r>
      <w:r>
        <w:rPr>
          <w:spacing w:val="-8"/>
          <w:sz w:val="20"/>
        </w:rPr>
        <w:t> </w:t>
      </w:r>
      <w:r>
        <w:rPr>
          <w:sz w:val="20"/>
        </w:rPr>
        <w:t>y</w:t>
      </w:r>
      <w:r>
        <w:rPr>
          <w:spacing w:val="-7"/>
          <w:sz w:val="20"/>
        </w:rPr>
        <w:t> </w:t>
      </w:r>
      <w:r>
        <w:rPr>
          <w:spacing w:val="-2"/>
          <w:sz w:val="20"/>
        </w:rPr>
        <w:t>cultural;</w:t>
      </w:r>
    </w:p>
    <w:p>
      <w:pPr>
        <w:pStyle w:val="ListParagraph"/>
        <w:numPr>
          <w:ilvl w:val="0"/>
          <w:numId w:val="50"/>
        </w:numPr>
        <w:tabs>
          <w:tab w:pos="744" w:val="left" w:leader="none"/>
        </w:tabs>
        <w:spacing w:line="240" w:lineRule="auto" w:before="229" w:after="0"/>
        <w:ind w:left="744" w:right="0" w:hanging="482"/>
        <w:jc w:val="left"/>
        <w:rPr>
          <w:sz w:val="20"/>
        </w:rPr>
      </w:pPr>
      <w:r>
        <w:rPr>
          <w:sz w:val="20"/>
        </w:rPr>
        <w:t>La</w:t>
      </w:r>
      <w:r>
        <w:rPr>
          <w:spacing w:val="-7"/>
          <w:sz w:val="20"/>
        </w:rPr>
        <w:t> </w:t>
      </w:r>
      <w:r>
        <w:rPr>
          <w:sz w:val="20"/>
        </w:rPr>
        <w:t>identificación</w:t>
      </w:r>
      <w:r>
        <w:rPr>
          <w:spacing w:val="-7"/>
          <w:sz w:val="20"/>
        </w:rPr>
        <w:t> </w:t>
      </w:r>
      <w:r>
        <w:rPr>
          <w:sz w:val="20"/>
        </w:rPr>
        <w:t>de</w:t>
      </w:r>
      <w:r>
        <w:rPr>
          <w:spacing w:val="-8"/>
          <w:sz w:val="20"/>
        </w:rPr>
        <w:t> </w:t>
      </w:r>
      <w:r>
        <w:rPr>
          <w:sz w:val="20"/>
        </w:rPr>
        <w:t>la</w:t>
      </w:r>
      <w:r>
        <w:rPr>
          <w:spacing w:val="-7"/>
          <w:sz w:val="20"/>
        </w:rPr>
        <w:t> </w:t>
      </w:r>
      <w:r>
        <w:rPr>
          <w:sz w:val="20"/>
        </w:rPr>
        <w:t>problemática</w:t>
      </w:r>
      <w:r>
        <w:rPr>
          <w:spacing w:val="-8"/>
          <w:sz w:val="20"/>
        </w:rPr>
        <w:t> </w:t>
      </w:r>
      <w:r>
        <w:rPr>
          <w:sz w:val="20"/>
        </w:rPr>
        <w:t>y</w:t>
      </w:r>
      <w:r>
        <w:rPr>
          <w:spacing w:val="-5"/>
          <w:sz w:val="20"/>
        </w:rPr>
        <w:t> </w:t>
      </w:r>
      <w:r>
        <w:rPr>
          <w:spacing w:val="-2"/>
          <w:sz w:val="20"/>
        </w:rPr>
        <w:t>potencialidades;</w:t>
      </w:r>
    </w:p>
    <w:p>
      <w:pPr>
        <w:pStyle w:val="BodyText"/>
      </w:pPr>
    </w:p>
    <w:p>
      <w:pPr>
        <w:pStyle w:val="ListParagraph"/>
        <w:numPr>
          <w:ilvl w:val="0"/>
          <w:numId w:val="50"/>
        </w:numPr>
        <w:tabs>
          <w:tab w:pos="688" w:val="left" w:leader="none"/>
        </w:tabs>
        <w:spacing w:line="240" w:lineRule="auto" w:before="0" w:after="0"/>
        <w:ind w:left="688" w:right="0" w:hanging="426"/>
        <w:jc w:val="left"/>
        <w:rPr>
          <w:sz w:val="20"/>
        </w:rPr>
      </w:pPr>
      <w:r>
        <w:rPr>
          <w:sz w:val="20"/>
        </w:rPr>
        <w:t>La</w:t>
      </w:r>
      <w:r>
        <w:rPr>
          <w:spacing w:val="-8"/>
          <w:sz w:val="20"/>
        </w:rPr>
        <w:t> </w:t>
      </w:r>
      <w:r>
        <w:rPr>
          <w:sz w:val="20"/>
        </w:rPr>
        <w:t>congruencia</w:t>
      </w:r>
      <w:r>
        <w:rPr>
          <w:spacing w:val="-6"/>
          <w:sz w:val="20"/>
        </w:rPr>
        <w:t> </w:t>
      </w:r>
      <w:r>
        <w:rPr>
          <w:sz w:val="20"/>
        </w:rPr>
        <w:t>con</w:t>
      </w:r>
      <w:r>
        <w:rPr>
          <w:spacing w:val="-4"/>
          <w:sz w:val="20"/>
        </w:rPr>
        <w:t> </w:t>
      </w:r>
      <w:r>
        <w:rPr>
          <w:sz w:val="20"/>
        </w:rPr>
        <w:t>los</w:t>
      </w:r>
      <w:r>
        <w:rPr>
          <w:spacing w:val="-4"/>
          <w:sz w:val="20"/>
        </w:rPr>
        <w:t> </w:t>
      </w:r>
      <w:r>
        <w:rPr>
          <w:sz w:val="20"/>
        </w:rPr>
        <w:t>programas</w:t>
      </w:r>
      <w:r>
        <w:rPr>
          <w:spacing w:val="-5"/>
          <w:sz w:val="20"/>
        </w:rPr>
        <w:t> </w:t>
      </w:r>
      <w:r>
        <w:rPr>
          <w:sz w:val="20"/>
        </w:rPr>
        <w:t>de</w:t>
      </w:r>
      <w:r>
        <w:rPr>
          <w:spacing w:val="-6"/>
          <w:sz w:val="20"/>
        </w:rPr>
        <w:t> </w:t>
      </w:r>
      <w:r>
        <w:rPr>
          <w:sz w:val="20"/>
        </w:rPr>
        <w:t>desarrollo</w:t>
      </w:r>
      <w:r>
        <w:rPr>
          <w:spacing w:val="-7"/>
          <w:sz w:val="20"/>
        </w:rPr>
        <w:t> </w:t>
      </w:r>
      <w:r>
        <w:rPr>
          <w:sz w:val="20"/>
        </w:rPr>
        <w:t>urbano</w:t>
      </w:r>
      <w:r>
        <w:rPr>
          <w:spacing w:val="-6"/>
          <w:sz w:val="20"/>
        </w:rPr>
        <w:t> </w:t>
      </w:r>
      <w:r>
        <w:rPr>
          <w:sz w:val="20"/>
        </w:rPr>
        <w:t>que</w:t>
      </w:r>
      <w:r>
        <w:rPr>
          <w:spacing w:val="-6"/>
          <w:sz w:val="20"/>
        </w:rPr>
        <w:t> </w:t>
      </w:r>
      <w:r>
        <w:rPr>
          <w:sz w:val="20"/>
        </w:rPr>
        <w:t>inciden</w:t>
      </w:r>
      <w:r>
        <w:rPr>
          <w:spacing w:val="-6"/>
          <w:sz w:val="20"/>
        </w:rPr>
        <w:t> </w:t>
      </w:r>
      <w:r>
        <w:rPr>
          <w:sz w:val="20"/>
        </w:rPr>
        <w:t>en</w:t>
      </w:r>
      <w:r>
        <w:rPr>
          <w:spacing w:val="-7"/>
          <w:sz w:val="20"/>
        </w:rPr>
        <w:t> </w:t>
      </w:r>
      <w:r>
        <w:rPr>
          <w:sz w:val="20"/>
        </w:rPr>
        <w:t>el</w:t>
      </w:r>
      <w:r>
        <w:rPr>
          <w:spacing w:val="-7"/>
          <w:sz w:val="20"/>
        </w:rPr>
        <w:t> </w:t>
      </w:r>
      <w:r>
        <w:rPr>
          <w:sz w:val="20"/>
        </w:rPr>
        <w:t>centro</w:t>
      </w:r>
      <w:r>
        <w:rPr>
          <w:spacing w:val="-2"/>
          <w:sz w:val="20"/>
        </w:rPr>
        <w:t> </w:t>
      </w:r>
      <w:r>
        <w:rPr>
          <w:sz w:val="20"/>
        </w:rPr>
        <w:t>de</w:t>
      </w:r>
      <w:r>
        <w:rPr>
          <w:spacing w:val="-7"/>
          <w:sz w:val="20"/>
        </w:rPr>
        <w:t> </w:t>
      </w:r>
      <w:r>
        <w:rPr>
          <w:spacing w:val="-2"/>
          <w:sz w:val="20"/>
        </w:rPr>
        <w:t>población;</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50"/>
        </w:numPr>
        <w:tabs>
          <w:tab w:pos="688" w:val="left" w:leader="none"/>
        </w:tabs>
        <w:spacing w:line="240" w:lineRule="auto" w:before="0" w:after="0"/>
        <w:ind w:left="262" w:right="283" w:firstLine="0"/>
        <w:jc w:val="both"/>
        <w:rPr>
          <w:sz w:val="20"/>
        </w:rPr>
      </w:pPr>
      <w:r>
        <w:rPr>
          <w:sz w:val="20"/>
        </w:rPr>
        <w:t>La hipótesis de crecimiento poblacional y los requerimientos urbanos en el escenario de </w:t>
      </w:r>
      <w:r>
        <w:rPr>
          <w:spacing w:val="-2"/>
          <w:sz w:val="20"/>
        </w:rPr>
        <w:t>planeación;</w:t>
      </w:r>
    </w:p>
    <w:p>
      <w:pPr>
        <w:pStyle w:val="BodyText"/>
        <w:spacing w:before="1"/>
      </w:pPr>
    </w:p>
    <w:p>
      <w:pPr>
        <w:pStyle w:val="ListParagraph"/>
        <w:numPr>
          <w:ilvl w:val="0"/>
          <w:numId w:val="50"/>
        </w:numPr>
        <w:tabs>
          <w:tab w:pos="688" w:val="left" w:leader="none"/>
        </w:tabs>
        <w:spacing w:line="240" w:lineRule="auto" w:before="0" w:after="0"/>
        <w:ind w:left="688" w:right="0" w:hanging="426"/>
        <w:jc w:val="both"/>
        <w:rPr>
          <w:sz w:val="20"/>
        </w:rPr>
      </w:pPr>
      <w:r>
        <w:rPr>
          <w:sz w:val="20"/>
        </w:rPr>
        <w:t>Los</w:t>
      </w:r>
      <w:r>
        <w:rPr>
          <w:spacing w:val="-7"/>
          <w:sz w:val="20"/>
        </w:rPr>
        <w:t> </w:t>
      </w:r>
      <w:r>
        <w:rPr>
          <w:sz w:val="20"/>
        </w:rPr>
        <w:t>objetivos</w:t>
      </w:r>
      <w:r>
        <w:rPr>
          <w:spacing w:val="-7"/>
          <w:sz w:val="20"/>
        </w:rPr>
        <w:t> </w:t>
      </w:r>
      <w:r>
        <w:rPr>
          <w:sz w:val="20"/>
        </w:rPr>
        <w:t>y</w:t>
      </w:r>
      <w:r>
        <w:rPr>
          <w:spacing w:val="-7"/>
          <w:sz w:val="20"/>
        </w:rPr>
        <w:t> </w:t>
      </w:r>
      <w:r>
        <w:rPr>
          <w:sz w:val="20"/>
        </w:rPr>
        <w:t>estrategia</w:t>
      </w:r>
      <w:r>
        <w:rPr>
          <w:spacing w:val="-6"/>
          <w:sz w:val="20"/>
        </w:rPr>
        <w:t> </w:t>
      </w:r>
      <w:r>
        <w:rPr>
          <w:spacing w:val="-2"/>
          <w:sz w:val="20"/>
        </w:rPr>
        <w:t>para:</w:t>
      </w:r>
    </w:p>
    <w:p>
      <w:pPr>
        <w:pStyle w:val="ListParagraph"/>
        <w:numPr>
          <w:ilvl w:val="1"/>
          <w:numId w:val="50"/>
        </w:numPr>
        <w:tabs>
          <w:tab w:pos="544" w:val="left" w:leader="none"/>
        </w:tabs>
        <w:spacing w:line="240" w:lineRule="auto" w:before="229" w:after="0"/>
        <w:ind w:left="544" w:right="0" w:hanging="282"/>
        <w:jc w:val="both"/>
        <w:rPr>
          <w:sz w:val="20"/>
        </w:rPr>
      </w:pPr>
      <w:r>
        <w:rPr>
          <w:sz w:val="20"/>
        </w:rPr>
        <w:t>La</w:t>
      </w:r>
      <w:r>
        <w:rPr>
          <w:spacing w:val="-12"/>
          <w:sz w:val="20"/>
        </w:rPr>
        <w:t> </w:t>
      </w:r>
      <w:r>
        <w:rPr>
          <w:sz w:val="20"/>
        </w:rPr>
        <w:t>zonificación</w:t>
      </w:r>
      <w:r>
        <w:rPr>
          <w:spacing w:val="-9"/>
          <w:sz w:val="20"/>
        </w:rPr>
        <w:t> </w:t>
      </w:r>
      <w:r>
        <w:rPr>
          <w:spacing w:val="-2"/>
          <w:sz w:val="20"/>
        </w:rPr>
        <w:t>primaria.</w:t>
      </w:r>
    </w:p>
    <w:p>
      <w:pPr>
        <w:pStyle w:val="BodyText"/>
      </w:pPr>
    </w:p>
    <w:p>
      <w:pPr>
        <w:pStyle w:val="ListParagraph"/>
        <w:numPr>
          <w:ilvl w:val="1"/>
          <w:numId w:val="50"/>
        </w:numPr>
        <w:tabs>
          <w:tab w:pos="544" w:val="left" w:leader="none"/>
        </w:tabs>
        <w:spacing w:line="240" w:lineRule="auto" w:before="0" w:after="0"/>
        <w:ind w:left="544" w:right="0" w:hanging="282"/>
        <w:jc w:val="both"/>
        <w:rPr>
          <w:sz w:val="20"/>
        </w:rPr>
      </w:pPr>
      <w:r>
        <w:rPr>
          <w:sz w:val="20"/>
        </w:rPr>
        <w:t>La</w:t>
      </w:r>
      <w:r>
        <w:rPr>
          <w:spacing w:val="-12"/>
          <w:sz w:val="20"/>
        </w:rPr>
        <w:t> </w:t>
      </w:r>
      <w:r>
        <w:rPr>
          <w:sz w:val="20"/>
        </w:rPr>
        <w:t>zonificación</w:t>
      </w:r>
      <w:r>
        <w:rPr>
          <w:spacing w:val="-11"/>
          <w:sz w:val="20"/>
        </w:rPr>
        <w:t> </w:t>
      </w:r>
      <w:r>
        <w:rPr>
          <w:spacing w:val="-2"/>
          <w:sz w:val="20"/>
        </w:rPr>
        <w:t>secundaria.</w:t>
      </w:r>
    </w:p>
    <w:p>
      <w:pPr>
        <w:pStyle w:val="ListParagraph"/>
        <w:numPr>
          <w:ilvl w:val="1"/>
          <w:numId w:val="50"/>
        </w:numPr>
        <w:tabs>
          <w:tab w:pos="544" w:val="left" w:leader="none"/>
        </w:tabs>
        <w:spacing w:line="240" w:lineRule="auto" w:before="1" w:after="0"/>
        <w:ind w:left="544" w:right="0" w:hanging="282"/>
        <w:jc w:val="both"/>
        <w:rPr>
          <w:sz w:val="20"/>
        </w:rPr>
      </w:pPr>
      <w:r>
        <w:rPr>
          <w:sz w:val="20"/>
        </w:rPr>
        <w:t>La</w:t>
      </w:r>
      <w:r>
        <w:rPr>
          <w:spacing w:val="-10"/>
          <w:sz w:val="20"/>
        </w:rPr>
        <w:t> </w:t>
      </w:r>
      <w:r>
        <w:rPr>
          <w:sz w:val="20"/>
        </w:rPr>
        <w:t>estructura</w:t>
      </w:r>
      <w:r>
        <w:rPr>
          <w:spacing w:val="-7"/>
          <w:sz w:val="20"/>
        </w:rPr>
        <w:t> </w:t>
      </w:r>
      <w:r>
        <w:rPr>
          <w:spacing w:val="-2"/>
          <w:sz w:val="20"/>
        </w:rPr>
        <w:t>urbana.</w:t>
      </w:r>
    </w:p>
    <w:p>
      <w:pPr>
        <w:pStyle w:val="BodyText"/>
        <w:spacing w:before="1"/>
      </w:pPr>
    </w:p>
    <w:p>
      <w:pPr>
        <w:pStyle w:val="ListParagraph"/>
        <w:numPr>
          <w:ilvl w:val="1"/>
          <w:numId w:val="50"/>
        </w:numPr>
        <w:tabs>
          <w:tab w:pos="544" w:val="left" w:leader="none"/>
        </w:tabs>
        <w:spacing w:line="240" w:lineRule="auto" w:before="0" w:after="0"/>
        <w:ind w:left="262" w:right="289" w:firstLine="0"/>
        <w:jc w:val="both"/>
        <w:rPr>
          <w:sz w:val="20"/>
        </w:rPr>
      </w:pPr>
      <w:r>
        <w:rPr>
          <w:sz w:val="20"/>
        </w:rPr>
        <w:t>Llevar</w:t>
      </w:r>
      <w:r>
        <w:rPr>
          <w:spacing w:val="-1"/>
          <w:sz w:val="20"/>
        </w:rPr>
        <w:t> </w:t>
      </w:r>
      <w:r>
        <w:rPr>
          <w:sz w:val="20"/>
        </w:rPr>
        <w:t>a</w:t>
      </w:r>
      <w:r>
        <w:rPr>
          <w:spacing w:val="-2"/>
          <w:sz w:val="20"/>
        </w:rPr>
        <w:t> </w:t>
      </w:r>
      <w:r>
        <w:rPr>
          <w:sz w:val="20"/>
        </w:rPr>
        <w:t>cabo</w:t>
      </w:r>
      <w:r>
        <w:rPr>
          <w:spacing w:val="-3"/>
          <w:sz w:val="20"/>
        </w:rPr>
        <w:t> </w:t>
      </w:r>
      <w:r>
        <w:rPr>
          <w:sz w:val="20"/>
        </w:rPr>
        <w:t>la</w:t>
      </w:r>
      <w:r>
        <w:rPr>
          <w:spacing w:val="-2"/>
          <w:sz w:val="20"/>
        </w:rPr>
        <w:t> </w:t>
      </w:r>
      <w:r>
        <w:rPr>
          <w:sz w:val="20"/>
        </w:rPr>
        <w:t>regularización de</w:t>
      </w:r>
      <w:r>
        <w:rPr>
          <w:spacing w:val="-3"/>
          <w:sz w:val="20"/>
        </w:rPr>
        <w:t> </w:t>
      </w:r>
      <w:r>
        <w:rPr>
          <w:sz w:val="20"/>
        </w:rPr>
        <w:t>la</w:t>
      </w:r>
      <w:r>
        <w:rPr>
          <w:spacing w:val="-2"/>
          <w:sz w:val="20"/>
        </w:rPr>
        <w:t> </w:t>
      </w:r>
      <w:r>
        <w:rPr>
          <w:sz w:val="20"/>
        </w:rPr>
        <w:t>tenencia</w:t>
      </w:r>
      <w:r>
        <w:rPr>
          <w:spacing w:val="-2"/>
          <w:sz w:val="20"/>
        </w:rPr>
        <w:t> </w:t>
      </w:r>
      <w:r>
        <w:rPr>
          <w:sz w:val="20"/>
        </w:rPr>
        <w:t>de la</w:t>
      </w:r>
      <w:r>
        <w:rPr>
          <w:spacing w:val="-2"/>
          <w:sz w:val="20"/>
        </w:rPr>
        <w:t> </w:t>
      </w:r>
      <w:r>
        <w:rPr>
          <w:sz w:val="20"/>
        </w:rPr>
        <w:t>tierra,</w:t>
      </w:r>
      <w:r>
        <w:rPr>
          <w:spacing w:val="-2"/>
          <w:sz w:val="20"/>
        </w:rPr>
        <w:t> </w:t>
      </w:r>
      <w:r>
        <w:rPr>
          <w:sz w:val="20"/>
        </w:rPr>
        <w:t>en</w:t>
      </w:r>
      <w:r>
        <w:rPr>
          <w:spacing w:val="-3"/>
          <w:sz w:val="20"/>
        </w:rPr>
        <w:t> </w:t>
      </w:r>
      <w:r>
        <w:rPr>
          <w:sz w:val="20"/>
        </w:rPr>
        <w:t>forma</w:t>
      </w:r>
      <w:r>
        <w:rPr>
          <w:spacing w:val="-2"/>
          <w:sz w:val="20"/>
        </w:rPr>
        <w:t> </w:t>
      </w:r>
      <w:r>
        <w:rPr>
          <w:sz w:val="20"/>
        </w:rPr>
        <w:t>conjunta</w:t>
      </w:r>
      <w:r>
        <w:rPr>
          <w:spacing w:val="-2"/>
          <w:sz w:val="20"/>
        </w:rPr>
        <w:t> </w:t>
      </w:r>
      <w:r>
        <w:rPr>
          <w:sz w:val="20"/>
        </w:rPr>
        <w:t>con los</w:t>
      </w:r>
      <w:r>
        <w:rPr>
          <w:spacing w:val="-1"/>
          <w:sz w:val="20"/>
        </w:rPr>
        <w:t> </w:t>
      </w:r>
      <w:r>
        <w:rPr>
          <w:sz w:val="20"/>
        </w:rPr>
        <w:t>organismos </w:t>
      </w:r>
      <w:r>
        <w:rPr>
          <w:spacing w:val="-2"/>
          <w:sz w:val="20"/>
        </w:rPr>
        <w:t>regularizadores.</w:t>
      </w:r>
    </w:p>
    <w:p>
      <w:pPr>
        <w:pStyle w:val="ListParagraph"/>
        <w:numPr>
          <w:ilvl w:val="1"/>
          <w:numId w:val="50"/>
        </w:numPr>
        <w:tabs>
          <w:tab w:pos="544" w:val="left" w:leader="none"/>
        </w:tabs>
        <w:spacing w:line="240" w:lineRule="auto" w:before="229" w:after="0"/>
        <w:ind w:left="262" w:right="288" w:firstLine="0"/>
        <w:jc w:val="both"/>
        <w:rPr>
          <w:sz w:val="20"/>
        </w:rPr>
      </w:pPr>
      <w:r>
        <w:rPr>
          <w:sz w:val="20"/>
        </w:rPr>
        <w:t>La</w:t>
      </w:r>
      <w:r>
        <w:rPr>
          <w:spacing w:val="-4"/>
          <w:sz w:val="20"/>
        </w:rPr>
        <w:t> </w:t>
      </w:r>
      <w:r>
        <w:rPr>
          <w:sz w:val="20"/>
        </w:rPr>
        <w:t>ampliación</w:t>
      </w:r>
      <w:r>
        <w:rPr>
          <w:spacing w:val="-4"/>
          <w:sz w:val="20"/>
        </w:rPr>
        <w:t> </w:t>
      </w:r>
      <w:r>
        <w:rPr>
          <w:sz w:val="20"/>
        </w:rPr>
        <w:t>y mejoramiento</w:t>
      </w:r>
      <w:r>
        <w:rPr>
          <w:spacing w:val="-4"/>
          <w:sz w:val="20"/>
        </w:rPr>
        <w:t> </w:t>
      </w:r>
      <w:r>
        <w:rPr>
          <w:sz w:val="20"/>
        </w:rPr>
        <w:t>en</w:t>
      </w:r>
      <w:r>
        <w:rPr>
          <w:spacing w:val="-3"/>
          <w:sz w:val="20"/>
        </w:rPr>
        <w:t> </w:t>
      </w:r>
      <w:r>
        <w:rPr>
          <w:sz w:val="20"/>
        </w:rPr>
        <w:t>la</w:t>
      </w:r>
      <w:r>
        <w:rPr>
          <w:spacing w:val="-3"/>
          <w:sz w:val="20"/>
        </w:rPr>
        <w:t> </w:t>
      </w:r>
      <w:r>
        <w:rPr>
          <w:sz w:val="20"/>
        </w:rPr>
        <w:t>dotación</w:t>
      </w:r>
      <w:r>
        <w:rPr>
          <w:spacing w:val="-1"/>
          <w:sz w:val="20"/>
        </w:rPr>
        <w:t> </w:t>
      </w:r>
      <w:r>
        <w:rPr>
          <w:sz w:val="20"/>
        </w:rPr>
        <w:t>de</w:t>
      </w:r>
      <w:r>
        <w:rPr>
          <w:spacing w:val="-1"/>
          <w:sz w:val="20"/>
        </w:rPr>
        <w:t> </w:t>
      </w:r>
      <w:r>
        <w:rPr>
          <w:sz w:val="20"/>
        </w:rPr>
        <w:t>equipamiento</w:t>
      </w:r>
      <w:r>
        <w:rPr>
          <w:spacing w:val="-1"/>
          <w:sz w:val="20"/>
        </w:rPr>
        <w:t> </w:t>
      </w:r>
      <w:r>
        <w:rPr>
          <w:sz w:val="20"/>
        </w:rPr>
        <w:t>urbano,</w:t>
      </w:r>
      <w:r>
        <w:rPr>
          <w:spacing w:val="-1"/>
          <w:sz w:val="20"/>
        </w:rPr>
        <w:t> </w:t>
      </w:r>
      <w:r>
        <w:rPr>
          <w:sz w:val="20"/>
        </w:rPr>
        <w:t>infraestructura,</w:t>
      </w:r>
      <w:r>
        <w:rPr>
          <w:spacing w:val="-3"/>
          <w:sz w:val="20"/>
        </w:rPr>
        <w:t> </w:t>
      </w:r>
      <w:r>
        <w:rPr>
          <w:sz w:val="20"/>
        </w:rPr>
        <w:t>vialidad</w:t>
      </w:r>
      <w:r>
        <w:rPr>
          <w:spacing w:val="-3"/>
          <w:sz w:val="20"/>
        </w:rPr>
        <w:t> </w:t>
      </w:r>
      <w:r>
        <w:rPr>
          <w:sz w:val="20"/>
        </w:rPr>
        <w:t>y servicios urbanos.</w:t>
      </w:r>
    </w:p>
    <w:p>
      <w:pPr>
        <w:pStyle w:val="BodyText"/>
        <w:spacing w:before="1"/>
      </w:pPr>
    </w:p>
    <w:p>
      <w:pPr>
        <w:pStyle w:val="ListParagraph"/>
        <w:numPr>
          <w:ilvl w:val="1"/>
          <w:numId w:val="50"/>
        </w:numPr>
        <w:tabs>
          <w:tab w:pos="543" w:val="left" w:leader="none"/>
        </w:tabs>
        <w:spacing w:line="240" w:lineRule="auto" w:before="0" w:after="0"/>
        <w:ind w:left="543" w:right="0" w:hanging="281"/>
        <w:jc w:val="both"/>
        <w:rPr>
          <w:sz w:val="20"/>
        </w:rPr>
      </w:pPr>
      <w:r>
        <w:rPr>
          <w:sz w:val="20"/>
        </w:rPr>
        <w:t>Las</w:t>
      </w:r>
      <w:r>
        <w:rPr>
          <w:spacing w:val="-8"/>
          <w:sz w:val="20"/>
        </w:rPr>
        <w:t> </w:t>
      </w:r>
      <w:r>
        <w:rPr>
          <w:sz w:val="20"/>
        </w:rPr>
        <w:t>previsiones</w:t>
      </w:r>
      <w:r>
        <w:rPr>
          <w:spacing w:val="-5"/>
          <w:sz w:val="20"/>
        </w:rPr>
        <w:t> </w:t>
      </w:r>
      <w:r>
        <w:rPr>
          <w:sz w:val="20"/>
        </w:rPr>
        <w:t>necesarias</w:t>
      </w:r>
      <w:r>
        <w:rPr>
          <w:spacing w:val="-7"/>
          <w:sz w:val="20"/>
        </w:rPr>
        <w:t> </w:t>
      </w:r>
      <w:r>
        <w:rPr>
          <w:sz w:val="20"/>
        </w:rPr>
        <w:t>para</w:t>
      </w:r>
      <w:r>
        <w:rPr>
          <w:spacing w:val="-7"/>
          <w:sz w:val="20"/>
        </w:rPr>
        <w:t> </w:t>
      </w:r>
      <w:r>
        <w:rPr>
          <w:sz w:val="20"/>
        </w:rPr>
        <w:t>mitigar</w:t>
      </w:r>
      <w:r>
        <w:rPr>
          <w:spacing w:val="-7"/>
          <w:sz w:val="20"/>
        </w:rPr>
        <w:t> </w:t>
      </w:r>
      <w:r>
        <w:rPr>
          <w:sz w:val="20"/>
        </w:rPr>
        <w:t>y</w:t>
      </w:r>
      <w:r>
        <w:rPr>
          <w:spacing w:val="-7"/>
          <w:sz w:val="20"/>
        </w:rPr>
        <w:t> </w:t>
      </w:r>
      <w:r>
        <w:rPr>
          <w:sz w:val="20"/>
        </w:rPr>
        <w:t>evitar</w:t>
      </w:r>
      <w:r>
        <w:rPr>
          <w:spacing w:val="-8"/>
          <w:sz w:val="20"/>
        </w:rPr>
        <w:t> </w:t>
      </w:r>
      <w:r>
        <w:rPr>
          <w:spacing w:val="-2"/>
          <w:sz w:val="20"/>
        </w:rPr>
        <w:t>riesgos;</w:t>
      </w:r>
    </w:p>
    <w:p>
      <w:pPr>
        <w:pStyle w:val="ListParagraph"/>
        <w:numPr>
          <w:ilvl w:val="0"/>
          <w:numId w:val="50"/>
        </w:numPr>
        <w:tabs>
          <w:tab w:pos="688" w:val="left" w:leader="none"/>
        </w:tabs>
        <w:spacing w:line="240" w:lineRule="auto" w:before="229" w:after="0"/>
        <w:ind w:left="262" w:right="288" w:firstLine="0"/>
        <w:jc w:val="both"/>
        <w:rPr>
          <w:sz w:val="20"/>
        </w:rPr>
      </w:pPr>
      <w:r>
        <w:rPr>
          <w:sz w:val="20"/>
        </w:rPr>
        <w:t>Las normas para el control y regulación de las densidades de población y vivienda, de construcción, de ocupación del suelo, y de compatibilidad de usos de suelo;</w:t>
      </w:r>
    </w:p>
    <w:p>
      <w:pPr>
        <w:pStyle w:val="BodyText"/>
        <w:spacing w:before="1"/>
      </w:pPr>
    </w:p>
    <w:p>
      <w:pPr>
        <w:pStyle w:val="ListParagraph"/>
        <w:numPr>
          <w:ilvl w:val="0"/>
          <w:numId w:val="50"/>
        </w:numPr>
        <w:tabs>
          <w:tab w:pos="827" w:val="left" w:leader="none"/>
        </w:tabs>
        <w:spacing w:line="240" w:lineRule="auto" w:before="0" w:after="0"/>
        <w:ind w:left="262" w:right="285" w:firstLine="0"/>
        <w:jc w:val="both"/>
        <w:rPr>
          <w:sz w:val="20"/>
        </w:rPr>
      </w:pPr>
      <w:r>
        <w:rPr>
          <w:sz w:val="20"/>
        </w:rPr>
        <w:t>La programación de acciones, obras y servicios estratégicas, indicando la ubicación, cuantificación, etapa de ejecución, y responsable. Se señalarán las acciones que se consideren prioritarias, y</w:t>
      </w:r>
    </w:p>
    <w:p>
      <w:pPr>
        <w:pStyle w:val="BodyText"/>
      </w:pPr>
    </w:p>
    <w:p>
      <w:pPr>
        <w:pStyle w:val="ListParagraph"/>
        <w:numPr>
          <w:ilvl w:val="0"/>
          <w:numId w:val="50"/>
        </w:numPr>
        <w:tabs>
          <w:tab w:pos="688" w:val="left" w:leader="none"/>
        </w:tabs>
        <w:spacing w:line="240" w:lineRule="auto" w:before="0" w:after="0"/>
        <w:ind w:left="262" w:right="286" w:firstLine="0"/>
        <w:jc w:val="both"/>
        <w:rPr>
          <w:sz w:val="20"/>
        </w:rPr>
      </w:pPr>
      <w:r>
        <w:rPr>
          <w:sz w:val="20"/>
        </w:rPr>
        <w:t>La indicación de los instrumentos básicos para la ejecución de las acciones, obras y servicio emanados del esquema, entre ellos los jurídicos, administrativos y de evaluación del esquema.</w:t>
      </w:r>
    </w:p>
    <w:p>
      <w:pPr>
        <w:pStyle w:val="BodyText"/>
        <w:spacing w:before="229"/>
      </w:pPr>
    </w:p>
    <w:p>
      <w:pPr>
        <w:pStyle w:val="Heading1"/>
        <w:spacing w:line="480" w:lineRule="auto"/>
        <w:ind w:left="2917" w:right="2331" w:firstLine="938"/>
        <w:jc w:val="left"/>
      </w:pPr>
      <w:r>
        <w:rPr/>
        <w:t>TÍTULO OCTAVO REGULACIONES</w:t>
      </w:r>
      <w:r>
        <w:rPr>
          <w:spacing w:val="-14"/>
        </w:rPr>
        <w:t> </w:t>
      </w:r>
      <w:r>
        <w:rPr/>
        <w:t>DE</w:t>
      </w:r>
      <w:r>
        <w:rPr>
          <w:spacing w:val="-14"/>
        </w:rPr>
        <w:t> </w:t>
      </w:r>
      <w:r>
        <w:rPr/>
        <w:t>LA</w:t>
      </w:r>
      <w:r>
        <w:rPr>
          <w:spacing w:val="-14"/>
        </w:rPr>
        <w:t> </w:t>
      </w:r>
      <w:r>
        <w:rPr/>
        <w:t>PROPIEDAD</w:t>
      </w:r>
    </w:p>
    <w:p>
      <w:pPr>
        <w:pStyle w:val="BodyText"/>
        <w:rPr>
          <w:rFonts w:ascii="Arial"/>
          <w:b/>
        </w:rPr>
      </w:pPr>
    </w:p>
    <w:p>
      <w:pPr>
        <w:pStyle w:val="Heading2"/>
        <w:spacing w:line="480" w:lineRule="auto"/>
        <w:ind w:left="3982" w:right="4000" w:hanging="1"/>
      </w:pPr>
      <w:r>
        <w:rPr/>
        <w:t>Capítulo I </w:t>
      </w:r>
      <w:r>
        <w:rPr>
          <w:spacing w:val="-2"/>
        </w:rPr>
        <w:t>Generalidades</w:t>
      </w:r>
    </w:p>
    <w:p>
      <w:pPr>
        <w:pStyle w:val="BodyText"/>
        <w:spacing w:before="1"/>
        <w:ind w:left="262" w:right="278"/>
        <w:jc w:val="both"/>
      </w:pPr>
      <w:r>
        <w:rPr>
          <w:rFonts w:ascii="Arial" w:hAnsi="Arial"/>
          <w:b/>
        </w:rPr>
        <w:t>ARTÍCULO 106. </w:t>
      </w:r>
      <w:r>
        <w:rPr/>
        <w:t>Para cumplir con los fines señalados en el párrafo tercero del artículo 27 de la Constitución Federal en materia de fundación, conservación, mejoramiento y crecimiento de los centros</w:t>
      </w:r>
      <w:r>
        <w:rPr>
          <w:spacing w:val="-7"/>
        </w:rPr>
        <w:t> </w:t>
      </w:r>
      <w:r>
        <w:rPr/>
        <w:t>de</w:t>
      </w:r>
      <w:r>
        <w:rPr>
          <w:spacing w:val="-8"/>
        </w:rPr>
        <w:t> </w:t>
      </w:r>
      <w:r>
        <w:rPr/>
        <w:t>población,</w:t>
      </w:r>
      <w:r>
        <w:rPr>
          <w:spacing w:val="-8"/>
        </w:rPr>
        <w:t> </w:t>
      </w:r>
      <w:r>
        <w:rPr/>
        <w:t>el</w:t>
      </w:r>
      <w:r>
        <w:rPr>
          <w:spacing w:val="-9"/>
        </w:rPr>
        <w:t> </w:t>
      </w:r>
      <w:r>
        <w:rPr/>
        <w:t>ejercicio</w:t>
      </w:r>
      <w:r>
        <w:rPr>
          <w:spacing w:val="-8"/>
        </w:rPr>
        <w:t> </w:t>
      </w:r>
      <w:r>
        <w:rPr/>
        <w:t>del</w:t>
      </w:r>
      <w:r>
        <w:rPr>
          <w:spacing w:val="-9"/>
        </w:rPr>
        <w:t> </w:t>
      </w:r>
      <w:r>
        <w:rPr/>
        <w:t>derecho</w:t>
      </w:r>
      <w:r>
        <w:rPr>
          <w:spacing w:val="-8"/>
        </w:rPr>
        <w:t> </w:t>
      </w:r>
      <w:r>
        <w:rPr/>
        <w:t>de</w:t>
      </w:r>
      <w:r>
        <w:rPr>
          <w:spacing w:val="-8"/>
        </w:rPr>
        <w:t> </w:t>
      </w:r>
      <w:r>
        <w:rPr/>
        <w:t>propiedad</w:t>
      </w:r>
      <w:r>
        <w:rPr>
          <w:spacing w:val="-8"/>
        </w:rPr>
        <w:t> </w:t>
      </w:r>
      <w:r>
        <w:rPr/>
        <w:t>de</w:t>
      </w:r>
      <w:r>
        <w:rPr>
          <w:spacing w:val="-8"/>
        </w:rPr>
        <w:t> </w:t>
      </w:r>
      <w:r>
        <w:rPr/>
        <w:t>posesión</w:t>
      </w:r>
      <w:r>
        <w:rPr>
          <w:spacing w:val="-6"/>
        </w:rPr>
        <w:t> </w:t>
      </w:r>
      <w:r>
        <w:rPr/>
        <w:t>o</w:t>
      </w:r>
      <w:r>
        <w:rPr>
          <w:spacing w:val="-8"/>
        </w:rPr>
        <w:t> </w:t>
      </w:r>
      <w:r>
        <w:rPr/>
        <w:t>cualquier</w:t>
      </w:r>
      <w:r>
        <w:rPr>
          <w:spacing w:val="-7"/>
        </w:rPr>
        <w:t> </w:t>
      </w:r>
      <w:r>
        <w:rPr/>
        <w:t>otro</w:t>
      </w:r>
      <w:r>
        <w:rPr>
          <w:spacing w:val="-8"/>
        </w:rPr>
        <w:t> </w:t>
      </w:r>
      <w:r>
        <w:rPr/>
        <w:t>derivado</w:t>
      </w:r>
      <w:r>
        <w:rPr>
          <w:spacing w:val="-6"/>
        </w:rPr>
        <w:t> </w:t>
      </w:r>
      <w:r>
        <w:rPr/>
        <w:t>de la tenencia de bienes inmuebles ubicados en dichos centros, se sujetará a la zonificación general, primaria y secundaria según el nivel de planeación que corresponda, donde se establecerán las provisiones, reservas, modalidades, usos y destinos de áreas y predios que determinen, conforme a</w:t>
      </w:r>
      <w:r>
        <w:rPr>
          <w:spacing w:val="-8"/>
        </w:rPr>
        <w:t> </w:t>
      </w:r>
      <w:r>
        <w:rPr/>
        <w:t>lo</w:t>
      </w:r>
      <w:r>
        <w:rPr>
          <w:spacing w:val="-8"/>
        </w:rPr>
        <w:t> </w:t>
      </w:r>
      <w:r>
        <w:rPr/>
        <w:t>dispuesto</w:t>
      </w:r>
      <w:r>
        <w:rPr>
          <w:spacing w:val="-8"/>
        </w:rPr>
        <w:t> </w:t>
      </w:r>
      <w:r>
        <w:rPr/>
        <w:t>en</w:t>
      </w:r>
      <w:r>
        <w:rPr>
          <w:spacing w:val="-8"/>
        </w:rPr>
        <w:t> </w:t>
      </w:r>
      <w:r>
        <w:rPr/>
        <w:t>esta</w:t>
      </w:r>
      <w:r>
        <w:rPr>
          <w:spacing w:val="-6"/>
        </w:rPr>
        <w:t> </w:t>
      </w:r>
      <w:r>
        <w:rPr/>
        <w:t>Ley</w:t>
      </w:r>
      <w:r>
        <w:rPr>
          <w:spacing w:val="-6"/>
        </w:rPr>
        <w:t> </w:t>
      </w:r>
      <w:r>
        <w:rPr/>
        <w:t>y</w:t>
      </w:r>
      <w:r>
        <w:rPr>
          <w:spacing w:val="-6"/>
        </w:rPr>
        <w:t> </w:t>
      </w:r>
      <w:r>
        <w:rPr/>
        <w:t>demás</w:t>
      </w:r>
      <w:r>
        <w:rPr>
          <w:spacing w:val="-6"/>
        </w:rPr>
        <w:t> </w:t>
      </w:r>
      <w:r>
        <w:rPr/>
        <w:t>disposiciones</w:t>
      </w:r>
      <w:r>
        <w:rPr>
          <w:spacing w:val="-6"/>
        </w:rPr>
        <w:t> </w:t>
      </w:r>
      <w:r>
        <w:rPr/>
        <w:t>jurídicas</w:t>
      </w:r>
      <w:r>
        <w:rPr>
          <w:spacing w:val="-7"/>
        </w:rPr>
        <w:t> </w:t>
      </w:r>
      <w:r>
        <w:rPr/>
        <w:t>aplicables,</w:t>
      </w:r>
      <w:r>
        <w:rPr>
          <w:spacing w:val="-7"/>
        </w:rPr>
        <w:t> </w:t>
      </w:r>
      <w:r>
        <w:rPr/>
        <w:t>las</w:t>
      </w:r>
      <w:r>
        <w:rPr>
          <w:spacing w:val="-7"/>
        </w:rPr>
        <w:t> </w:t>
      </w:r>
      <w:r>
        <w:rPr/>
        <w:t>autoridades</w:t>
      </w:r>
      <w:r>
        <w:rPr>
          <w:spacing w:val="-6"/>
        </w:rPr>
        <w:t> </w:t>
      </w:r>
      <w:r>
        <w:rPr/>
        <w:t>competentes, en los programas de ordenamiento territorial y desarrollo urbano.</w:t>
      </w:r>
    </w:p>
    <w:p>
      <w:pPr>
        <w:pStyle w:val="BodyText"/>
      </w:pPr>
    </w:p>
    <w:p>
      <w:pPr>
        <w:pStyle w:val="BodyText"/>
        <w:ind w:left="262" w:right="284"/>
        <w:jc w:val="both"/>
      </w:pPr>
      <w:r>
        <w:rPr>
          <w:rFonts w:ascii="Arial" w:hAnsi="Arial"/>
          <w:b/>
        </w:rPr>
        <w:t>ARTÍCULO 107. </w:t>
      </w:r>
      <w:r>
        <w:rPr/>
        <w:t>Las áreas y predios de los centros de población, cualquiera que sea su régimen jurídico, están sujetos a las disposiciones que en materia de ordenación urbana dicten las autoridades conforme a esta Ley y demás disposiciones jurídicas aplicables.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0"/>
        <w:jc w:val="both"/>
      </w:pPr>
      <w:r>
        <w:rPr>
          <w:rFonts w:ascii="Arial" w:hAnsi="Arial"/>
          <w:b/>
        </w:rPr>
        <w:t>ARTÍCULO</w:t>
      </w:r>
      <w:r>
        <w:rPr>
          <w:rFonts w:ascii="Arial" w:hAnsi="Arial"/>
          <w:b/>
          <w:spacing w:val="-4"/>
        </w:rPr>
        <w:t> </w:t>
      </w:r>
      <w:r>
        <w:rPr>
          <w:rFonts w:ascii="Arial" w:hAnsi="Arial"/>
          <w:b/>
        </w:rPr>
        <w:t>108.</w:t>
      </w:r>
      <w:r>
        <w:rPr>
          <w:rFonts w:ascii="Arial" w:hAnsi="Arial"/>
          <w:b/>
          <w:spacing w:val="-3"/>
        </w:rPr>
        <w:t> </w:t>
      </w:r>
      <w:r>
        <w:rPr/>
        <w:t>Las</w:t>
      </w:r>
      <w:r>
        <w:rPr>
          <w:spacing w:val="-4"/>
        </w:rPr>
        <w:t> </w:t>
      </w:r>
      <w:r>
        <w:rPr/>
        <w:t>tierras</w:t>
      </w:r>
      <w:r>
        <w:rPr>
          <w:spacing w:val="-4"/>
        </w:rPr>
        <w:t> </w:t>
      </w:r>
      <w:r>
        <w:rPr/>
        <w:t>agrícolas,</w:t>
      </w:r>
      <w:r>
        <w:rPr>
          <w:spacing w:val="-3"/>
        </w:rPr>
        <w:t> </w:t>
      </w:r>
      <w:r>
        <w:rPr/>
        <w:t>pecuarias</w:t>
      </w:r>
      <w:r>
        <w:rPr>
          <w:spacing w:val="-4"/>
        </w:rPr>
        <w:t> </w:t>
      </w:r>
      <w:r>
        <w:rPr/>
        <w:t>y</w:t>
      </w:r>
      <w:r>
        <w:rPr>
          <w:spacing w:val="-4"/>
        </w:rPr>
        <w:t> </w:t>
      </w:r>
      <w:r>
        <w:rPr/>
        <w:t>forestales,</w:t>
      </w:r>
      <w:r>
        <w:rPr>
          <w:spacing w:val="-3"/>
        </w:rPr>
        <w:t> </w:t>
      </w:r>
      <w:r>
        <w:rPr/>
        <w:t>las</w:t>
      </w:r>
      <w:r>
        <w:rPr>
          <w:spacing w:val="-2"/>
        </w:rPr>
        <w:t> </w:t>
      </w:r>
      <w:r>
        <w:rPr/>
        <w:t>que</w:t>
      </w:r>
      <w:r>
        <w:rPr>
          <w:spacing w:val="-3"/>
        </w:rPr>
        <w:t> </w:t>
      </w:r>
      <w:r>
        <w:rPr/>
        <w:t>se</w:t>
      </w:r>
      <w:r>
        <w:rPr>
          <w:spacing w:val="-5"/>
        </w:rPr>
        <w:t> </w:t>
      </w:r>
      <w:r>
        <w:rPr/>
        <w:t>encuentren</w:t>
      </w:r>
      <w:r>
        <w:rPr>
          <w:spacing w:val="-6"/>
        </w:rPr>
        <w:t> </w:t>
      </w:r>
      <w:r>
        <w:rPr/>
        <w:t>en</w:t>
      </w:r>
      <w:r>
        <w:rPr>
          <w:spacing w:val="-3"/>
        </w:rPr>
        <w:t> </w:t>
      </w:r>
      <w:r>
        <w:rPr/>
        <w:t>explotación minera</w:t>
      </w:r>
      <w:r>
        <w:rPr>
          <w:spacing w:val="-5"/>
        </w:rPr>
        <w:t> </w:t>
      </w:r>
      <w:r>
        <w:rPr/>
        <w:t>o</w:t>
      </w:r>
      <w:r>
        <w:rPr>
          <w:spacing w:val="-5"/>
        </w:rPr>
        <w:t> </w:t>
      </w:r>
      <w:r>
        <w:rPr/>
        <w:t>que</w:t>
      </w:r>
      <w:r>
        <w:rPr>
          <w:spacing w:val="-6"/>
        </w:rPr>
        <w:t> </w:t>
      </w:r>
      <w:r>
        <w:rPr/>
        <w:t>sean</w:t>
      </w:r>
      <w:r>
        <w:rPr>
          <w:spacing w:val="-5"/>
        </w:rPr>
        <w:t> </w:t>
      </w:r>
      <w:r>
        <w:rPr/>
        <w:t>aptas</w:t>
      </w:r>
      <w:r>
        <w:rPr>
          <w:spacing w:val="-3"/>
        </w:rPr>
        <w:t> </w:t>
      </w:r>
      <w:r>
        <w:rPr/>
        <w:t>para</w:t>
      </w:r>
      <w:r>
        <w:rPr>
          <w:spacing w:val="-5"/>
        </w:rPr>
        <w:t> </w:t>
      </w:r>
      <w:r>
        <w:rPr/>
        <w:t>estos</w:t>
      </w:r>
      <w:r>
        <w:rPr>
          <w:spacing w:val="-3"/>
        </w:rPr>
        <w:t> </w:t>
      </w:r>
      <w:r>
        <w:rPr/>
        <w:t>tipos</w:t>
      </w:r>
      <w:r>
        <w:rPr>
          <w:spacing w:val="-5"/>
        </w:rPr>
        <w:t> </w:t>
      </w:r>
      <w:r>
        <w:rPr/>
        <w:t>de</w:t>
      </w:r>
      <w:r>
        <w:rPr>
          <w:spacing w:val="-5"/>
        </w:rPr>
        <w:t> </w:t>
      </w:r>
      <w:r>
        <w:rPr/>
        <w:t>explotación,</w:t>
      </w:r>
      <w:r>
        <w:rPr>
          <w:spacing w:val="-4"/>
        </w:rPr>
        <w:t> </w:t>
      </w:r>
      <w:r>
        <w:rPr/>
        <w:t>así</w:t>
      </w:r>
      <w:r>
        <w:rPr>
          <w:spacing w:val="-5"/>
        </w:rPr>
        <w:t> </w:t>
      </w:r>
      <w:r>
        <w:rPr/>
        <w:t>como</w:t>
      </w:r>
      <w:r>
        <w:rPr>
          <w:spacing w:val="-6"/>
        </w:rPr>
        <w:t> </w:t>
      </w:r>
      <w:r>
        <w:rPr/>
        <w:t>las</w:t>
      </w:r>
      <w:r>
        <w:rPr>
          <w:spacing w:val="-5"/>
        </w:rPr>
        <w:t> </w:t>
      </w:r>
      <w:r>
        <w:rPr/>
        <w:t>destinadas</w:t>
      </w:r>
      <w:r>
        <w:rPr>
          <w:spacing w:val="-5"/>
        </w:rPr>
        <w:t> </w:t>
      </w:r>
      <w:r>
        <w:rPr/>
        <w:t>a</w:t>
      </w:r>
      <w:r>
        <w:rPr>
          <w:spacing w:val="-6"/>
        </w:rPr>
        <w:t> </w:t>
      </w:r>
      <w:r>
        <w:rPr/>
        <w:t>la</w:t>
      </w:r>
      <w:r>
        <w:rPr>
          <w:spacing w:val="-6"/>
        </w:rPr>
        <w:t> </w:t>
      </w:r>
      <w:r>
        <w:rPr/>
        <w:t>preservación ecológica</w:t>
      </w:r>
      <w:r>
        <w:rPr>
          <w:spacing w:val="-4"/>
        </w:rPr>
        <w:t> </w:t>
      </w:r>
      <w:r>
        <w:rPr/>
        <w:t>o</w:t>
      </w:r>
      <w:r>
        <w:rPr>
          <w:spacing w:val="-6"/>
        </w:rPr>
        <w:t> </w:t>
      </w:r>
      <w:r>
        <w:rPr/>
        <w:t>con</w:t>
      </w:r>
      <w:r>
        <w:rPr>
          <w:spacing w:val="-4"/>
        </w:rPr>
        <w:t> </w:t>
      </w:r>
      <w:r>
        <w:rPr/>
        <w:t>valor</w:t>
      </w:r>
      <w:r>
        <w:rPr>
          <w:spacing w:val="-3"/>
        </w:rPr>
        <w:t> </w:t>
      </w:r>
      <w:r>
        <w:rPr/>
        <w:t>para</w:t>
      </w:r>
      <w:r>
        <w:rPr>
          <w:spacing w:val="-4"/>
        </w:rPr>
        <w:t> </w:t>
      </w:r>
      <w:r>
        <w:rPr/>
        <w:t>las</w:t>
      </w:r>
      <w:r>
        <w:rPr>
          <w:spacing w:val="-5"/>
        </w:rPr>
        <w:t> </w:t>
      </w:r>
      <w:r>
        <w:rPr/>
        <w:t>funciones</w:t>
      </w:r>
      <w:r>
        <w:rPr>
          <w:spacing w:val="-3"/>
        </w:rPr>
        <w:t> </w:t>
      </w:r>
      <w:r>
        <w:rPr/>
        <w:t>ambientales,</w:t>
      </w:r>
      <w:r>
        <w:rPr>
          <w:spacing w:val="-4"/>
        </w:rPr>
        <w:t> </w:t>
      </w:r>
      <w:r>
        <w:rPr/>
        <w:t>deberán</w:t>
      </w:r>
      <w:r>
        <w:rPr>
          <w:spacing w:val="-7"/>
        </w:rPr>
        <w:t> </w:t>
      </w:r>
      <w:r>
        <w:rPr/>
        <w:t>utilizarse preferentemente</w:t>
      </w:r>
      <w:r>
        <w:rPr>
          <w:spacing w:val="-4"/>
        </w:rPr>
        <w:t> </w:t>
      </w:r>
      <w:r>
        <w:rPr/>
        <w:t>en</w:t>
      </w:r>
      <w:r>
        <w:rPr>
          <w:spacing w:val="-5"/>
        </w:rPr>
        <w:t> </w:t>
      </w:r>
      <w:r>
        <w:rPr/>
        <w:t>dichas actividades o fines.</w:t>
      </w:r>
    </w:p>
    <w:p>
      <w:pPr>
        <w:pStyle w:val="BodyText"/>
      </w:pPr>
    </w:p>
    <w:p>
      <w:pPr>
        <w:pStyle w:val="BodyText"/>
        <w:ind w:left="262" w:right="278"/>
        <w:jc w:val="both"/>
      </w:pPr>
      <w:r>
        <w:rPr>
          <w:rFonts w:ascii="Arial" w:hAnsi="Arial"/>
          <w:b/>
        </w:rPr>
        <w:t>ARTÍCULO 109. </w:t>
      </w:r>
      <w:r>
        <w:rPr/>
        <w:t>Los programas municipales de ordenamiento territorial y desarrollo urbano, los programas de desarrollo urbano de centros de población y los demás que de éstos deriven, señalarán</w:t>
      </w:r>
      <w:r>
        <w:rPr>
          <w:spacing w:val="-6"/>
        </w:rPr>
        <w:t> </w:t>
      </w:r>
      <w:r>
        <w:rPr/>
        <w:t>las</w:t>
      </w:r>
      <w:r>
        <w:rPr>
          <w:spacing w:val="-8"/>
        </w:rPr>
        <w:t> </w:t>
      </w:r>
      <w:r>
        <w:rPr/>
        <w:t>acciones</w:t>
      </w:r>
      <w:r>
        <w:rPr>
          <w:spacing w:val="-7"/>
        </w:rPr>
        <w:t> </w:t>
      </w:r>
      <w:r>
        <w:rPr/>
        <w:t>específicas</w:t>
      </w:r>
      <w:r>
        <w:rPr>
          <w:spacing w:val="-8"/>
        </w:rPr>
        <w:t> </w:t>
      </w:r>
      <w:r>
        <w:rPr/>
        <w:t>para</w:t>
      </w:r>
      <w:r>
        <w:rPr>
          <w:spacing w:val="-7"/>
        </w:rPr>
        <w:t> </w:t>
      </w:r>
      <w:r>
        <w:rPr/>
        <w:t>la</w:t>
      </w:r>
      <w:r>
        <w:rPr>
          <w:spacing w:val="-7"/>
        </w:rPr>
        <w:t> </w:t>
      </w:r>
      <w:r>
        <w:rPr/>
        <w:t>conservación,</w:t>
      </w:r>
      <w:r>
        <w:rPr>
          <w:spacing w:val="-8"/>
        </w:rPr>
        <w:t> </w:t>
      </w:r>
      <w:r>
        <w:rPr/>
        <w:t>mejoramiento</w:t>
      </w:r>
      <w:r>
        <w:rPr>
          <w:spacing w:val="-8"/>
        </w:rPr>
        <w:t> </w:t>
      </w:r>
      <w:r>
        <w:rPr/>
        <w:t>y</w:t>
      </w:r>
      <w:r>
        <w:rPr>
          <w:spacing w:val="-7"/>
        </w:rPr>
        <w:t> </w:t>
      </w:r>
      <w:r>
        <w:rPr/>
        <w:t>crecimiento</w:t>
      </w:r>
      <w:r>
        <w:rPr>
          <w:spacing w:val="-7"/>
        </w:rPr>
        <w:t> </w:t>
      </w:r>
      <w:r>
        <w:rPr/>
        <w:t>de los</w:t>
      </w:r>
      <w:r>
        <w:rPr>
          <w:spacing w:val="-8"/>
        </w:rPr>
        <w:t> </w:t>
      </w:r>
      <w:r>
        <w:rPr/>
        <w:t>centros de población situados en sus respectivas jurisdicciones territoriales y establecerán la zonificación correspondiente, en congruencia con el Programa Estatal de Ordenamiento Territorial y Desarrollo Urbano y los programas de zonas conurbadas en su caso.</w:t>
      </w:r>
    </w:p>
    <w:p>
      <w:pPr>
        <w:pStyle w:val="BodyText"/>
        <w:spacing w:before="1"/>
      </w:pPr>
    </w:p>
    <w:p>
      <w:pPr>
        <w:pStyle w:val="BodyText"/>
        <w:ind w:left="262" w:right="277"/>
        <w:jc w:val="both"/>
      </w:pPr>
      <w:r>
        <w:rPr>
          <w:rFonts w:ascii="Arial" w:hAnsi="Arial"/>
          <w:b/>
        </w:rPr>
        <w:t>ARTÍCULO 110. </w:t>
      </w:r>
      <w:r>
        <w:rPr/>
        <w:t>Los propietarios y poseedores de inmuebles incluidos en los Programas de Desarrollo Urbano de Centros de Población y en los Programas Parciales que de ellos deriven, deberán cumplir con las obligaciones derivadas de los mismos. Para este efecto, podrán celebrar convenios</w:t>
      </w:r>
      <w:r>
        <w:rPr>
          <w:spacing w:val="-1"/>
        </w:rPr>
        <w:t> </w:t>
      </w:r>
      <w:r>
        <w:rPr/>
        <w:t>entre sí,</w:t>
      </w:r>
      <w:r>
        <w:rPr>
          <w:spacing w:val="-2"/>
        </w:rPr>
        <w:t> </w:t>
      </w:r>
      <w:r>
        <w:rPr/>
        <w:t>con el Gobierno</w:t>
      </w:r>
      <w:r>
        <w:rPr>
          <w:spacing w:val="-2"/>
        </w:rPr>
        <w:t> </w:t>
      </w:r>
      <w:r>
        <w:rPr/>
        <w:t>del</w:t>
      </w:r>
      <w:r>
        <w:rPr>
          <w:spacing w:val="-1"/>
        </w:rPr>
        <w:t> </w:t>
      </w:r>
      <w:r>
        <w:rPr/>
        <w:t>Estado</w:t>
      </w:r>
      <w:r>
        <w:rPr>
          <w:spacing w:val="-3"/>
        </w:rPr>
        <w:t> </w:t>
      </w:r>
      <w:r>
        <w:rPr/>
        <w:t>y los ayuntamientos,</w:t>
      </w:r>
      <w:r>
        <w:rPr>
          <w:spacing w:val="-2"/>
        </w:rPr>
        <w:t> </w:t>
      </w:r>
      <w:r>
        <w:rPr/>
        <w:t>con</w:t>
      </w:r>
      <w:r>
        <w:rPr>
          <w:spacing w:val="-2"/>
        </w:rPr>
        <w:t> </w:t>
      </w:r>
      <w:r>
        <w:rPr/>
        <w:t>dependencias</w:t>
      </w:r>
      <w:r>
        <w:rPr>
          <w:spacing w:val="-1"/>
        </w:rPr>
        <w:t> </w:t>
      </w:r>
      <w:r>
        <w:rPr/>
        <w:t>y</w:t>
      </w:r>
      <w:r>
        <w:rPr>
          <w:spacing w:val="-1"/>
        </w:rPr>
        <w:t> </w:t>
      </w:r>
      <w:r>
        <w:rPr/>
        <w:t>entidades de la administración pública federal o con terceros.</w:t>
      </w:r>
    </w:p>
    <w:p>
      <w:pPr>
        <w:pStyle w:val="BodyText"/>
      </w:pPr>
    </w:p>
    <w:p>
      <w:pPr>
        <w:pStyle w:val="BodyText"/>
        <w:ind w:left="262" w:right="278"/>
        <w:jc w:val="both"/>
      </w:pPr>
      <w:r>
        <w:rPr>
          <w:rFonts w:ascii="Arial" w:hAnsi="Arial"/>
          <w:b/>
        </w:rPr>
        <w:t>ARTÍCULO</w:t>
      </w:r>
      <w:r>
        <w:rPr>
          <w:rFonts w:ascii="Arial" w:hAnsi="Arial"/>
          <w:b/>
          <w:spacing w:val="-3"/>
        </w:rPr>
        <w:t> </w:t>
      </w:r>
      <w:r>
        <w:rPr>
          <w:rFonts w:ascii="Arial" w:hAnsi="Arial"/>
          <w:b/>
        </w:rPr>
        <w:t>111.</w:t>
      </w:r>
      <w:r>
        <w:rPr>
          <w:rFonts w:ascii="Arial" w:hAnsi="Arial"/>
          <w:b/>
          <w:spacing w:val="-2"/>
        </w:rPr>
        <w:t> </w:t>
      </w:r>
      <w:r>
        <w:rPr/>
        <w:t>El</w:t>
      </w:r>
      <w:r>
        <w:rPr>
          <w:spacing w:val="-5"/>
        </w:rPr>
        <w:t> </w:t>
      </w:r>
      <w:r>
        <w:rPr/>
        <w:t>Gobierno</w:t>
      </w:r>
      <w:r>
        <w:rPr>
          <w:spacing w:val="-5"/>
        </w:rPr>
        <w:t> </w:t>
      </w:r>
      <w:r>
        <w:rPr/>
        <w:t>del</w:t>
      </w:r>
      <w:r>
        <w:rPr>
          <w:spacing w:val="-5"/>
        </w:rPr>
        <w:t> </w:t>
      </w:r>
      <w:r>
        <w:rPr/>
        <w:t>Estado</w:t>
      </w:r>
      <w:r>
        <w:rPr>
          <w:spacing w:val="-4"/>
        </w:rPr>
        <w:t> </w:t>
      </w:r>
      <w:r>
        <w:rPr/>
        <w:t>por</w:t>
      </w:r>
      <w:r>
        <w:rPr>
          <w:spacing w:val="-4"/>
        </w:rPr>
        <w:t> </w:t>
      </w:r>
      <w:r>
        <w:rPr/>
        <w:t>sí</w:t>
      </w:r>
      <w:r>
        <w:rPr>
          <w:spacing w:val="-4"/>
        </w:rPr>
        <w:t> </w:t>
      </w:r>
      <w:r>
        <w:rPr/>
        <w:t>o</w:t>
      </w:r>
      <w:r>
        <w:rPr>
          <w:spacing w:val="-5"/>
        </w:rPr>
        <w:t> </w:t>
      </w:r>
      <w:r>
        <w:rPr/>
        <w:t>a</w:t>
      </w:r>
      <w:r>
        <w:rPr>
          <w:spacing w:val="-5"/>
        </w:rPr>
        <w:t> </w:t>
      </w:r>
      <w:r>
        <w:rPr/>
        <w:t>solicitud</w:t>
      </w:r>
      <w:r>
        <w:rPr>
          <w:spacing w:val="-4"/>
        </w:rPr>
        <w:t> </w:t>
      </w:r>
      <w:r>
        <w:rPr/>
        <w:t>de</w:t>
      </w:r>
      <w:r>
        <w:rPr>
          <w:spacing w:val="-4"/>
        </w:rPr>
        <w:t> </w:t>
      </w:r>
      <w:r>
        <w:rPr/>
        <w:t>los</w:t>
      </w:r>
      <w:r>
        <w:rPr>
          <w:spacing w:val="-3"/>
        </w:rPr>
        <w:t> </w:t>
      </w:r>
      <w:r>
        <w:rPr/>
        <w:t>ayuntamientos,</w:t>
      </w:r>
      <w:r>
        <w:rPr>
          <w:spacing w:val="-4"/>
        </w:rPr>
        <w:t> </w:t>
      </w:r>
      <w:r>
        <w:rPr/>
        <w:t>podrá</w:t>
      </w:r>
      <w:r>
        <w:rPr>
          <w:spacing w:val="-4"/>
        </w:rPr>
        <w:t> </w:t>
      </w:r>
      <w:r>
        <w:rPr/>
        <w:t>proceder</w:t>
      </w:r>
      <w:r>
        <w:rPr>
          <w:spacing w:val="-4"/>
        </w:rPr>
        <w:t> </w:t>
      </w:r>
      <w:r>
        <w:rPr/>
        <w:t>a la expropiación por causa de utilidad pública e interés social, en los términos de la legislación aplicable,</w:t>
      </w:r>
      <w:r>
        <w:rPr>
          <w:spacing w:val="-14"/>
        </w:rPr>
        <w:t> </w:t>
      </w:r>
      <w:r>
        <w:rPr/>
        <w:t>cuando</w:t>
      </w:r>
      <w:r>
        <w:rPr>
          <w:spacing w:val="-14"/>
        </w:rPr>
        <w:t> </w:t>
      </w:r>
      <w:r>
        <w:rPr/>
        <w:t>resulte</w:t>
      </w:r>
      <w:r>
        <w:rPr>
          <w:spacing w:val="-14"/>
        </w:rPr>
        <w:t> </w:t>
      </w:r>
      <w:r>
        <w:rPr/>
        <w:t>necesario</w:t>
      </w:r>
      <w:r>
        <w:rPr>
          <w:spacing w:val="-13"/>
        </w:rPr>
        <w:t> </w:t>
      </w:r>
      <w:r>
        <w:rPr/>
        <w:t>para</w:t>
      </w:r>
      <w:r>
        <w:rPr>
          <w:spacing w:val="-13"/>
        </w:rPr>
        <w:t> </w:t>
      </w:r>
      <w:r>
        <w:rPr/>
        <w:t>efectos</w:t>
      </w:r>
      <w:r>
        <w:rPr>
          <w:spacing w:val="-13"/>
        </w:rPr>
        <w:t> </w:t>
      </w:r>
      <w:r>
        <w:rPr/>
        <w:t>del</w:t>
      </w:r>
      <w:r>
        <w:rPr>
          <w:spacing w:val="-14"/>
        </w:rPr>
        <w:t> </w:t>
      </w:r>
      <w:r>
        <w:rPr/>
        <w:t>ordenamiento</w:t>
      </w:r>
      <w:r>
        <w:rPr>
          <w:spacing w:val="-14"/>
        </w:rPr>
        <w:t> </w:t>
      </w:r>
      <w:r>
        <w:rPr/>
        <w:t>de</w:t>
      </w:r>
      <w:r>
        <w:rPr>
          <w:spacing w:val="-14"/>
        </w:rPr>
        <w:t> </w:t>
      </w:r>
      <w:r>
        <w:rPr/>
        <w:t>centros</w:t>
      </w:r>
      <w:r>
        <w:rPr>
          <w:spacing w:val="-13"/>
        </w:rPr>
        <w:t> </w:t>
      </w:r>
      <w:r>
        <w:rPr/>
        <w:t>de</w:t>
      </w:r>
      <w:r>
        <w:rPr>
          <w:spacing w:val="-14"/>
        </w:rPr>
        <w:t> </w:t>
      </w:r>
      <w:r>
        <w:rPr/>
        <w:t>población,</w:t>
      </w:r>
      <w:r>
        <w:rPr>
          <w:spacing w:val="-14"/>
        </w:rPr>
        <w:t> </w:t>
      </w:r>
      <w:r>
        <w:rPr/>
        <w:t>en</w:t>
      </w:r>
      <w:r>
        <w:rPr>
          <w:spacing w:val="-13"/>
        </w:rPr>
        <w:t> </w:t>
      </w:r>
      <w:r>
        <w:rPr/>
        <w:t>virtud de que los propietarios o poseedores no lleguen a una concertación con las autoridades o no cumplan con las obligaciones que adquieren en los convenios a que se refiere el artículo anterior.</w:t>
      </w:r>
    </w:p>
    <w:p>
      <w:pPr>
        <w:pStyle w:val="BodyText"/>
        <w:spacing w:before="1"/>
      </w:pPr>
    </w:p>
    <w:p>
      <w:pPr>
        <w:pStyle w:val="BodyText"/>
        <w:ind w:left="262" w:right="279"/>
        <w:jc w:val="both"/>
      </w:pPr>
      <w:r>
        <w:rPr/>
        <w:t>Cuando</w:t>
      </w:r>
      <w:r>
        <w:rPr>
          <w:spacing w:val="-10"/>
        </w:rPr>
        <w:t> </w:t>
      </w:r>
      <w:r>
        <w:rPr/>
        <w:t>por</w:t>
      </w:r>
      <w:r>
        <w:rPr>
          <w:spacing w:val="-9"/>
        </w:rPr>
        <w:t> </w:t>
      </w:r>
      <w:r>
        <w:rPr/>
        <w:t>la</w:t>
      </w:r>
      <w:r>
        <w:rPr>
          <w:spacing w:val="-10"/>
        </w:rPr>
        <w:t> </w:t>
      </w:r>
      <w:r>
        <w:rPr/>
        <w:t>magnitud</w:t>
      </w:r>
      <w:r>
        <w:rPr>
          <w:spacing w:val="-10"/>
        </w:rPr>
        <w:t> </w:t>
      </w:r>
      <w:r>
        <w:rPr/>
        <w:t>del</w:t>
      </w:r>
      <w:r>
        <w:rPr>
          <w:spacing w:val="-9"/>
        </w:rPr>
        <w:t> </w:t>
      </w:r>
      <w:r>
        <w:rPr/>
        <w:t>importe</w:t>
      </w:r>
      <w:r>
        <w:rPr>
          <w:spacing w:val="-10"/>
        </w:rPr>
        <w:t> </w:t>
      </w:r>
      <w:r>
        <w:rPr/>
        <w:t>total</w:t>
      </w:r>
      <w:r>
        <w:rPr>
          <w:spacing w:val="-11"/>
        </w:rPr>
        <w:t> </w:t>
      </w:r>
      <w:r>
        <w:rPr/>
        <w:t>de</w:t>
      </w:r>
      <w:r>
        <w:rPr>
          <w:spacing w:val="-8"/>
        </w:rPr>
        <w:t> </w:t>
      </w:r>
      <w:r>
        <w:rPr/>
        <w:t>las</w:t>
      </w:r>
      <w:r>
        <w:rPr>
          <w:spacing w:val="-9"/>
        </w:rPr>
        <w:t> </w:t>
      </w:r>
      <w:r>
        <w:rPr/>
        <w:t>indemnizaciones</w:t>
      </w:r>
      <w:r>
        <w:rPr>
          <w:spacing w:val="-9"/>
        </w:rPr>
        <w:t> </w:t>
      </w:r>
      <w:r>
        <w:rPr/>
        <w:t>procedentes</w:t>
      </w:r>
      <w:r>
        <w:rPr>
          <w:spacing w:val="-9"/>
        </w:rPr>
        <w:t> </w:t>
      </w:r>
      <w:r>
        <w:rPr/>
        <w:t>de</w:t>
      </w:r>
      <w:r>
        <w:rPr>
          <w:spacing w:val="-8"/>
        </w:rPr>
        <w:t> </w:t>
      </w:r>
      <w:r>
        <w:rPr/>
        <w:t>las</w:t>
      </w:r>
      <w:r>
        <w:rPr>
          <w:spacing w:val="-9"/>
        </w:rPr>
        <w:t> </w:t>
      </w:r>
      <w:r>
        <w:rPr/>
        <w:t>expropiaciones no puedan ser inmediatas, serán cubiertas por el Gobierno del Estado o los ayuntamientos, en la </w:t>
      </w:r>
      <w:r>
        <w:rPr>
          <w:spacing w:val="-2"/>
        </w:rPr>
        <w:t>medida</w:t>
      </w:r>
      <w:r>
        <w:rPr>
          <w:spacing w:val="-6"/>
        </w:rPr>
        <w:t> </w:t>
      </w:r>
      <w:r>
        <w:rPr>
          <w:spacing w:val="-2"/>
        </w:rPr>
        <w:t>y</w:t>
      </w:r>
      <w:r>
        <w:rPr>
          <w:spacing w:val="-3"/>
        </w:rPr>
        <w:t> </w:t>
      </w:r>
      <w:r>
        <w:rPr>
          <w:spacing w:val="-2"/>
        </w:rPr>
        <w:t>plazos</w:t>
      </w:r>
      <w:r>
        <w:rPr>
          <w:spacing w:val="-3"/>
        </w:rPr>
        <w:t> </w:t>
      </w:r>
      <w:r>
        <w:rPr>
          <w:spacing w:val="-2"/>
        </w:rPr>
        <w:t>en</w:t>
      </w:r>
      <w:r>
        <w:rPr>
          <w:spacing w:val="-6"/>
        </w:rPr>
        <w:t> </w:t>
      </w:r>
      <w:r>
        <w:rPr>
          <w:spacing w:val="-2"/>
        </w:rPr>
        <w:t>que</w:t>
      </w:r>
      <w:r>
        <w:rPr>
          <w:spacing w:val="-6"/>
        </w:rPr>
        <w:t> </w:t>
      </w:r>
      <w:r>
        <w:rPr>
          <w:spacing w:val="-2"/>
        </w:rPr>
        <w:t>se</w:t>
      </w:r>
      <w:r>
        <w:rPr>
          <w:spacing w:val="-8"/>
        </w:rPr>
        <w:t> </w:t>
      </w:r>
      <w:r>
        <w:rPr>
          <w:spacing w:val="-2"/>
        </w:rPr>
        <w:t>capten</w:t>
      </w:r>
      <w:r>
        <w:rPr>
          <w:spacing w:val="-4"/>
        </w:rPr>
        <w:t> </w:t>
      </w:r>
      <w:r>
        <w:rPr>
          <w:spacing w:val="-2"/>
        </w:rPr>
        <w:t>los</w:t>
      </w:r>
      <w:r>
        <w:rPr>
          <w:spacing w:val="-7"/>
        </w:rPr>
        <w:t> </w:t>
      </w:r>
      <w:r>
        <w:rPr>
          <w:spacing w:val="-2"/>
        </w:rPr>
        <w:t>recursos</w:t>
      </w:r>
      <w:r>
        <w:rPr>
          <w:spacing w:val="-3"/>
        </w:rPr>
        <w:t> </w:t>
      </w:r>
      <w:r>
        <w:rPr>
          <w:spacing w:val="-2"/>
        </w:rPr>
        <w:t>provenientes</w:t>
      </w:r>
      <w:r>
        <w:rPr>
          <w:spacing w:val="-6"/>
        </w:rPr>
        <w:t> </w:t>
      </w:r>
      <w:r>
        <w:rPr>
          <w:spacing w:val="-2"/>
        </w:rPr>
        <w:t>del proceso</w:t>
      </w:r>
      <w:r>
        <w:rPr>
          <w:spacing w:val="-4"/>
        </w:rPr>
        <w:t> </w:t>
      </w:r>
      <w:r>
        <w:rPr>
          <w:spacing w:val="-2"/>
        </w:rPr>
        <w:t>de</w:t>
      </w:r>
      <w:r>
        <w:rPr>
          <w:spacing w:val="-4"/>
        </w:rPr>
        <w:t> </w:t>
      </w:r>
      <w:r>
        <w:rPr>
          <w:spacing w:val="-2"/>
        </w:rPr>
        <w:t>fundación,</w:t>
      </w:r>
      <w:r>
        <w:rPr>
          <w:spacing w:val="-7"/>
        </w:rPr>
        <w:t> </w:t>
      </w:r>
      <w:r>
        <w:rPr>
          <w:spacing w:val="-2"/>
        </w:rPr>
        <w:t>conservación, </w:t>
      </w:r>
      <w:r>
        <w:rPr/>
        <w:t>mejoramiento o crecimiento de los centros de población.</w:t>
      </w:r>
    </w:p>
    <w:p>
      <w:pPr>
        <w:pStyle w:val="BodyText"/>
      </w:pPr>
    </w:p>
    <w:p>
      <w:pPr>
        <w:pStyle w:val="BodyText"/>
      </w:pPr>
    </w:p>
    <w:p>
      <w:pPr>
        <w:pStyle w:val="Heading2"/>
        <w:spacing w:line="480" w:lineRule="auto"/>
        <w:ind w:left="4167" w:right="4182" w:hanging="1"/>
      </w:pPr>
      <w:r>
        <w:rPr/>
        <w:t>Capítulo II </w:t>
      </w:r>
      <w:r>
        <w:rPr>
          <w:spacing w:val="-2"/>
        </w:rPr>
        <w:t>Fundación</w:t>
      </w:r>
    </w:p>
    <w:p>
      <w:pPr>
        <w:pStyle w:val="BodyText"/>
        <w:ind w:left="262" w:right="277"/>
        <w:jc w:val="both"/>
      </w:pPr>
      <w:r>
        <w:rPr>
          <w:rFonts w:ascii="Arial" w:hAnsi="Arial"/>
          <w:b/>
        </w:rPr>
        <w:t>ARTÍCULO 112. </w:t>
      </w:r>
      <w:r>
        <w:rPr/>
        <w:t>La fundación de un centro de población deberá realizarse en tierras susceptibles para</w:t>
      </w:r>
      <w:r>
        <w:rPr>
          <w:spacing w:val="-9"/>
        </w:rPr>
        <w:t> </w:t>
      </w:r>
      <w:r>
        <w:rPr/>
        <w:t>el</w:t>
      </w:r>
      <w:r>
        <w:rPr>
          <w:spacing w:val="-10"/>
        </w:rPr>
        <w:t> </w:t>
      </w:r>
      <w:r>
        <w:rPr/>
        <w:t>aprovechamiento</w:t>
      </w:r>
      <w:r>
        <w:rPr>
          <w:spacing w:val="-7"/>
        </w:rPr>
        <w:t> </w:t>
      </w:r>
      <w:r>
        <w:rPr/>
        <w:t>urbano,</w:t>
      </w:r>
      <w:r>
        <w:rPr>
          <w:spacing w:val="-9"/>
        </w:rPr>
        <w:t> </w:t>
      </w:r>
      <w:r>
        <w:rPr/>
        <w:t>evaluando</w:t>
      </w:r>
      <w:r>
        <w:rPr>
          <w:spacing w:val="-9"/>
        </w:rPr>
        <w:t> </w:t>
      </w:r>
      <w:r>
        <w:rPr/>
        <w:t>su</w:t>
      </w:r>
      <w:r>
        <w:rPr>
          <w:spacing w:val="-9"/>
        </w:rPr>
        <w:t> </w:t>
      </w:r>
      <w:r>
        <w:rPr/>
        <w:t>impacto</w:t>
      </w:r>
      <w:r>
        <w:rPr>
          <w:spacing w:val="-9"/>
        </w:rPr>
        <w:t> </w:t>
      </w:r>
      <w:r>
        <w:rPr/>
        <w:t>ambiental</w:t>
      </w:r>
      <w:r>
        <w:rPr>
          <w:spacing w:val="-10"/>
        </w:rPr>
        <w:t> </w:t>
      </w:r>
      <w:r>
        <w:rPr/>
        <w:t>y</w:t>
      </w:r>
      <w:r>
        <w:rPr>
          <w:spacing w:val="-8"/>
        </w:rPr>
        <w:t> </w:t>
      </w:r>
      <w:r>
        <w:rPr/>
        <w:t>respetando</w:t>
      </w:r>
      <w:r>
        <w:rPr>
          <w:spacing w:val="-9"/>
        </w:rPr>
        <w:t> </w:t>
      </w:r>
      <w:r>
        <w:rPr/>
        <w:t>primordialmente</w:t>
      </w:r>
      <w:r>
        <w:rPr>
          <w:spacing w:val="-7"/>
        </w:rPr>
        <w:t> </w:t>
      </w:r>
      <w:r>
        <w:rPr/>
        <w:t>las áreas naturales protegidas y el patrón de asentamiento humano y las comunidades indígenas; asimismo, se debe planear su desarrollo urbano, determinando sus características, previendo los elementos necesarios de equipamiento, infraestructura y de servicios; para ello es necesaria la formulación del correspondiente Programa de Desarrollo Urbano de Centro de Población correspondiente en términos de las disposiciones de esta Ley.</w:t>
      </w:r>
    </w:p>
    <w:p>
      <w:pPr>
        <w:pStyle w:val="BodyText"/>
        <w:spacing w:before="1"/>
      </w:pPr>
    </w:p>
    <w:p>
      <w:pPr>
        <w:pStyle w:val="BodyText"/>
        <w:ind w:left="262" w:right="285"/>
        <w:jc w:val="both"/>
      </w:pPr>
      <w:r>
        <w:rPr>
          <w:rFonts w:ascii="Arial" w:hAnsi="Arial"/>
          <w:b/>
        </w:rPr>
        <w:t>ARTÍCULO</w:t>
      </w:r>
      <w:r>
        <w:rPr>
          <w:rFonts w:ascii="Arial" w:hAnsi="Arial"/>
          <w:b/>
          <w:spacing w:val="-14"/>
        </w:rPr>
        <w:t> </w:t>
      </w:r>
      <w:r>
        <w:rPr>
          <w:rFonts w:ascii="Arial" w:hAnsi="Arial"/>
          <w:b/>
        </w:rPr>
        <w:t>113.</w:t>
      </w:r>
      <w:r>
        <w:rPr>
          <w:rFonts w:ascii="Arial" w:hAnsi="Arial"/>
          <w:b/>
          <w:spacing w:val="-14"/>
        </w:rPr>
        <w:t> </w:t>
      </w:r>
      <w:r>
        <w:rPr/>
        <w:t>La</w:t>
      </w:r>
      <w:r>
        <w:rPr>
          <w:spacing w:val="-14"/>
        </w:rPr>
        <w:t> </w:t>
      </w:r>
      <w:r>
        <w:rPr/>
        <w:t>fundación</w:t>
      </w:r>
      <w:r>
        <w:rPr>
          <w:spacing w:val="-14"/>
        </w:rPr>
        <w:t> </w:t>
      </w:r>
      <w:r>
        <w:rPr/>
        <w:t>de</w:t>
      </w:r>
      <w:r>
        <w:rPr>
          <w:spacing w:val="-14"/>
        </w:rPr>
        <w:t> </w:t>
      </w:r>
      <w:r>
        <w:rPr/>
        <w:t>centros</w:t>
      </w:r>
      <w:r>
        <w:rPr>
          <w:spacing w:val="-14"/>
        </w:rPr>
        <w:t> </w:t>
      </w:r>
      <w:r>
        <w:rPr/>
        <w:t>de</w:t>
      </w:r>
      <w:r>
        <w:rPr>
          <w:spacing w:val="-14"/>
        </w:rPr>
        <w:t> </w:t>
      </w:r>
      <w:r>
        <w:rPr/>
        <w:t>población,</w:t>
      </w:r>
      <w:r>
        <w:rPr>
          <w:spacing w:val="-14"/>
        </w:rPr>
        <w:t> </w:t>
      </w:r>
      <w:r>
        <w:rPr/>
        <w:t>que</w:t>
      </w:r>
      <w:r>
        <w:rPr>
          <w:spacing w:val="-14"/>
        </w:rPr>
        <w:t> </w:t>
      </w:r>
      <w:r>
        <w:rPr/>
        <w:t>se</w:t>
      </w:r>
      <w:r>
        <w:rPr>
          <w:spacing w:val="-13"/>
        </w:rPr>
        <w:t> </w:t>
      </w:r>
      <w:r>
        <w:rPr/>
        <w:t>realice</w:t>
      </w:r>
      <w:r>
        <w:rPr>
          <w:spacing w:val="-14"/>
        </w:rPr>
        <w:t> </w:t>
      </w:r>
      <w:r>
        <w:rPr/>
        <w:t>conforme</w:t>
      </w:r>
      <w:r>
        <w:rPr>
          <w:spacing w:val="-14"/>
        </w:rPr>
        <w:t> </w:t>
      </w:r>
      <w:r>
        <w:rPr/>
        <w:t>a</w:t>
      </w:r>
      <w:r>
        <w:rPr>
          <w:spacing w:val="-14"/>
        </w:rPr>
        <w:t> </w:t>
      </w:r>
      <w:r>
        <w:rPr/>
        <w:t>esta</w:t>
      </w:r>
      <w:r>
        <w:rPr>
          <w:spacing w:val="-14"/>
        </w:rPr>
        <w:t> </w:t>
      </w:r>
      <w:r>
        <w:rPr/>
        <w:t>Ley,</w:t>
      </w:r>
      <w:r>
        <w:rPr>
          <w:spacing w:val="-14"/>
        </w:rPr>
        <w:t> </w:t>
      </w:r>
      <w:r>
        <w:rPr/>
        <w:t>requerirá decreto expedido por la Legislatura del Estado y derivar del Programa Estatal de</w:t>
      </w:r>
      <w:r>
        <w:rPr>
          <w:spacing w:val="40"/>
        </w:rPr>
        <w:t> </w:t>
      </w:r>
      <w:r>
        <w:rPr/>
        <w:t>Ordenamiento Territorial y Desarrollo Urbano.</w:t>
      </w:r>
    </w:p>
    <w:p>
      <w:pPr>
        <w:pStyle w:val="BodyText"/>
        <w:spacing w:before="229"/>
        <w:ind w:left="262" w:right="287"/>
        <w:jc w:val="both"/>
      </w:pPr>
      <w:r>
        <w:rPr/>
        <w:t>El decreto a que se refiere el</w:t>
      </w:r>
      <w:r>
        <w:rPr>
          <w:spacing w:val="-1"/>
        </w:rPr>
        <w:t> </w:t>
      </w:r>
      <w:r>
        <w:rPr/>
        <w:t>párrafo anterior, contendrá la declaratoria procedente sobre provisión de tierras y ordenará la formulación del Programa de Desarrollo Urbano del nuevo centro de </w:t>
      </w:r>
      <w:r>
        <w:rPr>
          <w:spacing w:val="-2"/>
        </w:rPr>
        <w:t>población.</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7"/>
        <w:jc w:val="both"/>
      </w:pPr>
      <w:r>
        <w:rPr>
          <w:rFonts w:ascii="Arial" w:hAnsi="Arial"/>
          <w:b/>
        </w:rPr>
        <w:t>ARTÍCULO 114. </w:t>
      </w:r>
      <w:r>
        <w:rPr/>
        <w:t>El Congreso del Estado podrá decretar la fundación de un centro de población, a iniciativa del Gobierno federal, el Gobernador del Estado o los ayuntamientos.</w:t>
      </w:r>
    </w:p>
    <w:p>
      <w:pPr>
        <w:pStyle w:val="BodyText"/>
        <w:spacing w:before="1"/>
      </w:pPr>
    </w:p>
    <w:p>
      <w:pPr>
        <w:pStyle w:val="BodyText"/>
        <w:spacing w:before="1"/>
        <w:ind w:left="262" w:right="280"/>
        <w:jc w:val="both"/>
      </w:pPr>
      <w:r>
        <w:rPr/>
        <w:t>La Legislatura del Estado solicitará en todos los casos, la opinión del Gobierno del Estado, por conducto</w:t>
      </w:r>
      <w:r>
        <w:rPr>
          <w:spacing w:val="-7"/>
        </w:rPr>
        <w:t> </w:t>
      </w:r>
      <w:r>
        <w:rPr/>
        <w:t>de</w:t>
      </w:r>
      <w:r>
        <w:rPr>
          <w:spacing w:val="-7"/>
        </w:rPr>
        <w:t> </w:t>
      </w:r>
      <w:r>
        <w:rPr/>
        <w:t>la</w:t>
      </w:r>
      <w:r>
        <w:rPr>
          <w:spacing w:val="-7"/>
        </w:rPr>
        <w:t> </w:t>
      </w:r>
      <w:r>
        <w:rPr/>
        <w:t>Secretaría</w:t>
      </w:r>
      <w:r>
        <w:rPr>
          <w:spacing w:val="-7"/>
        </w:rPr>
        <w:t> </w:t>
      </w:r>
      <w:r>
        <w:rPr/>
        <w:t>y</w:t>
      </w:r>
      <w:r>
        <w:rPr>
          <w:spacing w:val="-8"/>
        </w:rPr>
        <w:t> </w:t>
      </w:r>
      <w:r>
        <w:rPr/>
        <w:t>del</w:t>
      </w:r>
      <w:r>
        <w:rPr>
          <w:spacing w:val="-10"/>
        </w:rPr>
        <w:t> </w:t>
      </w:r>
      <w:r>
        <w:rPr/>
        <w:t>Consejo</w:t>
      </w:r>
      <w:r>
        <w:rPr>
          <w:spacing w:val="-7"/>
        </w:rPr>
        <w:t> </w:t>
      </w:r>
      <w:r>
        <w:rPr/>
        <w:t>Estatal,</w:t>
      </w:r>
      <w:r>
        <w:rPr>
          <w:spacing w:val="-6"/>
        </w:rPr>
        <w:t> </w:t>
      </w:r>
      <w:r>
        <w:rPr/>
        <w:t>así</w:t>
      </w:r>
      <w:r>
        <w:rPr>
          <w:spacing w:val="-9"/>
        </w:rPr>
        <w:t> </w:t>
      </w:r>
      <w:r>
        <w:rPr/>
        <w:t>como</w:t>
      </w:r>
      <w:r>
        <w:rPr>
          <w:spacing w:val="-7"/>
        </w:rPr>
        <w:t> </w:t>
      </w:r>
      <w:r>
        <w:rPr/>
        <w:t>del</w:t>
      </w:r>
      <w:r>
        <w:rPr>
          <w:spacing w:val="-7"/>
        </w:rPr>
        <w:t> </w:t>
      </w:r>
      <w:r>
        <w:rPr/>
        <w:t>ayuntamiento</w:t>
      </w:r>
      <w:r>
        <w:rPr>
          <w:spacing w:val="-7"/>
        </w:rPr>
        <w:t> </w:t>
      </w:r>
      <w:r>
        <w:rPr/>
        <w:t>y</w:t>
      </w:r>
      <w:r>
        <w:rPr>
          <w:spacing w:val="-8"/>
        </w:rPr>
        <w:t> </w:t>
      </w:r>
      <w:r>
        <w:rPr/>
        <w:t>del</w:t>
      </w:r>
      <w:r>
        <w:rPr>
          <w:spacing w:val="-7"/>
        </w:rPr>
        <w:t> </w:t>
      </w:r>
      <w:r>
        <w:rPr/>
        <w:t>Consejo</w:t>
      </w:r>
      <w:r>
        <w:rPr>
          <w:spacing w:val="-7"/>
        </w:rPr>
        <w:t> </w:t>
      </w:r>
      <w:r>
        <w:rPr/>
        <w:t>Municipal respectivo y en su caso, del Instituto Municipal o Metropolitano de Planeación correspondiente, respecto de las iniciativas de fundación de centros de población.</w:t>
      </w:r>
    </w:p>
    <w:p>
      <w:pPr>
        <w:pStyle w:val="BodyText"/>
        <w:spacing w:before="229"/>
        <w:ind w:left="262" w:right="288"/>
        <w:jc w:val="both"/>
      </w:pPr>
      <w:r>
        <w:rPr>
          <w:rFonts w:ascii="Arial" w:hAnsi="Arial"/>
          <w:b/>
        </w:rPr>
        <w:t>ARTÍCULO 115. </w:t>
      </w:r>
      <w:r>
        <w:rPr/>
        <w:t>El Congreso del Estado otorgará la categoría político administrativa que le corresponda al nuevo centro de población, de conformidad con lo dispuesto en esta Ley, la Ley Orgánica del Municipio Libre del Estado y demás disposiciones jurídicas aplicables.</w:t>
      </w:r>
    </w:p>
    <w:p>
      <w:pPr>
        <w:pStyle w:val="BodyText"/>
      </w:pPr>
    </w:p>
    <w:p>
      <w:pPr>
        <w:pStyle w:val="BodyText"/>
        <w:ind w:left="262" w:right="282"/>
        <w:jc w:val="both"/>
      </w:pPr>
      <w:r>
        <w:rPr>
          <w:rFonts w:ascii="Arial" w:hAnsi="Arial"/>
          <w:b/>
        </w:rPr>
        <w:t>ARTÍCULO 116. </w:t>
      </w:r>
      <w:r>
        <w:rPr/>
        <w:t>La fundación de nuevos centros de población ejidal o la constitución de zonas de urbanización</w:t>
      </w:r>
      <w:r>
        <w:rPr>
          <w:spacing w:val="-14"/>
        </w:rPr>
        <w:t> </w:t>
      </w:r>
      <w:r>
        <w:rPr/>
        <w:t>en</w:t>
      </w:r>
      <w:r>
        <w:rPr>
          <w:spacing w:val="-14"/>
        </w:rPr>
        <w:t> </w:t>
      </w:r>
      <w:r>
        <w:rPr/>
        <w:t>ejidos</w:t>
      </w:r>
      <w:r>
        <w:rPr>
          <w:spacing w:val="-14"/>
        </w:rPr>
        <w:t> </w:t>
      </w:r>
      <w:r>
        <w:rPr/>
        <w:t>y</w:t>
      </w:r>
      <w:r>
        <w:rPr>
          <w:spacing w:val="-14"/>
        </w:rPr>
        <w:t> </w:t>
      </w:r>
      <w:r>
        <w:rPr/>
        <w:t>comunidades,</w:t>
      </w:r>
      <w:r>
        <w:rPr>
          <w:spacing w:val="-14"/>
        </w:rPr>
        <w:t> </w:t>
      </w:r>
      <w:r>
        <w:rPr/>
        <w:t>se</w:t>
      </w:r>
      <w:r>
        <w:rPr>
          <w:spacing w:val="-14"/>
        </w:rPr>
        <w:t> </w:t>
      </w:r>
      <w:r>
        <w:rPr/>
        <w:t>ajustará</w:t>
      </w:r>
      <w:r>
        <w:rPr>
          <w:spacing w:val="-14"/>
        </w:rPr>
        <w:t> </w:t>
      </w:r>
      <w:r>
        <w:rPr/>
        <w:t>a</w:t>
      </w:r>
      <w:r>
        <w:rPr>
          <w:spacing w:val="-14"/>
        </w:rPr>
        <w:t> </w:t>
      </w:r>
      <w:r>
        <w:rPr/>
        <w:t>lo</w:t>
      </w:r>
      <w:r>
        <w:rPr>
          <w:spacing w:val="-14"/>
        </w:rPr>
        <w:t> </w:t>
      </w:r>
      <w:r>
        <w:rPr/>
        <w:t>dispuesto</w:t>
      </w:r>
      <w:r>
        <w:rPr>
          <w:spacing w:val="-13"/>
        </w:rPr>
        <w:t> </w:t>
      </w:r>
      <w:r>
        <w:rPr/>
        <w:t>en</w:t>
      </w:r>
      <w:r>
        <w:rPr>
          <w:spacing w:val="-14"/>
        </w:rPr>
        <w:t> </w:t>
      </w:r>
      <w:r>
        <w:rPr/>
        <w:t>la</w:t>
      </w:r>
      <w:r>
        <w:rPr>
          <w:spacing w:val="-14"/>
        </w:rPr>
        <w:t> </w:t>
      </w:r>
      <w:r>
        <w:rPr/>
        <w:t>Ley</w:t>
      </w:r>
      <w:r>
        <w:rPr>
          <w:spacing w:val="-14"/>
        </w:rPr>
        <w:t> </w:t>
      </w:r>
      <w:r>
        <w:rPr/>
        <w:t>Agraria,</w:t>
      </w:r>
      <w:r>
        <w:rPr>
          <w:spacing w:val="-14"/>
        </w:rPr>
        <w:t> </w:t>
      </w:r>
      <w:r>
        <w:rPr/>
        <w:t>en</w:t>
      </w:r>
      <w:r>
        <w:rPr>
          <w:spacing w:val="-14"/>
        </w:rPr>
        <w:t> </w:t>
      </w:r>
      <w:r>
        <w:rPr/>
        <w:t>la</w:t>
      </w:r>
      <w:r>
        <w:rPr>
          <w:spacing w:val="-14"/>
        </w:rPr>
        <w:t> </w:t>
      </w:r>
      <w:r>
        <w:rPr/>
        <w:t>Ley</w:t>
      </w:r>
      <w:r>
        <w:rPr>
          <w:spacing w:val="-14"/>
        </w:rPr>
        <w:t> </w:t>
      </w:r>
      <w:r>
        <w:rPr/>
        <w:t>General y a lo previsto en esta Ley y las demás disposiciones jurídicas aplicables.</w:t>
      </w:r>
    </w:p>
    <w:p>
      <w:pPr>
        <w:pStyle w:val="BodyText"/>
        <w:spacing w:before="229"/>
        <w:ind w:left="262" w:right="281"/>
        <w:jc w:val="both"/>
      </w:pPr>
      <w:r>
        <w:rPr/>
        <w:t>La urbanización, fraccionamiento, transmisión o incorporación al Desarrollo Urbano de predios ejidales o comunales deberá contar con las autorizaciones favorables de impacto urbano, vial y ambiental, fraccionamiento o edificación por parte de las autoridades estatales y municipales correspondientes, de acuerdo a esta Ley. Dichas autorizaciones deberán ser públicas, en los términos de este ordenamiento y otras disposiciones en la materia.</w:t>
      </w:r>
    </w:p>
    <w:p>
      <w:pPr>
        <w:pStyle w:val="BodyText"/>
      </w:pPr>
    </w:p>
    <w:p>
      <w:pPr>
        <w:pStyle w:val="BodyText"/>
        <w:spacing w:before="1"/>
        <w:ind w:left="262" w:right="279"/>
        <w:jc w:val="both"/>
      </w:pPr>
      <w:r>
        <w:rPr>
          <w:rFonts w:ascii="Arial" w:hAnsi="Arial"/>
          <w:b/>
        </w:rPr>
        <w:t>ARTÍCULO 117. </w:t>
      </w:r>
      <w:r>
        <w:rPr/>
        <w:t>El Instituto Registral y Catastral del Estado no podrán inscribir título alguno de dominio</w:t>
      </w:r>
      <w:r>
        <w:rPr>
          <w:spacing w:val="-9"/>
        </w:rPr>
        <w:t> </w:t>
      </w:r>
      <w:r>
        <w:rPr/>
        <w:t>pleno,</w:t>
      </w:r>
      <w:r>
        <w:rPr>
          <w:spacing w:val="-9"/>
        </w:rPr>
        <w:t> </w:t>
      </w:r>
      <w:r>
        <w:rPr/>
        <w:t>de</w:t>
      </w:r>
      <w:r>
        <w:rPr>
          <w:spacing w:val="-9"/>
        </w:rPr>
        <w:t> </w:t>
      </w:r>
      <w:r>
        <w:rPr/>
        <w:t>cesión</w:t>
      </w:r>
      <w:r>
        <w:rPr>
          <w:spacing w:val="-9"/>
        </w:rPr>
        <w:t> </w:t>
      </w:r>
      <w:r>
        <w:rPr/>
        <w:t>de</w:t>
      </w:r>
      <w:r>
        <w:rPr>
          <w:spacing w:val="-9"/>
        </w:rPr>
        <w:t> </w:t>
      </w:r>
      <w:r>
        <w:rPr/>
        <w:t>derechos</w:t>
      </w:r>
      <w:r>
        <w:rPr>
          <w:spacing w:val="-8"/>
        </w:rPr>
        <w:t> </w:t>
      </w:r>
      <w:r>
        <w:rPr/>
        <w:t>parcelarios</w:t>
      </w:r>
      <w:r>
        <w:rPr>
          <w:spacing w:val="-8"/>
        </w:rPr>
        <w:t> </w:t>
      </w:r>
      <w:r>
        <w:rPr/>
        <w:t>o</w:t>
      </w:r>
      <w:r>
        <w:rPr>
          <w:spacing w:val="-7"/>
        </w:rPr>
        <w:t> </w:t>
      </w:r>
      <w:r>
        <w:rPr/>
        <w:t>cualquier</w:t>
      </w:r>
      <w:r>
        <w:rPr>
          <w:spacing w:val="-6"/>
        </w:rPr>
        <w:t> </w:t>
      </w:r>
      <w:r>
        <w:rPr/>
        <w:t>otro</w:t>
      </w:r>
      <w:r>
        <w:rPr>
          <w:spacing w:val="-9"/>
        </w:rPr>
        <w:t> </w:t>
      </w:r>
      <w:r>
        <w:rPr/>
        <w:t>acto</w:t>
      </w:r>
      <w:r>
        <w:rPr>
          <w:spacing w:val="-9"/>
        </w:rPr>
        <w:t> </w:t>
      </w:r>
      <w:r>
        <w:rPr/>
        <w:t>tendiente</w:t>
      </w:r>
      <w:r>
        <w:rPr>
          <w:spacing w:val="-7"/>
        </w:rPr>
        <w:t> </w:t>
      </w:r>
      <w:r>
        <w:rPr/>
        <w:t>al</w:t>
      </w:r>
      <w:r>
        <w:rPr>
          <w:spacing w:val="-10"/>
        </w:rPr>
        <w:t> </w:t>
      </w:r>
      <w:r>
        <w:rPr/>
        <w:t>fraccionamiento, subdivisión,</w:t>
      </w:r>
      <w:r>
        <w:rPr>
          <w:spacing w:val="-2"/>
        </w:rPr>
        <w:t> </w:t>
      </w:r>
      <w:r>
        <w:rPr/>
        <w:t>parcelamiento</w:t>
      </w:r>
      <w:r>
        <w:rPr>
          <w:spacing w:val="-2"/>
        </w:rPr>
        <w:t> </w:t>
      </w:r>
      <w:r>
        <w:rPr/>
        <w:t>o</w:t>
      </w:r>
      <w:r>
        <w:rPr>
          <w:spacing w:val="-4"/>
        </w:rPr>
        <w:t> </w:t>
      </w:r>
      <w:r>
        <w:rPr/>
        <w:t>pulverización</w:t>
      </w:r>
      <w:r>
        <w:rPr>
          <w:spacing w:val="-2"/>
        </w:rPr>
        <w:t> </w:t>
      </w:r>
      <w:r>
        <w:rPr/>
        <w:t>de</w:t>
      </w:r>
      <w:r>
        <w:rPr>
          <w:spacing w:val="-2"/>
        </w:rPr>
        <w:t> </w:t>
      </w:r>
      <w:r>
        <w:rPr/>
        <w:t>la</w:t>
      </w:r>
      <w:r>
        <w:rPr>
          <w:spacing w:val="-2"/>
        </w:rPr>
        <w:t> </w:t>
      </w:r>
      <w:r>
        <w:rPr/>
        <w:t>propiedad</w:t>
      </w:r>
      <w:r>
        <w:rPr>
          <w:spacing w:val="-2"/>
        </w:rPr>
        <w:t> </w:t>
      </w:r>
      <w:r>
        <w:rPr/>
        <w:t>sujeta</w:t>
      </w:r>
      <w:r>
        <w:rPr>
          <w:spacing w:val="-2"/>
        </w:rPr>
        <w:t> </w:t>
      </w:r>
      <w:r>
        <w:rPr/>
        <w:t>al</w:t>
      </w:r>
      <w:r>
        <w:rPr>
          <w:spacing w:val="-3"/>
        </w:rPr>
        <w:t> </w:t>
      </w:r>
      <w:r>
        <w:rPr/>
        <w:t>régimen</w:t>
      </w:r>
      <w:r>
        <w:rPr>
          <w:spacing w:val="-2"/>
        </w:rPr>
        <w:t> </w:t>
      </w:r>
      <w:r>
        <w:rPr/>
        <w:t>agrario,</w:t>
      </w:r>
      <w:r>
        <w:rPr>
          <w:spacing w:val="-2"/>
        </w:rPr>
        <w:t> </w:t>
      </w:r>
      <w:r>
        <w:rPr/>
        <w:t>que</w:t>
      </w:r>
      <w:r>
        <w:rPr>
          <w:spacing w:val="-4"/>
        </w:rPr>
        <w:t> </w:t>
      </w:r>
      <w:r>
        <w:rPr/>
        <w:t>se</w:t>
      </w:r>
      <w:r>
        <w:rPr>
          <w:spacing w:val="-2"/>
        </w:rPr>
        <w:t> </w:t>
      </w:r>
      <w:r>
        <w:rPr/>
        <w:t>ubique en</w:t>
      </w:r>
      <w:r>
        <w:rPr>
          <w:spacing w:val="-7"/>
        </w:rPr>
        <w:t> </w:t>
      </w:r>
      <w:r>
        <w:rPr/>
        <w:t>un</w:t>
      </w:r>
      <w:r>
        <w:rPr>
          <w:spacing w:val="-5"/>
        </w:rPr>
        <w:t> </w:t>
      </w:r>
      <w:r>
        <w:rPr/>
        <w:t>centro</w:t>
      </w:r>
      <w:r>
        <w:rPr>
          <w:spacing w:val="-4"/>
        </w:rPr>
        <w:t> </w:t>
      </w:r>
      <w:r>
        <w:rPr/>
        <w:t>de</w:t>
      </w:r>
      <w:r>
        <w:rPr>
          <w:spacing w:val="-7"/>
        </w:rPr>
        <w:t> </w:t>
      </w:r>
      <w:r>
        <w:rPr/>
        <w:t>población,</w:t>
      </w:r>
      <w:r>
        <w:rPr>
          <w:spacing w:val="-4"/>
        </w:rPr>
        <w:t> </w:t>
      </w:r>
      <w:r>
        <w:rPr/>
        <w:t>si</w:t>
      </w:r>
      <w:r>
        <w:rPr>
          <w:spacing w:val="-7"/>
        </w:rPr>
        <w:t> </w:t>
      </w:r>
      <w:r>
        <w:rPr/>
        <w:t>no</w:t>
      </w:r>
      <w:r>
        <w:rPr>
          <w:spacing w:val="-7"/>
        </w:rPr>
        <w:t> </w:t>
      </w:r>
      <w:r>
        <w:rPr/>
        <w:t>cumple</w:t>
      </w:r>
      <w:r>
        <w:rPr>
          <w:spacing w:val="-7"/>
        </w:rPr>
        <w:t> </w:t>
      </w:r>
      <w:r>
        <w:rPr/>
        <w:t>con</w:t>
      </w:r>
      <w:r>
        <w:rPr>
          <w:spacing w:val="-5"/>
        </w:rPr>
        <w:t> </w:t>
      </w:r>
      <w:r>
        <w:rPr/>
        <w:t>los</w:t>
      </w:r>
      <w:r>
        <w:rPr>
          <w:spacing w:val="-6"/>
        </w:rPr>
        <w:t> </w:t>
      </w:r>
      <w:r>
        <w:rPr/>
        <w:t>principios,</w:t>
      </w:r>
      <w:r>
        <w:rPr>
          <w:spacing w:val="-6"/>
        </w:rPr>
        <w:t> </w:t>
      </w:r>
      <w:r>
        <w:rPr/>
        <w:t>definiciones</w:t>
      </w:r>
      <w:r>
        <w:rPr>
          <w:spacing w:val="-6"/>
        </w:rPr>
        <w:t> </w:t>
      </w:r>
      <w:r>
        <w:rPr/>
        <w:t>y</w:t>
      </w:r>
      <w:r>
        <w:rPr>
          <w:spacing w:val="-5"/>
        </w:rPr>
        <w:t> </w:t>
      </w:r>
      <w:r>
        <w:rPr/>
        <w:t>estipulaciones</w:t>
      </w:r>
      <w:r>
        <w:rPr>
          <w:spacing w:val="-6"/>
        </w:rPr>
        <w:t> </w:t>
      </w:r>
      <w:r>
        <w:rPr/>
        <w:t>de</w:t>
      </w:r>
      <w:r>
        <w:rPr>
          <w:spacing w:val="-7"/>
        </w:rPr>
        <w:t> </w:t>
      </w:r>
      <w:r>
        <w:rPr/>
        <w:t>esta</w:t>
      </w:r>
      <w:r>
        <w:rPr>
          <w:spacing w:val="-7"/>
        </w:rPr>
        <w:t> </w:t>
      </w:r>
      <w:r>
        <w:rPr/>
        <w:t>Ley y de las establecidas en la Ley Agraria, así como no contar con las autorizaciones expresas a que alude el párrafo anterior.</w:t>
      </w:r>
    </w:p>
    <w:p>
      <w:pPr>
        <w:pStyle w:val="BodyText"/>
      </w:pPr>
    </w:p>
    <w:p>
      <w:pPr>
        <w:pStyle w:val="BodyText"/>
        <w:ind w:left="262" w:right="285"/>
        <w:jc w:val="both"/>
      </w:pPr>
      <w:r>
        <w:rPr/>
        <w:t>Los</w:t>
      </w:r>
      <w:r>
        <w:rPr>
          <w:spacing w:val="-10"/>
        </w:rPr>
        <w:t> </w:t>
      </w:r>
      <w:r>
        <w:rPr/>
        <w:t>notarios</w:t>
      </w:r>
      <w:r>
        <w:rPr>
          <w:spacing w:val="-10"/>
        </w:rPr>
        <w:t> </w:t>
      </w:r>
      <w:r>
        <w:rPr/>
        <w:t>públicos</w:t>
      </w:r>
      <w:r>
        <w:rPr>
          <w:spacing w:val="-10"/>
        </w:rPr>
        <w:t> </w:t>
      </w:r>
      <w:r>
        <w:rPr/>
        <w:t>no</w:t>
      </w:r>
      <w:r>
        <w:rPr>
          <w:spacing w:val="-10"/>
        </w:rPr>
        <w:t> </w:t>
      </w:r>
      <w:r>
        <w:rPr/>
        <w:t>podrán</w:t>
      </w:r>
      <w:r>
        <w:rPr>
          <w:spacing w:val="-9"/>
        </w:rPr>
        <w:t> </w:t>
      </w:r>
      <w:r>
        <w:rPr/>
        <w:t>dar</w:t>
      </w:r>
      <w:r>
        <w:rPr>
          <w:spacing w:val="-10"/>
        </w:rPr>
        <w:t> </w:t>
      </w:r>
      <w:r>
        <w:rPr/>
        <w:t>fe</w:t>
      </w:r>
      <w:r>
        <w:rPr>
          <w:spacing w:val="-11"/>
        </w:rPr>
        <w:t> </w:t>
      </w:r>
      <w:r>
        <w:rPr/>
        <w:t>ni</w:t>
      </w:r>
      <w:r>
        <w:rPr>
          <w:spacing w:val="-10"/>
        </w:rPr>
        <w:t> </w:t>
      </w:r>
      <w:r>
        <w:rPr/>
        <w:t>intervenir</w:t>
      </w:r>
      <w:r>
        <w:rPr>
          <w:spacing w:val="-8"/>
        </w:rPr>
        <w:t> </w:t>
      </w:r>
      <w:r>
        <w:rPr/>
        <w:t>en</w:t>
      </w:r>
      <w:r>
        <w:rPr>
          <w:spacing w:val="-9"/>
        </w:rPr>
        <w:t> </w:t>
      </w:r>
      <w:r>
        <w:rPr/>
        <w:t>ese</w:t>
      </w:r>
      <w:r>
        <w:rPr>
          <w:spacing w:val="-11"/>
        </w:rPr>
        <w:t> </w:t>
      </w:r>
      <w:r>
        <w:rPr/>
        <w:t>tipo</w:t>
      </w:r>
      <w:r>
        <w:rPr>
          <w:spacing w:val="-9"/>
        </w:rPr>
        <w:t> </w:t>
      </w:r>
      <w:r>
        <w:rPr/>
        <w:t>de</w:t>
      </w:r>
      <w:r>
        <w:rPr>
          <w:spacing w:val="-10"/>
        </w:rPr>
        <w:t> </w:t>
      </w:r>
      <w:r>
        <w:rPr/>
        <w:t>operaciones,</w:t>
      </w:r>
      <w:r>
        <w:rPr>
          <w:spacing w:val="-11"/>
        </w:rPr>
        <w:t> </w:t>
      </w:r>
      <w:r>
        <w:rPr/>
        <w:t>a</w:t>
      </w:r>
      <w:r>
        <w:rPr>
          <w:spacing w:val="-7"/>
        </w:rPr>
        <w:t> </w:t>
      </w:r>
      <w:r>
        <w:rPr/>
        <w:t>menos</w:t>
      </w:r>
      <w:r>
        <w:rPr>
          <w:spacing w:val="-8"/>
        </w:rPr>
        <w:t> </w:t>
      </w:r>
      <w:r>
        <w:rPr/>
        <w:t>de</w:t>
      </w:r>
      <w:r>
        <w:rPr>
          <w:spacing w:val="-10"/>
        </w:rPr>
        <w:t> </w:t>
      </w:r>
      <w:r>
        <w:rPr/>
        <w:t>que</w:t>
      </w:r>
      <w:r>
        <w:rPr>
          <w:spacing w:val="-11"/>
        </w:rPr>
        <w:t> </w:t>
      </w:r>
      <w:r>
        <w:rPr/>
        <w:t>ante ellos se demuestre que se han otorgado las autorizaciones previstas en este artículo.</w:t>
      </w:r>
    </w:p>
    <w:p>
      <w:pPr>
        <w:pStyle w:val="BodyText"/>
        <w:spacing w:before="2"/>
      </w:pPr>
    </w:p>
    <w:p>
      <w:pPr>
        <w:pStyle w:val="BodyText"/>
        <w:ind w:left="262" w:right="276"/>
        <w:jc w:val="both"/>
      </w:pPr>
      <w:r>
        <w:rPr>
          <w:rFonts w:ascii="Arial" w:hAnsi="Arial"/>
          <w:b/>
        </w:rPr>
        <w:t>ARTÍCULO 118. </w:t>
      </w:r>
      <w:r>
        <w:rPr/>
        <w:t>Para constituir, ampliar y delimitar la zona de urbanización ejidal y su reserva de crecimiento, así como para regularizar la tenencia de predios en los que se hayan constituido asentamientos</w:t>
      </w:r>
      <w:r>
        <w:rPr>
          <w:spacing w:val="-9"/>
        </w:rPr>
        <w:t> </w:t>
      </w:r>
      <w:r>
        <w:rPr/>
        <w:t>humanos</w:t>
      </w:r>
      <w:r>
        <w:rPr>
          <w:spacing w:val="-11"/>
        </w:rPr>
        <w:t> </w:t>
      </w:r>
      <w:r>
        <w:rPr/>
        <w:t>irregulares,</w:t>
      </w:r>
      <w:r>
        <w:rPr>
          <w:spacing w:val="-10"/>
        </w:rPr>
        <w:t> </w:t>
      </w:r>
      <w:r>
        <w:rPr/>
        <w:t>la</w:t>
      </w:r>
      <w:r>
        <w:rPr>
          <w:spacing w:val="-10"/>
        </w:rPr>
        <w:t> </w:t>
      </w:r>
      <w:r>
        <w:rPr/>
        <w:t>asamblea</w:t>
      </w:r>
      <w:r>
        <w:rPr>
          <w:spacing w:val="-12"/>
        </w:rPr>
        <w:t> </w:t>
      </w:r>
      <w:r>
        <w:rPr/>
        <w:t>ejidal</w:t>
      </w:r>
      <w:r>
        <w:rPr>
          <w:spacing w:val="-13"/>
        </w:rPr>
        <w:t> </w:t>
      </w:r>
      <w:r>
        <w:rPr/>
        <w:t>o</w:t>
      </w:r>
      <w:r>
        <w:rPr>
          <w:spacing w:val="-10"/>
        </w:rPr>
        <w:t> </w:t>
      </w:r>
      <w:r>
        <w:rPr/>
        <w:t>de</w:t>
      </w:r>
      <w:r>
        <w:rPr>
          <w:spacing w:val="-11"/>
        </w:rPr>
        <w:t> </w:t>
      </w:r>
      <w:r>
        <w:rPr/>
        <w:t>comuneros</w:t>
      </w:r>
      <w:r>
        <w:rPr>
          <w:spacing w:val="-11"/>
        </w:rPr>
        <w:t> </w:t>
      </w:r>
      <w:r>
        <w:rPr/>
        <w:t>respectiva</w:t>
      </w:r>
      <w:r>
        <w:rPr>
          <w:spacing w:val="-12"/>
        </w:rPr>
        <w:t> </w:t>
      </w:r>
      <w:r>
        <w:rPr/>
        <w:t>deberá</w:t>
      </w:r>
      <w:r>
        <w:rPr>
          <w:spacing w:val="-10"/>
        </w:rPr>
        <w:t> </w:t>
      </w:r>
      <w:r>
        <w:rPr/>
        <w:t>ajustarse a</w:t>
      </w:r>
      <w:r>
        <w:rPr>
          <w:spacing w:val="-9"/>
        </w:rPr>
        <w:t> </w:t>
      </w:r>
      <w:r>
        <w:rPr/>
        <w:t>esta</w:t>
      </w:r>
      <w:r>
        <w:rPr>
          <w:spacing w:val="-9"/>
        </w:rPr>
        <w:t> </w:t>
      </w:r>
      <w:r>
        <w:rPr/>
        <w:t>Ley,</w:t>
      </w:r>
      <w:r>
        <w:rPr>
          <w:spacing w:val="-9"/>
        </w:rPr>
        <w:t> </w:t>
      </w:r>
      <w:r>
        <w:rPr/>
        <w:t>a</w:t>
      </w:r>
      <w:r>
        <w:rPr>
          <w:spacing w:val="-9"/>
        </w:rPr>
        <w:t> </w:t>
      </w:r>
      <w:r>
        <w:rPr/>
        <w:t>las</w:t>
      </w:r>
      <w:r>
        <w:rPr>
          <w:spacing w:val="-8"/>
        </w:rPr>
        <w:t> </w:t>
      </w:r>
      <w:r>
        <w:rPr/>
        <w:t>disposiciones</w:t>
      </w:r>
      <w:r>
        <w:rPr>
          <w:spacing w:val="-8"/>
        </w:rPr>
        <w:t> </w:t>
      </w:r>
      <w:r>
        <w:rPr/>
        <w:t>jurídicas</w:t>
      </w:r>
      <w:r>
        <w:rPr>
          <w:spacing w:val="-8"/>
        </w:rPr>
        <w:t> </w:t>
      </w:r>
      <w:r>
        <w:rPr/>
        <w:t>locales</w:t>
      </w:r>
      <w:r>
        <w:rPr>
          <w:spacing w:val="-8"/>
        </w:rPr>
        <w:t> </w:t>
      </w:r>
      <w:r>
        <w:rPr/>
        <w:t>de</w:t>
      </w:r>
      <w:r>
        <w:rPr>
          <w:spacing w:val="-9"/>
        </w:rPr>
        <w:t> </w:t>
      </w:r>
      <w:r>
        <w:rPr/>
        <w:t>Desarrollo</w:t>
      </w:r>
      <w:r>
        <w:rPr>
          <w:spacing w:val="-9"/>
        </w:rPr>
        <w:t> </w:t>
      </w:r>
      <w:r>
        <w:rPr/>
        <w:t>Urbano,</w:t>
      </w:r>
      <w:r>
        <w:rPr>
          <w:spacing w:val="-9"/>
        </w:rPr>
        <w:t> </w:t>
      </w:r>
      <w:r>
        <w:rPr/>
        <w:t>a</w:t>
      </w:r>
      <w:r>
        <w:rPr>
          <w:spacing w:val="-9"/>
        </w:rPr>
        <w:t> </w:t>
      </w:r>
      <w:r>
        <w:rPr/>
        <w:t>la</w:t>
      </w:r>
      <w:r>
        <w:rPr>
          <w:spacing w:val="-9"/>
        </w:rPr>
        <w:t> </w:t>
      </w:r>
      <w:r>
        <w:rPr/>
        <w:t>Zonificación</w:t>
      </w:r>
      <w:r>
        <w:rPr>
          <w:spacing w:val="-9"/>
        </w:rPr>
        <w:t> </w:t>
      </w:r>
      <w:r>
        <w:rPr/>
        <w:t>contenida</w:t>
      </w:r>
      <w:r>
        <w:rPr>
          <w:spacing w:val="-7"/>
        </w:rPr>
        <w:t> </w:t>
      </w:r>
      <w:r>
        <w:rPr/>
        <w:t>en los programas aplicables en la materia y a las normas mexicanas o normas oficiales mexicanas aplicables en la materia. En estos casos, se requiere la intervención del municipio en que se encuentre ubicado el ejido o comunidad.</w:t>
      </w:r>
    </w:p>
    <w:p>
      <w:pPr>
        <w:pStyle w:val="BodyText"/>
        <w:spacing w:before="229"/>
        <w:ind w:left="262" w:right="276"/>
        <w:jc w:val="both"/>
      </w:pPr>
      <w:r>
        <w:rPr>
          <w:rFonts w:ascii="Arial" w:hAnsi="Arial"/>
          <w:b/>
        </w:rPr>
        <w:t>ARTÍCULO 119. </w:t>
      </w:r>
      <w:r>
        <w:rPr/>
        <w:t>Cuando se pretenda llevar a cabo cualquier tipo de acción o aprovechamiento urbano fuera de los límites de un centro de población, que no cuente con un programa de ordenamiento territorial y desarrollo urbano vigente, o de aquellos proyectos en áreas rurales que requieran</w:t>
      </w:r>
      <w:r>
        <w:rPr>
          <w:spacing w:val="-14"/>
        </w:rPr>
        <w:t> </w:t>
      </w:r>
      <w:r>
        <w:rPr/>
        <w:t>la</w:t>
      </w:r>
      <w:r>
        <w:rPr>
          <w:spacing w:val="-14"/>
        </w:rPr>
        <w:t> </w:t>
      </w:r>
      <w:r>
        <w:rPr/>
        <w:t>construcción</w:t>
      </w:r>
      <w:r>
        <w:rPr>
          <w:spacing w:val="-14"/>
        </w:rPr>
        <w:t> </w:t>
      </w:r>
      <w:r>
        <w:rPr/>
        <w:t>o</w:t>
      </w:r>
      <w:r>
        <w:rPr>
          <w:spacing w:val="-14"/>
        </w:rPr>
        <w:t> </w:t>
      </w:r>
      <w:r>
        <w:rPr/>
        <w:t>introducción</w:t>
      </w:r>
      <w:r>
        <w:rPr>
          <w:spacing w:val="-14"/>
        </w:rPr>
        <w:t> </w:t>
      </w:r>
      <w:r>
        <w:rPr/>
        <w:t>de</w:t>
      </w:r>
      <w:r>
        <w:rPr>
          <w:spacing w:val="-14"/>
        </w:rPr>
        <w:t> </w:t>
      </w:r>
      <w:r>
        <w:rPr/>
        <w:t>obras</w:t>
      </w:r>
      <w:r>
        <w:rPr>
          <w:spacing w:val="-13"/>
        </w:rPr>
        <w:t> </w:t>
      </w:r>
      <w:r>
        <w:rPr/>
        <w:t>de</w:t>
      </w:r>
      <w:r>
        <w:rPr>
          <w:spacing w:val="-14"/>
        </w:rPr>
        <w:t> </w:t>
      </w:r>
      <w:r>
        <w:rPr/>
        <w:t>cabecera</w:t>
      </w:r>
      <w:r>
        <w:rPr>
          <w:spacing w:val="-13"/>
        </w:rPr>
        <w:t> </w:t>
      </w:r>
      <w:r>
        <w:rPr/>
        <w:t>o</w:t>
      </w:r>
      <w:r>
        <w:rPr>
          <w:spacing w:val="-14"/>
        </w:rPr>
        <w:t> </w:t>
      </w:r>
      <w:r>
        <w:rPr/>
        <w:t>de</w:t>
      </w:r>
      <w:r>
        <w:rPr>
          <w:spacing w:val="-14"/>
        </w:rPr>
        <w:t> </w:t>
      </w:r>
      <w:r>
        <w:rPr/>
        <w:t>redes</w:t>
      </w:r>
      <w:r>
        <w:rPr>
          <w:spacing w:val="-14"/>
        </w:rPr>
        <w:t> </w:t>
      </w:r>
      <w:r>
        <w:rPr/>
        <w:t>de</w:t>
      </w:r>
      <w:r>
        <w:rPr>
          <w:spacing w:val="-12"/>
        </w:rPr>
        <w:t> </w:t>
      </w:r>
      <w:r>
        <w:rPr/>
        <w:t>infraestructura</w:t>
      </w:r>
      <w:r>
        <w:rPr>
          <w:spacing w:val="-14"/>
        </w:rPr>
        <w:t> </w:t>
      </w:r>
      <w:r>
        <w:rPr/>
        <w:t>primaria, se requerirá la aprobación de la creación de un nuevo centro de población en congruencia con la estrategia del Programa Estatal de Ordenamiento Territorial y Desarrollo Urbano y la modificación previa</w:t>
      </w:r>
      <w:r>
        <w:rPr>
          <w:spacing w:val="-4"/>
        </w:rPr>
        <w:t> </w:t>
      </w:r>
      <w:r>
        <w:rPr/>
        <w:t>del</w:t>
      </w:r>
      <w:r>
        <w:rPr>
          <w:spacing w:val="-5"/>
        </w:rPr>
        <w:t> </w:t>
      </w:r>
      <w:r>
        <w:rPr/>
        <w:t>programa</w:t>
      </w:r>
      <w:r>
        <w:rPr>
          <w:spacing w:val="-4"/>
        </w:rPr>
        <w:t> </w:t>
      </w:r>
      <w:r>
        <w:rPr/>
        <w:t>municipal</w:t>
      </w:r>
      <w:r>
        <w:rPr>
          <w:spacing w:val="-5"/>
        </w:rPr>
        <w:t> </w:t>
      </w:r>
      <w:r>
        <w:rPr/>
        <w:t>que</w:t>
      </w:r>
      <w:r>
        <w:rPr>
          <w:spacing w:val="-5"/>
        </w:rPr>
        <w:t> </w:t>
      </w:r>
      <w:r>
        <w:rPr/>
        <w:t>corresponda,</w:t>
      </w:r>
      <w:r>
        <w:rPr>
          <w:spacing w:val="-4"/>
        </w:rPr>
        <w:t> </w:t>
      </w:r>
      <w:r>
        <w:rPr/>
        <w:t>cumpliendo</w:t>
      </w:r>
      <w:r>
        <w:rPr>
          <w:spacing w:val="-4"/>
        </w:rPr>
        <w:t> </w:t>
      </w:r>
      <w:r>
        <w:rPr/>
        <w:t>con</w:t>
      </w:r>
      <w:r>
        <w:rPr>
          <w:spacing w:val="-4"/>
        </w:rPr>
        <w:t> </w:t>
      </w:r>
      <w:r>
        <w:rPr/>
        <w:t>el</w:t>
      </w:r>
      <w:r>
        <w:rPr>
          <w:spacing w:val="-3"/>
        </w:rPr>
        <w:t> </w:t>
      </w:r>
      <w:r>
        <w:rPr/>
        <w:t>procedimiento</w:t>
      </w:r>
      <w:r>
        <w:rPr>
          <w:spacing w:val="-2"/>
        </w:rPr>
        <w:t> </w:t>
      </w:r>
      <w:r>
        <w:rPr/>
        <w:t>establecido</w:t>
      </w:r>
      <w:r>
        <w:rPr>
          <w:spacing w:val="-3"/>
        </w:rPr>
        <w:t> </w:t>
      </w:r>
      <w:r>
        <w:rPr/>
        <w:t>en</w:t>
      </w:r>
      <w:r>
        <w:rPr>
          <w:spacing w:val="-5"/>
        </w:rPr>
        <w:t> </w:t>
      </w:r>
      <w:r>
        <w:rPr/>
        <w:t>el artículo 69 y demás aplicables de la presente Ley y demás ordenamientos aplicables.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Heading2"/>
        <w:spacing w:line="480" w:lineRule="auto"/>
        <w:ind w:left="4083" w:right="4100" w:hanging="1"/>
      </w:pPr>
      <w:r>
        <w:rPr/>
        <w:t>Capítulo III </w:t>
      </w:r>
      <w:r>
        <w:rPr>
          <w:spacing w:val="-2"/>
        </w:rPr>
        <w:t>Zonificación</w:t>
      </w:r>
    </w:p>
    <w:p>
      <w:pPr>
        <w:pStyle w:val="BodyText"/>
        <w:ind w:left="262" w:right="285"/>
        <w:jc w:val="both"/>
      </w:pPr>
      <w:r>
        <w:rPr>
          <w:rFonts w:ascii="Arial" w:hAnsi="Arial"/>
          <w:b/>
        </w:rPr>
        <w:t>ARTÍCULO 120. </w:t>
      </w:r>
      <w:r>
        <w:rPr/>
        <w:t>La zonificación general del territorio se determinará en el Programa Estatal de Ordenamiento Territorial y Desarrollo Urbano, en los Programas Municipales de</w:t>
      </w:r>
      <w:r>
        <w:rPr>
          <w:spacing w:val="40"/>
        </w:rPr>
        <w:t> </w:t>
      </w:r>
      <w:r>
        <w:rPr/>
        <w:t>Ordenamiento Territorial y Desarrollo Urbano, y en los Programas Metropolitanos y de Zona Conurbada.</w:t>
      </w:r>
    </w:p>
    <w:p>
      <w:pPr>
        <w:pStyle w:val="BodyText"/>
        <w:spacing w:before="1"/>
      </w:pPr>
    </w:p>
    <w:p>
      <w:pPr>
        <w:pStyle w:val="BodyText"/>
        <w:ind w:left="262" w:right="285"/>
        <w:jc w:val="both"/>
      </w:pPr>
      <w:r>
        <w:rPr/>
        <w:t>Las políticas territoriales se distribuirán en la zonificación general del territorio en atención al ordenamiento</w:t>
      </w:r>
      <w:r>
        <w:rPr>
          <w:spacing w:val="-10"/>
        </w:rPr>
        <w:t> </w:t>
      </w:r>
      <w:r>
        <w:rPr/>
        <w:t>ecológico,</w:t>
      </w:r>
      <w:r>
        <w:rPr>
          <w:spacing w:val="-10"/>
        </w:rPr>
        <w:t> </w:t>
      </w:r>
      <w:r>
        <w:rPr/>
        <w:t>el</w:t>
      </w:r>
      <w:r>
        <w:rPr>
          <w:spacing w:val="-8"/>
        </w:rPr>
        <w:t> </w:t>
      </w:r>
      <w:r>
        <w:rPr/>
        <w:t>valor</w:t>
      </w:r>
      <w:r>
        <w:rPr>
          <w:spacing w:val="-9"/>
        </w:rPr>
        <w:t> </w:t>
      </w:r>
      <w:r>
        <w:rPr/>
        <w:t>ambiental,</w:t>
      </w:r>
      <w:r>
        <w:rPr>
          <w:spacing w:val="-7"/>
        </w:rPr>
        <w:t> </w:t>
      </w:r>
      <w:r>
        <w:rPr/>
        <w:t>las</w:t>
      </w:r>
      <w:r>
        <w:rPr>
          <w:spacing w:val="-9"/>
        </w:rPr>
        <w:t> </w:t>
      </w:r>
      <w:r>
        <w:rPr/>
        <w:t>condiciones</w:t>
      </w:r>
      <w:r>
        <w:rPr>
          <w:spacing w:val="-9"/>
        </w:rPr>
        <w:t> </w:t>
      </w:r>
      <w:r>
        <w:rPr/>
        <w:t>físicas</w:t>
      </w:r>
      <w:r>
        <w:rPr>
          <w:spacing w:val="-9"/>
        </w:rPr>
        <w:t> </w:t>
      </w:r>
      <w:r>
        <w:rPr/>
        <w:t>del</w:t>
      </w:r>
      <w:r>
        <w:rPr>
          <w:spacing w:val="-9"/>
        </w:rPr>
        <w:t> </w:t>
      </w:r>
      <w:r>
        <w:rPr/>
        <w:t>medio</w:t>
      </w:r>
      <w:r>
        <w:rPr>
          <w:spacing w:val="-8"/>
        </w:rPr>
        <w:t> </w:t>
      </w:r>
      <w:r>
        <w:rPr/>
        <w:t>natural,</w:t>
      </w:r>
      <w:r>
        <w:rPr>
          <w:spacing w:val="-10"/>
        </w:rPr>
        <w:t> </w:t>
      </w:r>
      <w:r>
        <w:rPr/>
        <w:t>y</w:t>
      </w:r>
      <w:r>
        <w:rPr>
          <w:spacing w:val="-9"/>
        </w:rPr>
        <w:t> </w:t>
      </w:r>
      <w:r>
        <w:rPr/>
        <w:t>la</w:t>
      </w:r>
      <w:r>
        <w:rPr>
          <w:spacing w:val="-10"/>
        </w:rPr>
        <w:t> </w:t>
      </w:r>
      <w:r>
        <w:rPr/>
        <w:t>capacidad productiva del territorio.</w:t>
      </w:r>
    </w:p>
    <w:p>
      <w:pPr>
        <w:pStyle w:val="BodyText"/>
      </w:pPr>
    </w:p>
    <w:p>
      <w:pPr>
        <w:pStyle w:val="BodyText"/>
        <w:ind w:left="262"/>
        <w:jc w:val="both"/>
      </w:pPr>
      <w:r>
        <w:rPr/>
        <w:t>Las</w:t>
      </w:r>
      <w:r>
        <w:rPr>
          <w:spacing w:val="-10"/>
        </w:rPr>
        <w:t> </w:t>
      </w:r>
      <w:r>
        <w:rPr/>
        <w:t>políticas</w:t>
      </w:r>
      <w:r>
        <w:rPr>
          <w:spacing w:val="-10"/>
        </w:rPr>
        <w:t> </w:t>
      </w:r>
      <w:r>
        <w:rPr/>
        <w:t>territoriales</w:t>
      </w:r>
      <w:r>
        <w:rPr>
          <w:spacing w:val="-10"/>
        </w:rPr>
        <w:t> </w:t>
      </w:r>
      <w:r>
        <w:rPr>
          <w:spacing w:val="-4"/>
        </w:rPr>
        <w:t>son:</w:t>
      </w:r>
    </w:p>
    <w:p>
      <w:pPr>
        <w:pStyle w:val="BodyText"/>
        <w:spacing w:before="1"/>
      </w:pPr>
    </w:p>
    <w:p>
      <w:pPr>
        <w:pStyle w:val="ListParagraph"/>
        <w:numPr>
          <w:ilvl w:val="0"/>
          <w:numId w:val="51"/>
        </w:numPr>
        <w:tabs>
          <w:tab w:pos="543" w:val="left" w:leader="none"/>
        </w:tabs>
        <w:spacing w:line="240" w:lineRule="auto" w:before="0" w:after="0"/>
        <w:ind w:left="262" w:right="287" w:firstLine="0"/>
        <w:jc w:val="both"/>
        <w:rPr>
          <w:sz w:val="20"/>
        </w:rPr>
      </w:pPr>
      <w:r>
        <w:rPr>
          <w:sz w:val="20"/>
        </w:rPr>
        <w:t>Preservación:</w:t>
      </w:r>
      <w:r>
        <w:rPr>
          <w:spacing w:val="-3"/>
          <w:sz w:val="20"/>
        </w:rPr>
        <w:t> </w:t>
      </w:r>
      <w:r>
        <w:rPr>
          <w:sz w:val="20"/>
        </w:rPr>
        <w:t>el</w:t>
      </w:r>
      <w:r>
        <w:rPr>
          <w:spacing w:val="-4"/>
          <w:sz w:val="20"/>
        </w:rPr>
        <w:t> </w:t>
      </w:r>
      <w:r>
        <w:rPr>
          <w:sz w:val="20"/>
        </w:rPr>
        <w:t>conjunto</w:t>
      </w:r>
      <w:r>
        <w:rPr>
          <w:spacing w:val="-4"/>
          <w:sz w:val="20"/>
        </w:rPr>
        <w:t> </w:t>
      </w:r>
      <w:r>
        <w:rPr>
          <w:sz w:val="20"/>
        </w:rPr>
        <w:t>de</w:t>
      </w:r>
      <w:r>
        <w:rPr>
          <w:spacing w:val="-3"/>
          <w:sz w:val="20"/>
        </w:rPr>
        <w:t> </w:t>
      </w:r>
      <w:r>
        <w:rPr>
          <w:sz w:val="20"/>
        </w:rPr>
        <w:t>medidas</w:t>
      </w:r>
      <w:r>
        <w:rPr>
          <w:spacing w:val="-2"/>
          <w:sz w:val="20"/>
        </w:rPr>
        <w:t> </w:t>
      </w:r>
      <w:r>
        <w:rPr>
          <w:sz w:val="20"/>
        </w:rPr>
        <w:t>para</w:t>
      </w:r>
      <w:r>
        <w:rPr>
          <w:spacing w:val="-3"/>
          <w:sz w:val="20"/>
        </w:rPr>
        <w:t> </w:t>
      </w:r>
      <w:r>
        <w:rPr>
          <w:sz w:val="20"/>
        </w:rPr>
        <w:t>conservar</w:t>
      </w:r>
      <w:r>
        <w:rPr>
          <w:spacing w:val="-2"/>
          <w:sz w:val="20"/>
        </w:rPr>
        <w:t> </w:t>
      </w:r>
      <w:r>
        <w:rPr>
          <w:sz w:val="20"/>
        </w:rPr>
        <w:t>las</w:t>
      </w:r>
      <w:r>
        <w:rPr>
          <w:spacing w:val="-2"/>
          <w:sz w:val="20"/>
        </w:rPr>
        <w:t> </w:t>
      </w:r>
      <w:r>
        <w:rPr>
          <w:sz w:val="20"/>
        </w:rPr>
        <w:t>condiciones</w:t>
      </w:r>
      <w:r>
        <w:rPr>
          <w:spacing w:val="-2"/>
          <w:sz w:val="20"/>
        </w:rPr>
        <w:t> </w:t>
      </w:r>
      <w:r>
        <w:rPr>
          <w:sz w:val="20"/>
        </w:rPr>
        <w:t>que</w:t>
      </w:r>
      <w:r>
        <w:rPr>
          <w:spacing w:val="-3"/>
          <w:sz w:val="20"/>
        </w:rPr>
        <w:t> </w:t>
      </w:r>
      <w:r>
        <w:rPr>
          <w:sz w:val="20"/>
        </w:rPr>
        <w:t>propician</w:t>
      </w:r>
      <w:r>
        <w:rPr>
          <w:spacing w:val="-4"/>
          <w:sz w:val="20"/>
        </w:rPr>
        <w:t> </w:t>
      </w:r>
      <w:r>
        <w:rPr>
          <w:sz w:val="20"/>
        </w:rPr>
        <w:t>la</w:t>
      </w:r>
      <w:r>
        <w:rPr>
          <w:spacing w:val="-1"/>
          <w:sz w:val="20"/>
        </w:rPr>
        <w:t> </w:t>
      </w:r>
      <w:r>
        <w:rPr>
          <w:sz w:val="20"/>
        </w:rPr>
        <w:t>evolución y continuidad de los procesos naturales;</w:t>
      </w:r>
    </w:p>
    <w:p>
      <w:pPr>
        <w:pStyle w:val="ListParagraph"/>
        <w:numPr>
          <w:ilvl w:val="0"/>
          <w:numId w:val="51"/>
        </w:numPr>
        <w:tabs>
          <w:tab w:pos="543" w:val="left" w:leader="none"/>
        </w:tabs>
        <w:spacing w:line="240" w:lineRule="auto" w:before="229" w:after="0"/>
        <w:ind w:left="543" w:right="0" w:hanging="281"/>
        <w:jc w:val="both"/>
        <w:rPr>
          <w:sz w:val="20"/>
        </w:rPr>
      </w:pPr>
      <w:r>
        <w:rPr>
          <w:sz w:val="20"/>
        </w:rPr>
        <w:t>Protección:</w:t>
      </w:r>
      <w:r>
        <w:rPr>
          <w:spacing w:val="-7"/>
          <w:sz w:val="20"/>
        </w:rPr>
        <w:t> </w:t>
      </w:r>
      <w:r>
        <w:rPr>
          <w:sz w:val="20"/>
        </w:rPr>
        <w:t>el</w:t>
      </w:r>
      <w:r>
        <w:rPr>
          <w:spacing w:val="-8"/>
          <w:sz w:val="20"/>
        </w:rPr>
        <w:t> </w:t>
      </w:r>
      <w:r>
        <w:rPr>
          <w:sz w:val="20"/>
        </w:rPr>
        <w:t>conjunto</w:t>
      </w:r>
      <w:r>
        <w:rPr>
          <w:spacing w:val="-8"/>
          <w:sz w:val="20"/>
        </w:rPr>
        <w:t> </w:t>
      </w:r>
      <w:r>
        <w:rPr>
          <w:sz w:val="20"/>
        </w:rPr>
        <w:t>de</w:t>
      </w:r>
      <w:r>
        <w:rPr>
          <w:spacing w:val="-5"/>
          <w:sz w:val="20"/>
        </w:rPr>
        <w:t> </w:t>
      </w:r>
      <w:r>
        <w:rPr>
          <w:sz w:val="20"/>
        </w:rPr>
        <w:t>medidas</w:t>
      </w:r>
      <w:r>
        <w:rPr>
          <w:spacing w:val="-6"/>
          <w:sz w:val="20"/>
        </w:rPr>
        <w:t> </w:t>
      </w:r>
      <w:r>
        <w:rPr>
          <w:sz w:val="20"/>
        </w:rPr>
        <w:t>para</w:t>
      </w:r>
      <w:r>
        <w:rPr>
          <w:spacing w:val="-7"/>
          <w:sz w:val="20"/>
        </w:rPr>
        <w:t> </w:t>
      </w:r>
      <w:r>
        <w:rPr>
          <w:sz w:val="20"/>
        </w:rPr>
        <w:t>mejorar</w:t>
      </w:r>
      <w:r>
        <w:rPr>
          <w:spacing w:val="-6"/>
          <w:sz w:val="20"/>
        </w:rPr>
        <w:t> </w:t>
      </w:r>
      <w:r>
        <w:rPr>
          <w:sz w:val="20"/>
        </w:rPr>
        <w:t>el</w:t>
      </w:r>
      <w:r>
        <w:rPr>
          <w:spacing w:val="-7"/>
          <w:sz w:val="20"/>
        </w:rPr>
        <w:t> </w:t>
      </w:r>
      <w:r>
        <w:rPr>
          <w:sz w:val="20"/>
        </w:rPr>
        <w:t>ambiente,</w:t>
      </w:r>
      <w:r>
        <w:rPr>
          <w:spacing w:val="-6"/>
          <w:sz w:val="20"/>
        </w:rPr>
        <w:t> </w:t>
      </w:r>
      <w:r>
        <w:rPr>
          <w:sz w:val="20"/>
        </w:rPr>
        <w:t>y</w:t>
      </w:r>
      <w:r>
        <w:rPr>
          <w:spacing w:val="-7"/>
          <w:sz w:val="20"/>
        </w:rPr>
        <w:t> </w:t>
      </w:r>
      <w:r>
        <w:rPr>
          <w:sz w:val="20"/>
        </w:rPr>
        <w:t>prevenir</w:t>
      </w:r>
      <w:r>
        <w:rPr>
          <w:spacing w:val="-6"/>
          <w:sz w:val="20"/>
        </w:rPr>
        <w:t> </w:t>
      </w:r>
      <w:r>
        <w:rPr>
          <w:sz w:val="20"/>
        </w:rPr>
        <w:t>y</w:t>
      </w:r>
      <w:r>
        <w:rPr>
          <w:spacing w:val="-6"/>
          <w:sz w:val="20"/>
        </w:rPr>
        <w:t> </w:t>
      </w:r>
      <w:r>
        <w:rPr>
          <w:sz w:val="20"/>
        </w:rPr>
        <w:t>controlar</w:t>
      </w:r>
      <w:r>
        <w:rPr>
          <w:spacing w:val="-7"/>
          <w:sz w:val="20"/>
        </w:rPr>
        <w:t> </w:t>
      </w:r>
      <w:r>
        <w:rPr>
          <w:sz w:val="20"/>
        </w:rPr>
        <w:t>su</w:t>
      </w:r>
      <w:r>
        <w:rPr>
          <w:spacing w:val="-7"/>
          <w:sz w:val="20"/>
        </w:rPr>
        <w:t> </w:t>
      </w:r>
      <w:r>
        <w:rPr>
          <w:spacing w:val="-2"/>
          <w:sz w:val="20"/>
        </w:rPr>
        <w:t>deterioro;</w:t>
      </w:r>
    </w:p>
    <w:p>
      <w:pPr>
        <w:pStyle w:val="BodyText"/>
        <w:spacing w:before="1"/>
      </w:pPr>
    </w:p>
    <w:p>
      <w:pPr>
        <w:pStyle w:val="ListParagraph"/>
        <w:numPr>
          <w:ilvl w:val="0"/>
          <w:numId w:val="51"/>
        </w:numPr>
        <w:tabs>
          <w:tab w:pos="597" w:val="left" w:leader="none"/>
        </w:tabs>
        <w:spacing w:line="240" w:lineRule="auto" w:before="0" w:after="0"/>
        <w:ind w:left="262" w:right="289" w:firstLine="0"/>
        <w:jc w:val="both"/>
        <w:rPr>
          <w:sz w:val="20"/>
        </w:rPr>
      </w:pPr>
      <w:r>
        <w:rPr>
          <w:sz w:val="20"/>
        </w:rPr>
        <w:t>Restauración: el</w:t>
      </w:r>
      <w:r>
        <w:rPr>
          <w:spacing w:val="-1"/>
          <w:sz w:val="20"/>
        </w:rPr>
        <w:t> </w:t>
      </w:r>
      <w:r>
        <w:rPr>
          <w:sz w:val="20"/>
        </w:rPr>
        <w:t>conjunto de</w:t>
      </w:r>
      <w:r>
        <w:rPr>
          <w:spacing w:val="-1"/>
          <w:sz w:val="20"/>
        </w:rPr>
        <w:t> </w:t>
      </w:r>
      <w:r>
        <w:rPr>
          <w:sz w:val="20"/>
        </w:rPr>
        <w:t>actividades tendientes a la recuperación y restablecimiento de las condiciones que hacen posible la evolución y continuidad de los procesos naturales, y</w:t>
      </w:r>
    </w:p>
    <w:p>
      <w:pPr>
        <w:pStyle w:val="ListParagraph"/>
        <w:numPr>
          <w:ilvl w:val="0"/>
          <w:numId w:val="51"/>
        </w:numPr>
        <w:tabs>
          <w:tab w:pos="688" w:val="left" w:leader="none"/>
        </w:tabs>
        <w:spacing w:line="240" w:lineRule="auto" w:before="229" w:after="0"/>
        <w:ind w:left="262" w:right="284" w:firstLine="0"/>
        <w:jc w:val="both"/>
        <w:rPr>
          <w:sz w:val="20"/>
        </w:rPr>
      </w:pPr>
      <w:r>
        <w:rPr>
          <w:sz w:val="20"/>
        </w:rPr>
        <w:t>Aprovechamiento:</w:t>
      </w:r>
      <w:r>
        <w:rPr>
          <w:spacing w:val="-7"/>
          <w:sz w:val="20"/>
        </w:rPr>
        <w:t> </w:t>
      </w:r>
      <w:r>
        <w:rPr>
          <w:sz w:val="20"/>
        </w:rPr>
        <w:t>el</w:t>
      </w:r>
      <w:r>
        <w:rPr>
          <w:spacing w:val="-7"/>
          <w:sz w:val="20"/>
        </w:rPr>
        <w:t> </w:t>
      </w:r>
      <w:r>
        <w:rPr>
          <w:sz w:val="20"/>
        </w:rPr>
        <w:t>conjunto</w:t>
      </w:r>
      <w:r>
        <w:rPr>
          <w:spacing w:val="-5"/>
          <w:sz w:val="20"/>
        </w:rPr>
        <w:t> </w:t>
      </w:r>
      <w:r>
        <w:rPr>
          <w:sz w:val="20"/>
        </w:rPr>
        <w:t>de</w:t>
      </w:r>
      <w:r>
        <w:rPr>
          <w:spacing w:val="-5"/>
          <w:sz w:val="20"/>
        </w:rPr>
        <w:t> </w:t>
      </w:r>
      <w:r>
        <w:rPr>
          <w:sz w:val="20"/>
        </w:rPr>
        <w:t>actividades</w:t>
      </w:r>
      <w:r>
        <w:rPr>
          <w:spacing w:val="-6"/>
          <w:sz w:val="20"/>
        </w:rPr>
        <w:t> </w:t>
      </w:r>
      <w:r>
        <w:rPr>
          <w:sz w:val="20"/>
        </w:rPr>
        <w:t>para</w:t>
      </w:r>
      <w:r>
        <w:rPr>
          <w:spacing w:val="-5"/>
          <w:sz w:val="20"/>
        </w:rPr>
        <w:t> </w:t>
      </w:r>
      <w:r>
        <w:rPr>
          <w:sz w:val="20"/>
        </w:rPr>
        <w:t>la</w:t>
      </w:r>
      <w:r>
        <w:rPr>
          <w:spacing w:val="-7"/>
          <w:sz w:val="20"/>
        </w:rPr>
        <w:t> </w:t>
      </w:r>
      <w:r>
        <w:rPr>
          <w:sz w:val="20"/>
        </w:rPr>
        <w:t>utilización</w:t>
      </w:r>
      <w:r>
        <w:rPr>
          <w:spacing w:val="-7"/>
          <w:sz w:val="20"/>
        </w:rPr>
        <w:t> </w:t>
      </w:r>
      <w:r>
        <w:rPr>
          <w:sz w:val="20"/>
        </w:rPr>
        <w:t>racional</w:t>
      </w:r>
      <w:r>
        <w:rPr>
          <w:spacing w:val="-7"/>
          <w:sz w:val="20"/>
        </w:rPr>
        <w:t> </w:t>
      </w:r>
      <w:r>
        <w:rPr>
          <w:sz w:val="20"/>
        </w:rPr>
        <w:t>y</w:t>
      </w:r>
      <w:r>
        <w:rPr>
          <w:spacing w:val="-5"/>
          <w:sz w:val="20"/>
        </w:rPr>
        <w:t> </w:t>
      </w:r>
      <w:r>
        <w:rPr>
          <w:sz w:val="20"/>
        </w:rPr>
        <w:t>sustentable</w:t>
      </w:r>
      <w:r>
        <w:rPr>
          <w:spacing w:val="-7"/>
          <w:sz w:val="20"/>
        </w:rPr>
        <w:t> </w:t>
      </w:r>
      <w:r>
        <w:rPr>
          <w:sz w:val="20"/>
        </w:rPr>
        <w:t>del</w:t>
      </w:r>
      <w:r>
        <w:rPr>
          <w:spacing w:val="-8"/>
          <w:sz w:val="20"/>
        </w:rPr>
        <w:t> </w:t>
      </w:r>
      <w:r>
        <w:rPr>
          <w:sz w:val="20"/>
        </w:rPr>
        <w:t>suelo y de los recursos naturales,</w:t>
      </w:r>
      <w:r>
        <w:rPr>
          <w:spacing w:val="-1"/>
          <w:sz w:val="20"/>
        </w:rPr>
        <w:t> </w:t>
      </w:r>
      <w:r>
        <w:rPr>
          <w:sz w:val="20"/>
        </w:rPr>
        <w:t>en forma que</w:t>
      </w:r>
      <w:r>
        <w:rPr>
          <w:spacing w:val="-1"/>
          <w:sz w:val="20"/>
        </w:rPr>
        <w:t> </w:t>
      </w:r>
      <w:r>
        <w:rPr>
          <w:sz w:val="20"/>
        </w:rPr>
        <w:t>resulte socialmente útil</w:t>
      </w:r>
      <w:r>
        <w:rPr>
          <w:spacing w:val="-2"/>
          <w:sz w:val="20"/>
        </w:rPr>
        <w:t> </w:t>
      </w:r>
      <w:r>
        <w:rPr>
          <w:sz w:val="20"/>
        </w:rPr>
        <w:t>y se</w:t>
      </w:r>
      <w:r>
        <w:rPr>
          <w:spacing w:val="-1"/>
          <w:sz w:val="20"/>
        </w:rPr>
        <w:t> </w:t>
      </w:r>
      <w:r>
        <w:rPr>
          <w:sz w:val="20"/>
        </w:rPr>
        <w:t>procure</w:t>
      </w:r>
      <w:r>
        <w:rPr>
          <w:spacing w:val="-1"/>
          <w:sz w:val="20"/>
        </w:rPr>
        <w:t> </w:t>
      </w:r>
      <w:r>
        <w:rPr>
          <w:sz w:val="20"/>
        </w:rPr>
        <w:t>su</w:t>
      </w:r>
      <w:r>
        <w:rPr>
          <w:spacing w:val="-1"/>
          <w:sz w:val="20"/>
        </w:rPr>
        <w:t> </w:t>
      </w:r>
      <w:r>
        <w:rPr>
          <w:sz w:val="20"/>
        </w:rPr>
        <w:t>preservación y la del ambiente.</w:t>
      </w:r>
    </w:p>
    <w:p>
      <w:pPr>
        <w:pStyle w:val="BodyText"/>
        <w:spacing w:before="1"/>
      </w:pPr>
    </w:p>
    <w:p>
      <w:pPr>
        <w:pStyle w:val="BodyText"/>
        <w:spacing w:before="1"/>
        <w:ind w:left="262" w:right="286"/>
        <w:jc w:val="both"/>
      </w:pPr>
      <w:r>
        <w:rPr/>
        <w:t>Los</w:t>
      </w:r>
      <w:r>
        <w:rPr>
          <w:spacing w:val="-6"/>
        </w:rPr>
        <w:t> </w:t>
      </w:r>
      <w:r>
        <w:rPr/>
        <w:t>Programas</w:t>
      </w:r>
      <w:r>
        <w:rPr>
          <w:spacing w:val="-7"/>
        </w:rPr>
        <w:t> </w:t>
      </w:r>
      <w:r>
        <w:rPr/>
        <w:t>de</w:t>
      </w:r>
      <w:r>
        <w:rPr>
          <w:spacing w:val="-8"/>
        </w:rPr>
        <w:t> </w:t>
      </w:r>
      <w:r>
        <w:rPr/>
        <w:t>Ordenamiento</w:t>
      </w:r>
      <w:r>
        <w:rPr>
          <w:spacing w:val="-6"/>
        </w:rPr>
        <w:t> </w:t>
      </w:r>
      <w:r>
        <w:rPr/>
        <w:t>Territorial</w:t>
      </w:r>
      <w:r>
        <w:rPr>
          <w:spacing w:val="-7"/>
        </w:rPr>
        <w:t> </w:t>
      </w:r>
      <w:r>
        <w:rPr/>
        <w:t>y</w:t>
      </w:r>
      <w:r>
        <w:rPr>
          <w:spacing w:val="-6"/>
        </w:rPr>
        <w:t> </w:t>
      </w:r>
      <w:r>
        <w:rPr/>
        <w:t>Desarrollo</w:t>
      </w:r>
      <w:r>
        <w:rPr>
          <w:spacing w:val="-6"/>
        </w:rPr>
        <w:t> </w:t>
      </w:r>
      <w:r>
        <w:rPr/>
        <w:t>Urbano</w:t>
      </w:r>
      <w:r>
        <w:rPr>
          <w:spacing w:val="-6"/>
        </w:rPr>
        <w:t> </w:t>
      </w:r>
      <w:r>
        <w:rPr/>
        <w:t>deberán</w:t>
      </w:r>
      <w:r>
        <w:rPr>
          <w:spacing w:val="-6"/>
        </w:rPr>
        <w:t> </w:t>
      </w:r>
      <w:r>
        <w:rPr/>
        <w:t>ajustarse</w:t>
      </w:r>
      <w:r>
        <w:rPr>
          <w:spacing w:val="-8"/>
        </w:rPr>
        <w:t> </w:t>
      </w:r>
      <w:r>
        <w:rPr/>
        <w:t>al</w:t>
      </w:r>
      <w:r>
        <w:rPr>
          <w:spacing w:val="-8"/>
        </w:rPr>
        <w:t> </w:t>
      </w:r>
      <w:r>
        <w:rPr/>
        <w:t>ordenamiento ecológico correspondiente para la determinación de los límites de aplicación de las políticas antes </w:t>
      </w:r>
      <w:r>
        <w:rPr>
          <w:spacing w:val="-2"/>
        </w:rPr>
        <w:t>descritas.</w:t>
      </w:r>
    </w:p>
    <w:p>
      <w:pPr>
        <w:pStyle w:val="BodyText"/>
        <w:spacing w:before="229"/>
        <w:ind w:left="262" w:right="276"/>
        <w:jc w:val="both"/>
      </w:pPr>
      <w:r>
        <w:rPr>
          <w:rFonts w:ascii="Arial" w:hAnsi="Arial"/>
          <w:b/>
        </w:rPr>
        <w:t>ARTÍCULO</w:t>
      </w:r>
      <w:r>
        <w:rPr>
          <w:rFonts w:ascii="Arial" w:hAnsi="Arial"/>
          <w:b/>
          <w:spacing w:val="-1"/>
        </w:rPr>
        <w:t> </w:t>
      </w:r>
      <w:r>
        <w:rPr>
          <w:rFonts w:ascii="Arial" w:hAnsi="Arial"/>
          <w:b/>
        </w:rPr>
        <w:t>121. </w:t>
      </w:r>
      <w:r>
        <w:rPr/>
        <w:t>Con base en los estudios</w:t>
      </w:r>
      <w:r>
        <w:rPr>
          <w:spacing w:val="-1"/>
        </w:rPr>
        <w:t> </w:t>
      </w:r>
      <w:r>
        <w:rPr/>
        <w:t>de</w:t>
      </w:r>
      <w:r>
        <w:rPr>
          <w:spacing w:val="-2"/>
        </w:rPr>
        <w:t> </w:t>
      </w:r>
      <w:r>
        <w:rPr/>
        <w:t>ordenamiento ecológico,</w:t>
      </w:r>
      <w:r>
        <w:rPr>
          <w:spacing w:val="-2"/>
        </w:rPr>
        <w:t> </w:t>
      </w:r>
      <w:r>
        <w:rPr/>
        <w:t>de</w:t>
      </w:r>
      <w:r>
        <w:rPr>
          <w:spacing w:val="-2"/>
        </w:rPr>
        <w:t> </w:t>
      </w:r>
      <w:r>
        <w:rPr/>
        <w:t>hidrología subterránea y superficial, y en el propio diagnóstico del medio natural; en los programas de desarrollo urbano y ordenamiento del territorio se establecerán las zonas de territorio sujetas a la política de </w:t>
      </w:r>
      <w:r>
        <w:rPr>
          <w:spacing w:val="-2"/>
        </w:rPr>
        <w:t>preservación.</w:t>
      </w:r>
    </w:p>
    <w:p>
      <w:pPr>
        <w:spacing w:before="230"/>
        <w:ind w:left="262"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122.</w:t>
      </w:r>
      <w:r>
        <w:rPr>
          <w:rFonts w:ascii="Arial" w:hAnsi="Arial"/>
          <w:b/>
          <w:spacing w:val="-6"/>
          <w:sz w:val="20"/>
        </w:rPr>
        <w:t> </w:t>
      </w:r>
      <w:r>
        <w:rPr>
          <w:sz w:val="20"/>
        </w:rPr>
        <w:t>Se</w:t>
      </w:r>
      <w:r>
        <w:rPr>
          <w:spacing w:val="-8"/>
          <w:sz w:val="20"/>
        </w:rPr>
        <w:t> </w:t>
      </w:r>
      <w:r>
        <w:rPr>
          <w:sz w:val="20"/>
        </w:rPr>
        <w:t>consideran</w:t>
      </w:r>
      <w:r>
        <w:rPr>
          <w:spacing w:val="-8"/>
          <w:sz w:val="20"/>
        </w:rPr>
        <w:t> </w:t>
      </w:r>
      <w:r>
        <w:rPr>
          <w:sz w:val="20"/>
        </w:rPr>
        <w:t>zonas</w:t>
      </w:r>
      <w:r>
        <w:rPr>
          <w:spacing w:val="-6"/>
          <w:sz w:val="20"/>
        </w:rPr>
        <w:t> </w:t>
      </w:r>
      <w:r>
        <w:rPr>
          <w:sz w:val="20"/>
        </w:rPr>
        <w:t>susceptibles</w:t>
      </w:r>
      <w:r>
        <w:rPr>
          <w:spacing w:val="-6"/>
          <w:sz w:val="20"/>
        </w:rPr>
        <w:t> </w:t>
      </w:r>
      <w:r>
        <w:rPr>
          <w:sz w:val="20"/>
        </w:rPr>
        <w:t>a</w:t>
      </w:r>
      <w:r>
        <w:rPr>
          <w:spacing w:val="-7"/>
          <w:sz w:val="20"/>
        </w:rPr>
        <w:t> </w:t>
      </w:r>
      <w:r>
        <w:rPr>
          <w:sz w:val="20"/>
        </w:rPr>
        <w:t>la</w:t>
      </w:r>
      <w:r>
        <w:rPr>
          <w:spacing w:val="-8"/>
          <w:sz w:val="20"/>
        </w:rPr>
        <w:t> </w:t>
      </w:r>
      <w:r>
        <w:rPr>
          <w:spacing w:val="-2"/>
          <w:sz w:val="20"/>
        </w:rPr>
        <w:t>preservación:</w:t>
      </w:r>
    </w:p>
    <w:p>
      <w:pPr>
        <w:pStyle w:val="BodyText"/>
      </w:pPr>
    </w:p>
    <w:p>
      <w:pPr>
        <w:pStyle w:val="ListParagraph"/>
        <w:numPr>
          <w:ilvl w:val="0"/>
          <w:numId w:val="52"/>
        </w:numPr>
        <w:tabs>
          <w:tab w:pos="543" w:val="left" w:leader="none"/>
        </w:tabs>
        <w:spacing w:line="240" w:lineRule="auto" w:before="0" w:after="0"/>
        <w:ind w:left="262" w:right="285" w:firstLine="0"/>
        <w:jc w:val="both"/>
        <w:rPr>
          <w:sz w:val="20"/>
        </w:rPr>
      </w:pPr>
      <w:r>
        <w:rPr>
          <w:sz w:val="20"/>
        </w:rPr>
        <w:t>Las</w:t>
      </w:r>
      <w:r>
        <w:rPr>
          <w:spacing w:val="-14"/>
          <w:sz w:val="20"/>
        </w:rPr>
        <w:t> </w:t>
      </w:r>
      <w:r>
        <w:rPr>
          <w:sz w:val="20"/>
        </w:rPr>
        <w:t>que</w:t>
      </w:r>
      <w:r>
        <w:rPr>
          <w:spacing w:val="-13"/>
          <w:sz w:val="20"/>
        </w:rPr>
        <w:t> </w:t>
      </w:r>
      <w:r>
        <w:rPr>
          <w:sz w:val="20"/>
        </w:rPr>
        <w:t>por</w:t>
      </w:r>
      <w:r>
        <w:rPr>
          <w:spacing w:val="-14"/>
          <w:sz w:val="20"/>
        </w:rPr>
        <w:t> </w:t>
      </w:r>
      <w:r>
        <w:rPr>
          <w:sz w:val="20"/>
        </w:rPr>
        <w:t>sus</w:t>
      </w:r>
      <w:r>
        <w:rPr>
          <w:spacing w:val="-14"/>
          <w:sz w:val="20"/>
        </w:rPr>
        <w:t> </w:t>
      </w:r>
      <w:r>
        <w:rPr>
          <w:sz w:val="20"/>
        </w:rPr>
        <w:t>características</w:t>
      </w:r>
      <w:r>
        <w:rPr>
          <w:spacing w:val="-14"/>
          <w:sz w:val="20"/>
        </w:rPr>
        <w:t> </w:t>
      </w:r>
      <w:r>
        <w:rPr>
          <w:sz w:val="20"/>
        </w:rPr>
        <w:t>naturales,</w:t>
      </w:r>
      <w:r>
        <w:rPr>
          <w:spacing w:val="-14"/>
          <w:sz w:val="20"/>
        </w:rPr>
        <w:t> </w:t>
      </w:r>
      <w:r>
        <w:rPr>
          <w:sz w:val="20"/>
        </w:rPr>
        <w:t>cuenten</w:t>
      </w:r>
      <w:r>
        <w:rPr>
          <w:spacing w:val="-14"/>
          <w:sz w:val="20"/>
        </w:rPr>
        <w:t> </w:t>
      </w:r>
      <w:r>
        <w:rPr>
          <w:sz w:val="20"/>
        </w:rPr>
        <w:t>con</w:t>
      </w:r>
      <w:r>
        <w:rPr>
          <w:spacing w:val="-12"/>
          <w:sz w:val="20"/>
        </w:rPr>
        <w:t> </w:t>
      </w:r>
      <w:r>
        <w:rPr>
          <w:sz w:val="20"/>
        </w:rPr>
        <w:t>bosques,</w:t>
      </w:r>
      <w:r>
        <w:rPr>
          <w:spacing w:val="-12"/>
          <w:sz w:val="20"/>
        </w:rPr>
        <w:t> </w:t>
      </w:r>
      <w:r>
        <w:rPr>
          <w:sz w:val="20"/>
        </w:rPr>
        <w:t>especies</w:t>
      </w:r>
      <w:r>
        <w:rPr>
          <w:spacing w:val="-14"/>
          <w:sz w:val="20"/>
        </w:rPr>
        <w:t> </w:t>
      </w:r>
      <w:r>
        <w:rPr>
          <w:sz w:val="20"/>
        </w:rPr>
        <w:t>bajo</w:t>
      </w:r>
      <w:r>
        <w:rPr>
          <w:spacing w:val="-12"/>
          <w:sz w:val="20"/>
        </w:rPr>
        <w:t> </w:t>
      </w:r>
      <w:r>
        <w:rPr>
          <w:sz w:val="20"/>
        </w:rPr>
        <w:t>protección,</w:t>
      </w:r>
      <w:r>
        <w:rPr>
          <w:spacing w:val="-14"/>
          <w:sz w:val="20"/>
        </w:rPr>
        <w:t> </w:t>
      </w:r>
      <w:r>
        <w:rPr>
          <w:sz w:val="20"/>
        </w:rPr>
        <w:t>selvas praderas, mantos acuíferos, zonas de recargas de aguas pluviales y otros elementos que condicionen el equilibrio ecológico y propicien el desarrollo sustentable;</w:t>
      </w:r>
    </w:p>
    <w:p>
      <w:pPr>
        <w:pStyle w:val="BodyText"/>
      </w:pPr>
    </w:p>
    <w:p>
      <w:pPr>
        <w:pStyle w:val="ListParagraph"/>
        <w:numPr>
          <w:ilvl w:val="0"/>
          <w:numId w:val="52"/>
        </w:numPr>
        <w:tabs>
          <w:tab w:pos="543" w:val="left" w:leader="none"/>
        </w:tabs>
        <w:spacing w:line="240" w:lineRule="auto" w:before="0" w:after="0"/>
        <w:ind w:left="262" w:right="287" w:firstLine="0"/>
        <w:jc w:val="both"/>
        <w:rPr>
          <w:sz w:val="20"/>
        </w:rPr>
      </w:pPr>
      <w:r>
        <w:rPr>
          <w:sz w:val="20"/>
        </w:rPr>
        <w:t>Las zonas abiertas, los promontorios, los cerros, las colinas y elevaciones o depresiones orográficas que constituyen elementos naturales para la preservación ecológica de los centros de </w:t>
      </w:r>
      <w:r>
        <w:rPr>
          <w:spacing w:val="-2"/>
          <w:sz w:val="20"/>
        </w:rPr>
        <w:t>población;</w:t>
      </w:r>
    </w:p>
    <w:p>
      <w:pPr>
        <w:pStyle w:val="ListParagraph"/>
        <w:numPr>
          <w:ilvl w:val="0"/>
          <w:numId w:val="52"/>
        </w:numPr>
        <w:tabs>
          <w:tab w:pos="597" w:val="left" w:leader="none"/>
        </w:tabs>
        <w:spacing w:line="240" w:lineRule="auto" w:before="230" w:after="0"/>
        <w:ind w:left="597" w:right="0" w:hanging="335"/>
        <w:jc w:val="both"/>
        <w:rPr>
          <w:sz w:val="20"/>
        </w:rPr>
      </w:pPr>
      <w:r>
        <w:rPr>
          <w:sz w:val="20"/>
        </w:rPr>
        <w:t>Las</w:t>
      </w:r>
      <w:r>
        <w:rPr>
          <w:spacing w:val="-8"/>
          <w:sz w:val="20"/>
        </w:rPr>
        <w:t> </w:t>
      </w:r>
      <w:r>
        <w:rPr>
          <w:sz w:val="20"/>
        </w:rPr>
        <w:t>zonas</w:t>
      </w:r>
      <w:r>
        <w:rPr>
          <w:spacing w:val="-7"/>
          <w:sz w:val="20"/>
        </w:rPr>
        <w:t> </w:t>
      </w:r>
      <w:r>
        <w:rPr>
          <w:sz w:val="20"/>
        </w:rPr>
        <w:t>y</w:t>
      </w:r>
      <w:r>
        <w:rPr>
          <w:spacing w:val="-8"/>
          <w:sz w:val="20"/>
        </w:rPr>
        <w:t> </w:t>
      </w:r>
      <w:r>
        <w:rPr>
          <w:sz w:val="20"/>
        </w:rPr>
        <w:t>monumentos</w:t>
      </w:r>
      <w:r>
        <w:rPr>
          <w:spacing w:val="-6"/>
          <w:sz w:val="20"/>
        </w:rPr>
        <w:t> </w:t>
      </w:r>
      <w:r>
        <w:rPr>
          <w:sz w:val="20"/>
        </w:rPr>
        <w:t>del</w:t>
      </w:r>
      <w:r>
        <w:rPr>
          <w:spacing w:val="-7"/>
          <w:sz w:val="20"/>
        </w:rPr>
        <w:t> </w:t>
      </w:r>
      <w:r>
        <w:rPr>
          <w:sz w:val="20"/>
        </w:rPr>
        <w:t>patrimonio</w:t>
      </w:r>
      <w:r>
        <w:rPr>
          <w:spacing w:val="-7"/>
          <w:sz w:val="20"/>
        </w:rPr>
        <w:t> </w:t>
      </w:r>
      <w:r>
        <w:rPr>
          <w:spacing w:val="-2"/>
          <w:sz w:val="20"/>
        </w:rPr>
        <w:t>natural;</w:t>
      </w:r>
    </w:p>
    <w:p>
      <w:pPr>
        <w:pStyle w:val="BodyText"/>
      </w:pPr>
    </w:p>
    <w:p>
      <w:pPr>
        <w:pStyle w:val="ListParagraph"/>
        <w:numPr>
          <w:ilvl w:val="0"/>
          <w:numId w:val="52"/>
        </w:numPr>
        <w:tabs>
          <w:tab w:pos="688" w:val="left" w:leader="none"/>
        </w:tabs>
        <w:spacing w:line="240" w:lineRule="auto" w:before="0" w:after="0"/>
        <w:ind w:left="262" w:right="287" w:firstLine="0"/>
        <w:jc w:val="both"/>
        <w:rPr>
          <w:sz w:val="20"/>
        </w:rPr>
      </w:pPr>
      <w:r>
        <w:rPr>
          <w:sz w:val="20"/>
        </w:rPr>
        <w:t>Las zonas que contiene bellezas naturales y elementos constitutivos del paisaje y la imagen típica,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52"/>
        </w:numPr>
        <w:tabs>
          <w:tab w:pos="688" w:val="left" w:leader="none"/>
        </w:tabs>
        <w:spacing w:line="240" w:lineRule="auto" w:before="0" w:after="0"/>
        <w:ind w:left="262" w:right="282" w:firstLine="0"/>
        <w:jc w:val="both"/>
        <w:rPr>
          <w:sz w:val="20"/>
        </w:rPr>
      </w:pPr>
      <w:r>
        <w:rPr>
          <w:sz w:val="20"/>
        </w:rPr>
        <w:t>Aquellas cuyo subsuelo esté afectado por explotaciones de cualquier género y por fallas </w:t>
      </w:r>
      <w:r>
        <w:rPr>
          <w:spacing w:val="-2"/>
          <w:sz w:val="20"/>
        </w:rPr>
        <w:t>geológicas</w:t>
      </w:r>
      <w:r>
        <w:rPr>
          <w:spacing w:val="-6"/>
          <w:sz w:val="20"/>
        </w:rPr>
        <w:t> </w:t>
      </w:r>
      <w:r>
        <w:rPr>
          <w:spacing w:val="-2"/>
          <w:sz w:val="20"/>
        </w:rPr>
        <w:t>o</w:t>
      </w:r>
      <w:r>
        <w:rPr>
          <w:spacing w:val="-4"/>
          <w:sz w:val="20"/>
        </w:rPr>
        <w:t> </w:t>
      </w:r>
      <w:r>
        <w:rPr>
          <w:spacing w:val="-2"/>
          <w:sz w:val="20"/>
        </w:rPr>
        <w:t>fracturas</w:t>
      </w:r>
      <w:r>
        <w:rPr>
          <w:spacing w:val="-6"/>
          <w:sz w:val="20"/>
        </w:rPr>
        <w:t> </w:t>
      </w:r>
      <w:r>
        <w:rPr>
          <w:spacing w:val="-2"/>
          <w:sz w:val="20"/>
        </w:rPr>
        <w:t>verticales,</w:t>
      </w:r>
      <w:r>
        <w:rPr>
          <w:spacing w:val="-4"/>
          <w:sz w:val="20"/>
        </w:rPr>
        <w:t> </w:t>
      </w:r>
      <w:r>
        <w:rPr>
          <w:spacing w:val="-2"/>
          <w:sz w:val="20"/>
        </w:rPr>
        <w:t>que</w:t>
      </w:r>
      <w:r>
        <w:rPr>
          <w:spacing w:val="-4"/>
          <w:sz w:val="20"/>
        </w:rPr>
        <w:t> </w:t>
      </w:r>
      <w:r>
        <w:rPr>
          <w:spacing w:val="-2"/>
          <w:sz w:val="20"/>
        </w:rPr>
        <w:t>puedan</w:t>
      </w:r>
      <w:r>
        <w:rPr>
          <w:spacing w:val="-4"/>
          <w:sz w:val="20"/>
        </w:rPr>
        <w:t> </w:t>
      </w:r>
      <w:r>
        <w:rPr>
          <w:spacing w:val="-2"/>
          <w:sz w:val="20"/>
        </w:rPr>
        <w:t>causar daños</w:t>
      </w:r>
      <w:r>
        <w:rPr>
          <w:spacing w:val="-5"/>
          <w:sz w:val="20"/>
        </w:rPr>
        <w:t> </w:t>
      </w:r>
      <w:r>
        <w:rPr>
          <w:spacing w:val="-2"/>
          <w:sz w:val="20"/>
        </w:rPr>
        <w:t>en</w:t>
      </w:r>
      <w:r>
        <w:rPr>
          <w:spacing w:val="-7"/>
          <w:sz w:val="20"/>
        </w:rPr>
        <w:t> </w:t>
      </w:r>
      <w:r>
        <w:rPr>
          <w:spacing w:val="-2"/>
          <w:sz w:val="20"/>
        </w:rPr>
        <w:t>construcciones de</w:t>
      </w:r>
      <w:r>
        <w:rPr>
          <w:spacing w:val="-5"/>
          <w:sz w:val="20"/>
        </w:rPr>
        <w:t> </w:t>
      </w:r>
      <w:r>
        <w:rPr>
          <w:spacing w:val="-2"/>
          <w:sz w:val="20"/>
        </w:rPr>
        <w:t>todo</w:t>
      </w:r>
      <w:r>
        <w:rPr>
          <w:spacing w:val="-7"/>
          <w:sz w:val="20"/>
        </w:rPr>
        <w:t> </w:t>
      </w:r>
      <w:r>
        <w:rPr>
          <w:spacing w:val="-2"/>
          <w:sz w:val="20"/>
        </w:rPr>
        <w:t>tipo,</w:t>
      </w:r>
      <w:r>
        <w:rPr>
          <w:spacing w:val="-4"/>
          <w:sz w:val="20"/>
        </w:rPr>
        <w:t> </w:t>
      </w:r>
      <w:r>
        <w:rPr>
          <w:spacing w:val="-2"/>
          <w:sz w:val="20"/>
        </w:rPr>
        <w:t>en</w:t>
      </w:r>
      <w:r>
        <w:rPr>
          <w:spacing w:val="-5"/>
          <w:sz w:val="20"/>
        </w:rPr>
        <w:t> </w:t>
      </w:r>
      <w:r>
        <w:rPr>
          <w:spacing w:val="-2"/>
          <w:sz w:val="20"/>
        </w:rPr>
        <w:t>calles, </w:t>
      </w:r>
      <w:r>
        <w:rPr>
          <w:sz w:val="20"/>
        </w:rPr>
        <w:t>avenidas y en las redes de drenaje y conducción de agua que constituyan peligros permanentes o eventuales para los asentamientos humanos.</w:t>
      </w:r>
    </w:p>
    <w:p>
      <w:pPr>
        <w:pStyle w:val="BodyText"/>
      </w:pPr>
    </w:p>
    <w:p>
      <w:pPr>
        <w:pStyle w:val="BodyText"/>
        <w:ind w:left="262" w:right="284"/>
        <w:jc w:val="both"/>
      </w:pPr>
      <w:r>
        <w:rPr/>
        <w:t>Se establecerán programas integrales de manejo de áreas naturales protegidas y de áreas con presencia</w:t>
      </w:r>
      <w:r>
        <w:rPr>
          <w:spacing w:val="-3"/>
        </w:rPr>
        <w:t> </w:t>
      </w:r>
      <w:r>
        <w:rPr/>
        <w:t>de</w:t>
      </w:r>
      <w:r>
        <w:rPr>
          <w:spacing w:val="-6"/>
        </w:rPr>
        <w:t> </w:t>
      </w:r>
      <w:r>
        <w:rPr/>
        <w:t>fallas</w:t>
      </w:r>
      <w:r>
        <w:rPr>
          <w:spacing w:val="-4"/>
        </w:rPr>
        <w:t> </w:t>
      </w:r>
      <w:r>
        <w:rPr/>
        <w:t>geológicas,</w:t>
      </w:r>
      <w:r>
        <w:rPr>
          <w:spacing w:val="-5"/>
        </w:rPr>
        <w:t> </w:t>
      </w:r>
      <w:r>
        <w:rPr/>
        <w:t>mediante</w:t>
      </w:r>
      <w:r>
        <w:rPr>
          <w:spacing w:val="-5"/>
        </w:rPr>
        <w:t> </w:t>
      </w:r>
      <w:r>
        <w:rPr/>
        <w:t>los</w:t>
      </w:r>
      <w:r>
        <w:rPr>
          <w:spacing w:val="-4"/>
        </w:rPr>
        <w:t> </w:t>
      </w:r>
      <w:r>
        <w:rPr/>
        <w:t>cuales</w:t>
      </w:r>
      <w:r>
        <w:rPr>
          <w:spacing w:val="-4"/>
        </w:rPr>
        <w:t> </w:t>
      </w:r>
      <w:r>
        <w:rPr/>
        <w:t>se</w:t>
      </w:r>
      <w:r>
        <w:rPr>
          <w:spacing w:val="-3"/>
        </w:rPr>
        <w:t> </w:t>
      </w:r>
      <w:r>
        <w:rPr/>
        <w:t>definirán</w:t>
      </w:r>
      <w:r>
        <w:rPr>
          <w:spacing w:val="-5"/>
        </w:rPr>
        <w:t> </w:t>
      </w:r>
      <w:r>
        <w:rPr/>
        <w:t>las</w:t>
      </w:r>
      <w:r>
        <w:rPr>
          <w:spacing w:val="-4"/>
        </w:rPr>
        <w:t> </w:t>
      </w:r>
      <w:r>
        <w:rPr/>
        <w:t>acciones</w:t>
      </w:r>
      <w:r>
        <w:rPr>
          <w:spacing w:val="-4"/>
        </w:rPr>
        <w:t> </w:t>
      </w:r>
      <w:r>
        <w:rPr/>
        <w:t>para</w:t>
      </w:r>
      <w:r>
        <w:rPr>
          <w:spacing w:val="-3"/>
        </w:rPr>
        <w:t> </w:t>
      </w:r>
      <w:r>
        <w:rPr/>
        <w:t>la</w:t>
      </w:r>
      <w:r>
        <w:rPr>
          <w:spacing w:val="-5"/>
        </w:rPr>
        <w:t> </w:t>
      </w:r>
      <w:r>
        <w:rPr/>
        <w:t>preservación</w:t>
      </w:r>
      <w:r>
        <w:rPr>
          <w:spacing w:val="-5"/>
        </w:rPr>
        <w:t> </w:t>
      </w:r>
      <w:r>
        <w:rPr/>
        <w:t>y óptimo aprovechamiento de dichas zonas.</w:t>
      </w:r>
    </w:p>
    <w:p>
      <w:pPr>
        <w:pStyle w:val="BodyText"/>
        <w:spacing w:before="2"/>
      </w:pPr>
    </w:p>
    <w:p>
      <w:pPr>
        <w:pStyle w:val="BodyText"/>
        <w:ind w:left="262" w:right="283"/>
        <w:jc w:val="both"/>
      </w:pPr>
      <w:r>
        <w:rPr>
          <w:rFonts w:ascii="Arial" w:hAnsi="Arial"/>
          <w:b/>
        </w:rPr>
        <w:t>ARTICULO 123. </w:t>
      </w:r>
      <w:r>
        <w:rPr/>
        <w:t>Se aplicará la política de aprovechamiento a aquellas zonas dedicadas habitualmente a las actividades agropecuarias, forestales o mineras; o que sean aptas para ellas.</w:t>
      </w:r>
    </w:p>
    <w:p>
      <w:pPr>
        <w:pStyle w:val="BodyText"/>
        <w:spacing w:before="229"/>
        <w:ind w:left="262" w:right="285"/>
        <w:jc w:val="both"/>
      </w:pPr>
      <w:r>
        <w:rPr>
          <w:rFonts w:ascii="Arial" w:hAnsi="Arial"/>
          <w:b/>
        </w:rPr>
        <w:t>ARTÍCULO</w:t>
      </w:r>
      <w:r>
        <w:rPr>
          <w:rFonts w:ascii="Arial" w:hAnsi="Arial"/>
          <w:b/>
          <w:spacing w:val="40"/>
        </w:rPr>
        <w:t> </w:t>
      </w:r>
      <w:r>
        <w:rPr>
          <w:rFonts w:ascii="Arial" w:hAnsi="Arial"/>
          <w:b/>
        </w:rPr>
        <w:t>124. </w:t>
      </w:r>
      <w:r>
        <w:rPr/>
        <w:t>La zonificación primaria se determinará en los Programas Municipales de Ordenamiento</w:t>
      </w:r>
      <w:r>
        <w:rPr>
          <w:spacing w:val="-8"/>
        </w:rPr>
        <w:t> </w:t>
      </w:r>
      <w:r>
        <w:rPr/>
        <w:t>Territorial</w:t>
      </w:r>
      <w:r>
        <w:rPr>
          <w:spacing w:val="-9"/>
        </w:rPr>
        <w:t> </w:t>
      </w:r>
      <w:r>
        <w:rPr/>
        <w:t>y</w:t>
      </w:r>
      <w:r>
        <w:rPr>
          <w:spacing w:val="-4"/>
        </w:rPr>
        <w:t> </w:t>
      </w:r>
      <w:r>
        <w:rPr/>
        <w:t>Desarrollo</w:t>
      </w:r>
      <w:r>
        <w:rPr>
          <w:spacing w:val="-8"/>
        </w:rPr>
        <w:t> </w:t>
      </w:r>
      <w:r>
        <w:rPr/>
        <w:t>Urbano,</w:t>
      </w:r>
      <w:r>
        <w:rPr>
          <w:spacing w:val="-6"/>
        </w:rPr>
        <w:t> </w:t>
      </w:r>
      <w:r>
        <w:rPr/>
        <w:t>en</w:t>
      </w:r>
      <w:r>
        <w:rPr>
          <w:spacing w:val="-6"/>
        </w:rPr>
        <w:t> </w:t>
      </w:r>
      <w:r>
        <w:rPr/>
        <w:t>los</w:t>
      </w:r>
      <w:r>
        <w:rPr>
          <w:spacing w:val="-4"/>
        </w:rPr>
        <w:t> </w:t>
      </w:r>
      <w:r>
        <w:rPr/>
        <w:t>Programas</w:t>
      </w:r>
      <w:r>
        <w:rPr>
          <w:spacing w:val="-4"/>
        </w:rPr>
        <w:t> </w:t>
      </w:r>
      <w:r>
        <w:rPr/>
        <w:t>de</w:t>
      </w:r>
      <w:r>
        <w:rPr>
          <w:spacing w:val="-8"/>
        </w:rPr>
        <w:t> </w:t>
      </w:r>
      <w:r>
        <w:rPr/>
        <w:t>Desarrollo</w:t>
      </w:r>
      <w:r>
        <w:rPr>
          <w:spacing w:val="-8"/>
        </w:rPr>
        <w:t> </w:t>
      </w:r>
      <w:r>
        <w:rPr/>
        <w:t>Urbano</w:t>
      </w:r>
      <w:r>
        <w:rPr>
          <w:spacing w:val="-6"/>
        </w:rPr>
        <w:t> </w:t>
      </w:r>
      <w:r>
        <w:rPr/>
        <w:t>de</w:t>
      </w:r>
      <w:r>
        <w:rPr>
          <w:spacing w:val="-6"/>
        </w:rPr>
        <w:t> </w:t>
      </w:r>
      <w:r>
        <w:rPr/>
        <w:t>Centro</w:t>
      </w:r>
      <w:r>
        <w:rPr>
          <w:spacing w:val="-8"/>
        </w:rPr>
        <w:t> </w:t>
      </w:r>
      <w:r>
        <w:rPr/>
        <w:t>de Población, y en los Programas Metropolitanos y de Zonas Conurbadas.</w:t>
      </w:r>
    </w:p>
    <w:p>
      <w:pPr>
        <w:pStyle w:val="BodyText"/>
        <w:spacing w:before="229"/>
        <w:ind w:left="262"/>
        <w:jc w:val="both"/>
      </w:pPr>
      <w:r>
        <w:rPr/>
        <w:t>Las</w:t>
      </w:r>
      <w:r>
        <w:rPr>
          <w:spacing w:val="-8"/>
        </w:rPr>
        <w:t> </w:t>
      </w:r>
      <w:r>
        <w:rPr/>
        <w:t>áreas</w:t>
      </w:r>
      <w:r>
        <w:rPr>
          <w:spacing w:val="-8"/>
        </w:rPr>
        <w:t> </w:t>
      </w:r>
      <w:r>
        <w:rPr/>
        <w:t>que</w:t>
      </w:r>
      <w:r>
        <w:rPr>
          <w:spacing w:val="-8"/>
        </w:rPr>
        <w:t> </w:t>
      </w:r>
      <w:r>
        <w:rPr/>
        <w:t>integrarán</w:t>
      </w:r>
      <w:r>
        <w:rPr>
          <w:spacing w:val="-8"/>
        </w:rPr>
        <w:t> </w:t>
      </w:r>
      <w:r>
        <w:rPr/>
        <w:t>las</w:t>
      </w:r>
      <w:r>
        <w:rPr>
          <w:spacing w:val="-8"/>
        </w:rPr>
        <w:t> </w:t>
      </w:r>
      <w:r>
        <w:rPr/>
        <w:t>zonificación</w:t>
      </w:r>
      <w:r>
        <w:rPr>
          <w:spacing w:val="-7"/>
        </w:rPr>
        <w:t> </w:t>
      </w:r>
      <w:r>
        <w:rPr/>
        <w:t>primaria</w:t>
      </w:r>
      <w:r>
        <w:rPr>
          <w:spacing w:val="-7"/>
        </w:rPr>
        <w:t> </w:t>
      </w:r>
      <w:r>
        <w:rPr>
          <w:spacing w:val="-4"/>
        </w:rPr>
        <w:t>son:</w:t>
      </w:r>
    </w:p>
    <w:p>
      <w:pPr>
        <w:pStyle w:val="BodyText"/>
        <w:spacing w:before="1"/>
      </w:pPr>
    </w:p>
    <w:p>
      <w:pPr>
        <w:pStyle w:val="ListParagraph"/>
        <w:numPr>
          <w:ilvl w:val="0"/>
          <w:numId w:val="53"/>
        </w:numPr>
        <w:tabs>
          <w:tab w:pos="543" w:val="left" w:leader="none"/>
        </w:tabs>
        <w:spacing w:line="240" w:lineRule="auto" w:before="0" w:after="0"/>
        <w:ind w:left="262" w:right="288" w:firstLine="0"/>
        <w:jc w:val="both"/>
        <w:rPr>
          <w:sz w:val="20"/>
        </w:rPr>
      </w:pPr>
      <w:r>
        <w:rPr>
          <w:sz w:val="20"/>
        </w:rPr>
        <w:t>Áreas urbanas: son las urbanizadas o edificadas total o parcialmente y que cuentan con los servicios de agua potable, drenaje y alumbrado público cuando menos;</w:t>
      </w:r>
    </w:p>
    <w:p>
      <w:pPr>
        <w:pStyle w:val="ListParagraph"/>
        <w:numPr>
          <w:ilvl w:val="0"/>
          <w:numId w:val="53"/>
        </w:numPr>
        <w:tabs>
          <w:tab w:pos="543" w:val="left" w:leader="none"/>
        </w:tabs>
        <w:spacing w:line="240" w:lineRule="auto" w:before="229" w:after="0"/>
        <w:ind w:left="262" w:right="287" w:firstLine="0"/>
        <w:jc w:val="both"/>
        <w:rPr>
          <w:sz w:val="20"/>
        </w:rPr>
      </w:pPr>
      <w:r>
        <w:rPr>
          <w:sz w:val="20"/>
        </w:rPr>
        <w:t>Áreas urbanizables: son las que por reunir las condiciones para ser dotadas de servicios, se reservan para el futuro crecimiento de los centros de población o se prevén para la fundación de nuevos asentamiento humanos, y</w:t>
      </w:r>
    </w:p>
    <w:p>
      <w:pPr>
        <w:pStyle w:val="BodyText"/>
        <w:spacing w:before="2"/>
      </w:pPr>
    </w:p>
    <w:p>
      <w:pPr>
        <w:pStyle w:val="ListParagraph"/>
        <w:numPr>
          <w:ilvl w:val="0"/>
          <w:numId w:val="53"/>
        </w:numPr>
        <w:tabs>
          <w:tab w:pos="597" w:val="left" w:leader="none"/>
        </w:tabs>
        <w:spacing w:line="240" w:lineRule="auto" w:before="0" w:after="0"/>
        <w:ind w:left="262" w:right="278" w:firstLine="0"/>
        <w:jc w:val="both"/>
        <w:rPr>
          <w:sz w:val="20"/>
        </w:rPr>
      </w:pPr>
      <w:r>
        <w:rPr>
          <w:sz w:val="20"/>
        </w:rPr>
        <w:t>Áreas no urbanizables: son las que se excluyen del desarrollo urbano por contener elementos constitutivos del equilibrio ecológico o para la prevención de riesgos; tierras de alto o mediano rendimiento</w:t>
      </w:r>
      <w:r>
        <w:rPr>
          <w:spacing w:val="-6"/>
          <w:sz w:val="20"/>
        </w:rPr>
        <w:t> </w:t>
      </w:r>
      <w:r>
        <w:rPr>
          <w:sz w:val="20"/>
        </w:rPr>
        <w:t>agrícola</w:t>
      </w:r>
      <w:r>
        <w:rPr>
          <w:spacing w:val="-8"/>
          <w:sz w:val="20"/>
        </w:rPr>
        <w:t> </w:t>
      </w:r>
      <w:r>
        <w:rPr>
          <w:sz w:val="20"/>
        </w:rPr>
        <w:t>o</w:t>
      </w:r>
      <w:r>
        <w:rPr>
          <w:spacing w:val="-6"/>
          <w:sz w:val="20"/>
        </w:rPr>
        <w:t> </w:t>
      </w:r>
      <w:r>
        <w:rPr>
          <w:sz w:val="20"/>
        </w:rPr>
        <w:t>pecuario,</w:t>
      </w:r>
      <w:r>
        <w:rPr>
          <w:spacing w:val="-6"/>
          <w:sz w:val="20"/>
        </w:rPr>
        <w:t> </w:t>
      </w:r>
      <w:r>
        <w:rPr>
          <w:sz w:val="20"/>
        </w:rPr>
        <w:t>bosques</w:t>
      </w:r>
      <w:r>
        <w:rPr>
          <w:spacing w:val="-6"/>
          <w:sz w:val="20"/>
        </w:rPr>
        <w:t> </w:t>
      </w:r>
      <w:r>
        <w:rPr>
          <w:sz w:val="20"/>
        </w:rPr>
        <w:t>y</w:t>
      </w:r>
      <w:r>
        <w:rPr>
          <w:spacing w:val="-6"/>
          <w:sz w:val="20"/>
        </w:rPr>
        <w:t> </w:t>
      </w:r>
      <w:r>
        <w:rPr>
          <w:sz w:val="20"/>
        </w:rPr>
        <w:t>demás</w:t>
      </w:r>
      <w:r>
        <w:rPr>
          <w:spacing w:val="-6"/>
          <w:sz w:val="20"/>
        </w:rPr>
        <w:t> </w:t>
      </w:r>
      <w:r>
        <w:rPr>
          <w:sz w:val="20"/>
        </w:rPr>
        <w:t>recursos</w:t>
      </w:r>
      <w:r>
        <w:rPr>
          <w:spacing w:val="-7"/>
          <w:sz w:val="20"/>
        </w:rPr>
        <w:t> </w:t>
      </w:r>
      <w:r>
        <w:rPr>
          <w:sz w:val="20"/>
        </w:rPr>
        <w:t>naturales</w:t>
      </w:r>
      <w:r>
        <w:rPr>
          <w:spacing w:val="-7"/>
          <w:sz w:val="20"/>
        </w:rPr>
        <w:t> </w:t>
      </w:r>
      <w:r>
        <w:rPr>
          <w:sz w:val="20"/>
        </w:rPr>
        <w:t>en</w:t>
      </w:r>
      <w:r>
        <w:rPr>
          <w:spacing w:val="-8"/>
          <w:sz w:val="20"/>
        </w:rPr>
        <w:t> </w:t>
      </w:r>
      <w:r>
        <w:rPr>
          <w:sz w:val="20"/>
        </w:rPr>
        <w:t>explotación</w:t>
      </w:r>
      <w:r>
        <w:rPr>
          <w:spacing w:val="-6"/>
          <w:sz w:val="20"/>
        </w:rPr>
        <w:t> </w:t>
      </w:r>
      <w:r>
        <w:rPr>
          <w:sz w:val="20"/>
        </w:rPr>
        <w:t>o</w:t>
      </w:r>
      <w:r>
        <w:rPr>
          <w:spacing w:val="-8"/>
          <w:sz w:val="20"/>
        </w:rPr>
        <w:t> </w:t>
      </w:r>
      <w:r>
        <w:rPr>
          <w:sz w:val="20"/>
        </w:rPr>
        <w:t>susceptibles de</w:t>
      </w:r>
      <w:r>
        <w:rPr>
          <w:spacing w:val="-5"/>
          <w:sz w:val="20"/>
        </w:rPr>
        <w:t> </w:t>
      </w:r>
      <w:r>
        <w:rPr>
          <w:sz w:val="20"/>
        </w:rPr>
        <w:t>serlo;</w:t>
      </w:r>
      <w:r>
        <w:rPr>
          <w:spacing w:val="-4"/>
          <w:sz w:val="20"/>
        </w:rPr>
        <w:t> </w:t>
      </w:r>
      <w:r>
        <w:rPr>
          <w:sz w:val="20"/>
        </w:rPr>
        <w:t>zonas</w:t>
      </w:r>
      <w:r>
        <w:rPr>
          <w:spacing w:val="-3"/>
          <w:sz w:val="20"/>
        </w:rPr>
        <w:t> </w:t>
      </w:r>
      <w:r>
        <w:rPr>
          <w:sz w:val="20"/>
        </w:rPr>
        <w:t>arqueológicas</w:t>
      </w:r>
      <w:r>
        <w:rPr>
          <w:spacing w:val="-3"/>
          <w:sz w:val="20"/>
        </w:rPr>
        <w:t> </w:t>
      </w:r>
      <w:r>
        <w:rPr>
          <w:sz w:val="20"/>
        </w:rPr>
        <w:t>y</w:t>
      </w:r>
      <w:r>
        <w:rPr>
          <w:spacing w:val="-3"/>
          <w:sz w:val="20"/>
        </w:rPr>
        <w:t> </w:t>
      </w:r>
      <w:r>
        <w:rPr>
          <w:sz w:val="20"/>
        </w:rPr>
        <w:t>demás</w:t>
      </w:r>
      <w:r>
        <w:rPr>
          <w:spacing w:val="-3"/>
          <w:sz w:val="20"/>
        </w:rPr>
        <w:t> </w:t>
      </w:r>
      <w:r>
        <w:rPr>
          <w:sz w:val="20"/>
        </w:rPr>
        <w:t>bienes</w:t>
      </w:r>
      <w:r>
        <w:rPr>
          <w:spacing w:val="-3"/>
          <w:sz w:val="20"/>
        </w:rPr>
        <w:t> </w:t>
      </w:r>
      <w:r>
        <w:rPr>
          <w:sz w:val="20"/>
        </w:rPr>
        <w:t>del</w:t>
      </w:r>
      <w:r>
        <w:rPr>
          <w:spacing w:val="-5"/>
          <w:sz w:val="20"/>
        </w:rPr>
        <w:t> </w:t>
      </w:r>
      <w:r>
        <w:rPr>
          <w:sz w:val="20"/>
        </w:rPr>
        <w:t>patrimonio</w:t>
      </w:r>
      <w:r>
        <w:rPr>
          <w:spacing w:val="-2"/>
          <w:sz w:val="20"/>
        </w:rPr>
        <w:t> </w:t>
      </w:r>
      <w:r>
        <w:rPr>
          <w:sz w:val="20"/>
        </w:rPr>
        <w:t>histórico,</w:t>
      </w:r>
      <w:r>
        <w:rPr>
          <w:spacing w:val="-4"/>
          <w:sz w:val="20"/>
        </w:rPr>
        <w:t> </w:t>
      </w:r>
      <w:r>
        <w:rPr>
          <w:sz w:val="20"/>
        </w:rPr>
        <w:t>artístico</w:t>
      </w:r>
      <w:r>
        <w:rPr>
          <w:spacing w:val="-4"/>
          <w:sz w:val="20"/>
        </w:rPr>
        <w:t> </w:t>
      </w:r>
      <w:r>
        <w:rPr>
          <w:sz w:val="20"/>
        </w:rPr>
        <w:t>y</w:t>
      </w:r>
      <w:r>
        <w:rPr>
          <w:spacing w:val="-1"/>
          <w:sz w:val="20"/>
        </w:rPr>
        <w:t> </w:t>
      </w:r>
      <w:r>
        <w:rPr>
          <w:sz w:val="20"/>
        </w:rPr>
        <w:t>cultural,</w:t>
      </w:r>
      <w:r>
        <w:rPr>
          <w:spacing w:val="-4"/>
          <w:sz w:val="20"/>
        </w:rPr>
        <w:t> </w:t>
      </w:r>
      <w:r>
        <w:rPr>
          <w:sz w:val="20"/>
        </w:rPr>
        <w:t>así</w:t>
      </w:r>
      <w:r>
        <w:rPr>
          <w:spacing w:val="-2"/>
          <w:sz w:val="20"/>
        </w:rPr>
        <w:t> </w:t>
      </w:r>
      <w:r>
        <w:rPr>
          <w:sz w:val="20"/>
        </w:rPr>
        <w:t>como en general las no aptas para su urbanización.</w:t>
      </w:r>
    </w:p>
    <w:p>
      <w:pPr>
        <w:pStyle w:val="BodyText"/>
      </w:pPr>
    </w:p>
    <w:p>
      <w:pPr>
        <w:pStyle w:val="BodyText"/>
        <w:ind w:left="262" w:right="283"/>
        <w:jc w:val="both"/>
      </w:pPr>
      <w:r>
        <w:rPr>
          <w:rFonts w:ascii="Arial" w:hAnsi="Arial"/>
          <w:b/>
        </w:rPr>
        <w:t>ARTICULO</w:t>
      </w:r>
      <w:r>
        <w:rPr>
          <w:rFonts w:ascii="Arial" w:hAnsi="Arial"/>
          <w:b/>
          <w:spacing w:val="-6"/>
        </w:rPr>
        <w:t> </w:t>
      </w:r>
      <w:r>
        <w:rPr>
          <w:rFonts w:ascii="Arial" w:hAnsi="Arial"/>
          <w:b/>
        </w:rPr>
        <w:t>125.</w:t>
      </w:r>
      <w:r>
        <w:rPr>
          <w:rFonts w:ascii="Arial" w:hAnsi="Arial"/>
          <w:b/>
          <w:spacing w:val="-7"/>
        </w:rPr>
        <w:t> </w:t>
      </w:r>
      <w:r>
        <w:rPr/>
        <w:t>Los</w:t>
      </w:r>
      <w:r>
        <w:rPr>
          <w:spacing w:val="-7"/>
        </w:rPr>
        <w:t> </w:t>
      </w:r>
      <w:r>
        <w:rPr/>
        <w:t>usos</w:t>
      </w:r>
      <w:r>
        <w:rPr>
          <w:spacing w:val="-7"/>
        </w:rPr>
        <w:t> </w:t>
      </w:r>
      <w:r>
        <w:rPr/>
        <w:t>y</w:t>
      </w:r>
      <w:r>
        <w:rPr>
          <w:spacing w:val="-6"/>
        </w:rPr>
        <w:t> </w:t>
      </w:r>
      <w:r>
        <w:rPr/>
        <w:t>destinos</w:t>
      </w:r>
      <w:r>
        <w:rPr>
          <w:spacing w:val="-6"/>
        </w:rPr>
        <w:t> </w:t>
      </w:r>
      <w:r>
        <w:rPr/>
        <w:t>de</w:t>
      </w:r>
      <w:r>
        <w:rPr>
          <w:spacing w:val="-8"/>
        </w:rPr>
        <w:t> </w:t>
      </w:r>
      <w:r>
        <w:rPr/>
        <w:t>las</w:t>
      </w:r>
      <w:r>
        <w:rPr>
          <w:spacing w:val="-7"/>
        </w:rPr>
        <w:t> </w:t>
      </w:r>
      <w:r>
        <w:rPr/>
        <w:t>áreas</w:t>
      </w:r>
      <w:r>
        <w:rPr>
          <w:spacing w:val="-6"/>
        </w:rPr>
        <w:t> </w:t>
      </w:r>
      <w:r>
        <w:rPr/>
        <w:t>urbanas</w:t>
      </w:r>
      <w:r>
        <w:rPr>
          <w:spacing w:val="-7"/>
        </w:rPr>
        <w:t> </w:t>
      </w:r>
      <w:r>
        <w:rPr/>
        <w:t>y</w:t>
      </w:r>
      <w:r>
        <w:rPr>
          <w:spacing w:val="-6"/>
        </w:rPr>
        <w:t> </w:t>
      </w:r>
      <w:r>
        <w:rPr/>
        <w:t>urbanizables</w:t>
      </w:r>
      <w:r>
        <w:rPr>
          <w:spacing w:val="-7"/>
        </w:rPr>
        <w:t> </w:t>
      </w:r>
      <w:r>
        <w:rPr/>
        <w:t>serán</w:t>
      </w:r>
      <w:r>
        <w:rPr>
          <w:spacing w:val="-7"/>
        </w:rPr>
        <w:t> </w:t>
      </w:r>
      <w:r>
        <w:rPr/>
        <w:t>determinados</w:t>
      </w:r>
      <w:r>
        <w:rPr>
          <w:spacing w:val="-7"/>
        </w:rPr>
        <w:t> </w:t>
      </w:r>
      <w:r>
        <w:rPr/>
        <w:t>en</w:t>
      </w:r>
      <w:r>
        <w:rPr>
          <w:spacing w:val="-6"/>
        </w:rPr>
        <w:t> </w:t>
      </w:r>
      <w:r>
        <w:rPr/>
        <w:t>la zonificación secundaria del respectivo programa de desarrollo urbano de centro de población.</w:t>
      </w:r>
    </w:p>
    <w:p>
      <w:pPr>
        <w:pStyle w:val="BodyText"/>
        <w:spacing w:before="229"/>
        <w:ind w:left="262"/>
        <w:jc w:val="both"/>
      </w:pPr>
      <w:r>
        <w:rPr>
          <w:rFonts w:ascii="Arial" w:hAnsi="Arial"/>
          <w:b/>
        </w:rPr>
        <w:t>ARTÍCULO</w:t>
      </w:r>
      <w:r>
        <w:rPr>
          <w:rFonts w:ascii="Arial" w:hAnsi="Arial"/>
          <w:b/>
          <w:spacing w:val="65"/>
          <w:w w:val="150"/>
        </w:rPr>
        <w:t> </w:t>
      </w:r>
      <w:r>
        <w:rPr>
          <w:rFonts w:ascii="Arial" w:hAnsi="Arial"/>
          <w:b/>
        </w:rPr>
        <w:t>126.</w:t>
      </w:r>
      <w:r>
        <w:rPr>
          <w:rFonts w:ascii="Arial" w:hAnsi="Arial"/>
          <w:b/>
          <w:spacing w:val="-4"/>
        </w:rPr>
        <w:t> </w:t>
      </w:r>
      <w:r>
        <w:rPr/>
        <w:t>Las</w:t>
      </w:r>
      <w:r>
        <w:rPr>
          <w:spacing w:val="-5"/>
        </w:rPr>
        <w:t> </w:t>
      </w:r>
      <w:r>
        <w:rPr/>
        <w:t>áreas</w:t>
      </w:r>
      <w:r>
        <w:rPr>
          <w:spacing w:val="-6"/>
        </w:rPr>
        <w:t> </w:t>
      </w:r>
      <w:r>
        <w:rPr/>
        <w:t>no</w:t>
      </w:r>
      <w:r>
        <w:rPr>
          <w:spacing w:val="-8"/>
        </w:rPr>
        <w:t> </w:t>
      </w:r>
      <w:r>
        <w:rPr/>
        <w:t>urbanizables</w:t>
      </w:r>
      <w:r>
        <w:rPr>
          <w:spacing w:val="-6"/>
        </w:rPr>
        <w:t> </w:t>
      </w:r>
      <w:r>
        <w:rPr/>
        <w:t>quedan</w:t>
      </w:r>
      <w:r>
        <w:rPr>
          <w:spacing w:val="-6"/>
        </w:rPr>
        <w:t> </w:t>
      </w:r>
      <w:r>
        <w:rPr/>
        <w:t>sujetas</w:t>
      </w:r>
      <w:r>
        <w:rPr>
          <w:spacing w:val="-6"/>
        </w:rPr>
        <w:t> </w:t>
      </w:r>
      <w:r>
        <w:rPr/>
        <w:t>a</w:t>
      </w:r>
      <w:r>
        <w:rPr>
          <w:spacing w:val="-5"/>
        </w:rPr>
        <w:t> </w:t>
      </w:r>
      <w:r>
        <w:rPr/>
        <w:t>las</w:t>
      </w:r>
      <w:r>
        <w:rPr>
          <w:spacing w:val="-6"/>
        </w:rPr>
        <w:t> </w:t>
      </w:r>
      <w:r>
        <w:rPr/>
        <w:t>normas</w:t>
      </w:r>
      <w:r>
        <w:rPr>
          <w:spacing w:val="-6"/>
        </w:rPr>
        <w:t> </w:t>
      </w:r>
      <w:r>
        <w:rPr>
          <w:spacing w:val="-2"/>
        </w:rPr>
        <w:t>siguientes:</w:t>
      </w:r>
    </w:p>
    <w:p>
      <w:pPr>
        <w:pStyle w:val="BodyText"/>
        <w:spacing w:before="1"/>
      </w:pPr>
    </w:p>
    <w:p>
      <w:pPr>
        <w:pStyle w:val="ListParagraph"/>
        <w:numPr>
          <w:ilvl w:val="0"/>
          <w:numId w:val="54"/>
        </w:numPr>
        <w:tabs>
          <w:tab w:pos="543" w:val="left" w:leader="none"/>
        </w:tabs>
        <w:spacing w:line="240" w:lineRule="auto" w:before="0" w:after="0"/>
        <w:ind w:left="262" w:right="280" w:firstLine="0"/>
        <w:jc w:val="both"/>
        <w:rPr>
          <w:sz w:val="20"/>
        </w:rPr>
      </w:pPr>
      <w:r>
        <w:rPr>
          <w:sz w:val="20"/>
        </w:rPr>
        <w:t>Se prohíbe dotar a las áreas no urbanizables de un centro de población, de obras y servicios urbanos</w:t>
      </w:r>
      <w:r>
        <w:rPr>
          <w:spacing w:val="-1"/>
          <w:sz w:val="20"/>
        </w:rPr>
        <w:t> </w:t>
      </w:r>
      <w:r>
        <w:rPr>
          <w:sz w:val="20"/>
        </w:rPr>
        <w:t>de infraestructura y</w:t>
      </w:r>
      <w:r>
        <w:rPr>
          <w:spacing w:val="-1"/>
          <w:sz w:val="20"/>
        </w:rPr>
        <w:t> </w:t>
      </w:r>
      <w:r>
        <w:rPr>
          <w:sz w:val="20"/>
        </w:rPr>
        <w:t>equipamiento,</w:t>
      </w:r>
      <w:r>
        <w:rPr>
          <w:spacing w:val="-2"/>
          <w:sz w:val="20"/>
        </w:rPr>
        <w:t> </w:t>
      </w:r>
      <w:r>
        <w:rPr>
          <w:sz w:val="20"/>
        </w:rPr>
        <w:t>así como</w:t>
      </w:r>
      <w:r>
        <w:rPr>
          <w:spacing w:val="-2"/>
          <w:sz w:val="20"/>
        </w:rPr>
        <w:t> </w:t>
      </w:r>
      <w:r>
        <w:rPr>
          <w:sz w:val="20"/>
        </w:rPr>
        <w:t>fraccionar,</w:t>
      </w:r>
      <w:r>
        <w:rPr>
          <w:spacing w:val="-1"/>
          <w:sz w:val="20"/>
        </w:rPr>
        <w:t> </w:t>
      </w:r>
      <w:r>
        <w:rPr>
          <w:sz w:val="20"/>
        </w:rPr>
        <w:t>subdividir,</w:t>
      </w:r>
      <w:r>
        <w:rPr>
          <w:spacing w:val="-2"/>
          <w:sz w:val="20"/>
        </w:rPr>
        <w:t> </w:t>
      </w:r>
      <w:r>
        <w:rPr>
          <w:sz w:val="20"/>
        </w:rPr>
        <w:t>relotificar</w:t>
      </w:r>
      <w:r>
        <w:rPr>
          <w:spacing w:val="-1"/>
          <w:sz w:val="20"/>
        </w:rPr>
        <w:t> </w:t>
      </w:r>
      <w:r>
        <w:rPr>
          <w:sz w:val="20"/>
        </w:rPr>
        <w:t>y</w:t>
      </w:r>
      <w:r>
        <w:rPr>
          <w:spacing w:val="-1"/>
          <w:sz w:val="20"/>
        </w:rPr>
        <w:t> </w:t>
      </w:r>
      <w:r>
        <w:rPr>
          <w:sz w:val="20"/>
        </w:rPr>
        <w:t>fusionar</w:t>
      </w:r>
      <w:r>
        <w:rPr>
          <w:spacing w:val="-1"/>
          <w:sz w:val="20"/>
        </w:rPr>
        <w:t> </w:t>
      </w:r>
      <w:r>
        <w:rPr>
          <w:sz w:val="20"/>
        </w:rPr>
        <w:t>con fines de desarrollo urbano los predios comprendidos en dichas áreas y ejecutar cualquier clase de construcciones en los mismos;</w:t>
      </w:r>
    </w:p>
    <w:p>
      <w:pPr>
        <w:pStyle w:val="BodyText"/>
      </w:pPr>
    </w:p>
    <w:p>
      <w:pPr>
        <w:pStyle w:val="ListParagraph"/>
        <w:numPr>
          <w:ilvl w:val="0"/>
          <w:numId w:val="54"/>
        </w:numPr>
        <w:tabs>
          <w:tab w:pos="543" w:val="left" w:leader="none"/>
        </w:tabs>
        <w:spacing w:line="240" w:lineRule="auto" w:before="0" w:after="0"/>
        <w:ind w:left="543" w:right="0" w:hanging="281"/>
        <w:jc w:val="both"/>
        <w:rPr>
          <w:sz w:val="20"/>
        </w:rPr>
      </w:pPr>
      <w:r>
        <w:rPr>
          <w:sz w:val="20"/>
        </w:rPr>
        <w:t>No</w:t>
      </w:r>
      <w:r>
        <w:rPr>
          <w:spacing w:val="-9"/>
          <w:sz w:val="20"/>
        </w:rPr>
        <w:t> </w:t>
      </w:r>
      <w:r>
        <w:rPr>
          <w:sz w:val="20"/>
        </w:rPr>
        <w:t>quedan</w:t>
      </w:r>
      <w:r>
        <w:rPr>
          <w:spacing w:val="-8"/>
          <w:sz w:val="20"/>
        </w:rPr>
        <w:t> </w:t>
      </w:r>
      <w:r>
        <w:rPr>
          <w:sz w:val="20"/>
        </w:rPr>
        <w:t>comprendidas</w:t>
      </w:r>
      <w:r>
        <w:rPr>
          <w:spacing w:val="-6"/>
          <w:sz w:val="20"/>
        </w:rPr>
        <w:t> </w:t>
      </w:r>
      <w:r>
        <w:rPr>
          <w:sz w:val="20"/>
        </w:rPr>
        <w:t>en</w:t>
      </w:r>
      <w:r>
        <w:rPr>
          <w:spacing w:val="-9"/>
          <w:sz w:val="20"/>
        </w:rPr>
        <w:t> </w:t>
      </w:r>
      <w:r>
        <w:rPr>
          <w:sz w:val="20"/>
        </w:rPr>
        <w:t>las</w:t>
      </w:r>
      <w:r>
        <w:rPr>
          <w:spacing w:val="-7"/>
          <w:sz w:val="20"/>
        </w:rPr>
        <w:t> </w:t>
      </w:r>
      <w:r>
        <w:rPr>
          <w:sz w:val="20"/>
        </w:rPr>
        <w:t>prohibiciones</w:t>
      </w:r>
      <w:r>
        <w:rPr>
          <w:spacing w:val="-7"/>
          <w:sz w:val="20"/>
        </w:rPr>
        <w:t> </w:t>
      </w:r>
      <w:r>
        <w:rPr>
          <w:sz w:val="20"/>
        </w:rPr>
        <w:t>de</w:t>
      </w:r>
      <w:r>
        <w:rPr>
          <w:spacing w:val="-7"/>
          <w:sz w:val="20"/>
        </w:rPr>
        <w:t> </w:t>
      </w:r>
      <w:r>
        <w:rPr>
          <w:sz w:val="20"/>
        </w:rPr>
        <w:t>la</w:t>
      </w:r>
      <w:r>
        <w:rPr>
          <w:spacing w:val="-8"/>
          <w:sz w:val="20"/>
        </w:rPr>
        <w:t> </w:t>
      </w:r>
      <w:r>
        <w:rPr>
          <w:sz w:val="20"/>
        </w:rPr>
        <w:t>fracción</w:t>
      </w:r>
      <w:r>
        <w:rPr>
          <w:spacing w:val="-9"/>
          <w:sz w:val="20"/>
        </w:rPr>
        <w:t> </w:t>
      </w:r>
      <w:r>
        <w:rPr>
          <w:sz w:val="20"/>
        </w:rPr>
        <w:t>anterior</w:t>
      </w:r>
      <w:r>
        <w:rPr>
          <w:spacing w:val="-9"/>
          <w:sz w:val="20"/>
        </w:rPr>
        <w:t> </w:t>
      </w:r>
      <w:r>
        <w:rPr>
          <w:sz w:val="20"/>
        </w:rPr>
        <w:t>la</w:t>
      </w:r>
      <w:r>
        <w:rPr>
          <w:spacing w:val="-8"/>
          <w:sz w:val="20"/>
        </w:rPr>
        <w:t> </w:t>
      </w:r>
      <w:r>
        <w:rPr>
          <w:sz w:val="20"/>
        </w:rPr>
        <w:t>construcción</w:t>
      </w:r>
      <w:r>
        <w:rPr>
          <w:spacing w:val="-7"/>
          <w:sz w:val="20"/>
        </w:rPr>
        <w:t> </w:t>
      </w:r>
      <w:r>
        <w:rPr>
          <w:spacing w:val="-5"/>
          <w:sz w:val="20"/>
        </w:rPr>
        <w:t>de:</w:t>
      </w:r>
    </w:p>
    <w:p>
      <w:pPr>
        <w:pStyle w:val="BodyText"/>
        <w:spacing w:before="1"/>
      </w:pPr>
    </w:p>
    <w:p>
      <w:pPr>
        <w:pStyle w:val="ListParagraph"/>
        <w:numPr>
          <w:ilvl w:val="1"/>
          <w:numId w:val="54"/>
        </w:numPr>
        <w:tabs>
          <w:tab w:pos="544" w:val="left" w:leader="none"/>
        </w:tabs>
        <w:spacing w:line="240" w:lineRule="auto" w:before="0" w:after="0"/>
        <w:ind w:left="262" w:right="286" w:firstLine="0"/>
        <w:jc w:val="both"/>
        <w:rPr>
          <w:sz w:val="20"/>
        </w:rPr>
      </w:pPr>
      <w:r>
        <w:rPr>
          <w:sz w:val="20"/>
        </w:rPr>
        <w:t>Los</w:t>
      </w:r>
      <w:r>
        <w:rPr>
          <w:spacing w:val="-12"/>
          <w:sz w:val="20"/>
        </w:rPr>
        <w:t> </w:t>
      </w:r>
      <w:r>
        <w:rPr>
          <w:sz w:val="20"/>
        </w:rPr>
        <w:t>caminos</w:t>
      </w:r>
      <w:r>
        <w:rPr>
          <w:spacing w:val="-11"/>
          <w:sz w:val="20"/>
        </w:rPr>
        <w:t> </w:t>
      </w:r>
      <w:r>
        <w:rPr>
          <w:sz w:val="20"/>
        </w:rPr>
        <w:t>de</w:t>
      </w:r>
      <w:r>
        <w:rPr>
          <w:spacing w:val="-12"/>
          <w:sz w:val="20"/>
        </w:rPr>
        <w:t> </w:t>
      </w:r>
      <w:r>
        <w:rPr>
          <w:sz w:val="20"/>
        </w:rPr>
        <w:t>acceso</w:t>
      </w:r>
      <w:r>
        <w:rPr>
          <w:spacing w:val="-14"/>
          <w:sz w:val="20"/>
        </w:rPr>
        <w:t> </w:t>
      </w:r>
      <w:r>
        <w:rPr>
          <w:sz w:val="20"/>
        </w:rPr>
        <w:t>y</w:t>
      </w:r>
      <w:r>
        <w:rPr>
          <w:spacing w:val="-12"/>
          <w:sz w:val="20"/>
        </w:rPr>
        <w:t> </w:t>
      </w:r>
      <w:r>
        <w:rPr>
          <w:sz w:val="20"/>
        </w:rPr>
        <w:t>comunicación</w:t>
      </w:r>
      <w:r>
        <w:rPr>
          <w:spacing w:val="-14"/>
          <w:sz w:val="20"/>
        </w:rPr>
        <w:t> </w:t>
      </w:r>
      <w:r>
        <w:rPr>
          <w:sz w:val="20"/>
        </w:rPr>
        <w:t>y</w:t>
      </w:r>
      <w:r>
        <w:rPr>
          <w:spacing w:val="-11"/>
          <w:sz w:val="20"/>
        </w:rPr>
        <w:t> </w:t>
      </w:r>
      <w:r>
        <w:rPr>
          <w:sz w:val="20"/>
        </w:rPr>
        <w:t>el</w:t>
      </w:r>
      <w:r>
        <w:rPr>
          <w:spacing w:val="-13"/>
          <w:sz w:val="20"/>
        </w:rPr>
        <w:t> </w:t>
      </w:r>
      <w:r>
        <w:rPr>
          <w:sz w:val="20"/>
        </w:rPr>
        <w:t>suministro</w:t>
      </w:r>
      <w:r>
        <w:rPr>
          <w:spacing w:val="-12"/>
          <w:sz w:val="20"/>
        </w:rPr>
        <w:t> </w:t>
      </w:r>
      <w:r>
        <w:rPr>
          <w:sz w:val="20"/>
        </w:rPr>
        <w:t>de</w:t>
      </w:r>
      <w:r>
        <w:rPr>
          <w:spacing w:val="-12"/>
          <w:sz w:val="20"/>
        </w:rPr>
        <w:t> </w:t>
      </w:r>
      <w:r>
        <w:rPr>
          <w:sz w:val="20"/>
        </w:rPr>
        <w:t>energía</w:t>
      </w:r>
      <w:r>
        <w:rPr>
          <w:spacing w:val="-12"/>
          <w:sz w:val="20"/>
        </w:rPr>
        <w:t> </w:t>
      </w:r>
      <w:r>
        <w:rPr>
          <w:sz w:val="20"/>
        </w:rPr>
        <w:t>eléctrica</w:t>
      </w:r>
      <w:r>
        <w:rPr>
          <w:spacing w:val="-14"/>
          <w:sz w:val="20"/>
        </w:rPr>
        <w:t> </w:t>
      </w:r>
      <w:r>
        <w:rPr>
          <w:sz w:val="20"/>
        </w:rPr>
        <w:t>y</w:t>
      </w:r>
      <w:r>
        <w:rPr>
          <w:spacing w:val="-11"/>
          <w:sz w:val="20"/>
        </w:rPr>
        <w:t> </w:t>
      </w:r>
      <w:r>
        <w:rPr>
          <w:sz w:val="20"/>
        </w:rPr>
        <w:t>recursos</w:t>
      </w:r>
      <w:r>
        <w:rPr>
          <w:spacing w:val="-13"/>
          <w:sz w:val="20"/>
        </w:rPr>
        <w:t> </w:t>
      </w:r>
      <w:r>
        <w:rPr>
          <w:sz w:val="20"/>
        </w:rPr>
        <w:t>hidráulicos para las explotaciones agrícolas, forestales, industriales, pecuarias y mineras, así como la construcción de sistemas para el abastecimiento de agua potable.</w:t>
      </w:r>
    </w:p>
    <w:p>
      <w:pPr>
        <w:pStyle w:val="ListParagraph"/>
        <w:numPr>
          <w:ilvl w:val="1"/>
          <w:numId w:val="54"/>
        </w:numPr>
        <w:tabs>
          <w:tab w:pos="688" w:val="left" w:leader="none"/>
        </w:tabs>
        <w:spacing w:line="240" w:lineRule="auto" w:before="229" w:after="0"/>
        <w:ind w:left="262" w:right="284" w:firstLine="0"/>
        <w:jc w:val="both"/>
        <w:rPr>
          <w:sz w:val="20"/>
        </w:rPr>
      </w:pPr>
      <w:r>
        <w:rPr>
          <w:spacing w:val="-2"/>
          <w:sz w:val="20"/>
        </w:rPr>
        <w:t>Los</w:t>
      </w:r>
      <w:r>
        <w:rPr>
          <w:spacing w:val="-6"/>
          <w:sz w:val="20"/>
        </w:rPr>
        <w:t> </w:t>
      </w:r>
      <w:r>
        <w:rPr>
          <w:spacing w:val="-2"/>
          <w:sz w:val="20"/>
        </w:rPr>
        <w:t>edificios</w:t>
      </w:r>
      <w:r>
        <w:rPr>
          <w:spacing w:val="-4"/>
          <w:sz w:val="20"/>
        </w:rPr>
        <w:t> </w:t>
      </w:r>
      <w:r>
        <w:rPr>
          <w:spacing w:val="-2"/>
          <w:sz w:val="20"/>
        </w:rPr>
        <w:t>e</w:t>
      </w:r>
      <w:r>
        <w:rPr>
          <w:spacing w:val="-5"/>
          <w:sz w:val="20"/>
        </w:rPr>
        <w:t> </w:t>
      </w:r>
      <w:r>
        <w:rPr>
          <w:spacing w:val="-2"/>
          <w:sz w:val="20"/>
        </w:rPr>
        <w:t>instalaciones</w:t>
      </w:r>
      <w:r>
        <w:rPr>
          <w:spacing w:val="-4"/>
          <w:sz w:val="20"/>
        </w:rPr>
        <w:t> </w:t>
      </w:r>
      <w:r>
        <w:rPr>
          <w:spacing w:val="-2"/>
          <w:sz w:val="20"/>
        </w:rPr>
        <w:t>definitivas</w:t>
      </w:r>
      <w:r>
        <w:rPr>
          <w:spacing w:val="-4"/>
          <w:sz w:val="20"/>
        </w:rPr>
        <w:t> </w:t>
      </w:r>
      <w:r>
        <w:rPr>
          <w:spacing w:val="-2"/>
          <w:sz w:val="20"/>
        </w:rPr>
        <w:t>o</w:t>
      </w:r>
      <w:r>
        <w:rPr>
          <w:spacing w:val="-5"/>
          <w:sz w:val="20"/>
        </w:rPr>
        <w:t> </w:t>
      </w:r>
      <w:r>
        <w:rPr>
          <w:spacing w:val="-2"/>
          <w:sz w:val="20"/>
        </w:rPr>
        <w:t>provisionales,</w:t>
      </w:r>
      <w:r>
        <w:rPr>
          <w:spacing w:val="-3"/>
          <w:sz w:val="20"/>
        </w:rPr>
        <w:t> </w:t>
      </w:r>
      <w:r>
        <w:rPr>
          <w:spacing w:val="-2"/>
          <w:sz w:val="20"/>
        </w:rPr>
        <w:t>necesarios</w:t>
      </w:r>
      <w:r>
        <w:rPr>
          <w:spacing w:val="-4"/>
          <w:sz w:val="20"/>
        </w:rPr>
        <w:t> </w:t>
      </w:r>
      <w:r>
        <w:rPr>
          <w:spacing w:val="-2"/>
          <w:sz w:val="20"/>
        </w:rPr>
        <w:t>para</w:t>
      </w:r>
      <w:r>
        <w:rPr>
          <w:spacing w:val="-5"/>
          <w:sz w:val="20"/>
        </w:rPr>
        <w:t> </w:t>
      </w:r>
      <w:r>
        <w:rPr>
          <w:spacing w:val="-2"/>
          <w:sz w:val="20"/>
        </w:rPr>
        <w:t>los</w:t>
      </w:r>
      <w:r>
        <w:rPr>
          <w:spacing w:val="-7"/>
          <w:sz w:val="20"/>
        </w:rPr>
        <w:t> </w:t>
      </w:r>
      <w:r>
        <w:rPr>
          <w:spacing w:val="-2"/>
          <w:sz w:val="20"/>
        </w:rPr>
        <w:t>usos</w:t>
      </w:r>
      <w:r>
        <w:rPr>
          <w:spacing w:val="-4"/>
          <w:sz w:val="20"/>
        </w:rPr>
        <w:t> </w:t>
      </w:r>
      <w:r>
        <w:rPr>
          <w:spacing w:val="-2"/>
          <w:sz w:val="20"/>
        </w:rPr>
        <w:t>a</w:t>
      </w:r>
      <w:r>
        <w:rPr>
          <w:spacing w:val="-5"/>
          <w:sz w:val="20"/>
        </w:rPr>
        <w:t> </w:t>
      </w:r>
      <w:r>
        <w:rPr>
          <w:spacing w:val="-2"/>
          <w:sz w:val="20"/>
        </w:rPr>
        <w:t>que</w:t>
      </w:r>
      <w:r>
        <w:rPr>
          <w:spacing w:val="-5"/>
          <w:sz w:val="20"/>
        </w:rPr>
        <w:t> </w:t>
      </w:r>
      <w:r>
        <w:rPr>
          <w:spacing w:val="-2"/>
          <w:sz w:val="20"/>
        </w:rPr>
        <w:t>se</w:t>
      </w:r>
      <w:r>
        <w:rPr>
          <w:spacing w:val="-9"/>
          <w:sz w:val="20"/>
        </w:rPr>
        <w:t> </w:t>
      </w:r>
      <w:r>
        <w:rPr>
          <w:spacing w:val="-2"/>
          <w:sz w:val="20"/>
        </w:rPr>
        <w:t>refiere </w:t>
      </w:r>
      <w:r>
        <w:rPr>
          <w:sz w:val="20"/>
        </w:rPr>
        <w:t>el</w:t>
      </w:r>
      <w:r>
        <w:rPr>
          <w:spacing w:val="-5"/>
          <w:sz w:val="20"/>
        </w:rPr>
        <w:t> </w:t>
      </w:r>
      <w:r>
        <w:rPr>
          <w:sz w:val="20"/>
        </w:rPr>
        <w:t>inciso</w:t>
      </w:r>
      <w:r>
        <w:rPr>
          <w:spacing w:val="-7"/>
          <w:sz w:val="20"/>
        </w:rPr>
        <w:t> </w:t>
      </w:r>
      <w:r>
        <w:rPr>
          <w:sz w:val="20"/>
        </w:rPr>
        <w:t>anterior,</w:t>
      </w:r>
      <w:r>
        <w:rPr>
          <w:spacing w:val="-4"/>
          <w:sz w:val="20"/>
        </w:rPr>
        <w:t> </w:t>
      </w:r>
      <w:r>
        <w:rPr>
          <w:sz w:val="20"/>
        </w:rPr>
        <w:t>así</w:t>
      </w:r>
      <w:r>
        <w:rPr>
          <w:spacing w:val="-6"/>
          <w:sz w:val="20"/>
        </w:rPr>
        <w:t> </w:t>
      </w:r>
      <w:r>
        <w:rPr>
          <w:sz w:val="20"/>
        </w:rPr>
        <w:t>como</w:t>
      </w:r>
      <w:r>
        <w:rPr>
          <w:spacing w:val="-3"/>
          <w:sz w:val="20"/>
        </w:rPr>
        <w:t> </w:t>
      </w:r>
      <w:r>
        <w:rPr>
          <w:sz w:val="20"/>
        </w:rPr>
        <w:t>las</w:t>
      </w:r>
      <w:r>
        <w:rPr>
          <w:spacing w:val="-4"/>
          <w:sz w:val="20"/>
        </w:rPr>
        <w:t> </w:t>
      </w:r>
      <w:r>
        <w:rPr>
          <w:sz w:val="20"/>
        </w:rPr>
        <w:t>indispensables</w:t>
      </w:r>
      <w:r>
        <w:rPr>
          <w:spacing w:val="-6"/>
          <w:sz w:val="20"/>
        </w:rPr>
        <w:t> </w:t>
      </w:r>
      <w:r>
        <w:rPr>
          <w:sz w:val="20"/>
        </w:rPr>
        <w:t>para</w:t>
      </w:r>
      <w:r>
        <w:rPr>
          <w:spacing w:val="-4"/>
          <w:sz w:val="20"/>
        </w:rPr>
        <w:t> </w:t>
      </w:r>
      <w:r>
        <w:rPr>
          <w:sz w:val="20"/>
        </w:rPr>
        <w:t>el</w:t>
      </w:r>
      <w:r>
        <w:rPr>
          <w:spacing w:val="-4"/>
          <w:sz w:val="20"/>
        </w:rPr>
        <w:t> </w:t>
      </w:r>
      <w:r>
        <w:rPr>
          <w:sz w:val="20"/>
        </w:rPr>
        <w:t>mantenimiento</w:t>
      </w:r>
      <w:r>
        <w:rPr>
          <w:spacing w:val="-7"/>
          <w:sz w:val="20"/>
        </w:rPr>
        <w:t> </w:t>
      </w:r>
      <w:r>
        <w:rPr>
          <w:sz w:val="20"/>
        </w:rPr>
        <w:t>y</w:t>
      </w:r>
      <w:r>
        <w:rPr>
          <w:spacing w:val="-5"/>
          <w:sz w:val="20"/>
        </w:rPr>
        <w:t> </w:t>
      </w:r>
      <w:r>
        <w:rPr>
          <w:sz w:val="20"/>
        </w:rPr>
        <w:t>vigilancia</w:t>
      </w:r>
      <w:r>
        <w:rPr>
          <w:spacing w:val="-3"/>
          <w:sz w:val="20"/>
        </w:rPr>
        <w:t> </w:t>
      </w:r>
      <w:r>
        <w:rPr>
          <w:sz w:val="20"/>
        </w:rPr>
        <w:t>de</w:t>
      </w:r>
      <w:r>
        <w:rPr>
          <w:spacing w:val="-5"/>
          <w:sz w:val="20"/>
        </w:rPr>
        <w:t> </w:t>
      </w:r>
      <w:r>
        <w:rPr>
          <w:sz w:val="20"/>
        </w:rPr>
        <w:t>parques,</w:t>
      </w:r>
      <w:r>
        <w:rPr>
          <w:spacing w:val="-6"/>
          <w:sz w:val="20"/>
        </w:rPr>
        <w:t> </w:t>
      </w:r>
      <w:r>
        <w:rPr>
          <w:sz w:val="20"/>
        </w:rPr>
        <w:t>zonas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ecológicas o de valor histórico, artístico y cultural o recreativas, e igualmente para alojamientos turísticos, centros de recreo, restaurantes y comercios anexos.</w:t>
      </w:r>
    </w:p>
    <w:p>
      <w:pPr>
        <w:pStyle w:val="BodyText"/>
        <w:spacing w:before="1"/>
      </w:pPr>
    </w:p>
    <w:p>
      <w:pPr>
        <w:pStyle w:val="ListParagraph"/>
        <w:numPr>
          <w:ilvl w:val="1"/>
          <w:numId w:val="54"/>
        </w:numPr>
        <w:tabs>
          <w:tab w:pos="544" w:val="left" w:leader="none"/>
        </w:tabs>
        <w:spacing w:line="240" w:lineRule="auto" w:before="0" w:after="0"/>
        <w:ind w:left="262" w:right="286" w:firstLine="0"/>
        <w:jc w:val="both"/>
        <w:rPr>
          <w:sz w:val="20"/>
        </w:rPr>
      </w:pPr>
      <w:r>
        <w:rPr>
          <w:sz w:val="20"/>
        </w:rPr>
        <w:t>La vivienda rural aislada a razón de una cada cinco hectáreas o conforme a las normas que al efecto establezca el correspondiente programa de ordenamiento territorial y desarrollo urbano;</w:t>
      </w:r>
    </w:p>
    <w:p>
      <w:pPr>
        <w:pStyle w:val="ListParagraph"/>
        <w:numPr>
          <w:ilvl w:val="0"/>
          <w:numId w:val="54"/>
        </w:numPr>
        <w:tabs>
          <w:tab w:pos="541" w:val="left" w:leader="none"/>
        </w:tabs>
        <w:spacing w:line="240" w:lineRule="auto" w:before="229" w:after="0"/>
        <w:ind w:left="262" w:right="278" w:firstLine="0"/>
        <w:jc w:val="both"/>
        <w:rPr>
          <w:sz w:val="20"/>
        </w:rPr>
      </w:pPr>
      <w:r>
        <w:rPr>
          <w:sz w:val="20"/>
        </w:rPr>
        <w:t>Se podrá permitir la instalación de almacenamiento de combustibles siempre y cuando se ubiquen a una distancia no menor de dos kilómetros del límite de crecimiento urbano del correspondiente centro de población, y se cumplan los requisitos que las autoridades correspondientes fijen por alguno o algunos de los mismos conceptos señalados en ésta Ley, para el</w:t>
      </w:r>
      <w:r>
        <w:rPr>
          <w:spacing w:val="-5"/>
          <w:sz w:val="20"/>
        </w:rPr>
        <w:t> </w:t>
      </w:r>
      <w:r>
        <w:rPr>
          <w:sz w:val="20"/>
        </w:rPr>
        <w:t>caso</w:t>
      </w:r>
      <w:r>
        <w:rPr>
          <w:spacing w:val="-3"/>
          <w:sz w:val="20"/>
        </w:rPr>
        <w:t> </w:t>
      </w:r>
      <w:r>
        <w:rPr>
          <w:sz w:val="20"/>
        </w:rPr>
        <w:t>de</w:t>
      </w:r>
      <w:r>
        <w:rPr>
          <w:spacing w:val="-4"/>
          <w:sz w:val="20"/>
        </w:rPr>
        <w:t> </w:t>
      </w:r>
      <w:r>
        <w:rPr>
          <w:sz w:val="20"/>
        </w:rPr>
        <w:t>los</w:t>
      </w:r>
      <w:r>
        <w:rPr>
          <w:spacing w:val="-2"/>
          <w:sz w:val="20"/>
        </w:rPr>
        <w:t> </w:t>
      </w:r>
      <w:r>
        <w:rPr>
          <w:sz w:val="20"/>
        </w:rPr>
        <w:t>usos</w:t>
      </w:r>
      <w:r>
        <w:rPr>
          <w:spacing w:val="-2"/>
          <w:sz w:val="20"/>
        </w:rPr>
        <w:t> </w:t>
      </w:r>
      <w:r>
        <w:rPr>
          <w:sz w:val="20"/>
        </w:rPr>
        <w:t>que</w:t>
      </w:r>
      <w:r>
        <w:rPr>
          <w:spacing w:val="-4"/>
          <w:sz w:val="20"/>
        </w:rPr>
        <w:t> </w:t>
      </w:r>
      <w:r>
        <w:rPr>
          <w:sz w:val="20"/>
        </w:rPr>
        <w:t>producen</w:t>
      </w:r>
      <w:r>
        <w:rPr>
          <w:spacing w:val="-4"/>
          <w:sz w:val="20"/>
        </w:rPr>
        <w:t> </w:t>
      </w:r>
      <w:r>
        <w:rPr>
          <w:sz w:val="20"/>
        </w:rPr>
        <w:t>impacto</w:t>
      </w:r>
      <w:r>
        <w:rPr>
          <w:spacing w:val="-6"/>
          <w:sz w:val="20"/>
        </w:rPr>
        <w:t> </w:t>
      </w:r>
      <w:r>
        <w:rPr>
          <w:sz w:val="20"/>
        </w:rPr>
        <w:t>significativo</w:t>
      </w:r>
      <w:r>
        <w:rPr>
          <w:spacing w:val="-1"/>
          <w:sz w:val="20"/>
        </w:rPr>
        <w:t> </w:t>
      </w:r>
      <w:r>
        <w:rPr>
          <w:sz w:val="20"/>
        </w:rPr>
        <w:t>en</w:t>
      </w:r>
      <w:r>
        <w:rPr>
          <w:spacing w:val="-6"/>
          <w:sz w:val="20"/>
        </w:rPr>
        <w:t> </w:t>
      </w:r>
      <w:r>
        <w:rPr>
          <w:sz w:val="20"/>
        </w:rPr>
        <w:t>su</w:t>
      </w:r>
      <w:r>
        <w:rPr>
          <w:spacing w:val="-4"/>
          <w:sz w:val="20"/>
        </w:rPr>
        <w:t> </w:t>
      </w:r>
      <w:r>
        <w:rPr>
          <w:sz w:val="20"/>
        </w:rPr>
        <w:t>área</w:t>
      </w:r>
      <w:r>
        <w:rPr>
          <w:spacing w:val="-3"/>
          <w:sz w:val="20"/>
        </w:rPr>
        <w:t> </w:t>
      </w:r>
      <w:r>
        <w:rPr>
          <w:sz w:val="20"/>
        </w:rPr>
        <w:t>de</w:t>
      </w:r>
      <w:r>
        <w:rPr>
          <w:spacing w:val="-4"/>
          <w:sz w:val="20"/>
        </w:rPr>
        <w:t> </w:t>
      </w:r>
      <w:r>
        <w:rPr>
          <w:sz w:val="20"/>
        </w:rPr>
        <w:t>influencia.</w:t>
      </w:r>
      <w:r>
        <w:rPr>
          <w:spacing w:val="-4"/>
          <w:sz w:val="20"/>
        </w:rPr>
        <w:t> </w:t>
      </w:r>
      <w:r>
        <w:rPr>
          <w:sz w:val="20"/>
        </w:rPr>
        <w:t>Esta</w:t>
      </w:r>
      <w:r>
        <w:rPr>
          <w:spacing w:val="-6"/>
          <w:sz w:val="20"/>
        </w:rPr>
        <w:t> </w:t>
      </w:r>
      <w:r>
        <w:rPr>
          <w:sz w:val="20"/>
        </w:rPr>
        <w:t>disposición</w:t>
      </w:r>
      <w:r>
        <w:rPr>
          <w:spacing w:val="-4"/>
          <w:sz w:val="20"/>
        </w:rPr>
        <w:t> </w:t>
      </w:r>
      <w:r>
        <w:rPr>
          <w:sz w:val="20"/>
        </w:rPr>
        <w:t>no aplica a las gasolineras, que estarán a lo dispuesto en el artículo 136 de este Ordenamiento;</w:t>
      </w:r>
    </w:p>
    <w:p>
      <w:pPr>
        <w:pStyle w:val="BodyText"/>
        <w:spacing w:before="1"/>
      </w:pPr>
    </w:p>
    <w:p>
      <w:pPr>
        <w:pStyle w:val="ListParagraph"/>
        <w:numPr>
          <w:ilvl w:val="0"/>
          <w:numId w:val="54"/>
        </w:numPr>
        <w:tabs>
          <w:tab w:pos="688" w:val="left" w:leader="none"/>
        </w:tabs>
        <w:spacing w:line="240" w:lineRule="auto" w:before="0" w:after="0"/>
        <w:ind w:left="262" w:right="283" w:firstLine="0"/>
        <w:jc w:val="both"/>
        <w:rPr>
          <w:sz w:val="20"/>
        </w:rPr>
      </w:pPr>
      <w:r>
        <w:rPr>
          <w:sz w:val="20"/>
        </w:rPr>
        <w:t>En los casos de excepción a que se refieren las fracciones II y III de este artículo, los titulares de</w:t>
      </w:r>
      <w:r>
        <w:rPr>
          <w:spacing w:val="-8"/>
          <w:sz w:val="20"/>
        </w:rPr>
        <w:t> </w:t>
      </w:r>
      <w:r>
        <w:rPr>
          <w:sz w:val="20"/>
        </w:rPr>
        <w:t>las</w:t>
      </w:r>
      <w:r>
        <w:rPr>
          <w:spacing w:val="-7"/>
          <w:sz w:val="20"/>
        </w:rPr>
        <w:t> </w:t>
      </w:r>
      <w:r>
        <w:rPr>
          <w:sz w:val="20"/>
        </w:rPr>
        <w:t>respectivas</w:t>
      </w:r>
      <w:r>
        <w:rPr>
          <w:spacing w:val="-4"/>
          <w:sz w:val="20"/>
        </w:rPr>
        <w:t> </w:t>
      </w:r>
      <w:r>
        <w:rPr>
          <w:sz w:val="20"/>
        </w:rPr>
        <w:t>autorizaciones</w:t>
      </w:r>
      <w:r>
        <w:rPr>
          <w:spacing w:val="-7"/>
          <w:sz w:val="20"/>
        </w:rPr>
        <w:t> </w:t>
      </w:r>
      <w:r>
        <w:rPr>
          <w:sz w:val="20"/>
        </w:rPr>
        <w:t>deberán</w:t>
      </w:r>
      <w:r>
        <w:rPr>
          <w:spacing w:val="-6"/>
          <w:sz w:val="20"/>
        </w:rPr>
        <w:t> </w:t>
      </w:r>
      <w:r>
        <w:rPr>
          <w:sz w:val="20"/>
        </w:rPr>
        <w:t>inscribirlas</w:t>
      </w:r>
      <w:r>
        <w:rPr>
          <w:spacing w:val="-4"/>
          <w:sz w:val="20"/>
        </w:rPr>
        <w:t> </w:t>
      </w:r>
      <w:r>
        <w:rPr>
          <w:sz w:val="20"/>
        </w:rPr>
        <w:t>en</w:t>
      </w:r>
      <w:r>
        <w:rPr>
          <w:spacing w:val="-8"/>
          <w:sz w:val="20"/>
        </w:rPr>
        <w:t> </w:t>
      </w:r>
      <w:r>
        <w:rPr>
          <w:sz w:val="20"/>
        </w:rPr>
        <w:t>el</w:t>
      </w:r>
      <w:r>
        <w:rPr>
          <w:spacing w:val="-8"/>
          <w:sz w:val="20"/>
        </w:rPr>
        <w:t> </w:t>
      </w:r>
      <w:r>
        <w:rPr>
          <w:sz w:val="20"/>
        </w:rPr>
        <w:t>Registro</w:t>
      </w:r>
      <w:r>
        <w:rPr>
          <w:spacing w:val="-5"/>
          <w:sz w:val="20"/>
        </w:rPr>
        <w:t> </w:t>
      </w:r>
      <w:r>
        <w:rPr>
          <w:sz w:val="20"/>
        </w:rPr>
        <w:t>de</w:t>
      </w:r>
      <w:r>
        <w:rPr>
          <w:spacing w:val="-5"/>
          <w:sz w:val="20"/>
        </w:rPr>
        <w:t> </w:t>
      </w:r>
      <w:r>
        <w:rPr>
          <w:sz w:val="20"/>
        </w:rPr>
        <w:t>Construcciones</w:t>
      </w:r>
      <w:r>
        <w:rPr>
          <w:spacing w:val="-7"/>
          <w:sz w:val="20"/>
        </w:rPr>
        <w:t> </w:t>
      </w:r>
      <w:r>
        <w:rPr>
          <w:sz w:val="20"/>
        </w:rPr>
        <w:t>en</w:t>
      </w:r>
      <w:r>
        <w:rPr>
          <w:spacing w:val="-8"/>
          <w:sz w:val="20"/>
        </w:rPr>
        <w:t> </w:t>
      </w:r>
      <w:r>
        <w:rPr>
          <w:sz w:val="20"/>
        </w:rPr>
        <w:t>áreas</w:t>
      </w:r>
      <w:r>
        <w:rPr>
          <w:spacing w:val="-7"/>
          <w:sz w:val="20"/>
        </w:rPr>
        <w:t> </w:t>
      </w:r>
      <w:r>
        <w:rPr>
          <w:sz w:val="20"/>
        </w:rPr>
        <w:t>no urbanizables a que</w:t>
      </w:r>
      <w:r>
        <w:rPr>
          <w:spacing w:val="-1"/>
          <w:sz w:val="20"/>
        </w:rPr>
        <w:t> </w:t>
      </w:r>
      <w:r>
        <w:rPr>
          <w:sz w:val="20"/>
        </w:rPr>
        <w:t>se refiere</w:t>
      </w:r>
      <w:r>
        <w:rPr>
          <w:spacing w:val="-1"/>
          <w:sz w:val="20"/>
        </w:rPr>
        <w:t> </w:t>
      </w:r>
      <w:r>
        <w:rPr>
          <w:sz w:val="20"/>
        </w:rPr>
        <w:t>el párrafo</w:t>
      </w:r>
      <w:r>
        <w:rPr>
          <w:spacing w:val="-1"/>
          <w:sz w:val="20"/>
        </w:rPr>
        <w:t> </w:t>
      </w:r>
      <w:r>
        <w:rPr>
          <w:sz w:val="20"/>
        </w:rPr>
        <w:t>final del</w:t>
      </w:r>
      <w:r>
        <w:rPr>
          <w:spacing w:val="-2"/>
          <w:sz w:val="20"/>
        </w:rPr>
        <w:t> </w:t>
      </w:r>
      <w:r>
        <w:rPr>
          <w:sz w:val="20"/>
        </w:rPr>
        <w:t>presente artículo,</w:t>
      </w:r>
      <w:r>
        <w:rPr>
          <w:spacing w:val="-1"/>
          <w:sz w:val="20"/>
        </w:rPr>
        <w:t> </w:t>
      </w:r>
      <w:r>
        <w:rPr>
          <w:sz w:val="20"/>
        </w:rPr>
        <w:t>dentro de los treinta</w:t>
      </w:r>
      <w:r>
        <w:rPr>
          <w:spacing w:val="-1"/>
          <w:sz w:val="20"/>
        </w:rPr>
        <w:t> </w:t>
      </w:r>
      <w:r>
        <w:rPr>
          <w:sz w:val="20"/>
        </w:rPr>
        <w:t>días hábiles contados a partir de la expedición de la respectiva autorización, y</w:t>
      </w:r>
    </w:p>
    <w:p>
      <w:pPr>
        <w:pStyle w:val="BodyText"/>
      </w:pPr>
    </w:p>
    <w:p>
      <w:pPr>
        <w:pStyle w:val="ListParagraph"/>
        <w:numPr>
          <w:ilvl w:val="0"/>
          <w:numId w:val="54"/>
        </w:numPr>
        <w:tabs>
          <w:tab w:pos="744" w:val="left" w:leader="none"/>
        </w:tabs>
        <w:spacing w:line="240" w:lineRule="auto" w:before="0" w:after="0"/>
        <w:ind w:left="262" w:right="275" w:firstLine="0"/>
        <w:jc w:val="both"/>
        <w:rPr>
          <w:sz w:val="20"/>
        </w:rPr>
      </w:pPr>
      <w:r>
        <w:rPr>
          <w:sz w:val="20"/>
        </w:rPr>
        <w:t>Sólo</w:t>
      </w:r>
      <w:r>
        <w:rPr>
          <w:spacing w:val="-14"/>
          <w:sz w:val="20"/>
        </w:rPr>
        <w:t> </w:t>
      </w:r>
      <w:r>
        <w:rPr>
          <w:sz w:val="20"/>
        </w:rPr>
        <w:t>las</w:t>
      </w:r>
      <w:r>
        <w:rPr>
          <w:spacing w:val="-14"/>
          <w:sz w:val="20"/>
        </w:rPr>
        <w:t> </w:t>
      </w:r>
      <w:r>
        <w:rPr>
          <w:sz w:val="20"/>
        </w:rPr>
        <w:t>edificaciones</w:t>
      </w:r>
      <w:r>
        <w:rPr>
          <w:spacing w:val="-14"/>
          <w:sz w:val="20"/>
        </w:rPr>
        <w:t> </w:t>
      </w:r>
      <w:r>
        <w:rPr>
          <w:sz w:val="20"/>
        </w:rPr>
        <w:t>e</w:t>
      </w:r>
      <w:r>
        <w:rPr>
          <w:spacing w:val="-14"/>
          <w:sz w:val="20"/>
        </w:rPr>
        <w:t> </w:t>
      </w:r>
      <w:r>
        <w:rPr>
          <w:sz w:val="20"/>
        </w:rPr>
        <w:t>instalaciones</w:t>
      </w:r>
      <w:r>
        <w:rPr>
          <w:spacing w:val="-14"/>
          <w:sz w:val="20"/>
        </w:rPr>
        <w:t> </w:t>
      </w:r>
      <w:r>
        <w:rPr>
          <w:sz w:val="20"/>
        </w:rPr>
        <w:t>no</w:t>
      </w:r>
      <w:r>
        <w:rPr>
          <w:spacing w:val="-14"/>
          <w:sz w:val="20"/>
        </w:rPr>
        <w:t> </w:t>
      </w:r>
      <w:r>
        <w:rPr>
          <w:sz w:val="20"/>
        </w:rPr>
        <w:t>habitacionales</w:t>
      </w:r>
      <w:r>
        <w:rPr>
          <w:spacing w:val="-14"/>
          <w:sz w:val="20"/>
        </w:rPr>
        <w:t> </w:t>
      </w:r>
      <w:r>
        <w:rPr>
          <w:sz w:val="20"/>
        </w:rPr>
        <w:t>existentes</w:t>
      </w:r>
      <w:r>
        <w:rPr>
          <w:spacing w:val="-14"/>
          <w:sz w:val="20"/>
        </w:rPr>
        <w:t> </w:t>
      </w:r>
      <w:r>
        <w:rPr>
          <w:sz w:val="20"/>
        </w:rPr>
        <w:t>en</w:t>
      </w:r>
      <w:r>
        <w:rPr>
          <w:spacing w:val="-14"/>
          <w:sz w:val="20"/>
        </w:rPr>
        <w:t> </w:t>
      </w:r>
      <w:r>
        <w:rPr>
          <w:sz w:val="20"/>
        </w:rPr>
        <w:t>las</w:t>
      </w:r>
      <w:r>
        <w:rPr>
          <w:spacing w:val="-13"/>
          <w:sz w:val="20"/>
        </w:rPr>
        <w:t> </w:t>
      </w:r>
      <w:r>
        <w:rPr>
          <w:sz w:val="20"/>
        </w:rPr>
        <w:t>áreas</w:t>
      </w:r>
      <w:r>
        <w:rPr>
          <w:spacing w:val="-14"/>
          <w:sz w:val="20"/>
        </w:rPr>
        <w:t> </w:t>
      </w:r>
      <w:r>
        <w:rPr>
          <w:sz w:val="20"/>
        </w:rPr>
        <w:t>no</w:t>
      </w:r>
      <w:r>
        <w:rPr>
          <w:spacing w:val="-14"/>
          <w:sz w:val="20"/>
        </w:rPr>
        <w:t> </w:t>
      </w:r>
      <w:r>
        <w:rPr>
          <w:sz w:val="20"/>
        </w:rPr>
        <w:t>urbanizables de</w:t>
      </w:r>
      <w:r>
        <w:rPr>
          <w:spacing w:val="-6"/>
          <w:sz w:val="20"/>
        </w:rPr>
        <w:t> </w:t>
      </w:r>
      <w:r>
        <w:rPr>
          <w:sz w:val="20"/>
        </w:rPr>
        <w:t>un</w:t>
      </w:r>
      <w:r>
        <w:rPr>
          <w:spacing w:val="-6"/>
          <w:sz w:val="20"/>
        </w:rPr>
        <w:t> </w:t>
      </w:r>
      <w:r>
        <w:rPr>
          <w:sz w:val="20"/>
        </w:rPr>
        <w:t>centro</w:t>
      </w:r>
      <w:r>
        <w:rPr>
          <w:spacing w:val="-6"/>
          <w:sz w:val="20"/>
        </w:rPr>
        <w:t> </w:t>
      </w:r>
      <w:r>
        <w:rPr>
          <w:sz w:val="20"/>
        </w:rPr>
        <w:t>de</w:t>
      </w:r>
      <w:r>
        <w:rPr>
          <w:spacing w:val="-6"/>
          <w:sz w:val="20"/>
        </w:rPr>
        <w:t> </w:t>
      </w:r>
      <w:r>
        <w:rPr>
          <w:sz w:val="20"/>
        </w:rPr>
        <w:t>población,</w:t>
      </w:r>
      <w:r>
        <w:rPr>
          <w:spacing w:val="-6"/>
          <w:sz w:val="20"/>
        </w:rPr>
        <w:t> </w:t>
      </w:r>
      <w:r>
        <w:rPr>
          <w:sz w:val="20"/>
        </w:rPr>
        <w:t>así</w:t>
      </w:r>
      <w:r>
        <w:rPr>
          <w:spacing w:val="-5"/>
          <w:sz w:val="20"/>
        </w:rPr>
        <w:t> </w:t>
      </w:r>
      <w:r>
        <w:rPr>
          <w:sz w:val="20"/>
        </w:rPr>
        <w:t>como</w:t>
      </w:r>
      <w:r>
        <w:rPr>
          <w:spacing w:val="-6"/>
          <w:sz w:val="20"/>
        </w:rPr>
        <w:t> </w:t>
      </w:r>
      <w:r>
        <w:rPr>
          <w:sz w:val="20"/>
        </w:rPr>
        <w:t>las</w:t>
      </w:r>
      <w:r>
        <w:rPr>
          <w:spacing w:val="-5"/>
          <w:sz w:val="20"/>
        </w:rPr>
        <w:t> </w:t>
      </w:r>
      <w:r>
        <w:rPr>
          <w:sz w:val="20"/>
        </w:rPr>
        <w:t>señaladas</w:t>
      </w:r>
      <w:r>
        <w:rPr>
          <w:spacing w:val="-4"/>
          <w:sz w:val="20"/>
        </w:rPr>
        <w:t> </w:t>
      </w:r>
      <w:r>
        <w:rPr>
          <w:sz w:val="20"/>
        </w:rPr>
        <w:t>en</w:t>
      </w:r>
      <w:r>
        <w:rPr>
          <w:spacing w:val="-6"/>
          <w:sz w:val="20"/>
        </w:rPr>
        <w:t> </w:t>
      </w:r>
      <w:r>
        <w:rPr>
          <w:sz w:val="20"/>
        </w:rPr>
        <w:t>las</w:t>
      </w:r>
      <w:r>
        <w:rPr>
          <w:spacing w:val="-5"/>
          <w:sz w:val="20"/>
        </w:rPr>
        <w:t> </w:t>
      </w:r>
      <w:r>
        <w:rPr>
          <w:sz w:val="20"/>
        </w:rPr>
        <w:t>fracciones</w:t>
      </w:r>
      <w:r>
        <w:rPr>
          <w:spacing w:val="-5"/>
          <w:sz w:val="20"/>
        </w:rPr>
        <w:t> </w:t>
      </w:r>
      <w:r>
        <w:rPr>
          <w:sz w:val="20"/>
        </w:rPr>
        <w:t>II,</w:t>
      </w:r>
      <w:r>
        <w:rPr>
          <w:spacing w:val="-6"/>
          <w:sz w:val="20"/>
        </w:rPr>
        <w:t> </w:t>
      </w:r>
      <w:r>
        <w:rPr>
          <w:sz w:val="20"/>
        </w:rPr>
        <w:t>inciso</w:t>
      </w:r>
      <w:r>
        <w:rPr>
          <w:spacing w:val="-6"/>
          <w:sz w:val="20"/>
        </w:rPr>
        <w:t> </w:t>
      </w:r>
      <w:r>
        <w:rPr>
          <w:sz w:val="20"/>
        </w:rPr>
        <w:t>b)</w:t>
      </w:r>
      <w:r>
        <w:rPr>
          <w:spacing w:val="-5"/>
          <w:sz w:val="20"/>
        </w:rPr>
        <w:t> </w:t>
      </w:r>
      <w:r>
        <w:rPr>
          <w:sz w:val="20"/>
        </w:rPr>
        <w:t>y</w:t>
      </w:r>
      <w:r>
        <w:rPr>
          <w:spacing w:val="-4"/>
          <w:sz w:val="20"/>
        </w:rPr>
        <w:t> </w:t>
      </w:r>
      <w:r>
        <w:rPr>
          <w:sz w:val="20"/>
        </w:rPr>
        <w:t>III</w:t>
      </w:r>
      <w:r>
        <w:rPr>
          <w:spacing w:val="-6"/>
          <w:sz w:val="20"/>
        </w:rPr>
        <w:t> </w:t>
      </w:r>
      <w:r>
        <w:rPr>
          <w:sz w:val="20"/>
        </w:rPr>
        <w:t>de</w:t>
      </w:r>
      <w:r>
        <w:rPr>
          <w:spacing w:val="-6"/>
          <w:sz w:val="20"/>
        </w:rPr>
        <w:t> </w:t>
      </w:r>
      <w:r>
        <w:rPr>
          <w:sz w:val="20"/>
        </w:rPr>
        <w:t>este</w:t>
      </w:r>
      <w:r>
        <w:rPr>
          <w:spacing w:val="-6"/>
          <w:sz w:val="20"/>
        </w:rPr>
        <w:t> </w:t>
      </w:r>
      <w:r>
        <w:rPr>
          <w:sz w:val="20"/>
        </w:rPr>
        <w:t>artículo que en el futuro se autoricen, podrán transformarse, ampliarse o reconstruirse. Las edificaciones habitacionales existentes así como la vivienda a que se refiere el inciso c) de la fracción II de este artículo, únicamente podrán ser objeto de alguna o algunas de las obras menores para las cuales, de acuerdo a ésta Ley y el reglamento municipal, no se precisa licencia de construcción.</w:t>
      </w:r>
    </w:p>
    <w:p>
      <w:pPr>
        <w:pStyle w:val="BodyText"/>
        <w:spacing w:before="1"/>
      </w:pPr>
    </w:p>
    <w:p>
      <w:pPr>
        <w:pStyle w:val="BodyText"/>
        <w:ind w:left="262" w:right="280"/>
        <w:jc w:val="both"/>
      </w:pPr>
      <w:r>
        <w:rPr/>
        <w:t>Las construcciones existentes dentro de los límites de las áreas no urbanizables de un centro de población,</w:t>
      </w:r>
      <w:r>
        <w:rPr>
          <w:spacing w:val="-12"/>
        </w:rPr>
        <w:t> </w:t>
      </w:r>
      <w:r>
        <w:rPr/>
        <w:t>serán</w:t>
      </w:r>
      <w:r>
        <w:rPr>
          <w:spacing w:val="-9"/>
        </w:rPr>
        <w:t> </w:t>
      </w:r>
      <w:r>
        <w:rPr/>
        <w:t>inscritas</w:t>
      </w:r>
      <w:r>
        <w:rPr>
          <w:spacing w:val="-11"/>
        </w:rPr>
        <w:t> </w:t>
      </w:r>
      <w:r>
        <w:rPr/>
        <w:t>en</w:t>
      </w:r>
      <w:r>
        <w:rPr>
          <w:spacing w:val="-11"/>
        </w:rPr>
        <w:t> </w:t>
      </w:r>
      <w:r>
        <w:rPr/>
        <w:t>el</w:t>
      </w:r>
      <w:r>
        <w:rPr>
          <w:spacing w:val="-12"/>
        </w:rPr>
        <w:t> </w:t>
      </w:r>
      <w:r>
        <w:rPr/>
        <w:t>Registro</w:t>
      </w:r>
      <w:r>
        <w:rPr>
          <w:spacing w:val="-11"/>
        </w:rPr>
        <w:t> </w:t>
      </w:r>
      <w:r>
        <w:rPr/>
        <w:t>de</w:t>
      </w:r>
      <w:r>
        <w:rPr>
          <w:spacing w:val="-11"/>
        </w:rPr>
        <w:t> </w:t>
      </w:r>
      <w:r>
        <w:rPr/>
        <w:t>Construcciones</w:t>
      </w:r>
      <w:r>
        <w:rPr>
          <w:spacing w:val="-10"/>
        </w:rPr>
        <w:t> </w:t>
      </w:r>
      <w:r>
        <w:rPr/>
        <w:t>en</w:t>
      </w:r>
      <w:r>
        <w:rPr>
          <w:spacing w:val="-9"/>
        </w:rPr>
        <w:t> </w:t>
      </w:r>
      <w:r>
        <w:rPr/>
        <w:t>Área</w:t>
      </w:r>
      <w:r>
        <w:rPr>
          <w:spacing w:val="-12"/>
        </w:rPr>
        <w:t> </w:t>
      </w:r>
      <w:r>
        <w:rPr/>
        <w:t>no</w:t>
      </w:r>
      <w:r>
        <w:rPr>
          <w:spacing w:val="-11"/>
        </w:rPr>
        <w:t> </w:t>
      </w:r>
      <w:r>
        <w:rPr/>
        <w:t>Urbanizables</w:t>
      </w:r>
      <w:r>
        <w:rPr>
          <w:spacing w:val="-10"/>
        </w:rPr>
        <w:t> </w:t>
      </w:r>
      <w:r>
        <w:rPr/>
        <w:t>que</w:t>
      </w:r>
      <w:r>
        <w:rPr>
          <w:spacing w:val="-11"/>
        </w:rPr>
        <w:t> </w:t>
      </w:r>
      <w:r>
        <w:rPr/>
        <w:t>a</w:t>
      </w:r>
      <w:r>
        <w:rPr>
          <w:spacing w:val="-11"/>
        </w:rPr>
        <w:t> </w:t>
      </w:r>
      <w:r>
        <w:rPr/>
        <w:t>tal</w:t>
      </w:r>
      <w:r>
        <w:rPr>
          <w:spacing w:val="-12"/>
        </w:rPr>
        <w:t> </w:t>
      </w:r>
      <w:r>
        <w:rPr/>
        <w:t>efecto cada Ayuntamiento formará, conservará y llevará conforme a lo que establezca el correspondiente reglamento municipal. Contendrá cuando menos los datos del propietario, la ubicación y superficie del predio, el uso de suelo y la dimensión de la construcción existente.</w:t>
      </w:r>
    </w:p>
    <w:p>
      <w:pPr>
        <w:pStyle w:val="BodyText"/>
      </w:pPr>
    </w:p>
    <w:p>
      <w:pPr>
        <w:pStyle w:val="BodyText"/>
        <w:ind w:left="262" w:right="278"/>
        <w:jc w:val="both"/>
      </w:pPr>
      <w:r>
        <w:rPr>
          <w:rFonts w:ascii="Arial" w:hAnsi="Arial"/>
          <w:b/>
        </w:rPr>
        <w:t>ARTÍCULO</w:t>
      </w:r>
      <w:r>
        <w:rPr>
          <w:rFonts w:ascii="Arial" w:hAnsi="Arial"/>
          <w:b/>
          <w:spacing w:val="-2"/>
        </w:rPr>
        <w:t> </w:t>
      </w:r>
      <w:r>
        <w:rPr>
          <w:rFonts w:ascii="Arial" w:hAnsi="Arial"/>
          <w:b/>
        </w:rPr>
        <w:t>127.</w:t>
      </w:r>
      <w:r>
        <w:rPr>
          <w:rFonts w:ascii="Arial" w:hAnsi="Arial"/>
          <w:b/>
          <w:spacing w:val="-2"/>
        </w:rPr>
        <w:t> </w:t>
      </w:r>
      <w:r>
        <w:rPr/>
        <w:t>La</w:t>
      </w:r>
      <w:r>
        <w:rPr>
          <w:spacing w:val="-3"/>
        </w:rPr>
        <w:t> </w:t>
      </w:r>
      <w:r>
        <w:rPr/>
        <w:t>estrategia</w:t>
      </w:r>
      <w:r>
        <w:rPr>
          <w:spacing w:val="-3"/>
        </w:rPr>
        <w:t> </w:t>
      </w:r>
      <w:r>
        <w:rPr/>
        <w:t>de</w:t>
      </w:r>
      <w:r>
        <w:rPr>
          <w:spacing w:val="-3"/>
        </w:rPr>
        <w:t> </w:t>
      </w:r>
      <w:r>
        <w:rPr/>
        <w:t>zonificación</w:t>
      </w:r>
      <w:r>
        <w:rPr>
          <w:spacing w:val="-3"/>
        </w:rPr>
        <w:t> </w:t>
      </w:r>
      <w:r>
        <w:rPr/>
        <w:t>secundaria</w:t>
      </w:r>
      <w:r>
        <w:rPr>
          <w:spacing w:val="-4"/>
        </w:rPr>
        <w:t> </w:t>
      </w:r>
      <w:r>
        <w:rPr/>
        <w:t>y</w:t>
      </w:r>
      <w:r>
        <w:rPr>
          <w:spacing w:val="-2"/>
        </w:rPr>
        <w:t> </w:t>
      </w:r>
      <w:r>
        <w:rPr/>
        <w:t>sus</w:t>
      </w:r>
      <w:r>
        <w:rPr>
          <w:spacing w:val="-2"/>
        </w:rPr>
        <w:t> </w:t>
      </w:r>
      <w:r>
        <w:rPr/>
        <w:t>aspectos</w:t>
      </w:r>
      <w:r>
        <w:rPr>
          <w:spacing w:val="-2"/>
        </w:rPr>
        <w:t> </w:t>
      </w:r>
      <w:r>
        <w:rPr/>
        <w:t>normativos</w:t>
      </w:r>
      <w:r>
        <w:rPr>
          <w:spacing w:val="-2"/>
        </w:rPr>
        <w:t> </w:t>
      </w:r>
      <w:r>
        <w:rPr/>
        <w:t>deberán</w:t>
      </w:r>
      <w:r>
        <w:rPr>
          <w:spacing w:val="-4"/>
        </w:rPr>
        <w:t> </w:t>
      </w:r>
      <w:r>
        <w:rPr/>
        <w:t>estar fundamentados en un análisis previo del asentamiento humano objeto del programa, mediante el cual</w:t>
      </w:r>
      <w:r>
        <w:rPr>
          <w:spacing w:val="-14"/>
        </w:rPr>
        <w:t> </w:t>
      </w:r>
      <w:r>
        <w:rPr/>
        <w:t>se</w:t>
      </w:r>
      <w:r>
        <w:rPr>
          <w:spacing w:val="-14"/>
        </w:rPr>
        <w:t> </w:t>
      </w:r>
      <w:r>
        <w:rPr/>
        <w:t>identifique</w:t>
      </w:r>
      <w:r>
        <w:rPr>
          <w:spacing w:val="-14"/>
        </w:rPr>
        <w:t> </w:t>
      </w:r>
      <w:r>
        <w:rPr/>
        <w:t>la</w:t>
      </w:r>
      <w:r>
        <w:rPr>
          <w:spacing w:val="-14"/>
        </w:rPr>
        <w:t> </w:t>
      </w:r>
      <w:r>
        <w:rPr/>
        <w:t>forma</w:t>
      </w:r>
      <w:r>
        <w:rPr>
          <w:spacing w:val="-14"/>
        </w:rPr>
        <w:t> </w:t>
      </w:r>
      <w:r>
        <w:rPr/>
        <w:t>actual</w:t>
      </w:r>
      <w:r>
        <w:rPr>
          <w:spacing w:val="-14"/>
        </w:rPr>
        <w:t> </w:t>
      </w:r>
      <w:r>
        <w:rPr/>
        <w:t>de</w:t>
      </w:r>
      <w:r>
        <w:rPr>
          <w:spacing w:val="-14"/>
        </w:rPr>
        <w:t> </w:t>
      </w:r>
      <w:r>
        <w:rPr/>
        <w:t>utilización</w:t>
      </w:r>
      <w:r>
        <w:rPr>
          <w:spacing w:val="-14"/>
        </w:rPr>
        <w:t> </w:t>
      </w:r>
      <w:r>
        <w:rPr/>
        <w:t>del</w:t>
      </w:r>
      <w:r>
        <w:rPr>
          <w:spacing w:val="-14"/>
        </w:rPr>
        <w:t> </w:t>
      </w:r>
      <w:r>
        <w:rPr/>
        <w:t>suelo,</w:t>
      </w:r>
      <w:r>
        <w:rPr>
          <w:spacing w:val="-13"/>
        </w:rPr>
        <w:t> </w:t>
      </w:r>
      <w:r>
        <w:rPr/>
        <w:t>considerando</w:t>
      </w:r>
      <w:r>
        <w:rPr>
          <w:spacing w:val="-14"/>
        </w:rPr>
        <w:t> </w:t>
      </w:r>
      <w:r>
        <w:rPr/>
        <w:t>el</w:t>
      </w:r>
      <w:r>
        <w:rPr>
          <w:spacing w:val="-14"/>
        </w:rPr>
        <w:t> </w:t>
      </w:r>
      <w:r>
        <w:rPr/>
        <w:t>uso,</w:t>
      </w:r>
      <w:r>
        <w:rPr>
          <w:spacing w:val="-14"/>
        </w:rPr>
        <w:t> </w:t>
      </w:r>
      <w:r>
        <w:rPr/>
        <w:t>densidad</w:t>
      </w:r>
      <w:r>
        <w:rPr>
          <w:spacing w:val="-14"/>
        </w:rPr>
        <w:t> </w:t>
      </w:r>
      <w:r>
        <w:rPr/>
        <w:t>e</w:t>
      </w:r>
      <w:r>
        <w:rPr>
          <w:spacing w:val="-14"/>
        </w:rPr>
        <w:t> </w:t>
      </w:r>
      <w:r>
        <w:rPr/>
        <w:t>intensidad tanto para los usos habitacionales, como para los no habitacionales; a efecto de definir una estrategia</w:t>
      </w:r>
      <w:r>
        <w:rPr>
          <w:spacing w:val="-4"/>
        </w:rPr>
        <w:t> </w:t>
      </w:r>
      <w:r>
        <w:rPr/>
        <w:t>acorde</w:t>
      </w:r>
      <w:r>
        <w:rPr>
          <w:spacing w:val="-4"/>
        </w:rPr>
        <w:t> </w:t>
      </w:r>
      <w:r>
        <w:rPr/>
        <w:t>a</w:t>
      </w:r>
      <w:r>
        <w:rPr>
          <w:spacing w:val="-2"/>
        </w:rPr>
        <w:t> </w:t>
      </w:r>
      <w:r>
        <w:rPr/>
        <w:t>las</w:t>
      </w:r>
      <w:r>
        <w:rPr>
          <w:spacing w:val="-3"/>
        </w:rPr>
        <w:t> </w:t>
      </w:r>
      <w:r>
        <w:rPr/>
        <w:t>costumbres,</w:t>
      </w:r>
      <w:r>
        <w:rPr>
          <w:spacing w:val="-4"/>
        </w:rPr>
        <w:t> </w:t>
      </w:r>
      <w:r>
        <w:rPr/>
        <w:t>características</w:t>
      </w:r>
      <w:r>
        <w:rPr>
          <w:spacing w:val="-3"/>
        </w:rPr>
        <w:t> </w:t>
      </w:r>
      <w:r>
        <w:rPr/>
        <w:t>y</w:t>
      </w:r>
      <w:r>
        <w:rPr>
          <w:spacing w:val="-3"/>
        </w:rPr>
        <w:t> </w:t>
      </w:r>
      <w:r>
        <w:rPr/>
        <w:t>requerimientos</w:t>
      </w:r>
      <w:r>
        <w:rPr>
          <w:spacing w:val="-3"/>
        </w:rPr>
        <w:t> </w:t>
      </w:r>
      <w:r>
        <w:rPr/>
        <w:t>particulares de</w:t>
      </w:r>
      <w:r>
        <w:rPr>
          <w:spacing w:val="-4"/>
        </w:rPr>
        <w:t> </w:t>
      </w:r>
      <w:r>
        <w:rPr/>
        <w:t>cada</w:t>
      </w:r>
      <w:r>
        <w:rPr>
          <w:spacing w:val="-4"/>
        </w:rPr>
        <w:t> </w:t>
      </w:r>
      <w:r>
        <w:rPr/>
        <w:t>localidad.</w:t>
      </w:r>
    </w:p>
    <w:p>
      <w:pPr>
        <w:pStyle w:val="BodyText"/>
      </w:pPr>
    </w:p>
    <w:p>
      <w:pPr>
        <w:pStyle w:val="BodyText"/>
        <w:ind w:left="262" w:right="278"/>
        <w:jc w:val="both"/>
      </w:pPr>
      <w:r>
        <w:rPr>
          <w:rFonts w:ascii="Arial" w:hAnsi="Arial"/>
          <w:b/>
        </w:rPr>
        <w:t>ARTICULO</w:t>
      </w:r>
      <w:r>
        <w:rPr>
          <w:rFonts w:ascii="Arial" w:hAnsi="Arial"/>
          <w:b/>
          <w:spacing w:val="-6"/>
        </w:rPr>
        <w:t> </w:t>
      </w:r>
      <w:r>
        <w:rPr>
          <w:rFonts w:ascii="Arial" w:hAnsi="Arial"/>
          <w:b/>
        </w:rPr>
        <w:t>128.</w:t>
      </w:r>
      <w:r>
        <w:rPr>
          <w:rFonts w:ascii="Arial" w:hAnsi="Arial"/>
          <w:b/>
          <w:spacing w:val="-5"/>
        </w:rPr>
        <w:t> </w:t>
      </w:r>
      <w:r>
        <w:rPr/>
        <w:t>La</w:t>
      </w:r>
      <w:r>
        <w:rPr>
          <w:spacing w:val="-8"/>
        </w:rPr>
        <w:t> </w:t>
      </w:r>
      <w:r>
        <w:rPr/>
        <w:t>zonificación</w:t>
      </w:r>
      <w:r>
        <w:rPr>
          <w:spacing w:val="-8"/>
        </w:rPr>
        <w:t> </w:t>
      </w:r>
      <w:r>
        <w:rPr/>
        <w:t>secundaria</w:t>
      </w:r>
      <w:r>
        <w:rPr>
          <w:spacing w:val="-8"/>
        </w:rPr>
        <w:t> </w:t>
      </w:r>
      <w:r>
        <w:rPr/>
        <w:t>se</w:t>
      </w:r>
      <w:r>
        <w:rPr>
          <w:spacing w:val="-8"/>
        </w:rPr>
        <w:t> </w:t>
      </w:r>
      <w:r>
        <w:rPr/>
        <w:t>determinara</w:t>
      </w:r>
      <w:r>
        <w:rPr>
          <w:spacing w:val="-8"/>
        </w:rPr>
        <w:t> </w:t>
      </w:r>
      <w:r>
        <w:rPr/>
        <w:t>en</w:t>
      </w:r>
      <w:r>
        <w:rPr>
          <w:spacing w:val="-8"/>
        </w:rPr>
        <w:t> </w:t>
      </w:r>
      <w:r>
        <w:rPr/>
        <w:t>los</w:t>
      </w:r>
      <w:r>
        <w:rPr>
          <w:spacing w:val="-7"/>
        </w:rPr>
        <w:t> </w:t>
      </w:r>
      <w:r>
        <w:rPr/>
        <w:t>Programas</w:t>
      </w:r>
      <w:r>
        <w:rPr>
          <w:spacing w:val="-7"/>
        </w:rPr>
        <w:t> </w:t>
      </w:r>
      <w:r>
        <w:rPr/>
        <w:t>de</w:t>
      </w:r>
      <w:r>
        <w:rPr>
          <w:spacing w:val="-6"/>
        </w:rPr>
        <w:t> </w:t>
      </w:r>
      <w:r>
        <w:rPr/>
        <w:t>Desarrollo</w:t>
      </w:r>
      <w:r>
        <w:rPr>
          <w:spacing w:val="-8"/>
        </w:rPr>
        <w:t> </w:t>
      </w:r>
      <w:r>
        <w:rPr/>
        <w:t>Urbano de</w:t>
      </w:r>
      <w:r>
        <w:rPr>
          <w:spacing w:val="-13"/>
        </w:rPr>
        <w:t> </w:t>
      </w:r>
      <w:r>
        <w:rPr/>
        <w:t>Centros</w:t>
      </w:r>
      <w:r>
        <w:rPr>
          <w:spacing w:val="-11"/>
        </w:rPr>
        <w:t> </w:t>
      </w:r>
      <w:r>
        <w:rPr/>
        <w:t>de</w:t>
      </w:r>
      <w:r>
        <w:rPr>
          <w:spacing w:val="-10"/>
        </w:rPr>
        <w:t> </w:t>
      </w:r>
      <w:r>
        <w:rPr/>
        <w:t>Población,</w:t>
      </w:r>
      <w:r>
        <w:rPr>
          <w:spacing w:val="-10"/>
        </w:rPr>
        <w:t> </w:t>
      </w:r>
      <w:r>
        <w:rPr/>
        <w:t>en</w:t>
      </w:r>
      <w:r>
        <w:rPr>
          <w:spacing w:val="-12"/>
        </w:rPr>
        <w:t> </w:t>
      </w:r>
      <w:r>
        <w:rPr/>
        <w:t>los</w:t>
      </w:r>
      <w:r>
        <w:rPr>
          <w:spacing w:val="-11"/>
        </w:rPr>
        <w:t> </w:t>
      </w:r>
      <w:r>
        <w:rPr/>
        <w:t>Programas</w:t>
      </w:r>
      <w:r>
        <w:rPr>
          <w:spacing w:val="-11"/>
        </w:rPr>
        <w:t> </w:t>
      </w:r>
      <w:r>
        <w:rPr/>
        <w:t>Metropolitanos</w:t>
      </w:r>
      <w:r>
        <w:rPr>
          <w:spacing w:val="-11"/>
        </w:rPr>
        <w:t> </w:t>
      </w:r>
      <w:r>
        <w:rPr/>
        <w:t>y</w:t>
      </w:r>
      <w:r>
        <w:rPr>
          <w:spacing w:val="-11"/>
        </w:rPr>
        <w:t> </w:t>
      </w:r>
      <w:r>
        <w:rPr/>
        <w:t>Zonas</w:t>
      </w:r>
      <w:r>
        <w:rPr>
          <w:spacing w:val="-11"/>
        </w:rPr>
        <w:t> </w:t>
      </w:r>
      <w:r>
        <w:rPr/>
        <w:t>Conurbadas</w:t>
      </w:r>
      <w:r>
        <w:rPr>
          <w:spacing w:val="-9"/>
        </w:rPr>
        <w:t> </w:t>
      </w:r>
      <w:r>
        <w:rPr/>
        <w:t>y</w:t>
      </w:r>
      <w:r>
        <w:rPr>
          <w:spacing w:val="-11"/>
        </w:rPr>
        <w:t> </w:t>
      </w:r>
      <w:r>
        <w:rPr/>
        <w:t>en</w:t>
      </w:r>
      <w:r>
        <w:rPr>
          <w:spacing w:val="-13"/>
        </w:rPr>
        <w:t> </w:t>
      </w:r>
      <w:r>
        <w:rPr/>
        <w:t>los</w:t>
      </w:r>
      <w:r>
        <w:rPr>
          <w:spacing w:val="-11"/>
        </w:rPr>
        <w:t> </w:t>
      </w:r>
      <w:r>
        <w:rPr/>
        <w:t>Programas Parciales</w:t>
      </w:r>
      <w:r>
        <w:rPr>
          <w:spacing w:val="-3"/>
        </w:rPr>
        <w:t> </w:t>
      </w:r>
      <w:r>
        <w:rPr/>
        <w:t>de</w:t>
      </w:r>
      <w:r>
        <w:rPr>
          <w:spacing w:val="-4"/>
        </w:rPr>
        <w:t> </w:t>
      </w:r>
      <w:r>
        <w:rPr/>
        <w:t>Desarrollo</w:t>
      </w:r>
      <w:r>
        <w:rPr>
          <w:spacing w:val="-4"/>
        </w:rPr>
        <w:t> </w:t>
      </w:r>
      <w:r>
        <w:rPr/>
        <w:t>Urbano;</w:t>
      </w:r>
      <w:r>
        <w:rPr>
          <w:spacing w:val="-4"/>
        </w:rPr>
        <w:t> </w:t>
      </w:r>
      <w:r>
        <w:rPr/>
        <w:t>y</w:t>
      </w:r>
      <w:r>
        <w:rPr>
          <w:spacing w:val="-3"/>
        </w:rPr>
        <w:t> </w:t>
      </w:r>
      <w:r>
        <w:rPr/>
        <w:t>comprenderá</w:t>
      </w:r>
      <w:r>
        <w:rPr>
          <w:spacing w:val="-1"/>
        </w:rPr>
        <w:t> </w:t>
      </w:r>
      <w:r>
        <w:rPr/>
        <w:t>la</w:t>
      </w:r>
      <w:r>
        <w:rPr>
          <w:spacing w:val="-4"/>
        </w:rPr>
        <w:t> </w:t>
      </w:r>
      <w:r>
        <w:rPr/>
        <w:t>totalidad</w:t>
      </w:r>
      <w:r>
        <w:rPr>
          <w:spacing w:val="-4"/>
        </w:rPr>
        <w:t> </w:t>
      </w:r>
      <w:r>
        <w:rPr/>
        <w:t>del</w:t>
      </w:r>
      <w:r>
        <w:rPr>
          <w:spacing w:val="-5"/>
        </w:rPr>
        <w:t> </w:t>
      </w:r>
      <w:r>
        <w:rPr/>
        <w:t>territorio</w:t>
      </w:r>
      <w:r>
        <w:rPr>
          <w:spacing w:val="-2"/>
        </w:rPr>
        <w:t> </w:t>
      </w:r>
      <w:r>
        <w:rPr/>
        <w:t>de</w:t>
      </w:r>
      <w:r>
        <w:rPr>
          <w:spacing w:val="-3"/>
        </w:rPr>
        <w:t> </w:t>
      </w:r>
      <w:r>
        <w:rPr/>
        <w:t>aplicación</w:t>
      </w:r>
      <w:r>
        <w:rPr>
          <w:spacing w:val="-3"/>
        </w:rPr>
        <w:t> </w:t>
      </w:r>
      <w:r>
        <w:rPr/>
        <w:t>del</w:t>
      </w:r>
      <w:r>
        <w:rPr>
          <w:spacing w:val="-5"/>
        </w:rPr>
        <w:t> </w:t>
      </w:r>
      <w:r>
        <w:rPr/>
        <w:t>programa al que corresponda, atendiendo a lo siguiente:</w:t>
      </w:r>
    </w:p>
    <w:p>
      <w:pPr>
        <w:pStyle w:val="BodyText"/>
      </w:pPr>
    </w:p>
    <w:p>
      <w:pPr>
        <w:pStyle w:val="ListParagraph"/>
        <w:numPr>
          <w:ilvl w:val="0"/>
          <w:numId w:val="55"/>
        </w:numPr>
        <w:tabs>
          <w:tab w:pos="598" w:val="left" w:leader="none"/>
        </w:tabs>
        <w:spacing w:line="240" w:lineRule="auto" w:before="0" w:after="0"/>
        <w:ind w:left="262" w:right="287" w:firstLine="0"/>
        <w:jc w:val="both"/>
        <w:rPr>
          <w:sz w:val="20"/>
        </w:rPr>
      </w:pPr>
      <w:r>
        <w:rPr>
          <w:sz w:val="20"/>
        </w:rPr>
        <w:t>Los usos y destinos que se asignarán en la zonificación secundaria de los programas de desarrollo urbano para las áreas urbanas y urbanizables son:</w:t>
      </w:r>
    </w:p>
    <w:p>
      <w:pPr>
        <w:pStyle w:val="ListParagraph"/>
        <w:numPr>
          <w:ilvl w:val="1"/>
          <w:numId w:val="55"/>
        </w:numPr>
        <w:tabs>
          <w:tab w:pos="544" w:val="left" w:leader="none"/>
        </w:tabs>
        <w:spacing w:line="240" w:lineRule="auto" w:before="229" w:after="0"/>
        <w:ind w:left="544" w:right="0" w:hanging="282"/>
        <w:jc w:val="both"/>
        <w:rPr>
          <w:sz w:val="20"/>
        </w:rPr>
      </w:pPr>
      <w:r>
        <w:rPr>
          <w:spacing w:val="-2"/>
          <w:sz w:val="20"/>
        </w:rPr>
        <w:t>Habitacionales.</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z w:val="20"/>
        </w:rPr>
        <w:t>Comerciales</w:t>
      </w:r>
      <w:r>
        <w:rPr>
          <w:spacing w:val="-7"/>
          <w:sz w:val="20"/>
        </w:rPr>
        <w:t> </w:t>
      </w:r>
      <w:r>
        <w:rPr>
          <w:sz w:val="20"/>
        </w:rPr>
        <w:t>y</w:t>
      </w:r>
      <w:r>
        <w:rPr>
          <w:spacing w:val="-6"/>
          <w:sz w:val="20"/>
        </w:rPr>
        <w:t> </w:t>
      </w:r>
      <w:r>
        <w:rPr>
          <w:sz w:val="20"/>
        </w:rPr>
        <w:t>de</w:t>
      </w:r>
      <w:r>
        <w:rPr>
          <w:spacing w:val="-7"/>
          <w:sz w:val="20"/>
        </w:rPr>
        <w:t> </w:t>
      </w:r>
      <w:r>
        <w:rPr>
          <w:spacing w:val="-2"/>
          <w:sz w:val="20"/>
        </w:rPr>
        <w:t>servicios.</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pacing w:val="-2"/>
          <w:sz w:val="20"/>
        </w:rPr>
        <w:t>Industriales.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55"/>
        </w:numPr>
        <w:tabs>
          <w:tab w:pos="544" w:val="left" w:leader="none"/>
        </w:tabs>
        <w:spacing w:line="240" w:lineRule="auto" w:before="0" w:after="0"/>
        <w:ind w:left="544" w:right="0" w:hanging="282"/>
        <w:jc w:val="left"/>
        <w:rPr>
          <w:sz w:val="20"/>
        </w:rPr>
      </w:pPr>
      <w:r>
        <w:rPr>
          <w:sz w:val="20"/>
        </w:rPr>
        <w:t>Espacios</w:t>
      </w:r>
      <w:r>
        <w:rPr>
          <w:spacing w:val="-10"/>
          <w:sz w:val="20"/>
        </w:rPr>
        <w:t> </w:t>
      </w:r>
      <w:r>
        <w:rPr>
          <w:spacing w:val="-2"/>
          <w:sz w:val="20"/>
        </w:rPr>
        <w:t>abiertos.</w:t>
      </w:r>
    </w:p>
    <w:p>
      <w:pPr>
        <w:pStyle w:val="BodyText"/>
        <w:spacing w:before="1"/>
      </w:pPr>
    </w:p>
    <w:p>
      <w:pPr>
        <w:pStyle w:val="ListParagraph"/>
        <w:numPr>
          <w:ilvl w:val="1"/>
          <w:numId w:val="55"/>
        </w:numPr>
        <w:tabs>
          <w:tab w:pos="544" w:val="left" w:leader="none"/>
        </w:tabs>
        <w:spacing w:line="240" w:lineRule="auto" w:before="0" w:after="0"/>
        <w:ind w:left="544" w:right="0" w:hanging="282"/>
        <w:jc w:val="left"/>
        <w:rPr>
          <w:sz w:val="20"/>
        </w:rPr>
      </w:pPr>
      <w:r>
        <w:rPr>
          <w:spacing w:val="-2"/>
          <w:sz w:val="20"/>
        </w:rPr>
        <w:t>Infraestructura.</w:t>
      </w:r>
    </w:p>
    <w:p>
      <w:pPr>
        <w:pStyle w:val="ListParagraph"/>
        <w:numPr>
          <w:ilvl w:val="1"/>
          <w:numId w:val="55"/>
        </w:numPr>
        <w:tabs>
          <w:tab w:pos="543" w:val="left" w:leader="none"/>
        </w:tabs>
        <w:spacing w:line="240" w:lineRule="auto" w:before="229" w:after="0"/>
        <w:ind w:left="543" w:right="0" w:hanging="281"/>
        <w:jc w:val="left"/>
        <w:rPr>
          <w:sz w:val="20"/>
        </w:rPr>
      </w:pPr>
      <w:r>
        <w:rPr>
          <w:spacing w:val="-2"/>
          <w:sz w:val="20"/>
        </w:rPr>
        <w:t>Equipamiento.</w:t>
      </w:r>
    </w:p>
    <w:p>
      <w:pPr>
        <w:pStyle w:val="BodyText"/>
      </w:pPr>
    </w:p>
    <w:p>
      <w:pPr>
        <w:pStyle w:val="ListParagraph"/>
        <w:numPr>
          <w:ilvl w:val="1"/>
          <w:numId w:val="55"/>
        </w:numPr>
        <w:tabs>
          <w:tab w:pos="544" w:val="left" w:leader="none"/>
        </w:tabs>
        <w:spacing w:line="240" w:lineRule="auto" w:before="0" w:after="0"/>
        <w:ind w:left="544" w:right="0" w:hanging="282"/>
        <w:jc w:val="left"/>
        <w:rPr>
          <w:sz w:val="20"/>
        </w:rPr>
      </w:pPr>
      <w:r>
        <w:rPr>
          <w:spacing w:val="-2"/>
          <w:sz w:val="20"/>
        </w:rPr>
        <w:t>Turísticos.</w:t>
      </w:r>
    </w:p>
    <w:p>
      <w:pPr>
        <w:pStyle w:val="BodyText"/>
        <w:spacing w:before="1"/>
      </w:pPr>
    </w:p>
    <w:p>
      <w:pPr>
        <w:pStyle w:val="ListParagraph"/>
        <w:numPr>
          <w:ilvl w:val="1"/>
          <w:numId w:val="55"/>
        </w:numPr>
        <w:tabs>
          <w:tab w:pos="544" w:val="left" w:leader="none"/>
        </w:tabs>
        <w:spacing w:line="240" w:lineRule="auto" w:before="0" w:after="0"/>
        <w:ind w:left="544" w:right="0" w:hanging="282"/>
        <w:jc w:val="left"/>
        <w:rPr>
          <w:sz w:val="20"/>
        </w:rPr>
      </w:pPr>
      <w:r>
        <w:rPr>
          <w:spacing w:val="-2"/>
          <w:sz w:val="20"/>
        </w:rPr>
        <w:t>Patrimonio</w:t>
      </w:r>
      <w:r>
        <w:rPr>
          <w:spacing w:val="5"/>
          <w:sz w:val="20"/>
        </w:rPr>
        <w:t> </w:t>
      </w:r>
      <w:r>
        <w:rPr>
          <w:spacing w:val="-2"/>
          <w:sz w:val="20"/>
        </w:rPr>
        <w:t>cultural.</w:t>
      </w:r>
    </w:p>
    <w:p>
      <w:pPr>
        <w:pStyle w:val="ListParagraph"/>
        <w:numPr>
          <w:ilvl w:val="1"/>
          <w:numId w:val="55"/>
        </w:numPr>
        <w:tabs>
          <w:tab w:pos="543" w:val="left" w:leader="none"/>
        </w:tabs>
        <w:spacing w:line="240" w:lineRule="auto" w:before="229" w:after="0"/>
        <w:ind w:left="262" w:right="289" w:firstLine="0"/>
        <w:jc w:val="left"/>
        <w:rPr>
          <w:sz w:val="20"/>
        </w:rPr>
      </w:pPr>
      <w:r>
        <w:rPr>
          <w:sz w:val="20"/>
        </w:rPr>
        <w:t>Los demás que se establezcan en los programas de desarrollo urbano, que sean compatibles con los anteriores y que se justifiquen en el diagnóstico del mismo;</w:t>
      </w:r>
    </w:p>
    <w:p>
      <w:pPr>
        <w:pStyle w:val="BodyText"/>
        <w:spacing w:before="1"/>
      </w:pPr>
    </w:p>
    <w:p>
      <w:pPr>
        <w:pStyle w:val="ListParagraph"/>
        <w:numPr>
          <w:ilvl w:val="0"/>
          <w:numId w:val="55"/>
        </w:numPr>
        <w:tabs>
          <w:tab w:pos="543" w:val="left" w:leader="none"/>
        </w:tabs>
        <w:spacing w:line="240" w:lineRule="auto" w:before="1" w:after="0"/>
        <w:ind w:left="262" w:right="286" w:firstLine="0"/>
        <w:jc w:val="both"/>
        <w:rPr>
          <w:sz w:val="20"/>
        </w:rPr>
      </w:pPr>
      <w:r>
        <w:rPr>
          <w:sz w:val="20"/>
        </w:rPr>
        <w:t>Los usos y destinos que se asignarán en la zonificación secundaria de los programas de desarrollo urbano para las áreas no urbanizables, serán acordes al correspondiente ordenamiento ecológico, y son:</w:t>
      </w:r>
    </w:p>
    <w:p>
      <w:pPr>
        <w:pStyle w:val="ListParagraph"/>
        <w:numPr>
          <w:ilvl w:val="1"/>
          <w:numId w:val="55"/>
        </w:numPr>
        <w:tabs>
          <w:tab w:pos="544" w:val="left" w:leader="none"/>
        </w:tabs>
        <w:spacing w:line="240" w:lineRule="auto" w:before="229" w:after="0"/>
        <w:ind w:left="544" w:right="0" w:hanging="282"/>
        <w:jc w:val="both"/>
        <w:rPr>
          <w:sz w:val="20"/>
        </w:rPr>
      </w:pPr>
      <w:r>
        <w:rPr>
          <w:spacing w:val="-2"/>
          <w:sz w:val="20"/>
        </w:rPr>
        <w:t>Agrícolas.</w:t>
      </w:r>
    </w:p>
    <w:p>
      <w:pPr>
        <w:pStyle w:val="BodyText"/>
      </w:pPr>
    </w:p>
    <w:p>
      <w:pPr>
        <w:pStyle w:val="ListParagraph"/>
        <w:numPr>
          <w:ilvl w:val="1"/>
          <w:numId w:val="55"/>
        </w:numPr>
        <w:tabs>
          <w:tab w:pos="544" w:val="left" w:leader="none"/>
        </w:tabs>
        <w:spacing w:line="240" w:lineRule="auto" w:before="1" w:after="0"/>
        <w:ind w:left="544" w:right="0" w:hanging="282"/>
        <w:jc w:val="both"/>
        <w:rPr>
          <w:sz w:val="20"/>
        </w:rPr>
      </w:pPr>
      <w:r>
        <w:rPr>
          <w:spacing w:val="-2"/>
          <w:sz w:val="20"/>
        </w:rPr>
        <w:t>Pecuarios.</w:t>
      </w:r>
    </w:p>
    <w:p>
      <w:pPr>
        <w:pStyle w:val="ListParagraph"/>
        <w:numPr>
          <w:ilvl w:val="1"/>
          <w:numId w:val="55"/>
        </w:numPr>
        <w:tabs>
          <w:tab w:pos="544" w:val="left" w:leader="none"/>
        </w:tabs>
        <w:spacing w:line="240" w:lineRule="auto" w:before="228" w:after="0"/>
        <w:ind w:left="544" w:right="0" w:hanging="282"/>
        <w:jc w:val="both"/>
        <w:rPr>
          <w:sz w:val="20"/>
        </w:rPr>
      </w:pPr>
      <w:r>
        <w:rPr>
          <w:spacing w:val="-2"/>
          <w:sz w:val="20"/>
        </w:rPr>
        <w:t>Forestal.</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pacing w:val="-2"/>
          <w:sz w:val="20"/>
        </w:rPr>
        <w:t>Acuíferos.</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pacing w:val="-2"/>
          <w:sz w:val="20"/>
        </w:rPr>
        <w:t>Patrimonio</w:t>
      </w:r>
      <w:r>
        <w:rPr>
          <w:spacing w:val="5"/>
          <w:sz w:val="20"/>
        </w:rPr>
        <w:t> </w:t>
      </w:r>
      <w:r>
        <w:rPr>
          <w:spacing w:val="-2"/>
          <w:sz w:val="20"/>
        </w:rPr>
        <w:t>natural.</w:t>
      </w:r>
    </w:p>
    <w:p>
      <w:pPr>
        <w:pStyle w:val="ListParagraph"/>
        <w:numPr>
          <w:ilvl w:val="1"/>
          <w:numId w:val="55"/>
        </w:numPr>
        <w:tabs>
          <w:tab w:pos="543" w:val="left" w:leader="none"/>
        </w:tabs>
        <w:spacing w:line="240" w:lineRule="auto" w:before="229" w:after="0"/>
        <w:ind w:left="543" w:right="0" w:hanging="281"/>
        <w:jc w:val="both"/>
        <w:rPr>
          <w:sz w:val="20"/>
        </w:rPr>
      </w:pPr>
      <w:r>
        <w:rPr>
          <w:sz w:val="20"/>
        </w:rPr>
        <w:t>Protegido</w:t>
      </w:r>
      <w:r>
        <w:rPr>
          <w:spacing w:val="-9"/>
          <w:sz w:val="20"/>
        </w:rPr>
        <w:t> </w:t>
      </w:r>
      <w:r>
        <w:rPr>
          <w:sz w:val="20"/>
        </w:rPr>
        <w:t>para</w:t>
      </w:r>
      <w:r>
        <w:rPr>
          <w:spacing w:val="-8"/>
          <w:sz w:val="20"/>
        </w:rPr>
        <w:t> </w:t>
      </w:r>
      <w:r>
        <w:rPr>
          <w:sz w:val="20"/>
        </w:rPr>
        <w:t>funciones</w:t>
      </w:r>
      <w:r>
        <w:rPr>
          <w:spacing w:val="-8"/>
          <w:sz w:val="20"/>
        </w:rPr>
        <w:t> </w:t>
      </w:r>
      <w:r>
        <w:rPr>
          <w:sz w:val="20"/>
        </w:rPr>
        <w:t>ambientales</w:t>
      </w:r>
      <w:r>
        <w:rPr>
          <w:spacing w:val="-6"/>
          <w:sz w:val="20"/>
        </w:rPr>
        <w:t> </w:t>
      </w:r>
      <w:r>
        <w:rPr>
          <w:sz w:val="20"/>
        </w:rPr>
        <w:t>o</w:t>
      </w:r>
      <w:r>
        <w:rPr>
          <w:spacing w:val="-8"/>
          <w:sz w:val="20"/>
        </w:rPr>
        <w:t> </w:t>
      </w:r>
      <w:r>
        <w:rPr>
          <w:sz w:val="20"/>
        </w:rPr>
        <w:t>de</w:t>
      </w:r>
      <w:r>
        <w:rPr>
          <w:spacing w:val="-7"/>
          <w:sz w:val="20"/>
        </w:rPr>
        <w:t> </w:t>
      </w:r>
      <w:r>
        <w:rPr>
          <w:sz w:val="20"/>
        </w:rPr>
        <w:t>recarga</w:t>
      </w:r>
      <w:r>
        <w:rPr>
          <w:spacing w:val="-7"/>
          <w:sz w:val="20"/>
        </w:rPr>
        <w:t> </w:t>
      </w:r>
      <w:r>
        <w:rPr>
          <w:sz w:val="20"/>
        </w:rPr>
        <w:t>de</w:t>
      </w:r>
      <w:r>
        <w:rPr>
          <w:spacing w:val="-7"/>
          <w:sz w:val="20"/>
        </w:rPr>
        <w:t> </w:t>
      </w:r>
      <w:r>
        <w:rPr>
          <w:spacing w:val="-2"/>
          <w:sz w:val="20"/>
        </w:rPr>
        <w:t>agua.</w:t>
      </w:r>
    </w:p>
    <w:p>
      <w:pPr>
        <w:pStyle w:val="BodyText"/>
      </w:pPr>
    </w:p>
    <w:p>
      <w:pPr>
        <w:pStyle w:val="ListParagraph"/>
        <w:numPr>
          <w:ilvl w:val="1"/>
          <w:numId w:val="55"/>
        </w:numPr>
        <w:tabs>
          <w:tab w:pos="544" w:val="left" w:leader="none"/>
        </w:tabs>
        <w:spacing w:line="240" w:lineRule="auto" w:before="0" w:after="0"/>
        <w:ind w:left="544" w:right="0" w:hanging="282"/>
        <w:jc w:val="both"/>
        <w:rPr>
          <w:sz w:val="20"/>
        </w:rPr>
      </w:pPr>
      <w:r>
        <w:rPr>
          <w:sz w:val="20"/>
        </w:rPr>
        <w:t>Protección,</w:t>
      </w:r>
      <w:r>
        <w:rPr>
          <w:spacing w:val="-8"/>
          <w:sz w:val="20"/>
        </w:rPr>
        <w:t> </w:t>
      </w:r>
      <w:r>
        <w:rPr>
          <w:sz w:val="20"/>
        </w:rPr>
        <w:t>restauración</w:t>
      </w:r>
      <w:r>
        <w:rPr>
          <w:spacing w:val="-8"/>
          <w:sz w:val="20"/>
        </w:rPr>
        <w:t> </w:t>
      </w:r>
      <w:r>
        <w:rPr>
          <w:sz w:val="20"/>
        </w:rPr>
        <w:t>o</w:t>
      </w:r>
      <w:r>
        <w:rPr>
          <w:spacing w:val="-7"/>
          <w:sz w:val="20"/>
        </w:rPr>
        <w:t> </w:t>
      </w:r>
      <w:r>
        <w:rPr>
          <w:sz w:val="20"/>
        </w:rPr>
        <w:t>preservación</w:t>
      </w:r>
      <w:r>
        <w:rPr>
          <w:spacing w:val="-7"/>
          <w:sz w:val="20"/>
        </w:rPr>
        <w:t> </w:t>
      </w:r>
      <w:r>
        <w:rPr>
          <w:sz w:val="20"/>
        </w:rPr>
        <w:t>de</w:t>
      </w:r>
      <w:r>
        <w:rPr>
          <w:spacing w:val="-7"/>
          <w:sz w:val="20"/>
        </w:rPr>
        <w:t> </w:t>
      </w:r>
      <w:r>
        <w:rPr>
          <w:sz w:val="20"/>
        </w:rPr>
        <w:t>la</w:t>
      </w:r>
      <w:r>
        <w:rPr>
          <w:spacing w:val="-8"/>
          <w:sz w:val="20"/>
        </w:rPr>
        <w:t> </w:t>
      </w:r>
      <w:r>
        <w:rPr>
          <w:sz w:val="20"/>
        </w:rPr>
        <w:t>vida</w:t>
      </w:r>
      <w:r>
        <w:rPr>
          <w:spacing w:val="-9"/>
          <w:sz w:val="20"/>
        </w:rPr>
        <w:t> </w:t>
      </w:r>
      <w:r>
        <w:rPr>
          <w:spacing w:val="-2"/>
          <w:sz w:val="20"/>
        </w:rPr>
        <w:t>silvestre.</w:t>
      </w:r>
    </w:p>
    <w:p>
      <w:pPr>
        <w:pStyle w:val="BodyText"/>
        <w:spacing w:before="1"/>
      </w:pPr>
    </w:p>
    <w:p>
      <w:pPr>
        <w:pStyle w:val="ListParagraph"/>
        <w:numPr>
          <w:ilvl w:val="1"/>
          <w:numId w:val="55"/>
        </w:numPr>
        <w:tabs>
          <w:tab w:pos="544" w:val="left" w:leader="none"/>
        </w:tabs>
        <w:spacing w:line="240" w:lineRule="auto" w:before="0" w:after="0"/>
        <w:ind w:left="262" w:right="289" w:firstLine="0"/>
        <w:jc w:val="both"/>
        <w:rPr>
          <w:sz w:val="20"/>
        </w:rPr>
      </w:pPr>
      <w:r>
        <w:rPr>
          <w:sz w:val="20"/>
        </w:rPr>
        <w:t>Los demás que se establezcan en los programas de desarrollo urbano, que sean compatibles con los anteriores y que se justifiquen en el diagnóstico del mismo;</w:t>
      </w:r>
    </w:p>
    <w:p>
      <w:pPr>
        <w:pStyle w:val="ListParagraph"/>
        <w:numPr>
          <w:ilvl w:val="0"/>
          <w:numId w:val="55"/>
        </w:numPr>
        <w:tabs>
          <w:tab w:pos="597" w:val="left" w:leader="none"/>
        </w:tabs>
        <w:spacing w:line="240" w:lineRule="auto" w:before="229" w:after="0"/>
        <w:ind w:left="262" w:right="287" w:firstLine="0"/>
        <w:jc w:val="both"/>
        <w:rPr>
          <w:sz w:val="20"/>
        </w:rPr>
      </w:pPr>
      <w:r>
        <w:rPr>
          <w:sz w:val="20"/>
        </w:rPr>
        <w:t>Los aspectos normativos y condiciones que se establezcan para las zonas y usos del suelo, </w:t>
      </w:r>
      <w:r>
        <w:rPr>
          <w:spacing w:val="-2"/>
          <w:sz w:val="20"/>
        </w:rPr>
        <w:t>señalando:</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z w:val="20"/>
        </w:rPr>
        <w:t>Los</w:t>
      </w:r>
      <w:r>
        <w:rPr>
          <w:spacing w:val="-7"/>
          <w:sz w:val="20"/>
        </w:rPr>
        <w:t> </w:t>
      </w:r>
      <w:r>
        <w:rPr>
          <w:sz w:val="20"/>
        </w:rPr>
        <w:t>usos</w:t>
      </w:r>
      <w:r>
        <w:rPr>
          <w:spacing w:val="-7"/>
          <w:sz w:val="20"/>
        </w:rPr>
        <w:t> </w:t>
      </w:r>
      <w:r>
        <w:rPr>
          <w:sz w:val="20"/>
        </w:rPr>
        <w:t>y</w:t>
      </w:r>
      <w:r>
        <w:rPr>
          <w:spacing w:val="-7"/>
          <w:sz w:val="20"/>
        </w:rPr>
        <w:t> </w:t>
      </w:r>
      <w:r>
        <w:rPr>
          <w:sz w:val="20"/>
        </w:rPr>
        <w:t>destinos</w:t>
      </w:r>
      <w:r>
        <w:rPr>
          <w:spacing w:val="-7"/>
          <w:sz w:val="20"/>
        </w:rPr>
        <w:t> </w:t>
      </w:r>
      <w:r>
        <w:rPr>
          <w:sz w:val="20"/>
        </w:rPr>
        <w:t>permitidos,</w:t>
      </w:r>
      <w:r>
        <w:rPr>
          <w:spacing w:val="-7"/>
          <w:sz w:val="20"/>
        </w:rPr>
        <w:t> </w:t>
      </w:r>
      <w:r>
        <w:rPr>
          <w:sz w:val="20"/>
        </w:rPr>
        <w:t>prohibidos</w:t>
      </w:r>
      <w:r>
        <w:rPr>
          <w:spacing w:val="-7"/>
          <w:sz w:val="20"/>
        </w:rPr>
        <w:t> </w:t>
      </w:r>
      <w:r>
        <w:rPr>
          <w:sz w:val="20"/>
        </w:rPr>
        <w:t>o</w:t>
      </w:r>
      <w:r>
        <w:rPr>
          <w:spacing w:val="-9"/>
          <w:sz w:val="20"/>
        </w:rPr>
        <w:t> </w:t>
      </w:r>
      <w:r>
        <w:rPr>
          <w:spacing w:val="-2"/>
          <w:sz w:val="20"/>
        </w:rPr>
        <w:t>condicionados.</w:t>
      </w:r>
    </w:p>
    <w:p>
      <w:pPr>
        <w:pStyle w:val="ListParagraph"/>
        <w:numPr>
          <w:ilvl w:val="1"/>
          <w:numId w:val="55"/>
        </w:numPr>
        <w:tabs>
          <w:tab w:pos="544" w:val="left" w:leader="none"/>
        </w:tabs>
        <w:spacing w:line="240" w:lineRule="auto" w:before="229" w:after="0"/>
        <w:ind w:left="544" w:right="0" w:hanging="282"/>
        <w:jc w:val="both"/>
        <w:rPr>
          <w:sz w:val="20"/>
        </w:rPr>
      </w:pPr>
      <w:r>
        <w:rPr>
          <w:sz w:val="20"/>
        </w:rPr>
        <w:t>Las</w:t>
      </w:r>
      <w:r>
        <w:rPr>
          <w:spacing w:val="-7"/>
          <w:sz w:val="20"/>
        </w:rPr>
        <w:t> </w:t>
      </w:r>
      <w:r>
        <w:rPr>
          <w:sz w:val="20"/>
        </w:rPr>
        <w:t>disposiciones</w:t>
      </w:r>
      <w:r>
        <w:rPr>
          <w:spacing w:val="-7"/>
          <w:sz w:val="20"/>
        </w:rPr>
        <w:t> </w:t>
      </w:r>
      <w:r>
        <w:rPr>
          <w:sz w:val="20"/>
        </w:rPr>
        <w:t>aplicables</w:t>
      </w:r>
      <w:r>
        <w:rPr>
          <w:spacing w:val="-6"/>
          <w:sz w:val="20"/>
        </w:rPr>
        <w:t> </w:t>
      </w:r>
      <w:r>
        <w:rPr>
          <w:sz w:val="20"/>
        </w:rPr>
        <w:t>a</w:t>
      </w:r>
      <w:r>
        <w:rPr>
          <w:spacing w:val="-9"/>
          <w:sz w:val="20"/>
        </w:rPr>
        <w:t> </w:t>
      </w:r>
      <w:r>
        <w:rPr>
          <w:sz w:val="20"/>
        </w:rPr>
        <w:t>los</w:t>
      </w:r>
      <w:r>
        <w:rPr>
          <w:spacing w:val="-6"/>
          <w:sz w:val="20"/>
        </w:rPr>
        <w:t> </w:t>
      </w:r>
      <w:r>
        <w:rPr>
          <w:sz w:val="20"/>
        </w:rPr>
        <w:t>usos</w:t>
      </w:r>
      <w:r>
        <w:rPr>
          <w:spacing w:val="-7"/>
          <w:sz w:val="20"/>
        </w:rPr>
        <w:t> </w:t>
      </w:r>
      <w:r>
        <w:rPr>
          <w:sz w:val="20"/>
        </w:rPr>
        <w:t>y</w:t>
      </w:r>
      <w:r>
        <w:rPr>
          <w:spacing w:val="-6"/>
          <w:sz w:val="20"/>
        </w:rPr>
        <w:t> </w:t>
      </w:r>
      <w:r>
        <w:rPr>
          <w:sz w:val="20"/>
        </w:rPr>
        <w:t>destinos</w:t>
      </w:r>
      <w:r>
        <w:rPr>
          <w:spacing w:val="-7"/>
          <w:sz w:val="20"/>
        </w:rPr>
        <w:t> </w:t>
      </w:r>
      <w:r>
        <w:rPr>
          <w:spacing w:val="-2"/>
          <w:sz w:val="20"/>
        </w:rPr>
        <w:t>condicionados.</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z w:val="20"/>
        </w:rPr>
        <w:t>La</w:t>
      </w:r>
      <w:r>
        <w:rPr>
          <w:spacing w:val="-8"/>
          <w:sz w:val="20"/>
        </w:rPr>
        <w:t> </w:t>
      </w:r>
      <w:r>
        <w:rPr>
          <w:sz w:val="20"/>
        </w:rPr>
        <w:t>compatibilidad</w:t>
      </w:r>
      <w:r>
        <w:rPr>
          <w:spacing w:val="-7"/>
          <w:sz w:val="20"/>
        </w:rPr>
        <w:t> </w:t>
      </w:r>
      <w:r>
        <w:rPr>
          <w:sz w:val="20"/>
        </w:rPr>
        <w:t>entre</w:t>
      </w:r>
      <w:r>
        <w:rPr>
          <w:spacing w:val="-7"/>
          <w:sz w:val="20"/>
        </w:rPr>
        <w:t> </w:t>
      </w:r>
      <w:r>
        <w:rPr>
          <w:sz w:val="20"/>
        </w:rPr>
        <w:t>los</w:t>
      </w:r>
      <w:r>
        <w:rPr>
          <w:spacing w:val="-4"/>
          <w:sz w:val="20"/>
        </w:rPr>
        <w:t> </w:t>
      </w:r>
      <w:r>
        <w:rPr>
          <w:sz w:val="20"/>
        </w:rPr>
        <w:t>usos</w:t>
      </w:r>
      <w:r>
        <w:rPr>
          <w:spacing w:val="-6"/>
          <w:sz w:val="20"/>
        </w:rPr>
        <w:t> </w:t>
      </w:r>
      <w:r>
        <w:rPr>
          <w:sz w:val="20"/>
        </w:rPr>
        <w:t>y</w:t>
      </w:r>
      <w:r>
        <w:rPr>
          <w:spacing w:val="-6"/>
          <w:sz w:val="20"/>
        </w:rPr>
        <w:t> </w:t>
      </w:r>
      <w:r>
        <w:rPr>
          <w:sz w:val="20"/>
        </w:rPr>
        <w:t>destinos</w:t>
      </w:r>
      <w:r>
        <w:rPr>
          <w:spacing w:val="-6"/>
          <w:sz w:val="20"/>
        </w:rPr>
        <w:t> </w:t>
      </w:r>
      <w:r>
        <w:rPr>
          <w:spacing w:val="-2"/>
          <w:sz w:val="20"/>
        </w:rPr>
        <w:t>permitidos.</w:t>
      </w:r>
    </w:p>
    <w:p>
      <w:pPr>
        <w:pStyle w:val="BodyText"/>
        <w:spacing w:before="1"/>
      </w:pPr>
    </w:p>
    <w:p>
      <w:pPr>
        <w:pStyle w:val="ListParagraph"/>
        <w:numPr>
          <w:ilvl w:val="1"/>
          <w:numId w:val="55"/>
        </w:numPr>
        <w:tabs>
          <w:tab w:pos="544" w:val="left" w:leader="none"/>
        </w:tabs>
        <w:spacing w:line="240" w:lineRule="auto" w:before="0" w:after="0"/>
        <w:ind w:left="544" w:right="0" w:hanging="282"/>
        <w:jc w:val="both"/>
        <w:rPr>
          <w:sz w:val="20"/>
        </w:rPr>
      </w:pPr>
      <w:r>
        <w:rPr>
          <w:sz w:val="20"/>
        </w:rPr>
        <w:t>Las</w:t>
      </w:r>
      <w:r>
        <w:rPr>
          <w:spacing w:val="-7"/>
          <w:sz w:val="20"/>
        </w:rPr>
        <w:t> </w:t>
      </w:r>
      <w:r>
        <w:rPr>
          <w:sz w:val="20"/>
        </w:rPr>
        <w:t>densidades</w:t>
      </w:r>
      <w:r>
        <w:rPr>
          <w:spacing w:val="-7"/>
          <w:sz w:val="20"/>
        </w:rPr>
        <w:t> </w:t>
      </w:r>
      <w:r>
        <w:rPr>
          <w:sz w:val="20"/>
        </w:rPr>
        <w:t>de</w:t>
      </w:r>
      <w:r>
        <w:rPr>
          <w:spacing w:val="-8"/>
          <w:sz w:val="20"/>
        </w:rPr>
        <w:t> </w:t>
      </w:r>
      <w:r>
        <w:rPr>
          <w:sz w:val="20"/>
        </w:rPr>
        <w:t>población,</w:t>
      </w:r>
      <w:r>
        <w:rPr>
          <w:spacing w:val="-8"/>
          <w:sz w:val="20"/>
        </w:rPr>
        <w:t> </w:t>
      </w:r>
      <w:r>
        <w:rPr>
          <w:sz w:val="20"/>
        </w:rPr>
        <w:t>construcción</w:t>
      </w:r>
      <w:r>
        <w:rPr>
          <w:spacing w:val="-9"/>
          <w:sz w:val="20"/>
        </w:rPr>
        <w:t> </w:t>
      </w:r>
      <w:r>
        <w:rPr>
          <w:sz w:val="20"/>
        </w:rPr>
        <w:t>y</w:t>
      </w:r>
      <w:r>
        <w:rPr>
          <w:spacing w:val="-7"/>
          <w:sz w:val="20"/>
        </w:rPr>
        <w:t> </w:t>
      </w:r>
      <w:r>
        <w:rPr>
          <w:sz w:val="20"/>
        </w:rPr>
        <w:t>ocupación</w:t>
      </w:r>
      <w:r>
        <w:rPr>
          <w:spacing w:val="-9"/>
          <w:sz w:val="20"/>
        </w:rPr>
        <w:t> </w:t>
      </w:r>
      <w:r>
        <w:rPr>
          <w:sz w:val="20"/>
        </w:rPr>
        <w:t>del</w:t>
      </w:r>
      <w:r>
        <w:rPr>
          <w:spacing w:val="-8"/>
          <w:sz w:val="20"/>
        </w:rPr>
        <w:t> </w:t>
      </w:r>
      <w:r>
        <w:rPr>
          <w:spacing w:val="-2"/>
          <w:sz w:val="20"/>
        </w:rPr>
        <w:t>suelo.</w:t>
      </w:r>
    </w:p>
    <w:p>
      <w:pPr>
        <w:pStyle w:val="ListParagraph"/>
        <w:numPr>
          <w:ilvl w:val="1"/>
          <w:numId w:val="55"/>
        </w:numPr>
        <w:tabs>
          <w:tab w:pos="544" w:val="left" w:leader="none"/>
        </w:tabs>
        <w:spacing w:line="240" w:lineRule="auto" w:before="228" w:after="0"/>
        <w:ind w:left="544" w:right="0" w:hanging="282"/>
        <w:jc w:val="both"/>
        <w:rPr>
          <w:sz w:val="20"/>
        </w:rPr>
      </w:pPr>
      <w:r>
        <w:rPr>
          <w:sz w:val="20"/>
        </w:rPr>
        <w:t>La</w:t>
      </w:r>
      <w:r>
        <w:rPr>
          <w:spacing w:val="-9"/>
          <w:sz w:val="20"/>
        </w:rPr>
        <w:t> </w:t>
      </w:r>
      <w:r>
        <w:rPr>
          <w:sz w:val="20"/>
        </w:rPr>
        <w:t>ordenación</w:t>
      </w:r>
      <w:r>
        <w:rPr>
          <w:spacing w:val="-8"/>
          <w:sz w:val="20"/>
        </w:rPr>
        <w:t> </w:t>
      </w:r>
      <w:r>
        <w:rPr>
          <w:sz w:val="20"/>
        </w:rPr>
        <w:t>y</w:t>
      </w:r>
      <w:r>
        <w:rPr>
          <w:spacing w:val="-4"/>
          <w:sz w:val="20"/>
        </w:rPr>
        <w:t> </w:t>
      </w:r>
      <w:r>
        <w:rPr>
          <w:sz w:val="20"/>
        </w:rPr>
        <w:t>planeación</w:t>
      </w:r>
      <w:r>
        <w:rPr>
          <w:spacing w:val="-6"/>
          <w:sz w:val="20"/>
        </w:rPr>
        <w:t> </w:t>
      </w:r>
      <w:r>
        <w:rPr>
          <w:sz w:val="20"/>
        </w:rPr>
        <w:t>de</w:t>
      </w:r>
      <w:r>
        <w:rPr>
          <w:spacing w:val="-6"/>
          <w:sz w:val="20"/>
        </w:rPr>
        <w:t> </w:t>
      </w:r>
      <w:r>
        <w:rPr>
          <w:sz w:val="20"/>
        </w:rPr>
        <w:t>la</w:t>
      </w:r>
      <w:r>
        <w:rPr>
          <w:spacing w:val="-7"/>
          <w:sz w:val="20"/>
        </w:rPr>
        <w:t> </w:t>
      </w:r>
      <w:r>
        <w:rPr>
          <w:sz w:val="20"/>
        </w:rPr>
        <w:t>traza</w:t>
      </w:r>
      <w:r>
        <w:rPr>
          <w:spacing w:val="-6"/>
          <w:sz w:val="20"/>
        </w:rPr>
        <w:t> </w:t>
      </w:r>
      <w:r>
        <w:rPr>
          <w:spacing w:val="-2"/>
          <w:sz w:val="20"/>
        </w:rPr>
        <w:t>urbana.</w:t>
      </w:r>
    </w:p>
    <w:p>
      <w:pPr>
        <w:pStyle w:val="BodyText"/>
        <w:spacing w:before="1"/>
      </w:pPr>
    </w:p>
    <w:p>
      <w:pPr>
        <w:pStyle w:val="ListParagraph"/>
        <w:numPr>
          <w:ilvl w:val="1"/>
          <w:numId w:val="55"/>
        </w:numPr>
        <w:tabs>
          <w:tab w:pos="543" w:val="left" w:leader="none"/>
        </w:tabs>
        <w:spacing w:line="240" w:lineRule="auto" w:before="0" w:after="0"/>
        <w:ind w:left="262" w:right="289" w:firstLine="0"/>
        <w:jc w:val="both"/>
        <w:rPr>
          <w:sz w:val="20"/>
        </w:rPr>
      </w:pPr>
      <w:r>
        <w:rPr>
          <w:sz w:val="20"/>
        </w:rPr>
        <w:t>Las medidas para la protección de los derechos de vía, zonas de restricción de inmuebles de propiedad</w:t>
      </w:r>
      <w:r>
        <w:rPr>
          <w:spacing w:val="40"/>
          <w:sz w:val="20"/>
        </w:rPr>
        <w:t> </w:t>
      </w:r>
      <w:r>
        <w:rPr>
          <w:sz w:val="20"/>
        </w:rPr>
        <w:t>pública</w:t>
      </w:r>
      <w:r>
        <w:rPr>
          <w:spacing w:val="40"/>
          <w:sz w:val="20"/>
        </w:rPr>
        <w:t> </w:t>
      </w:r>
      <w:r>
        <w:rPr>
          <w:sz w:val="20"/>
        </w:rPr>
        <w:t>y</w:t>
      </w:r>
      <w:r>
        <w:rPr>
          <w:spacing w:val="40"/>
          <w:sz w:val="20"/>
        </w:rPr>
        <w:t> </w:t>
      </w:r>
      <w:r>
        <w:rPr>
          <w:sz w:val="20"/>
        </w:rPr>
        <w:t>zonas</w:t>
      </w:r>
      <w:r>
        <w:rPr>
          <w:spacing w:val="40"/>
          <w:sz w:val="20"/>
        </w:rPr>
        <w:t> </w:t>
      </w:r>
      <w:r>
        <w:rPr>
          <w:sz w:val="20"/>
        </w:rPr>
        <w:t>afectadas</w:t>
      </w:r>
      <w:r>
        <w:rPr>
          <w:spacing w:val="40"/>
          <w:sz w:val="20"/>
        </w:rPr>
        <w:t> </w:t>
      </w:r>
      <w:r>
        <w:rPr>
          <w:sz w:val="20"/>
        </w:rPr>
        <w:t>por</w:t>
      </w:r>
      <w:r>
        <w:rPr>
          <w:spacing w:val="40"/>
          <w:sz w:val="20"/>
        </w:rPr>
        <w:t> </w:t>
      </w:r>
      <w:r>
        <w:rPr>
          <w:sz w:val="20"/>
        </w:rPr>
        <w:t>fallas</w:t>
      </w:r>
      <w:r>
        <w:rPr>
          <w:spacing w:val="40"/>
          <w:sz w:val="20"/>
        </w:rPr>
        <w:t> </w:t>
      </w:r>
      <w:r>
        <w:rPr>
          <w:sz w:val="20"/>
        </w:rPr>
        <w:t>geológicas.</w:t>
      </w:r>
      <w:r>
        <w:rPr>
          <w:spacing w:val="40"/>
          <w:sz w:val="20"/>
        </w:rPr>
        <w:t> </w:t>
      </w:r>
      <w:r>
        <w:rPr>
          <w:sz w:val="20"/>
        </w:rPr>
        <w:t>En</w:t>
      </w:r>
      <w:r>
        <w:rPr>
          <w:spacing w:val="40"/>
          <w:sz w:val="20"/>
        </w:rPr>
        <w:t> </w:t>
      </w:r>
      <w:r>
        <w:rPr>
          <w:sz w:val="20"/>
        </w:rPr>
        <w:t>donde</w:t>
      </w:r>
      <w:r>
        <w:rPr>
          <w:spacing w:val="40"/>
          <w:sz w:val="20"/>
        </w:rPr>
        <w:t> </w:t>
      </w:r>
      <w:r>
        <w:rPr>
          <w:sz w:val="20"/>
        </w:rPr>
        <w:t>estén</w:t>
      </w:r>
      <w:r>
        <w:rPr>
          <w:spacing w:val="40"/>
          <w:sz w:val="20"/>
        </w:rPr>
        <w:t> </w:t>
      </w:r>
      <w:r>
        <w:rPr>
          <w:sz w:val="20"/>
        </w:rPr>
        <w:t>detectadas</w:t>
      </w:r>
      <w:r>
        <w:rPr>
          <w:spacing w:val="40"/>
          <w:sz w:val="20"/>
        </w:rPr>
        <w:t> </w:t>
      </w:r>
      <w:r>
        <w:rPr>
          <w:sz w:val="20"/>
        </w:rPr>
        <w:t>fallas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geológicas al expedir los usos o destinos</w:t>
      </w:r>
      <w:r>
        <w:rPr>
          <w:spacing w:val="40"/>
        </w:rPr>
        <w:t> </w:t>
      </w:r>
      <w:r>
        <w:rPr/>
        <w:t>del suelo se deben determinar las áreas de restricción para</w:t>
      </w:r>
      <w:r>
        <w:rPr>
          <w:spacing w:val="-9"/>
        </w:rPr>
        <w:t> </w:t>
      </w:r>
      <w:r>
        <w:rPr/>
        <w:t>las</w:t>
      </w:r>
      <w:r>
        <w:rPr>
          <w:spacing w:val="-8"/>
        </w:rPr>
        <w:t> </w:t>
      </w:r>
      <w:r>
        <w:rPr/>
        <w:t>construcciones</w:t>
      </w:r>
      <w:r>
        <w:rPr>
          <w:spacing w:val="-8"/>
        </w:rPr>
        <w:t> </w:t>
      </w:r>
      <w:r>
        <w:rPr/>
        <w:t>atendiendo</w:t>
      </w:r>
      <w:r>
        <w:rPr>
          <w:spacing w:val="-9"/>
        </w:rPr>
        <w:t> </w:t>
      </w:r>
      <w:r>
        <w:rPr/>
        <w:t>a</w:t>
      </w:r>
      <w:r>
        <w:rPr>
          <w:spacing w:val="-9"/>
        </w:rPr>
        <w:t> </w:t>
      </w:r>
      <w:r>
        <w:rPr/>
        <w:t>su</w:t>
      </w:r>
      <w:r>
        <w:rPr>
          <w:spacing w:val="-9"/>
        </w:rPr>
        <w:t> </w:t>
      </w:r>
      <w:r>
        <w:rPr/>
        <w:t>grado</w:t>
      </w:r>
      <w:r>
        <w:rPr>
          <w:spacing w:val="-7"/>
        </w:rPr>
        <w:t> </w:t>
      </w:r>
      <w:r>
        <w:rPr/>
        <w:t>de</w:t>
      </w:r>
      <w:r>
        <w:rPr>
          <w:spacing w:val="-9"/>
        </w:rPr>
        <w:t> </w:t>
      </w:r>
      <w:r>
        <w:rPr/>
        <w:t>peligrosidad</w:t>
      </w:r>
      <w:r>
        <w:rPr>
          <w:spacing w:val="-9"/>
        </w:rPr>
        <w:t> </w:t>
      </w:r>
      <w:r>
        <w:rPr/>
        <w:t>y</w:t>
      </w:r>
      <w:r>
        <w:rPr>
          <w:spacing w:val="-8"/>
        </w:rPr>
        <w:t> </w:t>
      </w:r>
      <w:r>
        <w:rPr/>
        <w:t>riesgo,</w:t>
      </w:r>
      <w:r>
        <w:rPr>
          <w:spacing w:val="-9"/>
        </w:rPr>
        <w:t> </w:t>
      </w:r>
      <w:r>
        <w:rPr/>
        <w:t>con</w:t>
      </w:r>
      <w:r>
        <w:rPr>
          <w:spacing w:val="-9"/>
        </w:rPr>
        <w:t> </w:t>
      </w:r>
      <w:r>
        <w:rPr/>
        <w:t>base</w:t>
      </w:r>
      <w:r>
        <w:rPr>
          <w:spacing w:val="-5"/>
        </w:rPr>
        <w:t> </w:t>
      </w:r>
      <w:r>
        <w:rPr/>
        <w:t>en</w:t>
      </w:r>
      <w:r>
        <w:rPr>
          <w:spacing w:val="-9"/>
        </w:rPr>
        <w:t> </w:t>
      </w:r>
      <w:r>
        <w:rPr/>
        <w:t>lo</w:t>
      </w:r>
      <w:r>
        <w:rPr>
          <w:spacing w:val="-9"/>
        </w:rPr>
        <w:t> </w:t>
      </w:r>
      <w:r>
        <w:rPr/>
        <w:t>determinado en los Altas de Riesgos respectivos.</w:t>
      </w:r>
    </w:p>
    <w:p>
      <w:pPr>
        <w:pStyle w:val="BodyText"/>
        <w:spacing w:before="1"/>
      </w:pPr>
    </w:p>
    <w:p>
      <w:pPr>
        <w:pStyle w:val="ListParagraph"/>
        <w:numPr>
          <w:ilvl w:val="1"/>
          <w:numId w:val="55"/>
        </w:numPr>
        <w:tabs>
          <w:tab w:pos="544" w:val="left" w:leader="none"/>
        </w:tabs>
        <w:spacing w:line="240" w:lineRule="auto" w:before="1" w:after="0"/>
        <w:ind w:left="262" w:right="286" w:firstLine="0"/>
        <w:jc w:val="both"/>
        <w:rPr>
          <w:sz w:val="20"/>
        </w:rPr>
      </w:pPr>
      <w:r>
        <w:rPr>
          <w:sz w:val="20"/>
        </w:rPr>
        <w:t>Las</w:t>
      </w:r>
      <w:r>
        <w:rPr>
          <w:spacing w:val="-13"/>
          <w:sz w:val="20"/>
        </w:rPr>
        <w:t> </w:t>
      </w:r>
      <w:r>
        <w:rPr>
          <w:sz w:val="20"/>
        </w:rPr>
        <w:t>zonas</w:t>
      </w:r>
      <w:r>
        <w:rPr>
          <w:spacing w:val="-14"/>
          <w:sz w:val="20"/>
        </w:rPr>
        <w:t> </w:t>
      </w:r>
      <w:r>
        <w:rPr>
          <w:sz w:val="20"/>
        </w:rPr>
        <w:t>de</w:t>
      </w:r>
      <w:r>
        <w:rPr>
          <w:spacing w:val="-14"/>
          <w:sz w:val="20"/>
        </w:rPr>
        <w:t> </w:t>
      </w:r>
      <w:r>
        <w:rPr>
          <w:sz w:val="20"/>
        </w:rPr>
        <w:t>desarrollo</w:t>
      </w:r>
      <w:r>
        <w:rPr>
          <w:spacing w:val="-13"/>
          <w:sz w:val="20"/>
        </w:rPr>
        <w:t> </w:t>
      </w:r>
      <w:r>
        <w:rPr>
          <w:sz w:val="20"/>
        </w:rPr>
        <w:t>controlado</w:t>
      </w:r>
      <w:r>
        <w:rPr>
          <w:spacing w:val="-13"/>
          <w:sz w:val="20"/>
        </w:rPr>
        <w:t> </w:t>
      </w:r>
      <w:r>
        <w:rPr>
          <w:sz w:val="20"/>
        </w:rPr>
        <w:t>y</w:t>
      </w:r>
      <w:r>
        <w:rPr>
          <w:spacing w:val="-13"/>
          <w:sz w:val="20"/>
        </w:rPr>
        <w:t> </w:t>
      </w:r>
      <w:r>
        <w:rPr>
          <w:sz w:val="20"/>
        </w:rPr>
        <w:t>de</w:t>
      </w:r>
      <w:r>
        <w:rPr>
          <w:spacing w:val="-14"/>
          <w:sz w:val="20"/>
        </w:rPr>
        <w:t> </w:t>
      </w:r>
      <w:r>
        <w:rPr>
          <w:sz w:val="20"/>
        </w:rPr>
        <w:t>salvaguarda</w:t>
      </w:r>
      <w:r>
        <w:rPr>
          <w:spacing w:val="-12"/>
          <w:sz w:val="20"/>
        </w:rPr>
        <w:t> </w:t>
      </w:r>
      <w:r>
        <w:rPr>
          <w:sz w:val="20"/>
        </w:rPr>
        <w:t>o</w:t>
      </w:r>
      <w:r>
        <w:rPr>
          <w:spacing w:val="-13"/>
          <w:sz w:val="20"/>
        </w:rPr>
        <w:t> </w:t>
      </w:r>
      <w:r>
        <w:rPr>
          <w:sz w:val="20"/>
        </w:rPr>
        <w:t>amortiguamiento,</w:t>
      </w:r>
      <w:r>
        <w:rPr>
          <w:spacing w:val="-12"/>
          <w:sz w:val="20"/>
        </w:rPr>
        <w:t> </w:t>
      </w:r>
      <w:r>
        <w:rPr>
          <w:sz w:val="20"/>
        </w:rPr>
        <w:t>especialmente</w:t>
      </w:r>
      <w:r>
        <w:rPr>
          <w:spacing w:val="-12"/>
          <w:sz w:val="20"/>
        </w:rPr>
        <w:t> </w:t>
      </w:r>
      <w:r>
        <w:rPr>
          <w:sz w:val="20"/>
        </w:rPr>
        <w:t>en</w:t>
      </w:r>
      <w:r>
        <w:rPr>
          <w:spacing w:val="-13"/>
          <w:sz w:val="20"/>
        </w:rPr>
        <w:t> </w:t>
      </w:r>
      <w:r>
        <w:rPr>
          <w:sz w:val="20"/>
        </w:rPr>
        <w:t>áreas e instalaciones en las que se realizan actividades riesgosas o se manejen materiales y residuos </w:t>
      </w:r>
      <w:r>
        <w:rPr>
          <w:spacing w:val="-2"/>
          <w:sz w:val="20"/>
        </w:rPr>
        <w:t>peligrosos.</w:t>
      </w:r>
    </w:p>
    <w:p>
      <w:pPr>
        <w:pStyle w:val="ListParagraph"/>
        <w:numPr>
          <w:ilvl w:val="1"/>
          <w:numId w:val="55"/>
        </w:numPr>
        <w:tabs>
          <w:tab w:pos="544" w:val="left" w:leader="none"/>
        </w:tabs>
        <w:spacing w:line="240" w:lineRule="auto" w:before="229" w:after="0"/>
        <w:ind w:left="262" w:right="285" w:firstLine="0"/>
        <w:jc w:val="both"/>
        <w:rPr>
          <w:sz w:val="20"/>
        </w:rPr>
      </w:pPr>
      <w:r>
        <w:rPr>
          <w:sz w:val="20"/>
        </w:rPr>
        <w:t>Las zonas y usos de suelo establecidos como reservas para la expansión de los centros de </w:t>
      </w:r>
      <w:r>
        <w:rPr>
          <w:spacing w:val="-2"/>
          <w:sz w:val="20"/>
        </w:rPr>
        <w:t>población.</w:t>
      </w:r>
    </w:p>
    <w:p>
      <w:pPr>
        <w:pStyle w:val="ListParagraph"/>
        <w:numPr>
          <w:ilvl w:val="1"/>
          <w:numId w:val="55"/>
        </w:numPr>
        <w:tabs>
          <w:tab w:pos="543" w:val="left" w:leader="none"/>
        </w:tabs>
        <w:spacing w:line="240" w:lineRule="auto" w:before="229" w:after="0"/>
        <w:ind w:left="262" w:right="288" w:firstLine="0"/>
        <w:jc w:val="both"/>
        <w:rPr>
          <w:sz w:val="20"/>
        </w:rPr>
      </w:pPr>
      <w:r>
        <w:rPr>
          <w:sz w:val="20"/>
        </w:rPr>
        <w:t>Las demás disposiciones que de acuerdo con la legislación y demás disposiciones jurídicas aplicables sean procedentes;</w:t>
      </w:r>
    </w:p>
    <w:p>
      <w:pPr>
        <w:pStyle w:val="BodyText"/>
        <w:spacing w:before="1"/>
      </w:pPr>
    </w:p>
    <w:p>
      <w:pPr>
        <w:pStyle w:val="ListParagraph"/>
        <w:numPr>
          <w:ilvl w:val="0"/>
          <w:numId w:val="55"/>
        </w:numPr>
        <w:tabs>
          <w:tab w:pos="688" w:val="left" w:leader="none"/>
        </w:tabs>
        <w:spacing w:line="240" w:lineRule="auto" w:before="1" w:after="0"/>
        <w:ind w:left="262" w:right="285" w:firstLine="0"/>
        <w:jc w:val="both"/>
        <w:rPr>
          <w:sz w:val="20"/>
        </w:rPr>
      </w:pPr>
      <w:r>
        <w:rPr>
          <w:sz w:val="20"/>
        </w:rPr>
        <w:t>En las zonas en que se aplicará la política de conservación se regulará la mezcla de usos del suelo y sus actividades, y</w:t>
      </w:r>
    </w:p>
    <w:p>
      <w:pPr>
        <w:pStyle w:val="ListParagraph"/>
        <w:numPr>
          <w:ilvl w:val="0"/>
          <w:numId w:val="55"/>
        </w:numPr>
        <w:tabs>
          <w:tab w:pos="544" w:val="left" w:leader="none"/>
        </w:tabs>
        <w:spacing w:line="240" w:lineRule="auto" w:before="228" w:after="0"/>
        <w:ind w:left="544" w:right="0" w:hanging="282"/>
        <w:jc w:val="both"/>
        <w:rPr>
          <w:sz w:val="20"/>
        </w:rPr>
      </w:pPr>
      <w:r>
        <w:rPr>
          <w:sz w:val="20"/>
        </w:rPr>
        <w:t>En</w:t>
      </w:r>
      <w:r>
        <w:rPr>
          <w:spacing w:val="-5"/>
          <w:sz w:val="20"/>
        </w:rPr>
        <w:t> </w:t>
      </w:r>
      <w:r>
        <w:rPr>
          <w:sz w:val="20"/>
        </w:rPr>
        <w:t>las</w:t>
      </w:r>
      <w:r>
        <w:rPr>
          <w:spacing w:val="-5"/>
          <w:sz w:val="20"/>
        </w:rPr>
        <w:t> </w:t>
      </w:r>
      <w:r>
        <w:rPr>
          <w:sz w:val="20"/>
        </w:rPr>
        <w:t>zonas</w:t>
      </w:r>
      <w:r>
        <w:rPr>
          <w:spacing w:val="-3"/>
          <w:sz w:val="20"/>
        </w:rPr>
        <w:t> </w:t>
      </w:r>
      <w:r>
        <w:rPr>
          <w:sz w:val="20"/>
        </w:rPr>
        <w:t>que</w:t>
      </w:r>
      <w:r>
        <w:rPr>
          <w:spacing w:val="-5"/>
          <w:sz w:val="20"/>
        </w:rPr>
        <w:t> </w:t>
      </w:r>
      <w:r>
        <w:rPr>
          <w:sz w:val="20"/>
        </w:rPr>
        <w:t>no</w:t>
      </w:r>
      <w:r>
        <w:rPr>
          <w:spacing w:val="-7"/>
          <w:sz w:val="20"/>
        </w:rPr>
        <w:t> </w:t>
      </w:r>
      <w:r>
        <w:rPr>
          <w:sz w:val="20"/>
        </w:rPr>
        <w:t>se</w:t>
      </w:r>
      <w:r>
        <w:rPr>
          <w:spacing w:val="-4"/>
          <w:sz w:val="20"/>
        </w:rPr>
        <w:t> </w:t>
      </w:r>
      <w:r>
        <w:rPr>
          <w:sz w:val="20"/>
        </w:rPr>
        <w:t>determinen</w:t>
      </w:r>
      <w:r>
        <w:rPr>
          <w:spacing w:val="-7"/>
          <w:sz w:val="20"/>
        </w:rPr>
        <w:t> </w:t>
      </w:r>
      <w:r>
        <w:rPr>
          <w:sz w:val="20"/>
        </w:rPr>
        <w:t>con</w:t>
      </w:r>
      <w:r>
        <w:rPr>
          <w:spacing w:val="-6"/>
          <w:sz w:val="20"/>
        </w:rPr>
        <w:t> </w:t>
      </w:r>
      <w:r>
        <w:rPr>
          <w:sz w:val="20"/>
        </w:rPr>
        <w:t>política</w:t>
      </w:r>
      <w:r>
        <w:rPr>
          <w:spacing w:val="-6"/>
          <w:sz w:val="20"/>
        </w:rPr>
        <w:t> </w:t>
      </w:r>
      <w:r>
        <w:rPr>
          <w:sz w:val="20"/>
        </w:rPr>
        <w:t>de</w:t>
      </w:r>
      <w:r>
        <w:rPr>
          <w:spacing w:val="-6"/>
          <w:sz w:val="20"/>
        </w:rPr>
        <w:t> </w:t>
      </w:r>
      <w:r>
        <w:rPr>
          <w:spacing w:val="-2"/>
          <w:sz w:val="20"/>
        </w:rPr>
        <w:t>conservación:</w:t>
      </w:r>
    </w:p>
    <w:p>
      <w:pPr>
        <w:pStyle w:val="BodyText"/>
        <w:spacing w:before="1"/>
      </w:pPr>
    </w:p>
    <w:p>
      <w:pPr>
        <w:pStyle w:val="ListParagraph"/>
        <w:numPr>
          <w:ilvl w:val="1"/>
          <w:numId w:val="55"/>
        </w:numPr>
        <w:tabs>
          <w:tab w:pos="544" w:val="left" w:leader="none"/>
        </w:tabs>
        <w:spacing w:line="240" w:lineRule="auto" w:before="0" w:after="0"/>
        <w:ind w:left="262" w:right="279" w:firstLine="0"/>
        <w:jc w:val="both"/>
        <w:rPr>
          <w:sz w:val="20"/>
        </w:rPr>
      </w:pPr>
      <w:r>
        <w:rPr>
          <w:sz w:val="20"/>
        </w:rPr>
        <w:t>Se considerarán compatibles y, por lo tanto, no se podrá establecer una separación entre los usos</w:t>
      </w:r>
      <w:r>
        <w:rPr>
          <w:spacing w:val="-13"/>
          <w:sz w:val="20"/>
        </w:rPr>
        <w:t> </w:t>
      </w:r>
      <w:r>
        <w:rPr>
          <w:sz w:val="20"/>
        </w:rPr>
        <w:t>de</w:t>
      </w:r>
      <w:r>
        <w:rPr>
          <w:spacing w:val="-12"/>
          <w:sz w:val="20"/>
        </w:rPr>
        <w:t> </w:t>
      </w:r>
      <w:r>
        <w:rPr>
          <w:sz w:val="20"/>
        </w:rPr>
        <w:t>suelo</w:t>
      </w:r>
      <w:r>
        <w:rPr>
          <w:spacing w:val="-12"/>
          <w:sz w:val="20"/>
        </w:rPr>
        <w:t> </w:t>
      </w:r>
      <w:r>
        <w:rPr>
          <w:sz w:val="20"/>
        </w:rPr>
        <w:t>residenciales,</w:t>
      </w:r>
      <w:r>
        <w:rPr>
          <w:spacing w:val="-14"/>
          <w:sz w:val="20"/>
        </w:rPr>
        <w:t> </w:t>
      </w:r>
      <w:r>
        <w:rPr>
          <w:sz w:val="20"/>
        </w:rPr>
        <w:t>comerciales</w:t>
      </w:r>
      <w:r>
        <w:rPr>
          <w:spacing w:val="-12"/>
          <w:sz w:val="20"/>
        </w:rPr>
        <w:t> </w:t>
      </w:r>
      <w:r>
        <w:rPr>
          <w:sz w:val="20"/>
        </w:rPr>
        <w:t>y</w:t>
      </w:r>
      <w:r>
        <w:rPr>
          <w:spacing w:val="-12"/>
          <w:sz w:val="20"/>
        </w:rPr>
        <w:t> </w:t>
      </w:r>
      <w:r>
        <w:rPr>
          <w:sz w:val="20"/>
        </w:rPr>
        <w:t>centros</w:t>
      </w:r>
      <w:r>
        <w:rPr>
          <w:spacing w:val="-10"/>
          <w:sz w:val="20"/>
        </w:rPr>
        <w:t> </w:t>
      </w:r>
      <w:r>
        <w:rPr>
          <w:sz w:val="20"/>
        </w:rPr>
        <w:t>de</w:t>
      </w:r>
      <w:r>
        <w:rPr>
          <w:spacing w:val="-12"/>
          <w:sz w:val="20"/>
        </w:rPr>
        <w:t> </w:t>
      </w:r>
      <w:r>
        <w:rPr>
          <w:sz w:val="20"/>
        </w:rPr>
        <w:t>trabajo,</w:t>
      </w:r>
      <w:r>
        <w:rPr>
          <w:spacing w:val="-14"/>
          <w:sz w:val="20"/>
        </w:rPr>
        <w:t> </w:t>
      </w:r>
      <w:r>
        <w:rPr>
          <w:sz w:val="20"/>
        </w:rPr>
        <w:t>siempre</w:t>
      </w:r>
      <w:r>
        <w:rPr>
          <w:spacing w:val="-12"/>
          <w:sz w:val="20"/>
        </w:rPr>
        <w:t> </w:t>
      </w:r>
      <w:r>
        <w:rPr>
          <w:sz w:val="20"/>
        </w:rPr>
        <w:t>y</w:t>
      </w:r>
      <w:r>
        <w:rPr>
          <w:spacing w:val="-10"/>
          <w:sz w:val="20"/>
        </w:rPr>
        <w:t> </w:t>
      </w:r>
      <w:r>
        <w:rPr>
          <w:sz w:val="20"/>
        </w:rPr>
        <w:t>cuando</w:t>
      </w:r>
      <w:r>
        <w:rPr>
          <w:spacing w:val="-12"/>
          <w:sz w:val="20"/>
        </w:rPr>
        <w:t> </w:t>
      </w:r>
      <w:r>
        <w:rPr>
          <w:sz w:val="20"/>
        </w:rPr>
        <w:t>éstos</w:t>
      </w:r>
      <w:r>
        <w:rPr>
          <w:spacing w:val="-13"/>
          <w:sz w:val="20"/>
        </w:rPr>
        <w:t> </w:t>
      </w:r>
      <w:r>
        <w:rPr>
          <w:sz w:val="20"/>
        </w:rPr>
        <w:t>no</w:t>
      </w:r>
      <w:r>
        <w:rPr>
          <w:spacing w:val="-12"/>
          <w:sz w:val="20"/>
        </w:rPr>
        <w:t> </w:t>
      </w:r>
      <w:r>
        <w:rPr>
          <w:sz w:val="20"/>
        </w:rPr>
        <w:t>amenacen la</w:t>
      </w:r>
      <w:r>
        <w:rPr>
          <w:spacing w:val="-4"/>
          <w:sz w:val="20"/>
        </w:rPr>
        <w:t> </w:t>
      </w:r>
      <w:r>
        <w:rPr>
          <w:sz w:val="20"/>
        </w:rPr>
        <w:t>seguridad,</w:t>
      </w:r>
      <w:r>
        <w:rPr>
          <w:spacing w:val="-4"/>
          <w:sz w:val="20"/>
        </w:rPr>
        <w:t> </w:t>
      </w:r>
      <w:r>
        <w:rPr>
          <w:sz w:val="20"/>
        </w:rPr>
        <w:t>salud</w:t>
      </w:r>
      <w:r>
        <w:rPr>
          <w:spacing w:val="-2"/>
          <w:sz w:val="20"/>
        </w:rPr>
        <w:t> </w:t>
      </w:r>
      <w:r>
        <w:rPr>
          <w:sz w:val="20"/>
        </w:rPr>
        <w:t>y</w:t>
      </w:r>
      <w:r>
        <w:rPr>
          <w:spacing w:val="-1"/>
          <w:sz w:val="20"/>
        </w:rPr>
        <w:t> </w:t>
      </w:r>
      <w:r>
        <w:rPr>
          <w:sz w:val="20"/>
        </w:rPr>
        <w:t>la</w:t>
      </w:r>
      <w:r>
        <w:rPr>
          <w:spacing w:val="-2"/>
          <w:sz w:val="20"/>
        </w:rPr>
        <w:t> </w:t>
      </w:r>
      <w:r>
        <w:rPr>
          <w:sz w:val="20"/>
        </w:rPr>
        <w:t>integridad</w:t>
      </w:r>
      <w:r>
        <w:rPr>
          <w:spacing w:val="-2"/>
          <w:sz w:val="20"/>
        </w:rPr>
        <w:t> </w:t>
      </w:r>
      <w:r>
        <w:rPr>
          <w:sz w:val="20"/>
        </w:rPr>
        <w:t>de</w:t>
      </w:r>
      <w:r>
        <w:rPr>
          <w:spacing w:val="-3"/>
          <w:sz w:val="20"/>
        </w:rPr>
        <w:t> </w:t>
      </w:r>
      <w:r>
        <w:rPr>
          <w:sz w:val="20"/>
        </w:rPr>
        <w:t>las</w:t>
      </w:r>
      <w:r>
        <w:rPr>
          <w:spacing w:val="-1"/>
          <w:sz w:val="20"/>
        </w:rPr>
        <w:t> </w:t>
      </w:r>
      <w:r>
        <w:rPr>
          <w:sz w:val="20"/>
        </w:rPr>
        <w:t>personas,</w:t>
      </w:r>
      <w:r>
        <w:rPr>
          <w:spacing w:val="-4"/>
          <w:sz w:val="20"/>
        </w:rPr>
        <w:t> </w:t>
      </w:r>
      <w:r>
        <w:rPr>
          <w:sz w:val="20"/>
        </w:rPr>
        <w:t>y</w:t>
      </w:r>
      <w:r>
        <w:rPr>
          <w:spacing w:val="-3"/>
          <w:sz w:val="20"/>
        </w:rPr>
        <w:t> </w:t>
      </w:r>
      <w:r>
        <w:rPr>
          <w:sz w:val="20"/>
        </w:rPr>
        <w:t>se</w:t>
      </w:r>
      <w:r>
        <w:rPr>
          <w:spacing w:val="-4"/>
          <w:sz w:val="20"/>
        </w:rPr>
        <w:t> </w:t>
      </w:r>
      <w:r>
        <w:rPr>
          <w:sz w:val="20"/>
        </w:rPr>
        <w:t>puedan proporcionar</w:t>
      </w:r>
      <w:r>
        <w:rPr>
          <w:spacing w:val="-4"/>
          <w:sz w:val="20"/>
        </w:rPr>
        <w:t> </w:t>
      </w:r>
      <w:r>
        <w:rPr>
          <w:sz w:val="20"/>
        </w:rPr>
        <w:t>los</w:t>
      </w:r>
      <w:r>
        <w:rPr>
          <w:spacing w:val="-1"/>
          <w:sz w:val="20"/>
        </w:rPr>
        <w:t> </w:t>
      </w:r>
      <w:r>
        <w:rPr>
          <w:sz w:val="20"/>
        </w:rPr>
        <w:t>servicios</w:t>
      </w:r>
      <w:r>
        <w:rPr>
          <w:spacing w:val="-3"/>
          <w:sz w:val="20"/>
        </w:rPr>
        <w:t> </w:t>
      </w:r>
      <w:r>
        <w:rPr>
          <w:sz w:val="20"/>
        </w:rPr>
        <w:t>de</w:t>
      </w:r>
      <w:r>
        <w:rPr>
          <w:spacing w:val="-2"/>
          <w:sz w:val="20"/>
        </w:rPr>
        <w:t> </w:t>
      </w:r>
      <w:r>
        <w:rPr>
          <w:sz w:val="20"/>
        </w:rPr>
        <w:t>agua, drenaje, electricidad y movilidad, y se cuente con el equipamiento necesario para su correcto funcionamiento de acuerdo a los programas respectivos.</w:t>
      </w:r>
    </w:p>
    <w:p>
      <w:pPr>
        <w:pStyle w:val="BodyText"/>
        <w:spacing w:before="1"/>
      </w:pPr>
    </w:p>
    <w:p>
      <w:pPr>
        <w:pStyle w:val="ListParagraph"/>
        <w:numPr>
          <w:ilvl w:val="1"/>
          <w:numId w:val="55"/>
        </w:numPr>
        <w:tabs>
          <w:tab w:pos="968" w:val="left" w:leader="none"/>
        </w:tabs>
        <w:spacing w:line="240" w:lineRule="auto" w:before="0" w:after="0"/>
        <w:ind w:left="262" w:right="277" w:firstLine="0"/>
        <w:jc w:val="both"/>
        <w:rPr>
          <w:sz w:val="20"/>
        </w:rPr>
      </w:pPr>
      <w:r>
        <w:rPr>
          <w:sz w:val="20"/>
        </w:rPr>
        <w:t>Se deberá permitir la verticalidad y el incremento de la densidad en las edificaciones, siempre</w:t>
      </w:r>
      <w:r>
        <w:rPr>
          <w:spacing w:val="-4"/>
          <w:sz w:val="20"/>
        </w:rPr>
        <w:t> </w:t>
      </w:r>
      <w:r>
        <w:rPr>
          <w:sz w:val="20"/>
        </w:rPr>
        <w:t>y</w:t>
      </w:r>
      <w:r>
        <w:rPr>
          <w:spacing w:val="-5"/>
          <w:sz w:val="20"/>
        </w:rPr>
        <w:t> </w:t>
      </w:r>
      <w:r>
        <w:rPr>
          <w:sz w:val="20"/>
        </w:rPr>
        <w:t>cuando</w:t>
      </w:r>
      <w:r>
        <w:rPr>
          <w:spacing w:val="-7"/>
          <w:sz w:val="20"/>
        </w:rPr>
        <w:t> </w:t>
      </w:r>
      <w:r>
        <w:rPr>
          <w:sz w:val="20"/>
        </w:rPr>
        <w:t>se</w:t>
      </w:r>
      <w:r>
        <w:rPr>
          <w:spacing w:val="-5"/>
          <w:sz w:val="20"/>
        </w:rPr>
        <w:t> </w:t>
      </w:r>
      <w:r>
        <w:rPr>
          <w:sz w:val="20"/>
        </w:rPr>
        <w:t>puedan</w:t>
      </w:r>
      <w:r>
        <w:rPr>
          <w:spacing w:val="-7"/>
          <w:sz w:val="20"/>
        </w:rPr>
        <w:t> </w:t>
      </w:r>
      <w:r>
        <w:rPr>
          <w:sz w:val="20"/>
        </w:rPr>
        <w:t>proporcionar</w:t>
      </w:r>
      <w:r>
        <w:rPr>
          <w:spacing w:val="-3"/>
          <w:sz w:val="20"/>
        </w:rPr>
        <w:t> </w:t>
      </w:r>
      <w:r>
        <w:rPr>
          <w:sz w:val="20"/>
        </w:rPr>
        <w:t>los</w:t>
      </w:r>
      <w:r>
        <w:rPr>
          <w:spacing w:val="-3"/>
          <w:sz w:val="20"/>
        </w:rPr>
        <w:t> </w:t>
      </w:r>
      <w:r>
        <w:rPr>
          <w:sz w:val="20"/>
        </w:rPr>
        <w:t>servicios</w:t>
      </w:r>
      <w:r>
        <w:rPr>
          <w:spacing w:val="-3"/>
          <w:sz w:val="20"/>
        </w:rPr>
        <w:t> </w:t>
      </w:r>
      <w:r>
        <w:rPr>
          <w:sz w:val="20"/>
        </w:rPr>
        <w:t>de</w:t>
      </w:r>
      <w:r>
        <w:rPr>
          <w:spacing w:val="-5"/>
          <w:sz w:val="20"/>
        </w:rPr>
        <w:t> </w:t>
      </w:r>
      <w:r>
        <w:rPr>
          <w:sz w:val="20"/>
        </w:rPr>
        <w:t>agua,</w:t>
      </w:r>
      <w:r>
        <w:rPr>
          <w:spacing w:val="-5"/>
          <w:sz w:val="20"/>
        </w:rPr>
        <w:t> </w:t>
      </w:r>
      <w:r>
        <w:rPr>
          <w:sz w:val="20"/>
        </w:rPr>
        <w:t>drenaje,</w:t>
      </w:r>
      <w:r>
        <w:rPr>
          <w:spacing w:val="-5"/>
          <w:sz w:val="20"/>
        </w:rPr>
        <w:t> </w:t>
      </w:r>
      <w:r>
        <w:rPr>
          <w:sz w:val="20"/>
        </w:rPr>
        <w:t>electricidad</w:t>
      </w:r>
      <w:r>
        <w:rPr>
          <w:spacing w:val="-7"/>
          <w:sz w:val="20"/>
        </w:rPr>
        <w:t> </w:t>
      </w:r>
      <w:r>
        <w:rPr>
          <w:sz w:val="20"/>
        </w:rPr>
        <w:t>y</w:t>
      </w:r>
      <w:r>
        <w:rPr>
          <w:spacing w:val="-3"/>
          <w:sz w:val="20"/>
        </w:rPr>
        <w:t> </w:t>
      </w:r>
      <w:r>
        <w:rPr>
          <w:sz w:val="20"/>
        </w:rPr>
        <w:t>movilidad,</w:t>
      </w:r>
      <w:r>
        <w:rPr>
          <w:spacing w:val="-7"/>
          <w:sz w:val="20"/>
        </w:rPr>
        <w:t> </w:t>
      </w:r>
      <w:r>
        <w:rPr>
          <w:sz w:val="20"/>
        </w:rPr>
        <w:t>y se cuente con el equipamiento necesario para su correcto funcionamiento de acuerdo a los programas respectivos.</w:t>
      </w:r>
    </w:p>
    <w:p>
      <w:pPr>
        <w:pStyle w:val="BodyText"/>
        <w:spacing w:before="229"/>
        <w:ind w:left="262" w:right="278"/>
        <w:jc w:val="both"/>
      </w:pPr>
      <w:r>
        <w:rPr/>
        <w:t>Los</w:t>
      </w:r>
      <w:r>
        <w:rPr>
          <w:spacing w:val="-3"/>
        </w:rPr>
        <w:t> </w:t>
      </w:r>
      <w:r>
        <w:rPr/>
        <w:t>promotores</w:t>
      </w:r>
      <w:r>
        <w:rPr>
          <w:spacing w:val="-2"/>
        </w:rPr>
        <w:t> </w:t>
      </w:r>
      <w:r>
        <w:rPr/>
        <w:t>o</w:t>
      </w:r>
      <w:r>
        <w:rPr>
          <w:spacing w:val="-2"/>
        </w:rPr>
        <w:t> </w:t>
      </w:r>
      <w:r>
        <w:rPr/>
        <w:t>desarrolladores deberán</w:t>
      </w:r>
      <w:r>
        <w:rPr>
          <w:spacing w:val="-2"/>
        </w:rPr>
        <w:t> </w:t>
      </w:r>
      <w:r>
        <w:rPr/>
        <w:t>asumir</w:t>
      </w:r>
      <w:r>
        <w:rPr>
          <w:spacing w:val="-1"/>
        </w:rPr>
        <w:t> </w:t>
      </w:r>
      <w:r>
        <w:rPr/>
        <w:t>el</w:t>
      </w:r>
      <w:r>
        <w:rPr>
          <w:spacing w:val="-5"/>
        </w:rPr>
        <w:t> </w:t>
      </w:r>
      <w:r>
        <w:rPr/>
        <w:t>costo</w:t>
      </w:r>
      <w:r>
        <w:rPr>
          <w:spacing w:val="-2"/>
        </w:rPr>
        <w:t> </w:t>
      </w:r>
      <w:r>
        <w:rPr/>
        <w:t>incremental</w:t>
      </w:r>
      <w:r>
        <w:rPr>
          <w:spacing w:val="-3"/>
        </w:rPr>
        <w:t> </w:t>
      </w:r>
      <w:r>
        <w:rPr/>
        <w:t>de</w:t>
      </w:r>
      <w:r>
        <w:rPr>
          <w:spacing w:val="-2"/>
        </w:rPr>
        <w:t> </w:t>
      </w:r>
      <w:r>
        <w:rPr/>
        <w:t>recibir</w:t>
      </w:r>
      <w:r>
        <w:rPr>
          <w:spacing w:val="-1"/>
        </w:rPr>
        <w:t> </w:t>
      </w:r>
      <w:r>
        <w:rPr/>
        <w:t>estos</w:t>
      </w:r>
      <w:r>
        <w:rPr>
          <w:spacing w:val="-3"/>
        </w:rPr>
        <w:t> </w:t>
      </w:r>
      <w:r>
        <w:rPr/>
        <w:t>servicios.</w:t>
      </w:r>
      <w:r>
        <w:rPr>
          <w:spacing w:val="-2"/>
        </w:rPr>
        <w:t> </w:t>
      </w:r>
      <w:r>
        <w:rPr/>
        <w:t>El gobierno,</w:t>
      </w:r>
      <w:r>
        <w:rPr>
          <w:spacing w:val="-7"/>
        </w:rPr>
        <w:t> </w:t>
      </w:r>
      <w:r>
        <w:rPr/>
        <w:t>en</w:t>
      </w:r>
      <w:r>
        <w:rPr>
          <w:spacing w:val="-6"/>
        </w:rPr>
        <w:t> </w:t>
      </w:r>
      <w:r>
        <w:rPr/>
        <w:t>su</w:t>
      </w:r>
      <w:r>
        <w:rPr>
          <w:spacing w:val="-8"/>
        </w:rPr>
        <w:t> </w:t>
      </w:r>
      <w:r>
        <w:rPr/>
        <w:t>nivel</w:t>
      </w:r>
      <w:r>
        <w:rPr>
          <w:spacing w:val="-8"/>
        </w:rPr>
        <w:t> </w:t>
      </w:r>
      <w:r>
        <w:rPr/>
        <w:t>correspondiente,</w:t>
      </w:r>
      <w:r>
        <w:rPr>
          <w:spacing w:val="-5"/>
        </w:rPr>
        <w:t> </w:t>
      </w:r>
      <w:r>
        <w:rPr/>
        <w:t>establecerá</w:t>
      </w:r>
      <w:r>
        <w:rPr>
          <w:spacing w:val="-5"/>
        </w:rPr>
        <w:t> </w:t>
      </w:r>
      <w:r>
        <w:rPr/>
        <w:t>mecanismos</w:t>
      </w:r>
      <w:r>
        <w:rPr>
          <w:spacing w:val="-7"/>
        </w:rPr>
        <w:t> </w:t>
      </w:r>
      <w:r>
        <w:rPr/>
        <w:t>para</w:t>
      </w:r>
      <w:r>
        <w:rPr>
          <w:spacing w:val="-5"/>
        </w:rPr>
        <w:t> </w:t>
      </w:r>
      <w:r>
        <w:rPr/>
        <w:t>aplicar</w:t>
      </w:r>
      <w:r>
        <w:rPr>
          <w:spacing w:val="-5"/>
        </w:rPr>
        <w:t> </w:t>
      </w:r>
      <w:r>
        <w:rPr/>
        <w:t>dicho</w:t>
      </w:r>
      <w:r>
        <w:rPr>
          <w:spacing w:val="-3"/>
        </w:rPr>
        <w:t> </w:t>
      </w:r>
      <w:r>
        <w:rPr/>
        <w:t>costo</w:t>
      </w:r>
      <w:r>
        <w:rPr>
          <w:spacing w:val="-8"/>
        </w:rPr>
        <w:t> </w:t>
      </w:r>
      <w:r>
        <w:rPr/>
        <w:t>y</w:t>
      </w:r>
      <w:r>
        <w:rPr>
          <w:spacing w:val="-6"/>
        </w:rPr>
        <w:t> </w:t>
      </w:r>
      <w:r>
        <w:rPr/>
        <w:t>ajustar</w:t>
      </w:r>
      <w:r>
        <w:rPr>
          <w:spacing w:val="-7"/>
        </w:rPr>
        <w:t> </w:t>
      </w:r>
      <w:r>
        <w:rPr/>
        <w:t>la capacidad de infraestructuras y equipamientos que permita a promotores o desarrolladores incrementar la densidad de sus edificaciones y la mezcla de usos del suelo.</w:t>
      </w:r>
    </w:p>
    <w:p>
      <w:pPr>
        <w:pStyle w:val="BodyText"/>
      </w:pPr>
    </w:p>
    <w:p>
      <w:pPr>
        <w:pStyle w:val="ListParagraph"/>
        <w:numPr>
          <w:ilvl w:val="1"/>
          <w:numId w:val="55"/>
        </w:numPr>
        <w:tabs>
          <w:tab w:pos="544" w:val="left" w:leader="none"/>
        </w:tabs>
        <w:spacing w:line="240" w:lineRule="auto" w:before="0" w:after="0"/>
        <w:ind w:left="262" w:right="286" w:firstLine="0"/>
        <w:jc w:val="both"/>
        <w:rPr>
          <w:sz w:val="20"/>
        </w:rPr>
      </w:pPr>
      <w:r>
        <w:rPr>
          <w:sz w:val="20"/>
        </w:rPr>
        <w:t>Se</w:t>
      </w:r>
      <w:r>
        <w:rPr>
          <w:spacing w:val="-12"/>
          <w:sz w:val="20"/>
        </w:rPr>
        <w:t> </w:t>
      </w:r>
      <w:r>
        <w:rPr>
          <w:sz w:val="20"/>
        </w:rPr>
        <w:t>garantizará</w:t>
      </w:r>
      <w:r>
        <w:rPr>
          <w:spacing w:val="-9"/>
          <w:sz w:val="20"/>
        </w:rPr>
        <w:t> </w:t>
      </w:r>
      <w:r>
        <w:rPr>
          <w:sz w:val="20"/>
        </w:rPr>
        <w:t>que</w:t>
      </w:r>
      <w:r>
        <w:rPr>
          <w:spacing w:val="-12"/>
          <w:sz w:val="20"/>
        </w:rPr>
        <w:t> </w:t>
      </w:r>
      <w:r>
        <w:rPr>
          <w:sz w:val="20"/>
        </w:rPr>
        <w:t>se</w:t>
      </w:r>
      <w:r>
        <w:rPr>
          <w:spacing w:val="-12"/>
          <w:sz w:val="20"/>
        </w:rPr>
        <w:t> </w:t>
      </w:r>
      <w:r>
        <w:rPr>
          <w:sz w:val="20"/>
        </w:rPr>
        <w:t>consolide</w:t>
      </w:r>
      <w:r>
        <w:rPr>
          <w:spacing w:val="-10"/>
          <w:sz w:val="20"/>
        </w:rPr>
        <w:t> </w:t>
      </w:r>
      <w:r>
        <w:rPr>
          <w:sz w:val="20"/>
        </w:rPr>
        <w:t>una</w:t>
      </w:r>
      <w:r>
        <w:rPr>
          <w:spacing w:val="-12"/>
          <w:sz w:val="20"/>
        </w:rPr>
        <w:t> </w:t>
      </w:r>
      <w:r>
        <w:rPr>
          <w:sz w:val="20"/>
        </w:rPr>
        <w:t>red</w:t>
      </w:r>
      <w:r>
        <w:rPr>
          <w:spacing w:val="-12"/>
          <w:sz w:val="20"/>
        </w:rPr>
        <w:t> </w:t>
      </w:r>
      <w:r>
        <w:rPr>
          <w:sz w:val="20"/>
        </w:rPr>
        <w:t>coherente</w:t>
      </w:r>
      <w:r>
        <w:rPr>
          <w:spacing w:val="-12"/>
          <w:sz w:val="20"/>
        </w:rPr>
        <w:t> </w:t>
      </w:r>
      <w:r>
        <w:rPr>
          <w:sz w:val="20"/>
        </w:rPr>
        <w:t>de</w:t>
      </w:r>
      <w:r>
        <w:rPr>
          <w:spacing w:val="-10"/>
          <w:sz w:val="20"/>
        </w:rPr>
        <w:t> </w:t>
      </w:r>
      <w:r>
        <w:rPr>
          <w:sz w:val="20"/>
        </w:rPr>
        <w:t>vialidades</w:t>
      </w:r>
      <w:r>
        <w:rPr>
          <w:spacing w:val="-11"/>
          <w:sz w:val="20"/>
        </w:rPr>
        <w:t> </w:t>
      </w:r>
      <w:r>
        <w:rPr>
          <w:sz w:val="20"/>
        </w:rPr>
        <w:t>primarias,</w:t>
      </w:r>
      <w:r>
        <w:rPr>
          <w:spacing w:val="-12"/>
          <w:sz w:val="20"/>
        </w:rPr>
        <w:t> </w:t>
      </w:r>
      <w:r>
        <w:rPr>
          <w:sz w:val="20"/>
        </w:rPr>
        <w:t>dotación</w:t>
      </w:r>
      <w:r>
        <w:rPr>
          <w:spacing w:val="-12"/>
          <w:sz w:val="20"/>
        </w:rPr>
        <w:t> </w:t>
      </w:r>
      <w:r>
        <w:rPr>
          <w:sz w:val="20"/>
        </w:rPr>
        <w:t>de</w:t>
      </w:r>
      <w:r>
        <w:rPr>
          <w:spacing w:val="-12"/>
          <w:sz w:val="20"/>
        </w:rPr>
        <w:t> </w:t>
      </w:r>
      <w:r>
        <w:rPr>
          <w:sz w:val="20"/>
        </w:rPr>
        <w:t>espacios públicos y equipamientos suficientes y de calidad.</w:t>
      </w:r>
    </w:p>
    <w:p>
      <w:pPr>
        <w:pStyle w:val="BodyText"/>
        <w:spacing w:before="1"/>
      </w:pPr>
    </w:p>
    <w:p>
      <w:pPr>
        <w:pStyle w:val="BodyText"/>
        <w:ind w:left="262" w:right="287"/>
        <w:jc w:val="both"/>
      </w:pPr>
      <w:r>
        <w:rPr/>
        <w:t>A los ayuntamientos corresponde formular, aprobar y administrar la zonificación de los centros de población en sus jurisdicciones territoriales.</w:t>
      </w:r>
    </w:p>
    <w:p>
      <w:pPr>
        <w:pStyle w:val="BodyText"/>
      </w:pPr>
    </w:p>
    <w:p>
      <w:pPr>
        <w:pStyle w:val="BodyText"/>
      </w:pPr>
    </w:p>
    <w:p>
      <w:pPr>
        <w:pStyle w:val="Heading2"/>
        <w:spacing w:line="480" w:lineRule="auto"/>
        <w:ind w:left="4150" w:right="4165"/>
      </w:pPr>
      <w:r>
        <w:rPr/>
        <w:t>Capítulo</w:t>
      </w:r>
      <w:r>
        <w:rPr>
          <w:spacing w:val="-14"/>
        </w:rPr>
        <w:t> </w:t>
      </w:r>
      <w:r>
        <w:rPr/>
        <w:t>IV </w:t>
      </w:r>
      <w:r>
        <w:rPr>
          <w:spacing w:val="-2"/>
        </w:rPr>
        <w:t>Políticas</w:t>
      </w:r>
    </w:p>
    <w:p>
      <w:pPr>
        <w:pStyle w:val="BodyText"/>
        <w:spacing w:line="229" w:lineRule="exact"/>
        <w:ind w:left="262"/>
        <w:jc w:val="both"/>
      </w:pPr>
      <w:r>
        <w:rPr>
          <w:rFonts w:ascii="Arial" w:hAnsi="Arial"/>
          <w:b/>
        </w:rPr>
        <w:t>ARTÍCULO</w:t>
      </w:r>
      <w:r>
        <w:rPr>
          <w:rFonts w:ascii="Arial" w:hAnsi="Arial"/>
          <w:b/>
          <w:spacing w:val="-7"/>
        </w:rPr>
        <w:t> </w:t>
      </w:r>
      <w:r>
        <w:rPr>
          <w:rFonts w:ascii="Arial" w:hAnsi="Arial"/>
          <w:b/>
        </w:rPr>
        <w:t>129.</w:t>
      </w:r>
      <w:r>
        <w:rPr>
          <w:rFonts w:ascii="Arial" w:hAnsi="Arial"/>
          <w:b/>
          <w:spacing w:val="-7"/>
        </w:rPr>
        <w:t> </w:t>
      </w:r>
      <w:r>
        <w:rPr/>
        <w:t>Las</w:t>
      </w:r>
      <w:r>
        <w:rPr>
          <w:spacing w:val="-7"/>
        </w:rPr>
        <w:t> </w:t>
      </w:r>
      <w:r>
        <w:rPr/>
        <w:t>políticas</w:t>
      </w:r>
      <w:r>
        <w:rPr>
          <w:spacing w:val="-6"/>
        </w:rPr>
        <w:t> </w:t>
      </w:r>
      <w:r>
        <w:rPr/>
        <w:t>de</w:t>
      </w:r>
      <w:r>
        <w:rPr>
          <w:spacing w:val="-9"/>
        </w:rPr>
        <w:t> </w:t>
      </w:r>
      <w:r>
        <w:rPr/>
        <w:t>ordenamiento</w:t>
      </w:r>
      <w:r>
        <w:rPr>
          <w:spacing w:val="-7"/>
        </w:rPr>
        <w:t> </w:t>
      </w:r>
      <w:r>
        <w:rPr/>
        <w:t>territorial</w:t>
      </w:r>
      <w:r>
        <w:rPr>
          <w:spacing w:val="-8"/>
        </w:rPr>
        <w:t> </w:t>
      </w:r>
      <w:r>
        <w:rPr/>
        <w:t>para</w:t>
      </w:r>
      <w:r>
        <w:rPr>
          <w:spacing w:val="-8"/>
        </w:rPr>
        <w:t> </w:t>
      </w:r>
      <w:r>
        <w:rPr/>
        <w:t>los</w:t>
      </w:r>
      <w:r>
        <w:rPr>
          <w:spacing w:val="-6"/>
        </w:rPr>
        <w:t> </w:t>
      </w:r>
      <w:r>
        <w:rPr/>
        <w:t>centros</w:t>
      </w:r>
      <w:r>
        <w:rPr>
          <w:spacing w:val="-7"/>
        </w:rPr>
        <w:t> </w:t>
      </w:r>
      <w:r>
        <w:rPr/>
        <w:t>de</w:t>
      </w:r>
      <w:r>
        <w:rPr>
          <w:spacing w:val="-7"/>
        </w:rPr>
        <w:t> </w:t>
      </w:r>
      <w:r>
        <w:rPr/>
        <w:t>población</w:t>
      </w:r>
      <w:r>
        <w:rPr>
          <w:spacing w:val="-8"/>
        </w:rPr>
        <w:t> </w:t>
      </w:r>
      <w:r>
        <w:rPr>
          <w:spacing w:val="-4"/>
        </w:rPr>
        <w:t>son:</w:t>
      </w:r>
    </w:p>
    <w:p>
      <w:pPr>
        <w:pStyle w:val="BodyText"/>
        <w:spacing w:before="1"/>
      </w:pPr>
    </w:p>
    <w:p>
      <w:pPr>
        <w:pStyle w:val="ListParagraph"/>
        <w:numPr>
          <w:ilvl w:val="2"/>
          <w:numId w:val="55"/>
        </w:numPr>
        <w:tabs>
          <w:tab w:pos="543" w:val="left" w:leader="none"/>
        </w:tabs>
        <w:spacing w:line="240" w:lineRule="auto" w:before="0" w:after="0"/>
        <w:ind w:left="262" w:right="286" w:firstLine="0"/>
        <w:jc w:val="both"/>
        <w:rPr>
          <w:sz w:val="20"/>
        </w:rPr>
      </w:pPr>
      <w:r>
        <w:rPr>
          <w:sz w:val="20"/>
        </w:rPr>
        <w:t>Impulso: la que se aplica a un número de centros de población y sistemas urbanos y rurales, seleccionados</w:t>
      </w:r>
      <w:r>
        <w:rPr>
          <w:spacing w:val="19"/>
          <w:sz w:val="20"/>
        </w:rPr>
        <w:t> </w:t>
      </w:r>
      <w:r>
        <w:rPr>
          <w:sz w:val="20"/>
        </w:rPr>
        <w:t>por presentar condiciones altamente favorables, para incidir</w:t>
      </w:r>
      <w:r>
        <w:rPr>
          <w:spacing w:val="19"/>
          <w:sz w:val="20"/>
        </w:rPr>
        <w:t> </w:t>
      </w:r>
      <w:r>
        <w:rPr>
          <w:sz w:val="20"/>
        </w:rPr>
        <w:t>o reforzar un proceso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acelerado de desarrollo, así como de rápido crecimiento demográfico y que presupone una importante concentración de recursos;</w:t>
      </w:r>
    </w:p>
    <w:p>
      <w:pPr>
        <w:pStyle w:val="BodyText"/>
        <w:spacing w:before="1"/>
      </w:pPr>
    </w:p>
    <w:p>
      <w:pPr>
        <w:pStyle w:val="ListParagraph"/>
        <w:numPr>
          <w:ilvl w:val="2"/>
          <w:numId w:val="55"/>
        </w:numPr>
        <w:tabs>
          <w:tab w:pos="543" w:val="left" w:leader="none"/>
        </w:tabs>
        <w:spacing w:line="240" w:lineRule="auto" w:before="0" w:after="0"/>
        <w:ind w:left="262" w:right="284" w:firstLine="0"/>
        <w:jc w:val="both"/>
        <w:rPr>
          <w:sz w:val="20"/>
        </w:rPr>
      </w:pPr>
      <w:r>
        <w:rPr>
          <w:sz w:val="20"/>
        </w:rPr>
        <w:t>Consolidación:</w:t>
      </w:r>
      <w:r>
        <w:rPr>
          <w:spacing w:val="-7"/>
          <w:sz w:val="20"/>
        </w:rPr>
        <w:t> </w:t>
      </w:r>
      <w:r>
        <w:rPr>
          <w:sz w:val="20"/>
        </w:rPr>
        <w:t>la</w:t>
      </w:r>
      <w:r>
        <w:rPr>
          <w:spacing w:val="-7"/>
          <w:sz w:val="20"/>
        </w:rPr>
        <w:t> </w:t>
      </w:r>
      <w:r>
        <w:rPr>
          <w:sz w:val="20"/>
        </w:rPr>
        <w:t>aplicable</w:t>
      </w:r>
      <w:r>
        <w:rPr>
          <w:spacing w:val="-4"/>
          <w:sz w:val="20"/>
        </w:rPr>
        <w:t> </w:t>
      </w:r>
      <w:r>
        <w:rPr>
          <w:sz w:val="20"/>
        </w:rPr>
        <w:t>a</w:t>
      </w:r>
      <w:r>
        <w:rPr>
          <w:spacing w:val="-7"/>
          <w:sz w:val="20"/>
        </w:rPr>
        <w:t> </w:t>
      </w:r>
      <w:r>
        <w:rPr>
          <w:sz w:val="20"/>
        </w:rPr>
        <w:t>los</w:t>
      </w:r>
      <w:r>
        <w:rPr>
          <w:spacing w:val="-6"/>
          <w:sz w:val="20"/>
        </w:rPr>
        <w:t> </w:t>
      </w:r>
      <w:r>
        <w:rPr>
          <w:sz w:val="20"/>
        </w:rPr>
        <w:t>centros</w:t>
      </w:r>
      <w:r>
        <w:rPr>
          <w:spacing w:val="-6"/>
          <w:sz w:val="20"/>
        </w:rPr>
        <w:t> </w:t>
      </w:r>
      <w:r>
        <w:rPr>
          <w:sz w:val="20"/>
        </w:rPr>
        <w:t>de</w:t>
      </w:r>
      <w:r>
        <w:rPr>
          <w:spacing w:val="-7"/>
          <w:sz w:val="20"/>
        </w:rPr>
        <w:t> </w:t>
      </w:r>
      <w:r>
        <w:rPr>
          <w:sz w:val="20"/>
        </w:rPr>
        <w:t>población</w:t>
      </w:r>
      <w:r>
        <w:rPr>
          <w:spacing w:val="-4"/>
          <w:sz w:val="20"/>
        </w:rPr>
        <w:t> </w:t>
      </w:r>
      <w:r>
        <w:rPr>
          <w:sz w:val="20"/>
        </w:rPr>
        <w:t>que</w:t>
      </w:r>
      <w:r>
        <w:rPr>
          <w:spacing w:val="-7"/>
          <w:sz w:val="20"/>
        </w:rPr>
        <w:t> </w:t>
      </w:r>
      <w:r>
        <w:rPr>
          <w:sz w:val="20"/>
        </w:rPr>
        <w:t>sólo</w:t>
      </w:r>
      <w:r>
        <w:rPr>
          <w:spacing w:val="-7"/>
          <w:sz w:val="20"/>
        </w:rPr>
        <w:t> </w:t>
      </w:r>
      <w:r>
        <w:rPr>
          <w:sz w:val="20"/>
        </w:rPr>
        <w:t>requieren</w:t>
      </w:r>
      <w:r>
        <w:rPr>
          <w:spacing w:val="-4"/>
          <w:sz w:val="20"/>
        </w:rPr>
        <w:t> </w:t>
      </w:r>
      <w:r>
        <w:rPr>
          <w:sz w:val="20"/>
        </w:rPr>
        <w:t>de</w:t>
      </w:r>
      <w:r>
        <w:rPr>
          <w:spacing w:val="-7"/>
          <w:sz w:val="20"/>
        </w:rPr>
        <w:t> </w:t>
      </w:r>
      <w:r>
        <w:rPr>
          <w:sz w:val="20"/>
        </w:rPr>
        <w:t>un</w:t>
      </w:r>
      <w:r>
        <w:rPr>
          <w:spacing w:val="-7"/>
          <w:sz w:val="20"/>
        </w:rPr>
        <w:t> </w:t>
      </w:r>
      <w:r>
        <w:rPr>
          <w:sz w:val="20"/>
        </w:rPr>
        <w:t>ordenamiento</w:t>
      </w:r>
      <w:r>
        <w:rPr>
          <w:spacing w:val="-7"/>
          <w:sz w:val="20"/>
        </w:rPr>
        <w:t> </w:t>
      </w:r>
      <w:r>
        <w:rPr>
          <w:sz w:val="20"/>
        </w:rPr>
        <w:t>de su</w:t>
      </w:r>
      <w:r>
        <w:rPr>
          <w:spacing w:val="-9"/>
          <w:sz w:val="20"/>
        </w:rPr>
        <w:t> </w:t>
      </w:r>
      <w:r>
        <w:rPr>
          <w:sz w:val="20"/>
        </w:rPr>
        <w:t>estructura</w:t>
      </w:r>
      <w:r>
        <w:rPr>
          <w:spacing w:val="-6"/>
          <w:sz w:val="20"/>
        </w:rPr>
        <w:t> </w:t>
      </w:r>
      <w:r>
        <w:rPr>
          <w:sz w:val="20"/>
        </w:rPr>
        <w:t>básica</w:t>
      </w:r>
      <w:r>
        <w:rPr>
          <w:spacing w:val="-7"/>
          <w:sz w:val="20"/>
        </w:rPr>
        <w:t> </w:t>
      </w:r>
      <w:r>
        <w:rPr>
          <w:sz w:val="20"/>
        </w:rPr>
        <w:t>y</w:t>
      </w:r>
      <w:r>
        <w:rPr>
          <w:spacing w:val="-8"/>
          <w:sz w:val="20"/>
        </w:rPr>
        <w:t> </w:t>
      </w:r>
      <w:r>
        <w:rPr>
          <w:sz w:val="20"/>
        </w:rPr>
        <w:t>que</w:t>
      </w:r>
      <w:r>
        <w:rPr>
          <w:spacing w:val="-5"/>
          <w:sz w:val="20"/>
        </w:rPr>
        <w:t> </w:t>
      </w:r>
      <w:r>
        <w:rPr>
          <w:sz w:val="20"/>
        </w:rPr>
        <w:t>sin</w:t>
      </w:r>
      <w:r>
        <w:rPr>
          <w:spacing w:val="-9"/>
          <w:sz w:val="20"/>
        </w:rPr>
        <w:t> </w:t>
      </w:r>
      <w:r>
        <w:rPr>
          <w:sz w:val="20"/>
        </w:rPr>
        <w:t>afectar</w:t>
      </w:r>
      <w:r>
        <w:rPr>
          <w:spacing w:val="-8"/>
          <w:sz w:val="20"/>
        </w:rPr>
        <w:t> </w:t>
      </w:r>
      <w:r>
        <w:rPr>
          <w:sz w:val="20"/>
        </w:rPr>
        <w:t>su</w:t>
      </w:r>
      <w:r>
        <w:rPr>
          <w:spacing w:val="-7"/>
          <w:sz w:val="20"/>
        </w:rPr>
        <w:t> </w:t>
      </w:r>
      <w:r>
        <w:rPr>
          <w:sz w:val="20"/>
        </w:rPr>
        <w:t>dinámica</w:t>
      </w:r>
      <w:r>
        <w:rPr>
          <w:spacing w:val="-7"/>
          <w:sz w:val="20"/>
        </w:rPr>
        <w:t> </w:t>
      </w:r>
      <w:r>
        <w:rPr>
          <w:sz w:val="20"/>
        </w:rPr>
        <w:t>actual,</w:t>
      </w:r>
      <w:r>
        <w:rPr>
          <w:spacing w:val="-7"/>
          <w:sz w:val="20"/>
        </w:rPr>
        <w:t> </w:t>
      </w:r>
      <w:r>
        <w:rPr>
          <w:sz w:val="20"/>
        </w:rPr>
        <w:t>procuran</w:t>
      </w:r>
      <w:r>
        <w:rPr>
          <w:spacing w:val="-7"/>
          <w:sz w:val="20"/>
        </w:rPr>
        <w:t> </w:t>
      </w:r>
      <w:r>
        <w:rPr>
          <w:sz w:val="20"/>
        </w:rPr>
        <w:t>evitar</w:t>
      </w:r>
      <w:r>
        <w:rPr>
          <w:spacing w:val="-6"/>
          <w:sz w:val="20"/>
        </w:rPr>
        <w:t> </w:t>
      </w:r>
      <w:r>
        <w:rPr>
          <w:sz w:val="20"/>
        </w:rPr>
        <w:t>los</w:t>
      </w:r>
      <w:r>
        <w:rPr>
          <w:spacing w:val="-6"/>
          <w:sz w:val="20"/>
        </w:rPr>
        <w:t> </w:t>
      </w:r>
      <w:r>
        <w:rPr>
          <w:sz w:val="20"/>
        </w:rPr>
        <w:t>efectos</w:t>
      </w:r>
      <w:r>
        <w:rPr>
          <w:spacing w:val="-8"/>
          <w:sz w:val="20"/>
        </w:rPr>
        <w:t> </w:t>
      </w:r>
      <w:r>
        <w:rPr>
          <w:sz w:val="20"/>
        </w:rPr>
        <w:t>negativos</w:t>
      </w:r>
      <w:r>
        <w:rPr>
          <w:spacing w:val="-8"/>
          <w:sz w:val="20"/>
        </w:rPr>
        <w:t> </w:t>
      </w:r>
      <w:r>
        <w:rPr>
          <w:sz w:val="20"/>
        </w:rPr>
        <w:t>de</w:t>
      </w:r>
      <w:r>
        <w:rPr>
          <w:spacing w:val="-7"/>
          <w:sz w:val="20"/>
        </w:rPr>
        <w:t> </w:t>
      </w:r>
      <w:r>
        <w:rPr>
          <w:sz w:val="20"/>
        </w:rPr>
        <w:t>la concentración urbana;</w:t>
      </w:r>
    </w:p>
    <w:p>
      <w:pPr>
        <w:pStyle w:val="ListParagraph"/>
        <w:numPr>
          <w:ilvl w:val="2"/>
          <w:numId w:val="55"/>
        </w:numPr>
        <w:tabs>
          <w:tab w:pos="597" w:val="left" w:leader="none"/>
        </w:tabs>
        <w:spacing w:line="240" w:lineRule="auto" w:before="229" w:after="0"/>
        <w:ind w:left="262" w:right="278" w:firstLine="0"/>
        <w:jc w:val="both"/>
        <w:rPr>
          <w:sz w:val="20"/>
        </w:rPr>
      </w:pPr>
      <w:r>
        <w:rPr>
          <w:sz w:val="20"/>
        </w:rPr>
        <w:t>Control: la que persigue disminuir o desalentar el actual ritmo de crecimiento de determinados centros</w:t>
      </w:r>
      <w:r>
        <w:rPr>
          <w:spacing w:val="-3"/>
          <w:sz w:val="20"/>
        </w:rPr>
        <w:t> </w:t>
      </w:r>
      <w:r>
        <w:rPr>
          <w:sz w:val="20"/>
        </w:rPr>
        <w:t>de</w:t>
      </w:r>
      <w:r>
        <w:rPr>
          <w:spacing w:val="-2"/>
          <w:sz w:val="20"/>
        </w:rPr>
        <w:t> </w:t>
      </w:r>
      <w:r>
        <w:rPr>
          <w:sz w:val="20"/>
        </w:rPr>
        <w:t>población,</w:t>
      </w:r>
      <w:r>
        <w:rPr>
          <w:spacing w:val="-2"/>
          <w:sz w:val="20"/>
        </w:rPr>
        <w:t> </w:t>
      </w:r>
      <w:r>
        <w:rPr>
          <w:sz w:val="20"/>
        </w:rPr>
        <w:t>en</w:t>
      </w:r>
      <w:r>
        <w:rPr>
          <w:spacing w:val="-2"/>
          <w:sz w:val="20"/>
        </w:rPr>
        <w:t> </w:t>
      </w:r>
      <w:r>
        <w:rPr>
          <w:sz w:val="20"/>
        </w:rPr>
        <w:t>los</w:t>
      </w:r>
      <w:r>
        <w:rPr>
          <w:spacing w:val="-3"/>
          <w:sz w:val="20"/>
        </w:rPr>
        <w:t> </w:t>
      </w:r>
      <w:r>
        <w:rPr>
          <w:sz w:val="20"/>
        </w:rPr>
        <w:t>cuales</w:t>
      </w:r>
      <w:r>
        <w:rPr>
          <w:spacing w:val="-3"/>
          <w:sz w:val="20"/>
        </w:rPr>
        <w:t> </w:t>
      </w:r>
      <w:r>
        <w:rPr>
          <w:sz w:val="20"/>
        </w:rPr>
        <w:t>la</w:t>
      </w:r>
      <w:r>
        <w:rPr>
          <w:spacing w:val="-4"/>
          <w:sz w:val="20"/>
        </w:rPr>
        <w:t> </w:t>
      </w:r>
      <w:r>
        <w:rPr>
          <w:sz w:val="20"/>
        </w:rPr>
        <w:t>concentración</w:t>
      </w:r>
      <w:r>
        <w:rPr>
          <w:spacing w:val="-2"/>
          <w:sz w:val="20"/>
        </w:rPr>
        <w:t> </w:t>
      </w:r>
      <w:r>
        <w:rPr>
          <w:sz w:val="20"/>
        </w:rPr>
        <w:t>provoca</w:t>
      </w:r>
      <w:r>
        <w:rPr>
          <w:spacing w:val="-4"/>
          <w:sz w:val="20"/>
        </w:rPr>
        <w:t> </w:t>
      </w:r>
      <w:r>
        <w:rPr>
          <w:sz w:val="20"/>
        </w:rPr>
        <w:t>problemas crecientemente</w:t>
      </w:r>
      <w:r>
        <w:rPr>
          <w:spacing w:val="-2"/>
          <w:sz w:val="20"/>
        </w:rPr>
        <w:t> </w:t>
      </w:r>
      <w:r>
        <w:rPr>
          <w:sz w:val="20"/>
        </w:rPr>
        <w:t>agudos</w:t>
      </w:r>
      <w:r>
        <w:rPr>
          <w:spacing w:val="-1"/>
          <w:sz w:val="20"/>
        </w:rPr>
        <w:t> </w:t>
      </w:r>
      <w:r>
        <w:rPr>
          <w:sz w:val="20"/>
        </w:rPr>
        <w:t>de congestión</w:t>
      </w:r>
      <w:r>
        <w:rPr>
          <w:spacing w:val="-3"/>
          <w:sz w:val="20"/>
        </w:rPr>
        <w:t> </w:t>
      </w:r>
      <w:r>
        <w:rPr>
          <w:sz w:val="20"/>
        </w:rPr>
        <w:t>e</w:t>
      </w:r>
      <w:r>
        <w:rPr>
          <w:spacing w:val="-4"/>
          <w:sz w:val="20"/>
        </w:rPr>
        <w:t> </w:t>
      </w:r>
      <w:r>
        <w:rPr>
          <w:sz w:val="20"/>
        </w:rPr>
        <w:t>insuficiencia</w:t>
      </w:r>
      <w:r>
        <w:rPr>
          <w:spacing w:val="-2"/>
          <w:sz w:val="20"/>
        </w:rPr>
        <w:t> </w:t>
      </w:r>
      <w:r>
        <w:rPr>
          <w:sz w:val="20"/>
        </w:rPr>
        <w:t>económica</w:t>
      </w:r>
      <w:r>
        <w:rPr>
          <w:spacing w:val="-4"/>
          <w:sz w:val="20"/>
        </w:rPr>
        <w:t> </w:t>
      </w:r>
      <w:r>
        <w:rPr>
          <w:sz w:val="20"/>
        </w:rPr>
        <w:t>y</w:t>
      </w:r>
      <w:r>
        <w:rPr>
          <w:spacing w:val="-3"/>
          <w:sz w:val="20"/>
        </w:rPr>
        <w:t> </w:t>
      </w:r>
      <w:r>
        <w:rPr>
          <w:sz w:val="20"/>
        </w:rPr>
        <w:t>social,</w:t>
      </w:r>
      <w:r>
        <w:rPr>
          <w:spacing w:val="-4"/>
          <w:sz w:val="20"/>
        </w:rPr>
        <w:t> </w:t>
      </w:r>
      <w:r>
        <w:rPr>
          <w:sz w:val="20"/>
        </w:rPr>
        <w:t>rescatando</w:t>
      </w:r>
      <w:r>
        <w:rPr>
          <w:spacing w:val="-2"/>
          <w:sz w:val="20"/>
        </w:rPr>
        <w:t> </w:t>
      </w:r>
      <w:r>
        <w:rPr>
          <w:sz w:val="20"/>
        </w:rPr>
        <w:t>a</w:t>
      </w:r>
      <w:r>
        <w:rPr>
          <w:spacing w:val="-4"/>
          <w:sz w:val="20"/>
        </w:rPr>
        <w:t> </w:t>
      </w:r>
      <w:r>
        <w:rPr>
          <w:sz w:val="20"/>
        </w:rPr>
        <w:t>la</w:t>
      </w:r>
      <w:r>
        <w:rPr>
          <w:spacing w:val="-4"/>
          <w:sz w:val="20"/>
        </w:rPr>
        <w:t> </w:t>
      </w:r>
      <w:r>
        <w:rPr>
          <w:sz w:val="20"/>
        </w:rPr>
        <w:t>vez</w:t>
      </w:r>
      <w:r>
        <w:rPr>
          <w:spacing w:val="-3"/>
          <w:sz w:val="20"/>
        </w:rPr>
        <w:t> </w:t>
      </w:r>
      <w:r>
        <w:rPr>
          <w:sz w:val="20"/>
        </w:rPr>
        <w:t>recursos</w:t>
      </w:r>
      <w:r>
        <w:rPr>
          <w:spacing w:val="-3"/>
          <w:sz w:val="20"/>
        </w:rPr>
        <w:t> </w:t>
      </w:r>
      <w:r>
        <w:rPr>
          <w:sz w:val="20"/>
        </w:rPr>
        <w:t>que</w:t>
      </w:r>
      <w:r>
        <w:rPr>
          <w:spacing w:val="-3"/>
          <w:sz w:val="20"/>
        </w:rPr>
        <w:t> </w:t>
      </w:r>
      <w:r>
        <w:rPr>
          <w:sz w:val="20"/>
        </w:rPr>
        <w:t>permitan</w:t>
      </w:r>
      <w:r>
        <w:rPr>
          <w:spacing w:val="-2"/>
          <w:sz w:val="20"/>
        </w:rPr>
        <w:t> </w:t>
      </w:r>
      <w:r>
        <w:rPr>
          <w:sz w:val="20"/>
        </w:rPr>
        <w:t>promover el desarrollo en otras regiones de la Entidad que cuentan con mejores condiciones relativas, y</w:t>
      </w:r>
    </w:p>
    <w:p>
      <w:pPr>
        <w:pStyle w:val="BodyText"/>
        <w:spacing w:before="1"/>
      </w:pPr>
    </w:p>
    <w:p>
      <w:pPr>
        <w:pStyle w:val="ListParagraph"/>
        <w:numPr>
          <w:ilvl w:val="2"/>
          <w:numId w:val="55"/>
        </w:numPr>
        <w:tabs>
          <w:tab w:pos="688" w:val="left" w:leader="none"/>
        </w:tabs>
        <w:spacing w:line="240" w:lineRule="auto" w:before="0" w:after="0"/>
        <w:ind w:left="262" w:right="286" w:firstLine="0"/>
        <w:jc w:val="both"/>
        <w:rPr>
          <w:sz w:val="20"/>
        </w:rPr>
      </w:pPr>
      <w:r>
        <w:rPr>
          <w:sz w:val="20"/>
        </w:rPr>
        <w:t>Arraigo: la aplicable a los centros de población que enfrentan condiciones económicas y sociales críticas, a fin de superar el nivel y eficiencia de las actividades económicas, mejorar el bienestar de la población y frenar la emigración.</w:t>
      </w:r>
    </w:p>
    <w:p>
      <w:pPr>
        <w:pStyle w:val="BodyText"/>
        <w:spacing w:before="1"/>
      </w:pPr>
    </w:p>
    <w:p>
      <w:pPr>
        <w:pStyle w:val="BodyText"/>
        <w:ind w:left="262"/>
        <w:jc w:val="both"/>
      </w:pPr>
      <w:r>
        <w:rPr>
          <w:rFonts w:ascii="Arial" w:hAnsi="Arial"/>
          <w:b/>
        </w:rPr>
        <w:t>ARTICULO</w:t>
      </w:r>
      <w:r>
        <w:rPr>
          <w:rFonts w:ascii="Arial" w:hAnsi="Arial"/>
          <w:b/>
          <w:spacing w:val="-7"/>
        </w:rPr>
        <w:t> </w:t>
      </w:r>
      <w:r>
        <w:rPr>
          <w:rFonts w:ascii="Arial" w:hAnsi="Arial"/>
          <w:b/>
        </w:rPr>
        <w:t>130.</w:t>
      </w:r>
      <w:r>
        <w:rPr>
          <w:rFonts w:ascii="Arial" w:hAnsi="Arial"/>
          <w:b/>
          <w:spacing w:val="-7"/>
        </w:rPr>
        <w:t> </w:t>
      </w:r>
      <w:r>
        <w:rPr/>
        <w:t>Las</w:t>
      </w:r>
      <w:r>
        <w:rPr>
          <w:spacing w:val="-6"/>
        </w:rPr>
        <w:t> </w:t>
      </w:r>
      <w:r>
        <w:rPr/>
        <w:t>políticas</w:t>
      </w:r>
      <w:r>
        <w:rPr>
          <w:spacing w:val="-6"/>
        </w:rPr>
        <w:t> </w:t>
      </w:r>
      <w:r>
        <w:rPr/>
        <w:t>para</w:t>
      </w:r>
      <w:r>
        <w:rPr>
          <w:spacing w:val="-7"/>
        </w:rPr>
        <w:t> </w:t>
      </w:r>
      <w:r>
        <w:rPr/>
        <w:t>el</w:t>
      </w:r>
      <w:r>
        <w:rPr>
          <w:spacing w:val="-8"/>
        </w:rPr>
        <w:t> </w:t>
      </w:r>
      <w:r>
        <w:rPr/>
        <w:t>desarrollo</w:t>
      </w:r>
      <w:r>
        <w:rPr>
          <w:spacing w:val="-6"/>
        </w:rPr>
        <w:t> </w:t>
      </w:r>
      <w:r>
        <w:rPr/>
        <w:t>urbano</w:t>
      </w:r>
      <w:r>
        <w:rPr>
          <w:spacing w:val="-7"/>
        </w:rPr>
        <w:t> </w:t>
      </w:r>
      <w:r>
        <w:rPr/>
        <w:t>de</w:t>
      </w:r>
      <w:r>
        <w:rPr>
          <w:spacing w:val="-5"/>
        </w:rPr>
        <w:t> </w:t>
      </w:r>
      <w:r>
        <w:rPr/>
        <w:t>los</w:t>
      </w:r>
      <w:r>
        <w:rPr>
          <w:spacing w:val="-6"/>
        </w:rPr>
        <w:t> </w:t>
      </w:r>
      <w:r>
        <w:rPr/>
        <w:t>centros</w:t>
      </w:r>
      <w:r>
        <w:rPr>
          <w:spacing w:val="-7"/>
        </w:rPr>
        <w:t> </w:t>
      </w:r>
      <w:r>
        <w:rPr/>
        <w:t>de</w:t>
      </w:r>
      <w:r>
        <w:rPr>
          <w:spacing w:val="-6"/>
        </w:rPr>
        <w:t> </w:t>
      </w:r>
      <w:r>
        <w:rPr/>
        <w:t>población</w:t>
      </w:r>
      <w:r>
        <w:rPr>
          <w:spacing w:val="-8"/>
        </w:rPr>
        <w:t> </w:t>
      </w:r>
      <w:r>
        <w:rPr>
          <w:spacing w:val="-4"/>
        </w:rPr>
        <w:t>son:</w:t>
      </w:r>
    </w:p>
    <w:p>
      <w:pPr>
        <w:pStyle w:val="ListParagraph"/>
        <w:numPr>
          <w:ilvl w:val="0"/>
          <w:numId w:val="56"/>
        </w:numPr>
        <w:tabs>
          <w:tab w:pos="543" w:val="left" w:leader="none"/>
        </w:tabs>
        <w:spacing w:line="240" w:lineRule="auto" w:before="229" w:after="0"/>
        <w:ind w:left="262" w:right="278" w:firstLine="0"/>
        <w:jc w:val="both"/>
        <w:rPr>
          <w:sz w:val="20"/>
        </w:rPr>
      </w:pPr>
      <w:r>
        <w:rPr>
          <w:sz w:val="20"/>
        </w:rPr>
        <w:t>Conservación: la que tienen por objeto mantener en buen estado de preservación y funcionamiento los edificios, vialidad pública, infraestructura, equipamiento y servicios que conforman las zonas urbanizadas de los centros de población, sus espacios libres e instalaciones; los</w:t>
      </w:r>
      <w:r>
        <w:rPr>
          <w:spacing w:val="-8"/>
          <w:sz w:val="20"/>
        </w:rPr>
        <w:t> </w:t>
      </w:r>
      <w:r>
        <w:rPr>
          <w:sz w:val="20"/>
        </w:rPr>
        <w:t>elementos</w:t>
      </w:r>
      <w:r>
        <w:rPr>
          <w:spacing w:val="-8"/>
          <w:sz w:val="20"/>
        </w:rPr>
        <w:t> </w:t>
      </w:r>
      <w:r>
        <w:rPr>
          <w:sz w:val="20"/>
        </w:rPr>
        <w:t>de</w:t>
      </w:r>
      <w:r>
        <w:rPr>
          <w:spacing w:val="-7"/>
          <w:sz w:val="20"/>
        </w:rPr>
        <w:t> </w:t>
      </w:r>
      <w:r>
        <w:rPr>
          <w:sz w:val="20"/>
        </w:rPr>
        <w:t>diverso</w:t>
      </w:r>
      <w:r>
        <w:rPr>
          <w:spacing w:val="-8"/>
          <w:sz w:val="20"/>
        </w:rPr>
        <w:t> </w:t>
      </w:r>
      <w:r>
        <w:rPr>
          <w:sz w:val="20"/>
        </w:rPr>
        <w:t>orden</w:t>
      </w:r>
      <w:r>
        <w:rPr>
          <w:spacing w:val="-7"/>
          <w:sz w:val="20"/>
        </w:rPr>
        <w:t> </w:t>
      </w:r>
      <w:r>
        <w:rPr>
          <w:sz w:val="20"/>
        </w:rPr>
        <w:t>que</w:t>
      </w:r>
      <w:r>
        <w:rPr>
          <w:spacing w:val="-7"/>
          <w:sz w:val="20"/>
        </w:rPr>
        <w:t> </w:t>
      </w:r>
      <w:r>
        <w:rPr>
          <w:sz w:val="20"/>
        </w:rPr>
        <w:t>integran</w:t>
      </w:r>
      <w:r>
        <w:rPr>
          <w:spacing w:val="-8"/>
          <w:sz w:val="20"/>
        </w:rPr>
        <w:t> </w:t>
      </w:r>
      <w:r>
        <w:rPr>
          <w:sz w:val="20"/>
        </w:rPr>
        <w:t>su</w:t>
      </w:r>
      <w:r>
        <w:rPr>
          <w:spacing w:val="-7"/>
          <w:sz w:val="20"/>
        </w:rPr>
        <w:t> </w:t>
      </w:r>
      <w:r>
        <w:rPr>
          <w:sz w:val="20"/>
        </w:rPr>
        <w:t>imagen</w:t>
      </w:r>
      <w:r>
        <w:rPr>
          <w:spacing w:val="-8"/>
          <w:sz w:val="20"/>
        </w:rPr>
        <w:t> </w:t>
      </w:r>
      <w:r>
        <w:rPr>
          <w:sz w:val="20"/>
        </w:rPr>
        <w:t>así</w:t>
      </w:r>
      <w:r>
        <w:rPr>
          <w:spacing w:val="-8"/>
          <w:sz w:val="20"/>
        </w:rPr>
        <w:t> </w:t>
      </w:r>
      <w:r>
        <w:rPr>
          <w:sz w:val="20"/>
        </w:rPr>
        <w:t>como</w:t>
      </w:r>
      <w:r>
        <w:rPr>
          <w:spacing w:val="-7"/>
          <w:sz w:val="20"/>
        </w:rPr>
        <w:t> </w:t>
      </w:r>
      <w:r>
        <w:rPr>
          <w:sz w:val="20"/>
        </w:rPr>
        <w:t>en</w:t>
      </w:r>
      <w:r>
        <w:rPr>
          <w:spacing w:val="-8"/>
          <w:sz w:val="20"/>
        </w:rPr>
        <w:t> </w:t>
      </w:r>
      <w:r>
        <w:rPr>
          <w:sz w:val="20"/>
        </w:rPr>
        <w:t>su</w:t>
      </w:r>
      <w:r>
        <w:rPr>
          <w:spacing w:val="-8"/>
          <w:sz w:val="20"/>
        </w:rPr>
        <w:t> </w:t>
      </w:r>
      <w:r>
        <w:rPr>
          <w:sz w:val="20"/>
        </w:rPr>
        <w:t>caso,</w:t>
      </w:r>
      <w:r>
        <w:rPr>
          <w:spacing w:val="-7"/>
          <w:sz w:val="20"/>
        </w:rPr>
        <w:t> </w:t>
      </w:r>
      <w:r>
        <w:rPr>
          <w:sz w:val="20"/>
        </w:rPr>
        <w:t>proteger</w:t>
      </w:r>
      <w:r>
        <w:rPr>
          <w:spacing w:val="-6"/>
          <w:sz w:val="20"/>
        </w:rPr>
        <w:t> </w:t>
      </w:r>
      <w:r>
        <w:rPr>
          <w:sz w:val="20"/>
        </w:rPr>
        <w:t>debidamente los vestigios arqueológicos y bienes inmuebles del patrimonio histórico, artístico y cultural de la Nación y del Estado que exista en el territorio;</w:t>
      </w:r>
    </w:p>
    <w:p>
      <w:pPr>
        <w:pStyle w:val="BodyText"/>
        <w:spacing w:before="1"/>
      </w:pPr>
    </w:p>
    <w:p>
      <w:pPr>
        <w:pStyle w:val="ListParagraph"/>
        <w:numPr>
          <w:ilvl w:val="0"/>
          <w:numId w:val="56"/>
        </w:numPr>
        <w:tabs>
          <w:tab w:pos="543" w:val="left" w:leader="none"/>
        </w:tabs>
        <w:spacing w:line="240" w:lineRule="auto" w:before="0" w:after="0"/>
        <w:ind w:left="262" w:right="285" w:firstLine="0"/>
        <w:jc w:val="both"/>
        <w:rPr>
          <w:sz w:val="20"/>
        </w:rPr>
      </w:pPr>
      <w:r>
        <w:rPr>
          <w:sz w:val="20"/>
        </w:rPr>
        <w:t>Mejoramiento:</w:t>
      </w:r>
      <w:r>
        <w:rPr>
          <w:spacing w:val="-7"/>
          <w:sz w:val="20"/>
        </w:rPr>
        <w:t> </w:t>
      </w:r>
      <w:r>
        <w:rPr>
          <w:sz w:val="20"/>
        </w:rPr>
        <w:t>la</w:t>
      </w:r>
      <w:r>
        <w:rPr>
          <w:spacing w:val="-9"/>
          <w:sz w:val="20"/>
        </w:rPr>
        <w:t> </w:t>
      </w:r>
      <w:r>
        <w:rPr>
          <w:sz w:val="20"/>
        </w:rPr>
        <w:t>que</w:t>
      </w:r>
      <w:r>
        <w:rPr>
          <w:spacing w:val="-7"/>
          <w:sz w:val="20"/>
        </w:rPr>
        <w:t> </w:t>
      </w:r>
      <w:r>
        <w:rPr>
          <w:sz w:val="20"/>
        </w:rPr>
        <w:t>tiende</w:t>
      </w:r>
      <w:r>
        <w:rPr>
          <w:spacing w:val="-9"/>
          <w:sz w:val="20"/>
        </w:rPr>
        <w:t> </w:t>
      </w:r>
      <w:r>
        <w:rPr>
          <w:sz w:val="20"/>
        </w:rPr>
        <w:t>a</w:t>
      </w:r>
      <w:r>
        <w:rPr>
          <w:spacing w:val="-7"/>
          <w:sz w:val="20"/>
        </w:rPr>
        <w:t> </w:t>
      </w:r>
      <w:r>
        <w:rPr>
          <w:sz w:val="20"/>
        </w:rPr>
        <w:t>reordenar</w:t>
      </w:r>
      <w:r>
        <w:rPr>
          <w:spacing w:val="-8"/>
          <w:sz w:val="20"/>
        </w:rPr>
        <w:t> </w:t>
      </w:r>
      <w:r>
        <w:rPr>
          <w:sz w:val="20"/>
        </w:rPr>
        <w:t>las</w:t>
      </w:r>
      <w:r>
        <w:rPr>
          <w:spacing w:val="-8"/>
          <w:sz w:val="20"/>
        </w:rPr>
        <w:t> </w:t>
      </w:r>
      <w:r>
        <w:rPr>
          <w:sz w:val="20"/>
        </w:rPr>
        <w:t>áreas</w:t>
      </w:r>
      <w:r>
        <w:rPr>
          <w:spacing w:val="-5"/>
          <w:sz w:val="20"/>
        </w:rPr>
        <w:t> </w:t>
      </w:r>
      <w:r>
        <w:rPr>
          <w:sz w:val="20"/>
        </w:rPr>
        <w:t>incipientemente</w:t>
      </w:r>
      <w:r>
        <w:rPr>
          <w:spacing w:val="-7"/>
          <w:sz w:val="20"/>
        </w:rPr>
        <w:t> </w:t>
      </w:r>
      <w:r>
        <w:rPr>
          <w:sz w:val="20"/>
        </w:rPr>
        <w:t>desarrolladas</w:t>
      </w:r>
      <w:r>
        <w:rPr>
          <w:spacing w:val="-5"/>
          <w:sz w:val="20"/>
        </w:rPr>
        <w:t> </w:t>
      </w:r>
      <w:r>
        <w:rPr>
          <w:sz w:val="20"/>
        </w:rPr>
        <w:t>de</w:t>
      </w:r>
      <w:r>
        <w:rPr>
          <w:spacing w:val="-7"/>
          <w:sz w:val="20"/>
        </w:rPr>
        <w:t> </w:t>
      </w:r>
      <w:r>
        <w:rPr>
          <w:sz w:val="20"/>
        </w:rPr>
        <w:t>un</w:t>
      </w:r>
      <w:r>
        <w:rPr>
          <w:spacing w:val="-7"/>
          <w:sz w:val="20"/>
        </w:rPr>
        <w:t> </w:t>
      </w:r>
      <w:r>
        <w:rPr>
          <w:sz w:val="20"/>
        </w:rPr>
        <w:t>centro</w:t>
      </w:r>
      <w:r>
        <w:rPr>
          <w:spacing w:val="-7"/>
          <w:sz w:val="20"/>
        </w:rPr>
        <w:t> </w:t>
      </w:r>
      <w:r>
        <w:rPr>
          <w:sz w:val="20"/>
        </w:rPr>
        <w:t>de población</w:t>
      </w:r>
      <w:r>
        <w:rPr>
          <w:spacing w:val="-7"/>
          <w:sz w:val="20"/>
        </w:rPr>
        <w:t> </w:t>
      </w:r>
      <w:r>
        <w:rPr>
          <w:sz w:val="20"/>
        </w:rPr>
        <w:t>y</w:t>
      </w:r>
      <w:r>
        <w:rPr>
          <w:spacing w:val="-6"/>
          <w:sz w:val="20"/>
        </w:rPr>
        <w:t> </w:t>
      </w:r>
      <w:r>
        <w:rPr>
          <w:sz w:val="20"/>
        </w:rPr>
        <w:t>de</w:t>
      </w:r>
      <w:r>
        <w:rPr>
          <w:spacing w:val="-7"/>
          <w:sz w:val="20"/>
        </w:rPr>
        <w:t> </w:t>
      </w:r>
      <w:r>
        <w:rPr>
          <w:sz w:val="20"/>
        </w:rPr>
        <w:t>igual</w:t>
      </w:r>
      <w:r>
        <w:rPr>
          <w:spacing w:val="-6"/>
          <w:sz w:val="20"/>
        </w:rPr>
        <w:t> </w:t>
      </w:r>
      <w:r>
        <w:rPr>
          <w:sz w:val="20"/>
        </w:rPr>
        <w:t>manera</w:t>
      </w:r>
      <w:r>
        <w:rPr>
          <w:spacing w:val="-6"/>
          <w:sz w:val="20"/>
        </w:rPr>
        <w:t> </w:t>
      </w:r>
      <w:r>
        <w:rPr>
          <w:sz w:val="20"/>
        </w:rPr>
        <w:t>renovar,</w:t>
      </w:r>
      <w:r>
        <w:rPr>
          <w:spacing w:val="-5"/>
          <w:sz w:val="20"/>
        </w:rPr>
        <w:t> </w:t>
      </w:r>
      <w:r>
        <w:rPr>
          <w:sz w:val="20"/>
        </w:rPr>
        <w:t>rehabilitar</w:t>
      </w:r>
      <w:r>
        <w:rPr>
          <w:spacing w:val="-6"/>
          <w:sz w:val="20"/>
        </w:rPr>
        <w:t> </w:t>
      </w:r>
      <w:r>
        <w:rPr>
          <w:sz w:val="20"/>
        </w:rPr>
        <w:t>o</w:t>
      </w:r>
      <w:r>
        <w:rPr>
          <w:spacing w:val="-7"/>
          <w:sz w:val="20"/>
        </w:rPr>
        <w:t> </w:t>
      </w:r>
      <w:r>
        <w:rPr>
          <w:sz w:val="20"/>
        </w:rPr>
        <w:t>regenerar</w:t>
      </w:r>
      <w:r>
        <w:rPr>
          <w:spacing w:val="-6"/>
          <w:sz w:val="20"/>
        </w:rPr>
        <w:t> </w:t>
      </w:r>
      <w:r>
        <w:rPr>
          <w:sz w:val="20"/>
        </w:rPr>
        <w:t>las</w:t>
      </w:r>
      <w:r>
        <w:rPr>
          <w:spacing w:val="-6"/>
          <w:sz w:val="20"/>
        </w:rPr>
        <w:t> </w:t>
      </w:r>
      <w:r>
        <w:rPr>
          <w:sz w:val="20"/>
        </w:rPr>
        <w:t>que</w:t>
      </w:r>
      <w:r>
        <w:rPr>
          <w:spacing w:val="-7"/>
          <w:sz w:val="20"/>
        </w:rPr>
        <w:t> </w:t>
      </w:r>
      <w:r>
        <w:rPr>
          <w:sz w:val="20"/>
        </w:rPr>
        <w:t>estuvieren</w:t>
      </w:r>
      <w:r>
        <w:rPr>
          <w:spacing w:val="-5"/>
          <w:sz w:val="20"/>
        </w:rPr>
        <w:t> </w:t>
      </w:r>
      <w:r>
        <w:rPr>
          <w:sz w:val="20"/>
        </w:rPr>
        <w:t>deterioradas</w:t>
      </w:r>
      <w:r>
        <w:rPr>
          <w:spacing w:val="-6"/>
          <w:sz w:val="20"/>
        </w:rPr>
        <w:t> </w:t>
      </w:r>
      <w:r>
        <w:rPr>
          <w:sz w:val="20"/>
        </w:rPr>
        <w:t>física</w:t>
      </w:r>
      <w:r>
        <w:rPr>
          <w:spacing w:val="-3"/>
          <w:sz w:val="20"/>
        </w:rPr>
        <w:t> </w:t>
      </w:r>
      <w:r>
        <w:rPr>
          <w:sz w:val="20"/>
        </w:rPr>
        <w:t>o funcionalmente, y</w:t>
      </w:r>
    </w:p>
    <w:p>
      <w:pPr>
        <w:pStyle w:val="ListParagraph"/>
        <w:numPr>
          <w:ilvl w:val="0"/>
          <w:numId w:val="56"/>
        </w:numPr>
        <w:tabs>
          <w:tab w:pos="597" w:val="left" w:leader="none"/>
        </w:tabs>
        <w:spacing w:line="240" w:lineRule="auto" w:before="229" w:after="0"/>
        <w:ind w:left="262" w:right="279" w:firstLine="0"/>
        <w:jc w:val="both"/>
        <w:rPr>
          <w:sz w:val="20"/>
        </w:rPr>
      </w:pPr>
      <w:r>
        <w:rPr>
          <w:sz w:val="20"/>
        </w:rPr>
        <w:t>Crecimiento: la que se aplica a las áreas urbanizables de un centro de población, que generan la transformación del suelo para la ocupación y urbanización considerando la dotación de la infraestructura, vialidad, equipamiento y servicios necesarios para su adecuado funcionamiento e integración</w:t>
      </w:r>
      <w:r>
        <w:rPr>
          <w:spacing w:val="-4"/>
          <w:sz w:val="20"/>
        </w:rPr>
        <w:t> </w:t>
      </w:r>
      <w:r>
        <w:rPr>
          <w:sz w:val="20"/>
        </w:rPr>
        <w:t>con</w:t>
      </w:r>
      <w:r>
        <w:rPr>
          <w:spacing w:val="-5"/>
          <w:sz w:val="20"/>
        </w:rPr>
        <w:t> </w:t>
      </w:r>
      <w:r>
        <w:rPr>
          <w:sz w:val="20"/>
        </w:rPr>
        <w:t>el</w:t>
      </w:r>
      <w:r>
        <w:rPr>
          <w:spacing w:val="-5"/>
          <w:sz w:val="20"/>
        </w:rPr>
        <w:t> </w:t>
      </w:r>
      <w:r>
        <w:rPr>
          <w:sz w:val="20"/>
        </w:rPr>
        <w:t>área</w:t>
      </w:r>
      <w:r>
        <w:rPr>
          <w:spacing w:val="-4"/>
          <w:sz w:val="20"/>
        </w:rPr>
        <w:t> </w:t>
      </w:r>
      <w:r>
        <w:rPr>
          <w:sz w:val="20"/>
        </w:rPr>
        <w:t>urbana</w:t>
      </w:r>
      <w:r>
        <w:rPr>
          <w:spacing w:val="-4"/>
          <w:sz w:val="20"/>
        </w:rPr>
        <w:t> </w:t>
      </w:r>
      <w:r>
        <w:rPr>
          <w:sz w:val="20"/>
        </w:rPr>
        <w:t>actual,</w:t>
      </w:r>
      <w:r>
        <w:rPr>
          <w:spacing w:val="-4"/>
          <w:sz w:val="20"/>
        </w:rPr>
        <w:t> </w:t>
      </w:r>
      <w:r>
        <w:rPr>
          <w:sz w:val="20"/>
        </w:rPr>
        <w:t>así</w:t>
      </w:r>
      <w:r>
        <w:rPr>
          <w:spacing w:val="-4"/>
          <w:sz w:val="20"/>
        </w:rPr>
        <w:t> </w:t>
      </w:r>
      <w:r>
        <w:rPr>
          <w:sz w:val="20"/>
        </w:rPr>
        <w:t>como</w:t>
      </w:r>
      <w:r>
        <w:rPr>
          <w:spacing w:val="-2"/>
          <w:sz w:val="20"/>
        </w:rPr>
        <w:t> </w:t>
      </w:r>
      <w:r>
        <w:rPr>
          <w:sz w:val="20"/>
        </w:rPr>
        <w:t>la</w:t>
      </w:r>
      <w:r>
        <w:rPr>
          <w:spacing w:val="-4"/>
          <w:sz w:val="20"/>
        </w:rPr>
        <w:t> </w:t>
      </w:r>
      <w:r>
        <w:rPr>
          <w:sz w:val="20"/>
        </w:rPr>
        <w:t>preservación</w:t>
      </w:r>
      <w:r>
        <w:rPr>
          <w:spacing w:val="-5"/>
          <w:sz w:val="20"/>
        </w:rPr>
        <w:t> </w:t>
      </w:r>
      <w:r>
        <w:rPr>
          <w:sz w:val="20"/>
        </w:rPr>
        <w:t>y</w:t>
      </w:r>
      <w:r>
        <w:rPr>
          <w:spacing w:val="-3"/>
          <w:sz w:val="20"/>
        </w:rPr>
        <w:t> </w:t>
      </w:r>
      <w:r>
        <w:rPr>
          <w:sz w:val="20"/>
        </w:rPr>
        <w:t>restauración</w:t>
      </w:r>
      <w:r>
        <w:rPr>
          <w:spacing w:val="-4"/>
          <w:sz w:val="20"/>
        </w:rPr>
        <w:t> </w:t>
      </w:r>
      <w:r>
        <w:rPr>
          <w:sz w:val="20"/>
        </w:rPr>
        <w:t>de</w:t>
      </w:r>
      <w:r>
        <w:rPr>
          <w:spacing w:val="-2"/>
          <w:sz w:val="20"/>
        </w:rPr>
        <w:t> </w:t>
      </w:r>
      <w:r>
        <w:rPr>
          <w:sz w:val="20"/>
        </w:rPr>
        <w:t>los</w:t>
      </w:r>
      <w:r>
        <w:rPr>
          <w:spacing w:val="-3"/>
          <w:sz w:val="20"/>
        </w:rPr>
        <w:t> </w:t>
      </w:r>
      <w:r>
        <w:rPr>
          <w:sz w:val="20"/>
        </w:rPr>
        <w:t>elementos</w:t>
      </w:r>
      <w:r>
        <w:rPr>
          <w:spacing w:val="-3"/>
          <w:sz w:val="20"/>
        </w:rPr>
        <w:t> </w:t>
      </w:r>
      <w:r>
        <w:rPr>
          <w:sz w:val="20"/>
        </w:rPr>
        <w:t>del medio natural necesarios para la continuidad de sus procesos.</w:t>
      </w:r>
    </w:p>
    <w:p>
      <w:pPr>
        <w:pStyle w:val="BodyText"/>
      </w:pPr>
    </w:p>
    <w:p>
      <w:pPr>
        <w:pStyle w:val="BodyText"/>
        <w:ind w:left="262" w:right="278"/>
        <w:jc w:val="both"/>
      </w:pPr>
      <w:r>
        <w:rPr>
          <w:rFonts w:ascii="Arial" w:hAnsi="Arial"/>
          <w:b/>
        </w:rPr>
        <w:t>ARTÍCULO</w:t>
      </w:r>
      <w:r>
        <w:rPr>
          <w:rFonts w:ascii="Arial" w:hAnsi="Arial"/>
          <w:b/>
          <w:spacing w:val="-6"/>
        </w:rPr>
        <w:t> </w:t>
      </w:r>
      <w:r>
        <w:rPr>
          <w:rFonts w:ascii="Arial" w:hAnsi="Arial"/>
          <w:b/>
        </w:rPr>
        <w:t>131.</w:t>
      </w:r>
      <w:r>
        <w:rPr>
          <w:rFonts w:ascii="Arial" w:hAnsi="Arial"/>
          <w:b/>
          <w:spacing w:val="-5"/>
        </w:rPr>
        <w:t> </w:t>
      </w:r>
      <w:r>
        <w:rPr/>
        <w:t>Se</w:t>
      </w:r>
      <w:r>
        <w:rPr>
          <w:spacing w:val="-5"/>
        </w:rPr>
        <w:t> </w:t>
      </w:r>
      <w:r>
        <w:rPr/>
        <w:t>elaborarán</w:t>
      </w:r>
      <w:r>
        <w:rPr>
          <w:spacing w:val="-5"/>
        </w:rPr>
        <w:t> </w:t>
      </w:r>
      <w:r>
        <w:rPr/>
        <w:t>Programas</w:t>
      </w:r>
      <w:r>
        <w:rPr>
          <w:spacing w:val="-6"/>
        </w:rPr>
        <w:t> </w:t>
      </w:r>
      <w:r>
        <w:rPr/>
        <w:t>Parciales</w:t>
      </w:r>
      <w:r>
        <w:rPr>
          <w:spacing w:val="-4"/>
        </w:rPr>
        <w:t> </w:t>
      </w:r>
      <w:r>
        <w:rPr/>
        <w:t>de</w:t>
      </w:r>
      <w:r>
        <w:rPr>
          <w:spacing w:val="-8"/>
        </w:rPr>
        <w:t> </w:t>
      </w:r>
      <w:r>
        <w:rPr/>
        <w:t>Desarrollo</w:t>
      </w:r>
      <w:r>
        <w:rPr>
          <w:spacing w:val="-8"/>
        </w:rPr>
        <w:t> </w:t>
      </w:r>
      <w:r>
        <w:rPr/>
        <w:t>Urbano</w:t>
      </w:r>
      <w:r>
        <w:rPr>
          <w:spacing w:val="-5"/>
        </w:rPr>
        <w:t> </w:t>
      </w:r>
      <w:r>
        <w:rPr/>
        <w:t>para</w:t>
      </w:r>
      <w:r>
        <w:rPr>
          <w:spacing w:val="-5"/>
        </w:rPr>
        <w:t> </w:t>
      </w:r>
      <w:r>
        <w:rPr/>
        <w:t>normar</w:t>
      </w:r>
      <w:r>
        <w:rPr>
          <w:spacing w:val="40"/>
        </w:rPr>
        <w:t> </w:t>
      </w:r>
      <w:r>
        <w:rPr/>
        <w:t>regular</w:t>
      </w:r>
      <w:r>
        <w:rPr>
          <w:spacing w:val="-5"/>
        </w:rPr>
        <w:t> </w:t>
      </w:r>
      <w:r>
        <w:rPr/>
        <w:t>las áreas</w:t>
      </w:r>
      <w:r>
        <w:rPr>
          <w:spacing w:val="-1"/>
        </w:rPr>
        <w:t> </w:t>
      </w:r>
      <w:r>
        <w:rPr/>
        <w:t>que los Programas</w:t>
      </w:r>
      <w:r>
        <w:rPr>
          <w:spacing w:val="-1"/>
        </w:rPr>
        <w:t> </w:t>
      </w:r>
      <w:r>
        <w:rPr/>
        <w:t>de</w:t>
      </w:r>
      <w:r>
        <w:rPr>
          <w:spacing w:val="-2"/>
        </w:rPr>
        <w:t> </w:t>
      </w:r>
      <w:r>
        <w:rPr/>
        <w:t>Desarrollo</w:t>
      </w:r>
      <w:r>
        <w:rPr>
          <w:spacing w:val="-2"/>
        </w:rPr>
        <w:t> </w:t>
      </w:r>
      <w:r>
        <w:rPr/>
        <w:t>Urbano de</w:t>
      </w:r>
      <w:r>
        <w:rPr>
          <w:spacing w:val="-3"/>
        </w:rPr>
        <w:t> </w:t>
      </w:r>
      <w:r>
        <w:rPr/>
        <w:t>Centros</w:t>
      </w:r>
      <w:r>
        <w:rPr>
          <w:spacing w:val="-1"/>
        </w:rPr>
        <w:t> </w:t>
      </w:r>
      <w:r>
        <w:rPr/>
        <w:t>de</w:t>
      </w:r>
      <w:r>
        <w:rPr>
          <w:spacing w:val="-3"/>
        </w:rPr>
        <w:t> </w:t>
      </w:r>
      <w:r>
        <w:rPr/>
        <w:t>Población</w:t>
      </w:r>
      <w:r>
        <w:rPr>
          <w:spacing w:val="-3"/>
        </w:rPr>
        <w:t> </w:t>
      </w:r>
      <w:r>
        <w:rPr/>
        <w:t>establezcan</w:t>
      </w:r>
      <w:r>
        <w:rPr>
          <w:spacing w:val="-3"/>
        </w:rPr>
        <w:t> </w:t>
      </w:r>
      <w:r>
        <w:rPr/>
        <w:t>como</w:t>
      </w:r>
      <w:r>
        <w:rPr>
          <w:spacing w:val="-2"/>
        </w:rPr>
        <w:t> </w:t>
      </w:r>
      <w:r>
        <w:rPr/>
        <w:t>sujetas a</w:t>
      </w:r>
      <w:r>
        <w:rPr>
          <w:spacing w:val="-9"/>
        </w:rPr>
        <w:t> </w:t>
      </w:r>
      <w:r>
        <w:rPr/>
        <w:t>las</w:t>
      </w:r>
      <w:r>
        <w:rPr>
          <w:spacing w:val="-6"/>
        </w:rPr>
        <w:t> </w:t>
      </w:r>
      <w:r>
        <w:rPr/>
        <w:t>políticas</w:t>
      </w:r>
      <w:r>
        <w:rPr>
          <w:spacing w:val="-6"/>
        </w:rPr>
        <w:t> </w:t>
      </w:r>
      <w:r>
        <w:rPr/>
        <w:t>de</w:t>
      </w:r>
      <w:r>
        <w:rPr>
          <w:spacing w:val="-7"/>
        </w:rPr>
        <w:t> </w:t>
      </w:r>
      <w:r>
        <w:rPr/>
        <w:t>mejoramiento,</w:t>
      </w:r>
      <w:r>
        <w:rPr>
          <w:spacing w:val="-7"/>
        </w:rPr>
        <w:t> </w:t>
      </w:r>
      <w:r>
        <w:rPr/>
        <w:t>conservación</w:t>
      </w:r>
      <w:r>
        <w:rPr>
          <w:spacing w:val="-9"/>
        </w:rPr>
        <w:t> </w:t>
      </w:r>
      <w:r>
        <w:rPr/>
        <w:t>o</w:t>
      </w:r>
      <w:r>
        <w:rPr>
          <w:spacing w:val="-7"/>
        </w:rPr>
        <w:t> </w:t>
      </w:r>
      <w:r>
        <w:rPr/>
        <w:t>crecimiento,</w:t>
      </w:r>
      <w:r>
        <w:rPr>
          <w:spacing w:val="-7"/>
        </w:rPr>
        <w:t> </w:t>
      </w:r>
      <w:r>
        <w:rPr/>
        <w:t>conforme</w:t>
      </w:r>
      <w:r>
        <w:rPr>
          <w:spacing w:val="-7"/>
        </w:rPr>
        <w:t> </w:t>
      </w:r>
      <w:r>
        <w:rPr/>
        <w:t>a</w:t>
      </w:r>
      <w:r>
        <w:rPr>
          <w:spacing w:val="-9"/>
        </w:rPr>
        <w:t> </w:t>
      </w:r>
      <w:r>
        <w:rPr/>
        <w:t>lo</w:t>
      </w:r>
      <w:r>
        <w:rPr>
          <w:spacing w:val="-9"/>
        </w:rPr>
        <w:t> </w:t>
      </w:r>
      <w:r>
        <w:rPr/>
        <w:t>señalado</w:t>
      </w:r>
      <w:r>
        <w:rPr>
          <w:spacing w:val="-7"/>
        </w:rPr>
        <w:t> </w:t>
      </w:r>
      <w:r>
        <w:rPr/>
        <w:t>en</w:t>
      </w:r>
      <w:r>
        <w:rPr>
          <w:spacing w:val="-7"/>
        </w:rPr>
        <w:t> </w:t>
      </w:r>
      <w:r>
        <w:rPr/>
        <w:t>los</w:t>
      </w:r>
      <w:r>
        <w:rPr>
          <w:spacing w:val="-8"/>
        </w:rPr>
        <w:t> </w:t>
      </w:r>
      <w:r>
        <w:rPr/>
        <w:t>artículos 67, 68, 69 y 70 de la presente Ley.</w:t>
      </w:r>
    </w:p>
    <w:p>
      <w:pPr>
        <w:pStyle w:val="BodyText"/>
      </w:pPr>
    </w:p>
    <w:p>
      <w:pPr>
        <w:pStyle w:val="BodyText"/>
        <w:ind w:left="262" w:right="278"/>
        <w:jc w:val="both"/>
      </w:pPr>
      <w:r>
        <w:rPr>
          <w:rFonts w:ascii="Arial" w:hAnsi="Arial"/>
          <w:b/>
        </w:rPr>
        <w:t>ARTÍCULO 132. </w:t>
      </w:r>
      <w:r>
        <w:rPr/>
        <w:t>Las zonas, predios o áreas deterioradas física o funcionalmente, en forma total o parcial,</w:t>
      </w:r>
      <w:r>
        <w:rPr>
          <w:spacing w:val="-2"/>
        </w:rPr>
        <w:t> </w:t>
      </w:r>
      <w:r>
        <w:rPr/>
        <w:t>o</w:t>
      </w:r>
      <w:r>
        <w:rPr>
          <w:spacing w:val="-4"/>
        </w:rPr>
        <w:t> </w:t>
      </w:r>
      <w:r>
        <w:rPr/>
        <w:t>de</w:t>
      </w:r>
      <w:r>
        <w:rPr>
          <w:spacing w:val="-2"/>
        </w:rPr>
        <w:t> </w:t>
      </w:r>
      <w:r>
        <w:rPr/>
        <w:t>incipiente</w:t>
      </w:r>
      <w:r>
        <w:rPr>
          <w:spacing w:val="-2"/>
        </w:rPr>
        <w:t> </w:t>
      </w:r>
      <w:r>
        <w:rPr/>
        <w:t>desarrollo</w:t>
      </w:r>
      <w:r>
        <w:rPr>
          <w:spacing w:val="-4"/>
        </w:rPr>
        <w:t> </w:t>
      </w:r>
      <w:r>
        <w:rPr/>
        <w:t>de</w:t>
      </w:r>
      <w:r>
        <w:rPr>
          <w:spacing w:val="-2"/>
        </w:rPr>
        <w:t> </w:t>
      </w:r>
      <w:r>
        <w:rPr/>
        <w:t>un</w:t>
      </w:r>
      <w:r>
        <w:rPr>
          <w:spacing w:val="-2"/>
        </w:rPr>
        <w:t> </w:t>
      </w:r>
      <w:r>
        <w:rPr/>
        <w:t>centro</w:t>
      </w:r>
      <w:r>
        <w:rPr>
          <w:spacing w:val="-2"/>
        </w:rPr>
        <w:t> </w:t>
      </w:r>
      <w:r>
        <w:rPr/>
        <w:t>de</w:t>
      </w:r>
      <w:r>
        <w:rPr>
          <w:spacing w:val="-2"/>
        </w:rPr>
        <w:t> </w:t>
      </w:r>
      <w:r>
        <w:rPr/>
        <w:t>población,</w:t>
      </w:r>
      <w:r>
        <w:rPr>
          <w:spacing w:val="-2"/>
        </w:rPr>
        <w:t> </w:t>
      </w:r>
      <w:r>
        <w:rPr/>
        <w:t>podrán</w:t>
      </w:r>
      <w:r>
        <w:rPr>
          <w:spacing w:val="-2"/>
        </w:rPr>
        <w:t> </w:t>
      </w:r>
      <w:r>
        <w:rPr/>
        <w:t>ser</w:t>
      </w:r>
      <w:r>
        <w:rPr>
          <w:spacing w:val="-1"/>
        </w:rPr>
        <w:t> </w:t>
      </w:r>
      <w:r>
        <w:rPr/>
        <w:t>incluidas</w:t>
      </w:r>
      <w:r>
        <w:rPr>
          <w:spacing w:val="-1"/>
        </w:rPr>
        <w:t> </w:t>
      </w:r>
      <w:r>
        <w:rPr/>
        <w:t>en</w:t>
      </w:r>
      <w:r>
        <w:rPr>
          <w:spacing w:val="-3"/>
        </w:rPr>
        <w:t> </w:t>
      </w:r>
      <w:r>
        <w:rPr/>
        <w:t>los</w:t>
      </w:r>
      <w:r>
        <w:rPr>
          <w:spacing w:val="-1"/>
        </w:rPr>
        <w:t> </w:t>
      </w:r>
      <w:r>
        <w:rPr/>
        <w:t>Programas de Desarrollo Urbano respectivo como sujetas a la política de mejoramiento, con el fin de reordenarlos, rehabilitarlos, rescatarlos, regenerarlos, regularizarlos, restaurarlos o protegerlos y lograr el mejor aprovechamiento de su ubicación, infraestructura, equipamiento, suelo y elementos de</w:t>
      </w:r>
      <w:r>
        <w:rPr>
          <w:spacing w:val="-1"/>
        </w:rPr>
        <w:t> </w:t>
      </w:r>
      <w:r>
        <w:rPr/>
        <w:t>acondicionamiento</w:t>
      </w:r>
      <w:r>
        <w:rPr>
          <w:spacing w:val="-1"/>
        </w:rPr>
        <w:t> </w:t>
      </w:r>
      <w:r>
        <w:rPr/>
        <w:t>del espacio, integrándolas al</w:t>
      </w:r>
      <w:r>
        <w:rPr>
          <w:spacing w:val="-1"/>
        </w:rPr>
        <w:t> </w:t>
      </w:r>
      <w:r>
        <w:rPr/>
        <w:t>desarrollo urbano, particularmente en</w:t>
      </w:r>
      <w:r>
        <w:rPr>
          <w:spacing w:val="-1"/>
        </w:rPr>
        <w:t> </w:t>
      </w:r>
      <w:r>
        <w:rPr/>
        <w:t>beneficio de los habitantes de dichas zonas, debiendo considerar:</w:t>
      </w:r>
    </w:p>
    <w:p>
      <w:pPr>
        <w:pStyle w:val="BodyText"/>
        <w:spacing w:before="1"/>
      </w:pPr>
    </w:p>
    <w:p>
      <w:pPr>
        <w:pStyle w:val="ListParagraph"/>
        <w:numPr>
          <w:ilvl w:val="0"/>
          <w:numId w:val="57"/>
        </w:numPr>
        <w:tabs>
          <w:tab w:pos="543" w:val="left" w:leader="none"/>
        </w:tabs>
        <w:spacing w:line="240" w:lineRule="auto" w:before="0" w:after="0"/>
        <w:ind w:left="262" w:right="288" w:firstLine="0"/>
        <w:jc w:val="both"/>
        <w:rPr>
          <w:sz w:val="20"/>
        </w:rPr>
      </w:pPr>
      <w:r>
        <w:rPr>
          <w:sz w:val="20"/>
        </w:rPr>
        <w:t>La</w:t>
      </w:r>
      <w:r>
        <w:rPr>
          <w:spacing w:val="-4"/>
          <w:sz w:val="20"/>
        </w:rPr>
        <w:t> </w:t>
      </w:r>
      <w:r>
        <w:rPr>
          <w:sz w:val="20"/>
        </w:rPr>
        <w:t>construcción</w:t>
      </w:r>
      <w:r>
        <w:rPr>
          <w:spacing w:val="-4"/>
          <w:sz w:val="20"/>
        </w:rPr>
        <w:t> </w:t>
      </w:r>
      <w:r>
        <w:rPr>
          <w:sz w:val="20"/>
        </w:rPr>
        <w:t>y</w:t>
      </w:r>
      <w:r>
        <w:rPr>
          <w:spacing w:val="-2"/>
          <w:sz w:val="20"/>
        </w:rPr>
        <w:t> </w:t>
      </w:r>
      <w:r>
        <w:rPr>
          <w:sz w:val="20"/>
        </w:rPr>
        <w:t>adecuación</w:t>
      </w:r>
      <w:r>
        <w:rPr>
          <w:spacing w:val="-4"/>
          <w:sz w:val="20"/>
        </w:rPr>
        <w:t> </w:t>
      </w:r>
      <w:r>
        <w:rPr>
          <w:sz w:val="20"/>
        </w:rPr>
        <w:t>de</w:t>
      </w:r>
      <w:r>
        <w:rPr>
          <w:spacing w:val="-4"/>
          <w:sz w:val="20"/>
        </w:rPr>
        <w:t> </w:t>
      </w:r>
      <w:r>
        <w:rPr>
          <w:sz w:val="20"/>
        </w:rPr>
        <w:t>la</w:t>
      </w:r>
      <w:r>
        <w:rPr>
          <w:spacing w:val="-3"/>
          <w:sz w:val="20"/>
        </w:rPr>
        <w:t> </w:t>
      </w:r>
      <w:r>
        <w:rPr>
          <w:sz w:val="20"/>
        </w:rPr>
        <w:t>infraestructura, el</w:t>
      </w:r>
      <w:r>
        <w:rPr>
          <w:spacing w:val="-2"/>
          <w:sz w:val="20"/>
        </w:rPr>
        <w:t> </w:t>
      </w:r>
      <w:r>
        <w:rPr>
          <w:sz w:val="20"/>
        </w:rPr>
        <w:t>equipamiento</w:t>
      </w:r>
      <w:r>
        <w:rPr>
          <w:spacing w:val="-3"/>
          <w:sz w:val="20"/>
        </w:rPr>
        <w:t> </w:t>
      </w:r>
      <w:r>
        <w:rPr>
          <w:sz w:val="20"/>
        </w:rPr>
        <w:t>y</w:t>
      </w:r>
      <w:r>
        <w:rPr>
          <w:spacing w:val="-2"/>
          <w:sz w:val="20"/>
        </w:rPr>
        <w:t> </w:t>
      </w:r>
      <w:r>
        <w:rPr>
          <w:sz w:val="20"/>
        </w:rPr>
        <w:t>los</w:t>
      </w:r>
      <w:r>
        <w:rPr>
          <w:spacing w:val="-2"/>
          <w:sz w:val="20"/>
        </w:rPr>
        <w:t> </w:t>
      </w:r>
      <w:r>
        <w:rPr>
          <w:sz w:val="20"/>
        </w:rPr>
        <w:t>servicios</w:t>
      </w:r>
      <w:r>
        <w:rPr>
          <w:spacing w:val="-2"/>
          <w:sz w:val="20"/>
        </w:rPr>
        <w:t> </w:t>
      </w:r>
      <w:r>
        <w:rPr>
          <w:sz w:val="20"/>
        </w:rPr>
        <w:t>urbanos</w:t>
      </w:r>
      <w:r>
        <w:rPr>
          <w:spacing w:val="-2"/>
          <w:sz w:val="20"/>
        </w:rPr>
        <w:t> </w:t>
      </w:r>
      <w:r>
        <w:rPr>
          <w:sz w:val="20"/>
        </w:rPr>
        <w:t>para garantizar</w:t>
      </w:r>
      <w:r>
        <w:rPr>
          <w:spacing w:val="34"/>
          <w:sz w:val="20"/>
        </w:rPr>
        <w:t> </w:t>
      </w:r>
      <w:r>
        <w:rPr>
          <w:sz w:val="20"/>
        </w:rPr>
        <w:t>la</w:t>
      </w:r>
      <w:r>
        <w:rPr>
          <w:spacing w:val="33"/>
          <w:sz w:val="20"/>
        </w:rPr>
        <w:t> </w:t>
      </w:r>
      <w:r>
        <w:rPr>
          <w:sz w:val="20"/>
        </w:rPr>
        <w:t>seguridad,</w:t>
      </w:r>
      <w:r>
        <w:rPr>
          <w:spacing w:val="33"/>
          <w:sz w:val="20"/>
        </w:rPr>
        <w:t> </w:t>
      </w:r>
      <w:r>
        <w:rPr>
          <w:sz w:val="20"/>
        </w:rPr>
        <w:t>libre</w:t>
      </w:r>
      <w:r>
        <w:rPr>
          <w:spacing w:val="34"/>
          <w:sz w:val="20"/>
        </w:rPr>
        <w:t> </w:t>
      </w:r>
      <w:r>
        <w:rPr>
          <w:sz w:val="20"/>
        </w:rPr>
        <w:t>tránsito</w:t>
      </w:r>
      <w:r>
        <w:rPr>
          <w:spacing w:val="33"/>
          <w:sz w:val="20"/>
        </w:rPr>
        <w:t> </w:t>
      </w:r>
      <w:r>
        <w:rPr>
          <w:sz w:val="20"/>
        </w:rPr>
        <w:t>y</w:t>
      </w:r>
      <w:r>
        <w:rPr>
          <w:spacing w:val="35"/>
          <w:sz w:val="20"/>
        </w:rPr>
        <w:t> </w:t>
      </w:r>
      <w:r>
        <w:rPr>
          <w:sz w:val="20"/>
        </w:rPr>
        <w:t>accesibilidad</w:t>
      </w:r>
      <w:r>
        <w:rPr>
          <w:spacing w:val="33"/>
          <w:sz w:val="20"/>
        </w:rPr>
        <w:t> </w:t>
      </w:r>
      <w:r>
        <w:rPr>
          <w:sz w:val="20"/>
        </w:rPr>
        <w:t>universal</w:t>
      </w:r>
      <w:r>
        <w:rPr>
          <w:spacing w:val="32"/>
          <w:sz w:val="20"/>
        </w:rPr>
        <w:t> </w:t>
      </w:r>
      <w:r>
        <w:rPr>
          <w:sz w:val="20"/>
        </w:rPr>
        <w:t>requeridas</w:t>
      </w:r>
      <w:r>
        <w:rPr>
          <w:spacing w:val="35"/>
          <w:sz w:val="20"/>
        </w:rPr>
        <w:t> </w:t>
      </w:r>
      <w:r>
        <w:rPr>
          <w:sz w:val="20"/>
        </w:rPr>
        <w:t>por</w:t>
      </w:r>
      <w:r>
        <w:rPr>
          <w:spacing w:val="34"/>
          <w:sz w:val="20"/>
        </w:rPr>
        <w:t> </w:t>
      </w:r>
      <w:r>
        <w:rPr>
          <w:sz w:val="20"/>
        </w:rPr>
        <w:t>las</w:t>
      </w:r>
      <w:r>
        <w:rPr>
          <w:spacing w:val="34"/>
          <w:sz w:val="20"/>
        </w:rPr>
        <w:t> </w:t>
      </w:r>
      <w:r>
        <w:rPr>
          <w:sz w:val="20"/>
        </w:rPr>
        <w:t>personas</w:t>
      </w:r>
      <w:r>
        <w:rPr>
          <w:spacing w:val="35"/>
          <w:sz w:val="20"/>
        </w:rPr>
        <w:t> </w:t>
      </w:r>
      <w:r>
        <w:rPr>
          <w:sz w:val="20"/>
        </w:rPr>
        <w:t>con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discapacidad,</w:t>
      </w:r>
      <w:r>
        <w:rPr>
          <w:spacing w:val="-6"/>
        </w:rPr>
        <w:t> </w:t>
      </w:r>
      <w:r>
        <w:rPr/>
        <w:t>estableciendo</w:t>
      </w:r>
      <w:r>
        <w:rPr>
          <w:spacing w:val="-6"/>
        </w:rPr>
        <w:t> </w:t>
      </w:r>
      <w:r>
        <w:rPr/>
        <w:t>los</w:t>
      </w:r>
      <w:r>
        <w:rPr>
          <w:spacing w:val="-5"/>
        </w:rPr>
        <w:t> </w:t>
      </w:r>
      <w:r>
        <w:rPr/>
        <w:t>procedimientos</w:t>
      </w:r>
      <w:r>
        <w:rPr>
          <w:spacing w:val="-5"/>
        </w:rPr>
        <w:t> </w:t>
      </w:r>
      <w:r>
        <w:rPr/>
        <w:t>de</w:t>
      </w:r>
      <w:r>
        <w:rPr>
          <w:spacing w:val="-7"/>
        </w:rPr>
        <w:t> </w:t>
      </w:r>
      <w:r>
        <w:rPr/>
        <w:t>consulta</w:t>
      </w:r>
      <w:r>
        <w:rPr>
          <w:spacing w:val="-4"/>
        </w:rPr>
        <w:t> </w:t>
      </w:r>
      <w:r>
        <w:rPr/>
        <w:t>a</w:t>
      </w:r>
      <w:r>
        <w:rPr>
          <w:spacing w:val="-6"/>
        </w:rPr>
        <w:t> </w:t>
      </w:r>
      <w:r>
        <w:rPr/>
        <w:t>las</w:t>
      </w:r>
      <w:r>
        <w:rPr>
          <w:spacing w:val="-5"/>
        </w:rPr>
        <w:t> </w:t>
      </w:r>
      <w:r>
        <w:rPr/>
        <w:t>personas</w:t>
      </w:r>
      <w:r>
        <w:rPr>
          <w:spacing w:val="-5"/>
        </w:rPr>
        <w:t> </w:t>
      </w:r>
      <w:r>
        <w:rPr/>
        <w:t>con</w:t>
      </w:r>
      <w:r>
        <w:rPr>
          <w:spacing w:val="-7"/>
        </w:rPr>
        <w:t> </w:t>
      </w:r>
      <w:r>
        <w:rPr/>
        <w:t>discapacidad</w:t>
      </w:r>
      <w:r>
        <w:rPr>
          <w:spacing w:val="-7"/>
        </w:rPr>
        <w:t> </w:t>
      </w:r>
      <w:r>
        <w:rPr/>
        <w:t>sobre las características técnicas de los proyectos;</w:t>
      </w:r>
    </w:p>
    <w:p>
      <w:pPr>
        <w:pStyle w:val="BodyText"/>
        <w:spacing w:before="1"/>
      </w:pPr>
    </w:p>
    <w:p>
      <w:pPr>
        <w:pStyle w:val="ListParagraph"/>
        <w:numPr>
          <w:ilvl w:val="0"/>
          <w:numId w:val="57"/>
        </w:numPr>
        <w:tabs>
          <w:tab w:pos="686" w:val="left" w:leader="none"/>
        </w:tabs>
        <w:spacing w:line="240" w:lineRule="auto" w:before="0" w:after="0"/>
        <w:ind w:left="262" w:right="285" w:firstLine="0"/>
        <w:jc w:val="both"/>
        <w:rPr>
          <w:sz w:val="20"/>
        </w:rPr>
      </w:pPr>
      <w:r>
        <w:rPr>
          <w:sz w:val="20"/>
        </w:rPr>
        <w:t>La</w:t>
      </w:r>
      <w:r>
        <w:rPr>
          <w:spacing w:val="-14"/>
          <w:sz w:val="20"/>
        </w:rPr>
        <w:t> </w:t>
      </w:r>
      <w:r>
        <w:rPr>
          <w:sz w:val="20"/>
        </w:rPr>
        <w:t>previsión</w:t>
      </w:r>
      <w:r>
        <w:rPr>
          <w:spacing w:val="-14"/>
          <w:sz w:val="20"/>
        </w:rPr>
        <w:t> </w:t>
      </w:r>
      <w:r>
        <w:rPr>
          <w:sz w:val="20"/>
        </w:rPr>
        <w:t>que</w:t>
      </w:r>
      <w:r>
        <w:rPr>
          <w:spacing w:val="-14"/>
          <w:sz w:val="20"/>
        </w:rPr>
        <w:t> </w:t>
      </w:r>
      <w:r>
        <w:rPr>
          <w:sz w:val="20"/>
        </w:rPr>
        <w:t>debe</w:t>
      </w:r>
      <w:r>
        <w:rPr>
          <w:spacing w:val="-14"/>
          <w:sz w:val="20"/>
        </w:rPr>
        <w:t> </w:t>
      </w:r>
      <w:r>
        <w:rPr>
          <w:sz w:val="20"/>
        </w:rPr>
        <w:t>existir</w:t>
      </w:r>
      <w:r>
        <w:rPr>
          <w:spacing w:val="-14"/>
          <w:sz w:val="20"/>
        </w:rPr>
        <w:t> </w:t>
      </w:r>
      <w:r>
        <w:rPr>
          <w:sz w:val="20"/>
        </w:rPr>
        <w:t>de</w:t>
      </w:r>
      <w:r>
        <w:rPr>
          <w:spacing w:val="-14"/>
          <w:sz w:val="20"/>
        </w:rPr>
        <w:t> </w:t>
      </w:r>
      <w:r>
        <w:rPr>
          <w:sz w:val="20"/>
        </w:rPr>
        <w:t>áreas</w:t>
      </w:r>
      <w:r>
        <w:rPr>
          <w:spacing w:val="-14"/>
          <w:sz w:val="20"/>
        </w:rPr>
        <w:t> </w:t>
      </w:r>
      <w:r>
        <w:rPr>
          <w:sz w:val="20"/>
        </w:rPr>
        <w:t>verdes,</w:t>
      </w:r>
      <w:r>
        <w:rPr>
          <w:spacing w:val="-14"/>
          <w:sz w:val="20"/>
        </w:rPr>
        <w:t> </w:t>
      </w:r>
      <w:r>
        <w:rPr>
          <w:sz w:val="20"/>
        </w:rPr>
        <w:t>espacios</w:t>
      </w:r>
      <w:r>
        <w:rPr>
          <w:spacing w:val="-14"/>
          <w:sz w:val="20"/>
        </w:rPr>
        <w:t> </w:t>
      </w:r>
      <w:r>
        <w:rPr>
          <w:sz w:val="20"/>
        </w:rPr>
        <w:t>públicos</w:t>
      </w:r>
      <w:r>
        <w:rPr>
          <w:spacing w:val="-13"/>
          <w:sz w:val="20"/>
        </w:rPr>
        <w:t> </w:t>
      </w:r>
      <w:r>
        <w:rPr>
          <w:sz w:val="20"/>
        </w:rPr>
        <w:t>seguros</w:t>
      </w:r>
      <w:r>
        <w:rPr>
          <w:spacing w:val="-14"/>
          <w:sz w:val="20"/>
        </w:rPr>
        <w:t> </w:t>
      </w:r>
      <w:r>
        <w:rPr>
          <w:sz w:val="20"/>
        </w:rPr>
        <w:t>y</w:t>
      </w:r>
      <w:r>
        <w:rPr>
          <w:spacing w:val="-14"/>
          <w:sz w:val="20"/>
        </w:rPr>
        <w:t> </w:t>
      </w:r>
      <w:r>
        <w:rPr>
          <w:sz w:val="20"/>
        </w:rPr>
        <w:t>de</w:t>
      </w:r>
      <w:r>
        <w:rPr>
          <w:spacing w:val="-14"/>
          <w:sz w:val="20"/>
        </w:rPr>
        <w:t> </w:t>
      </w:r>
      <w:r>
        <w:rPr>
          <w:sz w:val="20"/>
        </w:rPr>
        <w:t>calidad,</w:t>
      </w:r>
      <w:r>
        <w:rPr>
          <w:spacing w:val="-14"/>
          <w:sz w:val="20"/>
        </w:rPr>
        <w:t> </w:t>
      </w:r>
      <w:r>
        <w:rPr>
          <w:sz w:val="20"/>
        </w:rPr>
        <w:t>y</w:t>
      </w:r>
      <w:r>
        <w:rPr>
          <w:spacing w:val="-14"/>
          <w:sz w:val="20"/>
        </w:rPr>
        <w:t> </w:t>
      </w:r>
      <w:r>
        <w:rPr>
          <w:sz w:val="20"/>
        </w:rPr>
        <w:t>espacio </w:t>
      </w:r>
      <w:r>
        <w:rPr>
          <w:spacing w:val="-2"/>
          <w:sz w:val="20"/>
        </w:rPr>
        <w:t>edificable;</w:t>
      </w:r>
    </w:p>
    <w:p>
      <w:pPr>
        <w:pStyle w:val="ListParagraph"/>
        <w:numPr>
          <w:ilvl w:val="0"/>
          <w:numId w:val="57"/>
        </w:numPr>
        <w:tabs>
          <w:tab w:pos="685" w:val="left" w:leader="none"/>
        </w:tabs>
        <w:spacing w:line="240" w:lineRule="auto" w:before="229" w:after="0"/>
        <w:ind w:left="262" w:right="283" w:firstLine="0"/>
        <w:jc w:val="both"/>
        <w:rPr>
          <w:sz w:val="20"/>
        </w:rPr>
      </w:pPr>
      <w:r>
        <w:rPr>
          <w:sz w:val="20"/>
        </w:rPr>
        <w:t>La</w:t>
      </w:r>
      <w:r>
        <w:rPr>
          <w:spacing w:val="-6"/>
          <w:sz w:val="20"/>
        </w:rPr>
        <w:t> </w:t>
      </w:r>
      <w:r>
        <w:rPr>
          <w:sz w:val="20"/>
        </w:rPr>
        <w:t>promoción</w:t>
      </w:r>
      <w:r>
        <w:rPr>
          <w:spacing w:val="-6"/>
          <w:sz w:val="20"/>
        </w:rPr>
        <w:t> </w:t>
      </w:r>
      <w:r>
        <w:rPr>
          <w:sz w:val="20"/>
        </w:rPr>
        <w:t>y</w:t>
      </w:r>
      <w:r>
        <w:rPr>
          <w:spacing w:val="-5"/>
          <w:sz w:val="20"/>
        </w:rPr>
        <w:t> </w:t>
      </w:r>
      <w:r>
        <w:rPr>
          <w:sz w:val="20"/>
        </w:rPr>
        <w:t>aplicación</w:t>
      </w:r>
      <w:r>
        <w:rPr>
          <w:spacing w:val="-5"/>
          <w:sz w:val="20"/>
        </w:rPr>
        <w:t> </w:t>
      </w:r>
      <w:r>
        <w:rPr>
          <w:sz w:val="20"/>
        </w:rPr>
        <w:t>de</w:t>
      </w:r>
      <w:r>
        <w:rPr>
          <w:spacing w:val="-6"/>
          <w:sz w:val="20"/>
        </w:rPr>
        <w:t> </w:t>
      </w:r>
      <w:r>
        <w:rPr>
          <w:sz w:val="20"/>
        </w:rPr>
        <w:t>tecnologías</w:t>
      </w:r>
      <w:r>
        <w:rPr>
          <w:spacing w:val="-5"/>
          <w:sz w:val="20"/>
        </w:rPr>
        <w:t> </w:t>
      </w:r>
      <w:r>
        <w:rPr>
          <w:sz w:val="20"/>
        </w:rPr>
        <w:t>factibles</w:t>
      </w:r>
      <w:r>
        <w:rPr>
          <w:spacing w:val="-5"/>
          <w:sz w:val="20"/>
        </w:rPr>
        <w:t> </w:t>
      </w:r>
      <w:r>
        <w:rPr>
          <w:sz w:val="20"/>
        </w:rPr>
        <w:t>y</w:t>
      </w:r>
      <w:r>
        <w:rPr>
          <w:spacing w:val="-5"/>
          <w:sz w:val="20"/>
        </w:rPr>
        <w:t> </w:t>
      </w:r>
      <w:r>
        <w:rPr>
          <w:sz w:val="20"/>
        </w:rPr>
        <w:t>ambientalmente</w:t>
      </w:r>
      <w:r>
        <w:rPr>
          <w:spacing w:val="-6"/>
          <w:sz w:val="20"/>
        </w:rPr>
        <w:t> </w:t>
      </w:r>
      <w:r>
        <w:rPr>
          <w:sz w:val="20"/>
        </w:rPr>
        <w:t>adecuadas</w:t>
      </w:r>
      <w:r>
        <w:rPr>
          <w:spacing w:val="-3"/>
          <w:sz w:val="20"/>
        </w:rPr>
        <w:t> </w:t>
      </w:r>
      <w:r>
        <w:rPr>
          <w:sz w:val="20"/>
        </w:rPr>
        <w:t>para</w:t>
      </w:r>
      <w:r>
        <w:rPr>
          <w:spacing w:val="-6"/>
          <w:sz w:val="20"/>
        </w:rPr>
        <w:t> </w:t>
      </w:r>
      <w:r>
        <w:rPr>
          <w:sz w:val="20"/>
        </w:rPr>
        <w:t>la</w:t>
      </w:r>
      <w:r>
        <w:rPr>
          <w:spacing w:val="-4"/>
          <w:sz w:val="20"/>
        </w:rPr>
        <w:t> </w:t>
      </w:r>
      <w:r>
        <w:rPr>
          <w:sz w:val="20"/>
        </w:rPr>
        <w:t>mayor autosuficiencia,</w:t>
      </w:r>
      <w:r>
        <w:rPr>
          <w:spacing w:val="-11"/>
          <w:sz w:val="20"/>
        </w:rPr>
        <w:t> </w:t>
      </w:r>
      <w:r>
        <w:rPr>
          <w:sz w:val="20"/>
        </w:rPr>
        <w:t>sustentabilidad</w:t>
      </w:r>
      <w:r>
        <w:rPr>
          <w:spacing w:val="-13"/>
          <w:sz w:val="20"/>
        </w:rPr>
        <w:t> </w:t>
      </w:r>
      <w:r>
        <w:rPr>
          <w:sz w:val="20"/>
        </w:rPr>
        <w:t>y</w:t>
      </w:r>
      <w:r>
        <w:rPr>
          <w:spacing w:val="-10"/>
          <w:sz w:val="20"/>
        </w:rPr>
        <w:t> </w:t>
      </w:r>
      <w:r>
        <w:rPr>
          <w:sz w:val="20"/>
        </w:rPr>
        <w:t>protección</w:t>
      </w:r>
      <w:r>
        <w:rPr>
          <w:spacing w:val="-13"/>
          <w:sz w:val="20"/>
        </w:rPr>
        <w:t> </w:t>
      </w:r>
      <w:r>
        <w:rPr>
          <w:sz w:val="20"/>
        </w:rPr>
        <w:t>ambiental,</w:t>
      </w:r>
      <w:r>
        <w:rPr>
          <w:spacing w:val="-11"/>
          <w:sz w:val="20"/>
        </w:rPr>
        <w:t> </w:t>
      </w:r>
      <w:r>
        <w:rPr>
          <w:sz w:val="20"/>
        </w:rPr>
        <w:t>incluyendo</w:t>
      </w:r>
      <w:r>
        <w:rPr>
          <w:spacing w:val="-11"/>
          <w:sz w:val="20"/>
        </w:rPr>
        <w:t> </w:t>
      </w:r>
      <w:r>
        <w:rPr>
          <w:sz w:val="20"/>
        </w:rPr>
        <w:t>la</w:t>
      </w:r>
      <w:r>
        <w:rPr>
          <w:spacing w:val="-11"/>
          <w:sz w:val="20"/>
        </w:rPr>
        <w:t> </w:t>
      </w:r>
      <w:r>
        <w:rPr>
          <w:sz w:val="20"/>
        </w:rPr>
        <w:t>aplicación</w:t>
      </w:r>
      <w:r>
        <w:rPr>
          <w:spacing w:val="-11"/>
          <w:sz w:val="20"/>
        </w:rPr>
        <w:t> </w:t>
      </w:r>
      <w:r>
        <w:rPr>
          <w:sz w:val="20"/>
        </w:rPr>
        <w:t>de</w:t>
      </w:r>
      <w:r>
        <w:rPr>
          <w:spacing w:val="-12"/>
          <w:sz w:val="20"/>
        </w:rPr>
        <w:t> </w:t>
      </w:r>
      <w:r>
        <w:rPr>
          <w:sz w:val="20"/>
        </w:rPr>
        <w:t>azoteas</w:t>
      </w:r>
      <w:r>
        <w:rPr>
          <w:spacing w:val="-12"/>
          <w:sz w:val="20"/>
        </w:rPr>
        <w:t> </w:t>
      </w:r>
      <w:r>
        <w:rPr>
          <w:sz w:val="20"/>
        </w:rPr>
        <w:t>o</w:t>
      </w:r>
      <w:r>
        <w:rPr>
          <w:spacing w:val="-13"/>
          <w:sz w:val="20"/>
        </w:rPr>
        <w:t> </w:t>
      </w:r>
      <w:r>
        <w:rPr>
          <w:sz w:val="20"/>
        </w:rPr>
        <w:t>techos verdes y jardines verticales, y</w:t>
      </w:r>
    </w:p>
    <w:p>
      <w:pPr>
        <w:pStyle w:val="BodyText"/>
        <w:spacing w:before="2"/>
      </w:pPr>
    </w:p>
    <w:p>
      <w:pPr>
        <w:pStyle w:val="ListParagraph"/>
        <w:numPr>
          <w:ilvl w:val="0"/>
          <w:numId w:val="57"/>
        </w:numPr>
        <w:tabs>
          <w:tab w:pos="688" w:val="left" w:leader="none"/>
        </w:tabs>
        <w:spacing w:line="240" w:lineRule="auto" w:before="0" w:after="0"/>
        <w:ind w:left="688" w:right="0" w:hanging="426"/>
        <w:jc w:val="both"/>
        <w:rPr>
          <w:sz w:val="20"/>
        </w:rPr>
      </w:pPr>
      <w:r>
        <w:rPr>
          <w:spacing w:val="-2"/>
          <w:sz w:val="20"/>
        </w:rPr>
        <w:t>Las</w:t>
      </w:r>
      <w:r>
        <w:rPr>
          <w:spacing w:val="-8"/>
          <w:sz w:val="20"/>
        </w:rPr>
        <w:t> </w:t>
      </w:r>
      <w:r>
        <w:rPr>
          <w:spacing w:val="-2"/>
          <w:sz w:val="20"/>
        </w:rPr>
        <w:t>demás</w:t>
      </w:r>
      <w:r>
        <w:rPr>
          <w:spacing w:val="-6"/>
          <w:sz w:val="20"/>
        </w:rPr>
        <w:t> </w:t>
      </w:r>
      <w:r>
        <w:rPr>
          <w:spacing w:val="-2"/>
          <w:sz w:val="20"/>
        </w:rPr>
        <w:t>que</w:t>
      </w:r>
      <w:r>
        <w:rPr>
          <w:spacing w:val="-9"/>
          <w:sz w:val="20"/>
        </w:rPr>
        <w:t> </w:t>
      </w:r>
      <w:r>
        <w:rPr>
          <w:spacing w:val="-2"/>
          <w:sz w:val="20"/>
        </w:rPr>
        <w:t>se</w:t>
      </w:r>
      <w:r>
        <w:rPr>
          <w:spacing w:val="-7"/>
          <w:sz w:val="20"/>
        </w:rPr>
        <w:t> </w:t>
      </w:r>
      <w:r>
        <w:rPr>
          <w:spacing w:val="-2"/>
          <w:sz w:val="20"/>
        </w:rPr>
        <w:t>consideren</w:t>
      </w:r>
      <w:r>
        <w:rPr>
          <w:spacing w:val="-6"/>
          <w:sz w:val="20"/>
        </w:rPr>
        <w:t> </w:t>
      </w:r>
      <w:r>
        <w:rPr>
          <w:spacing w:val="-2"/>
          <w:sz w:val="20"/>
        </w:rPr>
        <w:t>necesarias</w:t>
      </w:r>
      <w:r>
        <w:rPr>
          <w:spacing w:val="-8"/>
          <w:sz w:val="20"/>
        </w:rPr>
        <w:t> </w:t>
      </w:r>
      <w:r>
        <w:rPr>
          <w:spacing w:val="-2"/>
          <w:sz w:val="20"/>
        </w:rPr>
        <w:t>para</w:t>
      </w:r>
      <w:r>
        <w:rPr>
          <w:spacing w:val="-9"/>
          <w:sz w:val="20"/>
        </w:rPr>
        <w:t> </w:t>
      </w:r>
      <w:r>
        <w:rPr>
          <w:spacing w:val="-2"/>
          <w:sz w:val="20"/>
        </w:rPr>
        <w:t>el</w:t>
      </w:r>
      <w:r>
        <w:rPr>
          <w:spacing w:val="-7"/>
          <w:sz w:val="20"/>
        </w:rPr>
        <w:t> </w:t>
      </w:r>
      <w:r>
        <w:rPr>
          <w:spacing w:val="-2"/>
          <w:sz w:val="20"/>
        </w:rPr>
        <w:t>mejor</w:t>
      </w:r>
      <w:r>
        <w:rPr>
          <w:spacing w:val="-6"/>
          <w:sz w:val="20"/>
        </w:rPr>
        <w:t> </w:t>
      </w:r>
      <w:r>
        <w:rPr>
          <w:spacing w:val="-2"/>
          <w:sz w:val="20"/>
        </w:rPr>
        <w:t>efecto</w:t>
      </w:r>
      <w:r>
        <w:rPr>
          <w:spacing w:val="-9"/>
          <w:sz w:val="20"/>
        </w:rPr>
        <w:t> </w:t>
      </w:r>
      <w:r>
        <w:rPr>
          <w:spacing w:val="-2"/>
          <w:sz w:val="20"/>
        </w:rPr>
        <w:t>de</w:t>
      </w:r>
      <w:r>
        <w:rPr>
          <w:spacing w:val="-6"/>
          <w:sz w:val="20"/>
        </w:rPr>
        <w:t> </w:t>
      </w:r>
      <w:r>
        <w:rPr>
          <w:spacing w:val="-2"/>
          <w:sz w:val="20"/>
        </w:rPr>
        <w:t>las</w:t>
      </w:r>
      <w:r>
        <w:rPr>
          <w:spacing w:val="-6"/>
          <w:sz w:val="20"/>
        </w:rPr>
        <w:t> </w:t>
      </w:r>
      <w:r>
        <w:rPr>
          <w:spacing w:val="-2"/>
          <w:sz w:val="20"/>
        </w:rPr>
        <w:t>acciones</w:t>
      </w:r>
      <w:r>
        <w:rPr>
          <w:spacing w:val="-8"/>
          <w:sz w:val="20"/>
        </w:rPr>
        <w:t> </w:t>
      </w:r>
      <w:r>
        <w:rPr>
          <w:spacing w:val="-2"/>
          <w:sz w:val="20"/>
        </w:rPr>
        <w:t>de</w:t>
      </w:r>
      <w:r>
        <w:rPr>
          <w:spacing w:val="-5"/>
          <w:sz w:val="20"/>
        </w:rPr>
        <w:t> </w:t>
      </w:r>
      <w:r>
        <w:rPr>
          <w:spacing w:val="-2"/>
          <w:sz w:val="20"/>
        </w:rPr>
        <w:t>mejoramiento.</w:t>
      </w:r>
    </w:p>
    <w:p>
      <w:pPr>
        <w:pStyle w:val="BodyText"/>
        <w:spacing w:before="229"/>
        <w:ind w:left="262" w:right="278"/>
        <w:jc w:val="both"/>
      </w:pPr>
      <w:r>
        <w:rPr>
          <w:rFonts w:ascii="Arial" w:hAnsi="Arial"/>
          <w:b/>
        </w:rPr>
        <w:t>ARTÍCULO 133. </w:t>
      </w:r>
      <w:r>
        <w:rPr/>
        <w:t>Los usos y destinos del suelo que generan un impacto urbano significativo, así como</w:t>
      </w:r>
      <w:r>
        <w:rPr>
          <w:spacing w:val="-9"/>
        </w:rPr>
        <w:t> </w:t>
      </w:r>
      <w:r>
        <w:rPr/>
        <w:t>los</w:t>
      </w:r>
      <w:r>
        <w:rPr>
          <w:spacing w:val="-9"/>
        </w:rPr>
        <w:t> </w:t>
      </w:r>
      <w:r>
        <w:rPr/>
        <w:t>corredores</w:t>
      </w:r>
      <w:r>
        <w:rPr>
          <w:spacing w:val="-9"/>
        </w:rPr>
        <w:t> </w:t>
      </w:r>
      <w:r>
        <w:rPr/>
        <w:t>urbanos,</w:t>
      </w:r>
      <w:r>
        <w:rPr>
          <w:spacing w:val="-10"/>
        </w:rPr>
        <w:t> </w:t>
      </w:r>
      <w:r>
        <w:rPr/>
        <w:t>fraccionamientos,</w:t>
      </w:r>
      <w:r>
        <w:rPr>
          <w:spacing w:val="-10"/>
        </w:rPr>
        <w:t> </w:t>
      </w:r>
      <w:r>
        <w:rPr/>
        <w:t>condominios</w:t>
      </w:r>
      <w:r>
        <w:rPr>
          <w:spacing w:val="-9"/>
        </w:rPr>
        <w:t> </w:t>
      </w:r>
      <w:r>
        <w:rPr/>
        <w:t>y</w:t>
      </w:r>
      <w:r>
        <w:rPr>
          <w:spacing w:val="-9"/>
        </w:rPr>
        <w:t> </w:t>
      </w:r>
      <w:r>
        <w:rPr/>
        <w:t>desarrollos</w:t>
      </w:r>
      <w:r>
        <w:rPr>
          <w:spacing w:val="-8"/>
        </w:rPr>
        <w:t> </w:t>
      </w:r>
      <w:r>
        <w:rPr/>
        <w:t>inmobiliarios</w:t>
      </w:r>
      <w:r>
        <w:rPr>
          <w:spacing w:val="-9"/>
        </w:rPr>
        <w:t> </w:t>
      </w:r>
      <w:r>
        <w:rPr/>
        <w:t>especiales, y el equipamiento urbano básico de los centros de población, deberán incluirse en los aprovechamientos que se especifiquen en los programas de ordenamiento territorial y desarrollo urbano y demás disposiciones jurídicas aplicables, señalando sus características, restricciones, lineamientos de operación y sus condicionamientos de edificación, urbanización, ubicación, aprovechamiento y funcionamiento.</w:t>
      </w:r>
    </w:p>
    <w:p>
      <w:pPr>
        <w:pStyle w:val="BodyText"/>
        <w:spacing w:before="1"/>
      </w:pPr>
    </w:p>
    <w:p>
      <w:pPr>
        <w:pStyle w:val="BodyText"/>
        <w:ind w:left="262" w:right="275"/>
        <w:jc w:val="both"/>
      </w:pPr>
      <w:r>
        <w:rPr>
          <w:rFonts w:ascii="Arial" w:hAnsi="Arial"/>
          <w:b/>
        </w:rPr>
        <w:t>ARTÍCULO 134. </w:t>
      </w:r>
      <w:r>
        <w:rPr/>
        <w:t>Las edificaciones que tengan más de cuatro niveles, cualquiera que sea su uso y destino, solo se autorizarán en las zonas en que así se encuentren permitidos conforme a los programas de desarrollo urbano de centros de población y los que deriven de los mismos. En los casos en que dicha previsión no se incluya en los programas antes señalados, o no se cuente con los mismos, previo a su autorización se deberá presentar un estudio de imagen e impacto urbano emitido</w:t>
      </w:r>
      <w:r>
        <w:rPr>
          <w:spacing w:val="-4"/>
        </w:rPr>
        <w:t> </w:t>
      </w:r>
      <w:r>
        <w:rPr/>
        <w:t>por</w:t>
      </w:r>
      <w:r>
        <w:rPr>
          <w:spacing w:val="-4"/>
        </w:rPr>
        <w:t> </w:t>
      </w:r>
      <w:r>
        <w:rPr/>
        <w:t>un</w:t>
      </w:r>
      <w:r>
        <w:rPr>
          <w:spacing w:val="-2"/>
        </w:rPr>
        <w:t> </w:t>
      </w:r>
      <w:r>
        <w:rPr/>
        <w:t>especialista</w:t>
      </w:r>
      <w:r>
        <w:rPr>
          <w:spacing w:val="-2"/>
        </w:rPr>
        <w:t> </w:t>
      </w:r>
      <w:r>
        <w:rPr/>
        <w:t>en</w:t>
      </w:r>
      <w:r>
        <w:rPr>
          <w:spacing w:val="-5"/>
        </w:rPr>
        <w:t> </w:t>
      </w:r>
      <w:r>
        <w:rPr/>
        <w:t>la</w:t>
      </w:r>
      <w:r>
        <w:rPr>
          <w:spacing w:val="-4"/>
        </w:rPr>
        <w:t> </w:t>
      </w:r>
      <w:r>
        <w:rPr/>
        <w:t>materia;</w:t>
      </w:r>
      <w:r>
        <w:rPr>
          <w:spacing w:val="-2"/>
        </w:rPr>
        <w:t> </w:t>
      </w:r>
      <w:r>
        <w:rPr/>
        <w:t>dicho</w:t>
      </w:r>
      <w:r>
        <w:rPr>
          <w:spacing w:val="-4"/>
        </w:rPr>
        <w:t> </w:t>
      </w:r>
      <w:r>
        <w:rPr/>
        <w:t>estudio</w:t>
      </w:r>
      <w:r>
        <w:rPr>
          <w:spacing w:val="-2"/>
        </w:rPr>
        <w:t> </w:t>
      </w:r>
      <w:r>
        <w:rPr/>
        <w:t>deberá</w:t>
      </w:r>
      <w:r>
        <w:rPr>
          <w:spacing w:val="-4"/>
        </w:rPr>
        <w:t> </w:t>
      </w:r>
      <w:r>
        <w:rPr/>
        <w:t>ser</w:t>
      </w:r>
      <w:r>
        <w:rPr>
          <w:spacing w:val="-4"/>
        </w:rPr>
        <w:t> </w:t>
      </w:r>
      <w:r>
        <w:rPr/>
        <w:t>validado</w:t>
      </w:r>
      <w:r>
        <w:rPr>
          <w:spacing w:val="-2"/>
        </w:rPr>
        <w:t> </w:t>
      </w:r>
      <w:r>
        <w:rPr/>
        <w:t>de</w:t>
      </w:r>
      <w:r>
        <w:rPr>
          <w:spacing w:val="-2"/>
        </w:rPr>
        <w:t> </w:t>
      </w:r>
      <w:r>
        <w:rPr/>
        <w:t>manera</w:t>
      </w:r>
      <w:r>
        <w:rPr>
          <w:spacing w:val="-4"/>
        </w:rPr>
        <w:t> </w:t>
      </w:r>
      <w:r>
        <w:rPr/>
        <w:t>fundada</w:t>
      </w:r>
      <w:r>
        <w:rPr>
          <w:spacing w:val="-2"/>
        </w:rPr>
        <w:t> </w:t>
      </w:r>
      <w:r>
        <w:rPr/>
        <w:t>por la Dirección Municipal.</w:t>
      </w:r>
    </w:p>
    <w:p>
      <w:pPr>
        <w:pStyle w:val="BodyText"/>
        <w:spacing w:before="229"/>
        <w:ind w:left="262" w:right="279"/>
        <w:jc w:val="both"/>
      </w:pPr>
      <w:r>
        <w:rPr>
          <w:rFonts w:ascii="Arial" w:hAnsi="Arial"/>
          <w:b/>
        </w:rPr>
        <w:t>ARTÍCULO</w:t>
      </w:r>
      <w:r>
        <w:rPr>
          <w:rFonts w:ascii="Arial" w:hAnsi="Arial"/>
          <w:b/>
          <w:spacing w:val="34"/>
        </w:rPr>
        <w:t> </w:t>
      </w:r>
      <w:r>
        <w:rPr>
          <w:rFonts w:ascii="Arial" w:hAnsi="Arial"/>
          <w:b/>
        </w:rPr>
        <w:t>135.</w:t>
      </w:r>
      <w:r>
        <w:rPr>
          <w:rFonts w:ascii="Arial" w:hAnsi="Arial"/>
          <w:b/>
          <w:spacing w:val="-10"/>
        </w:rPr>
        <w:t> </w:t>
      </w:r>
      <w:r>
        <w:rPr/>
        <w:t>Para</w:t>
      </w:r>
      <w:r>
        <w:rPr>
          <w:spacing w:val="-9"/>
        </w:rPr>
        <w:t> </w:t>
      </w:r>
      <w:r>
        <w:rPr/>
        <w:t>modificar</w:t>
      </w:r>
      <w:r>
        <w:rPr>
          <w:spacing w:val="-11"/>
        </w:rPr>
        <w:t> </w:t>
      </w:r>
      <w:r>
        <w:rPr/>
        <w:t>el</w:t>
      </w:r>
      <w:r>
        <w:rPr>
          <w:spacing w:val="-12"/>
        </w:rPr>
        <w:t> </w:t>
      </w:r>
      <w:r>
        <w:rPr/>
        <w:t>uso</w:t>
      </w:r>
      <w:r>
        <w:rPr>
          <w:spacing w:val="-11"/>
        </w:rPr>
        <w:t> </w:t>
      </w:r>
      <w:r>
        <w:rPr/>
        <w:t>o</w:t>
      </w:r>
      <w:r>
        <w:rPr>
          <w:spacing w:val="-11"/>
        </w:rPr>
        <w:t> </w:t>
      </w:r>
      <w:r>
        <w:rPr/>
        <w:t>destino</w:t>
      </w:r>
      <w:r>
        <w:rPr>
          <w:spacing w:val="-11"/>
        </w:rPr>
        <w:t> </w:t>
      </w:r>
      <w:r>
        <w:rPr/>
        <w:t>del</w:t>
      </w:r>
      <w:r>
        <w:rPr>
          <w:spacing w:val="-12"/>
        </w:rPr>
        <w:t> </w:t>
      </w:r>
      <w:r>
        <w:rPr/>
        <w:t>suelo</w:t>
      </w:r>
      <w:r>
        <w:rPr>
          <w:spacing w:val="-11"/>
        </w:rPr>
        <w:t> </w:t>
      </w:r>
      <w:r>
        <w:rPr/>
        <w:t>establecido</w:t>
      </w:r>
      <w:r>
        <w:rPr>
          <w:spacing w:val="-11"/>
        </w:rPr>
        <w:t> </w:t>
      </w:r>
      <w:r>
        <w:rPr/>
        <w:t>en</w:t>
      </w:r>
      <w:r>
        <w:rPr>
          <w:spacing w:val="-10"/>
        </w:rPr>
        <w:t> </w:t>
      </w:r>
      <w:r>
        <w:rPr/>
        <w:t>la</w:t>
      </w:r>
      <w:r>
        <w:rPr>
          <w:spacing w:val="-11"/>
        </w:rPr>
        <w:t> </w:t>
      </w:r>
      <w:r>
        <w:rPr/>
        <w:t>zonificación</w:t>
      </w:r>
      <w:r>
        <w:rPr>
          <w:spacing w:val="-12"/>
        </w:rPr>
        <w:t> </w:t>
      </w:r>
      <w:r>
        <w:rPr/>
        <w:t>secundaria, deberán modificarse o actualizarse los programas municipales de ordenamiento territorial y desarrollo urbano, o programa de desarrollo urbano de centro de población según sea el caso, de acuerdo al procedimiento dispuesto, en el artículo 69 de esta Ley.</w:t>
      </w:r>
    </w:p>
    <w:p>
      <w:pPr>
        <w:pStyle w:val="BodyText"/>
        <w:spacing w:before="2"/>
      </w:pPr>
    </w:p>
    <w:p>
      <w:pPr>
        <w:pStyle w:val="BodyText"/>
        <w:ind w:left="262" w:right="279"/>
        <w:jc w:val="both"/>
      </w:pPr>
      <w:r>
        <w:rPr/>
        <w:t>La modificación deberá publicarse en el Periódico Oficial del Estado y en la Gaceta Municipal e insertarse en la licencia de uso de suelo que expida la Dirección Municipal. Todo cambio de uso o destino</w:t>
      </w:r>
      <w:r>
        <w:rPr>
          <w:spacing w:val="-14"/>
        </w:rPr>
        <w:t> </w:t>
      </w:r>
      <w:r>
        <w:rPr/>
        <w:t>del</w:t>
      </w:r>
      <w:r>
        <w:rPr>
          <w:spacing w:val="-14"/>
        </w:rPr>
        <w:t> </w:t>
      </w:r>
      <w:r>
        <w:rPr/>
        <w:t>suelo</w:t>
      </w:r>
      <w:r>
        <w:rPr>
          <w:spacing w:val="-14"/>
        </w:rPr>
        <w:t> </w:t>
      </w:r>
      <w:r>
        <w:rPr/>
        <w:t>de</w:t>
      </w:r>
      <w:r>
        <w:rPr>
          <w:spacing w:val="-12"/>
        </w:rPr>
        <w:t> </w:t>
      </w:r>
      <w:r>
        <w:rPr/>
        <w:t>la</w:t>
      </w:r>
      <w:r>
        <w:rPr>
          <w:spacing w:val="-12"/>
        </w:rPr>
        <w:t> </w:t>
      </w:r>
      <w:r>
        <w:rPr/>
        <w:t>zonificación</w:t>
      </w:r>
      <w:r>
        <w:rPr>
          <w:spacing w:val="-12"/>
        </w:rPr>
        <w:t> </w:t>
      </w:r>
      <w:r>
        <w:rPr/>
        <w:t>secundaria</w:t>
      </w:r>
      <w:r>
        <w:rPr>
          <w:spacing w:val="-12"/>
        </w:rPr>
        <w:t> </w:t>
      </w:r>
      <w:r>
        <w:rPr/>
        <w:t>que</w:t>
      </w:r>
      <w:r>
        <w:rPr>
          <w:spacing w:val="-12"/>
        </w:rPr>
        <w:t> </w:t>
      </w:r>
      <w:r>
        <w:rPr/>
        <w:t>se</w:t>
      </w:r>
      <w:r>
        <w:rPr>
          <w:spacing w:val="-14"/>
        </w:rPr>
        <w:t> </w:t>
      </w:r>
      <w:r>
        <w:rPr/>
        <w:t>otorgue</w:t>
      </w:r>
      <w:r>
        <w:rPr>
          <w:spacing w:val="-8"/>
        </w:rPr>
        <w:t> </w:t>
      </w:r>
      <w:r>
        <w:rPr/>
        <w:t>sin</w:t>
      </w:r>
      <w:r>
        <w:rPr>
          <w:spacing w:val="-11"/>
        </w:rPr>
        <w:t> </w:t>
      </w:r>
      <w:r>
        <w:rPr/>
        <w:t>estos</w:t>
      </w:r>
      <w:r>
        <w:rPr>
          <w:spacing w:val="-13"/>
        </w:rPr>
        <w:t> </w:t>
      </w:r>
      <w:r>
        <w:rPr/>
        <w:t>requisitos</w:t>
      </w:r>
      <w:r>
        <w:rPr>
          <w:spacing w:val="-13"/>
        </w:rPr>
        <w:t> </w:t>
      </w:r>
      <w:r>
        <w:rPr/>
        <w:t>será</w:t>
      </w:r>
      <w:r>
        <w:rPr>
          <w:spacing w:val="-13"/>
        </w:rPr>
        <w:t> </w:t>
      </w:r>
      <w:r>
        <w:rPr/>
        <w:t>nulo</w:t>
      </w:r>
      <w:r>
        <w:rPr>
          <w:spacing w:val="-11"/>
        </w:rPr>
        <w:t> </w:t>
      </w:r>
      <w:r>
        <w:rPr/>
        <w:t>de</w:t>
      </w:r>
      <w:r>
        <w:rPr>
          <w:spacing w:val="-12"/>
        </w:rPr>
        <w:t> </w:t>
      </w:r>
      <w:r>
        <w:rPr/>
        <w:t>pleno derecho y la autoridad que lo permita será responsable en los términos previstos en esta Ley y las demás leyes aplicables.</w:t>
      </w:r>
    </w:p>
    <w:p>
      <w:pPr>
        <w:pStyle w:val="BodyText"/>
      </w:pPr>
    </w:p>
    <w:p>
      <w:pPr>
        <w:pStyle w:val="BodyText"/>
        <w:ind w:left="262" w:right="277"/>
        <w:jc w:val="both"/>
      </w:pPr>
      <w:r>
        <w:rPr>
          <w:rFonts w:ascii="Arial" w:hAnsi="Arial"/>
          <w:b/>
        </w:rPr>
        <w:t>ARTÍCULO 136. </w:t>
      </w:r>
      <w:r>
        <w:rPr/>
        <w:t>Las licencias de uso de suelo y las licencias de construcción y funcionamiento de establecimientos, de conformidad con lo previsto en los programas de ordenamiento territorial y desarrollo urbano aplicables, para la ubicación y operación de las estaciones de servicios denominadas</w:t>
      </w:r>
      <w:r>
        <w:rPr>
          <w:spacing w:val="-4"/>
        </w:rPr>
        <w:t> </w:t>
      </w:r>
      <w:r>
        <w:rPr/>
        <w:t>gasolineras</w:t>
      </w:r>
      <w:r>
        <w:rPr>
          <w:spacing w:val="-4"/>
        </w:rPr>
        <w:t> </w:t>
      </w:r>
      <w:r>
        <w:rPr/>
        <w:t>y</w:t>
      </w:r>
      <w:r>
        <w:rPr>
          <w:spacing w:val="-2"/>
        </w:rPr>
        <w:t> </w:t>
      </w:r>
      <w:r>
        <w:rPr/>
        <w:t>de</w:t>
      </w:r>
      <w:r>
        <w:rPr>
          <w:spacing w:val="-4"/>
        </w:rPr>
        <w:t> </w:t>
      </w:r>
      <w:r>
        <w:rPr/>
        <w:t>establecimientos</w:t>
      </w:r>
      <w:r>
        <w:rPr>
          <w:spacing w:val="-3"/>
        </w:rPr>
        <w:t> </w:t>
      </w:r>
      <w:r>
        <w:rPr/>
        <w:t>dedicados</w:t>
      </w:r>
      <w:r>
        <w:rPr>
          <w:spacing w:val="-4"/>
        </w:rPr>
        <w:t> </w:t>
      </w:r>
      <w:r>
        <w:rPr/>
        <w:t>al</w:t>
      </w:r>
      <w:r>
        <w:rPr>
          <w:spacing w:val="-6"/>
        </w:rPr>
        <w:t> </w:t>
      </w:r>
      <w:r>
        <w:rPr/>
        <w:t>almacenamiento,</w:t>
      </w:r>
      <w:r>
        <w:rPr>
          <w:spacing w:val="-5"/>
        </w:rPr>
        <w:t> </w:t>
      </w:r>
      <w:r>
        <w:rPr/>
        <w:t>manejo,</w:t>
      </w:r>
      <w:r>
        <w:rPr>
          <w:spacing w:val="-4"/>
        </w:rPr>
        <w:t> </w:t>
      </w:r>
      <w:r>
        <w:rPr/>
        <w:t>expendio</w:t>
      </w:r>
      <w:r>
        <w:rPr>
          <w:spacing w:val="-4"/>
        </w:rPr>
        <w:t> </w:t>
      </w:r>
      <w:r>
        <w:rPr/>
        <w:t>o distribución de gas y/o gasolina, sólo podrán otorgarse en predios localizados sobre autopistas, carreteras</w:t>
      </w:r>
      <w:r>
        <w:rPr>
          <w:spacing w:val="-1"/>
        </w:rPr>
        <w:t> </w:t>
      </w:r>
      <w:r>
        <w:rPr/>
        <w:t>o</w:t>
      </w:r>
      <w:r>
        <w:rPr>
          <w:spacing w:val="-2"/>
        </w:rPr>
        <w:t> </w:t>
      </w:r>
      <w:r>
        <w:rPr/>
        <w:t>libramientos,</w:t>
      </w:r>
      <w:r>
        <w:rPr>
          <w:spacing w:val="-2"/>
        </w:rPr>
        <w:t> </w:t>
      </w:r>
      <w:r>
        <w:rPr/>
        <w:t>así</w:t>
      </w:r>
      <w:r>
        <w:rPr>
          <w:spacing w:val="-2"/>
        </w:rPr>
        <w:t> </w:t>
      </w:r>
      <w:r>
        <w:rPr/>
        <w:t>como,</w:t>
      </w:r>
      <w:r>
        <w:rPr>
          <w:spacing w:val="-2"/>
        </w:rPr>
        <w:t> </w:t>
      </w:r>
      <w:r>
        <w:rPr/>
        <w:t>sobre las</w:t>
      </w:r>
      <w:r>
        <w:rPr>
          <w:spacing w:val="-1"/>
        </w:rPr>
        <w:t> </w:t>
      </w:r>
      <w:r>
        <w:rPr/>
        <w:t>vialidades</w:t>
      </w:r>
      <w:r>
        <w:rPr>
          <w:spacing w:val="-1"/>
        </w:rPr>
        <w:t> </w:t>
      </w:r>
      <w:r>
        <w:rPr/>
        <w:t>regionales,</w:t>
      </w:r>
      <w:r>
        <w:rPr>
          <w:spacing w:val="-2"/>
        </w:rPr>
        <w:t> </w:t>
      </w:r>
      <w:r>
        <w:rPr/>
        <w:t>primarias</w:t>
      </w:r>
      <w:r>
        <w:rPr>
          <w:spacing w:val="-1"/>
        </w:rPr>
        <w:t> </w:t>
      </w:r>
      <w:r>
        <w:rPr/>
        <w:t>o</w:t>
      </w:r>
      <w:r>
        <w:rPr>
          <w:spacing w:val="-2"/>
        </w:rPr>
        <w:t> </w:t>
      </w:r>
      <w:r>
        <w:rPr/>
        <w:t>secundarias</w:t>
      </w:r>
      <w:r>
        <w:rPr>
          <w:spacing w:val="-1"/>
        </w:rPr>
        <w:t> </w:t>
      </w:r>
      <w:r>
        <w:rPr/>
        <w:t>de los centros</w:t>
      </w:r>
      <w:r>
        <w:rPr>
          <w:spacing w:val="-9"/>
        </w:rPr>
        <w:t> </w:t>
      </w:r>
      <w:r>
        <w:rPr/>
        <w:t>de</w:t>
      </w:r>
      <w:r>
        <w:rPr>
          <w:spacing w:val="-10"/>
        </w:rPr>
        <w:t> </w:t>
      </w:r>
      <w:r>
        <w:rPr/>
        <w:t>población</w:t>
      </w:r>
      <w:r>
        <w:rPr>
          <w:spacing w:val="-10"/>
        </w:rPr>
        <w:t> </w:t>
      </w:r>
      <w:r>
        <w:rPr/>
        <w:t>de</w:t>
      </w:r>
      <w:r>
        <w:rPr>
          <w:spacing w:val="-10"/>
        </w:rPr>
        <w:t> </w:t>
      </w:r>
      <w:r>
        <w:rPr/>
        <w:t>acuerdo</w:t>
      </w:r>
      <w:r>
        <w:rPr>
          <w:spacing w:val="-10"/>
        </w:rPr>
        <w:t> </w:t>
      </w:r>
      <w:r>
        <w:rPr/>
        <w:t>con</w:t>
      </w:r>
      <w:r>
        <w:rPr>
          <w:spacing w:val="-8"/>
        </w:rPr>
        <w:t> </w:t>
      </w:r>
      <w:r>
        <w:rPr/>
        <w:t>la</w:t>
      </w:r>
      <w:r>
        <w:rPr>
          <w:spacing w:val="-10"/>
        </w:rPr>
        <w:t> </w:t>
      </w:r>
      <w:r>
        <w:rPr/>
        <w:t>zonificación</w:t>
      </w:r>
      <w:r>
        <w:rPr>
          <w:spacing w:val="-10"/>
        </w:rPr>
        <w:t> </w:t>
      </w:r>
      <w:r>
        <w:rPr/>
        <w:t>derivada</w:t>
      </w:r>
      <w:r>
        <w:rPr>
          <w:spacing w:val="-10"/>
        </w:rPr>
        <w:t> </w:t>
      </w:r>
      <w:r>
        <w:rPr/>
        <w:t>de</w:t>
      </w:r>
      <w:r>
        <w:rPr>
          <w:spacing w:val="-8"/>
        </w:rPr>
        <w:t> </w:t>
      </w:r>
      <w:r>
        <w:rPr/>
        <w:t>dichos</w:t>
      </w:r>
      <w:r>
        <w:rPr>
          <w:spacing w:val="-9"/>
        </w:rPr>
        <w:t> </w:t>
      </w:r>
      <w:r>
        <w:rPr/>
        <w:t>programas</w:t>
      </w:r>
      <w:r>
        <w:rPr>
          <w:spacing w:val="-7"/>
        </w:rPr>
        <w:t> </w:t>
      </w:r>
      <w:r>
        <w:rPr/>
        <w:t>de</w:t>
      </w:r>
      <w:r>
        <w:rPr>
          <w:spacing w:val="-10"/>
        </w:rPr>
        <w:t> </w:t>
      </w:r>
      <w:r>
        <w:rPr/>
        <w:t>ordenamiento territorial y desarrollo urbano, quedando estrictamente prohibido ubicarlas en vialidades o calles locales cerradas.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7"/>
        <w:jc w:val="both"/>
      </w:pPr>
      <w:r>
        <w:rPr/>
        <w:t>Las licencias municipales a que se refiere el párrafo anterior, sólo podrán ser concedidas cuando concurran los requisitos que consigna la Norma Técnica Estatal NTE.SLP.ES.003/2008, que establece las especificaciones de protección ambiental para el diseño, construcción, operación, seguridad y mantenimiento de los diferentes tipos de estaciones de servicios y estaciones de autoconsumo,</w:t>
      </w:r>
      <w:r>
        <w:rPr>
          <w:spacing w:val="80"/>
        </w:rPr>
        <w:t> </w:t>
      </w:r>
      <w:r>
        <w:rPr/>
        <w:t>así</w:t>
      </w:r>
      <w:r>
        <w:rPr>
          <w:spacing w:val="80"/>
        </w:rPr>
        <w:t> </w:t>
      </w:r>
      <w:r>
        <w:rPr/>
        <w:t>como</w:t>
      </w:r>
      <w:r>
        <w:rPr>
          <w:spacing w:val="80"/>
        </w:rPr>
        <w:t> </w:t>
      </w:r>
      <w:r>
        <w:rPr/>
        <w:t>las</w:t>
      </w:r>
      <w:r>
        <w:rPr>
          <w:spacing w:val="80"/>
        </w:rPr>
        <w:t> </w:t>
      </w:r>
      <w:r>
        <w:rPr/>
        <w:t>normas</w:t>
      </w:r>
      <w:r>
        <w:rPr>
          <w:spacing w:val="80"/>
        </w:rPr>
        <w:t> </w:t>
      </w:r>
      <w:r>
        <w:rPr/>
        <w:t>oficiales</w:t>
      </w:r>
      <w:r>
        <w:rPr>
          <w:spacing w:val="80"/>
        </w:rPr>
        <w:t> </w:t>
      </w:r>
      <w:r>
        <w:rPr/>
        <w:t>mexicanas</w:t>
      </w:r>
      <w:r>
        <w:rPr>
          <w:spacing w:val="80"/>
        </w:rPr>
        <w:t> </w:t>
      </w:r>
      <w:r>
        <w:rPr/>
        <w:t>que</w:t>
      </w:r>
      <w:r>
        <w:rPr>
          <w:spacing w:val="80"/>
        </w:rPr>
        <w:t> </w:t>
      </w:r>
      <w:r>
        <w:rPr/>
        <w:t>establezcan</w:t>
      </w:r>
      <w:r>
        <w:rPr>
          <w:spacing w:val="80"/>
        </w:rPr>
        <w:t> </w:t>
      </w:r>
      <w:r>
        <w:rPr>
          <w:color w:val="2E2E2E"/>
        </w:rPr>
        <w:t>las especificaciones,</w:t>
      </w:r>
      <w:r>
        <w:rPr>
          <w:color w:val="2E2E2E"/>
          <w:spacing w:val="-1"/>
        </w:rPr>
        <w:t> </w:t>
      </w:r>
      <w:r>
        <w:rPr>
          <w:color w:val="2E2E2E"/>
        </w:rPr>
        <w:t>parámetros y requisitos técnicos mínimos de seguridad industrial y operativa, y protección</w:t>
      </w:r>
      <w:r>
        <w:rPr>
          <w:color w:val="2E2E2E"/>
          <w:spacing w:val="-3"/>
        </w:rPr>
        <w:t> </w:t>
      </w:r>
      <w:r>
        <w:rPr>
          <w:color w:val="2E2E2E"/>
        </w:rPr>
        <w:t>ambiental que se deben cumplir en el diseño, construcción, mantenimiento y operación de</w:t>
      </w:r>
      <w:r>
        <w:rPr>
          <w:color w:val="2E2E2E"/>
          <w:spacing w:val="-2"/>
        </w:rPr>
        <w:t> </w:t>
      </w:r>
      <w:r>
        <w:rPr>
          <w:color w:val="2E2E2E"/>
        </w:rPr>
        <w:t>estaciones</w:t>
      </w:r>
      <w:r>
        <w:rPr>
          <w:color w:val="2E2E2E"/>
          <w:spacing w:val="40"/>
        </w:rPr>
        <w:t> </w:t>
      </w:r>
      <w:r>
        <w:rPr>
          <w:color w:val="2E2E2E"/>
        </w:rPr>
        <w:t>de</w:t>
      </w:r>
      <w:r>
        <w:rPr>
          <w:color w:val="2E2E2E"/>
          <w:spacing w:val="40"/>
        </w:rPr>
        <w:t> </w:t>
      </w:r>
      <w:r>
        <w:rPr>
          <w:color w:val="2E2E2E"/>
        </w:rPr>
        <w:t>servicio</w:t>
      </w:r>
      <w:r>
        <w:rPr>
          <w:color w:val="2E2E2E"/>
          <w:spacing w:val="40"/>
        </w:rPr>
        <w:t> </w:t>
      </w:r>
      <w:r>
        <w:rPr>
          <w:color w:val="2E2E2E"/>
        </w:rPr>
        <w:t>de</w:t>
      </w:r>
      <w:r>
        <w:rPr>
          <w:color w:val="2E2E2E"/>
          <w:spacing w:val="40"/>
        </w:rPr>
        <w:t> </w:t>
      </w:r>
      <w:r>
        <w:rPr>
          <w:color w:val="2E2E2E"/>
        </w:rPr>
        <w:t>fin</w:t>
      </w:r>
      <w:r>
        <w:rPr>
          <w:color w:val="2E2E2E"/>
          <w:spacing w:val="40"/>
        </w:rPr>
        <w:t> </w:t>
      </w:r>
      <w:r>
        <w:rPr>
          <w:color w:val="2E2E2E"/>
        </w:rPr>
        <w:t>específico</w:t>
      </w:r>
      <w:r>
        <w:rPr>
          <w:color w:val="2E2E2E"/>
          <w:spacing w:val="40"/>
        </w:rPr>
        <w:t> </w:t>
      </w:r>
      <w:r>
        <w:rPr>
          <w:color w:val="2E2E2E"/>
        </w:rPr>
        <w:t>y</w:t>
      </w:r>
      <w:r>
        <w:rPr>
          <w:color w:val="2E2E2E"/>
          <w:spacing w:val="40"/>
        </w:rPr>
        <w:t> </w:t>
      </w:r>
      <w:r>
        <w:rPr>
          <w:color w:val="2E2E2E"/>
        </w:rPr>
        <w:t>asociadas</w:t>
      </w:r>
      <w:r>
        <w:rPr>
          <w:color w:val="2E2E2E"/>
          <w:spacing w:val="40"/>
        </w:rPr>
        <w:t> </w:t>
      </w:r>
      <w:r>
        <w:rPr>
          <w:color w:val="2E2E2E"/>
        </w:rPr>
        <w:t>a</w:t>
      </w:r>
      <w:r>
        <w:rPr>
          <w:color w:val="2E2E2E"/>
          <w:spacing w:val="40"/>
        </w:rPr>
        <w:t> </w:t>
      </w:r>
      <w:r>
        <w:rPr>
          <w:color w:val="2E2E2E"/>
        </w:rPr>
        <w:t>la</w:t>
      </w:r>
      <w:r>
        <w:rPr>
          <w:color w:val="2E2E2E"/>
          <w:spacing w:val="40"/>
        </w:rPr>
        <w:t> </w:t>
      </w:r>
      <w:r>
        <w:rPr>
          <w:color w:val="2E2E2E"/>
        </w:rPr>
        <w:t>actividad</w:t>
      </w:r>
      <w:r>
        <w:rPr>
          <w:color w:val="2E2E2E"/>
          <w:spacing w:val="40"/>
        </w:rPr>
        <w:t> </w:t>
      </w:r>
      <w:r>
        <w:rPr>
          <w:color w:val="2E2E2E"/>
        </w:rPr>
        <w:t>de</w:t>
      </w:r>
      <w:r>
        <w:rPr>
          <w:color w:val="2E2E2E"/>
          <w:spacing w:val="40"/>
        </w:rPr>
        <w:t> </w:t>
      </w:r>
      <w:r>
        <w:rPr>
          <w:color w:val="2E2E2E"/>
        </w:rPr>
        <w:t>Expendio</w:t>
      </w:r>
      <w:r>
        <w:rPr>
          <w:color w:val="2E2E2E"/>
          <w:spacing w:val="40"/>
        </w:rPr>
        <w:t> </w:t>
      </w:r>
      <w:r>
        <w:rPr>
          <w:color w:val="2E2E2E"/>
        </w:rPr>
        <w:t>en</w:t>
      </w:r>
      <w:r>
        <w:rPr>
          <w:color w:val="2E2E2E"/>
          <w:spacing w:val="40"/>
        </w:rPr>
        <w:t> </w:t>
      </w:r>
      <w:r>
        <w:rPr>
          <w:color w:val="2E2E2E"/>
        </w:rPr>
        <w:t>su modalidad de Estación de Servicio para Autoconsumo para gasolinas y diésel.</w:t>
      </w:r>
    </w:p>
    <w:p>
      <w:pPr>
        <w:pStyle w:val="BodyText"/>
        <w:spacing w:before="2"/>
      </w:pPr>
    </w:p>
    <w:p>
      <w:pPr>
        <w:pStyle w:val="BodyText"/>
        <w:ind w:left="262" w:right="286"/>
        <w:jc w:val="both"/>
      </w:pPr>
      <w:r>
        <w:rPr>
          <w:rFonts w:ascii="Arial" w:hAnsi="Arial"/>
          <w:b/>
        </w:rPr>
        <w:t>ARTÍCULO</w:t>
      </w:r>
      <w:r>
        <w:rPr>
          <w:rFonts w:ascii="Arial" w:hAnsi="Arial"/>
          <w:b/>
          <w:spacing w:val="40"/>
        </w:rPr>
        <w:t> </w:t>
      </w:r>
      <w:r>
        <w:rPr>
          <w:rFonts w:ascii="Arial" w:hAnsi="Arial"/>
          <w:b/>
        </w:rPr>
        <w:t>137. </w:t>
      </w:r>
      <w:r>
        <w:rPr/>
        <w:t>La determinación de los destinos en los programas de ordenamiento territorial y desarrollo urbano contendrá la delimitación precisa de las zonas, áreas o predios de que se trate, así como la descripción del fin o aprovechamiento público a que éstos prevean dedicarse.</w:t>
      </w:r>
    </w:p>
    <w:p>
      <w:pPr>
        <w:pStyle w:val="BodyText"/>
        <w:spacing w:before="230"/>
        <w:ind w:left="262" w:right="278"/>
        <w:jc w:val="both"/>
      </w:pPr>
      <w:r>
        <w:rPr>
          <w:rFonts w:ascii="Arial" w:hAnsi="Arial"/>
          <w:b/>
        </w:rPr>
        <w:t>ARTÍCULO 138. </w:t>
      </w:r>
      <w:r>
        <w:rPr/>
        <w:t>Una vez que conforme a un programa de ordenamiento territorial y desarrollo urbano se hayan determinado los destinos y éste se encuentre publicado e inscrito en los registros </w:t>
      </w:r>
      <w:r>
        <w:rPr>
          <w:spacing w:val="-2"/>
        </w:rPr>
        <w:t>correspondientes,</w:t>
      </w:r>
      <w:r>
        <w:rPr>
          <w:spacing w:val="-4"/>
        </w:rPr>
        <w:t> </w:t>
      </w:r>
      <w:r>
        <w:rPr>
          <w:spacing w:val="-2"/>
        </w:rPr>
        <w:t>los</w:t>
      </w:r>
      <w:r>
        <w:rPr>
          <w:spacing w:val="-4"/>
        </w:rPr>
        <w:t> </w:t>
      </w:r>
      <w:r>
        <w:rPr>
          <w:spacing w:val="-2"/>
        </w:rPr>
        <w:t>propietarios de</w:t>
      </w:r>
      <w:r>
        <w:rPr>
          <w:spacing w:val="-3"/>
        </w:rPr>
        <w:t> </w:t>
      </w:r>
      <w:r>
        <w:rPr>
          <w:spacing w:val="-2"/>
        </w:rPr>
        <w:t>inmuebles</w:t>
      </w:r>
      <w:r>
        <w:rPr>
          <w:spacing w:val="-4"/>
        </w:rPr>
        <w:t> </w:t>
      </w:r>
      <w:r>
        <w:rPr>
          <w:spacing w:val="-2"/>
        </w:rPr>
        <w:t>que</w:t>
      </w:r>
      <w:r>
        <w:rPr>
          <w:spacing w:val="-3"/>
        </w:rPr>
        <w:t> </w:t>
      </w:r>
      <w:r>
        <w:rPr>
          <w:spacing w:val="-2"/>
        </w:rPr>
        <w:t>queden</w:t>
      </w:r>
      <w:r>
        <w:rPr>
          <w:spacing w:val="-6"/>
        </w:rPr>
        <w:t> </w:t>
      </w:r>
      <w:r>
        <w:rPr>
          <w:spacing w:val="-2"/>
        </w:rPr>
        <w:t>comprendidos</w:t>
      </w:r>
      <w:r>
        <w:rPr>
          <w:spacing w:val="-3"/>
        </w:rPr>
        <w:t> </w:t>
      </w:r>
      <w:r>
        <w:rPr>
          <w:spacing w:val="-2"/>
        </w:rPr>
        <w:t>en la zona,</w:t>
      </w:r>
      <w:r>
        <w:rPr>
          <w:spacing w:val="-6"/>
        </w:rPr>
        <w:t> </w:t>
      </w:r>
      <w:r>
        <w:rPr>
          <w:spacing w:val="-2"/>
        </w:rPr>
        <w:t>sólo utilizarán </w:t>
      </w:r>
      <w:r>
        <w:rPr/>
        <w:t>los predios o inmuebles en forma que no presente obstáculo al futuro aprovechamiento previsto.</w:t>
      </w:r>
    </w:p>
    <w:p>
      <w:pPr>
        <w:pStyle w:val="BodyText"/>
      </w:pPr>
    </w:p>
    <w:p>
      <w:pPr>
        <w:pStyle w:val="BodyText"/>
      </w:pPr>
    </w:p>
    <w:p>
      <w:pPr>
        <w:pStyle w:val="Heading2"/>
        <w:ind w:right="17"/>
      </w:pPr>
      <w:r>
        <w:rPr/>
        <w:t>Capítulo</w:t>
      </w:r>
      <w:r>
        <w:rPr>
          <w:spacing w:val="-8"/>
        </w:rPr>
        <w:t> </w:t>
      </w:r>
      <w:r>
        <w:rPr>
          <w:spacing w:val="-10"/>
        </w:rPr>
        <w:t>V</w:t>
      </w:r>
    </w:p>
    <w:p>
      <w:pPr>
        <w:spacing w:before="228"/>
        <w:ind w:left="820" w:right="841" w:firstLine="0"/>
        <w:jc w:val="center"/>
        <w:rPr>
          <w:rFonts w:ascii="Arial"/>
          <w:b/>
          <w:sz w:val="20"/>
        </w:rPr>
      </w:pPr>
      <w:r>
        <w:rPr>
          <w:rFonts w:ascii="Arial"/>
          <w:b/>
          <w:sz w:val="20"/>
        </w:rPr>
        <w:t>Normas</w:t>
      </w:r>
      <w:r>
        <w:rPr>
          <w:rFonts w:ascii="Arial"/>
          <w:b/>
          <w:spacing w:val="-10"/>
          <w:sz w:val="20"/>
        </w:rPr>
        <w:t> </w:t>
      </w:r>
      <w:r>
        <w:rPr>
          <w:rFonts w:ascii="Arial"/>
          <w:b/>
          <w:sz w:val="20"/>
        </w:rPr>
        <w:t>Generales</w:t>
      </w:r>
      <w:r>
        <w:rPr>
          <w:rFonts w:ascii="Arial"/>
          <w:b/>
          <w:spacing w:val="-10"/>
          <w:sz w:val="20"/>
        </w:rPr>
        <w:t> </w:t>
      </w:r>
      <w:r>
        <w:rPr>
          <w:rFonts w:ascii="Arial"/>
          <w:b/>
          <w:sz w:val="20"/>
        </w:rPr>
        <w:t>de</w:t>
      </w:r>
      <w:r>
        <w:rPr>
          <w:rFonts w:ascii="Arial"/>
          <w:b/>
          <w:spacing w:val="-9"/>
          <w:sz w:val="20"/>
        </w:rPr>
        <w:t> </w:t>
      </w:r>
      <w:r>
        <w:rPr>
          <w:rFonts w:ascii="Arial"/>
          <w:b/>
          <w:sz w:val="20"/>
        </w:rPr>
        <w:t>Ordenamiento</w:t>
      </w:r>
      <w:r>
        <w:rPr>
          <w:rFonts w:ascii="Arial"/>
          <w:b/>
          <w:spacing w:val="-9"/>
          <w:sz w:val="20"/>
        </w:rPr>
        <w:t> </w:t>
      </w:r>
      <w:r>
        <w:rPr>
          <w:rFonts w:ascii="Arial"/>
          <w:b/>
          <w:sz w:val="20"/>
        </w:rPr>
        <w:t>Territorial</w:t>
      </w:r>
      <w:r>
        <w:rPr>
          <w:rFonts w:ascii="Arial"/>
          <w:b/>
          <w:spacing w:val="-10"/>
          <w:sz w:val="20"/>
        </w:rPr>
        <w:t> </w:t>
      </w:r>
      <w:r>
        <w:rPr>
          <w:rFonts w:ascii="Arial"/>
          <w:b/>
          <w:sz w:val="20"/>
        </w:rPr>
        <w:t>y</w:t>
      </w:r>
      <w:r>
        <w:rPr>
          <w:rFonts w:ascii="Arial"/>
          <w:b/>
          <w:spacing w:val="-6"/>
          <w:sz w:val="20"/>
        </w:rPr>
        <w:t> </w:t>
      </w:r>
      <w:r>
        <w:rPr>
          <w:rFonts w:ascii="Arial"/>
          <w:b/>
          <w:sz w:val="20"/>
        </w:rPr>
        <w:t>Desarrollo</w:t>
      </w:r>
      <w:r>
        <w:rPr>
          <w:rFonts w:ascii="Arial"/>
          <w:b/>
          <w:spacing w:val="-7"/>
          <w:sz w:val="20"/>
        </w:rPr>
        <w:t> </w:t>
      </w:r>
      <w:r>
        <w:rPr>
          <w:rFonts w:ascii="Arial"/>
          <w:b/>
          <w:spacing w:val="-2"/>
          <w:sz w:val="20"/>
        </w:rPr>
        <w:t>Urbano</w:t>
      </w:r>
    </w:p>
    <w:p>
      <w:pPr>
        <w:pStyle w:val="BodyText"/>
        <w:spacing w:before="1"/>
        <w:rPr>
          <w:rFonts w:ascii="Arial"/>
          <w:b/>
        </w:rPr>
      </w:pPr>
    </w:p>
    <w:p>
      <w:pPr>
        <w:pStyle w:val="BodyText"/>
        <w:ind w:left="262" w:right="286"/>
        <w:jc w:val="both"/>
      </w:pPr>
      <w:r>
        <w:rPr>
          <w:rFonts w:ascii="Arial" w:hAnsi="Arial"/>
          <w:b/>
        </w:rPr>
        <w:t>ARTÍCULO 139. </w:t>
      </w:r>
      <w:r>
        <w:rPr/>
        <w:t>Se establecen para el Ordenamiento Territorial</w:t>
      </w:r>
      <w:r>
        <w:rPr>
          <w:spacing w:val="-1"/>
        </w:rPr>
        <w:t> </w:t>
      </w:r>
      <w:r>
        <w:rPr/>
        <w:t>y Desarrollo Urbano sostenible de la Entidad, las normas generales siguientes:</w:t>
      </w:r>
    </w:p>
    <w:p>
      <w:pPr>
        <w:pStyle w:val="BodyText"/>
        <w:spacing w:before="1"/>
      </w:pPr>
    </w:p>
    <w:p>
      <w:pPr>
        <w:pStyle w:val="ListParagraph"/>
        <w:numPr>
          <w:ilvl w:val="0"/>
          <w:numId w:val="58"/>
        </w:numPr>
        <w:tabs>
          <w:tab w:pos="598" w:val="left" w:leader="none"/>
        </w:tabs>
        <w:spacing w:line="240" w:lineRule="auto" w:before="1" w:after="0"/>
        <w:ind w:left="598" w:right="0" w:hanging="336"/>
        <w:jc w:val="both"/>
        <w:rPr>
          <w:sz w:val="20"/>
        </w:rPr>
      </w:pPr>
      <w:r>
        <w:rPr>
          <w:sz w:val="20"/>
        </w:rPr>
        <w:t>Áreas</w:t>
      </w:r>
      <w:r>
        <w:rPr>
          <w:spacing w:val="-9"/>
          <w:sz w:val="20"/>
        </w:rPr>
        <w:t> </w:t>
      </w:r>
      <w:r>
        <w:rPr>
          <w:sz w:val="20"/>
        </w:rPr>
        <w:t>susceptibles</w:t>
      </w:r>
      <w:r>
        <w:rPr>
          <w:spacing w:val="-8"/>
          <w:sz w:val="20"/>
        </w:rPr>
        <w:t> </w:t>
      </w:r>
      <w:r>
        <w:rPr>
          <w:sz w:val="20"/>
        </w:rPr>
        <w:t>de</w:t>
      </w:r>
      <w:r>
        <w:rPr>
          <w:spacing w:val="-7"/>
          <w:sz w:val="20"/>
        </w:rPr>
        <w:t> </w:t>
      </w:r>
      <w:r>
        <w:rPr>
          <w:spacing w:val="-2"/>
          <w:sz w:val="20"/>
        </w:rPr>
        <w:t>desarrollo:</w:t>
      </w:r>
    </w:p>
    <w:p>
      <w:pPr>
        <w:pStyle w:val="ListParagraph"/>
        <w:numPr>
          <w:ilvl w:val="1"/>
          <w:numId w:val="58"/>
        </w:numPr>
        <w:tabs>
          <w:tab w:pos="544" w:val="left" w:leader="none"/>
        </w:tabs>
        <w:spacing w:line="240" w:lineRule="auto" w:before="228" w:after="0"/>
        <w:ind w:left="262" w:right="281" w:firstLine="0"/>
        <w:jc w:val="both"/>
        <w:rPr>
          <w:rFonts w:ascii="Arial" w:hAnsi="Arial"/>
          <w:b/>
          <w:sz w:val="20"/>
        </w:rPr>
      </w:pPr>
      <w:r>
        <w:rPr>
          <w:sz w:val="20"/>
        </w:rPr>
        <w:t>Se prohibirá el crecimiento de los centros de población hacia las áreas que deban ser preservadas y protegidas, por ser de alto aprovechamiento de sus recursos agrícolas, forestales, pecuarios</w:t>
      </w:r>
      <w:r>
        <w:rPr>
          <w:spacing w:val="-11"/>
          <w:sz w:val="20"/>
        </w:rPr>
        <w:t> </w:t>
      </w:r>
      <w:r>
        <w:rPr>
          <w:sz w:val="20"/>
        </w:rPr>
        <w:t>u</w:t>
      </w:r>
      <w:r>
        <w:rPr>
          <w:spacing w:val="-10"/>
          <w:sz w:val="20"/>
        </w:rPr>
        <w:t> </w:t>
      </w:r>
      <w:r>
        <w:rPr>
          <w:sz w:val="20"/>
        </w:rPr>
        <w:t>otros,</w:t>
      </w:r>
      <w:r>
        <w:rPr>
          <w:spacing w:val="-10"/>
          <w:sz w:val="20"/>
        </w:rPr>
        <w:t> </w:t>
      </w:r>
      <w:r>
        <w:rPr>
          <w:sz w:val="20"/>
        </w:rPr>
        <w:t>así</w:t>
      </w:r>
      <w:r>
        <w:rPr>
          <w:spacing w:val="-10"/>
          <w:sz w:val="20"/>
        </w:rPr>
        <w:t> </w:t>
      </w:r>
      <w:r>
        <w:rPr>
          <w:sz w:val="20"/>
        </w:rPr>
        <w:t>como</w:t>
      </w:r>
      <w:r>
        <w:rPr>
          <w:spacing w:val="-10"/>
          <w:sz w:val="20"/>
        </w:rPr>
        <w:t> </w:t>
      </w:r>
      <w:r>
        <w:rPr>
          <w:sz w:val="20"/>
        </w:rPr>
        <w:t>por</w:t>
      </w:r>
      <w:r>
        <w:rPr>
          <w:spacing w:val="-9"/>
          <w:sz w:val="20"/>
        </w:rPr>
        <w:t> </w:t>
      </w:r>
      <w:r>
        <w:rPr>
          <w:sz w:val="20"/>
        </w:rPr>
        <w:t>contener</w:t>
      </w:r>
      <w:r>
        <w:rPr>
          <w:spacing w:val="-9"/>
          <w:sz w:val="20"/>
        </w:rPr>
        <w:t> </w:t>
      </w:r>
      <w:r>
        <w:rPr>
          <w:sz w:val="20"/>
        </w:rPr>
        <w:t>bellezas</w:t>
      </w:r>
      <w:r>
        <w:rPr>
          <w:spacing w:val="-11"/>
          <w:sz w:val="20"/>
        </w:rPr>
        <w:t> </w:t>
      </w:r>
      <w:r>
        <w:rPr>
          <w:sz w:val="20"/>
        </w:rPr>
        <w:t>naturales</w:t>
      </w:r>
      <w:r>
        <w:rPr>
          <w:spacing w:val="-9"/>
          <w:sz w:val="20"/>
        </w:rPr>
        <w:t> </w:t>
      </w:r>
      <w:r>
        <w:rPr>
          <w:sz w:val="20"/>
        </w:rPr>
        <w:t>o</w:t>
      </w:r>
      <w:r>
        <w:rPr>
          <w:spacing w:val="-10"/>
          <w:sz w:val="20"/>
        </w:rPr>
        <w:t> </w:t>
      </w:r>
      <w:r>
        <w:rPr>
          <w:sz w:val="20"/>
        </w:rPr>
        <w:t>elementos</w:t>
      </w:r>
      <w:r>
        <w:rPr>
          <w:spacing w:val="-9"/>
          <w:sz w:val="20"/>
        </w:rPr>
        <w:t> </w:t>
      </w:r>
      <w:r>
        <w:rPr>
          <w:sz w:val="20"/>
        </w:rPr>
        <w:t>que</w:t>
      </w:r>
      <w:r>
        <w:rPr>
          <w:spacing w:val="-11"/>
          <w:sz w:val="20"/>
        </w:rPr>
        <w:t> </w:t>
      </w:r>
      <w:r>
        <w:rPr>
          <w:sz w:val="20"/>
        </w:rPr>
        <w:t>conforman</w:t>
      </w:r>
      <w:r>
        <w:rPr>
          <w:spacing w:val="-10"/>
          <w:sz w:val="20"/>
        </w:rPr>
        <w:t> </w:t>
      </w:r>
      <w:r>
        <w:rPr>
          <w:sz w:val="20"/>
        </w:rPr>
        <w:t>el</w:t>
      </w:r>
      <w:r>
        <w:rPr>
          <w:spacing w:val="-11"/>
          <w:sz w:val="20"/>
        </w:rPr>
        <w:t> </w:t>
      </w:r>
      <w:r>
        <w:rPr>
          <w:sz w:val="20"/>
        </w:rPr>
        <w:t>equilibrio ecológico del ambiente.</w:t>
      </w:r>
    </w:p>
    <w:p>
      <w:pPr>
        <w:pStyle w:val="BodyText"/>
      </w:pPr>
    </w:p>
    <w:p>
      <w:pPr>
        <w:pStyle w:val="ListParagraph"/>
        <w:numPr>
          <w:ilvl w:val="1"/>
          <w:numId w:val="58"/>
        </w:numPr>
        <w:tabs>
          <w:tab w:pos="544" w:val="left" w:leader="none"/>
        </w:tabs>
        <w:spacing w:line="240" w:lineRule="auto" w:before="0" w:after="0"/>
        <w:ind w:left="262" w:right="280" w:firstLine="0"/>
        <w:jc w:val="both"/>
        <w:rPr>
          <w:rFonts w:ascii="Arial" w:hAnsi="Arial"/>
          <w:b/>
          <w:sz w:val="20"/>
        </w:rPr>
      </w:pPr>
      <w:r>
        <w:rPr>
          <w:sz w:val="20"/>
        </w:rPr>
        <w:t>Se</w:t>
      </w:r>
      <w:r>
        <w:rPr>
          <w:spacing w:val="-1"/>
          <w:sz w:val="20"/>
        </w:rPr>
        <w:t> </w:t>
      </w:r>
      <w:r>
        <w:rPr>
          <w:sz w:val="20"/>
        </w:rPr>
        <w:t>orientará la expansión</w:t>
      </w:r>
      <w:r>
        <w:rPr>
          <w:spacing w:val="-1"/>
          <w:sz w:val="20"/>
        </w:rPr>
        <w:t> </w:t>
      </w:r>
      <w:r>
        <w:rPr>
          <w:sz w:val="20"/>
        </w:rPr>
        <w:t>de</w:t>
      </w:r>
      <w:r>
        <w:rPr>
          <w:spacing w:val="-1"/>
          <w:sz w:val="20"/>
        </w:rPr>
        <w:t> </w:t>
      </w:r>
      <w:r>
        <w:rPr>
          <w:sz w:val="20"/>
        </w:rPr>
        <w:t>los centros de población hacia los terrenos que</w:t>
      </w:r>
      <w:r>
        <w:rPr>
          <w:spacing w:val="-1"/>
          <w:sz w:val="20"/>
        </w:rPr>
        <w:t> </w:t>
      </w:r>
      <w:r>
        <w:rPr>
          <w:sz w:val="20"/>
        </w:rPr>
        <w:t>comparativamente requerirán una menor inversión por</w:t>
      </w:r>
      <w:r>
        <w:rPr>
          <w:spacing w:val="-1"/>
          <w:sz w:val="20"/>
        </w:rPr>
        <w:t> </w:t>
      </w:r>
      <w:r>
        <w:rPr>
          <w:sz w:val="20"/>
        </w:rPr>
        <w:t>concepto de</w:t>
      </w:r>
      <w:r>
        <w:rPr>
          <w:spacing w:val="-2"/>
          <w:sz w:val="20"/>
        </w:rPr>
        <w:t> </w:t>
      </w:r>
      <w:r>
        <w:rPr>
          <w:sz w:val="20"/>
        </w:rPr>
        <w:t>apertura</w:t>
      </w:r>
      <w:r>
        <w:rPr>
          <w:spacing w:val="-2"/>
          <w:sz w:val="20"/>
        </w:rPr>
        <w:t> </w:t>
      </w:r>
      <w:r>
        <w:rPr>
          <w:sz w:val="20"/>
        </w:rPr>
        <w:t>de</w:t>
      </w:r>
      <w:r>
        <w:rPr>
          <w:spacing w:val="-2"/>
          <w:sz w:val="20"/>
        </w:rPr>
        <w:t> </w:t>
      </w:r>
      <w:r>
        <w:rPr>
          <w:sz w:val="20"/>
        </w:rPr>
        <w:t>vías públicas de acceso</w:t>
      </w:r>
      <w:r>
        <w:rPr>
          <w:spacing w:val="-2"/>
          <w:sz w:val="20"/>
        </w:rPr>
        <w:t> </w:t>
      </w:r>
      <w:r>
        <w:rPr>
          <w:sz w:val="20"/>
        </w:rPr>
        <w:t>y</w:t>
      </w:r>
      <w:r>
        <w:rPr>
          <w:spacing w:val="-1"/>
          <w:sz w:val="20"/>
        </w:rPr>
        <w:t> </w:t>
      </w:r>
      <w:r>
        <w:rPr>
          <w:sz w:val="20"/>
        </w:rPr>
        <w:t>dotación de obras de</w:t>
      </w:r>
      <w:r>
        <w:rPr>
          <w:spacing w:val="-1"/>
          <w:sz w:val="20"/>
        </w:rPr>
        <w:t> </w:t>
      </w:r>
      <w:r>
        <w:rPr>
          <w:sz w:val="20"/>
        </w:rPr>
        <w:t>la</w:t>
      </w:r>
      <w:r>
        <w:rPr>
          <w:spacing w:val="-1"/>
          <w:sz w:val="20"/>
        </w:rPr>
        <w:t> </w:t>
      </w:r>
      <w:r>
        <w:rPr>
          <w:sz w:val="20"/>
        </w:rPr>
        <w:t>infraestructura hidráulica,</w:t>
      </w:r>
      <w:r>
        <w:rPr>
          <w:spacing w:val="-1"/>
          <w:sz w:val="20"/>
        </w:rPr>
        <w:t> </w:t>
      </w:r>
      <w:r>
        <w:rPr>
          <w:sz w:val="20"/>
        </w:rPr>
        <w:t>drenaje</w:t>
      </w:r>
      <w:r>
        <w:rPr>
          <w:spacing w:val="-1"/>
          <w:sz w:val="20"/>
        </w:rPr>
        <w:t> </w:t>
      </w:r>
      <w:r>
        <w:rPr>
          <w:sz w:val="20"/>
        </w:rPr>
        <w:t>sanitario y pluvial</w:t>
      </w:r>
      <w:r>
        <w:rPr>
          <w:spacing w:val="-1"/>
          <w:sz w:val="20"/>
        </w:rPr>
        <w:t> </w:t>
      </w:r>
      <w:r>
        <w:rPr>
          <w:sz w:val="20"/>
        </w:rPr>
        <w:t>y demás correspondientes siempre que no se afecten ecosistemas altamente productivos o frágiles.</w:t>
      </w:r>
    </w:p>
    <w:p>
      <w:pPr>
        <w:pStyle w:val="BodyText"/>
        <w:spacing w:before="2"/>
      </w:pPr>
    </w:p>
    <w:p>
      <w:pPr>
        <w:pStyle w:val="ListParagraph"/>
        <w:numPr>
          <w:ilvl w:val="1"/>
          <w:numId w:val="58"/>
        </w:numPr>
        <w:tabs>
          <w:tab w:pos="544" w:val="left" w:leader="none"/>
        </w:tabs>
        <w:spacing w:line="240" w:lineRule="auto" w:before="0" w:after="0"/>
        <w:ind w:left="262" w:right="278" w:firstLine="0"/>
        <w:jc w:val="both"/>
        <w:rPr>
          <w:rFonts w:ascii="Arial" w:hAnsi="Arial"/>
          <w:b/>
          <w:sz w:val="20"/>
        </w:rPr>
      </w:pPr>
      <w:r>
        <w:rPr>
          <w:sz w:val="20"/>
        </w:rPr>
        <w:t>Se dejará al margen del desarrollo urbano los terrenos inundables, los expuestos a desmoronamientos u otros desastres previsibles, los que acusen fallas o fracturas en su estratificación geológica, los que contengan galerías y túneles provenientes de laboreos mineros agotados o abandonados y los que tengan topografía inadecuada;</w:t>
      </w:r>
    </w:p>
    <w:p>
      <w:pPr>
        <w:pStyle w:val="BodyText"/>
      </w:pPr>
    </w:p>
    <w:p>
      <w:pPr>
        <w:pStyle w:val="ListParagraph"/>
        <w:numPr>
          <w:ilvl w:val="0"/>
          <w:numId w:val="58"/>
        </w:numPr>
        <w:tabs>
          <w:tab w:pos="543" w:val="left" w:leader="none"/>
        </w:tabs>
        <w:spacing w:line="240" w:lineRule="auto" w:before="0" w:after="0"/>
        <w:ind w:left="262" w:right="279" w:firstLine="0"/>
        <w:jc w:val="both"/>
        <w:rPr>
          <w:sz w:val="20"/>
        </w:rPr>
      </w:pPr>
      <w:r>
        <w:rPr>
          <w:sz w:val="20"/>
        </w:rPr>
        <w:t>Usos combinados del suelo; se orientará hacia el aprovechamiento combinado o mixto en las colonias y predios, para facilitar a la población el acceso a los servicios, obtener un mayor aprovechamiento del suelo, mantener en forma constante la actividad urbana y lograr una mayor seguridad para los habitantes;</w:t>
      </w:r>
    </w:p>
    <w:p>
      <w:pPr>
        <w:pStyle w:val="BodyText"/>
      </w:pPr>
    </w:p>
    <w:p>
      <w:pPr>
        <w:pStyle w:val="ListParagraph"/>
        <w:numPr>
          <w:ilvl w:val="0"/>
          <w:numId w:val="58"/>
        </w:numPr>
        <w:tabs>
          <w:tab w:pos="597" w:val="left" w:leader="none"/>
        </w:tabs>
        <w:spacing w:line="240" w:lineRule="auto" w:before="0" w:after="0"/>
        <w:ind w:left="597" w:right="0" w:hanging="335"/>
        <w:jc w:val="both"/>
        <w:rPr>
          <w:sz w:val="20"/>
        </w:rPr>
      </w:pPr>
      <w:r>
        <w:rPr>
          <w:sz w:val="20"/>
        </w:rPr>
        <w:t>Ubicación</w:t>
      </w:r>
      <w:r>
        <w:rPr>
          <w:spacing w:val="-9"/>
          <w:sz w:val="20"/>
        </w:rPr>
        <w:t> </w:t>
      </w:r>
      <w:r>
        <w:rPr>
          <w:sz w:val="20"/>
        </w:rPr>
        <w:t>del</w:t>
      </w:r>
      <w:r>
        <w:rPr>
          <w:spacing w:val="-8"/>
          <w:sz w:val="20"/>
        </w:rPr>
        <w:t> </w:t>
      </w:r>
      <w:r>
        <w:rPr>
          <w:sz w:val="20"/>
        </w:rPr>
        <w:t>equipamiento</w:t>
      </w:r>
      <w:r>
        <w:rPr>
          <w:spacing w:val="-9"/>
          <w:sz w:val="20"/>
        </w:rPr>
        <w:t> </w:t>
      </w:r>
      <w:r>
        <w:rPr>
          <w:sz w:val="20"/>
        </w:rPr>
        <w:t>y</w:t>
      </w:r>
      <w:r>
        <w:rPr>
          <w:spacing w:val="-8"/>
          <w:sz w:val="20"/>
        </w:rPr>
        <w:t> </w:t>
      </w:r>
      <w:r>
        <w:rPr>
          <w:sz w:val="20"/>
        </w:rPr>
        <w:t>servicios</w:t>
      </w:r>
      <w:r>
        <w:rPr>
          <w:spacing w:val="-9"/>
          <w:sz w:val="20"/>
        </w:rPr>
        <w:t> </w:t>
      </w:r>
      <w:r>
        <w:rPr>
          <w:spacing w:val="-2"/>
          <w:sz w:val="20"/>
        </w:rPr>
        <w:t>básicos: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58"/>
        </w:numPr>
        <w:tabs>
          <w:tab w:pos="544" w:val="left" w:leader="none"/>
        </w:tabs>
        <w:spacing w:line="240" w:lineRule="auto" w:before="0" w:after="0"/>
        <w:ind w:left="262" w:right="277" w:firstLine="0"/>
        <w:jc w:val="both"/>
        <w:rPr>
          <w:rFonts w:ascii="Arial" w:hAnsi="Arial"/>
          <w:b/>
          <w:sz w:val="20"/>
        </w:rPr>
      </w:pPr>
      <w:r>
        <w:rPr>
          <w:sz w:val="20"/>
        </w:rPr>
        <w:t>Las</w:t>
      </w:r>
      <w:r>
        <w:rPr>
          <w:spacing w:val="-8"/>
          <w:sz w:val="20"/>
        </w:rPr>
        <w:t> </w:t>
      </w:r>
      <w:r>
        <w:rPr>
          <w:sz w:val="20"/>
        </w:rPr>
        <w:t>plazas</w:t>
      </w:r>
      <w:r>
        <w:rPr>
          <w:spacing w:val="-8"/>
          <w:sz w:val="20"/>
        </w:rPr>
        <w:t> </w:t>
      </w:r>
      <w:r>
        <w:rPr>
          <w:sz w:val="20"/>
        </w:rPr>
        <w:t>cívicas,</w:t>
      </w:r>
      <w:r>
        <w:rPr>
          <w:spacing w:val="-9"/>
          <w:sz w:val="20"/>
        </w:rPr>
        <w:t> </w:t>
      </w:r>
      <w:r>
        <w:rPr>
          <w:sz w:val="20"/>
        </w:rPr>
        <w:t>jardines</w:t>
      </w:r>
      <w:r>
        <w:rPr>
          <w:spacing w:val="-5"/>
          <w:sz w:val="20"/>
        </w:rPr>
        <w:t> </w:t>
      </w:r>
      <w:r>
        <w:rPr>
          <w:sz w:val="20"/>
        </w:rPr>
        <w:t>y</w:t>
      </w:r>
      <w:r>
        <w:rPr>
          <w:spacing w:val="-8"/>
          <w:sz w:val="20"/>
        </w:rPr>
        <w:t> </w:t>
      </w:r>
      <w:r>
        <w:rPr>
          <w:sz w:val="20"/>
        </w:rPr>
        <w:t>espacios</w:t>
      </w:r>
      <w:r>
        <w:rPr>
          <w:spacing w:val="-8"/>
          <w:sz w:val="20"/>
        </w:rPr>
        <w:t> </w:t>
      </w:r>
      <w:r>
        <w:rPr>
          <w:sz w:val="20"/>
        </w:rPr>
        <w:t>semejantes</w:t>
      </w:r>
      <w:r>
        <w:rPr>
          <w:spacing w:val="-8"/>
          <w:sz w:val="20"/>
        </w:rPr>
        <w:t> </w:t>
      </w:r>
      <w:r>
        <w:rPr>
          <w:sz w:val="20"/>
        </w:rPr>
        <w:t>se</w:t>
      </w:r>
      <w:r>
        <w:rPr>
          <w:spacing w:val="-7"/>
          <w:sz w:val="20"/>
        </w:rPr>
        <w:t> </w:t>
      </w:r>
      <w:r>
        <w:rPr>
          <w:sz w:val="20"/>
        </w:rPr>
        <w:t>ubicarán</w:t>
      </w:r>
      <w:r>
        <w:rPr>
          <w:spacing w:val="-9"/>
          <w:sz w:val="20"/>
        </w:rPr>
        <w:t> </w:t>
      </w:r>
      <w:r>
        <w:rPr>
          <w:sz w:val="20"/>
        </w:rPr>
        <w:t>de</w:t>
      </w:r>
      <w:r>
        <w:rPr>
          <w:spacing w:val="-9"/>
          <w:sz w:val="20"/>
        </w:rPr>
        <w:t> </w:t>
      </w:r>
      <w:r>
        <w:rPr>
          <w:sz w:val="20"/>
        </w:rPr>
        <w:t>preferencia</w:t>
      </w:r>
      <w:r>
        <w:rPr>
          <w:spacing w:val="-7"/>
          <w:sz w:val="20"/>
        </w:rPr>
        <w:t> </w:t>
      </w:r>
      <w:r>
        <w:rPr>
          <w:sz w:val="20"/>
        </w:rPr>
        <w:t>en</w:t>
      </w:r>
      <w:r>
        <w:rPr>
          <w:spacing w:val="-7"/>
          <w:sz w:val="20"/>
        </w:rPr>
        <w:t> </w:t>
      </w:r>
      <w:r>
        <w:rPr>
          <w:sz w:val="20"/>
        </w:rPr>
        <w:t>sitios</w:t>
      </w:r>
      <w:r>
        <w:rPr>
          <w:spacing w:val="-8"/>
          <w:sz w:val="20"/>
        </w:rPr>
        <w:t> </w:t>
      </w:r>
      <w:r>
        <w:rPr>
          <w:sz w:val="20"/>
        </w:rPr>
        <w:t>centrales de cada uno de los distintos barrios, colonias o fraccionamientos del centro de población, y a su alrededor se situarán edificios destinados a fines que, guardando concordancia con el carácter de tales espacios contribuyan a elevar la imagen del entorno.</w:t>
      </w:r>
    </w:p>
    <w:p>
      <w:pPr>
        <w:pStyle w:val="BodyText"/>
      </w:pPr>
    </w:p>
    <w:p>
      <w:pPr>
        <w:pStyle w:val="ListParagraph"/>
        <w:numPr>
          <w:ilvl w:val="1"/>
          <w:numId w:val="58"/>
        </w:numPr>
        <w:tabs>
          <w:tab w:pos="544" w:val="left" w:leader="none"/>
        </w:tabs>
        <w:spacing w:line="240" w:lineRule="auto" w:before="0" w:after="0"/>
        <w:ind w:left="262" w:right="287" w:firstLine="0"/>
        <w:jc w:val="both"/>
        <w:rPr>
          <w:rFonts w:ascii="Arial" w:hAnsi="Arial"/>
          <w:b/>
          <w:sz w:val="20"/>
        </w:rPr>
      </w:pPr>
      <w:r>
        <w:rPr>
          <w:sz w:val="20"/>
        </w:rPr>
        <w:t>Los edificios de establecimientos dedicados a la educación, se ubicarán de preferencia en las inmediaciones de las áreas verdes y no deberán tener acceso directo a carreteras o vialidades urbanas principales.</w:t>
      </w:r>
    </w:p>
    <w:p>
      <w:pPr>
        <w:pStyle w:val="BodyText"/>
        <w:spacing w:before="2"/>
      </w:pPr>
    </w:p>
    <w:p>
      <w:pPr>
        <w:pStyle w:val="ListParagraph"/>
        <w:numPr>
          <w:ilvl w:val="1"/>
          <w:numId w:val="58"/>
        </w:numPr>
        <w:tabs>
          <w:tab w:pos="544" w:val="left" w:leader="none"/>
        </w:tabs>
        <w:spacing w:line="240" w:lineRule="auto" w:before="0" w:after="0"/>
        <w:ind w:left="262" w:right="285" w:firstLine="0"/>
        <w:jc w:val="both"/>
        <w:rPr>
          <w:rFonts w:ascii="Arial" w:hAnsi="Arial"/>
          <w:b/>
          <w:sz w:val="20"/>
        </w:rPr>
      </w:pPr>
      <w:r>
        <w:rPr>
          <w:sz w:val="20"/>
        </w:rPr>
        <w:t>Los</w:t>
      </w:r>
      <w:r>
        <w:rPr>
          <w:spacing w:val="-8"/>
          <w:sz w:val="20"/>
        </w:rPr>
        <w:t> </w:t>
      </w:r>
      <w:r>
        <w:rPr>
          <w:sz w:val="20"/>
        </w:rPr>
        <w:t>hospitales</w:t>
      </w:r>
      <w:r>
        <w:rPr>
          <w:spacing w:val="-8"/>
          <w:sz w:val="20"/>
        </w:rPr>
        <w:t> </w:t>
      </w:r>
      <w:r>
        <w:rPr>
          <w:sz w:val="20"/>
        </w:rPr>
        <w:t>y</w:t>
      </w:r>
      <w:r>
        <w:rPr>
          <w:spacing w:val="-8"/>
          <w:sz w:val="20"/>
        </w:rPr>
        <w:t> </w:t>
      </w:r>
      <w:r>
        <w:rPr>
          <w:sz w:val="20"/>
        </w:rPr>
        <w:t>demás</w:t>
      </w:r>
      <w:r>
        <w:rPr>
          <w:spacing w:val="-6"/>
          <w:sz w:val="20"/>
        </w:rPr>
        <w:t> </w:t>
      </w:r>
      <w:r>
        <w:rPr>
          <w:sz w:val="20"/>
        </w:rPr>
        <w:t>edificios</w:t>
      </w:r>
      <w:r>
        <w:rPr>
          <w:spacing w:val="-8"/>
          <w:sz w:val="20"/>
        </w:rPr>
        <w:t> </w:t>
      </w:r>
      <w:r>
        <w:rPr>
          <w:sz w:val="20"/>
        </w:rPr>
        <w:t>para</w:t>
      </w:r>
      <w:r>
        <w:rPr>
          <w:spacing w:val="-8"/>
          <w:sz w:val="20"/>
        </w:rPr>
        <w:t> </w:t>
      </w:r>
      <w:r>
        <w:rPr>
          <w:sz w:val="20"/>
        </w:rPr>
        <w:t>la</w:t>
      </w:r>
      <w:r>
        <w:rPr>
          <w:spacing w:val="-9"/>
          <w:sz w:val="20"/>
        </w:rPr>
        <w:t> </w:t>
      </w:r>
      <w:r>
        <w:rPr>
          <w:sz w:val="20"/>
        </w:rPr>
        <w:t>atención</w:t>
      </w:r>
      <w:r>
        <w:rPr>
          <w:spacing w:val="-7"/>
          <w:sz w:val="20"/>
        </w:rPr>
        <w:t> </w:t>
      </w:r>
      <w:r>
        <w:rPr>
          <w:sz w:val="20"/>
        </w:rPr>
        <w:t>de</w:t>
      </w:r>
      <w:r>
        <w:rPr>
          <w:spacing w:val="-9"/>
          <w:sz w:val="20"/>
        </w:rPr>
        <w:t> </w:t>
      </w:r>
      <w:r>
        <w:rPr>
          <w:sz w:val="20"/>
        </w:rPr>
        <w:t>salud,</w:t>
      </w:r>
      <w:r>
        <w:rPr>
          <w:spacing w:val="-9"/>
          <w:sz w:val="20"/>
        </w:rPr>
        <w:t> </w:t>
      </w:r>
      <w:r>
        <w:rPr>
          <w:sz w:val="20"/>
        </w:rPr>
        <w:t>se</w:t>
      </w:r>
      <w:r>
        <w:rPr>
          <w:spacing w:val="-7"/>
          <w:sz w:val="20"/>
        </w:rPr>
        <w:t> </w:t>
      </w:r>
      <w:r>
        <w:rPr>
          <w:sz w:val="20"/>
        </w:rPr>
        <w:t>localizarán</w:t>
      </w:r>
      <w:r>
        <w:rPr>
          <w:spacing w:val="-9"/>
          <w:sz w:val="20"/>
        </w:rPr>
        <w:t> </w:t>
      </w:r>
      <w:r>
        <w:rPr>
          <w:sz w:val="20"/>
        </w:rPr>
        <w:t>en</w:t>
      </w:r>
      <w:r>
        <w:rPr>
          <w:spacing w:val="-9"/>
          <w:sz w:val="20"/>
        </w:rPr>
        <w:t> </w:t>
      </w:r>
      <w:r>
        <w:rPr>
          <w:sz w:val="20"/>
        </w:rPr>
        <w:t>las</w:t>
      </w:r>
      <w:r>
        <w:rPr>
          <w:spacing w:val="-8"/>
          <w:sz w:val="20"/>
        </w:rPr>
        <w:t> </w:t>
      </w:r>
      <w:r>
        <w:rPr>
          <w:sz w:val="20"/>
        </w:rPr>
        <w:t>proximidades</w:t>
      </w:r>
      <w:r>
        <w:rPr>
          <w:spacing w:val="-8"/>
          <w:sz w:val="20"/>
        </w:rPr>
        <w:t> </w:t>
      </w:r>
      <w:r>
        <w:rPr>
          <w:sz w:val="20"/>
        </w:rPr>
        <w:t>de las áreas verdes, alejados del ruido y demás elementos contaminantes.</w:t>
      </w:r>
    </w:p>
    <w:p>
      <w:pPr>
        <w:pStyle w:val="ListParagraph"/>
        <w:numPr>
          <w:ilvl w:val="1"/>
          <w:numId w:val="58"/>
        </w:numPr>
        <w:tabs>
          <w:tab w:pos="544" w:val="left" w:leader="none"/>
        </w:tabs>
        <w:spacing w:line="240" w:lineRule="auto" w:before="229" w:after="0"/>
        <w:ind w:left="262" w:right="285" w:firstLine="0"/>
        <w:jc w:val="both"/>
        <w:rPr>
          <w:rFonts w:ascii="Arial" w:hAnsi="Arial"/>
          <w:b/>
          <w:sz w:val="20"/>
        </w:rPr>
      </w:pPr>
      <w:r>
        <w:rPr>
          <w:sz w:val="20"/>
        </w:rPr>
        <w:t>Para</w:t>
      </w:r>
      <w:r>
        <w:rPr>
          <w:spacing w:val="-14"/>
          <w:sz w:val="20"/>
        </w:rPr>
        <w:t> </w:t>
      </w:r>
      <w:r>
        <w:rPr>
          <w:sz w:val="20"/>
        </w:rPr>
        <w:t>las</w:t>
      </w:r>
      <w:r>
        <w:rPr>
          <w:spacing w:val="-14"/>
          <w:sz w:val="20"/>
        </w:rPr>
        <w:t> </w:t>
      </w:r>
      <w:r>
        <w:rPr>
          <w:sz w:val="20"/>
        </w:rPr>
        <w:t>colonias</w:t>
      </w:r>
      <w:r>
        <w:rPr>
          <w:spacing w:val="-14"/>
          <w:sz w:val="20"/>
        </w:rPr>
        <w:t> </w:t>
      </w:r>
      <w:r>
        <w:rPr>
          <w:sz w:val="20"/>
        </w:rPr>
        <w:t>o</w:t>
      </w:r>
      <w:r>
        <w:rPr>
          <w:spacing w:val="-14"/>
          <w:sz w:val="20"/>
        </w:rPr>
        <w:t> </w:t>
      </w:r>
      <w:r>
        <w:rPr>
          <w:sz w:val="20"/>
        </w:rPr>
        <w:t>barrios</w:t>
      </w:r>
      <w:r>
        <w:rPr>
          <w:spacing w:val="-13"/>
          <w:sz w:val="20"/>
        </w:rPr>
        <w:t> </w:t>
      </w:r>
      <w:r>
        <w:rPr>
          <w:sz w:val="20"/>
        </w:rPr>
        <w:t>y</w:t>
      </w:r>
      <w:r>
        <w:rPr>
          <w:spacing w:val="-13"/>
          <w:sz w:val="20"/>
        </w:rPr>
        <w:t> </w:t>
      </w:r>
      <w:r>
        <w:rPr>
          <w:sz w:val="20"/>
        </w:rPr>
        <w:t>los</w:t>
      </w:r>
      <w:r>
        <w:rPr>
          <w:spacing w:val="-14"/>
          <w:sz w:val="20"/>
        </w:rPr>
        <w:t> </w:t>
      </w:r>
      <w:r>
        <w:rPr>
          <w:sz w:val="20"/>
        </w:rPr>
        <w:t>nuevos</w:t>
      </w:r>
      <w:r>
        <w:rPr>
          <w:spacing w:val="-13"/>
          <w:sz w:val="20"/>
        </w:rPr>
        <w:t> </w:t>
      </w:r>
      <w:r>
        <w:rPr>
          <w:sz w:val="20"/>
        </w:rPr>
        <w:t>fraccionamientos</w:t>
      </w:r>
      <w:r>
        <w:rPr>
          <w:spacing w:val="-14"/>
          <w:sz w:val="20"/>
        </w:rPr>
        <w:t> </w:t>
      </w:r>
      <w:r>
        <w:rPr>
          <w:sz w:val="20"/>
        </w:rPr>
        <w:t>de</w:t>
      </w:r>
      <w:r>
        <w:rPr>
          <w:spacing w:val="-14"/>
          <w:sz w:val="20"/>
        </w:rPr>
        <w:t> </w:t>
      </w:r>
      <w:r>
        <w:rPr>
          <w:sz w:val="20"/>
        </w:rPr>
        <w:t>los</w:t>
      </w:r>
      <w:r>
        <w:rPr>
          <w:spacing w:val="-13"/>
          <w:sz w:val="20"/>
        </w:rPr>
        <w:t> </w:t>
      </w:r>
      <w:r>
        <w:rPr>
          <w:sz w:val="20"/>
        </w:rPr>
        <w:t>centros</w:t>
      </w:r>
      <w:r>
        <w:rPr>
          <w:spacing w:val="-14"/>
          <w:sz w:val="20"/>
        </w:rPr>
        <w:t> </w:t>
      </w:r>
      <w:r>
        <w:rPr>
          <w:sz w:val="20"/>
        </w:rPr>
        <w:t>de</w:t>
      </w:r>
      <w:r>
        <w:rPr>
          <w:spacing w:val="-14"/>
          <w:sz w:val="20"/>
        </w:rPr>
        <w:t> </w:t>
      </w:r>
      <w:r>
        <w:rPr>
          <w:sz w:val="20"/>
        </w:rPr>
        <w:t>población,</w:t>
      </w:r>
      <w:r>
        <w:rPr>
          <w:spacing w:val="-14"/>
          <w:sz w:val="20"/>
        </w:rPr>
        <w:t> </w:t>
      </w:r>
      <w:r>
        <w:rPr>
          <w:sz w:val="20"/>
        </w:rPr>
        <w:t>se</w:t>
      </w:r>
      <w:r>
        <w:rPr>
          <w:spacing w:val="-14"/>
          <w:sz w:val="20"/>
        </w:rPr>
        <w:t> </w:t>
      </w:r>
      <w:r>
        <w:rPr>
          <w:sz w:val="20"/>
        </w:rPr>
        <w:t>deberán contemplar los servicios de comercio, educación, salud y otros que fueren necesarios para la atención de las necesidades básicas de sus habitantes;</w:t>
      </w:r>
    </w:p>
    <w:p>
      <w:pPr>
        <w:pStyle w:val="ListParagraph"/>
        <w:numPr>
          <w:ilvl w:val="0"/>
          <w:numId w:val="58"/>
        </w:numPr>
        <w:tabs>
          <w:tab w:pos="688" w:val="left" w:leader="none"/>
        </w:tabs>
        <w:spacing w:line="240" w:lineRule="auto" w:before="229" w:after="0"/>
        <w:ind w:left="688" w:right="0" w:hanging="426"/>
        <w:jc w:val="both"/>
        <w:rPr>
          <w:sz w:val="20"/>
        </w:rPr>
      </w:pPr>
      <w:r>
        <w:rPr>
          <w:sz w:val="20"/>
        </w:rPr>
        <w:t>Localización</w:t>
      </w:r>
      <w:r>
        <w:rPr>
          <w:spacing w:val="-10"/>
          <w:sz w:val="20"/>
        </w:rPr>
        <w:t> </w:t>
      </w:r>
      <w:r>
        <w:rPr>
          <w:sz w:val="20"/>
        </w:rPr>
        <w:t>de</w:t>
      </w:r>
      <w:r>
        <w:rPr>
          <w:spacing w:val="-9"/>
          <w:sz w:val="20"/>
        </w:rPr>
        <w:t> </w:t>
      </w:r>
      <w:r>
        <w:rPr>
          <w:spacing w:val="-2"/>
          <w:sz w:val="20"/>
        </w:rPr>
        <w:t>industrias:</w:t>
      </w:r>
    </w:p>
    <w:p>
      <w:pPr>
        <w:pStyle w:val="BodyText"/>
        <w:spacing w:before="1"/>
      </w:pPr>
    </w:p>
    <w:p>
      <w:pPr>
        <w:pStyle w:val="ListParagraph"/>
        <w:numPr>
          <w:ilvl w:val="1"/>
          <w:numId w:val="58"/>
        </w:numPr>
        <w:tabs>
          <w:tab w:pos="687" w:val="left" w:leader="none"/>
        </w:tabs>
        <w:spacing w:line="240" w:lineRule="auto" w:before="0" w:after="0"/>
        <w:ind w:left="262" w:right="278" w:firstLine="0"/>
        <w:jc w:val="both"/>
        <w:rPr>
          <w:rFonts w:ascii="Arial" w:hAnsi="Arial"/>
          <w:b/>
          <w:sz w:val="20"/>
        </w:rPr>
      </w:pPr>
      <w:r>
        <w:rPr>
          <w:sz w:val="20"/>
        </w:rPr>
        <w:t>Los parques o zonas industriales deberán ubicarse separadamente de las áreas de vivienda; sus terrenos deberán tener fácil acceso por carreteras regionales o vías férreas, posibilidad de dotación de energía eléctrica y carecerán de pendientes que excedan del ocho por ciento, las condiciones</w:t>
      </w:r>
      <w:r>
        <w:rPr>
          <w:spacing w:val="-1"/>
          <w:sz w:val="20"/>
        </w:rPr>
        <w:t> </w:t>
      </w:r>
      <w:r>
        <w:rPr>
          <w:sz w:val="20"/>
        </w:rPr>
        <w:t>topográficas,</w:t>
      </w:r>
      <w:r>
        <w:rPr>
          <w:spacing w:val="-1"/>
          <w:sz w:val="20"/>
        </w:rPr>
        <w:t> </w:t>
      </w:r>
      <w:r>
        <w:rPr>
          <w:sz w:val="20"/>
        </w:rPr>
        <w:t>climatológicas</w:t>
      </w:r>
      <w:r>
        <w:rPr>
          <w:spacing w:val="-1"/>
          <w:sz w:val="20"/>
        </w:rPr>
        <w:t> </w:t>
      </w:r>
      <w:r>
        <w:rPr>
          <w:sz w:val="20"/>
        </w:rPr>
        <w:t>y meteorológicas</w:t>
      </w:r>
      <w:r>
        <w:rPr>
          <w:spacing w:val="-1"/>
          <w:sz w:val="20"/>
        </w:rPr>
        <w:t> </w:t>
      </w:r>
      <w:r>
        <w:rPr>
          <w:sz w:val="20"/>
        </w:rPr>
        <w:t>de</w:t>
      </w:r>
      <w:r>
        <w:rPr>
          <w:spacing w:val="-2"/>
          <w:sz w:val="20"/>
        </w:rPr>
        <w:t> </w:t>
      </w:r>
      <w:r>
        <w:rPr>
          <w:sz w:val="20"/>
        </w:rPr>
        <w:t>su</w:t>
      </w:r>
      <w:r>
        <w:rPr>
          <w:spacing w:val="-2"/>
          <w:sz w:val="20"/>
        </w:rPr>
        <w:t> </w:t>
      </w:r>
      <w:r>
        <w:rPr>
          <w:sz w:val="20"/>
        </w:rPr>
        <w:t>emplazamiento, deberán</w:t>
      </w:r>
      <w:r>
        <w:rPr>
          <w:spacing w:val="-2"/>
          <w:sz w:val="20"/>
        </w:rPr>
        <w:t> </w:t>
      </w:r>
      <w:r>
        <w:rPr>
          <w:sz w:val="20"/>
        </w:rPr>
        <w:t>asegurar la dispersión de contaminantes.</w:t>
      </w:r>
    </w:p>
    <w:p>
      <w:pPr>
        <w:pStyle w:val="BodyText"/>
        <w:spacing w:before="1"/>
      </w:pPr>
    </w:p>
    <w:p>
      <w:pPr>
        <w:pStyle w:val="ListParagraph"/>
        <w:numPr>
          <w:ilvl w:val="1"/>
          <w:numId w:val="58"/>
        </w:numPr>
        <w:tabs>
          <w:tab w:pos="544" w:val="left" w:leader="none"/>
        </w:tabs>
        <w:spacing w:line="240" w:lineRule="auto" w:before="0" w:after="0"/>
        <w:ind w:left="262" w:right="280" w:firstLine="0"/>
        <w:jc w:val="both"/>
        <w:rPr>
          <w:rFonts w:ascii="Arial" w:hAnsi="Arial"/>
          <w:b/>
          <w:sz w:val="20"/>
        </w:rPr>
      </w:pPr>
      <w:r>
        <w:rPr>
          <w:sz w:val="20"/>
        </w:rPr>
        <w:t>Las</w:t>
      </w:r>
      <w:r>
        <w:rPr>
          <w:spacing w:val="-5"/>
          <w:sz w:val="20"/>
        </w:rPr>
        <w:t> </w:t>
      </w:r>
      <w:r>
        <w:rPr>
          <w:sz w:val="20"/>
        </w:rPr>
        <w:t>industrias</w:t>
      </w:r>
      <w:r>
        <w:rPr>
          <w:spacing w:val="-6"/>
          <w:sz w:val="20"/>
        </w:rPr>
        <w:t> </w:t>
      </w:r>
      <w:r>
        <w:rPr>
          <w:sz w:val="20"/>
        </w:rPr>
        <w:t>de</w:t>
      </w:r>
      <w:r>
        <w:rPr>
          <w:spacing w:val="-7"/>
          <w:sz w:val="20"/>
        </w:rPr>
        <w:t> </w:t>
      </w:r>
      <w:r>
        <w:rPr>
          <w:sz w:val="20"/>
        </w:rPr>
        <w:t>alto</w:t>
      </w:r>
      <w:r>
        <w:rPr>
          <w:spacing w:val="-7"/>
          <w:sz w:val="20"/>
        </w:rPr>
        <w:t> </w:t>
      </w:r>
      <w:r>
        <w:rPr>
          <w:sz w:val="20"/>
        </w:rPr>
        <w:t>riesgo</w:t>
      </w:r>
      <w:r>
        <w:rPr>
          <w:spacing w:val="-9"/>
          <w:sz w:val="20"/>
        </w:rPr>
        <w:t> </w:t>
      </w:r>
      <w:r>
        <w:rPr>
          <w:sz w:val="20"/>
        </w:rPr>
        <w:t>o</w:t>
      </w:r>
      <w:r>
        <w:rPr>
          <w:spacing w:val="-7"/>
          <w:sz w:val="20"/>
        </w:rPr>
        <w:t> </w:t>
      </w:r>
      <w:r>
        <w:rPr>
          <w:sz w:val="20"/>
        </w:rPr>
        <w:t>peligro</w:t>
      </w:r>
      <w:r>
        <w:rPr>
          <w:spacing w:val="-6"/>
          <w:sz w:val="20"/>
        </w:rPr>
        <w:t> </w:t>
      </w:r>
      <w:r>
        <w:rPr>
          <w:sz w:val="20"/>
        </w:rPr>
        <w:t>de</w:t>
      </w:r>
      <w:r>
        <w:rPr>
          <w:spacing w:val="-3"/>
          <w:sz w:val="20"/>
        </w:rPr>
        <w:t> </w:t>
      </w:r>
      <w:r>
        <w:rPr>
          <w:sz w:val="20"/>
        </w:rPr>
        <w:t>contaminación</w:t>
      </w:r>
      <w:r>
        <w:rPr>
          <w:spacing w:val="-7"/>
          <w:sz w:val="20"/>
        </w:rPr>
        <w:t> </w:t>
      </w:r>
      <w:r>
        <w:rPr>
          <w:sz w:val="20"/>
        </w:rPr>
        <w:t>se</w:t>
      </w:r>
      <w:r>
        <w:rPr>
          <w:spacing w:val="-7"/>
          <w:sz w:val="20"/>
        </w:rPr>
        <w:t> </w:t>
      </w:r>
      <w:r>
        <w:rPr>
          <w:sz w:val="20"/>
        </w:rPr>
        <w:t>deberán</w:t>
      </w:r>
      <w:r>
        <w:rPr>
          <w:spacing w:val="-7"/>
          <w:sz w:val="20"/>
        </w:rPr>
        <w:t> </w:t>
      </w:r>
      <w:r>
        <w:rPr>
          <w:sz w:val="20"/>
        </w:rPr>
        <w:t>situar</w:t>
      </w:r>
      <w:r>
        <w:rPr>
          <w:spacing w:val="-6"/>
          <w:sz w:val="20"/>
        </w:rPr>
        <w:t> </w:t>
      </w:r>
      <w:r>
        <w:rPr>
          <w:sz w:val="20"/>
        </w:rPr>
        <w:t>fuera</w:t>
      </w:r>
      <w:r>
        <w:rPr>
          <w:spacing w:val="-7"/>
          <w:sz w:val="20"/>
        </w:rPr>
        <w:t> </w:t>
      </w:r>
      <w:r>
        <w:rPr>
          <w:sz w:val="20"/>
        </w:rPr>
        <w:t>de</w:t>
      </w:r>
      <w:r>
        <w:rPr>
          <w:spacing w:val="-9"/>
          <w:sz w:val="20"/>
        </w:rPr>
        <w:t> </w:t>
      </w:r>
      <w:r>
        <w:rPr>
          <w:sz w:val="20"/>
        </w:rPr>
        <w:t>los</w:t>
      </w:r>
      <w:r>
        <w:rPr>
          <w:spacing w:val="-6"/>
          <w:sz w:val="20"/>
        </w:rPr>
        <w:t> </w:t>
      </w:r>
      <w:r>
        <w:rPr>
          <w:sz w:val="20"/>
        </w:rPr>
        <w:t>límites</w:t>
      </w:r>
      <w:r>
        <w:rPr>
          <w:spacing w:val="-6"/>
          <w:sz w:val="20"/>
        </w:rPr>
        <w:t> </w:t>
      </w:r>
      <w:r>
        <w:rPr>
          <w:sz w:val="20"/>
        </w:rPr>
        <w:t>del centro de población a una distancia no menor de dos kilómetros, sin perjuicio de adaptarse las precauciones y demás medidas que fueren necesarias de acuerdo a las normas que emitan las autoridades competentes.</w:t>
      </w:r>
    </w:p>
    <w:p>
      <w:pPr>
        <w:spacing w:before="229"/>
        <w:ind w:left="262" w:right="0" w:firstLine="0"/>
        <w:jc w:val="left"/>
        <w:rPr>
          <w:rFonts w:ascii="Arial"/>
          <w:i/>
          <w:sz w:val="20"/>
        </w:rPr>
      </w:pPr>
      <w:r>
        <w:rPr>
          <w:rFonts w:ascii="Arial"/>
          <w:i/>
          <w:sz w:val="20"/>
        </w:rPr>
        <w:t>(REFORMADO</w:t>
      </w:r>
      <w:r>
        <w:rPr>
          <w:rFonts w:ascii="Arial"/>
          <w:i/>
          <w:spacing w:val="-6"/>
          <w:sz w:val="20"/>
        </w:rPr>
        <w:t> </w:t>
      </w:r>
      <w:r>
        <w:rPr>
          <w:rFonts w:ascii="Arial"/>
          <w:i/>
          <w:sz w:val="20"/>
        </w:rPr>
        <w:t>EN</w:t>
      </w:r>
      <w:r>
        <w:rPr>
          <w:rFonts w:ascii="Arial"/>
          <w:i/>
          <w:spacing w:val="-3"/>
          <w:sz w:val="20"/>
        </w:rPr>
        <w:t> </w:t>
      </w:r>
      <w:r>
        <w:rPr>
          <w:rFonts w:ascii="Arial"/>
          <w:i/>
          <w:sz w:val="20"/>
        </w:rPr>
        <w:t>EL</w:t>
      </w:r>
      <w:r>
        <w:rPr>
          <w:rFonts w:ascii="Arial"/>
          <w:i/>
          <w:spacing w:val="-4"/>
          <w:sz w:val="20"/>
        </w:rPr>
        <w:t> </w:t>
      </w:r>
      <w:r>
        <w:rPr>
          <w:rFonts w:ascii="Arial"/>
          <w:i/>
          <w:sz w:val="20"/>
        </w:rPr>
        <w:t>P.O.</w:t>
      </w:r>
      <w:r>
        <w:rPr>
          <w:rFonts w:ascii="Arial"/>
          <w:i/>
          <w:spacing w:val="-4"/>
          <w:sz w:val="20"/>
        </w:rPr>
        <w:t> </w:t>
      </w:r>
      <w:r>
        <w:rPr>
          <w:rFonts w:ascii="Arial"/>
          <w:i/>
          <w:sz w:val="20"/>
        </w:rPr>
        <w:t>DEL</w:t>
      </w:r>
      <w:r>
        <w:rPr>
          <w:rFonts w:ascii="Arial"/>
          <w:i/>
          <w:spacing w:val="-5"/>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10</w:t>
      </w:r>
      <w:r>
        <w:rPr>
          <w:rFonts w:ascii="Arial"/>
          <w:i/>
          <w:spacing w:val="-7"/>
          <w:sz w:val="20"/>
        </w:rPr>
        <w:t> </w:t>
      </w:r>
      <w:r>
        <w:rPr>
          <w:rFonts w:ascii="Arial"/>
          <w:i/>
          <w:sz w:val="20"/>
        </w:rPr>
        <w:t>DE</w:t>
      </w:r>
      <w:r>
        <w:rPr>
          <w:rFonts w:ascii="Arial"/>
          <w:i/>
          <w:spacing w:val="-6"/>
          <w:sz w:val="20"/>
        </w:rPr>
        <w:t> </w:t>
      </w:r>
      <w:r>
        <w:rPr>
          <w:rFonts w:ascii="Arial"/>
          <w:i/>
          <w:sz w:val="20"/>
        </w:rPr>
        <w:t>FEBRERO</w:t>
      </w:r>
      <w:r>
        <w:rPr>
          <w:rFonts w:ascii="Arial"/>
          <w:i/>
          <w:spacing w:val="-5"/>
          <w:sz w:val="20"/>
        </w:rPr>
        <w:t> </w:t>
      </w:r>
      <w:r>
        <w:rPr>
          <w:rFonts w:ascii="Arial"/>
          <w:i/>
          <w:spacing w:val="-2"/>
          <w:sz w:val="20"/>
        </w:rPr>
        <w:t>2026)</w:t>
      </w:r>
    </w:p>
    <w:p>
      <w:pPr>
        <w:pStyle w:val="ListParagraph"/>
        <w:numPr>
          <w:ilvl w:val="1"/>
          <w:numId w:val="58"/>
        </w:numPr>
        <w:tabs>
          <w:tab w:pos="544" w:val="left" w:leader="none"/>
        </w:tabs>
        <w:spacing w:line="240" w:lineRule="auto" w:before="1" w:after="0"/>
        <w:ind w:left="262" w:right="284" w:firstLine="0"/>
        <w:jc w:val="both"/>
        <w:rPr>
          <w:rFonts w:ascii="Arial" w:hAnsi="Arial"/>
          <w:b/>
          <w:sz w:val="20"/>
        </w:rPr>
      </w:pPr>
      <w:r>
        <w:rPr>
          <w:sz w:val="20"/>
        </w:rPr>
        <w:t>Las industrias que se permitan establecerse dentro o próximas a zonas habitacionales, serán señaladas</w:t>
      </w:r>
      <w:r>
        <w:rPr>
          <w:spacing w:val="-12"/>
          <w:sz w:val="20"/>
        </w:rPr>
        <w:t> </w:t>
      </w:r>
      <w:r>
        <w:rPr>
          <w:sz w:val="20"/>
        </w:rPr>
        <w:t>en</w:t>
      </w:r>
      <w:r>
        <w:rPr>
          <w:spacing w:val="-13"/>
          <w:sz w:val="20"/>
        </w:rPr>
        <w:t> </w:t>
      </w:r>
      <w:r>
        <w:rPr>
          <w:sz w:val="20"/>
        </w:rPr>
        <w:t>las</w:t>
      </w:r>
      <w:r>
        <w:rPr>
          <w:spacing w:val="-14"/>
          <w:sz w:val="20"/>
        </w:rPr>
        <w:t> </w:t>
      </w:r>
      <w:r>
        <w:rPr>
          <w:sz w:val="20"/>
        </w:rPr>
        <w:t>Normas</w:t>
      </w:r>
      <w:r>
        <w:rPr>
          <w:spacing w:val="-11"/>
          <w:sz w:val="20"/>
        </w:rPr>
        <w:t> </w:t>
      </w:r>
      <w:r>
        <w:rPr>
          <w:sz w:val="20"/>
        </w:rPr>
        <w:t>de</w:t>
      </w:r>
      <w:r>
        <w:rPr>
          <w:spacing w:val="-14"/>
          <w:sz w:val="20"/>
        </w:rPr>
        <w:t> </w:t>
      </w:r>
      <w:r>
        <w:rPr>
          <w:sz w:val="20"/>
        </w:rPr>
        <w:t>Zonificación</w:t>
      </w:r>
      <w:r>
        <w:rPr>
          <w:spacing w:val="-13"/>
          <w:sz w:val="20"/>
        </w:rPr>
        <w:t> </w:t>
      </w:r>
      <w:r>
        <w:rPr>
          <w:sz w:val="20"/>
        </w:rPr>
        <w:t>Secundaria</w:t>
      </w:r>
      <w:r>
        <w:rPr>
          <w:spacing w:val="-13"/>
          <w:sz w:val="20"/>
        </w:rPr>
        <w:t> </w:t>
      </w:r>
      <w:r>
        <w:rPr>
          <w:sz w:val="20"/>
        </w:rPr>
        <w:t>del</w:t>
      </w:r>
      <w:r>
        <w:rPr>
          <w:spacing w:val="-13"/>
          <w:sz w:val="20"/>
        </w:rPr>
        <w:t> </w:t>
      </w:r>
      <w:r>
        <w:rPr>
          <w:sz w:val="20"/>
        </w:rPr>
        <w:t>programa</w:t>
      </w:r>
      <w:r>
        <w:rPr>
          <w:spacing w:val="-13"/>
          <w:sz w:val="20"/>
        </w:rPr>
        <w:t> </w:t>
      </w:r>
      <w:r>
        <w:rPr>
          <w:sz w:val="20"/>
        </w:rPr>
        <w:t>de</w:t>
      </w:r>
      <w:r>
        <w:rPr>
          <w:spacing w:val="-14"/>
          <w:sz w:val="20"/>
        </w:rPr>
        <w:t> </w:t>
      </w:r>
      <w:r>
        <w:rPr>
          <w:sz w:val="20"/>
        </w:rPr>
        <w:t>centro</w:t>
      </w:r>
      <w:r>
        <w:rPr>
          <w:spacing w:val="-14"/>
          <w:sz w:val="20"/>
        </w:rPr>
        <w:t> </w:t>
      </w:r>
      <w:r>
        <w:rPr>
          <w:sz w:val="20"/>
        </w:rPr>
        <w:t>de</w:t>
      </w:r>
      <w:r>
        <w:rPr>
          <w:spacing w:val="-14"/>
          <w:sz w:val="20"/>
        </w:rPr>
        <w:t> </w:t>
      </w:r>
      <w:r>
        <w:rPr>
          <w:sz w:val="20"/>
        </w:rPr>
        <w:t>población</w:t>
      </w:r>
      <w:r>
        <w:rPr>
          <w:spacing w:val="-13"/>
          <w:sz w:val="20"/>
        </w:rPr>
        <w:t> </w:t>
      </w:r>
      <w:r>
        <w:rPr>
          <w:sz w:val="20"/>
        </w:rPr>
        <w:t>aplicable.</w:t>
      </w:r>
    </w:p>
    <w:p>
      <w:pPr>
        <w:spacing w:before="229"/>
        <w:ind w:left="26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EL</w:t>
      </w:r>
      <w:r>
        <w:rPr>
          <w:rFonts w:ascii="Arial"/>
          <w:i/>
          <w:spacing w:val="-4"/>
          <w:sz w:val="20"/>
        </w:rPr>
        <w:t> </w:t>
      </w:r>
      <w:r>
        <w:rPr>
          <w:rFonts w:ascii="Arial"/>
          <w:i/>
          <w:sz w:val="20"/>
        </w:rPr>
        <w:t>10</w:t>
      </w:r>
      <w:r>
        <w:rPr>
          <w:rFonts w:ascii="Arial"/>
          <w:i/>
          <w:spacing w:val="-7"/>
          <w:sz w:val="20"/>
        </w:rPr>
        <w:t> </w:t>
      </w:r>
      <w:r>
        <w:rPr>
          <w:rFonts w:ascii="Arial"/>
          <w:i/>
          <w:sz w:val="20"/>
        </w:rPr>
        <w:t>DE</w:t>
      </w:r>
      <w:r>
        <w:rPr>
          <w:rFonts w:ascii="Arial"/>
          <w:i/>
          <w:spacing w:val="-5"/>
          <w:sz w:val="20"/>
        </w:rPr>
        <w:t> </w:t>
      </w:r>
      <w:r>
        <w:rPr>
          <w:rFonts w:ascii="Arial"/>
          <w:i/>
          <w:sz w:val="20"/>
        </w:rPr>
        <w:t>FEBRERO</w:t>
      </w:r>
      <w:r>
        <w:rPr>
          <w:rFonts w:ascii="Arial"/>
          <w:i/>
          <w:spacing w:val="-5"/>
          <w:sz w:val="20"/>
        </w:rPr>
        <w:t> </w:t>
      </w:r>
      <w:r>
        <w:rPr>
          <w:rFonts w:ascii="Arial"/>
          <w:i/>
          <w:spacing w:val="-2"/>
          <w:sz w:val="20"/>
        </w:rPr>
        <w:t>2026)</w:t>
      </w:r>
    </w:p>
    <w:p>
      <w:pPr>
        <w:pStyle w:val="ListParagraph"/>
        <w:numPr>
          <w:ilvl w:val="1"/>
          <w:numId w:val="58"/>
        </w:numPr>
        <w:tabs>
          <w:tab w:pos="633" w:val="left" w:leader="none"/>
        </w:tabs>
        <w:spacing w:line="240" w:lineRule="auto" w:before="0" w:after="0"/>
        <w:ind w:left="262" w:right="283" w:firstLine="0"/>
        <w:jc w:val="both"/>
        <w:rPr>
          <w:sz w:val="20"/>
        </w:rPr>
      </w:pPr>
      <w:r>
        <w:rPr>
          <w:sz w:val="20"/>
        </w:rPr>
        <w:t>Identificar, delimitar y destinar reservas territoriales específicas para el establecimiento de parques</w:t>
      </w:r>
      <w:r>
        <w:rPr>
          <w:spacing w:val="-7"/>
          <w:sz w:val="20"/>
        </w:rPr>
        <w:t> </w:t>
      </w:r>
      <w:r>
        <w:rPr>
          <w:sz w:val="20"/>
        </w:rPr>
        <w:t>o</w:t>
      </w:r>
      <w:r>
        <w:rPr>
          <w:spacing w:val="-8"/>
          <w:sz w:val="20"/>
        </w:rPr>
        <w:t> </w:t>
      </w:r>
      <w:r>
        <w:rPr>
          <w:sz w:val="20"/>
        </w:rPr>
        <w:t>zonas</w:t>
      </w:r>
      <w:r>
        <w:rPr>
          <w:spacing w:val="-4"/>
          <w:sz w:val="20"/>
        </w:rPr>
        <w:t> </w:t>
      </w:r>
      <w:r>
        <w:rPr>
          <w:sz w:val="20"/>
        </w:rPr>
        <w:t>industriales,</w:t>
      </w:r>
      <w:r>
        <w:rPr>
          <w:spacing w:val="-7"/>
          <w:sz w:val="20"/>
        </w:rPr>
        <w:t> </w:t>
      </w:r>
      <w:r>
        <w:rPr>
          <w:sz w:val="20"/>
        </w:rPr>
        <w:t>atendiendo</w:t>
      </w:r>
      <w:r>
        <w:rPr>
          <w:spacing w:val="-5"/>
          <w:sz w:val="20"/>
        </w:rPr>
        <w:t> </w:t>
      </w:r>
      <w:r>
        <w:rPr>
          <w:sz w:val="20"/>
        </w:rPr>
        <w:t>los</w:t>
      </w:r>
      <w:r>
        <w:rPr>
          <w:spacing w:val="-7"/>
          <w:sz w:val="20"/>
        </w:rPr>
        <w:t> </w:t>
      </w:r>
      <w:r>
        <w:rPr>
          <w:sz w:val="20"/>
        </w:rPr>
        <w:t>criterios</w:t>
      </w:r>
      <w:r>
        <w:rPr>
          <w:spacing w:val="-6"/>
          <w:sz w:val="20"/>
        </w:rPr>
        <w:t> </w:t>
      </w:r>
      <w:r>
        <w:rPr>
          <w:sz w:val="20"/>
        </w:rPr>
        <w:t>de</w:t>
      </w:r>
      <w:r>
        <w:rPr>
          <w:spacing w:val="-8"/>
          <w:sz w:val="20"/>
        </w:rPr>
        <w:t> </w:t>
      </w:r>
      <w:r>
        <w:rPr>
          <w:sz w:val="20"/>
        </w:rPr>
        <w:t>sustentabilidad,</w:t>
      </w:r>
      <w:r>
        <w:rPr>
          <w:spacing w:val="-7"/>
          <w:sz w:val="20"/>
        </w:rPr>
        <w:t> </w:t>
      </w:r>
      <w:r>
        <w:rPr>
          <w:sz w:val="20"/>
        </w:rPr>
        <w:t>compatibilidad</w:t>
      </w:r>
      <w:r>
        <w:rPr>
          <w:spacing w:val="-8"/>
          <w:sz w:val="20"/>
        </w:rPr>
        <w:t> </w:t>
      </w:r>
      <w:r>
        <w:rPr>
          <w:sz w:val="20"/>
        </w:rPr>
        <w:t>de</w:t>
      </w:r>
      <w:r>
        <w:rPr>
          <w:spacing w:val="-6"/>
          <w:sz w:val="20"/>
        </w:rPr>
        <w:t> </w:t>
      </w:r>
      <w:r>
        <w:rPr>
          <w:sz w:val="20"/>
        </w:rPr>
        <w:t>usos</w:t>
      </w:r>
      <w:r>
        <w:rPr>
          <w:spacing w:val="-7"/>
          <w:sz w:val="20"/>
        </w:rPr>
        <w:t> </w:t>
      </w:r>
      <w:r>
        <w:rPr>
          <w:sz w:val="20"/>
        </w:rPr>
        <w:t>del suelo, conectividad, así</w:t>
      </w:r>
      <w:r>
        <w:rPr>
          <w:spacing w:val="-2"/>
          <w:sz w:val="20"/>
        </w:rPr>
        <w:t> </w:t>
      </w:r>
      <w:r>
        <w:rPr>
          <w:sz w:val="20"/>
        </w:rPr>
        <w:t>como la</w:t>
      </w:r>
      <w:r>
        <w:rPr>
          <w:spacing w:val="-2"/>
          <w:sz w:val="20"/>
        </w:rPr>
        <w:t> </w:t>
      </w:r>
      <w:r>
        <w:rPr>
          <w:sz w:val="20"/>
        </w:rPr>
        <w:t>protección</w:t>
      </w:r>
      <w:r>
        <w:rPr>
          <w:spacing w:val="-2"/>
          <w:sz w:val="20"/>
        </w:rPr>
        <w:t> </w:t>
      </w:r>
      <w:r>
        <w:rPr>
          <w:sz w:val="20"/>
        </w:rPr>
        <w:t>de</w:t>
      </w:r>
      <w:r>
        <w:rPr>
          <w:spacing w:val="-2"/>
          <w:sz w:val="20"/>
        </w:rPr>
        <w:t> </w:t>
      </w:r>
      <w:r>
        <w:rPr>
          <w:sz w:val="20"/>
        </w:rPr>
        <w:t>áreas</w:t>
      </w:r>
      <w:r>
        <w:rPr>
          <w:spacing w:val="-1"/>
          <w:sz w:val="20"/>
        </w:rPr>
        <w:t> </w:t>
      </w:r>
      <w:r>
        <w:rPr>
          <w:sz w:val="20"/>
        </w:rPr>
        <w:t>naturales</w:t>
      </w:r>
      <w:r>
        <w:rPr>
          <w:spacing w:val="-1"/>
          <w:sz w:val="20"/>
        </w:rPr>
        <w:t> </w:t>
      </w:r>
      <w:r>
        <w:rPr>
          <w:sz w:val="20"/>
        </w:rPr>
        <w:t>protegidas</w:t>
      </w:r>
      <w:r>
        <w:rPr>
          <w:spacing w:val="-1"/>
          <w:sz w:val="20"/>
        </w:rPr>
        <w:t> </w:t>
      </w:r>
      <w:r>
        <w:rPr>
          <w:sz w:val="20"/>
        </w:rPr>
        <w:t>y</w:t>
      </w:r>
      <w:r>
        <w:rPr>
          <w:spacing w:val="-1"/>
          <w:sz w:val="20"/>
        </w:rPr>
        <w:t> </w:t>
      </w:r>
      <w:r>
        <w:rPr>
          <w:sz w:val="20"/>
        </w:rPr>
        <w:t>la prevención</w:t>
      </w:r>
      <w:r>
        <w:rPr>
          <w:spacing w:val="-2"/>
          <w:sz w:val="20"/>
        </w:rPr>
        <w:t> </w:t>
      </w:r>
      <w:r>
        <w:rPr>
          <w:sz w:val="20"/>
        </w:rPr>
        <w:t>de</w:t>
      </w:r>
      <w:r>
        <w:rPr>
          <w:spacing w:val="-2"/>
          <w:sz w:val="20"/>
        </w:rPr>
        <w:t> </w:t>
      </w:r>
      <w:r>
        <w:rPr>
          <w:sz w:val="20"/>
        </w:rPr>
        <w:t>zonas de</w:t>
      </w:r>
      <w:r>
        <w:rPr>
          <w:spacing w:val="-6"/>
          <w:sz w:val="20"/>
        </w:rPr>
        <w:t> </w:t>
      </w:r>
      <w:r>
        <w:rPr>
          <w:sz w:val="20"/>
        </w:rPr>
        <w:t>riesgos.</w:t>
      </w:r>
      <w:r>
        <w:rPr>
          <w:spacing w:val="-5"/>
          <w:sz w:val="20"/>
        </w:rPr>
        <w:t> </w:t>
      </w:r>
      <w:r>
        <w:rPr>
          <w:sz w:val="20"/>
        </w:rPr>
        <w:t>Estas</w:t>
      </w:r>
      <w:r>
        <w:rPr>
          <w:spacing w:val="-4"/>
          <w:sz w:val="20"/>
        </w:rPr>
        <w:t> </w:t>
      </w:r>
      <w:r>
        <w:rPr>
          <w:sz w:val="20"/>
        </w:rPr>
        <w:t>reservas</w:t>
      </w:r>
      <w:r>
        <w:rPr>
          <w:spacing w:val="-4"/>
          <w:sz w:val="20"/>
        </w:rPr>
        <w:t> </w:t>
      </w:r>
      <w:r>
        <w:rPr>
          <w:sz w:val="20"/>
        </w:rPr>
        <w:t>deberán</w:t>
      </w:r>
      <w:r>
        <w:rPr>
          <w:spacing w:val="-6"/>
          <w:sz w:val="20"/>
        </w:rPr>
        <w:t> </w:t>
      </w:r>
      <w:r>
        <w:rPr>
          <w:sz w:val="20"/>
        </w:rPr>
        <w:t>integrarse</w:t>
      </w:r>
      <w:r>
        <w:rPr>
          <w:spacing w:val="-5"/>
          <w:sz w:val="20"/>
        </w:rPr>
        <w:t> </w:t>
      </w:r>
      <w:r>
        <w:rPr>
          <w:sz w:val="20"/>
        </w:rPr>
        <w:t>a</w:t>
      </w:r>
      <w:r>
        <w:rPr>
          <w:spacing w:val="-6"/>
          <w:sz w:val="20"/>
        </w:rPr>
        <w:t> </w:t>
      </w:r>
      <w:r>
        <w:rPr>
          <w:sz w:val="20"/>
        </w:rPr>
        <w:t>los</w:t>
      </w:r>
      <w:r>
        <w:rPr>
          <w:spacing w:val="-2"/>
          <w:sz w:val="20"/>
        </w:rPr>
        <w:t> </w:t>
      </w:r>
      <w:r>
        <w:rPr>
          <w:sz w:val="20"/>
        </w:rPr>
        <w:t>Programas</w:t>
      </w:r>
      <w:r>
        <w:rPr>
          <w:spacing w:val="-4"/>
          <w:sz w:val="20"/>
        </w:rPr>
        <w:t> </w:t>
      </w:r>
      <w:r>
        <w:rPr>
          <w:sz w:val="20"/>
        </w:rPr>
        <w:t>Municipales</w:t>
      </w:r>
      <w:r>
        <w:rPr>
          <w:spacing w:val="-4"/>
          <w:sz w:val="20"/>
        </w:rPr>
        <w:t> </w:t>
      </w:r>
      <w:r>
        <w:rPr>
          <w:sz w:val="20"/>
        </w:rPr>
        <w:t>de</w:t>
      </w:r>
      <w:r>
        <w:rPr>
          <w:spacing w:val="-6"/>
          <w:sz w:val="20"/>
        </w:rPr>
        <w:t> </w:t>
      </w:r>
      <w:r>
        <w:rPr>
          <w:sz w:val="20"/>
        </w:rPr>
        <w:t>Desarrollo</w:t>
      </w:r>
      <w:r>
        <w:rPr>
          <w:spacing w:val="-5"/>
          <w:sz w:val="20"/>
        </w:rPr>
        <w:t> </w:t>
      </w:r>
      <w:r>
        <w:rPr>
          <w:sz w:val="20"/>
        </w:rPr>
        <w:t>Urbano</w:t>
      </w:r>
      <w:r>
        <w:rPr>
          <w:spacing w:val="-6"/>
          <w:sz w:val="20"/>
        </w:rPr>
        <w:t> </w:t>
      </w:r>
      <w:r>
        <w:rPr>
          <w:sz w:val="20"/>
        </w:rPr>
        <w:t>y contar</w:t>
      </w:r>
      <w:r>
        <w:rPr>
          <w:spacing w:val="-13"/>
          <w:sz w:val="20"/>
        </w:rPr>
        <w:t> </w:t>
      </w:r>
      <w:r>
        <w:rPr>
          <w:sz w:val="20"/>
        </w:rPr>
        <w:t>con</w:t>
      </w:r>
      <w:r>
        <w:rPr>
          <w:spacing w:val="-14"/>
          <w:sz w:val="20"/>
        </w:rPr>
        <w:t> </w:t>
      </w:r>
      <w:r>
        <w:rPr>
          <w:sz w:val="20"/>
        </w:rPr>
        <w:t>la</w:t>
      </w:r>
      <w:r>
        <w:rPr>
          <w:spacing w:val="-11"/>
          <w:sz w:val="20"/>
        </w:rPr>
        <w:t> </w:t>
      </w:r>
      <w:r>
        <w:rPr>
          <w:sz w:val="20"/>
        </w:rPr>
        <w:t>infraestructura</w:t>
      </w:r>
      <w:r>
        <w:rPr>
          <w:spacing w:val="-11"/>
          <w:sz w:val="20"/>
        </w:rPr>
        <w:t> </w:t>
      </w:r>
      <w:r>
        <w:rPr>
          <w:sz w:val="20"/>
        </w:rPr>
        <w:t>básica</w:t>
      </w:r>
      <w:r>
        <w:rPr>
          <w:spacing w:val="-13"/>
          <w:sz w:val="20"/>
        </w:rPr>
        <w:t> </w:t>
      </w:r>
      <w:r>
        <w:rPr>
          <w:sz w:val="20"/>
        </w:rPr>
        <w:t>y</w:t>
      </w:r>
      <w:r>
        <w:rPr>
          <w:spacing w:val="-12"/>
          <w:sz w:val="20"/>
        </w:rPr>
        <w:t> </w:t>
      </w:r>
      <w:r>
        <w:rPr>
          <w:sz w:val="20"/>
        </w:rPr>
        <w:t>los</w:t>
      </w:r>
      <w:r>
        <w:rPr>
          <w:spacing w:val="-12"/>
          <w:sz w:val="20"/>
        </w:rPr>
        <w:t> </w:t>
      </w:r>
      <w:r>
        <w:rPr>
          <w:sz w:val="20"/>
        </w:rPr>
        <w:t>servicios</w:t>
      </w:r>
      <w:r>
        <w:rPr>
          <w:spacing w:val="-12"/>
          <w:sz w:val="20"/>
        </w:rPr>
        <w:t> </w:t>
      </w:r>
      <w:r>
        <w:rPr>
          <w:sz w:val="20"/>
        </w:rPr>
        <w:t>indispensables</w:t>
      </w:r>
      <w:r>
        <w:rPr>
          <w:spacing w:val="-12"/>
          <w:sz w:val="20"/>
        </w:rPr>
        <w:t> </w:t>
      </w:r>
      <w:r>
        <w:rPr>
          <w:sz w:val="20"/>
        </w:rPr>
        <w:t>para</w:t>
      </w:r>
      <w:r>
        <w:rPr>
          <w:spacing w:val="-13"/>
          <w:sz w:val="20"/>
        </w:rPr>
        <w:t> </w:t>
      </w:r>
      <w:r>
        <w:rPr>
          <w:sz w:val="20"/>
        </w:rPr>
        <w:t>su</w:t>
      </w:r>
      <w:r>
        <w:rPr>
          <w:spacing w:val="-13"/>
          <w:sz w:val="20"/>
        </w:rPr>
        <w:t> </w:t>
      </w:r>
      <w:r>
        <w:rPr>
          <w:sz w:val="20"/>
        </w:rPr>
        <w:t>adecuado</w:t>
      </w:r>
      <w:r>
        <w:rPr>
          <w:spacing w:val="-13"/>
          <w:sz w:val="20"/>
        </w:rPr>
        <w:t> </w:t>
      </w:r>
      <w:r>
        <w:rPr>
          <w:sz w:val="20"/>
        </w:rPr>
        <w:t>funcionamiento.</w:t>
      </w:r>
    </w:p>
    <w:p>
      <w:pPr>
        <w:pStyle w:val="BodyText"/>
        <w:spacing w:before="1"/>
      </w:pPr>
    </w:p>
    <w:p>
      <w:pPr>
        <w:spacing w:before="0"/>
        <w:ind w:left="26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EL</w:t>
      </w:r>
      <w:r>
        <w:rPr>
          <w:rFonts w:ascii="Arial"/>
          <w:i/>
          <w:spacing w:val="-4"/>
          <w:sz w:val="20"/>
        </w:rPr>
        <w:t> </w:t>
      </w:r>
      <w:r>
        <w:rPr>
          <w:rFonts w:ascii="Arial"/>
          <w:i/>
          <w:sz w:val="20"/>
        </w:rPr>
        <w:t>10</w:t>
      </w:r>
      <w:r>
        <w:rPr>
          <w:rFonts w:ascii="Arial"/>
          <w:i/>
          <w:spacing w:val="-7"/>
          <w:sz w:val="20"/>
        </w:rPr>
        <w:t> </w:t>
      </w:r>
      <w:r>
        <w:rPr>
          <w:rFonts w:ascii="Arial"/>
          <w:i/>
          <w:sz w:val="20"/>
        </w:rPr>
        <w:t>DE</w:t>
      </w:r>
      <w:r>
        <w:rPr>
          <w:rFonts w:ascii="Arial"/>
          <w:i/>
          <w:spacing w:val="-5"/>
          <w:sz w:val="20"/>
        </w:rPr>
        <w:t> </w:t>
      </w:r>
      <w:r>
        <w:rPr>
          <w:rFonts w:ascii="Arial"/>
          <w:i/>
          <w:sz w:val="20"/>
        </w:rPr>
        <w:t>FEBRERO</w:t>
      </w:r>
      <w:r>
        <w:rPr>
          <w:rFonts w:ascii="Arial"/>
          <w:i/>
          <w:spacing w:val="-5"/>
          <w:sz w:val="20"/>
        </w:rPr>
        <w:t> </w:t>
      </w:r>
      <w:r>
        <w:rPr>
          <w:rFonts w:ascii="Arial"/>
          <w:i/>
          <w:spacing w:val="-2"/>
          <w:sz w:val="20"/>
        </w:rPr>
        <w:t>2026)</w:t>
      </w:r>
    </w:p>
    <w:p>
      <w:pPr>
        <w:pStyle w:val="BodyText"/>
        <w:ind w:left="262" w:right="279"/>
        <w:jc w:val="both"/>
      </w:pPr>
      <w:r>
        <w:rPr/>
        <w:t>Para tal efecto, los municipios podrán solicitar el acompañamiento técnico, jurídico o metodológico que resulte necesario, el cual podrá brindarse mediante mecanismos de coordinación interinstitucional o esquemas de colaboración público-privada, conforme a la disponibilidad de recursos y a las capacidades administrativas de cada ayuntamiento.</w:t>
      </w:r>
    </w:p>
    <w:p>
      <w:pPr>
        <w:pStyle w:val="BodyText"/>
      </w:pPr>
    </w:p>
    <w:p>
      <w:pPr>
        <w:pStyle w:val="ListParagraph"/>
        <w:numPr>
          <w:ilvl w:val="0"/>
          <w:numId w:val="58"/>
        </w:numPr>
        <w:tabs>
          <w:tab w:pos="544" w:val="left" w:leader="none"/>
        </w:tabs>
        <w:spacing w:line="240" w:lineRule="auto" w:before="0" w:after="0"/>
        <w:ind w:left="544" w:right="0" w:hanging="282"/>
        <w:jc w:val="both"/>
        <w:rPr>
          <w:sz w:val="20"/>
        </w:rPr>
      </w:pPr>
      <w:r>
        <w:rPr>
          <w:sz w:val="20"/>
        </w:rPr>
        <w:t>Protección</w:t>
      </w:r>
      <w:r>
        <w:rPr>
          <w:spacing w:val="-9"/>
          <w:sz w:val="20"/>
        </w:rPr>
        <w:t> </w:t>
      </w:r>
      <w:r>
        <w:rPr>
          <w:sz w:val="20"/>
        </w:rPr>
        <w:t>e</w:t>
      </w:r>
      <w:r>
        <w:rPr>
          <w:spacing w:val="-8"/>
          <w:sz w:val="20"/>
        </w:rPr>
        <w:t> </w:t>
      </w:r>
      <w:r>
        <w:rPr>
          <w:sz w:val="20"/>
        </w:rPr>
        <w:t>integración</w:t>
      </w:r>
      <w:r>
        <w:rPr>
          <w:spacing w:val="-8"/>
          <w:sz w:val="20"/>
        </w:rPr>
        <w:t> </w:t>
      </w:r>
      <w:r>
        <w:rPr>
          <w:sz w:val="20"/>
        </w:rPr>
        <w:t>al</w:t>
      </w:r>
      <w:r>
        <w:rPr>
          <w:spacing w:val="-8"/>
          <w:sz w:val="20"/>
        </w:rPr>
        <w:t> </w:t>
      </w:r>
      <w:r>
        <w:rPr>
          <w:sz w:val="20"/>
        </w:rPr>
        <w:t>entorno</w:t>
      </w:r>
      <w:r>
        <w:rPr>
          <w:spacing w:val="-8"/>
          <w:sz w:val="20"/>
        </w:rPr>
        <w:t> </w:t>
      </w:r>
      <w:r>
        <w:rPr>
          <w:spacing w:val="-2"/>
          <w:sz w:val="20"/>
        </w:rPr>
        <w:t>ambiental:</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58"/>
        </w:numPr>
        <w:tabs>
          <w:tab w:pos="544" w:val="left" w:leader="none"/>
        </w:tabs>
        <w:spacing w:line="240" w:lineRule="auto" w:before="0" w:after="0"/>
        <w:ind w:left="262" w:right="286" w:firstLine="0"/>
        <w:jc w:val="both"/>
        <w:rPr>
          <w:rFonts w:ascii="Arial" w:hAnsi="Arial"/>
          <w:b/>
          <w:sz w:val="20"/>
        </w:rPr>
      </w:pPr>
      <w:r>
        <w:rPr>
          <w:sz w:val="20"/>
        </w:rPr>
        <w:t>Se protegerán y en su caso aprovecharán los recursos con que cuenten los cerros, bosques, cuerpos de agua superficiales, mantos de agua subterránea y zonas de carga acuífera, que sirvan para mantener o mejorar la calidad del ambiente.</w:t>
      </w:r>
    </w:p>
    <w:p>
      <w:pPr>
        <w:pStyle w:val="BodyText"/>
        <w:spacing w:before="1"/>
      </w:pPr>
    </w:p>
    <w:p>
      <w:pPr>
        <w:pStyle w:val="ListParagraph"/>
        <w:numPr>
          <w:ilvl w:val="1"/>
          <w:numId w:val="58"/>
        </w:numPr>
        <w:tabs>
          <w:tab w:pos="544" w:val="left" w:leader="none"/>
        </w:tabs>
        <w:spacing w:line="240" w:lineRule="auto" w:before="1" w:after="0"/>
        <w:ind w:left="262" w:right="287" w:firstLine="0"/>
        <w:jc w:val="both"/>
        <w:rPr>
          <w:rFonts w:ascii="Arial" w:hAnsi="Arial"/>
          <w:b/>
          <w:sz w:val="20"/>
        </w:rPr>
      </w:pPr>
      <w:r>
        <w:rPr>
          <w:sz w:val="20"/>
        </w:rPr>
        <w:t>En el aprovechamiento de los predios se respetarán, la naturaleza del terreno, y los cauces de escurrimientos superficiales, a fin de conservar su entorno natural y mejorarlo.</w:t>
      </w:r>
    </w:p>
    <w:p>
      <w:pPr>
        <w:pStyle w:val="ListParagraph"/>
        <w:numPr>
          <w:ilvl w:val="1"/>
          <w:numId w:val="58"/>
        </w:numPr>
        <w:tabs>
          <w:tab w:pos="544" w:val="left" w:leader="none"/>
        </w:tabs>
        <w:spacing w:line="240" w:lineRule="auto" w:before="228" w:after="0"/>
        <w:ind w:left="262" w:right="286" w:firstLine="0"/>
        <w:jc w:val="both"/>
        <w:rPr>
          <w:rFonts w:ascii="Arial" w:hAnsi="Arial"/>
          <w:b/>
          <w:sz w:val="20"/>
        </w:rPr>
      </w:pPr>
      <w:r>
        <w:rPr>
          <w:sz w:val="20"/>
        </w:rPr>
        <w:t>La</w:t>
      </w:r>
      <w:r>
        <w:rPr>
          <w:spacing w:val="-10"/>
          <w:sz w:val="20"/>
        </w:rPr>
        <w:t> </w:t>
      </w:r>
      <w:r>
        <w:rPr>
          <w:sz w:val="20"/>
        </w:rPr>
        <w:t>forestación</w:t>
      </w:r>
      <w:r>
        <w:rPr>
          <w:spacing w:val="-10"/>
          <w:sz w:val="20"/>
        </w:rPr>
        <w:t> </w:t>
      </w:r>
      <w:r>
        <w:rPr>
          <w:sz w:val="20"/>
        </w:rPr>
        <w:t>de</w:t>
      </w:r>
      <w:r>
        <w:rPr>
          <w:spacing w:val="-10"/>
          <w:sz w:val="20"/>
        </w:rPr>
        <w:t> </w:t>
      </w:r>
      <w:r>
        <w:rPr>
          <w:sz w:val="20"/>
        </w:rPr>
        <w:t>los</w:t>
      </w:r>
      <w:r>
        <w:rPr>
          <w:spacing w:val="-9"/>
          <w:sz w:val="20"/>
        </w:rPr>
        <w:t> </w:t>
      </w:r>
      <w:r>
        <w:rPr>
          <w:sz w:val="20"/>
        </w:rPr>
        <w:t>espacios</w:t>
      </w:r>
      <w:r>
        <w:rPr>
          <w:spacing w:val="-9"/>
          <w:sz w:val="20"/>
        </w:rPr>
        <w:t> </w:t>
      </w:r>
      <w:r>
        <w:rPr>
          <w:sz w:val="20"/>
        </w:rPr>
        <w:t>abiertos,</w:t>
      </w:r>
      <w:r>
        <w:rPr>
          <w:spacing w:val="-10"/>
          <w:sz w:val="20"/>
        </w:rPr>
        <w:t> </w:t>
      </w:r>
      <w:r>
        <w:rPr>
          <w:sz w:val="20"/>
        </w:rPr>
        <w:t>públicos</w:t>
      </w:r>
      <w:r>
        <w:rPr>
          <w:spacing w:val="-9"/>
          <w:sz w:val="20"/>
        </w:rPr>
        <w:t> </w:t>
      </w:r>
      <w:r>
        <w:rPr>
          <w:sz w:val="20"/>
        </w:rPr>
        <w:t>o</w:t>
      </w:r>
      <w:r>
        <w:rPr>
          <w:spacing w:val="-10"/>
          <w:sz w:val="20"/>
        </w:rPr>
        <w:t> </w:t>
      </w:r>
      <w:r>
        <w:rPr>
          <w:sz w:val="20"/>
        </w:rPr>
        <w:t>privados,</w:t>
      </w:r>
      <w:r>
        <w:rPr>
          <w:spacing w:val="-10"/>
          <w:sz w:val="20"/>
        </w:rPr>
        <w:t> </w:t>
      </w:r>
      <w:r>
        <w:rPr>
          <w:sz w:val="20"/>
        </w:rPr>
        <w:t>se</w:t>
      </w:r>
      <w:r>
        <w:rPr>
          <w:spacing w:val="-10"/>
          <w:sz w:val="20"/>
        </w:rPr>
        <w:t> </w:t>
      </w:r>
      <w:r>
        <w:rPr>
          <w:sz w:val="20"/>
        </w:rPr>
        <w:t>llevarán</w:t>
      </w:r>
      <w:r>
        <w:rPr>
          <w:spacing w:val="-10"/>
          <w:sz w:val="20"/>
        </w:rPr>
        <w:t> </w:t>
      </w:r>
      <w:r>
        <w:rPr>
          <w:sz w:val="20"/>
        </w:rPr>
        <w:t>a</w:t>
      </w:r>
      <w:r>
        <w:rPr>
          <w:spacing w:val="-10"/>
          <w:sz w:val="20"/>
        </w:rPr>
        <w:t> </w:t>
      </w:r>
      <w:r>
        <w:rPr>
          <w:sz w:val="20"/>
        </w:rPr>
        <w:t>cabo</w:t>
      </w:r>
      <w:r>
        <w:rPr>
          <w:spacing w:val="-8"/>
          <w:sz w:val="20"/>
        </w:rPr>
        <w:t> </w:t>
      </w:r>
      <w:r>
        <w:rPr>
          <w:sz w:val="20"/>
        </w:rPr>
        <w:t>o</w:t>
      </w:r>
      <w:r>
        <w:rPr>
          <w:spacing w:val="-10"/>
          <w:sz w:val="20"/>
        </w:rPr>
        <w:t> </w:t>
      </w:r>
      <w:r>
        <w:rPr>
          <w:sz w:val="20"/>
        </w:rPr>
        <w:t>complementará con</w:t>
      </w:r>
      <w:r>
        <w:rPr>
          <w:spacing w:val="-12"/>
          <w:sz w:val="20"/>
        </w:rPr>
        <w:t> </w:t>
      </w:r>
      <w:r>
        <w:rPr>
          <w:sz w:val="20"/>
        </w:rPr>
        <w:t>especies</w:t>
      </w:r>
      <w:r>
        <w:rPr>
          <w:spacing w:val="-8"/>
          <w:sz w:val="20"/>
        </w:rPr>
        <w:t> </w:t>
      </w:r>
      <w:r>
        <w:rPr>
          <w:sz w:val="20"/>
        </w:rPr>
        <w:t>propias</w:t>
      </w:r>
      <w:r>
        <w:rPr>
          <w:spacing w:val="-10"/>
          <w:sz w:val="20"/>
        </w:rPr>
        <w:t> </w:t>
      </w:r>
      <w:r>
        <w:rPr>
          <w:sz w:val="20"/>
        </w:rPr>
        <w:t>de</w:t>
      </w:r>
      <w:r>
        <w:rPr>
          <w:spacing w:val="-9"/>
          <w:sz w:val="20"/>
        </w:rPr>
        <w:t> </w:t>
      </w:r>
      <w:r>
        <w:rPr>
          <w:sz w:val="20"/>
        </w:rPr>
        <w:t>la</w:t>
      </w:r>
      <w:r>
        <w:rPr>
          <w:spacing w:val="-7"/>
          <w:sz w:val="20"/>
        </w:rPr>
        <w:t> </w:t>
      </w:r>
      <w:r>
        <w:rPr>
          <w:sz w:val="20"/>
        </w:rPr>
        <w:t>región</w:t>
      </w:r>
      <w:r>
        <w:rPr>
          <w:spacing w:val="-9"/>
          <w:sz w:val="20"/>
        </w:rPr>
        <w:t> </w:t>
      </w:r>
      <w:r>
        <w:rPr>
          <w:sz w:val="20"/>
        </w:rPr>
        <w:t>natural,</w:t>
      </w:r>
      <w:r>
        <w:rPr>
          <w:spacing w:val="-9"/>
          <w:sz w:val="20"/>
        </w:rPr>
        <w:t> </w:t>
      </w:r>
      <w:r>
        <w:rPr>
          <w:sz w:val="20"/>
        </w:rPr>
        <w:t>para</w:t>
      </w:r>
      <w:r>
        <w:rPr>
          <w:spacing w:val="-9"/>
          <w:sz w:val="20"/>
        </w:rPr>
        <w:t> </w:t>
      </w:r>
      <w:r>
        <w:rPr>
          <w:sz w:val="20"/>
        </w:rPr>
        <w:t>así</w:t>
      </w:r>
      <w:r>
        <w:rPr>
          <w:spacing w:val="-9"/>
          <w:sz w:val="20"/>
        </w:rPr>
        <w:t> </w:t>
      </w:r>
      <w:r>
        <w:rPr>
          <w:sz w:val="20"/>
        </w:rPr>
        <w:t>mejorar</w:t>
      </w:r>
      <w:r>
        <w:rPr>
          <w:spacing w:val="-10"/>
          <w:sz w:val="20"/>
        </w:rPr>
        <w:t> </w:t>
      </w:r>
      <w:r>
        <w:rPr>
          <w:sz w:val="20"/>
        </w:rPr>
        <w:t>el</w:t>
      </w:r>
      <w:r>
        <w:rPr>
          <w:spacing w:val="-12"/>
          <w:sz w:val="20"/>
        </w:rPr>
        <w:t> </w:t>
      </w:r>
      <w:r>
        <w:rPr>
          <w:sz w:val="20"/>
        </w:rPr>
        <w:t>medio</w:t>
      </w:r>
      <w:r>
        <w:rPr>
          <w:spacing w:val="-9"/>
          <w:sz w:val="20"/>
        </w:rPr>
        <w:t> </w:t>
      </w:r>
      <w:r>
        <w:rPr>
          <w:sz w:val="20"/>
        </w:rPr>
        <w:t>ambiente</w:t>
      </w:r>
      <w:r>
        <w:rPr>
          <w:spacing w:val="-9"/>
          <w:sz w:val="20"/>
        </w:rPr>
        <w:t> </w:t>
      </w:r>
      <w:r>
        <w:rPr>
          <w:sz w:val="20"/>
        </w:rPr>
        <w:t>y</w:t>
      </w:r>
      <w:r>
        <w:rPr>
          <w:spacing w:val="-10"/>
          <w:sz w:val="20"/>
        </w:rPr>
        <w:t> </w:t>
      </w:r>
      <w:r>
        <w:rPr>
          <w:sz w:val="20"/>
        </w:rPr>
        <w:t>el</w:t>
      </w:r>
      <w:r>
        <w:rPr>
          <w:spacing w:val="-10"/>
          <w:sz w:val="20"/>
        </w:rPr>
        <w:t> </w:t>
      </w:r>
      <w:r>
        <w:rPr>
          <w:sz w:val="20"/>
        </w:rPr>
        <w:t>aspecto</w:t>
      </w:r>
      <w:r>
        <w:rPr>
          <w:spacing w:val="-9"/>
          <w:sz w:val="20"/>
        </w:rPr>
        <w:t> </w:t>
      </w:r>
      <w:r>
        <w:rPr>
          <w:sz w:val="20"/>
        </w:rPr>
        <w:t>de</w:t>
      </w:r>
      <w:r>
        <w:rPr>
          <w:spacing w:val="-10"/>
          <w:sz w:val="20"/>
        </w:rPr>
        <w:t> </w:t>
      </w:r>
      <w:r>
        <w:rPr>
          <w:sz w:val="20"/>
        </w:rPr>
        <w:t>calles, plazas y zonas de edificios.</w:t>
      </w:r>
    </w:p>
    <w:p>
      <w:pPr>
        <w:pStyle w:val="BodyText"/>
      </w:pPr>
    </w:p>
    <w:p>
      <w:pPr>
        <w:pStyle w:val="ListParagraph"/>
        <w:numPr>
          <w:ilvl w:val="1"/>
          <w:numId w:val="58"/>
        </w:numPr>
        <w:tabs>
          <w:tab w:pos="544" w:val="left" w:leader="none"/>
        </w:tabs>
        <w:spacing w:line="240" w:lineRule="auto" w:before="0" w:after="0"/>
        <w:ind w:left="262" w:right="278" w:firstLine="0"/>
        <w:jc w:val="both"/>
        <w:rPr>
          <w:rFonts w:ascii="Arial" w:hAnsi="Arial"/>
          <w:b/>
          <w:sz w:val="20"/>
        </w:rPr>
      </w:pPr>
      <w:r>
        <w:rPr>
          <w:sz w:val="20"/>
        </w:rPr>
        <w:t>Se</w:t>
      </w:r>
      <w:r>
        <w:rPr>
          <w:spacing w:val="-14"/>
          <w:sz w:val="20"/>
        </w:rPr>
        <w:t> </w:t>
      </w:r>
      <w:r>
        <w:rPr>
          <w:sz w:val="20"/>
        </w:rPr>
        <w:t>contemplarán</w:t>
      </w:r>
      <w:r>
        <w:rPr>
          <w:spacing w:val="-14"/>
          <w:sz w:val="20"/>
        </w:rPr>
        <w:t> </w:t>
      </w:r>
      <w:r>
        <w:rPr>
          <w:sz w:val="20"/>
        </w:rPr>
        <w:t>en</w:t>
      </w:r>
      <w:r>
        <w:rPr>
          <w:spacing w:val="-14"/>
          <w:sz w:val="20"/>
        </w:rPr>
        <w:t> </w:t>
      </w:r>
      <w:r>
        <w:rPr>
          <w:sz w:val="20"/>
        </w:rPr>
        <w:t>los</w:t>
      </w:r>
      <w:r>
        <w:rPr>
          <w:spacing w:val="-13"/>
          <w:sz w:val="20"/>
        </w:rPr>
        <w:t> </w:t>
      </w:r>
      <w:r>
        <w:rPr>
          <w:sz w:val="20"/>
        </w:rPr>
        <w:t>programas</w:t>
      </w:r>
      <w:r>
        <w:rPr>
          <w:spacing w:val="-13"/>
          <w:sz w:val="20"/>
        </w:rPr>
        <w:t> </w:t>
      </w:r>
      <w:r>
        <w:rPr>
          <w:sz w:val="20"/>
        </w:rPr>
        <w:t>de</w:t>
      </w:r>
      <w:r>
        <w:rPr>
          <w:spacing w:val="-14"/>
          <w:sz w:val="20"/>
        </w:rPr>
        <w:t> </w:t>
      </w:r>
      <w:r>
        <w:rPr>
          <w:sz w:val="20"/>
        </w:rPr>
        <w:t>centro</w:t>
      </w:r>
      <w:r>
        <w:rPr>
          <w:spacing w:val="-14"/>
          <w:sz w:val="20"/>
        </w:rPr>
        <w:t> </w:t>
      </w:r>
      <w:r>
        <w:rPr>
          <w:sz w:val="20"/>
        </w:rPr>
        <w:t>de</w:t>
      </w:r>
      <w:r>
        <w:rPr>
          <w:spacing w:val="-14"/>
          <w:sz w:val="20"/>
        </w:rPr>
        <w:t> </w:t>
      </w:r>
      <w:r>
        <w:rPr>
          <w:sz w:val="20"/>
        </w:rPr>
        <w:t>población</w:t>
      </w:r>
      <w:r>
        <w:rPr>
          <w:spacing w:val="-14"/>
          <w:sz w:val="20"/>
        </w:rPr>
        <w:t> </w:t>
      </w:r>
      <w:r>
        <w:rPr>
          <w:sz w:val="20"/>
        </w:rPr>
        <w:t>las</w:t>
      </w:r>
      <w:r>
        <w:rPr>
          <w:spacing w:val="-13"/>
          <w:sz w:val="20"/>
        </w:rPr>
        <w:t> </w:t>
      </w:r>
      <w:r>
        <w:rPr>
          <w:sz w:val="20"/>
        </w:rPr>
        <w:t>áreas</w:t>
      </w:r>
      <w:r>
        <w:rPr>
          <w:spacing w:val="-13"/>
          <w:sz w:val="20"/>
        </w:rPr>
        <w:t> </w:t>
      </w:r>
      <w:r>
        <w:rPr>
          <w:sz w:val="20"/>
        </w:rPr>
        <w:t>aptas</w:t>
      </w:r>
      <w:r>
        <w:rPr>
          <w:spacing w:val="-13"/>
          <w:sz w:val="20"/>
        </w:rPr>
        <w:t> </w:t>
      </w:r>
      <w:r>
        <w:rPr>
          <w:sz w:val="20"/>
        </w:rPr>
        <w:t>para</w:t>
      </w:r>
      <w:r>
        <w:rPr>
          <w:spacing w:val="-14"/>
          <w:sz w:val="20"/>
        </w:rPr>
        <w:t> </w:t>
      </w:r>
      <w:r>
        <w:rPr>
          <w:sz w:val="20"/>
        </w:rPr>
        <w:t>el</w:t>
      </w:r>
      <w:r>
        <w:rPr>
          <w:spacing w:val="-14"/>
          <w:sz w:val="20"/>
        </w:rPr>
        <w:t> </w:t>
      </w:r>
      <w:r>
        <w:rPr>
          <w:sz w:val="20"/>
        </w:rPr>
        <w:t>funcionamiento de los</w:t>
      </w:r>
      <w:r>
        <w:rPr>
          <w:spacing w:val="-1"/>
          <w:sz w:val="20"/>
        </w:rPr>
        <w:t> </w:t>
      </w:r>
      <w:r>
        <w:rPr>
          <w:sz w:val="20"/>
        </w:rPr>
        <w:t>sistemas de almacenamiento, tratamiento y</w:t>
      </w:r>
      <w:r>
        <w:rPr>
          <w:spacing w:val="-1"/>
          <w:sz w:val="20"/>
        </w:rPr>
        <w:t> </w:t>
      </w:r>
      <w:r>
        <w:rPr>
          <w:sz w:val="20"/>
        </w:rPr>
        <w:t>disposición</w:t>
      </w:r>
      <w:r>
        <w:rPr>
          <w:spacing w:val="-2"/>
          <w:sz w:val="20"/>
        </w:rPr>
        <w:t> </w:t>
      </w:r>
      <w:r>
        <w:rPr>
          <w:sz w:val="20"/>
        </w:rPr>
        <w:t>final</w:t>
      </w:r>
      <w:r>
        <w:rPr>
          <w:spacing w:val="-1"/>
          <w:sz w:val="20"/>
        </w:rPr>
        <w:t> </w:t>
      </w:r>
      <w:r>
        <w:rPr>
          <w:sz w:val="20"/>
        </w:rPr>
        <w:t>de residuos</w:t>
      </w:r>
      <w:r>
        <w:rPr>
          <w:spacing w:val="-1"/>
          <w:sz w:val="20"/>
        </w:rPr>
        <w:t> </w:t>
      </w:r>
      <w:r>
        <w:rPr>
          <w:sz w:val="20"/>
        </w:rPr>
        <w:t>sólidos.</w:t>
      </w:r>
      <w:r>
        <w:rPr>
          <w:spacing w:val="-2"/>
          <w:sz w:val="20"/>
        </w:rPr>
        <w:t> </w:t>
      </w:r>
      <w:r>
        <w:rPr>
          <w:sz w:val="20"/>
        </w:rPr>
        <w:t>Igualmente las que fueren necesarias para los materiales y residuos peligrosos, sin perjuicio de la autorización que para la instalación y operación del respectivo sistema corresponda otorgar a la Secretaría de Medio</w:t>
      </w:r>
      <w:r>
        <w:rPr>
          <w:spacing w:val="-2"/>
          <w:sz w:val="20"/>
        </w:rPr>
        <w:t> </w:t>
      </w:r>
      <w:r>
        <w:rPr>
          <w:sz w:val="20"/>
        </w:rPr>
        <w:t>Ambiente</w:t>
      </w:r>
      <w:r>
        <w:rPr>
          <w:spacing w:val="-2"/>
          <w:sz w:val="20"/>
        </w:rPr>
        <w:t> </w:t>
      </w:r>
      <w:r>
        <w:rPr>
          <w:sz w:val="20"/>
        </w:rPr>
        <w:t>y</w:t>
      </w:r>
      <w:r>
        <w:rPr>
          <w:spacing w:val="-1"/>
          <w:sz w:val="20"/>
        </w:rPr>
        <w:t> </w:t>
      </w:r>
      <w:r>
        <w:rPr>
          <w:sz w:val="20"/>
        </w:rPr>
        <w:t>Recursos</w:t>
      </w:r>
      <w:r>
        <w:rPr>
          <w:spacing w:val="-1"/>
          <w:sz w:val="20"/>
        </w:rPr>
        <w:t> </w:t>
      </w:r>
      <w:r>
        <w:rPr>
          <w:sz w:val="20"/>
        </w:rPr>
        <w:t>Naturales</w:t>
      </w:r>
      <w:r>
        <w:rPr>
          <w:spacing w:val="-1"/>
          <w:sz w:val="20"/>
        </w:rPr>
        <w:t> </w:t>
      </w:r>
      <w:r>
        <w:rPr>
          <w:sz w:val="20"/>
        </w:rPr>
        <w:t>y</w:t>
      </w:r>
      <w:r>
        <w:rPr>
          <w:spacing w:val="-1"/>
          <w:sz w:val="20"/>
        </w:rPr>
        <w:t> </w:t>
      </w:r>
      <w:r>
        <w:rPr>
          <w:sz w:val="20"/>
        </w:rPr>
        <w:t>de</w:t>
      </w:r>
      <w:r>
        <w:rPr>
          <w:spacing w:val="-3"/>
          <w:sz w:val="20"/>
        </w:rPr>
        <w:t> </w:t>
      </w:r>
      <w:r>
        <w:rPr>
          <w:sz w:val="20"/>
        </w:rPr>
        <w:t>las</w:t>
      </w:r>
      <w:r>
        <w:rPr>
          <w:spacing w:val="-1"/>
          <w:sz w:val="20"/>
        </w:rPr>
        <w:t> </w:t>
      </w:r>
      <w:r>
        <w:rPr>
          <w:sz w:val="20"/>
        </w:rPr>
        <w:t>normas</w:t>
      </w:r>
      <w:r>
        <w:rPr>
          <w:spacing w:val="-1"/>
          <w:sz w:val="20"/>
        </w:rPr>
        <w:t> </w:t>
      </w:r>
      <w:r>
        <w:rPr>
          <w:sz w:val="20"/>
        </w:rPr>
        <w:t>técnicas</w:t>
      </w:r>
      <w:r>
        <w:rPr>
          <w:spacing w:val="-1"/>
          <w:sz w:val="20"/>
        </w:rPr>
        <w:t> </w:t>
      </w:r>
      <w:r>
        <w:rPr>
          <w:sz w:val="20"/>
        </w:rPr>
        <w:t>que</w:t>
      </w:r>
      <w:r>
        <w:rPr>
          <w:spacing w:val="-2"/>
          <w:sz w:val="20"/>
        </w:rPr>
        <w:t> </w:t>
      </w:r>
      <w:r>
        <w:rPr>
          <w:sz w:val="20"/>
        </w:rPr>
        <w:t>al</w:t>
      </w:r>
      <w:r>
        <w:rPr>
          <w:spacing w:val="-3"/>
          <w:sz w:val="20"/>
        </w:rPr>
        <w:t> </w:t>
      </w:r>
      <w:r>
        <w:rPr>
          <w:sz w:val="20"/>
        </w:rPr>
        <w:t>efecto</w:t>
      </w:r>
      <w:r>
        <w:rPr>
          <w:spacing w:val="-2"/>
          <w:sz w:val="20"/>
        </w:rPr>
        <w:t> </w:t>
      </w:r>
      <w:r>
        <w:rPr>
          <w:sz w:val="20"/>
        </w:rPr>
        <w:t>la</w:t>
      </w:r>
      <w:r>
        <w:rPr>
          <w:spacing w:val="-2"/>
          <w:sz w:val="20"/>
        </w:rPr>
        <w:t> </w:t>
      </w:r>
      <w:r>
        <w:rPr>
          <w:sz w:val="20"/>
        </w:rPr>
        <w:t>misma establezca. Conforme lo dispone la Ley General de Equilibrio Ecológico y la Protección del Ambiente.</w:t>
      </w:r>
    </w:p>
    <w:p>
      <w:pPr>
        <w:pStyle w:val="BodyText"/>
        <w:spacing w:before="1"/>
      </w:pPr>
    </w:p>
    <w:p>
      <w:pPr>
        <w:pStyle w:val="ListParagraph"/>
        <w:numPr>
          <w:ilvl w:val="1"/>
          <w:numId w:val="58"/>
        </w:numPr>
        <w:tabs>
          <w:tab w:pos="544" w:val="left" w:leader="none"/>
        </w:tabs>
        <w:spacing w:line="240" w:lineRule="auto" w:before="0" w:after="0"/>
        <w:ind w:left="262" w:right="279" w:firstLine="0"/>
        <w:jc w:val="both"/>
        <w:rPr>
          <w:rFonts w:ascii="Arial" w:hAnsi="Arial"/>
          <w:b/>
          <w:sz w:val="20"/>
        </w:rPr>
      </w:pPr>
      <w:r>
        <w:rPr>
          <w:sz w:val="20"/>
        </w:rPr>
        <w:t>En general, la planeación del territorio perseguirá establecer un adecuado equilibrio e interrelación entre ambos aspectos del</w:t>
      </w:r>
      <w:r>
        <w:rPr>
          <w:spacing w:val="-2"/>
          <w:sz w:val="20"/>
        </w:rPr>
        <w:t> </w:t>
      </w:r>
      <w:r>
        <w:rPr>
          <w:sz w:val="20"/>
        </w:rPr>
        <w:t>desarrollo, en</w:t>
      </w:r>
      <w:r>
        <w:rPr>
          <w:spacing w:val="-2"/>
          <w:sz w:val="20"/>
        </w:rPr>
        <w:t> </w:t>
      </w:r>
      <w:r>
        <w:rPr>
          <w:sz w:val="20"/>
        </w:rPr>
        <w:t>términos de que</w:t>
      </w:r>
      <w:r>
        <w:rPr>
          <w:spacing w:val="-1"/>
          <w:sz w:val="20"/>
        </w:rPr>
        <w:t> </w:t>
      </w:r>
      <w:r>
        <w:rPr>
          <w:sz w:val="20"/>
        </w:rPr>
        <w:t>por una</w:t>
      </w:r>
      <w:r>
        <w:rPr>
          <w:spacing w:val="-1"/>
          <w:sz w:val="20"/>
        </w:rPr>
        <w:t> </w:t>
      </w:r>
      <w:r>
        <w:rPr>
          <w:sz w:val="20"/>
        </w:rPr>
        <w:t>parte,</w:t>
      </w:r>
      <w:r>
        <w:rPr>
          <w:spacing w:val="-1"/>
          <w:sz w:val="20"/>
        </w:rPr>
        <w:t> </w:t>
      </w:r>
      <w:r>
        <w:rPr>
          <w:sz w:val="20"/>
        </w:rPr>
        <w:t>el</w:t>
      </w:r>
      <w:r>
        <w:rPr>
          <w:spacing w:val="-2"/>
          <w:sz w:val="20"/>
        </w:rPr>
        <w:t> </w:t>
      </w:r>
      <w:r>
        <w:rPr>
          <w:sz w:val="20"/>
        </w:rPr>
        <w:t>crecimiento de</w:t>
      </w:r>
      <w:r>
        <w:rPr>
          <w:spacing w:val="-4"/>
          <w:sz w:val="20"/>
        </w:rPr>
        <w:t> </w:t>
      </w:r>
      <w:r>
        <w:rPr>
          <w:sz w:val="20"/>
        </w:rPr>
        <w:t>la</w:t>
      </w:r>
      <w:r>
        <w:rPr>
          <w:spacing w:val="-3"/>
          <w:sz w:val="20"/>
        </w:rPr>
        <w:t> </w:t>
      </w:r>
      <w:r>
        <w:rPr>
          <w:sz w:val="20"/>
        </w:rPr>
        <w:t>ciudad</w:t>
      </w:r>
      <w:r>
        <w:rPr>
          <w:spacing w:val="-3"/>
          <w:sz w:val="20"/>
        </w:rPr>
        <w:t> </w:t>
      </w:r>
      <w:r>
        <w:rPr>
          <w:sz w:val="20"/>
        </w:rPr>
        <w:t>no</w:t>
      </w:r>
      <w:r>
        <w:rPr>
          <w:spacing w:val="-3"/>
          <w:sz w:val="20"/>
        </w:rPr>
        <w:t> </w:t>
      </w:r>
      <w:r>
        <w:rPr>
          <w:sz w:val="20"/>
        </w:rPr>
        <w:t>se</w:t>
      </w:r>
      <w:r>
        <w:rPr>
          <w:spacing w:val="-3"/>
          <w:sz w:val="20"/>
        </w:rPr>
        <w:t> </w:t>
      </w:r>
      <w:r>
        <w:rPr>
          <w:sz w:val="20"/>
        </w:rPr>
        <w:t>extienda</w:t>
      </w:r>
      <w:r>
        <w:rPr>
          <w:spacing w:val="-2"/>
          <w:sz w:val="20"/>
        </w:rPr>
        <w:t> </w:t>
      </w:r>
      <w:r>
        <w:rPr>
          <w:sz w:val="20"/>
        </w:rPr>
        <w:t>a</w:t>
      </w:r>
      <w:r>
        <w:rPr>
          <w:spacing w:val="-4"/>
          <w:sz w:val="20"/>
        </w:rPr>
        <w:t> </w:t>
      </w:r>
      <w:r>
        <w:rPr>
          <w:sz w:val="20"/>
        </w:rPr>
        <w:t>las</w:t>
      </w:r>
      <w:r>
        <w:rPr>
          <w:spacing w:val="-3"/>
          <w:sz w:val="20"/>
        </w:rPr>
        <w:t> </w:t>
      </w:r>
      <w:r>
        <w:rPr>
          <w:sz w:val="20"/>
        </w:rPr>
        <w:t>tierras</w:t>
      </w:r>
      <w:r>
        <w:rPr>
          <w:spacing w:val="-3"/>
          <w:sz w:val="20"/>
        </w:rPr>
        <w:t> </w:t>
      </w:r>
      <w:r>
        <w:rPr>
          <w:sz w:val="20"/>
        </w:rPr>
        <w:t>necesarias</w:t>
      </w:r>
      <w:r>
        <w:rPr>
          <w:spacing w:val="-3"/>
          <w:sz w:val="20"/>
        </w:rPr>
        <w:t> </w:t>
      </w:r>
      <w:r>
        <w:rPr>
          <w:sz w:val="20"/>
        </w:rPr>
        <w:t>para</w:t>
      </w:r>
      <w:r>
        <w:rPr>
          <w:spacing w:val="-3"/>
          <w:sz w:val="20"/>
        </w:rPr>
        <w:t> </w:t>
      </w:r>
      <w:r>
        <w:rPr>
          <w:sz w:val="20"/>
        </w:rPr>
        <w:t>la</w:t>
      </w:r>
      <w:r>
        <w:rPr>
          <w:spacing w:val="-2"/>
          <w:sz w:val="20"/>
        </w:rPr>
        <w:t> </w:t>
      </w:r>
      <w:r>
        <w:rPr>
          <w:sz w:val="20"/>
        </w:rPr>
        <w:t>actividad</w:t>
      </w:r>
      <w:r>
        <w:rPr>
          <w:spacing w:val="-2"/>
          <w:sz w:val="20"/>
        </w:rPr>
        <w:t> </w:t>
      </w:r>
      <w:r>
        <w:rPr>
          <w:sz w:val="20"/>
        </w:rPr>
        <w:t>económica</w:t>
      </w:r>
      <w:r>
        <w:rPr>
          <w:spacing w:val="-3"/>
          <w:sz w:val="20"/>
        </w:rPr>
        <w:t> </w:t>
      </w:r>
      <w:r>
        <w:rPr>
          <w:sz w:val="20"/>
        </w:rPr>
        <w:t>y</w:t>
      </w:r>
      <w:r>
        <w:rPr>
          <w:spacing w:val="-1"/>
          <w:sz w:val="20"/>
        </w:rPr>
        <w:t> </w:t>
      </w:r>
      <w:r>
        <w:rPr>
          <w:sz w:val="20"/>
        </w:rPr>
        <w:t>el</w:t>
      </w:r>
      <w:r>
        <w:rPr>
          <w:spacing w:val="-3"/>
          <w:sz w:val="20"/>
        </w:rPr>
        <w:t> </w:t>
      </w:r>
      <w:r>
        <w:rPr>
          <w:sz w:val="20"/>
        </w:rPr>
        <w:t>mantenimiento del ambiente y que, por la otra, se satisfagan sus necesidades del suelo urbanizado, servicios y vivienda en proporción al incremento demográfico.</w:t>
      </w:r>
    </w:p>
    <w:p>
      <w:pPr>
        <w:pStyle w:val="BodyText"/>
      </w:pPr>
    </w:p>
    <w:p>
      <w:pPr>
        <w:pStyle w:val="ListParagraph"/>
        <w:numPr>
          <w:ilvl w:val="1"/>
          <w:numId w:val="58"/>
        </w:numPr>
        <w:tabs>
          <w:tab w:pos="543" w:val="left" w:leader="none"/>
        </w:tabs>
        <w:spacing w:line="240" w:lineRule="auto" w:before="0" w:after="0"/>
        <w:ind w:left="262" w:right="279" w:firstLine="0"/>
        <w:jc w:val="both"/>
        <w:rPr>
          <w:rFonts w:ascii="Arial" w:hAnsi="Arial"/>
          <w:b/>
          <w:sz w:val="20"/>
        </w:rPr>
      </w:pPr>
      <w:r>
        <w:rPr>
          <w:sz w:val="20"/>
        </w:rPr>
        <w:t>Se promoverá y procurará la movilidad sustentable, mediante la construcción, remodelación y rehabilitación de vialidades en áreas urbanas, adecuándolas para tal fin; contemplando zonas y áreas de circulación peatonal, así como establecer estrategias y medidas que favorezcan la accesibilidad</w:t>
      </w:r>
      <w:r>
        <w:rPr>
          <w:spacing w:val="-8"/>
          <w:sz w:val="20"/>
        </w:rPr>
        <w:t> </w:t>
      </w:r>
      <w:r>
        <w:rPr>
          <w:sz w:val="20"/>
        </w:rPr>
        <w:t>de</w:t>
      </w:r>
      <w:r>
        <w:rPr>
          <w:spacing w:val="-8"/>
          <w:sz w:val="20"/>
        </w:rPr>
        <w:t> </w:t>
      </w:r>
      <w:r>
        <w:rPr>
          <w:sz w:val="20"/>
        </w:rPr>
        <w:t>desplazamiento</w:t>
      </w:r>
      <w:r>
        <w:rPr>
          <w:spacing w:val="-8"/>
          <w:sz w:val="20"/>
        </w:rPr>
        <w:t> </w:t>
      </w:r>
      <w:r>
        <w:rPr>
          <w:sz w:val="20"/>
        </w:rPr>
        <w:t>en</w:t>
      </w:r>
      <w:r>
        <w:rPr>
          <w:spacing w:val="-8"/>
          <w:sz w:val="20"/>
        </w:rPr>
        <w:t> </w:t>
      </w:r>
      <w:r>
        <w:rPr>
          <w:sz w:val="20"/>
        </w:rPr>
        <w:t>las</w:t>
      </w:r>
      <w:r>
        <w:rPr>
          <w:spacing w:val="-7"/>
          <w:sz w:val="20"/>
        </w:rPr>
        <w:t> </w:t>
      </w:r>
      <w:r>
        <w:rPr>
          <w:sz w:val="20"/>
        </w:rPr>
        <w:t>ciudades,</w:t>
      </w:r>
      <w:r>
        <w:rPr>
          <w:spacing w:val="-7"/>
          <w:sz w:val="20"/>
        </w:rPr>
        <w:t> </w:t>
      </w:r>
      <w:r>
        <w:rPr>
          <w:sz w:val="20"/>
        </w:rPr>
        <w:t>distintas</w:t>
      </w:r>
      <w:r>
        <w:rPr>
          <w:spacing w:val="-7"/>
          <w:sz w:val="20"/>
        </w:rPr>
        <w:t> </w:t>
      </w:r>
      <w:r>
        <w:rPr>
          <w:sz w:val="20"/>
        </w:rPr>
        <w:t>al</w:t>
      </w:r>
      <w:r>
        <w:rPr>
          <w:spacing w:val="-9"/>
          <w:sz w:val="20"/>
        </w:rPr>
        <w:t> </w:t>
      </w:r>
      <w:r>
        <w:rPr>
          <w:sz w:val="20"/>
        </w:rPr>
        <w:t>uso</w:t>
      </w:r>
      <w:r>
        <w:rPr>
          <w:spacing w:val="-8"/>
          <w:sz w:val="20"/>
        </w:rPr>
        <w:t> </w:t>
      </w:r>
      <w:r>
        <w:rPr>
          <w:sz w:val="20"/>
        </w:rPr>
        <w:t>del</w:t>
      </w:r>
      <w:r>
        <w:rPr>
          <w:spacing w:val="-8"/>
          <w:sz w:val="20"/>
        </w:rPr>
        <w:t> </w:t>
      </w:r>
      <w:r>
        <w:rPr>
          <w:sz w:val="20"/>
        </w:rPr>
        <w:t>vehículo</w:t>
      </w:r>
      <w:r>
        <w:rPr>
          <w:spacing w:val="-8"/>
          <w:sz w:val="20"/>
        </w:rPr>
        <w:t> </w:t>
      </w:r>
      <w:r>
        <w:rPr>
          <w:sz w:val="20"/>
        </w:rPr>
        <w:t>automotor,</w:t>
      </w:r>
      <w:r>
        <w:rPr>
          <w:spacing w:val="-7"/>
          <w:sz w:val="20"/>
        </w:rPr>
        <w:t> </w:t>
      </w:r>
      <w:r>
        <w:rPr>
          <w:sz w:val="20"/>
        </w:rPr>
        <w:t>instalando la señalética en los lugares correspondientes; según lo dispuesto en esta Ley.</w:t>
      </w:r>
    </w:p>
    <w:p>
      <w:pPr>
        <w:pStyle w:val="BodyText"/>
      </w:pPr>
    </w:p>
    <w:p>
      <w:pPr>
        <w:pStyle w:val="ListParagraph"/>
        <w:numPr>
          <w:ilvl w:val="1"/>
          <w:numId w:val="58"/>
        </w:numPr>
        <w:tabs>
          <w:tab w:pos="544" w:val="left" w:leader="none"/>
        </w:tabs>
        <w:spacing w:line="240" w:lineRule="auto" w:before="1" w:after="0"/>
        <w:ind w:left="262" w:right="285" w:firstLine="0"/>
        <w:jc w:val="both"/>
        <w:rPr>
          <w:rFonts w:ascii="Arial" w:hAnsi="Arial"/>
          <w:b/>
          <w:sz w:val="20"/>
        </w:rPr>
      </w:pPr>
      <w:r>
        <w:rPr>
          <w:sz w:val="20"/>
        </w:rPr>
        <w:t>Se</w:t>
      </w:r>
      <w:r>
        <w:rPr>
          <w:spacing w:val="-9"/>
          <w:sz w:val="20"/>
        </w:rPr>
        <w:t> </w:t>
      </w:r>
      <w:r>
        <w:rPr>
          <w:sz w:val="20"/>
        </w:rPr>
        <w:t>procurará</w:t>
      </w:r>
      <w:r>
        <w:rPr>
          <w:spacing w:val="-9"/>
          <w:sz w:val="20"/>
        </w:rPr>
        <w:t> </w:t>
      </w:r>
      <w:r>
        <w:rPr>
          <w:sz w:val="20"/>
        </w:rPr>
        <w:t>la</w:t>
      </w:r>
      <w:r>
        <w:rPr>
          <w:spacing w:val="-9"/>
          <w:sz w:val="20"/>
        </w:rPr>
        <w:t> </w:t>
      </w:r>
      <w:r>
        <w:rPr>
          <w:sz w:val="20"/>
        </w:rPr>
        <w:t>recuperación</w:t>
      </w:r>
      <w:r>
        <w:rPr>
          <w:spacing w:val="-9"/>
          <w:sz w:val="20"/>
        </w:rPr>
        <w:t> </w:t>
      </w:r>
      <w:r>
        <w:rPr>
          <w:sz w:val="20"/>
        </w:rPr>
        <w:t>de</w:t>
      </w:r>
      <w:r>
        <w:rPr>
          <w:spacing w:val="-8"/>
          <w:sz w:val="20"/>
        </w:rPr>
        <w:t> </w:t>
      </w:r>
      <w:r>
        <w:rPr>
          <w:sz w:val="20"/>
        </w:rPr>
        <w:t>las</w:t>
      </w:r>
      <w:r>
        <w:rPr>
          <w:spacing w:val="-9"/>
          <w:sz w:val="20"/>
        </w:rPr>
        <w:t> </w:t>
      </w:r>
      <w:r>
        <w:rPr>
          <w:sz w:val="20"/>
        </w:rPr>
        <w:t>áreas</w:t>
      </w:r>
      <w:r>
        <w:rPr>
          <w:spacing w:val="-9"/>
          <w:sz w:val="20"/>
        </w:rPr>
        <w:t> </w:t>
      </w:r>
      <w:r>
        <w:rPr>
          <w:sz w:val="20"/>
        </w:rPr>
        <w:t>no</w:t>
      </w:r>
      <w:r>
        <w:rPr>
          <w:spacing w:val="-9"/>
          <w:sz w:val="20"/>
        </w:rPr>
        <w:t> </w:t>
      </w:r>
      <w:r>
        <w:rPr>
          <w:sz w:val="20"/>
        </w:rPr>
        <w:t>urbanizables</w:t>
      </w:r>
      <w:r>
        <w:rPr>
          <w:spacing w:val="-9"/>
          <w:sz w:val="20"/>
        </w:rPr>
        <w:t> </w:t>
      </w:r>
      <w:r>
        <w:rPr>
          <w:sz w:val="20"/>
        </w:rPr>
        <w:t>de</w:t>
      </w:r>
      <w:r>
        <w:rPr>
          <w:spacing w:val="-8"/>
          <w:sz w:val="20"/>
        </w:rPr>
        <w:t> </w:t>
      </w:r>
      <w:r>
        <w:rPr>
          <w:sz w:val="20"/>
        </w:rPr>
        <w:t>los</w:t>
      </w:r>
      <w:r>
        <w:rPr>
          <w:spacing w:val="-9"/>
          <w:sz w:val="20"/>
        </w:rPr>
        <w:t> </w:t>
      </w:r>
      <w:r>
        <w:rPr>
          <w:sz w:val="20"/>
        </w:rPr>
        <w:t>centros</w:t>
      </w:r>
      <w:r>
        <w:rPr>
          <w:spacing w:val="-9"/>
          <w:sz w:val="20"/>
        </w:rPr>
        <w:t> </w:t>
      </w:r>
      <w:r>
        <w:rPr>
          <w:sz w:val="20"/>
        </w:rPr>
        <w:t>de</w:t>
      </w:r>
      <w:r>
        <w:rPr>
          <w:spacing w:val="-9"/>
          <w:sz w:val="20"/>
        </w:rPr>
        <w:t> </w:t>
      </w:r>
      <w:r>
        <w:rPr>
          <w:sz w:val="20"/>
        </w:rPr>
        <w:t>población</w:t>
      </w:r>
      <w:r>
        <w:rPr>
          <w:spacing w:val="-8"/>
          <w:sz w:val="20"/>
        </w:rPr>
        <w:t> </w:t>
      </w:r>
      <w:r>
        <w:rPr>
          <w:sz w:val="20"/>
        </w:rPr>
        <w:t>ocupadas por asentamientos espontáneos o no autorizados, mediante programas de traslados o reubicación de sus habitantes a suelos aptos, así como la regeneración de las áreas naturales recuperadas.</w:t>
      </w:r>
    </w:p>
    <w:p>
      <w:pPr>
        <w:spacing w:before="229"/>
        <w:ind w:left="262" w:right="0" w:firstLine="0"/>
        <w:jc w:val="both"/>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14</w:t>
      </w:r>
      <w:r>
        <w:rPr>
          <w:rFonts w:ascii="Arial"/>
          <w:i/>
          <w:spacing w:val="-6"/>
          <w:sz w:val="20"/>
        </w:rPr>
        <w:t> </w:t>
      </w:r>
      <w:r>
        <w:rPr>
          <w:rFonts w:ascii="Arial"/>
          <w:i/>
          <w:sz w:val="20"/>
        </w:rPr>
        <w:t>OCTUBRE</w:t>
      </w:r>
      <w:r>
        <w:rPr>
          <w:rFonts w:ascii="Arial"/>
          <w:i/>
          <w:spacing w:val="-7"/>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1"/>
          <w:numId w:val="58"/>
        </w:numPr>
        <w:tabs>
          <w:tab w:pos="495" w:val="left" w:leader="none"/>
        </w:tabs>
        <w:spacing w:line="240" w:lineRule="auto" w:before="0" w:after="0"/>
        <w:ind w:left="262" w:right="259" w:firstLine="0"/>
        <w:jc w:val="both"/>
        <w:rPr>
          <w:rFonts w:ascii="Arial" w:hAnsi="Arial"/>
          <w:b/>
          <w:sz w:val="20"/>
        </w:rPr>
      </w:pPr>
      <w:r>
        <w:rPr>
          <w:sz w:val="20"/>
        </w:rPr>
        <w:t>La</w:t>
      </w:r>
      <w:r>
        <w:rPr>
          <w:spacing w:val="-3"/>
          <w:sz w:val="20"/>
        </w:rPr>
        <w:t> </w:t>
      </w:r>
      <w:r>
        <w:rPr>
          <w:sz w:val="20"/>
        </w:rPr>
        <w:t>construcción</w:t>
      </w:r>
      <w:r>
        <w:rPr>
          <w:spacing w:val="-3"/>
          <w:sz w:val="20"/>
        </w:rPr>
        <w:t> </w:t>
      </w:r>
      <w:r>
        <w:rPr>
          <w:sz w:val="20"/>
        </w:rPr>
        <w:t>de pasos</w:t>
      </w:r>
      <w:r>
        <w:rPr>
          <w:spacing w:val="-1"/>
          <w:sz w:val="20"/>
        </w:rPr>
        <w:t> </w:t>
      </w:r>
      <w:r>
        <w:rPr>
          <w:sz w:val="20"/>
        </w:rPr>
        <w:t>de</w:t>
      </w:r>
      <w:r>
        <w:rPr>
          <w:spacing w:val="-3"/>
          <w:sz w:val="20"/>
        </w:rPr>
        <w:t> </w:t>
      </w:r>
      <w:r>
        <w:rPr>
          <w:sz w:val="20"/>
        </w:rPr>
        <w:t>fauna</w:t>
      </w:r>
      <w:r>
        <w:rPr>
          <w:spacing w:val="-3"/>
          <w:sz w:val="20"/>
        </w:rPr>
        <w:t> </w:t>
      </w:r>
      <w:r>
        <w:rPr>
          <w:sz w:val="20"/>
        </w:rPr>
        <w:t>y</w:t>
      </w:r>
      <w:r>
        <w:rPr>
          <w:spacing w:val="-1"/>
          <w:sz w:val="20"/>
        </w:rPr>
        <w:t> </w:t>
      </w:r>
      <w:r>
        <w:rPr>
          <w:sz w:val="20"/>
        </w:rPr>
        <w:t>vallados</w:t>
      </w:r>
      <w:r>
        <w:rPr>
          <w:spacing w:val="-1"/>
          <w:sz w:val="20"/>
        </w:rPr>
        <w:t> </w:t>
      </w:r>
      <w:r>
        <w:rPr>
          <w:sz w:val="20"/>
        </w:rPr>
        <w:t>perimetrales</w:t>
      </w:r>
      <w:r>
        <w:rPr>
          <w:spacing w:val="-1"/>
          <w:sz w:val="20"/>
        </w:rPr>
        <w:t> </w:t>
      </w:r>
      <w:r>
        <w:rPr>
          <w:sz w:val="20"/>
        </w:rPr>
        <w:t>en</w:t>
      </w:r>
      <w:r>
        <w:rPr>
          <w:spacing w:val="-2"/>
          <w:sz w:val="20"/>
        </w:rPr>
        <w:t> </w:t>
      </w:r>
      <w:r>
        <w:rPr>
          <w:sz w:val="20"/>
        </w:rPr>
        <w:t>la</w:t>
      </w:r>
      <w:r>
        <w:rPr>
          <w:spacing w:val="-2"/>
          <w:sz w:val="20"/>
        </w:rPr>
        <w:t> </w:t>
      </w:r>
      <w:r>
        <w:rPr>
          <w:sz w:val="20"/>
        </w:rPr>
        <w:t>aplicación</w:t>
      </w:r>
      <w:r>
        <w:rPr>
          <w:spacing w:val="-2"/>
          <w:sz w:val="20"/>
        </w:rPr>
        <w:t> </w:t>
      </w:r>
      <w:r>
        <w:rPr>
          <w:sz w:val="20"/>
        </w:rPr>
        <w:t>de obras</w:t>
      </w:r>
      <w:r>
        <w:rPr>
          <w:spacing w:val="-1"/>
          <w:sz w:val="20"/>
        </w:rPr>
        <w:t> </w:t>
      </w:r>
      <w:r>
        <w:rPr>
          <w:sz w:val="20"/>
        </w:rPr>
        <w:t>carreteras</w:t>
      </w:r>
      <w:r>
        <w:rPr>
          <w:spacing w:val="-1"/>
          <w:sz w:val="20"/>
        </w:rPr>
        <w:t> </w:t>
      </w:r>
      <w:r>
        <w:rPr>
          <w:sz w:val="20"/>
        </w:rPr>
        <w:t>y otras vías terrestres de comunicación que impliquen la fragmentación del hábitat, en zonas susceptibles de implementación y donde existan especies endémicas o en peligro de extinción susceptibles de protección, de manera que tengan mínimo impacto sobre la fauna silvestre.</w:t>
      </w:r>
    </w:p>
    <w:p>
      <w:pPr>
        <w:pStyle w:val="BodyText"/>
      </w:pPr>
    </w:p>
    <w:p>
      <w:pPr>
        <w:pStyle w:val="Heading2"/>
        <w:ind w:left="10" w:right="24"/>
      </w:pPr>
      <w:r>
        <w:rPr/>
        <w:t>Capítulo</w:t>
      </w:r>
      <w:r>
        <w:rPr>
          <w:spacing w:val="-8"/>
        </w:rPr>
        <w:t> </w:t>
      </w:r>
      <w:r>
        <w:rPr>
          <w:spacing w:val="-5"/>
        </w:rPr>
        <w:t>VI</w:t>
      </w:r>
    </w:p>
    <w:p>
      <w:pPr>
        <w:pStyle w:val="BodyText"/>
        <w:spacing w:before="1"/>
        <w:rPr>
          <w:rFonts w:ascii="Arial"/>
          <w:b/>
        </w:rPr>
      </w:pPr>
    </w:p>
    <w:p>
      <w:pPr>
        <w:spacing w:before="0"/>
        <w:ind w:left="0" w:right="20" w:firstLine="0"/>
        <w:jc w:val="center"/>
        <w:rPr>
          <w:rFonts w:ascii="Arial"/>
          <w:b/>
          <w:sz w:val="20"/>
        </w:rPr>
      </w:pPr>
      <w:r>
        <w:rPr>
          <w:rFonts w:ascii="Arial"/>
          <w:b/>
          <w:sz w:val="20"/>
        </w:rPr>
        <w:t>Estudios</w:t>
      </w:r>
      <w:r>
        <w:rPr>
          <w:rFonts w:ascii="Arial"/>
          <w:b/>
          <w:spacing w:val="-7"/>
          <w:sz w:val="20"/>
        </w:rPr>
        <w:t> </w:t>
      </w:r>
      <w:r>
        <w:rPr>
          <w:rFonts w:ascii="Arial"/>
          <w:b/>
          <w:sz w:val="20"/>
        </w:rPr>
        <w:t>de</w:t>
      </w:r>
      <w:r>
        <w:rPr>
          <w:rFonts w:ascii="Arial"/>
          <w:b/>
          <w:spacing w:val="-4"/>
          <w:sz w:val="20"/>
        </w:rPr>
        <w:t> </w:t>
      </w:r>
      <w:r>
        <w:rPr>
          <w:rFonts w:ascii="Arial"/>
          <w:b/>
          <w:sz w:val="20"/>
        </w:rPr>
        <w:t>Impacto</w:t>
      </w:r>
      <w:r>
        <w:rPr>
          <w:rFonts w:ascii="Arial"/>
          <w:b/>
          <w:spacing w:val="-5"/>
          <w:sz w:val="20"/>
        </w:rPr>
        <w:t> </w:t>
      </w:r>
      <w:r>
        <w:rPr>
          <w:rFonts w:ascii="Arial"/>
          <w:b/>
          <w:sz w:val="20"/>
        </w:rPr>
        <w:t>Urbano,</w:t>
      </w:r>
      <w:r>
        <w:rPr>
          <w:rFonts w:ascii="Arial"/>
          <w:b/>
          <w:spacing w:val="-6"/>
          <w:sz w:val="20"/>
        </w:rPr>
        <w:t> </w:t>
      </w:r>
      <w:r>
        <w:rPr>
          <w:rFonts w:ascii="Arial"/>
          <w:b/>
          <w:sz w:val="20"/>
        </w:rPr>
        <w:t>Vial,</w:t>
      </w:r>
      <w:r>
        <w:rPr>
          <w:rFonts w:ascii="Arial"/>
          <w:b/>
          <w:spacing w:val="-7"/>
          <w:sz w:val="20"/>
        </w:rPr>
        <w:t> </w:t>
      </w:r>
      <w:r>
        <w:rPr>
          <w:rFonts w:ascii="Arial"/>
          <w:b/>
          <w:sz w:val="20"/>
        </w:rPr>
        <w:t>Ambiental</w:t>
      </w:r>
      <w:r>
        <w:rPr>
          <w:rFonts w:ascii="Arial"/>
          <w:b/>
          <w:spacing w:val="-6"/>
          <w:sz w:val="20"/>
        </w:rPr>
        <w:t> </w:t>
      </w:r>
      <w:r>
        <w:rPr>
          <w:rFonts w:ascii="Arial"/>
          <w:b/>
          <w:sz w:val="20"/>
        </w:rPr>
        <w:t>y</w:t>
      </w:r>
      <w:r>
        <w:rPr>
          <w:rFonts w:ascii="Arial"/>
          <w:b/>
          <w:spacing w:val="-4"/>
          <w:sz w:val="20"/>
        </w:rPr>
        <w:t> </w:t>
      </w:r>
      <w:r>
        <w:rPr>
          <w:rFonts w:ascii="Arial"/>
          <w:b/>
          <w:sz w:val="20"/>
        </w:rPr>
        <w:t>de</w:t>
      </w:r>
      <w:r>
        <w:rPr>
          <w:rFonts w:ascii="Arial"/>
          <w:b/>
          <w:spacing w:val="-5"/>
          <w:sz w:val="20"/>
        </w:rPr>
        <w:t> </w:t>
      </w:r>
      <w:r>
        <w:rPr>
          <w:rFonts w:ascii="Arial"/>
          <w:b/>
          <w:sz w:val="20"/>
        </w:rPr>
        <w:t>Imagen</w:t>
      </w:r>
      <w:r>
        <w:rPr>
          <w:rFonts w:ascii="Arial"/>
          <w:b/>
          <w:spacing w:val="-6"/>
          <w:sz w:val="20"/>
        </w:rPr>
        <w:t> </w:t>
      </w:r>
      <w:r>
        <w:rPr>
          <w:rFonts w:ascii="Arial"/>
          <w:b/>
          <w:spacing w:val="-2"/>
          <w:sz w:val="20"/>
        </w:rPr>
        <w:t>Urbana</w:t>
      </w:r>
    </w:p>
    <w:p>
      <w:pPr>
        <w:pStyle w:val="BodyText"/>
        <w:spacing w:before="1"/>
        <w:rPr>
          <w:rFonts w:ascii="Arial"/>
          <w:b/>
        </w:rPr>
      </w:pPr>
    </w:p>
    <w:p>
      <w:pPr>
        <w:pStyle w:val="BodyText"/>
        <w:ind w:left="262" w:right="278"/>
        <w:jc w:val="both"/>
      </w:pPr>
      <w:r>
        <w:rPr>
          <w:rFonts w:ascii="Arial" w:hAnsi="Arial"/>
          <w:b/>
        </w:rPr>
        <w:t>ARTÍCULO</w:t>
      </w:r>
      <w:r>
        <w:rPr>
          <w:rFonts w:ascii="Arial" w:hAnsi="Arial"/>
          <w:b/>
          <w:spacing w:val="-5"/>
        </w:rPr>
        <w:t> </w:t>
      </w:r>
      <w:r>
        <w:rPr>
          <w:rFonts w:ascii="Arial" w:hAnsi="Arial"/>
          <w:b/>
        </w:rPr>
        <w:t>140.</w:t>
      </w:r>
      <w:r>
        <w:rPr>
          <w:rFonts w:ascii="Arial" w:hAnsi="Arial"/>
          <w:b/>
          <w:spacing w:val="-6"/>
        </w:rPr>
        <w:t> </w:t>
      </w:r>
      <w:r>
        <w:rPr/>
        <w:t>Los</w:t>
      </w:r>
      <w:r>
        <w:rPr>
          <w:spacing w:val="-5"/>
        </w:rPr>
        <w:t> </w:t>
      </w:r>
      <w:r>
        <w:rPr/>
        <w:t>estudios</w:t>
      </w:r>
      <w:r>
        <w:rPr>
          <w:spacing w:val="-6"/>
        </w:rPr>
        <w:t> </w:t>
      </w:r>
      <w:r>
        <w:rPr/>
        <w:t>de</w:t>
      </w:r>
      <w:r>
        <w:rPr>
          <w:spacing w:val="-7"/>
        </w:rPr>
        <w:t> </w:t>
      </w:r>
      <w:r>
        <w:rPr/>
        <w:t>impacto</w:t>
      </w:r>
      <w:r>
        <w:rPr>
          <w:spacing w:val="-7"/>
        </w:rPr>
        <w:t> </w:t>
      </w:r>
      <w:r>
        <w:rPr/>
        <w:t>urbano,</w:t>
      </w:r>
      <w:r>
        <w:rPr>
          <w:spacing w:val="-6"/>
        </w:rPr>
        <w:t> </w:t>
      </w:r>
      <w:r>
        <w:rPr/>
        <w:t>así</w:t>
      </w:r>
      <w:r>
        <w:rPr>
          <w:spacing w:val="-6"/>
        </w:rPr>
        <w:t> </w:t>
      </w:r>
      <w:r>
        <w:rPr/>
        <w:t>como</w:t>
      </w:r>
      <w:r>
        <w:rPr>
          <w:spacing w:val="-7"/>
        </w:rPr>
        <w:t> </w:t>
      </w:r>
      <w:r>
        <w:rPr/>
        <w:t>los</w:t>
      </w:r>
      <w:r>
        <w:rPr>
          <w:spacing w:val="-6"/>
        </w:rPr>
        <w:t> </w:t>
      </w:r>
      <w:r>
        <w:rPr/>
        <w:t>de</w:t>
      </w:r>
      <w:r>
        <w:rPr>
          <w:spacing w:val="-7"/>
        </w:rPr>
        <w:t> </w:t>
      </w:r>
      <w:r>
        <w:rPr/>
        <w:t>impacto</w:t>
      </w:r>
      <w:r>
        <w:rPr>
          <w:spacing w:val="-7"/>
        </w:rPr>
        <w:t> </w:t>
      </w:r>
      <w:r>
        <w:rPr/>
        <w:t>vial</w:t>
      </w:r>
      <w:r>
        <w:rPr>
          <w:spacing w:val="-8"/>
        </w:rPr>
        <w:t> </w:t>
      </w:r>
      <w:r>
        <w:rPr/>
        <w:t>y</w:t>
      </w:r>
      <w:r>
        <w:rPr>
          <w:spacing w:val="-5"/>
        </w:rPr>
        <w:t> </w:t>
      </w:r>
      <w:r>
        <w:rPr/>
        <w:t>de</w:t>
      </w:r>
      <w:r>
        <w:rPr>
          <w:spacing w:val="-7"/>
        </w:rPr>
        <w:t> </w:t>
      </w:r>
      <w:r>
        <w:rPr/>
        <w:t>imagen</w:t>
      </w:r>
      <w:r>
        <w:rPr>
          <w:spacing w:val="-4"/>
        </w:rPr>
        <w:t> </w:t>
      </w:r>
      <w:r>
        <w:rPr/>
        <w:t>urbana, que se presenten para los usos de impacto significativo, en los casos en que así lo determina esta Ley</w:t>
      </w:r>
      <w:r>
        <w:rPr>
          <w:spacing w:val="-5"/>
        </w:rPr>
        <w:t> </w:t>
      </w:r>
      <w:r>
        <w:rPr/>
        <w:t>o</w:t>
      </w:r>
      <w:r>
        <w:rPr>
          <w:spacing w:val="-5"/>
        </w:rPr>
        <w:t> </w:t>
      </w:r>
      <w:r>
        <w:rPr/>
        <w:t>los</w:t>
      </w:r>
      <w:r>
        <w:rPr>
          <w:spacing w:val="-6"/>
        </w:rPr>
        <w:t> </w:t>
      </w:r>
      <w:r>
        <w:rPr/>
        <w:t>programas</w:t>
      </w:r>
      <w:r>
        <w:rPr>
          <w:spacing w:val="-6"/>
        </w:rPr>
        <w:t> </w:t>
      </w:r>
      <w:r>
        <w:rPr/>
        <w:t>de</w:t>
      </w:r>
      <w:r>
        <w:rPr>
          <w:spacing w:val="-7"/>
        </w:rPr>
        <w:t> </w:t>
      </w:r>
      <w:r>
        <w:rPr/>
        <w:t>ordenamiento</w:t>
      </w:r>
      <w:r>
        <w:rPr>
          <w:spacing w:val="-5"/>
        </w:rPr>
        <w:t> </w:t>
      </w:r>
      <w:r>
        <w:rPr/>
        <w:t>territorial</w:t>
      </w:r>
      <w:r>
        <w:rPr>
          <w:spacing w:val="-7"/>
        </w:rPr>
        <w:t> </w:t>
      </w:r>
      <w:r>
        <w:rPr/>
        <w:t>y</w:t>
      </w:r>
      <w:r>
        <w:rPr>
          <w:spacing w:val="-3"/>
        </w:rPr>
        <w:t> </w:t>
      </w:r>
      <w:r>
        <w:rPr/>
        <w:t>desarrollo</w:t>
      </w:r>
      <w:r>
        <w:rPr>
          <w:spacing w:val="-5"/>
        </w:rPr>
        <w:t> </w:t>
      </w:r>
      <w:r>
        <w:rPr/>
        <w:t>urbano</w:t>
      </w:r>
      <w:r>
        <w:rPr>
          <w:spacing w:val="-5"/>
        </w:rPr>
        <w:t> </w:t>
      </w:r>
      <w:r>
        <w:rPr/>
        <w:t>y</w:t>
      </w:r>
      <w:r>
        <w:rPr>
          <w:spacing w:val="-5"/>
        </w:rPr>
        <w:t> </w:t>
      </w:r>
      <w:r>
        <w:rPr/>
        <w:t>demás disposiciones</w:t>
      </w:r>
      <w:r>
        <w:rPr>
          <w:spacing w:val="-6"/>
        </w:rPr>
        <w:t> </w:t>
      </w:r>
      <w:r>
        <w:rPr/>
        <w:t>jurídicas aplicables, se regirán por las disposiciones de este Capítulo.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Los responsables técnicos de la elaboración y de suscribir los estudios de impacto a que se refiere este Capítulo, deberán contar con cualquiera de las siguientes acreditaciones:</w:t>
      </w:r>
    </w:p>
    <w:p>
      <w:pPr>
        <w:pStyle w:val="BodyText"/>
        <w:spacing w:before="1"/>
      </w:pPr>
    </w:p>
    <w:p>
      <w:pPr>
        <w:pStyle w:val="ListParagraph"/>
        <w:numPr>
          <w:ilvl w:val="2"/>
          <w:numId w:val="58"/>
        </w:numPr>
        <w:tabs>
          <w:tab w:pos="543" w:val="left" w:leader="none"/>
        </w:tabs>
        <w:spacing w:line="240" w:lineRule="auto" w:before="0" w:after="0"/>
        <w:ind w:left="543" w:right="0" w:hanging="281"/>
        <w:jc w:val="left"/>
        <w:rPr>
          <w:sz w:val="20"/>
        </w:rPr>
      </w:pPr>
      <w:r>
        <w:rPr>
          <w:sz w:val="20"/>
        </w:rPr>
        <w:t>La</w:t>
      </w:r>
      <w:r>
        <w:rPr>
          <w:spacing w:val="-7"/>
          <w:sz w:val="20"/>
        </w:rPr>
        <w:t> </w:t>
      </w:r>
      <w:r>
        <w:rPr>
          <w:sz w:val="20"/>
        </w:rPr>
        <w:t>certificación</w:t>
      </w:r>
      <w:r>
        <w:rPr>
          <w:spacing w:val="-6"/>
          <w:sz w:val="20"/>
        </w:rPr>
        <w:t> </w:t>
      </w:r>
      <w:r>
        <w:rPr>
          <w:sz w:val="20"/>
        </w:rPr>
        <w:t>a</w:t>
      </w:r>
      <w:r>
        <w:rPr>
          <w:spacing w:val="-4"/>
          <w:sz w:val="20"/>
        </w:rPr>
        <w:t> </w:t>
      </w:r>
      <w:r>
        <w:rPr>
          <w:sz w:val="20"/>
        </w:rPr>
        <w:t>que</w:t>
      </w:r>
      <w:r>
        <w:rPr>
          <w:spacing w:val="-6"/>
          <w:sz w:val="20"/>
        </w:rPr>
        <w:t> </w:t>
      </w:r>
      <w:r>
        <w:rPr>
          <w:sz w:val="20"/>
        </w:rPr>
        <w:t>se</w:t>
      </w:r>
      <w:r>
        <w:rPr>
          <w:spacing w:val="-5"/>
          <w:sz w:val="20"/>
        </w:rPr>
        <w:t> </w:t>
      </w:r>
      <w:r>
        <w:rPr>
          <w:sz w:val="20"/>
        </w:rPr>
        <w:t>refiere</w:t>
      </w:r>
      <w:r>
        <w:rPr>
          <w:spacing w:val="-6"/>
          <w:sz w:val="20"/>
        </w:rPr>
        <w:t> </w:t>
      </w:r>
      <w:r>
        <w:rPr>
          <w:sz w:val="20"/>
        </w:rPr>
        <w:t>el</w:t>
      </w:r>
      <w:r>
        <w:rPr>
          <w:spacing w:val="-6"/>
          <w:sz w:val="20"/>
        </w:rPr>
        <w:t> </w:t>
      </w:r>
      <w:r>
        <w:rPr>
          <w:sz w:val="20"/>
        </w:rPr>
        <w:t>artículo</w:t>
      </w:r>
      <w:r>
        <w:rPr>
          <w:spacing w:val="-4"/>
          <w:sz w:val="20"/>
        </w:rPr>
        <w:t> </w:t>
      </w:r>
      <w:r>
        <w:rPr>
          <w:sz w:val="20"/>
        </w:rPr>
        <w:t>96</w:t>
      </w:r>
      <w:r>
        <w:rPr>
          <w:spacing w:val="-4"/>
          <w:sz w:val="20"/>
        </w:rPr>
        <w:t> </w:t>
      </w:r>
      <w:r>
        <w:rPr>
          <w:sz w:val="20"/>
        </w:rPr>
        <w:t>párrafo</w:t>
      </w:r>
      <w:r>
        <w:rPr>
          <w:spacing w:val="-6"/>
          <w:sz w:val="20"/>
        </w:rPr>
        <w:t> </w:t>
      </w:r>
      <w:r>
        <w:rPr>
          <w:sz w:val="20"/>
        </w:rPr>
        <w:t>cuarto</w:t>
      </w:r>
      <w:r>
        <w:rPr>
          <w:spacing w:val="-6"/>
          <w:sz w:val="20"/>
        </w:rPr>
        <w:t> </w:t>
      </w:r>
      <w:r>
        <w:rPr>
          <w:sz w:val="20"/>
        </w:rPr>
        <w:t>de</w:t>
      </w:r>
      <w:r>
        <w:rPr>
          <w:spacing w:val="-6"/>
          <w:sz w:val="20"/>
        </w:rPr>
        <w:t> </w:t>
      </w:r>
      <w:r>
        <w:rPr>
          <w:sz w:val="20"/>
        </w:rPr>
        <w:t>la</w:t>
      </w:r>
      <w:r>
        <w:rPr>
          <w:spacing w:val="-5"/>
          <w:sz w:val="20"/>
        </w:rPr>
        <w:t> </w:t>
      </w:r>
      <w:r>
        <w:rPr>
          <w:sz w:val="20"/>
        </w:rPr>
        <w:t>Ley</w:t>
      </w:r>
      <w:r>
        <w:rPr>
          <w:spacing w:val="-5"/>
          <w:sz w:val="20"/>
        </w:rPr>
        <w:t> </w:t>
      </w:r>
      <w:r>
        <w:rPr>
          <w:spacing w:val="-2"/>
          <w:sz w:val="20"/>
        </w:rPr>
        <w:t>General;</w:t>
      </w:r>
    </w:p>
    <w:p>
      <w:pPr>
        <w:pStyle w:val="ListParagraph"/>
        <w:numPr>
          <w:ilvl w:val="2"/>
          <w:numId w:val="58"/>
        </w:numPr>
        <w:tabs>
          <w:tab w:pos="543" w:val="left" w:leader="none"/>
        </w:tabs>
        <w:spacing w:line="240" w:lineRule="auto" w:before="229" w:after="0"/>
        <w:ind w:left="262" w:right="289" w:firstLine="0"/>
        <w:jc w:val="left"/>
        <w:rPr>
          <w:sz w:val="20"/>
        </w:rPr>
      </w:pPr>
      <w:r>
        <w:rPr>
          <w:sz w:val="20"/>
        </w:rPr>
        <w:t>El</w:t>
      </w:r>
      <w:r>
        <w:rPr>
          <w:spacing w:val="-1"/>
          <w:sz w:val="20"/>
        </w:rPr>
        <w:t> </w:t>
      </w:r>
      <w:r>
        <w:rPr>
          <w:sz w:val="20"/>
        </w:rPr>
        <w:t>Registro</w:t>
      </w:r>
      <w:r>
        <w:rPr>
          <w:spacing w:val="-1"/>
          <w:sz w:val="20"/>
        </w:rPr>
        <w:t> </w:t>
      </w:r>
      <w:r>
        <w:rPr>
          <w:sz w:val="20"/>
        </w:rPr>
        <w:t>ante</w:t>
      </w:r>
      <w:r>
        <w:rPr>
          <w:spacing w:val="-1"/>
          <w:sz w:val="20"/>
        </w:rPr>
        <w:t> </w:t>
      </w:r>
      <w:r>
        <w:rPr>
          <w:sz w:val="20"/>
        </w:rPr>
        <w:t>la</w:t>
      </w:r>
      <w:r>
        <w:rPr>
          <w:spacing w:val="-1"/>
          <w:sz w:val="20"/>
        </w:rPr>
        <w:t> </w:t>
      </w:r>
      <w:r>
        <w:rPr>
          <w:sz w:val="20"/>
        </w:rPr>
        <w:t>Comisión</w:t>
      </w:r>
      <w:r>
        <w:rPr>
          <w:spacing w:val="-1"/>
          <w:sz w:val="20"/>
        </w:rPr>
        <w:t> </w:t>
      </w:r>
      <w:r>
        <w:rPr>
          <w:sz w:val="20"/>
        </w:rPr>
        <w:t>del</w:t>
      </w:r>
      <w:r>
        <w:rPr>
          <w:spacing w:val="-1"/>
          <w:sz w:val="20"/>
        </w:rPr>
        <w:t> </w:t>
      </w:r>
      <w:r>
        <w:rPr>
          <w:sz w:val="20"/>
        </w:rPr>
        <w:t>Registro Estatal</w:t>
      </w:r>
      <w:r>
        <w:rPr>
          <w:spacing w:val="-1"/>
          <w:sz w:val="20"/>
        </w:rPr>
        <w:t> </w:t>
      </w:r>
      <w:r>
        <w:rPr>
          <w:sz w:val="20"/>
        </w:rPr>
        <w:t>de Peritos en</w:t>
      </w:r>
      <w:r>
        <w:rPr>
          <w:spacing w:val="-1"/>
          <w:sz w:val="20"/>
        </w:rPr>
        <w:t> </w:t>
      </w:r>
      <w:r>
        <w:rPr>
          <w:sz w:val="20"/>
        </w:rPr>
        <w:t>la</w:t>
      </w:r>
      <w:r>
        <w:rPr>
          <w:spacing w:val="-1"/>
          <w:sz w:val="20"/>
        </w:rPr>
        <w:t> </w:t>
      </w:r>
      <w:r>
        <w:rPr>
          <w:sz w:val="20"/>
        </w:rPr>
        <w:t>especialidad</w:t>
      </w:r>
      <w:r>
        <w:rPr>
          <w:spacing w:val="-1"/>
          <w:sz w:val="20"/>
        </w:rPr>
        <w:t> </w:t>
      </w:r>
      <w:r>
        <w:rPr>
          <w:sz w:val="20"/>
        </w:rPr>
        <w:t>que</w:t>
      </w:r>
      <w:r>
        <w:rPr>
          <w:spacing w:val="-1"/>
          <w:sz w:val="20"/>
        </w:rPr>
        <w:t> </w:t>
      </w:r>
      <w:r>
        <w:rPr>
          <w:sz w:val="20"/>
        </w:rPr>
        <w:t>corresponda al estudio de impacto a realizar, o</w:t>
      </w:r>
    </w:p>
    <w:p>
      <w:pPr>
        <w:pStyle w:val="BodyText"/>
        <w:spacing w:before="1"/>
      </w:pPr>
    </w:p>
    <w:p>
      <w:pPr>
        <w:pStyle w:val="ListParagraph"/>
        <w:numPr>
          <w:ilvl w:val="2"/>
          <w:numId w:val="58"/>
        </w:numPr>
        <w:tabs>
          <w:tab w:pos="597" w:val="left" w:leader="none"/>
        </w:tabs>
        <w:spacing w:line="240" w:lineRule="auto" w:before="0" w:after="0"/>
        <w:ind w:left="262" w:right="285" w:firstLine="0"/>
        <w:jc w:val="left"/>
        <w:rPr>
          <w:sz w:val="20"/>
        </w:rPr>
      </w:pPr>
      <w:r>
        <w:rPr>
          <w:sz w:val="20"/>
        </w:rPr>
        <w:t>La certificación expedida por la CADROC como corresponsable en la especialidad en la que</w:t>
      </w:r>
      <w:r>
        <w:rPr>
          <w:spacing w:val="40"/>
          <w:sz w:val="20"/>
        </w:rPr>
        <w:t> </w:t>
      </w:r>
      <w:r>
        <w:rPr>
          <w:sz w:val="20"/>
        </w:rPr>
        <w:t>pretenda suscribir el estudio a realizar.</w:t>
      </w:r>
    </w:p>
    <w:p>
      <w:pPr>
        <w:pStyle w:val="BodyText"/>
        <w:spacing w:before="229"/>
        <w:ind w:left="262" w:right="277"/>
        <w:jc w:val="both"/>
      </w:pPr>
      <w:r>
        <w:rPr>
          <w:rFonts w:ascii="Arial" w:hAnsi="Arial"/>
          <w:b/>
        </w:rPr>
        <w:t>ARTÍCULO 141. </w:t>
      </w:r>
      <w:r>
        <w:rPr/>
        <w:t>Los estudios de impacto ambiental que se soliciten en los casos que prevé la presente Ley, y la Ley Ambiental del Estado, deberán contener los requisitos que establecen esta última, el reglamento correspondiente y los demás ordenamientos aplicables. Estos estudios deberán</w:t>
      </w:r>
      <w:r>
        <w:rPr>
          <w:spacing w:val="-8"/>
        </w:rPr>
        <w:t> </w:t>
      </w:r>
      <w:r>
        <w:rPr/>
        <w:t>ser</w:t>
      </w:r>
      <w:r>
        <w:rPr>
          <w:spacing w:val="-5"/>
        </w:rPr>
        <w:t> </w:t>
      </w:r>
      <w:r>
        <w:rPr/>
        <w:t>sometidos</w:t>
      </w:r>
      <w:r>
        <w:rPr>
          <w:spacing w:val="-7"/>
        </w:rPr>
        <w:t> </w:t>
      </w:r>
      <w:r>
        <w:rPr/>
        <w:t>a</w:t>
      </w:r>
      <w:r>
        <w:rPr>
          <w:spacing w:val="-6"/>
        </w:rPr>
        <w:t> </w:t>
      </w:r>
      <w:r>
        <w:rPr/>
        <w:t>la</w:t>
      </w:r>
      <w:r>
        <w:rPr>
          <w:spacing w:val="-6"/>
        </w:rPr>
        <w:t> </w:t>
      </w:r>
      <w:r>
        <w:rPr/>
        <w:t>aprobación</w:t>
      </w:r>
      <w:r>
        <w:rPr>
          <w:spacing w:val="-6"/>
        </w:rPr>
        <w:t> </w:t>
      </w:r>
      <w:r>
        <w:rPr/>
        <w:t>de</w:t>
      </w:r>
      <w:r>
        <w:rPr>
          <w:spacing w:val="-6"/>
        </w:rPr>
        <w:t> </w:t>
      </w:r>
      <w:r>
        <w:rPr/>
        <w:t>la</w:t>
      </w:r>
      <w:r>
        <w:rPr>
          <w:spacing w:val="-6"/>
        </w:rPr>
        <w:t> </w:t>
      </w:r>
      <w:r>
        <w:rPr/>
        <w:t>SEGAM,</w:t>
      </w:r>
      <w:r>
        <w:rPr>
          <w:spacing w:val="-5"/>
        </w:rPr>
        <w:t> </w:t>
      </w:r>
      <w:r>
        <w:rPr/>
        <w:t>en</w:t>
      </w:r>
      <w:r>
        <w:rPr>
          <w:spacing w:val="-6"/>
        </w:rPr>
        <w:t> </w:t>
      </w:r>
      <w:r>
        <w:rPr/>
        <w:t>los</w:t>
      </w:r>
      <w:r>
        <w:rPr>
          <w:spacing w:val="-7"/>
        </w:rPr>
        <w:t> </w:t>
      </w:r>
      <w:r>
        <w:rPr/>
        <w:t>casos</w:t>
      </w:r>
      <w:r>
        <w:rPr>
          <w:spacing w:val="-5"/>
        </w:rPr>
        <w:t> </w:t>
      </w:r>
      <w:r>
        <w:rPr/>
        <w:t>en</w:t>
      </w:r>
      <w:r>
        <w:rPr>
          <w:spacing w:val="-6"/>
        </w:rPr>
        <w:t> </w:t>
      </w:r>
      <w:r>
        <w:rPr/>
        <w:t>que</w:t>
      </w:r>
      <w:r>
        <w:rPr>
          <w:spacing w:val="-6"/>
        </w:rPr>
        <w:t> </w:t>
      </w:r>
      <w:r>
        <w:rPr/>
        <w:t>así</w:t>
      </w:r>
      <w:r>
        <w:rPr>
          <w:spacing w:val="-8"/>
        </w:rPr>
        <w:t> </w:t>
      </w:r>
      <w:r>
        <w:rPr/>
        <w:t>lo</w:t>
      </w:r>
      <w:r>
        <w:rPr>
          <w:spacing w:val="-6"/>
        </w:rPr>
        <w:t> </w:t>
      </w:r>
      <w:r>
        <w:rPr/>
        <w:t>determine</w:t>
      </w:r>
      <w:r>
        <w:rPr>
          <w:spacing w:val="-6"/>
        </w:rPr>
        <w:t> </w:t>
      </w:r>
      <w:r>
        <w:rPr/>
        <w:t>la</w:t>
      </w:r>
      <w:r>
        <w:rPr>
          <w:spacing w:val="-6"/>
        </w:rPr>
        <w:t> </w:t>
      </w:r>
      <w:r>
        <w:rPr/>
        <w:t>ley</w:t>
      </w:r>
      <w:r>
        <w:rPr>
          <w:spacing w:val="-5"/>
        </w:rPr>
        <w:t> </w:t>
      </w:r>
      <w:r>
        <w:rPr/>
        <w:t>de la materia.</w:t>
      </w:r>
    </w:p>
    <w:p>
      <w:pPr>
        <w:pStyle w:val="BodyText"/>
      </w:pPr>
    </w:p>
    <w:p>
      <w:pPr>
        <w:pStyle w:val="BodyText"/>
        <w:ind w:left="262" w:right="281"/>
        <w:jc w:val="both"/>
      </w:pPr>
      <w:r>
        <w:rPr>
          <w:rFonts w:ascii="Arial" w:hAnsi="Arial"/>
          <w:b/>
        </w:rPr>
        <w:t>ARTÍCULO 142. </w:t>
      </w:r>
      <w:r>
        <w:rPr/>
        <w:t>Los estudios de impacto urbano que se presenten en los casos en que así lo determina esta Ley deberán contener como mínimo:</w:t>
      </w:r>
    </w:p>
    <w:p>
      <w:pPr>
        <w:pStyle w:val="BodyText"/>
        <w:spacing w:before="2"/>
      </w:pPr>
    </w:p>
    <w:p>
      <w:pPr>
        <w:pStyle w:val="ListParagraph"/>
        <w:numPr>
          <w:ilvl w:val="0"/>
          <w:numId w:val="59"/>
        </w:numPr>
        <w:tabs>
          <w:tab w:pos="457" w:val="left" w:leader="none"/>
        </w:tabs>
        <w:spacing w:line="240" w:lineRule="auto" w:before="0" w:after="0"/>
        <w:ind w:left="457" w:right="0" w:hanging="195"/>
        <w:jc w:val="left"/>
        <w:rPr>
          <w:sz w:val="20"/>
        </w:rPr>
      </w:pPr>
      <w:r>
        <w:rPr>
          <w:sz w:val="20"/>
        </w:rPr>
        <w:t>Datos</w:t>
      </w:r>
      <w:r>
        <w:rPr>
          <w:spacing w:val="-9"/>
          <w:sz w:val="20"/>
        </w:rPr>
        <w:t> </w:t>
      </w:r>
      <w:r>
        <w:rPr>
          <w:sz w:val="20"/>
        </w:rPr>
        <w:t>del</w:t>
      </w:r>
      <w:r>
        <w:rPr>
          <w:spacing w:val="-8"/>
          <w:sz w:val="20"/>
        </w:rPr>
        <w:t> </w:t>
      </w:r>
      <w:r>
        <w:rPr>
          <w:sz w:val="20"/>
        </w:rPr>
        <w:t>propietario,</w:t>
      </w:r>
      <w:r>
        <w:rPr>
          <w:spacing w:val="-7"/>
          <w:sz w:val="20"/>
        </w:rPr>
        <w:t> </w:t>
      </w:r>
      <w:r>
        <w:rPr>
          <w:sz w:val="20"/>
        </w:rPr>
        <w:t>promotor</w:t>
      </w:r>
      <w:r>
        <w:rPr>
          <w:spacing w:val="-9"/>
          <w:sz w:val="20"/>
        </w:rPr>
        <w:t> </w:t>
      </w:r>
      <w:r>
        <w:rPr>
          <w:sz w:val="20"/>
        </w:rPr>
        <w:t>y</w:t>
      </w:r>
      <w:r>
        <w:rPr>
          <w:spacing w:val="-7"/>
          <w:sz w:val="20"/>
        </w:rPr>
        <w:t> </w:t>
      </w:r>
      <w:r>
        <w:rPr>
          <w:sz w:val="20"/>
        </w:rPr>
        <w:t>responsable</w:t>
      </w:r>
      <w:r>
        <w:rPr>
          <w:spacing w:val="-8"/>
          <w:sz w:val="20"/>
        </w:rPr>
        <w:t> </w:t>
      </w:r>
      <w:r>
        <w:rPr>
          <w:sz w:val="20"/>
        </w:rPr>
        <w:t>del</w:t>
      </w:r>
      <w:r>
        <w:rPr>
          <w:spacing w:val="-8"/>
          <w:sz w:val="20"/>
        </w:rPr>
        <w:t> </w:t>
      </w:r>
      <w:r>
        <w:rPr>
          <w:spacing w:val="-2"/>
          <w:sz w:val="20"/>
        </w:rPr>
        <w:t>estudio:</w:t>
      </w:r>
    </w:p>
    <w:p>
      <w:pPr>
        <w:pStyle w:val="ListParagraph"/>
        <w:numPr>
          <w:ilvl w:val="1"/>
          <w:numId w:val="59"/>
        </w:numPr>
        <w:tabs>
          <w:tab w:pos="544" w:val="left" w:leader="none"/>
        </w:tabs>
        <w:spacing w:line="240" w:lineRule="auto" w:before="228" w:after="0"/>
        <w:ind w:left="544" w:right="0" w:hanging="282"/>
        <w:jc w:val="left"/>
        <w:rPr>
          <w:sz w:val="20"/>
        </w:rPr>
      </w:pPr>
      <w:r>
        <w:rPr>
          <w:sz w:val="20"/>
        </w:rPr>
        <w:t>Datos</w:t>
      </w:r>
      <w:r>
        <w:rPr>
          <w:spacing w:val="-9"/>
          <w:sz w:val="20"/>
        </w:rPr>
        <w:t> </w:t>
      </w:r>
      <w:r>
        <w:rPr>
          <w:sz w:val="20"/>
        </w:rPr>
        <w:t>generales</w:t>
      </w:r>
      <w:r>
        <w:rPr>
          <w:spacing w:val="-8"/>
          <w:sz w:val="20"/>
        </w:rPr>
        <w:t> </w:t>
      </w:r>
      <w:r>
        <w:rPr>
          <w:sz w:val="20"/>
        </w:rPr>
        <w:t>del</w:t>
      </w:r>
      <w:r>
        <w:rPr>
          <w:spacing w:val="-8"/>
          <w:sz w:val="20"/>
        </w:rPr>
        <w:t> </w:t>
      </w:r>
      <w:r>
        <w:rPr>
          <w:sz w:val="20"/>
        </w:rPr>
        <w:t>propietario</w:t>
      </w:r>
      <w:r>
        <w:rPr>
          <w:spacing w:val="-10"/>
          <w:sz w:val="20"/>
        </w:rPr>
        <w:t> </w:t>
      </w:r>
      <w:r>
        <w:rPr>
          <w:sz w:val="20"/>
        </w:rPr>
        <w:t>o</w:t>
      </w:r>
      <w:r>
        <w:rPr>
          <w:spacing w:val="-7"/>
          <w:sz w:val="20"/>
        </w:rPr>
        <w:t> </w:t>
      </w:r>
      <w:r>
        <w:rPr>
          <w:spacing w:val="-2"/>
          <w:sz w:val="20"/>
        </w:rPr>
        <w:t>promovente.</w:t>
      </w:r>
    </w:p>
    <w:p>
      <w:pPr>
        <w:pStyle w:val="BodyText"/>
        <w:spacing w:before="1"/>
      </w:pPr>
    </w:p>
    <w:p>
      <w:pPr>
        <w:pStyle w:val="ListParagraph"/>
        <w:numPr>
          <w:ilvl w:val="1"/>
          <w:numId w:val="59"/>
        </w:numPr>
        <w:tabs>
          <w:tab w:pos="500" w:val="left" w:leader="none"/>
        </w:tabs>
        <w:spacing w:line="240" w:lineRule="auto" w:before="0" w:after="0"/>
        <w:ind w:left="262" w:right="287" w:firstLine="0"/>
        <w:jc w:val="left"/>
        <w:rPr>
          <w:sz w:val="20"/>
        </w:rPr>
      </w:pPr>
      <w:r>
        <w:rPr>
          <w:sz w:val="20"/>
        </w:rPr>
        <w:t>Datos generales del responsable técnico de la elaboración del estudio, quien deberá contar con la formación académica y experiencia que le permita emitir un estudio debidamente sustentado;</w:t>
      </w:r>
    </w:p>
    <w:p>
      <w:pPr>
        <w:pStyle w:val="ListParagraph"/>
        <w:numPr>
          <w:ilvl w:val="0"/>
          <w:numId w:val="59"/>
        </w:numPr>
        <w:tabs>
          <w:tab w:pos="543" w:val="left" w:leader="none"/>
        </w:tabs>
        <w:spacing w:line="240" w:lineRule="auto" w:before="1" w:after="0"/>
        <w:ind w:left="543" w:right="0" w:hanging="281"/>
        <w:jc w:val="left"/>
        <w:rPr>
          <w:sz w:val="20"/>
        </w:rPr>
      </w:pPr>
      <w:r>
        <w:rPr>
          <w:sz w:val="20"/>
        </w:rPr>
        <w:t>Datos</w:t>
      </w:r>
      <w:r>
        <w:rPr>
          <w:spacing w:val="-8"/>
          <w:sz w:val="20"/>
        </w:rPr>
        <w:t> </w:t>
      </w:r>
      <w:r>
        <w:rPr>
          <w:sz w:val="20"/>
        </w:rPr>
        <w:t>generales</w:t>
      </w:r>
      <w:r>
        <w:rPr>
          <w:spacing w:val="-8"/>
          <w:sz w:val="20"/>
        </w:rPr>
        <w:t> </w:t>
      </w:r>
      <w:r>
        <w:rPr>
          <w:sz w:val="20"/>
        </w:rPr>
        <w:t>del</w:t>
      </w:r>
      <w:r>
        <w:rPr>
          <w:spacing w:val="-8"/>
          <w:sz w:val="20"/>
        </w:rPr>
        <w:t> </w:t>
      </w:r>
      <w:r>
        <w:rPr>
          <w:spacing w:val="-2"/>
          <w:sz w:val="20"/>
        </w:rPr>
        <w:t>proyecto:</w:t>
      </w:r>
    </w:p>
    <w:p>
      <w:pPr>
        <w:pStyle w:val="ListParagraph"/>
        <w:numPr>
          <w:ilvl w:val="1"/>
          <w:numId w:val="59"/>
        </w:numPr>
        <w:tabs>
          <w:tab w:pos="544" w:val="left" w:leader="none"/>
        </w:tabs>
        <w:spacing w:line="240" w:lineRule="auto" w:before="229" w:after="0"/>
        <w:ind w:left="544" w:right="0" w:hanging="282"/>
        <w:jc w:val="left"/>
        <w:rPr>
          <w:sz w:val="20"/>
        </w:rPr>
      </w:pPr>
      <w:r>
        <w:rPr>
          <w:sz w:val="20"/>
        </w:rPr>
        <w:t>Nombre</w:t>
      </w:r>
      <w:r>
        <w:rPr>
          <w:spacing w:val="-6"/>
          <w:sz w:val="20"/>
        </w:rPr>
        <w:t> </w:t>
      </w:r>
      <w:r>
        <w:rPr>
          <w:sz w:val="20"/>
        </w:rPr>
        <w:t>y</w:t>
      </w:r>
      <w:r>
        <w:rPr>
          <w:spacing w:val="-6"/>
          <w:sz w:val="20"/>
        </w:rPr>
        <w:t> </w:t>
      </w:r>
      <w:r>
        <w:rPr>
          <w:sz w:val="20"/>
        </w:rPr>
        <w:t>ubicación</w:t>
      </w:r>
      <w:r>
        <w:rPr>
          <w:spacing w:val="-8"/>
          <w:sz w:val="20"/>
        </w:rPr>
        <w:t> </w:t>
      </w:r>
      <w:r>
        <w:rPr>
          <w:sz w:val="20"/>
        </w:rPr>
        <w:t>del</w:t>
      </w:r>
      <w:r>
        <w:rPr>
          <w:spacing w:val="-8"/>
          <w:sz w:val="20"/>
        </w:rPr>
        <w:t> </w:t>
      </w:r>
      <w:r>
        <w:rPr>
          <w:spacing w:val="-2"/>
          <w:sz w:val="20"/>
        </w:rPr>
        <w:t>proyecto.</w:t>
      </w:r>
    </w:p>
    <w:p>
      <w:pPr>
        <w:pStyle w:val="BodyText"/>
      </w:pPr>
    </w:p>
    <w:p>
      <w:pPr>
        <w:pStyle w:val="ListParagraph"/>
        <w:numPr>
          <w:ilvl w:val="1"/>
          <w:numId w:val="59"/>
        </w:numPr>
        <w:tabs>
          <w:tab w:pos="544" w:val="left" w:leader="none"/>
        </w:tabs>
        <w:spacing w:line="240" w:lineRule="auto" w:before="0" w:after="0"/>
        <w:ind w:left="544" w:right="0" w:hanging="282"/>
        <w:jc w:val="left"/>
        <w:rPr>
          <w:sz w:val="20"/>
        </w:rPr>
      </w:pPr>
      <w:r>
        <w:rPr>
          <w:sz w:val="20"/>
        </w:rPr>
        <w:t>Dimensiones</w:t>
      </w:r>
      <w:r>
        <w:rPr>
          <w:spacing w:val="-7"/>
          <w:sz w:val="20"/>
        </w:rPr>
        <w:t> </w:t>
      </w:r>
      <w:r>
        <w:rPr>
          <w:sz w:val="20"/>
        </w:rPr>
        <w:t>del</w:t>
      </w:r>
      <w:r>
        <w:rPr>
          <w:spacing w:val="-7"/>
          <w:sz w:val="20"/>
        </w:rPr>
        <w:t> </w:t>
      </w:r>
      <w:r>
        <w:rPr>
          <w:sz w:val="20"/>
        </w:rPr>
        <w:t>proyecto,</w:t>
      </w:r>
      <w:r>
        <w:rPr>
          <w:spacing w:val="-6"/>
          <w:sz w:val="20"/>
        </w:rPr>
        <w:t> </w:t>
      </w:r>
      <w:r>
        <w:rPr>
          <w:sz w:val="20"/>
        </w:rPr>
        <w:t>coeficiente</w:t>
      </w:r>
      <w:r>
        <w:rPr>
          <w:spacing w:val="-6"/>
          <w:sz w:val="20"/>
        </w:rPr>
        <w:t> </w:t>
      </w:r>
      <w:r>
        <w:rPr>
          <w:sz w:val="20"/>
        </w:rPr>
        <w:t>de</w:t>
      </w:r>
      <w:r>
        <w:rPr>
          <w:spacing w:val="-7"/>
          <w:sz w:val="20"/>
        </w:rPr>
        <w:t> </w:t>
      </w:r>
      <w:r>
        <w:rPr>
          <w:sz w:val="20"/>
        </w:rPr>
        <w:t>uso</w:t>
      </w:r>
      <w:r>
        <w:rPr>
          <w:spacing w:val="-8"/>
          <w:sz w:val="20"/>
        </w:rPr>
        <w:t> </w:t>
      </w:r>
      <w:r>
        <w:rPr>
          <w:sz w:val="20"/>
        </w:rPr>
        <w:t>y</w:t>
      </w:r>
      <w:r>
        <w:rPr>
          <w:spacing w:val="-7"/>
          <w:sz w:val="20"/>
        </w:rPr>
        <w:t> </w:t>
      </w:r>
      <w:r>
        <w:rPr>
          <w:sz w:val="20"/>
        </w:rPr>
        <w:t>ocupación</w:t>
      </w:r>
      <w:r>
        <w:rPr>
          <w:spacing w:val="-8"/>
          <w:sz w:val="20"/>
        </w:rPr>
        <w:t> </w:t>
      </w:r>
      <w:r>
        <w:rPr>
          <w:sz w:val="20"/>
        </w:rPr>
        <w:t>del</w:t>
      </w:r>
      <w:r>
        <w:rPr>
          <w:spacing w:val="-9"/>
          <w:sz w:val="20"/>
        </w:rPr>
        <w:t> </w:t>
      </w:r>
      <w:r>
        <w:rPr>
          <w:spacing w:val="-2"/>
          <w:sz w:val="20"/>
        </w:rPr>
        <w:t>suelo.</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Situación</w:t>
      </w:r>
      <w:r>
        <w:rPr>
          <w:spacing w:val="-5"/>
          <w:sz w:val="20"/>
        </w:rPr>
        <w:t> </w:t>
      </w:r>
      <w:r>
        <w:rPr>
          <w:sz w:val="20"/>
        </w:rPr>
        <w:t>legal</w:t>
      </w:r>
      <w:r>
        <w:rPr>
          <w:spacing w:val="-5"/>
          <w:sz w:val="20"/>
        </w:rPr>
        <w:t> </w:t>
      </w:r>
      <w:r>
        <w:rPr>
          <w:sz w:val="20"/>
        </w:rPr>
        <w:t>del</w:t>
      </w:r>
      <w:r>
        <w:rPr>
          <w:spacing w:val="-5"/>
          <w:sz w:val="20"/>
        </w:rPr>
        <w:t> </w:t>
      </w:r>
      <w:r>
        <w:rPr>
          <w:sz w:val="20"/>
        </w:rPr>
        <w:t>predio</w:t>
      </w:r>
      <w:r>
        <w:rPr>
          <w:spacing w:val="-6"/>
          <w:sz w:val="20"/>
        </w:rPr>
        <w:t> </w:t>
      </w:r>
      <w:r>
        <w:rPr>
          <w:sz w:val="20"/>
        </w:rPr>
        <w:t>y/o</w:t>
      </w:r>
      <w:r>
        <w:rPr>
          <w:spacing w:val="-6"/>
          <w:sz w:val="20"/>
        </w:rPr>
        <w:t> </w:t>
      </w:r>
      <w:r>
        <w:rPr>
          <w:sz w:val="20"/>
        </w:rPr>
        <w:t>del</w:t>
      </w:r>
      <w:r>
        <w:rPr>
          <w:spacing w:val="-7"/>
          <w:sz w:val="20"/>
        </w:rPr>
        <w:t> </w:t>
      </w:r>
      <w:r>
        <w:rPr>
          <w:sz w:val="20"/>
        </w:rPr>
        <w:t>sitio</w:t>
      </w:r>
      <w:r>
        <w:rPr>
          <w:spacing w:val="-4"/>
          <w:sz w:val="20"/>
        </w:rPr>
        <w:t> </w:t>
      </w:r>
      <w:r>
        <w:rPr>
          <w:sz w:val="20"/>
        </w:rPr>
        <w:t>del</w:t>
      </w:r>
      <w:r>
        <w:rPr>
          <w:spacing w:val="-5"/>
          <w:sz w:val="20"/>
        </w:rPr>
        <w:t> </w:t>
      </w:r>
      <w:r>
        <w:rPr>
          <w:sz w:val="20"/>
        </w:rPr>
        <w:t>proyecto</w:t>
      </w:r>
      <w:r>
        <w:rPr>
          <w:spacing w:val="-7"/>
          <w:sz w:val="20"/>
        </w:rPr>
        <w:t> </w:t>
      </w:r>
      <w:r>
        <w:rPr>
          <w:sz w:val="20"/>
        </w:rPr>
        <w:t>y</w:t>
      </w:r>
      <w:r>
        <w:rPr>
          <w:spacing w:val="-6"/>
          <w:sz w:val="20"/>
        </w:rPr>
        <w:t> </w:t>
      </w:r>
      <w:r>
        <w:rPr>
          <w:sz w:val="20"/>
        </w:rPr>
        <w:t>tipo</w:t>
      </w:r>
      <w:r>
        <w:rPr>
          <w:spacing w:val="-6"/>
          <w:sz w:val="20"/>
        </w:rPr>
        <w:t> </w:t>
      </w:r>
      <w:r>
        <w:rPr>
          <w:sz w:val="20"/>
        </w:rPr>
        <w:t>de</w:t>
      </w:r>
      <w:r>
        <w:rPr>
          <w:spacing w:val="-4"/>
          <w:sz w:val="20"/>
        </w:rPr>
        <w:t> </w:t>
      </w:r>
      <w:r>
        <w:rPr>
          <w:spacing w:val="-2"/>
          <w:sz w:val="20"/>
        </w:rPr>
        <w:t>propiedad.</w:t>
      </w:r>
    </w:p>
    <w:p>
      <w:pPr>
        <w:pStyle w:val="ListParagraph"/>
        <w:numPr>
          <w:ilvl w:val="1"/>
          <w:numId w:val="59"/>
        </w:numPr>
        <w:tabs>
          <w:tab w:pos="544" w:val="left" w:leader="none"/>
        </w:tabs>
        <w:spacing w:line="240" w:lineRule="auto" w:before="229" w:after="0"/>
        <w:ind w:left="544" w:right="0" w:hanging="282"/>
        <w:jc w:val="left"/>
        <w:rPr>
          <w:sz w:val="20"/>
        </w:rPr>
      </w:pPr>
      <w:r>
        <w:rPr>
          <w:sz w:val="20"/>
        </w:rPr>
        <w:t>Descripción</w:t>
      </w:r>
      <w:r>
        <w:rPr>
          <w:spacing w:val="-6"/>
          <w:sz w:val="20"/>
        </w:rPr>
        <w:t> </w:t>
      </w:r>
      <w:r>
        <w:rPr>
          <w:sz w:val="20"/>
        </w:rPr>
        <w:t>general</w:t>
      </w:r>
      <w:r>
        <w:rPr>
          <w:spacing w:val="-8"/>
          <w:sz w:val="20"/>
        </w:rPr>
        <w:t> </w:t>
      </w:r>
      <w:r>
        <w:rPr>
          <w:sz w:val="20"/>
        </w:rPr>
        <w:t>de</w:t>
      </w:r>
      <w:r>
        <w:rPr>
          <w:spacing w:val="-6"/>
          <w:sz w:val="20"/>
        </w:rPr>
        <w:t> </w:t>
      </w:r>
      <w:r>
        <w:rPr>
          <w:sz w:val="20"/>
        </w:rPr>
        <w:t>la</w:t>
      </w:r>
      <w:r>
        <w:rPr>
          <w:spacing w:val="-5"/>
          <w:sz w:val="20"/>
        </w:rPr>
        <w:t> </w:t>
      </w:r>
      <w:r>
        <w:rPr>
          <w:sz w:val="20"/>
        </w:rPr>
        <w:t>obra</w:t>
      </w:r>
      <w:r>
        <w:rPr>
          <w:spacing w:val="-8"/>
          <w:sz w:val="20"/>
        </w:rPr>
        <w:t> </w:t>
      </w:r>
      <w:r>
        <w:rPr>
          <w:sz w:val="20"/>
        </w:rPr>
        <w:t>o</w:t>
      </w:r>
      <w:r>
        <w:rPr>
          <w:spacing w:val="-7"/>
          <w:sz w:val="20"/>
        </w:rPr>
        <w:t> </w:t>
      </w:r>
      <w:r>
        <w:rPr>
          <w:sz w:val="20"/>
        </w:rPr>
        <w:t>actividad</w:t>
      </w:r>
      <w:r>
        <w:rPr>
          <w:spacing w:val="-6"/>
          <w:sz w:val="20"/>
        </w:rPr>
        <w:t> </w:t>
      </w:r>
      <w:r>
        <w:rPr>
          <w:spacing w:val="-2"/>
          <w:sz w:val="20"/>
        </w:rPr>
        <w:t>proyectada;</w:t>
      </w:r>
    </w:p>
    <w:p>
      <w:pPr>
        <w:pStyle w:val="BodyText"/>
      </w:pPr>
    </w:p>
    <w:p>
      <w:pPr>
        <w:pStyle w:val="ListParagraph"/>
        <w:numPr>
          <w:ilvl w:val="0"/>
          <w:numId w:val="59"/>
        </w:numPr>
        <w:tabs>
          <w:tab w:pos="597" w:val="left" w:leader="none"/>
        </w:tabs>
        <w:spacing w:line="240" w:lineRule="auto" w:before="1" w:after="0"/>
        <w:ind w:left="262" w:right="287" w:firstLine="0"/>
        <w:jc w:val="left"/>
        <w:rPr>
          <w:sz w:val="20"/>
        </w:rPr>
      </w:pPr>
      <w:r>
        <w:rPr>
          <w:sz w:val="20"/>
        </w:rPr>
        <w:t>Diagnóstico urbano que abarque el área de impacto del predio, dependiendo del tamaño del</w:t>
      </w:r>
      <w:r>
        <w:rPr>
          <w:spacing w:val="40"/>
          <w:sz w:val="20"/>
        </w:rPr>
        <w:t> </w:t>
      </w:r>
      <w:r>
        <w:rPr>
          <w:sz w:val="20"/>
        </w:rPr>
        <w:t>proyecto y área de influencia:</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Contexto</w:t>
      </w:r>
      <w:r>
        <w:rPr>
          <w:spacing w:val="-7"/>
          <w:sz w:val="20"/>
        </w:rPr>
        <w:t> </w:t>
      </w:r>
      <w:r>
        <w:rPr>
          <w:sz w:val="20"/>
        </w:rPr>
        <w:t>urbano</w:t>
      </w:r>
      <w:r>
        <w:rPr>
          <w:spacing w:val="-4"/>
          <w:sz w:val="20"/>
        </w:rPr>
        <w:t> </w:t>
      </w:r>
      <w:r>
        <w:rPr>
          <w:sz w:val="20"/>
        </w:rPr>
        <w:t>de</w:t>
      </w:r>
      <w:r>
        <w:rPr>
          <w:spacing w:val="-5"/>
          <w:sz w:val="20"/>
        </w:rPr>
        <w:t> </w:t>
      </w:r>
      <w:r>
        <w:rPr>
          <w:sz w:val="20"/>
        </w:rPr>
        <w:t>lo</w:t>
      </w:r>
      <w:r>
        <w:rPr>
          <w:spacing w:val="-5"/>
          <w:sz w:val="20"/>
        </w:rPr>
        <w:t> </w:t>
      </w:r>
      <w:r>
        <w:rPr>
          <w:sz w:val="20"/>
        </w:rPr>
        <w:t>general</w:t>
      </w:r>
      <w:r>
        <w:rPr>
          <w:spacing w:val="-7"/>
          <w:sz w:val="20"/>
        </w:rPr>
        <w:t> </w:t>
      </w:r>
      <w:r>
        <w:rPr>
          <w:sz w:val="20"/>
        </w:rPr>
        <w:t>a</w:t>
      </w:r>
      <w:r>
        <w:rPr>
          <w:spacing w:val="-4"/>
          <w:sz w:val="20"/>
        </w:rPr>
        <w:t> </w:t>
      </w:r>
      <w:r>
        <w:rPr>
          <w:sz w:val="20"/>
        </w:rPr>
        <w:t>lo</w:t>
      </w:r>
      <w:r>
        <w:rPr>
          <w:spacing w:val="-5"/>
          <w:sz w:val="20"/>
        </w:rPr>
        <w:t> </w:t>
      </w:r>
      <w:r>
        <w:rPr>
          <w:spacing w:val="-2"/>
          <w:sz w:val="20"/>
        </w:rPr>
        <w:t>particular.</w:t>
      </w:r>
    </w:p>
    <w:p>
      <w:pPr>
        <w:pStyle w:val="ListParagraph"/>
        <w:numPr>
          <w:ilvl w:val="1"/>
          <w:numId w:val="59"/>
        </w:numPr>
        <w:tabs>
          <w:tab w:pos="544" w:val="left" w:leader="none"/>
        </w:tabs>
        <w:spacing w:line="240" w:lineRule="auto" w:before="229" w:after="0"/>
        <w:ind w:left="544" w:right="0" w:hanging="282"/>
        <w:jc w:val="left"/>
        <w:rPr>
          <w:sz w:val="20"/>
        </w:rPr>
      </w:pPr>
      <w:r>
        <w:rPr>
          <w:sz w:val="20"/>
        </w:rPr>
        <w:t>Ubicación</w:t>
      </w:r>
      <w:r>
        <w:rPr>
          <w:spacing w:val="-8"/>
          <w:sz w:val="20"/>
        </w:rPr>
        <w:t> </w:t>
      </w:r>
      <w:r>
        <w:rPr>
          <w:sz w:val="20"/>
        </w:rPr>
        <w:t>y</w:t>
      </w:r>
      <w:r>
        <w:rPr>
          <w:spacing w:val="-7"/>
          <w:sz w:val="20"/>
        </w:rPr>
        <w:t> </w:t>
      </w:r>
      <w:r>
        <w:rPr>
          <w:sz w:val="20"/>
        </w:rPr>
        <w:t>definición</w:t>
      </w:r>
      <w:r>
        <w:rPr>
          <w:spacing w:val="-6"/>
          <w:sz w:val="20"/>
        </w:rPr>
        <w:t> </w:t>
      </w:r>
      <w:r>
        <w:rPr>
          <w:sz w:val="20"/>
        </w:rPr>
        <w:t>del</w:t>
      </w:r>
      <w:r>
        <w:rPr>
          <w:spacing w:val="-6"/>
          <w:sz w:val="20"/>
        </w:rPr>
        <w:t> </w:t>
      </w:r>
      <w:r>
        <w:rPr>
          <w:sz w:val="20"/>
        </w:rPr>
        <w:t>polígono</w:t>
      </w:r>
      <w:r>
        <w:rPr>
          <w:spacing w:val="-5"/>
          <w:sz w:val="20"/>
        </w:rPr>
        <w:t> </w:t>
      </w:r>
      <w:r>
        <w:rPr>
          <w:sz w:val="20"/>
        </w:rPr>
        <w:t>de</w:t>
      </w:r>
      <w:r>
        <w:rPr>
          <w:spacing w:val="-6"/>
          <w:sz w:val="20"/>
        </w:rPr>
        <w:t> </w:t>
      </w:r>
      <w:r>
        <w:rPr>
          <w:sz w:val="20"/>
        </w:rPr>
        <w:t>la</w:t>
      </w:r>
      <w:r>
        <w:rPr>
          <w:spacing w:val="-7"/>
          <w:sz w:val="20"/>
        </w:rPr>
        <w:t> </w:t>
      </w:r>
      <w:r>
        <w:rPr>
          <w:sz w:val="20"/>
        </w:rPr>
        <w:t>zona</w:t>
      </w:r>
      <w:r>
        <w:rPr>
          <w:spacing w:val="-6"/>
          <w:sz w:val="20"/>
        </w:rPr>
        <w:t> </w:t>
      </w:r>
      <w:r>
        <w:rPr>
          <w:sz w:val="20"/>
        </w:rPr>
        <w:t>de</w:t>
      </w:r>
      <w:r>
        <w:rPr>
          <w:spacing w:val="-6"/>
          <w:sz w:val="20"/>
        </w:rPr>
        <w:t> </w:t>
      </w:r>
      <w:r>
        <w:rPr>
          <w:spacing w:val="-2"/>
          <w:sz w:val="20"/>
        </w:rPr>
        <w:t>estudio.</w:t>
      </w:r>
    </w:p>
    <w:p>
      <w:pPr>
        <w:pStyle w:val="BodyText"/>
      </w:pPr>
    </w:p>
    <w:p>
      <w:pPr>
        <w:pStyle w:val="ListParagraph"/>
        <w:numPr>
          <w:ilvl w:val="1"/>
          <w:numId w:val="59"/>
        </w:numPr>
        <w:tabs>
          <w:tab w:pos="544" w:val="left" w:leader="none"/>
        </w:tabs>
        <w:spacing w:line="240" w:lineRule="auto" w:before="1" w:after="0"/>
        <w:ind w:left="544" w:right="0" w:hanging="282"/>
        <w:jc w:val="left"/>
        <w:rPr>
          <w:sz w:val="20"/>
        </w:rPr>
      </w:pPr>
      <w:r>
        <w:rPr>
          <w:sz w:val="20"/>
        </w:rPr>
        <w:t>Papel</w:t>
      </w:r>
      <w:r>
        <w:rPr>
          <w:spacing w:val="-6"/>
          <w:sz w:val="20"/>
        </w:rPr>
        <w:t> </w:t>
      </w:r>
      <w:r>
        <w:rPr>
          <w:sz w:val="20"/>
        </w:rPr>
        <w:t>de</w:t>
      </w:r>
      <w:r>
        <w:rPr>
          <w:spacing w:val="-5"/>
          <w:sz w:val="20"/>
        </w:rPr>
        <w:t> </w:t>
      </w:r>
      <w:r>
        <w:rPr>
          <w:sz w:val="20"/>
        </w:rPr>
        <w:t>la</w:t>
      </w:r>
      <w:r>
        <w:rPr>
          <w:spacing w:val="-6"/>
          <w:sz w:val="20"/>
        </w:rPr>
        <w:t> </w:t>
      </w:r>
      <w:r>
        <w:rPr>
          <w:sz w:val="20"/>
        </w:rPr>
        <w:t>zona</w:t>
      </w:r>
      <w:r>
        <w:rPr>
          <w:spacing w:val="-7"/>
          <w:sz w:val="20"/>
        </w:rPr>
        <w:t> </w:t>
      </w:r>
      <w:r>
        <w:rPr>
          <w:sz w:val="20"/>
        </w:rPr>
        <w:t>respecto</w:t>
      </w:r>
      <w:r>
        <w:rPr>
          <w:spacing w:val="-4"/>
          <w:sz w:val="20"/>
        </w:rPr>
        <w:t> </w:t>
      </w:r>
      <w:r>
        <w:rPr>
          <w:sz w:val="20"/>
        </w:rPr>
        <w:t>al</w:t>
      </w:r>
      <w:r>
        <w:rPr>
          <w:spacing w:val="-7"/>
          <w:sz w:val="20"/>
        </w:rPr>
        <w:t> </w:t>
      </w:r>
      <w:r>
        <w:rPr>
          <w:sz w:val="20"/>
        </w:rPr>
        <w:t>entorno</w:t>
      </w:r>
      <w:r>
        <w:rPr>
          <w:spacing w:val="-6"/>
          <w:sz w:val="20"/>
        </w:rPr>
        <w:t> </w:t>
      </w:r>
      <w:r>
        <w:rPr>
          <w:sz w:val="20"/>
        </w:rPr>
        <w:t>y</w:t>
      </w:r>
      <w:r>
        <w:rPr>
          <w:spacing w:val="-5"/>
          <w:sz w:val="20"/>
        </w:rPr>
        <w:t> </w:t>
      </w:r>
      <w:r>
        <w:rPr>
          <w:sz w:val="20"/>
        </w:rPr>
        <w:t>contexto</w:t>
      </w:r>
      <w:r>
        <w:rPr>
          <w:spacing w:val="-7"/>
          <w:sz w:val="20"/>
        </w:rPr>
        <w:t> </w:t>
      </w:r>
      <w:r>
        <w:rPr>
          <w:spacing w:val="-2"/>
          <w:sz w:val="20"/>
        </w:rPr>
        <w:t>general.</w:t>
      </w:r>
    </w:p>
    <w:p>
      <w:pPr>
        <w:pStyle w:val="ListParagraph"/>
        <w:numPr>
          <w:ilvl w:val="1"/>
          <w:numId w:val="59"/>
        </w:numPr>
        <w:tabs>
          <w:tab w:pos="544" w:val="left" w:leader="none"/>
        </w:tabs>
        <w:spacing w:line="240" w:lineRule="auto" w:before="228" w:after="0"/>
        <w:ind w:left="544" w:right="0" w:hanging="282"/>
        <w:jc w:val="left"/>
        <w:rPr>
          <w:sz w:val="20"/>
        </w:rPr>
      </w:pPr>
      <w:r>
        <w:rPr>
          <w:sz w:val="20"/>
        </w:rPr>
        <w:t>Disponibilidad</w:t>
      </w:r>
      <w:r>
        <w:rPr>
          <w:spacing w:val="-10"/>
          <w:sz w:val="20"/>
        </w:rPr>
        <w:t> </w:t>
      </w:r>
      <w:r>
        <w:rPr>
          <w:sz w:val="20"/>
        </w:rPr>
        <w:t>de</w:t>
      </w:r>
      <w:r>
        <w:rPr>
          <w:spacing w:val="-8"/>
          <w:sz w:val="20"/>
        </w:rPr>
        <w:t> </w:t>
      </w:r>
      <w:r>
        <w:rPr>
          <w:sz w:val="20"/>
        </w:rPr>
        <w:t>servicios</w:t>
      </w:r>
      <w:r>
        <w:rPr>
          <w:spacing w:val="-6"/>
          <w:sz w:val="20"/>
        </w:rPr>
        <w:t> </w:t>
      </w:r>
      <w:r>
        <w:rPr>
          <w:sz w:val="20"/>
        </w:rPr>
        <w:t>e</w:t>
      </w:r>
      <w:r>
        <w:rPr>
          <w:spacing w:val="-9"/>
          <w:sz w:val="20"/>
        </w:rPr>
        <w:t> </w:t>
      </w:r>
      <w:r>
        <w:rPr>
          <w:spacing w:val="-2"/>
          <w:sz w:val="20"/>
        </w:rPr>
        <w:t>infraestructura.</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Levantamiento</w:t>
      </w:r>
      <w:r>
        <w:rPr>
          <w:spacing w:val="-7"/>
          <w:sz w:val="20"/>
        </w:rPr>
        <w:t> </w:t>
      </w:r>
      <w:r>
        <w:rPr>
          <w:sz w:val="20"/>
        </w:rPr>
        <w:t>y</w:t>
      </w:r>
      <w:r>
        <w:rPr>
          <w:spacing w:val="-5"/>
          <w:sz w:val="20"/>
        </w:rPr>
        <w:t> </w:t>
      </w:r>
      <w:r>
        <w:rPr>
          <w:sz w:val="20"/>
        </w:rPr>
        <w:t>análisis</w:t>
      </w:r>
      <w:r>
        <w:rPr>
          <w:spacing w:val="-6"/>
          <w:sz w:val="20"/>
        </w:rPr>
        <w:t> </w:t>
      </w:r>
      <w:r>
        <w:rPr>
          <w:sz w:val="20"/>
        </w:rPr>
        <w:t>de</w:t>
      </w:r>
      <w:r>
        <w:rPr>
          <w:spacing w:val="-6"/>
          <w:sz w:val="20"/>
        </w:rPr>
        <w:t> </w:t>
      </w:r>
      <w:r>
        <w:rPr>
          <w:sz w:val="20"/>
        </w:rPr>
        <w:t>uso</w:t>
      </w:r>
      <w:r>
        <w:rPr>
          <w:spacing w:val="-7"/>
          <w:sz w:val="20"/>
        </w:rPr>
        <w:t> </w:t>
      </w:r>
      <w:r>
        <w:rPr>
          <w:sz w:val="20"/>
        </w:rPr>
        <w:t>de</w:t>
      </w:r>
      <w:r>
        <w:rPr>
          <w:spacing w:val="-6"/>
          <w:sz w:val="20"/>
        </w:rPr>
        <w:t> </w:t>
      </w:r>
      <w:r>
        <w:rPr>
          <w:sz w:val="20"/>
        </w:rPr>
        <w:t>suelo</w:t>
      </w:r>
      <w:r>
        <w:rPr>
          <w:spacing w:val="-5"/>
          <w:sz w:val="20"/>
        </w:rPr>
        <w:t> </w:t>
      </w:r>
      <w:r>
        <w:rPr>
          <w:sz w:val="20"/>
        </w:rPr>
        <w:t>existente</w:t>
      </w:r>
      <w:r>
        <w:rPr>
          <w:spacing w:val="-6"/>
          <w:sz w:val="20"/>
        </w:rPr>
        <w:t> </w:t>
      </w:r>
      <w:r>
        <w:rPr>
          <w:sz w:val="20"/>
        </w:rPr>
        <w:t>del</w:t>
      </w:r>
      <w:r>
        <w:rPr>
          <w:spacing w:val="-8"/>
          <w:sz w:val="20"/>
        </w:rPr>
        <w:t> </w:t>
      </w:r>
      <w:r>
        <w:rPr>
          <w:sz w:val="20"/>
        </w:rPr>
        <w:t>área</w:t>
      </w:r>
      <w:r>
        <w:rPr>
          <w:spacing w:val="-4"/>
          <w:sz w:val="20"/>
        </w:rPr>
        <w:t> </w:t>
      </w:r>
      <w:r>
        <w:rPr>
          <w:sz w:val="20"/>
        </w:rPr>
        <w:t>de</w:t>
      </w:r>
      <w:r>
        <w:rPr>
          <w:spacing w:val="-6"/>
          <w:sz w:val="20"/>
        </w:rPr>
        <w:t> </w:t>
      </w:r>
      <w:r>
        <w:rPr>
          <w:spacing w:val="-2"/>
          <w:sz w:val="20"/>
        </w:rPr>
        <w:t>estudio.</w:t>
      </w:r>
    </w:p>
    <w:p>
      <w:pPr>
        <w:pStyle w:val="BodyText"/>
      </w:pPr>
    </w:p>
    <w:p>
      <w:pPr>
        <w:pStyle w:val="ListParagraph"/>
        <w:numPr>
          <w:ilvl w:val="1"/>
          <w:numId w:val="59"/>
        </w:numPr>
        <w:tabs>
          <w:tab w:pos="543" w:val="left" w:leader="none"/>
        </w:tabs>
        <w:spacing w:line="240" w:lineRule="auto" w:before="1" w:after="0"/>
        <w:ind w:left="543" w:right="0" w:hanging="281"/>
        <w:jc w:val="left"/>
        <w:rPr>
          <w:sz w:val="20"/>
        </w:rPr>
      </w:pPr>
      <w:r>
        <w:rPr>
          <w:sz w:val="20"/>
        </w:rPr>
        <w:t>Problemática</w:t>
      </w:r>
      <w:r>
        <w:rPr>
          <w:spacing w:val="-7"/>
          <w:sz w:val="20"/>
        </w:rPr>
        <w:t> </w:t>
      </w:r>
      <w:r>
        <w:rPr>
          <w:sz w:val="20"/>
        </w:rPr>
        <w:t>de</w:t>
      </w:r>
      <w:r>
        <w:rPr>
          <w:spacing w:val="-8"/>
          <w:sz w:val="20"/>
        </w:rPr>
        <w:t> </w:t>
      </w:r>
      <w:r>
        <w:rPr>
          <w:sz w:val="20"/>
        </w:rPr>
        <w:t>la</w:t>
      </w:r>
      <w:r>
        <w:rPr>
          <w:spacing w:val="-9"/>
          <w:sz w:val="20"/>
        </w:rPr>
        <w:t> </w:t>
      </w:r>
      <w:r>
        <w:rPr>
          <w:spacing w:val="-4"/>
          <w:sz w:val="20"/>
        </w:rPr>
        <w:t>zona.</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59"/>
        </w:numPr>
        <w:tabs>
          <w:tab w:pos="544" w:val="left" w:leader="none"/>
        </w:tabs>
        <w:spacing w:line="240" w:lineRule="auto" w:before="0" w:after="0"/>
        <w:ind w:left="544" w:right="0" w:hanging="282"/>
        <w:jc w:val="left"/>
        <w:rPr>
          <w:sz w:val="20"/>
        </w:rPr>
      </w:pPr>
      <w:r>
        <w:rPr>
          <w:spacing w:val="-2"/>
          <w:sz w:val="20"/>
        </w:rPr>
        <w:t>Diagnostico</w:t>
      </w:r>
      <w:r>
        <w:rPr>
          <w:spacing w:val="7"/>
          <w:sz w:val="20"/>
        </w:rPr>
        <w:t> </w:t>
      </w:r>
      <w:r>
        <w:rPr>
          <w:spacing w:val="-2"/>
          <w:sz w:val="20"/>
        </w:rPr>
        <w:t>socioeconómico.</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Población</w:t>
      </w:r>
      <w:r>
        <w:rPr>
          <w:spacing w:val="-6"/>
          <w:sz w:val="20"/>
        </w:rPr>
        <w:t> </w:t>
      </w:r>
      <w:r>
        <w:rPr>
          <w:sz w:val="20"/>
        </w:rPr>
        <w:t>de</w:t>
      </w:r>
      <w:r>
        <w:rPr>
          <w:spacing w:val="-5"/>
          <w:sz w:val="20"/>
        </w:rPr>
        <w:t> </w:t>
      </w:r>
      <w:r>
        <w:rPr>
          <w:sz w:val="20"/>
        </w:rPr>
        <w:t>la</w:t>
      </w:r>
      <w:r>
        <w:rPr>
          <w:spacing w:val="-7"/>
          <w:sz w:val="20"/>
        </w:rPr>
        <w:t> </w:t>
      </w:r>
      <w:r>
        <w:rPr>
          <w:sz w:val="20"/>
        </w:rPr>
        <w:t>zona</w:t>
      </w:r>
      <w:r>
        <w:rPr>
          <w:spacing w:val="-6"/>
          <w:sz w:val="20"/>
        </w:rPr>
        <w:t> </w:t>
      </w:r>
      <w:r>
        <w:rPr>
          <w:sz w:val="20"/>
        </w:rPr>
        <w:t>e</w:t>
      </w:r>
      <w:r>
        <w:rPr>
          <w:spacing w:val="-6"/>
          <w:sz w:val="20"/>
        </w:rPr>
        <w:t> </w:t>
      </w:r>
      <w:r>
        <w:rPr>
          <w:sz w:val="20"/>
        </w:rPr>
        <w:t>incremento</w:t>
      </w:r>
      <w:r>
        <w:rPr>
          <w:spacing w:val="-7"/>
          <w:sz w:val="20"/>
        </w:rPr>
        <w:t> </w:t>
      </w:r>
      <w:r>
        <w:rPr>
          <w:sz w:val="20"/>
        </w:rPr>
        <w:t>en</w:t>
      </w:r>
      <w:r>
        <w:rPr>
          <w:spacing w:val="-6"/>
          <w:sz w:val="20"/>
        </w:rPr>
        <w:t> </w:t>
      </w:r>
      <w:r>
        <w:rPr>
          <w:sz w:val="20"/>
        </w:rPr>
        <w:t>los</w:t>
      </w:r>
      <w:r>
        <w:rPr>
          <w:spacing w:val="-6"/>
          <w:sz w:val="20"/>
        </w:rPr>
        <w:t> </w:t>
      </w:r>
      <w:r>
        <w:rPr>
          <w:sz w:val="20"/>
        </w:rPr>
        <w:t>últimos</w:t>
      </w:r>
      <w:r>
        <w:rPr>
          <w:spacing w:val="-5"/>
          <w:sz w:val="20"/>
        </w:rPr>
        <w:t> </w:t>
      </w:r>
      <w:r>
        <w:rPr>
          <w:sz w:val="20"/>
        </w:rPr>
        <w:t>diez</w:t>
      </w:r>
      <w:r>
        <w:rPr>
          <w:spacing w:val="-4"/>
          <w:sz w:val="20"/>
        </w:rPr>
        <w:t> </w:t>
      </w:r>
      <w:r>
        <w:rPr>
          <w:spacing w:val="-2"/>
          <w:sz w:val="20"/>
        </w:rPr>
        <w:t>años.</w:t>
      </w:r>
    </w:p>
    <w:p>
      <w:pPr>
        <w:pStyle w:val="ListParagraph"/>
        <w:numPr>
          <w:ilvl w:val="1"/>
          <w:numId w:val="59"/>
        </w:numPr>
        <w:tabs>
          <w:tab w:pos="543" w:val="left" w:leader="none"/>
        </w:tabs>
        <w:spacing w:line="240" w:lineRule="auto" w:before="229" w:after="0"/>
        <w:ind w:left="543" w:right="0" w:hanging="281"/>
        <w:jc w:val="left"/>
        <w:rPr>
          <w:sz w:val="20"/>
        </w:rPr>
      </w:pPr>
      <w:r>
        <w:rPr>
          <w:sz w:val="20"/>
        </w:rPr>
        <w:t>Estructura</w:t>
      </w:r>
      <w:r>
        <w:rPr>
          <w:spacing w:val="-6"/>
          <w:sz w:val="20"/>
        </w:rPr>
        <w:t> </w:t>
      </w:r>
      <w:r>
        <w:rPr>
          <w:sz w:val="20"/>
        </w:rPr>
        <w:t>de</w:t>
      </w:r>
      <w:r>
        <w:rPr>
          <w:spacing w:val="-6"/>
          <w:sz w:val="20"/>
        </w:rPr>
        <w:t> </w:t>
      </w:r>
      <w:r>
        <w:rPr>
          <w:sz w:val="20"/>
        </w:rPr>
        <w:t>la</w:t>
      </w:r>
      <w:r>
        <w:rPr>
          <w:spacing w:val="-6"/>
          <w:sz w:val="20"/>
        </w:rPr>
        <w:t> </w:t>
      </w:r>
      <w:r>
        <w:rPr>
          <w:spacing w:val="-2"/>
          <w:sz w:val="20"/>
        </w:rPr>
        <w:t>población.</w:t>
      </w:r>
    </w:p>
    <w:p>
      <w:pPr>
        <w:pStyle w:val="BodyText"/>
      </w:pPr>
    </w:p>
    <w:p>
      <w:pPr>
        <w:pStyle w:val="ListParagraph"/>
        <w:numPr>
          <w:ilvl w:val="1"/>
          <w:numId w:val="59"/>
        </w:numPr>
        <w:tabs>
          <w:tab w:pos="543" w:val="left" w:leader="none"/>
        </w:tabs>
        <w:spacing w:line="240" w:lineRule="auto" w:before="0" w:after="0"/>
        <w:ind w:left="543" w:right="0" w:hanging="281"/>
        <w:jc w:val="left"/>
        <w:rPr>
          <w:sz w:val="20"/>
        </w:rPr>
      </w:pPr>
      <w:r>
        <w:rPr>
          <w:sz w:val="20"/>
        </w:rPr>
        <w:t>Número,</w:t>
      </w:r>
      <w:r>
        <w:rPr>
          <w:spacing w:val="-10"/>
          <w:sz w:val="20"/>
        </w:rPr>
        <w:t> </w:t>
      </w:r>
      <w:r>
        <w:rPr>
          <w:sz w:val="20"/>
        </w:rPr>
        <w:t>incremento,</w:t>
      </w:r>
      <w:r>
        <w:rPr>
          <w:spacing w:val="-9"/>
          <w:sz w:val="20"/>
        </w:rPr>
        <w:t> </w:t>
      </w:r>
      <w:r>
        <w:rPr>
          <w:sz w:val="20"/>
        </w:rPr>
        <w:t>tipología,</w:t>
      </w:r>
      <w:r>
        <w:rPr>
          <w:spacing w:val="-9"/>
          <w:sz w:val="20"/>
        </w:rPr>
        <w:t> </w:t>
      </w:r>
      <w:r>
        <w:rPr>
          <w:sz w:val="20"/>
        </w:rPr>
        <w:t>condiciones</w:t>
      </w:r>
      <w:r>
        <w:rPr>
          <w:spacing w:val="-9"/>
          <w:sz w:val="20"/>
        </w:rPr>
        <w:t> </w:t>
      </w:r>
      <w:r>
        <w:rPr>
          <w:sz w:val="20"/>
        </w:rPr>
        <w:t>y</w:t>
      </w:r>
      <w:r>
        <w:rPr>
          <w:spacing w:val="-8"/>
          <w:sz w:val="20"/>
        </w:rPr>
        <w:t> </w:t>
      </w:r>
      <w:r>
        <w:rPr>
          <w:sz w:val="20"/>
        </w:rPr>
        <w:t>características</w:t>
      </w:r>
      <w:r>
        <w:rPr>
          <w:spacing w:val="-8"/>
          <w:sz w:val="20"/>
        </w:rPr>
        <w:t> </w:t>
      </w:r>
      <w:r>
        <w:rPr>
          <w:sz w:val="20"/>
        </w:rPr>
        <w:t>de</w:t>
      </w:r>
      <w:r>
        <w:rPr>
          <w:spacing w:val="-9"/>
          <w:sz w:val="20"/>
        </w:rPr>
        <w:t> </w:t>
      </w:r>
      <w:r>
        <w:rPr>
          <w:sz w:val="20"/>
        </w:rPr>
        <w:t>la</w:t>
      </w:r>
      <w:r>
        <w:rPr>
          <w:spacing w:val="-9"/>
          <w:sz w:val="20"/>
        </w:rPr>
        <w:t> </w:t>
      </w:r>
      <w:r>
        <w:rPr>
          <w:spacing w:val="-2"/>
          <w:sz w:val="20"/>
        </w:rPr>
        <w:t>vivienda.</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Descripción,</w:t>
      </w:r>
      <w:r>
        <w:rPr>
          <w:spacing w:val="-9"/>
          <w:sz w:val="20"/>
        </w:rPr>
        <w:t> </w:t>
      </w:r>
      <w:r>
        <w:rPr>
          <w:sz w:val="20"/>
        </w:rPr>
        <w:t>ubicación,</w:t>
      </w:r>
      <w:r>
        <w:rPr>
          <w:spacing w:val="-9"/>
          <w:sz w:val="20"/>
        </w:rPr>
        <w:t> </w:t>
      </w:r>
      <w:r>
        <w:rPr>
          <w:sz w:val="20"/>
        </w:rPr>
        <w:t>características</w:t>
      </w:r>
      <w:r>
        <w:rPr>
          <w:spacing w:val="-8"/>
          <w:sz w:val="20"/>
        </w:rPr>
        <w:t> </w:t>
      </w:r>
      <w:r>
        <w:rPr>
          <w:sz w:val="20"/>
        </w:rPr>
        <w:t>y</w:t>
      </w:r>
      <w:r>
        <w:rPr>
          <w:spacing w:val="-9"/>
          <w:sz w:val="20"/>
        </w:rPr>
        <w:t> </w:t>
      </w:r>
      <w:r>
        <w:rPr>
          <w:sz w:val="20"/>
        </w:rPr>
        <w:t>cobertura</w:t>
      </w:r>
      <w:r>
        <w:rPr>
          <w:spacing w:val="-8"/>
          <w:sz w:val="20"/>
        </w:rPr>
        <w:t> </w:t>
      </w:r>
      <w:r>
        <w:rPr>
          <w:sz w:val="20"/>
        </w:rPr>
        <w:t>del</w:t>
      </w:r>
      <w:r>
        <w:rPr>
          <w:spacing w:val="-9"/>
          <w:sz w:val="20"/>
        </w:rPr>
        <w:t> </w:t>
      </w:r>
      <w:r>
        <w:rPr>
          <w:spacing w:val="-2"/>
          <w:sz w:val="20"/>
        </w:rPr>
        <w:t>equipamiento.</w:t>
      </w:r>
    </w:p>
    <w:p>
      <w:pPr>
        <w:pStyle w:val="ListParagraph"/>
        <w:numPr>
          <w:ilvl w:val="1"/>
          <w:numId w:val="59"/>
        </w:numPr>
        <w:tabs>
          <w:tab w:pos="543" w:val="left" w:leader="none"/>
        </w:tabs>
        <w:spacing w:line="240" w:lineRule="auto" w:before="229" w:after="0"/>
        <w:ind w:left="543" w:right="0" w:hanging="281"/>
        <w:jc w:val="left"/>
        <w:rPr>
          <w:sz w:val="20"/>
        </w:rPr>
      </w:pPr>
      <w:r>
        <w:rPr>
          <w:sz w:val="20"/>
        </w:rPr>
        <w:t>Actividades</w:t>
      </w:r>
      <w:r>
        <w:rPr>
          <w:spacing w:val="-14"/>
          <w:sz w:val="20"/>
        </w:rPr>
        <w:t> </w:t>
      </w:r>
      <w:r>
        <w:rPr>
          <w:spacing w:val="-2"/>
          <w:sz w:val="20"/>
        </w:rPr>
        <w:t>productivas.</w:t>
      </w:r>
    </w:p>
    <w:p>
      <w:pPr>
        <w:pStyle w:val="BodyText"/>
        <w:spacing w:before="1"/>
      </w:pPr>
    </w:p>
    <w:p>
      <w:pPr>
        <w:pStyle w:val="ListParagraph"/>
        <w:numPr>
          <w:ilvl w:val="1"/>
          <w:numId w:val="59"/>
        </w:numPr>
        <w:tabs>
          <w:tab w:pos="599" w:val="left" w:leader="none"/>
        </w:tabs>
        <w:spacing w:line="240" w:lineRule="auto" w:before="0" w:after="0"/>
        <w:ind w:left="599" w:right="0" w:hanging="337"/>
        <w:jc w:val="left"/>
        <w:rPr>
          <w:sz w:val="20"/>
        </w:rPr>
      </w:pPr>
      <w:r>
        <w:rPr>
          <w:sz w:val="20"/>
        </w:rPr>
        <w:t>Nivel</w:t>
      </w:r>
      <w:r>
        <w:rPr>
          <w:spacing w:val="-5"/>
          <w:sz w:val="20"/>
        </w:rPr>
        <w:t> </w:t>
      </w:r>
      <w:r>
        <w:rPr>
          <w:sz w:val="20"/>
        </w:rPr>
        <w:t>de</w:t>
      </w:r>
      <w:r>
        <w:rPr>
          <w:spacing w:val="-5"/>
          <w:sz w:val="20"/>
        </w:rPr>
        <w:t> </w:t>
      </w:r>
      <w:r>
        <w:rPr>
          <w:spacing w:val="-2"/>
          <w:sz w:val="20"/>
        </w:rPr>
        <w:t>ingreso;</w:t>
      </w:r>
    </w:p>
    <w:p>
      <w:pPr>
        <w:pStyle w:val="BodyText"/>
        <w:spacing w:before="1"/>
      </w:pPr>
    </w:p>
    <w:p>
      <w:pPr>
        <w:pStyle w:val="ListParagraph"/>
        <w:numPr>
          <w:ilvl w:val="0"/>
          <w:numId w:val="59"/>
        </w:numPr>
        <w:tabs>
          <w:tab w:pos="688" w:val="left" w:leader="none"/>
        </w:tabs>
        <w:spacing w:line="240" w:lineRule="auto" w:before="0" w:after="0"/>
        <w:ind w:left="688" w:right="0" w:hanging="426"/>
        <w:jc w:val="left"/>
        <w:rPr>
          <w:sz w:val="20"/>
        </w:rPr>
      </w:pPr>
      <w:r>
        <w:rPr>
          <w:sz w:val="20"/>
        </w:rPr>
        <w:t>Estudio</w:t>
      </w:r>
      <w:r>
        <w:rPr>
          <w:spacing w:val="-8"/>
          <w:sz w:val="20"/>
        </w:rPr>
        <w:t> </w:t>
      </w:r>
      <w:r>
        <w:rPr>
          <w:sz w:val="20"/>
        </w:rPr>
        <w:t>de</w:t>
      </w:r>
      <w:r>
        <w:rPr>
          <w:spacing w:val="-6"/>
          <w:sz w:val="20"/>
        </w:rPr>
        <w:t> </w:t>
      </w:r>
      <w:r>
        <w:rPr>
          <w:sz w:val="20"/>
        </w:rPr>
        <w:t>Análisis</w:t>
      </w:r>
      <w:r>
        <w:rPr>
          <w:spacing w:val="-5"/>
          <w:sz w:val="20"/>
        </w:rPr>
        <w:t> </w:t>
      </w:r>
      <w:r>
        <w:rPr>
          <w:sz w:val="20"/>
        </w:rPr>
        <w:t>de</w:t>
      </w:r>
      <w:r>
        <w:rPr>
          <w:spacing w:val="-9"/>
          <w:sz w:val="20"/>
        </w:rPr>
        <w:t> </w:t>
      </w:r>
      <w:r>
        <w:rPr>
          <w:spacing w:val="-2"/>
          <w:sz w:val="20"/>
        </w:rPr>
        <w:t>Riesgo;</w:t>
      </w:r>
    </w:p>
    <w:p>
      <w:pPr>
        <w:pStyle w:val="ListParagraph"/>
        <w:numPr>
          <w:ilvl w:val="0"/>
          <w:numId w:val="59"/>
        </w:numPr>
        <w:tabs>
          <w:tab w:pos="544" w:val="left" w:leader="none"/>
        </w:tabs>
        <w:spacing w:line="240" w:lineRule="auto" w:before="228" w:after="0"/>
        <w:ind w:left="544" w:right="0" w:hanging="282"/>
        <w:jc w:val="left"/>
        <w:rPr>
          <w:sz w:val="20"/>
        </w:rPr>
      </w:pPr>
      <w:r>
        <w:rPr>
          <w:sz w:val="20"/>
        </w:rPr>
        <w:t>Diagnóstico</w:t>
      </w:r>
      <w:r>
        <w:rPr>
          <w:spacing w:val="-7"/>
          <w:sz w:val="20"/>
        </w:rPr>
        <w:t> </w:t>
      </w:r>
      <w:r>
        <w:rPr>
          <w:sz w:val="20"/>
        </w:rPr>
        <w:t>y</w:t>
      </w:r>
      <w:r>
        <w:rPr>
          <w:spacing w:val="-8"/>
          <w:sz w:val="20"/>
        </w:rPr>
        <w:t> </w:t>
      </w:r>
      <w:r>
        <w:rPr>
          <w:sz w:val="20"/>
        </w:rPr>
        <w:t>Dictamen</w:t>
      </w:r>
      <w:r>
        <w:rPr>
          <w:spacing w:val="-7"/>
          <w:sz w:val="20"/>
        </w:rPr>
        <w:t> </w:t>
      </w:r>
      <w:r>
        <w:rPr>
          <w:sz w:val="20"/>
        </w:rPr>
        <w:t>Técnico</w:t>
      </w:r>
      <w:r>
        <w:rPr>
          <w:spacing w:val="-9"/>
          <w:sz w:val="20"/>
        </w:rPr>
        <w:t> </w:t>
      </w:r>
      <w:r>
        <w:rPr>
          <w:sz w:val="20"/>
        </w:rPr>
        <w:t>de</w:t>
      </w:r>
      <w:r>
        <w:rPr>
          <w:spacing w:val="-7"/>
          <w:sz w:val="20"/>
        </w:rPr>
        <w:t> </w:t>
      </w:r>
      <w:r>
        <w:rPr>
          <w:spacing w:val="-2"/>
          <w:sz w:val="20"/>
        </w:rPr>
        <w:t>Movilidad;</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Análisis</w:t>
      </w:r>
      <w:r>
        <w:rPr>
          <w:spacing w:val="-11"/>
          <w:sz w:val="20"/>
        </w:rPr>
        <w:t> </w:t>
      </w:r>
      <w:r>
        <w:rPr>
          <w:spacing w:val="-2"/>
          <w:sz w:val="20"/>
        </w:rPr>
        <w:t>vial.</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Análisis</w:t>
      </w:r>
      <w:r>
        <w:rPr>
          <w:spacing w:val="-8"/>
          <w:sz w:val="20"/>
        </w:rPr>
        <w:t> </w:t>
      </w:r>
      <w:r>
        <w:rPr>
          <w:sz w:val="20"/>
        </w:rPr>
        <w:t>de</w:t>
      </w:r>
      <w:r>
        <w:rPr>
          <w:spacing w:val="-9"/>
          <w:sz w:val="20"/>
        </w:rPr>
        <w:t> </w:t>
      </w:r>
      <w:r>
        <w:rPr>
          <w:spacing w:val="-2"/>
          <w:sz w:val="20"/>
        </w:rPr>
        <w:t>transporte.</w:t>
      </w:r>
    </w:p>
    <w:p>
      <w:pPr>
        <w:pStyle w:val="ListParagraph"/>
        <w:numPr>
          <w:ilvl w:val="1"/>
          <w:numId w:val="59"/>
        </w:numPr>
        <w:tabs>
          <w:tab w:pos="544" w:val="left" w:leader="none"/>
        </w:tabs>
        <w:spacing w:line="240" w:lineRule="auto" w:before="229" w:after="0"/>
        <w:ind w:left="544" w:right="0" w:hanging="282"/>
        <w:jc w:val="left"/>
        <w:rPr>
          <w:sz w:val="20"/>
        </w:rPr>
      </w:pPr>
      <w:r>
        <w:rPr>
          <w:sz w:val="20"/>
        </w:rPr>
        <w:t>Análisis</w:t>
      </w:r>
      <w:r>
        <w:rPr>
          <w:spacing w:val="-7"/>
          <w:sz w:val="20"/>
        </w:rPr>
        <w:t> </w:t>
      </w:r>
      <w:r>
        <w:rPr>
          <w:sz w:val="20"/>
        </w:rPr>
        <w:t>del</w:t>
      </w:r>
      <w:r>
        <w:rPr>
          <w:spacing w:val="-9"/>
          <w:sz w:val="20"/>
        </w:rPr>
        <w:t> </w:t>
      </w:r>
      <w:r>
        <w:rPr>
          <w:spacing w:val="-2"/>
          <w:sz w:val="20"/>
        </w:rPr>
        <w:t>estacionamiento.</w:t>
      </w:r>
    </w:p>
    <w:p>
      <w:pPr>
        <w:pStyle w:val="BodyText"/>
        <w:spacing w:before="1"/>
      </w:pPr>
    </w:p>
    <w:p>
      <w:pPr>
        <w:pStyle w:val="ListParagraph"/>
        <w:numPr>
          <w:ilvl w:val="1"/>
          <w:numId w:val="59"/>
        </w:numPr>
        <w:tabs>
          <w:tab w:pos="544" w:val="left" w:leader="none"/>
        </w:tabs>
        <w:spacing w:line="240" w:lineRule="auto" w:before="0" w:after="0"/>
        <w:ind w:left="544" w:right="0" w:hanging="282"/>
        <w:jc w:val="left"/>
        <w:rPr>
          <w:sz w:val="20"/>
        </w:rPr>
      </w:pPr>
      <w:r>
        <w:rPr>
          <w:sz w:val="20"/>
        </w:rPr>
        <w:t>Medidas</w:t>
      </w:r>
      <w:r>
        <w:rPr>
          <w:spacing w:val="-7"/>
          <w:sz w:val="20"/>
        </w:rPr>
        <w:t> </w:t>
      </w:r>
      <w:r>
        <w:rPr>
          <w:sz w:val="20"/>
        </w:rPr>
        <w:t>de</w:t>
      </w:r>
      <w:r>
        <w:rPr>
          <w:spacing w:val="-9"/>
          <w:sz w:val="20"/>
        </w:rPr>
        <w:t> </w:t>
      </w:r>
      <w:r>
        <w:rPr>
          <w:spacing w:val="-2"/>
          <w:sz w:val="20"/>
        </w:rPr>
        <w:t>mitigación;</w:t>
      </w:r>
    </w:p>
    <w:p>
      <w:pPr>
        <w:pStyle w:val="BodyText"/>
      </w:pPr>
    </w:p>
    <w:p>
      <w:pPr>
        <w:pStyle w:val="ListParagraph"/>
        <w:numPr>
          <w:ilvl w:val="0"/>
          <w:numId w:val="59"/>
        </w:numPr>
        <w:tabs>
          <w:tab w:pos="688" w:val="left" w:leader="none"/>
        </w:tabs>
        <w:spacing w:line="240" w:lineRule="auto" w:before="1" w:after="0"/>
        <w:ind w:left="688" w:right="0" w:hanging="426"/>
        <w:jc w:val="left"/>
        <w:rPr>
          <w:sz w:val="20"/>
        </w:rPr>
      </w:pPr>
      <w:r>
        <w:rPr>
          <w:sz w:val="20"/>
        </w:rPr>
        <w:t>Pronóstico</w:t>
      </w:r>
      <w:r>
        <w:rPr>
          <w:spacing w:val="-8"/>
          <w:sz w:val="20"/>
        </w:rPr>
        <w:t> </w:t>
      </w:r>
      <w:r>
        <w:rPr>
          <w:sz w:val="20"/>
        </w:rPr>
        <w:t>urbano,</w:t>
      </w:r>
      <w:r>
        <w:rPr>
          <w:spacing w:val="-8"/>
          <w:sz w:val="20"/>
        </w:rPr>
        <w:t> </w:t>
      </w:r>
      <w:r>
        <w:rPr>
          <w:sz w:val="20"/>
        </w:rPr>
        <w:t>identificando</w:t>
      </w:r>
      <w:r>
        <w:rPr>
          <w:spacing w:val="-5"/>
          <w:sz w:val="20"/>
        </w:rPr>
        <w:t> </w:t>
      </w:r>
      <w:r>
        <w:rPr>
          <w:sz w:val="20"/>
        </w:rPr>
        <w:t>los</w:t>
      </w:r>
      <w:r>
        <w:rPr>
          <w:spacing w:val="-5"/>
          <w:sz w:val="20"/>
        </w:rPr>
        <w:t> </w:t>
      </w:r>
      <w:r>
        <w:rPr>
          <w:sz w:val="20"/>
        </w:rPr>
        <w:t>impactos</w:t>
      </w:r>
      <w:r>
        <w:rPr>
          <w:spacing w:val="-7"/>
          <w:sz w:val="20"/>
        </w:rPr>
        <w:t> </w:t>
      </w:r>
      <w:r>
        <w:rPr>
          <w:sz w:val="20"/>
        </w:rPr>
        <w:t>y</w:t>
      </w:r>
      <w:r>
        <w:rPr>
          <w:spacing w:val="-6"/>
          <w:sz w:val="20"/>
        </w:rPr>
        <w:t> </w:t>
      </w:r>
      <w:r>
        <w:rPr>
          <w:sz w:val="20"/>
        </w:rPr>
        <w:t>su</w:t>
      </w:r>
      <w:r>
        <w:rPr>
          <w:spacing w:val="-8"/>
          <w:sz w:val="20"/>
        </w:rPr>
        <w:t> </w:t>
      </w:r>
      <w:r>
        <w:rPr>
          <w:sz w:val="20"/>
        </w:rPr>
        <w:t>forma</w:t>
      </w:r>
      <w:r>
        <w:rPr>
          <w:spacing w:val="-7"/>
          <w:sz w:val="20"/>
        </w:rPr>
        <w:t> </w:t>
      </w:r>
      <w:r>
        <w:rPr>
          <w:sz w:val="20"/>
        </w:rPr>
        <w:t>de</w:t>
      </w:r>
      <w:r>
        <w:rPr>
          <w:spacing w:val="-8"/>
          <w:sz w:val="20"/>
        </w:rPr>
        <w:t> </w:t>
      </w:r>
      <w:r>
        <w:rPr>
          <w:spacing w:val="-2"/>
          <w:sz w:val="20"/>
        </w:rPr>
        <w:t>mitigación;</w:t>
      </w:r>
    </w:p>
    <w:p>
      <w:pPr>
        <w:pStyle w:val="ListParagraph"/>
        <w:numPr>
          <w:ilvl w:val="1"/>
          <w:numId w:val="59"/>
        </w:numPr>
        <w:tabs>
          <w:tab w:pos="544" w:val="left" w:leader="none"/>
        </w:tabs>
        <w:spacing w:line="240" w:lineRule="auto" w:before="228" w:after="0"/>
        <w:ind w:left="544" w:right="0" w:hanging="282"/>
        <w:jc w:val="left"/>
        <w:rPr>
          <w:sz w:val="20"/>
        </w:rPr>
      </w:pPr>
      <w:r>
        <w:rPr>
          <w:sz w:val="20"/>
        </w:rPr>
        <w:t>Condicionantes</w:t>
      </w:r>
      <w:r>
        <w:rPr>
          <w:spacing w:val="-9"/>
          <w:sz w:val="20"/>
        </w:rPr>
        <w:t> </w:t>
      </w:r>
      <w:r>
        <w:rPr>
          <w:sz w:val="20"/>
        </w:rPr>
        <w:t>de</w:t>
      </w:r>
      <w:r>
        <w:rPr>
          <w:spacing w:val="-9"/>
          <w:sz w:val="20"/>
        </w:rPr>
        <w:t> </w:t>
      </w:r>
      <w:r>
        <w:rPr>
          <w:sz w:val="20"/>
        </w:rPr>
        <w:t>desarrollo</w:t>
      </w:r>
      <w:r>
        <w:rPr>
          <w:spacing w:val="-9"/>
          <w:sz w:val="20"/>
        </w:rPr>
        <w:t> </w:t>
      </w:r>
      <w:r>
        <w:rPr>
          <w:sz w:val="20"/>
        </w:rPr>
        <w:t>urbano</w:t>
      </w:r>
      <w:r>
        <w:rPr>
          <w:spacing w:val="-10"/>
          <w:sz w:val="20"/>
        </w:rPr>
        <w:t> </w:t>
      </w:r>
      <w:r>
        <w:rPr>
          <w:sz w:val="20"/>
        </w:rPr>
        <w:t>y</w:t>
      </w:r>
      <w:r>
        <w:rPr>
          <w:spacing w:val="-9"/>
          <w:sz w:val="20"/>
        </w:rPr>
        <w:t> </w:t>
      </w:r>
      <w:r>
        <w:rPr>
          <w:sz w:val="20"/>
        </w:rPr>
        <w:t>normatividad</w:t>
      </w:r>
      <w:r>
        <w:rPr>
          <w:spacing w:val="-10"/>
          <w:sz w:val="20"/>
        </w:rPr>
        <w:t> </w:t>
      </w:r>
      <w:r>
        <w:rPr>
          <w:spacing w:val="-2"/>
          <w:sz w:val="20"/>
        </w:rPr>
        <w:t>aplicable.</w:t>
      </w:r>
    </w:p>
    <w:p>
      <w:pPr>
        <w:pStyle w:val="BodyText"/>
        <w:spacing w:before="1"/>
      </w:pPr>
    </w:p>
    <w:p>
      <w:pPr>
        <w:pStyle w:val="ListParagraph"/>
        <w:numPr>
          <w:ilvl w:val="1"/>
          <w:numId w:val="59"/>
        </w:numPr>
        <w:tabs>
          <w:tab w:pos="544" w:val="left" w:leader="none"/>
        </w:tabs>
        <w:spacing w:line="240" w:lineRule="auto" w:before="0" w:after="0"/>
        <w:ind w:left="262" w:right="288" w:firstLine="0"/>
        <w:jc w:val="left"/>
        <w:rPr>
          <w:sz w:val="20"/>
        </w:rPr>
      </w:pPr>
      <w:r>
        <w:rPr>
          <w:sz w:val="20"/>
        </w:rPr>
        <w:t>Vialidad propuesta en el Programa de Centro de Población y demás instrumentos relacionados </w:t>
      </w:r>
      <w:r>
        <w:rPr>
          <w:spacing w:val="-2"/>
          <w:sz w:val="20"/>
        </w:rPr>
        <w:t>vigentes.</w:t>
      </w:r>
    </w:p>
    <w:p>
      <w:pPr>
        <w:pStyle w:val="ListParagraph"/>
        <w:numPr>
          <w:ilvl w:val="1"/>
          <w:numId w:val="59"/>
        </w:numPr>
        <w:tabs>
          <w:tab w:pos="689" w:val="left" w:leader="none"/>
        </w:tabs>
        <w:spacing w:line="240" w:lineRule="auto" w:before="229" w:after="0"/>
        <w:ind w:left="689" w:right="0" w:hanging="427"/>
        <w:jc w:val="left"/>
        <w:rPr>
          <w:sz w:val="20"/>
        </w:rPr>
      </w:pPr>
      <w:r>
        <w:rPr>
          <w:sz w:val="20"/>
        </w:rPr>
        <w:t>Pronóstico</w:t>
      </w:r>
      <w:r>
        <w:rPr>
          <w:spacing w:val="-8"/>
          <w:sz w:val="20"/>
        </w:rPr>
        <w:t> </w:t>
      </w:r>
      <w:r>
        <w:rPr>
          <w:sz w:val="20"/>
        </w:rPr>
        <w:t>urbano</w:t>
      </w:r>
      <w:r>
        <w:rPr>
          <w:spacing w:val="-6"/>
          <w:sz w:val="20"/>
        </w:rPr>
        <w:t> </w:t>
      </w:r>
      <w:r>
        <w:rPr>
          <w:sz w:val="20"/>
        </w:rPr>
        <w:t>al</w:t>
      </w:r>
      <w:r>
        <w:rPr>
          <w:spacing w:val="-7"/>
          <w:sz w:val="20"/>
        </w:rPr>
        <w:t> </w:t>
      </w:r>
      <w:r>
        <w:rPr>
          <w:sz w:val="20"/>
        </w:rPr>
        <w:t>incorporar</w:t>
      </w:r>
      <w:r>
        <w:rPr>
          <w:spacing w:val="-6"/>
          <w:sz w:val="20"/>
        </w:rPr>
        <w:t> </w:t>
      </w:r>
      <w:r>
        <w:rPr>
          <w:sz w:val="20"/>
        </w:rPr>
        <w:t>el</w:t>
      </w:r>
      <w:r>
        <w:rPr>
          <w:spacing w:val="-7"/>
          <w:sz w:val="20"/>
        </w:rPr>
        <w:t> </w:t>
      </w:r>
      <w:r>
        <w:rPr>
          <w:sz w:val="20"/>
        </w:rPr>
        <w:t>proyecto</w:t>
      </w:r>
      <w:r>
        <w:rPr>
          <w:spacing w:val="-6"/>
          <w:sz w:val="20"/>
        </w:rPr>
        <w:t> </w:t>
      </w:r>
      <w:r>
        <w:rPr>
          <w:spacing w:val="-2"/>
          <w:sz w:val="20"/>
        </w:rPr>
        <w:t>propuesto.</w:t>
      </w:r>
    </w:p>
    <w:p>
      <w:pPr>
        <w:pStyle w:val="BodyText"/>
      </w:pPr>
    </w:p>
    <w:p>
      <w:pPr>
        <w:pStyle w:val="ListParagraph"/>
        <w:numPr>
          <w:ilvl w:val="1"/>
          <w:numId w:val="59"/>
        </w:numPr>
        <w:tabs>
          <w:tab w:pos="689" w:val="left" w:leader="none"/>
        </w:tabs>
        <w:spacing w:line="240" w:lineRule="auto" w:before="1" w:after="0"/>
        <w:ind w:left="689" w:right="0" w:hanging="427"/>
        <w:jc w:val="left"/>
        <w:rPr>
          <w:sz w:val="20"/>
        </w:rPr>
      </w:pPr>
      <w:r>
        <w:rPr>
          <w:sz w:val="20"/>
        </w:rPr>
        <w:t>Identificación</w:t>
      </w:r>
      <w:r>
        <w:rPr>
          <w:spacing w:val="-10"/>
          <w:sz w:val="20"/>
        </w:rPr>
        <w:t> </w:t>
      </w:r>
      <w:r>
        <w:rPr>
          <w:sz w:val="20"/>
        </w:rPr>
        <w:t>de</w:t>
      </w:r>
      <w:r>
        <w:rPr>
          <w:spacing w:val="-10"/>
          <w:sz w:val="20"/>
        </w:rPr>
        <w:t> </w:t>
      </w:r>
      <w:r>
        <w:rPr>
          <w:spacing w:val="-2"/>
          <w:sz w:val="20"/>
        </w:rPr>
        <w:t>impactos;</w:t>
      </w:r>
    </w:p>
    <w:p>
      <w:pPr>
        <w:pStyle w:val="BodyText"/>
      </w:pPr>
    </w:p>
    <w:p>
      <w:pPr>
        <w:pStyle w:val="ListParagraph"/>
        <w:numPr>
          <w:ilvl w:val="0"/>
          <w:numId w:val="59"/>
        </w:numPr>
        <w:tabs>
          <w:tab w:pos="688" w:val="left" w:leader="none"/>
        </w:tabs>
        <w:spacing w:line="240" w:lineRule="auto" w:before="0" w:after="0"/>
        <w:ind w:left="688" w:right="0" w:hanging="426"/>
        <w:jc w:val="left"/>
        <w:rPr>
          <w:sz w:val="20"/>
        </w:rPr>
      </w:pPr>
      <w:r>
        <w:rPr>
          <w:sz w:val="20"/>
        </w:rPr>
        <w:t>Dictamen</w:t>
      </w:r>
      <w:r>
        <w:rPr>
          <w:spacing w:val="-7"/>
          <w:sz w:val="20"/>
        </w:rPr>
        <w:t> </w:t>
      </w:r>
      <w:r>
        <w:rPr>
          <w:sz w:val="20"/>
        </w:rPr>
        <w:t>de</w:t>
      </w:r>
      <w:r>
        <w:rPr>
          <w:spacing w:val="-7"/>
          <w:sz w:val="20"/>
        </w:rPr>
        <w:t> </w:t>
      </w:r>
      <w:r>
        <w:rPr>
          <w:sz w:val="20"/>
        </w:rPr>
        <w:t>análisis</w:t>
      </w:r>
      <w:r>
        <w:rPr>
          <w:spacing w:val="-6"/>
          <w:sz w:val="20"/>
        </w:rPr>
        <w:t> </w:t>
      </w:r>
      <w:r>
        <w:rPr>
          <w:sz w:val="20"/>
        </w:rPr>
        <w:t>de</w:t>
      </w:r>
      <w:r>
        <w:rPr>
          <w:spacing w:val="-7"/>
          <w:sz w:val="20"/>
        </w:rPr>
        <w:t> </w:t>
      </w:r>
      <w:r>
        <w:rPr>
          <w:sz w:val="20"/>
        </w:rPr>
        <w:t>riesgos</w:t>
      </w:r>
      <w:r>
        <w:rPr>
          <w:spacing w:val="-6"/>
          <w:sz w:val="20"/>
        </w:rPr>
        <w:t> </w:t>
      </w:r>
      <w:r>
        <w:rPr>
          <w:sz w:val="20"/>
        </w:rPr>
        <w:t>y</w:t>
      </w:r>
      <w:r>
        <w:rPr>
          <w:spacing w:val="-6"/>
          <w:sz w:val="20"/>
        </w:rPr>
        <w:t> </w:t>
      </w:r>
      <w:r>
        <w:rPr>
          <w:sz w:val="20"/>
        </w:rPr>
        <w:t>medidas</w:t>
      </w:r>
      <w:r>
        <w:rPr>
          <w:spacing w:val="-4"/>
          <w:sz w:val="20"/>
        </w:rPr>
        <w:t> </w:t>
      </w:r>
      <w:r>
        <w:rPr>
          <w:sz w:val="20"/>
        </w:rPr>
        <w:t>de</w:t>
      </w:r>
      <w:r>
        <w:rPr>
          <w:spacing w:val="-8"/>
          <w:sz w:val="20"/>
        </w:rPr>
        <w:t> </w:t>
      </w:r>
      <w:r>
        <w:rPr>
          <w:spacing w:val="-2"/>
          <w:sz w:val="20"/>
        </w:rPr>
        <w:t>mitigación;</w:t>
      </w:r>
    </w:p>
    <w:p>
      <w:pPr>
        <w:pStyle w:val="ListParagraph"/>
        <w:numPr>
          <w:ilvl w:val="0"/>
          <w:numId w:val="59"/>
        </w:numPr>
        <w:tabs>
          <w:tab w:pos="688" w:val="left" w:leader="none"/>
        </w:tabs>
        <w:spacing w:line="240" w:lineRule="auto" w:before="229" w:after="0"/>
        <w:ind w:left="688" w:right="0" w:hanging="426"/>
        <w:jc w:val="left"/>
        <w:rPr>
          <w:sz w:val="20"/>
        </w:rPr>
      </w:pPr>
      <w:r>
        <w:rPr>
          <w:sz w:val="20"/>
        </w:rPr>
        <w:t>Conclusiones</w:t>
      </w:r>
      <w:r>
        <w:rPr>
          <w:spacing w:val="-10"/>
          <w:sz w:val="20"/>
        </w:rPr>
        <w:t> </w:t>
      </w:r>
      <w:r>
        <w:rPr>
          <w:sz w:val="20"/>
        </w:rPr>
        <w:t>y</w:t>
      </w:r>
      <w:r>
        <w:rPr>
          <w:spacing w:val="-7"/>
          <w:sz w:val="20"/>
        </w:rPr>
        <w:t> </w:t>
      </w:r>
      <w:r>
        <w:rPr>
          <w:spacing w:val="-2"/>
          <w:sz w:val="20"/>
        </w:rPr>
        <w:t>recomendaciones;</w:t>
      </w:r>
    </w:p>
    <w:p>
      <w:pPr>
        <w:pStyle w:val="BodyText"/>
        <w:spacing w:before="1"/>
      </w:pPr>
    </w:p>
    <w:p>
      <w:pPr>
        <w:pStyle w:val="ListParagraph"/>
        <w:numPr>
          <w:ilvl w:val="0"/>
          <w:numId w:val="59"/>
        </w:numPr>
        <w:tabs>
          <w:tab w:pos="688" w:val="left" w:leader="none"/>
        </w:tabs>
        <w:spacing w:line="240" w:lineRule="auto" w:before="0" w:after="0"/>
        <w:ind w:left="688" w:right="0" w:hanging="426"/>
        <w:jc w:val="left"/>
        <w:rPr>
          <w:sz w:val="20"/>
        </w:rPr>
      </w:pPr>
      <w:r>
        <w:rPr>
          <w:sz w:val="20"/>
        </w:rPr>
        <w:t>Anexo</w:t>
      </w:r>
      <w:r>
        <w:rPr>
          <w:spacing w:val="-9"/>
          <w:sz w:val="20"/>
        </w:rPr>
        <w:t> </w:t>
      </w:r>
      <w:r>
        <w:rPr>
          <w:spacing w:val="-2"/>
          <w:sz w:val="20"/>
        </w:rPr>
        <w:t>cartográfico;</w:t>
      </w:r>
    </w:p>
    <w:p>
      <w:pPr>
        <w:pStyle w:val="BodyText"/>
        <w:spacing w:before="1"/>
      </w:pPr>
    </w:p>
    <w:p>
      <w:pPr>
        <w:pStyle w:val="ListParagraph"/>
        <w:numPr>
          <w:ilvl w:val="0"/>
          <w:numId w:val="59"/>
        </w:numPr>
        <w:tabs>
          <w:tab w:pos="689" w:val="left" w:leader="none"/>
        </w:tabs>
        <w:spacing w:line="240" w:lineRule="auto" w:before="0" w:after="0"/>
        <w:ind w:left="689" w:right="0" w:hanging="427"/>
        <w:jc w:val="left"/>
        <w:rPr>
          <w:sz w:val="20"/>
        </w:rPr>
      </w:pPr>
      <w:r>
        <w:rPr>
          <w:sz w:val="20"/>
        </w:rPr>
        <w:t>Anexo</w:t>
      </w:r>
      <w:r>
        <w:rPr>
          <w:spacing w:val="-11"/>
          <w:sz w:val="20"/>
        </w:rPr>
        <w:t> </w:t>
      </w:r>
      <w:r>
        <w:rPr>
          <w:sz w:val="20"/>
        </w:rPr>
        <w:t>documental,</w:t>
      </w:r>
      <w:r>
        <w:rPr>
          <w:spacing w:val="-10"/>
          <w:sz w:val="20"/>
        </w:rPr>
        <w:t> y</w:t>
      </w:r>
    </w:p>
    <w:p>
      <w:pPr>
        <w:pStyle w:val="ListParagraph"/>
        <w:numPr>
          <w:ilvl w:val="0"/>
          <w:numId w:val="59"/>
        </w:numPr>
        <w:tabs>
          <w:tab w:pos="688" w:val="left" w:leader="none"/>
        </w:tabs>
        <w:spacing w:line="240" w:lineRule="auto" w:before="228" w:after="0"/>
        <w:ind w:left="688" w:right="0" w:hanging="426"/>
        <w:jc w:val="left"/>
        <w:rPr>
          <w:sz w:val="20"/>
        </w:rPr>
      </w:pPr>
      <w:r>
        <w:rPr>
          <w:spacing w:val="-2"/>
          <w:sz w:val="20"/>
        </w:rPr>
        <w:t>Bibliografía.</w:t>
      </w:r>
    </w:p>
    <w:p>
      <w:pPr>
        <w:pStyle w:val="BodyText"/>
        <w:spacing w:before="1"/>
      </w:pPr>
    </w:p>
    <w:p>
      <w:pPr>
        <w:pStyle w:val="BodyText"/>
        <w:ind w:left="262" w:right="282"/>
      </w:pPr>
      <w:r>
        <w:rPr>
          <w:rFonts w:ascii="Arial" w:hAnsi="Arial"/>
          <w:b/>
        </w:rPr>
        <w:t>ARTÍCULO</w:t>
      </w:r>
      <w:r>
        <w:rPr>
          <w:rFonts w:ascii="Arial" w:hAnsi="Arial"/>
          <w:b/>
          <w:spacing w:val="-10"/>
        </w:rPr>
        <w:t> </w:t>
      </w:r>
      <w:r>
        <w:rPr>
          <w:rFonts w:ascii="Arial" w:hAnsi="Arial"/>
          <w:b/>
        </w:rPr>
        <w:t>143.</w:t>
      </w:r>
      <w:r>
        <w:rPr>
          <w:rFonts w:ascii="Arial" w:hAnsi="Arial"/>
          <w:b/>
          <w:spacing w:val="-11"/>
        </w:rPr>
        <w:t> </w:t>
      </w:r>
      <w:r>
        <w:rPr/>
        <w:t>Los</w:t>
      </w:r>
      <w:r>
        <w:rPr>
          <w:spacing w:val="-10"/>
        </w:rPr>
        <w:t> </w:t>
      </w:r>
      <w:r>
        <w:rPr/>
        <w:t>estudios</w:t>
      </w:r>
      <w:r>
        <w:rPr>
          <w:spacing w:val="-10"/>
        </w:rPr>
        <w:t> </w:t>
      </w:r>
      <w:r>
        <w:rPr/>
        <w:t>de</w:t>
      </w:r>
      <w:r>
        <w:rPr>
          <w:spacing w:val="-12"/>
        </w:rPr>
        <w:t> </w:t>
      </w:r>
      <w:r>
        <w:rPr/>
        <w:t>impacto</w:t>
      </w:r>
      <w:r>
        <w:rPr>
          <w:spacing w:val="-12"/>
        </w:rPr>
        <w:t> </w:t>
      </w:r>
      <w:r>
        <w:rPr/>
        <w:t>vial</w:t>
      </w:r>
      <w:r>
        <w:rPr>
          <w:spacing w:val="-12"/>
        </w:rPr>
        <w:t> </w:t>
      </w:r>
      <w:r>
        <w:rPr/>
        <w:t>que</w:t>
      </w:r>
      <w:r>
        <w:rPr>
          <w:spacing w:val="-11"/>
        </w:rPr>
        <w:t> </w:t>
      </w:r>
      <w:r>
        <w:rPr/>
        <w:t>se</w:t>
      </w:r>
      <w:r>
        <w:rPr>
          <w:spacing w:val="-11"/>
        </w:rPr>
        <w:t> </w:t>
      </w:r>
      <w:r>
        <w:rPr/>
        <w:t>presenten</w:t>
      </w:r>
      <w:r>
        <w:rPr>
          <w:spacing w:val="-11"/>
        </w:rPr>
        <w:t> </w:t>
      </w:r>
      <w:r>
        <w:rPr/>
        <w:t>en</w:t>
      </w:r>
      <w:r>
        <w:rPr>
          <w:spacing w:val="-12"/>
        </w:rPr>
        <w:t> </w:t>
      </w:r>
      <w:r>
        <w:rPr/>
        <w:t>los</w:t>
      </w:r>
      <w:r>
        <w:rPr>
          <w:spacing w:val="-10"/>
        </w:rPr>
        <w:t> </w:t>
      </w:r>
      <w:r>
        <w:rPr/>
        <w:t>casos</w:t>
      </w:r>
      <w:r>
        <w:rPr>
          <w:spacing w:val="-10"/>
        </w:rPr>
        <w:t> </w:t>
      </w:r>
      <w:r>
        <w:rPr/>
        <w:t>en</w:t>
      </w:r>
      <w:r>
        <w:rPr>
          <w:spacing w:val="-12"/>
        </w:rPr>
        <w:t> </w:t>
      </w:r>
      <w:r>
        <w:rPr/>
        <w:t>que</w:t>
      </w:r>
      <w:r>
        <w:rPr>
          <w:spacing w:val="-11"/>
        </w:rPr>
        <w:t> </w:t>
      </w:r>
      <w:r>
        <w:rPr/>
        <w:t>así</w:t>
      </w:r>
      <w:r>
        <w:rPr>
          <w:spacing w:val="-11"/>
        </w:rPr>
        <w:t> </w:t>
      </w:r>
      <w:r>
        <w:rPr/>
        <w:t>lo</w:t>
      </w:r>
      <w:r>
        <w:rPr>
          <w:spacing w:val="-11"/>
        </w:rPr>
        <w:t> </w:t>
      </w:r>
      <w:r>
        <w:rPr/>
        <w:t>determina el presente ordenamiento deberán contener como mínimo:</w:t>
      </w:r>
    </w:p>
    <w:p>
      <w:pPr>
        <w:pStyle w:val="BodyText"/>
        <w:spacing w:after="0"/>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60"/>
        </w:numPr>
        <w:tabs>
          <w:tab w:pos="543" w:val="left" w:leader="none"/>
        </w:tabs>
        <w:spacing w:line="240" w:lineRule="auto" w:before="0" w:after="0"/>
        <w:ind w:left="543" w:right="0" w:hanging="281"/>
        <w:jc w:val="left"/>
        <w:rPr>
          <w:sz w:val="20"/>
        </w:rPr>
      </w:pPr>
      <w:r>
        <w:rPr>
          <w:sz w:val="20"/>
        </w:rPr>
        <w:t>Introducción,</w:t>
      </w:r>
      <w:r>
        <w:rPr>
          <w:spacing w:val="-8"/>
          <w:sz w:val="20"/>
        </w:rPr>
        <w:t> </w:t>
      </w:r>
      <w:r>
        <w:rPr>
          <w:sz w:val="20"/>
        </w:rPr>
        <w:t>objetivo</w:t>
      </w:r>
      <w:r>
        <w:rPr>
          <w:spacing w:val="-9"/>
          <w:sz w:val="20"/>
        </w:rPr>
        <w:t> </w:t>
      </w:r>
      <w:r>
        <w:rPr>
          <w:sz w:val="20"/>
        </w:rPr>
        <w:t>general</w:t>
      </w:r>
      <w:r>
        <w:rPr>
          <w:spacing w:val="-9"/>
          <w:sz w:val="20"/>
        </w:rPr>
        <w:t> </w:t>
      </w:r>
      <w:r>
        <w:rPr>
          <w:sz w:val="20"/>
        </w:rPr>
        <w:t>y</w:t>
      </w:r>
      <w:r>
        <w:rPr>
          <w:spacing w:val="-8"/>
          <w:sz w:val="20"/>
        </w:rPr>
        <w:t> </w:t>
      </w:r>
      <w:r>
        <w:rPr>
          <w:sz w:val="20"/>
        </w:rPr>
        <w:t>objetivos</w:t>
      </w:r>
      <w:r>
        <w:rPr>
          <w:spacing w:val="-8"/>
          <w:sz w:val="20"/>
        </w:rPr>
        <w:t> </w:t>
      </w:r>
      <w:r>
        <w:rPr>
          <w:spacing w:val="-2"/>
          <w:sz w:val="20"/>
        </w:rPr>
        <w:t>específicos;</w:t>
      </w:r>
    </w:p>
    <w:p>
      <w:pPr>
        <w:pStyle w:val="BodyText"/>
        <w:spacing w:before="1"/>
      </w:pPr>
    </w:p>
    <w:p>
      <w:pPr>
        <w:pStyle w:val="ListParagraph"/>
        <w:numPr>
          <w:ilvl w:val="0"/>
          <w:numId w:val="60"/>
        </w:numPr>
        <w:tabs>
          <w:tab w:pos="543" w:val="left" w:leader="none"/>
        </w:tabs>
        <w:spacing w:line="240" w:lineRule="auto" w:before="0" w:after="0"/>
        <w:ind w:left="543" w:right="0" w:hanging="281"/>
        <w:jc w:val="left"/>
        <w:rPr>
          <w:sz w:val="20"/>
        </w:rPr>
      </w:pPr>
      <w:r>
        <w:rPr>
          <w:sz w:val="20"/>
        </w:rPr>
        <w:t>Datos</w:t>
      </w:r>
      <w:r>
        <w:rPr>
          <w:spacing w:val="-8"/>
          <w:sz w:val="20"/>
        </w:rPr>
        <w:t> </w:t>
      </w:r>
      <w:r>
        <w:rPr>
          <w:sz w:val="20"/>
        </w:rPr>
        <w:t>de</w:t>
      </w:r>
      <w:r>
        <w:rPr>
          <w:spacing w:val="-8"/>
          <w:sz w:val="20"/>
        </w:rPr>
        <w:t> </w:t>
      </w:r>
      <w:r>
        <w:rPr>
          <w:sz w:val="20"/>
        </w:rPr>
        <w:t>propiedad,</w:t>
      </w:r>
      <w:r>
        <w:rPr>
          <w:spacing w:val="-8"/>
          <w:sz w:val="20"/>
        </w:rPr>
        <w:t> </w:t>
      </w:r>
      <w:r>
        <w:rPr>
          <w:sz w:val="20"/>
        </w:rPr>
        <w:t>generales</w:t>
      </w:r>
      <w:r>
        <w:rPr>
          <w:spacing w:val="-8"/>
          <w:sz w:val="20"/>
        </w:rPr>
        <w:t> </w:t>
      </w:r>
      <w:r>
        <w:rPr>
          <w:sz w:val="20"/>
        </w:rPr>
        <w:t>y</w:t>
      </w:r>
      <w:r>
        <w:rPr>
          <w:spacing w:val="-7"/>
          <w:sz w:val="20"/>
        </w:rPr>
        <w:t> </w:t>
      </w:r>
      <w:r>
        <w:rPr>
          <w:sz w:val="20"/>
        </w:rPr>
        <w:t>descripción</w:t>
      </w:r>
      <w:r>
        <w:rPr>
          <w:spacing w:val="-7"/>
          <w:sz w:val="20"/>
        </w:rPr>
        <w:t> </w:t>
      </w:r>
      <w:r>
        <w:rPr>
          <w:sz w:val="20"/>
        </w:rPr>
        <w:t>del</w:t>
      </w:r>
      <w:r>
        <w:rPr>
          <w:spacing w:val="-9"/>
          <w:sz w:val="20"/>
        </w:rPr>
        <w:t> </w:t>
      </w:r>
      <w:r>
        <w:rPr>
          <w:spacing w:val="-2"/>
          <w:sz w:val="20"/>
        </w:rPr>
        <w:t>proyecto:</w:t>
      </w:r>
    </w:p>
    <w:p>
      <w:pPr>
        <w:pStyle w:val="ListParagraph"/>
        <w:numPr>
          <w:ilvl w:val="1"/>
          <w:numId w:val="60"/>
        </w:numPr>
        <w:tabs>
          <w:tab w:pos="544" w:val="left" w:leader="none"/>
        </w:tabs>
        <w:spacing w:line="240" w:lineRule="auto" w:before="229" w:after="0"/>
        <w:ind w:left="544" w:right="0" w:hanging="282"/>
        <w:jc w:val="left"/>
        <w:rPr>
          <w:sz w:val="20"/>
        </w:rPr>
      </w:pPr>
      <w:r>
        <w:rPr>
          <w:sz w:val="20"/>
        </w:rPr>
        <w:t>Datos</w:t>
      </w:r>
      <w:r>
        <w:rPr>
          <w:spacing w:val="-8"/>
          <w:sz w:val="20"/>
        </w:rPr>
        <w:t> </w:t>
      </w:r>
      <w:r>
        <w:rPr>
          <w:sz w:val="20"/>
        </w:rPr>
        <w:t>del</w:t>
      </w:r>
      <w:r>
        <w:rPr>
          <w:spacing w:val="-8"/>
          <w:sz w:val="20"/>
        </w:rPr>
        <w:t> </w:t>
      </w:r>
      <w:r>
        <w:rPr>
          <w:sz w:val="20"/>
        </w:rPr>
        <w:t>propietario,</w:t>
      </w:r>
      <w:r>
        <w:rPr>
          <w:spacing w:val="-7"/>
          <w:sz w:val="20"/>
        </w:rPr>
        <w:t> </w:t>
      </w:r>
      <w:r>
        <w:rPr>
          <w:sz w:val="20"/>
        </w:rPr>
        <w:t>promotor</w:t>
      </w:r>
      <w:r>
        <w:rPr>
          <w:spacing w:val="-8"/>
          <w:sz w:val="20"/>
        </w:rPr>
        <w:t> </w:t>
      </w:r>
      <w:r>
        <w:rPr>
          <w:sz w:val="20"/>
        </w:rPr>
        <w:t>y</w:t>
      </w:r>
      <w:r>
        <w:rPr>
          <w:spacing w:val="-8"/>
          <w:sz w:val="20"/>
        </w:rPr>
        <w:t> </w:t>
      </w:r>
      <w:r>
        <w:rPr>
          <w:sz w:val="20"/>
        </w:rPr>
        <w:t>responsable</w:t>
      </w:r>
      <w:r>
        <w:rPr>
          <w:spacing w:val="-8"/>
          <w:sz w:val="20"/>
        </w:rPr>
        <w:t> </w:t>
      </w:r>
      <w:r>
        <w:rPr>
          <w:sz w:val="20"/>
        </w:rPr>
        <w:t>del</w:t>
      </w:r>
      <w:r>
        <w:rPr>
          <w:spacing w:val="-8"/>
          <w:sz w:val="20"/>
        </w:rPr>
        <w:t> </w:t>
      </w:r>
      <w:r>
        <w:rPr>
          <w:spacing w:val="-2"/>
          <w:sz w:val="20"/>
        </w:rPr>
        <w:t>estudio.</w:t>
      </w:r>
    </w:p>
    <w:p>
      <w:pPr>
        <w:pStyle w:val="BodyText"/>
      </w:pPr>
    </w:p>
    <w:p>
      <w:pPr>
        <w:pStyle w:val="ListParagraph"/>
        <w:numPr>
          <w:ilvl w:val="1"/>
          <w:numId w:val="60"/>
        </w:numPr>
        <w:tabs>
          <w:tab w:pos="544" w:val="left" w:leader="none"/>
        </w:tabs>
        <w:spacing w:line="240" w:lineRule="auto" w:before="0" w:after="0"/>
        <w:ind w:left="262" w:right="290" w:firstLine="0"/>
        <w:jc w:val="left"/>
        <w:rPr>
          <w:sz w:val="20"/>
        </w:rPr>
      </w:pPr>
      <w:r>
        <w:rPr>
          <w:sz w:val="20"/>
        </w:rPr>
        <w:t>Datos generales del</w:t>
      </w:r>
      <w:r>
        <w:rPr>
          <w:spacing w:val="-1"/>
          <w:sz w:val="20"/>
        </w:rPr>
        <w:t> </w:t>
      </w:r>
      <w:r>
        <w:rPr>
          <w:sz w:val="20"/>
        </w:rPr>
        <w:t>responsable</w:t>
      </w:r>
      <w:r>
        <w:rPr>
          <w:spacing w:val="-1"/>
          <w:sz w:val="20"/>
        </w:rPr>
        <w:t> </w:t>
      </w:r>
      <w:r>
        <w:rPr>
          <w:sz w:val="20"/>
        </w:rPr>
        <w:t>técnico de</w:t>
      </w:r>
      <w:r>
        <w:rPr>
          <w:spacing w:val="-1"/>
          <w:sz w:val="20"/>
        </w:rPr>
        <w:t> </w:t>
      </w:r>
      <w:r>
        <w:rPr>
          <w:sz w:val="20"/>
        </w:rPr>
        <w:t>la</w:t>
      </w:r>
      <w:r>
        <w:rPr>
          <w:spacing w:val="-1"/>
          <w:sz w:val="20"/>
        </w:rPr>
        <w:t> </w:t>
      </w:r>
      <w:r>
        <w:rPr>
          <w:sz w:val="20"/>
        </w:rPr>
        <w:t>elaboración</w:t>
      </w:r>
      <w:r>
        <w:rPr>
          <w:spacing w:val="-1"/>
          <w:sz w:val="20"/>
        </w:rPr>
        <w:t> </w:t>
      </w:r>
      <w:r>
        <w:rPr>
          <w:sz w:val="20"/>
        </w:rPr>
        <w:t>del</w:t>
      </w:r>
      <w:r>
        <w:rPr>
          <w:spacing w:val="-2"/>
          <w:sz w:val="20"/>
        </w:rPr>
        <w:t> </w:t>
      </w:r>
      <w:r>
        <w:rPr>
          <w:sz w:val="20"/>
        </w:rPr>
        <w:t>estudio,</w:t>
      </w:r>
      <w:r>
        <w:rPr>
          <w:spacing w:val="-1"/>
          <w:sz w:val="20"/>
        </w:rPr>
        <w:t> </w:t>
      </w:r>
      <w:r>
        <w:rPr>
          <w:sz w:val="20"/>
        </w:rPr>
        <w:t>quien</w:t>
      </w:r>
      <w:r>
        <w:rPr>
          <w:spacing w:val="-1"/>
          <w:sz w:val="20"/>
        </w:rPr>
        <w:t> </w:t>
      </w:r>
      <w:r>
        <w:rPr>
          <w:sz w:val="20"/>
        </w:rPr>
        <w:t>deberá</w:t>
      </w:r>
      <w:r>
        <w:rPr>
          <w:spacing w:val="-1"/>
          <w:sz w:val="20"/>
        </w:rPr>
        <w:t> </w:t>
      </w:r>
      <w:r>
        <w:rPr>
          <w:sz w:val="20"/>
        </w:rPr>
        <w:t>contar con la formación académica y experiencia que le permita emitir un estudio debidamente sustentado.</w:t>
      </w:r>
    </w:p>
    <w:p>
      <w:pPr>
        <w:pStyle w:val="BodyText"/>
        <w:spacing w:before="2"/>
      </w:pPr>
    </w:p>
    <w:p>
      <w:pPr>
        <w:pStyle w:val="ListParagraph"/>
        <w:numPr>
          <w:ilvl w:val="1"/>
          <w:numId w:val="60"/>
        </w:numPr>
        <w:tabs>
          <w:tab w:pos="544" w:val="left" w:leader="none"/>
        </w:tabs>
        <w:spacing w:line="240" w:lineRule="auto" w:before="0" w:after="0"/>
        <w:ind w:left="544" w:right="0" w:hanging="282"/>
        <w:jc w:val="left"/>
        <w:rPr>
          <w:sz w:val="20"/>
        </w:rPr>
      </w:pPr>
      <w:r>
        <w:rPr>
          <w:sz w:val="20"/>
        </w:rPr>
        <w:t>Datos</w:t>
      </w:r>
      <w:r>
        <w:rPr>
          <w:spacing w:val="-8"/>
          <w:sz w:val="20"/>
        </w:rPr>
        <w:t> </w:t>
      </w:r>
      <w:r>
        <w:rPr>
          <w:sz w:val="20"/>
        </w:rPr>
        <w:t>generales</w:t>
      </w:r>
      <w:r>
        <w:rPr>
          <w:spacing w:val="-8"/>
          <w:sz w:val="20"/>
        </w:rPr>
        <w:t> </w:t>
      </w:r>
      <w:r>
        <w:rPr>
          <w:sz w:val="20"/>
        </w:rPr>
        <w:t>del</w:t>
      </w:r>
      <w:r>
        <w:rPr>
          <w:spacing w:val="-8"/>
          <w:sz w:val="20"/>
        </w:rPr>
        <w:t> </w:t>
      </w:r>
      <w:r>
        <w:rPr>
          <w:spacing w:val="-2"/>
          <w:sz w:val="20"/>
        </w:rPr>
        <w:t>proyecto;</w:t>
      </w:r>
    </w:p>
    <w:p>
      <w:pPr>
        <w:pStyle w:val="ListParagraph"/>
        <w:numPr>
          <w:ilvl w:val="0"/>
          <w:numId w:val="60"/>
        </w:numPr>
        <w:tabs>
          <w:tab w:pos="597" w:val="left" w:leader="none"/>
        </w:tabs>
        <w:spacing w:line="240" w:lineRule="auto" w:before="229" w:after="0"/>
        <w:ind w:left="597" w:right="0" w:hanging="335"/>
        <w:jc w:val="left"/>
        <w:rPr>
          <w:sz w:val="20"/>
        </w:rPr>
      </w:pPr>
      <w:r>
        <w:rPr>
          <w:sz w:val="20"/>
        </w:rPr>
        <w:t>Inventario</w:t>
      </w:r>
      <w:r>
        <w:rPr>
          <w:spacing w:val="-7"/>
          <w:sz w:val="20"/>
        </w:rPr>
        <w:t> </w:t>
      </w:r>
      <w:r>
        <w:rPr>
          <w:sz w:val="20"/>
        </w:rPr>
        <w:t>y</w:t>
      </w:r>
      <w:r>
        <w:rPr>
          <w:spacing w:val="-6"/>
          <w:sz w:val="20"/>
        </w:rPr>
        <w:t> </w:t>
      </w:r>
      <w:r>
        <w:rPr>
          <w:sz w:val="20"/>
        </w:rPr>
        <w:t>operación</w:t>
      </w:r>
      <w:r>
        <w:rPr>
          <w:spacing w:val="-5"/>
          <w:sz w:val="20"/>
        </w:rPr>
        <w:t> </w:t>
      </w:r>
      <w:r>
        <w:rPr>
          <w:sz w:val="20"/>
        </w:rPr>
        <w:t>del</w:t>
      </w:r>
      <w:r>
        <w:rPr>
          <w:spacing w:val="-5"/>
          <w:sz w:val="20"/>
        </w:rPr>
        <w:t> </w:t>
      </w:r>
      <w:r>
        <w:rPr>
          <w:sz w:val="20"/>
        </w:rPr>
        <w:t>sistema</w:t>
      </w:r>
      <w:r>
        <w:rPr>
          <w:spacing w:val="-6"/>
          <w:sz w:val="20"/>
        </w:rPr>
        <w:t> </w:t>
      </w:r>
      <w:r>
        <w:rPr>
          <w:sz w:val="20"/>
        </w:rPr>
        <w:t>vial</w:t>
      </w:r>
      <w:r>
        <w:rPr>
          <w:spacing w:val="-7"/>
          <w:sz w:val="20"/>
        </w:rPr>
        <w:t> </w:t>
      </w:r>
      <w:r>
        <w:rPr>
          <w:sz w:val="20"/>
        </w:rPr>
        <w:t>y</w:t>
      </w:r>
      <w:r>
        <w:rPr>
          <w:spacing w:val="-3"/>
          <w:sz w:val="20"/>
        </w:rPr>
        <w:t> </w:t>
      </w:r>
      <w:r>
        <w:rPr>
          <w:sz w:val="20"/>
        </w:rPr>
        <w:t>de</w:t>
      </w:r>
      <w:r>
        <w:rPr>
          <w:spacing w:val="-7"/>
          <w:sz w:val="20"/>
        </w:rPr>
        <w:t> </w:t>
      </w:r>
      <w:r>
        <w:rPr>
          <w:sz w:val="20"/>
        </w:rPr>
        <w:t>transporte</w:t>
      </w:r>
      <w:r>
        <w:rPr>
          <w:spacing w:val="-5"/>
          <w:sz w:val="20"/>
        </w:rPr>
        <w:t> </w:t>
      </w:r>
      <w:r>
        <w:rPr>
          <w:sz w:val="20"/>
        </w:rPr>
        <w:t>en</w:t>
      </w:r>
      <w:r>
        <w:rPr>
          <w:spacing w:val="-7"/>
          <w:sz w:val="20"/>
        </w:rPr>
        <w:t> </w:t>
      </w:r>
      <w:r>
        <w:rPr>
          <w:sz w:val="20"/>
        </w:rPr>
        <w:t>el</w:t>
      </w:r>
      <w:r>
        <w:rPr>
          <w:spacing w:val="-7"/>
          <w:sz w:val="20"/>
        </w:rPr>
        <w:t> </w:t>
      </w:r>
      <w:r>
        <w:rPr>
          <w:sz w:val="20"/>
        </w:rPr>
        <w:t>área</w:t>
      </w:r>
      <w:r>
        <w:rPr>
          <w:spacing w:val="-6"/>
          <w:sz w:val="20"/>
        </w:rPr>
        <w:t> </w:t>
      </w:r>
      <w:r>
        <w:rPr>
          <w:sz w:val="20"/>
        </w:rPr>
        <w:t>de</w:t>
      </w:r>
      <w:r>
        <w:rPr>
          <w:spacing w:val="-6"/>
          <w:sz w:val="20"/>
        </w:rPr>
        <w:t> </w:t>
      </w:r>
      <w:r>
        <w:rPr>
          <w:sz w:val="20"/>
        </w:rPr>
        <w:t>influencia</w:t>
      </w:r>
      <w:r>
        <w:rPr>
          <w:spacing w:val="-6"/>
          <w:sz w:val="20"/>
        </w:rPr>
        <w:t> </w:t>
      </w:r>
      <w:r>
        <w:rPr>
          <w:sz w:val="20"/>
        </w:rPr>
        <w:t>del</w:t>
      </w:r>
      <w:r>
        <w:rPr>
          <w:spacing w:val="-5"/>
          <w:sz w:val="20"/>
        </w:rPr>
        <w:t> </w:t>
      </w:r>
      <w:r>
        <w:rPr>
          <w:spacing w:val="-2"/>
          <w:sz w:val="20"/>
        </w:rPr>
        <w:t>proyecto:</w:t>
      </w:r>
    </w:p>
    <w:p>
      <w:pPr>
        <w:pStyle w:val="BodyText"/>
      </w:pPr>
    </w:p>
    <w:p>
      <w:pPr>
        <w:pStyle w:val="ListParagraph"/>
        <w:numPr>
          <w:ilvl w:val="1"/>
          <w:numId w:val="60"/>
        </w:numPr>
        <w:tabs>
          <w:tab w:pos="544" w:val="left" w:leader="none"/>
        </w:tabs>
        <w:spacing w:line="240" w:lineRule="auto" w:before="1" w:after="0"/>
        <w:ind w:left="544" w:right="0" w:hanging="282"/>
        <w:jc w:val="left"/>
        <w:rPr>
          <w:sz w:val="20"/>
        </w:rPr>
      </w:pPr>
      <w:r>
        <w:rPr>
          <w:sz w:val="20"/>
        </w:rPr>
        <w:t>Inventario</w:t>
      </w:r>
      <w:r>
        <w:rPr>
          <w:spacing w:val="-8"/>
          <w:sz w:val="20"/>
        </w:rPr>
        <w:t> </w:t>
      </w:r>
      <w:r>
        <w:rPr>
          <w:sz w:val="20"/>
        </w:rPr>
        <w:t>y</w:t>
      </w:r>
      <w:r>
        <w:rPr>
          <w:spacing w:val="-7"/>
          <w:sz w:val="20"/>
        </w:rPr>
        <w:t> </w:t>
      </w:r>
      <w:r>
        <w:rPr>
          <w:sz w:val="20"/>
        </w:rPr>
        <w:t>operación</w:t>
      </w:r>
      <w:r>
        <w:rPr>
          <w:spacing w:val="-7"/>
          <w:sz w:val="20"/>
        </w:rPr>
        <w:t> </w:t>
      </w:r>
      <w:r>
        <w:rPr>
          <w:sz w:val="20"/>
        </w:rPr>
        <w:t>del</w:t>
      </w:r>
      <w:r>
        <w:rPr>
          <w:spacing w:val="-7"/>
          <w:sz w:val="20"/>
        </w:rPr>
        <w:t> </w:t>
      </w:r>
      <w:r>
        <w:rPr>
          <w:sz w:val="20"/>
        </w:rPr>
        <w:t>sistema</w:t>
      </w:r>
      <w:r>
        <w:rPr>
          <w:spacing w:val="-7"/>
          <w:sz w:val="20"/>
        </w:rPr>
        <w:t> </w:t>
      </w:r>
      <w:r>
        <w:rPr>
          <w:spacing w:val="-4"/>
          <w:sz w:val="20"/>
        </w:rPr>
        <w:t>vial.</w:t>
      </w:r>
    </w:p>
    <w:p>
      <w:pPr>
        <w:pStyle w:val="BodyText"/>
      </w:pPr>
    </w:p>
    <w:p>
      <w:pPr>
        <w:pStyle w:val="ListParagraph"/>
        <w:numPr>
          <w:ilvl w:val="1"/>
          <w:numId w:val="60"/>
        </w:numPr>
        <w:tabs>
          <w:tab w:pos="544" w:val="left" w:leader="none"/>
        </w:tabs>
        <w:spacing w:line="240" w:lineRule="auto" w:before="0" w:after="0"/>
        <w:ind w:left="544" w:right="0" w:hanging="282"/>
        <w:jc w:val="left"/>
        <w:rPr>
          <w:sz w:val="20"/>
        </w:rPr>
      </w:pPr>
      <w:r>
        <w:rPr>
          <w:sz w:val="20"/>
        </w:rPr>
        <w:t>Inventario</w:t>
      </w:r>
      <w:r>
        <w:rPr>
          <w:spacing w:val="-8"/>
          <w:sz w:val="20"/>
        </w:rPr>
        <w:t> </w:t>
      </w:r>
      <w:r>
        <w:rPr>
          <w:sz w:val="20"/>
        </w:rPr>
        <w:t>y</w:t>
      </w:r>
      <w:r>
        <w:rPr>
          <w:spacing w:val="-6"/>
          <w:sz w:val="20"/>
        </w:rPr>
        <w:t> </w:t>
      </w:r>
      <w:r>
        <w:rPr>
          <w:sz w:val="20"/>
        </w:rPr>
        <w:t>operación</w:t>
      </w:r>
      <w:r>
        <w:rPr>
          <w:spacing w:val="-7"/>
          <w:sz w:val="20"/>
        </w:rPr>
        <w:t> </w:t>
      </w:r>
      <w:r>
        <w:rPr>
          <w:sz w:val="20"/>
        </w:rPr>
        <w:t>del</w:t>
      </w:r>
      <w:r>
        <w:rPr>
          <w:spacing w:val="-6"/>
          <w:sz w:val="20"/>
        </w:rPr>
        <w:t> </w:t>
      </w:r>
      <w:r>
        <w:rPr>
          <w:sz w:val="20"/>
        </w:rPr>
        <w:t>sistema</w:t>
      </w:r>
      <w:r>
        <w:rPr>
          <w:spacing w:val="-5"/>
          <w:sz w:val="20"/>
        </w:rPr>
        <w:t> </w:t>
      </w:r>
      <w:r>
        <w:rPr>
          <w:sz w:val="20"/>
        </w:rPr>
        <w:t>de</w:t>
      </w:r>
      <w:r>
        <w:rPr>
          <w:spacing w:val="-7"/>
          <w:sz w:val="20"/>
        </w:rPr>
        <w:t> </w:t>
      </w:r>
      <w:r>
        <w:rPr>
          <w:spacing w:val="-2"/>
          <w:sz w:val="20"/>
        </w:rPr>
        <w:t>transporte.</w:t>
      </w:r>
    </w:p>
    <w:p>
      <w:pPr>
        <w:pStyle w:val="ListParagraph"/>
        <w:numPr>
          <w:ilvl w:val="1"/>
          <w:numId w:val="60"/>
        </w:numPr>
        <w:tabs>
          <w:tab w:pos="544" w:val="left" w:leader="none"/>
        </w:tabs>
        <w:spacing w:line="240" w:lineRule="auto" w:before="229" w:after="0"/>
        <w:ind w:left="544" w:right="0" w:hanging="282"/>
        <w:jc w:val="left"/>
        <w:rPr>
          <w:sz w:val="20"/>
        </w:rPr>
      </w:pPr>
      <w:r>
        <w:rPr>
          <w:sz w:val="20"/>
        </w:rPr>
        <w:t>Levantamiento</w:t>
      </w:r>
      <w:r>
        <w:rPr>
          <w:spacing w:val="-8"/>
          <w:sz w:val="20"/>
        </w:rPr>
        <w:t> </w:t>
      </w:r>
      <w:r>
        <w:rPr>
          <w:sz w:val="20"/>
        </w:rPr>
        <w:t>de</w:t>
      </w:r>
      <w:r>
        <w:rPr>
          <w:spacing w:val="-7"/>
          <w:sz w:val="20"/>
        </w:rPr>
        <w:t> </w:t>
      </w:r>
      <w:r>
        <w:rPr>
          <w:sz w:val="20"/>
        </w:rPr>
        <w:t>la</w:t>
      </w:r>
      <w:r>
        <w:rPr>
          <w:spacing w:val="-8"/>
          <w:sz w:val="20"/>
        </w:rPr>
        <w:t> </w:t>
      </w:r>
      <w:r>
        <w:rPr>
          <w:sz w:val="20"/>
        </w:rPr>
        <w:t>información</w:t>
      </w:r>
      <w:r>
        <w:rPr>
          <w:spacing w:val="-8"/>
          <w:sz w:val="20"/>
        </w:rPr>
        <w:t> </w:t>
      </w:r>
      <w:r>
        <w:rPr>
          <w:sz w:val="20"/>
        </w:rPr>
        <w:t>sobre</w:t>
      </w:r>
      <w:r>
        <w:rPr>
          <w:spacing w:val="-7"/>
          <w:sz w:val="20"/>
        </w:rPr>
        <w:t> </w:t>
      </w:r>
      <w:r>
        <w:rPr>
          <w:sz w:val="20"/>
        </w:rPr>
        <w:t>volúmenes</w:t>
      </w:r>
      <w:r>
        <w:rPr>
          <w:spacing w:val="-5"/>
          <w:sz w:val="20"/>
        </w:rPr>
        <w:t> </w:t>
      </w:r>
      <w:r>
        <w:rPr>
          <w:sz w:val="20"/>
        </w:rPr>
        <w:t>de</w:t>
      </w:r>
      <w:r>
        <w:rPr>
          <w:spacing w:val="-8"/>
          <w:sz w:val="20"/>
        </w:rPr>
        <w:t> </w:t>
      </w:r>
      <w:r>
        <w:rPr>
          <w:sz w:val="20"/>
        </w:rPr>
        <w:t>tránsito</w:t>
      </w:r>
      <w:r>
        <w:rPr>
          <w:spacing w:val="-6"/>
          <w:sz w:val="20"/>
        </w:rPr>
        <w:t> </w:t>
      </w:r>
      <w:r>
        <w:rPr>
          <w:sz w:val="20"/>
        </w:rPr>
        <w:t>en</w:t>
      </w:r>
      <w:r>
        <w:rPr>
          <w:spacing w:val="-8"/>
          <w:sz w:val="20"/>
        </w:rPr>
        <w:t> </w:t>
      </w:r>
      <w:r>
        <w:rPr>
          <w:sz w:val="20"/>
        </w:rPr>
        <w:t>días</w:t>
      </w:r>
      <w:r>
        <w:rPr>
          <w:spacing w:val="-6"/>
          <w:sz w:val="20"/>
        </w:rPr>
        <w:t> </w:t>
      </w:r>
      <w:r>
        <w:rPr>
          <w:sz w:val="20"/>
        </w:rPr>
        <w:t>y</w:t>
      </w:r>
      <w:r>
        <w:rPr>
          <w:spacing w:val="-7"/>
          <w:sz w:val="20"/>
        </w:rPr>
        <w:t> </w:t>
      </w:r>
      <w:r>
        <w:rPr>
          <w:sz w:val="20"/>
        </w:rPr>
        <w:t>horas</w:t>
      </w:r>
      <w:r>
        <w:rPr>
          <w:spacing w:val="-6"/>
          <w:sz w:val="20"/>
        </w:rPr>
        <w:t> </w:t>
      </w:r>
      <w:r>
        <w:rPr>
          <w:spacing w:val="-2"/>
          <w:sz w:val="20"/>
        </w:rPr>
        <w:t>representativas;</w:t>
      </w:r>
    </w:p>
    <w:p>
      <w:pPr>
        <w:pStyle w:val="BodyText"/>
      </w:pPr>
    </w:p>
    <w:p>
      <w:pPr>
        <w:pStyle w:val="ListParagraph"/>
        <w:numPr>
          <w:ilvl w:val="0"/>
          <w:numId w:val="60"/>
        </w:numPr>
        <w:tabs>
          <w:tab w:pos="688" w:val="left" w:leader="none"/>
        </w:tabs>
        <w:spacing w:line="240" w:lineRule="auto" w:before="1" w:after="0"/>
        <w:ind w:left="688" w:right="0" w:hanging="426"/>
        <w:jc w:val="left"/>
        <w:rPr>
          <w:sz w:val="20"/>
        </w:rPr>
      </w:pPr>
      <w:r>
        <w:rPr>
          <w:sz w:val="20"/>
        </w:rPr>
        <w:t>Análisis</w:t>
      </w:r>
      <w:r>
        <w:rPr>
          <w:spacing w:val="-9"/>
          <w:sz w:val="20"/>
        </w:rPr>
        <w:t> </w:t>
      </w:r>
      <w:r>
        <w:rPr>
          <w:sz w:val="20"/>
        </w:rPr>
        <w:t>de</w:t>
      </w:r>
      <w:r>
        <w:rPr>
          <w:spacing w:val="-8"/>
          <w:sz w:val="20"/>
        </w:rPr>
        <w:t> </w:t>
      </w:r>
      <w:r>
        <w:rPr>
          <w:sz w:val="20"/>
        </w:rPr>
        <w:t>ingeniería</w:t>
      </w:r>
      <w:r>
        <w:rPr>
          <w:spacing w:val="-8"/>
          <w:sz w:val="20"/>
        </w:rPr>
        <w:t> </w:t>
      </w:r>
      <w:r>
        <w:rPr>
          <w:sz w:val="20"/>
        </w:rPr>
        <w:t>de</w:t>
      </w:r>
      <w:r>
        <w:rPr>
          <w:spacing w:val="-10"/>
          <w:sz w:val="20"/>
        </w:rPr>
        <w:t> </w:t>
      </w:r>
      <w:r>
        <w:rPr>
          <w:spacing w:val="-2"/>
          <w:sz w:val="20"/>
        </w:rPr>
        <w:t>tránsito:</w:t>
      </w:r>
    </w:p>
    <w:p>
      <w:pPr>
        <w:pStyle w:val="ListParagraph"/>
        <w:numPr>
          <w:ilvl w:val="1"/>
          <w:numId w:val="60"/>
        </w:numPr>
        <w:tabs>
          <w:tab w:pos="544" w:val="left" w:leader="none"/>
        </w:tabs>
        <w:spacing w:line="240" w:lineRule="auto" w:before="228" w:after="0"/>
        <w:ind w:left="544" w:right="0" w:hanging="282"/>
        <w:jc w:val="left"/>
        <w:rPr>
          <w:sz w:val="20"/>
        </w:rPr>
      </w:pPr>
      <w:r>
        <w:rPr>
          <w:sz w:val="20"/>
        </w:rPr>
        <w:t>Análisis</w:t>
      </w:r>
      <w:r>
        <w:rPr>
          <w:spacing w:val="-5"/>
          <w:sz w:val="20"/>
        </w:rPr>
        <w:t> </w:t>
      </w:r>
      <w:r>
        <w:rPr>
          <w:sz w:val="20"/>
        </w:rPr>
        <w:t>de</w:t>
      </w:r>
      <w:r>
        <w:rPr>
          <w:spacing w:val="-6"/>
          <w:sz w:val="20"/>
        </w:rPr>
        <w:t> </w:t>
      </w:r>
      <w:r>
        <w:rPr>
          <w:sz w:val="20"/>
        </w:rPr>
        <w:t>las</w:t>
      </w:r>
      <w:r>
        <w:rPr>
          <w:spacing w:val="-5"/>
          <w:sz w:val="20"/>
        </w:rPr>
        <w:t> </w:t>
      </w:r>
      <w:r>
        <w:rPr>
          <w:sz w:val="20"/>
        </w:rPr>
        <w:t>vialidades</w:t>
      </w:r>
      <w:r>
        <w:rPr>
          <w:spacing w:val="-5"/>
          <w:sz w:val="20"/>
        </w:rPr>
        <w:t> </w:t>
      </w:r>
      <w:r>
        <w:rPr>
          <w:sz w:val="20"/>
        </w:rPr>
        <w:t>que</w:t>
      </w:r>
      <w:r>
        <w:rPr>
          <w:spacing w:val="-6"/>
          <w:sz w:val="20"/>
        </w:rPr>
        <w:t> </w:t>
      </w:r>
      <w:r>
        <w:rPr>
          <w:sz w:val="20"/>
        </w:rPr>
        <w:t>inciden</w:t>
      </w:r>
      <w:r>
        <w:rPr>
          <w:spacing w:val="-7"/>
          <w:sz w:val="20"/>
        </w:rPr>
        <w:t> </w:t>
      </w:r>
      <w:r>
        <w:rPr>
          <w:sz w:val="20"/>
        </w:rPr>
        <w:t>en</w:t>
      </w:r>
      <w:r>
        <w:rPr>
          <w:spacing w:val="-6"/>
          <w:sz w:val="20"/>
        </w:rPr>
        <w:t> </w:t>
      </w:r>
      <w:r>
        <w:rPr>
          <w:sz w:val="20"/>
        </w:rPr>
        <w:t>el</w:t>
      </w:r>
      <w:r>
        <w:rPr>
          <w:spacing w:val="-7"/>
          <w:sz w:val="20"/>
        </w:rPr>
        <w:t> </w:t>
      </w:r>
      <w:r>
        <w:rPr>
          <w:sz w:val="20"/>
        </w:rPr>
        <w:t>área</w:t>
      </w:r>
      <w:r>
        <w:rPr>
          <w:spacing w:val="-6"/>
          <w:sz w:val="20"/>
        </w:rPr>
        <w:t> </w:t>
      </w:r>
      <w:r>
        <w:rPr>
          <w:sz w:val="20"/>
        </w:rPr>
        <w:t>de</w:t>
      </w:r>
      <w:r>
        <w:rPr>
          <w:spacing w:val="-6"/>
          <w:sz w:val="20"/>
        </w:rPr>
        <w:t> </w:t>
      </w:r>
      <w:r>
        <w:rPr>
          <w:spacing w:val="-2"/>
          <w:sz w:val="20"/>
        </w:rPr>
        <w:t>proyecto.</w:t>
      </w:r>
    </w:p>
    <w:p>
      <w:pPr>
        <w:pStyle w:val="BodyText"/>
        <w:spacing w:before="1"/>
      </w:pPr>
    </w:p>
    <w:p>
      <w:pPr>
        <w:pStyle w:val="ListParagraph"/>
        <w:numPr>
          <w:ilvl w:val="1"/>
          <w:numId w:val="60"/>
        </w:numPr>
        <w:tabs>
          <w:tab w:pos="544" w:val="left" w:leader="none"/>
        </w:tabs>
        <w:spacing w:line="240" w:lineRule="auto" w:before="0" w:after="0"/>
        <w:ind w:left="544" w:right="0" w:hanging="282"/>
        <w:jc w:val="left"/>
        <w:rPr>
          <w:sz w:val="20"/>
        </w:rPr>
      </w:pPr>
      <w:r>
        <w:rPr>
          <w:sz w:val="20"/>
        </w:rPr>
        <w:t>Relación</w:t>
      </w:r>
      <w:r>
        <w:rPr>
          <w:spacing w:val="-6"/>
          <w:sz w:val="20"/>
        </w:rPr>
        <w:t> </w:t>
      </w:r>
      <w:r>
        <w:rPr>
          <w:sz w:val="20"/>
        </w:rPr>
        <w:t>de</w:t>
      </w:r>
      <w:r>
        <w:rPr>
          <w:spacing w:val="-8"/>
          <w:sz w:val="20"/>
        </w:rPr>
        <w:t> </w:t>
      </w:r>
      <w:r>
        <w:rPr>
          <w:sz w:val="20"/>
        </w:rPr>
        <w:t>vías</w:t>
      </w:r>
      <w:r>
        <w:rPr>
          <w:spacing w:val="-3"/>
          <w:sz w:val="20"/>
        </w:rPr>
        <w:t> </w:t>
      </w:r>
      <w:r>
        <w:rPr>
          <w:sz w:val="20"/>
        </w:rPr>
        <w:t>inmediatas</w:t>
      </w:r>
      <w:r>
        <w:rPr>
          <w:spacing w:val="-6"/>
          <w:sz w:val="20"/>
        </w:rPr>
        <w:t> </w:t>
      </w:r>
      <w:r>
        <w:rPr>
          <w:sz w:val="20"/>
        </w:rPr>
        <w:t>con</w:t>
      </w:r>
      <w:r>
        <w:rPr>
          <w:spacing w:val="-8"/>
          <w:sz w:val="20"/>
        </w:rPr>
        <w:t> </w:t>
      </w:r>
      <w:r>
        <w:rPr>
          <w:sz w:val="20"/>
        </w:rPr>
        <w:t>el</w:t>
      </w:r>
      <w:r>
        <w:rPr>
          <w:spacing w:val="-7"/>
          <w:sz w:val="20"/>
        </w:rPr>
        <w:t> </w:t>
      </w:r>
      <w:r>
        <w:rPr>
          <w:sz w:val="20"/>
        </w:rPr>
        <w:t>resto</w:t>
      </w:r>
      <w:r>
        <w:rPr>
          <w:spacing w:val="-7"/>
          <w:sz w:val="20"/>
        </w:rPr>
        <w:t> </w:t>
      </w:r>
      <w:r>
        <w:rPr>
          <w:sz w:val="20"/>
        </w:rPr>
        <w:t>del</w:t>
      </w:r>
      <w:r>
        <w:rPr>
          <w:spacing w:val="-7"/>
          <w:sz w:val="20"/>
        </w:rPr>
        <w:t> </w:t>
      </w:r>
      <w:r>
        <w:rPr>
          <w:sz w:val="20"/>
        </w:rPr>
        <w:t>sistema</w:t>
      </w:r>
      <w:r>
        <w:rPr>
          <w:spacing w:val="-7"/>
          <w:sz w:val="20"/>
        </w:rPr>
        <w:t> </w:t>
      </w:r>
      <w:r>
        <w:rPr>
          <w:spacing w:val="-4"/>
          <w:sz w:val="20"/>
        </w:rPr>
        <w:t>vial.</w:t>
      </w:r>
    </w:p>
    <w:p>
      <w:pPr>
        <w:pStyle w:val="BodyText"/>
        <w:spacing w:before="1"/>
      </w:pPr>
    </w:p>
    <w:p>
      <w:pPr>
        <w:pStyle w:val="ListParagraph"/>
        <w:numPr>
          <w:ilvl w:val="1"/>
          <w:numId w:val="60"/>
        </w:numPr>
        <w:tabs>
          <w:tab w:pos="544" w:val="left" w:leader="none"/>
        </w:tabs>
        <w:spacing w:line="240" w:lineRule="auto" w:before="0" w:after="0"/>
        <w:ind w:left="544" w:right="0" w:hanging="282"/>
        <w:jc w:val="left"/>
        <w:rPr>
          <w:sz w:val="20"/>
        </w:rPr>
      </w:pPr>
      <w:r>
        <w:rPr>
          <w:sz w:val="20"/>
        </w:rPr>
        <w:t>Sentidos</w:t>
      </w:r>
      <w:r>
        <w:rPr>
          <w:spacing w:val="-7"/>
          <w:sz w:val="20"/>
        </w:rPr>
        <w:t> </w:t>
      </w:r>
      <w:r>
        <w:rPr>
          <w:sz w:val="20"/>
        </w:rPr>
        <w:t>de</w:t>
      </w:r>
      <w:r>
        <w:rPr>
          <w:spacing w:val="-8"/>
          <w:sz w:val="20"/>
        </w:rPr>
        <w:t> </w:t>
      </w:r>
      <w:r>
        <w:rPr>
          <w:sz w:val="20"/>
        </w:rPr>
        <w:t>circulación</w:t>
      </w:r>
      <w:r>
        <w:rPr>
          <w:spacing w:val="-8"/>
          <w:sz w:val="20"/>
        </w:rPr>
        <w:t> </w:t>
      </w:r>
      <w:r>
        <w:rPr>
          <w:sz w:val="20"/>
        </w:rPr>
        <w:t>y</w:t>
      </w:r>
      <w:r>
        <w:rPr>
          <w:spacing w:val="-6"/>
          <w:sz w:val="20"/>
        </w:rPr>
        <w:t> </w:t>
      </w:r>
      <w:r>
        <w:rPr>
          <w:sz w:val="20"/>
        </w:rPr>
        <w:t>superficies</w:t>
      </w:r>
      <w:r>
        <w:rPr>
          <w:spacing w:val="-7"/>
          <w:sz w:val="20"/>
        </w:rPr>
        <w:t> </w:t>
      </w:r>
      <w:r>
        <w:rPr>
          <w:sz w:val="20"/>
        </w:rPr>
        <w:t>de</w:t>
      </w:r>
      <w:r>
        <w:rPr>
          <w:spacing w:val="-7"/>
          <w:sz w:val="20"/>
        </w:rPr>
        <w:t> </w:t>
      </w:r>
      <w:r>
        <w:rPr>
          <w:spacing w:val="-2"/>
          <w:sz w:val="20"/>
        </w:rPr>
        <w:t>rodamiento.</w:t>
      </w:r>
    </w:p>
    <w:p>
      <w:pPr>
        <w:pStyle w:val="ListParagraph"/>
        <w:numPr>
          <w:ilvl w:val="1"/>
          <w:numId w:val="60"/>
        </w:numPr>
        <w:tabs>
          <w:tab w:pos="544" w:val="left" w:leader="none"/>
        </w:tabs>
        <w:spacing w:line="240" w:lineRule="auto" w:before="229" w:after="0"/>
        <w:ind w:left="544" w:right="0" w:hanging="282"/>
        <w:jc w:val="left"/>
        <w:rPr>
          <w:sz w:val="20"/>
        </w:rPr>
      </w:pPr>
      <w:r>
        <w:rPr>
          <w:sz w:val="20"/>
        </w:rPr>
        <w:t>Disponibilidad</w:t>
      </w:r>
      <w:r>
        <w:rPr>
          <w:spacing w:val="-10"/>
          <w:sz w:val="20"/>
        </w:rPr>
        <w:t> </w:t>
      </w:r>
      <w:r>
        <w:rPr>
          <w:sz w:val="20"/>
        </w:rPr>
        <w:t>de</w:t>
      </w:r>
      <w:r>
        <w:rPr>
          <w:spacing w:val="-9"/>
          <w:sz w:val="20"/>
        </w:rPr>
        <w:t> </w:t>
      </w:r>
      <w:r>
        <w:rPr>
          <w:sz w:val="20"/>
        </w:rPr>
        <w:t>infraestructura</w:t>
      </w:r>
      <w:r>
        <w:rPr>
          <w:spacing w:val="-10"/>
          <w:sz w:val="20"/>
        </w:rPr>
        <w:t> </w:t>
      </w:r>
      <w:r>
        <w:rPr>
          <w:sz w:val="20"/>
        </w:rPr>
        <w:t>vial</w:t>
      </w:r>
      <w:r>
        <w:rPr>
          <w:spacing w:val="-8"/>
          <w:sz w:val="20"/>
        </w:rPr>
        <w:t> </w:t>
      </w:r>
      <w:r>
        <w:rPr>
          <w:sz w:val="20"/>
        </w:rPr>
        <w:t>y</w:t>
      </w:r>
      <w:r>
        <w:rPr>
          <w:spacing w:val="-8"/>
          <w:sz w:val="20"/>
        </w:rPr>
        <w:t> </w:t>
      </w:r>
      <w:r>
        <w:rPr>
          <w:spacing w:val="-2"/>
          <w:sz w:val="20"/>
        </w:rPr>
        <w:t>servicios.</w:t>
      </w:r>
    </w:p>
    <w:p>
      <w:pPr>
        <w:pStyle w:val="BodyText"/>
      </w:pPr>
    </w:p>
    <w:p>
      <w:pPr>
        <w:pStyle w:val="ListParagraph"/>
        <w:numPr>
          <w:ilvl w:val="1"/>
          <w:numId w:val="60"/>
        </w:numPr>
        <w:tabs>
          <w:tab w:pos="544" w:val="left" w:leader="none"/>
        </w:tabs>
        <w:spacing w:line="240" w:lineRule="auto" w:before="0" w:after="0"/>
        <w:ind w:left="544" w:right="0" w:hanging="282"/>
        <w:jc w:val="left"/>
        <w:rPr>
          <w:sz w:val="20"/>
        </w:rPr>
      </w:pPr>
      <w:r>
        <w:rPr>
          <w:sz w:val="20"/>
        </w:rPr>
        <w:t>Capacidad</w:t>
      </w:r>
      <w:r>
        <w:rPr>
          <w:spacing w:val="-6"/>
          <w:sz w:val="20"/>
        </w:rPr>
        <w:t> </w:t>
      </w:r>
      <w:r>
        <w:rPr>
          <w:sz w:val="20"/>
        </w:rPr>
        <w:t>y</w:t>
      </w:r>
      <w:r>
        <w:rPr>
          <w:spacing w:val="-6"/>
          <w:sz w:val="20"/>
        </w:rPr>
        <w:t> </w:t>
      </w:r>
      <w:r>
        <w:rPr>
          <w:sz w:val="20"/>
        </w:rPr>
        <w:t>niveles</w:t>
      </w:r>
      <w:r>
        <w:rPr>
          <w:spacing w:val="-6"/>
          <w:sz w:val="20"/>
        </w:rPr>
        <w:t> </w:t>
      </w:r>
      <w:r>
        <w:rPr>
          <w:sz w:val="20"/>
        </w:rPr>
        <w:t>de</w:t>
      </w:r>
      <w:r>
        <w:rPr>
          <w:spacing w:val="-8"/>
          <w:sz w:val="20"/>
        </w:rPr>
        <w:t> </w:t>
      </w:r>
      <w:r>
        <w:rPr>
          <w:spacing w:val="-2"/>
          <w:sz w:val="20"/>
        </w:rPr>
        <w:t>servicio.</w:t>
      </w:r>
    </w:p>
    <w:p>
      <w:pPr>
        <w:pStyle w:val="BodyText"/>
        <w:spacing w:before="1"/>
      </w:pPr>
    </w:p>
    <w:p>
      <w:pPr>
        <w:pStyle w:val="ListParagraph"/>
        <w:numPr>
          <w:ilvl w:val="1"/>
          <w:numId w:val="60"/>
        </w:numPr>
        <w:tabs>
          <w:tab w:pos="543" w:val="left" w:leader="none"/>
        </w:tabs>
        <w:spacing w:line="240" w:lineRule="auto" w:before="0" w:after="0"/>
        <w:ind w:left="262" w:right="551" w:firstLine="0"/>
        <w:jc w:val="left"/>
        <w:rPr>
          <w:sz w:val="20"/>
        </w:rPr>
      </w:pPr>
      <w:r>
        <w:rPr>
          <w:sz w:val="20"/>
        </w:rPr>
        <w:t>Determinación</w:t>
      </w:r>
      <w:r>
        <w:rPr>
          <w:spacing w:val="-4"/>
          <w:sz w:val="20"/>
        </w:rPr>
        <w:t> </w:t>
      </w:r>
      <w:r>
        <w:rPr>
          <w:sz w:val="20"/>
        </w:rPr>
        <w:t>física</w:t>
      </w:r>
      <w:r>
        <w:rPr>
          <w:spacing w:val="-5"/>
          <w:sz w:val="20"/>
        </w:rPr>
        <w:t> </w:t>
      </w:r>
      <w:r>
        <w:rPr>
          <w:sz w:val="20"/>
        </w:rPr>
        <w:t>de</w:t>
      </w:r>
      <w:r>
        <w:rPr>
          <w:spacing w:val="-3"/>
          <w:sz w:val="20"/>
        </w:rPr>
        <w:t> </w:t>
      </w:r>
      <w:r>
        <w:rPr>
          <w:sz w:val="20"/>
        </w:rPr>
        <w:t>la</w:t>
      </w:r>
      <w:r>
        <w:rPr>
          <w:spacing w:val="-3"/>
          <w:sz w:val="20"/>
        </w:rPr>
        <w:t> </w:t>
      </w:r>
      <w:r>
        <w:rPr>
          <w:sz w:val="20"/>
        </w:rPr>
        <w:t>operación</w:t>
      </w:r>
      <w:r>
        <w:rPr>
          <w:spacing w:val="-4"/>
          <w:sz w:val="20"/>
        </w:rPr>
        <w:t> </w:t>
      </w:r>
      <w:r>
        <w:rPr>
          <w:sz w:val="20"/>
        </w:rPr>
        <w:t>del</w:t>
      </w:r>
      <w:r>
        <w:rPr>
          <w:spacing w:val="-4"/>
          <w:sz w:val="20"/>
        </w:rPr>
        <w:t> </w:t>
      </w:r>
      <w:r>
        <w:rPr>
          <w:sz w:val="20"/>
        </w:rPr>
        <w:t>transporte</w:t>
      </w:r>
      <w:r>
        <w:rPr>
          <w:spacing w:val="-5"/>
          <w:sz w:val="20"/>
        </w:rPr>
        <w:t> </w:t>
      </w:r>
      <w:r>
        <w:rPr>
          <w:sz w:val="20"/>
        </w:rPr>
        <w:t>colectivo</w:t>
      </w:r>
      <w:r>
        <w:rPr>
          <w:spacing w:val="-3"/>
          <w:sz w:val="20"/>
        </w:rPr>
        <w:t> </w:t>
      </w:r>
      <w:r>
        <w:rPr>
          <w:sz w:val="20"/>
        </w:rPr>
        <w:t>en</w:t>
      </w:r>
      <w:r>
        <w:rPr>
          <w:spacing w:val="-4"/>
          <w:sz w:val="20"/>
        </w:rPr>
        <w:t> </w:t>
      </w:r>
      <w:r>
        <w:rPr>
          <w:sz w:val="20"/>
        </w:rPr>
        <w:t>el</w:t>
      </w:r>
      <w:r>
        <w:rPr>
          <w:spacing w:val="-4"/>
          <w:sz w:val="20"/>
        </w:rPr>
        <w:t> </w:t>
      </w:r>
      <w:r>
        <w:rPr>
          <w:sz w:val="20"/>
        </w:rPr>
        <w:t>área</w:t>
      </w:r>
      <w:r>
        <w:rPr>
          <w:spacing w:val="-5"/>
          <w:sz w:val="20"/>
        </w:rPr>
        <w:t> </w:t>
      </w:r>
      <w:r>
        <w:rPr>
          <w:sz w:val="20"/>
        </w:rPr>
        <w:t>y</w:t>
      </w:r>
      <w:r>
        <w:rPr>
          <w:spacing w:val="-4"/>
          <w:sz w:val="20"/>
        </w:rPr>
        <w:t> </w:t>
      </w:r>
      <w:r>
        <w:rPr>
          <w:sz w:val="20"/>
        </w:rPr>
        <w:t>sus</w:t>
      </w:r>
      <w:r>
        <w:rPr>
          <w:spacing w:val="-4"/>
          <w:sz w:val="20"/>
        </w:rPr>
        <w:t> </w:t>
      </w:r>
      <w:r>
        <w:rPr>
          <w:sz w:val="20"/>
        </w:rPr>
        <w:t>perspectivas</w:t>
      </w:r>
      <w:r>
        <w:rPr>
          <w:spacing w:val="-4"/>
          <w:sz w:val="20"/>
        </w:rPr>
        <w:t> </w:t>
      </w:r>
      <w:r>
        <w:rPr>
          <w:sz w:val="20"/>
        </w:rPr>
        <w:t>en </w:t>
      </w:r>
      <w:r>
        <w:rPr>
          <w:spacing w:val="-2"/>
          <w:sz w:val="20"/>
        </w:rPr>
        <w:t>desarrollo.</w:t>
      </w:r>
    </w:p>
    <w:p>
      <w:pPr>
        <w:pStyle w:val="ListParagraph"/>
        <w:numPr>
          <w:ilvl w:val="1"/>
          <w:numId w:val="60"/>
        </w:numPr>
        <w:tabs>
          <w:tab w:pos="544" w:val="left" w:leader="none"/>
        </w:tabs>
        <w:spacing w:line="240" w:lineRule="auto" w:before="229" w:after="0"/>
        <w:ind w:left="544" w:right="0" w:hanging="282"/>
        <w:jc w:val="left"/>
        <w:rPr>
          <w:sz w:val="20"/>
        </w:rPr>
      </w:pPr>
      <w:r>
        <w:rPr>
          <w:sz w:val="20"/>
        </w:rPr>
        <w:t>Análisis</w:t>
      </w:r>
      <w:r>
        <w:rPr>
          <w:spacing w:val="-7"/>
          <w:sz w:val="20"/>
        </w:rPr>
        <w:t> </w:t>
      </w:r>
      <w:r>
        <w:rPr>
          <w:sz w:val="20"/>
        </w:rPr>
        <w:t>de</w:t>
      </w:r>
      <w:r>
        <w:rPr>
          <w:spacing w:val="-6"/>
          <w:sz w:val="20"/>
        </w:rPr>
        <w:t> </w:t>
      </w:r>
      <w:r>
        <w:rPr>
          <w:sz w:val="20"/>
        </w:rPr>
        <w:t>la</w:t>
      </w:r>
      <w:r>
        <w:rPr>
          <w:spacing w:val="-6"/>
          <w:sz w:val="20"/>
        </w:rPr>
        <w:t> </w:t>
      </w:r>
      <w:r>
        <w:rPr>
          <w:sz w:val="20"/>
        </w:rPr>
        <w:t>dinámica</w:t>
      </w:r>
      <w:r>
        <w:rPr>
          <w:spacing w:val="-7"/>
          <w:sz w:val="20"/>
        </w:rPr>
        <w:t> </w:t>
      </w:r>
      <w:r>
        <w:rPr>
          <w:sz w:val="20"/>
        </w:rPr>
        <w:t>de</w:t>
      </w:r>
      <w:r>
        <w:rPr>
          <w:spacing w:val="-6"/>
          <w:sz w:val="20"/>
        </w:rPr>
        <w:t> </w:t>
      </w:r>
      <w:r>
        <w:rPr>
          <w:sz w:val="20"/>
        </w:rPr>
        <w:t>movilidad</w:t>
      </w:r>
      <w:r>
        <w:rPr>
          <w:spacing w:val="-6"/>
          <w:sz w:val="20"/>
        </w:rPr>
        <w:t> </w:t>
      </w:r>
      <w:r>
        <w:rPr>
          <w:sz w:val="20"/>
        </w:rPr>
        <w:t>motorizada</w:t>
      </w:r>
      <w:r>
        <w:rPr>
          <w:spacing w:val="-6"/>
          <w:sz w:val="20"/>
        </w:rPr>
        <w:t> </w:t>
      </w:r>
      <w:r>
        <w:rPr>
          <w:sz w:val="20"/>
        </w:rPr>
        <w:t>y</w:t>
      </w:r>
      <w:r>
        <w:rPr>
          <w:spacing w:val="-6"/>
          <w:sz w:val="20"/>
        </w:rPr>
        <w:t> </w:t>
      </w:r>
      <w:r>
        <w:rPr>
          <w:sz w:val="20"/>
        </w:rPr>
        <w:t>no</w:t>
      </w:r>
      <w:r>
        <w:rPr>
          <w:spacing w:val="-7"/>
          <w:sz w:val="20"/>
        </w:rPr>
        <w:t> </w:t>
      </w:r>
      <w:r>
        <w:rPr>
          <w:spacing w:val="-2"/>
          <w:sz w:val="20"/>
        </w:rPr>
        <w:t>motorizada.</w:t>
      </w:r>
    </w:p>
    <w:p>
      <w:pPr>
        <w:pStyle w:val="BodyText"/>
        <w:spacing w:before="1"/>
      </w:pPr>
    </w:p>
    <w:p>
      <w:pPr>
        <w:pStyle w:val="ListParagraph"/>
        <w:numPr>
          <w:ilvl w:val="1"/>
          <w:numId w:val="60"/>
        </w:numPr>
        <w:tabs>
          <w:tab w:pos="544" w:val="left" w:leader="none"/>
        </w:tabs>
        <w:spacing w:line="240" w:lineRule="auto" w:before="0" w:after="0"/>
        <w:ind w:left="262" w:right="284" w:firstLine="0"/>
        <w:jc w:val="left"/>
        <w:rPr>
          <w:sz w:val="20"/>
        </w:rPr>
      </w:pPr>
      <w:r>
        <w:rPr>
          <w:sz w:val="20"/>
        </w:rPr>
        <w:t>Establecimiento</w:t>
      </w:r>
      <w:r>
        <w:rPr>
          <w:spacing w:val="-12"/>
          <w:sz w:val="20"/>
        </w:rPr>
        <w:t> </w:t>
      </w:r>
      <w:r>
        <w:rPr>
          <w:sz w:val="20"/>
        </w:rPr>
        <w:t>de</w:t>
      </w:r>
      <w:r>
        <w:rPr>
          <w:spacing w:val="-12"/>
          <w:sz w:val="20"/>
        </w:rPr>
        <w:t> </w:t>
      </w:r>
      <w:r>
        <w:rPr>
          <w:sz w:val="20"/>
        </w:rPr>
        <w:t>los</w:t>
      </w:r>
      <w:r>
        <w:rPr>
          <w:spacing w:val="-13"/>
          <w:sz w:val="20"/>
        </w:rPr>
        <w:t> </w:t>
      </w:r>
      <w:r>
        <w:rPr>
          <w:sz w:val="20"/>
        </w:rPr>
        <w:t>horizontes</w:t>
      </w:r>
      <w:r>
        <w:rPr>
          <w:spacing w:val="-13"/>
          <w:sz w:val="20"/>
        </w:rPr>
        <w:t> </w:t>
      </w:r>
      <w:r>
        <w:rPr>
          <w:sz w:val="20"/>
        </w:rPr>
        <w:t>del</w:t>
      </w:r>
      <w:r>
        <w:rPr>
          <w:spacing w:val="-14"/>
          <w:sz w:val="20"/>
        </w:rPr>
        <w:t> </w:t>
      </w:r>
      <w:r>
        <w:rPr>
          <w:sz w:val="20"/>
        </w:rPr>
        <w:t>estudio,</w:t>
      </w:r>
      <w:r>
        <w:rPr>
          <w:spacing w:val="-14"/>
          <w:sz w:val="20"/>
        </w:rPr>
        <w:t> </w:t>
      </w:r>
      <w:r>
        <w:rPr>
          <w:sz w:val="20"/>
        </w:rPr>
        <w:t>mediante</w:t>
      </w:r>
      <w:r>
        <w:rPr>
          <w:spacing w:val="-14"/>
          <w:sz w:val="20"/>
        </w:rPr>
        <w:t> </w:t>
      </w:r>
      <w:r>
        <w:rPr>
          <w:sz w:val="20"/>
        </w:rPr>
        <w:t>un</w:t>
      </w:r>
      <w:r>
        <w:rPr>
          <w:spacing w:val="-12"/>
          <w:sz w:val="20"/>
        </w:rPr>
        <w:t> </w:t>
      </w:r>
      <w:r>
        <w:rPr>
          <w:sz w:val="20"/>
        </w:rPr>
        <w:t>pronóstico</w:t>
      </w:r>
      <w:r>
        <w:rPr>
          <w:spacing w:val="-14"/>
          <w:sz w:val="20"/>
        </w:rPr>
        <w:t> </w:t>
      </w:r>
      <w:r>
        <w:rPr>
          <w:sz w:val="20"/>
        </w:rPr>
        <w:t>de</w:t>
      </w:r>
      <w:r>
        <w:rPr>
          <w:spacing w:val="-14"/>
          <w:sz w:val="20"/>
        </w:rPr>
        <w:t> </w:t>
      </w:r>
      <w:r>
        <w:rPr>
          <w:sz w:val="20"/>
        </w:rPr>
        <w:t>crecimiento</w:t>
      </w:r>
      <w:r>
        <w:rPr>
          <w:spacing w:val="-14"/>
          <w:sz w:val="20"/>
        </w:rPr>
        <w:t> </w:t>
      </w:r>
      <w:r>
        <w:rPr>
          <w:sz w:val="20"/>
        </w:rPr>
        <w:t>de</w:t>
      </w:r>
      <w:r>
        <w:rPr>
          <w:spacing w:val="-14"/>
          <w:sz w:val="20"/>
        </w:rPr>
        <w:t> </w:t>
      </w:r>
      <w:r>
        <w:rPr>
          <w:sz w:val="20"/>
        </w:rPr>
        <w:t>los</w:t>
      </w:r>
      <w:r>
        <w:rPr>
          <w:spacing w:val="-13"/>
          <w:sz w:val="20"/>
        </w:rPr>
        <w:t> </w:t>
      </w:r>
      <w:r>
        <w:rPr>
          <w:sz w:val="20"/>
        </w:rPr>
        <w:t>flujos viales a los horizontes establecidos.</w:t>
      </w:r>
    </w:p>
    <w:p>
      <w:pPr>
        <w:pStyle w:val="ListParagraph"/>
        <w:numPr>
          <w:ilvl w:val="1"/>
          <w:numId w:val="60"/>
        </w:numPr>
        <w:tabs>
          <w:tab w:pos="543" w:val="left" w:leader="none"/>
        </w:tabs>
        <w:spacing w:line="240" w:lineRule="auto" w:before="229" w:after="0"/>
        <w:ind w:left="543" w:right="0" w:hanging="281"/>
        <w:jc w:val="left"/>
        <w:rPr>
          <w:sz w:val="20"/>
        </w:rPr>
      </w:pPr>
      <w:r>
        <w:rPr>
          <w:sz w:val="20"/>
        </w:rPr>
        <w:t>Estimación</w:t>
      </w:r>
      <w:r>
        <w:rPr>
          <w:spacing w:val="-7"/>
          <w:sz w:val="20"/>
        </w:rPr>
        <w:t> </w:t>
      </w:r>
      <w:r>
        <w:rPr>
          <w:sz w:val="20"/>
        </w:rPr>
        <w:t>del</w:t>
      </w:r>
      <w:r>
        <w:rPr>
          <w:spacing w:val="-8"/>
          <w:sz w:val="20"/>
        </w:rPr>
        <w:t> </w:t>
      </w:r>
      <w:r>
        <w:rPr>
          <w:sz w:val="20"/>
        </w:rPr>
        <w:t>tráfico</w:t>
      </w:r>
      <w:r>
        <w:rPr>
          <w:spacing w:val="-5"/>
          <w:sz w:val="20"/>
        </w:rPr>
        <w:t> </w:t>
      </w:r>
      <w:r>
        <w:rPr>
          <w:sz w:val="20"/>
        </w:rPr>
        <w:t>generado</w:t>
      </w:r>
      <w:r>
        <w:rPr>
          <w:spacing w:val="-7"/>
          <w:sz w:val="20"/>
        </w:rPr>
        <w:t> </w:t>
      </w:r>
      <w:r>
        <w:rPr>
          <w:sz w:val="20"/>
        </w:rPr>
        <w:t>en</w:t>
      </w:r>
      <w:r>
        <w:rPr>
          <w:spacing w:val="-7"/>
          <w:sz w:val="20"/>
        </w:rPr>
        <w:t> </w:t>
      </w:r>
      <w:r>
        <w:rPr>
          <w:sz w:val="20"/>
        </w:rPr>
        <w:t>función</w:t>
      </w:r>
      <w:r>
        <w:rPr>
          <w:spacing w:val="-6"/>
          <w:sz w:val="20"/>
        </w:rPr>
        <w:t> </w:t>
      </w:r>
      <w:r>
        <w:rPr>
          <w:sz w:val="20"/>
        </w:rPr>
        <w:t>de</w:t>
      </w:r>
      <w:r>
        <w:rPr>
          <w:spacing w:val="-5"/>
          <w:sz w:val="20"/>
        </w:rPr>
        <w:t> </w:t>
      </w:r>
      <w:r>
        <w:rPr>
          <w:sz w:val="20"/>
        </w:rPr>
        <w:t>los</w:t>
      </w:r>
      <w:r>
        <w:rPr>
          <w:spacing w:val="-4"/>
          <w:sz w:val="20"/>
        </w:rPr>
        <w:t> </w:t>
      </w:r>
      <w:r>
        <w:rPr>
          <w:sz w:val="20"/>
        </w:rPr>
        <w:t>usos</w:t>
      </w:r>
      <w:r>
        <w:rPr>
          <w:spacing w:val="-6"/>
          <w:sz w:val="20"/>
        </w:rPr>
        <w:t> </w:t>
      </w:r>
      <w:r>
        <w:rPr>
          <w:sz w:val="20"/>
        </w:rPr>
        <w:t>del</w:t>
      </w:r>
      <w:r>
        <w:rPr>
          <w:spacing w:val="-6"/>
          <w:sz w:val="20"/>
        </w:rPr>
        <w:t> </w:t>
      </w:r>
      <w:r>
        <w:rPr>
          <w:spacing w:val="-2"/>
          <w:sz w:val="20"/>
        </w:rPr>
        <w:t>suelo.</w:t>
      </w:r>
    </w:p>
    <w:p>
      <w:pPr>
        <w:pStyle w:val="BodyText"/>
        <w:spacing w:before="1"/>
      </w:pPr>
    </w:p>
    <w:p>
      <w:pPr>
        <w:pStyle w:val="ListParagraph"/>
        <w:numPr>
          <w:ilvl w:val="1"/>
          <w:numId w:val="60"/>
        </w:numPr>
        <w:tabs>
          <w:tab w:pos="543" w:val="left" w:leader="none"/>
        </w:tabs>
        <w:spacing w:line="240" w:lineRule="auto" w:before="0" w:after="0"/>
        <w:ind w:left="262" w:right="290" w:firstLine="0"/>
        <w:jc w:val="left"/>
        <w:rPr>
          <w:sz w:val="20"/>
        </w:rPr>
      </w:pPr>
      <w:r>
        <w:rPr>
          <w:sz w:val="20"/>
        </w:rPr>
        <w:t>Estimación del tráfico total, incluyendo el transito inducido, el transito generado y el transito del desarrollo para los horizontes previstos;</w:t>
      </w:r>
    </w:p>
    <w:p>
      <w:pPr>
        <w:pStyle w:val="ListParagraph"/>
        <w:numPr>
          <w:ilvl w:val="0"/>
          <w:numId w:val="60"/>
        </w:numPr>
        <w:tabs>
          <w:tab w:pos="544" w:val="left" w:leader="none"/>
        </w:tabs>
        <w:spacing w:line="240" w:lineRule="auto" w:before="229" w:after="0"/>
        <w:ind w:left="544" w:right="0" w:hanging="282"/>
        <w:jc w:val="left"/>
        <w:rPr>
          <w:sz w:val="20"/>
        </w:rPr>
      </w:pPr>
      <w:r>
        <w:rPr>
          <w:sz w:val="20"/>
        </w:rPr>
        <w:t>Diagnóstico-pronóstico</w:t>
      </w:r>
      <w:r>
        <w:rPr>
          <w:spacing w:val="-8"/>
          <w:sz w:val="20"/>
        </w:rPr>
        <w:t> </w:t>
      </w:r>
      <w:r>
        <w:rPr>
          <w:sz w:val="20"/>
        </w:rPr>
        <w:t>de</w:t>
      </w:r>
      <w:r>
        <w:rPr>
          <w:spacing w:val="-8"/>
          <w:sz w:val="20"/>
        </w:rPr>
        <w:t> </w:t>
      </w:r>
      <w:r>
        <w:rPr>
          <w:sz w:val="20"/>
        </w:rPr>
        <w:t>la</w:t>
      </w:r>
      <w:r>
        <w:rPr>
          <w:spacing w:val="-7"/>
          <w:sz w:val="20"/>
        </w:rPr>
        <w:t> </w:t>
      </w:r>
      <w:r>
        <w:rPr>
          <w:sz w:val="20"/>
        </w:rPr>
        <w:t>vialidad</w:t>
      </w:r>
      <w:r>
        <w:rPr>
          <w:spacing w:val="-9"/>
          <w:sz w:val="20"/>
        </w:rPr>
        <w:t> </w:t>
      </w:r>
      <w:r>
        <w:rPr>
          <w:sz w:val="20"/>
        </w:rPr>
        <w:t>con</w:t>
      </w:r>
      <w:r>
        <w:rPr>
          <w:spacing w:val="-8"/>
          <w:sz w:val="20"/>
        </w:rPr>
        <w:t> </w:t>
      </w:r>
      <w:r>
        <w:rPr>
          <w:sz w:val="20"/>
        </w:rPr>
        <w:t>el</w:t>
      </w:r>
      <w:r>
        <w:rPr>
          <w:spacing w:val="-8"/>
          <w:sz w:val="20"/>
        </w:rPr>
        <w:t> </w:t>
      </w:r>
      <w:r>
        <w:rPr>
          <w:sz w:val="20"/>
        </w:rPr>
        <w:t>incremento</w:t>
      </w:r>
      <w:r>
        <w:rPr>
          <w:spacing w:val="-8"/>
          <w:sz w:val="20"/>
        </w:rPr>
        <w:t> </w:t>
      </w:r>
      <w:r>
        <w:rPr>
          <w:sz w:val="20"/>
        </w:rPr>
        <w:t>derivado</w:t>
      </w:r>
      <w:r>
        <w:rPr>
          <w:spacing w:val="-6"/>
          <w:sz w:val="20"/>
        </w:rPr>
        <w:t> </w:t>
      </w:r>
      <w:r>
        <w:rPr>
          <w:sz w:val="20"/>
        </w:rPr>
        <w:t>del</w:t>
      </w:r>
      <w:r>
        <w:rPr>
          <w:spacing w:val="-9"/>
          <w:sz w:val="20"/>
        </w:rPr>
        <w:t> </w:t>
      </w:r>
      <w:r>
        <w:rPr>
          <w:sz w:val="20"/>
        </w:rPr>
        <w:t>proyecto,</w:t>
      </w:r>
      <w:r>
        <w:rPr>
          <w:spacing w:val="-8"/>
          <w:sz w:val="20"/>
        </w:rPr>
        <w:t> </w:t>
      </w:r>
      <w:r>
        <w:rPr>
          <w:spacing w:val="-2"/>
          <w:sz w:val="20"/>
        </w:rPr>
        <w:t>respecto:</w:t>
      </w:r>
    </w:p>
    <w:p>
      <w:pPr>
        <w:pStyle w:val="BodyText"/>
        <w:spacing w:before="1"/>
      </w:pPr>
    </w:p>
    <w:p>
      <w:pPr>
        <w:pStyle w:val="ListParagraph"/>
        <w:numPr>
          <w:ilvl w:val="1"/>
          <w:numId w:val="60"/>
        </w:numPr>
        <w:tabs>
          <w:tab w:pos="544" w:val="left" w:leader="none"/>
        </w:tabs>
        <w:spacing w:line="240" w:lineRule="auto" w:before="0" w:after="0"/>
        <w:ind w:left="544" w:right="0" w:hanging="282"/>
        <w:jc w:val="left"/>
        <w:rPr>
          <w:sz w:val="20"/>
        </w:rPr>
      </w:pPr>
      <w:r>
        <w:rPr>
          <w:sz w:val="20"/>
        </w:rPr>
        <w:t>Al</w:t>
      </w:r>
      <w:r>
        <w:rPr>
          <w:spacing w:val="-3"/>
          <w:sz w:val="20"/>
        </w:rPr>
        <w:t> </w:t>
      </w:r>
      <w:r>
        <w:rPr>
          <w:sz w:val="20"/>
        </w:rPr>
        <w:t>uso</w:t>
      </w:r>
      <w:r>
        <w:rPr>
          <w:spacing w:val="-4"/>
          <w:sz w:val="20"/>
        </w:rPr>
        <w:t> </w:t>
      </w:r>
      <w:r>
        <w:rPr>
          <w:sz w:val="20"/>
        </w:rPr>
        <w:t>del</w:t>
      </w:r>
      <w:r>
        <w:rPr>
          <w:spacing w:val="-5"/>
          <w:sz w:val="20"/>
        </w:rPr>
        <w:t> </w:t>
      </w:r>
      <w:r>
        <w:rPr>
          <w:spacing w:val="-2"/>
          <w:sz w:val="20"/>
        </w:rPr>
        <w:t>suelo.</w:t>
      </w:r>
    </w:p>
    <w:p>
      <w:pPr>
        <w:pStyle w:val="BodyText"/>
      </w:pPr>
    </w:p>
    <w:p>
      <w:pPr>
        <w:pStyle w:val="ListParagraph"/>
        <w:numPr>
          <w:ilvl w:val="1"/>
          <w:numId w:val="60"/>
        </w:numPr>
        <w:tabs>
          <w:tab w:pos="544" w:val="left" w:leader="none"/>
        </w:tabs>
        <w:spacing w:line="240" w:lineRule="auto" w:before="1" w:after="0"/>
        <w:ind w:left="544" w:right="0" w:hanging="282"/>
        <w:jc w:val="left"/>
        <w:rPr>
          <w:sz w:val="20"/>
        </w:rPr>
      </w:pPr>
      <w:r>
        <w:rPr>
          <w:sz w:val="20"/>
        </w:rPr>
        <w:t>La</w:t>
      </w:r>
      <w:r>
        <w:rPr>
          <w:spacing w:val="-6"/>
          <w:sz w:val="20"/>
        </w:rPr>
        <w:t> </w:t>
      </w:r>
      <w:r>
        <w:rPr>
          <w:spacing w:val="-2"/>
          <w:sz w:val="20"/>
        </w:rPr>
        <w:t>infraestructura.</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60"/>
        </w:numPr>
        <w:tabs>
          <w:tab w:pos="544" w:val="left" w:leader="none"/>
        </w:tabs>
        <w:spacing w:line="240" w:lineRule="auto" w:before="0" w:after="0"/>
        <w:ind w:left="544" w:right="0" w:hanging="282"/>
        <w:jc w:val="left"/>
        <w:rPr>
          <w:sz w:val="20"/>
        </w:rPr>
      </w:pPr>
      <w:r>
        <w:rPr>
          <w:sz w:val="20"/>
        </w:rPr>
        <w:t>La</w:t>
      </w:r>
      <w:r>
        <w:rPr>
          <w:spacing w:val="-8"/>
          <w:sz w:val="20"/>
        </w:rPr>
        <w:t> </w:t>
      </w:r>
      <w:r>
        <w:rPr>
          <w:sz w:val="20"/>
        </w:rPr>
        <w:t>vialidad</w:t>
      </w:r>
      <w:r>
        <w:rPr>
          <w:spacing w:val="-4"/>
          <w:sz w:val="20"/>
        </w:rPr>
        <w:t> </w:t>
      </w:r>
      <w:r>
        <w:rPr>
          <w:sz w:val="20"/>
        </w:rPr>
        <w:t>y</w:t>
      </w:r>
      <w:r>
        <w:rPr>
          <w:spacing w:val="-5"/>
          <w:sz w:val="20"/>
        </w:rPr>
        <w:t> </w:t>
      </w:r>
      <w:r>
        <w:rPr>
          <w:sz w:val="20"/>
        </w:rPr>
        <w:t>al</w:t>
      </w:r>
      <w:r>
        <w:rPr>
          <w:spacing w:val="-5"/>
          <w:sz w:val="20"/>
        </w:rPr>
        <w:t> </w:t>
      </w:r>
      <w:r>
        <w:rPr>
          <w:sz w:val="20"/>
        </w:rPr>
        <w:t>transporte,</w:t>
      </w:r>
      <w:r>
        <w:rPr>
          <w:spacing w:val="-4"/>
          <w:sz w:val="20"/>
        </w:rPr>
        <w:t> </w:t>
      </w:r>
      <w:r>
        <w:rPr>
          <w:sz w:val="20"/>
        </w:rPr>
        <w:t>incremento</w:t>
      </w:r>
      <w:r>
        <w:rPr>
          <w:spacing w:val="-7"/>
          <w:sz w:val="20"/>
        </w:rPr>
        <w:t> </w:t>
      </w:r>
      <w:r>
        <w:rPr>
          <w:sz w:val="20"/>
        </w:rPr>
        <w:t>en</w:t>
      </w:r>
      <w:r>
        <w:rPr>
          <w:spacing w:val="-6"/>
          <w:sz w:val="20"/>
        </w:rPr>
        <w:t> </w:t>
      </w:r>
      <w:r>
        <w:rPr>
          <w:sz w:val="20"/>
        </w:rPr>
        <w:t>el</w:t>
      </w:r>
      <w:r>
        <w:rPr>
          <w:spacing w:val="-7"/>
          <w:sz w:val="20"/>
        </w:rPr>
        <w:t> </w:t>
      </w:r>
      <w:r>
        <w:rPr>
          <w:sz w:val="20"/>
        </w:rPr>
        <w:t>número</w:t>
      </w:r>
      <w:r>
        <w:rPr>
          <w:spacing w:val="-4"/>
          <w:sz w:val="20"/>
        </w:rPr>
        <w:t> </w:t>
      </w:r>
      <w:r>
        <w:rPr>
          <w:sz w:val="20"/>
        </w:rPr>
        <w:t>de</w:t>
      </w:r>
      <w:r>
        <w:rPr>
          <w:spacing w:val="-4"/>
          <w:sz w:val="20"/>
        </w:rPr>
        <w:t> </w:t>
      </w:r>
      <w:r>
        <w:rPr>
          <w:spacing w:val="-2"/>
          <w:sz w:val="20"/>
        </w:rPr>
        <w:t>viajes.</w:t>
      </w:r>
    </w:p>
    <w:p>
      <w:pPr>
        <w:pStyle w:val="BodyText"/>
        <w:spacing w:before="1"/>
      </w:pPr>
    </w:p>
    <w:p>
      <w:pPr>
        <w:pStyle w:val="ListParagraph"/>
        <w:numPr>
          <w:ilvl w:val="1"/>
          <w:numId w:val="60"/>
        </w:numPr>
        <w:tabs>
          <w:tab w:pos="544" w:val="left" w:leader="none"/>
        </w:tabs>
        <w:spacing w:line="240" w:lineRule="auto" w:before="0" w:after="0"/>
        <w:ind w:left="544" w:right="0" w:hanging="282"/>
        <w:jc w:val="left"/>
        <w:rPr>
          <w:sz w:val="20"/>
        </w:rPr>
      </w:pPr>
      <w:r>
        <w:rPr>
          <w:sz w:val="20"/>
        </w:rPr>
        <w:t>La</w:t>
      </w:r>
      <w:r>
        <w:rPr>
          <w:spacing w:val="-6"/>
          <w:sz w:val="20"/>
        </w:rPr>
        <w:t> </w:t>
      </w:r>
      <w:r>
        <w:rPr>
          <w:spacing w:val="-2"/>
          <w:sz w:val="20"/>
        </w:rPr>
        <w:t>plusvalía.</w:t>
      </w:r>
    </w:p>
    <w:p>
      <w:pPr>
        <w:pStyle w:val="ListParagraph"/>
        <w:numPr>
          <w:ilvl w:val="1"/>
          <w:numId w:val="60"/>
        </w:numPr>
        <w:tabs>
          <w:tab w:pos="544" w:val="left" w:leader="none"/>
        </w:tabs>
        <w:spacing w:line="240" w:lineRule="auto" w:before="229" w:after="0"/>
        <w:ind w:left="544" w:right="0" w:hanging="282"/>
        <w:jc w:val="left"/>
        <w:rPr>
          <w:sz w:val="20"/>
        </w:rPr>
      </w:pPr>
      <w:r>
        <w:rPr>
          <w:sz w:val="20"/>
        </w:rPr>
        <w:t>Los</w:t>
      </w:r>
      <w:r>
        <w:rPr>
          <w:spacing w:val="-8"/>
          <w:sz w:val="20"/>
        </w:rPr>
        <w:t> </w:t>
      </w:r>
      <w:r>
        <w:rPr>
          <w:sz w:val="20"/>
        </w:rPr>
        <w:t>aspectos</w:t>
      </w:r>
      <w:r>
        <w:rPr>
          <w:spacing w:val="-7"/>
          <w:sz w:val="20"/>
        </w:rPr>
        <w:t> </w:t>
      </w:r>
      <w:r>
        <w:rPr>
          <w:spacing w:val="-2"/>
          <w:sz w:val="20"/>
        </w:rPr>
        <w:t>socioeconómicos;</w:t>
      </w:r>
    </w:p>
    <w:p>
      <w:pPr>
        <w:pStyle w:val="BodyText"/>
      </w:pPr>
    </w:p>
    <w:p>
      <w:pPr>
        <w:pStyle w:val="ListParagraph"/>
        <w:numPr>
          <w:ilvl w:val="0"/>
          <w:numId w:val="60"/>
        </w:numPr>
        <w:tabs>
          <w:tab w:pos="688" w:val="left" w:leader="none"/>
        </w:tabs>
        <w:spacing w:line="240" w:lineRule="auto" w:before="0" w:after="0"/>
        <w:ind w:left="262" w:right="284" w:firstLine="0"/>
        <w:jc w:val="left"/>
        <w:rPr>
          <w:sz w:val="20"/>
        </w:rPr>
      </w:pPr>
      <w:r>
        <w:rPr>
          <w:sz w:val="20"/>
        </w:rPr>
        <w:t>En</w:t>
      </w:r>
      <w:r>
        <w:rPr>
          <w:spacing w:val="40"/>
          <w:sz w:val="20"/>
        </w:rPr>
        <w:t> </w:t>
      </w:r>
      <w:r>
        <w:rPr>
          <w:sz w:val="20"/>
        </w:rPr>
        <w:t>su</w:t>
      </w:r>
      <w:r>
        <w:rPr>
          <w:spacing w:val="40"/>
          <w:sz w:val="20"/>
        </w:rPr>
        <w:t> </w:t>
      </w:r>
      <w:r>
        <w:rPr>
          <w:sz w:val="20"/>
        </w:rPr>
        <w:t>caso,</w:t>
      </w:r>
      <w:r>
        <w:rPr>
          <w:spacing w:val="40"/>
          <w:sz w:val="20"/>
        </w:rPr>
        <w:t> </w:t>
      </w:r>
      <w:r>
        <w:rPr>
          <w:sz w:val="20"/>
        </w:rPr>
        <w:t>normatividad</w:t>
      </w:r>
      <w:r>
        <w:rPr>
          <w:spacing w:val="40"/>
          <w:sz w:val="20"/>
        </w:rPr>
        <w:t> </w:t>
      </w:r>
      <w:r>
        <w:rPr>
          <w:sz w:val="20"/>
        </w:rPr>
        <w:t>aplicable</w:t>
      </w:r>
      <w:r>
        <w:rPr>
          <w:spacing w:val="40"/>
          <w:sz w:val="20"/>
        </w:rPr>
        <w:t> </w:t>
      </w:r>
      <w:r>
        <w:rPr>
          <w:sz w:val="20"/>
        </w:rPr>
        <w:t>y</w:t>
      </w:r>
      <w:r>
        <w:rPr>
          <w:spacing w:val="40"/>
          <w:sz w:val="20"/>
        </w:rPr>
        <w:t> </w:t>
      </w:r>
      <w:r>
        <w:rPr>
          <w:sz w:val="20"/>
        </w:rPr>
        <w:t>condicionantes</w:t>
      </w:r>
      <w:r>
        <w:rPr>
          <w:spacing w:val="40"/>
          <w:sz w:val="20"/>
        </w:rPr>
        <w:t> </w:t>
      </w:r>
      <w:r>
        <w:rPr>
          <w:sz w:val="20"/>
        </w:rPr>
        <w:t>de</w:t>
      </w:r>
      <w:r>
        <w:rPr>
          <w:spacing w:val="40"/>
          <w:sz w:val="20"/>
        </w:rPr>
        <w:t> </w:t>
      </w:r>
      <w:r>
        <w:rPr>
          <w:sz w:val="20"/>
        </w:rPr>
        <w:t>los</w:t>
      </w:r>
      <w:r>
        <w:rPr>
          <w:spacing w:val="40"/>
          <w:sz w:val="20"/>
        </w:rPr>
        <w:t> </w:t>
      </w:r>
      <w:r>
        <w:rPr>
          <w:sz w:val="20"/>
        </w:rPr>
        <w:t>programas</w:t>
      </w:r>
      <w:r>
        <w:rPr>
          <w:spacing w:val="40"/>
          <w:sz w:val="20"/>
        </w:rPr>
        <w:t> </w:t>
      </w:r>
      <w:r>
        <w:rPr>
          <w:sz w:val="20"/>
        </w:rPr>
        <w:t>de</w:t>
      </w:r>
      <w:r>
        <w:rPr>
          <w:spacing w:val="40"/>
          <w:sz w:val="20"/>
        </w:rPr>
        <w:t> </w:t>
      </w:r>
      <w:r>
        <w:rPr>
          <w:sz w:val="20"/>
        </w:rPr>
        <w:t>ordenamiento territorial y desarrollo urbano aplicables;</w:t>
      </w:r>
    </w:p>
    <w:p>
      <w:pPr>
        <w:pStyle w:val="BodyText"/>
        <w:spacing w:before="2"/>
      </w:pPr>
    </w:p>
    <w:p>
      <w:pPr>
        <w:pStyle w:val="ListParagraph"/>
        <w:numPr>
          <w:ilvl w:val="0"/>
          <w:numId w:val="60"/>
        </w:numPr>
        <w:tabs>
          <w:tab w:pos="688" w:val="left" w:leader="none"/>
        </w:tabs>
        <w:spacing w:line="240" w:lineRule="auto" w:before="0" w:after="0"/>
        <w:ind w:left="688" w:right="0" w:hanging="426"/>
        <w:jc w:val="left"/>
        <w:rPr>
          <w:sz w:val="20"/>
        </w:rPr>
      </w:pPr>
      <w:r>
        <w:rPr>
          <w:sz w:val="20"/>
        </w:rPr>
        <w:t>Descripción</w:t>
      </w:r>
      <w:r>
        <w:rPr>
          <w:spacing w:val="-8"/>
          <w:sz w:val="20"/>
        </w:rPr>
        <w:t> </w:t>
      </w:r>
      <w:r>
        <w:rPr>
          <w:sz w:val="20"/>
        </w:rPr>
        <w:t>de</w:t>
      </w:r>
      <w:r>
        <w:rPr>
          <w:spacing w:val="-8"/>
          <w:sz w:val="20"/>
        </w:rPr>
        <w:t> </w:t>
      </w:r>
      <w:r>
        <w:rPr>
          <w:sz w:val="20"/>
        </w:rPr>
        <w:t>medidas</w:t>
      </w:r>
      <w:r>
        <w:rPr>
          <w:spacing w:val="-8"/>
          <w:sz w:val="20"/>
        </w:rPr>
        <w:t> </w:t>
      </w:r>
      <w:r>
        <w:rPr>
          <w:sz w:val="20"/>
        </w:rPr>
        <w:t>de</w:t>
      </w:r>
      <w:r>
        <w:rPr>
          <w:spacing w:val="-7"/>
          <w:sz w:val="20"/>
        </w:rPr>
        <w:t> </w:t>
      </w:r>
      <w:r>
        <w:rPr>
          <w:sz w:val="20"/>
        </w:rPr>
        <w:t>eliminación</w:t>
      </w:r>
      <w:r>
        <w:rPr>
          <w:spacing w:val="-10"/>
          <w:sz w:val="20"/>
        </w:rPr>
        <w:t> </w:t>
      </w:r>
      <w:r>
        <w:rPr>
          <w:sz w:val="20"/>
        </w:rPr>
        <w:t>y/o</w:t>
      </w:r>
      <w:r>
        <w:rPr>
          <w:spacing w:val="-8"/>
          <w:sz w:val="20"/>
        </w:rPr>
        <w:t> </w:t>
      </w:r>
      <w:r>
        <w:rPr>
          <w:sz w:val="20"/>
        </w:rPr>
        <w:t>mitigación</w:t>
      </w:r>
      <w:r>
        <w:rPr>
          <w:spacing w:val="-7"/>
          <w:sz w:val="20"/>
        </w:rPr>
        <w:t> </w:t>
      </w:r>
      <w:r>
        <w:rPr>
          <w:sz w:val="20"/>
        </w:rPr>
        <w:t>de</w:t>
      </w:r>
      <w:r>
        <w:rPr>
          <w:spacing w:val="-10"/>
          <w:sz w:val="20"/>
        </w:rPr>
        <w:t> </w:t>
      </w:r>
      <w:r>
        <w:rPr>
          <w:sz w:val="20"/>
        </w:rPr>
        <w:t>impactos</w:t>
      </w:r>
      <w:r>
        <w:rPr>
          <w:spacing w:val="-8"/>
          <w:sz w:val="20"/>
        </w:rPr>
        <w:t> </w:t>
      </w:r>
      <w:r>
        <w:rPr>
          <w:spacing w:val="-2"/>
          <w:sz w:val="20"/>
        </w:rPr>
        <w:t>negativos;</w:t>
      </w:r>
    </w:p>
    <w:p>
      <w:pPr>
        <w:pStyle w:val="ListParagraph"/>
        <w:numPr>
          <w:ilvl w:val="0"/>
          <w:numId w:val="60"/>
        </w:numPr>
        <w:tabs>
          <w:tab w:pos="688" w:val="left" w:leader="none"/>
        </w:tabs>
        <w:spacing w:line="240" w:lineRule="auto" w:before="229" w:after="0"/>
        <w:ind w:left="688" w:right="0" w:hanging="426"/>
        <w:jc w:val="left"/>
        <w:rPr>
          <w:sz w:val="20"/>
        </w:rPr>
      </w:pPr>
      <w:r>
        <w:rPr>
          <w:sz w:val="20"/>
        </w:rPr>
        <w:t>Áreas</w:t>
      </w:r>
      <w:r>
        <w:rPr>
          <w:spacing w:val="-7"/>
          <w:sz w:val="20"/>
        </w:rPr>
        <w:t> </w:t>
      </w:r>
      <w:r>
        <w:rPr>
          <w:sz w:val="20"/>
        </w:rPr>
        <w:t>de</w:t>
      </w:r>
      <w:r>
        <w:rPr>
          <w:spacing w:val="-6"/>
          <w:sz w:val="20"/>
        </w:rPr>
        <w:t> </w:t>
      </w:r>
      <w:r>
        <w:rPr>
          <w:sz w:val="20"/>
        </w:rPr>
        <w:t>influencia</w:t>
      </w:r>
      <w:r>
        <w:rPr>
          <w:spacing w:val="-7"/>
          <w:sz w:val="20"/>
        </w:rPr>
        <w:t> </w:t>
      </w:r>
      <w:r>
        <w:rPr>
          <w:sz w:val="20"/>
        </w:rPr>
        <w:t>directa</w:t>
      </w:r>
      <w:r>
        <w:rPr>
          <w:spacing w:val="-6"/>
          <w:sz w:val="20"/>
        </w:rPr>
        <w:t> </w:t>
      </w:r>
      <w:r>
        <w:rPr>
          <w:sz w:val="20"/>
        </w:rPr>
        <w:t>e</w:t>
      </w:r>
      <w:r>
        <w:rPr>
          <w:spacing w:val="-7"/>
          <w:sz w:val="20"/>
        </w:rPr>
        <w:t> </w:t>
      </w:r>
      <w:r>
        <w:rPr>
          <w:spacing w:val="-2"/>
          <w:sz w:val="20"/>
        </w:rPr>
        <w:t>indirecta;</w:t>
      </w:r>
    </w:p>
    <w:p>
      <w:pPr>
        <w:pStyle w:val="BodyText"/>
      </w:pPr>
    </w:p>
    <w:p>
      <w:pPr>
        <w:pStyle w:val="ListParagraph"/>
        <w:numPr>
          <w:ilvl w:val="0"/>
          <w:numId w:val="60"/>
        </w:numPr>
        <w:tabs>
          <w:tab w:pos="688" w:val="left" w:leader="none"/>
        </w:tabs>
        <w:spacing w:line="240" w:lineRule="auto" w:before="1" w:after="0"/>
        <w:ind w:left="688" w:right="0" w:hanging="426"/>
        <w:jc w:val="left"/>
        <w:rPr>
          <w:sz w:val="20"/>
        </w:rPr>
      </w:pPr>
      <w:r>
        <w:rPr>
          <w:sz w:val="20"/>
        </w:rPr>
        <w:t>Conclusiones</w:t>
      </w:r>
      <w:r>
        <w:rPr>
          <w:spacing w:val="-10"/>
          <w:sz w:val="20"/>
        </w:rPr>
        <w:t> </w:t>
      </w:r>
      <w:r>
        <w:rPr>
          <w:sz w:val="20"/>
        </w:rPr>
        <w:t>y</w:t>
      </w:r>
      <w:r>
        <w:rPr>
          <w:spacing w:val="-7"/>
          <w:sz w:val="20"/>
        </w:rPr>
        <w:t> </w:t>
      </w:r>
      <w:r>
        <w:rPr>
          <w:spacing w:val="-2"/>
          <w:sz w:val="20"/>
        </w:rPr>
        <w:t>recomendaciones;</w:t>
      </w:r>
    </w:p>
    <w:p>
      <w:pPr>
        <w:pStyle w:val="BodyText"/>
      </w:pPr>
    </w:p>
    <w:p>
      <w:pPr>
        <w:pStyle w:val="ListParagraph"/>
        <w:numPr>
          <w:ilvl w:val="0"/>
          <w:numId w:val="60"/>
        </w:numPr>
        <w:tabs>
          <w:tab w:pos="689" w:val="left" w:leader="none"/>
        </w:tabs>
        <w:spacing w:line="240" w:lineRule="auto" w:before="0" w:after="0"/>
        <w:ind w:left="689" w:right="0" w:hanging="427"/>
        <w:jc w:val="left"/>
        <w:rPr>
          <w:sz w:val="20"/>
        </w:rPr>
      </w:pPr>
      <w:r>
        <w:rPr>
          <w:sz w:val="20"/>
        </w:rPr>
        <w:t>Memoria</w:t>
      </w:r>
      <w:r>
        <w:rPr>
          <w:spacing w:val="-14"/>
          <w:sz w:val="20"/>
        </w:rPr>
        <w:t> </w:t>
      </w:r>
      <w:r>
        <w:rPr>
          <w:spacing w:val="-2"/>
          <w:sz w:val="20"/>
        </w:rPr>
        <w:t>fotográfica;</w:t>
      </w:r>
    </w:p>
    <w:p>
      <w:pPr>
        <w:pStyle w:val="ListParagraph"/>
        <w:numPr>
          <w:ilvl w:val="0"/>
          <w:numId w:val="60"/>
        </w:numPr>
        <w:tabs>
          <w:tab w:pos="688" w:val="left" w:leader="none"/>
        </w:tabs>
        <w:spacing w:line="240" w:lineRule="auto" w:before="229" w:after="0"/>
        <w:ind w:left="688" w:right="0" w:hanging="426"/>
        <w:jc w:val="left"/>
        <w:rPr>
          <w:sz w:val="20"/>
        </w:rPr>
      </w:pPr>
      <w:r>
        <w:rPr>
          <w:sz w:val="20"/>
        </w:rPr>
        <w:t>Anexo</w:t>
      </w:r>
      <w:r>
        <w:rPr>
          <w:spacing w:val="-9"/>
          <w:sz w:val="20"/>
        </w:rPr>
        <w:t> </w:t>
      </w:r>
      <w:r>
        <w:rPr>
          <w:spacing w:val="-2"/>
          <w:sz w:val="20"/>
        </w:rPr>
        <w:t>cartográfico;</w:t>
      </w:r>
    </w:p>
    <w:p>
      <w:pPr>
        <w:pStyle w:val="BodyText"/>
      </w:pPr>
    </w:p>
    <w:p>
      <w:pPr>
        <w:pStyle w:val="ListParagraph"/>
        <w:numPr>
          <w:ilvl w:val="0"/>
          <w:numId w:val="60"/>
        </w:numPr>
        <w:tabs>
          <w:tab w:pos="688" w:val="left" w:leader="none"/>
        </w:tabs>
        <w:spacing w:line="240" w:lineRule="auto" w:before="1" w:after="0"/>
        <w:ind w:left="688" w:right="0" w:hanging="426"/>
        <w:jc w:val="left"/>
        <w:rPr>
          <w:sz w:val="20"/>
        </w:rPr>
      </w:pPr>
      <w:r>
        <w:rPr>
          <w:sz w:val="20"/>
        </w:rPr>
        <w:t>Anexo</w:t>
      </w:r>
      <w:r>
        <w:rPr>
          <w:spacing w:val="-11"/>
          <w:sz w:val="20"/>
        </w:rPr>
        <w:t> </w:t>
      </w:r>
      <w:r>
        <w:rPr>
          <w:sz w:val="20"/>
        </w:rPr>
        <w:t>documental,</w:t>
      </w:r>
      <w:r>
        <w:rPr>
          <w:spacing w:val="-10"/>
          <w:sz w:val="20"/>
        </w:rPr>
        <w:t> y</w:t>
      </w:r>
    </w:p>
    <w:p>
      <w:pPr>
        <w:pStyle w:val="ListParagraph"/>
        <w:numPr>
          <w:ilvl w:val="0"/>
          <w:numId w:val="60"/>
        </w:numPr>
        <w:tabs>
          <w:tab w:pos="688" w:val="left" w:leader="none"/>
        </w:tabs>
        <w:spacing w:line="240" w:lineRule="auto" w:before="228" w:after="0"/>
        <w:ind w:left="688" w:right="0" w:hanging="426"/>
        <w:jc w:val="left"/>
        <w:rPr>
          <w:sz w:val="20"/>
        </w:rPr>
      </w:pPr>
      <w:r>
        <w:rPr>
          <w:spacing w:val="-2"/>
          <w:sz w:val="20"/>
        </w:rPr>
        <w:t>Bibliografía.</w:t>
      </w:r>
    </w:p>
    <w:p>
      <w:pPr>
        <w:pStyle w:val="BodyText"/>
        <w:spacing w:before="1"/>
      </w:pPr>
    </w:p>
    <w:p>
      <w:pPr>
        <w:pStyle w:val="BodyText"/>
        <w:ind w:left="262" w:right="285"/>
        <w:jc w:val="both"/>
      </w:pPr>
      <w:r>
        <w:rPr>
          <w:rFonts w:ascii="Arial" w:hAnsi="Arial"/>
          <w:b/>
        </w:rPr>
        <w:t>ARTÍCULO 144. </w:t>
      </w:r>
      <w:r>
        <w:rPr/>
        <w:t>Los estudios de imagen urbana que se presenten en los casos en que así lo determina</w:t>
      </w:r>
      <w:r>
        <w:rPr>
          <w:spacing w:val="-3"/>
        </w:rPr>
        <w:t> </w:t>
      </w:r>
      <w:r>
        <w:rPr/>
        <w:t>la</w:t>
      </w:r>
      <w:r>
        <w:rPr>
          <w:spacing w:val="-1"/>
        </w:rPr>
        <w:t> </w:t>
      </w:r>
      <w:r>
        <w:rPr/>
        <w:t>presente</w:t>
      </w:r>
      <w:r>
        <w:rPr>
          <w:spacing w:val="-3"/>
        </w:rPr>
        <w:t> </w:t>
      </w:r>
      <w:r>
        <w:rPr/>
        <w:t>Ley y</w:t>
      </w:r>
      <w:r>
        <w:rPr>
          <w:spacing w:val="-2"/>
        </w:rPr>
        <w:t> </w:t>
      </w:r>
      <w:r>
        <w:rPr/>
        <w:t>los</w:t>
      </w:r>
      <w:r>
        <w:rPr>
          <w:spacing w:val="-2"/>
        </w:rPr>
        <w:t> </w:t>
      </w:r>
      <w:r>
        <w:rPr/>
        <w:t>programas</w:t>
      </w:r>
      <w:r>
        <w:rPr>
          <w:spacing w:val="-2"/>
        </w:rPr>
        <w:t> </w:t>
      </w:r>
      <w:r>
        <w:rPr/>
        <w:t>de</w:t>
      </w:r>
      <w:r>
        <w:rPr>
          <w:spacing w:val="-4"/>
        </w:rPr>
        <w:t> </w:t>
      </w:r>
      <w:r>
        <w:rPr/>
        <w:t>ordenamiento</w:t>
      </w:r>
      <w:r>
        <w:rPr>
          <w:spacing w:val="-4"/>
        </w:rPr>
        <w:t> </w:t>
      </w:r>
      <w:r>
        <w:rPr/>
        <w:t>territorial</w:t>
      </w:r>
      <w:r>
        <w:rPr>
          <w:spacing w:val="-4"/>
        </w:rPr>
        <w:t> </w:t>
      </w:r>
      <w:r>
        <w:rPr/>
        <w:t>y</w:t>
      </w:r>
      <w:r>
        <w:rPr>
          <w:spacing w:val="-2"/>
        </w:rPr>
        <w:t> </w:t>
      </w:r>
      <w:r>
        <w:rPr/>
        <w:t>desarrollo</w:t>
      </w:r>
      <w:r>
        <w:rPr>
          <w:spacing w:val="-3"/>
        </w:rPr>
        <w:t> </w:t>
      </w:r>
      <w:r>
        <w:rPr/>
        <w:t>urbano,</w:t>
      </w:r>
      <w:r>
        <w:rPr>
          <w:spacing w:val="-3"/>
        </w:rPr>
        <w:t> </w:t>
      </w:r>
      <w:r>
        <w:rPr/>
        <w:t>deberán contener como mínimo:</w:t>
      </w:r>
    </w:p>
    <w:p>
      <w:pPr>
        <w:pStyle w:val="ListParagraph"/>
        <w:numPr>
          <w:ilvl w:val="0"/>
          <w:numId w:val="61"/>
        </w:numPr>
        <w:tabs>
          <w:tab w:pos="457" w:val="left" w:leader="none"/>
        </w:tabs>
        <w:spacing w:line="240" w:lineRule="auto" w:before="230" w:after="0"/>
        <w:ind w:left="457" w:right="0" w:hanging="195"/>
        <w:jc w:val="left"/>
        <w:rPr>
          <w:sz w:val="20"/>
        </w:rPr>
      </w:pPr>
      <w:r>
        <w:rPr>
          <w:sz w:val="20"/>
        </w:rPr>
        <w:t>Datos</w:t>
      </w:r>
      <w:r>
        <w:rPr>
          <w:spacing w:val="-8"/>
          <w:sz w:val="20"/>
        </w:rPr>
        <w:t> </w:t>
      </w:r>
      <w:r>
        <w:rPr>
          <w:sz w:val="20"/>
        </w:rPr>
        <w:t>generales</w:t>
      </w:r>
      <w:r>
        <w:rPr>
          <w:spacing w:val="-6"/>
          <w:sz w:val="20"/>
        </w:rPr>
        <w:t> </w:t>
      </w:r>
      <w:r>
        <w:rPr>
          <w:sz w:val="20"/>
        </w:rPr>
        <w:t>del</w:t>
      </w:r>
      <w:r>
        <w:rPr>
          <w:spacing w:val="-7"/>
          <w:sz w:val="20"/>
        </w:rPr>
        <w:t> </w:t>
      </w:r>
      <w:r>
        <w:rPr>
          <w:sz w:val="20"/>
        </w:rPr>
        <w:t>propietario,</w:t>
      </w:r>
      <w:r>
        <w:rPr>
          <w:spacing w:val="-7"/>
          <w:sz w:val="20"/>
        </w:rPr>
        <w:t> </w:t>
      </w:r>
      <w:r>
        <w:rPr>
          <w:sz w:val="20"/>
        </w:rPr>
        <w:t>del</w:t>
      </w:r>
      <w:r>
        <w:rPr>
          <w:spacing w:val="-9"/>
          <w:sz w:val="20"/>
        </w:rPr>
        <w:t> </w:t>
      </w:r>
      <w:r>
        <w:rPr>
          <w:sz w:val="20"/>
        </w:rPr>
        <w:t>promotor</w:t>
      </w:r>
      <w:r>
        <w:rPr>
          <w:spacing w:val="-9"/>
          <w:sz w:val="20"/>
        </w:rPr>
        <w:t> </w:t>
      </w:r>
      <w:r>
        <w:rPr>
          <w:sz w:val="20"/>
        </w:rPr>
        <w:t>y</w:t>
      </w:r>
      <w:r>
        <w:rPr>
          <w:spacing w:val="-7"/>
          <w:sz w:val="20"/>
        </w:rPr>
        <w:t> </w:t>
      </w:r>
      <w:r>
        <w:rPr>
          <w:sz w:val="20"/>
        </w:rPr>
        <w:t>del</w:t>
      </w:r>
      <w:r>
        <w:rPr>
          <w:spacing w:val="-7"/>
          <w:sz w:val="20"/>
        </w:rPr>
        <w:t> </w:t>
      </w:r>
      <w:r>
        <w:rPr>
          <w:sz w:val="20"/>
        </w:rPr>
        <w:t>responsable</w:t>
      </w:r>
      <w:r>
        <w:rPr>
          <w:spacing w:val="-7"/>
          <w:sz w:val="20"/>
        </w:rPr>
        <w:t> </w:t>
      </w:r>
      <w:r>
        <w:rPr>
          <w:sz w:val="20"/>
        </w:rPr>
        <w:t>del</w:t>
      </w:r>
      <w:r>
        <w:rPr>
          <w:spacing w:val="-9"/>
          <w:sz w:val="20"/>
        </w:rPr>
        <w:t> </w:t>
      </w:r>
      <w:r>
        <w:rPr>
          <w:spacing w:val="-2"/>
          <w:sz w:val="20"/>
        </w:rPr>
        <w:t>estudio:</w:t>
      </w:r>
    </w:p>
    <w:p>
      <w:pPr>
        <w:pStyle w:val="BodyText"/>
      </w:pPr>
    </w:p>
    <w:p>
      <w:pPr>
        <w:pStyle w:val="ListParagraph"/>
        <w:numPr>
          <w:ilvl w:val="1"/>
          <w:numId w:val="61"/>
        </w:numPr>
        <w:tabs>
          <w:tab w:pos="544" w:val="left" w:leader="none"/>
        </w:tabs>
        <w:spacing w:line="240" w:lineRule="auto" w:before="0" w:after="0"/>
        <w:ind w:left="544" w:right="0" w:hanging="282"/>
        <w:jc w:val="left"/>
        <w:rPr>
          <w:sz w:val="20"/>
        </w:rPr>
      </w:pPr>
      <w:r>
        <w:rPr>
          <w:sz w:val="20"/>
        </w:rPr>
        <w:t>Datos</w:t>
      </w:r>
      <w:r>
        <w:rPr>
          <w:spacing w:val="-6"/>
          <w:sz w:val="20"/>
        </w:rPr>
        <w:t> </w:t>
      </w:r>
      <w:r>
        <w:rPr>
          <w:sz w:val="20"/>
        </w:rPr>
        <w:t>del</w:t>
      </w:r>
      <w:r>
        <w:rPr>
          <w:spacing w:val="-6"/>
          <w:sz w:val="20"/>
        </w:rPr>
        <w:t> </w:t>
      </w:r>
      <w:r>
        <w:rPr>
          <w:spacing w:val="-2"/>
          <w:sz w:val="20"/>
        </w:rPr>
        <w:t>propietario.</w:t>
      </w:r>
    </w:p>
    <w:p>
      <w:pPr>
        <w:pStyle w:val="BodyText"/>
        <w:spacing w:before="1"/>
      </w:pPr>
    </w:p>
    <w:p>
      <w:pPr>
        <w:pStyle w:val="ListParagraph"/>
        <w:numPr>
          <w:ilvl w:val="1"/>
          <w:numId w:val="61"/>
        </w:numPr>
        <w:tabs>
          <w:tab w:pos="544" w:val="left" w:leader="none"/>
        </w:tabs>
        <w:spacing w:line="240" w:lineRule="auto" w:before="0" w:after="0"/>
        <w:ind w:left="544" w:right="0" w:hanging="282"/>
        <w:jc w:val="left"/>
        <w:rPr>
          <w:sz w:val="20"/>
        </w:rPr>
      </w:pPr>
      <w:r>
        <w:rPr>
          <w:sz w:val="20"/>
        </w:rPr>
        <w:t>Datos</w:t>
      </w:r>
      <w:r>
        <w:rPr>
          <w:spacing w:val="-6"/>
          <w:sz w:val="20"/>
        </w:rPr>
        <w:t> </w:t>
      </w:r>
      <w:r>
        <w:rPr>
          <w:sz w:val="20"/>
        </w:rPr>
        <w:t>del</w:t>
      </w:r>
      <w:r>
        <w:rPr>
          <w:spacing w:val="-6"/>
          <w:sz w:val="20"/>
        </w:rPr>
        <w:t> </w:t>
      </w:r>
      <w:r>
        <w:rPr>
          <w:spacing w:val="-2"/>
          <w:sz w:val="20"/>
        </w:rPr>
        <w:t>promotor.</w:t>
      </w:r>
    </w:p>
    <w:p>
      <w:pPr>
        <w:pStyle w:val="ListParagraph"/>
        <w:numPr>
          <w:ilvl w:val="1"/>
          <w:numId w:val="61"/>
        </w:numPr>
        <w:tabs>
          <w:tab w:pos="544" w:val="left" w:leader="none"/>
        </w:tabs>
        <w:spacing w:line="240" w:lineRule="auto" w:before="229" w:after="0"/>
        <w:ind w:left="544" w:right="0" w:hanging="282"/>
        <w:jc w:val="left"/>
        <w:rPr>
          <w:sz w:val="20"/>
        </w:rPr>
      </w:pPr>
      <w:r>
        <w:rPr>
          <w:sz w:val="20"/>
        </w:rPr>
        <w:t>Datos</w:t>
      </w:r>
      <w:r>
        <w:rPr>
          <w:spacing w:val="-7"/>
          <w:sz w:val="20"/>
        </w:rPr>
        <w:t> </w:t>
      </w:r>
      <w:r>
        <w:rPr>
          <w:sz w:val="20"/>
        </w:rPr>
        <w:t>del</w:t>
      </w:r>
      <w:r>
        <w:rPr>
          <w:spacing w:val="-9"/>
          <w:sz w:val="20"/>
        </w:rPr>
        <w:t> </w:t>
      </w:r>
      <w:r>
        <w:rPr>
          <w:sz w:val="20"/>
        </w:rPr>
        <w:t>responsable</w:t>
      </w:r>
      <w:r>
        <w:rPr>
          <w:spacing w:val="-6"/>
          <w:sz w:val="20"/>
        </w:rPr>
        <w:t> </w:t>
      </w:r>
      <w:r>
        <w:rPr>
          <w:sz w:val="20"/>
        </w:rPr>
        <w:t>del</w:t>
      </w:r>
      <w:r>
        <w:rPr>
          <w:spacing w:val="-7"/>
          <w:sz w:val="20"/>
        </w:rPr>
        <w:t> </w:t>
      </w:r>
      <w:r>
        <w:rPr>
          <w:spacing w:val="-2"/>
          <w:sz w:val="20"/>
        </w:rPr>
        <w:t>estudio;</w:t>
      </w:r>
    </w:p>
    <w:p>
      <w:pPr>
        <w:pStyle w:val="BodyText"/>
      </w:pPr>
    </w:p>
    <w:p>
      <w:pPr>
        <w:pStyle w:val="ListParagraph"/>
        <w:numPr>
          <w:ilvl w:val="0"/>
          <w:numId w:val="61"/>
        </w:numPr>
        <w:tabs>
          <w:tab w:pos="543" w:val="left" w:leader="none"/>
        </w:tabs>
        <w:spacing w:line="240" w:lineRule="auto" w:before="1" w:after="0"/>
        <w:ind w:left="543" w:right="0" w:hanging="281"/>
        <w:jc w:val="left"/>
        <w:rPr>
          <w:sz w:val="20"/>
        </w:rPr>
      </w:pPr>
      <w:r>
        <w:rPr>
          <w:sz w:val="20"/>
        </w:rPr>
        <w:t>Descripción</w:t>
      </w:r>
      <w:r>
        <w:rPr>
          <w:spacing w:val="-8"/>
          <w:sz w:val="20"/>
        </w:rPr>
        <w:t> </w:t>
      </w:r>
      <w:r>
        <w:rPr>
          <w:sz w:val="20"/>
        </w:rPr>
        <w:t>del</w:t>
      </w:r>
      <w:r>
        <w:rPr>
          <w:spacing w:val="-11"/>
          <w:sz w:val="20"/>
        </w:rPr>
        <w:t> </w:t>
      </w:r>
      <w:r>
        <w:rPr>
          <w:spacing w:val="-2"/>
          <w:sz w:val="20"/>
        </w:rPr>
        <w:t>proyecto:</w:t>
      </w:r>
    </w:p>
    <w:p>
      <w:pPr>
        <w:pStyle w:val="BodyText"/>
      </w:pPr>
    </w:p>
    <w:p>
      <w:pPr>
        <w:pStyle w:val="ListParagraph"/>
        <w:numPr>
          <w:ilvl w:val="1"/>
          <w:numId w:val="61"/>
        </w:numPr>
        <w:tabs>
          <w:tab w:pos="544" w:val="left" w:leader="none"/>
        </w:tabs>
        <w:spacing w:line="240" w:lineRule="auto" w:before="0" w:after="0"/>
        <w:ind w:left="544" w:right="0" w:hanging="282"/>
        <w:jc w:val="left"/>
        <w:rPr>
          <w:sz w:val="20"/>
        </w:rPr>
      </w:pPr>
      <w:r>
        <w:rPr>
          <w:sz w:val="20"/>
        </w:rPr>
        <w:t>Localización</w:t>
      </w:r>
      <w:r>
        <w:rPr>
          <w:spacing w:val="-8"/>
          <w:sz w:val="20"/>
        </w:rPr>
        <w:t> </w:t>
      </w:r>
      <w:r>
        <w:rPr>
          <w:sz w:val="20"/>
        </w:rPr>
        <w:t>y</w:t>
      </w:r>
      <w:r>
        <w:rPr>
          <w:spacing w:val="-7"/>
          <w:sz w:val="20"/>
        </w:rPr>
        <w:t> </w:t>
      </w:r>
      <w:r>
        <w:rPr>
          <w:sz w:val="20"/>
        </w:rPr>
        <w:t>micro</w:t>
      </w:r>
      <w:r>
        <w:rPr>
          <w:spacing w:val="-8"/>
          <w:sz w:val="20"/>
        </w:rPr>
        <w:t> </w:t>
      </w:r>
      <w:r>
        <w:rPr>
          <w:spacing w:val="-2"/>
          <w:sz w:val="20"/>
        </w:rPr>
        <w:t>localización.</w:t>
      </w:r>
    </w:p>
    <w:p>
      <w:pPr>
        <w:pStyle w:val="ListParagraph"/>
        <w:numPr>
          <w:ilvl w:val="1"/>
          <w:numId w:val="61"/>
        </w:numPr>
        <w:tabs>
          <w:tab w:pos="544" w:val="left" w:leader="none"/>
        </w:tabs>
        <w:spacing w:line="240" w:lineRule="auto" w:before="229" w:after="0"/>
        <w:ind w:left="544" w:right="0" w:hanging="282"/>
        <w:jc w:val="left"/>
        <w:rPr>
          <w:sz w:val="20"/>
        </w:rPr>
      </w:pPr>
      <w:r>
        <w:rPr>
          <w:spacing w:val="-2"/>
          <w:sz w:val="20"/>
        </w:rPr>
        <w:t>Descripción;</w:t>
      </w:r>
    </w:p>
    <w:p>
      <w:pPr>
        <w:pStyle w:val="BodyText"/>
        <w:spacing w:before="1"/>
      </w:pPr>
    </w:p>
    <w:p>
      <w:pPr>
        <w:pStyle w:val="ListParagraph"/>
        <w:numPr>
          <w:ilvl w:val="0"/>
          <w:numId w:val="61"/>
        </w:numPr>
        <w:tabs>
          <w:tab w:pos="597" w:val="left" w:leader="none"/>
        </w:tabs>
        <w:spacing w:line="240" w:lineRule="auto" w:before="0" w:after="0"/>
        <w:ind w:left="597" w:right="0" w:hanging="335"/>
        <w:jc w:val="left"/>
        <w:rPr>
          <w:sz w:val="20"/>
        </w:rPr>
      </w:pPr>
      <w:r>
        <w:rPr>
          <w:sz w:val="20"/>
        </w:rPr>
        <w:t>Diagnóstico</w:t>
      </w:r>
      <w:r>
        <w:rPr>
          <w:spacing w:val="-7"/>
          <w:sz w:val="20"/>
        </w:rPr>
        <w:t> </w:t>
      </w:r>
      <w:r>
        <w:rPr>
          <w:sz w:val="20"/>
        </w:rPr>
        <w:t>de</w:t>
      </w:r>
      <w:r>
        <w:rPr>
          <w:spacing w:val="-5"/>
          <w:sz w:val="20"/>
        </w:rPr>
        <w:t> </w:t>
      </w:r>
      <w:r>
        <w:rPr>
          <w:sz w:val="20"/>
        </w:rPr>
        <w:t>imagen</w:t>
      </w:r>
      <w:r>
        <w:rPr>
          <w:spacing w:val="-7"/>
          <w:sz w:val="20"/>
        </w:rPr>
        <w:t> </w:t>
      </w:r>
      <w:r>
        <w:rPr>
          <w:sz w:val="20"/>
        </w:rPr>
        <w:t>urbana</w:t>
      </w:r>
      <w:r>
        <w:rPr>
          <w:spacing w:val="-5"/>
          <w:sz w:val="20"/>
        </w:rPr>
        <w:t> </w:t>
      </w:r>
      <w:r>
        <w:rPr>
          <w:sz w:val="20"/>
        </w:rPr>
        <w:t>en</w:t>
      </w:r>
      <w:r>
        <w:rPr>
          <w:spacing w:val="-7"/>
          <w:sz w:val="20"/>
        </w:rPr>
        <w:t> </w:t>
      </w:r>
      <w:r>
        <w:rPr>
          <w:sz w:val="20"/>
        </w:rPr>
        <w:t>el</w:t>
      </w:r>
      <w:r>
        <w:rPr>
          <w:spacing w:val="-8"/>
          <w:sz w:val="20"/>
        </w:rPr>
        <w:t> </w:t>
      </w:r>
      <w:r>
        <w:rPr>
          <w:spacing w:val="-2"/>
          <w:sz w:val="20"/>
        </w:rPr>
        <w:t>entorno:</w:t>
      </w:r>
    </w:p>
    <w:p>
      <w:pPr>
        <w:pStyle w:val="BodyText"/>
        <w:spacing w:before="1"/>
      </w:pPr>
    </w:p>
    <w:p>
      <w:pPr>
        <w:pStyle w:val="ListParagraph"/>
        <w:numPr>
          <w:ilvl w:val="1"/>
          <w:numId w:val="61"/>
        </w:numPr>
        <w:tabs>
          <w:tab w:pos="544" w:val="left" w:leader="none"/>
        </w:tabs>
        <w:spacing w:line="240" w:lineRule="auto" w:before="0" w:after="0"/>
        <w:ind w:left="544" w:right="0" w:hanging="282"/>
        <w:jc w:val="left"/>
        <w:rPr>
          <w:sz w:val="20"/>
        </w:rPr>
      </w:pPr>
      <w:r>
        <w:rPr>
          <w:sz w:val="20"/>
        </w:rPr>
        <w:t>Metodología</w:t>
      </w:r>
      <w:r>
        <w:rPr>
          <w:spacing w:val="-9"/>
          <w:sz w:val="20"/>
        </w:rPr>
        <w:t> </w:t>
      </w:r>
      <w:r>
        <w:rPr>
          <w:sz w:val="20"/>
        </w:rPr>
        <w:t>de</w:t>
      </w:r>
      <w:r>
        <w:rPr>
          <w:spacing w:val="-9"/>
          <w:sz w:val="20"/>
        </w:rPr>
        <w:t> </w:t>
      </w:r>
      <w:r>
        <w:rPr>
          <w:spacing w:val="-2"/>
          <w:sz w:val="20"/>
        </w:rPr>
        <w:t>estudio.</w:t>
      </w:r>
    </w:p>
    <w:p>
      <w:pPr>
        <w:pStyle w:val="ListParagraph"/>
        <w:numPr>
          <w:ilvl w:val="1"/>
          <w:numId w:val="61"/>
        </w:numPr>
        <w:tabs>
          <w:tab w:pos="544" w:val="left" w:leader="none"/>
        </w:tabs>
        <w:spacing w:line="240" w:lineRule="auto" w:before="228" w:after="0"/>
        <w:ind w:left="544" w:right="0" w:hanging="282"/>
        <w:jc w:val="left"/>
        <w:rPr>
          <w:sz w:val="20"/>
        </w:rPr>
      </w:pPr>
      <w:r>
        <w:rPr>
          <w:sz w:val="20"/>
        </w:rPr>
        <w:t>Características</w:t>
      </w:r>
      <w:r>
        <w:rPr>
          <w:spacing w:val="-11"/>
          <w:sz w:val="20"/>
        </w:rPr>
        <w:t> </w:t>
      </w:r>
      <w:r>
        <w:rPr>
          <w:sz w:val="20"/>
        </w:rPr>
        <w:t>del</w:t>
      </w:r>
      <w:r>
        <w:rPr>
          <w:spacing w:val="-8"/>
          <w:sz w:val="20"/>
        </w:rPr>
        <w:t> </w:t>
      </w:r>
      <w:r>
        <w:rPr>
          <w:spacing w:val="-2"/>
          <w:sz w:val="20"/>
        </w:rPr>
        <w:t>entorno:</w:t>
      </w:r>
    </w:p>
    <w:p>
      <w:pPr>
        <w:pStyle w:val="BodyText"/>
        <w:spacing w:before="1"/>
      </w:pPr>
    </w:p>
    <w:p>
      <w:pPr>
        <w:pStyle w:val="ListParagraph"/>
        <w:numPr>
          <w:ilvl w:val="2"/>
          <w:numId w:val="61"/>
        </w:numPr>
        <w:tabs>
          <w:tab w:pos="544" w:val="left" w:leader="none"/>
        </w:tabs>
        <w:spacing w:line="240" w:lineRule="auto" w:before="0" w:after="0"/>
        <w:ind w:left="544" w:right="0" w:hanging="282"/>
        <w:jc w:val="left"/>
        <w:rPr>
          <w:sz w:val="20"/>
        </w:rPr>
      </w:pPr>
      <w:r>
        <w:rPr>
          <w:spacing w:val="-2"/>
          <w:sz w:val="20"/>
        </w:rPr>
        <w:t>Permeabilidad.</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2"/>
          <w:numId w:val="61"/>
        </w:numPr>
        <w:tabs>
          <w:tab w:pos="544" w:val="left" w:leader="none"/>
        </w:tabs>
        <w:spacing w:line="240" w:lineRule="auto" w:before="0" w:after="0"/>
        <w:ind w:left="544" w:right="0" w:hanging="282"/>
        <w:jc w:val="left"/>
        <w:rPr>
          <w:sz w:val="20"/>
        </w:rPr>
      </w:pPr>
      <w:r>
        <w:rPr>
          <w:spacing w:val="-2"/>
          <w:sz w:val="20"/>
        </w:rPr>
        <w:t>Variedad.</w:t>
      </w:r>
    </w:p>
    <w:p>
      <w:pPr>
        <w:pStyle w:val="BodyText"/>
        <w:spacing w:before="1"/>
      </w:pPr>
    </w:p>
    <w:p>
      <w:pPr>
        <w:pStyle w:val="ListParagraph"/>
        <w:numPr>
          <w:ilvl w:val="2"/>
          <w:numId w:val="61"/>
        </w:numPr>
        <w:tabs>
          <w:tab w:pos="544" w:val="left" w:leader="none"/>
        </w:tabs>
        <w:spacing w:line="240" w:lineRule="auto" w:before="0" w:after="0"/>
        <w:ind w:left="544" w:right="0" w:hanging="282"/>
        <w:jc w:val="left"/>
        <w:rPr>
          <w:sz w:val="20"/>
        </w:rPr>
      </w:pPr>
      <w:r>
        <w:rPr>
          <w:spacing w:val="-2"/>
          <w:sz w:val="20"/>
        </w:rPr>
        <w:t>Legibilidad.</w:t>
      </w:r>
    </w:p>
    <w:p>
      <w:pPr>
        <w:pStyle w:val="BodyText"/>
      </w:pPr>
    </w:p>
    <w:p>
      <w:pPr>
        <w:pStyle w:val="ListParagraph"/>
        <w:numPr>
          <w:ilvl w:val="2"/>
          <w:numId w:val="61"/>
        </w:numPr>
        <w:tabs>
          <w:tab w:pos="544" w:val="left" w:leader="none"/>
        </w:tabs>
        <w:spacing w:line="240" w:lineRule="auto" w:before="1" w:after="0"/>
        <w:ind w:left="544" w:right="0" w:hanging="282"/>
        <w:jc w:val="left"/>
        <w:rPr>
          <w:sz w:val="20"/>
        </w:rPr>
      </w:pPr>
      <w:r>
        <w:rPr>
          <w:spacing w:val="-2"/>
          <w:sz w:val="20"/>
        </w:rPr>
        <w:t>Versatilidad.</w:t>
      </w:r>
    </w:p>
    <w:p>
      <w:pPr>
        <w:pStyle w:val="ListParagraph"/>
        <w:numPr>
          <w:ilvl w:val="2"/>
          <w:numId w:val="61"/>
        </w:numPr>
        <w:tabs>
          <w:tab w:pos="544" w:val="left" w:leader="none"/>
        </w:tabs>
        <w:spacing w:line="240" w:lineRule="auto" w:before="228" w:after="0"/>
        <w:ind w:left="544" w:right="0" w:hanging="282"/>
        <w:jc w:val="left"/>
        <w:rPr>
          <w:sz w:val="20"/>
        </w:rPr>
      </w:pPr>
      <w:r>
        <w:rPr>
          <w:spacing w:val="-2"/>
          <w:sz w:val="20"/>
        </w:rPr>
        <w:t>Señalética.</w:t>
      </w:r>
    </w:p>
    <w:p>
      <w:pPr>
        <w:pStyle w:val="BodyText"/>
        <w:spacing w:before="1"/>
      </w:pPr>
    </w:p>
    <w:p>
      <w:pPr>
        <w:pStyle w:val="ListParagraph"/>
        <w:numPr>
          <w:ilvl w:val="2"/>
          <w:numId w:val="61"/>
        </w:numPr>
        <w:tabs>
          <w:tab w:pos="544" w:val="left" w:leader="none"/>
        </w:tabs>
        <w:spacing w:line="240" w:lineRule="auto" w:before="0" w:after="0"/>
        <w:ind w:left="544" w:right="0" w:hanging="282"/>
        <w:jc w:val="left"/>
        <w:rPr>
          <w:sz w:val="20"/>
        </w:rPr>
      </w:pPr>
      <w:r>
        <w:rPr>
          <w:sz w:val="20"/>
        </w:rPr>
        <w:t>Imagen</w:t>
      </w:r>
      <w:r>
        <w:rPr>
          <w:spacing w:val="-10"/>
          <w:sz w:val="20"/>
        </w:rPr>
        <w:t> </w:t>
      </w:r>
      <w:r>
        <w:rPr>
          <w:sz w:val="20"/>
        </w:rPr>
        <w:t>urbana</w:t>
      </w:r>
      <w:r>
        <w:rPr>
          <w:spacing w:val="-9"/>
          <w:sz w:val="20"/>
        </w:rPr>
        <w:t> </w:t>
      </w:r>
      <w:r>
        <w:rPr>
          <w:sz w:val="20"/>
        </w:rPr>
        <w:t>aprovechable</w:t>
      </w:r>
      <w:r>
        <w:rPr>
          <w:spacing w:val="-9"/>
          <w:sz w:val="20"/>
        </w:rPr>
        <w:t> </w:t>
      </w:r>
      <w:r>
        <w:rPr>
          <w:sz w:val="20"/>
        </w:rPr>
        <w:t>del</w:t>
      </w:r>
      <w:r>
        <w:rPr>
          <w:spacing w:val="-8"/>
          <w:sz w:val="20"/>
        </w:rPr>
        <w:t> </w:t>
      </w:r>
      <w:r>
        <w:rPr>
          <w:spacing w:val="-2"/>
          <w:sz w:val="20"/>
        </w:rPr>
        <w:t>entorno;</w:t>
      </w:r>
    </w:p>
    <w:p>
      <w:pPr>
        <w:pStyle w:val="BodyText"/>
        <w:spacing w:before="1"/>
      </w:pPr>
    </w:p>
    <w:p>
      <w:pPr>
        <w:pStyle w:val="ListParagraph"/>
        <w:numPr>
          <w:ilvl w:val="0"/>
          <w:numId w:val="61"/>
        </w:numPr>
        <w:tabs>
          <w:tab w:pos="688" w:val="left" w:leader="none"/>
        </w:tabs>
        <w:spacing w:line="240" w:lineRule="auto" w:before="0" w:after="0"/>
        <w:ind w:left="262" w:right="285" w:firstLine="0"/>
        <w:jc w:val="left"/>
        <w:rPr>
          <w:sz w:val="20"/>
        </w:rPr>
      </w:pPr>
      <w:r>
        <w:rPr>
          <w:sz w:val="20"/>
        </w:rPr>
        <w:t>Identificación</w:t>
      </w:r>
      <w:r>
        <w:rPr>
          <w:spacing w:val="40"/>
          <w:sz w:val="20"/>
        </w:rPr>
        <w:t> </w:t>
      </w:r>
      <w:r>
        <w:rPr>
          <w:sz w:val="20"/>
        </w:rPr>
        <w:t>de</w:t>
      </w:r>
      <w:r>
        <w:rPr>
          <w:spacing w:val="40"/>
          <w:sz w:val="20"/>
        </w:rPr>
        <w:t> </w:t>
      </w:r>
      <w:r>
        <w:rPr>
          <w:sz w:val="20"/>
        </w:rPr>
        <w:t>impactos</w:t>
      </w:r>
      <w:r>
        <w:rPr>
          <w:spacing w:val="40"/>
          <w:sz w:val="20"/>
        </w:rPr>
        <w:t> </w:t>
      </w:r>
      <w:r>
        <w:rPr>
          <w:sz w:val="20"/>
        </w:rPr>
        <w:t>negativos</w:t>
      </w:r>
      <w:r>
        <w:rPr>
          <w:spacing w:val="40"/>
          <w:sz w:val="20"/>
        </w:rPr>
        <w:t> </w:t>
      </w:r>
      <w:r>
        <w:rPr>
          <w:sz w:val="20"/>
        </w:rPr>
        <w:t>a</w:t>
      </w:r>
      <w:r>
        <w:rPr>
          <w:spacing w:val="40"/>
          <w:sz w:val="20"/>
        </w:rPr>
        <w:t> </w:t>
      </w:r>
      <w:r>
        <w:rPr>
          <w:sz w:val="20"/>
        </w:rPr>
        <w:t>la</w:t>
      </w:r>
      <w:r>
        <w:rPr>
          <w:spacing w:val="40"/>
          <w:sz w:val="20"/>
        </w:rPr>
        <w:t> </w:t>
      </w:r>
      <w:r>
        <w:rPr>
          <w:sz w:val="20"/>
        </w:rPr>
        <w:t>imagen</w:t>
      </w:r>
      <w:r>
        <w:rPr>
          <w:spacing w:val="40"/>
          <w:sz w:val="20"/>
        </w:rPr>
        <w:t> </w:t>
      </w:r>
      <w:r>
        <w:rPr>
          <w:sz w:val="20"/>
        </w:rPr>
        <w:t>urbana,</w:t>
      </w:r>
      <w:r>
        <w:rPr>
          <w:spacing w:val="40"/>
          <w:sz w:val="20"/>
        </w:rPr>
        <w:t> </w:t>
      </w:r>
      <w:r>
        <w:rPr>
          <w:sz w:val="20"/>
        </w:rPr>
        <w:t>y</w:t>
      </w:r>
      <w:r>
        <w:rPr>
          <w:spacing w:val="40"/>
          <w:sz w:val="20"/>
        </w:rPr>
        <w:t> </w:t>
      </w:r>
      <w:r>
        <w:rPr>
          <w:sz w:val="20"/>
        </w:rPr>
        <w:t>descripción</w:t>
      </w:r>
      <w:r>
        <w:rPr>
          <w:spacing w:val="40"/>
          <w:sz w:val="20"/>
        </w:rPr>
        <w:t> </w:t>
      </w:r>
      <w:r>
        <w:rPr>
          <w:sz w:val="20"/>
        </w:rPr>
        <w:t>de</w:t>
      </w:r>
      <w:r>
        <w:rPr>
          <w:spacing w:val="40"/>
          <w:sz w:val="20"/>
        </w:rPr>
        <w:t> </w:t>
      </w:r>
      <w:r>
        <w:rPr>
          <w:sz w:val="20"/>
        </w:rPr>
        <w:t>medidas</w:t>
      </w:r>
      <w:r>
        <w:rPr>
          <w:spacing w:val="40"/>
          <w:sz w:val="20"/>
        </w:rPr>
        <w:t> </w:t>
      </w:r>
      <w:r>
        <w:rPr>
          <w:sz w:val="20"/>
        </w:rPr>
        <w:t>de</w:t>
      </w:r>
      <w:r>
        <w:rPr>
          <w:spacing w:val="40"/>
          <w:sz w:val="20"/>
        </w:rPr>
        <w:t> </w:t>
      </w:r>
      <w:r>
        <w:rPr>
          <w:sz w:val="20"/>
        </w:rPr>
        <w:t>eliminación y/o mitigación;</w:t>
      </w:r>
    </w:p>
    <w:p>
      <w:pPr>
        <w:pStyle w:val="ListParagraph"/>
        <w:numPr>
          <w:ilvl w:val="0"/>
          <w:numId w:val="61"/>
        </w:numPr>
        <w:tabs>
          <w:tab w:pos="689" w:val="left" w:leader="none"/>
        </w:tabs>
        <w:spacing w:line="240" w:lineRule="auto" w:before="229" w:after="0"/>
        <w:ind w:left="689" w:right="0" w:hanging="427"/>
        <w:jc w:val="left"/>
        <w:rPr>
          <w:sz w:val="20"/>
        </w:rPr>
      </w:pPr>
      <w:r>
        <w:rPr>
          <w:sz w:val="20"/>
        </w:rPr>
        <w:t>Integración</w:t>
      </w:r>
      <w:r>
        <w:rPr>
          <w:spacing w:val="-7"/>
          <w:sz w:val="20"/>
        </w:rPr>
        <w:t> </w:t>
      </w:r>
      <w:r>
        <w:rPr>
          <w:sz w:val="20"/>
        </w:rPr>
        <w:t>urbana</w:t>
      </w:r>
      <w:r>
        <w:rPr>
          <w:spacing w:val="-7"/>
          <w:sz w:val="20"/>
        </w:rPr>
        <w:t> </w:t>
      </w:r>
      <w:r>
        <w:rPr>
          <w:sz w:val="20"/>
        </w:rPr>
        <w:t>del</w:t>
      </w:r>
      <w:r>
        <w:rPr>
          <w:spacing w:val="-6"/>
          <w:sz w:val="20"/>
        </w:rPr>
        <w:t> </w:t>
      </w:r>
      <w:r>
        <w:rPr>
          <w:sz w:val="20"/>
        </w:rPr>
        <w:t>proyecto</w:t>
      </w:r>
      <w:r>
        <w:rPr>
          <w:spacing w:val="-9"/>
          <w:sz w:val="20"/>
        </w:rPr>
        <w:t> </w:t>
      </w:r>
      <w:r>
        <w:rPr>
          <w:sz w:val="20"/>
        </w:rPr>
        <w:t>con</w:t>
      </w:r>
      <w:r>
        <w:rPr>
          <w:spacing w:val="-6"/>
          <w:sz w:val="20"/>
        </w:rPr>
        <w:t> </w:t>
      </w:r>
      <w:r>
        <w:rPr>
          <w:sz w:val="20"/>
        </w:rPr>
        <w:t>el</w:t>
      </w:r>
      <w:r>
        <w:rPr>
          <w:spacing w:val="-7"/>
          <w:sz w:val="20"/>
        </w:rPr>
        <w:t> </w:t>
      </w:r>
      <w:r>
        <w:rPr>
          <w:spacing w:val="-2"/>
          <w:sz w:val="20"/>
        </w:rPr>
        <w:t>entorno;</w:t>
      </w:r>
    </w:p>
    <w:p>
      <w:pPr>
        <w:pStyle w:val="BodyText"/>
        <w:spacing w:before="1"/>
      </w:pPr>
    </w:p>
    <w:p>
      <w:pPr>
        <w:pStyle w:val="ListParagraph"/>
        <w:numPr>
          <w:ilvl w:val="0"/>
          <w:numId w:val="61"/>
        </w:numPr>
        <w:tabs>
          <w:tab w:pos="688" w:val="left" w:leader="none"/>
        </w:tabs>
        <w:spacing w:line="240" w:lineRule="auto" w:before="0" w:after="0"/>
        <w:ind w:left="688" w:right="0" w:hanging="426"/>
        <w:jc w:val="left"/>
        <w:rPr>
          <w:sz w:val="20"/>
        </w:rPr>
      </w:pPr>
      <w:r>
        <w:rPr>
          <w:sz w:val="20"/>
        </w:rPr>
        <w:t>Evaluación,</w:t>
      </w:r>
      <w:r>
        <w:rPr>
          <w:spacing w:val="-11"/>
          <w:sz w:val="20"/>
        </w:rPr>
        <w:t> </w:t>
      </w:r>
      <w:r>
        <w:rPr>
          <w:sz w:val="20"/>
        </w:rPr>
        <w:t>conclusiones</w:t>
      </w:r>
      <w:r>
        <w:rPr>
          <w:spacing w:val="-9"/>
          <w:sz w:val="20"/>
        </w:rPr>
        <w:t> </w:t>
      </w:r>
      <w:r>
        <w:rPr>
          <w:sz w:val="20"/>
        </w:rPr>
        <w:t>y</w:t>
      </w:r>
      <w:r>
        <w:rPr>
          <w:spacing w:val="-7"/>
          <w:sz w:val="20"/>
        </w:rPr>
        <w:t> </w:t>
      </w:r>
      <w:r>
        <w:rPr>
          <w:spacing w:val="-2"/>
          <w:sz w:val="20"/>
        </w:rPr>
        <w:t>recomendaciones;</w:t>
      </w:r>
    </w:p>
    <w:p>
      <w:pPr>
        <w:pStyle w:val="ListParagraph"/>
        <w:numPr>
          <w:ilvl w:val="0"/>
          <w:numId w:val="61"/>
        </w:numPr>
        <w:tabs>
          <w:tab w:pos="743" w:val="left" w:leader="none"/>
        </w:tabs>
        <w:spacing w:line="240" w:lineRule="auto" w:before="228" w:after="0"/>
        <w:ind w:left="262" w:right="286" w:firstLine="0"/>
        <w:jc w:val="left"/>
        <w:rPr>
          <w:sz w:val="20"/>
        </w:rPr>
      </w:pPr>
      <w:r>
        <w:rPr>
          <w:sz w:val="20"/>
        </w:rPr>
        <w:t>En</w:t>
      </w:r>
      <w:r>
        <w:rPr>
          <w:spacing w:val="40"/>
          <w:sz w:val="20"/>
        </w:rPr>
        <w:t> </w:t>
      </w:r>
      <w:r>
        <w:rPr>
          <w:sz w:val="20"/>
        </w:rPr>
        <w:t>su</w:t>
      </w:r>
      <w:r>
        <w:rPr>
          <w:spacing w:val="40"/>
          <w:sz w:val="20"/>
        </w:rPr>
        <w:t> </w:t>
      </w:r>
      <w:r>
        <w:rPr>
          <w:sz w:val="20"/>
        </w:rPr>
        <w:t>caso,</w:t>
      </w:r>
      <w:r>
        <w:rPr>
          <w:spacing w:val="40"/>
          <w:sz w:val="20"/>
        </w:rPr>
        <w:t> </w:t>
      </w:r>
      <w:r>
        <w:rPr>
          <w:sz w:val="20"/>
        </w:rPr>
        <w:t>normatividad</w:t>
      </w:r>
      <w:r>
        <w:rPr>
          <w:spacing w:val="40"/>
          <w:sz w:val="20"/>
        </w:rPr>
        <w:t> </w:t>
      </w:r>
      <w:r>
        <w:rPr>
          <w:sz w:val="20"/>
        </w:rPr>
        <w:t>aplicable</w:t>
      </w:r>
      <w:r>
        <w:rPr>
          <w:spacing w:val="40"/>
          <w:sz w:val="20"/>
        </w:rPr>
        <w:t> </w:t>
      </w:r>
      <w:r>
        <w:rPr>
          <w:sz w:val="20"/>
        </w:rPr>
        <w:t>y</w:t>
      </w:r>
      <w:r>
        <w:rPr>
          <w:spacing w:val="40"/>
          <w:sz w:val="20"/>
        </w:rPr>
        <w:t> </w:t>
      </w:r>
      <w:r>
        <w:rPr>
          <w:sz w:val="20"/>
        </w:rPr>
        <w:t>condicionantes</w:t>
      </w:r>
      <w:r>
        <w:rPr>
          <w:spacing w:val="40"/>
          <w:sz w:val="20"/>
        </w:rPr>
        <w:t> </w:t>
      </w:r>
      <w:r>
        <w:rPr>
          <w:sz w:val="20"/>
        </w:rPr>
        <w:t>de</w:t>
      </w:r>
      <w:r>
        <w:rPr>
          <w:spacing w:val="40"/>
          <w:sz w:val="20"/>
        </w:rPr>
        <w:t> </w:t>
      </w:r>
      <w:r>
        <w:rPr>
          <w:sz w:val="20"/>
        </w:rPr>
        <w:t>los</w:t>
      </w:r>
      <w:r>
        <w:rPr>
          <w:spacing w:val="40"/>
          <w:sz w:val="20"/>
        </w:rPr>
        <w:t> </w:t>
      </w:r>
      <w:r>
        <w:rPr>
          <w:sz w:val="20"/>
        </w:rPr>
        <w:t>programas</w:t>
      </w:r>
      <w:r>
        <w:rPr>
          <w:spacing w:val="40"/>
          <w:sz w:val="20"/>
        </w:rPr>
        <w:t> </w:t>
      </w:r>
      <w:r>
        <w:rPr>
          <w:sz w:val="20"/>
        </w:rPr>
        <w:t>de</w:t>
      </w:r>
      <w:r>
        <w:rPr>
          <w:spacing w:val="40"/>
          <w:sz w:val="20"/>
        </w:rPr>
        <w:t> </w:t>
      </w:r>
      <w:r>
        <w:rPr>
          <w:sz w:val="20"/>
        </w:rPr>
        <w:t>ordenamiento territorial y desarrollo urbano aplicables;</w:t>
      </w:r>
    </w:p>
    <w:p>
      <w:pPr>
        <w:pStyle w:val="BodyText"/>
        <w:spacing w:before="1"/>
      </w:pPr>
    </w:p>
    <w:p>
      <w:pPr>
        <w:pStyle w:val="ListParagraph"/>
        <w:numPr>
          <w:ilvl w:val="0"/>
          <w:numId w:val="61"/>
        </w:numPr>
        <w:tabs>
          <w:tab w:pos="828" w:val="left" w:leader="none"/>
        </w:tabs>
        <w:spacing w:line="240" w:lineRule="auto" w:before="1" w:after="0"/>
        <w:ind w:left="828" w:right="0" w:hanging="566"/>
        <w:jc w:val="left"/>
        <w:rPr>
          <w:sz w:val="20"/>
        </w:rPr>
      </w:pPr>
      <w:r>
        <w:rPr>
          <w:spacing w:val="-2"/>
          <w:sz w:val="20"/>
        </w:rPr>
        <w:t>Anexos:</w:t>
      </w:r>
    </w:p>
    <w:p>
      <w:pPr>
        <w:pStyle w:val="ListParagraph"/>
        <w:numPr>
          <w:ilvl w:val="1"/>
          <w:numId w:val="61"/>
        </w:numPr>
        <w:tabs>
          <w:tab w:pos="544" w:val="left" w:leader="none"/>
        </w:tabs>
        <w:spacing w:line="240" w:lineRule="auto" w:before="228" w:after="0"/>
        <w:ind w:left="544" w:right="0" w:hanging="282"/>
        <w:jc w:val="left"/>
        <w:rPr>
          <w:sz w:val="20"/>
        </w:rPr>
      </w:pPr>
      <w:r>
        <w:rPr>
          <w:spacing w:val="-2"/>
          <w:sz w:val="20"/>
        </w:rPr>
        <w:t>Cartográfico.</w:t>
      </w:r>
    </w:p>
    <w:p>
      <w:pPr>
        <w:pStyle w:val="BodyText"/>
        <w:spacing w:before="1"/>
      </w:pPr>
    </w:p>
    <w:p>
      <w:pPr>
        <w:pStyle w:val="ListParagraph"/>
        <w:numPr>
          <w:ilvl w:val="1"/>
          <w:numId w:val="61"/>
        </w:numPr>
        <w:tabs>
          <w:tab w:pos="544" w:val="left" w:leader="none"/>
        </w:tabs>
        <w:spacing w:line="240" w:lineRule="auto" w:before="0" w:after="0"/>
        <w:ind w:left="544" w:right="0" w:hanging="282"/>
        <w:jc w:val="left"/>
        <w:rPr>
          <w:sz w:val="20"/>
        </w:rPr>
      </w:pPr>
      <w:r>
        <w:rPr>
          <w:spacing w:val="-2"/>
          <w:sz w:val="20"/>
        </w:rPr>
        <w:t>Fotográfico.</w:t>
      </w:r>
    </w:p>
    <w:p>
      <w:pPr>
        <w:pStyle w:val="BodyText"/>
        <w:spacing w:before="1"/>
      </w:pPr>
    </w:p>
    <w:p>
      <w:pPr>
        <w:pStyle w:val="ListParagraph"/>
        <w:numPr>
          <w:ilvl w:val="1"/>
          <w:numId w:val="61"/>
        </w:numPr>
        <w:tabs>
          <w:tab w:pos="544" w:val="left" w:leader="none"/>
        </w:tabs>
        <w:spacing w:line="240" w:lineRule="auto" w:before="0" w:after="0"/>
        <w:ind w:left="544" w:right="0" w:hanging="282"/>
        <w:jc w:val="left"/>
        <w:rPr>
          <w:sz w:val="20"/>
        </w:rPr>
      </w:pPr>
      <w:r>
        <w:rPr>
          <w:spacing w:val="-2"/>
          <w:sz w:val="20"/>
        </w:rPr>
        <w:t>Documental,</w:t>
      </w:r>
      <w:r>
        <w:rPr>
          <w:spacing w:val="6"/>
          <w:sz w:val="20"/>
        </w:rPr>
        <w:t> </w:t>
      </w:r>
      <w:r>
        <w:rPr>
          <w:spacing w:val="-10"/>
          <w:sz w:val="20"/>
        </w:rPr>
        <w:t>y</w:t>
      </w:r>
    </w:p>
    <w:p>
      <w:pPr>
        <w:pStyle w:val="ListParagraph"/>
        <w:numPr>
          <w:ilvl w:val="0"/>
          <w:numId w:val="61"/>
        </w:numPr>
        <w:tabs>
          <w:tab w:pos="688" w:val="left" w:leader="none"/>
        </w:tabs>
        <w:spacing w:line="240" w:lineRule="auto" w:before="1" w:after="0"/>
        <w:ind w:left="688" w:right="0" w:hanging="426"/>
        <w:jc w:val="left"/>
        <w:rPr>
          <w:sz w:val="20"/>
        </w:rPr>
      </w:pPr>
      <w:r>
        <w:rPr>
          <w:spacing w:val="-2"/>
          <w:sz w:val="20"/>
        </w:rPr>
        <w:t>Bibliografía.</w:t>
      </w:r>
    </w:p>
    <w:p>
      <w:pPr>
        <w:pStyle w:val="BodyText"/>
        <w:spacing w:before="228"/>
        <w:ind w:left="262" w:right="284"/>
        <w:jc w:val="both"/>
      </w:pPr>
      <w:r>
        <w:rPr>
          <w:rFonts w:ascii="Arial" w:hAnsi="Arial"/>
          <w:b/>
          <w:spacing w:val="-2"/>
        </w:rPr>
        <w:t>ARTÍCULO</w:t>
      </w:r>
      <w:r>
        <w:rPr>
          <w:rFonts w:ascii="Arial" w:hAnsi="Arial"/>
          <w:b/>
          <w:spacing w:val="-7"/>
        </w:rPr>
        <w:t> </w:t>
      </w:r>
      <w:r>
        <w:rPr>
          <w:rFonts w:ascii="Arial" w:hAnsi="Arial"/>
          <w:b/>
          <w:spacing w:val="-2"/>
        </w:rPr>
        <w:t>145.</w:t>
      </w:r>
      <w:r>
        <w:rPr>
          <w:rFonts w:ascii="Arial" w:hAnsi="Arial"/>
          <w:b/>
          <w:spacing w:val="-5"/>
        </w:rPr>
        <w:t> </w:t>
      </w:r>
      <w:r>
        <w:rPr>
          <w:spacing w:val="-2"/>
        </w:rPr>
        <w:t>En</w:t>
      </w:r>
      <w:r>
        <w:rPr>
          <w:spacing w:val="-6"/>
        </w:rPr>
        <w:t> </w:t>
      </w:r>
      <w:r>
        <w:rPr>
          <w:spacing w:val="-2"/>
        </w:rPr>
        <w:t>los</w:t>
      </w:r>
      <w:r>
        <w:rPr>
          <w:spacing w:val="-9"/>
        </w:rPr>
        <w:t> </w:t>
      </w:r>
      <w:r>
        <w:rPr>
          <w:spacing w:val="-2"/>
        </w:rPr>
        <w:t>casos</w:t>
      </w:r>
      <w:r>
        <w:rPr>
          <w:spacing w:val="-9"/>
        </w:rPr>
        <w:t> </w:t>
      </w:r>
      <w:r>
        <w:rPr>
          <w:spacing w:val="-2"/>
        </w:rPr>
        <w:t>en</w:t>
      </w:r>
      <w:r>
        <w:rPr>
          <w:spacing w:val="-7"/>
        </w:rPr>
        <w:t> </w:t>
      </w:r>
      <w:r>
        <w:rPr>
          <w:spacing w:val="-2"/>
        </w:rPr>
        <w:t>que</w:t>
      </w:r>
      <w:r>
        <w:rPr>
          <w:spacing w:val="-6"/>
        </w:rPr>
        <w:t> </w:t>
      </w:r>
      <w:r>
        <w:rPr>
          <w:spacing w:val="-2"/>
        </w:rPr>
        <w:t>así</w:t>
      </w:r>
      <w:r>
        <w:rPr>
          <w:spacing w:val="-9"/>
        </w:rPr>
        <w:t> </w:t>
      </w:r>
      <w:r>
        <w:rPr>
          <w:spacing w:val="-2"/>
        </w:rPr>
        <w:t>se</w:t>
      </w:r>
      <w:r>
        <w:rPr>
          <w:spacing w:val="-6"/>
        </w:rPr>
        <w:t> </w:t>
      </w:r>
      <w:r>
        <w:rPr>
          <w:spacing w:val="-2"/>
        </w:rPr>
        <w:t>requiera</w:t>
      </w:r>
      <w:r>
        <w:rPr>
          <w:spacing w:val="-6"/>
        </w:rPr>
        <w:t> </w:t>
      </w:r>
      <w:r>
        <w:rPr>
          <w:spacing w:val="-2"/>
        </w:rPr>
        <w:t>y</w:t>
      </w:r>
      <w:r>
        <w:rPr>
          <w:spacing w:val="-7"/>
        </w:rPr>
        <w:t> </w:t>
      </w:r>
      <w:r>
        <w:rPr>
          <w:spacing w:val="-2"/>
        </w:rPr>
        <w:t>justifique,</w:t>
      </w:r>
      <w:r>
        <w:rPr>
          <w:spacing w:val="-6"/>
        </w:rPr>
        <w:t> </w:t>
      </w:r>
      <w:r>
        <w:rPr>
          <w:spacing w:val="-2"/>
        </w:rPr>
        <w:t>la</w:t>
      </w:r>
      <w:r>
        <w:rPr>
          <w:spacing w:val="-6"/>
        </w:rPr>
        <w:t> </w:t>
      </w:r>
      <w:r>
        <w:rPr>
          <w:spacing w:val="-2"/>
        </w:rPr>
        <w:t>autoridad</w:t>
      </w:r>
      <w:r>
        <w:rPr>
          <w:spacing w:val="-7"/>
        </w:rPr>
        <w:t> </w:t>
      </w:r>
      <w:r>
        <w:rPr>
          <w:spacing w:val="-2"/>
        </w:rPr>
        <w:t>en</w:t>
      </w:r>
      <w:r>
        <w:rPr>
          <w:spacing w:val="-7"/>
        </w:rPr>
        <w:t> </w:t>
      </w:r>
      <w:r>
        <w:rPr>
          <w:spacing w:val="-2"/>
        </w:rPr>
        <w:t>materia</w:t>
      </w:r>
      <w:r>
        <w:rPr>
          <w:spacing w:val="-6"/>
        </w:rPr>
        <w:t> </w:t>
      </w:r>
      <w:r>
        <w:rPr>
          <w:spacing w:val="-2"/>
        </w:rPr>
        <w:t>de</w:t>
      </w:r>
      <w:r>
        <w:rPr>
          <w:spacing w:val="-6"/>
        </w:rPr>
        <w:t> </w:t>
      </w:r>
      <w:r>
        <w:rPr>
          <w:spacing w:val="-2"/>
        </w:rPr>
        <w:t>movilidad </w:t>
      </w:r>
      <w:r>
        <w:rPr/>
        <w:t>urbana, tránsito y vialidad municipal podrá solicitar estudios y análisis adicionales a los antes señalados, a instituciones, profesionales u organizaciones acreditadas en dicha materia.</w:t>
      </w:r>
    </w:p>
    <w:p>
      <w:pPr>
        <w:pStyle w:val="BodyText"/>
      </w:pPr>
    </w:p>
    <w:p>
      <w:pPr>
        <w:pStyle w:val="BodyText"/>
      </w:pPr>
    </w:p>
    <w:p>
      <w:pPr>
        <w:pStyle w:val="Heading1"/>
        <w:spacing w:line="480" w:lineRule="auto"/>
        <w:ind w:left="3576" w:right="3596" w:firstLine="1"/>
      </w:pPr>
      <w:r>
        <w:rPr/>
        <w:t>TÍTULO NOVENO RESILIENCIA</w:t>
      </w:r>
      <w:r>
        <w:rPr>
          <w:spacing w:val="-14"/>
        </w:rPr>
        <w:t> </w:t>
      </w:r>
      <w:r>
        <w:rPr/>
        <w:t>URBANA</w:t>
      </w:r>
    </w:p>
    <w:p>
      <w:pPr>
        <w:pStyle w:val="BodyText"/>
        <w:spacing w:before="2"/>
        <w:rPr>
          <w:rFonts w:ascii="Arial"/>
          <w:b/>
        </w:rPr>
      </w:pPr>
    </w:p>
    <w:p>
      <w:pPr>
        <w:pStyle w:val="Heading2"/>
      </w:pPr>
      <w:r>
        <w:rPr/>
        <w:t>Capítulo</w:t>
      </w:r>
      <w:r>
        <w:rPr>
          <w:spacing w:val="-8"/>
        </w:rPr>
        <w:t> </w:t>
      </w:r>
      <w:r>
        <w:rPr>
          <w:spacing w:val="-2"/>
        </w:rPr>
        <w:t>Único</w:t>
      </w:r>
    </w:p>
    <w:p>
      <w:pPr>
        <w:spacing w:before="229"/>
        <w:ind w:left="0" w:right="24" w:firstLine="0"/>
        <w:jc w:val="center"/>
        <w:rPr>
          <w:rFonts w:ascii="Arial" w:hAnsi="Arial"/>
          <w:b/>
          <w:sz w:val="20"/>
        </w:rPr>
      </w:pPr>
      <w:r>
        <w:rPr>
          <w:rFonts w:ascii="Arial" w:hAnsi="Arial"/>
          <w:b/>
          <w:sz w:val="20"/>
        </w:rPr>
        <w:t>Resiliencia</w:t>
      </w:r>
      <w:r>
        <w:rPr>
          <w:rFonts w:ascii="Arial" w:hAnsi="Arial"/>
          <w:b/>
          <w:spacing w:val="-7"/>
          <w:sz w:val="20"/>
        </w:rPr>
        <w:t> </w:t>
      </w:r>
      <w:r>
        <w:rPr>
          <w:rFonts w:ascii="Arial" w:hAnsi="Arial"/>
          <w:b/>
          <w:sz w:val="20"/>
        </w:rPr>
        <w:t>Urbana,</w:t>
      </w:r>
      <w:r>
        <w:rPr>
          <w:rFonts w:ascii="Arial" w:hAnsi="Arial"/>
          <w:b/>
          <w:spacing w:val="-7"/>
          <w:sz w:val="20"/>
        </w:rPr>
        <w:t> </w:t>
      </w:r>
      <w:r>
        <w:rPr>
          <w:rFonts w:ascii="Arial" w:hAnsi="Arial"/>
          <w:b/>
          <w:sz w:val="20"/>
        </w:rPr>
        <w:t>Prevención</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Reducción</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Riesgos</w:t>
      </w:r>
      <w:r>
        <w:rPr>
          <w:rFonts w:ascii="Arial" w:hAnsi="Arial"/>
          <w:b/>
          <w:spacing w:val="-9"/>
          <w:sz w:val="20"/>
        </w:rPr>
        <w:t> </w:t>
      </w:r>
      <w:r>
        <w:rPr>
          <w:rFonts w:ascii="Arial" w:hAnsi="Arial"/>
          <w:b/>
          <w:sz w:val="20"/>
        </w:rPr>
        <w:t>en</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Asentamientos</w:t>
      </w:r>
      <w:r>
        <w:rPr>
          <w:rFonts w:ascii="Arial" w:hAnsi="Arial"/>
          <w:b/>
          <w:spacing w:val="-8"/>
          <w:sz w:val="20"/>
        </w:rPr>
        <w:t> </w:t>
      </w:r>
      <w:r>
        <w:rPr>
          <w:rFonts w:ascii="Arial" w:hAnsi="Arial"/>
          <w:b/>
          <w:spacing w:val="-2"/>
          <w:sz w:val="20"/>
        </w:rPr>
        <w:t>Humanos</w:t>
      </w:r>
    </w:p>
    <w:p>
      <w:pPr>
        <w:pStyle w:val="BodyText"/>
        <w:rPr>
          <w:rFonts w:ascii="Arial"/>
          <w:b/>
        </w:rPr>
      </w:pPr>
    </w:p>
    <w:p>
      <w:pPr>
        <w:pStyle w:val="BodyText"/>
        <w:spacing w:before="1"/>
        <w:ind w:left="262" w:right="277"/>
        <w:jc w:val="both"/>
      </w:pPr>
      <w:r>
        <w:rPr>
          <w:rFonts w:ascii="Arial" w:hAnsi="Arial"/>
          <w:b/>
        </w:rPr>
        <w:t>ARTÍCULO 146. </w:t>
      </w:r>
      <w:r>
        <w:rPr/>
        <w:t>El Estado y los municipios de conformidad con lo establecido en la presente Ley, establecerán estrategias de Gestión Integral de Riesgos, incluyendo acciones de prevención y, en su caso, de reubicación de Asentamientos Humanos, así como acciones reactivas tales como previsiones financieras y operativas para la recuperación. En general, deberán promover medidas que permitan a las ciudades incrementar su Resiliencia.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9"/>
        <w:jc w:val="both"/>
      </w:pPr>
      <w:r>
        <w:rPr/>
        <w:t>La</w:t>
      </w:r>
      <w:r>
        <w:rPr>
          <w:spacing w:val="-10"/>
        </w:rPr>
        <w:t> </w:t>
      </w:r>
      <w:r>
        <w:rPr/>
        <w:t>Secretaria</w:t>
      </w:r>
      <w:r>
        <w:rPr>
          <w:spacing w:val="-8"/>
        </w:rPr>
        <w:t> </w:t>
      </w:r>
      <w:r>
        <w:rPr/>
        <w:t>establecerá</w:t>
      </w:r>
      <w:r>
        <w:rPr>
          <w:spacing w:val="-7"/>
        </w:rPr>
        <w:t> </w:t>
      </w:r>
      <w:r>
        <w:rPr/>
        <w:t>mecanismos</w:t>
      </w:r>
      <w:r>
        <w:rPr>
          <w:spacing w:val="-9"/>
        </w:rPr>
        <w:t> </w:t>
      </w:r>
      <w:r>
        <w:rPr/>
        <w:t>de</w:t>
      </w:r>
      <w:r>
        <w:rPr>
          <w:spacing w:val="-10"/>
        </w:rPr>
        <w:t> </w:t>
      </w:r>
      <w:r>
        <w:rPr/>
        <w:t>coordinación</w:t>
      </w:r>
      <w:r>
        <w:rPr>
          <w:spacing w:val="-10"/>
        </w:rPr>
        <w:t> </w:t>
      </w:r>
      <w:r>
        <w:rPr/>
        <w:t>con</w:t>
      </w:r>
      <w:r>
        <w:rPr>
          <w:spacing w:val="-8"/>
        </w:rPr>
        <w:t> </w:t>
      </w:r>
      <w:r>
        <w:rPr/>
        <w:t>la</w:t>
      </w:r>
      <w:r>
        <w:rPr>
          <w:spacing w:val="-10"/>
        </w:rPr>
        <w:t> </w:t>
      </w:r>
      <w:r>
        <w:rPr/>
        <w:t>Dirección</w:t>
      </w:r>
      <w:r>
        <w:rPr>
          <w:spacing w:val="-10"/>
        </w:rPr>
        <w:t> </w:t>
      </w:r>
      <w:r>
        <w:rPr/>
        <w:t>General</w:t>
      </w:r>
      <w:r>
        <w:rPr>
          <w:spacing w:val="-8"/>
        </w:rPr>
        <w:t> </w:t>
      </w:r>
      <w:r>
        <w:rPr/>
        <w:t>de</w:t>
      </w:r>
      <w:r>
        <w:rPr>
          <w:spacing w:val="-10"/>
        </w:rPr>
        <w:t> </w:t>
      </w:r>
      <w:r>
        <w:rPr/>
        <w:t>Protección</w:t>
      </w:r>
      <w:r>
        <w:rPr>
          <w:spacing w:val="-8"/>
        </w:rPr>
        <w:t> </w:t>
      </w:r>
      <w:r>
        <w:rPr/>
        <w:t>Civil y</w:t>
      </w:r>
      <w:r>
        <w:rPr>
          <w:spacing w:val="-1"/>
        </w:rPr>
        <w:t> </w:t>
      </w:r>
      <w:r>
        <w:rPr/>
        <w:t>demás dependencias</w:t>
      </w:r>
      <w:r>
        <w:rPr>
          <w:spacing w:val="-1"/>
        </w:rPr>
        <w:t> </w:t>
      </w:r>
      <w:r>
        <w:rPr/>
        <w:t>relacionadas</w:t>
      </w:r>
      <w:r>
        <w:rPr>
          <w:spacing w:val="-1"/>
        </w:rPr>
        <w:t> </w:t>
      </w:r>
      <w:r>
        <w:rPr/>
        <w:t>en</w:t>
      </w:r>
      <w:r>
        <w:rPr>
          <w:spacing w:val="-2"/>
        </w:rPr>
        <w:t> </w:t>
      </w:r>
      <w:r>
        <w:rPr/>
        <w:t>materia</w:t>
      </w:r>
      <w:r>
        <w:rPr>
          <w:spacing w:val="-2"/>
        </w:rPr>
        <w:t> </w:t>
      </w:r>
      <w:r>
        <w:rPr/>
        <w:t>de prevención de riesgos</w:t>
      </w:r>
      <w:r>
        <w:rPr>
          <w:spacing w:val="-1"/>
        </w:rPr>
        <w:t> </w:t>
      </w:r>
      <w:r>
        <w:rPr/>
        <w:t>y</w:t>
      </w:r>
      <w:r>
        <w:rPr>
          <w:spacing w:val="-1"/>
        </w:rPr>
        <w:t> </w:t>
      </w:r>
      <w:r>
        <w:rPr/>
        <w:t>mitigación de impactos a causa de fenómenos de origen natural o antropogénico, para trabajar en la elaboración de estrategias, instrumentos y programas para la gestión integral de riesgos.</w:t>
      </w:r>
    </w:p>
    <w:p>
      <w:pPr>
        <w:pStyle w:val="BodyText"/>
        <w:spacing w:before="230"/>
        <w:ind w:left="262" w:right="278"/>
        <w:jc w:val="both"/>
      </w:pPr>
      <w:r>
        <w:rPr/>
        <w:t>Las autoridades estatales y municipales que autoricen licencias o permisos a personas físicas y morales para la construcción, reconstrucción, o remodelación de edificaciones y demás obras públicas</w:t>
      </w:r>
      <w:r>
        <w:rPr>
          <w:spacing w:val="-3"/>
        </w:rPr>
        <w:t> </w:t>
      </w:r>
      <w:r>
        <w:rPr/>
        <w:t>o</w:t>
      </w:r>
      <w:r>
        <w:rPr>
          <w:spacing w:val="-5"/>
        </w:rPr>
        <w:t> </w:t>
      </w:r>
      <w:r>
        <w:rPr/>
        <w:t>privadas,</w:t>
      </w:r>
      <w:r>
        <w:rPr>
          <w:spacing w:val="-2"/>
        </w:rPr>
        <w:t> </w:t>
      </w:r>
      <w:r>
        <w:rPr/>
        <w:t>incluirán</w:t>
      </w:r>
      <w:r>
        <w:rPr>
          <w:spacing w:val="-4"/>
        </w:rPr>
        <w:t> </w:t>
      </w:r>
      <w:r>
        <w:rPr/>
        <w:t>en</w:t>
      </w:r>
      <w:r>
        <w:rPr>
          <w:spacing w:val="-4"/>
        </w:rPr>
        <w:t> </w:t>
      </w:r>
      <w:r>
        <w:rPr/>
        <w:t>los</w:t>
      </w:r>
      <w:r>
        <w:rPr>
          <w:spacing w:val="-3"/>
        </w:rPr>
        <w:t> </w:t>
      </w:r>
      <w:r>
        <w:rPr/>
        <w:t>casos</w:t>
      </w:r>
      <w:r>
        <w:rPr>
          <w:spacing w:val="-3"/>
        </w:rPr>
        <w:t> </w:t>
      </w:r>
      <w:r>
        <w:rPr/>
        <w:t>en</w:t>
      </w:r>
      <w:r>
        <w:rPr>
          <w:spacing w:val="-5"/>
        </w:rPr>
        <w:t> </w:t>
      </w:r>
      <w:r>
        <w:rPr/>
        <w:t>que</w:t>
      </w:r>
      <w:r>
        <w:rPr>
          <w:spacing w:val="-4"/>
        </w:rPr>
        <w:t> </w:t>
      </w:r>
      <w:r>
        <w:rPr/>
        <w:t>así</w:t>
      </w:r>
      <w:r>
        <w:rPr>
          <w:spacing w:val="-4"/>
        </w:rPr>
        <w:t> </w:t>
      </w:r>
      <w:r>
        <w:rPr/>
        <w:t>se</w:t>
      </w:r>
      <w:r>
        <w:rPr>
          <w:spacing w:val="-4"/>
        </w:rPr>
        <w:t> </w:t>
      </w:r>
      <w:r>
        <w:rPr/>
        <w:t>justifique,</w:t>
      </w:r>
      <w:r>
        <w:rPr>
          <w:spacing w:val="-2"/>
        </w:rPr>
        <w:t> </w:t>
      </w:r>
      <w:r>
        <w:rPr/>
        <w:t>además</w:t>
      </w:r>
      <w:r>
        <w:rPr>
          <w:spacing w:val="-3"/>
        </w:rPr>
        <w:t> </w:t>
      </w:r>
      <w:r>
        <w:rPr/>
        <w:t>de</w:t>
      </w:r>
      <w:r>
        <w:rPr>
          <w:spacing w:val="-3"/>
        </w:rPr>
        <w:t> </w:t>
      </w:r>
      <w:r>
        <w:rPr/>
        <w:t>los</w:t>
      </w:r>
      <w:r>
        <w:rPr>
          <w:spacing w:val="-1"/>
        </w:rPr>
        <w:t> </w:t>
      </w:r>
      <w:r>
        <w:rPr/>
        <w:t>requisitos</w:t>
      </w:r>
      <w:r>
        <w:rPr>
          <w:spacing w:val="-3"/>
        </w:rPr>
        <w:t> </w:t>
      </w:r>
      <w:r>
        <w:rPr/>
        <w:t>que</w:t>
      </w:r>
      <w:r>
        <w:rPr>
          <w:spacing w:val="-4"/>
        </w:rPr>
        <w:t> </w:t>
      </w:r>
      <w:r>
        <w:rPr/>
        <w:t>en cada caso procedan, la contratación de seguros contra riesgos antropogénicos y daños causados por</w:t>
      </w:r>
      <w:r>
        <w:rPr>
          <w:spacing w:val="-11"/>
        </w:rPr>
        <w:t> </w:t>
      </w:r>
      <w:r>
        <w:rPr/>
        <w:t>fenómenos</w:t>
      </w:r>
      <w:r>
        <w:rPr>
          <w:spacing w:val="-11"/>
        </w:rPr>
        <w:t> </w:t>
      </w:r>
      <w:r>
        <w:rPr/>
        <w:t>naturales;</w:t>
      </w:r>
      <w:r>
        <w:rPr>
          <w:spacing w:val="-12"/>
        </w:rPr>
        <w:t> </w:t>
      </w:r>
      <w:r>
        <w:rPr/>
        <w:t>promoviendo</w:t>
      </w:r>
      <w:r>
        <w:rPr>
          <w:spacing w:val="-10"/>
        </w:rPr>
        <w:t> </w:t>
      </w:r>
      <w:r>
        <w:rPr/>
        <w:t>en</w:t>
      </w:r>
      <w:r>
        <w:rPr>
          <w:spacing w:val="-13"/>
        </w:rPr>
        <w:t> </w:t>
      </w:r>
      <w:r>
        <w:rPr/>
        <w:t>su</w:t>
      </w:r>
      <w:r>
        <w:rPr>
          <w:spacing w:val="-12"/>
        </w:rPr>
        <w:t> </w:t>
      </w:r>
      <w:r>
        <w:rPr/>
        <w:t>caso</w:t>
      </w:r>
      <w:r>
        <w:rPr>
          <w:spacing w:val="-12"/>
        </w:rPr>
        <w:t> </w:t>
      </w:r>
      <w:r>
        <w:rPr/>
        <w:t>el</w:t>
      </w:r>
      <w:r>
        <w:rPr>
          <w:spacing w:val="-13"/>
        </w:rPr>
        <w:t> </w:t>
      </w:r>
      <w:r>
        <w:rPr/>
        <w:t>otorgamiento</w:t>
      </w:r>
      <w:r>
        <w:rPr>
          <w:spacing w:val="-13"/>
        </w:rPr>
        <w:t> </w:t>
      </w:r>
      <w:r>
        <w:rPr/>
        <w:t>de</w:t>
      </w:r>
      <w:r>
        <w:rPr>
          <w:spacing w:val="-12"/>
        </w:rPr>
        <w:t> </w:t>
      </w:r>
      <w:r>
        <w:rPr/>
        <w:t>subsidios</w:t>
      </w:r>
      <w:r>
        <w:rPr>
          <w:spacing w:val="-11"/>
        </w:rPr>
        <w:t> </w:t>
      </w:r>
      <w:r>
        <w:rPr/>
        <w:t>u</w:t>
      </w:r>
      <w:r>
        <w:rPr>
          <w:spacing w:val="-4"/>
        </w:rPr>
        <w:t> </w:t>
      </w:r>
      <w:r>
        <w:rPr/>
        <w:t>otros</w:t>
      </w:r>
      <w:r>
        <w:rPr>
          <w:spacing w:val="-11"/>
        </w:rPr>
        <w:t> </w:t>
      </w:r>
      <w:r>
        <w:rPr/>
        <w:t>apoyos</w:t>
      </w:r>
      <w:r>
        <w:rPr>
          <w:spacing w:val="-11"/>
        </w:rPr>
        <w:t> </w:t>
      </w:r>
      <w:r>
        <w:rPr/>
        <w:t>para que</w:t>
      </w:r>
      <w:r>
        <w:rPr>
          <w:spacing w:val="-10"/>
        </w:rPr>
        <w:t> </w:t>
      </w:r>
      <w:r>
        <w:rPr/>
        <w:t>las</w:t>
      </w:r>
      <w:r>
        <w:rPr>
          <w:spacing w:val="-11"/>
        </w:rPr>
        <w:t> </w:t>
      </w:r>
      <w:r>
        <w:rPr/>
        <w:t>personas</w:t>
      </w:r>
      <w:r>
        <w:rPr>
          <w:spacing w:val="-11"/>
        </w:rPr>
        <w:t> </w:t>
      </w:r>
      <w:r>
        <w:rPr/>
        <w:t>de</w:t>
      </w:r>
      <w:r>
        <w:rPr>
          <w:spacing w:val="-10"/>
        </w:rPr>
        <w:t> </w:t>
      </w:r>
      <w:r>
        <w:rPr/>
        <w:t>bajos</w:t>
      </w:r>
      <w:r>
        <w:rPr>
          <w:spacing w:val="-11"/>
        </w:rPr>
        <w:t> </w:t>
      </w:r>
      <w:r>
        <w:rPr/>
        <w:t>recursos</w:t>
      </w:r>
      <w:r>
        <w:rPr>
          <w:spacing w:val="-11"/>
        </w:rPr>
        <w:t> </w:t>
      </w:r>
      <w:r>
        <w:rPr/>
        <w:t>económicos</w:t>
      </w:r>
      <w:r>
        <w:rPr>
          <w:spacing w:val="-11"/>
        </w:rPr>
        <w:t> </w:t>
      </w:r>
      <w:r>
        <w:rPr/>
        <w:t>puedan</w:t>
      </w:r>
      <w:r>
        <w:rPr>
          <w:spacing w:val="-12"/>
        </w:rPr>
        <w:t> </w:t>
      </w:r>
      <w:r>
        <w:rPr/>
        <w:t>contratar</w:t>
      </w:r>
      <w:r>
        <w:rPr>
          <w:spacing w:val="-11"/>
        </w:rPr>
        <w:t> </w:t>
      </w:r>
      <w:r>
        <w:rPr/>
        <w:t>dichos</w:t>
      </w:r>
      <w:r>
        <w:rPr>
          <w:spacing w:val="-11"/>
        </w:rPr>
        <w:t> </w:t>
      </w:r>
      <w:r>
        <w:rPr/>
        <w:t>seguros.</w:t>
      </w:r>
      <w:r>
        <w:rPr>
          <w:spacing w:val="-10"/>
        </w:rPr>
        <w:t> </w:t>
      </w:r>
      <w:r>
        <w:rPr/>
        <w:t>Así</w:t>
      </w:r>
      <w:r>
        <w:rPr>
          <w:spacing w:val="-12"/>
        </w:rPr>
        <w:t> </w:t>
      </w:r>
      <w:r>
        <w:rPr/>
        <w:t>mismo,</w:t>
      </w:r>
      <w:r>
        <w:rPr>
          <w:spacing w:val="-13"/>
        </w:rPr>
        <w:t> </w:t>
      </w:r>
      <w:r>
        <w:rPr/>
        <w:t>podrá solicitar</w:t>
      </w:r>
      <w:r>
        <w:rPr>
          <w:spacing w:val="-4"/>
        </w:rPr>
        <w:t> </w:t>
      </w:r>
      <w:r>
        <w:rPr/>
        <w:t>en</w:t>
      </w:r>
      <w:r>
        <w:rPr>
          <w:spacing w:val="-4"/>
        </w:rPr>
        <w:t> </w:t>
      </w:r>
      <w:r>
        <w:rPr/>
        <w:t>los</w:t>
      </w:r>
      <w:r>
        <w:rPr>
          <w:spacing w:val="-3"/>
        </w:rPr>
        <w:t> </w:t>
      </w:r>
      <w:r>
        <w:rPr/>
        <w:t>casos</w:t>
      </w:r>
      <w:r>
        <w:rPr>
          <w:spacing w:val="-3"/>
        </w:rPr>
        <w:t> </w:t>
      </w:r>
      <w:r>
        <w:rPr/>
        <w:t>que</w:t>
      </w:r>
      <w:r>
        <w:rPr>
          <w:spacing w:val="-4"/>
        </w:rPr>
        <w:t> </w:t>
      </w:r>
      <w:r>
        <w:rPr/>
        <w:t>por</w:t>
      </w:r>
      <w:r>
        <w:rPr>
          <w:spacing w:val="-4"/>
        </w:rPr>
        <w:t> </w:t>
      </w:r>
      <w:r>
        <w:rPr/>
        <w:t>las</w:t>
      </w:r>
      <w:r>
        <w:rPr>
          <w:spacing w:val="-3"/>
        </w:rPr>
        <w:t> </w:t>
      </w:r>
      <w:r>
        <w:rPr/>
        <w:t>condiciones</w:t>
      </w:r>
      <w:r>
        <w:rPr>
          <w:spacing w:val="-3"/>
        </w:rPr>
        <w:t> </w:t>
      </w:r>
      <w:r>
        <w:rPr/>
        <w:t>de</w:t>
      </w:r>
      <w:r>
        <w:rPr>
          <w:spacing w:val="-4"/>
        </w:rPr>
        <w:t> </w:t>
      </w:r>
      <w:r>
        <w:rPr/>
        <w:t>la</w:t>
      </w:r>
      <w:r>
        <w:rPr>
          <w:spacing w:val="-4"/>
        </w:rPr>
        <w:t> </w:t>
      </w:r>
      <w:r>
        <w:rPr/>
        <w:t>construcción</w:t>
      </w:r>
      <w:r>
        <w:rPr>
          <w:spacing w:val="-5"/>
        </w:rPr>
        <w:t> </w:t>
      </w:r>
      <w:r>
        <w:rPr/>
        <w:t>así</w:t>
      </w:r>
      <w:r>
        <w:rPr>
          <w:spacing w:val="-4"/>
        </w:rPr>
        <w:t> </w:t>
      </w:r>
      <w:r>
        <w:rPr/>
        <w:t>se</w:t>
      </w:r>
      <w:r>
        <w:rPr>
          <w:spacing w:val="-4"/>
        </w:rPr>
        <w:t> </w:t>
      </w:r>
      <w:r>
        <w:rPr/>
        <w:t>requiera</w:t>
      </w:r>
      <w:r>
        <w:rPr>
          <w:spacing w:val="-4"/>
        </w:rPr>
        <w:t> </w:t>
      </w:r>
      <w:r>
        <w:rPr/>
        <w:t>el</w:t>
      </w:r>
      <w:r>
        <w:rPr>
          <w:spacing w:val="-5"/>
        </w:rPr>
        <w:t> </w:t>
      </w:r>
      <w:r>
        <w:rPr/>
        <w:t>de</w:t>
      </w:r>
      <w:r>
        <w:rPr>
          <w:spacing w:val="-5"/>
        </w:rPr>
        <w:t> </w:t>
      </w:r>
      <w:r>
        <w:rPr/>
        <w:t>la</w:t>
      </w:r>
      <w:r>
        <w:rPr>
          <w:spacing w:val="-4"/>
        </w:rPr>
        <w:t> </w:t>
      </w:r>
      <w:r>
        <w:rPr/>
        <w:t>elaboración de un dictamen estructural realizado por perito dictaminador en edificaciones.</w:t>
      </w:r>
    </w:p>
    <w:p>
      <w:pPr>
        <w:pStyle w:val="BodyText"/>
        <w:spacing w:before="1"/>
      </w:pPr>
    </w:p>
    <w:p>
      <w:pPr>
        <w:pStyle w:val="BodyText"/>
        <w:spacing w:before="1"/>
        <w:ind w:left="262" w:right="280"/>
        <w:jc w:val="both"/>
      </w:pPr>
      <w:r>
        <w:rPr>
          <w:spacing w:val="-2"/>
        </w:rPr>
        <w:t>En</w:t>
      </w:r>
      <w:r>
        <w:rPr>
          <w:spacing w:val="-5"/>
        </w:rPr>
        <w:t> </w:t>
      </w:r>
      <w:r>
        <w:rPr>
          <w:spacing w:val="-2"/>
        </w:rPr>
        <w:t>los</w:t>
      </w:r>
      <w:r>
        <w:rPr>
          <w:spacing w:val="-8"/>
        </w:rPr>
        <w:t> </w:t>
      </w:r>
      <w:r>
        <w:rPr>
          <w:spacing w:val="-2"/>
        </w:rPr>
        <w:t>casos</w:t>
      </w:r>
      <w:r>
        <w:rPr>
          <w:spacing w:val="-4"/>
        </w:rPr>
        <w:t> </w:t>
      </w:r>
      <w:r>
        <w:rPr>
          <w:spacing w:val="-2"/>
        </w:rPr>
        <w:t>indicados</w:t>
      </w:r>
      <w:r>
        <w:rPr>
          <w:spacing w:val="-6"/>
        </w:rPr>
        <w:t> </w:t>
      </w:r>
      <w:r>
        <w:rPr>
          <w:spacing w:val="-2"/>
        </w:rPr>
        <w:t>por</w:t>
      </w:r>
      <w:r>
        <w:rPr>
          <w:spacing w:val="-8"/>
        </w:rPr>
        <w:t> </w:t>
      </w:r>
      <w:r>
        <w:rPr>
          <w:spacing w:val="-2"/>
        </w:rPr>
        <w:t>los</w:t>
      </w:r>
      <w:r>
        <w:rPr>
          <w:spacing w:val="-8"/>
        </w:rPr>
        <w:t> </w:t>
      </w:r>
      <w:r>
        <w:rPr>
          <w:spacing w:val="-2"/>
        </w:rPr>
        <w:t>Atlas</w:t>
      </w:r>
      <w:r>
        <w:rPr>
          <w:spacing w:val="-4"/>
        </w:rPr>
        <w:t> </w:t>
      </w:r>
      <w:r>
        <w:rPr>
          <w:spacing w:val="-2"/>
        </w:rPr>
        <w:t>de</w:t>
      </w:r>
      <w:r>
        <w:rPr>
          <w:spacing w:val="-6"/>
        </w:rPr>
        <w:t> </w:t>
      </w:r>
      <w:r>
        <w:rPr>
          <w:spacing w:val="-2"/>
        </w:rPr>
        <w:t>Riesgos,</w:t>
      </w:r>
      <w:r>
        <w:rPr>
          <w:spacing w:val="-8"/>
        </w:rPr>
        <w:t> </w:t>
      </w:r>
      <w:r>
        <w:rPr>
          <w:spacing w:val="-2"/>
        </w:rPr>
        <w:t>en</w:t>
      </w:r>
      <w:r>
        <w:rPr>
          <w:spacing w:val="-5"/>
        </w:rPr>
        <w:t> </w:t>
      </w:r>
      <w:r>
        <w:rPr>
          <w:spacing w:val="-2"/>
        </w:rPr>
        <w:t>las</w:t>
      </w:r>
      <w:r>
        <w:rPr>
          <w:spacing w:val="-4"/>
        </w:rPr>
        <w:t> </w:t>
      </w:r>
      <w:r>
        <w:rPr>
          <w:spacing w:val="-2"/>
        </w:rPr>
        <w:t>actividades</w:t>
      </w:r>
      <w:r>
        <w:rPr>
          <w:spacing w:val="-8"/>
        </w:rPr>
        <w:t> </w:t>
      </w:r>
      <w:r>
        <w:rPr>
          <w:spacing w:val="-2"/>
        </w:rPr>
        <w:t>riesgosas</w:t>
      </w:r>
      <w:r>
        <w:rPr>
          <w:spacing w:val="-4"/>
        </w:rPr>
        <w:t> </w:t>
      </w:r>
      <w:r>
        <w:rPr>
          <w:spacing w:val="-2"/>
        </w:rPr>
        <w:t>listadas</w:t>
      </w:r>
      <w:r>
        <w:rPr>
          <w:spacing w:val="-8"/>
        </w:rPr>
        <w:t> </w:t>
      </w:r>
      <w:r>
        <w:rPr>
          <w:spacing w:val="-2"/>
        </w:rPr>
        <w:t>por</w:t>
      </w:r>
      <w:r>
        <w:rPr>
          <w:spacing w:val="-4"/>
        </w:rPr>
        <w:t> </w:t>
      </w:r>
      <w:r>
        <w:rPr>
          <w:spacing w:val="-2"/>
        </w:rPr>
        <w:t>la</w:t>
      </w:r>
      <w:r>
        <w:rPr>
          <w:spacing w:val="-5"/>
        </w:rPr>
        <w:t> </w:t>
      </w:r>
      <w:r>
        <w:rPr>
          <w:spacing w:val="-2"/>
        </w:rPr>
        <w:t>autoridad </w:t>
      </w:r>
      <w:r>
        <w:rPr/>
        <w:t>ambiental,</w:t>
      </w:r>
      <w:r>
        <w:rPr>
          <w:spacing w:val="-14"/>
        </w:rPr>
        <w:t> </w:t>
      </w:r>
      <w:r>
        <w:rPr/>
        <w:t>y</w:t>
      </w:r>
      <w:r>
        <w:rPr>
          <w:spacing w:val="-14"/>
        </w:rPr>
        <w:t> </w:t>
      </w:r>
      <w:r>
        <w:rPr/>
        <w:t>para</w:t>
      </w:r>
      <w:r>
        <w:rPr>
          <w:spacing w:val="-14"/>
        </w:rPr>
        <w:t> </w:t>
      </w:r>
      <w:r>
        <w:rPr/>
        <w:t>los</w:t>
      </w:r>
      <w:r>
        <w:rPr>
          <w:spacing w:val="-14"/>
        </w:rPr>
        <w:t> </w:t>
      </w:r>
      <w:r>
        <w:rPr/>
        <w:t>usos</w:t>
      </w:r>
      <w:r>
        <w:rPr>
          <w:spacing w:val="-14"/>
        </w:rPr>
        <w:t> </w:t>
      </w:r>
      <w:r>
        <w:rPr/>
        <w:t>de</w:t>
      </w:r>
      <w:r>
        <w:rPr>
          <w:spacing w:val="-14"/>
        </w:rPr>
        <w:t> </w:t>
      </w:r>
      <w:r>
        <w:rPr/>
        <w:t>suelo</w:t>
      </w:r>
      <w:r>
        <w:rPr>
          <w:spacing w:val="-14"/>
        </w:rPr>
        <w:t> </w:t>
      </w:r>
      <w:r>
        <w:rPr/>
        <w:t>de</w:t>
      </w:r>
      <w:r>
        <w:rPr>
          <w:spacing w:val="-14"/>
        </w:rPr>
        <w:t> </w:t>
      </w:r>
      <w:r>
        <w:rPr/>
        <w:t>impacto</w:t>
      </w:r>
      <w:r>
        <w:rPr>
          <w:spacing w:val="-14"/>
        </w:rPr>
        <w:t> </w:t>
      </w:r>
      <w:r>
        <w:rPr/>
        <w:t>significativo</w:t>
      </w:r>
      <w:r>
        <w:rPr>
          <w:spacing w:val="-13"/>
        </w:rPr>
        <w:t> </w:t>
      </w:r>
      <w:r>
        <w:rPr/>
        <w:t>indicados</w:t>
      </w:r>
      <w:r>
        <w:rPr>
          <w:spacing w:val="-14"/>
        </w:rPr>
        <w:t> </w:t>
      </w:r>
      <w:r>
        <w:rPr/>
        <w:t>en</w:t>
      </w:r>
      <w:r>
        <w:rPr>
          <w:spacing w:val="-14"/>
        </w:rPr>
        <w:t> </w:t>
      </w:r>
      <w:r>
        <w:rPr/>
        <w:t>ésta</w:t>
      </w:r>
      <w:r>
        <w:rPr>
          <w:spacing w:val="-14"/>
        </w:rPr>
        <w:t> </w:t>
      </w:r>
      <w:r>
        <w:rPr/>
        <w:t>Ley</w:t>
      </w:r>
      <w:r>
        <w:rPr>
          <w:spacing w:val="-14"/>
        </w:rPr>
        <w:t> </w:t>
      </w:r>
      <w:r>
        <w:rPr/>
        <w:t>y</w:t>
      </w:r>
      <w:r>
        <w:rPr>
          <w:spacing w:val="-14"/>
        </w:rPr>
        <w:t> </w:t>
      </w:r>
      <w:r>
        <w:rPr/>
        <w:t>en</w:t>
      </w:r>
      <w:r>
        <w:rPr>
          <w:spacing w:val="-14"/>
        </w:rPr>
        <w:t> </w:t>
      </w:r>
      <w:r>
        <w:rPr/>
        <w:t>los</w:t>
      </w:r>
      <w:r>
        <w:rPr>
          <w:spacing w:val="-14"/>
        </w:rPr>
        <w:t> </w:t>
      </w:r>
      <w:r>
        <w:rPr/>
        <w:t>Programas de Ordenamiento Ecológico y de Ordenamiento Territorial y Desarrollo Urbano, se solicitará un Dictamen Técnico de Análisis de Riesgo a Especialistas Certificados conforme a lo señalado en el artículo 140 de esta Ley.</w:t>
      </w:r>
    </w:p>
    <w:p>
      <w:pPr>
        <w:pStyle w:val="BodyText"/>
      </w:pPr>
    </w:p>
    <w:p>
      <w:pPr>
        <w:pStyle w:val="BodyText"/>
        <w:ind w:left="262" w:right="278"/>
        <w:jc w:val="both"/>
      </w:pPr>
      <w:r>
        <w:rPr>
          <w:rFonts w:ascii="Arial" w:hAnsi="Arial"/>
          <w:b/>
        </w:rPr>
        <w:t>ARTÍCULO</w:t>
      </w:r>
      <w:r>
        <w:rPr>
          <w:rFonts w:ascii="Arial" w:hAnsi="Arial"/>
          <w:b/>
          <w:spacing w:val="-6"/>
        </w:rPr>
        <w:t> </w:t>
      </w:r>
      <w:r>
        <w:rPr>
          <w:rFonts w:ascii="Arial" w:hAnsi="Arial"/>
          <w:b/>
        </w:rPr>
        <w:t>147.</w:t>
      </w:r>
      <w:r>
        <w:rPr>
          <w:rFonts w:ascii="Arial" w:hAnsi="Arial"/>
          <w:b/>
          <w:spacing w:val="-7"/>
        </w:rPr>
        <w:t> </w:t>
      </w:r>
      <w:r>
        <w:rPr/>
        <w:t>Las</w:t>
      </w:r>
      <w:r>
        <w:rPr>
          <w:spacing w:val="-6"/>
        </w:rPr>
        <w:t> </w:t>
      </w:r>
      <w:r>
        <w:rPr/>
        <w:t>normas</w:t>
      </w:r>
      <w:r>
        <w:rPr>
          <w:spacing w:val="-7"/>
        </w:rPr>
        <w:t> </w:t>
      </w:r>
      <w:r>
        <w:rPr/>
        <w:t>del</w:t>
      </w:r>
      <w:r>
        <w:rPr>
          <w:spacing w:val="-8"/>
        </w:rPr>
        <w:t> </w:t>
      </w:r>
      <w:r>
        <w:rPr/>
        <w:t>presente</w:t>
      </w:r>
      <w:r>
        <w:rPr>
          <w:spacing w:val="-8"/>
        </w:rPr>
        <w:t> </w:t>
      </w:r>
      <w:r>
        <w:rPr/>
        <w:t>Capítulo</w:t>
      </w:r>
      <w:r>
        <w:rPr>
          <w:spacing w:val="-8"/>
        </w:rPr>
        <w:t> </w:t>
      </w:r>
      <w:r>
        <w:rPr/>
        <w:t>son</w:t>
      </w:r>
      <w:r>
        <w:rPr>
          <w:spacing w:val="-8"/>
        </w:rPr>
        <w:t> </w:t>
      </w:r>
      <w:r>
        <w:rPr/>
        <w:t>obligatorias</w:t>
      </w:r>
      <w:r>
        <w:rPr>
          <w:spacing w:val="-7"/>
        </w:rPr>
        <w:t> </w:t>
      </w:r>
      <w:r>
        <w:rPr/>
        <w:t>para</w:t>
      </w:r>
      <w:r>
        <w:rPr>
          <w:spacing w:val="-8"/>
        </w:rPr>
        <w:t> </w:t>
      </w:r>
      <w:r>
        <w:rPr/>
        <w:t>todas</w:t>
      </w:r>
      <w:r>
        <w:rPr>
          <w:spacing w:val="-6"/>
        </w:rPr>
        <w:t> </w:t>
      </w:r>
      <w:r>
        <w:rPr/>
        <w:t>las</w:t>
      </w:r>
      <w:r>
        <w:rPr>
          <w:spacing w:val="-6"/>
        </w:rPr>
        <w:t> </w:t>
      </w:r>
      <w:r>
        <w:rPr/>
        <w:t>personas,</w:t>
      </w:r>
      <w:r>
        <w:rPr>
          <w:spacing w:val="-7"/>
        </w:rPr>
        <w:t> </w:t>
      </w:r>
      <w:r>
        <w:rPr/>
        <w:t>físicas y morales, públicas o privadas y tienen por objeto establecer las especificaciones a que estarán sujetos los procesos de ocupación</w:t>
      </w:r>
      <w:r>
        <w:rPr>
          <w:spacing w:val="-1"/>
        </w:rPr>
        <w:t> </w:t>
      </w:r>
      <w:r>
        <w:rPr/>
        <w:t>del</w:t>
      </w:r>
      <w:r>
        <w:rPr>
          <w:spacing w:val="-2"/>
        </w:rPr>
        <w:t> </w:t>
      </w:r>
      <w:r>
        <w:rPr/>
        <w:t>territorio,</w:t>
      </w:r>
      <w:r>
        <w:rPr>
          <w:spacing w:val="-1"/>
        </w:rPr>
        <w:t> </w:t>
      </w:r>
      <w:r>
        <w:rPr/>
        <w:t>tales como</w:t>
      </w:r>
      <w:r>
        <w:rPr>
          <w:spacing w:val="-1"/>
        </w:rPr>
        <w:t> </w:t>
      </w:r>
      <w:r>
        <w:rPr/>
        <w:t>aprovechamientos urbanos, edificación de</w:t>
      </w:r>
      <w:r>
        <w:rPr>
          <w:spacing w:val="-12"/>
        </w:rPr>
        <w:t> </w:t>
      </w:r>
      <w:r>
        <w:rPr/>
        <w:t>obras</w:t>
      </w:r>
      <w:r>
        <w:rPr>
          <w:spacing w:val="-11"/>
        </w:rPr>
        <w:t> </w:t>
      </w:r>
      <w:r>
        <w:rPr/>
        <w:t>de</w:t>
      </w:r>
      <w:r>
        <w:rPr>
          <w:spacing w:val="-12"/>
        </w:rPr>
        <w:t> </w:t>
      </w:r>
      <w:r>
        <w:rPr/>
        <w:t>infraestructura,</w:t>
      </w:r>
      <w:r>
        <w:rPr>
          <w:spacing w:val="-10"/>
        </w:rPr>
        <w:t> </w:t>
      </w:r>
      <w:r>
        <w:rPr/>
        <w:t>equipamiento</w:t>
      </w:r>
      <w:r>
        <w:rPr>
          <w:spacing w:val="-10"/>
        </w:rPr>
        <w:t> </w:t>
      </w:r>
      <w:r>
        <w:rPr/>
        <w:t>urbano</w:t>
      </w:r>
      <w:r>
        <w:rPr>
          <w:spacing w:val="-12"/>
        </w:rPr>
        <w:t> </w:t>
      </w:r>
      <w:r>
        <w:rPr/>
        <w:t>y</w:t>
      </w:r>
      <w:r>
        <w:rPr>
          <w:spacing w:val="-11"/>
        </w:rPr>
        <w:t> </w:t>
      </w:r>
      <w:r>
        <w:rPr/>
        <w:t>viviendas,</w:t>
      </w:r>
      <w:r>
        <w:rPr>
          <w:spacing w:val="-10"/>
        </w:rPr>
        <w:t> </w:t>
      </w:r>
      <w:r>
        <w:rPr/>
        <w:t>en</w:t>
      </w:r>
      <w:r>
        <w:rPr>
          <w:spacing w:val="-12"/>
        </w:rPr>
        <w:t> </w:t>
      </w:r>
      <w:r>
        <w:rPr/>
        <w:t>zonas</w:t>
      </w:r>
      <w:r>
        <w:rPr>
          <w:spacing w:val="-11"/>
        </w:rPr>
        <w:t> </w:t>
      </w:r>
      <w:r>
        <w:rPr/>
        <w:t>sujetas</w:t>
      </w:r>
      <w:r>
        <w:rPr>
          <w:spacing w:val="-11"/>
        </w:rPr>
        <w:t> </w:t>
      </w:r>
      <w:r>
        <w:rPr/>
        <w:t>a</w:t>
      </w:r>
      <w:r>
        <w:rPr>
          <w:spacing w:val="-12"/>
        </w:rPr>
        <w:t> </w:t>
      </w:r>
      <w:r>
        <w:rPr/>
        <w:t>riesgos</w:t>
      </w:r>
      <w:r>
        <w:rPr>
          <w:spacing w:val="-11"/>
        </w:rPr>
        <w:t> </w:t>
      </w:r>
      <w:r>
        <w:rPr/>
        <w:t>geológicos e hidrometeorológicos de acuerdo a los Atlas de Riesgo Estatal y Municipales emitido por las autoridades</w:t>
      </w:r>
      <w:r>
        <w:rPr>
          <w:spacing w:val="-3"/>
        </w:rPr>
        <w:t> </w:t>
      </w:r>
      <w:r>
        <w:rPr/>
        <w:t>en</w:t>
      </w:r>
      <w:r>
        <w:rPr>
          <w:spacing w:val="-2"/>
        </w:rPr>
        <w:t> </w:t>
      </w:r>
      <w:r>
        <w:rPr/>
        <w:t>materia</w:t>
      </w:r>
      <w:r>
        <w:rPr>
          <w:spacing w:val="-2"/>
        </w:rPr>
        <w:t> </w:t>
      </w:r>
      <w:r>
        <w:rPr/>
        <w:t>de Protección</w:t>
      </w:r>
      <w:r>
        <w:rPr>
          <w:spacing w:val="-4"/>
        </w:rPr>
        <w:t> </w:t>
      </w:r>
      <w:r>
        <w:rPr/>
        <w:t>Civil</w:t>
      </w:r>
      <w:r>
        <w:rPr>
          <w:spacing w:val="-3"/>
        </w:rPr>
        <w:t> </w:t>
      </w:r>
      <w:r>
        <w:rPr/>
        <w:t>o</w:t>
      </w:r>
      <w:r>
        <w:rPr>
          <w:spacing w:val="-4"/>
        </w:rPr>
        <w:t> </w:t>
      </w:r>
      <w:r>
        <w:rPr/>
        <w:t>su</w:t>
      </w:r>
      <w:r>
        <w:rPr>
          <w:spacing w:val="-2"/>
        </w:rPr>
        <w:t> </w:t>
      </w:r>
      <w:r>
        <w:rPr/>
        <w:t>equivalente,</w:t>
      </w:r>
      <w:r>
        <w:rPr>
          <w:spacing w:val="-2"/>
        </w:rPr>
        <w:t> </w:t>
      </w:r>
      <w:r>
        <w:rPr/>
        <w:t>a</w:t>
      </w:r>
      <w:r>
        <w:rPr>
          <w:spacing w:val="-2"/>
        </w:rPr>
        <w:t> </w:t>
      </w:r>
      <w:r>
        <w:rPr/>
        <w:t>fin</w:t>
      </w:r>
      <w:r>
        <w:rPr>
          <w:spacing w:val="-4"/>
        </w:rPr>
        <w:t> </w:t>
      </w:r>
      <w:r>
        <w:rPr/>
        <w:t>de</w:t>
      </w:r>
      <w:r>
        <w:rPr>
          <w:spacing w:val="-2"/>
        </w:rPr>
        <w:t> </w:t>
      </w:r>
      <w:r>
        <w:rPr/>
        <w:t>prevenir</w:t>
      </w:r>
      <w:r>
        <w:rPr>
          <w:spacing w:val="-3"/>
        </w:rPr>
        <w:t> </w:t>
      </w:r>
      <w:r>
        <w:rPr/>
        <w:t>riesgos</w:t>
      </w:r>
      <w:r>
        <w:rPr>
          <w:spacing w:val="-3"/>
        </w:rPr>
        <w:t> </w:t>
      </w:r>
      <w:r>
        <w:rPr/>
        <w:t>a</w:t>
      </w:r>
      <w:r>
        <w:rPr>
          <w:spacing w:val="-2"/>
        </w:rPr>
        <w:t> </w:t>
      </w:r>
      <w:r>
        <w:rPr/>
        <w:t>la</w:t>
      </w:r>
      <w:r>
        <w:rPr>
          <w:spacing w:val="-2"/>
        </w:rPr>
        <w:t> </w:t>
      </w:r>
      <w:r>
        <w:rPr/>
        <w:t>población y evitar daños irreversibles en sus personas o sus bienes, así como para mitigar los impactos y costos económicos y sociales en los Centros de Población.</w:t>
      </w:r>
    </w:p>
    <w:p>
      <w:pPr>
        <w:pStyle w:val="BodyText"/>
        <w:spacing w:before="229"/>
        <w:ind w:left="262" w:right="281"/>
        <w:jc w:val="both"/>
      </w:pPr>
      <w:r>
        <w:rPr>
          <w:rFonts w:ascii="Arial" w:hAnsi="Arial"/>
          <w:b/>
        </w:rPr>
        <w:t>ARTÍCULO</w:t>
      </w:r>
      <w:r>
        <w:rPr>
          <w:rFonts w:ascii="Arial" w:hAnsi="Arial"/>
          <w:b/>
          <w:spacing w:val="-3"/>
        </w:rPr>
        <w:t> </w:t>
      </w:r>
      <w:r>
        <w:rPr>
          <w:rFonts w:ascii="Arial" w:hAnsi="Arial"/>
          <w:b/>
        </w:rPr>
        <w:t>148.</w:t>
      </w:r>
      <w:r>
        <w:rPr>
          <w:rFonts w:ascii="Arial" w:hAnsi="Arial"/>
          <w:b/>
          <w:spacing w:val="-1"/>
        </w:rPr>
        <w:t> </w:t>
      </w:r>
      <w:r>
        <w:rPr/>
        <w:t>Tratándose</w:t>
      </w:r>
      <w:r>
        <w:rPr>
          <w:spacing w:val="-4"/>
        </w:rPr>
        <w:t> </w:t>
      </w:r>
      <w:r>
        <w:rPr/>
        <w:t>de</w:t>
      </w:r>
      <w:r>
        <w:rPr>
          <w:spacing w:val="-2"/>
        </w:rPr>
        <w:t> </w:t>
      </w:r>
      <w:r>
        <w:rPr/>
        <w:t>acciones,</w:t>
      </w:r>
      <w:r>
        <w:rPr>
          <w:spacing w:val="-4"/>
        </w:rPr>
        <w:t> </w:t>
      </w:r>
      <w:r>
        <w:rPr/>
        <w:t>proyectos</w:t>
      </w:r>
      <w:r>
        <w:rPr>
          <w:spacing w:val="-3"/>
        </w:rPr>
        <w:t> </w:t>
      </w:r>
      <w:r>
        <w:rPr/>
        <w:t>u obras</w:t>
      </w:r>
      <w:r>
        <w:rPr>
          <w:spacing w:val="-3"/>
        </w:rPr>
        <w:t> </w:t>
      </w:r>
      <w:r>
        <w:rPr/>
        <w:t>que</w:t>
      </w:r>
      <w:r>
        <w:rPr>
          <w:spacing w:val="-2"/>
        </w:rPr>
        <w:t> </w:t>
      </w:r>
      <w:r>
        <w:rPr/>
        <w:t>se</w:t>
      </w:r>
      <w:r>
        <w:rPr>
          <w:spacing w:val="-2"/>
        </w:rPr>
        <w:t> </w:t>
      </w:r>
      <w:r>
        <w:rPr/>
        <w:t>encuentren</w:t>
      </w:r>
      <w:r>
        <w:rPr>
          <w:spacing w:val="-2"/>
        </w:rPr>
        <w:t> </w:t>
      </w:r>
      <w:r>
        <w:rPr/>
        <w:t>ubicados</w:t>
      </w:r>
      <w:r>
        <w:rPr>
          <w:spacing w:val="-3"/>
        </w:rPr>
        <w:t> </w:t>
      </w:r>
      <w:r>
        <w:rPr/>
        <w:t>en</w:t>
      </w:r>
      <w:r>
        <w:rPr>
          <w:spacing w:val="-4"/>
        </w:rPr>
        <w:t> </w:t>
      </w:r>
      <w:r>
        <w:rPr/>
        <w:t>zonas de</w:t>
      </w:r>
      <w:r>
        <w:rPr>
          <w:spacing w:val="-14"/>
        </w:rPr>
        <w:t> </w:t>
      </w:r>
      <w:r>
        <w:rPr/>
        <w:t>alto</w:t>
      </w:r>
      <w:r>
        <w:rPr>
          <w:spacing w:val="-14"/>
        </w:rPr>
        <w:t> </w:t>
      </w:r>
      <w:r>
        <w:rPr/>
        <w:t>riesgo</w:t>
      </w:r>
      <w:r>
        <w:rPr>
          <w:spacing w:val="-12"/>
        </w:rPr>
        <w:t> </w:t>
      </w:r>
      <w:r>
        <w:rPr/>
        <w:t>conforme</w:t>
      </w:r>
      <w:r>
        <w:rPr>
          <w:spacing w:val="-12"/>
        </w:rPr>
        <w:t> </w:t>
      </w:r>
      <w:r>
        <w:rPr/>
        <w:t>a</w:t>
      </w:r>
      <w:r>
        <w:rPr>
          <w:spacing w:val="-14"/>
        </w:rPr>
        <w:t> </w:t>
      </w:r>
      <w:r>
        <w:rPr/>
        <w:t>los</w:t>
      </w:r>
      <w:r>
        <w:rPr>
          <w:spacing w:val="-12"/>
        </w:rPr>
        <w:t> </w:t>
      </w:r>
      <w:r>
        <w:rPr/>
        <w:t>Atlas</w:t>
      </w:r>
      <w:r>
        <w:rPr>
          <w:spacing w:val="-10"/>
        </w:rPr>
        <w:t> </w:t>
      </w:r>
      <w:r>
        <w:rPr/>
        <w:t>de</w:t>
      </w:r>
      <w:r>
        <w:rPr>
          <w:spacing w:val="-14"/>
        </w:rPr>
        <w:t> </w:t>
      </w:r>
      <w:r>
        <w:rPr/>
        <w:t>Riesgo</w:t>
      </w:r>
      <w:r>
        <w:rPr>
          <w:spacing w:val="-14"/>
        </w:rPr>
        <w:t> </w:t>
      </w:r>
      <w:r>
        <w:rPr/>
        <w:t>estatal</w:t>
      </w:r>
      <w:r>
        <w:rPr>
          <w:spacing w:val="-13"/>
        </w:rPr>
        <w:t> </w:t>
      </w:r>
      <w:r>
        <w:rPr/>
        <w:t>y</w:t>
      </w:r>
      <w:r>
        <w:rPr>
          <w:spacing w:val="-12"/>
        </w:rPr>
        <w:t> </w:t>
      </w:r>
      <w:r>
        <w:rPr/>
        <w:t>municipales</w:t>
      </w:r>
      <w:r>
        <w:rPr>
          <w:spacing w:val="-13"/>
        </w:rPr>
        <w:t> </w:t>
      </w:r>
      <w:r>
        <w:rPr/>
        <w:t>y</w:t>
      </w:r>
      <w:r>
        <w:rPr>
          <w:spacing w:val="-10"/>
        </w:rPr>
        <w:t> </w:t>
      </w:r>
      <w:r>
        <w:rPr/>
        <w:t>los</w:t>
      </w:r>
      <w:r>
        <w:rPr>
          <w:spacing w:val="-13"/>
        </w:rPr>
        <w:t> </w:t>
      </w:r>
      <w:r>
        <w:rPr/>
        <w:t>programas</w:t>
      </w:r>
      <w:r>
        <w:rPr>
          <w:spacing w:val="-12"/>
        </w:rPr>
        <w:t> </w:t>
      </w:r>
      <w:r>
        <w:rPr/>
        <w:t>de</w:t>
      </w:r>
      <w:r>
        <w:rPr>
          <w:spacing w:val="-14"/>
        </w:rPr>
        <w:t> </w:t>
      </w:r>
      <w:r>
        <w:rPr/>
        <w:t>ordenamiento territorial y desarrollo urbano aplicables, las autoridades antes de otorgar licencias relativas a usos del suelo y edificaciones, construcciones, así como factibilidades y demás autorizaciones urbanísticas,</w:t>
      </w:r>
      <w:r>
        <w:rPr>
          <w:spacing w:val="-9"/>
        </w:rPr>
        <w:t> </w:t>
      </w:r>
      <w:r>
        <w:rPr/>
        <w:t>deberán</w:t>
      </w:r>
      <w:r>
        <w:rPr>
          <w:spacing w:val="-9"/>
        </w:rPr>
        <w:t> </w:t>
      </w:r>
      <w:r>
        <w:rPr/>
        <w:t>solicitar</w:t>
      </w:r>
      <w:r>
        <w:rPr>
          <w:spacing w:val="-8"/>
        </w:rPr>
        <w:t> </w:t>
      </w:r>
      <w:r>
        <w:rPr/>
        <w:t>el</w:t>
      </w:r>
      <w:r>
        <w:rPr>
          <w:spacing w:val="40"/>
        </w:rPr>
        <w:t> </w:t>
      </w:r>
      <w:r>
        <w:rPr/>
        <w:t>análisis</w:t>
      </w:r>
      <w:r>
        <w:rPr>
          <w:spacing w:val="-8"/>
        </w:rPr>
        <w:t> </w:t>
      </w:r>
      <w:r>
        <w:rPr/>
        <w:t>de</w:t>
      </w:r>
      <w:r>
        <w:rPr>
          <w:spacing w:val="-9"/>
        </w:rPr>
        <w:t> </w:t>
      </w:r>
      <w:r>
        <w:rPr/>
        <w:t>riesgo</w:t>
      </w:r>
      <w:r>
        <w:rPr>
          <w:spacing w:val="-9"/>
        </w:rPr>
        <w:t> </w:t>
      </w:r>
      <w:r>
        <w:rPr/>
        <w:t>que</w:t>
      </w:r>
      <w:r>
        <w:rPr>
          <w:spacing w:val="-9"/>
        </w:rPr>
        <w:t> </w:t>
      </w:r>
      <w:r>
        <w:rPr/>
        <w:t>refiere</w:t>
      </w:r>
      <w:r>
        <w:rPr>
          <w:spacing w:val="-6"/>
        </w:rPr>
        <w:t> </w:t>
      </w:r>
      <w:r>
        <w:rPr/>
        <w:t>la</w:t>
      </w:r>
      <w:r>
        <w:rPr>
          <w:spacing w:val="-9"/>
        </w:rPr>
        <w:t> </w:t>
      </w:r>
      <w:r>
        <w:rPr/>
        <w:t>Ley</w:t>
      </w:r>
      <w:r>
        <w:rPr>
          <w:spacing w:val="-8"/>
        </w:rPr>
        <w:t> </w:t>
      </w:r>
      <w:r>
        <w:rPr/>
        <w:t>de</w:t>
      </w:r>
      <w:r>
        <w:rPr>
          <w:spacing w:val="-7"/>
        </w:rPr>
        <w:t> </w:t>
      </w:r>
      <w:r>
        <w:rPr/>
        <w:t>Protección</w:t>
      </w:r>
      <w:r>
        <w:rPr>
          <w:spacing w:val="-9"/>
        </w:rPr>
        <w:t> </w:t>
      </w:r>
      <w:r>
        <w:rPr/>
        <w:t>Civil</w:t>
      </w:r>
      <w:r>
        <w:rPr>
          <w:spacing w:val="-7"/>
        </w:rPr>
        <w:t> </w:t>
      </w:r>
      <w:r>
        <w:rPr/>
        <w:t>del</w:t>
      </w:r>
      <w:r>
        <w:rPr>
          <w:spacing w:val="-7"/>
        </w:rPr>
        <w:t> </w:t>
      </w:r>
      <w:r>
        <w:rPr/>
        <w:t>Estado, así como un estudio de prevención de riesgo que identifique que se realizaron las medidas de mitigación adecuadas, así como, en su caso, un estudio geofísico, en los términos de las disposiciones de esta Ley, la Ley de Protección Civil y las normas oficiales mexicanas que se </w:t>
      </w:r>
      <w:r>
        <w:rPr>
          <w:spacing w:val="-2"/>
        </w:rPr>
        <w:t>expidan.</w:t>
      </w:r>
    </w:p>
    <w:p>
      <w:pPr>
        <w:pStyle w:val="BodyText"/>
        <w:spacing w:before="2"/>
      </w:pPr>
    </w:p>
    <w:p>
      <w:pPr>
        <w:pStyle w:val="BodyText"/>
        <w:ind w:left="262" w:right="285"/>
        <w:jc w:val="both"/>
      </w:pPr>
      <w:r>
        <w:rPr>
          <w:rFonts w:ascii="Arial" w:hAnsi="Arial"/>
          <w:b/>
        </w:rPr>
        <w:t>ARTÍCULO</w:t>
      </w:r>
      <w:r>
        <w:rPr>
          <w:rFonts w:ascii="Arial" w:hAnsi="Arial"/>
          <w:b/>
          <w:spacing w:val="-10"/>
        </w:rPr>
        <w:t> </w:t>
      </w:r>
      <w:r>
        <w:rPr>
          <w:rFonts w:ascii="Arial" w:hAnsi="Arial"/>
          <w:b/>
        </w:rPr>
        <w:t>149.</w:t>
      </w:r>
      <w:r>
        <w:rPr>
          <w:rFonts w:ascii="Arial" w:hAnsi="Arial"/>
          <w:b/>
          <w:spacing w:val="-9"/>
        </w:rPr>
        <w:t> </w:t>
      </w:r>
      <w:r>
        <w:rPr/>
        <w:t>Independientemente</w:t>
      </w:r>
      <w:r>
        <w:rPr>
          <w:spacing w:val="-9"/>
        </w:rPr>
        <w:t> </w:t>
      </w:r>
      <w:r>
        <w:rPr/>
        <w:t>de</w:t>
      </w:r>
      <w:r>
        <w:rPr>
          <w:spacing w:val="-10"/>
        </w:rPr>
        <w:t> </w:t>
      </w:r>
      <w:r>
        <w:rPr/>
        <w:t>los</w:t>
      </w:r>
      <w:r>
        <w:rPr>
          <w:spacing w:val="-10"/>
        </w:rPr>
        <w:t> </w:t>
      </w:r>
      <w:r>
        <w:rPr/>
        <w:t>casos</w:t>
      </w:r>
      <w:r>
        <w:rPr>
          <w:spacing w:val="-10"/>
        </w:rPr>
        <w:t> </w:t>
      </w:r>
      <w:r>
        <w:rPr/>
        <w:t>a</w:t>
      </w:r>
      <w:r>
        <w:rPr>
          <w:spacing w:val="-9"/>
        </w:rPr>
        <w:t> </w:t>
      </w:r>
      <w:r>
        <w:rPr/>
        <w:t>que</w:t>
      </w:r>
      <w:r>
        <w:rPr>
          <w:spacing w:val="-9"/>
        </w:rPr>
        <w:t> </w:t>
      </w:r>
      <w:r>
        <w:rPr/>
        <w:t>alude</w:t>
      </w:r>
      <w:r>
        <w:rPr>
          <w:spacing w:val="-9"/>
        </w:rPr>
        <w:t> </w:t>
      </w:r>
      <w:r>
        <w:rPr/>
        <w:t>el</w:t>
      </w:r>
      <w:r>
        <w:rPr>
          <w:spacing w:val="-10"/>
        </w:rPr>
        <w:t> </w:t>
      </w:r>
      <w:r>
        <w:rPr/>
        <w:t>artículo</w:t>
      </w:r>
      <w:r>
        <w:rPr>
          <w:spacing w:val="-11"/>
        </w:rPr>
        <w:t> </w:t>
      </w:r>
      <w:r>
        <w:rPr/>
        <w:t>anterior,</w:t>
      </w:r>
      <w:r>
        <w:rPr>
          <w:spacing w:val="-9"/>
        </w:rPr>
        <w:t> </w:t>
      </w:r>
      <w:r>
        <w:rPr/>
        <w:t>cuando</w:t>
      </w:r>
      <w:r>
        <w:rPr>
          <w:spacing w:val="-10"/>
        </w:rPr>
        <w:t> </w:t>
      </w:r>
      <w:r>
        <w:rPr/>
        <w:t>no</w:t>
      </w:r>
      <w:r>
        <w:rPr>
          <w:spacing w:val="-10"/>
        </w:rPr>
        <w:t> </w:t>
      </w:r>
      <w:r>
        <w:rPr/>
        <w:t>exista regulación</w:t>
      </w:r>
      <w:r>
        <w:rPr>
          <w:spacing w:val="-8"/>
        </w:rPr>
        <w:t> </w:t>
      </w:r>
      <w:r>
        <w:rPr/>
        <w:t>expresa,</w:t>
      </w:r>
      <w:r>
        <w:rPr>
          <w:spacing w:val="-5"/>
        </w:rPr>
        <w:t> </w:t>
      </w:r>
      <w:r>
        <w:rPr/>
        <w:t>las</w:t>
      </w:r>
      <w:r>
        <w:rPr>
          <w:spacing w:val="-7"/>
        </w:rPr>
        <w:t> </w:t>
      </w:r>
      <w:r>
        <w:rPr/>
        <w:t>obras</w:t>
      </w:r>
      <w:r>
        <w:rPr>
          <w:spacing w:val="-7"/>
        </w:rPr>
        <w:t> </w:t>
      </w:r>
      <w:r>
        <w:rPr/>
        <w:t>e</w:t>
      </w:r>
      <w:r>
        <w:rPr>
          <w:spacing w:val="-5"/>
        </w:rPr>
        <w:t> </w:t>
      </w:r>
      <w:r>
        <w:rPr/>
        <w:t>instalaciones</w:t>
      </w:r>
      <w:r>
        <w:rPr>
          <w:spacing w:val="-4"/>
        </w:rPr>
        <w:t> </w:t>
      </w:r>
      <w:r>
        <w:rPr/>
        <w:t>siguientes</w:t>
      </w:r>
      <w:r>
        <w:rPr>
          <w:spacing w:val="-6"/>
        </w:rPr>
        <w:t> </w:t>
      </w:r>
      <w:r>
        <w:rPr/>
        <w:t>deberán</w:t>
      </w:r>
      <w:r>
        <w:rPr>
          <w:spacing w:val="-7"/>
        </w:rPr>
        <w:t> </w:t>
      </w:r>
      <w:r>
        <w:rPr/>
        <w:t>contar</w:t>
      </w:r>
      <w:r>
        <w:rPr>
          <w:spacing w:val="-4"/>
        </w:rPr>
        <w:t> </w:t>
      </w:r>
      <w:r>
        <w:rPr/>
        <w:t>con</w:t>
      </w:r>
      <w:r>
        <w:rPr>
          <w:spacing w:val="-6"/>
        </w:rPr>
        <w:t> </w:t>
      </w:r>
      <w:r>
        <w:rPr/>
        <w:t>estudios</w:t>
      </w:r>
      <w:r>
        <w:rPr>
          <w:spacing w:val="-7"/>
        </w:rPr>
        <w:t> </w:t>
      </w:r>
      <w:r>
        <w:rPr/>
        <w:t>de</w:t>
      </w:r>
      <w:r>
        <w:rPr>
          <w:spacing w:val="-5"/>
        </w:rPr>
        <w:t> </w:t>
      </w:r>
      <w:r>
        <w:rPr/>
        <w:t>prevención de riesgo, realizado o avalado por un perito dictaminador, tomando en cuenta su escala y efecto:</w:t>
      </w:r>
    </w:p>
    <w:p>
      <w:pPr>
        <w:pStyle w:val="BodyText"/>
      </w:pPr>
    </w:p>
    <w:p>
      <w:pPr>
        <w:pStyle w:val="ListParagraph"/>
        <w:numPr>
          <w:ilvl w:val="0"/>
          <w:numId w:val="62"/>
        </w:numPr>
        <w:tabs>
          <w:tab w:pos="543" w:val="left" w:leader="none"/>
        </w:tabs>
        <w:spacing w:line="240" w:lineRule="auto" w:before="0" w:after="0"/>
        <w:ind w:left="543" w:right="0" w:hanging="281"/>
        <w:jc w:val="left"/>
        <w:rPr>
          <w:sz w:val="20"/>
        </w:rPr>
      </w:pPr>
      <w:r>
        <w:rPr>
          <w:sz w:val="20"/>
        </w:rPr>
        <w:t>Las</w:t>
      </w:r>
      <w:r>
        <w:rPr>
          <w:spacing w:val="-7"/>
          <w:sz w:val="20"/>
        </w:rPr>
        <w:t> </w:t>
      </w:r>
      <w:r>
        <w:rPr>
          <w:sz w:val="20"/>
        </w:rPr>
        <w:t>obras</w:t>
      </w:r>
      <w:r>
        <w:rPr>
          <w:spacing w:val="-7"/>
          <w:sz w:val="20"/>
        </w:rPr>
        <w:t> </w:t>
      </w:r>
      <w:r>
        <w:rPr>
          <w:sz w:val="20"/>
        </w:rPr>
        <w:t>de</w:t>
      </w:r>
      <w:r>
        <w:rPr>
          <w:spacing w:val="-6"/>
          <w:sz w:val="20"/>
        </w:rPr>
        <w:t> </w:t>
      </w:r>
      <w:r>
        <w:rPr>
          <w:sz w:val="20"/>
        </w:rPr>
        <w:t>infraestructura</w:t>
      </w:r>
      <w:r>
        <w:rPr>
          <w:spacing w:val="-8"/>
          <w:sz w:val="20"/>
        </w:rPr>
        <w:t> </w:t>
      </w:r>
      <w:r>
        <w:rPr>
          <w:sz w:val="20"/>
        </w:rPr>
        <w:t>aeroportuaria</w:t>
      </w:r>
      <w:r>
        <w:rPr>
          <w:spacing w:val="-8"/>
          <w:sz w:val="20"/>
        </w:rPr>
        <w:t> </w:t>
      </w:r>
      <w:r>
        <w:rPr>
          <w:sz w:val="20"/>
        </w:rPr>
        <w:t>y</w:t>
      </w:r>
      <w:r>
        <w:rPr>
          <w:spacing w:val="-6"/>
          <w:sz w:val="20"/>
        </w:rPr>
        <w:t> </w:t>
      </w:r>
      <w:r>
        <w:rPr>
          <w:sz w:val="20"/>
        </w:rPr>
        <w:t>las</w:t>
      </w:r>
      <w:r>
        <w:rPr>
          <w:spacing w:val="-6"/>
          <w:sz w:val="20"/>
        </w:rPr>
        <w:t> </w:t>
      </w:r>
      <w:r>
        <w:rPr>
          <w:sz w:val="20"/>
        </w:rPr>
        <w:t>vías</w:t>
      </w:r>
      <w:r>
        <w:rPr>
          <w:spacing w:val="-7"/>
          <w:sz w:val="20"/>
        </w:rPr>
        <w:t> </w:t>
      </w:r>
      <w:r>
        <w:rPr>
          <w:sz w:val="20"/>
        </w:rPr>
        <w:t>generales</w:t>
      </w:r>
      <w:r>
        <w:rPr>
          <w:spacing w:val="-7"/>
          <w:sz w:val="20"/>
        </w:rPr>
        <w:t> </w:t>
      </w:r>
      <w:r>
        <w:rPr>
          <w:sz w:val="20"/>
        </w:rPr>
        <w:t>de</w:t>
      </w:r>
      <w:r>
        <w:rPr>
          <w:spacing w:val="-8"/>
          <w:sz w:val="20"/>
        </w:rPr>
        <w:t> </w:t>
      </w:r>
      <w:r>
        <w:rPr>
          <w:spacing w:val="-2"/>
          <w:sz w:val="20"/>
        </w:rPr>
        <w:t>comunicación;</w:t>
      </w:r>
    </w:p>
    <w:p>
      <w:pPr>
        <w:pStyle w:val="ListParagraph"/>
        <w:numPr>
          <w:ilvl w:val="0"/>
          <w:numId w:val="62"/>
        </w:numPr>
        <w:tabs>
          <w:tab w:pos="543" w:val="left" w:leader="none"/>
        </w:tabs>
        <w:spacing w:line="240" w:lineRule="auto" w:before="228" w:after="0"/>
        <w:ind w:left="543" w:right="0" w:hanging="281"/>
        <w:jc w:val="left"/>
        <w:rPr>
          <w:sz w:val="20"/>
        </w:rPr>
      </w:pPr>
      <w:r>
        <w:rPr>
          <w:sz w:val="20"/>
        </w:rPr>
        <w:t>Los</w:t>
      </w:r>
      <w:r>
        <w:rPr>
          <w:spacing w:val="-7"/>
          <w:sz w:val="20"/>
        </w:rPr>
        <w:t> </w:t>
      </w:r>
      <w:r>
        <w:rPr>
          <w:sz w:val="20"/>
        </w:rPr>
        <w:t>ductos</w:t>
      </w:r>
      <w:r>
        <w:rPr>
          <w:spacing w:val="-6"/>
          <w:sz w:val="20"/>
        </w:rPr>
        <w:t> </w:t>
      </w:r>
      <w:r>
        <w:rPr>
          <w:sz w:val="20"/>
        </w:rPr>
        <w:t>y</w:t>
      </w:r>
      <w:r>
        <w:rPr>
          <w:spacing w:val="-6"/>
          <w:sz w:val="20"/>
        </w:rPr>
        <w:t> </w:t>
      </w:r>
      <w:r>
        <w:rPr>
          <w:sz w:val="20"/>
        </w:rPr>
        <w:t>redes</w:t>
      </w:r>
      <w:r>
        <w:rPr>
          <w:spacing w:val="-6"/>
          <w:sz w:val="20"/>
        </w:rPr>
        <w:t> </w:t>
      </w:r>
      <w:r>
        <w:rPr>
          <w:sz w:val="20"/>
        </w:rPr>
        <w:t>de</w:t>
      </w:r>
      <w:r>
        <w:rPr>
          <w:spacing w:val="-5"/>
          <w:sz w:val="20"/>
        </w:rPr>
        <w:t> </w:t>
      </w:r>
      <w:r>
        <w:rPr>
          <w:sz w:val="20"/>
        </w:rPr>
        <w:t>infraestructura</w:t>
      </w:r>
      <w:r>
        <w:rPr>
          <w:spacing w:val="-7"/>
          <w:sz w:val="20"/>
        </w:rPr>
        <w:t> </w:t>
      </w:r>
      <w:r>
        <w:rPr>
          <w:sz w:val="20"/>
        </w:rPr>
        <w:t>vial,</w:t>
      </w:r>
      <w:r>
        <w:rPr>
          <w:spacing w:val="-7"/>
          <w:sz w:val="20"/>
        </w:rPr>
        <w:t> </w:t>
      </w:r>
      <w:r>
        <w:rPr>
          <w:sz w:val="20"/>
        </w:rPr>
        <w:t>hidráulica</w:t>
      </w:r>
      <w:r>
        <w:rPr>
          <w:spacing w:val="-7"/>
          <w:sz w:val="20"/>
        </w:rPr>
        <w:t> </w:t>
      </w:r>
      <w:r>
        <w:rPr>
          <w:sz w:val="20"/>
        </w:rPr>
        <w:t>y</w:t>
      </w:r>
      <w:r>
        <w:rPr>
          <w:spacing w:val="-4"/>
          <w:sz w:val="20"/>
        </w:rPr>
        <w:t> </w:t>
      </w:r>
      <w:r>
        <w:rPr>
          <w:sz w:val="20"/>
        </w:rPr>
        <w:t>de</w:t>
      </w:r>
      <w:r>
        <w:rPr>
          <w:spacing w:val="-8"/>
          <w:sz w:val="20"/>
        </w:rPr>
        <w:t> </w:t>
      </w:r>
      <w:r>
        <w:rPr>
          <w:sz w:val="20"/>
        </w:rPr>
        <w:t>energía</w:t>
      </w:r>
      <w:r>
        <w:rPr>
          <w:spacing w:val="-7"/>
          <w:sz w:val="20"/>
        </w:rPr>
        <w:t> </w:t>
      </w:r>
      <w:r>
        <w:rPr>
          <w:spacing w:val="-2"/>
          <w:sz w:val="20"/>
        </w:rPr>
        <w:t>primaria;</w:t>
      </w:r>
    </w:p>
    <w:p>
      <w:pPr>
        <w:pStyle w:val="BodyText"/>
        <w:spacing w:before="1"/>
      </w:pPr>
    </w:p>
    <w:p>
      <w:pPr>
        <w:pStyle w:val="ListParagraph"/>
        <w:numPr>
          <w:ilvl w:val="0"/>
          <w:numId w:val="62"/>
        </w:numPr>
        <w:tabs>
          <w:tab w:pos="597" w:val="left" w:leader="none"/>
        </w:tabs>
        <w:spacing w:line="240" w:lineRule="auto" w:before="0" w:after="0"/>
        <w:ind w:left="262" w:right="289" w:firstLine="0"/>
        <w:jc w:val="left"/>
        <w:rPr>
          <w:sz w:val="20"/>
        </w:rPr>
      </w:pPr>
      <w:r>
        <w:rPr>
          <w:sz w:val="20"/>
        </w:rPr>
        <w:t>Instalaciones de tratamiento, confinamiento, eliminación o disposición de residuos peligrosos y </w:t>
      </w:r>
      <w:r>
        <w:rPr>
          <w:spacing w:val="-2"/>
          <w:sz w:val="20"/>
        </w:rPr>
        <w:t>municipales;</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62"/>
        </w:numPr>
        <w:tabs>
          <w:tab w:pos="545" w:val="left" w:leader="none"/>
        </w:tabs>
        <w:spacing w:line="240" w:lineRule="auto" w:before="0" w:after="0"/>
        <w:ind w:left="262" w:right="288" w:firstLine="0"/>
        <w:jc w:val="both"/>
        <w:rPr>
          <w:sz w:val="20"/>
        </w:rPr>
      </w:pPr>
      <w:r>
        <w:rPr>
          <w:sz w:val="20"/>
        </w:rPr>
        <w:t>Los equipamientos de propiedad pública donde se brinden servicios de salud, educación, seguridad, transporte y abasto;</w:t>
      </w:r>
    </w:p>
    <w:p>
      <w:pPr>
        <w:pStyle w:val="BodyText"/>
        <w:spacing w:before="1"/>
      </w:pPr>
    </w:p>
    <w:p>
      <w:pPr>
        <w:pStyle w:val="ListParagraph"/>
        <w:numPr>
          <w:ilvl w:val="0"/>
          <w:numId w:val="62"/>
        </w:numPr>
        <w:tabs>
          <w:tab w:pos="544" w:val="left" w:leader="none"/>
        </w:tabs>
        <w:spacing w:line="240" w:lineRule="auto" w:before="0" w:after="0"/>
        <w:ind w:left="262" w:right="286" w:firstLine="0"/>
        <w:jc w:val="both"/>
        <w:rPr>
          <w:sz w:val="20"/>
        </w:rPr>
      </w:pPr>
      <w:r>
        <w:rPr>
          <w:sz w:val="20"/>
        </w:rPr>
        <w:t>Las instalaciones de almacenamiento, confinamiento, distribución, venta o transformación de </w:t>
      </w:r>
      <w:r>
        <w:rPr>
          <w:spacing w:val="-2"/>
          <w:sz w:val="20"/>
        </w:rPr>
        <w:t>combustibles;</w:t>
      </w:r>
    </w:p>
    <w:p>
      <w:pPr>
        <w:pStyle w:val="ListParagraph"/>
        <w:numPr>
          <w:ilvl w:val="0"/>
          <w:numId w:val="62"/>
        </w:numPr>
        <w:tabs>
          <w:tab w:pos="688" w:val="left" w:leader="none"/>
        </w:tabs>
        <w:spacing w:line="240" w:lineRule="auto" w:before="229" w:after="0"/>
        <w:ind w:left="262" w:right="285" w:firstLine="0"/>
        <w:jc w:val="both"/>
        <w:rPr>
          <w:sz w:val="20"/>
        </w:rPr>
      </w:pPr>
      <w:r>
        <w:rPr>
          <w:sz w:val="20"/>
        </w:rPr>
        <w:t>Casinos, centros nocturnos, discotecas, salones de baile, bares discotecas, bares y establecimientos con permiso para venta y consumo de bebidas alcohólicas;</w:t>
      </w:r>
    </w:p>
    <w:p>
      <w:pPr>
        <w:pStyle w:val="BodyText"/>
        <w:spacing w:before="1"/>
      </w:pPr>
    </w:p>
    <w:p>
      <w:pPr>
        <w:pStyle w:val="ListParagraph"/>
        <w:numPr>
          <w:ilvl w:val="0"/>
          <w:numId w:val="62"/>
        </w:numPr>
        <w:tabs>
          <w:tab w:pos="688" w:val="left" w:leader="none"/>
        </w:tabs>
        <w:spacing w:line="240" w:lineRule="auto" w:before="0" w:after="0"/>
        <w:ind w:left="688" w:right="0" w:hanging="426"/>
        <w:jc w:val="both"/>
        <w:rPr>
          <w:sz w:val="20"/>
        </w:rPr>
      </w:pPr>
      <w:r>
        <w:rPr>
          <w:sz w:val="20"/>
        </w:rPr>
        <w:t>Industrias</w:t>
      </w:r>
      <w:r>
        <w:rPr>
          <w:spacing w:val="-6"/>
          <w:sz w:val="20"/>
        </w:rPr>
        <w:t> </w:t>
      </w:r>
      <w:r>
        <w:rPr>
          <w:sz w:val="20"/>
        </w:rPr>
        <w:t>de</w:t>
      </w:r>
      <w:r>
        <w:rPr>
          <w:spacing w:val="-8"/>
          <w:sz w:val="20"/>
        </w:rPr>
        <w:t> </w:t>
      </w:r>
      <w:r>
        <w:rPr>
          <w:sz w:val="20"/>
        </w:rPr>
        <w:t>todo</w:t>
      </w:r>
      <w:r>
        <w:rPr>
          <w:spacing w:val="-6"/>
          <w:sz w:val="20"/>
        </w:rPr>
        <w:t> </w:t>
      </w:r>
      <w:r>
        <w:rPr>
          <w:sz w:val="20"/>
        </w:rPr>
        <w:t>tipo,</w:t>
      </w:r>
      <w:r>
        <w:rPr>
          <w:spacing w:val="-7"/>
          <w:sz w:val="20"/>
        </w:rPr>
        <w:t> </w:t>
      </w:r>
      <w:r>
        <w:rPr>
          <w:spacing w:val="-10"/>
          <w:sz w:val="20"/>
        </w:rPr>
        <w:t>y</w:t>
      </w:r>
    </w:p>
    <w:p>
      <w:pPr>
        <w:pStyle w:val="ListParagraph"/>
        <w:numPr>
          <w:ilvl w:val="0"/>
          <w:numId w:val="62"/>
        </w:numPr>
        <w:tabs>
          <w:tab w:pos="827" w:val="left" w:leader="none"/>
        </w:tabs>
        <w:spacing w:line="240" w:lineRule="auto" w:before="1" w:after="0"/>
        <w:ind w:left="262" w:right="286" w:firstLine="0"/>
        <w:jc w:val="both"/>
        <w:rPr>
          <w:sz w:val="20"/>
        </w:rPr>
      </w:pPr>
      <w:r>
        <w:rPr>
          <w:sz w:val="20"/>
        </w:rPr>
        <w:t>Áreas o inmuebles en los que se lleven a cabo actos públicos de manera extraordinaria, en los que deberá además contarse con un programa especial, a fin de establecer medidas de prevención y reacción.</w:t>
      </w:r>
    </w:p>
    <w:p>
      <w:pPr>
        <w:pStyle w:val="BodyText"/>
        <w:spacing w:before="230"/>
        <w:ind w:left="262" w:right="284"/>
        <w:jc w:val="both"/>
      </w:pPr>
      <w:r>
        <w:rPr>
          <w:rFonts w:ascii="Arial" w:hAnsi="Arial"/>
          <w:b/>
        </w:rPr>
        <w:t>ARTÍCULO 150. </w:t>
      </w:r>
      <w:r>
        <w:rPr/>
        <w:t>Los estudios de prevención de riesgos geológicos e hidrometeorológicos contendrán las especificaciones, responsables técnicos, requisitos y alcances que determine el acuerdo que para tales efectos publiquen las autoridades competentes.</w:t>
      </w:r>
    </w:p>
    <w:p>
      <w:pPr>
        <w:pStyle w:val="BodyText"/>
        <w:spacing w:before="229"/>
        <w:ind w:left="262" w:right="279"/>
        <w:jc w:val="both"/>
      </w:pPr>
      <w:r>
        <w:rPr/>
        <w:t>Las</w:t>
      </w:r>
      <w:r>
        <w:rPr>
          <w:spacing w:val="-4"/>
        </w:rPr>
        <w:t> </w:t>
      </w:r>
      <w:r>
        <w:rPr/>
        <w:t>autorizaciones</w:t>
      </w:r>
      <w:r>
        <w:rPr>
          <w:spacing w:val="-4"/>
        </w:rPr>
        <w:t> </w:t>
      </w:r>
      <w:r>
        <w:rPr/>
        <w:t>para</w:t>
      </w:r>
      <w:r>
        <w:rPr>
          <w:spacing w:val="-3"/>
        </w:rPr>
        <w:t> </w:t>
      </w:r>
      <w:r>
        <w:rPr/>
        <w:t>el</w:t>
      </w:r>
      <w:r>
        <w:rPr>
          <w:spacing w:val="-4"/>
        </w:rPr>
        <w:t> </w:t>
      </w:r>
      <w:r>
        <w:rPr/>
        <w:t>desarrollo</w:t>
      </w:r>
      <w:r>
        <w:rPr>
          <w:spacing w:val="-5"/>
        </w:rPr>
        <w:t> </w:t>
      </w:r>
      <w:r>
        <w:rPr/>
        <w:t>urbano</w:t>
      </w:r>
      <w:r>
        <w:rPr>
          <w:spacing w:val="-3"/>
        </w:rPr>
        <w:t> </w:t>
      </w:r>
      <w:r>
        <w:rPr/>
        <w:t>deberán</w:t>
      </w:r>
      <w:r>
        <w:rPr>
          <w:spacing w:val="-3"/>
        </w:rPr>
        <w:t> </w:t>
      </w:r>
      <w:r>
        <w:rPr/>
        <w:t>ajustarse</w:t>
      </w:r>
      <w:r>
        <w:rPr>
          <w:spacing w:val="-5"/>
        </w:rPr>
        <w:t> </w:t>
      </w:r>
      <w:r>
        <w:rPr/>
        <w:t>a</w:t>
      </w:r>
      <w:r>
        <w:rPr>
          <w:spacing w:val="-6"/>
        </w:rPr>
        <w:t> </w:t>
      </w:r>
      <w:r>
        <w:rPr/>
        <w:t>dichos</w:t>
      </w:r>
      <w:r>
        <w:rPr>
          <w:spacing w:val="-4"/>
        </w:rPr>
        <w:t> </w:t>
      </w:r>
      <w:r>
        <w:rPr/>
        <w:t>estudios,</w:t>
      </w:r>
      <w:r>
        <w:rPr>
          <w:spacing w:val="-5"/>
        </w:rPr>
        <w:t> </w:t>
      </w:r>
      <w:r>
        <w:rPr/>
        <w:t>y</w:t>
      </w:r>
      <w:r>
        <w:rPr>
          <w:spacing w:val="-4"/>
        </w:rPr>
        <w:t> </w:t>
      </w:r>
      <w:r>
        <w:rPr/>
        <w:t>en</w:t>
      </w:r>
      <w:r>
        <w:rPr>
          <w:spacing w:val="-6"/>
        </w:rPr>
        <w:t> </w:t>
      </w:r>
      <w:r>
        <w:rPr/>
        <w:t>ningún</w:t>
      </w:r>
      <w:r>
        <w:rPr>
          <w:spacing w:val="-5"/>
        </w:rPr>
        <w:t> </w:t>
      </w:r>
      <w:r>
        <w:rPr/>
        <w:t>caso podrán asignarse usos o aprovechamientos urbanos o asentamientos humanos en zonas de alto riesgo</w:t>
      </w:r>
      <w:r>
        <w:rPr>
          <w:spacing w:val="-3"/>
        </w:rPr>
        <w:t> </w:t>
      </w:r>
      <w:r>
        <w:rPr/>
        <w:t>que</w:t>
      </w:r>
      <w:r>
        <w:rPr>
          <w:spacing w:val="-3"/>
        </w:rPr>
        <w:t> </w:t>
      </w:r>
      <w:r>
        <w:rPr/>
        <w:t>no</w:t>
      </w:r>
      <w:r>
        <w:rPr>
          <w:spacing w:val="-3"/>
        </w:rPr>
        <w:t> </w:t>
      </w:r>
      <w:r>
        <w:rPr/>
        <w:t>hubieran</w:t>
      </w:r>
      <w:r>
        <w:rPr>
          <w:spacing w:val="-3"/>
        </w:rPr>
        <w:t> </w:t>
      </w:r>
      <w:r>
        <w:rPr/>
        <w:t>tomado</w:t>
      </w:r>
      <w:r>
        <w:rPr>
          <w:spacing w:val="-3"/>
        </w:rPr>
        <w:t> </w:t>
      </w:r>
      <w:r>
        <w:rPr/>
        <w:t>medidas</w:t>
      </w:r>
      <w:r>
        <w:rPr>
          <w:spacing w:val="-2"/>
        </w:rPr>
        <w:t> </w:t>
      </w:r>
      <w:r>
        <w:rPr/>
        <w:t>de</w:t>
      </w:r>
      <w:r>
        <w:rPr>
          <w:spacing w:val="-3"/>
        </w:rPr>
        <w:t> </w:t>
      </w:r>
      <w:r>
        <w:rPr/>
        <w:t>mitigación</w:t>
      </w:r>
      <w:r>
        <w:rPr>
          <w:spacing w:val="-3"/>
        </w:rPr>
        <w:t> </w:t>
      </w:r>
      <w:r>
        <w:rPr/>
        <w:t>previas.</w:t>
      </w:r>
      <w:r>
        <w:rPr>
          <w:spacing w:val="-3"/>
        </w:rPr>
        <w:t> </w:t>
      </w:r>
      <w:r>
        <w:rPr/>
        <w:t>En</w:t>
      </w:r>
      <w:r>
        <w:rPr>
          <w:spacing w:val="-3"/>
        </w:rPr>
        <w:t> </w:t>
      </w:r>
      <w:r>
        <w:rPr/>
        <w:t>tales</w:t>
      </w:r>
      <w:r>
        <w:rPr>
          <w:spacing w:val="-2"/>
        </w:rPr>
        <w:t> </w:t>
      </w:r>
      <w:r>
        <w:rPr/>
        <w:t>zonas</w:t>
      </w:r>
      <w:r>
        <w:rPr>
          <w:spacing w:val="-2"/>
        </w:rPr>
        <w:t> </w:t>
      </w:r>
      <w:r>
        <w:rPr/>
        <w:t>estará</w:t>
      </w:r>
      <w:r>
        <w:rPr>
          <w:spacing w:val="-4"/>
        </w:rPr>
        <w:t> </w:t>
      </w:r>
      <w:r>
        <w:rPr/>
        <w:t>estrictamente prohibido realizar cualquier obra o edificación de carácter permanente.</w:t>
      </w:r>
    </w:p>
    <w:p>
      <w:pPr>
        <w:pStyle w:val="BodyText"/>
        <w:spacing w:before="230"/>
        <w:ind w:left="262" w:right="275"/>
        <w:jc w:val="both"/>
      </w:pPr>
      <w:r>
        <w:rPr>
          <w:rFonts w:ascii="Arial" w:hAnsi="Arial"/>
          <w:b/>
        </w:rPr>
        <w:t>ARTÍCULO</w:t>
      </w:r>
      <w:r>
        <w:rPr>
          <w:rFonts w:ascii="Arial" w:hAnsi="Arial"/>
          <w:b/>
          <w:spacing w:val="-14"/>
        </w:rPr>
        <w:t> </w:t>
      </w:r>
      <w:r>
        <w:rPr>
          <w:rFonts w:ascii="Arial" w:hAnsi="Arial"/>
          <w:b/>
        </w:rPr>
        <w:t>151.</w:t>
      </w:r>
      <w:r>
        <w:rPr>
          <w:rFonts w:ascii="Arial" w:hAnsi="Arial"/>
          <w:b/>
          <w:spacing w:val="-11"/>
        </w:rPr>
        <w:t> </w:t>
      </w:r>
      <w:r>
        <w:rPr/>
        <w:t>Las</w:t>
      </w:r>
      <w:r>
        <w:rPr>
          <w:spacing w:val="-14"/>
        </w:rPr>
        <w:t> </w:t>
      </w:r>
      <w:r>
        <w:rPr/>
        <w:t>autoridades</w:t>
      </w:r>
      <w:r>
        <w:rPr>
          <w:spacing w:val="-11"/>
        </w:rPr>
        <w:t> </w:t>
      </w:r>
      <w:r>
        <w:rPr/>
        <w:t>estatales</w:t>
      </w:r>
      <w:r>
        <w:rPr>
          <w:spacing w:val="-14"/>
        </w:rPr>
        <w:t> </w:t>
      </w:r>
      <w:r>
        <w:rPr/>
        <w:t>y</w:t>
      </w:r>
      <w:r>
        <w:rPr>
          <w:spacing w:val="-11"/>
        </w:rPr>
        <w:t> </w:t>
      </w:r>
      <w:r>
        <w:rPr/>
        <w:t>municipales</w:t>
      </w:r>
      <w:r>
        <w:rPr>
          <w:spacing w:val="-14"/>
        </w:rPr>
        <w:t> </w:t>
      </w:r>
      <w:r>
        <w:rPr/>
        <w:t>competentes</w:t>
      </w:r>
      <w:r>
        <w:rPr>
          <w:spacing w:val="-13"/>
        </w:rPr>
        <w:t> </w:t>
      </w:r>
      <w:r>
        <w:rPr/>
        <w:t>realizarán</w:t>
      </w:r>
      <w:r>
        <w:rPr>
          <w:spacing w:val="-12"/>
        </w:rPr>
        <w:t> </w:t>
      </w:r>
      <w:r>
        <w:rPr/>
        <w:t>las</w:t>
      </w:r>
      <w:r>
        <w:rPr>
          <w:spacing w:val="-14"/>
        </w:rPr>
        <w:t> </w:t>
      </w:r>
      <w:r>
        <w:rPr/>
        <w:t>modificaciones necesarias a los programas de ordenamiento territorial y desarrollo urbano para que las zonas consideradas como de riesgo no mitigable se clasifiquen como no urbanizables o con usos compatibles con dicha condición.</w:t>
      </w:r>
    </w:p>
    <w:p>
      <w:pPr>
        <w:pStyle w:val="BodyText"/>
        <w:spacing w:before="230"/>
        <w:ind w:left="262" w:right="276"/>
        <w:jc w:val="both"/>
      </w:pPr>
      <w:r>
        <w:rPr>
          <w:rFonts w:ascii="Arial" w:hAnsi="Arial"/>
          <w:b/>
        </w:rPr>
        <w:t>ARTÍCULO 152. </w:t>
      </w:r>
      <w:r>
        <w:rPr/>
        <w:t>Es obligación de las autoridades estatales y municipales asegurarse, del cumplimiento de las leyes estatales y federales en materia de prevención de riesgos en los Asentamientos</w:t>
      </w:r>
      <w:r>
        <w:rPr>
          <w:spacing w:val="-8"/>
        </w:rPr>
        <w:t> </w:t>
      </w:r>
      <w:r>
        <w:rPr/>
        <w:t>Humanos,</w:t>
      </w:r>
      <w:r>
        <w:rPr>
          <w:spacing w:val="-9"/>
        </w:rPr>
        <w:t> </w:t>
      </w:r>
      <w:r>
        <w:rPr/>
        <w:t>previamente</w:t>
      </w:r>
      <w:r>
        <w:rPr>
          <w:spacing w:val="-8"/>
        </w:rPr>
        <w:t> </w:t>
      </w:r>
      <w:r>
        <w:rPr/>
        <w:t>a</w:t>
      </w:r>
      <w:r>
        <w:rPr>
          <w:spacing w:val="-8"/>
        </w:rPr>
        <w:t> </w:t>
      </w:r>
      <w:r>
        <w:rPr/>
        <w:t>la</w:t>
      </w:r>
      <w:r>
        <w:rPr>
          <w:spacing w:val="-8"/>
        </w:rPr>
        <w:t> </w:t>
      </w:r>
      <w:r>
        <w:rPr/>
        <w:t>expedición</w:t>
      </w:r>
      <w:r>
        <w:rPr>
          <w:spacing w:val="-8"/>
        </w:rPr>
        <w:t> </w:t>
      </w:r>
      <w:r>
        <w:rPr/>
        <w:t>de</w:t>
      </w:r>
      <w:r>
        <w:rPr>
          <w:spacing w:val="-8"/>
        </w:rPr>
        <w:t> </w:t>
      </w:r>
      <w:r>
        <w:rPr/>
        <w:t>las</w:t>
      </w:r>
      <w:r>
        <w:rPr>
          <w:spacing w:val="-8"/>
        </w:rPr>
        <w:t> </w:t>
      </w:r>
      <w:r>
        <w:rPr/>
        <w:t>autorizaciones</w:t>
      </w:r>
      <w:r>
        <w:rPr>
          <w:spacing w:val="-8"/>
        </w:rPr>
        <w:t> </w:t>
      </w:r>
      <w:r>
        <w:rPr/>
        <w:t>para</w:t>
      </w:r>
      <w:r>
        <w:rPr>
          <w:spacing w:val="-6"/>
        </w:rPr>
        <w:t> </w:t>
      </w:r>
      <w:r>
        <w:rPr/>
        <w:t>el</w:t>
      </w:r>
      <w:r>
        <w:rPr>
          <w:spacing w:val="-8"/>
        </w:rPr>
        <w:t> </w:t>
      </w:r>
      <w:r>
        <w:rPr/>
        <w:t>uso,</w:t>
      </w:r>
      <w:r>
        <w:rPr>
          <w:spacing w:val="-9"/>
        </w:rPr>
        <w:t> </w:t>
      </w:r>
      <w:r>
        <w:rPr/>
        <w:t>edificación o aprovechamiento urbano o habitacional, cambio de uso del suelo o impactos ambientales.</w:t>
      </w:r>
    </w:p>
    <w:p>
      <w:pPr>
        <w:pStyle w:val="BodyText"/>
        <w:spacing w:before="2"/>
      </w:pPr>
    </w:p>
    <w:p>
      <w:pPr>
        <w:pStyle w:val="BodyText"/>
        <w:ind w:left="262" w:right="279"/>
        <w:jc w:val="both"/>
      </w:pPr>
      <w:r>
        <w:rPr/>
        <w:t>Las</w:t>
      </w:r>
      <w:r>
        <w:rPr>
          <w:spacing w:val="-10"/>
        </w:rPr>
        <w:t> </w:t>
      </w:r>
      <w:r>
        <w:rPr/>
        <w:t>autoridades</w:t>
      </w:r>
      <w:r>
        <w:rPr>
          <w:spacing w:val="-9"/>
        </w:rPr>
        <w:t> </w:t>
      </w:r>
      <w:r>
        <w:rPr/>
        <w:t>estatales</w:t>
      </w:r>
      <w:r>
        <w:rPr>
          <w:spacing w:val="-9"/>
        </w:rPr>
        <w:t> </w:t>
      </w:r>
      <w:r>
        <w:rPr/>
        <w:t>o</w:t>
      </w:r>
      <w:r>
        <w:rPr>
          <w:spacing w:val="-9"/>
        </w:rPr>
        <w:t> </w:t>
      </w:r>
      <w:r>
        <w:rPr/>
        <w:t>municipales</w:t>
      </w:r>
      <w:r>
        <w:rPr>
          <w:spacing w:val="-10"/>
        </w:rPr>
        <w:t> </w:t>
      </w:r>
      <w:r>
        <w:rPr/>
        <w:t>deberán</w:t>
      </w:r>
      <w:r>
        <w:rPr>
          <w:spacing w:val="-10"/>
        </w:rPr>
        <w:t> </w:t>
      </w:r>
      <w:r>
        <w:rPr/>
        <w:t>asegurarse</w:t>
      </w:r>
      <w:r>
        <w:rPr>
          <w:spacing w:val="-11"/>
        </w:rPr>
        <w:t> </w:t>
      </w:r>
      <w:r>
        <w:rPr/>
        <w:t>que</w:t>
      </w:r>
      <w:r>
        <w:rPr>
          <w:spacing w:val="-11"/>
        </w:rPr>
        <w:t> </w:t>
      </w:r>
      <w:r>
        <w:rPr/>
        <w:t>no</w:t>
      </w:r>
      <w:r>
        <w:rPr>
          <w:spacing w:val="-10"/>
        </w:rPr>
        <w:t> </w:t>
      </w:r>
      <w:r>
        <w:rPr/>
        <w:t>se</w:t>
      </w:r>
      <w:r>
        <w:rPr>
          <w:spacing w:val="-11"/>
        </w:rPr>
        <w:t> </w:t>
      </w:r>
      <w:r>
        <w:rPr/>
        <w:t>ocupen</w:t>
      </w:r>
      <w:r>
        <w:rPr>
          <w:spacing w:val="-9"/>
        </w:rPr>
        <w:t> </w:t>
      </w:r>
      <w:r>
        <w:rPr/>
        <w:t>áreas</w:t>
      </w:r>
      <w:r>
        <w:rPr>
          <w:spacing w:val="-10"/>
        </w:rPr>
        <w:t> </w:t>
      </w:r>
      <w:r>
        <w:rPr/>
        <w:t>de</w:t>
      </w:r>
      <w:r>
        <w:rPr>
          <w:spacing w:val="-10"/>
        </w:rPr>
        <w:t> </w:t>
      </w:r>
      <w:r>
        <w:rPr/>
        <w:t>alto</w:t>
      </w:r>
      <w:r>
        <w:rPr>
          <w:spacing w:val="-12"/>
        </w:rPr>
        <w:t> </w:t>
      </w:r>
      <w:r>
        <w:rPr/>
        <w:t>riesgo, sin que se tomen las medidas de prevención correspondientes cuando se trate de acciones que impliquen la expansión del área urbana, para el fraccionamiento de terrenos o conjuntos habitacionales, para la subdivisión o</w:t>
      </w:r>
      <w:r>
        <w:rPr>
          <w:spacing w:val="-1"/>
        </w:rPr>
        <w:t> </w:t>
      </w:r>
      <w:r>
        <w:rPr/>
        <w:t>parcelación de la tierra, para el</w:t>
      </w:r>
      <w:r>
        <w:rPr>
          <w:spacing w:val="-2"/>
        </w:rPr>
        <w:t> </w:t>
      </w:r>
      <w:r>
        <w:rPr/>
        <w:t>cambio</w:t>
      </w:r>
      <w:r>
        <w:rPr>
          <w:spacing w:val="-1"/>
        </w:rPr>
        <w:t> </w:t>
      </w:r>
      <w:r>
        <w:rPr/>
        <w:t>de</w:t>
      </w:r>
      <w:r>
        <w:rPr>
          <w:spacing w:val="-1"/>
        </w:rPr>
        <w:t> </w:t>
      </w:r>
      <w:r>
        <w:rPr/>
        <w:t>usos del suelo</w:t>
      </w:r>
      <w:r>
        <w:rPr>
          <w:spacing w:val="-1"/>
        </w:rPr>
        <w:t> </w:t>
      </w:r>
      <w:r>
        <w:rPr/>
        <w:t>o en autorizaciones de impacto ambiental.</w:t>
      </w:r>
    </w:p>
    <w:p>
      <w:pPr>
        <w:pStyle w:val="BodyText"/>
      </w:pPr>
    </w:p>
    <w:p>
      <w:pPr>
        <w:pStyle w:val="BodyText"/>
        <w:ind w:left="262" w:right="276"/>
        <w:jc w:val="both"/>
      </w:pPr>
      <w:r>
        <w:rPr/>
        <w:t>La Secretaría promoverá la emisión de las normas, lineamientos y manuales para fortalecer los procesos de Resiliencia urbana para las zonas metropolitanas, considerando el Programa Integral de Gestión de Riesgos emitido por la autoridad federal competente y asimismo, promoverá la elaboración</w:t>
      </w:r>
      <w:r>
        <w:rPr>
          <w:spacing w:val="-9"/>
        </w:rPr>
        <w:t> </w:t>
      </w:r>
      <w:r>
        <w:rPr/>
        <w:t>de</w:t>
      </w:r>
      <w:r>
        <w:rPr>
          <w:spacing w:val="-9"/>
        </w:rPr>
        <w:t> </w:t>
      </w:r>
      <w:r>
        <w:rPr/>
        <w:t>guías</w:t>
      </w:r>
      <w:r>
        <w:rPr>
          <w:spacing w:val="-8"/>
        </w:rPr>
        <w:t> </w:t>
      </w:r>
      <w:r>
        <w:rPr/>
        <w:t>de</w:t>
      </w:r>
      <w:r>
        <w:rPr>
          <w:spacing w:val="-7"/>
        </w:rPr>
        <w:t> </w:t>
      </w:r>
      <w:r>
        <w:rPr/>
        <w:t>Resiliencia</w:t>
      </w:r>
      <w:r>
        <w:rPr>
          <w:spacing w:val="-7"/>
        </w:rPr>
        <w:t> </w:t>
      </w:r>
      <w:r>
        <w:rPr/>
        <w:t>urbana</w:t>
      </w:r>
      <w:r>
        <w:rPr>
          <w:spacing w:val="-9"/>
        </w:rPr>
        <w:t> </w:t>
      </w:r>
      <w:r>
        <w:rPr/>
        <w:t>y</w:t>
      </w:r>
      <w:r>
        <w:rPr>
          <w:spacing w:val="-8"/>
        </w:rPr>
        <w:t> </w:t>
      </w:r>
      <w:r>
        <w:rPr/>
        <w:t>metropolitana</w:t>
      </w:r>
      <w:r>
        <w:rPr>
          <w:spacing w:val="-7"/>
        </w:rPr>
        <w:t> </w:t>
      </w:r>
      <w:r>
        <w:rPr/>
        <w:t>que</w:t>
      </w:r>
      <w:r>
        <w:rPr>
          <w:spacing w:val="-7"/>
        </w:rPr>
        <w:t> </w:t>
      </w:r>
      <w:r>
        <w:rPr/>
        <w:t>permitan</w:t>
      </w:r>
      <w:r>
        <w:rPr>
          <w:spacing w:val="-9"/>
        </w:rPr>
        <w:t> </w:t>
      </w:r>
      <w:r>
        <w:rPr/>
        <w:t>la</w:t>
      </w:r>
      <w:r>
        <w:rPr>
          <w:spacing w:val="-9"/>
        </w:rPr>
        <w:t> </w:t>
      </w:r>
      <w:r>
        <w:rPr/>
        <w:t>identificación</w:t>
      </w:r>
      <w:r>
        <w:rPr>
          <w:spacing w:val="-9"/>
        </w:rPr>
        <w:t> </w:t>
      </w:r>
      <w:r>
        <w:rPr/>
        <w:t>de</w:t>
      </w:r>
      <w:r>
        <w:rPr>
          <w:spacing w:val="-9"/>
        </w:rPr>
        <w:t> </w:t>
      </w:r>
      <w:r>
        <w:rPr/>
        <w:t>riesgos y recursos para la recuperación de contingencias catastróficas.</w:t>
      </w:r>
    </w:p>
    <w:p>
      <w:pPr>
        <w:pStyle w:val="BodyText"/>
        <w:spacing w:before="228"/>
        <w:ind w:left="262" w:right="277"/>
        <w:jc w:val="both"/>
      </w:pPr>
      <w:r>
        <w:rPr>
          <w:rFonts w:ascii="Arial" w:hAnsi="Arial"/>
          <w:b/>
        </w:rPr>
        <w:t>ARTÍCULO 153. </w:t>
      </w:r>
      <w:r>
        <w:rPr/>
        <w:t>La Secretaría, los ayuntamientos y demás autoridades a que se refiere esta Ley, en el ámbito de su competencia, tendrán a su cargo la vigilancia del cumplimiento de las disposiciones del presente Capítulo; para tal efecto, podrán adoptar y ejecutar las medidas de seguridad, que correspondan.</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79"/>
        <w:jc w:val="both"/>
      </w:pPr>
      <w:r>
        <w:rPr>
          <w:rFonts w:ascii="Arial" w:hAnsi="Arial"/>
          <w:b/>
        </w:rPr>
        <w:t>ARTÍCULO</w:t>
      </w:r>
      <w:r>
        <w:rPr>
          <w:rFonts w:ascii="Arial" w:hAnsi="Arial"/>
          <w:b/>
          <w:spacing w:val="-6"/>
        </w:rPr>
        <w:t> </w:t>
      </w:r>
      <w:r>
        <w:rPr>
          <w:rFonts w:ascii="Arial" w:hAnsi="Arial"/>
          <w:b/>
        </w:rPr>
        <w:t>154.</w:t>
      </w:r>
      <w:r>
        <w:rPr>
          <w:rFonts w:ascii="Arial" w:hAnsi="Arial"/>
          <w:b/>
          <w:spacing w:val="-7"/>
        </w:rPr>
        <w:t> </w:t>
      </w:r>
      <w:r>
        <w:rPr/>
        <w:t>Se</w:t>
      </w:r>
      <w:r>
        <w:rPr>
          <w:spacing w:val="-8"/>
        </w:rPr>
        <w:t> </w:t>
      </w:r>
      <w:r>
        <w:rPr/>
        <w:t>consideran</w:t>
      </w:r>
      <w:r>
        <w:rPr>
          <w:spacing w:val="-7"/>
        </w:rPr>
        <w:t> </w:t>
      </w:r>
      <w:r>
        <w:rPr/>
        <w:t>medidas</w:t>
      </w:r>
      <w:r>
        <w:rPr>
          <w:spacing w:val="-6"/>
        </w:rPr>
        <w:t> </w:t>
      </w:r>
      <w:r>
        <w:rPr/>
        <w:t>de</w:t>
      </w:r>
      <w:r>
        <w:rPr>
          <w:spacing w:val="-8"/>
        </w:rPr>
        <w:t> </w:t>
      </w:r>
      <w:r>
        <w:rPr/>
        <w:t>seguridad</w:t>
      </w:r>
      <w:r>
        <w:rPr>
          <w:spacing w:val="-6"/>
        </w:rPr>
        <w:t> </w:t>
      </w:r>
      <w:r>
        <w:rPr/>
        <w:t>las</w:t>
      </w:r>
      <w:r>
        <w:rPr>
          <w:spacing w:val="-7"/>
        </w:rPr>
        <w:t> </w:t>
      </w:r>
      <w:r>
        <w:rPr/>
        <w:t>acciones</w:t>
      </w:r>
      <w:r>
        <w:rPr>
          <w:spacing w:val="-7"/>
        </w:rPr>
        <w:t> </w:t>
      </w:r>
      <w:r>
        <w:rPr/>
        <w:t>encaminadas</w:t>
      </w:r>
      <w:r>
        <w:rPr>
          <w:spacing w:val="-4"/>
        </w:rPr>
        <w:t> </w:t>
      </w:r>
      <w:r>
        <w:rPr/>
        <w:t>a</w:t>
      </w:r>
      <w:r>
        <w:rPr>
          <w:spacing w:val="-8"/>
        </w:rPr>
        <w:t> </w:t>
      </w:r>
      <w:r>
        <w:rPr/>
        <w:t>evitar</w:t>
      </w:r>
      <w:r>
        <w:rPr>
          <w:spacing w:val="-7"/>
        </w:rPr>
        <w:t> </w:t>
      </w:r>
      <w:r>
        <w:rPr/>
        <w:t>los</w:t>
      </w:r>
      <w:r>
        <w:rPr>
          <w:spacing w:val="-7"/>
        </w:rPr>
        <w:t> </w:t>
      </w:r>
      <w:r>
        <w:rPr/>
        <w:t>daños inminentes de difícil reposición, que puedan causar las instalaciones, las construcciones, las obras y acciones, tanto públicas como privadas, que originen perjuicio al interés social o contravengan disposiciones</w:t>
      </w:r>
      <w:r>
        <w:rPr>
          <w:spacing w:val="-6"/>
        </w:rPr>
        <w:t> </w:t>
      </w:r>
      <w:r>
        <w:rPr/>
        <w:t>de</w:t>
      </w:r>
      <w:r>
        <w:rPr>
          <w:spacing w:val="-5"/>
        </w:rPr>
        <w:t> </w:t>
      </w:r>
      <w:r>
        <w:rPr/>
        <w:t>orden</w:t>
      </w:r>
      <w:r>
        <w:rPr>
          <w:spacing w:val="-5"/>
        </w:rPr>
        <w:t> </w:t>
      </w:r>
      <w:r>
        <w:rPr/>
        <w:t>público.</w:t>
      </w:r>
      <w:r>
        <w:rPr>
          <w:spacing w:val="-5"/>
        </w:rPr>
        <w:t> </w:t>
      </w:r>
      <w:r>
        <w:rPr/>
        <w:t>Son</w:t>
      </w:r>
      <w:r>
        <w:rPr>
          <w:spacing w:val="-5"/>
        </w:rPr>
        <w:t> </w:t>
      </w:r>
      <w:r>
        <w:rPr/>
        <w:t>de</w:t>
      </w:r>
      <w:r>
        <w:rPr>
          <w:spacing w:val="-5"/>
        </w:rPr>
        <w:t> </w:t>
      </w:r>
      <w:r>
        <w:rPr/>
        <w:t>inmediata</w:t>
      </w:r>
      <w:r>
        <w:rPr>
          <w:spacing w:val="-5"/>
        </w:rPr>
        <w:t> </w:t>
      </w:r>
      <w:r>
        <w:rPr/>
        <w:t>ejecución,</w:t>
      </w:r>
      <w:r>
        <w:rPr>
          <w:spacing w:val="-4"/>
        </w:rPr>
        <w:t> </w:t>
      </w:r>
      <w:r>
        <w:rPr/>
        <w:t>tendrán</w:t>
      </w:r>
      <w:r>
        <w:rPr>
          <w:spacing w:val="-7"/>
        </w:rPr>
        <w:t> </w:t>
      </w:r>
      <w:r>
        <w:rPr/>
        <w:t>carácter</w:t>
      </w:r>
      <w:r>
        <w:rPr>
          <w:spacing w:val="-4"/>
        </w:rPr>
        <w:t> </w:t>
      </w:r>
      <w:r>
        <w:rPr/>
        <w:t>temporal</w:t>
      </w:r>
      <w:r>
        <w:rPr>
          <w:spacing w:val="-6"/>
        </w:rPr>
        <w:t> </w:t>
      </w:r>
      <w:r>
        <w:rPr/>
        <w:t>y</w:t>
      </w:r>
      <w:r>
        <w:rPr>
          <w:spacing w:val="-5"/>
        </w:rPr>
        <w:t> </w:t>
      </w:r>
      <w:r>
        <w:rPr/>
        <w:t>preventivo y se aplicarán sin perjuicio de las sanciones que, en su caso, correspondan.</w:t>
      </w:r>
    </w:p>
    <w:p>
      <w:pPr>
        <w:pStyle w:val="BodyText"/>
      </w:pPr>
    </w:p>
    <w:p>
      <w:pPr>
        <w:pStyle w:val="BodyText"/>
        <w:ind w:left="262" w:right="278"/>
        <w:jc w:val="both"/>
      </w:pPr>
      <w:r>
        <w:rPr>
          <w:rFonts w:ascii="Arial" w:hAnsi="Arial"/>
          <w:b/>
        </w:rPr>
        <w:t>ARTÍCULO</w:t>
      </w:r>
      <w:r>
        <w:rPr>
          <w:rFonts w:ascii="Arial" w:hAnsi="Arial"/>
          <w:b/>
          <w:spacing w:val="-1"/>
        </w:rPr>
        <w:t> </w:t>
      </w:r>
      <w:r>
        <w:rPr>
          <w:rFonts w:ascii="Arial" w:hAnsi="Arial"/>
          <w:b/>
        </w:rPr>
        <w:t>155. </w:t>
      </w:r>
      <w:r>
        <w:rPr/>
        <w:t>Las medidas</w:t>
      </w:r>
      <w:r>
        <w:rPr>
          <w:spacing w:val="-1"/>
        </w:rPr>
        <w:t> </w:t>
      </w:r>
      <w:r>
        <w:rPr/>
        <w:t>de seguridad</w:t>
      </w:r>
      <w:r>
        <w:rPr>
          <w:spacing w:val="-2"/>
        </w:rPr>
        <w:t> </w:t>
      </w:r>
      <w:r>
        <w:rPr/>
        <w:t>son de inmediata ejecución, tienen carácter</w:t>
      </w:r>
      <w:r>
        <w:rPr>
          <w:spacing w:val="-1"/>
        </w:rPr>
        <w:t> </w:t>
      </w:r>
      <w:r>
        <w:rPr/>
        <w:t>temporal</w:t>
      </w:r>
      <w:r>
        <w:rPr>
          <w:spacing w:val="-3"/>
        </w:rPr>
        <w:t> </w:t>
      </w:r>
      <w:r>
        <w:rPr/>
        <w:t>y preventivo mientras persistan las causas que las motivaron y se aplicarán sin perjuicio de las acciones o sanciones administrativas, civiles o penales que en su caso correspondan, por las infracciones cometidas.</w:t>
      </w:r>
    </w:p>
    <w:p>
      <w:pPr>
        <w:pStyle w:val="BodyText"/>
        <w:spacing w:before="1"/>
      </w:pPr>
    </w:p>
    <w:p>
      <w:pPr>
        <w:pStyle w:val="BodyText"/>
        <w:ind w:left="262" w:right="283"/>
        <w:jc w:val="both"/>
      </w:pPr>
      <w:r>
        <w:rPr>
          <w:rFonts w:ascii="Arial" w:hAnsi="Arial"/>
          <w:b/>
        </w:rPr>
        <w:t>ARTÍCULO</w:t>
      </w:r>
      <w:r>
        <w:rPr>
          <w:rFonts w:ascii="Arial" w:hAnsi="Arial"/>
          <w:b/>
          <w:spacing w:val="-8"/>
        </w:rPr>
        <w:t> </w:t>
      </w:r>
      <w:r>
        <w:rPr>
          <w:rFonts w:ascii="Arial" w:hAnsi="Arial"/>
          <w:b/>
        </w:rPr>
        <w:t>156.</w:t>
      </w:r>
      <w:r>
        <w:rPr>
          <w:rFonts w:ascii="Arial" w:hAnsi="Arial"/>
          <w:b/>
          <w:spacing w:val="-7"/>
        </w:rPr>
        <w:t> </w:t>
      </w:r>
      <w:r>
        <w:rPr/>
        <w:t>Para</w:t>
      </w:r>
      <w:r>
        <w:rPr>
          <w:spacing w:val="-9"/>
        </w:rPr>
        <w:t> </w:t>
      </w:r>
      <w:r>
        <w:rPr/>
        <w:t>los</w:t>
      </w:r>
      <w:r>
        <w:rPr>
          <w:spacing w:val="-10"/>
        </w:rPr>
        <w:t> </w:t>
      </w:r>
      <w:r>
        <w:rPr/>
        <w:t>efectos</w:t>
      </w:r>
      <w:r>
        <w:rPr>
          <w:spacing w:val="-11"/>
        </w:rPr>
        <w:t> </w:t>
      </w:r>
      <w:r>
        <w:rPr/>
        <w:t>de</w:t>
      </w:r>
      <w:r>
        <w:rPr>
          <w:spacing w:val="-9"/>
        </w:rPr>
        <w:t> </w:t>
      </w:r>
      <w:r>
        <w:rPr/>
        <w:t>prevención</w:t>
      </w:r>
      <w:r>
        <w:rPr>
          <w:spacing w:val="-10"/>
        </w:rPr>
        <w:t> </w:t>
      </w:r>
      <w:r>
        <w:rPr/>
        <w:t>de</w:t>
      </w:r>
      <w:r>
        <w:rPr>
          <w:spacing w:val="-7"/>
        </w:rPr>
        <w:t> </w:t>
      </w:r>
      <w:r>
        <w:rPr/>
        <w:t>los</w:t>
      </w:r>
      <w:r>
        <w:rPr>
          <w:spacing w:val="-8"/>
        </w:rPr>
        <w:t> </w:t>
      </w:r>
      <w:r>
        <w:rPr/>
        <w:t>riesgos</w:t>
      </w:r>
      <w:r>
        <w:rPr>
          <w:spacing w:val="-10"/>
        </w:rPr>
        <w:t> </w:t>
      </w:r>
      <w:r>
        <w:rPr/>
        <w:t>a</w:t>
      </w:r>
      <w:r>
        <w:rPr>
          <w:spacing w:val="-9"/>
        </w:rPr>
        <w:t> </w:t>
      </w:r>
      <w:r>
        <w:rPr/>
        <w:t>que</w:t>
      </w:r>
      <w:r>
        <w:rPr>
          <w:spacing w:val="-10"/>
        </w:rPr>
        <w:t> </w:t>
      </w:r>
      <w:r>
        <w:rPr/>
        <w:t>se</w:t>
      </w:r>
      <w:r>
        <w:rPr>
          <w:spacing w:val="-11"/>
        </w:rPr>
        <w:t> </w:t>
      </w:r>
      <w:r>
        <w:rPr/>
        <w:t>refiere</w:t>
      </w:r>
      <w:r>
        <w:rPr>
          <w:spacing w:val="-9"/>
        </w:rPr>
        <w:t> </w:t>
      </w:r>
      <w:r>
        <w:rPr/>
        <w:t>el</w:t>
      </w:r>
      <w:r>
        <w:rPr>
          <w:spacing w:val="-7"/>
        </w:rPr>
        <w:t> </w:t>
      </w:r>
      <w:r>
        <w:rPr/>
        <w:t>presente</w:t>
      </w:r>
      <w:r>
        <w:rPr>
          <w:spacing w:val="-9"/>
        </w:rPr>
        <w:t> </w:t>
      </w:r>
      <w:r>
        <w:rPr/>
        <w:t>Capítulo, se consideran como medidas de seguridad las siguientes:</w:t>
      </w:r>
    </w:p>
    <w:p>
      <w:pPr>
        <w:pStyle w:val="BodyText"/>
        <w:spacing w:before="1"/>
      </w:pPr>
    </w:p>
    <w:p>
      <w:pPr>
        <w:pStyle w:val="ListParagraph"/>
        <w:numPr>
          <w:ilvl w:val="0"/>
          <w:numId w:val="63"/>
        </w:numPr>
        <w:tabs>
          <w:tab w:pos="543" w:val="left" w:leader="none"/>
        </w:tabs>
        <w:spacing w:line="240" w:lineRule="auto" w:before="0" w:after="0"/>
        <w:ind w:left="262" w:right="287" w:firstLine="0"/>
        <w:jc w:val="both"/>
        <w:rPr>
          <w:sz w:val="20"/>
        </w:rPr>
      </w:pPr>
      <w:r>
        <w:rPr>
          <w:sz w:val="20"/>
        </w:rPr>
        <w:t>La</w:t>
      </w:r>
      <w:r>
        <w:rPr>
          <w:spacing w:val="-13"/>
          <w:sz w:val="20"/>
        </w:rPr>
        <w:t> </w:t>
      </w:r>
      <w:r>
        <w:rPr>
          <w:sz w:val="20"/>
        </w:rPr>
        <w:t>suspensión</w:t>
      </w:r>
      <w:r>
        <w:rPr>
          <w:spacing w:val="-12"/>
          <w:sz w:val="20"/>
        </w:rPr>
        <w:t> </w:t>
      </w:r>
      <w:r>
        <w:rPr>
          <w:sz w:val="20"/>
        </w:rPr>
        <w:t>total</w:t>
      </w:r>
      <w:r>
        <w:rPr>
          <w:spacing w:val="-11"/>
          <w:sz w:val="20"/>
        </w:rPr>
        <w:t> </w:t>
      </w:r>
      <w:r>
        <w:rPr>
          <w:sz w:val="20"/>
        </w:rPr>
        <w:t>o</w:t>
      </w:r>
      <w:r>
        <w:rPr>
          <w:spacing w:val="-10"/>
          <w:sz w:val="20"/>
        </w:rPr>
        <w:t> </w:t>
      </w:r>
      <w:r>
        <w:rPr>
          <w:sz w:val="20"/>
        </w:rPr>
        <w:t>parcial</w:t>
      </w:r>
      <w:r>
        <w:rPr>
          <w:spacing w:val="-11"/>
          <w:sz w:val="20"/>
        </w:rPr>
        <w:t> </w:t>
      </w:r>
      <w:r>
        <w:rPr>
          <w:sz w:val="20"/>
        </w:rPr>
        <w:t>de</w:t>
      </w:r>
      <w:r>
        <w:rPr>
          <w:spacing w:val="-11"/>
          <w:sz w:val="20"/>
        </w:rPr>
        <w:t> </w:t>
      </w:r>
      <w:r>
        <w:rPr>
          <w:sz w:val="20"/>
        </w:rPr>
        <w:t>las</w:t>
      </w:r>
      <w:r>
        <w:rPr>
          <w:spacing w:val="-9"/>
          <w:sz w:val="20"/>
        </w:rPr>
        <w:t> </w:t>
      </w:r>
      <w:r>
        <w:rPr>
          <w:sz w:val="20"/>
        </w:rPr>
        <w:t>construcciones,</w:t>
      </w:r>
      <w:r>
        <w:rPr>
          <w:spacing w:val="-10"/>
          <w:sz w:val="20"/>
        </w:rPr>
        <w:t> </w:t>
      </w:r>
      <w:r>
        <w:rPr>
          <w:sz w:val="20"/>
        </w:rPr>
        <w:t>instalaciones,</w:t>
      </w:r>
      <w:r>
        <w:rPr>
          <w:spacing w:val="-10"/>
          <w:sz w:val="20"/>
        </w:rPr>
        <w:t> </w:t>
      </w:r>
      <w:r>
        <w:rPr>
          <w:sz w:val="20"/>
        </w:rPr>
        <w:t>explotaciones,</w:t>
      </w:r>
      <w:r>
        <w:rPr>
          <w:spacing w:val="-10"/>
          <w:sz w:val="20"/>
        </w:rPr>
        <w:t> </w:t>
      </w:r>
      <w:r>
        <w:rPr>
          <w:sz w:val="20"/>
        </w:rPr>
        <w:t>obras,</w:t>
      </w:r>
      <w:r>
        <w:rPr>
          <w:spacing w:val="-12"/>
          <w:sz w:val="20"/>
        </w:rPr>
        <w:t> </w:t>
      </w:r>
      <w:r>
        <w:rPr>
          <w:sz w:val="20"/>
        </w:rPr>
        <w:t>trabajos, servicios o actividades, cuando no se sujeten a las normas técnicas o legales establecidas;</w:t>
      </w:r>
    </w:p>
    <w:p>
      <w:pPr>
        <w:pStyle w:val="ListParagraph"/>
        <w:numPr>
          <w:ilvl w:val="0"/>
          <w:numId w:val="63"/>
        </w:numPr>
        <w:tabs>
          <w:tab w:pos="543" w:val="left" w:leader="none"/>
        </w:tabs>
        <w:spacing w:line="240" w:lineRule="auto" w:before="229" w:after="0"/>
        <w:ind w:left="262" w:right="286" w:firstLine="0"/>
        <w:jc w:val="both"/>
        <w:rPr>
          <w:sz w:val="20"/>
        </w:rPr>
      </w:pPr>
      <w:r>
        <w:rPr>
          <w:sz w:val="20"/>
        </w:rPr>
        <w:t>La suspensión de obras que puedan poner en peligro la seguridad, salubridad o tranquilidad públicas o el equilibrio ecológico;</w:t>
      </w:r>
    </w:p>
    <w:p>
      <w:pPr>
        <w:pStyle w:val="BodyText"/>
        <w:spacing w:before="1"/>
      </w:pPr>
    </w:p>
    <w:p>
      <w:pPr>
        <w:pStyle w:val="ListParagraph"/>
        <w:numPr>
          <w:ilvl w:val="0"/>
          <w:numId w:val="63"/>
        </w:numPr>
        <w:tabs>
          <w:tab w:pos="541" w:val="left" w:leader="none"/>
        </w:tabs>
        <w:spacing w:line="240" w:lineRule="auto" w:before="0" w:after="0"/>
        <w:ind w:left="262" w:right="281" w:firstLine="0"/>
        <w:jc w:val="both"/>
        <w:rPr>
          <w:sz w:val="20"/>
        </w:rPr>
      </w:pPr>
      <w:r>
        <w:rPr>
          <w:sz w:val="20"/>
        </w:rPr>
        <w:t>La clausura temporal o definitiva, total o parcial, de las instalaciones, las construcciones, los servicios y las obras realizadas en contravención de las disposiciones de esta Ley, los programas de ordenamiento territorial y desarrollo urbano, y lo señalado en la correspondiente licencia de uso de suelo y demás disposiciones jurídicas aplicables;</w:t>
      </w:r>
    </w:p>
    <w:p>
      <w:pPr>
        <w:pStyle w:val="BodyText"/>
      </w:pPr>
    </w:p>
    <w:p>
      <w:pPr>
        <w:pStyle w:val="ListParagraph"/>
        <w:numPr>
          <w:ilvl w:val="0"/>
          <w:numId w:val="63"/>
        </w:numPr>
        <w:tabs>
          <w:tab w:pos="688" w:val="left" w:leader="none"/>
        </w:tabs>
        <w:spacing w:line="240" w:lineRule="auto" w:before="0" w:after="0"/>
        <w:ind w:left="688" w:right="0" w:hanging="426"/>
        <w:jc w:val="both"/>
        <w:rPr>
          <w:sz w:val="20"/>
        </w:rPr>
      </w:pPr>
      <w:r>
        <w:rPr>
          <w:sz w:val="20"/>
        </w:rPr>
        <w:t>El</w:t>
      </w:r>
      <w:r>
        <w:rPr>
          <w:spacing w:val="-10"/>
          <w:sz w:val="20"/>
        </w:rPr>
        <w:t> </w:t>
      </w:r>
      <w:r>
        <w:rPr>
          <w:sz w:val="20"/>
        </w:rPr>
        <w:t>retiro</w:t>
      </w:r>
      <w:r>
        <w:rPr>
          <w:spacing w:val="-7"/>
          <w:sz w:val="20"/>
        </w:rPr>
        <w:t> </w:t>
      </w:r>
      <w:r>
        <w:rPr>
          <w:sz w:val="20"/>
        </w:rPr>
        <w:t>de</w:t>
      </w:r>
      <w:r>
        <w:rPr>
          <w:spacing w:val="-9"/>
          <w:sz w:val="20"/>
        </w:rPr>
        <w:t> </w:t>
      </w:r>
      <w:r>
        <w:rPr>
          <w:sz w:val="20"/>
        </w:rPr>
        <w:t>instalaciones,</w:t>
      </w:r>
      <w:r>
        <w:rPr>
          <w:spacing w:val="-7"/>
          <w:sz w:val="20"/>
        </w:rPr>
        <w:t> </w:t>
      </w:r>
      <w:r>
        <w:rPr>
          <w:sz w:val="20"/>
        </w:rPr>
        <w:t>materiales,</w:t>
      </w:r>
      <w:r>
        <w:rPr>
          <w:spacing w:val="-9"/>
          <w:sz w:val="20"/>
        </w:rPr>
        <w:t> </w:t>
      </w:r>
      <w:r>
        <w:rPr>
          <w:sz w:val="20"/>
        </w:rPr>
        <w:t>mobiliario</w:t>
      </w:r>
      <w:r>
        <w:rPr>
          <w:spacing w:val="-7"/>
          <w:sz w:val="20"/>
        </w:rPr>
        <w:t> </w:t>
      </w:r>
      <w:r>
        <w:rPr>
          <w:sz w:val="20"/>
        </w:rPr>
        <w:t>o</w:t>
      </w:r>
      <w:r>
        <w:rPr>
          <w:spacing w:val="-10"/>
          <w:sz w:val="20"/>
        </w:rPr>
        <w:t> </w:t>
      </w:r>
      <w:r>
        <w:rPr>
          <w:spacing w:val="-2"/>
          <w:sz w:val="20"/>
        </w:rPr>
        <w:t>equipo;</w:t>
      </w:r>
    </w:p>
    <w:p>
      <w:pPr>
        <w:pStyle w:val="ListParagraph"/>
        <w:numPr>
          <w:ilvl w:val="0"/>
          <w:numId w:val="63"/>
        </w:numPr>
        <w:tabs>
          <w:tab w:pos="688" w:val="left" w:leader="none"/>
        </w:tabs>
        <w:spacing w:line="240" w:lineRule="auto" w:before="229" w:after="0"/>
        <w:ind w:left="688" w:right="0" w:hanging="426"/>
        <w:jc w:val="both"/>
        <w:rPr>
          <w:sz w:val="20"/>
        </w:rPr>
      </w:pPr>
      <w:r>
        <w:rPr>
          <w:sz w:val="20"/>
        </w:rPr>
        <w:t>La</w:t>
      </w:r>
      <w:r>
        <w:rPr>
          <w:spacing w:val="-9"/>
          <w:sz w:val="20"/>
        </w:rPr>
        <w:t> </w:t>
      </w:r>
      <w:r>
        <w:rPr>
          <w:sz w:val="20"/>
        </w:rPr>
        <w:t>prohibición</w:t>
      </w:r>
      <w:r>
        <w:rPr>
          <w:spacing w:val="-8"/>
          <w:sz w:val="20"/>
        </w:rPr>
        <w:t> </w:t>
      </w:r>
      <w:r>
        <w:rPr>
          <w:sz w:val="20"/>
        </w:rPr>
        <w:t>de</w:t>
      </w:r>
      <w:r>
        <w:rPr>
          <w:spacing w:val="-8"/>
          <w:sz w:val="20"/>
        </w:rPr>
        <w:t> </w:t>
      </w:r>
      <w:r>
        <w:rPr>
          <w:sz w:val="20"/>
        </w:rPr>
        <w:t>actos</w:t>
      </w:r>
      <w:r>
        <w:rPr>
          <w:spacing w:val="-5"/>
          <w:sz w:val="20"/>
        </w:rPr>
        <w:t> </w:t>
      </w:r>
      <w:r>
        <w:rPr>
          <w:sz w:val="20"/>
        </w:rPr>
        <w:t>de</w:t>
      </w:r>
      <w:r>
        <w:rPr>
          <w:spacing w:val="-7"/>
          <w:sz w:val="20"/>
        </w:rPr>
        <w:t> </w:t>
      </w:r>
      <w:r>
        <w:rPr>
          <w:sz w:val="20"/>
        </w:rPr>
        <w:t>utilización</w:t>
      </w:r>
      <w:r>
        <w:rPr>
          <w:spacing w:val="-8"/>
          <w:sz w:val="20"/>
        </w:rPr>
        <w:t> </w:t>
      </w:r>
      <w:r>
        <w:rPr>
          <w:sz w:val="20"/>
        </w:rPr>
        <w:t>de</w:t>
      </w:r>
      <w:r>
        <w:rPr>
          <w:spacing w:val="-8"/>
          <w:sz w:val="20"/>
        </w:rPr>
        <w:t> </w:t>
      </w:r>
      <w:r>
        <w:rPr>
          <w:sz w:val="20"/>
        </w:rPr>
        <w:t>inmuebles,</w:t>
      </w:r>
      <w:r>
        <w:rPr>
          <w:spacing w:val="-6"/>
          <w:sz w:val="20"/>
        </w:rPr>
        <w:t> </w:t>
      </w:r>
      <w:r>
        <w:rPr>
          <w:sz w:val="20"/>
        </w:rPr>
        <w:t>maquinaria</w:t>
      </w:r>
      <w:r>
        <w:rPr>
          <w:spacing w:val="-7"/>
          <w:sz w:val="20"/>
        </w:rPr>
        <w:t> </w:t>
      </w:r>
      <w:r>
        <w:rPr>
          <w:sz w:val="20"/>
        </w:rPr>
        <w:t>o</w:t>
      </w:r>
      <w:r>
        <w:rPr>
          <w:spacing w:val="-6"/>
          <w:sz w:val="20"/>
        </w:rPr>
        <w:t> </w:t>
      </w:r>
      <w:r>
        <w:rPr>
          <w:spacing w:val="-2"/>
          <w:sz w:val="20"/>
        </w:rPr>
        <w:t>equipo;</w:t>
      </w:r>
    </w:p>
    <w:p>
      <w:pPr>
        <w:pStyle w:val="BodyText"/>
      </w:pPr>
    </w:p>
    <w:p>
      <w:pPr>
        <w:pStyle w:val="ListParagraph"/>
        <w:numPr>
          <w:ilvl w:val="0"/>
          <w:numId w:val="63"/>
        </w:numPr>
        <w:tabs>
          <w:tab w:pos="688" w:val="left" w:leader="none"/>
        </w:tabs>
        <w:spacing w:line="240" w:lineRule="auto" w:before="0" w:after="0"/>
        <w:ind w:left="688" w:right="0" w:hanging="426"/>
        <w:jc w:val="both"/>
        <w:rPr>
          <w:sz w:val="20"/>
        </w:rPr>
      </w:pPr>
      <w:r>
        <w:rPr>
          <w:sz w:val="20"/>
        </w:rPr>
        <w:t>La</w:t>
      </w:r>
      <w:r>
        <w:rPr>
          <w:spacing w:val="-7"/>
          <w:sz w:val="20"/>
        </w:rPr>
        <w:t> </w:t>
      </w:r>
      <w:r>
        <w:rPr>
          <w:sz w:val="20"/>
        </w:rPr>
        <w:t>desocupación</w:t>
      </w:r>
      <w:r>
        <w:rPr>
          <w:spacing w:val="-5"/>
          <w:sz w:val="20"/>
        </w:rPr>
        <w:t> </w:t>
      </w:r>
      <w:r>
        <w:rPr>
          <w:sz w:val="20"/>
        </w:rPr>
        <w:t>o</w:t>
      </w:r>
      <w:r>
        <w:rPr>
          <w:spacing w:val="-6"/>
          <w:sz w:val="20"/>
        </w:rPr>
        <w:t> </w:t>
      </w:r>
      <w:r>
        <w:rPr>
          <w:sz w:val="20"/>
        </w:rPr>
        <w:t>desalojo</w:t>
      </w:r>
      <w:r>
        <w:rPr>
          <w:spacing w:val="-6"/>
          <w:sz w:val="20"/>
        </w:rPr>
        <w:t> </w:t>
      </w:r>
      <w:r>
        <w:rPr>
          <w:sz w:val="20"/>
        </w:rPr>
        <w:t>total</w:t>
      </w:r>
      <w:r>
        <w:rPr>
          <w:spacing w:val="-5"/>
          <w:sz w:val="20"/>
        </w:rPr>
        <w:t> </w:t>
      </w:r>
      <w:r>
        <w:rPr>
          <w:sz w:val="20"/>
        </w:rPr>
        <w:t>o</w:t>
      </w:r>
      <w:r>
        <w:rPr>
          <w:spacing w:val="-6"/>
          <w:sz w:val="20"/>
        </w:rPr>
        <w:t> </w:t>
      </w:r>
      <w:r>
        <w:rPr>
          <w:sz w:val="20"/>
        </w:rPr>
        <w:t>parcial</w:t>
      </w:r>
      <w:r>
        <w:rPr>
          <w:spacing w:val="-6"/>
          <w:sz w:val="20"/>
        </w:rPr>
        <w:t> </w:t>
      </w:r>
      <w:r>
        <w:rPr>
          <w:sz w:val="20"/>
        </w:rPr>
        <w:t>de</w:t>
      </w:r>
      <w:r>
        <w:rPr>
          <w:spacing w:val="-5"/>
          <w:sz w:val="20"/>
        </w:rPr>
        <w:t> </w:t>
      </w:r>
      <w:r>
        <w:rPr>
          <w:spacing w:val="-2"/>
          <w:sz w:val="20"/>
        </w:rPr>
        <w:t>inmuebles;</w:t>
      </w:r>
    </w:p>
    <w:p>
      <w:pPr>
        <w:pStyle w:val="BodyText"/>
        <w:spacing w:before="1"/>
      </w:pPr>
    </w:p>
    <w:p>
      <w:pPr>
        <w:pStyle w:val="ListParagraph"/>
        <w:numPr>
          <w:ilvl w:val="0"/>
          <w:numId w:val="63"/>
        </w:numPr>
        <w:tabs>
          <w:tab w:pos="688" w:val="left" w:leader="none"/>
        </w:tabs>
        <w:spacing w:line="240" w:lineRule="auto" w:before="0" w:after="0"/>
        <w:ind w:left="688" w:right="0" w:hanging="426"/>
        <w:jc w:val="both"/>
        <w:rPr>
          <w:sz w:val="20"/>
        </w:rPr>
      </w:pPr>
      <w:r>
        <w:rPr>
          <w:sz w:val="20"/>
        </w:rPr>
        <w:t>La</w:t>
      </w:r>
      <w:r>
        <w:rPr>
          <w:spacing w:val="-7"/>
          <w:sz w:val="20"/>
        </w:rPr>
        <w:t> </w:t>
      </w:r>
      <w:r>
        <w:rPr>
          <w:sz w:val="20"/>
        </w:rPr>
        <w:t>demolición</w:t>
      </w:r>
      <w:r>
        <w:rPr>
          <w:spacing w:val="-5"/>
          <w:sz w:val="20"/>
        </w:rPr>
        <w:t> </w:t>
      </w:r>
      <w:r>
        <w:rPr>
          <w:sz w:val="20"/>
        </w:rPr>
        <w:t>total</w:t>
      </w:r>
      <w:r>
        <w:rPr>
          <w:spacing w:val="-6"/>
          <w:sz w:val="20"/>
        </w:rPr>
        <w:t> </w:t>
      </w:r>
      <w:r>
        <w:rPr>
          <w:sz w:val="20"/>
        </w:rPr>
        <w:t>o</w:t>
      </w:r>
      <w:r>
        <w:rPr>
          <w:spacing w:val="-4"/>
          <w:sz w:val="20"/>
        </w:rPr>
        <w:t> </w:t>
      </w:r>
      <w:r>
        <w:rPr>
          <w:sz w:val="20"/>
        </w:rPr>
        <w:t>parcial</w:t>
      </w:r>
      <w:r>
        <w:rPr>
          <w:spacing w:val="-6"/>
          <w:sz w:val="20"/>
        </w:rPr>
        <w:t> </w:t>
      </w:r>
      <w:r>
        <w:rPr>
          <w:sz w:val="20"/>
        </w:rPr>
        <w:t>de</w:t>
      </w:r>
      <w:r>
        <w:rPr>
          <w:spacing w:val="-4"/>
          <w:sz w:val="20"/>
        </w:rPr>
        <w:t> </w:t>
      </w:r>
      <w:r>
        <w:rPr>
          <w:sz w:val="20"/>
        </w:rPr>
        <w:t>obras</w:t>
      </w:r>
      <w:r>
        <w:rPr>
          <w:spacing w:val="-5"/>
          <w:sz w:val="20"/>
        </w:rPr>
        <w:t> </w:t>
      </w:r>
      <w:r>
        <w:rPr>
          <w:sz w:val="20"/>
        </w:rPr>
        <w:t>o</w:t>
      </w:r>
      <w:r>
        <w:rPr>
          <w:spacing w:val="-3"/>
          <w:sz w:val="20"/>
        </w:rPr>
        <w:t> </w:t>
      </w:r>
      <w:r>
        <w:rPr>
          <w:spacing w:val="-2"/>
          <w:sz w:val="20"/>
        </w:rPr>
        <w:t>construcciones;</w:t>
      </w:r>
    </w:p>
    <w:p>
      <w:pPr>
        <w:pStyle w:val="ListParagraph"/>
        <w:numPr>
          <w:ilvl w:val="0"/>
          <w:numId w:val="63"/>
        </w:numPr>
        <w:tabs>
          <w:tab w:pos="827" w:val="left" w:leader="none"/>
        </w:tabs>
        <w:spacing w:line="240" w:lineRule="auto" w:before="229" w:after="0"/>
        <w:ind w:left="827" w:right="0" w:hanging="565"/>
        <w:jc w:val="both"/>
        <w:rPr>
          <w:sz w:val="20"/>
        </w:rPr>
      </w:pPr>
      <w:r>
        <w:rPr>
          <w:sz w:val="20"/>
        </w:rPr>
        <w:t>La</w:t>
      </w:r>
      <w:r>
        <w:rPr>
          <w:spacing w:val="-7"/>
          <w:sz w:val="20"/>
        </w:rPr>
        <w:t> </w:t>
      </w:r>
      <w:r>
        <w:rPr>
          <w:sz w:val="20"/>
        </w:rPr>
        <w:t>evacuación</w:t>
      </w:r>
      <w:r>
        <w:rPr>
          <w:spacing w:val="-4"/>
          <w:sz w:val="20"/>
        </w:rPr>
        <w:t> </w:t>
      </w:r>
      <w:r>
        <w:rPr>
          <w:sz w:val="20"/>
        </w:rPr>
        <w:t>de</w:t>
      </w:r>
      <w:r>
        <w:rPr>
          <w:spacing w:val="-7"/>
          <w:sz w:val="20"/>
        </w:rPr>
        <w:t> </w:t>
      </w:r>
      <w:r>
        <w:rPr>
          <w:sz w:val="20"/>
        </w:rPr>
        <w:t>zonas,</w:t>
      </w:r>
      <w:r>
        <w:rPr>
          <w:spacing w:val="-4"/>
          <w:sz w:val="20"/>
        </w:rPr>
        <w:t> </w:t>
      </w:r>
      <w:r>
        <w:rPr>
          <w:sz w:val="20"/>
        </w:rPr>
        <w:t>áreas</w:t>
      </w:r>
      <w:r>
        <w:rPr>
          <w:spacing w:val="-5"/>
          <w:sz w:val="20"/>
        </w:rPr>
        <w:t> </w:t>
      </w:r>
      <w:r>
        <w:rPr>
          <w:sz w:val="20"/>
        </w:rPr>
        <w:t>o</w:t>
      </w:r>
      <w:r>
        <w:rPr>
          <w:spacing w:val="-4"/>
          <w:sz w:val="20"/>
        </w:rPr>
        <w:t> </w:t>
      </w:r>
      <w:r>
        <w:rPr>
          <w:spacing w:val="-2"/>
          <w:sz w:val="20"/>
        </w:rPr>
        <w:t>instalaciones;</w:t>
      </w:r>
    </w:p>
    <w:p>
      <w:pPr>
        <w:pStyle w:val="BodyText"/>
      </w:pPr>
    </w:p>
    <w:p>
      <w:pPr>
        <w:pStyle w:val="ListParagraph"/>
        <w:numPr>
          <w:ilvl w:val="0"/>
          <w:numId w:val="63"/>
        </w:numPr>
        <w:tabs>
          <w:tab w:pos="827" w:val="left" w:leader="none"/>
        </w:tabs>
        <w:spacing w:line="240" w:lineRule="auto" w:before="1" w:after="0"/>
        <w:ind w:left="262" w:right="280" w:firstLine="0"/>
        <w:jc w:val="both"/>
        <w:rPr>
          <w:sz w:val="20"/>
        </w:rPr>
      </w:pPr>
      <w:r>
        <w:rPr>
          <w:sz w:val="20"/>
        </w:rPr>
        <w:t>La advertencia pública, mediante la cual se empleen los medios publicitarios, para prevenir sobre cualquier irregularidad en las actividades realizadas o por realizar por una persona física o moral, pública o privada, que contravenga la legislación y programa de ordenamiento territorial y desarrollo urbano;</w:t>
      </w:r>
    </w:p>
    <w:p>
      <w:pPr>
        <w:pStyle w:val="BodyText"/>
      </w:pPr>
    </w:p>
    <w:p>
      <w:pPr>
        <w:pStyle w:val="ListParagraph"/>
        <w:numPr>
          <w:ilvl w:val="0"/>
          <w:numId w:val="63"/>
        </w:numPr>
        <w:tabs>
          <w:tab w:pos="688" w:val="left" w:leader="none"/>
        </w:tabs>
        <w:spacing w:line="240" w:lineRule="auto" w:before="0" w:after="0"/>
        <w:ind w:left="262" w:right="286" w:firstLine="0"/>
        <w:jc w:val="both"/>
        <w:rPr>
          <w:sz w:val="20"/>
        </w:rPr>
      </w:pPr>
      <w:r>
        <w:rPr>
          <w:sz w:val="20"/>
        </w:rPr>
        <w:t>El</w:t>
      </w:r>
      <w:r>
        <w:rPr>
          <w:spacing w:val="-4"/>
          <w:sz w:val="20"/>
        </w:rPr>
        <w:t> </w:t>
      </w:r>
      <w:r>
        <w:rPr>
          <w:sz w:val="20"/>
        </w:rPr>
        <w:t>aseguramiento</w:t>
      </w:r>
      <w:r>
        <w:rPr>
          <w:spacing w:val="-3"/>
          <w:sz w:val="20"/>
        </w:rPr>
        <w:t> </w:t>
      </w:r>
      <w:r>
        <w:rPr>
          <w:sz w:val="20"/>
        </w:rPr>
        <w:t>de</w:t>
      </w:r>
      <w:r>
        <w:rPr>
          <w:spacing w:val="-3"/>
          <w:sz w:val="20"/>
        </w:rPr>
        <w:t> </w:t>
      </w:r>
      <w:r>
        <w:rPr>
          <w:sz w:val="20"/>
        </w:rPr>
        <w:t>los</w:t>
      </w:r>
      <w:r>
        <w:rPr>
          <w:spacing w:val="-2"/>
          <w:sz w:val="20"/>
        </w:rPr>
        <w:t> </w:t>
      </w:r>
      <w:r>
        <w:rPr>
          <w:sz w:val="20"/>
        </w:rPr>
        <w:t>materiales,</w:t>
      </w:r>
      <w:r>
        <w:rPr>
          <w:spacing w:val="-3"/>
          <w:sz w:val="20"/>
        </w:rPr>
        <w:t> </w:t>
      </w:r>
      <w:r>
        <w:rPr>
          <w:sz w:val="20"/>
        </w:rPr>
        <w:t>herramientas</w:t>
      </w:r>
      <w:r>
        <w:rPr>
          <w:spacing w:val="-4"/>
          <w:sz w:val="20"/>
        </w:rPr>
        <w:t> </w:t>
      </w:r>
      <w:r>
        <w:rPr>
          <w:sz w:val="20"/>
        </w:rPr>
        <w:t>y</w:t>
      </w:r>
      <w:r>
        <w:rPr>
          <w:spacing w:val="-1"/>
          <w:sz w:val="20"/>
        </w:rPr>
        <w:t> </w:t>
      </w:r>
      <w:r>
        <w:rPr>
          <w:sz w:val="20"/>
        </w:rPr>
        <w:t>demás</w:t>
      </w:r>
      <w:r>
        <w:rPr>
          <w:spacing w:val="-2"/>
          <w:sz w:val="20"/>
        </w:rPr>
        <w:t> </w:t>
      </w:r>
      <w:r>
        <w:rPr>
          <w:sz w:val="20"/>
        </w:rPr>
        <w:t>objetos</w:t>
      </w:r>
      <w:r>
        <w:rPr>
          <w:spacing w:val="-4"/>
          <w:sz w:val="20"/>
        </w:rPr>
        <w:t> </w:t>
      </w:r>
      <w:r>
        <w:rPr>
          <w:sz w:val="20"/>
        </w:rPr>
        <w:t>con</w:t>
      </w:r>
      <w:r>
        <w:rPr>
          <w:spacing w:val="-3"/>
          <w:sz w:val="20"/>
        </w:rPr>
        <w:t> </w:t>
      </w:r>
      <w:r>
        <w:rPr>
          <w:sz w:val="20"/>
        </w:rPr>
        <w:t>los</w:t>
      </w:r>
      <w:r>
        <w:rPr>
          <w:spacing w:val="-2"/>
          <w:sz w:val="20"/>
        </w:rPr>
        <w:t> </w:t>
      </w:r>
      <w:r>
        <w:rPr>
          <w:sz w:val="20"/>
        </w:rPr>
        <w:t>que</w:t>
      </w:r>
      <w:r>
        <w:rPr>
          <w:spacing w:val="-3"/>
          <w:sz w:val="20"/>
        </w:rPr>
        <w:t> </w:t>
      </w:r>
      <w:r>
        <w:rPr>
          <w:sz w:val="20"/>
        </w:rPr>
        <w:t>se</w:t>
      </w:r>
      <w:r>
        <w:rPr>
          <w:spacing w:val="-5"/>
          <w:sz w:val="20"/>
        </w:rPr>
        <w:t> </w:t>
      </w:r>
      <w:r>
        <w:rPr>
          <w:sz w:val="20"/>
        </w:rPr>
        <w:t>ejecuten</w:t>
      </w:r>
      <w:r>
        <w:rPr>
          <w:spacing w:val="-4"/>
          <w:sz w:val="20"/>
        </w:rPr>
        <w:t> </w:t>
      </w:r>
      <w:r>
        <w:rPr>
          <w:sz w:val="20"/>
        </w:rPr>
        <w:t>las construcciones u obras;</w:t>
      </w:r>
    </w:p>
    <w:p>
      <w:pPr>
        <w:pStyle w:val="BodyText"/>
        <w:spacing w:before="1"/>
      </w:pPr>
    </w:p>
    <w:p>
      <w:pPr>
        <w:pStyle w:val="ListParagraph"/>
        <w:numPr>
          <w:ilvl w:val="0"/>
          <w:numId w:val="63"/>
        </w:numPr>
        <w:tabs>
          <w:tab w:pos="688" w:val="left" w:leader="none"/>
        </w:tabs>
        <w:spacing w:line="240" w:lineRule="auto" w:before="0" w:after="0"/>
        <w:ind w:left="262" w:right="284" w:firstLine="0"/>
        <w:jc w:val="both"/>
        <w:rPr>
          <w:sz w:val="20"/>
        </w:rPr>
      </w:pPr>
      <w:r>
        <w:rPr>
          <w:sz w:val="20"/>
        </w:rPr>
        <w:t>Cualquier otra prevención tendente a lograr los fines expresados en esta Ley y las</w:t>
      </w:r>
      <w:r>
        <w:rPr>
          <w:spacing w:val="40"/>
          <w:sz w:val="20"/>
        </w:rPr>
        <w:t> </w:t>
      </w:r>
      <w:r>
        <w:rPr>
          <w:sz w:val="20"/>
        </w:rPr>
        <w:t>demás disposiciones jurídicas aplicables, y</w:t>
      </w:r>
    </w:p>
    <w:p>
      <w:pPr>
        <w:pStyle w:val="ListParagraph"/>
        <w:numPr>
          <w:ilvl w:val="0"/>
          <w:numId w:val="63"/>
        </w:numPr>
        <w:tabs>
          <w:tab w:pos="688" w:val="left" w:leader="none"/>
        </w:tabs>
        <w:spacing w:line="240" w:lineRule="auto" w:before="229" w:after="0"/>
        <w:ind w:left="262" w:right="288" w:firstLine="0"/>
        <w:jc w:val="both"/>
        <w:rPr>
          <w:sz w:val="20"/>
        </w:rPr>
      </w:pPr>
      <w:r>
        <w:rPr>
          <w:sz w:val="20"/>
        </w:rPr>
        <w:t>En los casos de las fracciones III y VII se ejecutará la medida, previo dictamen técnico de la autoridad</w:t>
      </w:r>
      <w:r>
        <w:rPr>
          <w:spacing w:val="38"/>
          <w:sz w:val="20"/>
        </w:rPr>
        <w:t> </w:t>
      </w:r>
      <w:r>
        <w:rPr>
          <w:sz w:val="20"/>
        </w:rPr>
        <w:t>competente</w:t>
      </w:r>
      <w:r>
        <w:rPr>
          <w:spacing w:val="40"/>
          <w:sz w:val="20"/>
        </w:rPr>
        <w:t> </w:t>
      </w:r>
      <w:r>
        <w:rPr>
          <w:sz w:val="20"/>
        </w:rPr>
        <w:t>y</w:t>
      </w:r>
      <w:r>
        <w:rPr>
          <w:spacing w:val="40"/>
          <w:sz w:val="20"/>
        </w:rPr>
        <w:t> </w:t>
      </w:r>
      <w:r>
        <w:rPr>
          <w:sz w:val="20"/>
        </w:rPr>
        <w:t>audiencia</w:t>
      </w:r>
      <w:r>
        <w:rPr>
          <w:spacing w:val="40"/>
          <w:sz w:val="20"/>
        </w:rPr>
        <w:t> </w:t>
      </w:r>
      <w:r>
        <w:rPr>
          <w:sz w:val="20"/>
        </w:rPr>
        <w:t>de</w:t>
      </w:r>
      <w:r>
        <w:rPr>
          <w:spacing w:val="38"/>
          <w:sz w:val="20"/>
        </w:rPr>
        <w:t> </w:t>
      </w:r>
      <w:r>
        <w:rPr>
          <w:sz w:val="20"/>
        </w:rPr>
        <w:t>los</w:t>
      </w:r>
      <w:r>
        <w:rPr>
          <w:spacing w:val="39"/>
          <w:sz w:val="20"/>
        </w:rPr>
        <w:t> </w:t>
      </w:r>
      <w:r>
        <w:rPr>
          <w:sz w:val="20"/>
        </w:rPr>
        <w:t>afectados,</w:t>
      </w:r>
      <w:r>
        <w:rPr>
          <w:spacing w:val="38"/>
          <w:sz w:val="20"/>
        </w:rPr>
        <w:t> </w:t>
      </w:r>
      <w:r>
        <w:rPr>
          <w:sz w:val="20"/>
        </w:rPr>
        <w:t>de</w:t>
      </w:r>
      <w:r>
        <w:rPr>
          <w:spacing w:val="38"/>
          <w:sz w:val="20"/>
        </w:rPr>
        <w:t> </w:t>
      </w:r>
      <w:r>
        <w:rPr>
          <w:sz w:val="20"/>
        </w:rPr>
        <w:t>conformidad</w:t>
      </w:r>
      <w:r>
        <w:rPr>
          <w:spacing w:val="38"/>
          <w:sz w:val="20"/>
        </w:rPr>
        <w:t> </w:t>
      </w:r>
      <w:r>
        <w:rPr>
          <w:sz w:val="20"/>
        </w:rPr>
        <w:t>con</w:t>
      </w:r>
      <w:r>
        <w:rPr>
          <w:spacing w:val="40"/>
          <w:sz w:val="20"/>
        </w:rPr>
        <w:t> </w:t>
      </w:r>
      <w:r>
        <w:rPr>
          <w:sz w:val="20"/>
        </w:rPr>
        <w:t>el</w:t>
      </w:r>
      <w:r>
        <w:rPr>
          <w:spacing w:val="40"/>
          <w:sz w:val="20"/>
        </w:rPr>
        <w:t> </w:t>
      </w:r>
      <w:r>
        <w:rPr>
          <w:sz w:val="20"/>
        </w:rPr>
        <w:t>procedimiento</w:t>
      </w:r>
      <w:r>
        <w:rPr>
          <w:spacing w:val="40"/>
          <w:sz w:val="20"/>
        </w:rPr>
        <w:t> </w:t>
      </w:r>
      <w:r>
        <w:rPr>
          <w:sz w:val="20"/>
        </w:rPr>
        <w:t>que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5"/>
        <w:jc w:val="both"/>
      </w:pPr>
      <w:r>
        <w:rPr/>
        <w:t>establezca el Reglamento municipal correspondiente, exceptuando los casos de riesgo inminente avalado por Protección Civil.</w:t>
      </w:r>
    </w:p>
    <w:p>
      <w:pPr>
        <w:pStyle w:val="BodyText"/>
        <w:spacing w:before="1"/>
      </w:pPr>
    </w:p>
    <w:p>
      <w:pPr>
        <w:pStyle w:val="BodyText"/>
        <w:ind w:left="262" w:right="285"/>
        <w:jc w:val="both"/>
      </w:pPr>
      <w:r>
        <w:rPr/>
        <w:t>Los</w:t>
      </w:r>
      <w:r>
        <w:rPr>
          <w:spacing w:val="-14"/>
        </w:rPr>
        <w:t> </w:t>
      </w:r>
      <w:r>
        <w:rPr/>
        <w:t>Reglamentos</w:t>
      </w:r>
      <w:r>
        <w:rPr>
          <w:spacing w:val="-14"/>
        </w:rPr>
        <w:t> </w:t>
      </w:r>
      <w:r>
        <w:rPr/>
        <w:t>correspondientes</w:t>
      </w:r>
      <w:r>
        <w:rPr>
          <w:spacing w:val="-14"/>
        </w:rPr>
        <w:t> </w:t>
      </w:r>
      <w:r>
        <w:rPr/>
        <w:t>determinarán</w:t>
      </w:r>
      <w:r>
        <w:rPr>
          <w:spacing w:val="-14"/>
        </w:rPr>
        <w:t> </w:t>
      </w:r>
      <w:r>
        <w:rPr/>
        <w:t>los</w:t>
      </w:r>
      <w:r>
        <w:rPr>
          <w:spacing w:val="-14"/>
        </w:rPr>
        <w:t> </w:t>
      </w:r>
      <w:r>
        <w:rPr/>
        <w:t>demás</w:t>
      </w:r>
      <w:r>
        <w:rPr>
          <w:spacing w:val="-14"/>
        </w:rPr>
        <w:t> </w:t>
      </w:r>
      <w:r>
        <w:rPr/>
        <w:t>casos,</w:t>
      </w:r>
      <w:r>
        <w:rPr>
          <w:spacing w:val="-14"/>
        </w:rPr>
        <w:t> </w:t>
      </w:r>
      <w:r>
        <w:rPr/>
        <w:t>requisitos</w:t>
      </w:r>
      <w:r>
        <w:rPr>
          <w:spacing w:val="-14"/>
        </w:rPr>
        <w:t> </w:t>
      </w:r>
      <w:r>
        <w:rPr/>
        <w:t>y</w:t>
      </w:r>
      <w:r>
        <w:rPr>
          <w:spacing w:val="-14"/>
        </w:rPr>
        <w:t> </w:t>
      </w:r>
      <w:r>
        <w:rPr/>
        <w:t>procedimientos</w:t>
      </w:r>
      <w:r>
        <w:rPr>
          <w:spacing w:val="-13"/>
        </w:rPr>
        <w:t> </w:t>
      </w:r>
      <w:r>
        <w:rPr/>
        <w:t>para aplicar las medidas de seguridad, por las autoridades competentes.</w:t>
      </w:r>
    </w:p>
    <w:p>
      <w:pPr>
        <w:pStyle w:val="BodyText"/>
        <w:spacing w:before="229"/>
        <w:ind w:left="262" w:right="278"/>
        <w:jc w:val="both"/>
      </w:pPr>
      <w:r>
        <w:rPr>
          <w:rFonts w:ascii="Arial" w:hAnsi="Arial"/>
          <w:b/>
        </w:rPr>
        <w:t>ARTÍCULO</w:t>
      </w:r>
      <w:r>
        <w:rPr>
          <w:rFonts w:ascii="Arial" w:hAnsi="Arial"/>
          <w:b/>
          <w:spacing w:val="-6"/>
        </w:rPr>
        <w:t> </w:t>
      </w:r>
      <w:r>
        <w:rPr>
          <w:rFonts w:ascii="Arial" w:hAnsi="Arial"/>
          <w:b/>
        </w:rPr>
        <w:t>157.</w:t>
      </w:r>
      <w:r>
        <w:rPr>
          <w:rFonts w:ascii="Arial" w:hAnsi="Arial"/>
          <w:b/>
          <w:spacing w:val="-5"/>
        </w:rPr>
        <w:t> </w:t>
      </w:r>
      <w:r>
        <w:rPr/>
        <w:t>El</w:t>
      </w:r>
      <w:r>
        <w:rPr>
          <w:spacing w:val="-6"/>
        </w:rPr>
        <w:t> </w:t>
      </w:r>
      <w:r>
        <w:rPr/>
        <w:t>Ayuntamiento,</w:t>
      </w:r>
      <w:r>
        <w:rPr>
          <w:spacing w:val="-7"/>
        </w:rPr>
        <w:t> </w:t>
      </w:r>
      <w:r>
        <w:rPr/>
        <w:t>verificará</w:t>
      </w:r>
      <w:r>
        <w:rPr>
          <w:spacing w:val="-7"/>
        </w:rPr>
        <w:t> </w:t>
      </w:r>
      <w:r>
        <w:rPr/>
        <w:t>el</w:t>
      </w:r>
      <w:r>
        <w:rPr>
          <w:spacing w:val="-8"/>
        </w:rPr>
        <w:t> </w:t>
      </w:r>
      <w:r>
        <w:rPr/>
        <w:t>cumplimiento</w:t>
      </w:r>
      <w:r>
        <w:rPr>
          <w:spacing w:val="-8"/>
        </w:rPr>
        <w:t> </w:t>
      </w:r>
      <w:r>
        <w:rPr/>
        <w:t>de</w:t>
      </w:r>
      <w:r>
        <w:rPr>
          <w:spacing w:val="-8"/>
        </w:rPr>
        <w:t> </w:t>
      </w:r>
      <w:r>
        <w:rPr/>
        <w:t>las</w:t>
      </w:r>
      <w:r>
        <w:rPr>
          <w:spacing w:val="-7"/>
        </w:rPr>
        <w:t> </w:t>
      </w:r>
      <w:r>
        <w:rPr/>
        <w:t>medidas</w:t>
      </w:r>
      <w:r>
        <w:rPr>
          <w:spacing w:val="-6"/>
        </w:rPr>
        <w:t> </w:t>
      </w:r>
      <w:r>
        <w:rPr/>
        <w:t>ordenadas</w:t>
      </w:r>
      <w:r>
        <w:rPr>
          <w:spacing w:val="-6"/>
        </w:rPr>
        <w:t> </w:t>
      </w:r>
      <w:r>
        <w:rPr/>
        <w:t>en</w:t>
      </w:r>
      <w:r>
        <w:rPr>
          <w:spacing w:val="-8"/>
        </w:rPr>
        <w:t> </w:t>
      </w:r>
      <w:r>
        <w:rPr/>
        <w:t>términos del requerimiento o resolución respectiva y en caso de subsistir las infracciones podrá imponer las sanciones</w:t>
      </w:r>
      <w:r>
        <w:rPr>
          <w:spacing w:val="-7"/>
        </w:rPr>
        <w:t> </w:t>
      </w:r>
      <w:r>
        <w:rPr/>
        <w:t>que</w:t>
      </w:r>
      <w:r>
        <w:rPr>
          <w:spacing w:val="-5"/>
        </w:rPr>
        <w:t> </w:t>
      </w:r>
      <w:r>
        <w:rPr/>
        <w:t>procedan</w:t>
      </w:r>
      <w:r>
        <w:rPr>
          <w:spacing w:val="-8"/>
        </w:rPr>
        <w:t> </w:t>
      </w:r>
      <w:r>
        <w:rPr/>
        <w:t>conforme</w:t>
      </w:r>
      <w:r>
        <w:rPr>
          <w:spacing w:val="-6"/>
        </w:rPr>
        <w:t> </w:t>
      </w:r>
      <w:r>
        <w:rPr/>
        <w:t>la</w:t>
      </w:r>
      <w:r>
        <w:rPr>
          <w:spacing w:val="-5"/>
        </w:rPr>
        <w:t> </w:t>
      </w:r>
      <w:r>
        <w:rPr/>
        <w:t>ley,</w:t>
      </w:r>
      <w:r>
        <w:rPr>
          <w:spacing w:val="-5"/>
        </w:rPr>
        <w:t> </w:t>
      </w:r>
      <w:r>
        <w:rPr/>
        <w:t>independientemente</w:t>
      </w:r>
      <w:r>
        <w:rPr>
          <w:spacing w:val="-6"/>
        </w:rPr>
        <w:t> </w:t>
      </w:r>
      <w:r>
        <w:rPr/>
        <w:t>de</w:t>
      </w:r>
      <w:r>
        <w:rPr>
          <w:spacing w:val="-6"/>
        </w:rPr>
        <w:t> </w:t>
      </w:r>
      <w:r>
        <w:rPr/>
        <w:t>denunciar</w:t>
      </w:r>
      <w:r>
        <w:rPr>
          <w:spacing w:val="-5"/>
        </w:rPr>
        <w:t> </w:t>
      </w:r>
      <w:r>
        <w:rPr/>
        <w:t>la desobediencia</w:t>
      </w:r>
      <w:r>
        <w:rPr>
          <w:spacing w:val="-5"/>
        </w:rPr>
        <w:t> </w:t>
      </w:r>
      <w:r>
        <w:rPr/>
        <w:t>de</w:t>
      </w:r>
      <w:r>
        <w:rPr>
          <w:spacing w:val="-5"/>
        </w:rPr>
        <w:t> </w:t>
      </w:r>
      <w:r>
        <w:rPr/>
        <w:t>un mandato legítimo de autoridad ante las instancias competentes.</w:t>
      </w:r>
    </w:p>
    <w:p>
      <w:pPr>
        <w:pStyle w:val="BodyText"/>
      </w:pPr>
    </w:p>
    <w:p>
      <w:pPr>
        <w:pStyle w:val="BodyText"/>
        <w:ind w:left="262" w:right="285"/>
        <w:jc w:val="both"/>
      </w:pPr>
      <w:r>
        <w:rPr>
          <w:rFonts w:ascii="Arial" w:hAnsi="Arial"/>
          <w:b/>
        </w:rPr>
        <w:t>ARTÍCULO</w:t>
      </w:r>
      <w:r>
        <w:rPr>
          <w:rFonts w:ascii="Arial" w:hAnsi="Arial"/>
          <w:b/>
          <w:spacing w:val="-3"/>
        </w:rPr>
        <w:t> </w:t>
      </w:r>
      <w:r>
        <w:rPr>
          <w:rFonts w:ascii="Arial" w:hAnsi="Arial"/>
          <w:b/>
        </w:rPr>
        <w:t>158.</w:t>
      </w:r>
      <w:r>
        <w:rPr>
          <w:rFonts w:ascii="Arial" w:hAnsi="Arial"/>
          <w:b/>
          <w:spacing w:val="-1"/>
        </w:rPr>
        <w:t> </w:t>
      </w:r>
      <w:r>
        <w:rPr/>
        <w:t>Son</w:t>
      </w:r>
      <w:r>
        <w:rPr>
          <w:spacing w:val="-2"/>
        </w:rPr>
        <w:t> </w:t>
      </w:r>
      <w:r>
        <w:rPr/>
        <w:t>causas</w:t>
      </w:r>
      <w:r>
        <w:rPr>
          <w:spacing w:val="-3"/>
        </w:rPr>
        <w:t> </w:t>
      </w:r>
      <w:r>
        <w:rPr/>
        <w:t>para</w:t>
      </w:r>
      <w:r>
        <w:rPr>
          <w:spacing w:val="-2"/>
        </w:rPr>
        <w:t> </w:t>
      </w:r>
      <w:r>
        <w:rPr/>
        <w:t>adoptar</w:t>
      </w:r>
      <w:r>
        <w:rPr>
          <w:spacing w:val="-4"/>
        </w:rPr>
        <w:t> </w:t>
      </w:r>
      <w:r>
        <w:rPr/>
        <w:t>cualquiera</w:t>
      </w:r>
      <w:r>
        <w:rPr>
          <w:spacing w:val="-2"/>
        </w:rPr>
        <w:t> </w:t>
      </w:r>
      <w:r>
        <w:rPr/>
        <w:t>de</w:t>
      </w:r>
      <w:r>
        <w:rPr>
          <w:spacing w:val="-3"/>
        </w:rPr>
        <w:t> </w:t>
      </w:r>
      <w:r>
        <w:rPr/>
        <w:t>las</w:t>
      </w:r>
      <w:r>
        <w:rPr>
          <w:spacing w:val="-1"/>
        </w:rPr>
        <w:t> </w:t>
      </w:r>
      <w:r>
        <w:rPr/>
        <w:t>medidas</w:t>
      </w:r>
      <w:r>
        <w:rPr>
          <w:spacing w:val="-3"/>
        </w:rPr>
        <w:t> </w:t>
      </w:r>
      <w:r>
        <w:rPr/>
        <w:t>de</w:t>
      </w:r>
      <w:r>
        <w:rPr>
          <w:spacing w:val="-4"/>
        </w:rPr>
        <w:t> </w:t>
      </w:r>
      <w:r>
        <w:rPr/>
        <w:t>seguridad</w:t>
      </w:r>
      <w:r>
        <w:rPr>
          <w:spacing w:val="-4"/>
        </w:rPr>
        <w:t> </w:t>
      </w:r>
      <w:r>
        <w:rPr/>
        <w:t>a</w:t>
      </w:r>
      <w:r>
        <w:rPr>
          <w:spacing w:val="-2"/>
        </w:rPr>
        <w:t> </w:t>
      </w:r>
      <w:r>
        <w:rPr/>
        <w:t>que</w:t>
      </w:r>
      <w:r>
        <w:rPr>
          <w:spacing w:val="-4"/>
        </w:rPr>
        <w:t> </w:t>
      </w:r>
      <w:r>
        <w:rPr/>
        <w:t>se</w:t>
      </w:r>
      <w:r>
        <w:rPr>
          <w:spacing w:val="-2"/>
        </w:rPr>
        <w:t> </w:t>
      </w:r>
      <w:r>
        <w:rPr/>
        <w:t>refiere el artículo inmediato anterior, las siguientes:</w:t>
      </w:r>
    </w:p>
    <w:p>
      <w:pPr>
        <w:pStyle w:val="BodyText"/>
        <w:spacing w:before="1"/>
      </w:pPr>
    </w:p>
    <w:p>
      <w:pPr>
        <w:pStyle w:val="ListParagraph"/>
        <w:numPr>
          <w:ilvl w:val="0"/>
          <w:numId w:val="64"/>
        </w:numPr>
        <w:tabs>
          <w:tab w:pos="543" w:val="left" w:leader="none"/>
        </w:tabs>
        <w:spacing w:line="240" w:lineRule="auto" w:before="1" w:after="0"/>
        <w:ind w:left="543" w:right="0" w:hanging="281"/>
        <w:jc w:val="left"/>
        <w:rPr>
          <w:sz w:val="20"/>
        </w:rPr>
      </w:pPr>
      <w:r>
        <w:rPr>
          <w:sz w:val="20"/>
        </w:rPr>
        <w:t>La</w:t>
      </w:r>
      <w:r>
        <w:rPr>
          <w:spacing w:val="-9"/>
          <w:sz w:val="20"/>
        </w:rPr>
        <w:t> </w:t>
      </w:r>
      <w:r>
        <w:rPr>
          <w:sz w:val="20"/>
        </w:rPr>
        <w:t>inestabilidad</w:t>
      </w:r>
      <w:r>
        <w:rPr>
          <w:spacing w:val="-6"/>
          <w:sz w:val="20"/>
        </w:rPr>
        <w:t> </w:t>
      </w:r>
      <w:r>
        <w:rPr>
          <w:sz w:val="20"/>
        </w:rPr>
        <w:t>del</w:t>
      </w:r>
      <w:r>
        <w:rPr>
          <w:spacing w:val="-9"/>
          <w:sz w:val="20"/>
        </w:rPr>
        <w:t> </w:t>
      </w:r>
      <w:r>
        <w:rPr>
          <w:sz w:val="20"/>
        </w:rPr>
        <w:t>suelo</w:t>
      </w:r>
      <w:r>
        <w:rPr>
          <w:spacing w:val="-7"/>
          <w:sz w:val="20"/>
        </w:rPr>
        <w:t> </w:t>
      </w:r>
      <w:r>
        <w:rPr>
          <w:sz w:val="20"/>
        </w:rPr>
        <w:t>o</w:t>
      </w:r>
      <w:r>
        <w:rPr>
          <w:spacing w:val="-6"/>
          <w:sz w:val="20"/>
        </w:rPr>
        <w:t> </w:t>
      </w:r>
      <w:r>
        <w:rPr>
          <w:sz w:val="20"/>
        </w:rPr>
        <w:t>inseguridad</w:t>
      </w:r>
      <w:r>
        <w:rPr>
          <w:spacing w:val="-6"/>
          <w:sz w:val="20"/>
        </w:rPr>
        <w:t> </w:t>
      </w:r>
      <w:r>
        <w:rPr>
          <w:sz w:val="20"/>
        </w:rPr>
        <w:t>de</w:t>
      </w:r>
      <w:r>
        <w:rPr>
          <w:spacing w:val="-7"/>
          <w:sz w:val="20"/>
        </w:rPr>
        <w:t> </w:t>
      </w:r>
      <w:r>
        <w:rPr>
          <w:sz w:val="20"/>
        </w:rPr>
        <w:t>la</w:t>
      </w:r>
      <w:r>
        <w:rPr>
          <w:spacing w:val="-7"/>
          <w:sz w:val="20"/>
        </w:rPr>
        <w:t> </w:t>
      </w:r>
      <w:r>
        <w:rPr>
          <w:sz w:val="20"/>
        </w:rPr>
        <w:t>construcción</w:t>
      </w:r>
      <w:r>
        <w:rPr>
          <w:spacing w:val="-9"/>
          <w:sz w:val="20"/>
        </w:rPr>
        <w:t> </w:t>
      </w:r>
      <w:r>
        <w:rPr>
          <w:sz w:val="20"/>
        </w:rPr>
        <w:t>existente</w:t>
      </w:r>
      <w:r>
        <w:rPr>
          <w:spacing w:val="-7"/>
          <w:sz w:val="20"/>
        </w:rPr>
        <w:t> </w:t>
      </w:r>
      <w:r>
        <w:rPr>
          <w:sz w:val="20"/>
        </w:rPr>
        <w:t>o</w:t>
      </w:r>
      <w:r>
        <w:rPr>
          <w:spacing w:val="-7"/>
          <w:sz w:val="20"/>
        </w:rPr>
        <w:t> </w:t>
      </w:r>
      <w:r>
        <w:rPr>
          <w:sz w:val="20"/>
        </w:rPr>
        <w:t>en</w:t>
      </w:r>
      <w:r>
        <w:rPr>
          <w:spacing w:val="-8"/>
          <w:sz w:val="20"/>
        </w:rPr>
        <w:t> </w:t>
      </w:r>
      <w:r>
        <w:rPr>
          <w:spacing w:val="-2"/>
          <w:sz w:val="20"/>
        </w:rPr>
        <w:t>ejecución;</w:t>
      </w:r>
    </w:p>
    <w:p>
      <w:pPr>
        <w:pStyle w:val="BodyText"/>
      </w:pPr>
    </w:p>
    <w:p>
      <w:pPr>
        <w:pStyle w:val="ListParagraph"/>
        <w:numPr>
          <w:ilvl w:val="0"/>
          <w:numId w:val="64"/>
        </w:numPr>
        <w:tabs>
          <w:tab w:pos="543" w:val="left" w:leader="none"/>
        </w:tabs>
        <w:spacing w:line="240" w:lineRule="auto" w:before="0" w:after="0"/>
        <w:ind w:left="543" w:right="0" w:hanging="281"/>
        <w:jc w:val="left"/>
        <w:rPr>
          <w:sz w:val="20"/>
        </w:rPr>
      </w:pPr>
      <w:r>
        <w:rPr>
          <w:sz w:val="20"/>
        </w:rPr>
        <w:t>La</w:t>
      </w:r>
      <w:r>
        <w:rPr>
          <w:spacing w:val="-7"/>
          <w:sz w:val="20"/>
        </w:rPr>
        <w:t> </w:t>
      </w:r>
      <w:r>
        <w:rPr>
          <w:sz w:val="20"/>
        </w:rPr>
        <w:t>prevención</w:t>
      </w:r>
      <w:r>
        <w:rPr>
          <w:spacing w:val="-6"/>
          <w:sz w:val="20"/>
        </w:rPr>
        <w:t> </w:t>
      </w:r>
      <w:r>
        <w:rPr>
          <w:sz w:val="20"/>
        </w:rPr>
        <w:t>de</w:t>
      </w:r>
      <w:r>
        <w:rPr>
          <w:spacing w:val="-3"/>
          <w:sz w:val="20"/>
        </w:rPr>
        <w:t> </w:t>
      </w:r>
      <w:r>
        <w:rPr>
          <w:sz w:val="20"/>
        </w:rPr>
        <w:t>riesgos</w:t>
      </w:r>
      <w:r>
        <w:rPr>
          <w:spacing w:val="-5"/>
          <w:sz w:val="20"/>
        </w:rPr>
        <w:t> </w:t>
      </w:r>
      <w:r>
        <w:rPr>
          <w:sz w:val="20"/>
        </w:rPr>
        <w:t>en</w:t>
      </w:r>
      <w:r>
        <w:rPr>
          <w:spacing w:val="-6"/>
          <w:sz w:val="20"/>
        </w:rPr>
        <w:t> </w:t>
      </w:r>
      <w:r>
        <w:rPr>
          <w:sz w:val="20"/>
        </w:rPr>
        <w:t>los</w:t>
      </w:r>
      <w:r>
        <w:rPr>
          <w:spacing w:val="-4"/>
          <w:sz w:val="20"/>
        </w:rPr>
        <w:t> </w:t>
      </w:r>
      <w:r>
        <w:rPr>
          <w:sz w:val="20"/>
        </w:rPr>
        <w:t>centros</w:t>
      </w:r>
      <w:r>
        <w:rPr>
          <w:spacing w:val="-5"/>
          <w:sz w:val="20"/>
        </w:rPr>
        <w:t> </w:t>
      </w:r>
      <w:r>
        <w:rPr>
          <w:sz w:val="20"/>
        </w:rPr>
        <w:t>de</w:t>
      </w:r>
      <w:r>
        <w:rPr>
          <w:spacing w:val="-5"/>
          <w:sz w:val="20"/>
        </w:rPr>
        <w:t> </w:t>
      </w:r>
      <w:r>
        <w:rPr>
          <w:spacing w:val="-2"/>
          <w:sz w:val="20"/>
        </w:rPr>
        <w:t>población;</w:t>
      </w:r>
    </w:p>
    <w:p>
      <w:pPr>
        <w:pStyle w:val="ListParagraph"/>
        <w:numPr>
          <w:ilvl w:val="0"/>
          <w:numId w:val="64"/>
        </w:numPr>
        <w:tabs>
          <w:tab w:pos="541" w:val="left" w:leader="none"/>
        </w:tabs>
        <w:spacing w:line="240" w:lineRule="auto" w:before="229" w:after="0"/>
        <w:ind w:left="262" w:right="288" w:firstLine="0"/>
        <w:jc w:val="left"/>
        <w:rPr>
          <w:sz w:val="20"/>
        </w:rPr>
      </w:pPr>
      <w:r>
        <w:rPr>
          <w:sz w:val="20"/>
        </w:rPr>
        <w:t>La carencia o estado deficiente de instalaciones y dispositivos de seguridad, contra los riesgos de incendio, contaminación, sismos u otros;</w:t>
      </w:r>
    </w:p>
    <w:p>
      <w:pPr>
        <w:pStyle w:val="BodyText"/>
        <w:spacing w:before="1"/>
      </w:pPr>
    </w:p>
    <w:p>
      <w:pPr>
        <w:pStyle w:val="ListParagraph"/>
        <w:numPr>
          <w:ilvl w:val="0"/>
          <w:numId w:val="64"/>
        </w:numPr>
        <w:tabs>
          <w:tab w:pos="545" w:val="left" w:leader="none"/>
        </w:tabs>
        <w:spacing w:line="240" w:lineRule="auto" w:before="0" w:after="0"/>
        <w:ind w:left="262" w:right="289" w:firstLine="0"/>
        <w:jc w:val="left"/>
        <w:rPr>
          <w:sz w:val="20"/>
        </w:rPr>
      </w:pPr>
      <w:r>
        <w:rPr>
          <w:sz w:val="20"/>
        </w:rPr>
        <w:t>Las</w:t>
      </w:r>
      <w:r>
        <w:rPr>
          <w:spacing w:val="80"/>
          <w:sz w:val="20"/>
        </w:rPr>
        <w:t> </w:t>
      </w:r>
      <w:r>
        <w:rPr>
          <w:sz w:val="20"/>
        </w:rPr>
        <w:t>deficiencias</w:t>
      </w:r>
      <w:r>
        <w:rPr>
          <w:spacing w:val="80"/>
          <w:sz w:val="20"/>
        </w:rPr>
        <w:t> </w:t>
      </w:r>
      <w:r>
        <w:rPr>
          <w:sz w:val="20"/>
        </w:rPr>
        <w:t>peligrosas</w:t>
      </w:r>
      <w:r>
        <w:rPr>
          <w:spacing w:val="80"/>
          <w:sz w:val="20"/>
        </w:rPr>
        <w:t> </w:t>
      </w:r>
      <w:r>
        <w:rPr>
          <w:sz w:val="20"/>
        </w:rPr>
        <w:t>en</w:t>
      </w:r>
      <w:r>
        <w:rPr>
          <w:spacing w:val="80"/>
          <w:sz w:val="20"/>
        </w:rPr>
        <w:t> </w:t>
      </w:r>
      <w:r>
        <w:rPr>
          <w:sz w:val="20"/>
        </w:rPr>
        <w:t>el</w:t>
      </w:r>
      <w:r>
        <w:rPr>
          <w:spacing w:val="80"/>
          <w:sz w:val="20"/>
        </w:rPr>
        <w:t> </w:t>
      </w:r>
      <w:r>
        <w:rPr>
          <w:sz w:val="20"/>
        </w:rPr>
        <w:t>mantenimiento</w:t>
      </w:r>
      <w:r>
        <w:rPr>
          <w:spacing w:val="80"/>
          <w:sz w:val="20"/>
        </w:rPr>
        <w:t> </w:t>
      </w:r>
      <w:r>
        <w:rPr>
          <w:sz w:val="20"/>
        </w:rPr>
        <w:t>de</w:t>
      </w:r>
      <w:r>
        <w:rPr>
          <w:spacing w:val="80"/>
          <w:sz w:val="20"/>
        </w:rPr>
        <w:t> </w:t>
      </w:r>
      <w:r>
        <w:rPr>
          <w:sz w:val="20"/>
        </w:rPr>
        <w:t>las</w:t>
      </w:r>
      <w:r>
        <w:rPr>
          <w:spacing w:val="80"/>
          <w:sz w:val="20"/>
        </w:rPr>
        <w:t> </w:t>
      </w:r>
      <w:r>
        <w:rPr>
          <w:sz w:val="20"/>
        </w:rPr>
        <w:t>estructuras</w:t>
      </w:r>
      <w:r>
        <w:rPr>
          <w:spacing w:val="80"/>
          <w:sz w:val="20"/>
        </w:rPr>
        <w:t> </w:t>
      </w:r>
      <w:r>
        <w:rPr>
          <w:sz w:val="20"/>
        </w:rPr>
        <w:t>de</w:t>
      </w:r>
      <w:r>
        <w:rPr>
          <w:spacing w:val="80"/>
          <w:sz w:val="20"/>
        </w:rPr>
        <w:t> </w:t>
      </w:r>
      <w:r>
        <w:rPr>
          <w:sz w:val="20"/>
        </w:rPr>
        <w:t>los</w:t>
      </w:r>
      <w:r>
        <w:rPr>
          <w:spacing w:val="80"/>
          <w:sz w:val="20"/>
        </w:rPr>
        <w:t> </w:t>
      </w:r>
      <w:r>
        <w:rPr>
          <w:sz w:val="20"/>
        </w:rPr>
        <w:t>edificios</w:t>
      </w:r>
      <w:r>
        <w:rPr>
          <w:spacing w:val="80"/>
          <w:sz w:val="20"/>
        </w:rPr>
        <w:t> </w:t>
      </w:r>
      <w:r>
        <w:rPr>
          <w:sz w:val="20"/>
        </w:rPr>
        <w:t>y construcciones en general;</w:t>
      </w:r>
    </w:p>
    <w:p>
      <w:pPr>
        <w:pStyle w:val="ListParagraph"/>
        <w:numPr>
          <w:ilvl w:val="0"/>
          <w:numId w:val="64"/>
        </w:numPr>
        <w:tabs>
          <w:tab w:pos="688" w:val="left" w:leader="none"/>
        </w:tabs>
        <w:spacing w:line="240" w:lineRule="auto" w:before="229" w:after="0"/>
        <w:ind w:left="262" w:right="285" w:firstLine="0"/>
        <w:jc w:val="both"/>
        <w:rPr>
          <w:sz w:val="20"/>
        </w:rPr>
      </w:pPr>
      <w:r>
        <w:rPr>
          <w:sz w:val="20"/>
        </w:rPr>
        <w:t>La peligrosa localización, instalación o funcionamiento de los almacenes de explosivos, depósitos de combustibles, productos inflamables, bancos de materiales y otros de naturaleza semejante, y</w:t>
      </w:r>
    </w:p>
    <w:p>
      <w:pPr>
        <w:pStyle w:val="ListParagraph"/>
        <w:numPr>
          <w:ilvl w:val="0"/>
          <w:numId w:val="64"/>
        </w:numPr>
        <w:tabs>
          <w:tab w:pos="688" w:val="left" w:leader="none"/>
        </w:tabs>
        <w:spacing w:line="240" w:lineRule="auto" w:before="230" w:after="0"/>
        <w:ind w:left="262" w:right="284" w:firstLine="0"/>
        <w:jc w:val="both"/>
        <w:rPr>
          <w:sz w:val="20"/>
        </w:rPr>
      </w:pPr>
      <w:r>
        <w:rPr>
          <w:sz w:val="20"/>
        </w:rPr>
        <w:t>Cualquier otra que contravenga lo dispuesto en esta Ley, en los programas de ordenamiento territorial y desarrollo urbano y demás normatividad aplicable, que pudiere afectar la integridad o seguridad física de personas o bienes.</w:t>
      </w:r>
    </w:p>
    <w:p>
      <w:pPr>
        <w:pStyle w:val="BodyText"/>
        <w:spacing w:before="1"/>
      </w:pPr>
    </w:p>
    <w:p>
      <w:pPr>
        <w:pStyle w:val="BodyText"/>
        <w:ind w:left="262" w:right="276"/>
        <w:jc w:val="both"/>
      </w:pPr>
      <w:r>
        <w:rPr>
          <w:rFonts w:ascii="Arial" w:hAnsi="Arial"/>
          <w:b/>
        </w:rPr>
        <w:t>ARTÍCULO 159.</w:t>
      </w:r>
      <w:r>
        <w:rPr>
          <w:rFonts w:ascii="Arial" w:hAnsi="Arial"/>
          <w:b/>
          <w:spacing w:val="40"/>
        </w:rPr>
        <w:t> </w:t>
      </w:r>
      <w:r>
        <w:rPr/>
        <w:t>Las autoridades competentes harán uso de los medios legales necesarios, incluyendo el auxilio de la fuerza pública y el arresto hasta por treinta y seis horas, para lograr la ejecución de las medidas de seguridad o aplicación de las sanciones que procedan, previos los trámites que establece el Código Procesal Administrativo para Estado de San Luis Potosí.</w:t>
      </w:r>
    </w:p>
    <w:p>
      <w:pPr>
        <w:pStyle w:val="BodyText"/>
      </w:pPr>
    </w:p>
    <w:p>
      <w:pPr>
        <w:pStyle w:val="BodyText"/>
      </w:pPr>
    </w:p>
    <w:p>
      <w:pPr>
        <w:pStyle w:val="Heading1"/>
        <w:spacing w:line="480" w:lineRule="auto"/>
        <w:ind w:left="3549" w:right="3563"/>
      </w:pPr>
      <w:r>
        <w:rPr/>
        <w:t>TÍTULO</w:t>
      </w:r>
      <w:r>
        <w:rPr>
          <w:spacing w:val="-14"/>
        </w:rPr>
        <w:t> </w:t>
      </w:r>
      <w:r>
        <w:rPr/>
        <w:t>DÉCIMO </w:t>
      </w:r>
      <w:r>
        <w:rPr>
          <w:spacing w:val="-2"/>
        </w:rPr>
        <w:t>MOVILIDAD</w:t>
      </w:r>
    </w:p>
    <w:p>
      <w:pPr>
        <w:pStyle w:val="BodyText"/>
        <w:spacing w:before="1"/>
        <w:rPr>
          <w:rFonts w:ascii="Arial"/>
          <w:b/>
        </w:rPr>
      </w:pPr>
    </w:p>
    <w:p>
      <w:pPr>
        <w:pStyle w:val="Heading2"/>
        <w:spacing w:line="477" w:lineRule="auto"/>
        <w:ind w:left="4210" w:right="4228" w:hanging="1"/>
      </w:pPr>
      <w:r>
        <w:rPr/>
        <w:t>Capítulo</w:t>
      </w:r>
      <w:r>
        <w:rPr>
          <w:spacing w:val="-14"/>
        </w:rPr>
        <w:t> </w:t>
      </w:r>
      <w:r>
        <w:rPr/>
        <w:t>I </w:t>
      </w:r>
      <w:r>
        <w:rPr>
          <w:spacing w:val="-2"/>
        </w:rPr>
        <w:t>Movilidad</w:t>
      </w:r>
    </w:p>
    <w:p>
      <w:pPr>
        <w:pStyle w:val="BodyText"/>
        <w:spacing w:before="4"/>
        <w:ind w:left="262" w:right="284"/>
        <w:jc w:val="both"/>
      </w:pPr>
      <w:r>
        <w:rPr>
          <w:rFonts w:ascii="Arial" w:hAnsi="Arial"/>
          <w:b/>
        </w:rPr>
        <w:t>ARTÍCULO</w:t>
      </w:r>
      <w:r>
        <w:rPr>
          <w:rFonts w:ascii="Arial" w:hAnsi="Arial"/>
          <w:b/>
          <w:spacing w:val="-9"/>
        </w:rPr>
        <w:t> </w:t>
      </w:r>
      <w:r>
        <w:rPr>
          <w:rFonts w:ascii="Arial" w:hAnsi="Arial"/>
          <w:b/>
        </w:rPr>
        <w:t>160.</w:t>
      </w:r>
      <w:r>
        <w:rPr>
          <w:rFonts w:ascii="Arial" w:hAnsi="Arial"/>
          <w:b/>
          <w:spacing w:val="-9"/>
        </w:rPr>
        <w:t> </w:t>
      </w:r>
      <w:r>
        <w:rPr/>
        <w:t>Para</w:t>
      </w:r>
      <w:r>
        <w:rPr>
          <w:spacing w:val="-7"/>
        </w:rPr>
        <w:t> </w:t>
      </w:r>
      <w:r>
        <w:rPr/>
        <w:t>la</w:t>
      </w:r>
      <w:r>
        <w:rPr>
          <w:spacing w:val="-10"/>
        </w:rPr>
        <w:t> </w:t>
      </w:r>
      <w:r>
        <w:rPr/>
        <w:t>accesibilidad</w:t>
      </w:r>
      <w:r>
        <w:rPr>
          <w:spacing w:val="-10"/>
        </w:rPr>
        <w:t> </w:t>
      </w:r>
      <w:r>
        <w:rPr/>
        <w:t>universal,</w:t>
      </w:r>
      <w:r>
        <w:rPr>
          <w:spacing w:val="-10"/>
        </w:rPr>
        <w:t> </w:t>
      </w:r>
      <w:r>
        <w:rPr/>
        <w:t>las</w:t>
      </w:r>
      <w:r>
        <w:rPr>
          <w:spacing w:val="-9"/>
        </w:rPr>
        <w:t> </w:t>
      </w:r>
      <w:r>
        <w:rPr/>
        <w:t>políticas</w:t>
      </w:r>
      <w:r>
        <w:rPr>
          <w:spacing w:val="-9"/>
        </w:rPr>
        <w:t> </w:t>
      </w:r>
      <w:r>
        <w:rPr/>
        <w:t>de</w:t>
      </w:r>
      <w:r>
        <w:rPr>
          <w:spacing w:val="-10"/>
        </w:rPr>
        <w:t> </w:t>
      </w:r>
      <w:r>
        <w:rPr/>
        <w:t>movilidad</w:t>
      </w:r>
      <w:r>
        <w:rPr>
          <w:spacing w:val="-10"/>
        </w:rPr>
        <w:t> </w:t>
      </w:r>
      <w:r>
        <w:rPr/>
        <w:t>deberán</w:t>
      </w:r>
      <w:r>
        <w:rPr>
          <w:spacing w:val="-10"/>
        </w:rPr>
        <w:t> </w:t>
      </w:r>
      <w:r>
        <w:rPr/>
        <w:t>asegurar</w:t>
      </w:r>
      <w:r>
        <w:rPr>
          <w:spacing w:val="-9"/>
        </w:rPr>
        <w:t> </w:t>
      </w:r>
      <w:r>
        <w:rPr/>
        <w:t>que</w:t>
      </w:r>
      <w:r>
        <w:rPr>
          <w:spacing w:val="-10"/>
        </w:rPr>
        <w:t> </w:t>
      </w:r>
      <w:r>
        <w:rPr/>
        <w:t>las personas</w:t>
      </w:r>
      <w:r>
        <w:rPr>
          <w:spacing w:val="-3"/>
        </w:rPr>
        <w:t> </w:t>
      </w:r>
      <w:r>
        <w:rPr/>
        <w:t>puedan</w:t>
      </w:r>
      <w:r>
        <w:rPr>
          <w:spacing w:val="-5"/>
        </w:rPr>
        <w:t> </w:t>
      </w:r>
      <w:r>
        <w:rPr/>
        <w:t>elegir</w:t>
      </w:r>
      <w:r>
        <w:rPr>
          <w:spacing w:val="-3"/>
        </w:rPr>
        <w:t> </w:t>
      </w:r>
      <w:r>
        <w:rPr/>
        <w:t>libremente</w:t>
      </w:r>
      <w:r>
        <w:rPr>
          <w:spacing w:val="-5"/>
        </w:rPr>
        <w:t> </w:t>
      </w:r>
      <w:r>
        <w:rPr/>
        <w:t>la</w:t>
      </w:r>
      <w:r>
        <w:rPr>
          <w:spacing w:val="-4"/>
        </w:rPr>
        <w:t> </w:t>
      </w:r>
      <w:r>
        <w:rPr/>
        <w:t>forma</w:t>
      </w:r>
      <w:r>
        <w:rPr>
          <w:spacing w:val="-4"/>
        </w:rPr>
        <w:t> </w:t>
      </w:r>
      <w:r>
        <w:rPr/>
        <w:t>de</w:t>
      </w:r>
      <w:r>
        <w:rPr>
          <w:spacing w:val="-2"/>
        </w:rPr>
        <w:t> </w:t>
      </w:r>
      <w:r>
        <w:rPr/>
        <w:t>trasladarse</w:t>
      </w:r>
      <w:r>
        <w:rPr>
          <w:spacing w:val="-4"/>
        </w:rPr>
        <w:t> </w:t>
      </w:r>
      <w:r>
        <w:rPr/>
        <w:t>a</w:t>
      </w:r>
      <w:r>
        <w:rPr>
          <w:spacing w:val="-5"/>
        </w:rPr>
        <w:t> </w:t>
      </w:r>
      <w:r>
        <w:rPr/>
        <w:t>fin</w:t>
      </w:r>
      <w:r>
        <w:rPr>
          <w:spacing w:val="-2"/>
        </w:rPr>
        <w:t> </w:t>
      </w:r>
      <w:r>
        <w:rPr/>
        <w:t>de</w:t>
      </w:r>
      <w:r>
        <w:rPr>
          <w:spacing w:val="-5"/>
        </w:rPr>
        <w:t> </w:t>
      </w:r>
      <w:r>
        <w:rPr/>
        <w:t>acceder</w:t>
      </w:r>
      <w:r>
        <w:rPr>
          <w:spacing w:val="-4"/>
        </w:rPr>
        <w:t> </w:t>
      </w:r>
      <w:r>
        <w:rPr/>
        <w:t>a</w:t>
      </w:r>
      <w:r>
        <w:rPr>
          <w:spacing w:val="-4"/>
        </w:rPr>
        <w:t> </w:t>
      </w:r>
      <w:r>
        <w:rPr/>
        <w:t>los</w:t>
      </w:r>
      <w:r>
        <w:rPr>
          <w:spacing w:val="-3"/>
        </w:rPr>
        <w:t> </w:t>
      </w:r>
      <w:r>
        <w:rPr/>
        <w:t>bienes,</w:t>
      </w:r>
      <w:r>
        <w:rPr>
          <w:spacing w:val="-4"/>
        </w:rPr>
        <w:t> </w:t>
      </w:r>
      <w:r>
        <w:rPr/>
        <w:t>servicios</w:t>
      </w:r>
      <w:r>
        <w:rPr>
          <w:spacing w:val="-3"/>
        </w:rPr>
        <w:t> </w:t>
      </w:r>
      <w:r>
        <w:rPr/>
        <w:t>y oportunidades que ofrecen sus Centros de Población.</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spacing w:before="0"/>
        <w:ind w:left="26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4"/>
          <w:sz w:val="20"/>
        </w:rPr>
        <w:t>2024)</w:t>
      </w:r>
    </w:p>
    <w:p>
      <w:pPr>
        <w:pStyle w:val="BodyText"/>
        <w:spacing w:before="1"/>
        <w:ind w:left="262" w:right="283"/>
        <w:jc w:val="both"/>
      </w:pPr>
      <w:r>
        <w:rPr/>
        <w:t>Las</w:t>
      </w:r>
      <w:r>
        <w:rPr>
          <w:spacing w:val="-8"/>
        </w:rPr>
        <w:t> </w:t>
      </w:r>
      <w:r>
        <w:rPr/>
        <w:t>políticas</w:t>
      </w:r>
      <w:r>
        <w:rPr>
          <w:spacing w:val="-8"/>
        </w:rPr>
        <w:t> </w:t>
      </w:r>
      <w:r>
        <w:rPr/>
        <w:t>y</w:t>
      </w:r>
      <w:r>
        <w:rPr>
          <w:spacing w:val="-8"/>
        </w:rPr>
        <w:t> </w:t>
      </w:r>
      <w:r>
        <w:rPr/>
        <w:t>programas</w:t>
      </w:r>
      <w:r>
        <w:rPr>
          <w:spacing w:val="-8"/>
        </w:rPr>
        <w:t> </w:t>
      </w:r>
      <w:r>
        <w:rPr/>
        <w:t>para</w:t>
      </w:r>
      <w:r>
        <w:rPr>
          <w:spacing w:val="-8"/>
        </w:rPr>
        <w:t> </w:t>
      </w:r>
      <w:r>
        <w:rPr/>
        <w:t>la</w:t>
      </w:r>
      <w:r>
        <w:rPr>
          <w:spacing w:val="-7"/>
        </w:rPr>
        <w:t> </w:t>
      </w:r>
      <w:r>
        <w:rPr/>
        <w:t>movilidad</w:t>
      </w:r>
      <w:r>
        <w:rPr>
          <w:spacing w:val="-9"/>
        </w:rPr>
        <w:t> </w:t>
      </w:r>
      <w:r>
        <w:rPr/>
        <w:t>y</w:t>
      </w:r>
      <w:r>
        <w:rPr>
          <w:spacing w:val="-8"/>
        </w:rPr>
        <w:t> </w:t>
      </w:r>
      <w:r>
        <w:rPr/>
        <w:t>la</w:t>
      </w:r>
      <w:r>
        <w:rPr>
          <w:spacing w:val="-9"/>
        </w:rPr>
        <w:t> </w:t>
      </w:r>
      <w:r>
        <w:rPr/>
        <w:t>seguridad</w:t>
      </w:r>
      <w:r>
        <w:rPr>
          <w:spacing w:val="-9"/>
        </w:rPr>
        <w:t> </w:t>
      </w:r>
      <w:r>
        <w:rPr/>
        <w:t>vial,</w:t>
      </w:r>
      <w:r>
        <w:rPr>
          <w:spacing w:val="-9"/>
        </w:rPr>
        <w:t> </w:t>
      </w:r>
      <w:r>
        <w:rPr/>
        <w:t>será</w:t>
      </w:r>
      <w:r>
        <w:rPr>
          <w:spacing w:val="-8"/>
        </w:rPr>
        <w:t> </w:t>
      </w:r>
      <w:r>
        <w:rPr/>
        <w:t>parte</w:t>
      </w:r>
      <w:r>
        <w:rPr>
          <w:spacing w:val="-9"/>
        </w:rPr>
        <w:t> </w:t>
      </w:r>
      <w:r>
        <w:rPr/>
        <w:t>del</w:t>
      </w:r>
      <w:r>
        <w:rPr>
          <w:spacing w:val="-10"/>
        </w:rPr>
        <w:t> </w:t>
      </w:r>
      <w:r>
        <w:rPr/>
        <w:t>proceso</w:t>
      </w:r>
      <w:r>
        <w:rPr>
          <w:spacing w:val="-9"/>
        </w:rPr>
        <w:t> </w:t>
      </w:r>
      <w:r>
        <w:rPr/>
        <w:t>de</w:t>
      </w:r>
      <w:r>
        <w:rPr>
          <w:spacing w:val="-9"/>
        </w:rPr>
        <w:t> </w:t>
      </w:r>
      <w:r>
        <w:rPr/>
        <w:t>planeación de los asentamientos humanos en el orden estatal y municipal, debiendo atender y observar la jerarquía de movilidad a que se refiere la Ley General de Movilidad y Seguridad Vial.</w:t>
      </w:r>
    </w:p>
    <w:p>
      <w:pPr>
        <w:spacing w:before="229"/>
        <w:ind w:left="262"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161.</w:t>
      </w:r>
      <w:r>
        <w:rPr>
          <w:rFonts w:ascii="Arial" w:hAnsi="Arial"/>
          <w:b/>
          <w:spacing w:val="-7"/>
          <w:sz w:val="20"/>
        </w:rPr>
        <w:t> </w:t>
      </w:r>
      <w:r>
        <w:rPr>
          <w:sz w:val="20"/>
        </w:rPr>
        <w:t>Las</w:t>
      </w:r>
      <w:r>
        <w:rPr>
          <w:spacing w:val="-6"/>
          <w:sz w:val="20"/>
        </w:rPr>
        <w:t> </w:t>
      </w:r>
      <w:r>
        <w:rPr>
          <w:sz w:val="20"/>
        </w:rPr>
        <w:t>políticas</w:t>
      </w:r>
      <w:r>
        <w:rPr>
          <w:spacing w:val="-6"/>
          <w:sz w:val="20"/>
        </w:rPr>
        <w:t> </w:t>
      </w:r>
      <w:r>
        <w:rPr>
          <w:sz w:val="20"/>
        </w:rPr>
        <w:t>y</w:t>
      </w:r>
      <w:r>
        <w:rPr>
          <w:spacing w:val="-6"/>
          <w:sz w:val="20"/>
        </w:rPr>
        <w:t> </w:t>
      </w:r>
      <w:r>
        <w:rPr>
          <w:sz w:val="20"/>
        </w:rPr>
        <w:t>programas</w:t>
      </w:r>
      <w:r>
        <w:rPr>
          <w:spacing w:val="-6"/>
          <w:sz w:val="20"/>
        </w:rPr>
        <w:t> </w:t>
      </w:r>
      <w:r>
        <w:rPr>
          <w:sz w:val="20"/>
        </w:rPr>
        <w:t>de</w:t>
      </w:r>
      <w:r>
        <w:rPr>
          <w:spacing w:val="-6"/>
          <w:sz w:val="20"/>
        </w:rPr>
        <w:t> </w:t>
      </w:r>
      <w:r>
        <w:rPr>
          <w:sz w:val="20"/>
        </w:rPr>
        <w:t>movilidad</w:t>
      </w:r>
      <w:r>
        <w:rPr>
          <w:spacing w:val="-7"/>
          <w:sz w:val="20"/>
        </w:rPr>
        <w:t> </w:t>
      </w:r>
      <w:r>
        <w:rPr>
          <w:spacing w:val="-2"/>
          <w:sz w:val="20"/>
        </w:rPr>
        <w:t>deberán:</w:t>
      </w:r>
    </w:p>
    <w:p>
      <w:pPr>
        <w:pStyle w:val="BodyText"/>
        <w:spacing w:before="1"/>
      </w:pPr>
    </w:p>
    <w:p>
      <w:pPr>
        <w:pStyle w:val="ListParagraph"/>
        <w:numPr>
          <w:ilvl w:val="0"/>
          <w:numId w:val="65"/>
        </w:numPr>
        <w:tabs>
          <w:tab w:pos="688" w:val="left" w:leader="none"/>
        </w:tabs>
        <w:spacing w:line="240" w:lineRule="auto" w:before="0" w:after="0"/>
        <w:ind w:left="262" w:right="286" w:firstLine="0"/>
        <w:jc w:val="both"/>
        <w:rPr>
          <w:sz w:val="20"/>
        </w:rPr>
      </w:pPr>
      <w:r>
        <w:rPr>
          <w:sz w:val="20"/>
        </w:rPr>
        <w:t>Incorporar la accesibilidad universal de las personas, garantizando la máxima interconexión entre vialidades, medios de transporte, rutas y destinos, priorizando la movilidad peatonal y no </w:t>
      </w:r>
      <w:r>
        <w:rPr>
          <w:spacing w:val="-2"/>
          <w:sz w:val="20"/>
        </w:rPr>
        <w:t>motorizada;</w:t>
      </w:r>
    </w:p>
    <w:p>
      <w:pPr>
        <w:pStyle w:val="BodyText"/>
      </w:pPr>
    </w:p>
    <w:p>
      <w:pPr>
        <w:pStyle w:val="ListParagraph"/>
        <w:numPr>
          <w:ilvl w:val="0"/>
          <w:numId w:val="65"/>
        </w:numPr>
        <w:tabs>
          <w:tab w:pos="686" w:val="left" w:leader="none"/>
        </w:tabs>
        <w:spacing w:line="240" w:lineRule="auto" w:before="0" w:after="0"/>
        <w:ind w:left="262" w:right="286" w:firstLine="0"/>
        <w:jc w:val="both"/>
        <w:rPr>
          <w:sz w:val="20"/>
        </w:rPr>
      </w:pPr>
      <w:r>
        <w:rPr>
          <w:sz w:val="20"/>
        </w:rPr>
        <w:t>Fomentar la distribución equitativa del espacio público de vialidades que permita la máxima armonía entre los diferentes tipos de usuarios;</w:t>
      </w:r>
    </w:p>
    <w:p>
      <w:pPr>
        <w:pStyle w:val="BodyText"/>
        <w:spacing w:before="1"/>
      </w:pPr>
    </w:p>
    <w:p>
      <w:pPr>
        <w:pStyle w:val="ListParagraph"/>
        <w:numPr>
          <w:ilvl w:val="0"/>
          <w:numId w:val="65"/>
        </w:numPr>
        <w:tabs>
          <w:tab w:pos="685" w:val="left" w:leader="none"/>
        </w:tabs>
        <w:spacing w:line="240" w:lineRule="auto" w:before="0" w:after="0"/>
        <w:ind w:left="262" w:right="285" w:firstLine="0"/>
        <w:jc w:val="both"/>
        <w:rPr>
          <w:sz w:val="20"/>
        </w:rPr>
      </w:pPr>
      <w:r>
        <w:rPr>
          <w:sz w:val="20"/>
        </w:rPr>
        <w:t>Promover</w:t>
      </w:r>
      <w:r>
        <w:rPr>
          <w:spacing w:val="-2"/>
          <w:sz w:val="20"/>
        </w:rPr>
        <w:t> </w:t>
      </w:r>
      <w:r>
        <w:rPr>
          <w:sz w:val="20"/>
        </w:rPr>
        <w:t>los</w:t>
      </w:r>
      <w:r>
        <w:rPr>
          <w:spacing w:val="-3"/>
          <w:sz w:val="20"/>
        </w:rPr>
        <w:t> </w:t>
      </w:r>
      <w:r>
        <w:rPr>
          <w:sz w:val="20"/>
        </w:rPr>
        <w:t>usos</w:t>
      </w:r>
      <w:r>
        <w:rPr>
          <w:spacing w:val="-2"/>
          <w:sz w:val="20"/>
        </w:rPr>
        <w:t> </w:t>
      </w:r>
      <w:r>
        <w:rPr>
          <w:sz w:val="20"/>
        </w:rPr>
        <w:t>del</w:t>
      </w:r>
      <w:r>
        <w:rPr>
          <w:spacing w:val="-5"/>
          <w:sz w:val="20"/>
        </w:rPr>
        <w:t> </w:t>
      </w:r>
      <w:r>
        <w:rPr>
          <w:sz w:val="20"/>
        </w:rPr>
        <w:t>suelo</w:t>
      </w:r>
      <w:r>
        <w:rPr>
          <w:spacing w:val="-4"/>
          <w:sz w:val="20"/>
        </w:rPr>
        <w:t> </w:t>
      </w:r>
      <w:r>
        <w:rPr>
          <w:sz w:val="20"/>
        </w:rPr>
        <w:t>mixtos,</w:t>
      </w:r>
      <w:r>
        <w:rPr>
          <w:spacing w:val="-3"/>
          <w:sz w:val="20"/>
        </w:rPr>
        <w:t> </w:t>
      </w:r>
      <w:r>
        <w:rPr>
          <w:sz w:val="20"/>
        </w:rPr>
        <w:t>la</w:t>
      </w:r>
      <w:r>
        <w:rPr>
          <w:spacing w:val="-3"/>
          <w:sz w:val="20"/>
        </w:rPr>
        <w:t> </w:t>
      </w:r>
      <w:r>
        <w:rPr>
          <w:sz w:val="20"/>
        </w:rPr>
        <w:t>distribución</w:t>
      </w:r>
      <w:r>
        <w:rPr>
          <w:spacing w:val="-3"/>
          <w:sz w:val="20"/>
        </w:rPr>
        <w:t> </w:t>
      </w:r>
      <w:r>
        <w:rPr>
          <w:sz w:val="20"/>
        </w:rPr>
        <w:t>jerárquica</w:t>
      </w:r>
      <w:r>
        <w:rPr>
          <w:spacing w:val="-3"/>
          <w:sz w:val="20"/>
        </w:rPr>
        <w:t> </w:t>
      </w:r>
      <w:r>
        <w:rPr>
          <w:sz w:val="20"/>
        </w:rPr>
        <w:t>de</w:t>
      </w:r>
      <w:r>
        <w:rPr>
          <w:spacing w:val="-4"/>
          <w:sz w:val="20"/>
        </w:rPr>
        <w:t> </w:t>
      </w:r>
      <w:r>
        <w:rPr>
          <w:sz w:val="20"/>
        </w:rPr>
        <w:t>equipamientos,</w:t>
      </w:r>
      <w:r>
        <w:rPr>
          <w:spacing w:val="-3"/>
          <w:sz w:val="20"/>
        </w:rPr>
        <w:t> </w:t>
      </w:r>
      <w:r>
        <w:rPr>
          <w:sz w:val="20"/>
        </w:rPr>
        <w:t>favorecer</w:t>
      </w:r>
      <w:r>
        <w:rPr>
          <w:spacing w:val="-4"/>
          <w:sz w:val="20"/>
        </w:rPr>
        <w:t> </w:t>
      </w:r>
      <w:r>
        <w:rPr>
          <w:sz w:val="20"/>
        </w:rPr>
        <w:t>una mayor</w:t>
      </w:r>
      <w:r>
        <w:rPr>
          <w:spacing w:val="-10"/>
          <w:sz w:val="20"/>
        </w:rPr>
        <w:t> </w:t>
      </w:r>
      <w:r>
        <w:rPr>
          <w:sz w:val="20"/>
        </w:rPr>
        <w:t>flexibilidad</w:t>
      </w:r>
      <w:r>
        <w:rPr>
          <w:spacing w:val="-9"/>
          <w:sz w:val="20"/>
        </w:rPr>
        <w:t> </w:t>
      </w:r>
      <w:r>
        <w:rPr>
          <w:sz w:val="20"/>
        </w:rPr>
        <w:t>en</w:t>
      </w:r>
      <w:r>
        <w:rPr>
          <w:spacing w:val="-9"/>
          <w:sz w:val="20"/>
        </w:rPr>
        <w:t> </w:t>
      </w:r>
      <w:r>
        <w:rPr>
          <w:sz w:val="20"/>
        </w:rPr>
        <w:t>las</w:t>
      </w:r>
      <w:r>
        <w:rPr>
          <w:spacing w:val="-9"/>
          <w:sz w:val="20"/>
        </w:rPr>
        <w:t> </w:t>
      </w:r>
      <w:r>
        <w:rPr>
          <w:sz w:val="20"/>
        </w:rPr>
        <w:t>alturas</w:t>
      </w:r>
      <w:r>
        <w:rPr>
          <w:spacing w:val="-10"/>
          <w:sz w:val="20"/>
        </w:rPr>
        <w:t> </w:t>
      </w:r>
      <w:r>
        <w:rPr>
          <w:sz w:val="20"/>
        </w:rPr>
        <w:t>y</w:t>
      </w:r>
      <w:r>
        <w:rPr>
          <w:spacing w:val="-10"/>
          <w:sz w:val="20"/>
        </w:rPr>
        <w:t> </w:t>
      </w:r>
      <w:r>
        <w:rPr>
          <w:sz w:val="20"/>
        </w:rPr>
        <w:t>densidades</w:t>
      </w:r>
      <w:r>
        <w:rPr>
          <w:spacing w:val="-10"/>
          <w:sz w:val="20"/>
        </w:rPr>
        <w:t> </w:t>
      </w:r>
      <w:r>
        <w:rPr>
          <w:sz w:val="20"/>
        </w:rPr>
        <w:t>de</w:t>
      </w:r>
      <w:r>
        <w:rPr>
          <w:spacing w:val="-9"/>
          <w:sz w:val="20"/>
        </w:rPr>
        <w:t> </w:t>
      </w:r>
      <w:r>
        <w:rPr>
          <w:sz w:val="20"/>
        </w:rPr>
        <w:t>las</w:t>
      </w:r>
      <w:r>
        <w:rPr>
          <w:spacing w:val="-10"/>
          <w:sz w:val="20"/>
        </w:rPr>
        <w:t> </w:t>
      </w:r>
      <w:r>
        <w:rPr>
          <w:sz w:val="20"/>
        </w:rPr>
        <w:t>edificaciones</w:t>
      </w:r>
      <w:r>
        <w:rPr>
          <w:spacing w:val="-10"/>
          <w:sz w:val="20"/>
        </w:rPr>
        <w:t> </w:t>
      </w:r>
      <w:r>
        <w:rPr>
          <w:sz w:val="20"/>
        </w:rPr>
        <w:t>y</w:t>
      </w:r>
      <w:r>
        <w:rPr>
          <w:spacing w:val="-10"/>
          <w:sz w:val="20"/>
        </w:rPr>
        <w:t> </w:t>
      </w:r>
      <w:r>
        <w:rPr>
          <w:sz w:val="20"/>
        </w:rPr>
        <w:t>evitar</w:t>
      </w:r>
      <w:r>
        <w:rPr>
          <w:spacing w:val="-10"/>
          <w:sz w:val="20"/>
        </w:rPr>
        <w:t> </w:t>
      </w:r>
      <w:r>
        <w:rPr>
          <w:sz w:val="20"/>
        </w:rPr>
        <w:t>en</w:t>
      </w:r>
      <w:r>
        <w:rPr>
          <w:spacing w:val="-11"/>
          <w:sz w:val="20"/>
        </w:rPr>
        <w:t> </w:t>
      </w:r>
      <w:r>
        <w:rPr>
          <w:sz w:val="20"/>
        </w:rPr>
        <w:t>lo</w:t>
      </w:r>
      <w:r>
        <w:rPr>
          <w:spacing w:val="-9"/>
          <w:sz w:val="20"/>
        </w:rPr>
        <w:t> </w:t>
      </w:r>
      <w:r>
        <w:rPr>
          <w:sz w:val="20"/>
        </w:rPr>
        <w:t>posible,</w:t>
      </w:r>
      <w:r>
        <w:rPr>
          <w:spacing w:val="-9"/>
          <w:sz w:val="20"/>
        </w:rPr>
        <w:t> </w:t>
      </w:r>
      <w:r>
        <w:rPr>
          <w:sz w:val="20"/>
        </w:rPr>
        <w:t>a</w:t>
      </w:r>
      <w:r>
        <w:rPr>
          <w:spacing w:val="-11"/>
          <w:sz w:val="20"/>
        </w:rPr>
        <w:t> </w:t>
      </w:r>
      <w:r>
        <w:rPr>
          <w:sz w:val="20"/>
        </w:rPr>
        <w:t>imposición de cajones de estacionamiento;</w:t>
      </w:r>
    </w:p>
    <w:p>
      <w:pPr>
        <w:pStyle w:val="ListParagraph"/>
        <w:numPr>
          <w:ilvl w:val="0"/>
          <w:numId w:val="65"/>
        </w:numPr>
        <w:tabs>
          <w:tab w:pos="688" w:val="left" w:leader="none"/>
        </w:tabs>
        <w:spacing w:line="240" w:lineRule="auto" w:before="229" w:after="0"/>
        <w:ind w:left="262" w:right="284" w:firstLine="0"/>
        <w:jc w:val="both"/>
        <w:rPr>
          <w:sz w:val="20"/>
        </w:rPr>
      </w:pPr>
      <w:r>
        <w:rPr>
          <w:sz w:val="20"/>
        </w:rPr>
        <w:t>Promover</w:t>
      </w:r>
      <w:r>
        <w:rPr>
          <w:spacing w:val="-8"/>
          <w:sz w:val="20"/>
        </w:rPr>
        <w:t> </w:t>
      </w:r>
      <w:r>
        <w:rPr>
          <w:sz w:val="20"/>
        </w:rPr>
        <w:t>la</w:t>
      </w:r>
      <w:r>
        <w:rPr>
          <w:spacing w:val="-9"/>
          <w:sz w:val="20"/>
        </w:rPr>
        <w:t> </w:t>
      </w:r>
      <w:r>
        <w:rPr>
          <w:sz w:val="20"/>
        </w:rPr>
        <w:t>innovación</w:t>
      </w:r>
      <w:r>
        <w:rPr>
          <w:spacing w:val="-9"/>
          <w:sz w:val="20"/>
        </w:rPr>
        <w:t> </w:t>
      </w:r>
      <w:r>
        <w:rPr>
          <w:sz w:val="20"/>
        </w:rPr>
        <w:t>tecnológica</w:t>
      </w:r>
      <w:r>
        <w:rPr>
          <w:spacing w:val="-9"/>
          <w:sz w:val="20"/>
        </w:rPr>
        <w:t> </w:t>
      </w:r>
      <w:r>
        <w:rPr>
          <w:sz w:val="20"/>
        </w:rPr>
        <w:t>de</w:t>
      </w:r>
      <w:r>
        <w:rPr>
          <w:spacing w:val="-11"/>
          <w:sz w:val="20"/>
        </w:rPr>
        <w:t> </w:t>
      </w:r>
      <w:r>
        <w:rPr>
          <w:sz w:val="20"/>
        </w:rPr>
        <w:t>punta,</w:t>
      </w:r>
      <w:r>
        <w:rPr>
          <w:spacing w:val="-9"/>
          <w:sz w:val="20"/>
        </w:rPr>
        <w:t> </w:t>
      </w:r>
      <w:r>
        <w:rPr>
          <w:sz w:val="20"/>
        </w:rPr>
        <w:t>para</w:t>
      </w:r>
      <w:r>
        <w:rPr>
          <w:spacing w:val="-9"/>
          <w:sz w:val="20"/>
        </w:rPr>
        <w:t> </w:t>
      </w:r>
      <w:r>
        <w:rPr>
          <w:sz w:val="20"/>
        </w:rPr>
        <w:t>almacenar,</w:t>
      </w:r>
      <w:r>
        <w:rPr>
          <w:spacing w:val="-8"/>
          <w:sz w:val="20"/>
        </w:rPr>
        <w:t> </w:t>
      </w:r>
      <w:r>
        <w:rPr>
          <w:sz w:val="20"/>
        </w:rPr>
        <w:t>procesar</w:t>
      </w:r>
      <w:r>
        <w:rPr>
          <w:spacing w:val="-10"/>
          <w:sz w:val="20"/>
        </w:rPr>
        <w:t> </w:t>
      </w:r>
      <w:r>
        <w:rPr>
          <w:sz w:val="20"/>
        </w:rPr>
        <w:t>y</w:t>
      </w:r>
      <w:r>
        <w:rPr>
          <w:spacing w:val="-7"/>
          <w:sz w:val="20"/>
        </w:rPr>
        <w:t> </w:t>
      </w:r>
      <w:r>
        <w:rPr>
          <w:sz w:val="20"/>
        </w:rPr>
        <w:t>distribuir</w:t>
      </w:r>
      <w:r>
        <w:rPr>
          <w:spacing w:val="-8"/>
          <w:sz w:val="20"/>
        </w:rPr>
        <w:t> </w:t>
      </w:r>
      <w:r>
        <w:rPr>
          <w:sz w:val="20"/>
        </w:rPr>
        <w:t>información que permita contar con nuevos sistemas, aplicaciones y servicios que contribuyan a una gestión eficiente, así como a la reducción de las externalidades negativas en la materia;</w:t>
      </w:r>
    </w:p>
    <w:p>
      <w:pPr>
        <w:pStyle w:val="ListParagraph"/>
        <w:numPr>
          <w:ilvl w:val="0"/>
          <w:numId w:val="65"/>
        </w:numPr>
        <w:tabs>
          <w:tab w:pos="599" w:val="left" w:leader="none"/>
        </w:tabs>
        <w:spacing w:line="240" w:lineRule="auto" w:before="230" w:after="0"/>
        <w:ind w:left="262" w:right="279" w:firstLine="0"/>
        <w:jc w:val="both"/>
        <w:rPr>
          <w:sz w:val="20"/>
        </w:rPr>
      </w:pPr>
      <w:r>
        <w:rPr>
          <w:sz w:val="20"/>
        </w:rPr>
        <w:t>Efectuar de forma sistemática diagnósticos de las redes de distribución vial, con el objeto de recuperar, dar mantenimiento y habilitar las opciones de movilidad que puedan ejercer funciones estratégicas de desahogo vial y desfogue de zonas saturadas, y optimizar los recursos destinados a aprovechar todas las capacidades de la red de distribución vial existente;</w:t>
      </w:r>
    </w:p>
    <w:p>
      <w:pPr>
        <w:pStyle w:val="ListParagraph"/>
        <w:numPr>
          <w:ilvl w:val="0"/>
          <w:numId w:val="65"/>
        </w:numPr>
        <w:tabs>
          <w:tab w:pos="688" w:val="left" w:leader="none"/>
        </w:tabs>
        <w:spacing w:line="240" w:lineRule="auto" w:before="230" w:after="0"/>
        <w:ind w:left="262" w:right="279" w:firstLine="0"/>
        <w:jc w:val="both"/>
        <w:rPr>
          <w:sz w:val="20"/>
        </w:rPr>
      </w:pPr>
      <w:r>
        <w:rPr>
          <w:sz w:val="20"/>
        </w:rPr>
        <w:t>Incrementar la oferta de opciones de servicios y modos de transporte integrados, a los diferentes</w:t>
      </w:r>
      <w:r>
        <w:rPr>
          <w:spacing w:val="-2"/>
          <w:sz w:val="20"/>
        </w:rPr>
        <w:t> </w:t>
      </w:r>
      <w:r>
        <w:rPr>
          <w:sz w:val="20"/>
        </w:rPr>
        <w:t>grupos</w:t>
      </w:r>
      <w:r>
        <w:rPr>
          <w:spacing w:val="-2"/>
          <w:sz w:val="20"/>
        </w:rPr>
        <w:t> </w:t>
      </w:r>
      <w:r>
        <w:rPr>
          <w:sz w:val="20"/>
        </w:rPr>
        <w:t>de</w:t>
      </w:r>
      <w:r>
        <w:rPr>
          <w:spacing w:val="-4"/>
          <w:sz w:val="20"/>
        </w:rPr>
        <w:t> </w:t>
      </w:r>
      <w:r>
        <w:rPr>
          <w:sz w:val="20"/>
        </w:rPr>
        <w:t>usuarios,</w:t>
      </w:r>
      <w:r>
        <w:rPr>
          <w:spacing w:val="-3"/>
          <w:sz w:val="20"/>
        </w:rPr>
        <w:t> </w:t>
      </w:r>
      <w:r>
        <w:rPr>
          <w:sz w:val="20"/>
        </w:rPr>
        <w:t>que</w:t>
      </w:r>
      <w:r>
        <w:rPr>
          <w:spacing w:val="-3"/>
          <w:sz w:val="20"/>
        </w:rPr>
        <w:t> </w:t>
      </w:r>
      <w:r>
        <w:rPr>
          <w:sz w:val="20"/>
        </w:rPr>
        <w:t>proporcionen</w:t>
      </w:r>
      <w:r>
        <w:rPr>
          <w:spacing w:val="-4"/>
          <w:sz w:val="20"/>
        </w:rPr>
        <w:t> </w:t>
      </w:r>
      <w:r>
        <w:rPr>
          <w:sz w:val="20"/>
        </w:rPr>
        <w:t>disponibilidad,</w:t>
      </w:r>
      <w:r>
        <w:rPr>
          <w:spacing w:val="-3"/>
          <w:sz w:val="20"/>
        </w:rPr>
        <w:t> </w:t>
      </w:r>
      <w:r>
        <w:rPr>
          <w:sz w:val="20"/>
        </w:rPr>
        <w:t>velocidad,</w:t>
      </w:r>
      <w:r>
        <w:rPr>
          <w:spacing w:val="-3"/>
          <w:sz w:val="20"/>
        </w:rPr>
        <w:t> </w:t>
      </w:r>
      <w:r>
        <w:rPr>
          <w:sz w:val="20"/>
        </w:rPr>
        <w:t>densidad</w:t>
      </w:r>
      <w:r>
        <w:rPr>
          <w:spacing w:val="-4"/>
          <w:sz w:val="20"/>
        </w:rPr>
        <w:t> </w:t>
      </w:r>
      <w:r>
        <w:rPr>
          <w:sz w:val="20"/>
        </w:rPr>
        <w:t>y</w:t>
      </w:r>
      <w:r>
        <w:rPr>
          <w:spacing w:val="-2"/>
          <w:sz w:val="20"/>
        </w:rPr>
        <w:t> </w:t>
      </w:r>
      <w:r>
        <w:rPr>
          <w:sz w:val="20"/>
        </w:rPr>
        <w:t>accesibilidad universal, que permitan reducir la dependencia del uso del automóvil particular, aquellas innovaciones tecnológicas que permitan</w:t>
      </w:r>
      <w:r>
        <w:rPr>
          <w:spacing w:val="-1"/>
          <w:sz w:val="20"/>
        </w:rPr>
        <w:t> </w:t>
      </w:r>
      <w:r>
        <w:rPr>
          <w:sz w:val="20"/>
        </w:rPr>
        <w:t>el</w:t>
      </w:r>
      <w:r>
        <w:rPr>
          <w:spacing w:val="-2"/>
          <w:sz w:val="20"/>
        </w:rPr>
        <w:t> </w:t>
      </w:r>
      <w:r>
        <w:rPr>
          <w:sz w:val="20"/>
        </w:rPr>
        <w:t>uso</w:t>
      </w:r>
      <w:r>
        <w:rPr>
          <w:spacing w:val="-1"/>
          <w:sz w:val="20"/>
        </w:rPr>
        <w:t> </w:t>
      </w:r>
      <w:r>
        <w:rPr>
          <w:sz w:val="20"/>
        </w:rPr>
        <w:t>compartido del</w:t>
      </w:r>
      <w:r>
        <w:rPr>
          <w:spacing w:val="-2"/>
          <w:sz w:val="20"/>
        </w:rPr>
        <w:t> </w:t>
      </w:r>
      <w:r>
        <w:rPr>
          <w:sz w:val="20"/>
        </w:rPr>
        <w:t>automóvil,</w:t>
      </w:r>
      <w:r>
        <w:rPr>
          <w:spacing w:val="-1"/>
          <w:sz w:val="20"/>
        </w:rPr>
        <w:t> </w:t>
      </w:r>
      <w:r>
        <w:rPr>
          <w:sz w:val="20"/>
        </w:rPr>
        <w:t>el</w:t>
      </w:r>
      <w:r>
        <w:rPr>
          <w:spacing w:val="-2"/>
          <w:sz w:val="20"/>
        </w:rPr>
        <w:t> </w:t>
      </w:r>
      <w:r>
        <w:rPr>
          <w:sz w:val="20"/>
        </w:rPr>
        <w:t>uso de</w:t>
      </w:r>
      <w:r>
        <w:rPr>
          <w:spacing w:val="-1"/>
          <w:sz w:val="20"/>
        </w:rPr>
        <w:t> </w:t>
      </w:r>
      <w:r>
        <w:rPr>
          <w:sz w:val="20"/>
        </w:rPr>
        <w:t>la motocicleta</w:t>
      </w:r>
      <w:r>
        <w:rPr>
          <w:spacing w:val="-2"/>
          <w:sz w:val="20"/>
        </w:rPr>
        <w:t> </w:t>
      </w:r>
      <w:r>
        <w:rPr>
          <w:sz w:val="20"/>
        </w:rPr>
        <w:t>y la bicicleta, así como desarrollar nuevas alternativas de</w:t>
      </w:r>
      <w:r>
        <w:rPr>
          <w:spacing w:val="40"/>
          <w:sz w:val="20"/>
        </w:rPr>
        <w:t> </w:t>
      </w:r>
      <w:r>
        <w:rPr>
          <w:sz w:val="20"/>
        </w:rPr>
        <w:t>transporte público;</w:t>
      </w:r>
    </w:p>
    <w:p>
      <w:pPr>
        <w:pStyle w:val="BodyText"/>
      </w:pPr>
    </w:p>
    <w:p>
      <w:pPr>
        <w:pStyle w:val="ListParagraph"/>
        <w:numPr>
          <w:ilvl w:val="0"/>
          <w:numId w:val="65"/>
        </w:numPr>
        <w:tabs>
          <w:tab w:pos="688" w:val="left" w:leader="none"/>
        </w:tabs>
        <w:spacing w:line="240" w:lineRule="auto" w:before="0" w:after="0"/>
        <w:ind w:left="262" w:right="280" w:firstLine="0"/>
        <w:jc w:val="both"/>
        <w:rPr>
          <w:sz w:val="20"/>
        </w:rPr>
      </w:pPr>
      <w:r>
        <w:rPr>
          <w:sz w:val="20"/>
        </w:rPr>
        <w:t>Implementar políticas y acciones de movilidad residencial que faciliten la venta, renta, o intercambio</w:t>
      </w:r>
      <w:r>
        <w:rPr>
          <w:spacing w:val="-14"/>
          <w:sz w:val="20"/>
        </w:rPr>
        <w:t> </w:t>
      </w:r>
      <w:r>
        <w:rPr>
          <w:sz w:val="20"/>
        </w:rPr>
        <w:t>de</w:t>
      </w:r>
      <w:r>
        <w:rPr>
          <w:spacing w:val="-14"/>
          <w:sz w:val="20"/>
        </w:rPr>
        <w:t> </w:t>
      </w:r>
      <w:r>
        <w:rPr>
          <w:sz w:val="20"/>
        </w:rPr>
        <w:t>inmuebles,</w:t>
      </w:r>
      <w:r>
        <w:rPr>
          <w:spacing w:val="-11"/>
          <w:sz w:val="20"/>
        </w:rPr>
        <w:t> </w:t>
      </w:r>
      <w:r>
        <w:rPr>
          <w:sz w:val="20"/>
        </w:rPr>
        <w:t>para</w:t>
      </w:r>
      <w:r>
        <w:rPr>
          <w:spacing w:val="-14"/>
          <w:sz w:val="20"/>
        </w:rPr>
        <w:t> </w:t>
      </w:r>
      <w:r>
        <w:rPr>
          <w:sz w:val="20"/>
        </w:rPr>
        <w:t>una</w:t>
      </w:r>
      <w:r>
        <w:rPr>
          <w:spacing w:val="-12"/>
          <w:sz w:val="20"/>
        </w:rPr>
        <w:t> </w:t>
      </w:r>
      <w:r>
        <w:rPr>
          <w:sz w:val="20"/>
        </w:rPr>
        <w:t>mejor</w:t>
      </w:r>
      <w:r>
        <w:rPr>
          <w:spacing w:val="-13"/>
          <w:sz w:val="20"/>
        </w:rPr>
        <w:t> </w:t>
      </w:r>
      <w:r>
        <w:rPr>
          <w:sz w:val="20"/>
        </w:rPr>
        <w:t>interrelación</w:t>
      </w:r>
      <w:r>
        <w:rPr>
          <w:spacing w:val="-14"/>
          <w:sz w:val="20"/>
        </w:rPr>
        <w:t> </w:t>
      </w:r>
      <w:r>
        <w:rPr>
          <w:sz w:val="20"/>
        </w:rPr>
        <w:t>entre</w:t>
      </w:r>
      <w:r>
        <w:rPr>
          <w:spacing w:val="-14"/>
          <w:sz w:val="20"/>
        </w:rPr>
        <w:t> </w:t>
      </w:r>
      <w:r>
        <w:rPr>
          <w:sz w:val="20"/>
        </w:rPr>
        <w:t>el</w:t>
      </w:r>
      <w:r>
        <w:rPr>
          <w:spacing w:val="-13"/>
          <w:sz w:val="20"/>
        </w:rPr>
        <w:t> </w:t>
      </w:r>
      <w:r>
        <w:rPr>
          <w:sz w:val="20"/>
        </w:rPr>
        <w:t>lugar</w:t>
      </w:r>
      <w:r>
        <w:rPr>
          <w:spacing w:val="-10"/>
          <w:sz w:val="20"/>
        </w:rPr>
        <w:t> </w:t>
      </w:r>
      <w:r>
        <w:rPr>
          <w:sz w:val="20"/>
        </w:rPr>
        <w:t>de</w:t>
      </w:r>
      <w:r>
        <w:rPr>
          <w:spacing w:val="-14"/>
          <w:sz w:val="20"/>
        </w:rPr>
        <w:t> </w:t>
      </w:r>
      <w:r>
        <w:rPr>
          <w:sz w:val="20"/>
        </w:rPr>
        <w:t>vivienda,</w:t>
      </w:r>
      <w:r>
        <w:rPr>
          <w:spacing w:val="-11"/>
          <w:sz w:val="20"/>
        </w:rPr>
        <w:t> </w:t>
      </w:r>
      <w:r>
        <w:rPr>
          <w:sz w:val="20"/>
        </w:rPr>
        <w:t>el</w:t>
      </w:r>
      <w:r>
        <w:rPr>
          <w:spacing w:val="-14"/>
          <w:sz w:val="20"/>
        </w:rPr>
        <w:t> </w:t>
      </w:r>
      <w:r>
        <w:rPr>
          <w:sz w:val="20"/>
        </w:rPr>
        <w:t>empleo</w:t>
      </w:r>
      <w:r>
        <w:rPr>
          <w:spacing w:val="-12"/>
          <w:sz w:val="20"/>
        </w:rPr>
        <w:t> </w:t>
      </w:r>
      <w:r>
        <w:rPr>
          <w:sz w:val="20"/>
        </w:rPr>
        <w:t>y</w:t>
      </w:r>
      <w:r>
        <w:rPr>
          <w:spacing w:val="-12"/>
          <w:sz w:val="20"/>
        </w:rPr>
        <w:t> </w:t>
      </w:r>
      <w:r>
        <w:rPr>
          <w:sz w:val="20"/>
        </w:rPr>
        <w:t>demás satisfactores</w:t>
      </w:r>
      <w:r>
        <w:rPr>
          <w:spacing w:val="-14"/>
          <w:sz w:val="20"/>
        </w:rPr>
        <w:t> </w:t>
      </w:r>
      <w:r>
        <w:rPr>
          <w:sz w:val="20"/>
        </w:rPr>
        <w:t>urbanos,</w:t>
      </w:r>
      <w:r>
        <w:rPr>
          <w:spacing w:val="-14"/>
          <w:sz w:val="20"/>
        </w:rPr>
        <w:t> </w:t>
      </w:r>
      <w:r>
        <w:rPr>
          <w:sz w:val="20"/>
        </w:rPr>
        <w:t>tendentes</w:t>
      </w:r>
      <w:r>
        <w:rPr>
          <w:spacing w:val="-14"/>
          <w:sz w:val="20"/>
        </w:rPr>
        <w:t> </w:t>
      </w:r>
      <w:r>
        <w:rPr>
          <w:sz w:val="20"/>
        </w:rPr>
        <w:t>a</w:t>
      </w:r>
      <w:r>
        <w:rPr>
          <w:spacing w:val="-14"/>
          <w:sz w:val="20"/>
        </w:rPr>
        <w:t> </w:t>
      </w:r>
      <w:r>
        <w:rPr>
          <w:sz w:val="20"/>
        </w:rPr>
        <w:t>disminuir</w:t>
      </w:r>
      <w:r>
        <w:rPr>
          <w:spacing w:val="-13"/>
          <w:sz w:val="20"/>
        </w:rPr>
        <w:t> </w:t>
      </w:r>
      <w:r>
        <w:rPr>
          <w:sz w:val="20"/>
        </w:rPr>
        <w:t>la</w:t>
      </w:r>
      <w:r>
        <w:rPr>
          <w:spacing w:val="-12"/>
          <w:sz w:val="20"/>
        </w:rPr>
        <w:t> </w:t>
      </w:r>
      <w:r>
        <w:rPr>
          <w:sz w:val="20"/>
        </w:rPr>
        <w:t>distancia</w:t>
      </w:r>
      <w:r>
        <w:rPr>
          <w:spacing w:val="-14"/>
          <w:sz w:val="20"/>
        </w:rPr>
        <w:t> </w:t>
      </w:r>
      <w:r>
        <w:rPr>
          <w:sz w:val="20"/>
        </w:rPr>
        <w:t>y</w:t>
      </w:r>
      <w:r>
        <w:rPr>
          <w:spacing w:val="-13"/>
          <w:sz w:val="20"/>
        </w:rPr>
        <w:t> </w:t>
      </w:r>
      <w:r>
        <w:rPr>
          <w:sz w:val="20"/>
        </w:rPr>
        <w:t>frecuencia</w:t>
      </w:r>
      <w:r>
        <w:rPr>
          <w:spacing w:val="-12"/>
          <w:sz w:val="20"/>
        </w:rPr>
        <w:t> </w:t>
      </w:r>
      <w:r>
        <w:rPr>
          <w:sz w:val="20"/>
        </w:rPr>
        <w:t>de</w:t>
      </w:r>
      <w:r>
        <w:rPr>
          <w:spacing w:val="-13"/>
          <w:sz w:val="20"/>
        </w:rPr>
        <w:t> </w:t>
      </w:r>
      <w:r>
        <w:rPr>
          <w:sz w:val="20"/>
        </w:rPr>
        <w:t>los</w:t>
      </w:r>
      <w:r>
        <w:rPr>
          <w:spacing w:val="-14"/>
          <w:sz w:val="20"/>
        </w:rPr>
        <w:t> </w:t>
      </w:r>
      <w:r>
        <w:rPr>
          <w:sz w:val="20"/>
        </w:rPr>
        <w:t>traslados</w:t>
      </w:r>
      <w:r>
        <w:rPr>
          <w:spacing w:val="-14"/>
          <w:sz w:val="20"/>
        </w:rPr>
        <w:t> </w:t>
      </w:r>
      <w:r>
        <w:rPr>
          <w:sz w:val="20"/>
        </w:rPr>
        <w:t>y</w:t>
      </w:r>
      <w:r>
        <w:rPr>
          <w:spacing w:val="-13"/>
          <w:sz w:val="20"/>
        </w:rPr>
        <w:t> </w:t>
      </w:r>
      <w:r>
        <w:rPr>
          <w:sz w:val="20"/>
        </w:rPr>
        <w:t>hacerlos</w:t>
      </w:r>
      <w:r>
        <w:rPr>
          <w:spacing w:val="-13"/>
          <w:sz w:val="20"/>
        </w:rPr>
        <w:t> </w:t>
      </w:r>
      <w:r>
        <w:rPr>
          <w:sz w:val="20"/>
        </w:rPr>
        <w:t>más </w:t>
      </w:r>
      <w:r>
        <w:rPr>
          <w:spacing w:val="-2"/>
          <w:sz w:val="20"/>
        </w:rPr>
        <w:t>eficientes;</w:t>
      </w:r>
    </w:p>
    <w:p>
      <w:pPr>
        <w:pStyle w:val="BodyText"/>
        <w:spacing w:before="2"/>
      </w:pPr>
    </w:p>
    <w:p>
      <w:pPr>
        <w:pStyle w:val="ListParagraph"/>
        <w:numPr>
          <w:ilvl w:val="0"/>
          <w:numId w:val="65"/>
        </w:numPr>
        <w:tabs>
          <w:tab w:pos="968" w:val="left" w:leader="none"/>
        </w:tabs>
        <w:spacing w:line="240" w:lineRule="auto" w:before="0" w:after="0"/>
        <w:ind w:left="262" w:right="279" w:firstLine="0"/>
        <w:jc w:val="both"/>
        <w:rPr>
          <w:sz w:val="20"/>
        </w:rPr>
      </w:pPr>
      <w:r>
        <w:rPr>
          <w:sz w:val="20"/>
        </w:rPr>
        <w:t>Establecer políticas, programas para la prevención de accidentes y el mejoramiento de la infraestructura vial y de movilidad; dotando las vialidades del señalamiento completo para la adecuada orientación de las personas, evitando la distracción causada por anuncios y </w:t>
      </w:r>
      <w:r>
        <w:rPr>
          <w:spacing w:val="-2"/>
          <w:sz w:val="20"/>
        </w:rPr>
        <w:t>espectaculares;</w:t>
      </w:r>
    </w:p>
    <w:p>
      <w:pPr>
        <w:pStyle w:val="BodyText"/>
      </w:pPr>
    </w:p>
    <w:p>
      <w:pPr>
        <w:pStyle w:val="ListParagraph"/>
        <w:numPr>
          <w:ilvl w:val="0"/>
          <w:numId w:val="65"/>
        </w:numPr>
        <w:tabs>
          <w:tab w:pos="688" w:val="left" w:leader="none"/>
        </w:tabs>
        <w:spacing w:line="240" w:lineRule="auto" w:before="0" w:after="0"/>
        <w:ind w:left="262" w:right="287" w:firstLine="0"/>
        <w:jc w:val="both"/>
        <w:rPr>
          <w:sz w:val="20"/>
        </w:rPr>
      </w:pPr>
      <w:r>
        <w:rPr>
          <w:sz w:val="20"/>
        </w:rPr>
        <w:t>Promover el acceso de mujeres y niñas a espacios públicos y transporte público de calidad, seguro y eficiente, incluyendo acciones para eliminar la violencia basada en género y el acoso </w:t>
      </w:r>
      <w:r>
        <w:rPr>
          <w:spacing w:val="-2"/>
          <w:sz w:val="20"/>
        </w:rPr>
        <w:t>sexual;</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65"/>
        </w:numPr>
        <w:tabs>
          <w:tab w:pos="544" w:val="left" w:leader="none"/>
        </w:tabs>
        <w:spacing w:line="240" w:lineRule="auto" w:before="0" w:after="0"/>
        <w:ind w:left="262" w:right="284" w:firstLine="0"/>
        <w:jc w:val="both"/>
        <w:rPr>
          <w:sz w:val="20"/>
        </w:rPr>
      </w:pPr>
      <w:r>
        <w:rPr>
          <w:sz w:val="20"/>
        </w:rPr>
        <w:t>Promover los viajes cortos para medios no motorizados a través de la mezcla suficiente de equipamiento</w:t>
      </w:r>
      <w:r>
        <w:rPr>
          <w:spacing w:val="-2"/>
          <w:sz w:val="20"/>
        </w:rPr>
        <w:t> </w:t>
      </w:r>
      <w:r>
        <w:rPr>
          <w:sz w:val="20"/>
        </w:rPr>
        <w:t>y</w:t>
      </w:r>
      <w:r>
        <w:rPr>
          <w:spacing w:val="-3"/>
          <w:sz w:val="20"/>
        </w:rPr>
        <w:t> </w:t>
      </w:r>
      <w:r>
        <w:rPr>
          <w:sz w:val="20"/>
        </w:rPr>
        <w:t>servicios</w:t>
      </w:r>
      <w:r>
        <w:rPr>
          <w:spacing w:val="-3"/>
          <w:sz w:val="20"/>
        </w:rPr>
        <w:t> </w:t>
      </w:r>
      <w:r>
        <w:rPr>
          <w:sz w:val="20"/>
        </w:rPr>
        <w:t>urbanos</w:t>
      </w:r>
      <w:r>
        <w:rPr>
          <w:spacing w:val="-2"/>
          <w:sz w:val="20"/>
        </w:rPr>
        <w:t> </w:t>
      </w:r>
      <w:r>
        <w:rPr>
          <w:sz w:val="20"/>
        </w:rPr>
        <w:t>en</w:t>
      </w:r>
      <w:r>
        <w:rPr>
          <w:spacing w:val="-3"/>
          <w:sz w:val="20"/>
        </w:rPr>
        <w:t> </w:t>
      </w:r>
      <w:r>
        <w:rPr>
          <w:sz w:val="20"/>
        </w:rPr>
        <w:t>las</w:t>
      </w:r>
      <w:r>
        <w:rPr>
          <w:spacing w:val="-3"/>
          <w:sz w:val="20"/>
        </w:rPr>
        <w:t> </w:t>
      </w:r>
      <w:r>
        <w:rPr>
          <w:sz w:val="20"/>
        </w:rPr>
        <w:t>diferentes</w:t>
      </w:r>
      <w:r>
        <w:rPr>
          <w:spacing w:val="-3"/>
          <w:sz w:val="20"/>
        </w:rPr>
        <w:t> </w:t>
      </w:r>
      <w:r>
        <w:rPr>
          <w:sz w:val="20"/>
        </w:rPr>
        <w:t>zonas</w:t>
      </w:r>
      <w:r>
        <w:rPr>
          <w:spacing w:val="-3"/>
          <w:sz w:val="20"/>
        </w:rPr>
        <w:t> </w:t>
      </w:r>
      <w:r>
        <w:rPr>
          <w:sz w:val="20"/>
        </w:rPr>
        <w:t>de</w:t>
      </w:r>
      <w:r>
        <w:rPr>
          <w:spacing w:val="-3"/>
          <w:sz w:val="20"/>
        </w:rPr>
        <w:t> </w:t>
      </w:r>
      <w:r>
        <w:rPr>
          <w:sz w:val="20"/>
        </w:rPr>
        <w:t>los</w:t>
      </w:r>
      <w:r>
        <w:rPr>
          <w:spacing w:val="-3"/>
          <w:sz w:val="20"/>
        </w:rPr>
        <w:t> </w:t>
      </w:r>
      <w:r>
        <w:rPr>
          <w:sz w:val="20"/>
        </w:rPr>
        <w:t>centros</w:t>
      </w:r>
      <w:r>
        <w:rPr>
          <w:spacing w:val="-3"/>
          <w:sz w:val="20"/>
        </w:rPr>
        <w:t> </w:t>
      </w:r>
      <w:r>
        <w:rPr>
          <w:sz w:val="20"/>
        </w:rPr>
        <w:t>de</w:t>
      </w:r>
      <w:r>
        <w:rPr>
          <w:spacing w:val="-3"/>
          <w:sz w:val="20"/>
        </w:rPr>
        <w:t> </w:t>
      </w:r>
      <w:r>
        <w:rPr>
          <w:sz w:val="20"/>
        </w:rPr>
        <w:t>población,</w:t>
      </w:r>
      <w:r>
        <w:rPr>
          <w:spacing w:val="-2"/>
          <w:sz w:val="20"/>
        </w:rPr>
        <w:t> </w:t>
      </w:r>
      <w:r>
        <w:rPr>
          <w:sz w:val="20"/>
        </w:rPr>
        <w:t>así</w:t>
      </w:r>
      <w:r>
        <w:rPr>
          <w:spacing w:val="-4"/>
          <w:sz w:val="20"/>
        </w:rPr>
        <w:t> </w:t>
      </w:r>
      <w:r>
        <w:rPr>
          <w:sz w:val="20"/>
        </w:rPr>
        <w:t>como</w:t>
      </w:r>
      <w:r>
        <w:rPr>
          <w:spacing w:val="-4"/>
          <w:sz w:val="20"/>
        </w:rPr>
        <w:t> </w:t>
      </w:r>
      <w:r>
        <w:rPr>
          <w:sz w:val="20"/>
        </w:rPr>
        <w:t>del reparto equitativo de vialidades locales que permitan recorridos cortos;</w:t>
      </w:r>
    </w:p>
    <w:p>
      <w:pPr>
        <w:pStyle w:val="BodyText"/>
        <w:spacing w:before="1"/>
      </w:pPr>
    </w:p>
    <w:p>
      <w:pPr>
        <w:pStyle w:val="ListParagraph"/>
        <w:numPr>
          <w:ilvl w:val="0"/>
          <w:numId w:val="65"/>
        </w:numPr>
        <w:tabs>
          <w:tab w:pos="544" w:val="left" w:leader="none"/>
        </w:tabs>
        <w:spacing w:line="240" w:lineRule="auto" w:before="1" w:after="0"/>
        <w:ind w:left="262" w:right="289" w:firstLine="0"/>
        <w:jc w:val="both"/>
        <w:rPr>
          <w:sz w:val="20"/>
        </w:rPr>
      </w:pPr>
      <w:r>
        <w:rPr>
          <w:sz w:val="20"/>
        </w:rPr>
        <w:t>Aumentar</w:t>
      </w:r>
      <w:r>
        <w:rPr>
          <w:spacing w:val="-1"/>
          <w:sz w:val="20"/>
        </w:rPr>
        <w:t> </w:t>
      </w:r>
      <w:r>
        <w:rPr>
          <w:sz w:val="20"/>
        </w:rPr>
        <w:t>el número de opciones de servicios y</w:t>
      </w:r>
      <w:r>
        <w:rPr>
          <w:spacing w:val="-1"/>
          <w:sz w:val="20"/>
        </w:rPr>
        <w:t> </w:t>
      </w:r>
      <w:r>
        <w:rPr>
          <w:sz w:val="20"/>
        </w:rPr>
        <w:t>modos</w:t>
      </w:r>
      <w:r>
        <w:rPr>
          <w:spacing w:val="-1"/>
          <w:sz w:val="20"/>
        </w:rPr>
        <w:t> </w:t>
      </w:r>
      <w:r>
        <w:rPr>
          <w:sz w:val="20"/>
        </w:rPr>
        <w:t>de transporte, por medio del</w:t>
      </w:r>
      <w:r>
        <w:rPr>
          <w:spacing w:val="-1"/>
          <w:sz w:val="20"/>
        </w:rPr>
        <w:t> </w:t>
      </w:r>
      <w:r>
        <w:rPr>
          <w:sz w:val="20"/>
        </w:rPr>
        <w:t>fomento de mecanismos para el financiamiento de la operación del trasporte público;</w:t>
      </w:r>
    </w:p>
    <w:p>
      <w:pPr>
        <w:pStyle w:val="ListParagraph"/>
        <w:numPr>
          <w:ilvl w:val="0"/>
          <w:numId w:val="65"/>
        </w:numPr>
        <w:tabs>
          <w:tab w:pos="688" w:val="left" w:leader="none"/>
        </w:tabs>
        <w:spacing w:line="240" w:lineRule="auto" w:before="228" w:after="0"/>
        <w:ind w:left="262" w:right="286" w:firstLine="0"/>
        <w:jc w:val="both"/>
        <w:rPr>
          <w:sz w:val="20"/>
        </w:rPr>
      </w:pPr>
      <w:r>
        <w:rPr>
          <w:sz w:val="20"/>
        </w:rPr>
        <w:t>Establecer políticas y programas para la prevención de accidentes automovilísticos, que desincentive el uso de los teléfonos celulares al conducir, se prohiba manejar bajo el influjo del alcohol o cualquier droga, psicotrópico o estupefaciente;</w:t>
      </w:r>
    </w:p>
    <w:p>
      <w:pPr>
        <w:pStyle w:val="BodyText"/>
      </w:pPr>
    </w:p>
    <w:p>
      <w:pPr>
        <w:pStyle w:val="ListParagraph"/>
        <w:numPr>
          <w:ilvl w:val="0"/>
          <w:numId w:val="65"/>
        </w:numPr>
        <w:tabs>
          <w:tab w:pos="968" w:val="left" w:leader="none"/>
        </w:tabs>
        <w:spacing w:line="240" w:lineRule="auto" w:before="0" w:after="0"/>
        <w:ind w:left="262" w:right="280" w:firstLine="0"/>
        <w:jc w:val="both"/>
        <w:rPr>
          <w:sz w:val="20"/>
        </w:rPr>
      </w:pPr>
      <w:r>
        <w:rPr>
          <w:sz w:val="20"/>
        </w:rPr>
        <w:t>Promover</w:t>
      </w:r>
      <w:r>
        <w:rPr>
          <w:spacing w:val="-5"/>
          <w:sz w:val="20"/>
        </w:rPr>
        <w:t> </w:t>
      </w:r>
      <w:r>
        <w:rPr>
          <w:sz w:val="20"/>
        </w:rPr>
        <w:t>políticas</w:t>
      </w:r>
      <w:r>
        <w:rPr>
          <w:spacing w:val="-7"/>
          <w:sz w:val="20"/>
        </w:rPr>
        <w:t> </w:t>
      </w:r>
      <w:r>
        <w:rPr>
          <w:sz w:val="20"/>
        </w:rPr>
        <w:t>que</w:t>
      </w:r>
      <w:r>
        <w:rPr>
          <w:spacing w:val="-6"/>
          <w:sz w:val="20"/>
        </w:rPr>
        <w:t> </w:t>
      </w:r>
      <w:r>
        <w:rPr>
          <w:sz w:val="20"/>
        </w:rPr>
        <w:t>integren</w:t>
      </w:r>
      <w:r>
        <w:rPr>
          <w:spacing w:val="-7"/>
          <w:sz w:val="20"/>
        </w:rPr>
        <w:t> </w:t>
      </w:r>
      <w:r>
        <w:rPr>
          <w:sz w:val="20"/>
        </w:rPr>
        <w:t>al</w:t>
      </w:r>
      <w:r>
        <w:rPr>
          <w:spacing w:val="-7"/>
          <w:sz w:val="20"/>
        </w:rPr>
        <w:t> </w:t>
      </w:r>
      <w:r>
        <w:rPr>
          <w:sz w:val="20"/>
        </w:rPr>
        <w:t>transporte</w:t>
      </w:r>
      <w:r>
        <w:rPr>
          <w:spacing w:val="-6"/>
          <w:sz w:val="20"/>
        </w:rPr>
        <w:t> </w:t>
      </w:r>
      <w:r>
        <w:rPr>
          <w:sz w:val="20"/>
        </w:rPr>
        <w:t>de</w:t>
      </w:r>
      <w:r>
        <w:rPr>
          <w:spacing w:val="-6"/>
          <w:sz w:val="20"/>
        </w:rPr>
        <w:t> </w:t>
      </w:r>
      <w:r>
        <w:rPr>
          <w:sz w:val="20"/>
        </w:rPr>
        <w:t>carga</w:t>
      </w:r>
      <w:r>
        <w:rPr>
          <w:spacing w:val="-5"/>
          <w:sz w:val="20"/>
        </w:rPr>
        <w:t> </w:t>
      </w:r>
      <w:r>
        <w:rPr>
          <w:sz w:val="20"/>
        </w:rPr>
        <w:t>y</w:t>
      </w:r>
      <w:r>
        <w:rPr>
          <w:spacing w:val="-7"/>
          <w:sz w:val="20"/>
        </w:rPr>
        <w:t> </w:t>
      </w:r>
      <w:r>
        <w:rPr>
          <w:sz w:val="20"/>
        </w:rPr>
        <w:t>fomenten</w:t>
      </w:r>
      <w:r>
        <w:rPr>
          <w:spacing w:val="-6"/>
          <w:sz w:val="20"/>
        </w:rPr>
        <w:t> </w:t>
      </w:r>
      <w:r>
        <w:rPr>
          <w:sz w:val="20"/>
        </w:rPr>
        <w:t>la</w:t>
      </w:r>
      <w:r>
        <w:rPr>
          <w:spacing w:val="-6"/>
          <w:sz w:val="20"/>
        </w:rPr>
        <w:t> </w:t>
      </w:r>
      <w:r>
        <w:rPr>
          <w:sz w:val="20"/>
        </w:rPr>
        <w:t>movilidad</w:t>
      </w:r>
      <w:r>
        <w:rPr>
          <w:spacing w:val="-7"/>
          <w:sz w:val="20"/>
        </w:rPr>
        <w:t> </w:t>
      </w:r>
      <w:r>
        <w:rPr>
          <w:sz w:val="20"/>
        </w:rPr>
        <w:t>institucional, entendida esta última, como aquella realizada por el sector público y privado o instituciones académicas</w:t>
      </w:r>
      <w:r>
        <w:rPr>
          <w:spacing w:val="-10"/>
          <w:sz w:val="20"/>
        </w:rPr>
        <w:t> </w:t>
      </w:r>
      <w:r>
        <w:rPr>
          <w:sz w:val="20"/>
        </w:rPr>
        <w:t>orientadas</w:t>
      </w:r>
      <w:r>
        <w:rPr>
          <w:spacing w:val="-10"/>
          <w:sz w:val="20"/>
        </w:rPr>
        <w:t> </w:t>
      </w:r>
      <w:r>
        <w:rPr>
          <w:sz w:val="20"/>
        </w:rPr>
        <w:t>a</w:t>
      </w:r>
      <w:r>
        <w:rPr>
          <w:spacing w:val="-11"/>
          <w:sz w:val="20"/>
        </w:rPr>
        <w:t> </w:t>
      </w:r>
      <w:r>
        <w:rPr>
          <w:sz w:val="20"/>
        </w:rPr>
        <w:t>racionalizar</w:t>
      </w:r>
      <w:r>
        <w:rPr>
          <w:spacing w:val="-8"/>
          <w:sz w:val="20"/>
        </w:rPr>
        <w:t> </w:t>
      </w:r>
      <w:r>
        <w:rPr>
          <w:sz w:val="20"/>
        </w:rPr>
        <w:t>el</w:t>
      </w:r>
      <w:r>
        <w:rPr>
          <w:spacing w:val="-10"/>
          <w:sz w:val="20"/>
        </w:rPr>
        <w:t> </w:t>
      </w:r>
      <w:r>
        <w:rPr>
          <w:sz w:val="20"/>
        </w:rPr>
        <w:t>uso</w:t>
      </w:r>
      <w:r>
        <w:rPr>
          <w:spacing w:val="-9"/>
          <w:sz w:val="20"/>
        </w:rPr>
        <w:t> </w:t>
      </w:r>
      <w:r>
        <w:rPr>
          <w:sz w:val="20"/>
        </w:rPr>
        <w:t>del</w:t>
      </w:r>
      <w:r>
        <w:rPr>
          <w:spacing w:val="-12"/>
          <w:sz w:val="20"/>
        </w:rPr>
        <w:t> </w:t>
      </w:r>
      <w:r>
        <w:rPr>
          <w:sz w:val="20"/>
        </w:rPr>
        <w:t>automóvil</w:t>
      </w:r>
      <w:r>
        <w:rPr>
          <w:spacing w:val="-12"/>
          <w:sz w:val="20"/>
        </w:rPr>
        <w:t> </w:t>
      </w:r>
      <w:r>
        <w:rPr>
          <w:sz w:val="20"/>
        </w:rPr>
        <w:t>entre</w:t>
      </w:r>
      <w:r>
        <w:rPr>
          <w:spacing w:val="-9"/>
          <w:sz w:val="20"/>
        </w:rPr>
        <w:t> </w:t>
      </w:r>
      <w:r>
        <w:rPr>
          <w:sz w:val="20"/>
        </w:rPr>
        <w:t>quienes</w:t>
      </w:r>
      <w:r>
        <w:rPr>
          <w:spacing w:val="-10"/>
          <w:sz w:val="20"/>
        </w:rPr>
        <w:t> </w:t>
      </w:r>
      <w:r>
        <w:rPr>
          <w:sz w:val="20"/>
        </w:rPr>
        <w:t>acuden</w:t>
      </w:r>
      <w:r>
        <w:rPr>
          <w:spacing w:val="-10"/>
          <w:sz w:val="20"/>
        </w:rPr>
        <w:t> </w:t>
      </w:r>
      <w:r>
        <w:rPr>
          <w:sz w:val="20"/>
        </w:rPr>
        <w:t>a</w:t>
      </w:r>
      <w:r>
        <w:rPr>
          <w:spacing w:val="-9"/>
          <w:sz w:val="20"/>
        </w:rPr>
        <w:t> </w:t>
      </w:r>
      <w:r>
        <w:rPr>
          <w:sz w:val="20"/>
        </w:rPr>
        <w:t>sus</w:t>
      </w:r>
      <w:r>
        <w:rPr>
          <w:spacing w:val="-10"/>
          <w:sz w:val="20"/>
        </w:rPr>
        <w:t> </w:t>
      </w:r>
      <w:r>
        <w:rPr>
          <w:sz w:val="20"/>
        </w:rPr>
        <w:t>instalaciones, incluyendo sistemas de auto compartido, transporte público privado, fomento al uso de la bicicleta, aumento de ciclopistas, redistribución de acuerdo a su residencia y todo tipo de innovación en el sector privado encaminada a dichos fines;</w:t>
      </w:r>
    </w:p>
    <w:p>
      <w:pPr>
        <w:pStyle w:val="BodyText"/>
        <w:spacing w:before="1"/>
      </w:pPr>
    </w:p>
    <w:p>
      <w:pPr>
        <w:pStyle w:val="ListParagraph"/>
        <w:numPr>
          <w:ilvl w:val="0"/>
          <w:numId w:val="65"/>
        </w:numPr>
        <w:tabs>
          <w:tab w:pos="968" w:val="left" w:leader="none"/>
        </w:tabs>
        <w:spacing w:line="240" w:lineRule="auto" w:before="0" w:after="0"/>
        <w:ind w:left="262" w:right="280" w:firstLine="0"/>
        <w:jc w:val="both"/>
        <w:rPr>
          <w:sz w:val="20"/>
        </w:rPr>
      </w:pPr>
      <w:r>
        <w:rPr>
          <w:sz w:val="20"/>
        </w:rPr>
        <w:t>Potenciar de manera estratégica la flexibilidad de modos de movilidad no motorizada y de transporte colectivo, a fin de que puedan competir con las ventajas individuales del automóvil privado,</w:t>
      </w:r>
      <w:r>
        <w:rPr>
          <w:spacing w:val="-1"/>
          <w:sz w:val="20"/>
        </w:rPr>
        <w:t> </w:t>
      </w:r>
      <w:r>
        <w:rPr>
          <w:sz w:val="20"/>
        </w:rPr>
        <w:t>mediante</w:t>
      </w:r>
      <w:r>
        <w:rPr>
          <w:spacing w:val="-3"/>
          <w:sz w:val="20"/>
        </w:rPr>
        <w:t> </w:t>
      </w:r>
      <w:r>
        <w:rPr>
          <w:sz w:val="20"/>
        </w:rPr>
        <w:t>la</w:t>
      </w:r>
      <w:r>
        <w:rPr>
          <w:spacing w:val="-3"/>
          <w:sz w:val="20"/>
        </w:rPr>
        <w:t> </w:t>
      </w:r>
      <w:r>
        <w:rPr>
          <w:sz w:val="20"/>
        </w:rPr>
        <w:t>promoción</w:t>
      </w:r>
      <w:r>
        <w:rPr>
          <w:spacing w:val="-3"/>
          <w:sz w:val="20"/>
        </w:rPr>
        <w:t> </w:t>
      </w:r>
      <w:r>
        <w:rPr>
          <w:sz w:val="20"/>
        </w:rPr>
        <w:t>de</w:t>
      </w:r>
      <w:r>
        <w:rPr>
          <w:spacing w:val="-3"/>
          <w:sz w:val="20"/>
        </w:rPr>
        <w:t> </w:t>
      </w:r>
      <w:r>
        <w:rPr>
          <w:sz w:val="20"/>
        </w:rPr>
        <w:t>la</w:t>
      </w:r>
      <w:r>
        <w:rPr>
          <w:spacing w:val="-3"/>
          <w:sz w:val="20"/>
        </w:rPr>
        <w:t> </w:t>
      </w:r>
      <w:r>
        <w:rPr>
          <w:sz w:val="20"/>
        </w:rPr>
        <w:t>intermodalidad,</w:t>
      </w:r>
      <w:r>
        <w:rPr>
          <w:spacing w:val="-3"/>
          <w:sz w:val="20"/>
        </w:rPr>
        <w:t> </w:t>
      </w:r>
      <w:r>
        <w:rPr>
          <w:sz w:val="20"/>
        </w:rPr>
        <w:t>la</w:t>
      </w:r>
      <w:r>
        <w:rPr>
          <w:spacing w:val="-5"/>
          <w:sz w:val="20"/>
        </w:rPr>
        <w:t> </w:t>
      </w:r>
      <w:r>
        <w:rPr>
          <w:sz w:val="20"/>
        </w:rPr>
        <w:t>construcción</w:t>
      </w:r>
      <w:r>
        <w:rPr>
          <w:spacing w:val="-5"/>
          <w:sz w:val="20"/>
        </w:rPr>
        <w:t> </w:t>
      </w:r>
      <w:r>
        <w:rPr>
          <w:sz w:val="20"/>
        </w:rPr>
        <w:t>y</w:t>
      </w:r>
      <w:r>
        <w:rPr>
          <w:spacing w:val="-2"/>
          <w:sz w:val="20"/>
        </w:rPr>
        <w:t> </w:t>
      </w:r>
      <w:r>
        <w:rPr>
          <w:sz w:val="20"/>
        </w:rPr>
        <w:t>mejora</w:t>
      </w:r>
      <w:r>
        <w:rPr>
          <w:spacing w:val="-3"/>
          <w:sz w:val="20"/>
        </w:rPr>
        <w:t> </w:t>
      </w:r>
      <w:r>
        <w:rPr>
          <w:sz w:val="20"/>
        </w:rPr>
        <w:t>de</w:t>
      </w:r>
      <w:r>
        <w:rPr>
          <w:spacing w:val="-1"/>
          <w:sz w:val="20"/>
        </w:rPr>
        <w:t> </w:t>
      </w:r>
      <w:r>
        <w:rPr>
          <w:sz w:val="20"/>
        </w:rPr>
        <w:t>estacionamientos de automóviles motorizados, bicicletas y motocicletas en estaciones de transporte público, en especial</w:t>
      </w:r>
      <w:r>
        <w:rPr>
          <w:spacing w:val="-3"/>
          <w:sz w:val="20"/>
        </w:rPr>
        <w:t> </w:t>
      </w:r>
      <w:r>
        <w:rPr>
          <w:sz w:val="20"/>
        </w:rPr>
        <w:t>en</w:t>
      </w:r>
      <w:r>
        <w:rPr>
          <w:spacing w:val="-2"/>
          <w:sz w:val="20"/>
        </w:rPr>
        <w:t> </w:t>
      </w:r>
      <w:r>
        <w:rPr>
          <w:sz w:val="20"/>
        </w:rPr>
        <w:t>los</w:t>
      </w:r>
      <w:r>
        <w:rPr>
          <w:spacing w:val="-1"/>
          <w:sz w:val="20"/>
        </w:rPr>
        <w:t> </w:t>
      </w:r>
      <w:r>
        <w:rPr>
          <w:sz w:val="20"/>
        </w:rPr>
        <w:t>Centros</w:t>
      </w:r>
      <w:r>
        <w:rPr>
          <w:spacing w:val="-3"/>
          <w:sz w:val="20"/>
        </w:rPr>
        <w:t> </w:t>
      </w:r>
      <w:r>
        <w:rPr>
          <w:sz w:val="20"/>
        </w:rPr>
        <w:t>de</w:t>
      </w:r>
      <w:r>
        <w:rPr>
          <w:spacing w:val="-2"/>
          <w:sz w:val="20"/>
        </w:rPr>
        <w:t> </w:t>
      </w:r>
      <w:r>
        <w:rPr>
          <w:sz w:val="20"/>
        </w:rPr>
        <w:t>Transferencia</w:t>
      </w:r>
      <w:r>
        <w:rPr>
          <w:spacing w:val="-4"/>
          <w:sz w:val="20"/>
        </w:rPr>
        <w:t> </w:t>
      </w:r>
      <w:r>
        <w:rPr>
          <w:sz w:val="20"/>
        </w:rPr>
        <w:t>Intermodal,</w:t>
      </w:r>
      <w:r>
        <w:rPr>
          <w:spacing w:val="-2"/>
          <w:sz w:val="20"/>
        </w:rPr>
        <w:t> </w:t>
      </w:r>
      <w:r>
        <w:rPr>
          <w:sz w:val="20"/>
        </w:rPr>
        <w:t>así</w:t>
      </w:r>
      <w:r>
        <w:rPr>
          <w:spacing w:val="-4"/>
          <w:sz w:val="20"/>
        </w:rPr>
        <w:t> </w:t>
      </w:r>
      <w:r>
        <w:rPr>
          <w:sz w:val="20"/>
        </w:rPr>
        <w:t>como</w:t>
      </w:r>
      <w:r>
        <w:rPr>
          <w:spacing w:val="-2"/>
          <w:sz w:val="20"/>
        </w:rPr>
        <w:t> </w:t>
      </w:r>
      <w:r>
        <w:rPr>
          <w:sz w:val="20"/>
        </w:rPr>
        <w:t>ampliar</w:t>
      </w:r>
      <w:r>
        <w:rPr>
          <w:spacing w:val="-1"/>
          <w:sz w:val="20"/>
        </w:rPr>
        <w:t> </w:t>
      </w:r>
      <w:r>
        <w:rPr>
          <w:sz w:val="20"/>
        </w:rPr>
        <w:t>el</w:t>
      </w:r>
      <w:r>
        <w:rPr>
          <w:spacing w:val="-3"/>
          <w:sz w:val="20"/>
        </w:rPr>
        <w:t> </w:t>
      </w:r>
      <w:r>
        <w:rPr>
          <w:sz w:val="20"/>
        </w:rPr>
        <w:t>acceso de</w:t>
      </w:r>
      <w:r>
        <w:rPr>
          <w:spacing w:val="-3"/>
          <w:sz w:val="20"/>
        </w:rPr>
        <w:t> </w:t>
      </w:r>
      <w:r>
        <w:rPr>
          <w:sz w:val="20"/>
        </w:rPr>
        <w:t>las</w:t>
      </w:r>
      <w:r>
        <w:rPr>
          <w:spacing w:val="-1"/>
          <w:sz w:val="20"/>
        </w:rPr>
        <w:t> </w:t>
      </w:r>
      <w:r>
        <w:rPr>
          <w:sz w:val="20"/>
        </w:rPr>
        <w:t>bicicletas a los sistemas de transporte público;</w:t>
      </w:r>
    </w:p>
    <w:p>
      <w:pPr>
        <w:pStyle w:val="BodyText"/>
        <w:spacing w:before="1"/>
      </w:pPr>
    </w:p>
    <w:p>
      <w:pPr>
        <w:pStyle w:val="ListParagraph"/>
        <w:numPr>
          <w:ilvl w:val="0"/>
          <w:numId w:val="65"/>
        </w:numPr>
        <w:tabs>
          <w:tab w:pos="882" w:val="left" w:leader="none"/>
        </w:tabs>
        <w:spacing w:line="240" w:lineRule="auto" w:before="0" w:after="0"/>
        <w:ind w:left="262" w:right="279" w:firstLine="0"/>
        <w:jc w:val="both"/>
        <w:rPr>
          <w:sz w:val="20"/>
        </w:rPr>
      </w:pPr>
      <w:r>
        <w:rPr>
          <w:sz w:val="20"/>
        </w:rPr>
        <w:t>Promover</w:t>
      </w:r>
      <w:r>
        <w:rPr>
          <w:spacing w:val="-7"/>
          <w:sz w:val="20"/>
        </w:rPr>
        <w:t> </w:t>
      </w:r>
      <w:r>
        <w:rPr>
          <w:sz w:val="20"/>
        </w:rPr>
        <w:t>que</w:t>
      </w:r>
      <w:r>
        <w:rPr>
          <w:spacing w:val="-6"/>
          <w:sz w:val="20"/>
        </w:rPr>
        <w:t> </w:t>
      </w:r>
      <w:r>
        <w:rPr>
          <w:sz w:val="20"/>
        </w:rPr>
        <w:t>en</w:t>
      </w:r>
      <w:r>
        <w:rPr>
          <w:spacing w:val="-6"/>
          <w:sz w:val="20"/>
        </w:rPr>
        <w:t> </w:t>
      </w:r>
      <w:r>
        <w:rPr>
          <w:sz w:val="20"/>
        </w:rPr>
        <w:t>los</w:t>
      </w:r>
      <w:r>
        <w:rPr>
          <w:spacing w:val="-5"/>
          <w:sz w:val="20"/>
        </w:rPr>
        <w:t> </w:t>
      </w:r>
      <w:r>
        <w:rPr>
          <w:sz w:val="20"/>
        </w:rPr>
        <w:t>edificios,</w:t>
      </w:r>
      <w:r>
        <w:rPr>
          <w:spacing w:val="-8"/>
          <w:sz w:val="20"/>
        </w:rPr>
        <w:t> </w:t>
      </w:r>
      <w:r>
        <w:rPr>
          <w:sz w:val="20"/>
        </w:rPr>
        <w:t>públicos</w:t>
      </w:r>
      <w:r>
        <w:rPr>
          <w:spacing w:val="-7"/>
          <w:sz w:val="20"/>
        </w:rPr>
        <w:t> </w:t>
      </w:r>
      <w:r>
        <w:rPr>
          <w:sz w:val="20"/>
        </w:rPr>
        <w:t>y</w:t>
      </w:r>
      <w:r>
        <w:rPr>
          <w:spacing w:val="-7"/>
          <w:sz w:val="20"/>
        </w:rPr>
        <w:t> </w:t>
      </w:r>
      <w:r>
        <w:rPr>
          <w:sz w:val="20"/>
        </w:rPr>
        <w:t>privados,</w:t>
      </w:r>
      <w:r>
        <w:rPr>
          <w:spacing w:val="-6"/>
          <w:sz w:val="20"/>
        </w:rPr>
        <w:t> </w:t>
      </w:r>
      <w:r>
        <w:rPr>
          <w:sz w:val="20"/>
        </w:rPr>
        <w:t>con</w:t>
      </w:r>
      <w:r>
        <w:rPr>
          <w:spacing w:val="-6"/>
          <w:sz w:val="20"/>
        </w:rPr>
        <w:t> </w:t>
      </w:r>
      <w:r>
        <w:rPr>
          <w:sz w:val="20"/>
        </w:rPr>
        <w:t>una</w:t>
      </w:r>
      <w:r>
        <w:rPr>
          <w:spacing w:val="-8"/>
          <w:sz w:val="20"/>
        </w:rPr>
        <w:t> </w:t>
      </w:r>
      <w:r>
        <w:rPr>
          <w:sz w:val="20"/>
        </w:rPr>
        <w:t>carga</w:t>
      </w:r>
      <w:r>
        <w:rPr>
          <w:spacing w:val="-8"/>
          <w:sz w:val="20"/>
        </w:rPr>
        <w:t> </w:t>
      </w:r>
      <w:r>
        <w:rPr>
          <w:sz w:val="20"/>
        </w:rPr>
        <w:t>de</w:t>
      </w:r>
      <w:r>
        <w:rPr>
          <w:spacing w:val="-6"/>
          <w:sz w:val="20"/>
        </w:rPr>
        <w:t> </w:t>
      </w:r>
      <w:r>
        <w:rPr>
          <w:sz w:val="20"/>
        </w:rPr>
        <w:t>uso</w:t>
      </w:r>
      <w:r>
        <w:rPr>
          <w:spacing w:val="-8"/>
          <w:sz w:val="20"/>
        </w:rPr>
        <w:t> </w:t>
      </w:r>
      <w:r>
        <w:rPr>
          <w:sz w:val="20"/>
        </w:rPr>
        <w:t>de</w:t>
      </w:r>
      <w:r>
        <w:rPr>
          <w:spacing w:val="-8"/>
          <w:sz w:val="20"/>
        </w:rPr>
        <w:t> </w:t>
      </w:r>
      <w:r>
        <w:rPr>
          <w:sz w:val="20"/>
        </w:rPr>
        <w:t>cincuenta</w:t>
      </w:r>
      <w:r>
        <w:rPr>
          <w:spacing w:val="-6"/>
          <w:sz w:val="20"/>
        </w:rPr>
        <w:t> </w:t>
      </w:r>
      <w:r>
        <w:rPr>
          <w:sz w:val="20"/>
        </w:rPr>
        <w:t>o</w:t>
      </w:r>
      <w:r>
        <w:rPr>
          <w:spacing w:val="-6"/>
          <w:sz w:val="20"/>
        </w:rPr>
        <w:t> </w:t>
      </w:r>
      <w:r>
        <w:rPr>
          <w:sz w:val="20"/>
        </w:rPr>
        <w:t>más personas cuenten con estacionamiento para bicicletas. Esto incluye edificios de oficinas, de departamentos, servicios públicos, universidades, colegios, centros comerciales y recreativos de todo</w:t>
      </w:r>
      <w:r>
        <w:rPr>
          <w:spacing w:val="-7"/>
          <w:sz w:val="20"/>
        </w:rPr>
        <w:t> </w:t>
      </w:r>
      <w:r>
        <w:rPr>
          <w:sz w:val="20"/>
        </w:rPr>
        <w:t>el</w:t>
      </w:r>
      <w:r>
        <w:rPr>
          <w:spacing w:val="-8"/>
          <w:sz w:val="20"/>
        </w:rPr>
        <w:t> </w:t>
      </w:r>
      <w:r>
        <w:rPr>
          <w:sz w:val="20"/>
        </w:rPr>
        <w:t>Estado.</w:t>
      </w:r>
      <w:r>
        <w:rPr>
          <w:spacing w:val="-6"/>
          <w:sz w:val="20"/>
        </w:rPr>
        <w:t> </w:t>
      </w:r>
      <w:r>
        <w:rPr>
          <w:sz w:val="20"/>
        </w:rPr>
        <w:t>Los</w:t>
      </w:r>
      <w:r>
        <w:rPr>
          <w:spacing w:val="-8"/>
          <w:sz w:val="20"/>
        </w:rPr>
        <w:t> </w:t>
      </w:r>
      <w:r>
        <w:rPr>
          <w:sz w:val="20"/>
        </w:rPr>
        <w:t>estacionamientos</w:t>
      </w:r>
      <w:r>
        <w:rPr>
          <w:spacing w:val="-8"/>
          <w:sz w:val="20"/>
        </w:rPr>
        <w:t> </w:t>
      </w:r>
      <w:r>
        <w:rPr>
          <w:sz w:val="20"/>
        </w:rPr>
        <w:t>de</w:t>
      </w:r>
      <w:r>
        <w:rPr>
          <w:spacing w:val="-7"/>
          <w:sz w:val="20"/>
        </w:rPr>
        <w:t> </w:t>
      </w:r>
      <w:r>
        <w:rPr>
          <w:sz w:val="20"/>
        </w:rPr>
        <w:t>bicicletas</w:t>
      </w:r>
      <w:r>
        <w:rPr>
          <w:spacing w:val="-8"/>
          <w:sz w:val="20"/>
        </w:rPr>
        <w:t> </w:t>
      </w:r>
      <w:r>
        <w:rPr>
          <w:sz w:val="20"/>
        </w:rPr>
        <w:t>han</w:t>
      </w:r>
      <w:r>
        <w:rPr>
          <w:spacing w:val="-7"/>
          <w:sz w:val="20"/>
        </w:rPr>
        <w:t> </w:t>
      </w:r>
      <w:r>
        <w:rPr>
          <w:sz w:val="20"/>
        </w:rPr>
        <w:t>de</w:t>
      </w:r>
      <w:r>
        <w:rPr>
          <w:spacing w:val="-9"/>
          <w:sz w:val="20"/>
        </w:rPr>
        <w:t> </w:t>
      </w:r>
      <w:r>
        <w:rPr>
          <w:sz w:val="20"/>
        </w:rPr>
        <w:t>ser</w:t>
      </w:r>
      <w:r>
        <w:rPr>
          <w:spacing w:val="-8"/>
          <w:sz w:val="20"/>
        </w:rPr>
        <w:t> </w:t>
      </w:r>
      <w:r>
        <w:rPr>
          <w:sz w:val="20"/>
        </w:rPr>
        <w:t>visibles,</w:t>
      </w:r>
      <w:r>
        <w:rPr>
          <w:spacing w:val="-9"/>
          <w:sz w:val="20"/>
        </w:rPr>
        <w:t> </w:t>
      </w:r>
      <w:r>
        <w:rPr>
          <w:sz w:val="20"/>
        </w:rPr>
        <w:t>accesibles,</w:t>
      </w:r>
      <w:r>
        <w:rPr>
          <w:spacing w:val="-6"/>
          <w:sz w:val="20"/>
        </w:rPr>
        <w:t> </w:t>
      </w:r>
      <w:r>
        <w:rPr>
          <w:sz w:val="20"/>
        </w:rPr>
        <w:t>fáciles</w:t>
      </w:r>
      <w:r>
        <w:rPr>
          <w:spacing w:val="-8"/>
          <w:sz w:val="20"/>
        </w:rPr>
        <w:t> </w:t>
      </w:r>
      <w:r>
        <w:rPr>
          <w:sz w:val="20"/>
        </w:rPr>
        <w:t>de</w:t>
      </w:r>
      <w:r>
        <w:rPr>
          <w:spacing w:val="-7"/>
          <w:sz w:val="20"/>
        </w:rPr>
        <w:t> </w:t>
      </w:r>
      <w:r>
        <w:rPr>
          <w:sz w:val="20"/>
        </w:rPr>
        <w:t>utilizar, cómodos y espaciosos, y</w:t>
      </w:r>
    </w:p>
    <w:p>
      <w:pPr>
        <w:pStyle w:val="BodyText"/>
      </w:pPr>
    </w:p>
    <w:p>
      <w:pPr>
        <w:pStyle w:val="ListParagraph"/>
        <w:numPr>
          <w:ilvl w:val="0"/>
          <w:numId w:val="65"/>
        </w:numPr>
        <w:tabs>
          <w:tab w:pos="827" w:val="left" w:leader="none"/>
        </w:tabs>
        <w:spacing w:line="240" w:lineRule="auto" w:before="0" w:after="0"/>
        <w:ind w:left="262" w:right="279" w:firstLine="0"/>
        <w:jc w:val="both"/>
        <w:rPr>
          <w:sz w:val="20"/>
        </w:rPr>
      </w:pPr>
      <w:r>
        <w:rPr>
          <w:sz w:val="20"/>
        </w:rPr>
        <w:t>En</w:t>
      </w:r>
      <w:r>
        <w:rPr>
          <w:spacing w:val="-3"/>
          <w:sz w:val="20"/>
        </w:rPr>
        <w:t> </w:t>
      </w:r>
      <w:r>
        <w:rPr>
          <w:sz w:val="20"/>
        </w:rPr>
        <w:t>el</w:t>
      </w:r>
      <w:r>
        <w:rPr>
          <w:spacing w:val="-4"/>
          <w:sz w:val="20"/>
        </w:rPr>
        <w:t> </w:t>
      </w:r>
      <w:r>
        <w:rPr>
          <w:sz w:val="20"/>
        </w:rPr>
        <w:t>caso</w:t>
      </w:r>
      <w:r>
        <w:rPr>
          <w:spacing w:val="-6"/>
          <w:sz w:val="20"/>
        </w:rPr>
        <w:t> </w:t>
      </w:r>
      <w:r>
        <w:rPr>
          <w:sz w:val="20"/>
        </w:rPr>
        <w:t>de</w:t>
      </w:r>
      <w:r>
        <w:rPr>
          <w:spacing w:val="-6"/>
          <w:sz w:val="20"/>
        </w:rPr>
        <w:t> </w:t>
      </w:r>
      <w:r>
        <w:rPr>
          <w:sz w:val="20"/>
        </w:rPr>
        <w:t>dos</w:t>
      </w:r>
      <w:r>
        <w:rPr>
          <w:spacing w:val="-5"/>
          <w:sz w:val="20"/>
        </w:rPr>
        <w:t> </w:t>
      </w:r>
      <w:r>
        <w:rPr>
          <w:sz w:val="20"/>
        </w:rPr>
        <w:t>o</w:t>
      </w:r>
      <w:r>
        <w:rPr>
          <w:spacing w:val="-4"/>
          <w:sz w:val="20"/>
        </w:rPr>
        <w:t> </w:t>
      </w:r>
      <w:r>
        <w:rPr>
          <w:sz w:val="20"/>
        </w:rPr>
        <w:t>más</w:t>
      </w:r>
      <w:r>
        <w:rPr>
          <w:spacing w:val="-4"/>
          <w:sz w:val="20"/>
        </w:rPr>
        <w:t> </w:t>
      </w:r>
      <w:r>
        <w:rPr>
          <w:sz w:val="20"/>
        </w:rPr>
        <w:t>centros</w:t>
      </w:r>
      <w:r>
        <w:rPr>
          <w:spacing w:val="-4"/>
          <w:sz w:val="20"/>
        </w:rPr>
        <w:t> </w:t>
      </w:r>
      <w:r>
        <w:rPr>
          <w:sz w:val="20"/>
        </w:rPr>
        <w:t>población</w:t>
      </w:r>
      <w:r>
        <w:rPr>
          <w:spacing w:val="-4"/>
          <w:sz w:val="20"/>
        </w:rPr>
        <w:t> </w:t>
      </w:r>
      <w:r>
        <w:rPr>
          <w:sz w:val="20"/>
        </w:rPr>
        <w:t>que</w:t>
      </w:r>
      <w:r>
        <w:rPr>
          <w:spacing w:val="-4"/>
          <w:sz w:val="20"/>
        </w:rPr>
        <w:t> </w:t>
      </w:r>
      <w:r>
        <w:rPr>
          <w:sz w:val="20"/>
        </w:rPr>
        <w:t>integren</w:t>
      </w:r>
      <w:r>
        <w:rPr>
          <w:spacing w:val="-6"/>
          <w:sz w:val="20"/>
        </w:rPr>
        <w:t> </w:t>
      </w:r>
      <w:r>
        <w:rPr>
          <w:sz w:val="20"/>
        </w:rPr>
        <w:t>una</w:t>
      </w:r>
      <w:r>
        <w:rPr>
          <w:spacing w:val="-6"/>
          <w:sz w:val="20"/>
        </w:rPr>
        <w:t> </w:t>
      </w:r>
      <w:r>
        <w:rPr>
          <w:sz w:val="20"/>
        </w:rPr>
        <w:t>sola</w:t>
      </w:r>
      <w:r>
        <w:rPr>
          <w:spacing w:val="-3"/>
          <w:sz w:val="20"/>
        </w:rPr>
        <w:t> </w:t>
      </w:r>
      <w:r>
        <w:rPr>
          <w:sz w:val="20"/>
        </w:rPr>
        <w:t>área</w:t>
      </w:r>
      <w:r>
        <w:rPr>
          <w:spacing w:val="-4"/>
          <w:sz w:val="20"/>
        </w:rPr>
        <w:t> </w:t>
      </w:r>
      <w:r>
        <w:rPr>
          <w:sz w:val="20"/>
        </w:rPr>
        <w:t>urbana</w:t>
      </w:r>
      <w:r>
        <w:rPr>
          <w:spacing w:val="-4"/>
          <w:sz w:val="20"/>
        </w:rPr>
        <w:t> </w:t>
      </w:r>
      <w:r>
        <w:rPr>
          <w:sz w:val="20"/>
        </w:rPr>
        <w:t>o</w:t>
      </w:r>
      <w:r>
        <w:rPr>
          <w:spacing w:val="-6"/>
          <w:sz w:val="20"/>
        </w:rPr>
        <w:t> </w:t>
      </w:r>
      <w:r>
        <w:rPr>
          <w:sz w:val="20"/>
        </w:rPr>
        <w:t>formen</w:t>
      </w:r>
      <w:r>
        <w:rPr>
          <w:spacing w:val="-3"/>
          <w:sz w:val="20"/>
        </w:rPr>
        <w:t> </w:t>
      </w:r>
      <w:r>
        <w:rPr>
          <w:sz w:val="20"/>
        </w:rPr>
        <w:t>parte de una conurbación, el servicio de transporte público colectivo entre ellas se considerará urbano, debiendo</w:t>
      </w:r>
      <w:r>
        <w:rPr>
          <w:spacing w:val="-5"/>
          <w:sz w:val="20"/>
        </w:rPr>
        <w:t> </w:t>
      </w:r>
      <w:r>
        <w:rPr>
          <w:sz w:val="20"/>
        </w:rPr>
        <w:t>establecer</w:t>
      </w:r>
      <w:r>
        <w:rPr>
          <w:spacing w:val="-6"/>
          <w:sz w:val="20"/>
        </w:rPr>
        <w:t> </w:t>
      </w:r>
      <w:r>
        <w:rPr>
          <w:sz w:val="20"/>
        </w:rPr>
        <w:t>corredores</w:t>
      </w:r>
      <w:r>
        <w:rPr>
          <w:spacing w:val="-5"/>
          <w:sz w:val="20"/>
        </w:rPr>
        <w:t> </w:t>
      </w:r>
      <w:r>
        <w:rPr>
          <w:sz w:val="20"/>
        </w:rPr>
        <w:t>de</w:t>
      </w:r>
      <w:r>
        <w:rPr>
          <w:spacing w:val="-5"/>
          <w:sz w:val="20"/>
        </w:rPr>
        <w:t> </w:t>
      </w:r>
      <w:r>
        <w:rPr>
          <w:sz w:val="20"/>
        </w:rPr>
        <w:t>movilidad</w:t>
      </w:r>
      <w:r>
        <w:rPr>
          <w:spacing w:val="-5"/>
          <w:sz w:val="20"/>
        </w:rPr>
        <w:t> </w:t>
      </w:r>
      <w:r>
        <w:rPr>
          <w:sz w:val="20"/>
        </w:rPr>
        <w:t>que</w:t>
      </w:r>
      <w:r>
        <w:rPr>
          <w:spacing w:val="-5"/>
          <w:sz w:val="20"/>
        </w:rPr>
        <w:t> </w:t>
      </w:r>
      <w:r>
        <w:rPr>
          <w:sz w:val="20"/>
        </w:rPr>
        <w:t>incluyan</w:t>
      </w:r>
      <w:r>
        <w:rPr>
          <w:spacing w:val="-7"/>
          <w:sz w:val="20"/>
        </w:rPr>
        <w:t> </w:t>
      </w:r>
      <w:r>
        <w:rPr>
          <w:sz w:val="20"/>
        </w:rPr>
        <w:t>carril</w:t>
      </w:r>
      <w:r>
        <w:rPr>
          <w:spacing w:val="-5"/>
          <w:sz w:val="20"/>
        </w:rPr>
        <w:t> </w:t>
      </w:r>
      <w:r>
        <w:rPr>
          <w:sz w:val="20"/>
        </w:rPr>
        <w:t>exclusivo,</w:t>
      </w:r>
      <w:r>
        <w:rPr>
          <w:spacing w:val="-5"/>
          <w:sz w:val="20"/>
        </w:rPr>
        <w:t> </w:t>
      </w:r>
      <w:r>
        <w:rPr>
          <w:sz w:val="20"/>
        </w:rPr>
        <w:t>paradas</w:t>
      </w:r>
      <w:r>
        <w:rPr>
          <w:spacing w:val="-5"/>
          <w:sz w:val="20"/>
        </w:rPr>
        <w:t> </w:t>
      </w:r>
      <w:r>
        <w:rPr>
          <w:sz w:val="20"/>
        </w:rPr>
        <w:t>para</w:t>
      </w:r>
      <w:r>
        <w:rPr>
          <w:spacing w:val="-5"/>
          <w:sz w:val="20"/>
        </w:rPr>
        <w:t> </w:t>
      </w:r>
      <w:r>
        <w:rPr>
          <w:sz w:val="20"/>
        </w:rPr>
        <w:t>el</w:t>
      </w:r>
      <w:r>
        <w:rPr>
          <w:spacing w:val="-5"/>
          <w:sz w:val="20"/>
        </w:rPr>
        <w:t> </w:t>
      </w:r>
      <w:r>
        <w:rPr>
          <w:sz w:val="20"/>
        </w:rPr>
        <w:t>ascenso y descenso de pasajeros, y ciclovía, debiendo homologar la accesibilidad e infraestructura que se utilicen, para conformar un sistema integrado.</w:t>
      </w:r>
    </w:p>
    <w:p>
      <w:pPr>
        <w:pStyle w:val="BodyText"/>
      </w:pPr>
    </w:p>
    <w:p>
      <w:pPr>
        <w:pStyle w:val="BodyText"/>
        <w:ind w:left="262"/>
      </w:pPr>
      <w:r>
        <w:rPr>
          <w:rFonts w:ascii="Arial" w:hAnsi="Arial"/>
          <w:b/>
        </w:rPr>
        <w:t>ARTÍCULO 162. </w:t>
      </w:r>
      <w:r>
        <w:rPr/>
        <w:t>El Estado y los municipios, en el ámbito de sus competencias, establecerán los instrumentos y mecanismos para garantizar el tránsito a la movilidad, mediante:</w:t>
      </w:r>
    </w:p>
    <w:p>
      <w:pPr>
        <w:pStyle w:val="ListParagraph"/>
        <w:numPr>
          <w:ilvl w:val="0"/>
          <w:numId w:val="66"/>
        </w:numPr>
        <w:tabs>
          <w:tab w:pos="688" w:val="left" w:leader="none"/>
        </w:tabs>
        <w:spacing w:line="240" w:lineRule="auto" w:before="229" w:after="0"/>
        <w:ind w:left="262" w:right="285" w:firstLine="0"/>
        <w:jc w:val="both"/>
        <w:rPr>
          <w:sz w:val="20"/>
        </w:rPr>
      </w:pPr>
      <w:r>
        <w:rPr>
          <w:sz w:val="20"/>
        </w:rPr>
        <w:t>El</w:t>
      </w:r>
      <w:r>
        <w:rPr>
          <w:spacing w:val="-14"/>
          <w:sz w:val="20"/>
        </w:rPr>
        <w:t> </w:t>
      </w:r>
      <w:r>
        <w:rPr>
          <w:sz w:val="20"/>
        </w:rPr>
        <w:t>diagnóstico,</w:t>
      </w:r>
      <w:r>
        <w:rPr>
          <w:spacing w:val="-14"/>
          <w:sz w:val="20"/>
        </w:rPr>
        <w:t> </w:t>
      </w:r>
      <w:r>
        <w:rPr>
          <w:sz w:val="20"/>
        </w:rPr>
        <w:t>información,</w:t>
      </w:r>
      <w:r>
        <w:rPr>
          <w:spacing w:val="-14"/>
          <w:sz w:val="20"/>
        </w:rPr>
        <w:t> </w:t>
      </w:r>
      <w:r>
        <w:rPr>
          <w:sz w:val="20"/>
        </w:rPr>
        <w:t>seguimiento</w:t>
      </w:r>
      <w:r>
        <w:rPr>
          <w:spacing w:val="-14"/>
          <w:sz w:val="20"/>
        </w:rPr>
        <w:t> </w:t>
      </w:r>
      <w:r>
        <w:rPr>
          <w:sz w:val="20"/>
        </w:rPr>
        <w:t>y</w:t>
      </w:r>
      <w:r>
        <w:rPr>
          <w:spacing w:val="-14"/>
          <w:sz w:val="20"/>
        </w:rPr>
        <w:t> </w:t>
      </w:r>
      <w:r>
        <w:rPr>
          <w:sz w:val="20"/>
        </w:rPr>
        <w:t>evaluación</w:t>
      </w:r>
      <w:r>
        <w:rPr>
          <w:spacing w:val="-14"/>
          <w:sz w:val="20"/>
        </w:rPr>
        <w:t> </w:t>
      </w:r>
      <w:r>
        <w:rPr>
          <w:sz w:val="20"/>
        </w:rPr>
        <w:t>de</w:t>
      </w:r>
      <w:r>
        <w:rPr>
          <w:spacing w:val="-14"/>
          <w:sz w:val="20"/>
        </w:rPr>
        <w:t> </w:t>
      </w:r>
      <w:r>
        <w:rPr>
          <w:sz w:val="20"/>
        </w:rPr>
        <w:t>las</w:t>
      </w:r>
      <w:r>
        <w:rPr>
          <w:spacing w:val="-14"/>
          <w:sz w:val="20"/>
        </w:rPr>
        <w:t> </w:t>
      </w:r>
      <w:r>
        <w:rPr>
          <w:sz w:val="20"/>
        </w:rPr>
        <w:t>políticas</w:t>
      </w:r>
      <w:r>
        <w:rPr>
          <w:spacing w:val="-14"/>
          <w:sz w:val="20"/>
        </w:rPr>
        <w:t> </w:t>
      </w:r>
      <w:r>
        <w:rPr>
          <w:sz w:val="20"/>
        </w:rPr>
        <w:t>y</w:t>
      </w:r>
      <w:r>
        <w:rPr>
          <w:spacing w:val="-13"/>
          <w:sz w:val="20"/>
        </w:rPr>
        <w:t> </w:t>
      </w:r>
      <w:r>
        <w:rPr>
          <w:sz w:val="20"/>
        </w:rPr>
        <w:t>programas</w:t>
      </w:r>
      <w:r>
        <w:rPr>
          <w:spacing w:val="-14"/>
          <w:sz w:val="20"/>
        </w:rPr>
        <w:t> </w:t>
      </w:r>
      <w:r>
        <w:rPr>
          <w:sz w:val="20"/>
        </w:rPr>
        <w:t>de</w:t>
      </w:r>
      <w:r>
        <w:rPr>
          <w:spacing w:val="-14"/>
          <w:sz w:val="20"/>
        </w:rPr>
        <w:t> </w:t>
      </w:r>
      <w:r>
        <w:rPr>
          <w:sz w:val="20"/>
        </w:rPr>
        <w:t>movilidad, incorporando entre otras, la perspectiva de género;</w:t>
      </w:r>
    </w:p>
    <w:p>
      <w:pPr>
        <w:pStyle w:val="BodyText"/>
        <w:spacing w:before="2"/>
      </w:pPr>
    </w:p>
    <w:p>
      <w:pPr>
        <w:pStyle w:val="ListParagraph"/>
        <w:numPr>
          <w:ilvl w:val="0"/>
          <w:numId w:val="66"/>
        </w:numPr>
        <w:tabs>
          <w:tab w:pos="686" w:val="left" w:leader="none"/>
        </w:tabs>
        <w:spacing w:line="240" w:lineRule="auto" w:before="0" w:after="0"/>
        <w:ind w:left="262" w:right="281" w:firstLine="0"/>
        <w:jc w:val="both"/>
        <w:rPr>
          <w:sz w:val="20"/>
        </w:rPr>
      </w:pPr>
      <w:r>
        <w:rPr>
          <w:sz w:val="20"/>
        </w:rPr>
        <w:t>La</w:t>
      </w:r>
      <w:r>
        <w:rPr>
          <w:spacing w:val="-5"/>
          <w:sz w:val="20"/>
        </w:rPr>
        <w:t> </w:t>
      </w:r>
      <w:r>
        <w:rPr>
          <w:sz w:val="20"/>
        </w:rPr>
        <w:t>gestión</w:t>
      </w:r>
      <w:r>
        <w:rPr>
          <w:spacing w:val="-4"/>
          <w:sz w:val="20"/>
        </w:rPr>
        <w:t> </w:t>
      </w:r>
      <w:r>
        <w:rPr>
          <w:sz w:val="20"/>
        </w:rPr>
        <w:t>de</w:t>
      </w:r>
      <w:r>
        <w:rPr>
          <w:spacing w:val="-2"/>
          <w:sz w:val="20"/>
        </w:rPr>
        <w:t> </w:t>
      </w:r>
      <w:r>
        <w:rPr>
          <w:sz w:val="20"/>
        </w:rPr>
        <w:t>instrumentos</w:t>
      </w:r>
      <w:r>
        <w:rPr>
          <w:spacing w:val="-1"/>
          <w:sz w:val="20"/>
        </w:rPr>
        <w:t> </w:t>
      </w:r>
      <w:r>
        <w:rPr>
          <w:sz w:val="20"/>
        </w:rPr>
        <w:t>en</w:t>
      </w:r>
      <w:r>
        <w:rPr>
          <w:spacing w:val="-3"/>
          <w:sz w:val="20"/>
        </w:rPr>
        <w:t> </w:t>
      </w:r>
      <w:r>
        <w:rPr>
          <w:sz w:val="20"/>
        </w:rPr>
        <w:t>la</w:t>
      </w:r>
      <w:r>
        <w:rPr>
          <w:spacing w:val="-4"/>
          <w:sz w:val="20"/>
        </w:rPr>
        <w:t> </w:t>
      </w:r>
      <w:r>
        <w:rPr>
          <w:sz w:val="20"/>
        </w:rPr>
        <w:t>materia,</w:t>
      </w:r>
      <w:r>
        <w:rPr>
          <w:spacing w:val="-4"/>
          <w:sz w:val="20"/>
        </w:rPr>
        <w:t> </w:t>
      </w:r>
      <w:r>
        <w:rPr>
          <w:sz w:val="20"/>
        </w:rPr>
        <w:t>tales</w:t>
      </w:r>
      <w:r>
        <w:rPr>
          <w:spacing w:val="-3"/>
          <w:sz w:val="20"/>
        </w:rPr>
        <w:t> </w:t>
      </w:r>
      <w:r>
        <w:rPr>
          <w:sz w:val="20"/>
        </w:rPr>
        <w:t>como:</w:t>
      </w:r>
      <w:r>
        <w:rPr>
          <w:spacing w:val="-2"/>
          <w:sz w:val="20"/>
        </w:rPr>
        <w:t> </w:t>
      </w:r>
      <w:r>
        <w:rPr>
          <w:sz w:val="20"/>
        </w:rPr>
        <w:t>cargos</w:t>
      </w:r>
      <w:r>
        <w:rPr>
          <w:spacing w:val="-3"/>
          <w:sz w:val="20"/>
        </w:rPr>
        <w:t> </w:t>
      </w:r>
      <w:r>
        <w:rPr>
          <w:sz w:val="20"/>
        </w:rPr>
        <w:t>por</w:t>
      </w:r>
      <w:r>
        <w:rPr>
          <w:spacing w:val="-3"/>
          <w:sz w:val="20"/>
        </w:rPr>
        <w:t> </w:t>
      </w:r>
      <w:r>
        <w:rPr>
          <w:sz w:val="20"/>
        </w:rPr>
        <w:t>congestión</w:t>
      </w:r>
      <w:r>
        <w:rPr>
          <w:spacing w:val="-5"/>
          <w:sz w:val="20"/>
        </w:rPr>
        <w:t> </w:t>
      </w:r>
      <w:r>
        <w:rPr>
          <w:sz w:val="20"/>
        </w:rPr>
        <w:t>o</w:t>
      </w:r>
      <w:r>
        <w:rPr>
          <w:spacing w:val="-2"/>
          <w:sz w:val="20"/>
        </w:rPr>
        <w:t> </w:t>
      </w:r>
      <w:r>
        <w:rPr>
          <w:sz w:val="20"/>
        </w:rPr>
        <w:t>restricciones</w:t>
      </w:r>
      <w:r>
        <w:rPr>
          <w:spacing w:val="-3"/>
          <w:sz w:val="20"/>
        </w:rPr>
        <w:t> </w:t>
      </w:r>
      <w:r>
        <w:rPr>
          <w:sz w:val="20"/>
        </w:rPr>
        <w:t>de circulación en zonas determinadas; infraestructura peatonal, ciclista o de pacificación de tránsito; sistemas integrados de transporte; zonas de bajas o nulas emisiones; cargos y prohibiciones por estacionamientos</w:t>
      </w:r>
      <w:r>
        <w:rPr>
          <w:spacing w:val="-6"/>
          <w:sz w:val="20"/>
        </w:rPr>
        <w:t> </w:t>
      </w:r>
      <w:r>
        <w:rPr>
          <w:sz w:val="20"/>
        </w:rPr>
        <w:t>en</w:t>
      </w:r>
      <w:r>
        <w:rPr>
          <w:spacing w:val="-7"/>
          <w:sz w:val="20"/>
        </w:rPr>
        <w:t> </w:t>
      </w:r>
      <w:r>
        <w:rPr>
          <w:sz w:val="20"/>
        </w:rPr>
        <w:t>vía</w:t>
      </w:r>
      <w:r>
        <w:rPr>
          <w:spacing w:val="-5"/>
          <w:sz w:val="20"/>
        </w:rPr>
        <w:t> </w:t>
      </w:r>
      <w:r>
        <w:rPr>
          <w:sz w:val="20"/>
        </w:rPr>
        <w:t>pública;</w:t>
      </w:r>
      <w:r>
        <w:rPr>
          <w:spacing w:val="-6"/>
          <w:sz w:val="20"/>
        </w:rPr>
        <w:t> </w:t>
      </w:r>
      <w:r>
        <w:rPr>
          <w:sz w:val="20"/>
        </w:rPr>
        <w:t>estímulos</w:t>
      </w:r>
      <w:r>
        <w:rPr>
          <w:spacing w:val="-3"/>
          <w:sz w:val="20"/>
        </w:rPr>
        <w:t> </w:t>
      </w:r>
      <w:r>
        <w:rPr>
          <w:sz w:val="20"/>
        </w:rPr>
        <w:t>a</w:t>
      </w:r>
      <w:r>
        <w:rPr>
          <w:spacing w:val="-7"/>
          <w:sz w:val="20"/>
        </w:rPr>
        <w:t> </w:t>
      </w:r>
      <w:r>
        <w:rPr>
          <w:sz w:val="20"/>
        </w:rPr>
        <w:t>vehículos</w:t>
      </w:r>
      <w:r>
        <w:rPr>
          <w:spacing w:val="-3"/>
          <w:sz w:val="20"/>
        </w:rPr>
        <w:t> </w:t>
      </w:r>
      <w:r>
        <w:rPr>
          <w:sz w:val="20"/>
        </w:rPr>
        <w:t>motorizados</w:t>
      </w:r>
      <w:r>
        <w:rPr>
          <w:spacing w:val="-6"/>
          <w:sz w:val="20"/>
        </w:rPr>
        <w:t> </w:t>
      </w:r>
      <w:r>
        <w:rPr>
          <w:sz w:val="20"/>
        </w:rPr>
        <w:t>con</w:t>
      </w:r>
      <w:r>
        <w:rPr>
          <w:spacing w:val="-5"/>
          <w:sz w:val="20"/>
        </w:rPr>
        <w:t> </w:t>
      </w:r>
      <w:r>
        <w:rPr>
          <w:sz w:val="20"/>
        </w:rPr>
        <w:t>baja</w:t>
      </w:r>
      <w:r>
        <w:rPr>
          <w:spacing w:val="-5"/>
          <w:sz w:val="20"/>
        </w:rPr>
        <w:t> </w:t>
      </w:r>
      <w:r>
        <w:rPr>
          <w:sz w:val="20"/>
        </w:rPr>
        <w:t>o</w:t>
      </w:r>
      <w:r>
        <w:rPr>
          <w:spacing w:val="-5"/>
          <w:sz w:val="20"/>
        </w:rPr>
        <w:t> </w:t>
      </w:r>
      <w:r>
        <w:rPr>
          <w:sz w:val="20"/>
        </w:rPr>
        <w:t>nula</w:t>
      </w:r>
      <w:r>
        <w:rPr>
          <w:spacing w:val="-7"/>
          <w:sz w:val="20"/>
        </w:rPr>
        <w:t> </w:t>
      </w:r>
      <w:r>
        <w:rPr>
          <w:sz w:val="20"/>
        </w:rPr>
        <w:t>contaminación; restricciones</w:t>
      </w:r>
      <w:r>
        <w:rPr>
          <w:spacing w:val="-6"/>
          <w:sz w:val="20"/>
        </w:rPr>
        <w:t> </w:t>
      </w:r>
      <w:r>
        <w:rPr>
          <w:sz w:val="20"/>
        </w:rPr>
        <w:t>de</w:t>
      </w:r>
      <w:r>
        <w:rPr>
          <w:spacing w:val="-7"/>
          <w:sz w:val="20"/>
        </w:rPr>
        <w:t> </w:t>
      </w:r>
      <w:r>
        <w:rPr>
          <w:sz w:val="20"/>
        </w:rPr>
        <w:t>circulación</w:t>
      </w:r>
      <w:r>
        <w:rPr>
          <w:spacing w:val="-5"/>
          <w:sz w:val="20"/>
        </w:rPr>
        <w:t> </w:t>
      </w:r>
      <w:r>
        <w:rPr>
          <w:sz w:val="20"/>
        </w:rPr>
        <w:t>para</w:t>
      </w:r>
      <w:r>
        <w:rPr>
          <w:spacing w:val="-6"/>
          <w:sz w:val="20"/>
        </w:rPr>
        <w:t> </w:t>
      </w:r>
      <w:r>
        <w:rPr>
          <w:sz w:val="20"/>
        </w:rPr>
        <w:t>vehículos</w:t>
      </w:r>
      <w:r>
        <w:rPr>
          <w:spacing w:val="-4"/>
          <w:sz w:val="20"/>
        </w:rPr>
        <w:t> </w:t>
      </w:r>
      <w:r>
        <w:rPr>
          <w:sz w:val="20"/>
        </w:rPr>
        <w:t>de</w:t>
      </w:r>
      <w:r>
        <w:rPr>
          <w:spacing w:val="-7"/>
          <w:sz w:val="20"/>
        </w:rPr>
        <w:t> </w:t>
      </w:r>
      <w:r>
        <w:rPr>
          <w:sz w:val="20"/>
        </w:rPr>
        <w:t>carga</w:t>
      </w:r>
      <w:r>
        <w:rPr>
          <w:spacing w:val="-7"/>
          <w:sz w:val="20"/>
        </w:rPr>
        <w:t> </w:t>
      </w:r>
      <w:r>
        <w:rPr>
          <w:sz w:val="20"/>
        </w:rPr>
        <w:t>y</w:t>
      </w:r>
      <w:r>
        <w:rPr>
          <w:spacing w:val="-5"/>
          <w:sz w:val="20"/>
        </w:rPr>
        <w:t> </w:t>
      </w:r>
      <w:r>
        <w:rPr>
          <w:sz w:val="20"/>
        </w:rPr>
        <w:t>autos;</w:t>
      </w:r>
      <w:r>
        <w:rPr>
          <w:spacing w:val="-6"/>
          <w:sz w:val="20"/>
        </w:rPr>
        <w:t> </w:t>
      </w:r>
      <w:r>
        <w:rPr>
          <w:sz w:val="20"/>
        </w:rPr>
        <w:t>tasas</w:t>
      </w:r>
      <w:r>
        <w:rPr>
          <w:spacing w:val="-4"/>
          <w:sz w:val="20"/>
        </w:rPr>
        <w:t> </w:t>
      </w:r>
      <w:r>
        <w:rPr>
          <w:sz w:val="20"/>
        </w:rPr>
        <w:t>diferenciadas</w:t>
      </w:r>
      <w:r>
        <w:rPr>
          <w:spacing w:val="-4"/>
          <w:sz w:val="20"/>
        </w:rPr>
        <w:t> </w:t>
      </w:r>
      <w:r>
        <w:rPr>
          <w:sz w:val="20"/>
        </w:rPr>
        <w:t>de</w:t>
      </w:r>
      <w:r>
        <w:rPr>
          <w:spacing w:val="-7"/>
          <w:sz w:val="20"/>
        </w:rPr>
        <w:t> </w:t>
      </w:r>
      <w:r>
        <w:rPr>
          <w:sz w:val="20"/>
        </w:rPr>
        <w:t>los</w:t>
      </w:r>
      <w:r>
        <w:rPr>
          <w:spacing w:val="-4"/>
          <w:sz w:val="20"/>
        </w:rPr>
        <w:t> </w:t>
      </w:r>
      <w:r>
        <w:rPr>
          <w:sz w:val="20"/>
        </w:rPr>
        <w:t>impuestos</w:t>
      </w:r>
      <w:r>
        <w:rPr>
          <w:spacing w:val="-6"/>
          <w:sz w:val="20"/>
        </w:rPr>
        <w:t> </w:t>
      </w:r>
      <w:r>
        <w:rPr>
          <w:sz w:val="20"/>
        </w:rPr>
        <w:t>o derechos correspondientes que consideren la dimensión o características de los vehículos motorizados, entre otros;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66"/>
        </w:numPr>
        <w:tabs>
          <w:tab w:pos="685" w:val="left" w:leader="none"/>
        </w:tabs>
        <w:spacing w:line="240" w:lineRule="auto" w:before="0" w:after="0"/>
        <w:ind w:left="262" w:right="285" w:firstLine="0"/>
        <w:jc w:val="both"/>
        <w:rPr>
          <w:sz w:val="20"/>
        </w:rPr>
      </w:pPr>
      <w:r>
        <w:rPr>
          <w:sz w:val="20"/>
        </w:rPr>
        <w:t>La priorización, congruencia y eficacia en las inversiones públicas, considerando el nivel de vulnerabilidad</w:t>
      </w:r>
      <w:r>
        <w:rPr>
          <w:spacing w:val="-14"/>
          <w:sz w:val="20"/>
        </w:rPr>
        <w:t> </w:t>
      </w:r>
      <w:r>
        <w:rPr>
          <w:sz w:val="20"/>
        </w:rPr>
        <w:t>de</w:t>
      </w:r>
      <w:r>
        <w:rPr>
          <w:spacing w:val="-14"/>
          <w:sz w:val="20"/>
        </w:rPr>
        <w:t> </w:t>
      </w:r>
      <w:r>
        <w:rPr>
          <w:sz w:val="20"/>
        </w:rPr>
        <w:t>usuarios,</w:t>
      </w:r>
      <w:r>
        <w:rPr>
          <w:spacing w:val="-14"/>
          <w:sz w:val="20"/>
        </w:rPr>
        <w:t> </w:t>
      </w:r>
      <w:r>
        <w:rPr>
          <w:sz w:val="20"/>
        </w:rPr>
        <w:t>las</w:t>
      </w:r>
      <w:r>
        <w:rPr>
          <w:spacing w:val="-14"/>
          <w:sz w:val="20"/>
        </w:rPr>
        <w:t> </w:t>
      </w:r>
      <w:r>
        <w:rPr>
          <w:sz w:val="20"/>
        </w:rPr>
        <w:t>externalidades</w:t>
      </w:r>
      <w:r>
        <w:rPr>
          <w:spacing w:val="-14"/>
          <w:sz w:val="20"/>
        </w:rPr>
        <w:t> </w:t>
      </w:r>
      <w:r>
        <w:rPr>
          <w:sz w:val="20"/>
        </w:rPr>
        <w:t>que</w:t>
      </w:r>
      <w:r>
        <w:rPr>
          <w:spacing w:val="-14"/>
          <w:sz w:val="20"/>
        </w:rPr>
        <w:t> </w:t>
      </w:r>
      <w:r>
        <w:rPr>
          <w:sz w:val="20"/>
        </w:rPr>
        <w:t>genera</w:t>
      </w:r>
      <w:r>
        <w:rPr>
          <w:spacing w:val="-14"/>
          <w:sz w:val="20"/>
        </w:rPr>
        <w:t> </w:t>
      </w:r>
      <w:r>
        <w:rPr>
          <w:sz w:val="20"/>
        </w:rPr>
        <w:t>cada</w:t>
      </w:r>
      <w:r>
        <w:rPr>
          <w:spacing w:val="-14"/>
          <w:sz w:val="20"/>
        </w:rPr>
        <w:t> </w:t>
      </w:r>
      <w:r>
        <w:rPr>
          <w:sz w:val="20"/>
        </w:rPr>
        <w:t>modo</w:t>
      </w:r>
      <w:r>
        <w:rPr>
          <w:spacing w:val="-14"/>
          <w:sz w:val="20"/>
        </w:rPr>
        <w:t> </w:t>
      </w:r>
      <w:r>
        <w:rPr>
          <w:sz w:val="20"/>
        </w:rPr>
        <w:t>de</w:t>
      </w:r>
      <w:r>
        <w:rPr>
          <w:spacing w:val="-13"/>
          <w:sz w:val="20"/>
        </w:rPr>
        <w:t> </w:t>
      </w:r>
      <w:r>
        <w:rPr>
          <w:sz w:val="20"/>
        </w:rPr>
        <w:t>transporte</w:t>
      </w:r>
      <w:r>
        <w:rPr>
          <w:spacing w:val="-12"/>
          <w:sz w:val="20"/>
        </w:rPr>
        <w:t> </w:t>
      </w:r>
      <w:r>
        <w:rPr>
          <w:sz w:val="20"/>
        </w:rPr>
        <w:t>y</w:t>
      </w:r>
      <w:r>
        <w:rPr>
          <w:spacing w:val="-13"/>
          <w:sz w:val="20"/>
        </w:rPr>
        <w:t> </w:t>
      </w:r>
      <w:r>
        <w:rPr>
          <w:sz w:val="20"/>
        </w:rPr>
        <w:t>su</w:t>
      </w:r>
      <w:r>
        <w:rPr>
          <w:spacing w:val="-14"/>
          <w:sz w:val="20"/>
        </w:rPr>
        <w:t> </w:t>
      </w:r>
      <w:r>
        <w:rPr>
          <w:sz w:val="20"/>
        </w:rPr>
        <w:t>contribución a la productividad de la colectividad;</w:t>
      </w:r>
    </w:p>
    <w:p>
      <w:pPr>
        <w:pStyle w:val="ListParagraph"/>
        <w:numPr>
          <w:ilvl w:val="0"/>
          <w:numId w:val="66"/>
        </w:numPr>
        <w:tabs>
          <w:tab w:pos="688" w:val="left" w:leader="none"/>
        </w:tabs>
        <w:spacing w:line="240" w:lineRule="auto" w:before="230" w:after="0"/>
        <w:ind w:left="262" w:right="285" w:firstLine="0"/>
        <w:jc w:val="both"/>
        <w:rPr>
          <w:sz w:val="20"/>
        </w:rPr>
      </w:pPr>
      <w:r>
        <w:rPr>
          <w:sz w:val="20"/>
        </w:rPr>
        <w:t>La</w:t>
      </w:r>
      <w:r>
        <w:rPr>
          <w:spacing w:val="-13"/>
          <w:sz w:val="20"/>
        </w:rPr>
        <w:t> </w:t>
      </w:r>
      <w:r>
        <w:rPr>
          <w:sz w:val="20"/>
        </w:rPr>
        <w:t>implementación</w:t>
      </w:r>
      <w:r>
        <w:rPr>
          <w:spacing w:val="-12"/>
          <w:sz w:val="20"/>
        </w:rPr>
        <w:t> </w:t>
      </w:r>
      <w:r>
        <w:rPr>
          <w:sz w:val="20"/>
        </w:rPr>
        <w:t>de</w:t>
      </w:r>
      <w:r>
        <w:rPr>
          <w:spacing w:val="-11"/>
          <w:sz w:val="20"/>
        </w:rPr>
        <w:t> </w:t>
      </w:r>
      <w:r>
        <w:rPr>
          <w:sz w:val="20"/>
        </w:rPr>
        <w:t>espacios</w:t>
      </w:r>
      <w:r>
        <w:rPr>
          <w:spacing w:val="-11"/>
          <w:sz w:val="20"/>
        </w:rPr>
        <w:t> </w:t>
      </w:r>
      <w:r>
        <w:rPr>
          <w:sz w:val="20"/>
        </w:rPr>
        <w:t>seguros</w:t>
      </w:r>
      <w:r>
        <w:rPr>
          <w:spacing w:val="-11"/>
          <w:sz w:val="20"/>
        </w:rPr>
        <w:t> </w:t>
      </w:r>
      <w:r>
        <w:rPr>
          <w:sz w:val="20"/>
        </w:rPr>
        <w:t>para</w:t>
      </w:r>
      <w:r>
        <w:rPr>
          <w:spacing w:val="-10"/>
          <w:sz w:val="20"/>
        </w:rPr>
        <w:t> </w:t>
      </w:r>
      <w:r>
        <w:rPr>
          <w:sz w:val="20"/>
        </w:rPr>
        <w:t>los</w:t>
      </w:r>
      <w:r>
        <w:rPr>
          <w:spacing w:val="-11"/>
          <w:sz w:val="20"/>
        </w:rPr>
        <w:t> </w:t>
      </w:r>
      <w:r>
        <w:rPr>
          <w:sz w:val="20"/>
        </w:rPr>
        <w:t>transeúntes;</w:t>
      </w:r>
      <w:r>
        <w:rPr>
          <w:spacing w:val="-12"/>
          <w:sz w:val="20"/>
        </w:rPr>
        <w:t> </w:t>
      </w:r>
      <w:r>
        <w:rPr>
          <w:sz w:val="20"/>
        </w:rPr>
        <w:t>mismos</w:t>
      </w:r>
      <w:r>
        <w:rPr>
          <w:spacing w:val="-11"/>
          <w:sz w:val="20"/>
        </w:rPr>
        <w:t> </w:t>
      </w:r>
      <w:r>
        <w:rPr>
          <w:sz w:val="20"/>
        </w:rPr>
        <w:t>que</w:t>
      </w:r>
      <w:r>
        <w:rPr>
          <w:spacing w:val="-13"/>
          <w:sz w:val="20"/>
        </w:rPr>
        <w:t> </w:t>
      </w:r>
      <w:r>
        <w:rPr>
          <w:sz w:val="20"/>
        </w:rPr>
        <w:t>estarán</w:t>
      </w:r>
      <w:r>
        <w:rPr>
          <w:spacing w:val="-12"/>
          <w:sz w:val="20"/>
        </w:rPr>
        <w:t> </w:t>
      </w:r>
      <w:r>
        <w:rPr>
          <w:sz w:val="20"/>
        </w:rPr>
        <w:t>delimitados, confinados y señalizados, conforme a</w:t>
      </w:r>
      <w:r>
        <w:rPr>
          <w:spacing w:val="-1"/>
          <w:sz w:val="20"/>
        </w:rPr>
        <w:t> </w:t>
      </w:r>
      <w:r>
        <w:rPr>
          <w:sz w:val="20"/>
        </w:rPr>
        <w:t>la</w:t>
      </w:r>
      <w:r>
        <w:rPr>
          <w:spacing w:val="-1"/>
          <w:sz w:val="20"/>
        </w:rPr>
        <w:t> </w:t>
      </w:r>
      <w:r>
        <w:rPr>
          <w:sz w:val="20"/>
        </w:rPr>
        <w:t>legislación</w:t>
      </w:r>
      <w:r>
        <w:rPr>
          <w:spacing w:val="-1"/>
          <w:sz w:val="20"/>
        </w:rPr>
        <w:t> </w:t>
      </w:r>
      <w:r>
        <w:rPr>
          <w:sz w:val="20"/>
        </w:rPr>
        <w:t>aplicable,</w:t>
      </w:r>
      <w:r>
        <w:rPr>
          <w:spacing w:val="-1"/>
          <w:sz w:val="20"/>
        </w:rPr>
        <w:t> </w:t>
      </w:r>
      <w:r>
        <w:rPr>
          <w:sz w:val="20"/>
        </w:rPr>
        <w:t>así como</w:t>
      </w:r>
      <w:r>
        <w:rPr>
          <w:spacing w:val="-1"/>
          <w:sz w:val="20"/>
        </w:rPr>
        <w:t> </w:t>
      </w:r>
      <w:r>
        <w:rPr>
          <w:sz w:val="20"/>
        </w:rPr>
        <w:t>protocolos y manuales que se expidan;</w:t>
      </w:r>
    </w:p>
    <w:p>
      <w:pPr>
        <w:pStyle w:val="BodyText"/>
        <w:spacing w:before="1"/>
      </w:pPr>
    </w:p>
    <w:p>
      <w:pPr>
        <w:pStyle w:val="ListParagraph"/>
        <w:numPr>
          <w:ilvl w:val="0"/>
          <w:numId w:val="66"/>
        </w:numPr>
        <w:tabs>
          <w:tab w:pos="744" w:val="left" w:leader="none"/>
        </w:tabs>
        <w:spacing w:line="240" w:lineRule="auto" w:before="0" w:after="0"/>
        <w:ind w:left="262" w:right="286" w:firstLine="0"/>
        <w:jc w:val="both"/>
        <w:rPr>
          <w:sz w:val="20"/>
        </w:rPr>
      </w:pPr>
      <w:r>
        <w:rPr>
          <w:sz w:val="20"/>
        </w:rPr>
        <w:t>El diseño e instrumentación de programas de recuperación y habilitación progresiva de espacios urbanos para el desplazamiento peatonal y la construcción y mantenimiento de infraestructura ciclista; en materia de movilidad urbana no motorizada en los municipios;</w:t>
      </w:r>
    </w:p>
    <w:p>
      <w:pPr>
        <w:pStyle w:val="BodyText"/>
      </w:pPr>
    </w:p>
    <w:p>
      <w:pPr>
        <w:pStyle w:val="ListParagraph"/>
        <w:numPr>
          <w:ilvl w:val="0"/>
          <w:numId w:val="66"/>
        </w:numPr>
        <w:tabs>
          <w:tab w:pos="688" w:val="left" w:leader="none"/>
        </w:tabs>
        <w:spacing w:line="240" w:lineRule="auto" w:before="0" w:after="0"/>
        <w:ind w:left="262" w:right="284" w:firstLine="0"/>
        <w:jc w:val="both"/>
        <w:rPr>
          <w:sz w:val="20"/>
        </w:rPr>
      </w:pPr>
      <w:r>
        <w:rPr>
          <w:sz w:val="20"/>
        </w:rPr>
        <w:t>El fomento de la descentralización equilibrada de las actividades económicas, políticas y educativas de las ciudades para disminuir de forma radical la movilidad urbana;</w:t>
      </w:r>
    </w:p>
    <w:p>
      <w:pPr>
        <w:pStyle w:val="BodyText"/>
        <w:spacing w:before="1"/>
      </w:pPr>
    </w:p>
    <w:p>
      <w:pPr>
        <w:pStyle w:val="ListParagraph"/>
        <w:numPr>
          <w:ilvl w:val="0"/>
          <w:numId w:val="66"/>
        </w:numPr>
        <w:tabs>
          <w:tab w:pos="688" w:val="left" w:leader="none"/>
        </w:tabs>
        <w:spacing w:line="240" w:lineRule="auto" w:before="0" w:after="0"/>
        <w:ind w:left="262" w:right="285" w:firstLine="0"/>
        <w:jc w:val="both"/>
        <w:rPr>
          <w:sz w:val="20"/>
        </w:rPr>
      </w:pPr>
      <w:r>
        <w:rPr>
          <w:sz w:val="20"/>
        </w:rPr>
        <w:t>El</w:t>
      </w:r>
      <w:r>
        <w:rPr>
          <w:spacing w:val="-8"/>
          <w:sz w:val="20"/>
        </w:rPr>
        <w:t> </w:t>
      </w:r>
      <w:r>
        <w:rPr>
          <w:sz w:val="20"/>
        </w:rPr>
        <w:t>fomento</w:t>
      </w:r>
      <w:r>
        <w:rPr>
          <w:spacing w:val="-9"/>
          <w:sz w:val="20"/>
        </w:rPr>
        <w:t> </w:t>
      </w:r>
      <w:r>
        <w:rPr>
          <w:sz w:val="20"/>
        </w:rPr>
        <w:t>y</w:t>
      </w:r>
      <w:r>
        <w:rPr>
          <w:spacing w:val="-8"/>
          <w:sz w:val="20"/>
        </w:rPr>
        <w:t> </w:t>
      </w:r>
      <w:r>
        <w:rPr>
          <w:sz w:val="20"/>
        </w:rPr>
        <w:t>apoyo</w:t>
      </w:r>
      <w:r>
        <w:rPr>
          <w:spacing w:val="-8"/>
          <w:sz w:val="20"/>
        </w:rPr>
        <w:t> </w:t>
      </w:r>
      <w:r>
        <w:rPr>
          <w:sz w:val="20"/>
        </w:rPr>
        <w:t>con</w:t>
      </w:r>
      <w:r>
        <w:rPr>
          <w:spacing w:val="-9"/>
          <w:sz w:val="20"/>
        </w:rPr>
        <w:t> </w:t>
      </w:r>
      <w:r>
        <w:rPr>
          <w:sz w:val="20"/>
        </w:rPr>
        <w:t>créditos</w:t>
      </w:r>
      <w:r>
        <w:rPr>
          <w:spacing w:val="-8"/>
          <w:sz w:val="20"/>
        </w:rPr>
        <w:t> </w:t>
      </w:r>
      <w:r>
        <w:rPr>
          <w:sz w:val="20"/>
        </w:rPr>
        <w:t>y</w:t>
      </w:r>
      <w:r>
        <w:rPr>
          <w:spacing w:val="-6"/>
          <w:sz w:val="20"/>
        </w:rPr>
        <w:t> </w:t>
      </w:r>
      <w:r>
        <w:rPr>
          <w:sz w:val="20"/>
        </w:rPr>
        <w:t>estímulos</w:t>
      </w:r>
      <w:r>
        <w:rPr>
          <w:spacing w:val="-7"/>
          <w:sz w:val="20"/>
        </w:rPr>
        <w:t> </w:t>
      </w:r>
      <w:r>
        <w:rPr>
          <w:sz w:val="20"/>
        </w:rPr>
        <w:t>fiscales</w:t>
      </w:r>
      <w:r>
        <w:rPr>
          <w:spacing w:val="-8"/>
          <w:sz w:val="20"/>
        </w:rPr>
        <w:t> </w:t>
      </w:r>
      <w:r>
        <w:rPr>
          <w:sz w:val="20"/>
        </w:rPr>
        <w:t>a</w:t>
      </w:r>
      <w:r>
        <w:rPr>
          <w:spacing w:val="-6"/>
          <w:sz w:val="20"/>
        </w:rPr>
        <w:t> </w:t>
      </w:r>
      <w:r>
        <w:rPr>
          <w:sz w:val="20"/>
        </w:rPr>
        <w:t>quien</w:t>
      </w:r>
      <w:r>
        <w:rPr>
          <w:spacing w:val="-8"/>
          <w:sz w:val="20"/>
        </w:rPr>
        <w:t> </w:t>
      </w:r>
      <w:r>
        <w:rPr>
          <w:sz w:val="20"/>
        </w:rPr>
        <w:t>utiliza</w:t>
      </w:r>
      <w:r>
        <w:rPr>
          <w:spacing w:val="-8"/>
          <w:sz w:val="20"/>
        </w:rPr>
        <w:t> </w:t>
      </w:r>
      <w:r>
        <w:rPr>
          <w:sz w:val="20"/>
        </w:rPr>
        <w:t>modos</w:t>
      </w:r>
      <w:r>
        <w:rPr>
          <w:spacing w:val="-7"/>
          <w:sz w:val="20"/>
        </w:rPr>
        <w:t> </w:t>
      </w:r>
      <w:r>
        <w:rPr>
          <w:sz w:val="20"/>
        </w:rPr>
        <w:t>de</w:t>
      </w:r>
      <w:r>
        <w:rPr>
          <w:spacing w:val="-8"/>
          <w:sz w:val="20"/>
        </w:rPr>
        <w:t> </w:t>
      </w:r>
      <w:r>
        <w:rPr>
          <w:sz w:val="20"/>
        </w:rPr>
        <w:t>movilidad</w:t>
      </w:r>
      <w:r>
        <w:rPr>
          <w:spacing w:val="-8"/>
          <w:sz w:val="20"/>
        </w:rPr>
        <w:t> </w:t>
      </w:r>
      <w:r>
        <w:rPr>
          <w:sz w:val="20"/>
        </w:rPr>
        <w:t>de</w:t>
      </w:r>
      <w:r>
        <w:rPr>
          <w:spacing w:val="-8"/>
          <w:sz w:val="20"/>
        </w:rPr>
        <w:t> </w:t>
      </w:r>
      <w:r>
        <w:rPr>
          <w:sz w:val="20"/>
        </w:rPr>
        <w:t>bajo impacto como caminar y usar la bicicleta;</w:t>
      </w:r>
    </w:p>
    <w:p>
      <w:pPr>
        <w:pStyle w:val="ListParagraph"/>
        <w:numPr>
          <w:ilvl w:val="0"/>
          <w:numId w:val="66"/>
        </w:numPr>
        <w:tabs>
          <w:tab w:pos="688" w:val="left" w:leader="none"/>
        </w:tabs>
        <w:spacing w:line="240" w:lineRule="auto" w:before="229" w:after="0"/>
        <w:ind w:left="262" w:right="279" w:firstLine="0"/>
        <w:jc w:val="both"/>
        <w:rPr>
          <w:sz w:val="20"/>
        </w:rPr>
      </w:pPr>
      <w:r>
        <w:rPr>
          <w:sz w:val="20"/>
        </w:rPr>
        <w:t>La formulación de las respectivas estrategias de componentes urbanos de movilidad sustentable</w:t>
      </w:r>
      <w:r>
        <w:rPr>
          <w:spacing w:val="-2"/>
          <w:sz w:val="20"/>
        </w:rPr>
        <w:t> </w:t>
      </w:r>
      <w:r>
        <w:rPr>
          <w:sz w:val="20"/>
        </w:rPr>
        <w:t>para</w:t>
      </w:r>
      <w:r>
        <w:rPr>
          <w:spacing w:val="-2"/>
          <w:sz w:val="20"/>
        </w:rPr>
        <w:t> </w:t>
      </w:r>
      <w:r>
        <w:rPr>
          <w:sz w:val="20"/>
        </w:rPr>
        <w:t>las</w:t>
      </w:r>
      <w:r>
        <w:rPr>
          <w:spacing w:val="-3"/>
          <w:sz w:val="20"/>
        </w:rPr>
        <w:t> </w:t>
      </w:r>
      <w:r>
        <w:rPr>
          <w:sz w:val="20"/>
        </w:rPr>
        <w:t>zonas</w:t>
      </w:r>
      <w:r>
        <w:rPr>
          <w:spacing w:val="-2"/>
          <w:sz w:val="20"/>
        </w:rPr>
        <w:t> </w:t>
      </w:r>
      <w:r>
        <w:rPr>
          <w:sz w:val="20"/>
        </w:rPr>
        <w:t>metropolitanas</w:t>
      </w:r>
      <w:r>
        <w:rPr>
          <w:spacing w:val="-2"/>
          <w:sz w:val="20"/>
        </w:rPr>
        <w:t> </w:t>
      </w:r>
      <w:r>
        <w:rPr>
          <w:sz w:val="20"/>
        </w:rPr>
        <w:t>del</w:t>
      </w:r>
      <w:r>
        <w:rPr>
          <w:spacing w:val="-2"/>
          <w:sz w:val="20"/>
        </w:rPr>
        <w:t> </w:t>
      </w:r>
      <w:r>
        <w:rPr>
          <w:sz w:val="20"/>
        </w:rPr>
        <w:t>Estado</w:t>
      </w:r>
      <w:r>
        <w:rPr>
          <w:spacing w:val="-1"/>
          <w:sz w:val="20"/>
        </w:rPr>
        <w:t> </w:t>
      </w:r>
      <w:r>
        <w:rPr>
          <w:sz w:val="20"/>
        </w:rPr>
        <w:t>y</w:t>
      </w:r>
      <w:r>
        <w:rPr>
          <w:spacing w:val="-3"/>
          <w:sz w:val="20"/>
        </w:rPr>
        <w:t> </w:t>
      </w:r>
      <w:r>
        <w:rPr>
          <w:sz w:val="20"/>
        </w:rPr>
        <w:t>centros</w:t>
      </w:r>
      <w:r>
        <w:rPr>
          <w:spacing w:val="-3"/>
          <w:sz w:val="20"/>
        </w:rPr>
        <w:t> </w:t>
      </w:r>
      <w:r>
        <w:rPr>
          <w:sz w:val="20"/>
        </w:rPr>
        <w:t>de</w:t>
      </w:r>
      <w:r>
        <w:rPr>
          <w:spacing w:val="-2"/>
          <w:sz w:val="20"/>
        </w:rPr>
        <w:t> </w:t>
      </w:r>
      <w:r>
        <w:rPr>
          <w:sz w:val="20"/>
        </w:rPr>
        <w:t>población</w:t>
      </w:r>
      <w:r>
        <w:rPr>
          <w:spacing w:val="-2"/>
          <w:sz w:val="20"/>
        </w:rPr>
        <w:t> </w:t>
      </w:r>
      <w:r>
        <w:rPr>
          <w:sz w:val="20"/>
        </w:rPr>
        <w:t>con</w:t>
      </w:r>
      <w:r>
        <w:rPr>
          <w:spacing w:val="-1"/>
          <w:sz w:val="20"/>
        </w:rPr>
        <w:t> </w:t>
      </w:r>
      <w:r>
        <w:rPr>
          <w:sz w:val="20"/>
        </w:rPr>
        <w:t>más</w:t>
      </w:r>
      <w:r>
        <w:rPr>
          <w:spacing w:val="-3"/>
          <w:sz w:val="20"/>
        </w:rPr>
        <w:t> </w:t>
      </w:r>
      <w:r>
        <w:rPr>
          <w:sz w:val="20"/>
        </w:rPr>
        <w:t>de</w:t>
      </w:r>
      <w:r>
        <w:rPr>
          <w:spacing w:val="-4"/>
          <w:sz w:val="20"/>
        </w:rPr>
        <w:t> </w:t>
      </w:r>
      <w:r>
        <w:rPr>
          <w:sz w:val="20"/>
        </w:rPr>
        <w:t>cincuenta mil habitantes, en los términos de los artículos 100, 101 y 102 de esta Ley, que establezca los lineamientos,</w:t>
      </w:r>
      <w:r>
        <w:rPr>
          <w:spacing w:val="-8"/>
          <w:sz w:val="20"/>
        </w:rPr>
        <w:t> </w:t>
      </w:r>
      <w:r>
        <w:rPr>
          <w:sz w:val="20"/>
        </w:rPr>
        <w:t>estrategias</w:t>
      </w:r>
      <w:r>
        <w:rPr>
          <w:spacing w:val="-9"/>
          <w:sz w:val="20"/>
        </w:rPr>
        <w:t> </w:t>
      </w:r>
      <w:r>
        <w:rPr>
          <w:sz w:val="20"/>
        </w:rPr>
        <w:t>y</w:t>
      </w:r>
      <w:r>
        <w:rPr>
          <w:spacing w:val="-6"/>
          <w:sz w:val="20"/>
        </w:rPr>
        <w:t> </w:t>
      </w:r>
      <w:r>
        <w:rPr>
          <w:sz w:val="20"/>
        </w:rPr>
        <w:t>acciones</w:t>
      </w:r>
      <w:r>
        <w:rPr>
          <w:spacing w:val="-7"/>
          <w:sz w:val="20"/>
        </w:rPr>
        <w:t> </w:t>
      </w:r>
      <w:r>
        <w:rPr>
          <w:sz w:val="20"/>
        </w:rPr>
        <w:t>para</w:t>
      </w:r>
      <w:r>
        <w:rPr>
          <w:spacing w:val="-8"/>
          <w:sz w:val="20"/>
        </w:rPr>
        <w:t> </w:t>
      </w:r>
      <w:r>
        <w:rPr>
          <w:sz w:val="20"/>
        </w:rPr>
        <w:t>promover</w:t>
      </w:r>
      <w:r>
        <w:rPr>
          <w:spacing w:val="-7"/>
          <w:sz w:val="20"/>
        </w:rPr>
        <w:t> </w:t>
      </w:r>
      <w:r>
        <w:rPr>
          <w:sz w:val="20"/>
        </w:rPr>
        <w:t>la</w:t>
      </w:r>
      <w:r>
        <w:rPr>
          <w:spacing w:val="-8"/>
          <w:sz w:val="20"/>
        </w:rPr>
        <w:t> </w:t>
      </w:r>
      <w:r>
        <w:rPr>
          <w:sz w:val="20"/>
        </w:rPr>
        <w:t>movilidad</w:t>
      </w:r>
      <w:r>
        <w:rPr>
          <w:spacing w:val="-8"/>
          <w:sz w:val="20"/>
        </w:rPr>
        <w:t> </w:t>
      </w:r>
      <w:r>
        <w:rPr>
          <w:sz w:val="20"/>
        </w:rPr>
        <w:t>y</w:t>
      </w:r>
      <w:r>
        <w:rPr>
          <w:spacing w:val="-9"/>
          <w:sz w:val="20"/>
        </w:rPr>
        <w:t> </w:t>
      </w:r>
      <w:r>
        <w:rPr>
          <w:sz w:val="20"/>
        </w:rPr>
        <w:t>accesibilidad</w:t>
      </w:r>
      <w:r>
        <w:rPr>
          <w:spacing w:val="-8"/>
          <w:sz w:val="20"/>
        </w:rPr>
        <w:t> </w:t>
      </w:r>
      <w:r>
        <w:rPr>
          <w:sz w:val="20"/>
        </w:rPr>
        <w:t>de</w:t>
      </w:r>
      <w:r>
        <w:rPr>
          <w:spacing w:val="-10"/>
          <w:sz w:val="20"/>
        </w:rPr>
        <w:t> </w:t>
      </w:r>
      <w:r>
        <w:rPr>
          <w:sz w:val="20"/>
        </w:rPr>
        <w:t>la</w:t>
      </w:r>
      <w:r>
        <w:rPr>
          <w:spacing w:val="-8"/>
          <w:sz w:val="20"/>
        </w:rPr>
        <w:t> </w:t>
      </w:r>
      <w:r>
        <w:rPr>
          <w:sz w:val="20"/>
        </w:rPr>
        <w:t>población</w:t>
      </w:r>
      <w:r>
        <w:rPr>
          <w:spacing w:val="-8"/>
          <w:sz w:val="20"/>
        </w:rPr>
        <w:t> </w:t>
      </w:r>
      <w:r>
        <w:rPr>
          <w:sz w:val="20"/>
        </w:rPr>
        <w:t>bajo criterios de sustentabilidad ambiental y urbana, tanto de obra nueva como de modificación de infraestructura existente;</w:t>
      </w:r>
    </w:p>
    <w:p>
      <w:pPr>
        <w:pStyle w:val="BodyText"/>
        <w:spacing w:before="1"/>
      </w:pPr>
    </w:p>
    <w:p>
      <w:pPr>
        <w:pStyle w:val="ListParagraph"/>
        <w:numPr>
          <w:ilvl w:val="0"/>
          <w:numId w:val="66"/>
        </w:numPr>
        <w:tabs>
          <w:tab w:pos="688" w:val="left" w:leader="none"/>
        </w:tabs>
        <w:spacing w:line="240" w:lineRule="auto" w:before="0" w:after="0"/>
        <w:ind w:left="262" w:right="287" w:firstLine="0"/>
        <w:jc w:val="both"/>
        <w:rPr>
          <w:sz w:val="20"/>
        </w:rPr>
      </w:pPr>
      <w:r>
        <w:rPr>
          <w:sz w:val="20"/>
        </w:rPr>
        <w:t>La</w:t>
      </w:r>
      <w:r>
        <w:rPr>
          <w:spacing w:val="-4"/>
          <w:sz w:val="20"/>
        </w:rPr>
        <w:t> </w:t>
      </w:r>
      <w:r>
        <w:rPr>
          <w:sz w:val="20"/>
        </w:rPr>
        <w:t>promoción</w:t>
      </w:r>
      <w:r>
        <w:rPr>
          <w:spacing w:val="-4"/>
          <w:sz w:val="20"/>
        </w:rPr>
        <w:t> </w:t>
      </w:r>
      <w:r>
        <w:rPr>
          <w:sz w:val="20"/>
        </w:rPr>
        <w:t>del</w:t>
      </w:r>
      <w:r>
        <w:rPr>
          <w:spacing w:val="-2"/>
          <w:sz w:val="20"/>
        </w:rPr>
        <w:t> </w:t>
      </w:r>
      <w:r>
        <w:rPr>
          <w:sz w:val="20"/>
        </w:rPr>
        <w:t>uso</w:t>
      </w:r>
      <w:r>
        <w:rPr>
          <w:spacing w:val="-3"/>
          <w:sz w:val="20"/>
        </w:rPr>
        <w:t> </w:t>
      </w:r>
      <w:r>
        <w:rPr>
          <w:sz w:val="20"/>
        </w:rPr>
        <w:t>de</w:t>
      </w:r>
      <w:r>
        <w:rPr>
          <w:spacing w:val="-3"/>
          <w:sz w:val="20"/>
        </w:rPr>
        <w:t> </w:t>
      </w:r>
      <w:r>
        <w:rPr>
          <w:sz w:val="20"/>
        </w:rPr>
        <w:t>la</w:t>
      </w:r>
      <w:r>
        <w:rPr>
          <w:spacing w:val="-1"/>
          <w:sz w:val="20"/>
        </w:rPr>
        <w:t> </w:t>
      </w:r>
      <w:r>
        <w:rPr>
          <w:sz w:val="20"/>
        </w:rPr>
        <w:t>bicicleta</w:t>
      </w:r>
      <w:r>
        <w:rPr>
          <w:spacing w:val="-1"/>
          <w:sz w:val="20"/>
        </w:rPr>
        <w:t> </w:t>
      </w:r>
      <w:r>
        <w:rPr>
          <w:sz w:val="20"/>
        </w:rPr>
        <w:t>en</w:t>
      </w:r>
      <w:r>
        <w:rPr>
          <w:spacing w:val="-1"/>
          <w:sz w:val="20"/>
        </w:rPr>
        <w:t> </w:t>
      </w:r>
      <w:r>
        <w:rPr>
          <w:sz w:val="20"/>
        </w:rPr>
        <w:t>los</w:t>
      </w:r>
      <w:r>
        <w:rPr>
          <w:spacing w:val="-2"/>
          <w:sz w:val="20"/>
        </w:rPr>
        <w:t> </w:t>
      </w:r>
      <w:r>
        <w:rPr>
          <w:sz w:val="20"/>
        </w:rPr>
        <w:t>centro</w:t>
      </w:r>
      <w:r>
        <w:rPr>
          <w:spacing w:val="-1"/>
          <w:sz w:val="20"/>
        </w:rPr>
        <w:t> </w:t>
      </w:r>
      <w:r>
        <w:rPr>
          <w:sz w:val="20"/>
        </w:rPr>
        <w:t>de</w:t>
      </w:r>
      <w:r>
        <w:rPr>
          <w:spacing w:val="-1"/>
          <w:sz w:val="20"/>
        </w:rPr>
        <w:t> </w:t>
      </w:r>
      <w:r>
        <w:rPr>
          <w:sz w:val="20"/>
        </w:rPr>
        <w:t>población</w:t>
      </w:r>
      <w:r>
        <w:rPr>
          <w:spacing w:val="-1"/>
          <w:sz w:val="20"/>
        </w:rPr>
        <w:t> </w:t>
      </w:r>
      <w:r>
        <w:rPr>
          <w:sz w:val="20"/>
        </w:rPr>
        <w:t>mediante</w:t>
      </w:r>
      <w:r>
        <w:rPr>
          <w:spacing w:val="-1"/>
          <w:sz w:val="20"/>
        </w:rPr>
        <w:t> </w:t>
      </w:r>
      <w:r>
        <w:rPr>
          <w:sz w:val="20"/>
        </w:rPr>
        <w:t>actividades</w:t>
      </w:r>
      <w:r>
        <w:rPr>
          <w:spacing w:val="-2"/>
          <w:sz w:val="20"/>
        </w:rPr>
        <w:t> </w:t>
      </w:r>
      <w:r>
        <w:rPr>
          <w:sz w:val="20"/>
        </w:rPr>
        <w:t>creativas e incluyentes a los sectores social, privado y público;</w:t>
      </w:r>
    </w:p>
    <w:p>
      <w:pPr>
        <w:pStyle w:val="ListParagraph"/>
        <w:numPr>
          <w:ilvl w:val="0"/>
          <w:numId w:val="66"/>
        </w:numPr>
        <w:tabs>
          <w:tab w:pos="544" w:val="left" w:leader="none"/>
        </w:tabs>
        <w:spacing w:line="240" w:lineRule="auto" w:before="229" w:after="0"/>
        <w:ind w:left="262" w:right="281" w:firstLine="0"/>
        <w:jc w:val="both"/>
        <w:rPr>
          <w:sz w:val="20"/>
        </w:rPr>
      </w:pPr>
      <w:r>
        <w:rPr>
          <w:sz w:val="20"/>
        </w:rPr>
        <w:t>El</w:t>
      </w:r>
      <w:r>
        <w:rPr>
          <w:spacing w:val="-7"/>
          <w:sz w:val="20"/>
        </w:rPr>
        <w:t> </w:t>
      </w:r>
      <w:r>
        <w:rPr>
          <w:sz w:val="20"/>
        </w:rPr>
        <w:t>mejoramiento</w:t>
      </w:r>
      <w:r>
        <w:rPr>
          <w:spacing w:val="-9"/>
          <w:sz w:val="20"/>
        </w:rPr>
        <w:t> </w:t>
      </w:r>
      <w:r>
        <w:rPr>
          <w:sz w:val="20"/>
        </w:rPr>
        <w:t>y</w:t>
      </w:r>
      <w:r>
        <w:rPr>
          <w:spacing w:val="-5"/>
          <w:sz w:val="20"/>
        </w:rPr>
        <w:t> </w:t>
      </w:r>
      <w:r>
        <w:rPr>
          <w:sz w:val="20"/>
        </w:rPr>
        <w:t>mantenimiento</w:t>
      </w:r>
      <w:r>
        <w:rPr>
          <w:spacing w:val="-7"/>
          <w:sz w:val="20"/>
        </w:rPr>
        <w:t> </w:t>
      </w:r>
      <w:r>
        <w:rPr>
          <w:sz w:val="20"/>
        </w:rPr>
        <w:t>de</w:t>
      </w:r>
      <w:r>
        <w:rPr>
          <w:spacing w:val="-5"/>
          <w:sz w:val="20"/>
        </w:rPr>
        <w:t> </w:t>
      </w:r>
      <w:r>
        <w:rPr>
          <w:sz w:val="20"/>
        </w:rPr>
        <w:t>las</w:t>
      </w:r>
      <w:r>
        <w:rPr>
          <w:spacing w:val="-6"/>
          <w:sz w:val="20"/>
        </w:rPr>
        <w:t> </w:t>
      </w:r>
      <w:r>
        <w:rPr>
          <w:sz w:val="20"/>
        </w:rPr>
        <w:t>banquetas,</w:t>
      </w:r>
      <w:r>
        <w:rPr>
          <w:spacing w:val="-9"/>
          <w:sz w:val="20"/>
        </w:rPr>
        <w:t> </w:t>
      </w:r>
      <w:r>
        <w:rPr>
          <w:sz w:val="20"/>
        </w:rPr>
        <w:t>cruces</w:t>
      </w:r>
      <w:r>
        <w:rPr>
          <w:spacing w:val="-8"/>
          <w:sz w:val="20"/>
        </w:rPr>
        <w:t> </w:t>
      </w:r>
      <w:r>
        <w:rPr>
          <w:sz w:val="20"/>
        </w:rPr>
        <w:t>y</w:t>
      </w:r>
      <w:r>
        <w:rPr>
          <w:spacing w:val="-8"/>
          <w:sz w:val="20"/>
        </w:rPr>
        <w:t> </w:t>
      </w:r>
      <w:r>
        <w:rPr>
          <w:sz w:val="20"/>
        </w:rPr>
        <w:t>rampas</w:t>
      </w:r>
      <w:r>
        <w:rPr>
          <w:spacing w:val="-6"/>
          <w:sz w:val="20"/>
        </w:rPr>
        <w:t> </w:t>
      </w:r>
      <w:r>
        <w:rPr>
          <w:sz w:val="20"/>
        </w:rPr>
        <w:t>para</w:t>
      </w:r>
      <w:r>
        <w:rPr>
          <w:spacing w:val="-7"/>
          <w:sz w:val="20"/>
        </w:rPr>
        <w:t> </w:t>
      </w:r>
      <w:r>
        <w:rPr>
          <w:sz w:val="20"/>
        </w:rPr>
        <w:t>garantizar</w:t>
      </w:r>
      <w:r>
        <w:rPr>
          <w:spacing w:val="-8"/>
          <w:sz w:val="20"/>
        </w:rPr>
        <w:t> </w:t>
      </w:r>
      <w:r>
        <w:rPr>
          <w:sz w:val="20"/>
        </w:rPr>
        <w:t>movilidad</w:t>
      </w:r>
      <w:r>
        <w:rPr>
          <w:spacing w:val="-7"/>
          <w:sz w:val="20"/>
        </w:rPr>
        <w:t> </w:t>
      </w:r>
      <w:r>
        <w:rPr>
          <w:sz w:val="20"/>
        </w:rPr>
        <w:t>y acceso universal, prever una iluminación adecuada y la liberación de obstáculos como lo es el mobiliario urbano, el comercio informal, vehículos estacionados u otros; adecuando estos los espacios</w:t>
      </w:r>
      <w:r>
        <w:rPr>
          <w:spacing w:val="-7"/>
          <w:sz w:val="20"/>
        </w:rPr>
        <w:t> </w:t>
      </w:r>
      <w:r>
        <w:rPr>
          <w:sz w:val="20"/>
        </w:rPr>
        <w:t>a</w:t>
      </w:r>
      <w:r>
        <w:rPr>
          <w:spacing w:val="-8"/>
          <w:sz w:val="20"/>
        </w:rPr>
        <w:t> </w:t>
      </w:r>
      <w:r>
        <w:rPr>
          <w:sz w:val="20"/>
        </w:rPr>
        <w:t>los</w:t>
      </w:r>
      <w:r>
        <w:rPr>
          <w:spacing w:val="-7"/>
          <w:sz w:val="20"/>
        </w:rPr>
        <w:t> </w:t>
      </w:r>
      <w:r>
        <w:rPr>
          <w:sz w:val="20"/>
        </w:rPr>
        <w:t>estándares</w:t>
      </w:r>
      <w:r>
        <w:rPr>
          <w:spacing w:val="-6"/>
          <w:sz w:val="20"/>
        </w:rPr>
        <w:t> </w:t>
      </w:r>
      <w:r>
        <w:rPr>
          <w:sz w:val="20"/>
        </w:rPr>
        <w:t>existentes</w:t>
      </w:r>
      <w:r>
        <w:rPr>
          <w:spacing w:val="-9"/>
          <w:sz w:val="20"/>
        </w:rPr>
        <w:t> </w:t>
      </w:r>
      <w:r>
        <w:rPr>
          <w:sz w:val="20"/>
        </w:rPr>
        <w:t>respecto</w:t>
      </w:r>
      <w:r>
        <w:rPr>
          <w:spacing w:val="-8"/>
          <w:sz w:val="20"/>
        </w:rPr>
        <w:t> </w:t>
      </w:r>
      <w:r>
        <w:rPr>
          <w:sz w:val="20"/>
        </w:rPr>
        <w:t>a</w:t>
      </w:r>
      <w:r>
        <w:rPr>
          <w:spacing w:val="-8"/>
          <w:sz w:val="20"/>
        </w:rPr>
        <w:t> </w:t>
      </w:r>
      <w:r>
        <w:rPr>
          <w:sz w:val="20"/>
        </w:rPr>
        <w:t>anchos</w:t>
      </w:r>
      <w:r>
        <w:rPr>
          <w:spacing w:val="-9"/>
          <w:sz w:val="20"/>
        </w:rPr>
        <w:t> </w:t>
      </w:r>
      <w:r>
        <w:rPr>
          <w:sz w:val="20"/>
        </w:rPr>
        <w:t>mínimos</w:t>
      </w:r>
      <w:r>
        <w:rPr>
          <w:spacing w:val="-9"/>
          <w:sz w:val="20"/>
        </w:rPr>
        <w:t> </w:t>
      </w:r>
      <w:r>
        <w:rPr>
          <w:sz w:val="20"/>
        </w:rPr>
        <w:t>y</w:t>
      </w:r>
      <w:r>
        <w:rPr>
          <w:spacing w:val="-9"/>
          <w:sz w:val="20"/>
        </w:rPr>
        <w:t> </w:t>
      </w:r>
      <w:r>
        <w:rPr>
          <w:sz w:val="20"/>
        </w:rPr>
        <w:t>pendientes</w:t>
      </w:r>
      <w:r>
        <w:rPr>
          <w:spacing w:val="-6"/>
          <w:sz w:val="20"/>
        </w:rPr>
        <w:t> </w:t>
      </w:r>
      <w:r>
        <w:rPr>
          <w:sz w:val="20"/>
        </w:rPr>
        <w:t>máximas</w:t>
      </w:r>
      <w:r>
        <w:rPr>
          <w:spacing w:val="-6"/>
          <w:sz w:val="20"/>
        </w:rPr>
        <w:t> </w:t>
      </w:r>
      <w:r>
        <w:rPr>
          <w:sz w:val="20"/>
        </w:rPr>
        <w:t>de</w:t>
      </w:r>
      <w:r>
        <w:rPr>
          <w:spacing w:val="-8"/>
          <w:sz w:val="20"/>
        </w:rPr>
        <w:t> </w:t>
      </w:r>
      <w:r>
        <w:rPr>
          <w:sz w:val="20"/>
        </w:rPr>
        <w:t>rampas;</w:t>
      </w:r>
    </w:p>
    <w:p>
      <w:pPr>
        <w:pStyle w:val="BodyText"/>
      </w:pPr>
    </w:p>
    <w:p>
      <w:pPr>
        <w:pStyle w:val="ListParagraph"/>
        <w:numPr>
          <w:ilvl w:val="0"/>
          <w:numId w:val="66"/>
        </w:numPr>
        <w:tabs>
          <w:tab w:pos="688" w:val="left" w:leader="none"/>
        </w:tabs>
        <w:spacing w:line="240" w:lineRule="auto" w:before="0" w:after="0"/>
        <w:ind w:left="262" w:right="286" w:firstLine="0"/>
        <w:jc w:val="both"/>
        <w:rPr>
          <w:sz w:val="20"/>
        </w:rPr>
      </w:pPr>
      <w:r>
        <w:rPr>
          <w:sz w:val="20"/>
        </w:rPr>
        <w:t>El incremento de áreas peatonales mediante la recuperación de espacios públicos y la conversión peatonal de centros históricos, y</w:t>
      </w:r>
    </w:p>
    <w:p>
      <w:pPr>
        <w:pStyle w:val="BodyText"/>
        <w:spacing w:before="1"/>
      </w:pPr>
    </w:p>
    <w:p>
      <w:pPr>
        <w:pStyle w:val="ListParagraph"/>
        <w:numPr>
          <w:ilvl w:val="0"/>
          <w:numId w:val="66"/>
        </w:numPr>
        <w:tabs>
          <w:tab w:pos="688" w:val="left" w:leader="none"/>
        </w:tabs>
        <w:spacing w:line="240" w:lineRule="auto" w:before="0" w:after="0"/>
        <w:ind w:left="262" w:right="281" w:firstLine="0"/>
        <w:jc w:val="both"/>
        <w:rPr>
          <w:sz w:val="20"/>
        </w:rPr>
      </w:pPr>
      <w:r>
        <w:rPr>
          <w:sz w:val="20"/>
        </w:rPr>
        <w:t>La adecuación de áreas verdes, camellones y carriles</w:t>
      </w:r>
      <w:r>
        <w:rPr>
          <w:spacing w:val="40"/>
          <w:sz w:val="20"/>
        </w:rPr>
        <w:t> </w:t>
      </w:r>
      <w:r>
        <w:rPr>
          <w:sz w:val="20"/>
        </w:rPr>
        <w:t>para incluir andadores y ciclo vías, mediante diseños que otorguen seguridad y calidad con el uso de reductores de velocidad y cualquier otra clase de infraestructura que dé continuidad a la trayectoria, priorizando el paso peatonal y ciclista.</w:t>
      </w:r>
    </w:p>
    <w:p>
      <w:pPr>
        <w:pStyle w:val="BodyText"/>
      </w:pPr>
    </w:p>
    <w:p>
      <w:pPr>
        <w:pStyle w:val="BodyText"/>
        <w:ind w:left="262" w:right="278"/>
        <w:jc w:val="both"/>
      </w:pPr>
      <w:r>
        <w:rPr>
          <w:rFonts w:ascii="Arial" w:hAnsi="Arial"/>
          <w:b/>
        </w:rPr>
        <w:t>ARTÍCULO</w:t>
      </w:r>
      <w:r>
        <w:rPr>
          <w:rFonts w:ascii="Arial" w:hAnsi="Arial"/>
          <w:b/>
          <w:spacing w:val="-13"/>
        </w:rPr>
        <w:t> </w:t>
      </w:r>
      <w:r>
        <w:rPr>
          <w:rFonts w:ascii="Arial" w:hAnsi="Arial"/>
          <w:b/>
        </w:rPr>
        <w:t>163.</w:t>
      </w:r>
      <w:r>
        <w:rPr>
          <w:rFonts w:ascii="Arial" w:hAnsi="Arial"/>
          <w:b/>
          <w:spacing w:val="-11"/>
        </w:rPr>
        <w:t> </w:t>
      </w:r>
      <w:r>
        <w:rPr/>
        <w:t>El</w:t>
      </w:r>
      <w:r>
        <w:rPr>
          <w:spacing w:val="-12"/>
        </w:rPr>
        <w:t> </w:t>
      </w:r>
      <w:r>
        <w:rPr/>
        <w:t>Estado</w:t>
      </w:r>
      <w:r>
        <w:rPr>
          <w:spacing w:val="-12"/>
        </w:rPr>
        <w:t> </w:t>
      </w:r>
      <w:r>
        <w:rPr/>
        <w:t>y</w:t>
      </w:r>
      <w:r>
        <w:rPr>
          <w:spacing w:val="-12"/>
        </w:rPr>
        <w:t> </w:t>
      </w:r>
      <w:r>
        <w:rPr/>
        <w:t>los</w:t>
      </w:r>
      <w:r>
        <w:rPr>
          <w:spacing w:val="-13"/>
        </w:rPr>
        <w:t> </w:t>
      </w:r>
      <w:r>
        <w:rPr/>
        <w:t>municipios</w:t>
      </w:r>
      <w:r>
        <w:rPr>
          <w:spacing w:val="-13"/>
        </w:rPr>
        <w:t> </w:t>
      </w:r>
      <w:r>
        <w:rPr/>
        <w:t>deberán</w:t>
      </w:r>
      <w:r>
        <w:rPr>
          <w:spacing w:val="-12"/>
        </w:rPr>
        <w:t> </w:t>
      </w:r>
      <w:r>
        <w:rPr/>
        <w:t>promover</w:t>
      </w:r>
      <w:r>
        <w:rPr>
          <w:spacing w:val="-13"/>
        </w:rPr>
        <w:t> </w:t>
      </w:r>
      <w:r>
        <w:rPr/>
        <w:t>y</w:t>
      </w:r>
      <w:r>
        <w:rPr>
          <w:spacing w:val="-12"/>
        </w:rPr>
        <w:t> </w:t>
      </w:r>
      <w:r>
        <w:rPr/>
        <w:t>priorizar</w:t>
      </w:r>
      <w:r>
        <w:rPr>
          <w:spacing w:val="-11"/>
        </w:rPr>
        <w:t> </w:t>
      </w:r>
      <w:r>
        <w:rPr/>
        <w:t>en</w:t>
      </w:r>
      <w:r>
        <w:rPr>
          <w:spacing w:val="-12"/>
        </w:rPr>
        <w:t> </w:t>
      </w:r>
      <w:r>
        <w:rPr/>
        <w:t>la</w:t>
      </w:r>
      <w:r>
        <w:rPr>
          <w:spacing w:val="-11"/>
        </w:rPr>
        <w:t> </w:t>
      </w:r>
      <w:r>
        <w:rPr/>
        <w:t>población</w:t>
      </w:r>
      <w:r>
        <w:rPr>
          <w:spacing w:val="-11"/>
        </w:rPr>
        <w:t> </w:t>
      </w:r>
      <w:r>
        <w:rPr/>
        <w:t>la</w:t>
      </w:r>
      <w:r>
        <w:rPr>
          <w:spacing w:val="-14"/>
        </w:rPr>
        <w:t> </w:t>
      </w:r>
      <w:r>
        <w:rPr/>
        <w:t>adopción de nuevos hábitos de movilidad urbana sustentable y prevención de accidentes encaminados a mejorar las condiciones en que se realizan los desplazamientos de la población, lograr una sana convivencia</w:t>
      </w:r>
      <w:r>
        <w:rPr>
          <w:spacing w:val="-10"/>
        </w:rPr>
        <w:t> </w:t>
      </w:r>
      <w:r>
        <w:rPr/>
        <w:t>en</w:t>
      </w:r>
      <w:r>
        <w:rPr>
          <w:spacing w:val="-12"/>
        </w:rPr>
        <w:t> </w:t>
      </w:r>
      <w:r>
        <w:rPr/>
        <w:t>las</w:t>
      </w:r>
      <w:r>
        <w:rPr>
          <w:spacing w:val="-11"/>
        </w:rPr>
        <w:t> </w:t>
      </w:r>
      <w:r>
        <w:rPr/>
        <w:t>calles,</w:t>
      </w:r>
      <w:r>
        <w:rPr>
          <w:spacing w:val="-10"/>
        </w:rPr>
        <w:t> </w:t>
      </w:r>
      <w:r>
        <w:rPr/>
        <w:t>respetar</w:t>
      </w:r>
      <w:r>
        <w:rPr>
          <w:spacing w:val="-9"/>
        </w:rPr>
        <w:t> </w:t>
      </w:r>
      <w:r>
        <w:rPr/>
        <w:t>el</w:t>
      </w:r>
      <w:r>
        <w:rPr>
          <w:spacing w:val="-11"/>
        </w:rPr>
        <w:t> </w:t>
      </w:r>
      <w:r>
        <w:rPr/>
        <w:t>desplazamiento</w:t>
      </w:r>
      <w:r>
        <w:rPr>
          <w:spacing w:val="-8"/>
        </w:rPr>
        <w:t> </w:t>
      </w:r>
      <w:r>
        <w:rPr/>
        <w:t>del</w:t>
      </w:r>
      <w:r>
        <w:rPr>
          <w:spacing w:val="-11"/>
        </w:rPr>
        <w:t> </w:t>
      </w:r>
      <w:r>
        <w:rPr/>
        <w:t>peatón</w:t>
      </w:r>
      <w:r>
        <w:rPr>
          <w:spacing w:val="-12"/>
        </w:rPr>
        <w:t> </w:t>
      </w:r>
      <w:r>
        <w:rPr/>
        <w:t>y</w:t>
      </w:r>
      <w:r>
        <w:rPr>
          <w:spacing w:val="-11"/>
        </w:rPr>
        <w:t> </w:t>
      </w:r>
      <w:r>
        <w:rPr/>
        <w:t>su</w:t>
      </w:r>
      <w:r>
        <w:rPr>
          <w:spacing w:val="-10"/>
        </w:rPr>
        <w:t> </w:t>
      </w:r>
      <w:r>
        <w:rPr/>
        <w:t>preferencia,</w:t>
      </w:r>
      <w:r>
        <w:rPr>
          <w:spacing w:val="-10"/>
        </w:rPr>
        <w:t> </w:t>
      </w:r>
      <w:r>
        <w:rPr/>
        <w:t>prevenir</w:t>
      </w:r>
      <w:r>
        <w:rPr>
          <w:spacing w:val="-11"/>
        </w:rPr>
        <w:t> </w:t>
      </w:r>
      <w:r>
        <w:rPr/>
        <w:t>conflictos de tránsito, desestimular el uso del automóvil particular, promover el uso intensivo del transporte público y no motorizado y el reconocimiento y respeto a la siguiente jerarquía:</w:t>
      </w:r>
    </w:p>
    <w:p>
      <w:pPr>
        <w:pStyle w:val="BodyText"/>
        <w:spacing w:before="1"/>
      </w:pPr>
    </w:p>
    <w:p>
      <w:pPr>
        <w:pStyle w:val="ListParagraph"/>
        <w:numPr>
          <w:ilvl w:val="0"/>
          <w:numId w:val="67"/>
        </w:numPr>
        <w:tabs>
          <w:tab w:pos="402" w:val="left" w:leader="none"/>
        </w:tabs>
        <w:spacing w:line="240" w:lineRule="auto" w:before="0" w:after="0"/>
        <w:ind w:left="402" w:right="0" w:hanging="140"/>
        <w:jc w:val="both"/>
        <w:rPr>
          <w:sz w:val="20"/>
        </w:rPr>
      </w:pPr>
      <w:r>
        <w:rPr>
          <w:sz w:val="20"/>
        </w:rPr>
        <w:t>Personas</w:t>
      </w:r>
      <w:r>
        <w:rPr>
          <w:spacing w:val="-8"/>
          <w:sz w:val="20"/>
        </w:rPr>
        <w:t> </w:t>
      </w:r>
      <w:r>
        <w:rPr>
          <w:sz w:val="20"/>
        </w:rPr>
        <w:t>con</w:t>
      </w:r>
      <w:r>
        <w:rPr>
          <w:spacing w:val="-8"/>
          <w:sz w:val="20"/>
        </w:rPr>
        <w:t> </w:t>
      </w:r>
      <w:r>
        <w:rPr>
          <w:sz w:val="20"/>
        </w:rPr>
        <w:t>movilidad</w:t>
      </w:r>
      <w:r>
        <w:rPr>
          <w:spacing w:val="-7"/>
          <w:sz w:val="20"/>
        </w:rPr>
        <w:t> </w:t>
      </w:r>
      <w:r>
        <w:rPr>
          <w:sz w:val="20"/>
        </w:rPr>
        <w:t>limitada</w:t>
      </w:r>
      <w:r>
        <w:rPr>
          <w:spacing w:val="-8"/>
          <w:sz w:val="20"/>
        </w:rPr>
        <w:t> </w:t>
      </w:r>
      <w:r>
        <w:rPr>
          <w:sz w:val="20"/>
        </w:rPr>
        <w:t>y</w:t>
      </w:r>
      <w:r>
        <w:rPr>
          <w:spacing w:val="-8"/>
          <w:sz w:val="20"/>
        </w:rPr>
        <w:t> </w:t>
      </w:r>
      <w:r>
        <w:rPr>
          <w:spacing w:val="-2"/>
          <w:sz w:val="20"/>
        </w:rPr>
        <w:t>peatones;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67"/>
        </w:numPr>
        <w:tabs>
          <w:tab w:pos="543" w:val="left" w:leader="none"/>
        </w:tabs>
        <w:spacing w:line="240" w:lineRule="auto" w:before="0" w:after="0"/>
        <w:ind w:left="543" w:right="0" w:hanging="281"/>
        <w:jc w:val="left"/>
        <w:rPr>
          <w:sz w:val="20"/>
        </w:rPr>
      </w:pPr>
      <w:r>
        <w:rPr>
          <w:sz w:val="20"/>
        </w:rPr>
        <w:t>Usuarios</w:t>
      </w:r>
      <w:r>
        <w:rPr>
          <w:spacing w:val="-8"/>
          <w:sz w:val="20"/>
        </w:rPr>
        <w:t> </w:t>
      </w:r>
      <w:r>
        <w:rPr>
          <w:sz w:val="20"/>
        </w:rPr>
        <w:t>de</w:t>
      </w:r>
      <w:r>
        <w:rPr>
          <w:spacing w:val="-8"/>
          <w:sz w:val="20"/>
        </w:rPr>
        <w:t> </w:t>
      </w:r>
      <w:r>
        <w:rPr>
          <w:sz w:val="20"/>
        </w:rPr>
        <w:t>transporte</w:t>
      </w:r>
      <w:r>
        <w:rPr>
          <w:spacing w:val="-6"/>
          <w:sz w:val="20"/>
        </w:rPr>
        <w:t> </w:t>
      </w:r>
      <w:r>
        <w:rPr>
          <w:sz w:val="20"/>
        </w:rPr>
        <w:t>no</w:t>
      </w:r>
      <w:r>
        <w:rPr>
          <w:spacing w:val="-7"/>
          <w:sz w:val="20"/>
        </w:rPr>
        <w:t> </w:t>
      </w:r>
      <w:r>
        <w:rPr>
          <w:spacing w:val="-2"/>
          <w:sz w:val="20"/>
        </w:rPr>
        <w:t>motorizado;</w:t>
      </w:r>
    </w:p>
    <w:p>
      <w:pPr>
        <w:pStyle w:val="BodyText"/>
        <w:spacing w:before="1"/>
      </w:pPr>
    </w:p>
    <w:p>
      <w:pPr>
        <w:pStyle w:val="ListParagraph"/>
        <w:numPr>
          <w:ilvl w:val="0"/>
          <w:numId w:val="67"/>
        </w:numPr>
        <w:tabs>
          <w:tab w:pos="689" w:val="left" w:leader="none"/>
        </w:tabs>
        <w:spacing w:line="240" w:lineRule="auto" w:before="0" w:after="0"/>
        <w:ind w:left="689" w:right="0" w:hanging="427"/>
        <w:jc w:val="left"/>
        <w:rPr>
          <w:sz w:val="20"/>
        </w:rPr>
      </w:pPr>
      <w:r>
        <w:rPr>
          <w:sz w:val="20"/>
        </w:rPr>
        <w:t>Usuarios</w:t>
      </w:r>
      <w:r>
        <w:rPr>
          <w:spacing w:val="-6"/>
          <w:sz w:val="20"/>
        </w:rPr>
        <w:t> </w:t>
      </w:r>
      <w:r>
        <w:rPr>
          <w:sz w:val="20"/>
        </w:rPr>
        <w:t>del</w:t>
      </w:r>
      <w:r>
        <w:rPr>
          <w:spacing w:val="-8"/>
          <w:sz w:val="20"/>
        </w:rPr>
        <w:t> </w:t>
      </w:r>
      <w:r>
        <w:rPr>
          <w:sz w:val="20"/>
        </w:rPr>
        <w:t>servicio</w:t>
      </w:r>
      <w:r>
        <w:rPr>
          <w:spacing w:val="-7"/>
          <w:sz w:val="20"/>
        </w:rPr>
        <w:t> </w:t>
      </w:r>
      <w:r>
        <w:rPr>
          <w:sz w:val="20"/>
        </w:rPr>
        <w:t>de</w:t>
      </w:r>
      <w:r>
        <w:rPr>
          <w:spacing w:val="-7"/>
          <w:sz w:val="20"/>
        </w:rPr>
        <w:t> </w:t>
      </w:r>
      <w:r>
        <w:rPr>
          <w:sz w:val="20"/>
        </w:rPr>
        <w:t>trasporte</w:t>
      </w:r>
      <w:r>
        <w:rPr>
          <w:spacing w:val="-8"/>
          <w:sz w:val="20"/>
        </w:rPr>
        <w:t> </w:t>
      </w:r>
      <w:r>
        <w:rPr>
          <w:sz w:val="20"/>
        </w:rPr>
        <w:t>público</w:t>
      </w:r>
      <w:r>
        <w:rPr>
          <w:spacing w:val="-7"/>
          <w:sz w:val="20"/>
        </w:rPr>
        <w:t> </w:t>
      </w:r>
      <w:r>
        <w:rPr>
          <w:sz w:val="20"/>
        </w:rPr>
        <w:t>de</w:t>
      </w:r>
      <w:r>
        <w:rPr>
          <w:spacing w:val="-7"/>
          <w:sz w:val="20"/>
        </w:rPr>
        <w:t> </w:t>
      </w:r>
      <w:r>
        <w:rPr>
          <w:spacing w:val="-2"/>
          <w:sz w:val="20"/>
        </w:rPr>
        <w:t>pasajeros;</w:t>
      </w:r>
    </w:p>
    <w:p>
      <w:pPr>
        <w:pStyle w:val="ListParagraph"/>
        <w:numPr>
          <w:ilvl w:val="0"/>
          <w:numId w:val="67"/>
        </w:numPr>
        <w:tabs>
          <w:tab w:pos="688" w:val="left" w:leader="none"/>
        </w:tabs>
        <w:spacing w:line="240" w:lineRule="auto" w:before="229" w:after="0"/>
        <w:ind w:left="688" w:right="0" w:hanging="426"/>
        <w:jc w:val="left"/>
        <w:rPr>
          <w:sz w:val="20"/>
        </w:rPr>
      </w:pPr>
      <w:r>
        <w:rPr>
          <w:sz w:val="20"/>
        </w:rPr>
        <w:t>Prestadores</w:t>
      </w:r>
      <w:r>
        <w:rPr>
          <w:spacing w:val="-7"/>
          <w:sz w:val="20"/>
        </w:rPr>
        <w:t> </w:t>
      </w:r>
      <w:r>
        <w:rPr>
          <w:sz w:val="20"/>
        </w:rPr>
        <w:t>del</w:t>
      </w:r>
      <w:r>
        <w:rPr>
          <w:spacing w:val="-9"/>
          <w:sz w:val="20"/>
        </w:rPr>
        <w:t> </w:t>
      </w:r>
      <w:r>
        <w:rPr>
          <w:sz w:val="20"/>
        </w:rPr>
        <w:t>servicio</w:t>
      </w:r>
      <w:r>
        <w:rPr>
          <w:spacing w:val="-6"/>
          <w:sz w:val="20"/>
        </w:rPr>
        <w:t> </w:t>
      </w:r>
      <w:r>
        <w:rPr>
          <w:sz w:val="20"/>
        </w:rPr>
        <w:t>de</w:t>
      </w:r>
      <w:r>
        <w:rPr>
          <w:spacing w:val="-7"/>
          <w:sz w:val="20"/>
        </w:rPr>
        <w:t> </w:t>
      </w:r>
      <w:r>
        <w:rPr>
          <w:sz w:val="20"/>
        </w:rPr>
        <w:t>trasporte</w:t>
      </w:r>
      <w:r>
        <w:rPr>
          <w:spacing w:val="-6"/>
          <w:sz w:val="20"/>
        </w:rPr>
        <w:t> </w:t>
      </w:r>
      <w:r>
        <w:rPr>
          <w:sz w:val="20"/>
        </w:rPr>
        <w:t>público</w:t>
      </w:r>
      <w:r>
        <w:rPr>
          <w:spacing w:val="-9"/>
          <w:sz w:val="20"/>
        </w:rPr>
        <w:t> </w:t>
      </w:r>
      <w:r>
        <w:rPr>
          <w:sz w:val="20"/>
        </w:rPr>
        <w:t>colectivo</w:t>
      </w:r>
      <w:r>
        <w:rPr>
          <w:spacing w:val="-6"/>
          <w:sz w:val="20"/>
        </w:rPr>
        <w:t> </w:t>
      </w:r>
      <w:r>
        <w:rPr>
          <w:sz w:val="20"/>
        </w:rPr>
        <w:t>de</w:t>
      </w:r>
      <w:r>
        <w:rPr>
          <w:spacing w:val="-9"/>
          <w:sz w:val="20"/>
        </w:rPr>
        <w:t> </w:t>
      </w:r>
      <w:r>
        <w:rPr>
          <w:spacing w:val="-2"/>
          <w:sz w:val="20"/>
        </w:rPr>
        <w:t>pasajeros;</w:t>
      </w:r>
    </w:p>
    <w:p>
      <w:pPr>
        <w:pStyle w:val="BodyText"/>
      </w:pPr>
    </w:p>
    <w:p>
      <w:pPr>
        <w:pStyle w:val="ListParagraph"/>
        <w:numPr>
          <w:ilvl w:val="0"/>
          <w:numId w:val="67"/>
        </w:numPr>
        <w:tabs>
          <w:tab w:pos="689" w:val="left" w:leader="none"/>
        </w:tabs>
        <w:spacing w:line="240" w:lineRule="auto" w:before="0" w:after="0"/>
        <w:ind w:left="689" w:right="0" w:hanging="427"/>
        <w:jc w:val="left"/>
        <w:rPr>
          <w:sz w:val="20"/>
        </w:rPr>
      </w:pPr>
      <w:r>
        <w:rPr>
          <w:sz w:val="20"/>
        </w:rPr>
        <w:t>Prestadores</w:t>
      </w:r>
      <w:r>
        <w:rPr>
          <w:spacing w:val="-7"/>
          <w:sz w:val="20"/>
        </w:rPr>
        <w:t> </w:t>
      </w:r>
      <w:r>
        <w:rPr>
          <w:sz w:val="20"/>
        </w:rPr>
        <w:t>del</w:t>
      </w:r>
      <w:r>
        <w:rPr>
          <w:spacing w:val="-8"/>
          <w:sz w:val="20"/>
        </w:rPr>
        <w:t> </w:t>
      </w:r>
      <w:r>
        <w:rPr>
          <w:sz w:val="20"/>
        </w:rPr>
        <w:t>servicio</w:t>
      </w:r>
      <w:r>
        <w:rPr>
          <w:spacing w:val="-6"/>
          <w:sz w:val="20"/>
        </w:rPr>
        <w:t> </w:t>
      </w:r>
      <w:r>
        <w:rPr>
          <w:sz w:val="20"/>
        </w:rPr>
        <w:t>de</w:t>
      </w:r>
      <w:r>
        <w:rPr>
          <w:spacing w:val="-6"/>
          <w:sz w:val="20"/>
        </w:rPr>
        <w:t> </w:t>
      </w:r>
      <w:r>
        <w:rPr>
          <w:sz w:val="20"/>
        </w:rPr>
        <w:t>transporte</w:t>
      </w:r>
      <w:r>
        <w:rPr>
          <w:spacing w:val="-6"/>
          <w:sz w:val="20"/>
        </w:rPr>
        <w:t> </w:t>
      </w:r>
      <w:r>
        <w:rPr>
          <w:sz w:val="20"/>
        </w:rPr>
        <w:t>de</w:t>
      </w:r>
      <w:r>
        <w:rPr>
          <w:spacing w:val="-9"/>
          <w:sz w:val="20"/>
        </w:rPr>
        <w:t> </w:t>
      </w:r>
      <w:r>
        <w:rPr>
          <w:sz w:val="20"/>
        </w:rPr>
        <w:t>carga,</w:t>
      </w:r>
      <w:r>
        <w:rPr>
          <w:spacing w:val="-8"/>
          <w:sz w:val="20"/>
        </w:rPr>
        <w:t> </w:t>
      </w:r>
      <w:r>
        <w:rPr>
          <w:spacing w:val="-10"/>
          <w:sz w:val="20"/>
        </w:rPr>
        <w:t>y</w:t>
      </w:r>
    </w:p>
    <w:p>
      <w:pPr>
        <w:pStyle w:val="BodyText"/>
        <w:spacing w:before="1"/>
      </w:pPr>
    </w:p>
    <w:p>
      <w:pPr>
        <w:pStyle w:val="ListParagraph"/>
        <w:numPr>
          <w:ilvl w:val="0"/>
          <w:numId w:val="67"/>
        </w:numPr>
        <w:tabs>
          <w:tab w:pos="688" w:val="left" w:leader="none"/>
        </w:tabs>
        <w:spacing w:line="240" w:lineRule="auto" w:before="0" w:after="0"/>
        <w:ind w:left="688" w:right="0" w:hanging="426"/>
        <w:jc w:val="left"/>
        <w:rPr>
          <w:sz w:val="20"/>
        </w:rPr>
      </w:pPr>
      <w:r>
        <w:rPr>
          <w:sz w:val="20"/>
        </w:rPr>
        <w:t>Usuarios</w:t>
      </w:r>
      <w:r>
        <w:rPr>
          <w:spacing w:val="-9"/>
          <w:sz w:val="20"/>
        </w:rPr>
        <w:t> </w:t>
      </w:r>
      <w:r>
        <w:rPr>
          <w:sz w:val="20"/>
        </w:rPr>
        <w:t>de</w:t>
      </w:r>
      <w:r>
        <w:rPr>
          <w:spacing w:val="-9"/>
          <w:sz w:val="20"/>
        </w:rPr>
        <w:t> </w:t>
      </w:r>
      <w:r>
        <w:rPr>
          <w:sz w:val="20"/>
        </w:rPr>
        <w:t>transporte</w:t>
      </w:r>
      <w:r>
        <w:rPr>
          <w:spacing w:val="-8"/>
          <w:sz w:val="20"/>
        </w:rPr>
        <w:t> </w:t>
      </w:r>
      <w:r>
        <w:rPr>
          <w:spacing w:val="-2"/>
          <w:sz w:val="20"/>
        </w:rPr>
        <w:t>particular.</w:t>
      </w:r>
    </w:p>
    <w:p>
      <w:pPr>
        <w:pStyle w:val="BodyText"/>
      </w:pPr>
    </w:p>
    <w:p>
      <w:pPr>
        <w:pStyle w:val="BodyText"/>
      </w:pPr>
    </w:p>
    <w:p>
      <w:pPr>
        <w:pStyle w:val="Heading2"/>
        <w:spacing w:line="480" w:lineRule="auto"/>
        <w:ind w:left="4177" w:right="4194" w:firstLine="1"/>
      </w:pPr>
      <w:r>
        <w:rPr/>
        <w:t>Capítulo</w:t>
      </w:r>
      <w:r>
        <w:rPr>
          <w:spacing w:val="-14"/>
        </w:rPr>
        <w:t> </w:t>
      </w:r>
      <w:r>
        <w:rPr/>
        <w:t>II </w:t>
      </w:r>
      <w:r>
        <w:rPr>
          <w:spacing w:val="-2"/>
        </w:rPr>
        <w:t>Vialidades</w:t>
      </w:r>
    </w:p>
    <w:p>
      <w:pPr>
        <w:spacing w:before="1"/>
        <w:ind w:left="262"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164.</w:t>
      </w:r>
      <w:r>
        <w:rPr>
          <w:rFonts w:ascii="Arial" w:hAnsi="Arial"/>
          <w:b/>
          <w:spacing w:val="-5"/>
          <w:sz w:val="20"/>
        </w:rPr>
        <w:t> </w:t>
      </w:r>
      <w:r>
        <w:rPr>
          <w:sz w:val="20"/>
        </w:rPr>
        <w:t>Para</w:t>
      </w:r>
      <w:r>
        <w:rPr>
          <w:spacing w:val="-6"/>
          <w:sz w:val="20"/>
        </w:rPr>
        <w:t> </w:t>
      </w:r>
      <w:r>
        <w:rPr>
          <w:sz w:val="20"/>
        </w:rPr>
        <w:t>efectos</w:t>
      </w:r>
      <w:r>
        <w:rPr>
          <w:spacing w:val="-6"/>
          <w:sz w:val="20"/>
        </w:rPr>
        <w:t> </w:t>
      </w:r>
      <w:r>
        <w:rPr>
          <w:sz w:val="20"/>
        </w:rPr>
        <w:t>de</w:t>
      </w:r>
      <w:r>
        <w:rPr>
          <w:spacing w:val="-6"/>
          <w:sz w:val="20"/>
        </w:rPr>
        <w:t> </w:t>
      </w:r>
      <w:r>
        <w:rPr>
          <w:sz w:val="20"/>
        </w:rPr>
        <w:t>la</w:t>
      </w:r>
      <w:r>
        <w:rPr>
          <w:spacing w:val="-8"/>
          <w:sz w:val="20"/>
        </w:rPr>
        <w:t> </w:t>
      </w:r>
      <w:r>
        <w:rPr>
          <w:sz w:val="20"/>
        </w:rPr>
        <w:t>presente</w:t>
      </w:r>
      <w:r>
        <w:rPr>
          <w:spacing w:val="-5"/>
          <w:sz w:val="20"/>
        </w:rPr>
        <w:t> </w:t>
      </w:r>
      <w:r>
        <w:rPr>
          <w:sz w:val="20"/>
        </w:rPr>
        <w:t>Sección</w:t>
      </w:r>
      <w:r>
        <w:rPr>
          <w:spacing w:val="-7"/>
          <w:sz w:val="20"/>
        </w:rPr>
        <w:t> </w:t>
      </w:r>
      <w:r>
        <w:rPr>
          <w:sz w:val="20"/>
        </w:rPr>
        <w:t>se</w:t>
      </w:r>
      <w:r>
        <w:rPr>
          <w:spacing w:val="-7"/>
          <w:sz w:val="20"/>
        </w:rPr>
        <w:t> </w:t>
      </w:r>
      <w:r>
        <w:rPr>
          <w:sz w:val="20"/>
        </w:rPr>
        <w:t>entiende</w:t>
      </w:r>
      <w:r>
        <w:rPr>
          <w:spacing w:val="-8"/>
          <w:sz w:val="20"/>
        </w:rPr>
        <w:t> </w:t>
      </w:r>
      <w:r>
        <w:rPr>
          <w:spacing w:val="-4"/>
          <w:sz w:val="20"/>
        </w:rPr>
        <w:t>por:</w:t>
      </w:r>
    </w:p>
    <w:p>
      <w:pPr>
        <w:pStyle w:val="ListParagraph"/>
        <w:numPr>
          <w:ilvl w:val="0"/>
          <w:numId w:val="68"/>
        </w:numPr>
        <w:tabs>
          <w:tab w:pos="600" w:val="left" w:leader="none"/>
        </w:tabs>
        <w:spacing w:line="240" w:lineRule="auto" w:before="229" w:after="0"/>
        <w:ind w:left="262" w:right="287" w:firstLine="0"/>
        <w:jc w:val="left"/>
        <w:rPr>
          <w:sz w:val="20"/>
        </w:rPr>
      </w:pPr>
      <w:r>
        <w:rPr>
          <w:rFonts w:ascii="Arial" w:hAnsi="Arial"/>
          <w:b/>
          <w:sz w:val="20"/>
        </w:rPr>
        <w:t>Andadores</w:t>
      </w:r>
      <w:r>
        <w:rPr>
          <w:sz w:val="20"/>
        </w:rPr>
        <w:t>:</w:t>
      </w:r>
      <w:r>
        <w:rPr>
          <w:spacing w:val="80"/>
          <w:sz w:val="20"/>
        </w:rPr>
        <w:t> </w:t>
      </w:r>
      <w:r>
        <w:rPr>
          <w:sz w:val="20"/>
        </w:rPr>
        <w:t>son</w:t>
      </w:r>
      <w:r>
        <w:rPr>
          <w:spacing w:val="80"/>
          <w:sz w:val="20"/>
        </w:rPr>
        <w:t> </w:t>
      </w:r>
      <w:r>
        <w:rPr>
          <w:sz w:val="20"/>
        </w:rPr>
        <w:t>los</w:t>
      </w:r>
      <w:r>
        <w:rPr>
          <w:spacing w:val="80"/>
          <w:sz w:val="20"/>
        </w:rPr>
        <w:t> </w:t>
      </w:r>
      <w:r>
        <w:rPr>
          <w:sz w:val="20"/>
        </w:rPr>
        <w:t>espacios</w:t>
      </w:r>
      <w:r>
        <w:rPr>
          <w:spacing w:val="80"/>
          <w:sz w:val="20"/>
        </w:rPr>
        <w:t> </w:t>
      </w:r>
      <w:r>
        <w:rPr>
          <w:sz w:val="20"/>
        </w:rPr>
        <w:t>de</w:t>
      </w:r>
      <w:r>
        <w:rPr>
          <w:spacing w:val="80"/>
          <w:sz w:val="20"/>
        </w:rPr>
        <w:t> </w:t>
      </w:r>
      <w:r>
        <w:rPr>
          <w:sz w:val="20"/>
        </w:rPr>
        <w:t>circulación</w:t>
      </w:r>
      <w:r>
        <w:rPr>
          <w:spacing w:val="80"/>
          <w:sz w:val="20"/>
        </w:rPr>
        <w:t> </w:t>
      </w:r>
      <w:r>
        <w:rPr>
          <w:sz w:val="20"/>
        </w:rPr>
        <w:t>exclusivamente</w:t>
      </w:r>
      <w:r>
        <w:rPr>
          <w:spacing w:val="80"/>
          <w:sz w:val="20"/>
        </w:rPr>
        <w:t> </w:t>
      </w:r>
      <w:r>
        <w:rPr>
          <w:sz w:val="20"/>
        </w:rPr>
        <w:t>peatonal</w:t>
      </w:r>
      <w:r>
        <w:rPr>
          <w:spacing w:val="80"/>
          <w:sz w:val="20"/>
        </w:rPr>
        <w:t> </w:t>
      </w:r>
      <w:r>
        <w:rPr>
          <w:sz w:val="20"/>
        </w:rPr>
        <w:t>dentro</w:t>
      </w:r>
      <w:r>
        <w:rPr>
          <w:spacing w:val="80"/>
          <w:sz w:val="20"/>
        </w:rPr>
        <w:t> </w:t>
      </w:r>
      <w:r>
        <w:rPr>
          <w:sz w:val="20"/>
        </w:rPr>
        <w:t>de</w:t>
      </w:r>
      <w:r>
        <w:rPr>
          <w:spacing w:val="80"/>
          <w:sz w:val="20"/>
        </w:rPr>
        <w:t> </w:t>
      </w:r>
      <w:r>
        <w:rPr>
          <w:sz w:val="20"/>
        </w:rPr>
        <w:t>los</w:t>
      </w:r>
      <w:r>
        <w:rPr>
          <w:spacing w:val="80"/>
          <w:sz w:val="20"/>
        </w:rPr>
        <w:t> </w:t>
      </w:r>
      <w:r>
        <w:rPr>
          <w:sz w:val="20"/>
        </w:rPr>
        <w:t>fraccionamientos, condominios o desarrollos inmobiliarios especiales;</w:t>
      </w:r>
    </w:p>
    <w:p>
      <w:pPr>
        <w:pStyle w:val="BodyText"/>
        <w:spacing w:before="1"/>
      </w:pPr>
    </w:p>
    <w:p>
      <w:pPr>
        <w:pStyle w:val="ListParagraph"/>
        <w:numPr>
          <w:ilvl w:val="0"/>
          <w:numId w:val="68"/>
        </w:numPr>
        <w:tabs>
          <w:tab w:pos="543" w:val="left" w:leader="none"/>
        </w:tabs>
        <w:spacing w:line="240" w:lineRule="auto" w:before="0" w:after="0"/>
        <w:ind w:left="262" w:right="279" w:firstLine="0"/>
        <w:jc w:val="both"/>
        <w:rPr>
          <w:sz w:val="20"/>
        </w:rPr>
      </w:pPr>
      <w:r>
        <w:rPr>
          <w:rFonts w:ascii="Arial" w:hAnsi="Arial"/>
          <w:b/>
          <w:spacing w:val="-2"/>
          <w:sz w:val="20"/>
        </w:rPr>
        <w:t>Autopista</w:t>
      </w:r>
      <w:r>
        <w:rPr>
          <w:spacing w:val="-2"/>
          <w:sz w:val="20"/>
        </w:rPr>
        <w:t>:</w:t>
      </w:r>
      <w:r>
        <w:rPr>
          <w:spacing w:val="-3"/>
          <w:sz w:val="20"/>
        </w:rPr>
        <w:t> </w:t>
      </w:r>
      <w:r>
        <w:rPr>
          <w:spacing w:val="-2"/>
          <w:sz w:val="20"/>
        </w:rPr>
        <w:t>carretera que está</w:t>
      </w:r>
      <w:r>
        <w:rPr>
          <w:spacing w:val="-4"/>
          <w:sz w:val="20"/>
        </w:rPr>
        <w:t> </w:t>
      </w:r>
      <w:r>
        <w:rPr>
          <w:spacing w:val="-2"/>
          <w:sz w:val="20"/>
        </w:rPr>
        <w:t>específicamente proyectada, construida y señalizada</w:t>
      </w:r>
      <w:r>
        <w:rPr>
          <w:spacing w:val="-4"/>
          <w:sz w:val="20"/>
        </w:rPr>
        <w:t> </w:t>
      </w:r>
      <w:r>
        <w:rPr>
          <w:spacing w:val="-2"/>
          <w:sz w:val="20"/>
        </w:rPr>
        <w:t>como</w:t>
      </w:r>
      <w:r>
        <w:rPr>
          <w:spacing w:val="-4"/>
          <w:sz w:val="20"/>
        </w:rPr>
        <w:t> </w:t>
      </w:r>
      <w:r>
        <w:rPr>
          <w:spacing w:val="-2"/>
          <w:sz w:val="20"/>
        </w:rPr>
        <w:t>tal para </w:t>
      </w:r>
      <w:r>
        <w:rPr>
          <w:sz w:val="20"/>
        </w:rPr>
        <w:t>la circulación exclusiva de vehículos automotores, en las que no cuentan con acceso a las mismas las</w:t>
      </w:r>
      <w:r>
        <w:rPr>
          <w:spacing w:val="-3"/>
          <w:sz w:val="20"/>
        </w:rPr>
        <w:t> </w:t>
      </w:r>
      <w:r>
        <w:rPr>
          <w:sz w:val="20"/>
        </w:rPr>
        <w:t>propiedades</w:t>
      </w:r>
      <w:r>
        <w:rPr>
          <w:spacing w:val="-3"/>
          <w:sz w:val="20"/>
        </w:rPr>
        <w:t> </w:t>
      </w:r>
      <w:r>
        <w:rPr>
          <w:sz w:val="20"/>
        </w:rPr>
        <w:t>colindantes,</w:t>
      </w:r>
      <w:r>
        <w:rPr>
          <w:spacing w:val="-4"/>
          <w:sz w:val="20"/>
        </w:rPr>
        <w:t> </w:t>
      </w:r>
      <w:r>
        <w:rPr>
          <w:sz w:val="20"/>
        </w:rPr>
        <w:t>no</w:t>
      </w:r>
      <w:r>
        <w:rPr>
          <w:spacing w:val="-2"/>
          <w:sz w:val="20"/>
        </w:rPr>
        <w:t> </w:t>
      </w:r>
      <w:r>
        <w:rPr>
          <w:sz w:val="20"/>
        </w:rPr>
        <w:t>cruzan</w:t>
      </w:r>
      <w:r>
        <w:rPr>
          <w:spacing w:val="-3"/>
          <w:sz w:val="20"/>
        </w:rPr>
        <w:t> </w:t>
      </w:r>
      <w:r>
        <w:rPr>
          <w:sz w:val="20"/>
        </w:rPr>
        <w:t>a</w:t>
      </w:r>
      <w:r>
        <w:rPr>
          <w:spacing w:val="-4"/>
          <w:sz w:val="20"/>
        </w:rPr>
        <w:t> </w:t>
      </w:r>
      <w:r>
        <w:rPr>
          <w:sz w:val="20"/>
        </w:rPr>
        <w:t>nivel</w:t>
      </w:r>
      <w:r>
        <w:rPr>
          <w:spacing w:val="-5"/>
          <w:sz w:val="20"/>
        </w:rPr>
        <w:t> </w:t>
      </w:r>
      <w:r>
        <w:rPr>
          <w:sz w:val="20"/>
        </w:rPr>
        <w:t>ninguna</w:t>
      </w:r>
      <w:r>
        <w:rPr>
          <w:spacing w:val="-4"/>
          <w:sz w:val="20"/>
        </w:rPr>
        <w:t> </w:t>
      </w:r>
      <w:r>
        <w:rPr>
          <w:sz w:val="20"/>
        </w:rPr>
        <w:t>otra</w:t>
      </w:r>
      <w:r>
        <w:rPr>
          <w:spacing w:val="-2"/>
          <w:sz w:val="20"/>
        </w:rPr>
        <w:t> </w:t>
      </w:r>
      <w:r>
        <w:rPr>
          <w:sz w:val="20"/>
        </w:rPr>
        <w:t>senda,</w:t>
      </w:r>
      <w:r>
        <w:rPr>
          <w:spacing w:val="-2"/>
          <w:sz w:val="20"/>
        </w:rPr>
        <w:t> </w:t>
      </w:r>
      <w:r>
        <w:rPr>
          <w:sz w:val="20"/>
        </w:rPr>
        <w:t>vía, línea</w:t>
      </w:r>
      <w:r>
        <w:rPr>
          <w:spacing w:val="-2"/>
          <w:sz w:val="20"/>
        </w:rPr>
        <w:t> </w:t>
      </w:r>
      <w:r>
        <w:rPr>
          <w:sz w:val="20"/>
        </w:rPr>
        <w:t>de</w:t>
      </w:r>
      <w:r>
        <w:rPr>
          <w:spacing w:val="-4"/>
          <w:sz w:val="20"/>
        </w:rPr>
        <w:t> </w:t>
      </w:r>
      <w:r>
        <w:rPr>
          <w:sz w:val="20"/>
        </w:rPr>
        <w:t>ferrocarril</w:t>
      </w:r>
      <w:r>
        <w:rPr>
          <w:spacing w:val="-3"/>
          <w:sz w:val="20"/>
        </w:rPr>
        <w:t> </w:t>
      </w:r>
      <w:r>
        <w:rPr>
          <w:sz w:val="20"/>
        </w:rPr>
        <w:t>o</w:t>
      </w:r>
      <w:r>
        <w:rPr>
          <w:spacing w:val="-4"/>
          <w:sz w:val="20"/>
        </w:rPr>
        <w:t> </w:t>
      </w:r>
      <w:r>
        <w:rPr>
          <w:sz w:val="20"/>
        </w:rPr>
        <w:t>tranvía ni por senda, vía de comunicación o servidumbre de paso alguna y constan de distintas calzadas para cada sentido de circulación, separadas entre sí, salvo en puntos singulares, o con carácter temporal</w:t>
      </w:r>
      <w:r>
        <w:rPr>
          <w:spacing w:val="-10"/>
          <w:sz w:val="20"/>
        </w:rPr>
        <w:t> </w:t>
      </w:r>
      <w:r>
        <w:rPr>
          <w:sz w:val="20"/>
        </w:rPr>
        <w:t>por</w:t>
      </w:r>
      <w:r>
        <w:rPr>
          <w:spacing w:val="-10"/>
          <w:sz w:val="20"/>
        </w:rPr>
        <w:t> </w:t>
      </w:r>
      <w:r>
        <w:rPr>
          <w:sz w:val="20"/>
        </w:rPr>
        <w:t>una</w:t>
      </w:r>
      <w:r>
        <w:rPr>
          <w:spacing w:val="-10"/>
          <w:sz w:val="20"/>
        </w:rPr>
        <w:t> </w:t>
      </w:r>
      <w:r>
        <w:rPr>
          <w:sz w:val="20"/>
        </w:rPr>
        <w:t>franja</w:t>
      </w:r>
      <w:r>
        <w:rPr>
          <w:spacing w:val="-7"/>
          <w:sz w:val="20"/>
        </w:rPr>
        <w:t> </w:t>
      </w:r>
      <w:r>
        <w:rPr>
          <w:sz w:val="20"/>
        </w:rPr>
        <w:t>de</w:t>
      </w:r>
      <w:r>
        <w:rPr>
          <w:spacing w:val="-10"/>
          <w:sz w:val="20"/>
        </w:rPr>
        <w:t> </w:t>
      </w:r>
      <w:r>
        <w:rPr>
          <w:sz w:val="20"/>
        </w:rPr>
        <w:t>terreno</w:t>
      </w:r>
      <w:r>
        <w:rPr>
          <w:spacing w:val="-9"/>
          <w:sz w:val="20"/>
        </w:rPr>
        <w:t> </w:t>
      </w:r>
      <w:r>
        <w:rPr>
          <w:sz w:val="20"/>
        </w:rPr>
        <w:t>no</w:t>
      </w:r>
      <w:r>
        <w:rPr>
          <w:spacing w:val="-10"/>
          <w:sz w:val="20"/>
        </w:rPr>
        <w:t> </w:t>
      </w:r>
      <w:r>
        <w:rPr>
          <w:sz w:val="20"/>
        </w:rPr>
        <w:t>destinada</w:t>
      </w:r>
      <w:r>
        <w:rPr>
          <w:spacing w:val="-9"/>
          <w:sz w:val="20"/>
        </w:rPr>
        <w:t> </w:t>
      </w:r>
      <w:r>
        <w:rPr>
          <w:sz w:val="20"/>
        </w:rPr>
        <w:t>a</w:t>
      </w:r>
      <w:r>
        <w:rPr>
          <w:spacing w:val="-9"/>
          <w:sz w:val="20"/>
        </w:rPr>
        <w:t> </w:t>
      </w:r>
      <w:r>
        <w:rPr>
          <w:sz w:val="20"/>
        </w:rPr>
        <w:t>la</w:t>
      </w:r>
      <w:r>
        <w:rPr>
          <w:spacing w:val="-11"/>
          <w:sz w:val="20"/>
        </w:rPr>
        <w:t> </w:t>
      </w:r>
      <w:r>
        <w:rPr>
          <w:sz w:val="20"/>
        </w:rPr>
        <w:t>circulación</w:t>
      </w:r>
      <w:r>
        <w:rPr>
          <w:spacing w:val="-9"/>
          <w:sz w:val="20"/>
        </w:rPr>
        <w:t> </w:t>
      </w:r>
      <w:r>
        <w:rPr>
          <w:sz w:val="20"/>
        </w:rPr>
        <w:t>o,</w:t>
      </w:r>
      <w:r>
        <w:rPr>
          <w:spacing w:val="-9"/>
          <w:sz w:val="20"/>
        </w:rPr>
        <w:t> </w:t>
      </w:r>
      <w:r>
        <w:rPr>
          <w:sz w:val="20"/>
        </w:rPr>
        <w:t>en</w:t>
      </w:r>
      <w:r>
        <w:rPr>
          <w:spacing w:val="-10"/>
          <w:sz w:val="20"/>
        </w:rPr>
        <w:t> </w:t>
      </w:r>
      <w:r>
        <w:rPr>
          <w:sz w:val="20"/>
        </w:rPr>
        <w:t>casos</w:t>
      </w:r>
      <w:r>
        <w:rPr>
          <w:spacing w:val="-8"/>
          <w:sz w:val="20"/>
        </w:rPr>
        <w:t> </w:t>
      </w:r>
      <w:r>
        <w:rPr>
          <w:sz w:val="20"/>
        </w:rPr>
        <w:t>excepcionales,</w:t>
      </w:r>
      <w:r>
        <w:rPr>
          <w:spacing w:val="-9"/>
          <w:sz w:val="20"/>
        </w:rPr>
        <w:t> </w:t>
      </w:r>
      <w:r>
        <w:rPr>
          <w:sz w:val="20"/>
        </w:rPr>
        <w:t>por</w:t>
      </w:r>
      <w:r>
        <w:rPr>
          <w:spacing w:val="-8"/>
          <w:sz w:val="20"/>
        </w:rPr>
        <w:t> </w:t>
      </w:r>
      <w:r>
        <w:rPr>
          <w:sz w:val="20"/>
        </w:rPr>
        <w:t>otros </w:t>
      </w:r>
      <w:r>
        <w:rPr>
          <w:spacing w:val="-2"/>
          <w:sz w:val="20"/>
        </w:rPr>
        <w:t>medios;</w:t>
      </w:r>
    </w:p>
    <w:p>
      <w:pPr>
        <w:pStyle w:val="ListParagraph"/>
        <w:numPr>
          <w:ilvl w:val="0"/>
          <w:numId w:val="68"/>
        </w:numPr>
        <w:tabs>
          <w:tab w:pos="597" w:val="left" w:leader="none"/>
        </w:tabs>
        <w:spacing w:line="240" w:lineRule="auto" w:before="229" w:after="0"/>
        <w:ind w:left="262" w:right="287" w:firstLine="0"/>
        <w:jc w:val="both"/>
        <w:rPr>
          <w:sz w:val="20"/>
        </w:rPr>
      </w:pPr>
      <w:r>
        <w:rPr>
          <w:rFonts w:ascii="Arial" w:hAnsi="Arial"/>
          <w:b/>
          <w:sz w:val="20"/>
        </w:rPr>
        <w:t>Banquetas</w:t>
      </w:r>
      <w:r>
        <w:rPr>
          <w:sz w:val="20"/>
        </w:rPr>
        <w:t>: áreas pavimentadas entre</w:t>
      </w:r>
      <w:r>
        <w:rPr>
          <w:spacing w:val="-1"/>
          <w:sz w:val="20"/>
        </w:rPr>
        <w:t> </w:t>
      </w:r>
      <w:r>
        <w:rPr>
          <w:sz w:val="20"/>
        </w:rPr>
        <w:t>las edificaciones y las calles o</w:t>
      </w:r>
      <w:r>
        <w:rPr>
          <w:spacing w:val="-1"/>
          <w:sz w:val="20"/>
        </w:rPr>
        <w:t> </w:t>
      </w:r>
      <w:r>
        <w:rPr>
          <w:sz w:val="20"/>
        </w:rPr>
        <w:t>avenidas destinadas a la circulación de los peatones, con o sin desnivel respecto al de la vialidad de tránsito vehicular;</w:t>
      </w:r>
    </w:p>
    <w:p>
      <w:pPr>
        <w:pStyle w:val="BodyText"/>
        <w:spacing w:before="1"/>
      </w:pPr>
    </w:p>
    <w:p>
      <w:pPr>
        <w:pStyle w:val="ListParagraph"/>
        <w:numPr>
          <w:ilvl w:val="0"/>
          <w:numId w:val="68"/>
        </w:numPr>
        <w:tabs>
          <w:tab w:pos="688" w:val="left" w:leader="none"/>
        </w:tabs>
        <w:spacing w:line="240" w:lineRule="auto" w:before="0" w:after="0"/>
        <w:ind w:left="262" w:right="275" w:firstLine="0"/>
        <w:jc w:val="both"/>
        <w:rPr>
          <w:sz w:val="20"/>
        </w:rPr>
      </w:pPr>
      <w:r>
        <w:rPr>
          <w:rFonts w:ascii="Arial" w:hAnsi="Arial"/>
          <w:b/>
          <w:sz w:val="20"/>
        </w:rPr>
        <w:t>Calles cerradas</w:t>
      </w:r>
      <w:r>
        <w:rPr>
          <w:sz w:val="20"/>
        </w:rPr>
        <w:t>: son las vías públicas municipales que no tienen una continuidad o liga con otras calles, por encontrarse cerradas o delimitadas en uno de sus extremos. Sin embargo las mismas se consideran como un bien del dominio público de los municipios, por reunir las características y condiciones a que hace referencia esta Ley;</w:t>
      </w:r>
    </w:p>
    <w:p>
      <w:pPr>
        <w:pStyle w:val="BodyText"/>
      </w:pPr>
    </w:p>
    <w:p>
      <w:pPr>
        <w:pStyle w:val="ListParagraph"/>
        <w:numPr>
          <w:ilvl w:val="0"/>
          <w:numId w:val="68"/>
        </w:numPr>
        <w:tabs>
          <w:tab w:pos="688" w:val="left" w:leader="none"/>
        </w:tabs>
        <w:spacing w:line="240" w:lineRule="auto" w:before="0" w:after="0"/>
        <w:ind w:left="262" w:right="285" w:firstLine="0"/>
        <w:jc w:val="both"/>
        <w:rPr>
          <w:sz w:val="20"/>
        </w:rPr>
      </w:pPr>
      <w:r>
        <w:rPr>
          <w:rFonts w:ascii="Arial" w:hAnsi="Arial"/>
          <w:b/>
          <w:sz w:val="20"/>
        </w:rPr>
        <w:t>Calles locales</w:t>
      </w:r>
      <w:r>
        <w:rPr>
          <w:sz w:val="20"/>
        </w:rPr>
        <w:t>: son aquellas que dan servicio internamente a los fraccionamientos, condominios, colonias y desarrollos habitacionales y sirven para dar acceso a sus lotes o predios, por lo que son las de menor sección;</w:t>
      </w:r>
    </w:p>
    <w:p>
      <w:pPr>
        <w:pStyle w:val="BodyText"/>
      </w:pPr>
    </w:p>
    <w:p>
      <w:pPr>
        <w:pStyle w:val="ListParagraph"/>
        <w:numPr>
          <w:ilvl w:val="0"/>
          <w:numId w:val="68"/>
        </w:numPr>
        <w:tabs>
          <w:tab w:pos="688" w:val="left" w:leader="none"/>
        </w:tabs>
        <w:spacing w:line="240" w:lineRule="auto" w:before="0" w:after="0"/>
        <w:ind w:left="262" w:right="286" w:firstLine="0"/>
        <w:jc w:val="both"/>
        <w:rPr>
          <w:sz w:val="20"/>
        </w:rPr>
      </w:pPr>
      <w:r>
        <w:rPr>
          <w:rFonts w:ascii="Arial" w:hAnsi="Arial"/>
          <w:b/>
          <w:sz w:val="20"/>
        </w:rPr>
        <w:t>Camino rural</w:t>
      </w:r>
      <w:r>
        <w:rPr>
          <w:sz w:val="20"/>
        </w:rPr>
        <w:t>: son vialidades de bajas especificaciones que comunican a los poblados y dan acceso a las áreas productivas no urbanizadas, su carpeta puede ser pavimentada, revestida o de </w:t>
      </w:r>
      <w:r>
        <w:rPr>
          <w:spacing w:val="-2"/>
          <w:sz w:val="20"/>
        </w:rPr>
        <w:t>terracería;</w:t>
      </w:r>
    </w:p>
    <w:p>
      <w:pPr>
        <w:pStyle w:val="ListParagraph"/>
        <w:numPr>
          <w:ilvl w:val="0"/>
          <w:numId w:val="68"/>
        </w:numPr>
        <w:tabs>
          <w:tab w:pos="827" w:val="left" w:leader="none"/>
        </w:tabs>
        <w:spacing w:line="240" w:lineRule="auto" w:before="1" w:after="0"/>
        <w:ind w:left="262" w:right="277" w:firstLine="0"/>
        <w:jc w:val="both"/>
        <w:rPr>
          <w:sz w:val="20"/>
        </w:rPr>
      </w:pPr>
      <w:r>
        <w:rPr>
          <w:rFonts w:ascii="Arial" w:hAnsi="Arial"/>
          <w:b/>
          <w:sz w:val="20"/>
        </w:rPr>
        <w:t>Carretera</w:t>
      </w:r>
      <w:r>
        <w:rPr>
          <w:sz w:val="20"/>
        </w:rPr>
        <w:t>: son aquellas vialidades que unen ciudades o poblados, entroncan con algún camino de país extranjero, las que comunican a dos o más Estados de la Federación, y las que en su</w:t>
      </w:r>
      <w:r>
        <w:rPr>
          <w:spacing w:val="-11"/>
          <w:sz w:val="20"/>
        </w:rPr>
        <w:t> </w:t>
      </w:r>
      <w:r>
        <w:rPr>
          <w:sz w:val="20"/>
        </w:rPr>
        <w:t>totalidad</w:t>
      </w:r>
      <w:r>
        <w:rPr>
          <w:spacing w:val="-9"/>
          <w:sz w:val="20"/>
        </w:rPr>
        <w:t> </w:t>
      </w:r>
      <w:r>
        <w:rPr>
          <w:sz w:val="20"/>
        </w:rPr>
        <w:t>o</w:t>
      </w:r>
      <w:r>
        <w:rPr>
          <w:spacing w:val="-11"/>
          <w:sz w:val="20"/>
        </w:rPr>
        <w:t> </w:t>
      </w:r>
      <w:r>
        <w:rPr>
          <w:sz w:val="20"/>
        </w:rPr>
        <w:t>su</w:t>
      </w:r>
      <w:r>
        <w:rPr>
          <w:spacing w:val="-9"/>
          <w:sz w:val="20"/>
        </w:rPr>
        <w:t> </w:t>
      </w:r>
      <w:r>
        <w:rPr>
          <w:sz w:val="20"/>
        </w:rPr>
        <w:t>mayor</w:t>
      </w:r>
      <w:r>
        <w:rPr>
          <w:spacing w:val="-10"/>
          <w:sz w:val="20"/>
        </w:rPr>
        <w:t> </w:t>
      </w:r>
      <w:r>
        <w:rPr>
          <w:sz w:val="20"/>
        </w:rPr>
        <w:t>parte</w:t>
      </w:r>
      <w:r>
        <w:rPr>
          <w:spacing w:val="-11"/>
          <w:sz w:val="20"/>
        </w:rPr>
        <w:t> </w:t>
      </w:r>
      <w:r>
        <w:rPr>
          <w:sz w:val="20"/>
        </w:rPr>
        <w:t>sean</w:t>
      </w:r>
      <w:r>
        <w:rPr>
          <w:spacing w:val="-11"/>
          <w:sz w:val="20"/>
        </w:rPr>
        <w:t> </w:t>
      </w:r>
      <w:r>
        <w:rPr>
          <w:sz w:val="20"/>
        </w:rPr>
        <w:t>construidas</w:t>
      </w:r>
      <w:r>
        <w:rPr>
          <w:spacing w:val="-10"/>
          <w:sz w:val="20"/>
        </w:rPr>
        <w:t> </w:t>
      </w:r>
      <w:r>
        <w:rPr>
          <w:sz w:val="20"/>
        </w:rPr>
        <w:t>por</w:t>
      </w:r>
      <w:r>
        <w:rPr>
          <w:spacing w:val="-8"/>
          <w:sz w:val="20"/>
        </w:rPr>
        <w:t> </w:t>
      </w:r>
      <w:r>
        <w:rPr>
          <w:sz w:val="20"/>
        </w:rPr>
        <w:t>la</w:t>
      </w:r>
      <w:r>
        <w:rPr>
          <w:spacing w:val="-9"/>
          <w:sz w:val="20"/>
        </w:rPr>
        <w:t> </w:t>
      </w:r>
      <w:r>
        <w:rPr>
          <w:sz w:val="20"/>
        </w:rPr>
        <w:t>federación,</w:t>
      </w:r>
      <w:r>
        <w:rPr>
          <w:spacing w:val="-12"/>
          <w:sz w:val="20"/>
        </w:rPr>
        <w:t> </w:t>
      </w:r>
      <w:r>
        <w:rPr>
          <w:sz w:val="20"/>
        </w:rPr>
        <w:t>con</w:t>
      </w:r>
      <w:r>
        <w:rPr>
          <w:spacing w:val="-9"/>
          <w:sz w:val="20"/>
        </w:rPr>
        <w:t> </w:t>
      </w:r>
      <w:r>
        <w:rPr>
          <w:sz w:val="20"/>
        </w:rPr>
        <w:t>participación estatal,</w:t>
      </w:r>
      <w:r>
        <w:rPr>
          <w:spacing w:val="-9"/>
          <w:sz w:val="20"/>
        </w:rPr>
        <w:t> </w:t>
      </w:r>
      <w:r>
        <w:rPr>
          <w:sz w:val="20"/>
        </w:rPr>
        <w:t>municipal o por particulares mediante concesión;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68"/>
        </w:numPr>
        <w:tabs>
          <w:tab w:pos="827" w:val="left" w:leader="none"/>
        </w:tabs>
        <w:spacing w:line="240" w:lineRule="auto" w:before="0" w:after="0"/>
        <w:ind w:left="262" w:right="286" w:firstLine="0"/>
        <w:jc w:val="both"/>
        <w:rPr>
          <w:sz w:val="20"/>
        </w:rPr>
      </w:pPr>
      <w:r>
        <w:rPr>
          <w:rFonts w:ascii="Arial" w:hAnsi="Arial"/>
          <w:b/>
          <w:sz w:val="20"/>
        </w:rPr>
        <w:t>Ciclovías</w:t>
      </w:r>
      <w:r>
        <w:rPr>
          <w:sz w:val="20"/>
        </w:rPr>
        <w:t>: son las vías destinadas en forma exclusiva o compartida para la circulación de bicicletas, o una vía independiente donde se permite el tránsito de bicicletas, señalizadas apropiadamente para ese propósito;</w:t>
      </w:r>
    </w:p>
    <w:p>
      <w:pPr>
        <w:pStyle w:val="BodyText"/>
        <w:spacing w:before="1"/>
      </w:pPr>
    </w:p>
    <w:p>
      <w:pPr>
        <w:pStyle w:val="ListParagraph"/>
        <w:numPr>
          <w:ilvl w:val="0"/>
          <w:numId w:val="68"/>
        </w:numPr>
        <w:tabs>
          <w:tab w:pos="688" w:val="left" w:leader="none"/>
        </w:tabs>
        <w:spacing w:line="240" w:lineRule="auto" w:before="1" w:after="0"/>
        <w:ind w:left="262" w:right="285" w:firstLine="0"/>
        <w:jc w:val="both"/>
        <w:rPr>
          <w:sz w:val="20"/>
        </w:rPr>
      </w:pPr>
      <w:r>
        <w:rPr>
          <w:rFonts w:ascii="Arial" w:hAnsi="Arial"/>
          <w:b/>
          <w:sz w:val="20"/>
        </w:rPr>
        <w:t>Par Vial</w:t>
      </w:r>
      <w:r>
        <w:rPr>
          <w:sz w:val="20"/>
        </w:rPr>
        <w:t>: Es una solución para la circulación vehicular consistente en dos vías paralelas con sentido inverso; podrán ser primarias o secundarias;</w:t>
      </w:r>
    </w:p>
    <w:p>
      <w:pPr>
        <w:pStyle w:val="ListParagraph"/>
        <w:numPr>
          <w:ilvl w:val="0"/>
          <w:numId w:val="68"/>
        </w:numPr>
        <w:tabs>
          <w:tab w:pos="688" w:val="left" w:leader="none"/>
        </w:tabs>
        <w:spacing w:line="240" w:lineRule="auto" w:before="228" w:after="0"/>
        <w:ind w:left="262" w:right="283" w:firstLine="0"/>
        <w:jc w:val="both"/>
        <w:rPr>
          <w:sz w:val="20"/>
        </w:rPr>
      </w:pPr>
      <w:r>
        <w:rPr>
          <w:rFonts w:ascii="Arial" w:hAnsi="Arial"/>
          <w:b/>
          <w:sz w:val="20"/>
        </w:rPr>
        <w:t>Vialidad de acceso controlado</w:t>
      </w:r>
      <w:r>
        <w:rPr>
          <w:sz w:val="20"/>
        </w:rPr>
        <w:t>: vialidad primaria que satisface la demanda de movilidad continúa de grandes volúmenes de tránsito vehicular. Todas las intersecciones o pasos con otras vías son a desnivel. Cuenta con accesos y salidas proyectadas para el cambio de velocidad en aceleración o desaceleración; así como con un separador central;</w:t>
      </w:r>
    </w:p>
    <w:p>
      <w:pPr>
        <w:pStyle w:val="BodyText"/>
        <w:spacing w:before="1"/>
      </w:pPr>
    </w:p>
    <w:p>
      <w:pPr>
        <w:pStyle w:val="ListParagraph"/>
        <w:numPr>
          <w:ilvl w:val="0"/>
          <w:numId w:val="68"/>
        </w:numPr>
        <w:tabs>
          <w:tab w:pos="688" w:val="left" w:leader="none"/>
        </w:tabs>
        <w:spacing w:line="240" w:lineRule="auto" w:before="0" w:after="0"/>
        <w:ind w:left="262" w:right="284" w:firstLine="0"/>
        <w:jc w:val="both"/>
        <w:rPr>
          <w:sz w:val="20"/>
        </w:rPr>
      </w:pPr>
      <w:r>
        <w:rPr>
          <w:rFonts w:ascii="Arial" w:hAnsi="Arial"/>
          <w:b/>
          <w:sz w:val="20"/>
        </w:rPr>
        <w:t>Vialidades primarias</w:t>
      </w:r>
      <w:r>
        <w:rPr>
          <w:sz w:val="20"/>
        </w:rPr>
        <w:t>: son las que estructuran el sistema vial de los centros de población, enlazan</w:t>
      </w:r>
      <w:r>
        <w:rPr>
          <w:spacing w:val="-1"/>
          <w:sz w:val="20"/>
        </w:rPr>
        <w:t> </w:t>
      </w:r>
      <w:r>
        <w:rPr>
          <w:sz w:val="20"/>
        </w:rPr>
        <w:t>las</w:t>
      </w:r>
      <w:r>
        <w:rPr>
          <w:spacing w:val="-2"/>
          <w:sz w:val="20"/>
        </w:rPr>
        <w:t> </w:t>
      </w:r>
      <w:r>
        <w:rPr>
          <w:sz w:val="20"/>
        </w:rPr>
        <w:t>vialidades</w:t>
      </w:r>
      <w:r>
        <w:rPr>
          <w:spacing w:val="-2"/>
          <w:sz w:val="20"/>
        </w:rPr>
        <w:t> </w:t>
      </w:r>
      <w:r>
        <w:rPr>
          <w:sz w:val="20"/>
        </w:rPr>
        <w:t>regionales</w:t>
      </w:r>
      <w:r>
        <w:rPr>
          <w:spacing w:val="-2"/>
          <w:sz w:val="20"/>
        </w:rPr>
        <w:t> </w:t>
      </w:r>
      <w:r>
        <w:rPr>
          <w:sz w:val="20"/>
        </w:rPr>
        <w:t>con</w:t>
      </w:r>
      <w:r>
        <w:rPr>
          <w:spacing w:val="-1"/>
          <w:sz w:val="20"/>
        </w:rPr>
        <w:t> </w:t>
      </w:r>
      <w:r>
        <w:rPr>
          <w:sz w:val="20"/>
        </w:rPr>
        <w:t>las</w:t>
      </w:r>
      <w:r>
        <w:rPr>
          <w:spacing w:val="-2"/>
          <w:sz w:val="20"/>
        </w:rPr>
        <w:t> </w:t>
      </w:r>
      <w:r>
        <w:rPr>
          <w:sz w:val="20"/>
        </w:rPr>
        <w:t>secundarias y</w:t>
      </w:r>
      <w:r>
        <w:rPr>
          <w:spacing w:val="-2"/>
          <w:sz w:val="20"/>
        </w:rPr>
        <w:t> </w:t>
      </w:r>
      <w:r>
        <w:rPr>
          <w:sz w:val="20"/>
        </w:rPr>
        <w:t>colectoras,</w:t>
      </w:r>
      <w:r>
        <w:rPr>
          <w:spacing w:val="-3"/>
          <w:sz w:val="20"/>
        </w:rPr>
        <w:t> </w:t>
      </w:r>
      <w:r>
        <w:rPr>
          <w:sz w:val="20"/>
        </w:rPr>
        <w:t>y unen</w:t>
      </w:r>
      <w:r>
        <w:rPr>
          <w:spacing w:val="-3"/>
          <w:sz w:val="20"/>
        </w:rPr>
        <w:t> </w:t>
      </w:r>
      <w:r>
        <w:rPr>
          <w:sz w:val="20"/>
        </w:rPr>
        <w:t>los</w:t>
      </w:r>
      <w:r>
        <w:rPr>
          <w:spacing w:val="-2"/>
          <w:sz w:val="20"/>
        </w:rPr>
        <w:t> </w:t>
      </w:r>
      <w:r>
        <w:rPr>
          <w:sz w:val="20"/>
        </w:rPr>
        <w:t>distintos</w:t>
      </w:r>
      <w:r>
        <w:rPr>
          <w:spacing w:val="-2"/>
          <w:sz w:val="20"/>
        </w:rPr>
        <w:t> </w:t>
      </w:r>
      <w:r>
        <w:rPr>
          <w:sz w:val="20"/>
        </w:rPr>
        <w:t>sectores de la ciudad, las de mayor longitud, sección y volumen vehicular;</w:t>
      </w:r>
    </w:p>
    <w:p>
      <w:pPr>
        <w:pStyle w:val="BodyText"/>
        <w:spacing w:before="1"/>
      </w:pPr>
    </w:p>
    <w:p>
      <w:pPr>
        <w:pStyle w:val="ListParagraph"/>
        <w:numPr>
          <w:ilvl w:val="0"/>
          <w:numId w:val="68"/>
        </w:numPr>
        <w:tabs>
          <w:tab w:pos="688" w:val="left" w:leader="none"/>
        </w:tabs>
        <w:spacing w:line="240" w:lineRule="auto" w:before="0" w:after="0"/>
        <w:ind w:left="262" w:right="282" w:firstLine="0"/>
        <w:jc w:val="both"/>
        <w:rPr>
          <w:sz w:val="20"/>
        </w:rPr>
      </w:pPr>
      <w:r>
        <w:rPr>
          <w:rFonts w:ascii="Arial" w:hAnsi="Arial"/>
          <w:b/>
          <w:sz w:val="20"/>
        </w:rPr>
        <w:t>Vialidades regionales</w:t>
      </w:r>
      <w:r>
        <w:rPr>
          <w:sz w:val="20"/>
        </w:rPr>
        <w:t>: es el conjunto de vialidades interurbanas que vinculan los centros de población, y</w:t>
      </w:r>
    </w:p>
    <w:p>
      <w:pPr>
        <w:pStyle w:val="ListParagraph"/>
        <w:numPr>
          <w:ilvl w:val="0"/>
          <w:numId w:val="68"/>
        </w:numPr>
        <w:tabs>
          <w:tab w:pos="827" w:val="left" w:leader="none"/>
        </w:tabs>
        <w:spacing w:line="240" w:lineRule="auto" w:before="229" w:after="0"/>
        <w:ind w:left="262" w:right="283" w:firstLine="0"/>
        <w:jc w:val="both"/>
        <w:rPr>
          <w:sz w:val="20"/>
        </w:rPr>
      </w:pPr>
      <w:r>
        <w:rPr>
          <w:rFonts w:ascii="Arial"/>
          <w:b/>
          <w:sz w:val="20"/>
        </w:rPr>
        <w:t>Vialidades secundarias o colectoras</w:t>
      </w:r>
      <w:r>
        <w:rPr>
          <w:sz w:val="20"/>
        </w:rPr>
        <w:t>: son las que vinculan el sistema vial primario con vialidades</w:t>
      </w:r>
      <w:r>
        <w:rPr>
          <w:spacing w:val="-1"/>
          <w:sz w:val="20"/>
        </w:rPr>
        <w:t> </w:t>
      </w:r>
      <w:r>
        <w:rPr>
          <w:sz w:val="20"/>
        </w:rPr>
        <w:t>locales,</w:t>
      </w:r>
      <w:r>
        <w:rPr>
          <w:spacing w:val="-2"/>
          <w:sz w:val="20"/>
        </w:rPr>
        <w:t> </w:t>
      </w:r>
      <w:r>
        <w:rPr>
          <w:sz w:val="20"/>
        </w:rPr>
        <w:t>tienen</w:t>
      </w:r>
      <w:r>
        <w:rPr>
          <w:spacing w:val="-3"/>
          <w:sz w:val="20"/>
        </w:rPr>
        <w:t> </w:t>
      </w:r>
      <w:r>
        <w:rPr>
          <w:sz w:val="20"/>
        </w:rPr>
        <w:t>un</w:t>
      </w:r>
      <w:r>
        <w:rPr>
          <w:spacing w:val="-2"/>
          <w:sz w:val="20"/>
        </w:rPr>
        <w:t> </w:t>
      </w:r>
      <w:r>
        <w:rPr>
          <w:sz w:val="20"/>
        </w:rPr>
        <w:t>menor</w:t>
      </w:r>
      <w:r>
        <w:rPr>
          <w:spacing w:val="-1"/>
          <w:sz w:val="20"/>
        </w:rPr>
        <w:t> </w:t>
      </w:r>
      <w:r>
        <w:rPr>
          <w:sz w:val="20"/>
        </w:rPr>
        <w:t>recorrido</w:t>
      </w:r>
      <w:r>
        <w:rPr>
          <w:spacing w:val="-3"/>
          <w:sz w:val="20"/>
        </w:rPr>
        <w:t> </w:t>
      </w:r>
      <w:r>
        <w:rPr>
          <w:sz w:val="20"/>
        </w:rPr>
        <w:t>y</w:t>
      </w:r>
      <w:r>
        <w:rPr>
          <w:spacing w:val="-1"/>
          <w:sz w:val="20"/>
        </w:rPr>
        <w:t> </w:t>
      </w:r>
      <w:r>
        <w:rPr>
          <w:sz w:val="20"/>
        </w:rPr>
        <w:t>volumen</w:t>
      </w:r>
      <w:r>
        <w:rPr>
          <w:spacing w:val="-2"/>
          <w:sz w:val="20"/>
        </w:rPr>
        <w:t> </w:t>
      </w:r>
      <w:r>
        <w:rPr>
          <w:sz w:val="20"/>
        </w:rPr>
        <w:t>vehicular</w:t>
      </w:r>
      <w:r>
        <w:rPr>
          <w:spacing w:val="-1"/>
          <w:sz w:val="20"/>
        </w:rPr>
        <w:t> </w:t>
      </w:r>
      <w:r>
        <w:rPr>
          <w:sz w:val="20"/>
        </w:rPr>
        <w:t>que</w:t>
      </w:r>
      <w:r>
        <w:rPr>
          <w:spacing w:val="-2"/>
          <w:sz w:val="20"/>
        </w:rPr>
        <w:t> </w:t>
      </w:r>
      <w:r>
        <w:rPr>
          <w:sz w:val="20"/>
        </w:rPr>
        <w:t>las</w:t>
      </w:r>
      <w:r>
        <w:rPr>
          <w:spacing w:val="-1"/>
          <w:sz w:val="20"/>
        </w:rPr>
        <w:t> </w:t>
      </w:r>
      <w:r>
        <w:rPr>
          <w:sz w:val="20"/>
        </w:rPr>
        <w:t>primarias</w:t>
      </w:r>
      <w:r>
        <w:rPr>
          <w:spacing w:val="-1"/>
          <w:sz w:val="20"/>
        </w:rPr>
        <w:t> </w:t>
      </w:r>
      <w:r>
        <w:rPr>
          <w:sz w:val="20"/>
        </w:rPr>
        <w:t>y</w:t>
      </w:r>
      <w:r>
        <w:rPr>
          <w:spacing w:val="-1"/>
          <w:sz w:val="20"/>
        </w:rPr>
        <w:t> </w:t>
      </w:r>
      <w:r>
        <w:rPr>
          <w:sz w:val="20"/>
        </w:rPr>
        <w:t>pueden</w:t>
      </w:r>
      <w:r>
        <w:rPr>
          <w:spacing w:val="-3"/>
          <w:sz w:val="20"/>
        </w:rPr>
        <w:t> </w:t>
      </w:r>
      <w:r>
        <w:rPr>
          <w:sz w:val="20"/>
        </w:rPr>
        <w:t>servir para dar acceso a los lotes.</w:t>
      </w:r>
    </w:p>
    <w:p>
      <w:pPr>
        <w:pStyle w:val="BodyText"/>
        <w:spacing w:before="230"/>
        <w:ind w:left="262" w:right="284"/>
        <w:jc w:val="both"/>
      </w:pPr>
      <w:r>
        <w:rPr>
          <w:rFonts w:ascii="Arial" w:hAnsi="Arial"/>
          <w:b/>
        </w:rPr>
        <w:t>ARTÍCULO 165. </w:t>
      </w:r>
      <w:r>
        <w:rPr/>
        <w:t>La estructura vial primaria, deberá ser contemplada en los programas de ordenamiento</w:t>
      </w:r>
      <w:r>
        <w:rPr>
          <w:spacing w:val="-2"/>
        </w:rPr>
        <w:t> </w:t>
      </w:r>
      <w:r>
        <w:rPr/>
        <w:t>territorial</w:t>
      </w:r>
      <w:r>
        <w:rPr>
          <w:spacing w:val="-3"/>
        </w:rPr>
        <w:t> </w:t>
      </w:r>
      <w:r>
        <w:rPr/>
        <w:t>y</w:t>
      </w:r>
      <w:r>
        <w:rPr>
          <w:spacing w:val="-1"/>
        </w:rPr>
        <w:t> </w:t>
      </w:r>
      <w:r>
        <w:rPr/>
        <w:t>desarrollo</w:t>
      </w:r>
      <w:r>
        <w:rPr>
          <w:spacing w:val="-2"/>
        </w:rPr>
        <w:t> </w:t>
      </w:r>
      <w:r>
        <w:rPr/>
        <w:t>urbano</w:t>
      </w:r>
      <w:r>
        <w:rPr>
          <w:spacing w:val="-2"/>
        </w:rPr>
        <w:t> </w:t>
      </w:r>
      <w:r>
        <w:rPr/>
        <w:t>correspondientes,</w:t>
      </w:r>
      <w:r>
        <w:rPr>
          <w:spacing w:val="-2"/>
        </w:rPr>
        <w:t> </w:t>
      </w:r>
      <w:r>
        <w:rPr/>
        <w:t>debiendo</w:t>
      </w:r>
      <w:r>
        <w:rPr>
          <w:spacing w:val="-1"/>
        </w:rPr>
        <w:t> </w:t>
      </w:r>
      <w:r>
        <w:rPr/>
        <w:t>determinar</w:t>
      </w:r>
      <w:r>
        <w:rPr>
          <w:spacing w:val="-2"/>
        </w:rPr>
        <w:t> </w:t>
      </w:r>
      <w:r>
        <w:rPr/>
        <w:t>cuando</w:t>
      </w:r>
      <w:r>
        <w:rPr>
          <w:spacing w:val="-2"/>
        </w:rPr>
        <w:t> </w:t>
      </w:r>
      <w:r>
        <w:rPr/>
        <w:t>menos:</w:t>
      </w:r>
    </w:p>
    <w:p>
      <w:pPr>
        <w:pStyle w:val="BodyText"/>
        <w:spacing w:before="1"/>
      </w:pPr>
    </w:p>
    <w:p>
      <w:pPr>
        <w:pStyle w:val="ListParagraph"/>
        <w:numPr>
          <w:ilvl w:val="0"/>
          <w:numId w:val="69"/>
        </w:numPr>
        <w:tabs>
          <w:tab w:pos="543" w:val="left" w:leader="none"/>
        </w:tabs>
        <w:spacing w:line="240" w:lineRule="auto" w:before="0" w:after="0"/>
        <w:ind w:left="262" w:right="290" w:firstLine="0"/>
        <w:jc w:val="both"/>
        <w:rPr>
          <w:sz w:val="20"/>
        </w:rPr>
      </w:pPr>
      <w:r>
        <w:rPr>
          <w:sz w:val="20"/>
        </w:rPr>
        <w:t>El trazo</w:t>
      </w:r>
      <w:r>
        <w:rPr>
          <w:spacing w:val="-1"/>
          <w:sz w:val="20"/>
        </w:rPr>
        <w:t> </w:t>
      </w:r>
      <w:r>
        <w:rPr>
          <w:sz w:val="20"/>
        </w:rPr>
        <w:t>de las vialidades que integran la estructura primaria, distinguiendo las existentes de las propuestas, así como la etapa de desarrollo de los tramos;</w:t>
      </w:r>
    </w:p>
    <w:p>
      <w:pPr>
        <w:pStyle w:val="ListParagraph"/>
        <w:numPr>
          <w:ilvl w:val="0"/>
          <w:numId w:val="69"/>
        </w:numPr>
        <w:tabs>
          <w:tab w:pos="543" w:val="left" w:leader="none"/>
        </w:tabs>
        <w:spacing w:line="240" w:lineRule="auto" w:before="229" w:after="0"/>
        <w:ind w:left="262" w:right="291" w:firstLine="0"/>
        <w:jc w:val="both"/>
        <w:rPr>
          <w:sz w:val="20"/>
        </w:rPr>
      </w:pPr>
      <w:r>
        <w:rPr>
          <w:sz w:val="20"/>
        </w:rPr>
        <w:t>Los</w:t>
      </w:r>
      <w:r>
        <w:rPr>
          <w:spacing w:val="-1"/>
          <w:sz w:val="20"/>
        </w:rPr>
        <w:t> </w:t>
      </w:r>
      <w:r>
        <w:rPr>
          <w:sz w:val="20"/>
        </w:rPr>
        <w:t>derechos</w:t>
      </w:r>
      <w:r>
        <w:rPr>
          <w:spacing w:val="-1"/>
          <w:sz w:val="20"/>
        </w:rPr>
        <w:t> </w:t>
      </w:r>
      <w:r>
        <w:rPr>
          <w:sz w:val="20"/>
        </w:rPr>
        <w:t>de</w:t>
      </w:r>
      <w:r>
        <w:rPr>
          <w:spacing w:val="-2"/>
          <w:sz w:val="20"/>
        </w:rPr>
        <w:t> </w:t>
      </w:r>
      <w:r>
        <w:rPr>
          <w:sz w:val="20"/>
        </w:rPr>
        <w:t>vía</w:t>
      </w:r>
      <w:r>
        <w:rPr>
          <w:spacing w:val="-2"/>
          <w:sz w:val="20"/>
        </w:rPr>
        <w:t> </w:t>
      </w:r>
      <w:r>
        <w:rPr>
          <w:sz w:val="20"/>
        </w:rPr>
        <w:t>y</w:t>
      </w:r>
      <w:r>
        <w:rPr>
          <w:spacing w:val="-1"/>
          <w:sz w:val="20"/>
        </w:rPr>
        <w:t> </w:t>
      </w:r>
      <w:r>
        <w:rPr>
          <w:sz w:val="20"/>
        </w:rPr>
        <w:t>secciones</w:t>
      </w:r>
      <w:r>
        <w:rPr>
          <w:spacing w:val="-1"/>
          <w:sz w:val="20"/>
        </w:rPr>
        <w:t> </w:t>
      </w:r>
      <w:r>
        <w:rPr>
          <w:sz w:val="20"/>
        </w:rPr>
        <w:t>con</w:t>
      </w:r>
      <w:r>
        <w:rPr>
          <w:spacing w:val="-3"/>
          <w:sz w:val="20"/>
        </w:rPr>
        <w:t> </w:t>
      </w:r>
      <w:r>
        <w:rPr>
          <w:sz w:val="20"/>
        </w:rPr>
        <w:t>la descripción</w:t>
      </w:r>
      <w:r>
        <w:rPr>
          <w:spacing w:val="-2"/>
          <w:sz w:val="20"/>
        </w:rPr>
        <w:t> </w:t>
      </w:r>
      <w:r>
        <w:rPr>
          <w:sz w:val="20"/>
        </w:rPr>
        <w:t>de número</w:t>
      </w:r>
      <w:r>
        <w:rPr>
          <w:spacing w:val="-2"/>
          <w:sz w:val="20"/>
        </w:rPr>
        <w:t> </w:t>
      </w:r>
      <w:r>
        <w:rPr>
          <w:sz w:val="20"/>
        </w:rPr>
        <w:t>y</w:t>
      </w:r>
      <w:r>
        <w:rPr>
          <w:spacing w:val="-1"/>
          <w:sz w:val="20"/>
        </w:rPr>
        <w:t> </w:t>
      </w:r>
      <w:r>
        <w:rPr>
          <w:sz w:val="20"/>
        </w:rPr>
        <w:t>ancho</w:t>
      </w:r>
      <w:r>
        <w:rPr>
          <w:spacing w:val="-3"/>
          <w:sz w:val="20"/>
        </w:rPr>
        <w:t> </w:t>
      </w:r>
      <w:r>
        <w:rPr>
          <w:sz w:val="20"/>
        </w:rPr>
        <w:t>de</w:t>
      </w:r>
      <w:r>
        <w:rPr>
          <w:spacing w:val="-2"/>
          <w:sz w:val="20"/>
        </w:rPr>
        <w:t> </w:t>
      </w:r>
      <w:r>
        <w:rPr>
          <w:sz w:val="20"/>
        </w:rPr>
        <w:t>carriles,</w:t>
      </w:r>
      <w:r>
        <w:rPr>
          <w:spacing w:val="-2"/>
          <w:sz w:val="20"/>
        </w:rPr>
        <w:t> </w:t>
      </w:r>
      <w:r>
        <w:rPr>
          <w:sz w:val="20"/>
        </w:rPr>
        <w:t>banquetas</w:t>
      </w:r>
      <w:r>
        <w:rPr>
          <w:spacing w:val="-1"/>
          <w:sz w:val="20"/>
        </w:rPr>
        <w:t> </w:t>
      </w:r>
      <w:r>
        <w:rPr>
          <w:sz w:val="20"/>
        </w:rPr>
        <w:t>y </w:t>
      </w:r>
      <w:r>
        <w:rPr>
          <w:spacing w:val="-2"/>
          <w:sz w:val="20"/>
        </w:rPr>
        <w:t>camellones;</w:t>
      </w:r>
    </w:p>
    <w:p>
      <w:pPr>
        <w:pStyle w:val="BodyText"/>
        <w:spacing w:before="1"/>
      </w:pPr>
    </w:p>
    <w:p>
      <w:pPr>
        <w:pStyle w:val="ListParagraph"/>
        <w:numPr>
          <w:ilvl w:val="0"/>
          <w:numId w:val="69"/>
        </w:numPr>
        <w:tabs>
          <w:tab w:pos="597" w:val="left" w:leader="none"/>
        </w:tabs>
        <w:spacing w:line="240" w:lineRule="auto" w:before="0" w:after="0"/>
        <w:ind w:left="597" w:right="0" w:hanging="335"/>
        <w:jc w:val="both"/>
        <w:rPr>
          <w:sz w:val="20"/>
        </w:rPr>
      </w:pPr>
      <w:r>
        <w:rPr>
          <w:sz w:val="20"/>
        </w:rPr>
        <w:t>La</w:t>
      </w:r>
      <w:r>
        <w:rPr>
          <w:spacing w:val="-8"/>
          <w:sz w:val="20"/>
        </w:rPr>
        <w:t> </w:t>
      </w:r>
      <w:r>
        <w:rPr>
          <w:sz w:val="20"/>
        </w:rPr>
        <w:t>integración</w:t>
      </w:r>
      <w:r>
        <w:rPr>
          <w:spacing w:val="-8"/>
          <w:sz w:val="20"/>
        </w:rPr>
        <w:t> </w:t>
      </w:r>
      <w:r>
        <w:rPr>
          <w:sz w:val="20"/>
        </w:rPr>
        <w:t>de</w:t>
      </w:r>
      <w:r>
        <w:rPr>
          <w:spacing w:val="-8"/>
          <w:sz w:val="20"/>
        </w:rPr>
        <w:t> </w:t>
      </w:r>
      <w:r>
        <w:rPr>
          <w:sz w:val="20"/>
        </w:rPr>
        <w:t>los</w:t>
      </w:r>
      <w:r>
        <w:rPr>
          <w:spacing w:val="-7"/>
          <w:sz w:val="20"/>
        </w:rPr>
        <w:t> </w:t>
      </w:r>
      <w:r>
        <w:rPr>
          <w:sz w:val="20"/>
        </w:rPr>
        <w:t>espacios</w:t>
      </w:r>
      <w:r>
        <w:rPr>
          <w:spacing w:val="-7"/>
          <w:sz w:val="20"/>
        </w:rPr>
        <w:t> </w:t>
      </w:r>
      <w:r>
        <w:rPr>
          <w:sz w:val="20"/>
        </w:rPr>
        <w:t>para</w:t>
      </w:r>
      <w:r>
        <w:rPr>
          <w:spacing w:val="-6"/>
          <w:sz w:val="20"/>
        </w:rPr>
        <w:t> </w:t>
      </w:r>
      <w:r>
        <w:rPr>
          <w:sz w:val="20"/>
        </w:rPr>
        <w:t>peatones,</w:t>
      </w:r>
      <w:r>
        <w:rPr>
          <w:spacing w:val="-8"/>
          <w:sz w:val="20"/>
        </w:rPr>
        <w:t> </w:t>
      </w:r>
      <w:r>
        <w:rPr>
          <w:sz w:val="20"/>
        </w:rPr>
        <w:t>bicicletas</w:t>
      </w:r>
      <w:r>
        <w:rPr>
          <w:spacing w:val="-8"/>
          <w:sz w:val="20"/>
        </w:rPr>
        <w:t> </w:t>
      </w:r>
      <w:r>
        <w:rPr>
          <w:sz w:val="20"/>
        </w:rPr>
        <w:t>y</w:t>
      </w:r>
      <w:r>
        <w:rPr>
          <w:spacing w:val="-7"/>
          <w:sz w:val="20"/>
        </w:rPr>
        <w:t> </w:t>
      </w:r>
      <w:r>
        <w:rPr>
          <w:sz w:val="20"/>
        </w:rPr>
        <w:t>transporte</w:t>
      </w:r>
      <w:r>
        <w:rPr>
          <w:spacing w:val="-6"/>
          <w:sz w:val="20"/>
        </w:rPr>
        <w:t> </w:t>
      </w:r>
      <w:r>
        <w:rPr>
          <w:sz w:val="20"/>
        </w:rPr>
        <w:t>público,</w:t>
      </w:r>
      <w:r>
        <w:rPr>
          <w:spacing w:val="-8"/>
          <w:sz w:val="20"/>
        </w:rPr>
        <w:t> </w:t>
      </w:r>
      <w:r>
        <w:rPr>
          <w:spacing w:val="-10"/>
          <w:sz w:val="20"/>
        </w:rPr>
        <w:t>y</w:t>
      </w:r>
    </w:p>
    <w:p>
      <w:pPr>
        <w:pStyle w:val="ListParagraph"/>
        <w:numPr>
          <w:ilvl w:val="0"/>
          <w:numId w:val="69"/>
        </w:numPr>
        <w:tabs>
          <w:tab w:pos="545" w:val="left" w:leader="none"/>
        </w:tabs>
        <w:spacing w:line="240" w:lineRule="auto" w:before="229" w:after="0"/>
        <w:ind w:left="545" w:right="0" w:hanging="283"/>
        <w:jc w:val="both"/>
        <w:rPr>
          <w:sz w:val="20"/>
        </w:rPr>
      </w:pPr>
      <w:r>
        <w:rPr>
          <w:sz w:val="20"/>
        </w:rPr>
        <w:t>Los</w:t>
      </w:r>
      <w:r>
        <w:rPr>
          <w:spacing w:val="-6"/>
          <w:sz w:val="20"/>
        </w:rPr>
        <w:t> </w:t>
      </w:r>
      <w:r>
        <w:rPr>
          <w:sz w:val="20"/>
        </w:rPr>
        <w:t>pasos</w:t>
      </w:r>
      <w:r>
        <w:rPr>
          <w:spacing w:val="-6"/>
          <w:sz w:val="20"/>
        </w:rPr>
        <w:t> </w:t>
      </w:r>
      <w:r>
        <w:rPr>
          <w:sz w:val="20"/>
        </w:rPr>
        <w:t>a</w:t>
      </w:r>
      <w:r>
        <w:rPr>
          <w:spacing w:val="-4"/>
          <w:sz w:val="20"/>
        </w:rPr>
        <w:t> </w:t>
      </w:r>
      <w:r>
        <w:rPr>
          <w:sz w:val="20"/>
        </w:rPr>
        <w:t>desnivel,</w:t>
      </w:r>
      <w:r>
        <w:rPr>
          <w:spacing w:val="-5"/>
          <w:sz w:val="20"/>
        </w:rPr>
        <w:t> </w:t>
      </w:r>
      <w:r>
        <w:rPr>
          <w:sz w:val="20"/>
        </w:rPr>
        <w:t>puentes</w:t>
      </w:r>
      <w:r>
        <w:rPr>
          <w:spacing w:val="-5"/>
          <w:sz w:val="20"/>
        </w:rPr>
        <w:t> </w:t>
      </w:r>
      <w:r>
        <w:rPr>
          <w:sz w:val="20"/>
        </w:rPr>
        <w:t>o</w:t>
      </w:r>
      <w:r>
        <w:rPr>
          <w:spacing w:val="-8"/>
          <w:sz w:val="20"/>
        </w:rPr>
        <w:t> </w:t>
      </w:r>
      <w:r>
        <w:rPr>
          <w:sz w:val="20"/>
        </w:rPr>
        <w:t>afectaciones</w:t>
      </w:r>
      <w:r>
        <w:rPr>
          <w:spacing w:val="-5"/>
          <w:sz w:val="20"/>
        </w:rPr>
        <w:t> </w:t>
      </w:r>
      <w:r>
        <w:rPr>
          <w:sz w:val="20"/>
        </w:rPr>
        <w:t>en</w:t>
      </w:r>
      <w:r>
        <w:rPr>
          <w:spacing w:val="-6"/>
          <w:sz w:val="20"/>
        </w:rPr>
        <w:t> </w:t>
      </w:r>
      <w:r>
        <w:rPr>
          <w:sz w:val="20"/>
        </w:rPr>
        <w:t>su</w:t>
      </w:r>
      <w:r>
        <w:rPr>
          <w:spacing w:val="-7"/>
          <w:sz w:val="20"/>
        </w:rPr>
        <w:t> </w:t>
      </w:r>
      <w:r>
        <w:rPr>
          <w:spacing w:val="-4"/>
          <w:sz w:val="20"/>
        </w:rPr>
        <w:t>caso.</w:t>
      </w:r>
    </w:p>
    <w:p>
      <w:pPr>
        <w:pStyle w:val="BodyText"/>
        <w:ind w:left="262" w:right="278"/>
        <w:jc w:val="both"/>
      </w:pPr>
      <w:r>
        <w:rPr>
          <w:rFonts w:ascii="Arial" w:hAnsi="Arial"/>
          <w:b/>
        </w:rPr>
        <w:t>ARTÍCULO 166. </w:t>
      </w:r>
      <w:r>
        <w:rPr/>
        <w:t>La creación, apertura, modificación, prolongación y ampliación de vías públicas, que</w:t>
      </w:r>
      <w:r>
        <w:rPr>
          <w:spacing w:val="-11"/>
        </w:rPr>
        <w:t> </w:t>
      </w:r>
      <w:r>
        <w:rPr/>
        <w:t>no</w:t>
      </w:r>
      <w:r>
        <w:rPr>
          <w:spacing w:val="-11"/>
        </w:rPr>
        <w:t> </w:t>
      </w:r>
      <w:r>
        <w:rPr/>
        <w:t>esté</w:t>
      </w:r>
      <w:r>
        <w:rPr>
          <w:spacing w:val="-12"/>
        </w:rPr>
        <w:t> </w:t>
      </w:r>
      <w:r>
        <w:rPr/>
        <w:t>contemplada</w:t>
      </w:r>
      <w:r>
        <w:rPr>
          <w:spacing w:val="-9"/>
        </w:rPr>
        <w:t> </w:t>
      </w:r>
      <w:r>
        <w:rPr/>
        <w:t>en</w:t>
      </w:r>
      <w:r>
        <w:rPr>
          <w:spacing w:val="-11"/>
        </w:rPr>
        <w:t> </w:t>
      </w:r>
      <w:r>
        <w:rPr/>
        <w:t>los</w:t>
      </w:r>
      <w:r>
        <w:rPr>
          <w:spacing w:val="-10"/>
        </w:rPr>
        <w:t> </w:t>
      </w:r>
      <w:r>
        <w:rPr/>
        <w:t>programas</w:t>
      </w:r>
      <w:r>
        <w:rPr>
          <w:spacing w:val="-11"/>
        </w:rPr>
        <w:t> </w:t>
      </w:r>
      <w:r>
        <w:rPr/>
        <w:t>de</w:t>
      </w:r>
      <w:r>
        <w:rPr>
          <w:spacing w:val="-11"/>
        </w:rPr>
        <w:t> </w:t>
      </w:r>
      <w:r>
        <w:rPr/>
        <w:t>ordenamiento</w:t>
      </w:r>
      <w:r>
        <w:rPr>
          <w:spacing w:val="-12"/>
        </w:rPr>
        <w:t> </w:t>
      </w:r>
      <w:r>
        <w:rPr/>
        <w:t>territorial</w:t>
      </w:r>
      <w:r>
        <w:rPr>
          <w:spacing w:val="-12"/>
        </w:rPr>
        <w:t> </w:t>
      </w:r>
      <w:r>
        <w:rPr/>
        <w:t>y</w:t>
      </w:r>
      <w:r>
        <w:rPr>
          <w:spacing w:val="-10"/>
        </w:rPr>
        <w:t> </w:t>
      </w:r>
      <w:r>
        <w:rPr/>
        <w:t>desarrollo</w:t>
      </w:r>
      <w:r>
        <w:rPr>
          <w:spacing w:val="-11"/>
        </w:rPr>
        <w:t> </w:t>
      </w:r>
      <w:r>
        <w:rPr/>
        <w:t>urbano,</w:t>
      </w:r>
      <w:r>
        <w:rPr>
          <w:spacing w:val="-12"/>
        </w:rPr>
        <w:t> </w:t>
      </w:r>
      <w:r>
        <w:rPr/>
        <w:t>así</w:t>
      </w:r>
      <w:r>
        <w:rPr>
          <w:spacing w:val="-11"/>
        </w:rPr>
        <w:t> </w:t>
      </w:r>
      <w:r>
        <w:rPr/>
        <w:t>como para los centros de población que carezcan de éstos, serán aprobadas por los ayuntamientos correspondientes, a propuesta y con la opinión de la dirección municipal y con el apoyo de la o las áreas técnicas competentes.</w:t>
      </w:r>
      <w:r>
        <w:rPr>
          <w:spacing w:val="40"/>
        </w:rPr>
        <w:t> </w:t>
      </w:r>
      <w:r>
        <w:rPr/>
        <w:t>Los municipios que así lo consideren, podrán solicitar el apoyo del Estado</w:t>
      </w:r>
      <w:r>
        <w:rPr>
          <w:spacing w:val="-9"/>
        </w:rPr>
        <w:t> </w:t>
      </w:r>
      <w:r>
        <w:rPr/>
        <w:t>a</w:t>
      </w:r>
      <w:r>
        <w:rPr>
          <w:spacing w:val="-9"/>
        </w:rPr>
        <w:t> </w:t>
      </w:r>
      <w:r>
        <w:rPr/>
        <w:t>través</w:t>
      </w:r>
      <w:r>
        <w:rPr>
          <w:spacing w:val="-8"/>
        </w:rPr>
        <w:t> </w:t>
      </w:r>
      <w:r>
        <w:rPr/>
        <w:t>de</w:t>
      </w:r>
      <w:r>
        <w:rPr>
          <w:spacing w:val="-7"/>
        </w:rPr>
        <w:t> </w:t>
      </w:r>
      <w:r>
        <w:rPr/>
        <w:t>la</w:t>
      </w:r>
      <w:r>
        <w:rPr>
          <w:spacing w:val="-9"/>
        </w:rPr>
        <w:t> </w:t>
      </w:r>
      <w:r>
        <w:rPr/>
        <w:t>Secretaría.</w:t>
      </w:r>
      <w:r>
        <w:rPr>
          <w:spacing w:val="-9"/>
        </w:rPr>
        <w:t> </w:t>
      </w:r>
      <w:r>
        <w:rPr/>
        <w:t>Cuando</w:t>
      </w:r>
      <w:r>
        <w:rPr>
          <w:spacing w:val="-7"/>
        </w:rPr>
        <w:t> </w:t>
      </w:r>
      <w:r>
        <w:rPr/>
        <w:t>el</w:t>
      </w:r>
      <w:r>
        <w:rPr>
          <w:spacing w:val="-9"/>
        </w:rPr>
        <w:t> </w:t>
      </w:r>
      <w:r>
        <w:rPr/>
        <w:t>Estado</w:t>
      </w:r>
      <w:r>
        <w:rPr>
          <w:spacing w:val="-9"/>
        </w:rPr>
        <w:t> </w:t>
      </w:r>
      <w:r>
        <w:rPr/>
        <w:t>o</w:t>
      </w:r>
      <w:r>
        <w:rPr>
          <w:spacing w:val="-9"/>
        </w:rPr>
        <w:t> </w:t>
      </w:r>
      <w:r>
        <w:rPr/>
        <w:t>los</w:t>
      </w:r>
      <w:r>
        <w:rPr>
          <w:spacing w:val="-9"/>
        </w:rPr>
        <w:t> </w:t>
      </w:r>
      <w:r>
        <w:rPr/>
        <w:t>municipios</w:t>
      </w:r>
      <w:r>
        <w:rPr>
          <w:spacing w:val="-8"/>
        </w:rPr>
        <w:t> </w:t>
      </w:r>
      <w:r>
        <w:rPr/>
        <w:t>así</w:t>
      </w:r>
      <w:r>
        <w:rPr>
          <w:spacing w:val="-9"/>
        </w:rPr>
        <w:t> </w:t>
      </w:r>
      <w:r>
        <w:rPr/>
        <w:t>lo</w:t>
      </w:r>
      <w:r>
        <w:rPr>
          <w:spacing w:val="-9"/>
        </w:rPr>
        <w:t> </w:t>
      </w:r>
      <w:r>
        <w:rPr/>
        <w:t>requieran,</w:t>
      </w:r>
      <w:r>
        <w:rPr>
          <w:spacing w:val="-11"/>
        </w:rPr>
        <w:t> </w:t>
      </w:r>
      <w:r>
        <w:rPr/>
        <w:t>si</w:t>
      </w:r>
      <w:r>
        <w:rPr>
          <w:spacing w:val="-9"/>
        </w:rPr>
        <w:t> </w:t>
      </w:r>
      <w:r>
        <w:rPr/>
        <w:t>fuera</w:t>
      </w:r>
      <w:r>
        <w:rPr>
          <w:spacing w:val="-9"/>
        </w:rPr>
        <w:t> </w:t>
      </w:r>
      <w:r>
        <w:rPr/>
        <w:t>el</w:t>
      </w:r>
      <w:r>
        <w:rPr>
          <w:spacing w:val="-9"/>
        </w:rPr>
        <w:t> </w:t>
      </w:r>
      <w:r>
        <w:rPr/>
        <w:t>caso en que deba procederse para tales fines a la expropiación de predios, se estará a lo dispuesto por la ley estatal de la materia.</w:t>
      </w:r>
    </w:p>
    <w:p>
      <w:pPr>
        <w:pStyle w:val="BodyText"/>
        <w:spacing w:before="2"/>
      </w:pPr>
    </w:p>
    <w:p>
      <w:pPr>
        <w:pStyle w:val="BodyText"/>
        <w:ind w:left="262" w:right="286"/>
        <w:jc w:val="both"/>
      </w:pPr>
      <w:r>
        <w:rPr/>
        <w:t>El ayuntamiento una vez que se apruebe la apertura, prolongación, modificación o ampliación de vías públicas, deberá notificar a las autoridades catastrales para su inscripción respectiva.</w:t>
      </w:r>
    </w:p>
    <w:p>
      <w:pPr>
        <w:pStyle w:val="BodyText"/>
        <w:spacing w:before="229"/>
        <w:ind w:left="262" w:right="280"/>
        <w:jc w:val="both"/>
      </w:pPr>
      <w:r>
        <w:rPr/>
        <w:t>Tratándose</w:t>
      </w:r>
      <w:r>
        <w:rPr>
          <w:spacing w:val="-4"/>
        </w:rPr>
        <w:t> </w:t>
      </w:r>
      <w:r>
        <w:rPr/>
        <w:t>de</w:t>
      </w:r>
      <w:r>
        <w:rPr>
          <w:spacing w:val="-4"/>
        </w:rPr>
        <w:t> </w:t>
      </w:r>
      <w:r>
        <w:rPr/>
        <w:t>vialidades</w:t>
      </w:r>
      <w:r>
        <w:rPr>
          <w:spacing w:val="-1"/>
        </w:rPr>
        <w:t> </w:t>
      </w:r>
      <w:r>
        <w:rPr/>
        <w:t>resultantes</w:t>
      </w:r>
      <w:r>
        <w:rPr>
          <w:spacing w:val="-1"/>
        </w:rPr>
        <w:t> </w:t>
      </w:r>
      <w:r>
        <w:rPr/>
        <w:t>de</w:t>
      </w:r>
      <w:r>
        <w:rPr>
          <w:spacing w:val="-2"/>
        </w:rPr>
        <w:t> </w:t>
      </w:r>
      <w:r>
        <w:rPr/>
        <w:t>los</w:t>
      </w:r>
      <w:r>
        <w:rPr>
          <w:spacing w:val="-3"/>
        </w:rPr>
        <w:t> </w:t>
      </w:r>
      <w:r>
        <w:rPr/>
        <w:t>programas</w:t>
      </w:r>
      <w:r>
        <w:rPr>
          <w:spacing w:val="-3"/>
        </w:rPr>
        <w:t> </w:t>
      </w:r>
      <w:r>
        <w:rPr/>
        <w:t>de</w:t>
      </w:r>
      <w:r>
        <w:rPr>
          <w:spacing w:val="-2"/>
        </w:rPr>
        <w:t> </w:t>
      </w:r>
      <w:r>
        <w:rPr/>
        <w:t>regularización</w:t>
      </w:r>
      <w:r>
        <w:rPr>
          <w:spacing w:val="-2"/>
        </w:rPr>
        <w:t> </w:t>
      </w:r>
      <w:r>
        <w:rPr/>
        <w:t>de</w:t>
      </w:r>
      <w:r>
        <w:rPr>
          <w:spacing w:val="-2"/>
        </w:rPr>
        <w:t> </w:t>
      </w:r>
      <w:r>
        <w:rPr/>
        <w:t>la</w:t>
      </w:r>
      <w:r>
        <w:rPr>
          <w:spacing w:val="-2"/>
        </w:rPr>
        <w:t> </w:t>
      </w:r>
      <w:r>
        <w:rPr/>
        <w:t>tenencia</w:t>
      </w:r>
      <w:r>
        <w:rPr>
          <w:spacing w:val="-4"/>
        </w:rPr>
        <w:t> </w:t>
      </w:r>
      <w:r>
        <w:rPr/>
        <w:t>de</w:t>
      </w:r>
      <w:r>
        <w:rPr>
          <w:spacing w:val="-2"/>
        </w:rPr>
        <w:t> </w:t>
      </w:r>
      <w:r>
        <w:rPr/>
        <w:t>la</w:t>
      </w:r>
      <w:r>
        <w:rPr>
          <w:spacing w:val="-2"/>
        </w:rPr>
        <w:t> </w:t>
      </w:r>
      <w:r>
        <w:rPr/>
        <w:t>tierra, las mismas solo estarán sujetas a la factibilidad técnica que permita el entorno en donde se desarrollen,</w:t>
      </w:r>
      <w:r>
        <w:rPr>
          <w:spacing w:val="-5"/>
        </w:rPr>
        <w:t> </w:t>
      </w:r>
      <w:r>
        <w:rPr/>
        <w:t>procurando</w:t>
      </w:r>
      <w:r>
        <w:rPr>
          <w:spacing w:val="-8"/>
        </w:rPr>
        <w:t> </w:t>
      </w:r>
      <w:r>
        <w:rPr/>
        <w:t>cumplir</w:t>
      </w:r>
      <w:r>
        <w:rPr>
          <w:spacing w:val="-7"/>
        </w:rPr>
        <w:t> </w:t>
      </w:r>
      <w:r>
        <w:rPr/>
        <w:t>en</w:t>
      </w:r>
      <w:r>
        <w:rPr>
          <w:spacing w:val="-6"/>
        </w:rPr>
        <w:t> </w:t>
      </w:r>
      <w:r>
        <w:rPr/>
        <w:t>la</w:t>
      </w:r>
      <w:r>
        <w:rPr>
          <w:spacing w:val="-8"/>
        </w:rPr>
        <w:t> </w:t>
      </w:r>
      <w:r>
        <w:rPr/>
        <w:t>medida</w:t>
      </w:r>
      <w:r>
        <w:rPr>
          <w:spacing w:val="-8"/>
        </w:rPr>
        <w:t> </w:t>
      </w:r>
      <w:r>
        <w:rPr/>
        <w:t>de</w:t>
      </w:r>
      <w:r>
        <w:rPr>
          <w:spacing w:val="-8"/>
        </w:rPr>
        <w:t> </w:t>
      </w:r>
      <w:r>
        <w:rPr/>
        <w:t>lo</w:t>
      </w:r>
      <w:r>
        <w:rPr>
          <w:spacing w:val="-8"/>
        </w:rPr>
        <w:t> </w:t>
      </w:r>
      <w:r>
        <w:rPr/>
        <w:t>posible</w:t>
      </w:r>
      <w:r>
        <w:rPr>
          <w:spacing w:val="-8"/>
        </w:rPr>
        <w:t> </w:t>
      </w:r>
      <w:r>
        <w:rPr/>
        <w:t>con</w:t>
      </w:r>
      <w:r>
        <w:rPr>
          <w:spacing w:val="-2"/>
        </w:rPr>
        <w:t> </w:t>
      </w:r>
      <w:r>
        <w:rPr/>
        <w:t>las</w:t>
      </w:r>
      <w:r>
        <w:rPr>
          <w:spacing w:val="-7"/>
        </w:rPr>
        <w:t> </w:t>
      </w:r>
      <w:r>
        <w:rPr/>
        <w:t>especificaciones</w:t>
      </w:r>
      <w:r>
        <w:rPr>
          <w:spacing w:val="-7"/>
        </w:rPr>
        <w:t> </w:t>
      </w:r>
      <w:r>
        <w:rPr/>
        <w:t>y</w:t>
      </w:r>
      <w:r>
        <w:rPr>
          <w:spacing w:val="-6"/>
        </w:rPr>
        <w:t> </w:t>
      </w:r>
      <w:r>
        <w:rPr/>
        <w:t>requisitos</w:t>
      </w:r>
      <w:r>
        <w:rPr>
          <w:spacing w:val="-7"/>
        </w:rPr>
        <w:t> </w:t>
      </w:r>
      <w:r>
        <w:rPr/>
        <w:t>que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establezcan esta Ley, los reglamentos</w:t>
      </w:r>
      <w:r>
        <w:rPr>
          <w:spacing w:val="40"/>
        </w:rPr>
        <w:t> </w:t>
      </w:r>
      <w:r>
        <w:rPr/>
        <w:t>municipales y demás normatividad aplicable, sin que la imposibilidad de cumplimiento por causas</w:t>
      </w:r>
      <w:r>
        <w:rPr>
          <w:spacing w:val="40"/>
        </w:rPr>
        <w:t> </w:t>
      </w:r>
      <w:r>
        <w:rPr/>
        <w:t>técnicas de las mismas, conlleve a la improcedencia de los programas de regularización respectivos.</w:t>
      </w:r>
    </w:p>
    <w:p>
      <w:pPr>
        <w:pStyle w:val="BodyText"/>
        <w:spacing w:before="1"/>
      </w:pPr>
    </w:p>
    <w:p>
      <w:pPr>
        <w:pStyle w:val="BodyText"/>
        <w:spacing w:before="1"/>
        <w:ind w:left="262" w:right="280"/>
        <w:jc w:val="both"/>
      </w:pPr>
      <w:r>
        <w:rPr>
          <w:rFonts w:ascii="Arial" w:hAnsi="Arial"/>
          <w:b/>
        </w:rPr>
        <w:t>ARTÍCULO 167. </w:t>
      </w:r>
      <w:r>
        <w:rPr/>
        <w:t>Se presume vía pública, salvo prueba en contrario, todo inmueble que en calidad de</w:t>
      </w:r>
      <w:r>
        <w:rPr>
          <w:spacing w:val="-13"/>
        </w:rPr>
        <w:t> </w:t>
      </w:r>
      <w:r>
        <w:rPr/>
        <w:t>tal,</w:t>
      </w:r>
      <w:r>
        <w:rPr>
          <w:spacing w:val="-12"/>
        </w:rPr>
        <w:t> </w:t>
      </w:r>
      <w:r>
        <w:rPr/>
        <w:t>conste</w:t>
      </w:r>
      <w:r>
        <w:rPr>
          <w:spacing w:val="-13"/>
        </w:rPr>
        <w:t> </w:t>
      </w:r>
      <w:r>
        <w:rPr/>
        <w:t>oficialmente,</w:t>
      </w:r>
      <w:r>
        <w:rPr>
          <w:spacing w:val="-12"/>
        </w:rPr>
        <w:t> </w:t>
      </w:r>
      <w:r>
        <w:rPr/>
        <w:t>en</w:t>
      </w:r>
      <w:r>
        <w:rPr>
          <w:spacing w:val="-13"/>
        </w:rPr>
        <w:t> </w:t>
      </w:r>
      <w:r>
        <w:rPr/>
        <w:t>cualquier</w:t>
      </w:r>
      <w:r>
        <w:rPr>
          <w:spacing w:val="-11"/>
        </w:rPr>
        <w:t> </w:t>
      </w:r>
      <w:r>
        <w:rPr/>
        <w:t>archivo</w:t>
      </w:r>
      <w:r>
        <w:rPr>
          <w:spacing w:val="-12"/>
        </w:rPr>
        <w:t> </w:t>
      </w:r>
      <w:r>
        <w:rPr/>
        <w:t>de</w:t>
      </w:r>
      <w:r>
        <w:rPr>
          <w:spacing w:val="-12"/>
        </w:rPr>
        <w:t> </w:t>
      </w:r>
      <w:r>
        <w:rPr/>
        <w:t>dependencias</w:t>
      </w:r>
      <w:r>
        <w:rPr>
          <w:spacing w:val="-11"/>
        </w:rPr>
        <w:t> </w:t>
      </w:r>
      <w:r>
        <w:rPr/>
        <w:t>federales,</w:t>
      </w:r>
      <w:r>
        <w:rPr>
          <w:spacing w:val="-12"/>
        </w:rPr>
        <w:t> </w:t>
      </w:r>
      <w:r>
        <w:rPr/>
        <w:t>estatales</w:t>
      </w:r>
      <w:r>
        <w:rPr>
          <w:spacing w:val="-11"/>
        </w:rPr>
        <w:t> </w:t>
      </w:r>
      <w:r>
        <w:rPr/>
        <w:t>o</w:t>
      </w:r>
      <w:r>
        <w:rPr>
          <w:spacing w:val="-12"/>
        </w:rPr>
        <w:t> </w:t>
      </w:r>
      <w:r>
        <w:rPr/>
        <w:t>municipales, así</w:t>
      </w:r>
      <w:r>
        <w:rPr>
          <w:spacing w:val="-1"/>
        </w:rPr>
        <w:t> </w:t>
      </w:r>
      <w:r>
        <w:rPr/>
        <w:t>como en museos,</w:t>
      </w:r>
      <w:r>
        <w:rPr>
          <w:spacing w:val="-1"/>
        </w:rPr>
        <w:t> </w:t>
      </w:r>
      <w:r>
        <w:rPr/>
        <w:t>bibliotecas o que por el transcurso</w:t>
      </w:r>
      <w:r>
        <w:rPr>
          <w:spacing w:val="-1"/>
        </w:rPr>
        <w:t> </w:t>
      </w:r>
      <w:r>
        <w:rPr/>
        <w:t>del tiempo</w:t>
      </w:r>
      <w:r>
        <w:rPr>
          <w:spacing w:val="-1"/>
        </w:rPr>
        <w:t> </w:t>
      </w:r>
      <w:r>
        <w:rPr/>
        <w:t>sea</w:t>
      </w:r>
      <w:r>
        <w:rPr>
          <w:spacing w:val="-1"/>
        </w:rPr>
        <w:t> </w:t>
      </w:r>
      <w:r>
        <w:rPr/>
        <w:t>reconocida</w:t>
      </w:r>
      <w:r>
        <w:rPr>
          <w:spacing w:val="-2"/>
        </w:rPr>
        <w:t> </w:t>
      </w:r>
      <w:r>
        <w:rPr/>
        <w:t>como tal por la autoridad competente.</w:t>
      </w:r>
    </w:p>
    <w:p>
      <w:pPr>
        <w:pStyle w:val="BodyText"/>
        <w:spacing w:before="229"/>
        <w:ind w:left="262" w:right="278"/>
        <w:jc w:val="both"/>
      </w:pPr>
      <w:r>
        <w:rPr>
          <w:rFonts w:ascii="Arial" w:hAnsi="Arial"/>
          <w:b/>
        </w:rPr>
        <w:t>ARTÍCULO 168. </w:t>
      </w:r>
      <w:r>
        <w:rPr/>
        <w:t>Los sistemas de agua potable y alcantarillado sanitario y pluvial, energía eléctrica y alumbrado, telecomunicaciones y gas que se integren a la infraestructura de la vialidad pública, deberán</w:t>
      </w:r>
      <w:r>
        <w:rPr>
          <w:spacing w:val="-8"/>
        </w:rPr>
        <w:t> </w:t>
      </w:r>
      <w:r>
        <w:rPr/>
        <w:t>reunir</w:t>
      </w:r>
      <w:r>
        <w:rPr>
          <w:spacing w:val="-4"/>
        </w:rPr>
        <w:t> </w:t>
      </w:r>
      <w:r>
        <w:rPr/>
        <w:t>los</w:t>
      </w:r>
      <w:r>
        <w:rPr>
          <w:spacing w:val="-7"/>
        </w:rPr>
        <w:t> </w:t>
      </w:r>
      <w:r>
        <w:rPr/>
        <w:t>requisitos</w:t>
      </w:r>
      <w:r>
        <w:rPr>
          <w:spacing w:val="-6"/>
        </w:rPr>
        <w:t> </w:t>
      </w:r>
      <w:r>
        <w:rPr/>
        <w:t>y</w:t>
      </w:r>
      <w:r>
        <w:rPr>
          <w:spacing w:val="-6"/>
        </w:rPr>
        <w:t> </w:t>
      </w:r>
      <w:r>
        <w:rPr/>
        <w:t>características</w:t>
      </w:r>
      <w:r>
        <w:rPr>
          <w:spacing w:val="-7"/>
        </w:rPr>
        <w:t> </w:t>
      </w:r>
      <w:r>
        <w:rPr/>
        <w:t>que</w:t>
      </w:r>
      <w:r>
        <w:rPr>
          <w:spacing w:val="-8"/>
        </w:rPr>
        <w:t> </w:t>
      </w:r>
      <w:r>
        <w:rPr/>
        <w:t>establezcan</w:t>
      </w:r>
      <w:r>
        <w:rPr>
          <w:spacing w:val="-6"/>
        </w:rPr>
        <w:t> </w:t>
      </w:r>
      <w:r>
        <w:rPr/>
        <w:t>las</w:t>
      </w:r>
      <w:r>
        <w:rPr>
          <w:spacing w:val="-7"/>
        </w:rPr>
        <w:t> </w:t>
      </w:r>
      <w:r>
        <w:rPr/>
        <w:t>disposiciones</w:t>
      </w:r>
      <w:r>
        <w:rPr>
          <w:spacing w:val="-7"/>
        </w:rPr>
        <w:t> </w:t>
      </w:r>
      <w:r>
        <w:rPr/>
        <w:t>técnicas</w:t>
      </w:r>
      <w:r>
        <w:rPr>
          <w:spacing w:val="-7"/>
        </w:rPr>
        <w:t> </w:t>
      </w:r>
      <w:r>
        <w:rPr/>
        <w:t>y</w:t>
      </w:r>
      <w:r>
        <w:rPr>
          <w:spacing w:val="-6"/>
        </w:rPr>
        <w:t> </w:t>
      </w:r>
      <w:r>
        <w:rPr/>
        <w:t>jurídicas </w:t>
      </w:r>
      <w:r>
        <w:rPr>
          <w:spacing w:val="-2"/>
        </w:rPr>
        <w:t>aplicables.</w:t>
      </w:r>
    </w:p>
    <w:p>
      <w:pPr>
        <w:pStyle w:val="BodyText"/>
      </w:pPr>
    </w:p>
    <w:p>
      <w:pPr>
        <w:pStyle w:val="BodyText"/>
        <w:spacing w:before="1"/>
        <w:ind w:left="262" w:right="282"/>
        <w:jc w:val="both"/>
      </w:pPr>
      <w:r>
        <w:rPr/>
        <w:t>En las vías públicas lo relativo a las aguas pluviales, corresponde a los municipios a través de los organismos operadores de agua en donde los hubiere, o directamente a los ayuntamientos en los municipios</w:t>
      </w:r>
      <w:r>
        <w:rPr>
          <w:spacing w:val="-1"/>
        </w:rPr>
        <w:t> </w:t>
      </w:r>
      <w:r>
        <w:rPr/>
        <w:t>que</w:t>
      </w:r>
      <w:r>
        <w:rPr>
          <w:spacing w:val="-2"/>
        </w:rPr>
        <w:t> </w:t>
      </w:r>
      <w:r>
        <w:rPr/>
        <w:t>no</w:t>
      </w:r>
      <w:r>
        <w:rPr>
          <w:spacing w:val="-2"/>
        </w:rPr>
        <w:t> </w:t>
      </w:r>
      <w:r>
        <w:rPr/>
        <w:t>cuenten con</w:t>
      </w:r>
      <w:r>
        <w:rPr>
          <w:spacing w:val="-3"/>
        </w:rPr>
        <w:t> </w:t>
      </w:r>
      <w:r>
        <w:rPr/>
        <w:t>los</w:t>
      </w:r>
      <w:r>
        <w:rPr>
          <w:spacing w:val="-1"/>
        </w:rPr>
        <w:t> </w:t>
      </w:r>
      <w:r>
        <w:rPr/>
        <w:t>mismos,</w:t>
      </w:r>
      <w:r>
        <w:rPr>
          <w:spacing w:val="-2"/>
        </w:rPr>
        <w:t> </w:t>
      </w:r>
      <w:r>
        <w:rPr/>
        <w:t>conforme</w:t>
      </w:r>
      <w:r>
        <w:rPr>
          <w:spacing w:val="-2"/>
        </w:rPr>
        <w:t> </w:t>
      </w:r>
      <w:r>
        <w:rPr/>
        <w:t>lo</w:t>
      </w:r>
      <w:r>
        <w:rPr>
          <w:spacing w:val="-2"/>
        </w:rPr>
        <w:t> </w:t>
      </w:r>
      <w:r>
        <w:rPr/>
        <w:t>determine la</w:t>
      </w:r>
      <w:r>
        <w:rPr>
          <w:spacing w:val="-2"/>
        </w:rPr>
        <w:t> </w:t>
      </w:r>
      <w:r>
        <w:rPr/>
        <w:t>ley</w:t>
      </w:r>
      <w:r>
        <w:rPr>
          <w:spacing w:val="-1"/>
        </w:rPr>
        <w:t> </w:t>
      </w:r>
      <w:r>
        <w:rPr/>
        <w:t>de la materia. El Estado</w:t>
      </w:r>
      <w:r>
        <w:rPr>
          <w:spacing w:val="-3"/>
        </w:rPr>
        <w:t> </w:t>
      </w:r>
      <w:r>
        <w:rPr/>
        <w:t>a través de</w:t>
      </w:r>
      <w:r>
        <w:rPr>
          <w:spacing w:val="-1"/>
        </w:rPr>
        <w:t> </w:t>
      </w:r>
      <w:r>
        <w:rPr/>
        <w:t>los organismos estatales competentes, podrá asumir transitoriamente, de</w:t>
      </w:r>
      <w:r>
        <w:rPr>
          <w:spacing w:val="-1"/>
        </w:rPr>
        <w:t> </w:t>
      </w:r>
      <w:r>
        <w:rPr/>
        <w:t>manera directa o concurrente dicha responsabilidad en los casos en que así lo soliciten los ayuntamientos, previo convenio que se celebre al efecto en términos de la ley de la materia.</w:t>
      </w:r>
    </w:p>
    <w:p>
      <w:pPr>
        <w:pStyle w:val="BodyText"/>
      </w:pPr>
    </w:p>
    <w:p>
      <w:pPr>
        <w:spacing w:line="229" w:lineRule="exact" w:before="0"/>
        <w:ind w:left="26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4"/>
          <w:sz w:val="20"/>
        </w:rPr>
        <w:t>2024)</w:t>
      </w:r>
    </w:p>
    <w:p>
      <w:pPr>
        <w:pStyle w:val="BodyText"/>
        <w:ind w:left="262" w:right="278"/>
        <w:jc w:val="both"/>
      </w:pPr>
      <w:r>
        <w:rPr>
          <w:rFonts w:ascii="Arial" w:hAnsi="Arial"/>
          <w:b/>
        </w:rPr>
        <w:t>ARTÍCULO 169. </w:t>
      </w:r>
      <w:r>
        <w:rPr/>
        <w:t>Las normas para el diseño y la construcción de las vías públicas, que se deriven de</w:t>
      </w:r>
      <w:r>
        <w:rPr>
          <w:spacing w:val="-7"/>
        </w:rPr>
        <w:t> </w:t>
      </w:r>
      <w:r>
        <w:rPr/>
        <w:t>esta</w:t>
      </w:r>
      <w:r>
        <w:rPr>
          <w:spacing w:val="-7"/>
        </w:rPr>
        <w:t> </w:t>
      </w:r>
      <w:r>
        <w:rPr/>
        <w:t>Ley,</w:t>
      </w:r>
      <w:r>
        <w:rPr>
          <w:spacing w:val="-6"/>
        </w:rPr>
        <w:t> </w:t>
      </w:r>
      <w:r>
        <w:rPr/>
        <w:t>observarán</w:t>
      </w:r>
      <w:r>
        <w:rPr>
          <w:spacing w:val="-7"/>
        </w:rPr>
        <w:t> </w:t>
      </w:r>
      <w:r>
        <w:rPr/>
        <w:t>la</w:t>
      </w:r>
      <w:r>
        <w:rPr>
          <w:spacing w:val="-9"/>
        </w:rPr>
        <w:t> </w:t>
      </w:r>
      <w:r>
        <w:rPr/>
        <w:t>jerarquía</w:t>
      </w:r>
      <w:r>
        <w:rPr>
          <w:spacing w:val="-7"/>
        </w:rPr>
        <w:t> </w:t>
      </w:r>
      <w:r>
        <w:rPr/>
        <w:t>de</w:t>
      </w:r>
      <w:r>
        <w:rPr>
          <w:spacing w:val="-7"/>
        </w:rPr>
        <w:t> </w:t>
      </w:r>
      <w:r>
        <w:rPr/>
        <w:t>movilidad,</w:t>
      </w:r>
      <w:r>
        <w:rPr>
          <w:spacing w:val="-7"/>
        </w:rPr>
        <w:t> </w:t>
      </w:r>
      <w:r>
        <w:rPr/>
        <w:t>así</w:t>
      </w:r>
      <w:r>
        <w:rPr>
          <w:spacing w:val="-9"/>
        </w:rPr>
        <w:t> </w:t>
      </w:r>
      <w:r>
        <w:rPr/>
        <w:t>como</w:t>
      </w:r>
      <w:r>
        <w:rPr>
          <w:spacing w:val="-7"/>
        </w:rPr>
        <w:t> </w:t>
      </w:r>
      <w:r>
        <w:rPr/>
        <w:t>los</w:t>
      </w:r>
      <w:r>
        <w:rPr>
          <w:spacing w:val="-6"/>
        </w:rPr>
        <w:t> </w:t>
      </w:r>
      <w:r>
        <w:rPr/>
        <w:t>criterios</w:t>
      </w:r>
      <w:r>
        <w:rPr>
          <w:spacing w:val="-8"/>
        </w:rPr>
        <w:t> </w:t>
      </w:r>
      <w:r>
        <w:rPr/>
        <w:t>y</w:t>
      </w:r>
      <w:r>
        <w:rPr>
          <w:spacing w:val="-8"/>
        </w:rPr>
        <w:t> </w:t>
      </w:r>
      <w:r>
        <w:rPr/>
        <w:t>estándares</w:t>
      </w:r>
      <w:r>
        <w:rPr>
          <w:spacing w:val="-7"/>
        </w:rPr>
        <w:t> </w:t>
      </w:r>
      <w:r>
        <w:rPr/>
        <w:t>para</w:t>
      </w:r>
      <w:r>
        <w:rPr>
          <w:spacing w:val="-7"/>
        </w:rPr>
        <w:t> </w:t>
      </w:r>
      <w:r>
        <w:rPr/>
        <w:t>el</w:t>
      </w:r>
      <w:r>
        <w:rPr>
          <w:spacing w:val="-7"/>
        </w:rPr>
        <w:t> </w:t>
      </w:r>
      <w:r>
        <w:rPr/>
        <w:t>diseño de</w:t>
      </w:r>
      <w:r>
        <w:rPr>
          <w:spacing w:val="-6"/>
        </w:rPr>
        <w:t> </w:t>
      </w:r>
      <w:r>
        <w:rPr/>
        <w:t>infraestructura</w:t>
      </w:r>
      <w:r>
        <w:rPr>
          <w:spacing w:val="-6"/>
        </w:rPr>
        <w:t> </w:t>
      </w:r>
      <w:r>
        <w:rPr/>
        <w:t>vial</w:t>
      </w:r>
      <w:r>
        <w:rPr>
          <w:spacing w:val="-6"/>
        </w:rPr>
        <w:t> </w:t>
      </w:r>
      <w:r>
        <w:rPr/>
        <w:t>a</w:t>
      </w:r>
      <w:r>
        <w:rPr>
          <w:spacing w:val="-3"/>
        </w:rPr>
        <w:t> </w:t>
      </w:r>
      <w:r>
        <w:rPr/>
        <w:t>que</w:t>
      </w:r>
      <w:r>
        <w:rPr>
          <w:spacing w:val="-6"/>
        </w:rPr>
        <w:t> </w:t>
      </w:r>
      <w:r>
        <w:rPr/>
        <w:t>se</w:t>
      </w:r>
      <w:r>
        <w:rPr>
          <w:spacing w:val="-6"/>
        </w:rPr>
        <w:t> </w:t>
      </w:r>
      <w:r>
        <w:rPr/>
        <w:t>refiere</w:t>
      </w:r>
      <w:r>
        <w:rPr>
          <w:spacing w:val="-3"/>
        </w:rPr>
        <w:t> </w:t>
      </w:r>
      <w:r>
        <w:rPr/>
        <w:t>la</w:t>
      </w:r>
      <w:r>
        <w:rPr>
          <w:spacing w:val="-6"/>
        </w:rPr>
        <w:t> </w:t>
      </w:r>
      <w:r>
        <w:rPr/>
        <w:t>Ley</w:t>
      </w:r>
      <w:r>
        <w:rPr>
          <w:spacing w:val="-5"/>
        </w:rPr>
        <w:t> </w:t>
      </w:r>
      <w:r>
        <w:rPr/>
        <w:t>General</w:t>
      </w:r>
      <w:r>
        <w:rPr>
          <w:spacing w:val="-4"/>
        </w:rPr>
        <w:t> </w:t>
      </w:r>
      <w:r>
        <w:rPr/>
        <w:t>de</w:t>
      </w:r>
      <w:r>
        <w:rPr>
          <w:spacing w:val="-6"/>
        </w:rPr>
        <w:t> </w:t>
      </w:r>
      <w:r>
        <w:rPr/>
        <w:t>Movilidad</w:t>
      </w:r>
      <w:r>
        <w:rPr>
          <w:spacing w:val="-6"/>
        </w:rPr>
        <w:t> </w:t>
      </w:r>
      <w:r>
        <w:rPr/>
        <w:t>y</w:t>
      </w:r>
      <w:r>
        <w:rPr>
          <w:spacing w:val="-4"/>
        </w:rPr>
        <w:t> </w:t>
      </w:r>
      <w:r>
        <w:rPr/>
        <w:t>Seguridad</w:t>
      </w:r>
      <w:r>
        <w:rPr>
          <w:spacing w:val="-3"/>
        </w:rPr>
        <w:t> </w:t>
      </w:r>
      <w:r>
        <w:rPr/>
        <w:t>Vial,</w:t>
      </w:r>
      <w:r>
        <w:rPr>
          <w:spacing w:val="-5"/>
        </w:rPr>
        <w:t> </w:t>
      </w:r>
      <w:r>
        <w:rPr/>
        <w:t>y</w:t>
      </w:r>
      <w:r>
        <w:rPr>
          <w:spacing w:val="-4"/>
        </w:rPr>
        <w:t> </w:t>
      </w:r>
      <w:r>
        <w:rPr/>
        <w:t>las</w:t>
      </w:r>
      <w:r>
        <w:rPr>
          <w:spacing w:val="-5"/>
        </w:rPr>
        <w:t> </w:t>
      </w:r>
      <w:r>
        <w:rPr/>
        <w:t>NORMAS OFICIALES</w:t>
      </w:r>
      <w:r>
        <w:rPr>
          <w:spacing w:val="-10"/>
        </w:rPr>
        <w:t> </w:t>
      </w:r>
      <w:r>
        <w:rPr/>
        <w:t>MEXICANAS</w:t>
      </w:r>
      <w:r>
        <w:rPr>
          <w:spacing w:val="-9"/>
        </w:rPr>
        <w:t> </w:t>
      </w:r>
      <w:r>
        <w:rPr/>
        <w:t>en</w:t>
      </w:r>
      <w:r>
        <w:rPr>
          <w:spacing w:val="-11"/>
        </w:rPr>
        <w:t> </w:t>
      </w:r>
      <w:r>
        <w:rPr/>
        <w:t>materia</w:t>
      </w:r>
      <w:r>
        <w:rPr>
          <w:spacing w:val="-9"/>
        </w:rPr>
        <w:t> </w:t>
      </w:r>
      <w:r>
        <w:rPr/>
        <w:t>de</w:t>
      </w:r>
      <w:r>
        <w:rPr>
          <w:spacing w:val="-10"/>
        </w:rPr>
        <w:t> </w:t>
      </w:r>
      <w:r>
        <w:rPr/>
        <w:t>diseño</w:t>
      </w:r>
      <w:r>
        <w:rPr>
          <w:spacing w:val="-9"/>
        </w:rPr>
        <w:t> </w:t>
      </w:r>
      <w:r>
        <w:rPr/>
        <w:t>de</w:t>
      </w:r>
      <w:r>
        <w:rPr>
          <w:spacing w:val="-10"/>
        </w:rPr>
        <w:t> </w:t>
      </w:r>
      <w:r>
        <w:rPr/>
        <w:t>espacio</w:t>
      </w:r>
      <w:r>
        <w:rPr>
          <w:spacing w:val="-9"/>
        </w:rPr>
        <w:t> </w:t>
      </w:r>
      <w:r>
        <w:rPr/>
        <w:t>público,</w:t>
      </w:r>
      <w:r>
        <w:rPr>
          <w:spacing w:val="-12"/>
        </w:rPr>
        <w:t> </w:t>
      </w:r>
      <w:r>
        <w:rPr/>
        <w:t>y</w:t>
      </w:r>
      <w:r>
        <w:rPr>
          <w:spacing w:val="-8"/>
        </w:rPr>
        <w:t> </w:t>
      </w:r>
      <w:r>
        <w:rPr/>
        <w:t>comprenderán</w:t>
      </w:r>
      <w:r>
        <w:rPr>
          <w:spacing w:val="-12"/>
        </w:rPr>
        <w:t> </w:t>
      </w:r>
      <w:r>
        <w:rPr/>
        <w:t>cuando</w:t>
      </w:r>
      <w:r>
        <w:rPr>
          <w:spacing w:val="-9"/>
        </w:rPr>
        <w:t> </w:t>
      </w:r>
      <w:r>
        <w:rPr/>
        <w:t>menos:</w:t>
      </w:r>
    </w:p>
    <w:p>
      <w:pPr>
        <w:pStyle w:val="BodyText"/>
        <w:spacing w:before="2"/>
      </w:pPr>
    </w:p>
    <w:p>
      <w:pPr>
        <w:pStyle w:val="ListParagraph"/>
        <w:numPr>
          <w:ilvl w:val="0"/>
          <w:numId w:val="70"/>
        </w:numPr>
        <w:tabs>
          <w:tab w:pos="688" w:val="left" w:leader="none"/>
        </w:tabs>
        <w:spacing w:line="240" w:lineRule="auto" w:before="1" w:after="0"/>
        <w:ind w:left="688" w:right="0" w:hanging="426"/>
        <w:jc w:val="both"/>
        <w:rPr>
          <w:sz w:val="20"/>
        </w:rPr>
      </w:pPr>
      <w:r>
        <w:rPr>
          <w:sz w:val="20"/>
        </w:rPr>
        <w:t>El</w:t>
      </w:r>
      <w:r>
        <w:rPr>
          <w:spacing w:val="-8"/>
          <w:sz w:val="20"/>
        </w:rPr>
        <w:t> </w:t>
      </w:r>
      <w:r>
        <w:rPr>
          <w:sz w:val="20"/>
        </w:rPr>
        <w:t>funcionamiento</w:t>
      </w:r>
      <w:r>
        <w:rPr>
          <w:spacing w:val="-4"/>
          <w:sz w:val="20"/>
        </w:rPr>
        <w:t> </w:t>
      </w:r>
      <w:r>
        <w:rPr>
          <w:sz w:val="20"/>
        </w:rPr>
        <w:t>de</w:t>
      </w:r>
      <w:r>
        <w:rPr>
          <w:spacing w:val="-6"/>
          <w:sz w:val="20"/>
        </w:rPr>
        <w:t> </w:t>
      </w:r>
      <w:r>
        <w:rPr>
          <w:sz w:val="20"/>
        </w:rPr>
        <w:t>la</w:t>
      </w:r>
      <w:r>
        <w:rPr>
          <w:spacing w:val="-5"/>
          <w:sz w:val="20"/>
        </w:rPr>
        <w:t> </w:t>
      </w:r>
      <w:r>
        <w:rPr>
          <w:sz w:val="20"/>
        </w:rPr>
        <w:t>red</w:t>
      </w:r>
      <w:r>
        <w:rPr>
          <w:spacing w:val="-4"/>
          <w:sz w:val="20"/>
        </w:rPr>
        <w:t> </w:t>
      </w:r>
      <w:r>
        <w:rPr>
          <w:sz w:val="20"/>
        </w:rPr>
        <w:t>vial</w:t>
      </w:r>
      <w:r>
        <w:rPr>
          <w:spacing w:val="-8"/>
          <w:sz w:val="20"/>
        </w:rPr>
        <w:t> </w:t>
      </w:r>
      <w:r>
        <w:rPr>
          <w:sz w:val="20"/>
        </w:rPr>
        <w:t>y</w:t>
      </w:r>
      <w:r>
        <w:rPr>
          <w:spacing w:val="-3"/>
          <w:sz w:val="20"/>
        </w:rPr>
        <w:t> </w:t>
      </w:r>
      <w:r>
        <w:rPr>
          <w:sz w:val="20"/>
        </w:rPr>
        <w:t>la</w:t>
      </w:r>
      <w:r>
        <w:rPr>
          <w:spacing w:val="-5"/>
          <w:sz w:val="20"/>
        </w:rPr>
        <w:t> </w:t>
      </w:r>
      <w:r>
        <w:rPr>
          <w:sz w:val="20"/>
        </w:rPr>
        <w:t>interacción</w:t>
      </w:r>
      <w:r>
        <w:rPr>
          <w:spacing w:val="-5"/>
          <w:sz w:val="20"/>
        </w:rPr>
        <w:t> </w:t>
      </w:r>
      <w:r>
        <w:rPr>
          <w:sz w:val="20"/>
        </w:rPr>
        <w:t>de</w:t>
      </w:r>
      <w:r>
        <w:rPr>
          <w:spacing w:val="-6"/>
          <w:sz w:val="20"/>
        </w:rPr>
        <w:t> </w:t>
      </w:r>
      <w:r>
        <w:rPr>
          <w:sz w:val="20"/>
        </w:rPr>
        <w:t>las</w:t>
      </w:r>
      <w:r>
        <w:rPr>
          <w:spacing w:val="-6"/>
          <w:sz w:val="20"/>
        </w:rPr>
        <w:t> </w:t>
      </w:r>
      <w:r>
        <w:rPr>
          <w:spacing w:val="-2"/>
          <w:sz w:val="20"/>
        </w:rPr>
        <w:t>tipologías;</w:t>
      </w:r>
    </w:p>
    <w:p>
      <w:pPr>
        <w:pStyle w:val="ListParagraph"/>
        <w:numPr>
          <w:ilvl w:val="0"/>
          <w:numId w:val="70"/>
        </w:numPr>
        <w:tabs>
          <w:tab w:pos="688" w:val="left" w:leader="none"/>
        </w:tabs>
        <w:spacing w:line="230" w:lineRule="auto" w:before="229" w:after="0"/>
        <w:ind w:left="262" w:right="287" w:firstLine="0"/>
        <w:jc w:val="both"/>
        <w:rPr>
          <w:sz w:val="20"/>
        </w:rPr>
      </w:pPr>
      <w:r>
        <w:rPr>
          <w:sz w:val="20"/>
        </w:rPr>
        <w:t>Las secciones y anchos de las vías primarias, secundarias, colectoras, de acceso local, ciclovías y de los andadores;</w:t>
      </w:r>
    </w:p>
    <w:p>
      <w:pPr>
        <w:pStyle w:val="BodyText"/>
        <w:spacing w:before="3"/>
      </w:pPr>
    </w:p>
    <w:p>
      <w:pPr>
        <w:pStyle w:val="ListParagraph"/>
        <w:numPr>
          <w:ilvl w:val="0"/>
          <w:numId w:val="70"/>
        </w:numPr>
        <w:tabs>
          <w:tab w:pos="742" w:val="left" w:leader="none"/>
        </w:tabs>
        <w:spacing w:line="240" w:lineRule="auto" w:before="0" w:after="0"/>
        <w:ind w:left="742" w:right="0" w:hanging="480"/>
        <w:jc w:val="both"/>
        <w:rPr>
          <w:sz w:val="20"/>
        </w:rPr>
      </w:pPr>
      <w:r>
        <w:rPr>
          <w:sz w:val="20"/>
        </w:rPr>
        <w:t>Su</w:t>
      </w:r>
      <w:r>
        <w:rPr>
          <w:spacing w:val="-4"/>
          <w:sz w:val="20"/>
        </w:rPr>
        <w:t> </w:t>
      </w:r>
      <w:r>
        <w:rPr>
          <w:sz w:val="20"/>
        </w:rPr>
        <w:t>liga</w:t>
      </w:r>
      <w:r>
        <w:rPr>
          <w:spacing w:val="-6"/>
          <w:sz w:val="20"/>
        </w:rPr>
        <w:t> </w:t>
      </w:r>
      <w:r>
        <w:rPr>
          <w:sz w:val="20"/>
        </w:rPr>
        <w:t>y</w:t>
      </w:r>
      <w:r>
        <w:rPr>
          <w:spacing w:val="-4"/>
          <w:sz w:val="20"/>
        </w:rPr>
        <w:t> </w:t>
      </w:r>
      <w:r>
        <w:rPr>
          <w:sz w:val="20"/>
        </w:rPr>
        <w:t>congruencia</w:t>
      </w:r>
      <w:r>
        <w:rPr>
          <w:spacing w:val="-6"/>
          <w:sz w:val="20"/>
        </w:rPr>
        <w:t> </w:t>
      </w:r>
      <w:r>
        <w:rPr>
          <w:sz w:val="20"/>
        </w:rPr>
        <w:t>con</w:t>
      </w:r>
      <w:r>
        <w:rPr>
          <w:spacing w:val="-5"/>
          <w:sz w:val="20"/>
        </w:rPr>
        <w:t> </w:t>
      </w:r>
      <w:r>
        <w:rPr>
          <w:sz w:val="20"/>
        </w:rPr>
        <w:t>la</w:t>
      </w:r>
      <w:r>
        <w:rPr>
          <w:spacing w:val="-5"/>
          <w:sz w:val="20"/>
        </w:rPr>
        <w:t> </w:t>
      </w:r>
      <w:r>
        <w:rPr>
          <w:sz w:val="20"/>
        </w:rPr>
        <w:t>traza</w:t>
      </w:r>
      <w:r>
        <w:rPr>
          <w:spacing w:val="-5"/>
          <w:sz w:val="20"/>
        </w:rPr>
        <w:t> </w:t>
      </w:r>
      <w:r>
        <w:rPr>
          <w:spacing w:val="-2"/>
          <w:sz w:val="20"/>
        </w:rPr>
        <w:t>urbana;</w:t>
      </w:r>
    </w:p>
    <w:p>
      <w:pPr>
        <w:pStyle w:val="ListParagraph"/>
        <w:numPr>
          <w:ilvl w:val="0"/>
          <w:numId w:val="70"/>
        </w:numPr>
        <w:tabs>
          <w:tab w:pos="687" w:val="left" w:leader="none"/>
        </w:tabs>
        <w:spacing w:line="237" w:lineRule="auto" w:before="223" w:after="0"/>
        <w:ind w:left="262" w:right="279" w:firstLine="0"/>
        <w:jc w:val="both"/>
        <w:rPr>
          <w:sz w:val="20"/>
        </w:rPr>
      </w:pPr>
      <w:r>
        <w:rPr>
          <w:sz w:val="20"/>
        </w:rPr>
        <w:t>Los</w:t>
      </w:r>
      <w:r>
        <w:rPr>
          <w:spacing w:val="-4"/>
          <w:sz w:val="20"/>
        </w:rPr>
        <w:t> </w:t>
      </w:r>
      <w:r>
        <w:rPr>
          <w:sz w:val="20"/>
        </w:rPr>
        <w:t>anchos</w:t>
      </w:r>
      <w:r>
        <w:rPr>
          <w:spacing w:val="-2"/>
          <w:sz w:val="20"/>
        </w:rPr>
        <w:t> </w:t>
      </w:r>
      <w:r>
        <w:rPr>
          <w:sz w:val="20"/>
        </w:rPr>
        <w:t>mínimos</w:t>
      </w:r>
      <w:r>
        <w:rPr>
          <w:spacing w:val="-1"/>
          <w:sz w:val="20"/>
        </w:rPr>
        <w:t> </w:t>
      </w:r>
      <w:r>
        <w:rPr>
          <w:sz w:val="20"/>
        </w:rPr>
        <w:t>de</w:t>
      </w:r>
      <w:r>
        <w:rPr>
          <w:spacing w:val="-3"/>
          <w:sz w:val="20"/>
        </w:rPr>
        <w:t> </w:t>
      </w:r>
      <w:r>
        <w:rPr>
          <w:sz w:val="20"/>
        </w:rPr>
        <w:t>las</w:t>
      </w:r>
      <w:r>
        <w:rPr>
          <w:spacing w:val="-4"/>
          <w:sz w:val="20"/>
        </w:rPr>
        <w:t> </w:t>
      </w:r>
      <w:r>
        <w:rPr>
          <w:sz w:val="20"/>
        </w:rPr>
        <w:t>banquetas</w:t>
      </w:r>
      <w:r>
        <w:rPr>
          <w:spacing w:val="-2"/>
          <w:sz w:val="20"/>
        </w:rPr>
        <w:t> </w:t>
      </w:r>
      <w:r>
        <w:rPr>
          <w:sz w:val="20"/>
        </w:rPr>
        <w:t>para</w:t>
      </w:r>
      <w:r>
        <w:rPr>
          <w:spacing w:val="-3"/>
          <w:sz w:val="20"/>
        </w:rPr>
        <w:t> </w:t>
      </w:r>
      <w:r>
        <w:rPr>
          <w:sz w:val="20"/>
        </w:rPr>
        <w:t>las</w:t>
      </w:r>
      <w:r>
        <w:rPr>
          <w:spacing w:val="-4"/>
          <w:sz w:val="20"/>
        </w:rPr>
        <w:t> </w:t>
      </w:r>
      <w:r>
        <w:rPr>
          <w:sz w:val="20"/>
        </w:rPr>
        <w:t>vialidades</w:t>
      </w:r>
      <w:r>
        <w:rPr>
          <w:spacing w:val="-4"/>
          <w:sz w:val="20"/>
        </w:rPr>
        <w:t> </w:t>
      </w:r>
      <w:r>
        <w:rPr>
          <w:sz w:val="20"/>
        </w:rPr>
        <w:t>primarias</w:t>
      </w:r>
      <w:r>
        <w:rPr>
          <w:spacing w:val="-4"/>
          <w:sz w:val="20"/>
        </w:rPr>
        <w:t> </w:t>
      </w:r>
      <w:r>
        <w:rPr>
          <w:sz w:val="20"/>
        </w:rPr>
        <w:t>o</w:t>
      </w:r>
      <w:r>
        <w:rPr>
          <w:spacing w:val="-3"/>
          <w:sz w:val="20"/>
        </w:rPr>
        <w:t> </w:t>
      </w:r>
      <w:r>
        <w:rPr>
          <w:sz w:val="20"/>
        </w:rPr>
        <w:t>secundarias,</w:t>
      </w:r>
      <w:r>
        <w:rPr>
          <w:spacing w:val="-5"/>
          <w:sz w:val="20"/>
        </w:rPr>
        <w:t> </w:t>
      </w:r>
      <w:r>
        <w:rPr>
          <w:sz w:val="20"/>
        </w:rPr>
        <w:t>colectoras, debiendo</w:t>
      </w:r>
      <w:r>
        <w:rPr>
          <w:spacing w:val="-3"/>
          <w:sz w:val="20"/>
        </w:rPr>
        <w:t> </w:t>
      </w:r>
      <w:r>
        <w:rPr>
          <w:sz w:val="20"/>
        </w:rPr>
        <w:t>permitir</w:t>
      </w:r>
      <w:r>
        <w:rPr>
          <w:spacing w:val="-1"/>
          <w:sz w:val="20"/>
        </w:rPr>
        <w:t> </w:t>
      </w:r>
      <w:r>
        <w:rPr>
          <w:sz w:val="20"/>
        </w:rPr>
        <w:t>la</w:t>
      </w:r>
      <w:r>
        <w:rPr>
          <w:spacing w:val="-4"/>
          <w:sz w:val="20"/>
        </w:rPr>
        <w:t> </w:t>
      </w:r>
      <w:r>
        <w:rPr>
          <w:sz w:val="20"/>
        </w:rPr>
        <w:t>circulación</w:t>
      </w:r>
      <w:r>
        <w:rPr>
          <w:spacing w:val="-5"/>
          <w:sz w:val="20"/>
        </w:rPr>
        <w:t> </w:t>
      </w:r>
      <w:r>
        <w:rPr>
          <w:sz w:val="20"/>
        </w:rPr>
        <w:t>segura</w:t>
      </w:r>
      <w:r>
        <w:rPr>
          <w:spacing w:val="-2"/>
          <w:sz w:val="20"/>
        </w:rPr>
        <w:t> </w:t>
      </w:r>
      <w:r>
        <w:rPr>
          <w:sz w:val="20"/>
        </w:rPr>
        <w:t>de</w:t>
      </w:r>
      <w:r>
        <w:rPr>
          <w:spacing w:val="-5"/>
          <w:sz w:val="20"/>
        </w:rPr>
        <w:t> </w:t>
      </w:r>
      <w:r>
        <w:rPr>
          <w:sz w:val="20"/>
        </w:rPr>
        <w:t>al</w:t>
      </w:r>
      <w:r>
        <w:rPr>
          <w:spacing w:val="-3"/>
          <w:sz w:val="20"/>
        </w:rPr>
        <w:t> </w:t>
      </w:r>
      <w:r>
        <w:rPr>
          <w:sz w:val="20"/>
        </w:rPr>
        <w:t>menos</w:t>
      </w:r>
      <w:r>
        <w:rPr>
          <w:spacing w:val="-3"/>
          <w:sz w:val="20"/>
        </w:rPr>
        <w:t> </w:t>
      </w:r>
      <w:r>
        <w:rPr>
          <w:sz w:val="20"/>
        </w:rPr>
        <w:t>dos</w:t>
      </w:r>
      <w:r>
        <w:rPr>
          <w:spacing w:val="-3"/>
          <w:sz w:val="20"/>
        </w:rPr>
        <w:t> </w:t>
      </w:r>
      <w:r>
        <w:rPr>
          <w:sz w:val="20"/>
        </w:rPr>
        <w:t>personas</w:t>
      </w:r>
      <w:r>
        <w:rPr>
          <w:spacing w:val="-1"/>
          <w:sz w:val="20"/>
        </w:rPr>
        <w:t> </w:t>
      </w:r>
      <w:r>
        <w:rPr>
          <w:sz w:val="20"/>
        </w:rPr>
        <w:t>en</w:t>
      </w:r>
      <w:r>
        <w:rPr>
          <w:spacing w:val="-5"/>
          <w:sz w:val="20"/>
        </w:rPr>
        <w:t> </w:t>
      </w:r>
      <w:r>
        <w:rPr>
          <w:sz w:val="20"/>
        </w:rPr>
        <w:t>forma</w:t>
      </w:r>
      <w:r>
        <w:rPr>
          <w:spacing w:val="-2"/>
          <w:sz w:val="20"/>
        </w:rPr>
        <w:t> </w:t>
      </w:r>
      <w:r>
        <w:rPr>
          <w:sz w:val="20"/>
        </w:rPr>
        <w:t>paralela,</w:t>
      </w:r>
      <w:r>
        <w:rPr>
          <w:spacing w:val="-2"/>
          <w:sz w:val="20"/>
        </w:rPr>
        <w:t> </w:t>
      </w:r>
      <w:r>
        <w:rPr>
          <w:sz w:val="20"/>
        </w:rPr>
        <w:t>así</w:t>
      </w:r>
      <w:r>
        <w:rPr>
          <w:spacing w:val="-4"/>
          <w:sz w:val="20"/>
        </w:rPr>
        <w:t> </w:t>
      </w:r>
      <w:r>
        <w:rPr>
          <w:sz w:val="20"/>
        </w:rPr>
        <w:t>como</w:t>
      </w:r>
      <w:r>
        <w:rPr>
          <w:spacing w:val="-4"/>
          <w:sz w:val="20"/>
        </w:rPr>
        <w:t> </w:t>
      </w:r>
      <w:r>
        <w:rPr>
          <w:sz w:val="20"/>
        </w:rPr>
        <w:t>para las</w:t>
      </w:r>
      <w:r>
        <w:rPr>
          <w:spacing w:val="-8"/>
          <w:sz w:val="20"/>
        </w:rPr>
        <w:t> </w:t>
      </w:r>
      <w:r>
        <w:rPr>
          <w:sz w:val="20"/>
        </w:rPr>
        <w:t>vías</w:t>
      </w:r>
      <w:r>
        <w:rPr>
          <w:spacing w:val="-6"/>
          <w:sz w:val="20"/>
        </w:rPr>
        <w:t> </w:t>
      </w:r>
      <w:r>
        <w:rPr>
          <w:sz w:val="20"/>
        </w:rPr>
        <w:t>locales</w:t>
      </w:r>
      <w:r>
        <w:rPr>
          <w:spacing w:val="-8"/>
          <w:sz w:val="20"/>
        </w:rPr>
        <w:t> </w:t>
      </w:r>
      <w:r>
        <w:rPr>
          <w:sz w:val="20"/>
        </w:rPr>
        <w:t>y</w:t>
      </w:r>
      <w:r>
        <w:rPr>
          <w:spacing w:val="-8"/>
          <w:sz w:val="20"/>
        </w:rPr>
        <w:t> </w:t>
      </w:r>
      <w:r>
        <w:rPr>
          <w:sz w:val="20"/>
        </w:rPr>
        <w:t>de</w:t>
      </w:r>
      <w:r>
        <w:rPr>
          <w:spacing w:val="-9"/>
          <w:sz w:val="20"/>
        </w:rPr>
        <w:t> </w:t>
      </w:r>
      <w:r>
        <w:rPr>
          <w:sz w:val="20"/>
        </w:rPr>
        <w:t>acceso</w:t>
      </w:r>
      <w:r>
        <w:rPr>
          <w:spacing w:val="-9"/>
          <w:sz w:val="20"/>
        </w:rPr>
        <w:t> </w:t>
      </w:r>
      <w:r>
        <w:rPr>
          <w:sz w:val="20"/>
        </w:rPr>
        <w:t>local.</w:t>
      </w:r>
      <w:r>
        <w:rPr>
          <w:spacing w:val="-7"/>
          <w:sz w:val="20"/>
        </w:rPr>
        <w:t> </w:t>
      </w:r>
      <w:r>
        <w:rPr>
          <w:sz w:val="20"/>
        </w:rPr>
        <w:t>Podrán</w:t>
      </w:r>
      <w:r>
        <w:rPr>
          <w:spacing w:val="-7"/>
          <w:sz w:val="20"/>
        </w:rPr>
        <w:t> </w:t>
      </w:r>
      <w:r>
        <w:rPr>
          <w:sz w:val="20"/>
        </w:rPr>
        <w:t>construirse</w:t>
      </w:r>
      <w:r>
        <w:rPr>
          <w:spacing w:val="-7"/>
          <w:sz w:val="20"/>
        </w:rPr>
        <w:t> </w:t>
      </w:r>
      <w:r>
        <w:rPr>
          <w:sz w:val="20"/>
        </w:rPr>
        <w:t>vialidades</w:t>
      </w:r>
      <w:r>
        <w:rPr>
          <w:spacing w:val="-1"/>
          <w:sz w:val="20"/>
        </w:rPr>
        <w:t> </w:t>
      </w:r>
      <w:r>
        <w:rPr>
          <w:sz w:val="20"/>
        </w:rPr>
        <w:t>sin</w:t>
      </w:r>
      <w:r>
        <w:rPr>
          <w:spacing w:val="-9"/>
          <w:sz w:val="20"/>
        </w:rPr>
        <w:t> </w:t>
      </w:r>
      <w:r>
        <w:rPr>
          <w:sz w:val="20"/>
        </w:rPr>
        <w:t>banquetas</w:t>
      </w:r>
      <w:r>
        <w:rPr>
          <w:spacing w:val="-8"/>
          <w:sz w:val="20"/>
        </w:rPr>
        <w:t> </w:t>
      </w:r>
      <w:r>
        <w:rPr>
          <w:sz w:val="20"/>
        </w:rPr>
        <w:t>en</w:t>
      </w:r>
      <w:r>
        <w:rPr>
          <w:spacing w:val="-7"/>
          <w:sz w:val="20"/>
        </w:rPr>
        <w:t> </w:t>
      </w:r>
      <w:r>
        <w:rPr>
          <w:sz w:val="20"/>
        </w:rPr>
        <w:t>los</w:t>
      </w:r>
      <w:r>
        <w:rPr>
          <w:spacing w:val="-6"/>
          <w:sz w:val="20"/>
        </w:rPr>
        <w:t> </w:t>
      </w:r>
      <w:r>
        <w:rPr>
          <w:sz w:val="20"/>
        </w:rPr>
        <w:t>proyectos</w:t>
      </w:r>
      <w:r>
        <w:rPr>
          <w:spacing w:val="-8"/>
          <w:sz w:val="20"/>
        </w:rPr>
        <w:t> </w:t>
      </w:r>
      <w:r>
        <w:rPr>
          <w:sz w:val="20"/>
        </w:rPr>
        <w:t>que contemplen accesos peatonales independientes y/o el diseño contemple equipamiento sustentable u otro tipo de elementos urbanos y texturas que delimiten dichas vías;</w:t>
      </w:r>
    </w:p>
    <w:p>
      <w:pPr>
        <w:pStyle w:val="BodyText"/>
        <w:spacing w:before="7"/>
      </w:pPr>
    </w:p>
    <w:p>
      <w:pPr>
        <w:pStyle w:val="ListParagraph"/>
        <w:numPr>
          <w:ilvl w:val="0"/>
          <w:numId w:val="70"/>
        </w:numPr>
        <w:tabs>
          <w:tab w:pos="687" w:val="left" w:leader="none"/>
        </w:tabs>
        <w:spacing w:line="235" w:lineRule="auto" w:before="0" w:after="0"/>
        <w:ind w:left="262" w:right="283" w:firstLine="0"/>
        <w:jc w:val="both"/>
        <w:rPr>
          <w:sz w:val="20"/>
        </w:rPr>
      </w:pPr>
      <w:r>
        <w:rPr>
          <w:sz w:val="20"/>
        </w:rPr>
        <w:t>Rampas</w:t>
      </w:r>
      <w:r>
        <w:rPr>
          <w:spacing w:val="-4"/>
          <w:sz w:val="20"/>
        </w:rPr>
        <w:t> </w:t>
      </w:r>
      <w:r>
        <w:rPr>
          <w:sz w:val="20"/>
        </w:rPr>
        <w:t>en</w:t>
      </w:r>
      <w:r>
        <w:rPr>
          <w:spacing w:val="-4"/>
          <w:sz w:val="20"/>
        </w:rPr>
        <w:t> </w:t>
      </w:r>
      <w:r>
        <w:rPr>
          <w:sz w:val="20"/>
        </w:rPr>
        <w:t>los</w:t>
      </w:r>
      <w:r>
        <w:rPr>
          <w:spacing w:val="-4"/>
          <w:sz w:val="20"/>
        </w:rPr>
        <w:t> </w:t>
      </w:r>
      <w:r>
        <w:rPr>
          <w:sz w:val="20"/>
        </w:rPr>
        <w:t>pasos</w:t>
      </w:r>
      <w:r>
        <w:rPr>
          <w:spacing w:val="-4"/>
          <w:sz w:val="20"/>
        </w:rPr>
        <w:t> </w:t>
      </w:r>
      <w:r>
        <w:rPr>
          <w:sz w:val="20"/>
        </w:rPr>
        <w:t>peatonales</w:t>
      </w:r>
      <w:r>
        <w:rPr>
          <w:spacing w:val="-4"/>
          <w:sz w:val="20"/>
        </w:rPr>
        <w:t> </w:t>
      </w:r>
      <w:r>
        <w:rPr>
          <w:sz w:val="20"/>
        </w:rPr>
        <w:t>y</w:t>
      </w:r>
      <w:r>
        <w:rPr>
          <w:spacing w:val="-4"/>
          <w:sz w:val="20"/>
        </w:rPr>
        <w:t> </w:t>
      </w:r>
      <w:r>
        <w:rPr>
          <w:sz w:val="20"/>
        </w:rPr>
        <w:t>semáforos</w:t>
      </w:r>
      <w:r>
        <w:rPr>
          <w:spacing w:val="-3"/>
          <w:sz w:val="20"/>
        </w:rPr>
        <w:t> </w:t>
      </w:r>
      <w:r>
        <w:rPr>
          <w:sz w:val="20"/>
        </w:rPr>
        <w:t>accesibles</w:t>
      </w:r>
      <w:r>
        <w:rPr>
          <w:spacing w:val="-4"/>
          <w:sz w:val="20"/>
        </w:rPr>
        <w:t> </w:t>
      </w:r>
      <w:r>
        <w:rPr>
          <w:sz w:val="20"/>
        </w:rPr>
        <w:t>para</w:t>
      </w:r>
      <w:r>
        <w:rPr>
          <w:spacing w:val="-5"/>
          <w:sz w:val="20"/>
        </w:rPr>
        <w:t> </w:t>
      </w:r>
      <w:r>
        <w:rPr>
          <w:sz w:val="20"/>
        </w:rPr>
        <w:t>personas</w:t>
      </w:r>
      <w:r>
        <w:rPr>
          <w:spacing w:val="-4"/>
          <w:sz w:val="20"/>
        </w:rPr>
        <w:t> </w:t>
      </w:r>
      <w:r>
        <w:rPr>
          <w:sz w:val="20"/>
        </w:rPr>
        <w:t>con</w:t>
      </w:r>
      <w:r>
        <w:rPr>
          <w:spacing w:val="-4"/>
          <w:sz w:val="20"/>
        </w:rPr>
        <w:t> </w:t>
      </w:r>
      <w:r>
        <w:rPr>
          <w:sz w:val="20"/>
        </w:rPr>
        <w:t>discapacidad;</w:t>
      </w:r>
      <w:r>
        <w:rPr>
          <w:spacing w:val="-3"/>
          <w:sz w:val="20"/>
        </w:rPr>
        <w:t> </w:t>
      </w:r>
      <w:r>
        <w:rPr>
          <w:sz w:val="20"/>
        </w:rPr>
        <w:t>las vías primarias contemplarán</w:t>
      </w:r>
      <w:r>
        <w:rPr>
          <w:spacing w:val="-1"/>
          <w:sz w:val="20"/>
        </w:rPr>
        <w:t> </w:t>
      </w:r>
      <w:r>
        <w:rPr>
          <w:sz w:val="20"/>
        </w:rPr>
        <w:t>además la inclusión</w:t>
      </w:r>
      <w:r>
        <w:rPr>
          <w:spacing w:val="-1"/>
          <w:sz w:val="20"/>
        </w:rPr>
        <w:t> </w:t>
      </w:r>
      <w:r>
        <w:rPr>
          <w:sz w:val="20"/>
        </w:rPr>
        <w:t>de mobiliario urbano: bancas, cestos para basura urbana y paraderos, e hidrantes contra incendios, cuando la red hidráulica lo permita;</w:t>
      </w:r>
    </w:p>
    <w:p>
      <w:pPr>
        <w:pStyle w:val="BodyText"/>
        <w:spacing w:before="4"/>
      </w:pPr>
    </w:p>
    <w:p>
      <w:pPr>
        <w:pStyle w:val="ListParagraph"/>
        <w:numPr>
          <w:ilvl w:val="0"/>
          <w:numId w:val="70"/>
        </w:numPr>
        <w:tabs>
          <w:tab w:pos="687" w:val="left" w:leader="none"/>
        </w:tabs>
        <w:spacing w:line="237" w:lineRule="auto" w:before="0" w:after="0"/>
        <w:ind w:left="262" w:right="281" w:firstLine="0"/>
        <w:jc w:val="both"/>
        <w:rPr>
          <w:sz w:val="20"/>
        </w:rPr>
      </w:pPr>
      <w:r>
        <w:rPr>
          <w:sz w:val="20"/>
        </w:rPr>
        <w:t>Podrán autorizarse vías públicas con formas de transporte específicas tales como exclusivos para flujo vehicular de carga o servicios, bicicletas, transporte público de pasajeros o peatonales, entre otros, siempre que el diseño procure la seguridad y adecuada movilidad de personas y </w:t>
      </w:r>
      <w:r>
        <w:rPr>
          <w:spacing w:val="-2"/>
          <w:sz w:val="20"/>
        </w:rPr>
        <w:t>vehículos;</w:t>
      </w:r>
    </w:p>
    <w:p>
      <w:pPr>
        <w:pStyle w:val="ListParagraph"/>
        <w:spacing w:after="0" w:line="237" w:lineRule="auto"/>
        <w:jc w:val="both"/>
        <w:rPr>
          <w:sz w:val="20"/>
        </w:rPr>
        <w:sectPr>
          <w:pgSz w:w="12240" w:h="15840"/>
          <w:pgMar w:header="720" w:footer="697" w:top="2100" w:bottom="880" w:left="1440" w:right="1440"/>
        </w:sectPr>
      </w:pPr>
    </w:p>
    <w:p>
      <w:pPr>
        <w:pStyle w:val="BodyText"/>
      </w:pPr>
    </w:p>
    <w:p>
      <w:pPr>
        <w:pStyle w:val="BodyText"/>
        <w:spacing w:before="74"/>
      </w:pPr>
    </w:p>
    <w:p>
      <w:pPr>
        <w:pStyle w:val="ListParagraph"/>
        <w:numPr>
          <w:ilvl w:val="0"/>
          <w:numId w:val="70"/>
        </w:numPr>
        <w:tabs>
          <w:tab w:pos="687" w:val="left" w:leader="none"/>
        </w:tabs>
        <w:spacing w:line="240" w:lineRule="auto" w:before="0" w:after="0"/>
        <w:ind w:left="687" w:right="0" w:hanging="425"/>
        <w:jc w:val="left"/>
        <w:rPr>
          <w:sz w:val="20"/>
        </w:rPr>
      </w:pPr>
      <w:r>
        <w:rPr>
          <w:sz w:val="20"/>
        </w:rPr>
        <w:t>La</w:t>
      </w:r>
      <w:r>
        <w:rPr>
          <w:spacing w:val="-9"/>
          <w:sz w:val="20"/>
        </w:rPr>
        <w:t> </w:t>
      </w:r>
      <w:r>
        <w:rPr>
          <w:sz w:val="20"/>
        </w:rPr>
        <w:t>distancia</w:t>
      </w:r>
      <w:r>
        <w:rPr>
          <w:spacing w:val="-7"/>
          <w:sz w:val="20"/>
        </w:rPr>
        <w:t> </w:t>
      </w:r>
      <w:r>
        <w:rPr>
          <w:sz w:val="20"/>
        </w:rPr>
        <w:t>máxima</w:t>
      </w:r>
      <w:r>
        <w:rPr>
          <w:spacing w:val="-8"/>
          <w:sz w:val="20"/>
        </w:rPr>
        <w:t> </w:t>
      </w:r>
      <w:r>
        <w:rPr>
          <w:sz w:val="20"/>
        </w:rPr>
        <w:t>de</w:t>
      </w:r>
      <w:r>
        <w:rPr>
          <w:spacing w:val="-7"/>
          <w:sz w:val="20"/>
        </w:rPr>
        <w:t> </w:t>
      </w:r>
      <w:r>
        <w:rPr>
          <w:sz w:val="20"/>
        </w:rPr>
        <w:t>las</w:t>
      </w:r>
      <w:r>
        <w:rPr>
          <w:spacing w:val="-7"/>
          <w:sz w:val="20"/>
        </w:rPr>
        <w:t> </w:t>
      </w:r>
      <w:r>
        <w:rPr>
          <w:sz w:val="20"/>
        </w:rPr>
        <w:t>vialidades</w:t>
      </w:r>
      <w:r>
        <w:rPr>
          <w:spacing w:val="-6"/>
          <w:sz w:val="20"/>
        </w:rPr>
        <w:t> </w:t>
      </w:r>
      <w:r>
        <w:rPr>
          <w:spacing w:val="-2"/>
          <w:sz w:val="20"/>
        </w:rPr>
        <w:t>colectoras;</w:t>
      </w:r>
    </w:p>
    <w:p>
      <w:pPr>
        <w:pStyle w:val="BodyText"/>
      </w:pPr>
    </w:p>
    <w:p>
      <w:pPr>
        <w:pStyle w:val="ListParagraph"/>
        <w:numPr>
          <w:ilvl w:val="0"/>
          <w:numId w:val="70"/>
        </w:numPr>
        <w:tabs>
          <w:tab w:pos="826" w:val="left" w:leader="none"/>
        </w:tabs>
        <w:spacing w:line="230" w:lineRule="auto" w:before="0" w:after="0"/>
        <w:ind w:left="262" w:right="288" w:firstLine="0"/>
        <w:jc w:val="both"/>
        <w:rPr>
          <w:sz w:val="20"/>
        </w:rPr>
      </w:pPr>
      <w:r>
        <w:rPr>
          <w:sz w:val="20"/>
        </w:rPr>
        <w:t>La</w:t>
      </w:r>
      <w:r>
        <w:rPr>
          <w:spacing w:val="-1"/>
          <w:sz w:val="20"/>
        </w:rPr>
        <w:t> </w:t>
      </w:r>
      <w:r>
        <w:rPr>
          <w:sz w:val="20"/>
        </w:rPr>
        <w:t>separación máxima</w:t>
      </w:r>
      <w:r>
        <w:rPr>
          <w:spacing w:val="-1"/>
          <w:sz w:val="20"/>
        </w:rPr>
        <w:t> </w:t>
      </w:r>
      <w:r>
        <w:rPr>
          <w:sz w:val="20"/>
        </w:rPr>
        <w:t>entre</w:t>
      </w:r>
      <w:r>
        <w:rPr>
          <w:spacing w:val="-1"/>
          <w:sz w:val="20"/>
        </w:rPr>
        <w:t> </w:t>
      </w:r>
      <w:r>
        <w:rPr>
          <w:sz w:val="20"/>
        </w:rPr>
        <w:t>calles locales, considerando</w:t>
      </w:r>
      <w:r>
        <w:rPr>
          <w:spacing w:val="-1"/>
          <w:sz w:val="20"/>
        </w:rPr>
        <w:t> </w:t>
      </w:r>
      <w:r>
        <w:rPr>
          <w:sz w:val="20"/>
        </w:rPr>
        <w:t>que</w:t>
      </w:r>
      <w:r>
        <w:rPr>
          <w:spacing w:val="-1"/>
          <w:sz w:val="20"/>
        </w:rPr>
        <w:t> </w:t>
      </w:r>
      <w:r>
        <w:rPr>
          <w:sz w:val="20"/>
        </w:rPr>
        <w:t>deba propiciarse</w:t>
      </w:r>
      <w:r>
        <w:rPr>
          <w:spacing w:val="-1"/>
          <w:sz w:val="20"/>
        </w:rPr>
        <w:t> </w:t>
      </w:r>
      <w:r>
        <w:rPr>
          <w:sz w:val="20"/>
        </w:rPr>
        <w:t>la</w:t>
      </w:r>
      <w:r>
        <w:rPr>
          <w:spacing w:val="-1"/>
          <w:sz w:val="20"/>
        </w:rPr>
        <w:t> </w:t>
      </w:r>
      <w:r>
        <w:rPr>
          <w:sz w:val="20"/>
        </w:rPr>
        <w:t>seguridad, resiliencia e inclusión en la red que se genere con las mismas;</w:t>
      </w:r>
    </w:p>
    <w:p>
      <w:pPr>
        <w:pStyle w:val="BodyText"/>
        <w:spacing w:before="2"/>
      </w:pPr>
    </w:p>
    <w:p>
      <w:pPr>
        <w:pStyle w:val="ListParagraph"/>
        <w:numPr>
          <w:ilvl w:val="0"/>
          <w:numId w:val="70"/>
        </w:numPr>
        <w:tabs>
          <w:tab w:pos="828" w:val="left" w:leader="none"/>
        </w:tabs>
        <w:spacing w:line="240" w:lineRule="auto" w:before="1" w:after="0"/>
        <w:ind w:left="828" w:right="0" w:hanging="566"/>
        <w:jc w:val="left"/>
        <w:rPr>
          <w:sz w:val="20"/>
        </w:rPr>
      </w:pPr>
      <w:r>
        <w:rPr>
          <w:sz w:val="20"/>
        </w:rPr>
        <w:t>La</w:t>
      </w:r>
      <w:r>
        <w:rPr>
          <w:spacing w:val="-7"/>
          <w:sz w:val="20"/>
        </w:rPr>
        <w:t> </w:t>
      </w:r>
      <w:r>
        <w:rPr>
          <w:sz w:val="20"/>
        </w:rPr>
        <w:t>distancia</w:t>
      </w:r>
      <w:r>
        <w:rPr>
          <w:spacing w:val="-5"/>
          <w:sz w:val="20"/>
        </w:rPr>
        <w:t> </w:t>
      </w:r>
      <w:r>
        <w:rPr>
          <w:sz w:val="20"/>
        </w:rPr>
        <w:t>máxima</w:t>
      </w:r>
      <w:r>
        <w:rPr>
          <w:spacing w:val="-5"/>
          <w:sz w:val="20"/>
        </w:rPr>
        <w:t> </w:t>
      </w:r>
      <w:r>
        <w:rPr>
          <w:sz w:val="20"/>
        </w:rPr>
        <w:t>entre</w:t>
      </w:r>
      <w:r>
        <w:rPr>
          <w:spacing w:val="-4"/>
          <w:sz w:val="20"/>
        </w:rPr>
        <w:t> </w:t>
      </w:r>
      <w:r>
        <w:rPr>
          <w:sz w:val="20"/>
        </w:rPr>
        <w:t>un</w:t>
      </w:r>
      <w:r>
        <w:rPr>
          <w:spacing w:val="-6"/>
          <w:sz w:val="20"/>
        </w:rPr>
        <w:t> </w:t>
      </w:r>
      <w:r>
        <w:rPr>
          <w:sz w:val="20"/>
        </w:rPr>
        <w:t>andador</w:t>
      </w:r>
      <w:r>
        <w:rPr>
          <w:spacing w:val="-5"/>
          <w:sz w:val="20"/>
        </w:rPr>
        <w:t> </w:t>
      </w:r>
      <w:r>
        <w:rPr>
          <w:sz w:val="20"/>
        </w:rPr>
        <w:t>y</w:t>
      </w:r>
      <w:r>
        <w:rPr>
          <w:spacing w:val="-4"/>
          <w:sz w:val="20"/>
        </w:rPr>
        <w:t> </w:t>
      </w:r>
      <w:r>
        <w:rPr>
          <w:sz w:val="20"/>
        </w:rPr>
        <w:t>la</w:t>
      </w:r>
      <w:r>
        <w:rPr>
          <w:spacing w:val="-5"/>
          <w:sz w:val="20"/>
        </w:rPr>
        <w:t> </w:t>
      </w:r>
      <w:r>
        <w:rPr>
          <w:sz w:val="20"/>
        </w:rPr>
        <w:t>vialidad</w:t>
      </w:r>
      <w:r>
        <w:rPr>
          <w:spacing w:val="-4"/>
          <w:sz w:val="20"/>
        </w:rPr>
        <w:t> </w:t>
      </w:r>
      <w:r>
        <w:rPr>
          <w:sz w:val="20"/>
        </w:rPr>
        <w:t>más</w:t>
      </w:r>
      <w:r>
        <w:rPr>
          <w:spacing w:val="-4"/>
          <w:sz w:val="20"/>
        </w:rPr>
        <w:t> </w:t>
      </w:r>
      <w:r>
        <w:rPr>
          <w:sz w:val="20"/>
        </w:rPr>
        <w:t>cercana</w:t>
      </w:r>
      <w:r>
        <w:rPr>
          <w:spacing w:val="-6"/>
          <w:sz w:val="20"/>
        </w:rPr>
        <w:t> </w:t>
      </w:r>
      <w:r>
        <w:rPr>
          <w:sz w:val="20"/>
        </w:rPr>
        <w:t>y</w:t>
      </w:r>
      <w:r>
        <w:rPr>
          <w:spacing w:val="-4"/>
          <w:sz w:val="20"/>
        </w:rPr>
        <w:t> </w:t>
      </w:r>
      <w:r>
        <w:rPr>
          <w:sz w:val="20"/>
        </w:rPr>
        <w:t>el</w:t>
      </w:r>
      <w:r>
        <w:rPr>
          <w:spacing w:val="-5"/>
          <w:sz w:val="20"/>
        </w:rPr>
        <w:t> </w:t>
      </w:r>
      <w:r>
        <w:rPr>
          <w:sz w:val="20"/>
        </w:rPr>
        <w:t>lote</w:t>
      </w:r>
      <w:r>
        <w:rPr>
          <w:spacing w:val="-5"/>
          <w:sz w:val="20"/>
        </w:rPr>
        <w:t> </w:t>
      </w:r>
      <w:r>
        <w:rPr>
          <w:sz w:val="20"/>
        </w:rPr>
        <w:t>al</w:t>
      </w:r>
      <w:r>
        <w:rPr>
          <w:spacing w:val="-6"/>
          <w:sz w:val="20"/>
        </w:rPr>
        <w:t> </w:t>
      </w:r>
      <w:r>
        <w:rPr>
          <w:sz w:val="20"/>
        </w:rPr>
        <w:t>que</w:t>
      </w:r>
      <w:r>
        <w:rPr>
          <w:spacing w:val="-6"/>
          <w:sz w:val="20"/>
        </w:rPr>
        <w:t> </w:t>
      </w:r>
      <w:r>
        <w:rPr>
          <w:sz w:val="20"/>
        </w:rPr>
        <w:t>se</w:t>
      </w:r>
      <w:r>
        <w:rPr>
          <w:spacing w:val="-6"/>
          <w:sz w:val="20"/>
        </w:rPr>
        <w:t> </w:t>
      </w:r>
      <w:r>
        <w:rPr>
          <w:spacing w:val="-2"/>
          <w:sz w:val="20"/>
        </w:rPr>
        <w:t>accede;</w:t>
      </w:r>
    </w:p>
    <w:p>
      <w:pPr>
        <w:pStyle w:val="ListParagraph"/>
        <w:numPr>
          <w:ilvl w:val="0"/>
          <w:numId w:val="70"/>
        </w:numPr>
        <w:tabs>
          <w:tab w:pos="828" w:val="left" w:leader="none"/>
        </w:tabs>
        <w:spacing w:line="240" w:lineRule="auto" w:before="220" w:after="0"/>
        <w:ind w:left="828" w:right="0" w:hanging="566"/>
        <w:jc w:val="left"/>
        <w:rPr>
          <w:sz w:val="20"/>
        </w:rPr>
      </w:pPr>
      <w:r>
        <w:rPr>
          <w:sz w:val="20"/>
        </w:rPr>
        <w:t>La</w:t>
      </w:r>
      <w:r>
        <w:rPr>
          <w:spacing w:val="-8"/>
          <w:sz w:val="20"/>
        </w:rPr>
        <w:t> </w:t>
      </w:r>
      <w:r>
        <w:rPr>
          <w:sz w:val="20"/>
        </w:rPr>
        <w:t>distancia</w:t>
      </w:r>
      <w:r>
        <w:rPr>
          <w:spacing w:val="-6"/>
          <w:sz w:val="20"/>
        </w:rPr>
        <w:t> </w:t>
      </w:r>
      <w:r>
        <w:rPr>
          <w:sz w:val="20"/>
        </w:rPr>
        <w:t>máxima</w:t>
      </w:r>
      <w:r>
        <w:rPr>
          <w:spacing w:val="-7"/>
          <w:sz w:val="20"/>
        </w:rPr>
        <w:t> </w:t>
      </w:r>
      <w:r>
        <w:rPr>
          <w:sz w:val="20"/>
        </w:rPr>
        <w:t>entre</w:t>
      </w:r>
      <w:r>
        <w:rPr>
          <w:spacing w:val="-5"/>
          <w:sz w:val="20"/>
        </w:rPr>
        <w:t> </w:t>
      </w:r>
      <w:r>
        <w:rPr>
          <w:sz w:val="20"/>
        </w:rPr>
        <w:t>un</w:t>
      </w:r>
      <w:r>
        <w:rPr>
          <w:spacing w:val="-7"/>
          <w:sz w:val="20"/>
        </w:rPr>
        <w:t> </w:t>
      </w:r>
      <w:r>
        <w:rPr>
          <w:sz w:val="20"/>
        </w:rPr>
        <w:t>estacionamiento</w:t>
      </w:r>
      <w:r>
        <w:rPr>
          <w:spacing w:val="-7"/>
          <w:sz w:val="20"/>
        </w:rPr>
        <w:t> </w:t>
      </w:r>
      <w:r>
        <w:rPr>
          <w:sz w:val="20"/>
        </w:rPr>
        <w:t>colectivo</w:t>
      </w:r>
      <w:r>
        <w:rPr>
          <w:spacing w:val="-6"/>
          <w:sz w:val="20"/>
        </w:rPr>
        <w:t> </w:t>
      </w:r>
      <w:r>
        <w:rPr>
          <w:sz w:val="20"/>
        </w:rPr>
        <w:t>y</w:t>
      </w:r>
      <w:r>
        <w:rPr>
          <w:spacing w:val="-6"/>
          <w:sz w:val="20"/>
        </w:rPr>
        <w:t> </w:t>
      </w:r>
      <w:r>
        <w:rPr>
          <w:sz w:val="20"/>
        </w:rPr>
        <w:t>el</w:t>
      </w:r>
      <w:r>
        <w:rPr>
          <w:spacing w:val="-5"/>
          <w:sz w:val="20"/>
        </w:rPr>
        <w:t> </w:t>
      </w:r>
      <w:r>
        <w:rPr>
          <w:sz w:val="20"/>
        </w:rPr>
        <w:t>lote</w:t>
      </w:r>
      <w:r>
        <w:rPr>
          <w:spacing w:val="-5"/>
          <w:sz w:val="20"/>
        </w:rPr>
        <w:t> </w:t>
      </w:r>
      <w:r>
        <w:rPr>
          <w:sz w:val="20"/>
        </w:rPr>
        <w:t>al</w:t>
      </w:r>
      <w:r>
        <w:rPr>
          <w:spacing w:val="-6"/>
          <w:sz w:val="20"/>
        </w:rPr>
        <w:t> </w:t>
      </w:r>
      <w:r>
        <w:rPr>
          <w:sz w:val="20"/>
        </w:rPr>
        <w:t>que</w:t>
      </w:r>
      <w:r>
        <w:rPr>
          <w:spacing w:val="-6"/>
          <w:sz w:val="20"/>
        </w:rPr>
        <w:t> </w:t>
      </w:r>
      <w:r>
        <w:rPr>
          <w:sz w:val="20"/>
        </w:rPr>
        <w:t>se</w:t>
      </w:r>
      <w:r>
        <w:rPr>
          <w:spacing w:val="-7"/>
          <w:sz w:val="20"/>
        </w:rPr>
        <w:t> </w:t>
      </w:r>
      <w:r>
        <w:rPr>
          <w:spacing w:val="-2"/>
          <w:sz w:val="20"/>
        </w:rPr>
        <w:t>accede;</w:t>
      </w:r>
    </w:p>
    <w:p>
      <w:pPr>
        <w:pStyle w:val="ListParagraph"/>
        <w:numPr>
          <w:ilvl w:val="0"/>
          <w:numId w:val="70"/>
        </w:numPr>
        <w:tabs>
          <w:tab w:pos="828" w:val="left" w:leader="none"/>
        </w:tabs>
        <w:spacing w:line="240" w:lineRule="auto" w:before="221" w:after="0"/>
        <w:ind w:left="828" w:right="0" w:hanging="566"/>
        <w:jc w:val="left"/>
        <w:rPr>
          <w:sz w:val="20"/>
        </w:rPr>
      </w:pPr>
      <w:r>
        <w:rPr>
          <w:sz w:val="20"/>
        </w:rPr>
        <w:t>Los</w:t>
      </w:r>
      <w:r>
        <w:rPr>
          <w:spacing w:val="-5"/>
          <w:sz w:val="20"/>
        </w:rPr>
        <w:t> </w:t>
      </w:r>
      <w:r>
        <w:rPr>
          <w:sz w:val="20"/>
        </w:rPr>
        <w:t>retornos</w:t>
      </w:r>
      <w:r>
        <w:rPr>
          <w:spacing w:val="-5"/>
          <w:sz w:val="20"/>
        </w:rPr>
        <w:t> </w:t>
      </w:r>
      <w:r>
        <w:rPr>
          <w:sz w:val="20"/>
        </w:rPr>
        <w:t>con</w:t>
      </w:r>
      <w:r>
        <w:rPr>
          <w:spacing w:val="-7"/>
          <w:sz w:val="20"/>
        </w:rPr>
        <w:t> </w:t>
      </w:r>
      <w:r>
        <w:rPr>
          <w:sz w:val="20"/>
        </w:rPr>
        <w:t>que</w:t>
      </w:r>
      <w:r>
        <w:rPr>
          <w:spacing w:val="-6"/>
          <w:sz w:val="20"/>
        </w:rPr>
        <w:t> </w:t>
      </w:r>
      <w:r>
        <w:rPr>
          <w:sz w:val="20"/>
        </w:rPr>
        <w:t>deberán</w:t>
      </w:r>
      <w:r>
        <w:rPr>
          <w:spacing w:val="-6"/>
          <w:sz w:val="20"/>
        </w:rPr>
        <w:t> </w:t>
      </w:r>
      <w:r>
        <w:rPr>
          <w:sz w:val="20"/>
        </w:rPr>
        <w:t>contar</w:t>
      </w:r>
      <w:r>
        <w:rPr>
          <w:spacing w:val="-6"/>
          <w:sz w:val="20"/>
        </w:rPr>
        <w:t> </w:t>
      </w:r>
      <w:r>
        <w:rPr>
          <w:sz w:val="20"/>
        </w:rPr>
        <w:t>las</w:t>
      </w:r>
      <w:r>
        <w:rPr>
          <w:spacing w:val="-4"/>
          <w:sz w:val="20"/>
        </w:rPr>
        <w:t> </w:t>
      </w:r>
      <w:r>
        <w:rPr>
          <w:sz w:val="20"/>
        </w:rPr>
        <w:t>vías</w:t>
      </w:r>
      <w:r>
        <w:rPr>
          <w:spacing w:val="-5"/>
          <w:sz w:val="20"/>
        </w:rPr>
        <w:t> </w:t>
      </w:r>
      <w:r>
        <w:rPr>
          <w:sz w:val="20"/>
        </w:rPr>
        <w:t>y</w:t>
      </w:r>
      <w:r>
        <w:rPr>
          <w:spacing w:val="-5"/>
          <w:sz w:val="20"/>
        </w:rPr>
        <w:t> </w:t>
      </w:r>
      <w:r>
        <w:rPr>
          <w:sz w:val="20"/>
        </w:rPr>
        <w:t>su</w:t>
      </w:r>
      <w:r>
        <w:rPr>
          <w:spacing w:val="-4"/>
          <w:sz w:val="20"/>
        </w:rPr>
        <w:t> </w:t>
      </w:r>
      <w:r>
        <w:rPr>
          <w:spacing w:val="-2"/>
          <w:sz w:val="20"/>
        </w:rPr>
        <w:t>diámetro;</w:t>
      </w:r>
    </w:p>
    <w:p>
      <w:pPr>
        <w:pStyle w:val="BodyText"/>
        <w:spacing w:before="3"/>
      </w:pPr>
    </w:p>
    <w:p>
      <w:pPr>
        <w:pStyle w:val="ListParagraph"/>
        <w:numPr>
          <w:ilvl w:val="0"/>
          <w:numId w:val="70"/>
        </w:numPr>
        <w:tabs>
          <w:tab w:pos="687" w:val="left" w:leader="none"/>
        </w:tabs>
        <w:spacing w:line="230" w:lineRule="auto" w:before="0" w:after="0"/>
        <w:ind w:left="262" w:right="282" w:firstLine="0"/>
        <w:jc w:val="both"/>
        <w:rPr>
          <w:sz w:val="20"/>
        </w:rPr>
      </w:pPr>
      <w:r>
        <w:rPr>
          <w:sz w:val="20"/>
        </w:rPr>
        <w:t>Las pendientes máximas para las vías primarias, secundarias, colectoras, de acceso local y </w:t>
      </w:r>
      <w:r>
        <w:rPr>
          <w:spacing w:val="-2"/>
          <w:sz w:val="20"/>
        </w:rPr>
        <w:t>ciclovías;</w:t>
      </w:r>
    </w:p>
    <w:p>
      <w:pPr>
        <w:pStyle w:val="BodyText"/>
        <w:spacing w:before="2"/>
      </w:pPr>
    </w:p>
    <w:p>
      <w:pPr>
        <w:pStyle w:val="ListParagraph"/>
        <w:numPr>
          <w:ilvl w:val="0"/>
          <w:numId w:val="70"/>
        </w:numPr>
        <w:tabs>
          <w:tab w:pos="826" w:val="left" w:leader="none"/>
        </w:tabs>
        <w:spacing w:line="240" w:lineRule="auto" w:before="1" w:after="0"/>
        <w:ind w:left="826" w:right="0" w:hanging="564"/>
        <w:jc w:val="left"/>
        <w:rPr>
          <w:sz w:val="20"/>
        </w:rPr>
      </w:pPr>
      <w:r>
        <w:rPr>
          <w:sz w:val="20"/>
        </w:rPr>
        <w:t>Los</w:t>
      </w:r>
      <w:r>
        <w:rPr>
          <w:spacing w:val="-7"/>
          <w:sz w:val="20"/>
        </w:rPr>
        <w:t> </w:t>
      </w:r>
      <w:r>
        <w:rPr>
          <w:sz w:val="20"/>
        </w:rPr>
        <w:t>radios</w:t>
      </w:r>
      <w:r>
        <w:rPr>
          <w:spacing w:val="-6"/>
          <w:sz w:val="20"/>
        </w:rPr>
        <w:t> </w:t>
      </w:r>
      <w:r>
        <w:rPr>
          <w:sz w:val="20"/>
        </w:rPr>
        <w:t>de</w:t>
      </w:r>
      <w:r>
        <w:rPr>
          <w:spacing w:val="-6"/>
          <w:sz w:val="20"/>
        </w:rPr>
        <w:t> </w:t>
      </w:r>
      <w:r>
        <w:rPr>
          <w:sz w:val="20"/>
        </w:rPr>
        <w:t>giro</w:t>
      </w:r>
      <w:r>
        <w:rPr>
          <w:spacing w:val="-5"/>
          <w:sz w:val="20"/>
        </w:rPr>
        <w:t> </w:t>
      </w:r>
      <w:r>
        <w:rPr>
          <w:sz w:val="20"/>
        </w:rPr>
        <w:t>para</w:t>
      </w:r>
      <w:r>
        <w:rPr>
          <w:spacing w:val="-6"/>
          <w:sz w:val="20"/>
        </w:rPr>
        <w:t> </w:t>
      </w:r>
      <w:r>
        <w:rPr>
          <w:sz w:val="20"/>
        </w:rPr>
        <w:t>vías</w:t>
      </w:r>
      <w:r>
        <w:rPr>
          <w:spacing w:val="-6"/>
          <w:sz w:val="20"/>
        </w:rPr>
        <w:t> </w:t>
      </w:r>
      <w:r>
        <w:rPr>
          <w:sz w:val="20"/>
        </w:rPr>
        <w:t>primarias,</w:t>
      </w:r>
      <w:r>
        <w:rPr>
          <w:spacing w:val="-7"/>
          <w:sz w:val="20"/>
        </w:rPr>
        <w:t> </w:t>
      </w:r>
      <w:r>
        <w:rPr>
          <w:sz w:val="20"/>
        </w:rPr>
        <w:t>secundarias,</w:t>
      </w:r>
      <w:r>
        <w:rPr>
          <w:spacing w:val="-8"/>
          <w:sz w:val="20"/>
        </w:rPr>
        <w:t> </w:t>
      </w:r>
      <w:r>
        <w:rPr>
          <w:sz w:val="20"/>
        </w:rPr>
        <w:t>colectoras,</w:t>
      </w:r>
      <w:r>
        <w:rPr>
          <w:spacing w:val="-5"/>
          <w:sz w:val="20"/>
        </w:rPr>
        <w:t> </w:t>
      </w:r>
      <w:r>
        <w:rPr>
          <w:sz w:val="20"/>
        </w:rPr>
        <w:t>de</w:t>
      </w:r>
      <w:r>
        <w:rPr>
          <w:spacing w:val="-7"/>
          <w:sz w:val="20"/>
        </w:rPr>
        <w:t> </w:t>
      </w:r>
      <w:r>
        <w:rPr>
          <w:sz w:val="20"/>
        </w:rPr>
        <w:t>acceso</w:t>
      </w:r>
      <w:r>
        <w:rPr>
          <w:spacing w:val="-7"/>
          <w:sz w:val="20"/>
        </w:rPr>
        <w:t> </w:t>
      </w:r>
      <w:r>
        <w:rPr>
          <w:sz w:val="20"/>
        </w:rPr>
        <w:t>local</w:t>
      </w:r>
      <w:r>
        <w:rPr>
          <w:spacing w:val="-6"/>
          <w:sz w:val="20"/>
        </w:rPr>
        <w:t> </w:t>
      </w:r>
      <w:r>
        <w:rPr>
          <w:sz w:val="20"/>
        </w:rPr>
        <w:t>y</w:t>
      </w:r>
      <w:r>
        <w:rPr>
          <w:spacing w:val="-7"/>
          <w:sz w:val="20"/>
        </w:rPr>
        <w:t> </w:t>
      </w:r>
      <w:r>
        <w:rPr>
          <w:sz w:val="20"/>
        </w:rPr>
        <w:t>ciclo</w:t>
      </w:r>
      <w:r>
        <w:rPr>
          <w:spacing w:val="-7"/>
          <w:sz w:val="20"/>
        </w:rPr>
        <w:t> </w:t>
      </w:r>
      <w:r>
        <w:rPr>
          <w:spacing w:val="-2"/>
          <w:sz w:val="20"/>
        </w:rPr>
        <w:t>vías;</w:t>
      </w:r>
    </w:p>
    <w:p>
      <w:pPr>
        <w:pStyle w:val="ListParagraph"/>
        <w:numPr>
          <w:ilvl w:val="0"/>
          <w:numId w:val="70"/>
        </w:numPr>
        <w:tabs>
          <w:tab w:pos="826" w:val="left" w:leader="none"/>
        </w:tabs>
        <w:spacing w:line="230" w:lineRule="auto" w:before="229" w:after="0"/>
        <w:ind w:left="262" w:right="288" w:firstLine="0"/>
        <w:jc w:val="both"/>
        <w:rPr>
          <w:sz w:val="20"/>
        </w:rPr>
      </w:pPr>
      <w:r>
        <w:rPr>
          <w:sz w:val="20"/>
        </w:rPr>
        <w:t>Los</w:t>
      </w:r>
      <w:r>
        <w:rPr>
          <w:spacing w:val="-1"/>
          <w:sz w:val="20"/>
        </w:rPr>
        <w:t> </w:t>
      </w:r>
      <w:r>
        <w:rPr>
          <w:sz w:val="20"/>
        </w:rPr>
        <w:t>cruces</w:t>
      </w:r>
      <w:r>
        <w:rPr>
          <w:spacing w:val="-1"/>
          <w:sz w:val="20"/>
        </w:rPr>
        <w:t> </w:t>
      </w:r>
      <w:r>
        <w:rPr>
          <w:sz w:val="20"/>
        </w:rPr>
        <w:t>peatonales</w:t>
      </w:r>
      <w:r>
        <w:rPr>
          <w:spacing w:val="-1"/>
          <w:sz w:val="20"/>
        </w:rPr>
        <w:t> </w:t>
      </w:r>
      <w:r>
        <w:rPr>
          <w:sz w:val="20"/>
        </w:rPr>
        <w:t>y</w:t>
      </w:r>
      <w:r>
        <w:rPr>
          <w:spacing w:val="-1"/>
          <w:sz w:val="20"/>
        </w:rPr>
        <w:t> </w:t>
      </w:r>
      <w:r>
        <w:rPr>
          <w:sz w:val="20"/>
        </w:rPr>
        <w:t>los</w:t>
      </w:r>
      <w:r>
        <w:rPr>
          <w:spacing w:val="-1"/>
          <w:sz w:val="20"/>
        </w:rPr>
        <w:t> </w:t>
      </w:r>
      <w:r>
        <w:rPr>
          <w:sz w:val="20"/>
        </w:rPr>
        <w:t>elementos</w:t>
      </w:r>
      <w:r>
        <w:rPr>
          <w:spacing w:val="-1"/>
          <w:sz w:val="20"/>
        </w:rPr>
        <w:t> </w:t>
      </w:r>
      <w:r>
        <w:rPr>
          <w:sz w:val="20"/>
        </w:rPr>
        <w:t>de</w:t>
      </w:r>
      <w:r>
        <w:rPr>
          <w:spacing w:val="-3"/>
          <w:sz w:val="20"/>
        </w:rPr>
        <w:t> </w:t>
      </w:r>
      <w:r>
        <w:rPr>
          <w:sz w:val="20"/>
        </w:rPr>
        <w:t>control</w:t>
      </w:r>
      <w:r>
        <w:rPr>
          <w:spacing w:val="-3"/>
          <w:sz w:val="20"/>
        </w:rPr>
        <w:t> </w:t>
      </w:r>
      <w:r>
        <w:rPr>
          <w:sz w:val="20"/>
        </w:rPr>
        <w:t>de velocidad, las intersecciones</w:t>
      </w:r>
      <w:r>
        <w:rPr>
          <w:spacing w:val="-1"/>
          <w:sz w:val="20"/>
        </w:rPr>
        <w:t> </w:t>
      </w:r>
      <w:r>
        <w:rPr>
          <w:sz w:val="20"/>
        </w:rPr>
        <w:t>a</w:t>
      </w:r>
      <w:r>
        <w:rPr>
          <w:spacing w:val="-2"/>
          <w:sz w:val="20"/>
        </w:rPr>
        <w:t> </w:t>
      </w:r>
      <w:r>
        <w:rPr>
          <w:sz w:val="20"/>
        </w:rPr>
        <w:t>nivel</w:t>
      </w:r>
      <w:r>
        <w:rPr>
          <w:spacing w:val="-3"/>
          <w:sz w:val="20"/>
        </w:rPr>
        <w:t> </w:t>
      </w:r>
      <w:r>
        <w:rPr>
          <w:sz w:val="20"/>
        </w:rPr>
        <w:t>y</w:t>
      </w:r>
      <w:r>
        <w:rPr>
          <w:spacing w:val="-1"/>
          <w:sz w:val="20"/>
        </w:rPr>
        <w:t> </w:t>
      </w:r>
      <w:r>
        <w:rPr>
          <w:sz w:val="20"/>
        </w:rPr>
        <w:t>a </w:t>
      </w:r>
      <w:r>
        <w:rPr>
          <w:spacing w:val="-2"/>
          <w:sz w:val="20"/>
        </w:rPr>
        <w:t>desnivel;</w:t>
      </w:r>
    </w:p>
    <w:p>
      <w:pPr>
        <w:pStyle w:val="BodyText"/>
        <w:spacing w:before="3"/>
      </w:pPr>
    </w:p>
    <w:p>
      <w:pPr>
        <w:pStyle w:val="ListParagraph"/>
        <w:numPr>
          <w:ilvl w:val="0"/>
          <w:numId w:val="70"/>
        </w:numPr>
        <w:tabs>
          <w:tab w:pos="883" w:val="left" w:leader="none"/>
        </w:tabs>
        <w:spacing w:line="240" w:lineRule="auto" w:before="0" w:after="0"/>
        <w:ind w:left="883" w:right="0" w:hanging="621"/>
        <w:jc w:val="left"/>
        <w:rPr>
          <w:sz w:val="20"/>
        </w:rPr>
      </w:pPr>
      <w:r>
        <w:rPr>
          <w:spacing w:val="-2"/>
          <w:sz w:val="20"/>
        </w:rPr>
        <w:t>La</w:t>
      </w:r>
      <w:r>
        <w:rPr>
          <w:spacing w:val="-10"/>
          <w:sz w:val="20"/>
        </w:rPr>
        <w:t> </w:t>
      </w:r>
      <w:r>
        <w:rPr>
          <w:spacing w:val="-2"/>
          <w:sz w:val="20"/>
        </w:rPr>
        <w:t>determinación</w:t>
      </w:r>
      <w:r>
        <w:rPr>
          <w:spacing w:val="-12"/>
          <w:sz w:val="20"/>
        </w:rPr>
        <w:t> </w:t>
      </w:r>
      <w:r>
        <w:rPr>
          <w:spacing w:val="-2"/>
          <w:sz w:val="20"/>
        </w:rPr>
        <w:t>de</w:t>
      </w:r>
      <w:r>
        <w:rPr>
          <w:spacing w:val="-9"/>
          <w:sz w:val="20"/>
        </w:rPr>
        <w:t> </w:t>
      </w:r>
      <w:r>
        <w:rPr>
          <w:spacing w:val="-2"/>
          <w:sz w:val="20"/>
        </w:rPr>
        <w:t>los</w:t>
      </w:r>
      <w:r>
        <w:rPr>
          <w:spacing w:val="-11"/>
          <w:sz w:val="20"/>
        </w:rPr>
        <w:t> </w:t>
      </w:r>
      <w:r>
        <w:rPr>
          <w:spacing w:val="-2"/>
          <w:sz w:val="20"/>
        </w:rPr>
        <w:t>accesos</w:t>
      </w:r>
      <w:r>
        <w:rPr>
          <w:spacing w:val="-11"/>
          <w:sz w:val="20"/>
        </w:rPr>
        <w:t> </w:t>
      </w:r>
      <w:r>
        <w:rPr>
          <w:spacing w:val="-2"/>
          <w:sz w:val="20"/>
        </w:rPr>
        <w:t>de</w:t>
      </w:r>
      <w:r>
        <w:rPr>
          <w:spacing w:val="-12"/>
          <w:sz w:val="20"/>
        </w:rPr>
        <w:t> </w:t>
      </w:r>
      <w:r>
        <w:rPr>
          <w:spacing w:val="-2"/>
          <w:sz w:val="20"/>
        </w:rPr>
        <w:t>carga</w:t>
      </w:r>
      <w:r>
        <w:rPr>
          <w:spacing w:val="-12"/>
          <w:sz w:val="20"/>
        </w:rPr>
        <w:t> </w:t>
      </w:r>
      <w:r>
        <w:rPr>
          <w:spacing w:val="-2"/>
          <w:sz w:val="20"/>
        </w:rPr>
        <w:t>y</w:t>
      </w:r>
      <w:r>
        <w:rPr>
          <w:spacing w:val="-10"/>
          <w:sz w:val="20"/>
        </w:rPr>
        <w:t> </w:t>
      </w:r>
      <w:r>
        <w:rPr>
          <w:spacing w:val="-2"/>
          <w:sz w:val="20"/>
        </w:rPr>
        <w:t>descarga</w:t>
      </w:r>
      <w:r>
        <w:rPr>
          <w:spacing w:val="-9"/>
          <w:sz w:val="20"/>
        </w:rPr>
        <w:t> </w:t>
      </w:r>
      <w:r>
        <w:rPr>
          <w:spacing w:val="-2"/>
          <w:sz w:val="20"/>
        </w:rPr>
        <w:t>de</w:t>
      </w:r>
      <w:r>
        <w:rPr>
          <w:spacing w:val="-10"/>
          <w:sz w:val="20"/>
        </w:rPr>
        <w:t> </w:t>
      </w:r>
      <w:r>
        <w:rPr>
          <w:spacing w:val="-2"/>
          <w:sz w:val="20"/>
        </w:rPr>
        <w:t>las</w:t>
      </w:r>
      <w:r>
        <w:rPr>
          <w:spacing w:val="-11"/>
          <w:sz w:val="20"/>
        </w:rPr>
        <w:t> </w:t>
      </w:r>
      <w:r>
        <w:rPr>
          <w:spacing w:val="-2"/>
          <w:sz w:val="20"/>
        </w:rPr>
        <w:t>zonas</w:t>
      </w:r>
      <w:r>
        <w:rPr>
          <w:spacing w:val="-11"/>
          <w:sz w:val="20"/>
        </w:rPr>
        <w:t> </w:t>
      </w:r>
      <w:r>
        <w:rPr>
          <w:spacing w:val="-2"/>
          <w:sz w:val="20"/>
        </w:rPr>
        <w:t>comerciales</w:t>
      </w:r>
      <w:r>
        <w:rPr>
          <w:spacing w:val="-11"/>
          <w:sz w:val="20"/>
        </w:rPr>
        <w:t> </w:t>
      </w:r>
      <w:r>
        <w:rPr>
          <w:spacing w:val="-2"/>
          <w:sz w:val="20"/>
        </w:rPr>
        <w:t>y</w:t>
      </w:r>
      <w:r>
        <w:rPr>
          <w:spacing w:val="-8"/>
          <w:sz w:val="20"/>
        </w:rPr>
        <w:t> </w:t>
      </w:r>
      <w:r>
        <w:rPr>
          <w:spacing w:val="-2"/>
          <w:sz w:val="20"/>
        </w:rPr>
        <w:t>de</w:t>
      </w:r>
      <w:r>
        <w:rPr>
          <w:spacing w:val="-12"/>
          <w:sz w:val="20"/>
        </w:rPr>
        <w:t> </w:t>
      </w:r>
      <w:r>
        <w:rPr>
          <w:spacing w:val="-2"/>
          <w:sz w:val="20"/>
        </w:rPr>
        <w:t>servicios;</w:t>
      </w:r>
    </w:p>
    <w:p>
      <w:pPr>
        <w:pStyle w:val="ListParagraph"/>
        <w:numPr>
          <w:ilvl w:val="0"/>
          <w:numId w:val="70"/>
        </w:numPr>
        <w:tabs>
          <w:tab w:pos="826" w:val="left" w:leader="none"/>
        </w:tabs>
        <w:spacing w:line="240" w:lineRule="auto" w:before="223" w:after="0"/>
        <w:ind w:left="826" w:right="0" w:hanging="564"/>
        <w:jc w:val="left"/>
        <w:rPr>
          <w:sz w:val="20"/>
        </w:rPr>
      </w:pPr>
      <w:r>
        <w:rPr>
          <w:sz w:val="20"/>
        </w:rPr>
        <w:t>Los</w:t>
      </w:r>
      <w:r>
        <w:rPr>
          <w:spacing w:val="-7"/>
          <w:sz w:val="20"/>
        </w:rPr>
        <w:t> </w:t>
      </w:r>
      <w:r>
        <w:rPr>
          <w:sz w:val="20"/>
        </w:rPr>
        <w:t>anchos</w:t>
      </w:r>
      <w:r>
        <w:rPr>
          <w:spacing w:val="-6"/>
          <w:sz w:val="20"/>
        </w:rPr>
        <w:t> </w:t>
      </w:r>
      <w:r>
        <w:rPr>
          <w:sz w:val="20"/>
        </w:rPr>
        <w:t>de</w:t>
      </w:r>
      <w:r>
        <w:rPr>
          <w:spacing w:val="-7"/>
          <w:sz w:val="20"/>
        </w:rPr>
        <w:t> </w:t>
      </w:r>
      <w:r>
        <w:rPr>
          <w:sz w:val="20"/>
        </w:rPr>
        <w:t>las</w:t>
      </w:r>
      <w:r>
        <w:rPr>
          <w:spacing w:val="-7"/>
          <w:sz w:val="20"/>
        </w:rPr>
        <w:t> </w:t>
      </w:r>
      <w:r>
        <w:rPr>
          <w:sz w:val="20"/>
        </w:rPr>
        <w:t>vías</w:t>
      </w:r>
      <w:r>
        <w:rPr>
          <w:spacing w:val="-6"/>
          <w:sz w:val="20"/>
        </w:rPr>
        <w:t> </w:t>
      </w:r>
      <w:r>
        <w:rPr>
          <w:sz w:val="20"/>
        </w:rPr>
        <w:t>proyectadas</w:t>
      </w:r>
      <w:r>
        <w:rPr>
          <w:spacing w:val="-7"/>
          <w:sz w:val="20"/>
        </w:rPr>
        <w:t> </w:t>
      </w:r>
      <w:r>
        <w:rPr>
          <w:sz w:val="20"/>
        </w:rPr>
        <w:t>como</w:t>
      </w:r>
      <w:r>
        <w:rPr>
          <w:spacing w:val="-7"/>
          <w:sz w:val="20"/>
        </w:rPr>
        <w:t> </w:t>
      </w:r>
      <w:r>
        <w:rPr>
          <w:sz w:val="20"/>
        </w:rPr>
        <w:t>prolongaciones</w:t>
      </w:r>
      <w:r>
        <w:rPr>
          <w:spacing w:val="-6"/>
          <w:sz w:val="20"/>
        </w:rPr>
        <w:t> </w:t>
      </w:r>
      <w:r>
        <w:rPr>
          <w:sz w:val="20"/>
        </w:rPr>
        <w:t>de</w:t>
      </w:r>
      <w:r>
        <w:rPr>
          <w:spacing w:val="-7"/>
          <w:sz w:val="20"/>
        </w:rPr>
        <w:t> </w:t>
      </w:r>
      <w:r>
        <w:rPr>
          <w:sz w:val="20"/>
        </w:rPr>
        <w:t>una</w:t>
      </w:r>
      <w:r>
        <w:rPr>
          <w:spacing w:val="-6"/>
          <w:sz w:val="20"/>
        </w:rPr>
        <w:t> </w:t>
      </w:r>
      <w:r>
        <w:rPr>
          <w:spacing w:val="-2"/>
          <w:sz w:val="20"/>
        </w:rPr>
        <w:t>existente;</w:t>
      </w:r>
    </w:p>
    <w:p>
      <w:pPr>
        <w:pStyle w:val="BodyText"/>
      </w:pPr>
    </w:p>
    <w:p>
      <w:pPr>
        <w:pStyle w:val="ListParagraph"/>
        <w:numPr>
          <w:ilvl w:val="0"/>
          <w:numId w:val="70"/>
        </w:numPr>
        <w:tabs>
          <w:tab w:pos="880" w:val="left" w:leader="none"/>
        </w:tabs>
        <w:spacing w:line="230" w:lineRule="auto" w:before="0" w:after="0"/>
        <w:ind w:left="262" w:right="286" w:firstLine="0"/>
        <w:jc w:val="both"/>
        <w:rPr>
          <w:sz w:val="20"/>
        </w:rPr>
      </w:pPr>
      <w:r>
        <w:rPr>
          <w:sz w:val="20"/>
        </w:rPr>
        <w:t>Los espesores mínimos del recubrimiento de la vialidad, según las normas técnicas </w:t>
      </w:r>
      <w:r>
        <w:rPr>
          <w:spacing w:val="-2"/>
          <w:sz w:val="20"/>
        </w:rPr>
        <w:t>aplicables;</w:t>
      </w:r>
    </w:p>
    <w:p>
      <w:pPr>
        <w:pStyle w:val="BodyText"/>
        <w:spacing w:before="12"/>
      </w:pPr>
    </w:p>
    <w:p>
      <w:pPr>
        <w:pStyle w:val="ListParagraph"/>
        <w:numPr>
          <w:ilvl w:val="0"/>
          <w:numId w:val="70"/>
        </w:numPr>
        <w:tabs>
          <w:tab w:pos="967" w:val="left" w:leader="none"/>
        </w:tabs>
        <w:spacing w:line="230" w:lineRule="auto" w:before="0" w:after="0"/>
        <w:ind w:left="262" w:right="288" w:firstLine="0"/>
        <w:jc w:val="both"/>
        <w:rPr>
          <w:sz w:val="20"/>
        </w:rPr>
      </w:pPr>
      <w:r>
        <w:rPr>
          <w:sz w:val="20"/>
        </w:rPr>
        <w:t>Las normas para la instalación de las señales de tránsito, lámparas, casetas y demás elementos integrantes del mobiliario urbano;</w:t>
      </w:r>
    </w:p>
    <w:p>
      <w:pPr>
        <w:pStyle w:val="BodyText"/>
        <w:spacing w:before="1"/>
      </w:pPr>
    </w:p>
    <w:p>
      <w:pPr>
        <w:spacing w:before="0"/>
        <w:ind w:left="26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22</w:t>
      </w:r>
      <w:r>
        <w:rPr>
          <w:rFonts w:ascii="Arial"/>
          <w:i/>
          <w:spacing w:val="-7"/>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5"/>
          <w:sz w:val="20"/>
        </w:rPr>
        <w:t> </w:t>
      </w:r>
      <w:r>
        <w:rPr>
          <w:rFonts w:ascii="Arial"/>
          <w:i/>
          <w:spacing w:val="-4"/>
          <w:sz w:val="20"/>
        </w:rPr>
        <w:t>2019)</w:t>
      </w:r>
    </w:p>
    <w:p>
      <w:pPr>
        <w:pStyle w:val="ListParagraph"/>
        <w:numPr>
          <w:ilvl w:val="0"/>
          <w:numId w:val="70"/>
        </w:numPr>
        <w:tabs>
          <w:tab w:pos="968" w:val="left" w:leader="none"/>
        </w:tabs>
        <w:spacing w:line="230" w:lineRule="auto" w:before="11" w:after="0"/>
        <w:ind w:left="262" w:right="281" w:firstLine="0"/>
        <w:jc w:val="both"/>
        <w:rPr>
          <w:sz w:val="20"/>
        </w:rPr>
      </w:pPr>
      <w:r>
        <w:rPr>
          <w:sz w:val="20"/>
        </w:rPr>
        <w:t>La inclusión de ciclovías cuando el ancho de calle lo permita; considerando además</w:t>
      </w:r>
      <w:r>
        <w:rPr>
          <w:spacing w:val="40"/>
          <w:sz w:val="20"/>
        </w:rPr>
        <w:t> </w:t>
      </w:r>
      <w:r>
        <w:rPr>
          <w:sz w:val="20"/>
        </w:rPr>
        <w:t>la instalación de la señalética necesaria para la circulación segura de los ciclistas.</w:t>
      </w:r>
    </w:p>
    <w:p>
      <w:pPr>
        <w:pStyle w:val="BodyText"/>
        <w:spacing w:before="4"/>
      </w:pPr>
    </w:p>
    <w:p>
      <w:pPr>
        <w:pStyle w:val="ListParagraph"/>
        <w:numPr>
          <w:ilvl w:val="0"/>
          <w:numId w:val="70"/>
        </w:numPr>
        <w:tabs>
          <w:tab w:pos="825" w:val="left" w:leader="none"/>
        </w:tabs>
        <w:spacing w:line="237" w:lineRule="auto" w:before="1" w:after="0"/>
        <w:ind w:left="262" w:right="280" w:firstLine="0"/>
        <w:jc w:val="both"/>
        <w:rPr>
          <w:sz w:val="20"/>
        </w:rPr>
      </w:pPr>
      <w:r>
        <w:rPr>
          <w:sz w:val="20"/>
        </w:rPr>
        <w:t>La</w:t>
      </w:r>
      <w:r>
        <w:rPr>
          <w:spacing w:val="-12"/>
          <w:sz w:val="20"/>
        </w:rPr>
        <w:t> </w:t>
      </w:r>
      <w:r>
        <w:rPr>
          <w:sz w:val="20"/>
        </w:rPr>
        <w:t>inclusión</w:t>
      </w:r>
      <w:r>
        <w:rPr>
          <w:spacing w:val="-12"/>
          <w:sz w:val="20"/>
        </w:rPr>
        <w:t> </w:t>
      </w:r>
      <w:r>
        <w:rPr>
          <w:sz w:val="20"/>
        </w:rPr>
        <w:t>de</w:t>
      </w:r>
      <w:r>
        <w:rPr>
          <w:spacing w:val="-12"/>
          <w:sz w:val="20"/>
        </w:rPr>
        <w:t> </w:t>
      </w:r>
      <w:r>
        <w:rPr>
          <w:sz w:val="20"/>
        </w:rPr>
        <w:t>carriles</w:t>
      </w:r>
      <w:r>
        <w:rPr>
          <w:spacing w:val="-13"/>
          <w:sz w:val="20"/>
        </w:rPr>
        <w:t> </w:t>
      </w:r>
      <w:r>
        <w:rPr>
          <w:sz w:val="20"/>
        </w:rPr>
        <w:t>exclusivos</w:t>
      </w:r>
      <w:r>
        <w:rPr>
          <w:spacing w:val="-13"/>
          <w:sz w:val="20"/>
        </w:rPr>
        <w:t> </w:t>
      </w:r>
      <w:r>
        <w:rPr>
          <w:sz w:val="20"/>
        </w:rPr>
        <w:t>para</w:t>
      </w:r>
      <w:r>
        <w:rPr>
          <w:spacing w:val="-12"/>
          <w:sz w:val="20"/>
        </w:rPr>
        <w:t> </w:t>
      </w:r>
      <w:r>
        <w:rPr>
          <w:sz w:val="20"/>
        </w:rPr>
        <w:t>transporte</w:t>
      </w:r>
      <w:r>
        <w:rPr>
          <w:spacing w:val="-11"/>
          <w:sz w:val="20"/>
        </w:rPr>
        <w:t> </w:t>
      </w:r>
      <w:r>
        <w:rPr>
          <w:sz w:val="20"/>
        </w:rPr>
        <w:t>público</w:t>
      </w:r>
      <w:r>
        <w:rPr>
          <w:spacing w:val="-14"/>
          <w:sz w:val="20"/>
        </w:rPr>
        <w:t> </w:t>
      </w:r>
      <w:r>
        <w:rPr>
          <w:sz w:val="20"/>
        </w:rPr>
        <w:t>en</w:t>
      </w:r>
      <w:r>
        <w:rPr>
          <w:spacing w:val="-12"/>
          <w:sz w:val="20"/>
        </w:rPr>
        <w:t> </w:t>
      </w:r>
      <w:r>
        <w:rPr>
          <w:sz w:val="20"/>
        </w:rPr>
        <w:t>las</w:t>
      </w:r>
      <w:r>
        <w:rPr>
          <w:spacing w:val="-13"/>
          <w:sz w:val="20"/>
        </w:rPr>
        <w:t> </w:t>
      </w:r>
      <w:r>
        <w:rPr>
          <w:sz w:val="20"/>
        </w:rPr>
        <w:t>vías</w:t>
      </w:r>
      <w:r>
        <w:rPr>
          <w:spacing w:val="-11"/>
          <w:sz w:val="20"/>
        </w:rPr>
        <w:t> </w:t>
      </w:r>
      <w:r>
        <w:rPr>
          <w:sz w:val="20"/>
        </w:rPr>
        <w:t>primarias,</w:t>
      </w:r>
      <w:r>
        <w:rPr>
          <w:spacing w:val="-14"/>
          <w:sz w:val="20"/>
        </w:rPr>
        <w:t> </w:t>
      </w:r>
      <w:r>
        <w:rPr>
          <w:sz w:val="20"/>
        </w:rPr>
        <w:t>en</w:t>
      </w:r>
      <w:r>
        <w:rPr>
          <w:spacing w:val="-10"/>
          <w:sz w:val="20"/>
        </w:rPr>
        <w:t> </w:t>
      </w:r>
      <w:r>
        <w:rPr>
          <w:sz w:val="20"/>
        </w:rPr>
        <w:t>desarrollos de cinco mil o más habitantes, y en desarrollos no habitacionales de más de veinticinco hectáreas. Asimismo se preverá el recorrido del transporte público dentro del desarrollo habitacional y la ubicación</w:t>
      </w:r>
      <w:r>
        <w:rPr>
          <w:spacing w:val="-3"/>
          <w:sz w:val="20"/>
        </w:rPr>
        <w:t> </w:t>
      </w:r>
      <w:r>
        <w:rPr>
          <w:sz w:val="20"/>
        </w:rPr>
        <w:t>de</w:t>
      </w:r>
      <w:r>
        <w:rPr>
          <w:spacing w:val="-2"/>
          <w:sz w:val="20"/>
        </w:rPr>
        <w:t> </w:t>
      </w:r>
      <w:r>
        <w:rPr>
          <w:sz w:val="20"/>
        </w:rPr>
        <w:t>los</w:t>
      </w:r>
      <w:r>
        <w:rPr>
          <w:spacing w:val="-1"/>
          <w:sz w:val="20"/>
        </w:rPr>
        <w:t> </w:t>
      </w:r>
      <w:r>
        <w:rPr>
          <w:sz w:val="20"/>
        </w:rPr>
        <w:t>paraderos,</w:t>
      </w:r>
      <w:r>
        <w:rPr>
          <w:spacing w:val="-2"/>
          <w:sz w:val="20"/>
        </w:rPr>
        <w:t> </w:t>
      </w:r>
      <w:r>
        <w:rPr>
          <w:sz w:val="20"/>
        </w:rPr>
        <w:t>procurando</w:t>
      </w:r>
      <w:r>
        <w:rPr>
          <w:spacing w:val="-2"/>
          <w:sz w:val="20"/>
        </w:rPr>
        <w:t> </w:t>
      </w:r>
      <w:r>
        <w:rPr>
          <w:sz w:val="20"/>
        </w:rPr>
        <w:t>que la</w:t>
      </w:r>
      <w:r>
        <w:rPr>
          <w:spacing w:val="-2"/>
          <w:sz w:val="20"/>
        </w:rPr>
        <w:t> </w:t>
      </w:r>
      <w:r>
        <w:rPr>
          <w:sz w:val="20"/>
        </w:rPr>
        <w:t>población</w:t>
      </w:r>
      <w:r>
        <w:rPr>
          <w:spacing w:val="-3"/>
          <w:sz w:val="20"/>
        </w:rPr>
        <w:t> </w:t>
      </w:r>
      <w:r>
        <w:rPr>
          <w:sz w:val="20"/>
        </w:rPr>
        <w:t>no</w:t>
      </w:r>
      <w:r>
        <w:rPr>
          <w:spacing w:val="-3"/>
          <w:sz w:val="20"/>
        </w:rPr>
        <w:t> </w:t>
      </w:r>
      <w:r>
        <w:rPr>
          <w:sz w:val="20"/>
        </w:rPr>
        <w:t>recorra</w:t>
      </w:r>
      <w:r>
        <w:rPr>
          <w:spacing w:val="-2"/>
          <w:sz w:val="20"/>
        </w:rPr>
        <w:t> </w:t>
      </w:r>
      <w:r>
        <w:rPr>
          <w:sz w:val="20"/>
        </w:rPr>
        <w:t>más</w:t>
      </w:r>
      <w:r>
        <w:rPr>
          <w:spacing w:val="-1"/>
          <w:sz w:val="20"/>
        </w:rPr>
        <w:t> </w:t>
      </w:r>
      <w:r>
        <w:rPr>
          <w:sz w:val="20"/>
        </w:rPr>
        <w:t>de</w:t>
      </w:r>
      <w:r>
        <w:rPr>
          <w:spacing w:val="-3"/>
          <w:sz w:val="20"/>
        </w:rPr>
        <w:t> </w:t>
      </w:r>
      <w:r>
        <w:rPr>
          <w:sz w:val="20"/>
        </w:rPr>
        <w:t>quinientos</w:t>
      </w:r>
      <w:r>
        <w:rPr>
          <w:spacing w:val="-1"/>
          <w:sz w:val="20"/>
        </w:rPr>
        <w:t> </w:t>
      </w:r>
      <w:r>
        <w:rPr>
          <w:sz w:val="20"/>
        </w:rPr>
        <w:t>metros</w:t>
      </w:r>
      <w:r>
        <w:rPr>
          <w:spacing w:val="-1"/>
          <w:sz w:val="20"/>
        </w:rPr>
        <w:t> </w:t>
      </w:r>
      <w:r>
        <w:rPr>
          <w:sz w:val="20"/>
        </w:rPr>
        <w:t>para llegar a ellos;</w:t>
      </w:r>
    </w:p>
    <w:p>
      <w:pPr>
        <w:pStyle w:val="BodyText"/>
        <w:spacing w:before="11"/>
      </w:pPr>
    </w:p>
    <w:p>
      <w:pPr>
        <w:pStyle w:val="ListParagraph"/>
        <w:numPr>
          <w:ilvl w:val="0"/>
          <w:numId w:val="70"/>
        </w:numPr>
        <w:tabs>
          <w:tab w:pos="826" w:val="left" w:leader="none"/>
        </w:tabs>
        <w:spacing w:line="230" w:lineRule="auto" w:before="0" w:after="0"/>
        <w:ind w:left="262" w:right="280" w:firstLine="0"/>
        <w:jc w:val="both"/>
        <w:rPr>
          <w:sz w:val="20"/>
        </w:rPr>
      </w:pPr>
      <w:r>
        <w:rPr>
          <w:sz w:val="20"/>
        </w:rPr>
        <w:t>Las previsiones para</w:t>
      </w:r>
      <w:r>
        <w:rPr>
          <w:spacing w:val="-1"/>
          <w:sz w:val="20"/>
        </w:rPr>
        <w:t> </w:t>
      </w:r>
      <w:r>
        <w:rPr>
          <w:sz w:val="20"/>
        </w:rPr>
        <w:t>que el</w:t>
      </w:r>
      <w:r>
        <w:rPr>
          <w:spacing w:val="-2"/>
          <w:sz w:val="20"/>
        </w:rPr>
        <w:t> </w:t>
      </w:r>
      <w:r>
        <w:rPr>
          <w:sz w:val="20"/>
        </w:rPr>
        <w:t>diseño</w:t>
      </w:r>
      <w:r>
        <w:rPr>
          <w:spacing w:val="-1"/>
          <w:sz w:val="20"/>
        </w:rPr>
        <w:t> </w:t>
      </w:r>
      <w:r>
        <w:rPr>
          <w:sz w:val="20"/>
        </w:rPr>
        <w:t>de las vialidades, cuente</w:t>
      </w:r>
      <w:r>
        <w:rPr>
          <w:spacing w:val="-1"/>
          <w:sz w:val="20"/>
        </w:rPr>
        <w:t> </w:t>
      </w:r>
      <w:r>
        <w:rPr>
          <w:sz w:val="20"/>
        </w:rPr>
        <w:t>con lo necesario</w:t>
      </w:r>
      <w:r>
        <w:rPr>
          <w:spacing w:val="-1"/>
          <w:sz w:val="20"/>
        </w:rPr>
        <w:t> </w:t>
      </w:r>
      <w:r>
        <w:rPr>
          <w:sz w:val="20"/>
        </w:rPr>
        <w:t>para</w:t>
      </w:r>
      <w:r>
        <w:rPr>
          <w:spacing w:val="-1"/>
          <w:sz w:val="20"/>
        </w:rPr>
        <w:t> </w:t>
      </w:r>
      <w:r>
        <w:rPr>
          <w:sz w:val="20"/>
        </w:rPr>
        <w:t>facilitar el desplazamiento de las personas con discapacidad;</w:t>
      </w:r>
    </w:p>
    <w:p>
      <w:pPr>
        <w:pStyle w:val="BodyText"/>
        <w:spacing w:before="7"/>
      </w:pPr>
    </w:p>
    <w:p>
      <w:pPr>
        <w:pStyle w:val="ListParagraph"/>
        <w:numPr>
          <w:ilvl w:val="0"/>
          <w:numId w:val="70"/>
        </w:numPr>
        <w:tabs>
          <w:tab w:pos="880" w:val="left" w:leader="none"/>
        </w:tabs>
        <w:spacing w:line="235" w:lineRule="auto" w:before="0" w:after="0"/>
        <w:ind w:left="262" w:right="288" w:firstLine="0"/>
        <w:jc w:val="both"/>
        <w:rPr>
          <w:sz w:val="20"/>
        </w:rPr>
      </w:pPr>
      <w:r>
        <w:rPr>
          <w:sz w:val="20"/>
        </w:rPr>
        <w:t>Los sitios para la instalación de las redes de instalaciones subterráneas de los servicios públicos de teléfonos, energía eléctrica, alumbrado, semáforos, gas natural y cualesquiera otros servicios, y</w:t>
      </w:r>
    </w:p>
    <w:p>
      <w:pPr>
        <w:pStyle w:val="ListParagraph"/>
        <w:spacing w:after="0" w:line="235" w:lineRule="auto"/>
        <w:jc w:val="both"/>
        <w:rPr>
          <w:sz w:val="20"/>
        </w:rPr>
        <w:sectPr>
          <w:pgSz w:w="12240" w:h="15840"/>
          <w:pgMar w:header="720" w:footer="697" w:top="2100" w:bottom="880" w:left="1440" w:right="1440"/>
        </w:sectPr>
      </w:pPr>
    </w:p>
    <w:p>
      <w:pPr>
        <w:pStyle w:val="BodyText"/>
      </w:pPr>
    </w:p>
    <w:p>
      <w:pPr>
        <w:pStyle w:val="BodyText"/>
        <w:spacing w:before="83"/>
      </w:pPr>
    </w:p>
    <w:p>
      <w:pPr>
        <w:pStyle w:val="ListParagraph"/>
        <w:numPr>
          <w:ilvl w:val="0"/>
          <w:numId w:val="70"/>
        </w:numPr>
        <w:tabs>
          <w:tab w:pos="967" w:val="left" w:leader="none"/>
        </w:tabs>
        <w:spacing w:line="230" w:lineRule="auto" w:before="0" w:after="0"/>
        <w:ind w:left="262" w:right="286" w:firstLine="0"/>
        <w:jc w:val="both"/>
        <w:rPr>
          <w:sz w:val="20"/>
        </w:rPr>
      </w:pPr>
      <w:r>
        <w:rPr>
          <w:sz w:val="20"/>
        </w:rPr>
        <w:t>La utilización de materiales y ejecución de procesos constructivos sustentables </w:t>
      </w:r>
      <w:r>
        <w:rPr>
          <w:spacing w:val="-2"/>
          <w:sz w:val="20"/>
        </w:rPr>
        <w:t>preferentemente.</w:t>
      </w:r>
    </w:p>
    <w:p>
      <w:pPr>
        <w:pStyle w:val="BodyText"/>
        <w:spacing w:before="229"/>
        <w:ind w:left="262" w:right="281"/>
        <w:jc w:val="both"/>
      </w:pPr>
      <w:r>
        <w:rPr/>
        <w:t>Para lo anterior, podrá aplicarse los principios y lineamiento técnicos para el diseño vial urbano contenidas en el Manual de Calles, Diseño Vial para Ciudades Mexicanas emitido por la SEDATU; de igual forma deberán utilizarse las normas oficiales mexicanas para vialidades y la Normatividad de Vialidad Urbana de SEDESOL.</w:t>
      </w:r>
    </w:p>
    <w:p>
      <w:pPr>
        <w:pStyle w:val="BodyText"/>
        <w:spacing w:before="2"/>
      </w:pPr>
    </w:p>
    <w:p>
      <w:pPr>
        <w:pStyle w:val="BodyText"/>
        <w:spacing w:before="1"/>
        <w:ind w:left="262" w:right="283"/>
        <w:jc w:val="both"/>
      </w:pPr>
      <w:r>
        <w:rPr>
          <w:rFonts w:ascii="Arial" w:hAnsi="Arial"/>
          <w:b/>
        </w:rPr>
        <w:t>ARTÍCULO 170. </w:t>
      </w:r>
      <w:r>
        <w:rPr/>
        <w:t>Para orientar los aspectos a que se refiere el artículo inmediato anterior, los Reglamentos municipales correspondientes considerarán:</w:t>
      </w:r>
    </w:p>
    <w:p>
      <w:pPr>
        <w:pStyle w:val="ListParagraph"/>
        <w:numPr>
          <w:ilvl w:val="0"/>
          <w:numId w:val="71"/>
        </w:numPr>
        <w:tabs>
          <w:tab w:pos="688" w:val="left" w:leader="none"/>
        </w:tabs>
        <w:spacing w:line="240" w:lineRule="auto" w:before="229" w:after="0"/>
        <w:ind w:left="262" w:right="280" w:firstLine="0"/>
        <w:jc w:val="both"/>
        <w:rPr>
          <w:sz w:val="20"/>
        </w:rPr>
      </w:pPr>
      <w:r>
        <w:rPr>
          <w:sz w:val="20"/>
        </w:rPr>
        <w:t>Compatibilidad de la jerarquía vial con los usos de suelo: habitacional, servicios que presta la administración pública</w:t>
      </w:r>
      <w:r>
        <w:rPr>
          <w:spacing w:val="-2"/>
          <w:sz w:val="20"/>
        </w:rPr>
        <w:t> </w:t>
      </w:r>
      <w:r>
        <w:rPr>
          <w:sz w:val="20"/>
        </w:rPr>
        <w:t>y</w:t>
      </w:r>
      <w:r>
        <w:rPr>
          <w:spacing w:val="-1"/>
          <w:sz w:val="20"/>
        </w:rPr>
        <w:t> </w:t>
      </w:r>
      <w:r>
        <w:rPr>
          <w:sz w:val="20"/>
        </w:rPr>
        <w:t>privada,</w:t>
      </w:r>
      <w:r>
        <w:rPr>
          <w:spacing w:val="-2"/>
          <w:sz w:val="20"/>
        </w:rPr>
        <w:t> </w:t>
      </w:r>
      <w:r>
        <w:rPr>
          <w:sz w:val="20"/>
        </w:rPr>
        <w:t>de</w:t>
      </w:r>
      <w:r>
        <w:rPr>
          <w:spacing w:val="-3"/>
          <w:sz w:val="20"/>
        </w:rPr>
        <w:t> </w:t>
      </w:r>
      <w:r>
        <w:rPr>
          <w:sz w:val="20"/>
        </w:rPr>
        <w:t>comercio,</w:t>
      </w:r>
      <w:r>
        <w:rPr>
          <w:spacing w:val="-2"/>
          <w:sz w:val="20"/>
        </w:rPr>
        <w:t> </w:t>
      </w:r>
      <w:r>
        <w:rPr>
          <w:sz w:val="20"/>
        </w:rPr>
        <w:t>de</w:t>
      </w:r>
      <w:r>
        <w:rPr>
          <w:spacing w:val="-3"/>
          <w:sz w:val="20"/>
        </w:rPr>
        <w:t> </w:t>
      </w:r>
      <w:r>
        <w:rPr>
          <w:sz w:val="20"/>
        </w:rPr>
        <w:t>salud,</w:t>
      </w:r>
      <w:r>
        <w:rPr>
          <w:spacing w:val="-2"/>
          <w:sz w:val="20"/>
        </w:rPr>
        <w:t> </w:t>
      </w:r>
      <w:r>
        <w:rPr>
          <w:sz w:val="20"/>
        </w:rPr>
        <w:t>de</w:t>
      </w:r>
      <w:r>
        <w:rPr>
          <w:spacing w:val="-3"/>
          <w:sz w:val="20"/>
        </w:rPr>
        <w:t> </w:t>
      </w:r>
      <w:r>
        <w:rPr>
          <w:sz w:val="20"/>
        </w:rPr>
        <w:t>educación</w:t>
      </w:r>
      <w:r>
        <w:rPr>
          <w:spacing w:val="-3"/>
          <w:sz w:val="20"/>
        </w:rPr>
        <w:t> </w:t>
      </w:r>
      <w:r>
        <w:rPr>
          <w:sz w:val="20"/>
        </w:rPr>
        <w:t>y</w:t>
      </w:r>
      <w:r>
        <w:rPr>
          <w:spacing w:val="-1"/>
          <w:sz w:val="20"/>
        </w:rPr>
        <w:t> </w:t>
      </w:r>
      <w:r>
        <w:rPr>
          <w:sz w:val="20"/>
        </w:rPr>
        <w:t>cultura,</w:t>
      </w:r>
      <w:r>
        <w:rPr>
          <w:spacing w:val="-2"/>
          <w:sz w:val="20"/>
        </w:rPr>
        <w:t> </w:t>
      </w:r>
      <w:r>
        <w:rPr>
          <w:sz w:val="20"/>
        </w:rPr>
        <w:t>para</w:t>
      </w:r>
      <w:r>
        <w:rPr>
          <w:spacing w:val="-2"/>
          <w:sz w:val="20"/>
        </w:rPr>
        <w:t> </w:t>
      </w:r>
      <w:r>
        <w:rPr>
          <w:sz w:val="20"/>
        </w:rPr>
        <w:t>la</w:t>
      </w:r>
      <w:r>
        <w:rPr>
          <w:spacing w:val="-2"/>
          <w:sz w:val="20"/>
        </w:rPr>
        <w:t> </w:t>
      </w:r>
      <w:r>
        <w:rPr>
          <w:sz w:val="20"/>
        </w:rPr>
        <w:t>recreación, alojamiento, seguridad, mortuorios, comunicaciones y transportes, industria, espacios abiertos, infraestructura, agropecuarios, forestales y acuíferos, y</w:t>
      </w:r>
    </w:p>
    <w:p>
      <w:pPr>
        <w:pStyle w:val="ListParagraph"/>
        <w:numPr>
          <w:ilvl w:val="0"/>
          <w:numId w:val="71"/>
        </w:numPr>
        <w:tabs>
          <w:tab w:pos="686" w:val="left" w:leader="none"/>
        </w:tabs>
        <w:spacing w:line="240" w:lineRule="auto" w:before="230" w:after="0"/>
        <w:ind w:left="262" w:right="283" w:firstLine="0"/>
        <w:jc w:val="both"/>
        <w:rPr>
          <w:sz w:val="20"/>
        </w:rPr>
      </w:pPr>
      <w:r>
        <w:rPr>
          <w:sz w:val="20"/>
        </w:rPr>
        <w:t>Características por tipo de vialidad: primaria, secundaria, colectora, local, cerrada o privada, ciclovía, peatonal y de acceso controlado con lateral y sin lateral.</w:t>
      </w:r>
    </w:p>
    <w:p>
      <w:pPr>
        <w:pStyle w:val="BodyText"/>
        <w:spacing w:before="1"/>
      </w:pPr>
    </w:p>
    <w:p>
      <w:pPr>
        <w:pStyle w:val="BodyText"/>
        <w:ind w:left="262" w:right="274"/>
        <w:jc w:val="both"/>
      </w:pPr>
      <w:r>
        <w:rPr>
          <w:rFonts w:ascii="Arial" w:hAnsi="Arial"/>
          <w:b/>
        </w:rPr>
        <w:t>ARTÍCULO 171. </w:t>
      </w:r>
      <w:r>
        <w:rPr/>
        <w:t>Las vías primarias en las zonas urbanas, deberán contar con un carril exclusivo para el transporte público y con las bahías de ascenso y descenso de pasajeros, ubicadas en la forma y distancia que determine la ley de la materia, así como con ciclovías, en todas las nuevas que se construyan y cuando el ancho de calle lo permita, en las ya existentes.</w:t>
      </w:r>
    </w:p>
    <w:p>
      <w:pPr>
        <w:pStyle w:val="BodyText"/>
        <w:spacing w:before="230"/>
        <w:ind w:left="262" w:right="285"/>
        <w:jc w:val="both"/>
      </w:pPr>
      <w:r>
        <w:rPr>
          <w:rFonts w:ascii="Arial" w:hAnsi="Arial"/>
          <w:b/>
        </w:rPr>
        <w:t>ARTÍCULO 172. </w:t>
      </w:r>
      <w:r>
        <w:rPr/>
        <w:t>Asimismo las</w:t>
      </w:r>
      <w:r>
        <w:rPr>
          <w:spacing w:val="-1"/>
        </w:rPr>
        <w:t> </w:t>
      </w:r>
      <w:r>
        <w:rPr/>
        <w:t>vías</w:t>
      </w:r>
      <w:r>
        <w:rPr>
          <w:spacing w:val="-1"/>
        </w:rPr>
        <w:t> </w:t>
      </w:r>
      <w:r>
        <w:rPr/>
        <w:t>públicas</w:t>
      </w:r>
      <w:r>
        <w:rPr>
          <w:spacing w:val="-1"/>
        </w:rPr>
        <w:t> </w:t>
      </w:r>
      <w:r>
        <w:rPr/>
        <w:t>deberán contar</w:t>
      </w:r>
      <w:r>
        <w:rPr>
          <w:spacing w:val="-1"/>
        </w:rPr>
        <w:t> </w:t>
      </w:r>
      <w:r>
        <w:rPr/>
        <w:t>con</w:t>
      </w:r>
      <w:r>
        <w:rPr>
          <w:spacing w:val="-2"/>
        </w:rPr>
        <w:t> </w:t>
      </w:r>
      <w:r>
        <w:rPr/>
        <w:t>las</w:t>
      </w:r>
      <w:r>
        <w:rPr>
          <w:spacing w:val="-1"/>
        </w:rPr>
        <w:t> </w:t>
      </w:r>
      <w:r>
        <w:rPr/>
        <w:t>características</w:t>
      </w:r>
      <w:r>
        <w:rPr>
          <w:spacing w:val="-1"/>
        </w:rPr>
        <w:t> </w:t>
      </w:r>
      <w:r>
        <w:rPr/>
        <w:t>que</w:t>
      </w:r>
      <w:r>
        <w:rPr>
          <w:spacing w:val="-2"/>
        </w:rPr>
        <w:t> </w:t>
      </w:r>
      <w:r>
        <w:rPr/>
        <w:t>se</w:t>
      </w:r>
      <w:r>
        <w:rPr>
          <w:spacing w:val="-2"/>
        </w:rPr>
        <w:t> </w:t>
      </w:r>
      <w:r>
        <w:rPr/>
        <w:t>señalan a continuación según su clasificación:</w:t>
      </w:r>
    </w:p>
    <w:p>
      <w:pPr>
        <w:pStyle w:val="BodyText"/>
        <w:spacing w:before="10"/>
        <w:rPr>
          <w:sz w:val="19"/>
        </w:rPr>
      </w:pPr>
    </w:p>
    <w:tbl>
      <w:tblPr>
        <w:tblW w:w="0" w:type="auto"/>
        <w:jc w:val="left"/>
        <w:tblInd w:w="10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00"/>
        <w:gridCol w:w="593"/>
        <w:gridCol w:w="684"/>
        <w:gridCol w:w="607"/>
        <w:gridCol w:w="645"/>
        <w:gridCol w:w="413"/>
        <w:gridCol w:w="594"/>
        <w:gridCol w:w="852"/>
      </w:tblGrid>
      <w:tr>
        <w:trPr>
          <w:trHeight w:val="1675" w:hRule="atLeast"/>
        </w:trPr>
        <w:tc>
          <w:tcPr>
            <w:tcW w:w="2800" w:type="dxa"/>
            <w:vMerge w:val="restart"/>
          </w:tcPr>
          <w:p>
            <w:pPr>
              <w:pStyle w:val="TableParagraph"/>
              <w:rPr>
                <w:rFonts w:ascii="Times New Roman"/>
                <w:sz w:val="18"/>
              </w:rPr>
            </w:pPr>
          </w:p>
        </w:tc>
        <w:tc>
          <w:tcPr>
            <w:tcW w:w="593" w:type="dxa"/>
            <w:textDirection w:val="btLr"/>
          </w:tcPr>
          <w:p>
            <w:pPr>
              <w:pStyle w:val="TableParagraph"/>
              <w:spacing w:before="173"/>
              <w:ind w:left="63"/>
              <w:rPr>
                <w:b/>
                <w:sz w:val="19"/>
              </w:rPr>
            </w:pPr>
            <w:r>
              <w:rPr>
                <w:b/>
                <w:spacing w:val="-2"/>
                <w:sz w:val="19"/>
              </w:rPr>
              <w:t>PENDIENTE máxima</w:t>
            </w:r>
          </w:p>
        </w:tc>
        <w:tc>
          <w:tcPr>
            <w:tcW w:w="684" w:type="dxa"/>
            <w:textDirection w:val="btLr"/>
          </w:tcPr>
          <w:p>
            <w:pPr>
              <w:pStyle w:val="TableParagraph"/>
              <w:spacing w:before="6"/>
              <w:rPr>
                <w:rFonts w:ascii="Arial MT"/>
                <w:sz w:val="19"/>
              </w:rPr>
            </w:pPr>
          </w:p>
          <w:p>
            <w:pPr>
              <w:pStyle w:val="TableParagraph"/>
              <w:ind w:left="386"/>
              <w:rPr>
                <w:b/>
                <w:sz w:val="19"/>
              </w:rPr>
            </w:pPr>
            <w:r>
              <w:rPr>
                <w:b/>
                <w:spacing w:val="-2"/>
                <w:sz w:val="19"/>
              </w:rPr>
              <w:t>VELOCIDAD</w:t>
            </w:r>
          </w:p>
        </w:tc>
        <w:tc>
          <w:tcPr>
            <w:tcW w:w="607" w:type="dxa"/>
            <w:vMerge w:val="restart"/>
            <w:textDirection w:val="btLr"/>
          </w:tcPr>
          <w:p>
            <w:pPr>
              <w:pStyle w:val="TableParagraph"/>
              <w:spacing w:before="186"/>
              <w:ind w:left="579"/>
              <w:rPr>
                <w:b/>
                <w:sz w:val="19"/>
              </w:rPr>
            </w:pPr>
            <w:r>
              <w:rPr>
                <w:b/>
                <w:spacing w:val="-2"/>
                <w:sz w:val="19"/>
              </w:rPr>
              <w:t>SENTIDOS</w:t>
            </w:r>
          </w:p>
        </w:tc>
        <w:tc>
          <w:tcPr>
            <w:tcW w:w="645" w:type="dxa"/>
            <w:vMerge w:val="restart"/>
            <w:textDirection w:val="btLr"/>
          </w:tcPr>
          <w:p>
            <w:pPr>
              <w:pStyle w:val="TableParagraph"/>
              <w:spacing w:before="198"/>
              <w:ind w:left="166"/>
              <w:rPr>
                <w:b/>
                <w:sz w:val="19"/>
              </w:rPr>
            </w:pPr>
            <w:r>
              <w:rPr>
                <w:b/>
                <w:spacing w:val="-2"/>
                <w:sz w:val="19"/>
              </w:rPr>
              <w:t>CARRILES</w:t>
            </w:r>
            <w:r>
              <w:rPr>
                <w:b/>
                <w:spacing w:val="-4"/>
                <w:sz w:val="19"/>
              </w:rPr>
              <w:t> </w:t>
            </w:r>
            <w:r>
              <w:rPr>
                <w:b/>
                <w:spacing w:val="-2"/>
                <w:sz w:val="19"/>
              </w:rPr>
              <w:t>X</w:t>
            </w:r>
            <w:r>
              <w:rPr>
                <w:b/>
                <w:spacing w:val="-6"/>
                <w:sz w:val="19"/>
              </w:rPr>
              <w:t> </w:t>
            </w:r>
            <w:r>
              <w:rPr>
                <w:b/>
                <w:spacing w:val="-2"/>
                <w:sz w:val="19"/>
              </w:rPr>
              <w:t>SENTIDO</w:t>
            </w:r>
          </w:p>
        </w:tc>
        <w:tc>
          <w:tcPr>
            <w:tcW w:w="413" w:type="dxa"/>
            <w:vMerge w:val="restart"/>
            <w:textDirection w:val="btLr"/>
          </w:tcPr>
          <w:p>
            <w:pPr>
              <w:pStyle w:val="TableParagraph"/>
              <w:spacing w:before="83"/>
              <w:ind w:left="450"/>
              <w:rPr>
                <w:b/>
                <w:sz w:val="19"/>
              </w:rPr>
            </w:pPr>
            <w:r>
              <w:rPr>
                <w:b/>
                <w:spacing w:val="-2"/>
                <w:sz w:val="19"/>
              </w:rPr>
              <w:t>TRANSPORTE</w:t>
            </w:r>
          </w:p>
        </w:tc>
        <w:tc>
          <w:tcPr>
            <w:tcW w:w="594" w:type="dxa"/>
            <w:vMerge w:val="restart"/>
            <w:textDirection w:val="btLr"/>
          </w:tcPr>
          <w:p>
            <w:pPr>
              <w:pStyle w:val="TableParagraph"/>
              <w:spacing w:before="173"/>
              <w:ind w:left="192"/>
              <w:rPr>
                <w:b/>
                <w:sz w:val="19"/>
              </w:rPr>
            </w:pPr>
            <w:r>
              <w:rPr>
                <w:b/>
                <w:spacing w:val="-2"/>
                <w:sz w:val="19"/>
              </w:rPr>
              <w:t>ESTACIONAMIENTO</w:t>
            </w:r>
          </w:p>
        </w:tc>
        <w:tc>
          <w:tcPr>
            <w:tcW w:w="852" w:type="dxa"/>
            <w:textDirection w:val="btLr"/>
          </w:tcPr>
          <w:p>
            <w:pPr>
              <w:pStyle w:val="TableParagraph"/>
              <w:spacing w:line="266" w:lineRule="auto" w:before="44"/>
              <w:ind w:left="231" w:right="226" w:firstLine="14"/>
              <w:jc w:val="center"/>
              <w:rPr>
                <w:b/>
                <w:sz w:val="19"/>
              </w:rPr>
            </w:pPr>
            <w:r>
              <w:rPr>
                <w:b/>
                <w:sz w:val="19"/>
              </w:rPr>
              <w:t>ANCHO</w:t>
            </w:r>
            <w:r>
              <w:rPr>
                <w:b/>
                <w:spacing w:val="-11"/>
                <w:sz w:val="19"/>
              </w:rPr>
              <w:t> </w:t>
            </w:r>
            <w:r>
              <w:rPr>
                <w:b/>
                <w:sz w:val="19"/>
              </w:rPr>
              <w:t>DE BANQUETA</w:t>
            </w:r>
            <w:r>
              <w:rPr>
                <w:b/>
                <w:spacing w:val="-10"/>
                <w:sz w:val="19"/>
              </w:rPr>
              <w:t> </w:t>
            </w:r>
            <w:r>
              <w:rPr>
                <w:b/>
                <w:sz w:val="19"/>
              </w:rPr>
              <w:t>O </w:t>
            </w:r>
            <w:r>
              <w:rPr>
                <w:b/>
                <w:spacing w:val="-2"/>
                <w:sz w:val="19"/>
              </w:rPr>
              <w:t>ACOTAMIENTO</w:t>
            </w:r>
          </w:p>
        </w:tc>
      </w:tr>
      <w:tr>
        <w:trPr>
          <w:trHeight w:val="242" w:hRule="atLeast"/>
        </w:trPr>
        <w:tc>
          <w:tcPr>
            <w:tcW w:w="2800" w:type="dxa"/>
            <w:vMerge/>
            <w:tcBorders>
              <w:top w:val="nil"/>
            </w:tcBorders>
          </w:tcPr>
          <w:p>
            <w:pPr>
              <w:rPr>
                <w:sz w:val="2"/>
                <w:szCs w:val="2"/>
              </w:rPr>
            </w:pPr>
          </w:p>
        </w:tc>
        <w:tc>
          <w:tcPr>
            <w:tcW w:w="593" w:type="dxa"/>
          </w:tcPr>
          <w:p>
            <w:pPr>
              <w:pStyle w:val="TableParagraph"/>
              <w:spacing w:line="211" w:lineRule="exact" w:before="11"/>
              <w:ind w:left="26" w:right="13"/>
              <w:jc w:val="center"/>
              <w:rPr>
                <w:b/>
                <w:sz w:val="19"/>
              </w:rPr>
            </w:pPr>
            <w:r>
              <w:rPr>
                <w:b/>
                <w:spacing w:val="-10"/>
                <w:sz w:val="19"/>
              </w:rPr>
              <w:t>%</w:t>
            </w:r>
          </w:p>
        </w:tc>
        <w:tc>
          <w:tcPr>
            <w:tcW w:w="684" w:type="dxa"/>
          </w:tcPr>
          <w:p>
            <w:pPr>
              <w:pStyle w:val="TableParagraph"/>
              <w:spacing w:line="211" w:lineRule="exact" w:before="11"/>
              <w:ind w:left="27"/>
              <w:jc w:val="center"/>
              <w:rPr>
                <w:b/>
                <w:sz w:val="19"/>
              </w:rPr>
            </w:pPr>
            <w:r>
              <w:rPr>
                <w:b/>
                <w:spacing w:val="-4"/>
                <w:sz w:val="19"/>
              </w:rPr>
              <w:t>km/h</w:t>
            </w:r>
          </w:p>
        </w:tc>
        <w:tc>
          <w:tcPr>
            <w:tcW w:w="607" w:type="dxa"/>
            <w:vMerge/>
            <w:tcBorders>
              <w:top w:val="nil"/>
            </w:tcBorders>
            <w:textDirection w:val="btLr"/>
          </w:tcPr>
          <w:p>
            <w:pPr>
              <w:rPr>
                <w:sz w:val="2"/>
                <w:szCs w:val="2"/>
              </w:rPr>
            </w:pPr>
          </w:p>
        </w:tc>
        <w:tc>
          <w:tcPr>
            <w:tcW w:w="645" w:type="dxa"/>
            <w:vMerge/>
            <w:tcBorders>
              <w:top w:val="nil"/>
            </w:tcBorders>
            <w:textDirection w:val="btLr"/>
          </w:tcPr>
          <w:p>
            <w:pPr>
              <w:rPr>
                <w:sz w:val="2"/>
                <w:szCs w:val="2"/>
              </w:rPr>
            </w:pPr>
          </w:p>
        </w:tc>
        <w:tc>
          <w:tcPr>
            <w:tcW w:w="413" w:type="dxa"/>
            <w:vMerge/>
            <w:tcBorders>
              <w:top w:val="nil"/>
            </w:tcBorders>
            <w:textDirection w:val="btLr"/>
          </w:tcPr>
          <w:p>
            <w:pPr>
              <w:rPr>
                <w:sz w:val="2"/>
                <w:szCs w:val="2"/>
              </w:rPr>
            </w:pPr>
          </w:p>
        </w:tc>
        <w:tc>
          <w:tcPr>
            <w:tcW w:w="594" w:type="dxa"/>
            <w:vMerge/>
            <w:tcBorders>
              <w:top w:val="nil"/>
            </w:tcBorders>
            <w:textDirection w:val="btLr"/>
          </w:tcPr>
          <w:p>
            <w:pPr>
              <w:rPr>
                <w:sz w:val="2"/>
                <w:szCs w:val="2"/>
              </w:rPr>
            </w:pPr>
          </w:p>
        </w:tc>
        <w:tc>
          <w:tcPr>
            <w:tcW w:w="852" w:type="dxa"/>
          </w:tcPr>
          <w:p>
            <w:pPr>
              <w:pStyle w:val="TableParagraph"/>
              <w:spacing w:line="211" w:lineRule="exact" w:before="11"/>
              <w:ind w:left="27"/>
              <w:jc w:val="center"/>
              <w:rPr>
                <w:b/>
                <w:sz w:val="19"/>
              </w:rPr>
            </w:pPr>
            <w:r>
              <w:rPr>
                <w:b/>
                <w:spacing w:val="-10"/>
                <w:sz w:val="19"/>
              </w:rPr>
              <w:t>m</w:t>
            </w:r>
          </w:p>
        </w:tc>
      </w:tr>
      <w:tr>
        <w:trPr>
          <w:trHeight w:val="243" w:hRule="atLeast"/>
        </w:trPr>
        <w:tc>
          <w:tcPr>
            <w:tcW w:w="2800" w:type="dxa"/>
          </w:tcPr>
          <w:p>
            <w:pPr>
              <w:pStyle w:val="TableParagraph"/>
              <w:spacing w:line="211" w:lineRule="exact" w:before="12"/>
              <w:ind w:left="31"/>
              <w:rPr>
                <w:b/>
                <w:sz w:val="19"/>
              </w:rPr>
            </w:pPr>
            <w:r>
              <w:rPr>
                <w:b/>
                <w:spacing w:val="-2"/>
                <w:sz w:val="19"/>
              </w:rPr>
              <w:t>AUTOPISTA</w:t>
            </w:r>
          </w:p>
        </w:tc>
        <w:tc>
          <w:tcPr>
            <w:tcW w:w="593" w:type="dxa"/>
          </w:tcPr>
          <w:p>
            <w:pPr>
              <w:pStyle w:val="TableParagraph"/>
              <w:spacing w:line="211" w:lineRule="exact" w:before="12"/>
              <w:ind w:left="26" w:right="5"/>
              <w:jc w:val="center"/>
              <w:rPr>
                <w:sz w:val="19"/>
              </w:rPr>
            </w:pPr>
            <w:r>
              <w:rPr>
                <w:spacing w:val="-10"/>
                <w:sz w:val="19"/>
              </w:rPr>
              <w:t>6</w:t>
            </w:r>
          </w:p>
        </w:tc>
        <w:tc>
          <w:tcPr>
            <w:tcW w:w="684" w:type="dxa"/>
          </w:tcPr>
          <w:p>
            <w:pPr>
              <w:pStyle w:val="TableParagraph"/>
              <w:spacing w:line="211" w:lineRule="exact" w:before="12"/>
              <w:ind w:left="34"/>
              <w:jc w:val="center"/>
              <w:rPr>
                <w:sz w:val="19"/>
              </w:rPr>
            </w:pPr>
            <w:r>
              <w:rPr>
                <w:spacing w:val="-5"/>
                <w:sz w:val="19"/>
              </w:rPr>
              <w:t>&gt;80</w:t>
            </w:r>
          </w:p>
        </w:tc>
        <w:tc>
          <w:tcPr>
            <w:tcW w:w="607" w:type="dxa"/>
          </w:tcPr>
          <w:p>
            <w:pPr>
              <w:pStyle w:val="TableParagraph"/>
              <w:spacing w:line="211" w:lineRule="exact" w:before="12"/>
              <w:ind w:left="34"/>
              <w:jc w:val="center"/>
              <w:rPr>
                <w:sz w:val="19"/>
              </w:rPr>
            </w:pPr>
            <w:r>
              <w:rPr>
                <w:spacing w:val="-10"/>
                <w:sz w:val="19"/>
              </w:rPr>
              <w:t>2</w:t>
            </w:r>
          </w:p>
        </w:tc>
        <w:tc>
          <w:tcPr>
            <w:tcW w:w="645" w:type="dxa"/>
          </w:tcPr>
          <w:p>
            <w:pPr>
              <w:pStyle w:val="TableParagraph"/>
              <w:spacing w:line="211" w:lineRule="exact" w:before="12"/>
              <w:ind w:left="20"/>
              <w:jc w:val="center"/>
              <w:rPr>
                <w:sz w:val="19"/>
              </w:rPr>
            </w:pPr>
            <w:r>
              <w:rPr>
                <w:sz w:val="19"/>
              </w:rPr>
              <w:t>2</w:t>
            </w:r>
            <w:r>
              <w:rPr>
                <w:spacing w:val="-13"/>
                <w:sz w:val="19"/>
              </w:rPr>
              <w:t> </w:t>
            </w:r>
            <w:r>
              <w:rPr>
                <w:sz w:val="19"/>
              </w:rPr>
              <w:t>a</w:t>
            </w:r>
            <w:r>
              <w:rPr>
                <w:spacing w:val="-6"/>
                <w:sz w:val="19"/>
              </w:rPr>
              <w:t> </w:t>
            </w:r>
            <w:r>
              <w:rPr>
                <w:spacing w:val="-12"/>
                <w:sz w:val="19"/>
              </w:rPr>
              <w:t>4</w:t>
            </w:r>
          </w:p>
        </w:tc>
        <w:tc>
          <w:tcPr>
            <w:tcW w:w="413" w:type="dxa"/>
          </w:tcPr>
          <w:p>
            <w:pPr>
              <w:pStyle w:val="TableParagraph"/>
              <w:spacing w:line="211" w:lineRule="exact" w:before="12"/>
              <w:ind w:left="26" w:right="6"/>
              <w:jc w:val="center"/>
              <w:rPr>
                <w:sz w:val="19"/>
              </w:rPr>
            </w:pPr>
            <w:r>
              <w:rPr>
                <w:spacing w:val="-5"/>
                <w:sz w:val="19"/>
              </w:rPr>
              <w:t>si</w:t>
            </w:r>
          </w:p>
        </w:tc>
        <w:tc>
          <w:tcPr>
            <w:tcW w:w="594" w:type="dxa"/>
          </w:tcPr>
          <w:p>
            <w:pPr>
              <w:pStyle w:val="TableParagraph"/>
              <w:spacing w:line="211" w:lineRule="exact" w:before="12"/>
              <w:ind w:left="26"/>
              <w:jc w:val="center"/>
              <w:rPr>
                <w:sz w:val="19"/>
              </w:rPr>
            </w:pPr>
            <w:r>
              <w:rPr>
                <w:spacing w:val="-5"/>
                <w:sz w:val="19"/>
              </w:rPr>
              <w:t>no</w:t>
            </w:r>
          </w:p>
        </w:tc>
        <w:tc>
          <w:tcPr>
            <w:tcW w:w="852" w:type="dxa"/>
          </w:tcPr>
          <w:p>
            <w:pPr>
              <w:pStyle w:val="TableParagraph"/>
              <w:spacing w:line="211" w:lineRule="exact" w:before="12"/>
              <w:ind w:left="19"/>
              <w:jc w:val="center"/>
              <w:rPr>
                <w:sz w:val="19"/>
              </w:rPr>
            </w:pPr>
            <w:r>
              <w:rPr>
                <w:spacing w:val="-10"/>
                <w:sz w:val="19"/>
              </w:rPr>
              <w:t>2</w:t>
            </w:r>
          </w:p>
        </w:tc>
      </w:tr>
      <w:tr>
        <w:trPr>
          <w:trHeight w:val="243" w:hRule="atLeast"/>
        </w:trPr>
        <w:tc>
          <w:tcPr>
            <w:tcW w:w="2800" w:type="dxa"/>
          </w:tcPr>
          <w:p>
            <w:pPr>
              <w:pStyle w:val="TableParagraph"/>
              <w:spacing w:line="212" w:lineRule="exact" w:before="11"/>
              <w:ind w:left="31"/>
              <w:rPr>
                <w:b/>
                <w:sz w:val="19"/>
              </w:rPr>
            </w:pPr>
            <w:r>
              <w:rPr>
                <w:b/>
                <w:spacing w:val="-2"/>
                <w:sz w:val="19"/>
              </w:rPr>
              <w:t>CARRETERA</w:t>
            </w:r>
          </w:p>
        </w:tc>
        <w:tc>
          <w:tcPr>
            <w:tcW w:w="593" w:type="dxa"/>
          </w:tcPr>
          <w:p>
            <w:pPr>
              <w:pStyle w:val="TableParagraph"/>
              <w:spacing w:line="212" w:lineRule="exact" w:before="11"/>
              <w:ind w:left="26" w:right="5"/>
              <w:jc w:val="center"/>
              <w:rPr>
                <w:sz w:val="19"/>
              </w:rPr>
            </w:pPr>
            <w:r>
              <w:rPr>
                <w:spacing w:val="-10"/>
                <w:sz w:val="19"/>
              </w:rPr>
              <w:t>8</w:t>
            </w:r>
          </w:p>
        </w:tc>
        <w:tc>
          <w:tcPr>
            <w:tcW w:w="684" w:type="dxa"/>
          </w:tcPr>
          <w:p>
            <w:pPr>
              <w:pStyle w:val="TableParagraph"/>
              <w:spacing w:line="212" w:lineRule="exact" w:before="11"/>
              <w:ind w:left="34"/>
              <w:jc w:val="center"/>
              <w:rPr>
                <w:sz w:val="19"/>
              </w:rPr>
            </w:pPr>
            <w:r>
              <w:rPr>
                <w:spacing w:val="-4"/>
                <w:sz w:val="19"/>
              </w:rPr>
              <w:t>60-</w:t>
            </w:r>
            <w:r>
              <w:rPr>
                <w:spacing w:val="-5"/>
                <w:sz w:val="19"/>
              </w:rPr>
              <w:t>80</w:t>
            </w:r>
          </w:p>
        </w:tc>
        <w:tc>
          <w:tcPr>
            <w:tcW w:w="607" w:type="dxa"/>
          </w:tcPr>
          <w:p>
            <w:pPr>
              <w:pStyle w:val="TableParagraph"/>
              <w:spacing w:line="212" w:lineRule="exact" w:before="11"/>
              <w:ind w:left="34"/>
              <w:jc w:val="center"/>
              <w:rPr>
                <w:sz w:val="19"/>
              </w:rPr>
            </w:pPr>
            <w:r>
              <w:rPr>
                <w:spacing w:val="-10"/>
                <w:sz w:val="19"/>
              </w:rPr>
              <w:t>2</w:t>
            </w:r>
          </w:p>
        </w:tc>
        <w:tc>
          <w:tcPr>
            <w:tcW w:w="645" w:type="dxa"/>
          </w:tcPr>
          <w:p>
            <w:pPr>
              <w:pStyle w:val="TableParagraph"/>
              <w:spacing w:line="212" w:lineRule="exact" w:before="11"/>
              <w:ind w:left="20"/>
              <w:jc w:val="center"/>
              <w:rPr>
                <w:sz w:val="19"/>
              </w:rPr>
            </w:pPr>
            <w:r>
              <w:rPr>
                <w:sz w:val="19"/>
              </w:rPr>
              <w:t>1</w:t>
            </w:r>
            <w:r>
              <w:rPr>
                <w:spacing w:val="-13"/>
                <w:sz w:val="19"/>
              </w:rPr>
              <w:t> </w:t>
            </w:r>
            <w:r>
              <w:rPr>
                <w:sz w:val="19"/>
              </w:rPr>
              <w:t>a</w:t>
            </w:r>
            <w:r>
              <w:rPr>
                <w:spacing w:val="-6"/>
                <w:sz w:val="19"/>
              </w:rPr>
              <w:t> </w:t>
            </w:r>
            <w:r>
              <w:rPr>
                <w:spacing w:val="-12"/>
                <w:sz w:val="19"/>
              </w:rPr>
              <w:t>2</w:t>
            </w:r>
          </w:p>
        </w:tc>
        <w:tc>
          <w:tcPr>
            <w:tcW w:w="413" w:type="dxa"/>
          </w:tcPr>
          <w:p>
            <w:pPr>
              <w:pStyle w:val="TableParagraph"/>
              <w:spacing w:line="212" w:lineRule="exact" w:before="11"/>
              <w:ind w:left="26" w:right="6"/>
              <w:jc w:val="center"/>
              <w:rPr>
                <w:sz w:val="19"/>
              </w:rPr>
            </w:pPr>
            <w:r>
              <w:rPr>
                <w:spacing w:val="-5"/>
                <w:sz w:val="19"/>
              </w:rPr>
              <w:t>si</w:t>
            </w:r>
          </w:p>
        </w:tc>
        <w:tc>
          <w:tcPr>
            <w:tcW w:w="594" w:type="dxa"/>
          </w:tcPr>
          <w:p>
            <w:pPr>
              <w:pStyle w:val="TableParagraph"/>
              <w:spacing w:line="212" w:lineRule="exact" w:before="11"/>
              <w:ind w:left="26"/>
              <w:jc w:val="center"/>
              <w:rPr>
                <w:sz w:val="19"/>
              </w:rPr>
            </w:pPr>
            <w:r>
              <w:rPr>
                <w:spacing w:val="-5"/>
                <w:sz w:val="19"/>
              </w:rPr>
              <w:t>no</w:t>
            </w:r>
          </w:p>
        </w:tc>
        <w:tc>
          <w:tcPr>
            <w:tcW w:w="852" w:type="dxa"/>
          </w:tcPr>
          <w:p>
            <w:pPr>
              <w:pStyle w:val="TableParagraph"/>
              <w:spacing w:line="212" w:lineRule="exact" w:before="11"/>
              <w:ind w:left="19"/>
              <w:jc w:val="center"/>
              <w:rPr>
                <w:sz w:val="19"/>
              </w:rPr>
            </w:pPr>
            <w:r>
              <w:rPr>
                <w:spacing w:val="-10"/>
                <w:sz w:val="19"/>
              </w:rPr>
              <w:t>2</w:t>
            </w:r>
          </w:p>
        </w:tc>
      </w:tr>
      <w:tr>
        <w:trPr>
          <w:trHeight w:val="242" w:hRule="atLeast"/>
        </w:trPr>
        <w:tc>
          <w:tcPr>
            <w:tcW w:w="2800" w:type="dxa"/>
          </w:tcPr>
          <w:p>
            <w:pPr>
              <w:pStyle w:val="TableParagraph"/>
              <w:spacing w:line="211" w:lineRule="exact" w:before="11"/>
              <w:ind w:left="31"/>
              <w:rPr>
                <w:b/>
                <w:sz w:val="19"/>
              </w:rPr>
            </w:pPr>
            <w:r>
              <w:rPr>
                <w:b/>
                <w:sz w:val="19"/>
              </w:rPr>
              <w:t>CAMINO</w:t>
            </w:r>
            <w:r>
              <w:rPr>
                <w:b/>
                <w:spacing w:val="-3"/>
                <w:sz w:val="19"/>
              </w:rPr>
              <w:t> </w:t>
            </w:r>
            <w:r>
              <w:rPr>
                <w:b/>
                <w:spacing w:val="-2"/>
                <w:sz w:val="19"/>
              </w:rPr>
              <w:t>RURAL</w:t>
            </w:r>
          </w:p>
        </w:tc>
        <w:tc>
          <w:tcPr>
            <w:tcW w:w="593" w:type="dxa"/>
          </w:tcPr>
          <w:p>
            <w:pPr>
              <w:pStyle w:val="TableParagraph"/>
              <w:spacing w:line="211" w:lineRule="exact" w:before="11"/>
              <w:ind w:left="26"/>
              <w:jc w:val="center"/>
              <w:rPr>
                <w:sz w:val="19"/>
              </w:rPr>
            </w:pPr>
            <w:r>
              <w:rPr>
                <w:spacing w:val="-5"/>
                <w:sz w:val="19"/>
              </w:rPr>
              <w:t>12</w:t>
            </w:r>
          </w:p>
        </w:tc>
        <w:tc>
          <w:tcPr>
            <w:tcW w:w="684" w:type="dxa"/>
          </w:tcPr>
          <w:p>
            <w:pPr>
              <w:pStyle w:val="TableParagraph"/>
              <w:spacing w:line="211" w:lineRule="exact" w:before="11"/>
              <w:ind w:left="34"/>
              <w:jc w:val="center"/>
              <w:rPr>
                <w:sz w:val="19"/>
              </w:rPr>
            </w:pPr>
            <w:r>
              <w:rPr>
                <w:spacing w:val="-4"/>
                <w:sz w:val="19"/>
              </w:rPr>
              <w:t>30-</w:t>
            </w:r>
            <w:r>
              <w:rPr>
                <w:spacing w:val="-5"/>
                <w:sz w:val="19"/>
              </w:rPr>
              <w:t>60</w:t>
            </w:r>
          </w:p>
        </w:tc>
        <w:tc>
          <w:tcPr>
            <w:tcW w:w="607" w:type="dxa"/>
          </w:tcPr>
          <w:p>
            <w:pPr>
              <w:pStyle w:val="TableParagraph"/>
              <w:spacing w:line="211" w:lineRule="exact" w:before="11"/>
              <w:ind w:left="34"/>
              <w:jc w:val="center"/>
              <w:rPr>
                <w:sz w:val="19"/>
              </w:rPr>
            </w:pPr>
            <w:r>
              <w:rPr>
                <w:spacing w:val="-10"/>
                <w:sz w:val="19"/>
              </w:rPr>
              <w:t>2</w:t>
            </w:r>
          </w:p>
        </w:tc>
        <w:tc>
          <w:tcPr>
            <w:tcW w:w="645" w:type="dxa"/>
          </w:tcPr>
          <w:p>
            <w:pPr>
              <w:pStyle w:val="TableParagraph"/>
              <w:spacing w:line="211" w:lineRule="exact" w:before="11"/>
              <w:ind w:left="21"/>
              <w:jc w:val="center"/>
              <w:rPr>
                <w:sz w:val="19"/>
              </w:rPr>
            </w:pPr>
            <w:r>
              <w:rPr>
                <w:spacing w:val="-10"/>
                <w:sz w:val="19"/>
              </w:rPr>
              <w:t>1</w:t>
            </w:r>
          </w:p>
        </w:tc>
        <w:tc>
          <w:tcPr>
            <w:tcW w:w="413" w:type="dxa"/>
          </w:tcPr>
          <w:p>
            <w:pPr>
              <w:pStyle w:val="TableParagraph"/>
              <w:spacing w:line="211" w:lineRule="exact" w:before="11"/>
              <w:ind w:left="26" w:right="6"/>
              <w:jc w:val="center"/>
              <w:rPr>
                <w:sz w:val="19"/>
              </w:rPr>
            </w:pPr>
            <w:r>
              <w:rPr>
                <w:spacing w:val="-5"/>
                <w:sz w:val="19"/>
              </w:rPr>
              <w:t>si</w:t>
            </w:r>
          </w:p>
        </w:tc>
        <w:tc>
          <w:tcPr>
            <w:tcW w:w="594" w:type="dxa"/>
          </w:tcPr>
          <w:p>
            <w:pPr>
              <w:pStyle w:val="TableParagraph"/>
              <w:spacing w:line="211" w:lineRule="exact" w:before="11"/>
              <w:ind w:left="26"/>
              <w:jc w:val="center"/>
              <w:rPr>
                <w:sz w:val="19"/>
              </w:rPr>
            </w:pPr>
            <w:r>
              <w:rPr>
                <w:spacing w:val="-5"/>
                <w:sz w:val="19"/>
              </w:rPr>
              <w:t>no</w:t>
            </w:r>
          </w:p>
        </w:tc>
        <w:tc>
          <w:tcPr>
            <w:tcW w:w="852" w:type="dxa"/>
          </w:tcPr>
          <w:p>
            <w:pPr>
              <w:pStyle w:val="TableParagraph"/>
              <w:spacing w:line="211" w:lineRule="exact" w:before="11"/>
              <w:ind w:left="6"/>
              <w:jc w:val="center"/>
              <w:rPr>
                <w:sz w:val="19"/>
              </w:rPr>
            </w:pPr>
            <w:r>
              <w:rPr>
                <w:sz w:val="19"/>
              </w:rPr>
              <w:t>-</w:t>
            </w:r>
          </w:p>
        </w:tc>
      </w:tr>
      <w:tr>
        <w:trPr>
          <w:trHeight w:val="243" w:hRule="atLeast"/>
        </w:trPr>
        <w:tc>
          <w:tcPr>
            <w:tcW w:w="2800" w:type="dxa"/>
          </w:tcPr>
          <w:p>
            <w:pPr>
              <w:pStyle w:val="TableParagraph"/>
              <w:spacing w:line="211" w:lineRule="exact" w:before="12"/>
              <w:ind w:left="31"/>
              <w:rPr>
                <w:b/>
                <w:sz w:val="19"/>
              </w:rPr>
            </w:pPr>
            <w:r>
              <w:rPr>
                <w:b/>
                <w:spacing w:val="-2"/>
                <w:sz w:val="19"/>
              </w:rPr>
              <w:t>ACCESO</w:t>
            </w:r>
            <w:r>
              <w:rPr>
                <w:b/>
                <w:sz w:val="19"/>
              </w:rPr>
              <w:t> </w:t>
            </w:r>
            <w:r>
              <w:rPr>
                <w:b/>
                <w:spacing w:val="-2"/>
                <w:sz w:val="19"/>
              </w:rPr>
              <w:t>CONTROLADO</w:t>
            </w:r>
            <w:r>
              <w:rPr>
                <w:b/>
                <w:sz w:val="19"/>
              </w:rPr>
              <w:t> </w:t>
            </w:r>
            <w:r>
              <w:rPr>
                <w:b/>
                <w:spacing w:val="-2"/>
                <w:sz w:val="19"/>
              </w:rPr>
              <w:t>C/LATERAL</w:t>
            </w:r>
          </w:p>
        </w:tc>
        <w:tc>
          <w:tcPr>
            <w:tcW w:w="593" w:type="dxa"/>
          </w:tcPr>
          <w:p>
            <w:pPr>
              <w:pStyle w:val="TableParagraph"/>
              <w:spacing w:line="211" w:lineRule="exact" w:before="12"/>
              <w:ind w:left="26" w:right="5"/>
              <w:jc w:val="center"/>
              <w:rPr>
                <w:sz w:val="19"/>
              </w:rPr>
            </w:pPr>
            <w:r>
              <w:rPr>
                <w:spacing w:val="-10"/>
                <w:sz w:val="19"/>
              </w:rPr>
              <w:t>6</w:t>
            </w:r>
          </w:p>
        </w:tc>
        <w:tc>
          <w:tcPr>
            <w:tcW w:w="684" w:type="dxa"/>
          </w:tcPr>
          <w:p>
            <w:pPr>
              <w:pStyle w:val="TableParagraph"/>
              <w:spacing w:line="211" w:lineRule="exact" w:before="12"/>
              <w:ind w:left="34"/>
              <w:jc w:val="center"/>
              <w:rPr>
                <w:sz w:val="19"/>
              </w:rPr>
            </w:pPr>
            <w:r>
              <w:rPr>
                <w:spacing w:val="-4"/>
                <w:sz w:val="19"/>
              </w:rPr>
              <w:t>60-</w:t>
            </w:r>
            <w:r>
              <w:rPr>
                <w:spacing w:val="-5"/>
                <w:sz w:val="19"/>
              </w:rPr>
              <w:t>80</w:t>
            </w:r>
          </w:p>
        </w:tc>
        <w:tc>
          <w:tcPr>
            <w:tcW w:w="607" w:type="dxa"/>
          </w:tcPr>
          <w:p>
            <w:pPr>
              <w:pStyle w:val="TableParagraph"/>
              <w:spacing w:line="211" w:lineRule="exact" w:before="12"/>
              <w:ind w:left="34"/>
              <w:jc w:val="center"/>
              <w:rPr>
                <w:sz w:val="19"/>
              </w:rPr>
            </w:pPr>
            <w:r>
              <w:rPr>
                <w:spacing w:val="-10"/>
                <w:sz w:val="19"/>
              </w:rPr>
              <w:t>2</w:t>
            </w:r>
          </w:p>
        </w:tc>
        <w:tc>
          <w:tcPr>
            <w:tcW w:w="645" w:type="dxa"/>
          </w:tcPr>
          <w:p>
            <w:pPr>
              <w:pStyle w:val="TableParagraph"/>
              <w:spacing w:line="211" w:lineRule="exact" w:before="12"/>
              <w:ind w:left="20"/>
              <w:jc w:val="center"/>
              <w:rPr>
                <w:sz w:val="19"/>
              </w:rPr>
            </w:pPr>
            <w:r>
              <w:rPr>
                <w:sz w:val="19"/>
              </w:rPr>
              <w:t>4</w:t>
            </w:r>
            <w:r>
              <w:rPr>
                <w:spacing w:val="-13"/>
                <w:sz w:val="19"/>
              </w:rPr>
              <w:t> </w:t>
            </w:r>
            <w:r>
              <w:rPr>
                <w:sz w:val="19"/>
              </w:rPr>
              <w:t>a</w:t>
            </w:r>
            <w:r>
              <w:rPr>
                <w:spacing w:val="-6"/>
                <w:sz w:val="19"/>
              </w:rPr>
              <w:t> </w:t>
            </w:r>
            <w:r>
              <w:rPr>
                <w:spacing w:val="-12"/>
                <w:sz w:val="19"/>
              </w:rPr>
              <w:t>6</w:t>
            </w:r>
          </w:p>
        </w:tc>
        <w:tc>
          <w:tcPr>
            <w:tcW w:w="413" w:type="dxa"/>
          </w:tcPr>
          <w:p>
            <w:pPr>
              <w:pStyle w:val="TableParagraph"/>
              <w:spacing w:line="211" w:lineRule="exact" w:before="12"/>
              <w:ind w:left="26" w:right="6"/>
              <w:jc w:val="center"/>
              <w:rPr>
                <w:sz w:val="19"/>
              </w:rPr>
            </w:pPr>
            <w:r>
              <w:rPr>
                <w:spacing w:val="-5"/>
                <w:sz w:val="19"/>
              </w:rPr>
              <w:t>si</w:t>
            </w:r>
          </w:p>
        </w:tc>
        <w:tc>
          <w:tcPr>
            <w:tcW w:w="594" w:type="dxa"/>
          </w:tcPr>
          <w:p>
            <w:pPr>
              <w:pStyle w:val="TableParagraph"/>
              <w:spacing w:line="211" w:lineRule="exact" w:before="12"/>
              <w:ind w:left="26"/>
              <w:jc w:val="center"/>
              <w:rPr>
                <w:sz w:val="19"/>
              </w:rPr>
            </w:pPr>
            <w:r>
              <w:rPr>
                <w:spacing w:val="-5"/>
                <w:sz w:val="19"/>
              </w:rPr>
              <w:t>no</w:t>
            </w:r>
          </w:p>
        </w:tc>
        <w:tc>
          <w:tcPr>
            <w:tcW w:w="852" w:type="dxa"/>
          </w:tcPr>
          <w:p>
            <w:pPr>
              <w:pStyle w:val="TableParagraph"/>
              <w:spacing w:line="211" w:lineRule="exact" w:before="12"/>
              <w:ind w:left="19"/>
              <w:jc w:val="center"/>
              <w:rPr>
                <w:sz w:val="19"/>
              </w:rPr>
            </w:pPr>
            <w:r>
              <w:rPr>
                <w:spacing w:val="-10"/>
                <w:sz w:val="19"/>
              </w:rPr>
              <w:t>3</w:t>
            </w:r>
          </w:p>
        </w:tc>
      </w:tr>
      <w:tr>
        <w:trPr>
          <w:trHeight w:val="243" w:hRule="atLeast"/>
        </w:trPr>
        <w:tc>
          <w:tcPr>
            <w:tcW w:w="2800" w:type="dxa"/>
          </w:tcPr>
          <w:p>
            <w:pPr>
              <w:pStyle w:val="TableParagraph"/>
              <w:spacing w:line="212" w:lineRule="exact" w:before="11"/>
              <w:ind w:left="31"/>
              <w:rPr>
                <w:b/>
                <w:sz w:val="19"/>
              </w:rPr>
            </w:pPr>
            <w:r>
              <w:rPr>
                <w:b/>
                <w:spacing w:val="-2"/>
                <w:sz w:val="19"/>
              </w:rPr>
              <w:t>ACCESO</w:t>
            </w:r>
            <w:r>
              <w:rPr>
                <w:b/>
                <w:sz w:val="19"/>
              </w:rPr>
              <w:t> </w:t>
            </w:r>
            <w:r>
              <w:rPr>
                <w:b/>
                <w:spacing w:val="-2"/>
                <w:sz w:val="19"/>
              </w:rPr>
              <w:t>CONTROLADO</w:t>
            </w:r>
            <w:r>
              <w:rPr>
                <w:b/>
                <w:sz w:val="19"/>
              </w:rPr>
              <w:t> </w:t>
            </w:r>
            <w:r>
              <w:rPr>
                <w:b/>
                <w:spacing w:val="-2"/>
                <w:sz w:val="19"/>
              </w:rPr>
              <w:t>S/LATERAL</w:t>
            </w:r>
          </w:p>
        </w:tc>
        <w:tc>
          <w:tcPr>
            <w:tcW w:w="593" w:type="dxa"/>
          </w:tcPr>
          <w:p>
            <w:pPr>
              <w:pStyle w:val="TableParagraph"/>
              <w:spacing w:line="212" w:lineRule="exact" w:before="11"/>
              <w:ind w:left="26" w:right="5"/>
              <w:jc w:val="center"/>
              <w:rPr>
                <w:sz w:val="19"/>
              </w:rPr>
            </w:pPr>
            <w:r>
              <w:rPr>
                <w:spacing w:val="-10"/>
                <w:sz w:val="19"/>
              </w:rPr>
              <w:t>6</w:t>
            </w:r>
          </w:p>
        </w:tc>
        <w:tc>
          <w:tcPr>
            <w:tcW w:w="684" w:type="dxa"/>
          </w:tcPr>
          <w:p>
            <w:pPr>
              <w:pStyle w:val="TableParagraph"/>
              <w:spacing w:line="212" w:lineRule="exact" w:before="11"/>
              <w:ind w:left="34"/>
              <w:jc w:val="center"/>
              <w:rPr>
                <w:sz w:val="19"/>
              </w:rPr>
            </w:pPr>
            <w:r>
              <w:rPr>
                <w:spacing w:val="-4"/>
                <w:sz w:val="19"/>
              </w:rPr>
              <w:t>60-</w:t>
            </w:r>
            <w:r>
              <w:rPr>
                <w:spacing w:val="-5"/>
                <w:sz w:val="19"/>
              </w:rPr>
              <w:t>80</w:t>
            </w:r>
          </w:p>
        </w:tc>
        <w:tc>
          <w:tcPr>
            <w:tcW w:w="607" w:type="dxa"/>
          </w:tcPr>
          <w:p>
            <w:pPr>
              <w:pStyle w:val="TableParagraph"/>
              <w:spacing w:line="212" w:lineRule="exact" w:before="11"/>
              <w:ind w:left="34"/>
              <w:jc w:val="center"/>
              <w:rPr>
                <w:sz w:val="19"/>
              </w:rPr>
            </w:pPr>
            <w:r>
              <w:rPr>
                <w:spacing w:val="-10"/>
                <w:sz w:val="19"/>
              </w:rPr>
              <w:t>2</w:t>
            </w:r>
          </w:p>
        </w:tc>
        <w:tc>
          <w:tcPr>
            <w:tcW w:w="645" w:type="dxa"/>
          </w:tcPr>
          <w:p>
            <w:pPr>
              <w:pStyle w:val="TableParagraph"/>
              <w:spacing w:line="212" w:lineRule="exact" w:before="11"/>
              <w:ind w:left="20"/>
              <w:jc w:val="center"/>
              <w:rPr>
                <w:sz w:val="19"/>
              </w:rPr>
            </w:pPr>
            <w:r>
              <w:rPr>
                <w:sz w:val="19"/>
              </w:rPr>
              <w:t>2</w:t>
            </w:r>
            <w:r>
              <w:rPr>
                <w:spacing w:val="-13"/>
                <w:sz w:val="19"/>
              </w:rPr>
              <w:t> </w:t>
            </w:r>
            <w:r>
              <w:rPr>
                <w:sz w:val="19"/>
              </w:rPr>
              <w:t>a</w:t>
            </w:r>
            <w:r>
              <w:rPr>
                <w:spacing w:val="-6"/>
                <w:sz w:val="19"/>
              </w:rPr>
              <w:t> </w:t>
            </w:r>
            <w:r>
              <w:rPr>
                <w:spacing w:val="-12"/>
                <w:sz w:val="19"/>
              </w:rPr>
              <w:t>4</w:t>
            </w:r>
          </w:p>
        </w:tc>
        <w:tc>
          <w:tcPr>
            <w:tcW w:w="413" w:type="dxa"/>
          </w:tcPr>
          <w:p>
            <w:pPr>
              <w:pStyle w:val="TableParagraph"/>
              <w:spacing w:line="212" w:lineRule="exact" w:before="11"/>
              <w:ind w:left="26"/>
              <w:jc w:val="center"/>
              <w:rPr>
                <w:sz w:val="19"/>
              </w:rPr>
            </w:pPr>
            <w:r>
              <w:rPr>
                <w:spacing w:val="-5"/>
                <w:sz w:val="19"/>
              </w:rPr>
              <w:t>no</w:t>
            </w:r>
          </w:p>
        </w:tc>
        <w:tc>
          <w:tcPr>
            <w:tcW w:w="594" w:type="dxa"/>
          </w:tcPr>
          <w:p>
            <w:pPr>
              <w:pStyle w:val="TableParagraph"/>
              <w:spacing w:line="212" w:lineRule="exact" w:before="11"/>
              <w:ind w:left="26"/>
              <w:jc w:val="center"/>
              <w:rPr>
                <w:sz w:val="19"/>
              </w:rPr>
            </w:pPr>
            <w:r>
              <w:rPr>
                <w:spacing w:val="-5"/>
                <w:sz w:val="19"/>
              </w:rPr>
              <w:t>no</w:t>
            </w:r>
          </w:p>
        </w:tc>
        <w:tc>
          <w:tcPr>
            <w:tcW w:w="852" w:type="dxa"/>
          </w:tcPr>
          <w:p>
            <w:pPr>
              <w:pStyle w:val="TableParagraph"/>
              <w:spacing w:line="212" w:lineRule="exact" w:before="11"/>
              <w:ind w:left="19"/>
              <w:jc w:val="center"/>
              <w:rPr>
                <w:sz w:val="19"/>
              </w:rPr>
            </w:pPr>
            <w:r>
              <w:rPr>
                <w:spacing w:val="-10"/>
                <w:sz w:val="19"/>
              </w:rPr>
              <w:t>3</w:t>
            </w:r>
          </w:p>
        </w:tc>
      </w:tr>
      <w:tr>
        <w:trPr>
          <w:trHeight w:val="243" w:hRule="atLeast"/>
        </w:trPr>
        <w:tc>
          <w:tcPr>
            <w:tcW w:w="2800" w:type="dxa"/>
          </w:tcPr>
          <w:p>
            <w:pPr>
              <w:pStyle w:val="TableParagraph"/>
              <w:spacing w:line="211" w:lineRule="exact" w:before="11"/>
              <w:ind w:left="31"/>
              <w:rPr>
                <w:b/>
                <w:sz w:val="19"/>
              </w:rPr>
            </w:pPr>
            <w:r>
              <w:rPr>
                <w:b/>
                <w:spacing w:val="-2"/>
                <w:sz w:val="19"/>
              </w:rPr>
              <w:t>PRIMARIA</w:t>
            </w:r>
          </w:p>
        </w:tc>
        <w:tc>
          <w:tcPr>
            <w:tcW w:w="593" w:type="dxa"/>
          </w:tcPr>
          <w:p>
            <w:pPr>
              <w:pStyle w:val="TableParagraph"/>
              <w:spacing w:line="211" w:lineRule="exact" w:before="11"/>
              <w:ind w:left="26" w:right="5"/>
              <w:jc w:val="center"/>
              <w:rPr>
                <w:sz w:val="19"/>
              </w:rPr>
            </w:pPr>
            <w:r>
              <w:rPr>
                <w:spacing w:val="-10"/>
                <w:sz w:val="19"/>
              </w:rPr>
              <w:t>8</w:t>
            </w:r>
          </w:p>
        </w:tc>
        <w:tc>
          <w:tcPr>
            <w:tcW w:w="684" w:type="dxa"/>
          </w:tcPr>
          <w:p>
            <w:pPr>
              <w:pStyle w:val="TableParagraph"/>
              <w:spacing w:line="211" w:lineRule="exact" w:before="11"/>
              <w:ind w:left="34"/>
              <w:jc w:val="center"/>
              <w:rPr>
                <w:sz w:val="19"/>
              </w:rPr>
            </w:pPr>
            <w:r>
              <w:rPr>
                <w:spacing w:val="-4"/>
                <w:sz w:val="19"/>
              </w:rPr>
              <w:t>30-</w:t>
            </w:r>
            <w:r>
              <w:rPr>
                <w:spacing w:val="-5"/>
                <w:sz w:val="19"/>
              </w:rPr>
              <w:t>60</w:t>
            </w:r>
          </w:p>
        </w:tc>
        <w:tc>
          <w:tcPr>
            <w:tcW w:w="607" w:type="dxa"/>
          </w:tcPr>
          <w:p>
            <w:pPr>
              <w:pStyle w:val="TableParagraph"/>
              <w:spacing w:line="211" w:lineRule="exact" w:before="11"/>
              <w:ind w:left="34"/>
              <w:jc w:val="center"/>
              <w:rPr>
                <w:sz w:val="19"/>
              </w:rPr>
            </w:pPr>
            <w:r>
              <w:rPr>
                <w:spacing w:val="-10"/>
                <w:sz w:val="19"/>
              </w:rPr>
              <w:t>2</w:t>
            </w:r>
          </w:p>
        </w:tc>
        <w:tc>
          <w:tcPr>
            <w:tcW w:w="645" w:type="dxa"/>
          </w:tcPr>
          <w:p>
            <w:pPr>
              <w:pStyle w:val="TableParagraph"/>
              <w:spacing w:line="211" w:lineRule="exact" w:before="11"/>
              <w:ind w:left="20"/>
              <w:jc w:val="center"/>
              <w:rPr>
                <w:sz w:val="19"/>
              </w:rPr>
            </w:pPr>
            <w:r>
              <w:rPr>
                <w:sz w:val="19"/>
              </w:rPr>
              <w:t>2</w:t>
            </w:r>
            <w:r>
              <w:rPr>
                <w:spacing w:val="-13"/>
                <w:sz w:val="19"/>
              </w:rPr>
              <w:t> </w:t>
            </w:r>
            <w:r>
              <w:rPr>
                <w:sz w:val="19"/>
              </w:rPr>
              <w:t>a</w:t>
            </w:r>
            <w:r>
              <w:rPr>
                <w:spacing w:val="-6"/>
                <w:sz w:val="19"/>
              </w:rPr>
              <w:t> </w:t>
            </w:r>
            <w:r>
              <w:rPr>
                <w:spacing w:val="-12"/>
                <w:sz w:val="19"/>
              </w:rPr>
              <w:t>3</w:t>
            </w:r>
          </w:p>
        </w:tc>
        <w:tc>
          <w:tcPr>
            <w:tcW w:w="413" w:type="dxa"/>
          </w:tcPr>
          <w:p>
            <w:pPr>
              <w:pStyle w:val="TableParagraph"/>
              <w:spacing w:line="211" w:lineRule="exact" w:before="11"/>
              <w:ind w:left="26" w:right="6"/>
              <w:jc w:val="center"/>
              <w:rPr>
                <w:sz w:val="19"/>
              </w:rPr>
            </w:pPr>
            <w:r>
              <w:rPr>
                <w:spacing w:val="-5"/>
                <w:sz w:val="19"/>
              </w:rPr>
              <w:t>si</w:t>
            </w:r>
          </w:p>
        </w:tc>
        <w:tc>
          <w:tcPr>
            <w:tcW w:w="594" w:type="dxa"/>
          </w:tcPr>
          <w:p>
            <w:pPr>
              <w:pStyle w:val="TableParagraph"/>
              <w:spacing w:line="211" w:lineRule="exact" w:before="11"/>
              <w:ind w:left="26" w:right="3"/>
              <w:jc w:val="center"/>
              <w:rPr>
                <w:sz w:val="19"/>
              </w:rPr>
            </w:pPr>
            <w:r>
              <w:rPr>
                <w:spacing w:val="-4"/>
                <w:sz w:val="19"/>
              </w:rPr>
              <w:t>cond</w:t>
            </w:r>
          </w:p>
        </w:tc>
        <w:tc>
          <w:tcPr>
            <w:tcW w:w="852" w:type="dxa"/>
          </w:tcPr>
          <w:p>
            <w:pPr>
              <w:pStyle w:val="TableParagraph"/>
              <w:spacing w:line="211" w:lineRule="exact" w:before="11"/>
              <w:ind w:left="19"/>
              <w:jc w:val="center"/>
              <w:rPr>
                <w:sz w:val="19"/>
              </w:rPr>
            </w:pPr>
            <w:r>
              <w:rPr>
                <w:spacing w:val="-10"/>
                <w:sz w:val="19"/>
              </w:rPr>
              <w:t>3</w:t>
            </w:r>
          </w:p>
        </w:tc>
      </w:tr>
      <w:tr>
        <w:trPr>
          <w:trHeight w:val="243" w:hRule="atLeast"/>
        </w:trPr>
        <w:tc>
          <w:tcPr>
            <w:tcW w:w="2800" w:type="dxa"/>
          </w:tcPr>
          <w:p>
            <w:pPr>
              <w:pStyle w:val="TableParagraph"/>
              <w:spacing w:line="212" w:lineRule="exact" w:before="11"/>
              <w:ind w:left="31"/>
              <w:rPr>
                <w:b/>
                <w:sz w:val="19"/>
              </w:rPr>
            </w:pPr>
            <w:r>
              <w:rPr>
                <w:b/>
                <w:spacing w:val="-2"/>
                <w:sz w:val="19"/>
              </w:rPr>
              <w:t>SECUNDARIA</w:t>
            </w:r>
          </w:p>
        </w:tc>
        <w:tc>
          <w:tcPr>
            <w:tcW w:w="593" w:type="dxa"/>
          </w:tcPr>
          <w:p>
            <w:pPr>
              <w:pStyle w:val="TableParagraph"/>
              <w:spacing w:line="212" w:lineRule="exact" w:before="11"/>
              <w:ind w:left="26"/>
              <w:jc w:val="center"/>
              <w:rPr>
                <w:sz w:val="19"/>
              </w:rPr>
            </w:pPr>
            <w:r>
              <w:rPr>
                <w:spacing w:val="-5"/>
                <w:sz w:val="19"/>
              </w:rPr>
              <w:t>10</w:t>
            </w:r>
          </w:p>
        </w:tc>
        <w:tc>
          <w:tcPr>
            <w:tcW w:w="684" w:type="dxa"/>
          </w:tcPr>
          <w:p>
            <w:pPr>
              <w:pStyle w:val="TableParagraph"/>
              <w:spacing w:line="212" w:lineRule="exact" w:before="11"/>
              <w:ind w:left="34"/>
              <w:jc w:val="center"/>
              <w:rPr>
                <w:sz w:val="19"/>
              </w:rPr>
            </w:pPr>
            <w:r>
              <w:rPr>
                <w:spacing w:val="-4"/>
                <w:sz w:val="19"/>
              </w:rPr>
              <w:t>30-</w:t>
            </w:r>
            <w:r>
              <w:rPr>
                <w:spacing w:val="-5"/>
                <w:sz w:val="19"/>
              </w:rPr>
              <w:t>60</w:t>
            </w:r>
          </w:p>
        </w:tc>
        <w:tc>
          <w:tcPr>
            <w:tcW w:w="607" w:type="dxa"/>
          </w:tcPr>
          <w:p>
            <w:pPr>
              <w:pStyle w:val="TableParagraph"/>
              <w:spacing w:line="212" w:lineRule="exact" w:before="11"/>
              <w:ind w:left="21"/>
              <w:jc w:val="center"/>
              <w:rPr>
                <w:sz w:val="19"/>
              </w:rPr>
            </w:pPr>
            <w:r>
              <w:rPr>
                <w:sz w:val="19"/>
              </w:rPr>
              <w:t>1</w:t>
            </w:r>
            <w:r>
              <w:rPr>
                <w:spacing w:val="-13"/>
                <w:sz w:val="19"/>
              </w:rPr>
              <w:t> </w:t>
            </w:r>
            <w:r>
              <w:rPr>
                <w:sz w:val="19"/>
              </w:rPr>
              <w:t>o</w:t>
            </w:r>
            <w:r>
              <w:rPr>
                <w:spacing w:val="-3"/>
                <w:sz w:val="19"/>
              </w:rPr>
              <w:t> </w:t>
            </w:r>
            <w:r>
              <w:rPr>
                <w:spacing w:val="-10"/>
                <w:sz w:val="19"/>
              </w:rPr>
              <w:t>2</w:t>
            </w:r>
          </w:p>
        </w:tc>
        <w:tc>
          <w:tcPr>
            <w:tcW w:w="645" w:type="dxa"/>
          </w:tcPr>
          <w:p>
            <w:pPr>
              <w:pStyle w:val="TableParagraph"/>
              <w:spacing w:line="212" w:lineRule="exact" w:before="11"/>
              <w:ind w:left="21"/>
              <w:jc w:val="center"/>
              <w:rPr>
                <w:sz w:val="19"/>
              </w:rPr>
            </w:pPr>
            <w:r>
              <w:rPr>
                <w:spacing w:val="-10"/>
                <w:sz w:val="19"/>
              </w:rPr>
              <w:t>2</w:t>
            </w:r>
          </w:p>
        </w:tc>
        <w:tc>
          <w:tcPr>
            <w:tcW w:w="413" w:type="dxa"/>
          </w:tcPr>
          <w:p>
            <w:pPr>
              <w:pStyle w:val="TableParagraph"/>
              <w:spacing w:line="212" w:lineRule="exact" w:before="11"/>
              <w:ind w:left="26" w:right="6"/>
              <w:jc w:val="center"/>
              <w:rPr>
                <w:sz w:val="19"/>
              </w:rPr>
            </w:pPr>
            <w:r>
              <w:rPr>
                <w:spacing w:val="-5"/>
                <w:sz w:val="19"/>
              </w:rPr>
              <w:t>si</w:t>
            </w:r>
          </w:p>
        </w:tc>
        <w:tc>
          <w:tcPr>
            <w:tcW w:w="594" w:type="dxa"/>
          </w:tcPr>
          <w:p>
            <w:pPr>
              <w:pStyle w:val="TableParagraph"/>
              <w:spacing w:line="212" w:lineRule="exact" w:before="11"/>
              <w:ind w:left="26" w:right="3"/>
              <w:jc w:val="center"/>
              <w:rPr>
                <w:sz w:val="19"/>
              </w:rPr>
            </w:pPr>
            <w:r>
              <w:rPr>
                <w:spacing w:val="-4"/>
                <w:sz w:val="19"/>
              </w:rPr>
              <w:t>cond</w:t>
            </w:r>
          </w:p>
        </w:tc>
        <w:tc>
          <w:tcPr>
            <w:tcW w:w="852" w:type="dxa"/>
          </w:tcPr>
          <w:p>
            <w:pPr>
              <w:pStyle w:val="TableParagraph"/>
              <w:spacing w:line="212" w:lineRule="exact" w:before="11"/>
              <w:ind w:left="20"/>
              <w:jc w:val="center"/>
              <w:rPr>
                <w:sz w:val="19"/>
              </w:rPr>
            </w:pPr>
            <w:r>
              <w:rPr>
                <w:sz w:val="19"/>
              </w:rPr>
              <w:t>2</w:t>
            </w:r>
            <w:r>
              <w:rPr>
                <w:spacing w:val="-13"/>
                <w:sz w:val="19"/>
              </w:rPr>
              <w:t> </w:t>
            </w:r>
            <w:r>
              <w:rPr>
                <w:sz w:val="19"/>
              </w:rPr>
              <w:t>a</w:t>
            </w:r>
            <w:r>
              <w:rPr>
                <w:spacing w:val="-6"/>
                <w:sz w:val="19"/>
              </w:rPr>
              <w:t> </w:t>
            </w:r>
            <w:r>
              <w:rPr>
                <w:spacing w:val="-12"/>
                <w:sz w:val="19"/>
              </w:rPr>
              <w:t>3</w:t>
            </w:r>
          </w:p>
        </w:tc>
      </w:tr>
      <w:tr>
        <w:trPr>
          <w:trHeight w:val="242" w:hRule="atLeast"/>
        </w:trPr>
        <w:tc>
          <w:tcPr>
            <w:tcW w:w="2800" w:type="dxa"/>
          </w:tcPr>
          <w:p>
            <w:pPr>
              <w:pStyle w:val="TableParagraph"/>
              <w:spacing w:line="211" w:lineRule="exact" w:before="11"/>
              <w:ind w:left="31"/>
              <w:rPr>
                <w:b/>
                <w:sz w:val="19"/>
              </w:rPr>
            </w:pPr>
            <w:r>
              <w:rPr>
                <w:b/>
                <w:spacing w:val="-2"/>
                <w:sz w:val="19"/>
              </w:rPr>
              <w:t>LOCAL</w:t>
            </w:r>
          </w:p>
        </w:tc>
        <w:tc>
          <w:tcPr>
            <w:tcW w:w="593" w:type="dxa"/>
          </w:tcPr>
          <w:p>
            <w:pPr>
              <w:pStyle w:val="TableParagraph"/>
              <w:spacing w:line="211" w:lineRule="exact" w:before="11"/>
              <w:ind w:left="26"/>
              <w:jc w:val="center"/>
              <w:rPr>
                <w:sz w:val="19"/>
              </w:rPr>
            </w:pPr>
            <w:r>
              <w:rPr>
                <w:spacing w:val="-5"/>
                <w:sz w:val="19"/>
              </w:rPr>
              <w:t>12</w:t>
            </w:r>
          </w:p>
        </w:tc>
        <w:tc>
          <w:tcPr>
            <w:tcW w:w="684" w:type="dxa"/>
          </w:tcPr>
          <w:p>
            <w:pPr>
              <w:pStyle w:val="TableParagraph"/>
              <w:spacing w:line="211" w:lineRule="exact" w:before="11"/>
              <w:ind w:left="34"/>
              <w:jc w:val="center"/>
              <w:rPr>
                <w:sz w:val="19"/>
              </w:rPr>
            </w:pPr>
            <w:r>
              <w:rPr>
                <w:spacing w:val="-4"/>
                <w:sz w:val="19"/>
              </w:rPr>
              <w:t>15-</w:t>
            </w:r>
            <w:r>
              <w:rPr>
                <w:spacing w:val="-5"/>
                <w:sz w:val="19"/>
              </w:rPr>
              <w:t>30</w:t>
            </w:r>
          </w:p>
        </w:tc>
        <w:tc>
          <w:tcPr>
            <w:tcW w:w="607" w:type="dxa"/>
          </w:tcPr>
          <w:p>
            <w:pPr>
              <w:pStyle w:val="TableParagraph"/>
              <w:spacing w:line="211" w:lineRule="exact" w:before="11"/>
              <w:ind w:left="21"/>
              <w:jc w:val="center"/>
              <w:rPr>
                <w:sz w:val="19"/>
              </w:rPr>
            </w:pPr>
            <w:r>
              <w:rPr>
                <w:sz w:val="19"/>
              </w:rPr>
              <w:t>1</w:t>
            </w:r>
            <w:r>
              <w:rPr>
                <w:spacing w:val="-13"/>
                <w:sz w:val="19"/>
              </w:rPr>
              <w:t> </w:t>
            </w:r>
            <w:r>
              <w:rPr>
                <w:sz w:val="19"/>
              </w:rPr>
              <w:t>o</w:t>
            </w:r>
            <w:r>
              <w:rPr>
                <w:spacing w:val="-3"/>
                <w:sz w:val="19"/>
              </w:rPr>
              <w:t> </w:t>
            </w:r>
            <w:r>
              <w:rPr>
                <w:spacing w:val="-10"/>
                <w:sz w:val="19"/>
              </w:rPr>
              <w:t>2</w:t>
            </w:r>
          </w:p>
        </w:tc>
        <w:tc>
          <w:tcPr>
            <w:tcW w:w="645" w:type="dxa"/>
          </w:tcPr>
          <w:p>
            <w:pPr>
              <w:pStyle w:val="TableParagraph"/>
              <w:spacing w:line="211" w:lineRule="exact" w:before="11"/>
              <w:ind w:left="21"/>
              <w:jc w:val="center"/>
              <w:rPr>
                <w:sz w:val="19"/>
              </w:rPr>
            </w:pPr>
            <w:r>
              <w:rPr>
                <w:spacing w:val="-10"/>
                <w:sz w:val="19"/>
              </w:rPr>
              <w:t>1</w:t>
            </w:r>
          </w:p>
        </w:tc>
        <w:tc>
          <w:tcPr>
            <w:tcW w:w="413" w:type="dxa"/>
          </w:tcPr>
          <w:p>
            <w:pPr>
              <w:pStyle w:val="TableParagraph"/>
              <w:spacing w:line="211" w:lineRule="exact" w:before="11"/>
              <w:ind w:left="26"/>
              <w:jc w:val="center"/>
              <w:rPr>
                <w:sz w:val="19"/>
              </w:rPr>
            </w:pPr>
            <w:r>
              <w:rPr>
                <w:spacing w:val="-5"/>
                <w:sz w:val="19"/>
              </w:rPr>
              <w:t>no</w:t>
            </w:r>
          </w:p>
        </w:tc>
        <w:tc>
          <w:tcPr>
            <w:tcW w:w="594" w:type="dxa"/>
          </w:tcPr>
          <w:p>
            <w:pPr>
              <w:pStyle w:val="TableParagraph"/>
              <w:spacing w:line="211" w:lineRule="exact" w:before="11"/>
              <w:ind w:left="26" w:right="6"/>
              <w:jc w:val="center"/>
              <w:rPr>
                <w:sz w:val="19"/>
              </w:rPr>
            </w:pPr>
            <w:r>
              <w:rPr>
                <w:spacing w:val="-5"/>
                <w:sz w:val="19"/>
              </w:rPr>
              <w:t>si</w:t>
            </w:r>
          </w:p>
        </w:tc>
        <w:tc>
          <w:tcPr>
            <w:tcW w:w="852" w:type="dxa"/>
          </w:tcPr>
          <w:p>
            <w:pPr>
              <w:pStyle w:val="TableParagraph"/>
              <w:spacing w:line="211" w:lineRule="exact" w:before="11"/>
              <w:ind w:left="32"/>
              <w:jc w:val="center"/>
              <w:rPr>
                <w:sz w:val="19"/>
              </w:rPr>
            </w:pPr>
            <w:r>
              <w:rPr>
                <w:spacing w:val="-5"/>
                <w:sz w:val="19"/>
              </w:rPr>
              <w:t>1.5</w:t>
            </w:r>
          </w:p>
        </w:tc>
      </w:tr>
      <w:tr>
        <w:trPr>
          <w:trHeight w:val="243" w:hRule="atLeast"/>
        </w:trPr>
        <w:tc>
          <w:tcPr>
            <w:tcW w:w="2800" w:type="dxa"/>
          </w:tcPr>
          <w:p>
            <w:pPr>
              <w:pStyle w:val="TableParagraph"/>
              <w:spacing w:line="211" w:lineRule="exact" w:before="12"/>
              <w:ind w:left="31"/>
              <w:rPr>
                <w:b/>
                <w:sz w:val="19"/>
              </w:rPr>
            </w:pPr>
            <w:r>
              <w:rPr>
                <w:b/>
                <w:spacing w:val="-2"/>
                <w:sz w:val="19"/>
              </w:rPr>
              <w:t>CERRADA</w:t>
            </w:r>
          </w:p>
        </w:tc>
        <w:tc>
          <w:tcPr>
            <w:tcW w:w="593" w:type="dxa"/>
          </w:tcPr>
          <w:p>
            <w:pPr>
              <w:pStyle w:val="TableParagraph"/>
              <w:spacing w:line="211" w:lineRule="exact" w:before="12"/>
              <w:ind w:left="26"/>
              <w:jc w:val="center"/>
              <w:rPr>
                <w:sz w:val="19"/>
              </w:rPr>
            </w:pPr>
            <w:r>
              <w:rPr>
                <w:spacing w:val="-5"/>
                <w:sz w:val="19"/>
              </w:rPr>
              <w:t>12</w:t>
            </w:r>
          </w:p>
        </w:tc>
        <w:tc>
          <w:tcPr>
            <w:tcW w:w="684" w:type="dxa"/>
          </w:tcPr>
          <w:p>
            <w:pPr>
              <w:pStyle w:val="TableParagraph"/>
              <w:spacing w:line="211" w:lineRule="exact" w:before="12"/>
              <w:ind w:left="13"/>
              <w:jc w:val="center"/>
              <w:rPr>
                <w:sz w:val="19"/>
              </w:rPr>
            </w:pPr>
            <w:r>
              <w:rPr>
                <w:spacing w:val="-5"/>
                <w:sz w:val="19"/>
              </w:rPr>
              <w:t>15</w:t>
            </w:r>
          </w:p>
        </w:tc>
        <w:tc>
          <w:tcPr>
            <w:tcW w:w="607" w:type="dxa"/>
          </w:tcPr>
          <w:p>
            <w:pPr>
              <w:pStyle w:val="TableParagraph"/>
              <w:spacing w:line="211" w:lineRule="exact" w:before="12"/>
              <w:ind w:left="21"/>
              <w:jc w:val="center"/>
              <w:rPr>
                <w:sz w:val="19"/>
              </w:rPr>
            </w:pPr>
            <w:r>
              <w:rPr>
                <w:sz w:val="19"/>
              </w:rPr>
              <w:t>1</w:t>
            </w:r>
            <w:r>
              <w:rPr>
                <w:spacing w:val="-13"/>
                <w:sz w:val="19"/>
              </w:rPr>
              <w:t> </w:t>
            </w:r>
            <w:r>
              <w:rPr>
                <w:sz w:val="19"/>
              </w:rPr>
              <w:t>o</w:t>
            </w:r>
            <w:r>
              <w:rPr>
                <w:spacing w:val="-3"/>
                <w:sz w:val="19"/>
              </w:rPr>
              <w:t> </w:t>
            </w:r>
            <w:r>
              <w:rPr>
                <w:spacing w:val="-10"/>
                <w:sz w:val="19"/>
              </w:rPr>
              <w:t>2</w:t>
            </w:r>
          </w:p>
        </w:tc>
        <w:tc>
          <w:tcPr>
            <w:tcW w:w="645" w:type="dxa"/>
          </w:tcPr>
          <w:p>
            <w:pPr>
              <w:pStyle w:val="TableParagraph"/>
              <w:spacing w:line="211" w:lineRule="exact" w:before="12"/>
              <w:ind w:left="21"/>
              <w:jc w:val="center"/>
              <w:rPr>
                <w:sz w:val="19"/>
              </w:rPr>
            </w:pPr>
            <w:r>
              <w:rPr>
                <w:spacing w:val="-10"/>
                <w:sz w:val="19"/>
              </w:rPr>
              <w:t>1</w:t>
            </w:r>
          </w:p>
        </w:tc>
        <w:tc>
          <w:tcPr>
            <w:tcW w:w="413" w:type="dxa"/>
          </w:tcPr>
          <w:p>
            <w:pPr>
              <w:pStyle w:val="TableParagraph"/>
              <w:spacing w:line="211" w:lineRule="exact" w:before="12"/>
              <w:ind w:left="26"/>
              <w:jc w:val="center"/>
              <w:rPr>
                <w:sz w:val="19"/>
              </w:rPr>
            </w:pPr>
            <w:r>
              <w:rPr>
                <w:spacing w:val="-5"/>
                <w:sz w:val="19"/>
              </w:rPr>
              <w:t>no</w:t>
            </w:r>
          </w:p>
        </w:tc>
        <w:tc>
          <w:tcPr>
            <w:tcW w:w="594" w:type="dxa"/>
          </w:tcPr>
          <w:p>
            <w:pPr>
              <w:pStyle w:val="TableParagraph"/>
              <w:spacing w:line="211" w:lineRule="exact" w:before="12"/>
              <w:ind w:left="26" w:right="3"/>
              <w:jc w:val="center"/>
              <w:rPr>
                <w:sz w:val="19"/>
              </w:rPr>
            </w:pPr>
            <w:r>
              <w:rPr>
                <w:spacing w:val="-4"/>
                <w:sz w:val="19"/>
              </w:rPr>
              <w:t>cond</w:t>
            </w:r>
          </w:p>
        </w:tc>
        <w:tc>
          <w:tcPr>
            <w:tcW w:w="852" w:type="dxa"/>
          </w:tcPr>
          <w:p>
            <w:pPr>
              <w:pStyle w:val="TableParagraph"/>
              <w:spacing w:line="211" w:lineRule="exact" w:before="12"/>
              <w:ind w:left="32"/>
              <w:jc w:val="center"/>
              <w:rPr>
                <w:sz w:val="19"/>
              </w:rPr>
            </w:pPr>
            <w:r>
              <w:rPr>
                <w:spacing w:val="-5"/>
                <w:sz w:val="19"/>
              </w:rPr>
              <w:t>1.2</w:t>
            </w:r>
          </w:p>
        </w:tc>
      </w:tr>
      <w:tr>
        <w:trPr>
          <w:trHeight w:val="243" w:hRule="atLeast"/>
        </w:trPr>
        <w:tc>
          <w:tcPr>
            <w:tcW w:w="2800" w:type="dxa"/>
          </w:tcPr>
          <w:p>
            <w:pPr>
              <w:pStyle w:val="TableParagraph"/>
              <w:spacing w:line="212" w:lineRule="exact" w:before="11"/>
              <w:ind w:left="31"/>
              <w:rPr>
                <w:b/>
                <w:sz w:val="19"/>
              </w:rPr>
            </w:pPr>
            <w:r>
              <w:rPr>
                <w:b/>
                <w:spacing w:val="-2"/>
                <w:sz w:val="19"/>
              </w:rPr>
              <w:t>CICLOVÍA</w:t>
            </w:r>
          </w:p>
        </w:tc>
        <w:tc>
          <w:tcPr>
            <w:tcW w:w="593" w:type="dxa"/>
          </w:tcPr>
          <w:p>
            <w:pPr>
              <w:pStyle w:val="TableParagraph"/>
              <w:spacing w:line="212" w:lineRule="exact" w:before="11"/>
              <w:ind w:left="26"/>
              <w:jc w:val="center"/>
              <w:rPr>
                <w:sz w:val="19"/>
              </w:rPr>
            </w:pPr>
            <w:r>
              <w:rPr>
                <w:spacing w:val="-5"/>
                <w:sz w:val="19"/>
              </w:rPr>
              <w:t>10</w:t>
            </w:r>
          </w:p>
        </w:tc>
        <w:tc>
          <w:tcPr>
            <w:tcW w:w="684" w:type="dxa"/>
          </w:tcPr>
          <w:p>
            <w:pPr>
              <w:pStyle w:val="TableParagraph"/>
              <w:spacing w:line="212" w:lineRule="exact" w:before="11"/>
              <w:ind w:left="34"/>
              <w:jc w:val="center"/>
              <w:rPr>
                <w:sz w:val="19"/>
              </w:rPr>
            </w:pPr>
            <w:r>
              <w:rPr>
                <w:spacing w:val="-4"/>
                <w:sz w:val="19"/>
              </w:rPr>
              <w:t>15-</w:t>
            </w:r>
            <w:r>
              <w:rPr>
                <w:spacing w:val="-5"/>
                <w:sz w:val="19"/>
              </w:rPr>
              <w:t>30</w:t>
            </w:r>
          </w:p>
        </w:tc>
        <w:tc>
          <w:tcPr>
            <w:tcW w:w="607" w:type="dxa"/>
          </w:tcPr>
          <w:p>
            <w:pPr>
              <w:pStyle w:val="TableParagraph"/>
              <w:spacing w:line="212" w:lineRule="exact" w:before="11"/>
              <w:ind w:left="21"/>
              <w:jc w:val="center"/>
              <w:rPr>
                <w:sz w:val="19"/>
              </w:rPr>
            </w:pPr>
            <w:r>
              <w:rPr>
                <w:sz w:val="19"/>
              </w:rPr>
              <w:t>1</w:t>
            </w:r>
            <w:r>
              <w:rPr>
                <w:spacing w:val="-13"/>
                <w:sz w:val="19"/>
              </w:rPr>
              <w:t> </w:t>
            </w:r>
            <w:r>
              <w:rPr>
                <w:sz w:val="19"/>
              </w:rPr>
              <w:t>o</w:t>
            </w:r>
            <w:r>
              <w:rPr>
                <w:spacing w:val="-3"/>
                <w:sz w:val="19"/>
              </w:rPr>
              <w:t> </w:t>
            </w:r>
            <w:r>
              <w:rPr>
                <w:spacing w:val="-10"/>
                <w:sz w:val="19"/>
              </w:rPr>
              <w:t>2</w:t>
            </w:r>
          </w:p>
        </w:tc>
        <w:tc>
          <w:tcPr>
            <w:tcW w:w="645" w:type="dxa"/>
          </w:tcPr>
          <w:p>
            <w:pPr>
              <w:pStyle w:val="TableParagraph"/>
              <w:spacing w:line="212" w:lineRule="exact" w:before="11"/>
              <w:ind w:left="21"/>
              <w:jc w:val="center"/>
              <w:rPr>
                <w:sz w:val="19"/>
              </w:rPr>
            </w:pPr>
            <w:r>
              <w:rPr>
                <w:spacing w:val="-10"/>
                <w:sz w:val="19"/>
              </w:rPr>
              <w:t>1</w:t>
            </w:r>
          </w:p>
        </w:tc>
        <w:tc>
          <w:tcPr>
            <w:tcW w:w="413" w:type="dxa"/>
          </w:tcPr>
          <w:p>
            <w:pPr>
              <w:pStyle w:val="TableParagraph"/>
              <w:spacing w:line="212" w:lineRule="exact" w:before="11"/>
              <w:ind w:left="26"/>
              <w:jc w:val="center"/>
              <w:rPr>
                <w:sz w:val="19"/>
              </w:rPr>
            </w:pPr>
            <w:r>
              <w:rPr>
                <w:spacing w:val="-5"/>
                <w:sz w:val="19"/>
              </w:rPr>
              <w:t>no</w:t>
            </w:r>
          </w:p>
        </w:tc>
        <w:tc>
          <w:tcPr>
            <w:tcW w:w="594" w:type="dxa"/>
          </w:tcPr>
          <w:p>
            <w:pPr>
              <w:pStyle w:val="TableParagraph"/>
              <w:spacing w:line="212" w:lineRule="exact" w:before="11"/>
              <w:ind w:left="26"/>
              <w:jc w:val="center"/>
              <w:rPr>
                <w:sz w:val="19"/>
              </w:rPr>
            </w:pPr>
            <w:r>
              <w:rPr>
                <w:spacing w:val="-5"/>
                <w:sz w:val="19"/>
              </w:rPr>
              <w:t>no</w:t>
            </w:r>
          </w:p>
        </w:tc>
        <w:tc>
          <w:tcPr>
            <w:tcW w:w="852" w:type="dxa"/>
          </w:tcPr>
          <w:p>
            <w:pPr>
              <w:pStyle w:val="TableParagraph"/>
              <w:spacing w:line="212" w:lineRule="exact" w:before="11"/>
              <w:ind w:left="6"/>
              <w:jc w:val="center"/>
              <w:rPr>
                <w:sz w:val="19"/>
              </w:rPr>
            </w:pPr>
            <w:r>
              <w:rPr>
                <w:sz w:val="19"/>
              </w:rPr>
              <w:t>-</w:t>
            </w:r>
          </w:p>
        </w:tc>
      </w:tr>
      <w:tr>
        <w:trPr>
          <w:trHeight w:val="242" w:hRule="atLeast"/>
        </w:trPr>
        <w:tc>
          <w:tcPr>
            <w:tcW w:w="2800" w:type="dxa"/>
          </w:tcPr>
          <w:p>
            <w:pPr>
              <w:pStyle w:val="TableParagraph"/>
              <w:spacing w:line="211" w:lineRule="exact" w:before="11"/>
              <w:ind w:left="31"/>
              <w:rPr>
                <w:b/>
                <w:sz w:val="19"/>
              </w:rPr>
            </w:pPr>
            <w:r>
              <w:rPr>
                <w:b/>
                <w:spacing w:val="-2"/>
                <w:sz w:val="19"/>
              </w:rPr>
              <w:t>ANDADOR</w:t>
            </w:r>
          </w:p>
        </w:tc>
        <w:tc>
          <w:tcPr>
            <w:tcW w:w="593" w:type="dxa"/>
          </w:tcPr>
          <w:p>
            <w:pPr>
              <w:pStyle w:val="TableParagraph"/>
              <w:spacing w:line="211" w:lineRule="exact" w:before="11"/>
              <w:ind w:left="26" w:right="4"/>
              <w:jc w:val="center"/>
              <w:rPr>
                <w:sz w:val="19"/>
              </w:rPr>
            </w:pPr>
            <w:r>
              <w:rPr>
                <w:spacing w:val="-5"/>
                <w:sz w:val="19"/>
              </w:rPr>
              <w:t>&gt;12</w:t>
            </w:r>
          </w:p>
        </w:tc>
        <w:tc>
          <w:tcPr>
            <w:tcW w:w="684" w:type="dxa"/>
          </w:tcPr>
          <w:p>
            <w:pPr>
              <w:pStyle w:val="TableParagraph"/>
              <w:spacing w:line="211" w:lineRule="exact" w:before="11"/>
              <w:ind w:left="22"/>
              <w:jc w:val="center"/>
              <w:rPr>
                <w:sz w:val="19"/>
              </w:rPr>
            </w:pPr>
            <w:r>
              <w:rPr>
                <w:sz w:val="19"/>
              </w:rPr>
              <w:t>-</w:t>
            </w:r>
          </w:p>
        </w:tc>
        <w:tc>
          <w:tcPr>
            <w:tcW w:w="607" w:type="dxa"/>
          </w:tcPr>
          <w:p>
            <w:pPr>
              <w:pStyle w:val="TableParagraph"/>
              <w:spacing w:line="211" w:lineRule="exact" w:before="11"/>
              <w:ind w:left="21"/>
              <w:jc w:val="center"/>
              <w:rPr>
                <w:sz w:val="19"/>
              </w:rPr>
            </w:pPr>
            <w:r>
              <w:rPr>
                <w:sz w:val="19"/>
              </w:rPr>
              <w:t>-</w:t>
            </w:r>
          </w:p>
        </w:tc>
        <w:tc>
          <w:tcPr>
            <w:tcW w:w="645" w:type="dxa"/>
          </w:tcPr>
          <w:p>
            <w:pPr>
              <w:pStyle w:val="TableParagraph"/>
              <w:spacing w:line="211" w:lineRule="exact" w:before="11"/>
              <w:ind w:left="7"/>
              <w:jc w:val="center"/>
              <w:rPr>
                <w:sz w:val="19"/>
              </w:rPr>
            </w:pPr>
            <w:r>
              <w:rPr>
                <w:sz w:val="19"/>
              </w:rPr>
              <w:t>-</w:t>
            </w:r>
          </w:p>
        </w:tc>
        <w:tc>
          <w:tcPr>
            <w:tcW w:w="413" w:type="dxa"/>
          </w:tcPr>
          <w:p>
            <w:pPr>
              <w:pStyle w:val="TableParagraph"/>
              <w:spacing w:line="211" w:lineRule="exact" w:before="11"/>
              <w:ind w:left="26"/>
              <w:jc w:val="center"/>
              <w:rPr>
                <w:sz w:val="19"/>
              </w:rPr>
            </w:pPr>
            <w:r>
              <w:rPr>
                <w:spacing w:val="-5"/>
                <w:sz w:val="19"/>
              </w:rPr>
              <w:t>no</w:t>
            </w:r>
          </w:p>
        </w:tc>
        <w:tc>
          <w:tcPr>
            <w:tcW w:w="594" w:type="dxa"/>
          </w:tcPr>
          <w:p>
            <w:pPr>
              <w:pStyle w:val="TableParagraph"/>
              <w:spacing w:line="211" w:lineRule="exact" w:before="11"/>
              <w:ind w:left="26"/>
              <w:jc w:val="center"/>
              <w:rPr>
                <w:sz w:val="19"/>
              </w:rPr>
            </w:pPr>
            <w:r>
              <w:rPr>
                <w:spacing w:val="-5"/>
                <w:sz w:val="19"/>
              </w:rPr>
              <w:t>no</w:t>
            </w:r>
          </w:p>
        </w:tc>
        <w:tc>
          <w:tcPr>
            <w:tcW w:w="852" w:type="dxa"/>
          </w:tcPr>
          <w:p>
            <w:pPr>
              <w:pStyle w:val="TableParagraph"/>
              <w:spacing w:line="211" w:lineRule="exact" w:before="11"/>
              <w:ind w:left="6"/>
              <w:jc w:val="center"/>
              <w:rPr>
                <w:sz w:val="19"/>
              </w:rPr>
            </w:pPr>
            <w:r>
              <w:rPr>
                <w:sz w:val="19"/>
              </w:rPr>
              <w:t>-</w:t>
            </w:r>
          </w:p>
        </w:tc>
      </w:tr>
    </w:tbl>
    <w:p>
      <w:pPr>
        <w:pStyle w:val="TableParagraph"/>
        <w:spacing w:after="0" w:line="211" w:lineRule="exact"/>
        <w:jc w:val="center"/>
        <w:rPr>
          <w:sz w:val="19"/>
        </w:rPr>
        <w:sectPr>
          <w:pgSz w:w="12240" w:h="15840"/>
          <w:pgMar w:header="720" w:footer="697" w:top="2100" w:bottom="880" w:left="1440" w:right="1440"/>
        </w:sectPr>
      </w:pPr>
    </w:p>
    <w:p>
      <w:pPr>
        <w:pStyle w:val="BodyText"/>
      </w:pPr>
    </w:p>
    <w:p>
      <w:pPr>
        <w:pStyle w:val="BodyText"/>
        <w:spacing w:before="71"/>
      </w:pPr>
    </w:p>
    <w:p>
      <w:pPr>
        <w:pStyle w:val="BodyText"/>
        <w:ind w:left="262" w:right="283"/>
        <w:jc w:val="both"/>
      </w:pPr>
      <w:r>
        <w:rPr>
          <w:rFonts w:ascii="Arial" w:hAnsi="Arial"/>
          <w:b/>
        </w:rPr>
        <w:t>ARTÍCULO</w:t>
      </w:r>
      <w:r>
        <w:rPr>
          <w:rFonts w:ascii="Arial" w:hAnsi="Arial"/>
          <w:b/>
          <w:spacing w:val="-10"/>
        </w:rPr>
        <w:t> </w:t>
      </w:r>
      <w:r>
        <w:rPr>
          <w:rFonts w:ascii="Arial" w:hAnsi="Arial"/>
          <w:b/>
        </w:rPr>
        <w:t>173.</w:t>
      </w:r>
      <w:r>
        <w:rPr>
          <w:rFonts w:ascii="Arial" w:hAnsi="Arial"/>
          <w:b/>
          <w:spacing w:val="-9"/>
        </w:rPr>
        <w:t> </w:t>
      </w:r>
      <w:r>
        <w:rPr/>
        <w:t>Todas</w:t>
      </w:r>
      <w:r>
        <w:rPr>
          <w:spacing w:val="-10"/>
        </w:rPr>
        <w:t> </w:t>
      </w:r>
      <w:r>
        <w:rPr/>
        <w:t>las</w:t>
      </w:r>
      <w:r>
        <w:rPr>
          <w:spacing w:val="-8"/>
        </w:rPr>
        <w:t> </w:t>
      </w:r>
      <w:r>
        <w:rPr/>
        <w:t>vías</w:t>
      </w:r>
      <w:r>
        <w:rPr>
          <w:spacing w:val="-11"/>
        </w:rPr>
        <w:t> </w:t>
      </w:r>
      <w:r>
        <w:rPr/>
        <w:t>públicas</w:t>
      </w:r>
      <w:r>
        <w:rPr>
          <w:spacing w:val="-8"/>
        </w:rPr>
        <w:t> </w:t>
      </w:r>
      <w:r>
        <w:rPr/>
        <w:t>o</w:t>
      </w:r>
      <w:r>
        <w:rPr>
          <w:spacing w:val="-9"/>
        </w:rPr>
        <w:t> </w:t>
      </w:r>
      <w:r>
        <w:rPr/>
        <w:t>privadas</w:t>
      </w:r>
      <w:r>
        <w:rPr>
          <w:spacing w:val="-10"/>
        </w:rPr>
        <w:t> </w:t>
      </w:r>
      <w:r>
        <w:rPr/>
        <w:t>que</w:t>
      </w:r>
      <w:r>
        <w:rPr>
          <w:spacing w:val="-11"/>
        </w:rPr>
        <w:t> </w:t>
      </w:r>
      <w:r>
        <w:rPr/>
        <w:t>se</w:t>
      </w:r>
      <w:r>
        <w:rPr>
          <w:spacing w:val="-11"/>
        </w:rPr>
        <w:t> </w:t>
      </w:r>
      <w:r>
        <w:rPr/>
        <w:t>construyan</w:t>
      </w:r>
      <w:r>
        <w:rPr>
          <w:spacing w:val="-9"/>
        </w:rPr>
        <w:t> </w:t>
      </w:r>
      <w:r>
        <w:rPr/>
        <w:t>deberán</w:t>
      </w:r>
      <w:r>
        <w:rPr>
          <w:spacing w:val="-9"/>
        </w:rPr>
        <w:t> </w:t>
      </w:r>
      <w:r>
        <w:rPr/>
        <w:t>contar</w:t>
      </w:r>
      <w:r>
        <w:rPr>
          <w:spacing w:val="-10"/>
        </w:rPr>
        <w:t> </w:t>
      </w:r>
      <w:r>
        <w:rPr/>
        <w:t>con</w:t>
      </w:r>
      <w:r>
        <w:rPr>
          <w:spacing w:val="-10"/>
        </w:rPr>
        <w:t> </w:t>
      </w:r>
      <w:r>
        <w:rPr/>
        <w:t>el</w:t>
      </w:r>
      <w:r>
        <w:rPr>
          <w:spacing w:val="-10"/>
        </w:rPr>
        <w:t> </w:t>
      </w:r>
      <w:r>
        <w:rPr/>
        <w:t>diseño apropiado para facilitar la circulación de personas con discapacidad.</w:t>
      </w:r>
    </w:p>
    <w:p>
      <w:pPr>
        <w:pStyle w:val="BodyText"/>
        <w:spacing w:before="1"/>
      </w:pPr>
    </w:p>
    <w:p>
      <w:pPr>
        <w:pStyle w:val="BodyText"/>
        <w:ind w:left="262" w:right="286"/>
        <w:jc w:val="both"/>
      </w:pPr>
      <w:r>
        <w:rPr/>
        <w:t>Las nuevas vialidades deberán considerar la continuidad, seguridad, coherencia, comodidad y atractivo</w:t>
      </w:r>
      <w:r>
        <w:rPr>
          <w:spacing w:val="-14"/>
        </w:rPr>
        <w:t> </w:t>
      </w:r>
      <w:r>
        <w:rPr/>
        <w:t>de</w:t>
      </w:r>
      <w:r>
        <w:rPr>
          <w:spacing w:val="-14"/>
        </w:rPr>
        <w:t> </w:t>
      </w:r>
      <w:r>
        <w:rPr/>
        <w:t>los</w:t>
      </w:r>
      <w:r>
        <w:rPr>
          <w:spacing w:val="-14"/>
        </w:rPr>
        <w:t> </w:t>
      </w:r>
      <w:r>
        <w:rPr/>
        <w:t>trayectos</w:t>
      </w:r>
      <w:r>
        <w:rPr>
          <w:spacing w:val="-14"/>
        </w:rPr>
        <w:t> </w:t>
      </w:r>
      <w:r>
        <w:rPr/>
        <w:t>peatonales</w:t>
      </w:r>
      <w:r>
        <w:rPr>
          <w:spacing w:val="-14"/>
        </w:rPr>
        <w:t> </w:t>
      </w:r>
      <w:r>
        <w:rPr/>
        <w:t>y</w:t>
      </w:r>
      <w:r>
        <w:rPr>
          <w:spacing w:val="-14"/>
        </w:rPr>
        <w:t> </w:t>
      </w:r>
      <w:r>
        <w:rPr/>
        <w:t>ciclistas;</w:t>
      </w:r>
      <w:r>
        <w:rPr>
          <w:spacing w:val="-14"/>
        </w:rPr>
        <w:t> </w:t>
      </w:r>
      <w:r>
        <w:rPr/>
        <w:t>eliminación</w:t>
      </w:r>
      <w:r>
        <w:rPr>
          <w:spacing w:val="-14"/>
        </w:rPr>
        <w:t> </w:t>
      </w:r>
      <w:r>
        <w:rPr/>
        <w:t>de</w:t>
      </w:r>
      <w:r>
        <w:rPr>
          <w:spacing w:val="-14"/>
        </w:rPr>
        <w:t> </w:t>
      </w:r>
      <w:r>
        <w:rPr/>
        <w:t>barreras</w:t>
      </w:r>
      <w:r>
        <w:rPr>
          <w:spacing w:val="-13"/>
        </w:rPr>
        <w:t> </w:t>
      </w:r>
      <w:r>
        <w:rPr/>
        <w:t>y</w:t>
      </w:r>
      <w:r>
        <w:rPr>
          <w:spacing w:val="-14"/>
        </w:rPr>
        <w:t> </w:t>
      </w:r>
      <w:r>
        <w:rPr/>
        <w:t>discontinuidades;</w:t>
      </w:r>
      <w:r>
        <w:rPr>
          <w:spacing w:val="-14"/>
        </w:rPr>
        <w:t> </w:t>
      </w:r>
      <w:r>
        <w:rPr/>
        <w:t>inclusión de espacios de movilidad no motorizada.</w:t>
      </w:r>
    </w:p>
    <w:p>
      <w:pPr>
        <w:pStyle w:val="BodyText"/>
        <w:spacing w:before="229"/>
        <w:ind w:left="262" w:right="280"/>
        <w:jc w:val="both"/>
      </w:pPr>
      <w:r>
        <w:rPr/>
        <w:t>En las banquetas de las calles y vialidades primarias, secundarias o subcolectores, deberán contemplarse cajetes o arriates para la plantación de árboles, preferentemente nativos de la región natural y de raíz vertical, los cuales se ubicarán en una franja de servicios que no interfiera con el libre paso de peatones.</w:t>
      </w:r>
    </w:p>
    <w:p>
      <w:pPr>
        <w:pStyle w:val="BodyText"/>
        <w:spacing w:before="1"/>
      </w:pPr>
    </w:p>
    <w:p>
      <w:pPr>
        <w:pStyle w:val="BodyText"/>
        <w:ind w:left="262" w:right="280"/>
        <w:jc w:val="both"/>
      </w:pPr>
      <w:r>
        <w:rPr>
          <w:rFonts w:ascii="Arial" w:hAnsi="Arial"/>
          <w:b/>
        </w:rPr>
        <w:t>ARTÍCULO 174. </w:t>
      </w:r>
      <w:r>
        <w:rPr/>
        <w:t>Las vialidades o calles colectoras de los fraccionamientos y condominios habitacionales urbanos, deberán estar de acuerdo con la estrategia de vialidad prevista en los programas de desarrollo urbano, de centro de población, de ordenación de zonas conurbadas, en los programas parciales de desarrollo urbano, programas de movilidad y demás disposiciones jurídicas aplicables.</w:t>
      </w:r>
    </w:p>
    <w:p>
      <w:pPr>
        <w:pStyle w:val="BodyText"/>
      </w:pPr>
    </w:p>
    <w:p>
      <w:pPr>
        <w:pStyle w:val="BodyText"/>
        <w:ind w:left="262" w:right="280"/>
        <w:jc w:val="both"/>
      </w:pPr>
      <w:r>
        <w:rPr>
          <w:rFonts w:ascii="Arial" w:hAnsi="Arial"/>
          <w:b/>
        </w:rPr>
        <w:t>ARTÍCULO</w:t>
      </w:r>
      <w:r>
        <w:rPr>
          <w:rFonts w:ascii="Arial" w:hAnsi="Arial"/>
          <w:b/>
          <w:spacing w:val="-13"/>
        </w:rPr>
        <w:t> </w:t>
      </w:r>
      <w:r>
        <w:rPr>
          <w:rFonts w:ascii="Arial" w:hAnsi="Arial"/>
          <w:b/>
        </w:rPr>
        <w:t>175.</w:t>
      </w:r>
      <w:r>
        <w:rPr>
          <w:rFonts w:ascii="Arial" w:hAnsi="Arial"/>
          <w:b/>
          <w:spacing w:val="-14"/>
        </w:rPr>
        <w:t> </w:t>
      </w:r>
      <w:r>
        <w:rPr/>
        <w:t>Cuando</w:t>
      </w:r>
      <w:r>
        <w:rPr>
          <w:spacing w:val="-14"/>
        </w:rPr>
        <w:t> </w:t>
      </w:r>
      <w:r>
        <w:rPr/>
        <w:t>las</w:t>
      </w:r>
      <w:r>
        <w:rPr>
          <w:spacing w:val="-12"/>
        </w:rPr>
        <w:t> </w:t>
      </w:r>
      <w:r>
        <w:rPr/>
        <w:t>autoridades</w:t>
      </w:r>
      <w:r>
        <w:rPr>
          <w:spacing w:val="-14"/>
        </w:rPr>
        <w:t> </w:t>
      </w:r>
      <w:r>
        <w:rPr/>
        <w:t>competentes</w:t>
      </w:r>
      <w:r>
        <w:rPr>
          <w:spacing w:val="-13"/>
        </w:rPr>
        <w:t> </w:t>
      </w:r>
      <w:r>
        <w:rPr/>
        <w:t>proyecten</w:t>
      </w:r>
      <w:r>
        <w:rPr>
          <w:spacing w:val="-14"/>
        </w:rPr>
        <w:t> </w:t>
      </w:r>
      <w:r>
        <w:rPr/>
        <w:t>una</w:t>
      </w:r>
      <w:r>
        <w:rPr>
          <w:spacing w:val="-14"/>
        </w:rPr>
        <w:t> </w:t>
      </w:r>
      <w:r>
        <w:rPr/>
        <w:t>arteria</w:t>
      </w:r>
      <w:r>
        <w:rPr>
          <w:spacing w:val="-12"/>
        </w:rPr>
        <w:t> </w:t>
      </w:r>
      <w:r>
        <w:rPr/>
        <w:t>de</w:t>
      </w:r>
      <w:r>
        <w:rPr>
          <w:spacing w:val="-14"/>
        </w:rPr>
        <w:t> </w:t>
      </w:r>
      <w:r>
        <w:rPr/>
        <w:t>alta</w:t>
      </w:r>
      <w:r>
        <w:rPr>
          <w:spacing w:val="-14"/>
        </w:rPr>
        <w:t> </w:t>
      </w:r>
      <w:r>
        <w:rPr/>
        <w:t>velocidad</w:t>
      </w:r>
      <w:r>
        <w:rPr>
          <w:spacing w:val="-11"/>
        </w:rPr>
        <w:t> </w:t>
      </w:r>
      <w:r>
        <w:rPr/>
        <w:t>o</w:t>
      </w:r>
      <w:r>
        <w:rPr>
          <w:spacing w:val="-14"/>
        </w:rPr>
        <w:t> </w:t>
      </w:r>
      <w:r>
        <w:rPr/>
        <w:t>ésta ya exista, dentro de un fraccionamiento, condominio o desarrollo inmobiliario especial, los lotes o predios</w:t>
      </w:r>
      <w:r>
        <w:rPr>
          <w:spacing w:val="-7"/>
        </w:rPr>
        <w:t> </w:t>
      </w:r>
      <w:r>
        <w:rPr/>
        <w:t>de</w:t>
      </w:r>
      <w:r>
        <w:rPr>
          <w:spacing w:val="-6"/>
        </w:rPr>
        <w:t> </w:t>
      </w:r>
      <w:r>
        <w:rPr/>
        <w:t>éste</w:t>
      </w:r>
      <w:r>
        <w:rPr>
          <w:spacing w:val="-6"/>
        </w:rPr>
        <w:t> </w:t>
      </w:r>
      <w:r>
        <w:rPr/>
        <w:t>no</w:t>
      </w:r>
      <w:r>
        <w:rPr>
          <w:spacing w:val="-6"/>
        </w:rPr>
        <w:t> </w:t>
      </w:r>
      <w:r>
        <w:rPr/>
        <w:t>podrán</w:t>
      </w:r>
      <w:r>
        <w:rPr>
          <w:spacing w:val="-6"/>
        </w:rPr>
        <w:t> </w:t>
      </w:r>
      <w:r>
        <w:rPr/>
        <w:t>tener</w:t>
      </w:r>
      <w:r>
        <w:rPr>
          <w:spacing w:val="-5"/>
        </w:rPr>
        <w:t> </w:t>
      </w:r>
      <w:r>
        <w:rPr/>
        <w:t>acceso</w:t>
      </w:r>
      <w:r>
        <w:rPr>
          <w:spacing w:val="-8"/>
        </w:rPr>
        <w:t> </w:t>
      </w:r>
      <w:r>
        <w:rPr/>
        <w:t>directo</w:t>
      </w:r>
      <w:r>
        <w:rPr>
          <w:spacing w:val="-6"/>
        </w:rPr>
        <w:t> </w:t>
      </w:r>
      <w:r>
        <w:rPr/>
        <w:t>a</w:t>
      </w:r>
      <w:r>
        <w:rPr>
          <w:spacing w:val="-6"/>
        </w:rPr>
        <w:t> </w:t>
      </w:r>
      <w:r>
        <w:rPr/>
        <w:t>ella;</w:t>
      </w:r>
      <w:r>
        <w:rPr>
          <w:spacing w:val="-5"/>
        </w:rPr>
        <w:t> </w:t>
      </w:r>
      <w:r>
        <w:rPr/>
        <w:t>en</w:t>
      </w:r>
      <w:r>
        <w:rPr>
          <w:spacing w:val="-6"/>
        </w:rPr>
        <w:t> </w:t>
      </w:r>
      <w:r>
        <w:rPr/>
        <w:t>este</w:t>
      </w:r>
      <w:r>
        <w:rPr>
          <w:spacing w:val="-8"/>
        </w:rPr>
        <w:t> </w:t>
      </w:r>
      <w:r>
        <w:rPr/>
        <w:t>caso,</w:t>
      </w:r>
      <w:r>
        <w:rPr>
          <w:spacing w:val="-8"/>
        </w:rPr>
        <w:t> </w:t>
      </w:r>
      <w:r>
        <w:rPr/>
        <w:t>se</w:t>
      </w:r>
      <w:r>
        <w:rPr>
          <w:spacing w:val="-6"/>
        </w:rPr>
        <w:t> </w:t>
      </w:r>
      <w:r>
        <w:rPr/>
        <w:t>tendrá</w:t>
      </w:r>
      <w:r>
        <w:rPr>
          <w:spacing w:val="-6"/>
        </w:rPr>
        <w:t> </w:t>
      </w:r>
      <w:r>
        <w:rPr/>
        <w:t>que</w:t>
      </w:r>
      <w:r>
        <w:rPr>
          <w:spacing w:val="-6"/>
        </w:rPr>
        <w:t> </w:t>
      </w:r>
      <w:r>
        <w:rPr/>
        <w:t>proyectar</w:t>
      </w:r>
      <w:r>
        <w:rPr>
          <w:spacing w:val="-5"/>
        </w:rPr>
        <w:t> </w:t>
      </w:r>
      <w:r>
        <w:rPr/>
        <w:t>carriles laterales de baja velocidad y de estacionamiento.</w:t>
      </w:r>
    </w:p>
    <w:p>
      <w:pPr>
        <w:pStyle w:val="BodyText"/>
        <w:spacing w:before="230"/>
        <w:ind w:left="262" w:right="279"/>
        <w:jc w:val="both"/>
      </w:pPr>
      <w:r>
        <w:rPr>
          <w:rFonts w:ascii="Arial" w:hAnsi="Arial"/>
          <w:b/>
        </w:rPr>
        <w:t>ARTÍCULO 176.</w:t>
      </w:r>
      <w:r>
        <w:rPr>
          <w:rFonts w:ascii="Arial" w:hAnsi="Arial"/>
          <w:b/>
          <w:spacing w:val="-2"/>
        </w:rPr>
        <w:t> </w:t>
      </w:r>
      <w:r>
        <w:rPr/>
        <w:t>Ninguna</w:t>
      </w:r>
      <w:r>
        <w:rPr>
          <w:spacing w:val="-2"/>
        </w:rPr>
        <w:t> </w:t>
      </w:r>
      <w:r>
        <w:rPr/>
        <w:t>de</w:t>
      </w:r>
      <w:r>
        <w:rPr>
          <w:spacing w:val="-4"/>
        </w:rPr>
        <w:t> </w:t>
      </w:r>
      <w:r>
        <w:rPr/>
        <w:t>las</w:t>
      </w:r>
      <w:r>
        <w:rPr>
          <w:spacing w:val="-3"/>
        </w:rPr>
        <w:t> </w:t>
      </w:r>
      <w:r>
        <w:rPr/>
        <w:t>vialidades</w:t>
      </w:r>
      <w:r>
        <w:rPr>
          <w:spacing w:val="-1"/>
        </w:rPr>
        <w:t> </w:t>
      </w:r>
      <w:r>
        <w:rPr/>
        <w:t>o</w:t>
      </w:r>
      <w:r>
        <w:rPr>
          <w:spacing w:val="-4"/>
        </w:rPr>
        <w:t> </w:t>
      </w:r>
      <w:r>
        <w:rPr/>
        <w:t>calles</w:t>
      </w:r>
      <w:r>
        <w:rPr>
          <w:spacing w:val="-3"/>
        </w:rPr>
        <w:t> </w:t>
      </w:r>
      <w:r>
        <w:rPr/>
        <w:t>de</w:t>
      </w:r>
      <w:r>
        <w:rPr>
          <w:spacing w:val="-2"/>
        </w:rPr>
        <w:t> </w:t>
      </w:r>
      <w:r>
        <w:rPr/>
        <w:t>un</w:t>
      </w:r>
      <w:r>
        <w:rPr>
          <w:spacing w:val="-5"/>
        </w:rPr>
        <w:t> </w:t>
      </w:r>
      <w:r>
        <w:rPr/>
        <w:t>fraccionamiento,</w:t>
      </w:r>
      <w:r>
        <w:rPr>
          <w:spacing w:val="-4"/>
        </w:rPr>
        <w:t> </w:t>
      </w:r>
      <w:r>
        <w:rPr/>
        <w:t>condominio</w:t>
      </w:r>
      <w:r>
        <w:rPr>
          <w:spacing w:val="-2"/>
        </w:rPr>
        <w:t> </w:t>
      </w:r>
      <w:r>
        <w:rPr/>
        <w:t>o</w:t>
      </w:r>
      <w:r>
        <w:rPr>
          <w:spacing w:val="-2"/>
        </w:rPr>
        <w:t> </w:t>
      </w:r>
      <w:r>
        <w:rPr/>
        <w:t>desarrollo inmobiliario especial en proyecto, que sea prolongación de otra contigua o de cualquier vialidad o calle</w:t>
      </w:r>
      <w:r>
        <w:rPr>
          <w:spacing w:val="-9"/>
        </w:rPr>
        <w:t> </w:t>
      </w:r>
      <w:r>
        <w:rPr/>
        <w:t>del</w:t>
      </w:r>
      <w:r>
        <w:rPr>
          <w:spacing w:val="-10"/>
        </w:rPr>
        <w:t> </w:t>
      </w:r>
      <w:r>
        <w:rPr/>
        <w:t>centro</w:t>
      </w:r>
      <w:r>
        <w:rPr>
          <w:spacing w:val="-9"/>
        </w:rPr>
        <w:t> </w:t>
      </w:r>
      <w:r>
        <w:rPr/>
        <w:t>de</w:t>
      </w:r>
      <w:r>
        <w:rPr>
          <w:spacing w:val="-9"/>
        </w:rPr>
        <w:t> </w:t>
      </w:r>
      <w:r>
        <w:rPr/>
        <w:t>población,</w:t>
      </w:r>
      <w:r>
        <w:rPr>
          <w:spacing w:val="-12"/>
        </w:rPr>
        <w:t> </w:t>
      </w:r>
      <w:r>
        <w:rPr/>
        <w:t>podrá</w:t>
      </w:r>
      <w:r>
        <w:rPr>
          <w:spacing w:val="-9"/>
        </w:rPr>
        <w:t> </w:t>
      </w:r>
      <w:r>
        <w:rPr/>
        <w:t>tener</w:t>
      </w:r>
      <w:r>
        <w:rPr>
          <w:spacing w:val="-8"/>
        </w:rPr>
        <w:t> </w:t>
      </w:r>
      <w:r>
        <w:rPr/>
        <w:t>una</w:t>
      </w:r>
      <w:r>
        <w:rPr>
          <w:spacing w:val="-9"/>
        </w:rPr>
        <w:t> </w:t>
      </w:r>
      <w:r>
        <w:rPr/>
        <w:t>anchura</w:t>
      </w:r>
      <w:r>
        <w:rPr>
          <w:spacing w:val="-7"/>
        </w:rPr>
        <w:t> </w:t>
      </w:r>
      <w:r>
        <w:rPr/>
        <w:t>menor</w:t>
      </w:r>
      <w:r>
        <w:rPr>
          <w:spacing w:val="-8"/>
        </w:rPr>
        <w:t> </w:t>
      </w:r>
      <w:r>
        <w:rPr/>
        <w:t>que</w:t>
      </w:r>
      <w:r>
        <w:rPr>
          <w:spacing w:val="-10"/>
        </w:rPr>
        <w:t> </w:t>
      </w:r>
      <w:r>
        <w:rPr/>
        <w:t>aquélla,</w:t>
      </w:r>
      <w:r>
        <w:rPr>
          <w:spacing w:val="-9"/>
        </w:rPr>
        <w:t> </w:t>
      </w:r>
      <w:r>
        <w:rPr/>
        <w:t>y</w:t>
      </w:r>
      <w:r>
        <w:rPr>
          <w:spacing w:val="-2"/>
        </w:rPr>
        <w:t> </w:t>
      </w:r>
      <w:r>
        <w:rPr/>
        <w:t>si</w:t>
      </w:r>
      <w:r>
        <w:rPr>
          <w:spacing w:val="-10"/>
        </w:rPr>
        <w:t> </w:t>
      </w:r>
      <w:r>
        <w:rPr/>
        <w:t>la</w:t>
      </w:r>
      <w:r>
        <w:rPr>
          <w:spacing w:val="-9"/>
        </w:rPr>
        <w:t> </w:t>
      </w:r>
      <w:r>
        <w:rPr/>
        <w:t>vialidad</w:t>
      </w:r>
      <w:r>
        <w:rPr>
          <w:spacing w:val="-9"/>
        </w:rPr>
        <w:t> </w:t>
      </w:r>
      <w:r>
        <w:rPr/>
        <w:t>o</w:t>
      </w:r>
      <w:r>
        <w:rPr>
          <w:spacing w:val="-9"/>
        </w:rPr>
        <w:t> </w:t>
      </w:r>
      <w:r>
        <w:rPr/>
        <w:t>calle</w:t>
      </w:r>
      <w:r>
        <w:rPr>
          <w:spacing w:val="-9"/>
        </w:rPr>
        <w:t> </w:t>
      </w:r>
      <w:r>
        <w:rPr/>
        <w:t>que se continúa fuera menor de los mínimos señalados por esta Ley, la prolongación que constituya la nueva obra deberá tener siempre la anchura señalada por el mismo y continuidad sin cambios de dirección mayores o significativos, de acuerdo con la traza urbana.</w:t>
      </w:r>
    </w:p>
    <w:p>
      <w:pPr>
        <w:pStyle w:val="BodyText"/>
      </w:pPr>
    </w:p>
    <w:p>
      <w:pPr>
        <w:pStyle w:val="BodyText"/>
        <w:ind w:left="262" w:right="274"/>
        <w:jc w:val="both"/>
      </w:pPr>
      <w:r>
        <w:rPr>
          <w:rFonts w:ascii="Arial" w:hAnsi="Arial"/>
          <w:b/>
        </w:rPr>
        <w:t>ARTÍCULO 177. </w:t>
      </w:r>
      <w:r>
        <w:rPr/>
        <w:t>Cuando cualquiera de los tipos de vialidades y calles a que se refiere esta Ley tenga</w:t>
      </w:r>
      <w:r>
        <w:rPr>
          <w:spacing w:val="-7"/>
        </w:rPr>
        <w:t> </w:t>
      </w:r>
      <w:r>
        <w:rPr/>
        <w:t>cruzamiento</w:t>
      </w:r>
      <w:r>
        <w:rPr>
          <w:spacing w:val="-7"/>
        </w:rPr>
        <w:t> </w:t>
      </w:r>
      <w:r>
        <w:rPr/>
        <w:t>o</w:t>
      </w:r>
      <w:r>
        <w:rPr>
          <w:spacing w:val="-4"/>
        </w:rPr>
        <w:t> </w:t>
      </w:r>
      <w:r>
        <w:rPr/>
        <w:t>entronque</w:t>
      </w:r>
      <w:r>
        <w:rPr>
          <w:spacing w:val="-7"/>
        </w:rPr>
        <w:t> </w:t>
      </w:r>
      <w:r>
        <w:rPr/>
        <w:t>con</w:t>
      </w:r>
      <w:r>
        <w:rPr>
          <w:spacing w:val="-7"/>
        </w:rPr>
        <w:t> </w:t>
      </w:r>
      <w:r>
        <w:rPr/>
        <w:t>una</w:t>
      </w:r>
      <w:r>
        <w:rPr>
          <w:spacing w:val="-7"/>
        </w:rPr>
        <w:t> </w:t>
      </w:r>
      <w:r>
        <w:rPr/>
        <w:t>arteria</w:t>
      </w:r>
      <w:r>
        <w:rPr>
          <w:spacing w:val="-7"/>
        </w:rPr>
        <w:t> </w:t>
      </w:r>
      <w:r>
        <w:rPr/>
        <w:t>de</w:t>
      </w:r>
      <w:r>
        <w:rPr>
          <w:spacing w:val="-7"/>
        </w:rPr>
        <w:t> </w:t>
      </w:r>
      <w:r>
        <w:rPr/>
        <w:t>alta</w:t>
      </w:r>
      <w:r>
        <w:rPr>
          <w:spacing w:val="-4"/>
        </w:rPr>
        <w:t> </w:t>
      </w:r>
      <w:r>
        <w:rPr/>
        <w:t>velocidad,</w:t>
      </w:r>
      <w:r>
        <w:rPr>
          <w:spacing w:val="-6"/>
        </w:rPr>
        <w:t> </w:t>
      </w:r>
      <w:r>
        <w:rPr/>
        <w:t>autopista,</w:t>
      </w:r>
      <w:r>
        <w:rPr>
          <w:spacing w:val="-7"/>
        </w:rPr>
        <w:t> </w:t>
      </w:r>
      <w:r>
        <w:rPr/>
        <w:t>carretera,</w:t>
      </w:r>
      <w:r>
        <w:rPr>
          <w:spacing w:val="-6"/>
        </w:rPr>
        <w:t> </w:t>
      </w:r>
      <w:r>
        <w:rPr/>
        <w:t>libramiento,</w:t>
      </w:r>
      <w:r>
        <w:rPr>
          <w:spacing w:val="-6"/>
        </w:rPr>
        <w:t> </w:t>
      </w:r>
      <w:r>
        <w:rPr/>
        <w:t>o con</w:t>
      </w:r>
      <w:r>
        <w:rPr>
          <w:spacing w:val="-4"/>
        </w:rPr>
        <w:t> </w:t>
      </w:r>
      <w:r>
        <w:rPr/>
        <w:t>una</w:t>
      </w:r>
      <w:r>
        <w:rPr>
          <w:spacing w:val="-4"/>
        </w:rPr>
        <w:t> </w:t>
      </w:r>
      <w:r>
        <w:rPr/>
        <w:t>vía</w:t>
      </w:r>
      <w:r>
        <w:rPr>
          <w:spacing w:val="-2"/>
        </w:rPr>
        <w:t> </w:t>
      </w:r>
      <w:r>
        <w:rPr/>
        <w:t>de</w:t>
      </w:r>
      <w:r>
        <w:rPr>
          <w:spacing w:val="-4"/>
        </w:rPr>
        <w:t> </w:t>
      </w:r>
      <w:r>
        <w:rPr/>
        <w:t>ferrocarril,</w:t>
      </w:r>
      <w:r>
        <w:rPr>
          <w:spacing w:val="-4"/>
        </w:rPr>
        <w:t> </w:t>
      </w:r>
      <w:r>
        <w:rPr/>
        <w:t>requerirán</w:t>
      </w:r>
      <w:r>
        <w:rPr>
          <w:spacing w:val="-4"/>
        </w:rPr>
        <w:t> </w:t>
      </w:r>
      <w:r>
        <w:rPr/>
        <w:t>un</w:t>
      </w:r>
      <w:r>
        <w:rPr>
          <w:spacing w:val="-4"/>
        </w:rPr>
        <w:t> </w:t>
      </w:r>
      <w:r>
        <w:rPr/>
        <w:t>proyecto</w:t>
      </w:r>
      <w:r>
        <w:rPr>
          <w:spacing w:val="-2"/>
        </w:rPr>
        <w:t> </w:t>
      </w:r>
      <w:r>
        <w:rPr/>
        <w:t>especial</w:t>
      </w:r>
      <w:r>
        <w:rPr>
          <w:spacing w:val="-4"/>
        </w:rPr>
        <w:t> </w:t>
      </w:r>
      <w:r>
        <w:rPr/>
        <w:t>que</w:t>
      </w:r>
      <w:r>
        <w:rPr>
          <w:spacing w:val="-4"/>
        </w:rPr>
        <w:t> </w:t>
      </w:r>
      <w:r>
        <w:rPr/>
        <w:t>deberá</w:t>
      </w:r>
      <w:r>
        <w:rPr>
          <w:spacing w:val="-4"/>
        </w:rPr>
        <w:t> </w:t>
      </w:r>
      <w:r>
        <w:rPr/>
        <w:t>contemplarse</w:t>
      </w:r>
      <w:r>
        <w:rPr>
          <w:spacing w:val="-4"/>
        </w:rPr>
        <w:t> </w:t>
      </w:r>
      <w:r>
        <w:rPr/>
        <w:t>como</w:t>
      </w:r>
      <w:r>
        <w:rPr>
          <w:spacing w:val="-4"/>
        </w:rPr>
        <w:t> </w:t>
      </w:r>
      <w:r>
        <w:rPr/>
        <w:t>parte</w:t>
      </w:r>
      <w:r>
        <w:rPr>
          <w:spacing w:val="-4"/>
        </w:rPr>
        <w:t> </w:t>
      </w:r>
      <w:r>
        <w:rPr/>
        <w:t>del proyecto de urbanización del fraccionamiento, condominio o desarrollo inmobiliario especial; debiéndose en su caso, observar las disposiciones, características o restricciones</w:t>
      </w:r>
      <w:r>
        <w:rPr>
          <w:spacing w:val="40"/>
        </w:rPr>
        <w:t> </w:t>
      </w:r>
      <w:r>
        <w:rPr/>
        <w:t>que establezca la autoridad federal o estatal correspondiente.</w:t>
      </w:r>
    </w:p>
    <w:p>
      <w:pPr>
        <w:pStyle w:val="BodyText"/>
        <w:spacing w:before="1"/>
      </w:pPr>
    </w:p>
    <w:p>
      <w:pPr>
        <w:pStyle w:val="BodyText"/>
        <w:ind w:left="262" w:right="276"/>
        <w:jc w:val="both"/>
      </w:pPr>
      <w:r>
        <w:rPr/>
        <w:t>Los ayuntamientos establecerán en sus reglamentos respectivos, en función de la traza urbana existente y de conformidad con lo que se establezca en las Normas de la SEDESOL-SEDATU, la SCT, la Ley General de Asentamientos Humanos, Ordenamiento Territorial y Desarrollo Urbano la presente Ley, el programa de desarrollo urbano de Centro de Población y en su caso Programas Parciales, las características y dimensiones que les correspondan a las obras viales.</w:t>
      </w:r>
    </w:p>
    <w:p>
      <w:pPr>
        <w:pStyle w:val="BodyText"/>
        <w:spacing w:before="1"/>
      </w:pPr>
    </w:p>
    <w:p>
      <w:pPr>
        <w:pStyle w:val="BodyText"/>
        <w:ind w:left="262" w:right="284"/>
        <w:jc w:val="both"/>
      </w:pPr>
      <w:r>
        <w:rPr>
          <w:rFonts w:ascii="Arial" w:hAnsi="Arial"/>
          <w:b/>
        </w:rPr>
        <w:t>ARTÍCULO</w:t>
      </w:r>
      <w:r>
        <w:rPr>
          <w:rFonts w:ascii="Arial" w:hAnsi="Arial"/>
          <w:b/>
          <w:spacing w:val="-14"/>
        </w:rPr>
        <w:t> </w:t>
      </w:r>
      <w:r>
        <w:rPr>
          <w:rFonts w:ascii="Arial" w:hAnsi="Arial"/>
          <w:b/>
        </w:rPr>
        <w:t>178.</w:t>
      </w:r>
      <w:r>
        <w:rPr>
          <w:rFonts w:ascii="Arial" w:hAnsi="Arial"/>
          <w:b/>
          <w:spacing w:val="-14"/>
        </w:rPr>
        <w:t> </w:t>
      </w:r>
      <w:r>
        <w:rPr/>
        <w:t>Para</w:t>
      </w:r>
      <w:r>
        <w:rPr>
          <w:spacing w:val="-14"/>
        </w:rPr>
        <w:t> </w:t>
      </w:r>
      <w:r>
        <w:rPr/>
        <w:t>orientar</w:t>
      </w:r>
      <w:r>
        <w:rPr>
          <w:spacing w:val="-14"/>
        </w:rPr>
        <w:t> </w:t>
      </w:r>
      <w:r>
        <w:rPr/>
        <w:t>los</w:t>
      </w:r>
      <w:r>
        <w:rPr>
          <w:spacing w:val="-14"/>
        </w:rPr>
        <w:t> </w:t>
      </w:r>
      <w:r>
        <w:rPr/>
        <w:t>aspectos</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el</w:t>
      </w:r>
      <w:r>
        <w:rPr>
          <w:spacing w:val="-14"/>
        </w:rPr>
        <w:t> </w:t>
      </w:r>
      <w:r>
        <w:rPr/>
        <w:t>artículo</w:t>
      </w:r>
      <w:r>
        <w:rPr>
          <w:spacing w:val="-14"/>
        </w:rPr>
        <w:t> </w:t>
      </w:r>
      <w:r>
        <w:rPr/>
        <w:t>inmediato</w:t>
      </w:r>
      <w:r>
        <w:rPr>
          <w:spacing w:val="-14"/>
        </w:rPr>
        <w:t> </w:t>
      </w:r>
      <w:r>
        <w:rPr/>
        <w:t>anterior,</w:t>
      </w:r>
      <w:r>
        <w:rPr>
          <w:spacing w:val="-14"/>
        </w:rPr>
        <w:t> </w:t>
      </w:r>
      <w:r>
        <w:rPr/>
        <w:t>se</w:t>
      </w:r>
      <w:r>
        <w:rPr>
          <w:spacing w:val="-14"/>
        </w:rPr>
        <w:t> </w:t>
      </w:r>
      <w:r>
        <w:rPr/>
        <w:t>tomarán como base las siguientes tablas:</w:t>
      </w:r>
    </w:p>
    <w:p>
      <w:pPr>
        <w:pStyle w:val="ListParagraph"/>
        <w:numPr>
          <w:ilvl w:val="0"/>
          <w:numId w:val="72"/>
        </w:numPr>
        <w:tabs>
          <w:tab w:pos="457" w:val="left" w:leader="none"/>
        </w:tabs>
        <w:spacing w:line="240" w:lineRule="auto" w:before="229" w:after="0"/>
        <w:ind w:left="457" w:right="0" w:hanging="195"/>
        <w:jc w:val="left"/>
        <w:rPr>
          <w:rFonts w:ascii="Arial" w:hAnsi="Arial"/>
          <w:b/>
          <w:sz w:val="20"/>
        </w:rPr>
      </w:pPr>
      <w:r>
        <w:rPr>
          <w:sz w:val="20"/>
        </w:rPr>
        <w:t>Compatibilidad</w:t>
      </w:r>
      <w:r>
        <w:rPr>
          <w:spacing w:val="-5"/>
          <w:sz w:val="20"/>
        </w:rPr>
        <w:t> </w:t>
      </w:r>
      <w:r>
        <w:rPr>
          <w:sz w:val="20"/>
        </w:rPr>
        <w:t>de</w:t>
      </w:r>
      <w:r>
        <w:rPr>
          <w:spacing w:val="-6"/>
          <w:sz w:val="20"/>
        </w:rPr>
        <w:t> </w:t>
      </w:r>
      <w:r>
        <w:rPr>
          <w:sz w:val="20"/>
        </w:rPr>
        <w:t>la</w:t>
      </w:r>
      <w:r>
        <w:rPr>
          <w:spacing w:val="-6"/>
          <w:sz w:val="20"/>
        </w:rPr>
        <w:t> </w:t>
      </w:r>
      <w:r>
        <w:rPr>
          <w:sz w:val="20"/>
        </w:rPr>
        <w:t>jerarquía</w:t>
      </w:r>
      <w:r>
        <w:rPr>
          <w:spacing w:val="-7"/>
          <w:sz w:val="20"/>
        </w:rPr>
        <w:t> </w:t>
      </w:r>
      <w:r>
        <w:rPr>
          <w:sz w:val="20"/>
        </w:rPr>
        <w:t>vial</w:t>
      </w:r>
      <w:r>
        <w:rPr>
          <w:spacing w:val="-8"/>
          <w:sz w:val="20"/>
        </w:rPr>
        <w:t> </w:t>
      </w:r>
      <w:r>
        <w:rPr>
          <w:sz w:val="20"/>
        </w:rPr>
        <w:t>con</w:t>
      </w:r>
      <w:r>
        <w:rPr>
          <w:spacing w:val="-6"/>
          <w:sz w:val="20"/>
        </w:rPr>
        <w:t> </w:t>
      </w:r>
      <w:r>
        <w:rPr>
          <w:sz w:val="20"/>
        </w:rPr>
        <w:t>los</w:t>
      </w:r>
      <w:r>
        <w:rPr>
          <w:spacing w:val="-6"/>
          <w:sz w:val="20"/>
        </w:rPr>
        <w:t> </w:t>
      </w:r>
      <w:r>
        <w:rPr>
          <w:sz w:val="20"/>
        </w:rPr>
        <w:t>usos</w:t>
      </w:r>
      <w:r>
        <w:rPr>
          <w:spacing w:val="-5"/>
          <w:sz w:val="20"/>
        </w:rPr>
        <w:t> </w:t>
      </w:r>
      <w:r>
        <w:rPr>
          <w:sz w:val="20"/>
        </w:rPr>
        <w:t>de</w:t>
      </w:r>
      <w:r>
        <w:rPr>
          <w:spacing w:val="-8"/>
          <w:sz w:val="20"/>
        </w:rPr>
        <w:t> </w:t>
      </w:r>
      <w:r>
        <w:rPr>
          <w:spacing w:val="-2"/>
          <w:sz w:val="20"/>
        </w:rPr>
        <w:t>suelo</w:t>
      </w:r>
    </w:p>
    <w:p>
      <w:pPr>
        <w:pStyle w:val="BodyText"/>
      </w:pPr>
    </w:p>
    <w:p>
      <w:pPr>
        <w:pStyle w:val="BodyText"/>
        <w:ind w:right="15"/>
        <w:jc w:val="center"/>
      </w:pPr>
      <w:r>
        <w:rPr>
          <w:spacing w:val="-2"/>
        </w:rPr>
        <w:t>HABITACIONAL</w:t>
      </w:r>
    </w:p>
    <w:p>
      <w:pPr>
        <w:pStyle w:val="BodyText"/>
        <w:spacing w:after="0"/>
        <w:jc w:val="center"/>
        <w:sectPr>
          <w:pgSz w:w="12240" w:h="15840"/>
          <w:pgMar w:header="720" w:footer="697" w:top="2100" w:bottom="880" w:left="1440" w:right="1440"/>
        </w:sectPr>
      </w:pPr>
    </w:p>
    <w:p>
      <w:pPr>
        <w:pStyle w:val="BodyText"/>
      </w:pPr>
    </w:p>
    <w:p>
      <w:pPr>
        <w:pStyle w:val="BodyText"/>
        <w:spacing w:before="65"/>
      </w:pPr>
    </w:p>
    <w:tbl>
      <w:tblPr>
        <w:tblW w:w="0" w:type="auto"/>
        <w:jc w:val="left"/>
        <w:tblInd w:w="6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68"/>
        <w:gridCol w:w="364"/>
        <w:gridCol w:w="364"/>
        <w:gridCol w:w="644"/>
        <w:gridCol w:w="924"/>
        <w:gridCol w:w="924"/>
        <w:gridCol w:w="363"/>
        <w:gridCol w:w="644"/>
        <w:gridCol w:w="363"/>
        <w:gridCol w:w="363"/>
        <w:gridCol w:w="363"/>
        <w:gridCol w:w="355"/>
      </w:tblGrid>
      <w:tr>
        <w:trPr>
          <w:trHeight w:val="285" w:hRule="atLeast"/>
        </w:trPr>
        <w:tc>
          <w:tcPr>
            <w:tcW w:w="2368" w:type="dxa"/>
            <w:tcBorders>
              <w:bottom w:val="single" w:sz="8" w:space="0" w:color="D0D6E4"/>
            </w:tcBorders>
          </w:tcPr>
          <w:p>
            <w:pPr>
              <w:pStyle w:val="TableParagraph"/>
              <w:rPr>
                <w:rFonts w:ascii="Times New Roman"/>
                <w:sz w:val="20"/>
              </w:rPr>
            </w:pPr>
          </w:p>
        </w:tc>
        <w:tc>
          <w:tcPr>
            <w:tcW w:w="1372" w:type="dxa"/>
            <w:gridSpan w:val="3"/>
            <w:tcBorders>
              <w:bottom w:val="single" w:sz="8" w:space="0" w:color="000000"/>
            </w:tcBorders>
          </w:tcPr>
          <w:p>
            <w:pPr>
              <w:pStyle w:val="TableParagraph"/>
              <w:spacing w:line="257" w:lineRule="exact" w:before="8"/>
              <w:ind w:left="69"/>
              <w:rPr>
                <w:b/>
                <w:sz w:val="23"/>
              </w:rPr>
            </w:pPr>
            <w:r>
              <w:rPr>
                <w:b/>
                <w:spacing w:val="-2"/>
                <w:w w:val="90"/>
                <w:sz w:val="23"/>
              </w:rPr>
              <w:t>INTERURBANA</w:t>
            </w:r>
          </w:p>
        </w:tc>
        <w:tc>
          <w:tcPr>
            <w:tcW w:w="4299" w:type="dxa"/>
            <w:gridSpan w:val="8"/>
            <w:tcBorders>
              <w:bottom w:val="single" w:sz="8" w:space="0" w:color="000000"/>
              <w:right w:val="single" w:sz="12" w:space="0" w:color="000000"/>
            </w:tcBorders>
          </w:tcPr>
          <w:p>
            <w:pPr>
              <w:pStyle w:val="TableParagraph"/>
              <w:spacing w:line="257" w:lineRule="exact" w:before="8"/>
              <w:ind w:left="69"/>
              <w:jc w:val="center"/>
              <w:rPr>
                <w:b/>
                <w:sz w:val="23"/>
              </w:rPr>
            </w:pPr>
            <w:r>
              <w:rPr>
                <w:b/>
                <w:spacing w:val="-2"/>
                <w:sz w:val="23"/>
              </w:rPr>
              <w:t>URBANA</w:t>
            </w:r>
          </w:p>
        </w:tc>
      </w:tr>
      <w:tr>
        <w:trPr>
          <w:trHeight w:val="1150" w:hRule="atLeast"/>
        </w:trPr>
        <w:tc>
          <w:tcPr>
            <w:tcW w:w="2368" w:type="dxa"/>
            <w:tcBorders>
              <w:top w:val="single" w:sz="8" w:space="0" w:color="D0D6E4"/>
              <w:bottom w:val="single" w:sz="8" w:space="0" w:color="000000"/>
            </w:tcBorders>
          </w:tcPr>
          <w:p>
            <w:pPr>
              <w:pStyle w:val="TableParagraph"/>
              <w:rPr>
                <w:rFonts w:ascii="Times New Roman"/>
                <w:sz w:val="20"/>
              </w:rPr>
            </w:pPr>
          </w:p>
        </w:tc>
        <w:tc>
          <w:tcPr>
            <w:tcW w:w="364" w:type="dxa"/>
            <w:tcBorders>
              <w:top w:val="single" w:sz="8" w:space="0" w:color="000000"/>
              <w:bottom w:val="single" w:sz="8" w:space="0" w:color="000000"/>
            </w:tcBorders>
            <w:textDirection w:val="btLr"/>
          </w:tcPr>
          <w:p>
            <w:pPr>
              <w:pStyle w:val="TableParagraph"/>
              <w:spacing w:before="65"/>
              <w:ind w:left="27"/>
              <w:rPr>
                <w:b/>
                <w:sz w:val="21"/>
              </w:rPr>
            </w:pPr>
            <w:r>
              <w:rPr>
                <w:b/>
                <w:spacing w:val="-2"/>
                <w:w w:val="110"/>
                <w:sz w:val="21"/>
              </w:rPr>
              <w:t>autopista</w:t>
            </w:r>
          </w:p>
        </w:tc>
        <w:tc>
          <w:tcPr>
            <w:tcW w:w="364" w:type="dxa"/>
            <w:tcBorders>
              <w:top w:val="single" w:sz="8" w:space="0" w:color="000000"/>
              <w:bottom w:val="single" w:sz="8" w:space="0" w:color="000000"/>
            </w:tcBorders>
            <w:textDirection w:val="btLr"/>
          </w:tcPr>
          <w:p>
            <w:pPr>
              <w:pStyle w:val="TableParagraph"/>
              <w:spacing w:before="66"/>
              <w:ind w:left="27"/>
              <w:rPr>
                <w:b/>
                <w:sz w:val="21"/>
              </w:rPr>
            </w:pPr>
            <w:r>
              <w:rPr>
                <w:b/>
                <w:spacing w:val="-2"/>
                <w:w w:val="110"/>
                <w:sz w:val="21"/>
              </w:rPr>
              <w:t>carretera</w:t>
            </w:r>
          </w:p>
        </w:tc>
        <w:tc>
          <w:tcPr>
            <w:tcW w:w="644" w:type="dxa"/>
            <w:tcBorders>
              <w:top w:val="single" w:sz="8" w:space="0" w:color="000000"/>
              <w:bottom w:val="single" w:sz="8" w:space="0" w:color="000000"/>
            </w:tcBorders>
            <w:textDirection w:val="btLr"/>
          </w:tcPr>
          <w:p>
            <w:pPr>
              <w:pStyle w:val="TableParagraph"/>
              <w:spacing w:line="280" w:lineRule="atLeast" w:before="42"/>
              <w:ind w:left="27" w:right="79"/>
              <w:rPr>
                <w:b/>
                <w:sz w:val="21"/>
              </w:rPr>
            </w:pPr>
            <w:r>
              <w:rPr>
                <w:b/>
                <w:spacing w:val="-2"/>
                <w:sz w:val="21"/>
              </w:rPr>
              <w:t>camino </w:t>
            </w:r>
            <w:r>
              <w:rPr>
                <w:b/>
                <w:spacing w:val="-2"/>
                <w:w w:val="110"/>
                <w:sz w:val="21"/>
              </w:rPr>
              <w:t>rural</w:t>
            </w:r>
          </w:p>
        </w:tc>
        <w:tc>
          <w:tcPr>
            <w:tcW w:w="924" w:type="dxa"/>
            <w:tcBorders>
              <w:top w:val="single" w:sz="8" w:space="0" w:color="000000"/>
              <w:bottom w:val="single" w:sz="8" w:space="0" w:color="000000"/>
            </w:tcBorders>
            <w:textDirection w:val="btLr"/>
          </w:tcPr>
          <w:p>
            <w:pPr>
              <w:pStyle w:val="TableParagraph"/>
              <w:spacing w:line="280" w:lineRule="atLeast" w:before="43"/>
              <w:ind w:left="27"/>
              <w:rPr>
                <w:b/>
                <w:sz w:val="21"/>
              </w:rPr>
            </w:pPr>
            <w:r>
              <w:rPr>
                <w:b/>
                <w:spacing w:val="-2"/>
                <w:w w:val="110"/>
                <w:sz w:val="21"/>
              </w:rPr>
              <w:t>acceso </w:t>
            </w:r>
            <w:r>
              <w:rPr>
                <w:b/>
                <w:spacing w:val="-2"/>
                <w:sz w:val="21"/>
              </w:rPr>
              <w:t>controlado </w:t>
            </w:r>
            <w:r>
              <w:rPr>
                <w:b/>
                <w:spacing w:val="-2"/>
                <w:w w:val="110"/>
                <w:sz w:val="21"/>
              </w:rPr>
              <w:t>c/lateral</w:t>
            </w:r>
          </w:p>
        </w:tc>
        <w:tc>
          <w:tcPr>
            <w:tcW w:w="924" w:type="dxa"/>
            <w:tcBorders>
              <w:top w:val="single" w:sz="8" w:space="0" w:color="000000"/>
              <w:bottom w:val="single" w:sz="8" w:space="0" w:color="000000"/>
            </w:tcBorders>
            <w:textDirection w:val="btLr"/>
          </w:tcPr>
          <w:p>
            <w:pPr>
              <w:pStyle w:val="TableParagraph"/>
              <w:spacing w:line="280" w:lineRule="atLeast" w:before="43"/>
              <w:ind w:left="27"/>
              <w:rPr>
                <w:b/>
                <w:sz w:val="21"/>
              </w:rPr>
            </w:pPr>
            <w:r>
              <w:rPr>
                <w:b/>
                <w:spacing w:val="-2"/>
                <w:w w:val="110"/>
                <w:sz w:val="21"/>
              </w:rPr>
              <w:t>acceso </w:t>
            </w:r>
            <w:r>
              <w:rPr>
                <w:b/>
                <w:spacing w:val="-2"/>
                <w:sz w:val="21"/>
              </w:rPr>
              <w:t>controlado </w:t>
            </w:r>
            <w:r>
              <w:rPr>
                <w:b/>
                <w:spacing w:val="-2"/>
                <w:w w:val="110"/>
                <w:sz w:val="21"/>
              </w:rPr>
              <w:t>s/lateral</w:t>
            </w:r>
          </w:p>
        </w:tc>
        <w:tc>
          <w:tcPr>
            <w:tcW w:w="363" w:type="dxa"/>
            <w:tcBorders>
              <w:top w:val="single" w:sz="8" w:space="0" w:color="000000"/>
              <w:bottom w:val="single" w:sz="8" w:space="0" w:color="000000"/>
            </w:tcBorders>
            <w:textDirection w:val="btLr"/>
          </w:tcPr>
          <w:p>
            <w:pPr>
              <w:pStyle w:val="TableParagraph"/>
              <w:spacing w:before="68"/>
              <w:ind w:left="27"/>
              <w:rPr>
                <w:b/>
                <w:sz w:val="21"/>
              </w:rPr>
            </w:pPr>
            <w:r>
              <w:rPr>
                <w:b/>
                <w:spacing w:val="-2"/>
                <w:w w:val="110"/>
                <w:sz w:val="21"/>
              </w:rPr>
              <w:t>primaria</w:t>
            </w:r>
          </w:p>
        </w:tc>
        <w:tc>
          <w:tcPr>
            <w:tcW w:w="644" w:type="dxa"/>
            <w:tcBorders>
              <w:top w:val="single" w:sz="8" w:space="0" w:color="000000"/>
              <w:bottom w:val="single" w:sz="8" w:space="0" w:color="000000"/>
            </w:tcBorders>
            <w:textDirection w:val="btLr"/>
          </w:tcPr>
          <w:p>
            <w:pPr>
              <w:pStyle w:val="TableParagraph"/>
              <w:spacing w:line="280" w:lineRule="atLeast" w:before="45"/>
              <w:ind w:left="27" w:right="79"/>
              <w:rPr>
                <w:b/>
                <w:sz w:val="21"/>
              </w:rPr>
            </w:pPr>
            <w:r>
              <w:rPr>
                <w:b/>
                <w:spacing w:val="-2"/>
                <w:w w:val="110"/>
                <w:sz w:val="21"/>
              </w:rPr>
              <w:t>secundaria </w:t>
            </w:r>
            <w:r>
              <w:rPr>
                <w:b/>
                <w:w w:val="110"/>
                <w:sz w:val="21"/>
              </w:rPr>
              <w:t>o</w:t>
            </w:r>
            <w:r>
              <w:rPr>
                <w:b/>
                <w:spacing w:val="-13"/>
                <w:w w:val="110"/>
                <w:sz w:val="21"/>
              </w:rPr>
              <w:t> </w:t>
            </w:r>
            <w:r>
              <w:rPr>
                <w:b/>
                <w:spacing w:val="-2"/>
                <w:w w:val="105"/>
                <w:sz w:val="21"/>
              </w:rPr>
              <w:t>colectora</w:t>
            </w:r>
          </w:p>
        </w:tc>
        <w:tc>
          <w:tcPr>
            <w:tcW w:w="363" w:type="dxa"/>
            <w:tcBorders>
              <w:top w:val="single" w:sz="8" w:space="0" w:color="000000"/>
              <w:bottom w:val="single" w:sz="8" w:space="0" w:color="000000"/>
            </w:tcBorders>
            <w:textDirection w:val="btLr"/>
          </w:tcPr>
          <w:p>
            <w:pPr>
              <w:pStyle w:val="TableParagraph"/>
              <w:spacing w:before="70"/>
              <w:ind w:left="27"/>
              <w:rPr>
                <w:b/>
                <w:sz w:val="21"/>
              </w:rPr>
            </w:pPr>
            <w:r>
              <w:rPr>
                <w:b/>
                <w:spacing w:val="-2"/>
                <w:w w:val="110"/>
                <w:sz w:val="21"/>
              </w:rPr>
              <w:t>local</w:t>
            </w:r>
          </w:p>
        </w:tc>
        <w:tc>
          <w:tcPr>
            <w:tcW w:w="363" w:type="dxa"/>
            <w:tcBorders>
              <w:top w:val="single" w:sz="8" w:space="0" w:color="000000"/>
              <w:bottom w:val="single" w:sz="8" w:space="0" w:color="000000"/>
            </w:tcBorders>
            <w:textDirection w:val="btLr"/>
          </w:tcPr>
          <w:p>
            <w:pPr>
              <w:pStyle w:val="TableParagraph"/>
              <w:spacing w:before="71"/>
              <w:ind w:left="27"/>
              <w:rPr>
                <w:b/>
                <w:sz w:val="21"/>
              </w:rPr>
            </w:pPr>
            <w:r>
              <w:rPr>
                <w:b/>
                <w:spacing w:val="-2"/>
                <w:w w:val="110"/>
                <w:sz w:val="21"/>
              </w:rPr>
              <w:t>cerrada</w:t>
            </w:r>
          </w:p>
        </w:tc>
        <w:tc>
          <w:tcPr>
            <w:tcW w:w="363" w:type="dxa"/>
            <w:tcBorders>
              <w:top w:val="single" w:sz="8" w:space="0" w:color="000000"/>
              <w:bottom w:val="single" w:sz="8" w:space="0" w:color="000000"/>
            </w:tcBorders>
            <w:textDirection w:val="btLr"/>
          </w:tcPr>
          <w:p>
            <w:pPr>
              <w:pStyle w:val="TableParagraph"/>
              <w:spacing w:line="256" w:lineRule="exact" w:before="72"/>
              <w:ind w:left="27"/>
              <w:rPr>
                <w:b/>
                <w:sz w:val="21"/>
              </w:rPr>
            </w:pPr>
            <w:r>
              <w:rPr>
                <w:b/>
                <w:spacing w:val="-2"/>
                <w:w w:val="110"/>
                <w:sz w:val="21"/>
              </w:rPr>
              <w:t>ciclovía</w:t>
            </w:r>
          </w:p>
        </w:tc>
        <w:tc>
          <w:tcPr>
            <w:tcW w:w="355" w:type="dxa"/>
            <w:tcBorders>
              <w:top w:val="single" w:sz="8" w:space="0" w:color="000000"/>
              <w:bottom w:val="single" w:sz="8" w:space="0" w:color="000000"/>
              <w:right w:val="single" w:sz="12" w:space="0" w:color="000000"/>
            </w:tcBorders>
            <w:textDirection w:val="btLr"/>
          </w:tcPr>
          <w:p>
            <w:pPr>
              <w:pStyle w:val="TableParagraph"/>
              <w:spacing w:line="239" w:lineRule="exact" w:before="74"/>
              <w:ind w:left="27"/>
              <w:rPr>
                <w:b/>
                <w:sz w:val="21"/>
              </w:rPr>
            </w:pPr>
            <w:r>
              <w:rPr>
                <w:b/>
                <w:spacing w:val="-2"/>
                <w:w w:val="110"/>
                <w:sz w:val="21"/>
              </w:rPr>
              <w:t>andador</w:t>
            </w:r>
          </w:p>
        </w:tc>
      </w:tr>
      <w:tr>
        <w:trPr>
          <w:trHeight w:val="588" w:hRule="atLeast"/>
        </w:trPr>
        <w:tc>
          <w:tcPr>
            <w:tcW w:w="2368" w:type="dxa"/>
            <w:tcBorders>
              <w:top w:val="single" w:sz="8" w:space="0" w:color="000000"/>
              <w:bottom w:val="single" w:sz="8" w:space="0" w:color="000000"/>
            </w:tcBorders>
          </w:tcPr>
          <w:p>
            <w:pPr>
              <w:pStyle w:val="TableParagraph"/>
              <w:spacing w:before="6"/>
              <w:ind w:left="41"/>
              <w:rPr>
                <w:b/>
                <w:sz w:val="23"/>
              </w:rPr>
            </w:pPr>
            <w:r>
              <w:rPr>
                <w:b/>
                <w:w w:val="90"/>
                <w:sz w:val="23"/>
              </w:rPr>
              <w:t>MUY</w:t>
            </w:r>
            <w:r>
              <w:rPr>
                <w:b/>
                <w:spacing w:val="-3"/>
                <w:w w:val="90"/>
                <w:sz w:val="23"/>
              </w:rPr>
              <w:t> </w:t>
            </w:r>
            <w:r>
              <w:rPr>
                <w:b/>
                <w:w w:val="90"/>
                <w:sz w:val="23"/>
              </w:rPr>
              <w:t>BAJA</w:t>
            </w:r>
            <w:r>
              <w:rPr>
                <w:b/>
                <w:spacing w:val="-7"/>
                <w:w w:val="90"/>
                <w:sz w:val="23"/>
              </w:rPr>
              <w:t> </w:t>
            </w:r>
            <w:r>
              <w:rPr>
                <w:b/>
                <w:spacing w:val="-2"/>
                <w:w w:val="90"/>
                <w:sz w:val="23"/>
              </w:rPr>
              <w:t>DENSIDAD</w:t>
            </w:r>
          </w:p>
          <w:p>
            <w:pPr>
              <w:pStyle w:val="TableParagraph"/>
              <w:spacing w:line="258" w:lineRule="exact" w:before="23"/>
              <w:ind w:left="41"/>
              <w:rPr>
                <w:b/>
                <w:sz w:val="23"/>
              </w:rPr>
            </w:pPr>
            <w:r>
              <w:rPr>
                <w:b/>
                <w:w w:val="90"/>
                <w:sz w:val="23"/>
              </w:rPr>
              <w:t>(lotes</w:t>
            </w:r>
            <w:r>
              <w:rPr>
                <w:b/>
                <w:spacing w:val="-5"/>
                <w:w w:val="90"/>
                <w:sz w:val="23"/>
              </w:rPr>
              <w:t> </w:t>
            </w:r>
            <w:r>
              <w:rPr>
                <w:b/>
                <w:w w:val="90"/>
                <w:sz w:val="23"/>
              </w:rPr>
              <w:t>de</w:t>
            </w:r>
            <w:r>
              <w:rPr>
                <w:b/>
                <w:spacing w:val="-4"/>
                <w:sz w:val="23"/>
              </w:rPr>
              <w:t> </w:t>
            </w:r>
            <w:r>
              <w:rPr>
                <w:b/>
                <w:w w:val="90"/>
                <w:sz w:val="23"/>
              </w:rPr>
              <w:t>más</w:t>
            </w:r>
            <w:r>
              <w:rPr>
                <w:b/>
                <w:spacing w:val="-4"/>
                <w:w w:val="90"/>
                <w:sz w:val="23"/>
              </w:rPr>
              <w:t> </w:t>
            </w:r>
            <w:r>
              <w:rPr>
                <w:b/>
                <w:w w:val="90"/>
                <w:sz w:val="23"/>
              </w:rPr>
              <w:t>de</w:t>
            </w:r>
            <w:r>
              <w:rPr>
                <w:b/>
                <w:spacing w:val="-4"/>
                <w:sz w:val="23"/>
              </w:rPr>
              <w:t> </w:t>
            </w:r>
            <w:r>
              <w:rPr>
                <w:b/>
                <w:spacing w:val="-2"/>
                <w:w w:val="90"/>
                <w:sz w:val="23"/>
              </w:rPr>
              <w:t>1000m²)</w:t>
            </w:r>
          </w:p>
        </w:tc>
        <w:tc>
          <w:tcPr>
            <w:tcW w:w="364" w:type="dxa"/>
            <w:tcBorders>
              <w:top w:val="single" w:sz="8" w:space="0" w:color="000000"/>
              <w:bottom w:val="single" w:sz="8" w:space="0" w:color="000000"/>
            </w:tcBorders>
          </w:tcPr>
          <w:p>
            <w:pPr>
              <w:pStyle w:val="TableParagraph"/>
              <w:rPr>
                <w:rFonts w:ascii="Times New Roman"/>
                <w:sz w:val="20"/>
              </w:rPr>
            </w:pPr>
          </w:p>
        </w:tc>
        <w:tc>
          <w:tcPr>
            <w:tcW w:w="364" w:type="dxa"/>
            <w:tcBorders>
              <w:top w:val="single" w:sz="8" w:space="0" w:color="000000"/>
              <w:bottom w:val="single" w:sz="8" w:space="0" w:color="000000"/>
            </w:tcBorders>
          </w:tcPr>
          <w:p>
            <w:pPr>
              <w:pStyle w:val="TableParagraph"/>
              <w:rPr>
                <w:rFonts w:ascii="Times New Roman"/>
                <w:sz w:val="20"/>
              </w:rPr>
            </w:pPr>
          </w:p>
        </w:tc>
        <w:tc>
          <w:tcPr>
            <w:tcW w:w="644" w:type="dxa"/>
            <w:tcBorders>
              <w:top w:val="single" w:sz="8" w:space="0" w:color="000000"/>
              <w:bottom w:val="single" w:sz="8" w:space="0" w:color="000000"/>
            </w:tcBorders>
          </w:tcPr>
          <w:p>
            <w:pPr>
              <w:pStyle w:val="TableParagraph"/>
              <w:spacing w:before="158"/>
              <w:ind w:left="49" w:right="6"/>
              <w:jc w:val="center"/>
              <w:rPr>
                <w:sz w:val="23"/>
              </w:rPr>
            </w:pPr>
            <w:r>
              <w:rPr>
                <w:spacing w:val="-10"/>
                <w:sz w:val="23"/>
              </w:rPr>
              <w:t>O</w:t>
            </w:r>
          </w:p>
        </w:tc>
        <w:tc>
          <w:tcPr>
            <w:tcW w:w="924" w:type="dxa"/>
            <w:tcBorders>
              <w:top w:val="single" w:sz="8" w:space="0" w:color="000000"/>
              <w:bottom w:val="single" w:sz="8" w:space="0" w:color="000000"/>
            </w:tcBorders>
          </w:tcPr>
          <w:p>
            <w:pPr>
              <w:pStyle w:val="TableParagraph"/>
              <w:spacing w:before="158"/>
              <w:ind w:left="43"/>
              <w:jc w:val="center"/>
              <w:rPr>
                <w:sz w:val="23"/>
              </w:rPr>
            </w:pPr>
            <w:r>
              <w:rPr>
                <w:spacing w:val="-10"/>
                <w:sz w:val="23"/>
              </w:rPr>
              <w:t>O</w:t>
            </w:r>
          </w:p>
        </w:tc>
        <w:tc>
          <w:tcPr>
            <w:tcW w:w="924" w:type="dxa"/>
            <w:tcBorders>
              <w:top w:val="single" w:sz="8" w:space="0" w:color="000000"/>
              <w:bottom w:val="single" w:sz="8" w:space="0" w:color="000000"/>
            </w:tcBorders>
          </w:tcPr>
          <w:p>
            <w:pPr>
              <w:pStyle w:val="TableParagraph"/>
              <w:rPr>
                <w:rFonts w:ascii="Times New Roman"/>
                <w:sz w:val="20"/>
              </w:rPr>
            </w:pPr>
          </w:p>
        </w:tc>
        <w:tc>
          <w:tcPr>
            <w:tcW w:w="363" w:type="dxa"/>
            <w:tcBorders>
              <w:top w:val="single" w:sz="8" w:space="0" w:color="000000"/>
              <w:bottom w:val="single" w:sz="8" w:space="0" w:color="000000"/>
            </w:tcBorders>
          </w:tcPr>
          <w:p>
            <w:pPr>
              <w:pStyle w:val="TableParagraph"/>
              <w:rPr>
                <w:rFonts w:ascii="Times New Roman"/>
                <w:sz w:val="20"/>
              </w:rPr>
            </w:pPr>
          </w:p>
        </w:tc>
        <w:tc>
          <w:tcPr>
            <w:tcW w:w="644" w:type="dxa"/>
            <w:tcBorders>
              <w:top w:val="single" w:sz="8" w:space="0" w:color="000000"/>
              <w:bottom w:val="single" w:sz="8" w:space="0" w:color="000000"/>
            </w:tcBorders>
          </w:tcPr>
          <w:p>
            <w:pPr>
              <w:pStyle w:val="TableParagraph"/>
              <w:spacing w:before="158"/>
              <w:ind w:left="49"/>
              <w:jc w:val="center"/>
              <w:rPr>
                <w:sz w:val="23"/>
              </w:rPr>
            </w:pPr>
            <w:r>
              <w:rPr>
                <w:spacing w:val="-10"/>
                <w:sz w:val="23"/>
              </w:rPr>
              <w:t>O</w:t>
            </w:r>
          </w:p>
        </w:tc>
        <w:tc>
          <w:tcPr>
            <w:tcW w:w="363" w:type="dxa"/>
            <w:tcBorders>
              <w:top w:val="single" w:sz="8" w:space="0" w:color="000000"/>
              <w:bottom w:val="single" w:sz="8" w:space="0" w:color="000000"/>
            </w:tcBorders>
          </w:tcPr>
          <w:p>
            <w:pPr>
              <w:pStyle w:val="TableParagraph"/>
              <w:spacing w:before="158"/>
              <w:ind w:left="56" w:right="6"/>
              <w:jc w:val="center"/>
              <w:rPr>
                <w:sz w:val="23"/>
              </w:rPr>
            </w:pPr>
            <w:r>
              <w:rPr>
                <w:spacing w:val="-10"/>
                <w:sz w:val="23"/>
              </w:rPr>
              <w:t>O</w:t>
            </w:r>
          </w:p>
        </w:tc>
        <w:tc>
          <w:tcPr>
            <w:tcW w:w="363" w:type="dxa"/>
            <w:tcBorders>
              <w:top w:val="single" w:sz="8" w:space="0" w:color="000000"/>
              <w:bottom w:val="single" w:sz="8" w:space="0" w:color="000000"/>
            </w:tcBorders>
          </w:tcPr>
          <w:p>
            <w:pPr>
              <w:pStyle w:val="TableParagraph"/>
              <w:spacing w:before="158"/>
              <w:ind w:left="56" w:right="4"/>
              <w:jc w:val="center"/>
              <w:rPr>
                <w:sz w:val="23"/>
              </w:rPr>
            </w:pPr>
            <w:r>
              <w:rPr>
                <w:spacing w:val="-10"/>
                <w:sz w:val="23"/>
              </w:rPr>
              <w:t>O</w:t>
            </w:r>
          </w:p>
        </w:tc>
        <w:tc>
          <w:tcPr>
            <w:tcW w:w="363" w:type="dxa"/>
            <w:tcBorders>
              <w:top w:val="single" w:sz="8" w:space="0" w:color="000000"/>
              <w:bottom w:val="single" w:sz="8" w:space="0" w:color="000000"/>
            </w:tcBorders>
          </w:tcPr>
          <w:p>
            <w:pPr>
              <w:pStyle w:val="TableParagraph"/>
              <w:spacing w:before="158"/>
              <w:ind w:left="56"/>
              <w:jc w:val="center"/>
              <w:rPr>
                <w:sz w:val="23"/>
              </w:rPr>
            </w:pPr>
            <w:r>
              <w:rPr>
                <w:spacing w:val="-10"/>
                <w:sz w:val="23"/>
              </w:rPr>
              <w:t>O</w:t>
            </w:r>
          </w:p>
        </w:tc>
        <w:tc>
          <w:tcPr>
            <w:tcW w:w="355" w:type="dxa"/>
            <w:tcBorders>
              <w:top w:val="single" w:sz="8" w:space="0" w:color="000000"/>
              <w:bottom w:val="single" w:sz="8" w:space="0" w:color="000000"/>
              <w:right w:val="single" w:sz="12" w:space="0" w:color="000000"/>
            </w:tcBorders>
          </w:tcPr>
          <w:p>
            <w:pPr>
              <w:pStyle w:val="TableParagraph"/>
              <w:spacing w:before="158"/>
              <w:ind w:left="74"/>
              <w:jc w:val="center"/>
              <w:rPr>
                <w:sz w:val="23"/>
              </w:rPr>
            </w:pPr>
            <w:r>
              <w:rPr>
                <w:spacing w:val="-10"/>
                <w:sz w:val="23"/>
              </w:rPr>
              <w:t>O</w:t>
            </w:r>
          </w:p>
        </w:tc>
      </w:tr>
      <w:tr>
        <w:trPr>
          <w:trHeight w:val="590" w:hRule="atLeast"/>
        </w:trPr>
        <w:tc>
          <w:tcPr>
            <w:tcW w:w="2368" w:type="dxa"/>
            <w:tcBorders>
              <w:top w:val="single" w:sz="8" w:space="0" w:color="000000"/>
            </w:tcBorders>
          </w:tcPr>
          <w:p>
            <w:pPr>
              <w:pStyle w:val="TableParagraph"/>
              <w:spacing w:before="6"/>
              <w:ind w:left="41"/>
              <w:rPr>
                <w:b/>
                <w:sz w:val="23"/>
              </w:rPr>
            </w:pPr>
            <w:r>
              <w:rPr>
                <w:b/>
                <w:spacing w:val="-2"/>
                <w:w w:val="90"/>
                <w:sz w:val="23"/>
              </w:rPr>
              <w:t>BAJA</w:t>
            </w:r>
            <w:r>
              <w:rPr>
                <w:b/>
                <w:spacing w:val="-2"/>
                <w:sz w:val="23"/>
              </w:rPr>
              <w:t> </w:t>
            </w:r>
            <w:r>
              <w:rPr>
                <w:b/>
                <w:spacing w:val="-2"/>
                <w:w w:val="90"/>
                <w:sz w:val="23"/>
              </w:rPr>
              <w:t>DENSIDAD</w:t>
            </w:r>
            <w:r>
              <w:rPr>
                <w:b/>
                <w:spacing w:val="-3"/>
                <w:w w:val="90"/>
                <w:sz w:val="23"/>
              </w:rPr>
              <w:t> </w:t>
            </w:r>
            <w:r>
              <w:rPr>
                <w:b/>
                <w:spacing w:val="-2"/>
                <w:w w:val="90"/>
                <w:sz w:val="23"/>
              </w:rPr>
              <w:t>(lotes</w:t>
            </w:r>
            <w:r>
              <w:rPr>
                <w:b/>
                <w:sz w:val="23"/>
              </w:rPr>
              <w:t> </w:t>
            </w:r>
            <w:r>
              <w:rPr>
                <w:b/>
                <w:spacing w:val="-5"/>
                <w:w w:val="90"/>
                <w:sz w:val="23"/>
              </w:rPr>
              <w:t>de</w:t>
            </w:r>
          </w:p>
          <w:p>
            <w:pPr>
              <w:pStyle w:val="TableParagraph"/>
              <w:spacing w:line="260" w:lineRule="exact" w:before="23"/>
              <w:ind w:left="41"/>
              <w:rPr>
                <w:b/>
                <w:sz w:val="23"/>
              </w:rPr>
            </w:pPr>
            <w:r>
              <w:rPr>
                <w:b/>
                <w:spacing w:val="-4"/>
                <w:w w:val="90"/>
                <w:sz w:val="23"/>
              </w:rPr>
              <w:t>300</w:t>
            </w:r>
            <w:r>
              <w:rPr>
                <w:b/>
                <w:spacing w:val="-13"/>
                <w:w w:val="90"/>
                <w:sz w:val="23"/>
              </w:rPr>
              <w:t> </w:t>
            </w:r>
            <w:r>
              <w:rPr>
                <w:b/>
                <w:spacing w:val="-4"/>
                <w:w w:val="90"/>
                <w:sz w:val="23"/>
              </w:rPr>
              <w:t>a</w:t>
            </w:r>
            <w:r>
              <w:rPr>
                <w:b/>
                <w:spacing w:val="-10"/>
                <w:w w:val="90"/>
                <w:sz w:val="23"/>
              </w:rPr>
              <w:t> </w:t>
            </w:r>
            <w:r>
              <w:rPr>
                <w:b/>
                <w:spacing w:val="-4"/>
                <w:w w:val="90"/>
                <w:sz w:val="23"/>
              </w:rPr>
              <w:t>1000m²)</w:t>
            </w:r>
          </w:p>
        </w:tc>
        <w:tc>
          <w:tcPr>
            <w:tcW w:w="364" w:type="dxa"/>
            <w:tcBorders>
              <w:top w:val="single" w:sz="8" w:space="0" w:color="000000"/>
            </w:tcBorders>
          </w:tcPr>
          <w:p>
            <w:pPr>
              <w:pStyle w:val="TableParagraph"/>
              <w:rPr>
                <w:rFonts w:ascii="Times New Roman"/>
                <w:sz w:val="20"/>
              </w:rPr>
            </w:pPr>
          </w:p>
        </w:tc>
        <w:tc>
          <w:tcPr>
            <w:tcW w:w="364" w:type="dxa"/>
            <w:tcBorders>
              <w:top w:val="single" w:sz="8" w:space="0" w:color="000000"/>
            </w:tcBorders>
          </w:tcPr>
          <w:p>
            <w:pPr>
              <w:pStyle w:val="TableParagraph"/>
              <w:rPr>
                <w:rFonts w:ascii="Times New Roman"/>
                <w:sz w:val="20"/>
              </w:rPr>
            </w:pPr>
          </w:p>
        </w:tc>
        <w:tc>
          <w:tcPr>
            <w:tcW w:w="644" w:type="dxa"/>
            <w:tcBorders>
              <w:top w:val="single" w:sz="8" w:space="0" w:color="000000"/>
            </w:tcBorders>
          </w:tcPr>
          <w:p>
            <w:pPr>
              <w:pStyle w:val="TableParagraph"/>
              <w:spacing w:before="158"/>
              <w:ind w:left="49" w:right="8"/>
              <w:jc w:val="center"/>
              <w:rPr>
                <w:sz w:val="23"/>
              </w:rPr>
            </w:pPr>
            <w:r>
              <w:rPr>
                <w:spacing w:val="-10"/>
                <w:sz w:val="23"/>
              </w:rPr>
              <w:t>X</w:t>
            </w:r>
          </w:p>
        </w:tc>
        <w:tc>
          <w:tcPr>
            <w:tcW w:w="924" w:type="dxa"/>
            <w:tcBorders>
              <w:top w:val="single" w:sz="8" w:space="0" w:color="000000"/>
            </w:tcBorders>
          </w:tcPr>
          <w:p>
            <w:pPr>
              <w:pStyle w:val="TableParagraph"/>
              <w:spacing w:before="158"/>
              <w:ind w:left="43"/>
              <w:jc w:val="center"/>
              <w:rPr>
                <w:sz w:val="23"/>
              </w:rPr>
            </w:pPr>
            <w:r>
              <w:rPr>
                <w:spacing w:val="-10"/>
                <w:sz w:val="23"/>
              </w:rPr>
              <w:t>O</w:t>
            </w:r>
          </w:p>
        </w:tc>
        <w:tc>
          <w:tcPr>
            <w:tcW w:w="924" w:type="dxa"/>
            <w:tcBorders>
              <w:top w:val="single" w:sz="8" w:space="0" w:color="000000"/>
            </w:tcBorders>
          </w:tcPr>
          <w:p>
            <w:pPr>
              <w:pStyle w:val="TableParagraph"/>
              <w:rPr>
                <w:rFonts w:ascii="Times New Roman"/>
                <w:sz w:val="20"/>
              </w:rPr>
            </w:pPr>
          </w:p>
        </w:tc>
        <w:tc>
          <w:tcPr>
            <w:tcW w:w="363" w:type="dxa"/>
            <w:tcBorders>
              <w:top w:val="single" w:sz="8" w:space="0" w:color="000000"/>
            </w:tcBorders>
          </w:tcPr>
          <w:p>
            <w:pPr>
              <w:pStyle w:val="TableParagraph"/>
              <w:rPr>
                <w:rFonts w:ascii="Times New Roman"/>
                <w:sz w:val="20"/>
              </w:rPr>
            </w:pPr>
          </w:p>
        </w:tc>
        <w:tc>
          <w:tcPr>
            <w:tcW w:w="644" w:type="dxa"/>
            <w:tcBorders>
              <w:top w:val="single" w:sz="8" w:space="0" w:color="000000"/>
            </w:tcBorders>
          </w:tcPr>
          <w:p>
            <w:pPr>
              <w:pStyle w:val="TableParagraph"/>
              <w:spacing w:before="158"/>
              <w:ind w:left="49"/>
              <w:jc w:val="center"/>
              <w:rPr>
                <w:sz w:val="23"/>
              </w:rPr>
            </w:pPr>
            <w:r>
              <w:rPr>
                <w:spacing w:val="-10"/>
                <w:sz w:val="23"/>
              </w:rPr>
              <w:t>O</w:t>
            </w:r>
          </w:p>
        </w:tc>
        <w:tc>
          <w:tcPr>
            <w:tcW w:w="363" w:type="dxa"/>
            <w:tcBorders>
              <w:top w:val="single" w:sz="8" w:space="0" w:color="000000"/>
            </w:tcBorders>
          </w:tcPr>
          <w:p>
            <w:pPr>
              <w:pStyle w:val="TableParagraph"/>
              <w:spacing w:before="158"/>
              <w:ind w:left="56" w:right="6"/>
              <w:jc w:val="center"/>
              <w:rPr>
                <w:sz w:val="23"/>
              </w:rPr>
            </w:pPr>
            <w:r>
              <w:rPr>
                <w:spacing w:val="-10"/>
                <w:sz w:val="23"/>
              </w:rPr>
              <w:t>O</w:t>
            </w:r>
          </w:p>
        </w:tc>
        <w:tc>
          <w:tcPr>
            <w:tcW w:w="363" w:type="dxa"/>
            <w:tcBorders>
              <w:top w:val="single" w:sz="8" w:space="0" w:color="000000"/>
            </w:tcBorders>
          </w:tcPr>
          <w:p>
            <w:pPr>
              <w:pStyle w:val="TableParagraph"/>
              <w:spacing w:before="158"/>
              <w:ind w:left="56" w:right="4"/>
              <w:jc w:val="center"/>
              <w:rPr>
                <w:sz w:val="23"/>
              </w:rPr>
            </w:pPr>
            <w:r>
              <w:rPr>
                <w:spacing w:val="-10"/>
                <w:sz w:val="23"/>
              </w:rPr>
              <w:t>O</w:t>
            </w:r>
          </w:p>
        </w:tc>
        <w:tc>
          <w:tcPr>
            <w:tcW w:w="363" w:type="dxa"/>
            <w:tcBorders>
              <w:top w:val="single" w:sz="8" w:space="0" w:color="000000"/>
            </w:tcBorders>
          </w:tcPr>
          <w:p>
            <w:pPr>
              <w:pStyle w:val="TableParagraph"/>
              <w:spacing w:before="158"/>
              <w:ind w:left="56"/>
              <w:jc w:val="center"/>
              <w:rPr>
                <w:sz w:val="23"/>
              </w:rPr>
            </w:pPr>
            <w:r>
              <w:rPr>
                <w:spacing w:val="-10"/>
                <w:sz w:val="23"/>
              </w:rPr>
              <w:t>O</w:t>
            </w:r>
          </w:p>
        </w:tc>
        <w:tc>
          <w:tcPr>
            <w:tcW w:w="355" w:type="dxa"/>
            <w:tcBorders>
              <w:top w:val="single" w:sz="8" w:space="0" w:color="000000"/>
              <w:right w:val="single" w:sz="12" w:space="0" w:color="000000"/>
            </w:tcBorders>
          </w:tcPr>
          <w:p>
            <w:pPr>
              <w:pStyle w:val="TableParagraph"/>
              <w:spacing w:before="158"/>
              <w:ind w:left="74"/>
              <w:jc w:val="center"/>
              <w:rPr>
                <w:sz w:val="23"/>
              </w:rPr>
            </w:pPr>
            <w:r>
              <w:rPr>
                <w:spacing w:val="-10"/>
                <w:sz w:val="23"/>
              </w:rPr>
              <w:t>O</w:t>
            </w:r>
          </w:p>
        </w:tc>
      </w:tr>
      <w:tr>
        <w:trPr>
          <w:trHeight w:val="593" w:hRule="atLeast"/>
        </w:trPr>
        <w:tc>
          <w:tcPr>
            <w:tcW w:w="2368" w:type="dxa"/>
          </w:tcPr>
          <w:p>
            <w:pPr>
              <w:pStyle w:val="TableParagraph"/>
              <w:spacing w:before="9"/>
              <w:ind w:left="41"/>
              <w:rPr>
                <w:b/>
                <w:sz w:val="23"/>
              </w:rPr>
            </w:pPr>
            <w:r>
              <w:rPr>
                <w:b/>
                <w:spacing w:val="-2"/>
                <w:w w:val="90"/>
                <w:sz w:val="23"/>
              </w:rPr>
              <w:t>DENSIDAD</w:t>
            </w:r>
            <w:r>
              <w:rPr>
                <w:b/>
                <w:spacing w:val="-10"/>
                <w:w w:val="90"/>
                <w:sz w:val="23"/>
              </w:rPr>
              <w:t> </w:t>
            </w:r>
            <w:r>
              <w:rPr>
                <w:b/>
                <w:spacing w:val="-2"/>
                <w:w w:val="90"/>
                <w:sz w:val="23"/>
              </w:rPr>
              <w:t>MEDIA</w:t>
            </w:r>
            <w:r>
              <w:rPr>
                <w:b/>
                <w:spacing w:val="-3"/>
                <w:w w:val="90"/>
                <w:sz w:val="23"/>
              </w:rPr>
              <w:t> </w:t>
            </w:r>
            <w:r>
              <w:rPr>
                <w:b/>
                <w:spacing w:val="-2"/>
                <w:w w:val="90"/>
                <w:sz w:val="23"/>
              </w:rPr>
              <w:t>(lotes</w:t>
            </w:r>
          </w:p>
          <w:p>
            <w:pPr>
              <w:pStyle w:val="TableParagraph"/>
              <w:spacing w:line="260" w:lineRule="exact" w:before="23"/>
              <w:ind w:left="41"/>
              <w:rPr>
                <w:b/>
                <w:sz w:val="23"/>
              </w:rPr>
            </w:pPr>
            <w:r>
              <w:rPr>
                <w:b/>
                <w:spacing w:val="-4"/>
                <w:w w:val="90"/>
                <w:sz w:val="23"/>
              </w:rPr>
              <w:t>de</w:t>
            </w:r>
            <w:r>
              <w:rPr>
                <w:b/>
                <w:spacing w:val="-3"/>
                <w:sz w:val="23"/>
              </w:rPr>
              <w:t> </w:t>
            </w:r>
            <w:r>
              <w:rPr>
                <w:b/>
                <w:spacing w:val="-4"/>
                <w:w w:val="90"/>
                <w:sz w:val="23"/>
              </w:rPr>
              <w:t>121</w:t>
            </w:r>
            <w:r>
              <w:rPr>
                <w:b/>
                <w:spacing w:val="-12"/>
                <w:w w:val="90"/>
                <w:sz w:val="23"/>
              </w:rPr>
              <w:t> </w:t>
            </w:r>
            <w:r>
              <w:rPr>
                <w:b/>
                <w:spacing w:val="-4"/>
                <w:w w:val="90"/>
                <w:sz w:val="23"/>
              </w:rPr>
              <w:t>a</w:t>
            </w:r>
            <w:r>
              <w:rPr>
                <w:b/>
                <w:spacing w:val="-9"/>
                <w:w w:val="90"/>
                <w:sz w:val="23"/>
              </w:rPr>
              <w:t> </w:t>
            </w:r>
            <w:r>
              <w:rPr>
                <w:b/>
                <w:spacing w:val="-4"/>
                <w:w w:val="90"/>
                <w:sz w:val="23"/>
              </w:rPr>
              <w:t>299</w:t>
            </w:r>
            <w:r>
              <w:rPr>
                <w:b/>
                <w:spacing w:val="-12"/>
                <w:w w:val="90"/>
                <w:sz w:val="23"/>
              </w:rPr>
              <w:t> </w:t>
            </w:r>
            <w:r>
              <w:rPr>
                <w:b/>
                <w:spacing w:val="-5"/>
                <w:w w:val="90"/>
                <w:sz w:val="23"/>
              </w:rPr>
              <w:t>m²)</w:t>
            </w:r>
          </w:p>
        </w:tc>
        <w:tc>
          <w:tcPr>
            <w:tcW w:w="364" w:type="dxa"/>
          </w:tcPr>
          <w:p>
            <w:pPr>
              <w:pStyle w:val="TableParagraph"/>
              <w:rPr>
                <w:rFonts w:ascii="Times New Roman"/>
                <w:sz w:val="20"/>
              </w:rPr>
            </w:pPr>
          </w:p>
        </w:tc>
        <w:tc>
          <w:tcPr>
            <w:tcW w:w="364" w:type="dxa"/>
          </w:tcPr>
          <w:p>
            <w:pPr>
              <w:pStyle w:val="TableParagraph"/>
              <w:rPr>
                <w:rFonts w:ascii="Times New Roman"/>
                <w:sz w:val="20"/>
              </w:rPr>
            </w:pPr>
          </w:p>
        </w:tc>
        <w:tc>
          <w:tcPr>
            <w:tcW w:w="644" w:type="dxa"/>
          </w:tcPr>
          <w:p>
            <w:pPr>
              <w:pStyle w:val="TableParagraph"/>
              <w:rPr>
                <w:rFonts w:ascii="Times New Roman"/>
                <w:sz w:val="20"/>
              </w:rPr>
            </w:pPr>
          </w:p>
        </w:tc>
        <w:tc>
          <w:tcPr>
            <w:tcW w:w="924" w:type="dxa"/>
          </w:tcPr>
          <w:p>
            <w:pPr>
              <w:pStyle w:val="TableParagraph"/>
              <w:spacing w:before="161"/>
              <w:ind w:left="43"/>
              <w:jc w:val="center"/>
              <w:rPr>
                <w:sz w:val="23"/>
              </w:rPr>
            </w:pPr>
            <w:r>
              <w:rPr>
                <w:spacing w:val="-10"/>
                <w:sz w:val="23"/>
              </w:rPr>
              <w:t>O</w:t>
            </w:r>
          </w:p>
        </w:tc>
        <w:tc>
          <w:tcPr>
            <w:tcW w:w="924" w:type="dxa"/>
          </w:tcPr>
          <w:p>
            <w:pPr>
              <w:pStyle w:val="TableParagraph"/>
              <w:rPr>
                <w:rFonts w:ascii="Times New Roman"/>
                <w:sz w:val="20"/>
              </w:rPr>
            </w:pPr>
          </w:p>
        </w:tc>
        <w:tc>
          <w:tcPr>
            <w:tcW w:w="363" w:type="dxa"/>
          </w:tcPr>
          <w:p>
            <w:pPr>
              <w:pStyle w:val="TableParagraph"/>
              <w:rPr>
                <w:rFonts w:ascii="Times New Roman"/>
                <w:sz w:val="20"/>
              </w:rPr>
            </w:pPr>
          </w:p>
        </w:tc>
        <w:tc>
          <w:tcPr>
            <w:tcW w:w="644" w:type="dxa"/>
          </w:tcPr>
          <w:p>
            <w:pPr>
              <w:pStyle w:val="TableParagraph"/>
              <w:spacing w:before="161"/>
              <w:ind w:left="49"/>
              <w:jc w:val="center"/>
              <w:rPr>
                <w:sz w:val="23"/>
              </w:rPr>
            </w:pPr>
            <w:r>
              <w:rPr>
                <w:spacing w:val="-10"/>
                <w:sz w:val="23"/>
              </w:rPr>
              <w:t>O</w:t>
            </w:r>
          </w:p>
        </w:tc>
        <w:tc>
          <w:tcPr>
            <w:tcW w:w="363" w:type="dxa"/>
          </w:tcPr>
          <w:p>
            <w:pPr>
              <w:pStyle w:val="TableParagraph"/>
              <w:spacing w:before="161"/>
              <w:ind w:left="56" w:right="6"/>
              <w:jc w:val="center"/>
              <w:rPr>
                <w:sz w:val="23"/>
              </w:rPr>
            </w:pPr>
            <w:r>
              <w:rPr>
                <w:spacing w:val="-10"/>
                <w:sz w:val="23"/>
              </w:rPr>
              <w:t>O</w:t>
            </w:r>
          </w:p>
        </w:tc>
        <w:tc>
          <w:tcPr>
            <w:tcW w:w="363" w:type="dxa"/>
          </w:tcPr>
          <w:p>
            <w:pPr>
              <w:pStyle w:val="TableParagraph"/>
              <w:spacing w:before="161"/>
              <w:ind w:left="56" w:right="4"/>
              <w:jc w:val="center"/>
              <w:rPr>
                <w:sz w:val="23"/>
              </w:rPr>
            </w:pPr>
            <w:r>
              <w:rPr>
                <w:spacing w:val="-10"/>
                <w:sz w:val="23"/>
              </w:rPr>
              <w:t>O</w:t>
            </w:r>
          </w:p>
        </w:tc>
        <w:tc>
          <w:tcPr>
            <w:tcW w:w="363" w:type="dxa"/>
          </w:tcPr>
          <w:p>
            <w:pPr>
              <w:pStyle w:val="TableParagraph"/>
              <w:spacing w:before="161"/>
              <w:ind w:left="56"/>
              <w:jc w:val="center"/>
              <w:rPr>
                <w:sz w:val="23"/>
              </w:rPr>
            </w:pPr>
            <w:r>
              <w:rPr>
                <w:spacing w:val="-10"/>
                <w:sz w:val="23"/>
              </w:rPr>
              <w:t>O</w:t>
            </w:r>
          </w:p>
        </w:tc>
        <w:tc>
          <w:tcPr>
            <w:tcW w:w="355" w:type="dxa"/>
            <w:tcBorders>
              <w:right w:val="single" w:sz="12" w:space="0" w:color="000000"/>
            </w:tcBorders>
          </w:tcPr>
          <w:p>
            <w:pPr>
              <w:pStyle w:val="TableParagraph"/>
              <w:spacing w:before="161"/>
              <w:ind w:left="74"/>
              <w:jc w:val="center"/>
              <w:rPr>
                <w:sz w:val="23"/>
              </w:rPr>
            </w:pPr>
            <w:r>
              <w:rPr>
                <w:spacing w:val="-10"/>
                <w:sz w:val="23"/>
              </w:rPr>
              <w:t>O</w:t>
            </w:r>
          </w:p>
        </w:tc>
      </w:tr>
      <w:tr>
        <w:trPr>
          <w:trHeight w:val="593" w:hRule="atLeast"/>
        </w:trPr>
        <w:tc>
          <w:tcPr>
            <w:tcW w:w="2368" w:type="dxa"/>
          </w:tcPr>
          <w:p>
            <w:pPr>
              <w:pStyle w:val="TableParagraph"/>
              <w:spacing w:before="9"/>
              <w:ind w:left="41"/>
              <w:rPr>
                <w:b/>
                <w:sz w:val="23"/>
              </w:rPr>
            </w:pPr>
            <w:r>
              <w:rPr>
                <w:b/>
                <w:spacing w:val="-2"/>
                <w:w w:val="90"/>
                <w:sz w:val="23"/>
              </w:rPr>
              <w:t>ALTA</w:t>
            </w:r>
            <w:r>
              <w:rPr>
                <w:b/>
                <w:spacing w:val="-7"/>
                <w:w w:val="90"/>
                <w:sz w:val="23"/>
              </w:rPr>
              <w:t> </w:t>
            </w:r>
            <w:r>
              <w:rPr>
                <w:b/>
                <w:spacing w:val="-2"/>
                <w:w w:val="90"/>
                <w:sz w:val="23"/>
              </w:rPr>
              <w:t>DENSIDAD</w:t>
            </w:r>
            <w:r>
              <w:rPr>
                <w:b/>
                <w:spacing w:val="-11"/>
                <w:w w:val="90"/>
                <w:sz w:val="23"/>
              </w:rPr>
              <w:t> </w:t>
            </w:r>
            <w:r>
              <w:rPr>
                <w:b/>
                <w:spacing w:val="-2"/>
                <w:w w:val="90"/>
                <w:sz w:val="23"/>
              </w:rPr>
              <w:t>(lotes</w:t>
            </w:r>
          </w:p>
          <w:p>
            <w:pPr>
              <w:pStyle w:val="TableParagraph"/>
              <w:spacing w:line="260" w:lineRule="exact" w:before="23"/>
              <w:ind w:left="41"/>
              <w:rPr>
                <w:b/>
                <w:sz w:val="23"/>
              </w:rPr>
            </w:pPr>
            <w:r>
              <w:rPr>
                <w:b/>
                <w:spacing w:val="-2"/>
                <w:w w:val="90"/>
                <w:sz w:val="23"/>
              </w:rPr>
              <w:t>hasta</w:t>
            </w:r>
            <w:r>
              <w:rPr>
                <w:b/>
                <w:spacing w:val="-10"/>
                <w:w w:val="90"/>
                <w:sz w:val="23"/>
              </w:rPr>
              <w:t> </w:t>
            </w:r>
            <w:r>
              <w:rPr>
                <w:b/>
                <w:spacing w:val="-2"/>
                <w:w w:val="95"/>
                <w:sz w:val="23"/>
              </w:rPr>
              <w:t>120m²)</w:t>
            </w:r>
          </w:p>
        </w:tc>
        <w:tc>
          <w:tcPr>
            <w:tcW w:w="364" w:type="dxa"/>
          </w:tcPr>
          <w:p>
            <w:pPr>
              <w:pStyle w:val="TableParagraph"/>
              <w:rPr>
                <w:rFonts w:ascii="Times New Roman"/>
                <w:sz w:val="20"/>
              </w:rPr>
            </w:pPr>
          </w:p>
        </w:tc>
        <w:tc>
          <w:tcPr>
            <w:tcW w:w="364" w:type="dxa"/>
          </w:tcPr>
          <w:p>
            <w:pPr>
              <w:pStyle w:val="TableParagraph"/>
              <w:rPr>
                <w:rFonts w:ascii="Times New Roman"/>
                <w:sz w:val="20"/>
              </w:rPr>
            </w:pPr>
          </w:p>
        </w:tc>
        <w:tc>
          <w:tcPr>
            <w:tcW w:w="644" w:type="dxa"/>
          </w:tcPr>
          <w:p>
            <w:pPr>
              <w:pStyle w:val="TableParagraph"/>
              <w:rPr>
                <w:rFonts w:ascii="Times New Roman"/>
                <w:sz w:val="20"/>
              </w:rPr>
            </w:pPr>
          </w:p>
        </w:tc>
        <w:tc>
          <w:tcPr>
            <w:tcW w:w="924" w:type="dxa"/>
          </w:tcPr>
          <w:p>
            <w:pPr>
              <w:pStyle w:val="TableParagraph"/>
              <w:spacing w:before="161"/>
              <w:ind w:left="43"/>
              <w:jc w:val="center"/>
              <w:rPr>
                <w:sz w:val="23"/>
              </w:rPr>
            </w:pPr>
            <w:r>
              <w:rPr>
                <w:spacing w:val="-10"/>
                <w:sz w:val="23"/>
              </w:rPr>
              <w:t>O</w:t>
            </w:r>
          </w:p>
        </w:tc>
        <w:tc>
          <w:tcPr>
            <w:tcW w:w="924" w:type="dxa"/>
          </w:tcPr>
          <w:p>
            <w:pPr>
              <w:pStyle w:val="TableParagraph"/>
              <w:rPr>
                <w:rFonts w:ascii="Times New Roman"/>
                <w:sz w:val="20"/>
              </w:rPr>
            </w:pPr>
          </w:p>
        </w:tc>
        <w:tc>
          <w:tcPr>
            <w:tcW w:w="363" w:type="dxa"/>
          </w:tcPr>
          <w:p>
            <w:pPr>
              <w:pStyle w:val="TableParagraph"/>
              <w:rPr>
                <w:rFonts w:ascii="Times New Roman"/>
                <w:sz w:val="20"/>
              </w:rPr>
            </w:pPr>
          </w:p>
        </w:tc>
        <w:tc>
          <w:tcPr>
            <w:tcW w:w="644" w:type="dxa"/>
          </w:tcPr>
          <w:p>
            <w:pPr>
              <w:pStyle w:val="TableParagraph"/>
              <w:spacing w:before="161"/>
              <w:ind w:left="49"/>
              <w:jc w:val="center"/>
              <w:rPr>
                <w:sz w:val="23"/>
              </w:rPr>
            </w:pPr>
            <w:r>
              <w:rPr>
                <w:spacing w:val="-10"/>
                <w:sz w:val="23"/>
              </w:rPr>
              <w:t>O</w:t>
            </w:r>
          </w:p>
        </w:tc>
        <w:tc>
          <w:tcPr>
            <w:tcW w:w="363" w:type="dxa"/>
          </w:tcPr>
          <w:p>
            <w:pPr>
              <w:pStyle w:val="TableParagraph"/>
              <w:spacing w:before="161"/>
              <w:ind w:left="56" w:right="6"/>
              <w:jc w:val="center"/>
              <w:rPr>
                <w:sz w:val="23"/>
              </w:rPr>
            </w:pPr>
            <w:r>
              <w:rPr>
                <w:spacing w:val="-10"/>
                <w:sz w:val="23"/>
              </w:rPr>
              <w:t>O</w:t>
            </w:r>
          </w:p>
        </w:tc>
        <w:tc>
          <w:tcPr>
            <w:tcW w:w="363" w:type="dxa"/>
          </w:tcPr>
          <w:p>
            <w:pPr>
              <w:pStyle w:val="TableParagraph"/>
              <w:spacing w:before="161"/>
              <w:ind w:left="56" w:right="4"/>
              <w:jc w:val="center"/>
              <w:rPr>
                <w:sz w:val="23"/>
              </w:rPr>
            </w:pPr>
            <w:r>
              <w:rPr>
                <w:spacing w:val="-10"/>
                <w:sz w:val="23"/>
              </w:rPr>
              <w:t>O</w:t>
            </w:r>
          </w:p>
        </w:tc>
        <w:tc>
          <w:tcPr>
            <w:tcW w:w="363" w:type="dxa"/>
          </w:tcPr>
          <w:p>
            <w:pPr>
              <w:pStyle w:val="TableParagraph"/>
              <w:spacing w:before="161"/>
              <w:ind w:left="56"/>
              <w:jc w:val="center"/>
              <w:rPr>
                <w:sz w:val="23"/>
              </w:rPr>
            </w:pPr>
            <w:r>
              <w:rPr>
                <w:spacing w:val="-10"/>
                <w:sz w:val="23"/>
              </w:rPr>
              <w:t>O</w:t>
            </w:r>
          </w:p>
        </w:tc>
        <w:tc>
          <w:tcPr>
            <w:tcW w:w="355" w:type="dxa"/>
            <w:tcBorders>
              <w:right w:val="single" w:sz="12" w:space="0" w:color="000000"/>
            </w:tcBorders>
          </w:tcPr>
          <w:p>
            <w:pPr>
              <w:pStyle w:val="TableParagraph"/>
              <w:rPr>
                <w:rFonts w:ascii="Times New Roman"/>
                <w:sz w:val="20"/>
              </w:rPr>
            </w:pPr>
          </w:p>
        </w:tc>
      </w:tr>
      <w:tr>
        <w:trPr>
          <w:trHeight w:val="585" w:hRule="atLeast"/>
        </w:trPr>
        <w:tc>
          <w:tcPr>
            <w:tcW w:w="2368" w:type="dxa"/>
            <w:tcBorders>
              <w:bottom w:val="single" w:sz="18" w:space="0" w:color="000000"/>
            </w:tcBorders>
          </w:tcPr>
          <w:p>
            <w:pPr>
              <w:pStyle w:val="TableParagraph"/>
              <w:spacing w:line="274" w:lineRule="exact"/>
              <w:ind w:left="41"/>
              <w:rPr>
                <w:b/>
                <w:sz w:val="23"/>
              </w:rPr>
            </w:pPr>
            <w:r>
              <w:rPr>
                <w:b/>
                <w:spacing w:val="-2"/>
                <w:w w:val="90"/>
                <w:sz w:val="23"/>
              </w:rPr>
              <w:t>MIXTO</w:t>
            </w:r>
            <w:r>
              <w:rPr>
                <w:b/>
                <w:spacing w:val="-4"/>
                <w:w w:val="90"/>
                <w:sz w:val="23"/>
              </w:rPr>
              <w:t> </w:t>
            </w:r>
            <w:r>
              <w:rPr>
                <w:b/>
                <w:spacing w:val="-2"/>
                <w:w w:val="90"/>
                <w:sz w:val="23"/>
              </w:rPr>
              <w:t>C/COMERCIO</w:t>
            </w:r>
            <w:r>
              <w:rPr>
                <w:b/>
                <w:spacing w:val="-3"/>
                <w:w w:val="90"/>
                <w:sz w:val="23"/>
              </w:rPr>
              <w:t> </w:t>
            </w:r>
            <w:r>
              <w:rPr>
                <w:b/>
                <w:spacing w:val="-10"/>
                <w:w w:val="90"/>
                <w:sz w:val="23"/>
              </w:rPr>
              <w:t>Y</w:t>
            </w:r>
          </w:p>
          <w:p>
            <w:pPr>
              <w:pStyle w:val="TableParagraph"/>
              <w:spacing w:line="268" w:lineRule="exact" w:before="23"/>
              <w:ind w:left="41"/>
              <w:rPr>
                <w:b/>
                <w:sz w:val="23"/>
              </w:rPr>
            </w:pPr>
            <w:r>
              <w:rPr>
                <w:b/>
                <w:spacing w:val="-2"/>
                <w:sz w:val="23"/>
              </w:rPr>
              <w:t>SERVICIOS</w:t>
            </w:r>
          </w:p>
        </w:tc>
        <w:tc>
          <w:tcPr>
            <w:tcW w:w="364" w:type="dxa"/>
            <w:tcBorders>
              <w:bottom w:val="single" w:sz="18" w:space="0" w:color="000000"/>
            </w:tcBorders>
          </w:tcPr>
          <w:p>
            <w:pPr>
              <w:pStyle w:val="TableParagraph"/>
              <w:rPr>
                <w:rFonts w:ascii="Times New Roman"/>
                <w:sz w:val="20"/>
              </w:rPr>
            </w:pPr>
          </w:p>
        </w:tc>
        <w:tc>
          <w:tcPr>
            <w:tcW w:w="364" w:type="dxa"/>
            <w:tcBorders>
              <w:bottom w:val="single" w:sz="18" w:space="0" w:color="000000"/>
            </w:tcBorders>
          </w:tcPr>
          <w:p>
            <w:pPr>
              <w:pStyle w:val="TableParagraph"/>
              <w:spacing w:before="161"/>
              <w:ind w:left="125"/>
              <w:rPr>
                <w:sz w:val="23"/>
              </w:rPr>
            </w:pPr>
            <w:r>
              <w:rPr>
                <w:spacing w:val="-10"/>
                <w:sz w:val="23"/>
              </w:rPr>
              <w:t>O</w:t>
            </w:r>
          </w:p>
        </w:tc>
        <w:tc>
          <w:tcPr>
            <w:tcW w:w="644" w:type="dxa"/>
            <w:tcBorders>
              <w:bottom w:val="single" w:sz="18" w:space="0" w:color="000000"/>
            </w:tcBorders>
          </w:tcPr>
          <w:p>
            <w:pPr>
              <w:pStyle w:val="TableParagraph"/>
              <w:spacing w:before="161"/>
              <w:ind w:left="49" w:right="6"/>
              <w:jc w:val="center"/>
              <w:rPr>
                <w:sz w:val="23"/>
              </w:rPr>
            </w:pPr>
            <w:r>
              <w:rPr>
                <w:spacing w:val="-10"/>
                <w:sz w:val="23"/>
              </w:rPr>
              <w:t>O</w:t>
            </w:r>
          </w:p>
        </w:tc>
        <w:tc>
          <w:tcPr>
            <w:tcW w:w="924" w:type="dxa"/>
            <w:tcBorders>
              <w:bottom w:val="single" w:sz="18" w:space="0" w:color="000000"/>
            </w:tcBorders>
          </w:tcPr>
          <w:p>
            <w:pPr>
              <w:pStyle w:val="TableParagraph"/>
              <w:spacing w:before="161"/>
              <w:ind w:left="43"/>
              <w:jc w:val="center"/>
              <w:rPr>
                <w:sz w:val="23"/>
              </w:rPr>
            </w:pPr>
            <w:r>
              <w:rPr>
                <w:spacing w:val="-10"/>
                <w:sz w:val="23"/>
              </w:rPr>
              <w:t>O</w:t>
            </w:r>
          </w:p>
        </w:tc>
        <w:tc>
          <w:tcPr>
            <w:tcW w:w="924" w:type="dxa"/>
            <w:tcBorders>
              <w:bottom w:val="single" w:sz="18" w:space="0" w:color="000000"/>
            </w:tcBorders>
          </w:tcPr>
          <w:p>
            <w:pPr>
              <w:pStyle w:val="TableParagraph"/>
              <w:rPr>
                <w:rFonts w:ascii="Times New Roman"/>
                <w:sz w:val="20"/>
              </w:rPr>
            </w:pPr>
          </w:p>
        </w:tc>
        <w:tc>
          <w:tcPr>
            <w:tcW w:w="363" w:type="dxa"/>
            <w:tcBorders>
              <w:bottom w:val="single" w:sz="18" w:space="0" w:color="000000"/>
            </w:tcBorders>
          </w:tcPr>
          <w:p>
            <w:pPr>
              <w:pStyle w:val="TableParagraph"/>
              <w:spacing w:before="161"/>
              <w:ind w:left="127"/>
              <w:rPr>
                <w:sz w:val="23"/>
              </w:rPr>
            </w:pPr>
            <w:r>
              <w:rPr>
                <w:spacing w:val="-10"/>
                <w:sz w:val="23"/>
              </w:rPr>
              <w:t>O</w:t>
            </w:r>
          </w:p>
        </w:tc>
        <w:tc>
          <w:tcPr>
            <w:tcW w:w="644" w:type="dxa"/>
            <w:tcBorders>
              <w:bottom w:val="single" w:sz="18" w:space="0" w:color="000000"/>
            </w:tcBorders>
          </w:tcPr>
          <w:p>
            <w:pPr>
              <w:pStyle w:val="TableParagraph"/>
              <w:spacing w:before="161"/>
              <w:ind w:left="49"/>
              <w:jc w:val="center"/>
              <w:rPr>
                <w:sz w:val="23"/>
              </w:rPr>
            </w:pPr>
            <w:r>
              <w:rPr>
                <w:spacing w:val="-10"/>
                <w:sz w:val="23"/>
              </w:rPr>
              <w:t>O</w:t>
            </w:r>
          </w:p>
        </w:tc>
        <w:tc>
          <w:tcPr>
            <w:tcW w:w="363" w:type="dxa"/>
            <w:tcBorders>
              <w:bottom w:val="single" w:sz="18" w:space="0" w:color="000000"/>
            </w:tcBorders>
          </w:tcPr>
          <w:p>
            <w:pPr>
              <w:pStyle w:val="TableParagraph"/>
              <w:spacing w:before="161"/>
              <w:ind w:left="56" w:right="6"/>
              <w:jc w:val="center"/>
              <w:rPr>
                <w:sz w:val="23"/>
              </w:rPr>
            </w:pPr>
            <w:r>
              <w:rPr>
                <w:spacing w:val="-10"/>
                <w:sz w:val="23"/>
              </w:rPr>
              <w:t>O</w:t>
            </w:r>
          </w:p>
        </w:tc>
        <w:tc>
          <w:tcPr>
            <w:tcW w:w="363" w:type="dxa"/>
            <w:tcBorders>
              <w:bottom w:val="single" w:sz="18" w:space="0" w:color="000000"/>
            </w:tcBorders>
          </w:tcPr>
          <w:p>
            <w:pPr>
              <w:pStyle w:val="TableParagraph"/>
              <w:rPr>
                <w:rFonts w:ascii="Times New Roman"/>
                <w:sz w:val="20"/>
              </w:rPr>
            </w:pPr>
          </w:p>
        </w:tc>
        <w:tc>
          <w:tcPr>
            <w:tcW w:w="363" w:type="dxa"/>
            <w:tcBorders>
              <w:bottom w:val="single" w:sz="18" w:space="0" w:color="000000"/>
            </w:tcBorders>
          </w:tcPr>
          <w:p>
            <w:pPr>
              <w:pStyle w:val="TableParagraph"/>
              <w:spacing w:before="161"/>
              <w:ind w:left="56"/>
              <w:jc w:val="center"/>
              <w:rPr>
                <w:sz w:val="23"/>
              </w:rPr>
            </w:pPr>
            <w:r>
              <w:rPr>
                <w:spacing w:val="-10"/>
                <w:sz w:val="23"/>
              </w:rPr>
              <w:t>O</w:t>
            </w:r>
          </w:p>
        </w:tc>
        <w:tc>
          <w:tcPr>
            <w:tcW w:w="355" w:type="dxa"/>
            <w:tcBorders>
              <w:bottom w:val="single" w:sz="18" w:space="0" w:color="000000"/>
              <w:right w:val="single" w:sz="12" w:space="0" w:color="000000"/>
            </w:tcBorders>
          </w:tcPr>
          <w:p>
            <w:pPr>
              <w:pStyle w:val="TableParagraph"/>
              <w:spacing w:before="161"/>
              <w:ind w:left="74"/>
              <w:jc w:val="center"/>
              <w:rPr>
                <w:sz w:val="23"/>
              </w:rPr>
            </w:pPr>
            <w:r>
              <w:rPr>
                <w:spacing w:val="-10"/>
                <w:sz w:val="23"/>
              </w:rPr>
              <w:t>O</w:t>
            </w:r>
          </w:p>
        </w:tc>
      </w:tr>
    </w:tbl>
    <w:p>
      <w:pPr>
        <w:pStyle w:val="BodyText"/>
        <w:tabs>
          <w:tab w:pos="1571" w:val="left" w:leader="none"/>
        </w:tabs>
        <w:spacing w:before="3"/>
        <w:ind w:left="262"/>
      </w:pPr>
      <w:r>
        <w:rPr/>
        <w:t>O</w:t>
      </w:r>
      <w:r>
        <w:rPr>
          <w:spacing w:val="-2"/>
        </w:rPr>
        <w:t> adecuada</w:t>
      </w:r>
      <w:r>
        <w:rPr/>
        <w:tab/>
        <w:t>X</w:t>
      </w:r>
      <w:r>
        <w:rPr>
          <w:spacing w:val="-2"/>
        </w:rPr>
        <w:t> tolerable</w:t>
      </w:r>
    </w:p>
    <w:p>
      <w:pPr>
        <w:pStyle w:val="BodyText"/>
      </w:pPr>
    </w:p>
    <w:p>
      <w:pPr>
        <w:pStyle w:val="BodyText"/>
        <w:ind w:right="16"/>
        <w:jc w:val="center"/>
      </w:pPr>
      <w:r>
        <w:rPr/>
        <w:t>SERVICIOS/</w:t>
      </w:r>
      <w:r>
        <w:rPr>
          <w:spacing w:val="-10"/>
        </w:rPr>
        <w:t> </w:t>
      </w:r>
      <w:r>
        <w:rPr>
          <w:spacing w:val="-2"/>
        </w:rPr>
        <w:t>ADMINISTRACIÓN</w:t>
      </w: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82" w:hRule="atLeast"/>
        </w:trPr>
        <w:tc>
          <w:tcPr>
            <w:tcW w:w="2535" w:type="dxa"/>
            <w:tcBorders>
              <w:bottom w:val="single" w:sz="8" w:space="0" w:color="D0D6E4"/>
            </w:tcBorders>
          </w:tcPr>
          <w:p>
            <w:pPr>
              <w:pStyle w:val="TableParagraph"/>
              <w:rPr>
                <w:rFonts w:ascii="Times New Roman"/>
                <w:sz w:val="20"/>
              </w:rPr>
            </w:pPr>
          </w:p>
        </w:tc>
        <w:tc>
          <w:tcPr>
            <w:tcW w:w="1469" w:type="dxa"/>
            <w:gridSpan w:val="3"/>
            <w:tcBorders>
              <w:bottom w:val="single" w:sz="8" w:space="0" w:color="000000"/>
            </w:tcBorders>
          </w:tcPr>
          <w:p>
            <w:pPr>
              <w:pStyle w:val="TableParagraph"/>
              <w:spacing w:line="254" w:lineRule="exact" w:before="8"/>
              <w:ind w:left="74"/>
              <w:rPr>
                <w:b/>
                <w:sz w:val="22"/>
              </w:rPr>
            </w:pPr>
            <w:r>
              <w:rPr>
                <w:b/>
                <w:spacing w:val="-2"/>
                <w:sz w:val="22"/>
              </w:rPr>
              <w:t>INTERURBANA</w:t>
            </w:r>
          </w:p>
        </w:tc>
        <w:tc>
          <w:tcPr>
            <w:tcW w:w="4600" w:type="dxa"/>
            <w:gridSpan w:val="8"/>
            <w:tcBorders>
              <w:bottom w:val="single" w:sz="8" w:space="0" w:color="000000"/>
              <w:right w:val="single" w:sz="12" w:space="0" w:color="000000"/>
            </w:tcBorders>
          </w:tcPr>
          <w:p>
            <w:pPr>
              <w:pStyle w:val="TableParagraph"/>
              <w:spacing w:line="254" w:lineRule="exact" w:before="8"/>
              <w:ind w:left="76"/>
              <w:jc w:val="center"/>
              <w:rPr>
                <w:b/>
                <w:sz w:val="22"/>
              </w:rPr>
            </w:pPr>
            <w:r>
              <w:rPr>
                <w:b/>
                <w:spacing w:val="-2"/>
                <w:sz w:val="22"/>
              </w:rPr>
              <w:t>URBANA</w:t>
            </w:r>
          </w:p>
        </w:tc>
      </w:tr>
      <w:tr>
        <w:trPr>
          <w:trHeight w:val="1137" w:hRule="atLeast"/>
        </w:trPr>
        <w:tc>
          <w:tcPr>
            <w:tcW w:w="2535" w:type="dxa"/>
            <w:tcBorders>
              <w:top w:val="single" w:sz="8" w:space="0" w:color="D0D6E4"/>
            </w:tcBorders>
          </w:tcPr>
          <w:p>
            <w:pPr>
              <w:pStyle w:val="TableParagraph"/>
              <w:rPr>
                <w:rFonts w:ascii="Times New Roman"/>
                <w:sz w:val="20"/>
              </w:rPr>
            </w:pPr>
          </w:p>
        </w:tc>
        <w:tc>
          <w:tcPr>
            <w:tcW w:w="390" w:type="dxa"/>
            <w:tcBorders>
              <w:top w:val="single" w:sz="8" w:space="0" w:color="000000"/>
            </w:tcBorders>
            <w:textDirection w:val="btLr"/>
          </w:tcPr>
          <w:p>
            <w:pPr>
              <w:pStyle w:val="TableParagraph"/>
              <w:spacing w:before="75"/>
              <w:ind w:left="37"/>
              <w:rPr>
                <w:b/>
                <w:sz w:val="22"/>
              </w:rPr>
            </w:pPr>
            <w:r>
              <w:rPr>
                <w:b/>
                <w:spacing w:val="-2"/>
                <w:sz w:val="22"/>
              </w:rPr>
              <w:t>autopista</w:t>
            </w:r>
          </w:p>
        </w:tc>
        <w:tc>
          <w:tcPr>
            <w:tcW w:w="390" w:type="dxa"/>
            <w:tcBorders>
              <w:top w:val="single" w:sz="8" w:space="0" w:color="000000"/>
            </w:tcBorders>
            <w:textDirection w:val="btLr"/>
          </w:tcPr>
          <w:p>
            <w:pPr>
              <w:pStyle w:val="TableParagraph"/>
              <w:spacing w:before="75"/>
              <w:ind w:left="37"/>
              <w:rPr>
                <w:b/>
                <w:sz w:val="22"/>
              </w:rPr>
            </w:pPr>
            <w:r>
              <w:rPr>
                <w:b/>
                <w:spacing w:val="-2"/>
                <w:sz w:val="22"/>
              </w:rPr>
              <w:t>carretera</w:t>
            </w:r>
          </w:p>
        </w:tc>
        <w:tc>
          <w:tcPr>
            <w:tcW w:w="689" w:type="dxa"/>
            <w:tcBorders>
              <w:top w:val="single" w:sz="8" w:space="0" w:color="000000"/>
            </w:tcBorders>
            <w:textDirection w:val="btLr"/>
          </w:tcPr>
          <w:p>
            <w:pPr>
              <w:pStyle w:val="TableParagraph"/>
              <w:spacing w:line="300" w:lineRule="atLeast" w:before="44"/>
              <w:ind w:left="37" w:right="34"/>
              <w:rPr>
                <w:b/>
                <w:sz w:val="22"/>
              </w:rPr>
            </w:pPr>
            <w:r>
              <w:rPr>
                <w:b/>
                <w:spacing w:val="-2"/>
                <w:sz w:val="22"/>
              </w:rPr>
              <w:t>camino rural</w:t>
            </w:r>
          </w:p>
        </w:tc>
        <w:tc>
          <w:tcPr>
            <w:tcW w:w="989" w:type="dxa"/>
            <w:tcBorders>
              <w:top w:val="single" w:sz="8" w:space="0" w:color="000000"/>
            </w:tcBorders>
            <w:textDirection w:val="btLr"/>
          </w:tcPr>
          <w:p>
            <w:pPr>
              <w:pStyle w:val="TableParagraph"/>
              <w:spacing w:line="300" w:lineRule="atLeast" w:before="45"/>
              <w:ind w:left="37"/>
              <w:rPr>
                <w:b/>
                <w:sz w:val="22"/>
              </w:rPr>
            </w:pPr>
            <w:r>
              <w:rPr>
                <w:b/>
                <w:spacing w:val="-2"/>
                <w:sz w:val="22"/>
              </w:rPr>
              <w:t>acceso controlado c/lateral</w:t>
            </w:r>
          </w:p>
        </w:tc>
        <w:tc>
          <w:tcPr>
            <w:tcW w:w="989" w:type="dxa"/>
            <w:tcBorders>
              <w:top w:val="single" w:sz="8" w:space="0" w:color="000000"/>
            </w:tcBorders>
            <w:textDirection w:val="btLr"/>
          </w:tcPr>
          <w:p>
            <w:pPr>
              <w:pStyle w:val="TableParagraph"/>
              <w:spacing w:line="300" w:lineRule="atLeast" w:before="46"/>
              <w:ind w:left="37"/>
              <w:rPr>
                <w:b/>
                <w:sz w:val="22"/>
              </w:rPr>
            </w:pPr>
            <w:r>
              <w:rPr>
                <w:b/>
                <w:spacing w:val="-2"/>
                <w:sz w:val="22"/>
              </w:rPr>
              <w:t>acceso controlado s/lateral</w:t>
            </w:r>
          </w:p>
        </w:tc>
        <w:tc>
          <w:tcPr>
            <w:tcW w:w="389" w:type="dxa"/>
            <w:tcBorders>
              <w:top w:val="single" w:sz="8" w:space="0" w:color="000000"/>
            </w:tcBorders>
            <w:textDirection w:val="btLr"/>
          </w:tcPr>
          <w:p>
            <w:pPr>
              <w:pStyle w:val="TableParagraph"/>
              <w:spacing w:before="78"/>
              <w:ind w:left="37"/>
              <w:rPr>
                <w:b/>
                <w:sz w:val="22"/>
              </w:rPr>
            </w:pPr>
            <w:r>
              <w:rPr>
                <w:b/>
                <w:spacing w:val="-2"/>
                <w:sz w:val="22"/>
              </w:rPr>
              <w:t>primaria</w:t>
            </w:r>
          </w:p>
        </w:tc>
        <w:tc>
          <w:tcPr>
            <w:tcW w:w="689" w:type="dxa"/>
            <w:tcBorders>
              <w:top w:val="single" w:sz="8" w:space="0" w:color="000000"/>
            </w:tcBorders>
            <w:textDirection w:val="btLr"/>
          </w:tcPr>
          <w:p>
            <w:pPr>
              <w:pStyle w:val="TableParagraph"/>
              <w:spacing w:line="300" w:lineRule="atLeast" w:before="48"/>
              <w:ind w:left="37" w:right="34"/>
              <w:rPr>
                <w:b/>
                <w:sz w:val="22"/>
              </w:rPr>
            </w:pPr>
            <w:r>
              <w:rPr>
                <w:b/>
                <w:spacing w:val="-2"/>
                <w:sz w:val="22"/>
              </w:rPr>
              <w:t>secundaria </w:t>
            </w:r>
            <w:r>
              <w:rPr>
                <w:b/>
                <w:sz w:val="22"/>
              </w:rPr>
              <w:t>o</w:t>
            </w:r>
            <w:r>
              <w:rPr>
                <w:b/>
                <w:spacing w:val="-5"/>
                <w:sz w:val="22"/>
              </w:rPr>
              <w:t> </w:t>
            </w:r>
            <w:r>
              <w:rPr>
                <w:b/>
                <w:spacing w:val="-2"/>
                <w:sz w:val="22"/>
              </w:rPr>
              <w:t>colectora</w:t>
            </w:r>
          </w:p>
        </w:tc>
        <w:tc>
          <w:tcPr>
            <w:tcW w:w="388" w:type="dxa"/>
            <w:tcBorders>
              <w:top w:val="single" w:sz="8" w:space="0" w:color="000000"/>
            </w:tcBorders>
            <w:textDirection w:val="btLr"/>
          </w:tcPr>
          <w:p>
            <w:pPr>
              <w:pStyle w:val="TableParagraph"/>
              <w:spacing w:before="81"/>
              <w:ind w:left="37"/>
              <w:rPr>
                <w:b/>
                <w:sz w:val="22"/>
              </w:rPr>
            </w:pPr>
            <w:r>
              <w:rPr>
                <w:b/>
                <w:spacing w:val="-2"/>
                <w:sz w:val="22"/>
              </w:rPr>
              <w:t>local</w:t>
            </w:r>
          </w:p>
        </w:tc>
        <w:tc>
          <w:tcPr>
            <w:tcW w:w="388" w:type="dxa"/>
            <w:tcBorders>
              <w:top w:val="single" w:sz="8" w:space="0" w:color="000000"/>
            </w:tcBorders>
            <w:textDirection w:val="btLr"/>
          </w:tcPr>
          <w:p>
            <w:pPr>
              <w:pStyle w:val="TableParagraph"/>
              <w:spacing w:before="82"/>
              <w:ind w:left="37"/>
              <w:rPr>
                <w:b/>
                <w:sz w:val="22"/>
              </w:rPr>
            </w:pPr>
            <w:r>
              <w:rPr>
                <w:b/>
                <w:spacing w:val="-2"/>
                <w:sz w:val="22"/>
              </w:rPr>
              <w:t>cerrada</w:t>
            </w:r>
          </w:p>
        </w:tc>
        <w:tc>
          <w:tcPr>
            <w:tcW w:w="388" w:type="dxa"/>
            <w:tcBorders>
              <w:top w:val="single" w:sz="8" w:space="0" w:color="000000"/>
            </w:tcBorders>
            <w:textDirection w:val="btLr"/>
          </w:tcPr>
          <w:p>
            <w:pPr>
              <w:pStyle w:val="TableParagraph"/>
              <w:spacing w:before="84"/>
              <w:ind w:left="37"/>
              <w:rPr>
                <w:b/>
                <w:sz w:val="22"/>
              </w:rPr>
            </w:pPr>
            <w:r>
              <w:rPr>
                <w:b/>
                <w:spacing w:val="-2"/>
                <w:sz w:val="22"/>
              </w:rPr>
              <w:t>ciclovía</w:t>
            </w:r>
          </w:p>
        </w:tc>
        <w:tc>
          <w:tcPr>
            <w:tcW w:w="380" w:type="dxa"/>
            <w:tcBorders>
              <w:top w:val="single" w:sz="8" w:space="0" w:color="000000"/>
              <w:right w:val="single" w:sz="12" w:space="0" w:color="000000"/>
            </w:tcBorders>
            <w:textDirection w:val="btLr"/>
          </w:tcPr>
          <w:p>
            <w:pPr>
              <w:pStyle w:val="TableParagraph"/>
              <w:spacing w:line="251" w:lineRule="exact" w:before="87"/>
              <w:ind w:left="37"/>
              <w:rPr>
                <w:b/>
                <w:sz w:val="22"/>
              </w:rPr>
            </w:pPr>
            <w:r>
              <w:rPr>
                <w:b/>
                <w:spacing w:val="-2"/>
                <w:sz w:val="22"/>
              </w:rPr>
              <w:t>andador</w:t>
            </w:r>
          </w:p>
        </w:tc>
      </w:tr>
      <w:tr>
        <w:trPr>
          <w:trHeight w:val="585" w:hRule="atLeast"/>
        </w:trPr>
        <w:tc>
          <w:tcPr>
            <w:tcW w:w="2535" w:type="dxa"/>
          </w:tcPr>
          <w:p>
            <w:pPr>
              <w:pStyle w:val="TableParagraph"/>
              <w:spacing w:before="8"/>
              <w:ind w:left="44"/>
              <w:rPr>
                <w:b/>
                <w:sz w:val="22"/>
              </w:rPr>
            </w:pPr>
            <w:r>
              <w:rPr>
                <w:b/>
                <w:spacing w:val="-2"/>
                <w:sz w:val="22"/>
              </w:rPr>
              <w:t>ADMINISTRACIÓN</w:t>
            </w:r>
          </w:p>
          <w:p>
            <w:pPr>
              <w:pStyle w:val="TableParagraph"/>
              <w:spacing w:line="257" w:lineRule="exact" w:before="31"/>
              <w:ind w:left="44"/>
              <w:rPr>
                <w:b/>
                <w:sz w:val="22"/>
              </w:rPr>
            </w:pPr>
            <w:r>
              <w:rPr>
                <w:b/>
                <w:spacing w:val="-2"/>
                <w:sz w:val="22"/>
              </w:rPr>
              <w:t>PÚBLICA</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spacing w:before="158"/>
              <w:ind w:left="50" w:right="5"/>
              <w:jc w:val="center"/>
              <w:rPr>
                <w:sz w:val="22"/>
              </w:rPr>
            </w:pPr>
            <w:r>
              <w:rPr>
                <w:spacing w:val="-10"/>
                <w:sz w:val="22"/>
              </w:rPr>
              <w:t>X</w:t>
            </w:r>
          </w:p>
        </w:tc>
        <w:tc>
          <w:tcPr>
            <w:tcW w:w="989" w:type="dxa"/>
          </w:tcPr>
          <w:p>
            <w:pPr>
              <w:pStyle w:val="TableParagraph"/>
              <w:rPr>
                <w:rFonts w:ascii="Times New Roman"/>
                <w:sz w:val="20"/>
              </w:rPr>
            </w:pPr>
          </w:p>
        </w:tc>
        <w:tc>
          <w:tcPr>
            <w:tcW w:w="389" w:type="dxa"/>
          </w:tcPr>
          <w:p>
            <w:pPr>
              <w:pStyle w:val="TableParagraph"/>
              <w:spacing w:before="158"/>
              <w:ind w:left="51"/>
              <w:jc w:val="center"/>
              <w:rPr>
                <w:sz w:val="22"/>
              </w:rPr>
            </w:pPr>
            <w:r>
              <w:rPr>
                <w:spacing w:val="-10"/>
                <w:sz w:val="22"/>
              </w:rPr>
              <w:t>O</w:t>
            </w:r>
          </w:p>
        </w:tc>
        <w:tc>
          <w:tcPr>
            <w:tcW w:w="689" w:type="dxa"/>
          </w:tcPr>
          <w:p>
            <w:pPr>
              <w:pStyle w:val="TableParagraph"/>
              <w:spacing w:before="158"/>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77" w:hRule="atLeast"/>
        </w:trPr>
        <w:tc>
          <w:tcPr>
            <w:tcW w:w="2535" w:type="dxa"/>
            <w:tcBorders>
              <w:bottom w:val="single" w:sz="18" w:space="0" w:color="000000"/>
            </w:tcBorders>
          </w:tcPr>
          <w:p>
            <w:pPr>
              <w:pStyle w:val="TableParagraph"/>
              <w:spacing w:line="261" w:lineRule="exact"/>
              <w:ind w:left="44"/>
              <w:rPr>
                <w:b/>
                <w:sz w:val="22"/>
              </w:rPr>
            </w:pPr>
            <w:r>
              <w:rPr>
                <w:b/>
                <w:spacing w:val="-2"/>
                <w:sz w:val="22"/>
              </w:rPr>
              <w:t>ADMINISTRACIÓN</w:t>
            </w:r>
          </w:p>
          <w:p>
            <w:pPr>
              <w:pStyle w:val="TableParagraph"/>
              <w:spacing w:line="264" w:lineRule="exact" w:before="31"/>
              <w:ind w:left="44"/>
              <w:rPr>
                <w:b/>
                <w:sz w:val="22"/>
              </w:rPr>
            </w:pPr>
            <w:r>
              <w:rPr>
                <w:b/>
                <w:spacing w:val="-2"/>
                <w:sz w:val="22"/>
              </w:rPr>
              <w:t>PRIVADA</w:t>
            </w:r>
          </w:p>
        </w:tc>
        <w:tc>
          <w:tcPr>
            <w:tcW w:w="390" w:type="dxa"/>
            <w:tcBorders>
              <w:bottom w:val="single" w:sz="18" w:space="0" w:color="000000"/>
            </w:tcBorders>
          </w:tcPr>
          <w:p>
            <w:pPr>
              <w:pStyle w:val="TableParagraph"/>
              <w:rPr>
                <w:rFonts w:ascii="Times New Roman"/>
                <w:sz w:val="20"/>
              </w:rPr>
            </w:pPr>
          </w:p>
        </w:tc>
        <w:tc>
          <w:tcPr>
            <w:tcW w:w="390" w:type="dxa"/>
            <w:tcBorders>
              <w:bottom w:val="single" w:sz="18" w:space="0" w:color="000000"/>
            </w:tcBorders>
          </w:tcPr>
          <w:p>
            <w:pPr>
              <w:pStyle w:val="TableParagraph"/>
              <w:rPr>
                <w:rFonts w:ascii="Times New Roman"/>
                <w:sz w:val="20"/>
              </w:rPr>
            </w:pPr>
          </w:p>
        </w:tc>
        <w:tc>
          <w:tcPr>
            <w:tcW w:w="689" w:type="dxa"/>
            <w:tcBorders>
              <w:bottom w:val="single" w:sz="18" w:space="0" w:color="000000"/>
            </w:tcBorders>
          </w:tcPr>
          <w:p>
            <w:pPr>
              <w:pStyle w:val="TableParagraph"/>
              <w:rPr>
                <w:rFonts w:ascii="Times New Roman"/>
                <w:sz w:val="20"/>
              </w:rPr>
            </w:pPr>
          </w:p>
        </w:tc>
        <w:tc>
          <w:tcPr>
            <w:tcW w:w="989" w:type="dxa"/>
            <w:tcBorders>
              <w:bottom w:val="single" w:sz="18" w:space="0" w:color="000000"/>
            </w:tcBorders>
          </w:tcPr>
          <w:p>
            <w:pPr>
              <w:pStyle w:val="TableParagraph"/>
              <w:spacing w:before="158"/>
              <w:ind w:left="50" w:right="3"/>
              <w:jc w:val="center"/>
              <w:rPr>
                <w:sz w:val="22"/>
              </w:rPr>
            </w:pPr>
            <w:r>
              <w:rPr>
                <w:spacing w:val="-10"/>
                <w:sz w:val="22"/>
              </w:rPr>
              <w:t>O</w:t>
            </w:r>
          </w:p>
        </w:tc>
        <w:tc>
          <w:tcPr>
            <w:tcW w:w="989" w:type="dxa"/>
            <w:tcBorders>
              <w:bottom w:val="single" w:sz="18" w:space="0" w:color="000000"/>
            </w:tcBorders>
          </w:tcPr>
          <w:p>
            <w:pPr>
              <w:pStyle w:val="TableParagraph"/>
              <w:rPr>
                <w:rFonts w:ascii="Times New Roman"/>
                <w:sz w:val="20"/>
              </w:rPr>
            </w:pPr>
          </w:p>
        </w:tc>
        <w:tc>
          <w:tcPr>
            <w:tcW w:w="389" w:type="dxa"/>
            <w:tcBorders>
              <w:bottom w:val="single" w:sz="18" w:space="0" w:color="000000"/>
            </w:tcBorders>
          </w:tcPr>
          <w:p>
            <w:pPr>
              <w:pStyle w:val="TableParagraph"/>
              <w:spacing w:before="158"/>
              <w:ind w:left="51"/>
              <w:jc w:val="center"/>
              <w:rPr>
                <w:sz w:val="22"/>
              </w:rPr>
            </w:pPr>
            <w:r>
              <w:rPr>
                <w:spacing w:val="-10"/>
                <w:sz w:val="22"/>
              </w:rPr>
              <w:t>O</w:t>
            </w:r>
          </w:p>
        </w:tc>
        <w:tc>
          <w:tcPr>
            <w:tcW w:w="689" w:type="dxa"/>
            <w:tcBorders>
              <w:bottom w:val="single" w:sz="18" w:space="0" w:color="000000"/>
            </w:tcBorders>
          </w:tcPr>
          <w:p>
            <w:pPr>
              <w:pStyle w:val="TableParagraph"/>
              <w:spacing w:before="158"/>
              <w:ind w:left="53"/>
              <w:jc w:val="center"/>
              <w:rPr>
                <w:sz w:val="22"/>
              </w:rPr>
            </w:pPr>
            <w:r>
              <w:rPr>
                <w:spacing w:val="-10"/>
                <w:sz w:val="22"/>
              </w:rPr>
              <w:t>O</w:t>
            </w:r>
          </w:p>
        </w:tc>
        <w:tc>
          <w:tcPr>
            <w:tcW w:w="388" w:type="dxa"/>
            <w:tcBorders>
              <w:bottom w:val="single" w:sz="18" w:space="0" w:color="000000"/>
            </w:tcBorders>
          </w:tcPr>
          <w:p>
            <w:pPr>
              <w:pStyle w:val="TableParagraph"/>
              <w:rPr>
                <w:rFonts w:ascii="Times New Roman"/>
                <w:sz w:val="20"/>
              </w:rPr>
            </w:pPr>
          </w:p>
        </w:tc>
        <w:tc>
          <w:tcPr>
            <w:tcW w:w="388" w:type="dxa"/>
            <w:tcBorders>
              <w:bottom w:val="single" w:sz="18" w:space="0" w:color="000000"/>
            </w:tcBorders>
          </w:tcPr>
          <w:p>
            <w:pPr>
              <w:pStyle w:val="TableParagraph"/>
              <w:rPr>
                <w:rFonts w:ascii="Times New Roman"/>
                <w:sz w:val="20"/>
              </w:rPr>
            </w:pPr>
          </w:p>
        </w:tc>
        <w:tc>
          <w:tcPr>
            <w:tcW w:w="388" w:type="dxa"/>
            <w:tcBorders>
              <w:bottom w:val="single" w:sz="18" w:space="0" w:color="000000"/>
            </w:tcBorders>
          </w:tcPr>
          <w:p>
            <w:pPr>
              <w:pStyle w:val="TableParagraph"/>
              <w:rPr>
                <w:rFonts w:ascii="Times New Roman"/>
                <w:sz w:val="20"/>
              </w:rPr>
            </w:pPr>
          </w:p>
        </w:tc>
        <w:tc>
          <w:tcPr>
            <w:tcW w:w="380" w:type="dxa"/>
            <w:tcBorders>
              <w:bottom w:val="single" w:sz="18" w:space="0" w:color="000000"/>
              <w:right w:val="single" w:sz="12" w:space="0" w:color="000000"/>
            </w:tcBorders>
          </w:tcPr>
          <w:p>
            <w:pPr>
              <w:pStyle w:val="TableParagraph"/>
              <w:rPr>
                <w:rFonts w:ascii="Times New Roman"/>
                <w:sz w:val="20"/>
              </w:rPr>
            </w:pPr>
          </w:p>
        </w:tc>
      </w:tr>
    </w:tbl>
    <w:p>
      <w:pPr>
        <w:pStyle w:val="BodyText"/>
        <w:tabs>
          <w:tab w:pos="1571" w:val="left" w:leader="none"/>
        </w:tabs>
        <w:ind w:left="262"/>
      </w:pPr>
      <w:r>
        <w:rPr/>
        <w:t>O</w:t>
      </w:r>
      <w:r>
        <w:rPr>
          <w:spacing w:val="-2"/>
        </w:rPr>
        <w:t> adecuada</w:t>
      </w:r>
      <w:r>
        <w:rPr/>
        <w:tab/>
        <w:t>X</w:t>
      </w:r>
      <w:r>
        <w:rPr>
          <w:spacing w:val="-2"/>
        </w:rPr>
        <w:t> tolerable</w:t>
      </w:r>
    </w:p>
    <w:p>
      <w:pPr>
        <w:pStyle w:val="BodyText"/>
        <w:spacing w:before="224"/>
        <w:ind w:left="10" w:right="24"/>
        <w:jc w:val="center"/>
      </w:pPr>
      <w:r>
        <w:rPr>
          <w:spacing w:val="-2"/>
        </w:rPr>
        <w:t>SERVICIOS/COMERCIO</w:t>
      </w:r>
    </w:p>
    <w:p>
      <w:pPr>
        <w:pStyle w:val="BodyText"/>
        <w:spacing w:after="0"/>
        <w:jc w:val="center"/>
        <w:sectPr>
          <w:pgSz w:w="12240" w:h="15840"/>
          <w:pgMar w:header="720" w:footer="697" w:top="2100" w:bottom="880" w:left="1440" w:right="1440"/>
        </w:sectPr>
      </w:pP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84" w:hRule="atLeast"/>
        </w:trPr>
        <w:tc>
          <w:tcPr>
            <w:tcW w:w="2535" w:type="dxa"/>
            <w:tcBorders>
              <w:bottom w:val="single" w:sz="6" w:space="0" w:color="D0D6E4"/>
            </w:tcBorders>
          </w:tcPr>
          <w:p>
            <w:pPr>
              <w:pStyle w:val="TableParagraph"/>
              <w:rPr>
                <w:rFonts w:ascii="Times New Roman"/>
                <w:sz w:val="20"/>
              </w:rPr>
            </w:pPr>
          </w:p>
        </w:tc>
        <w:tc>
          <w:tcPr>
            <w:tcW w:w="1469" w:type="dxa"/>
            <w:gridSpan w:val="3"/>
            <w:tcBorders>
              <w:bottom w:val="single" w:sz="12" w:space="0" w:color="000000"/>
            </w:tcBorders>
          </w:tcPr>
          <w:p>
            <w:pPr>
              <w:pStyle w:val="TableParagraph"/>
              <w:spacing w:line="264" w:lineRule="exact"/>
              <w:ind w:left="74"/>
              <w:rPr>
                <w:b/>
                <w:sz w:val="22"/>
              </w:rPr>
            </w:pPr>
            <w:r>
              <w:rPr>
                <w:b/>
                <w:spacing w:val="-2"/>
                <w:sz w:val="22"/>
              </w:rPr>
              <w:t>INTERURBANA</w:t>
            </w:r>
          </w:p>
        </w:tc>
        <w:tc>
          <w:tcPr>
            <w:tcW w:w="4600" w:type="dxa"/>
            <w:gridSpan w:val="8"/>
            <w:tcBorders>
              <w:bottom w:val="single" w:sz="12" w:space="0" w:color="000000"/>
              <w:right w:val="single" w:sz="12" w:space="0" w:color="000000"/>
            </w:tcBorders>
          </w:tcPr>
          <w:p>
            <w:pPr>
              <w:pStyle w:val="TableParagraph"/>
              <w:spacing w:line="264" w:lineRule="exact"/>
              <w:ind w:left="76" w:right="1"/>
              <w:jc w:val="center"/>
              <w:rPr>
                <w:b/>
                <w:sz w:val="22"/>
              </w:rPr>
            </w:pPr>
            <w:r>
              <w:rPr>
                <w:b/>
                <w:spacing w:val="-2"/>
                <w:sz w:val="22"/>
              </w:rPr>
              <w:t>URBANA</w:t>
            </w:r>
          </w:p>
        </w:tc>
      </w:tr>
      <w:tr>
        <w:trPr>
          <w:trHeight w:val="1139" w:hRule="atLeast"/>
        </w:trPr>
        <w:tc>
          <w:tcPr>
            <w:tcW w:w="2535" w:type="dxa"/>
            <w:tcBorders>
              <w:top w:val="single" w:sz="6" w:space="0" w:color="D0D6E4"/>
            </w:tcBorders>
          </w:tcPr>
          <w:p>
            <w:pPr>
              <w:pStyle w:val="TableParagraph"/>
              <w:rPr>
                <w:rFonts w:ascii="Times New Roman"/>
                <w:sz w:val="20"/>
              </w:rPr>
            </w:pPr>
          </w:p>
        </w:tc>
        <w:tc>
          <w:tcPr>
            <w:tcW w:w="390" w:type="dxa"/>
            <w:tcBorders>
              <w:top w:val="single" w:sz="12" w:space="0" w:color="000000"/>
            </w:tcBorders>
            <w:textDirection w:val="btLr"/>
          </w:tcPr>
          <w:p>
            <w:pPr>
              <w:pStyle w:val="TableParagraph"/>
              <w:spacing w:before="75"/>
              <w:ind w:left="44"/>
              <w:rPr>
                <w:b/>
                <w:sz w:val="22"/>
              </w:rPr>
            </w:pPr>
            <w:r>
              <w:rPr>
                <w:b/>
                <w:spacing w:val="-2"/>
                <w:sz w:val="22"/>
              </w:rPr>
              <w:t>autopista</w:t>
            </w:r>
          </w:p>
        </w:tc>
        <w:tc>
          <w:tcPr>
            <w:tcW w:w="390" w:type="dxa"/>
            <w:tcBorders>
              <w:top w:val="single" w:sz="12" w:space="0" w:color="000000"/>
            </w:tcBorders>
            <w:textDirection w:val="btLr"/>
          </w:tcPr>
          <w:p>
            <w:pPr>
              <w:pStyle w:val="TableParagraph"/>
              <w:spacing w:before="75"/>
              <w:ind w:left="44"/>
              <w:rPr>
                <w:b/>
                <w:sz w:val="22"/>
              </w:rPr>
            </w:pPr>
            <w:r>
              <w:rPr>
                <w:b/>
                <w:spacing w:val="-2"/>
                <w:sz w:val="22"/>
              </w:rPr>
              <w:t>carretera</w:t>
            </w:r>
          </w:p>
        </w:tc>
        <w:tc>
          <w:tcPr>
            <w:tcW w:w="689" w:type="dxa"/>
            <w:tcBorders>
              <w:top w:val="single" w:sz="12" w:space="0" w:color="000000"/>
            </w:tcBorders>
            <w:textDirection w:val="btLr"/>
          </w:tcPr>
          <w:p>
            <w:pPr>
              <w:pStyle w:val="TableParagraph"/>
              <w:spacing w:line="300" w:lineRule="atLeast" w:before="44"/>
              <w:ind w:left="44" w:right="29"/>
              <w:rPr>
                <w:b/>
                <w:sz w:val="22"/>
              </w:rPr>
            </w:pPr>
            <w:r>
              <w:rPr>
                <w:b/>
                <w:spacing w:val="-2"/>
                <w:sz w:val="22"/>
              </w:rPr>
              <w:t>camino rural</w:t>
            </w:r>
          </w:p>
        </w:tc>
        <w:tc>
          <w:tcPr>
            <w:tcW w:w="989" w:type="dxa"/>
            <w:tcBorders>
              <w:top w:val="single" w:sz="12" w:space="0" w:color="000000"/>
            </w:tcBorders>
            <w:textDirection w:val="btLr"/>
          </w:tcPr>
          <w:p>
            <w:pPr>
              <w:pStyle w:val="TableParagraph"/>
              <w:spacing w:line="300" w:lineRule="atLeast" w:before="45"/>
              <w:ind w:left="44"/>
              <w:rPr>
                <w:b/>
                <w:sz w:val="22"/>
              </w:rPr>
            </w:pPr>
            <w:r>
              <w:rPr>
                <w:b/>
                <w:spacing w:val="-2"/>
                <w:sz w:val="22"/>
              </w:rPr>
              <w:t>acceso controlado c/lateral</w:t>
            </w:r>
          </w:p>
        </w:tc>
        <w:tc>
          <w:tcPr>
            <w:tcW w:w="989" w:type="dxa"/>
            <w:tcBorders>
              <w:top w:val="single" w:sz="12" w:space="0" w:color="000000"/>
            </w:tcBorders>
            <w:textDirection w:val="btLr"/>
          </w:tcPr>
          <w:p>
            <w:pPr>
              <w:pStyle w:val="TableParagraph"/>
              <w:spacing w:line="300" w:lineRule="atLeast" w:before="46"/>
              <w:ind w:left="44"/>
              <w:rPr>
                <w:b/>
                <w:sz w:val="22"/>
              </w:rPr>
            </w:pPr>
            <w:r>
              <w:rPr>
                <w:b/>
                <w:spacing w:val="-2"/>
                <w:sz w:val="22"/>
              </w:rPr>
              <w:t>acceso controlado s/lateral</w:t>
            </w:r>
          </w:p>
        </w:tc>
        <w:tc>
          <w:tcPr>
            <w:tcW w:w="389" w:type="dxa"/>
            <w:tcBorders>
              <w:top w:val="single" w:sz="12" w:space="0" w:color="000000"/>
            </w:tcBorders>
            <w:textDirection w:val="btLr"/>
          </w:tcPr>
          <w:p>
            <w:pPr>
              <w:pStyle w:val="TableParagraph"/>
              <w:spacing w:before="78"/>
              <w:ind w:left="44"/>
              <w:rPr>
                <w:b/>
                <w:sz w:val="22"/>
              </w:rPr>
            </w:pPr>
            <w:r>
              <w:rPr>
                <w:b/>
                <w:spacing w:val="-2"/>
                <w:sz w:val="22"/>
              </w:rPr>
              <w:t>primaria</w:t>
            </w:r>
          </w:p>
        </w:tc>
        <w:tc>
          <w:tcPr>
            <w:tcW w:w="689" w:type="dxa"/>
            <w:tcBorders>
              <w:top w:val="single" w:sz="12" w:space="0" w:color="000000"/>
            </w:tcBorders>
            <w:textDirection w:val="btLr"/>
          </w:tcPr>
          <w:p>
            <w:pPr>
              <w:pStyle w:val="TableParagraph"/>
              <w:spacing w:line="300" w:lineRule="atLeast" w:before="48"/>
              <w:ind w:left="44" w:right="29"/>
              <w:rPr>
                <w:b/>
                <w:sz w:val="22"/>
              </w:rPr>
            </w:pPr>
            <w:r>
              <w:rPr>
                <w:b/>
                <w:spacing w:val="-2"/>
                <w:sz w:val="22"/>
              </w:rPr>
              <w:t>secundaria </w:t>
            </w:r>
            <w:r>
              <w:rPr>
                <w:b/>
                <w:sz w:val="22"/>
              </w:rPr>
              <w:t>o</w:t>
            </w:r>
            <w:r>
              <w:rPr>
                <w:b/>
                <w:spacing w:val="-4"/>
                <w:sz w:val="22"/>
              </w:rPr>
              <w:t> </w:t>
            </w:r>
            <w:r>
              <w:rPr>
                <w:b/>
                <w:spacing w:val="-2"/>
                <w:sz w:val="22"/>
              </w:rPr>
              <w:t>colectora</w:t>
            </w:r>
          </w:p>
        </w:tc>
        <w:tc>
          <w:tcPr>
            <w:tcW w:w="388" w:type="dxa"/>
            <w:tcBorders>
              <w:top w:val="single" w:sz="12" w:space="0" w:color="000000"/>
            </w:tcBorders>
            <w:textDirection w:val="btLr"/>
          </w:tcPr>
          <w:p>
            <w:pPr>
              <w:pStyle w:val="TableParagraph"/>
              <w:spacing w:before="81"/>
              <w:ind w:left="44"/>
              <w:rPr>
                <w:b/>
                <w:sz w:val="22"/>
              </w:rPr>
            </w:pPr>
            <w:r>
              <w:rPr>
                <w:b/>
                <w:spacing w:val="-2"/>
                <w:sz w:val="22"/>
              </w:rPr>
              <w:t>local</w:t>
            </w:r>
          </w:p>
        </w:tc>
        <w:tc>
          <w:tcPr>
            <w:tcW w:w="388" w:type="dxa"/>
            <w:tcBorders>
              <w:top w:val="single" w:sz="12" w:space="0" w:color="000000"/>
            </w:tcBorders>
            <w:textDirection w:val="btLr"/>
          </w:tcPr>
          <w:p>
            <w:pPr>
              <w:pStyle w:val="TableParagraph"/>
              <w:spacing w:before="82"/>
              <w:ind w:left="44"/>
              <w:rPr>
                <w:b/>
                <w:sz w:val="22"/>
              </w:rPr>
            </w:pPr>
            <w:r>
              <w:rPr>
                <w:b/>
                <w:spacing w:val="-2"/>
                <w:sz w:val="22"/>
              </w:rPr>
              <w:t>cerrada</w:t>
            </w:r>
          </w:p>
        </w:tc>
        <w:tc>
          <w:tcPr>
            <w:tcW w:w="388" w:type="dxa"/>
            <w:tcBorders>
              <w:top w:val="single" w:sz="12" w:space="0" w:color="000000"/>
            </w:tcBorders>
            <w:textDirection w:val="btLr"/>
          </w:tcPr>
          <w:p>
            <w:pPr>
              <w:pStyle w:val="TableParagraph"/>
              <w:spacing w:before="84"/>
              <w:ind w:left="44"/>
              <w:rPr>
                <w:b/>
                <w:sz w:val="22"/>
              </w:rPr>
            </w:pPr>
            <w:r>
              <w:rPr>
                <w:b/>
                <w:spacing w:val="-2"/>
                <w:sz w:val="22"/>
              </w:rPr>
              <w:t>ciclovía</w:t>
            </w:r>
          </w:p>
        </w:tc>
        <w:tc>
          <w:tcPr>
            <w:tcW w:w="380" w:type="dxa"/>
            <w:tcBorders>
              <w:top w:val="single" w:sz="12" w:space="0" w:color="000000"/>
              <w:right w:val="single" w:sz="12" w:space="0" w:color="000000"/>
            </w:tcBorders>
            <w:textDirection w:val="btLr"/>
          </w:tcPr>
          <w:p>
            <w:pPr>
              <w:pStyle w:val="TableParagraph"/>
              <w:spacing w:line="251" w:lineRule="exact" w:before="87"/>
              <w:ind w:left="44"/>
              <w:rPr>
                <w:b/>
                <w:sz w:val="22"/>
              </w:rPr>
            </w:pPr>
            <w:r>
              <w:rPr>
                <w:b/>
                <w:spacing w:val="-2"/>
                <w:sz w:val="22"/>
              </w:rPr>
              <w:t>andador</w:t>
            </w:r>
          </w:p>
        </w:tc>
      </w:tr>
      <w:tr>
        <w:trPr>
          <w:trHeight w:val="585" w:hRule="atLeast"/>
        </w:trPr>
        <w:tc>
          <w:tcPr>
            <w:tcW w:w="2535" w:type="dxa"/>
          </w:tcPr>
          <w:p>
            <w:pPr>
              <w:pStyle w:val="TableParagraph"/>
              <w:spacing w:before="1"/>
              <w:ind w:left="44"/>
              <w:rPr>
                <w:b/>
                <w:sz w:val="22"/>
              </w:rPr>
            </w:pPr>
            <w:r>
              <w:rPr>
                <w:b/>
                <w:sz w:val="22"/>
              </w:rPr>
              <w:t>ALMACENAMIENTO</w:t>
            </w:r>
            <w:r>
              <w:rPr>
                <w:b/>
                <w:spacing w:val="-3"/>
                <w:sz w:val="22"/>
              </w:rPr>
              <w:t> </w:t>
            </w:r>
            <w:r>
              <w:rPr>
                <w:b/>
                <w:spacing w:val="-10"/>
                <w:sz w:val="22"/>
              </w:rPr>
              <w:t>Y</w:t>
            </w:r>
          </w:p>
          <w:p>
            <w:pPr>
              <w:pStyle w:val="TableParagraph"/>
              <w:spacing w:line="264" w:lineRule="exact" w:before="31"/>
              <w:ind w:left="44"/>
              <w:rPr>
                <w:b/>
                <w:sz w:val="22"/>
              </w:rPr>
            </w:pPr>
            <w:r>
              <w:rPr>
                <w:b/>
                <w:spacing w:val="-2"/>
                <w:sz w:val="22"/>
              </w:rPr>
              <w:t>ABASTO</w:t>
            </w:r>
          </w:p>
        </w:tc>
        <w:tc>
          <w:tcPr>
            <w:tcW w:w="390" w:type="dxa"/>
          </w:tcPr>
          <w:p>
            <w:pPr>
              <w:pStyle w:val="TableParagraph"/>
              <w:rPr>
                <w:rFonts w:ascii="Times New Roman"/>
                <w:sz w:val="20"/>
              </w:rPr>
            </w:pPr>
          </w:p>
        </w:tc>
        <w:tc>
          <w:tcPr>
            <w:tcW w:w="390" w:type="dxa"/>
          </w:tcPr>
          <w:p>
            <w:pPr>
              <w:pStyle w:val="TableParagraph"/>
              <w:spacing w:before="151"/>
              <w:ind w:left="44"/>
              <w:jc w:val="center"/>
              <w:rPr>
                <w:sz w:val="22"/>
              </w:rPr>
            </w:pPr>
            <w:r>
              <w:rPr>
                <w:spacing w:val="-10"/>
                <w:sz w:val="22"/>
              </w:rPr>
              <w:t>O</w:t>
            </w:r>
          </w:p>
        </w:tc>
        <w:tc>
          <w:tcPr>
            <w:tcW w:w="689" w:type="dxa"/>
          </w:tcPr>
          <w:p>
            <w:pPr>
              <w:pStyle w:val="TableParagraph"/>
              <w:spacing w:before="151"/>
              <w:ind w:left="53" w:right="8"/>
              <w:jc w:val="center"/>
              <w:rPr>
                <w:sz w:val="22"/>
              </w:rPr>
            </w:pPr>
            <w:r>
              <w:rPr>
                <w:spacing w:val="-10"/>
                <w:sz w:val="22"/>
              </w:rPr>
              <w:t>O</w:t>
            </w:r>
          </w:p>
        </w:tc>
        <w:tc>
          <w:tcPr>
            <w:tcW w:w="989" w:type="dxa"/>
          </w:tcPr>
          <w:p>
            <w:pPr>
              <w:pStyle w:val="TableParagraph"/>
              <w:spacing w:before="151"/>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before="151"/>
              <w:ind w:left="51" w:right="3"/>
              <w:jc w:val="center"/>
              <w:rPr>
                <w:sz w:val="22"/>
              </w:rPr>
            </w:pPr>
            <w:r>
              <w:rPr>
                <w:spacing w:val="-10"/>
                <w:sz w:val="22"/>
              </w:rPr>
              <w:t>X</w:t>
            </w:r>
          </w:p>
        </w:tc>
        <w:tc>
          <w:tcPr>
            <w:tcW w:w="689" w:type="dxa"/>
          </w:tcPr>
          <w:p>
            <w:pPr>
              <w:pStyle w:val="TableParagraph"/>
              <w:spacing w:before="151"/>
              <w:ind w:left="53" w:right="3"/>
              <w:jc w:val="center"/>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84" w:hRule="atLeast"/>
        </w:trPr>
        <w:tc>
          <w:tcPr>
            <w:tcW w:w="2535" w:type="dxa"/>
          </w:tcPr>
          <w:p>
            <w:pPr>
              <w:pStyle w:val="TableParagraph"/>
              <w:spacing w:before="1"/>
              <w:ind w:left="44"/>
              <w:rPr>
                <w:b/>
                <w:sz w:val="22"/>
              </w:rPr>
            </w:pPr>
            <w:r>
              <w:rPr>
                <w:b/>
                <w:sz w:val="22"/>
              </w:rPr>
              <w:t>TIENDAS</w:t>
            </w:r>
            <w:r>
              <w:rPr>
                <w:b/>
                <w:spacing w:val="-12"/>
                <w:sz w:val="22"/>
              </w:rPr>
              <w:t> </w:t>
            </w:r>
            <w:r>
              <w:rPr>
                <w:b/>
                <w:sz w:val="22"/>
              </w:rPr>
              <w:t>DE</w:t>
            </w:r>
            <w:r>
              <w:rPr>
                <w:b/>
                <w:spacing w:val="-13"/>
                <w:sz w:val="22"/>
              </w:rPr>
              <w:t> </w:t>
            </w:r>
            <w:r>
              <w:rPr>
                <w:b/>
                <w:spacing w:val="-2"/>
                <w:sz w:val="22"/>
              </w:rPr>
              <w:t>PRODUCTOS</w:t>
            </w:r>
          </w:p>
          <w:p>
            <w:pPr>
              <w:pStyle w:val="TableParagraph"/>
              <w:spacing w:line="264" w:lineRule="exact" w:before="31"/>
              <w:ind w:left="44"/>
              <w:rPr>
                <w:b/>
                <w:sz w:val="22"/>
              </w:rPr>
            </w:pPr>
            <w:r>
              <w:rPr>
                <w:b/>
                <w:spacing w:val="-2"/>
                <w:sz w:val="22"/>
              </w:rPr>
              <w:t>BÁSICOS</w:t>
            </w:r>
          </w:p>
        </w:tc>
        <w:tc>
          <w:tcPr>
            <w:tcW w:w="390" w:type="dxa"/>
          </w:tcPr>
          <w:p>
            <w:pPr>
              <w:pStyle w:val="TableParagraph"/>
              <w:rPr>
                <w:rFonts w:ascii="Times New Roman"/>
                <w:sz w:val="20"/>
              </w:rPr>
            </w:pPr>
          </w:p>
        </w:tc>
        <w:tc>
          <w:tcPr>
            <w:tcW w:w="390" w:type="dxa"/>
          </w:tcPr>
          <w:p>
            <w:pPr>
              <w:pStyle w:val="TableParagraph"/>
              <w:spacing w:before="151"/>
              <w:ind w:left="44"/>
              <w:jc w:val="center"/>
              <w:rPr>
                <w:sz w:val="22"/>
              </w:rPr>
            </w:pPr>
            <w:r>
              <w:rPr>
                <w:spacing w:val="-10"/>
                <w:sz w:val="22"/>
              </w:rPr>
              <w:t>O</w:t>
            </w:r>
          </w:p>
        </w:tc>
        <w:tc>
          <w:tcPr>
            <w:tcW w:w="689" w:type="dxa"/>
          </w:tcPr>
          <w:p>
            <w:pPr>
              <w:pStyle w:val="TableParagraph"/>
              <w:spacing w:before="151"/>
              <w:ind w:left="53" w:right="8"/>
              <w:jc w:val="center"/>
              <w:rPr>
                <w:sz w:val="22"/>
              </w:rPr>
            </w:pPr>
            <w:r>
              <w:rPr>
                <w:spacing w:val="-10"/>
                <w:sz w:val="22"/>
              </w:rPr>
              <w:t>O</w:t>
            </w:r>
          </w:p>
        </w:tc>
        <w:tc>
          <w:tcPr>
            <w:tcW w:w="989" w:type="dxa"/>
          </w:tcPr>
          <w:p>
            <w:pPr>
              <w:pStyle w:val="TableParagraph"/>
              <w:spacing w:before="151"/>
              <w:ind w:left="50" w:right="5"/>
              <w:jc w:val="center"/>
              <w:rPr>
                <w:sz w:val="22"/>
              </w:rPr>
            </w:pPr>
            <w:r>
              <w:rPr>
                <w:spacing w:val="-10"/>
                <w:sz w:val="22"/>
              </w:rPr>
              <w:t>X</w:t>
            </w:r>
          </w:p>
        </w:tc>
        <w:tc>
          <w:tcPr>
            <w:tcW w:w="989" w:type="dxa"/>
          </w:tcPr>
          <w:p>
            <w:pPr>
              <w:pStyle w:val="TableParagraph"/>
              <w:rPr>
                <w:rFonts w:ascii="Times New Roman"/>
                <w:sz w:val="20"/>
              </w:rPr>
            </w:pPr>
          </w:p>
        </w:tc>
        <w:tc>
          <w:tcPr>
            <w:tcW w:w="389" w:type="dxa"/>
          </w:tcPr>
          <w:p>
            <w:pPr>
              <w:pStyle w:val="TableParagraph"/>
              <w:spacing w:before="151"/>
              <w:ind w:left="51"/>
              <w:jc w:val="center"/>
              <w:rPr>
                <w:sz w:val="22"/>
              </w:rPr>
            </w:pPr>
            <w:r>
              <w:rPr>
                <w:spacing w:val="-10"/>
                <w:sz w:val="22"/>
              </w:rPr>
              <w:t>O</w:t>
            </w:r>
          </w:p>
        </w:tc>
        <w:tc>
          <w:tcPr>
            <w:tcW w:w="689" w:type="dxa"/>
          </w:tcPr>
          <w:p>
            <w:pPr>
              <w:pStyle w:val="TableParagraph"/>
              <w:spacing w:before="151"/>
              <w:ind w:left="53"/>
              <w:jc w:val="center"/>
              <w:rPr>
                <w:sz w:val="22"/>
              </w:rPr>
            </w:pPr>
            <w:r>
              <w:rPr>
                <w:spacing w:val="-10"/>
                <w:sz w:val="22"/>
              </w:rPr>
              <w:t>O</w:t>
            </w:r>
          </w:p>
        </w:tc>
        <w:tc>
          <w:tcPr>
            <w:tcW w:w="388" w:type="dxa"/>
          </w:tcPr>
          <w:p>
            <w:pPr>
              <w:pStyle w:val="TableParagraph"/>
              <w:spacing w:before="151"/>
              <w:ind w:left="155"/>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before="151"/>
              <w:ind w:left="84" w:right="1"/>
              <w:jc w:val="center"/>
              <w:rPr>
                <w:sz w:val="22"/>
              </w:rPr>
            </w:pPr>
            <w:r>
              <w:rPr>
                <w:spacing w:val="-10"/>
                <w:sz w:val="22"/>
              </w:rPr>
              <w:t>O</w:t>
            </w:r>
          </w:p>
        </w:tc>
      </w:tr>
      <w:tr>
        <w:trPr>
          <w:trHeight w:val="584" w:hRule="atLeast"/>
        </w:trPr>
        <w:tc>
          <w:tcPr>
            <w:tcW w:w="2535" w:type="dxa"/>
          </w:tcPr>
          <w:p>
            <w:pPr>
              <w:pStyle w:val="TableParagraph"/>
              <w:ind w:left="44"/>
              <w:rPr>
                <w:b/>
                <w:sz w:val="22"/>
              </w:rPr>
            </w:pPr>
            <w:r>
              <w:rPr>
                <w:b/>
                <w:sz w:val="22"/>
              </w:rPr>
              <w:t>TIENDAS</w:t>
            </w:r>
            <w:r>
              <w:rPr>
                <w:b/>
                <w:spacing w:val="-13"/>
                <w:sz w:val="22"/>
              </w:rPr>
              <w:t> </w:t>
            </w:r>
            <w:r>
              <w:rPr>
                <w:b/>
                <w:spacing w:val="-5"/>
                <w:sz w:val="22"/>
              </w:rPr>
              <w:t>DE</w:t>
            </w:r>
          </w:p>
          <w:p>
            <w:pPr>
              <w:pStyle w:val="TableParagraph"/>
              <w:spacing w:line="264" w:lineRule="exact" w:before="32"/>
              <w:ind w:left="44"/>
              <w:rPr>
                <w:b/>
                <w:sz w:val="22"/>
              </w:rPr>
            </w:pPr>
            <w:r>
              <w:rPr>
                <w:b/>
                <w:spacing w:val="-2"/>
                <w:sz w:val="22"/>
              </w:rPr>
              <w:t>ESPECIALIDADES</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rPr>
                <w:rFonts w:ascii="Times New Roman"/>
                <w:sz w:val="20"/>
              </w:rPr>
            </w:pPr>
          </w:p>
        </w:tc>
        <w:tc>
          <w:tcPr>
            <w:tcW w:w="989" w:type="dxa"/>
          </w:tcPr>
          <w:p>
            <w:pPr>
              <w:pStyle w:val="TableParagraph"/>
              <w:rPr>
                <w:rFonts w:ascii="Times New Roman"/>
                <w:sz w:val="20"/>
              </w:rPr>
            </w:pPr>
          </w:p>
        </w:tc>
        <w:tc>
          <w:tcPr>
            <w:tcW w:w="389" w:type="dxa"/>
          </w:tcPr>
          <w:p>
            <w:pPr>
              <w:pStyle w:val="TableParagraph"/>
              <w:spacing w:before="151"/>
              <w:ind w:left="51"/>
              <w:jc w:val="center"/>
              <w:rPr>
                <w:sz w:val="22"/>
              </w:rPr>
            </w:pPr>
            <w:r>
              <w:rPr>
                <w:spacing w:val="-10"/>
                <w:sz w:val="22"/>
              </w:rPr>
              <w:t>O</w:t>
            </w:r>
          </w:p>
        </w:tc>
        <w:tc>
          <w:tcPr>
            <w:tcW w:w="689" w:type="dxa"/>
          </w:tcPr>
          <w:p>
            <w:pPr>
              <w:pStyle w:val="TableParagraph"/>
              <w:spacing w:before="151"/>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before="151"/>
              <w:ind w:left="84" w:right="1"/>
              <w:jc w:val="center"/>
              <w:rPr>
                <w:sz w:val="22"/>
              </w:rPr>
            </w:pPr>
            <w:r>
              <w:rPr>
                <w:spacing w:val="-10"/>
                <w:sz w:val="22"/>
              </w:rPr>
              <w:t>O</w:t>
            </w:r>
          </w:p>
        </w:tc>
      </w:tr>
      <w:tr>
        <w:trPr>
          <w:trHeight w:val="585" w:hRule="atLeast"/>
        </w:trPr>
        <w:tc>
          <w:tcPr>
            <w:tcW w:w="2535" w:type="dxa"/>
          </w:tcPr>
          <w:p>
            <w:pPr>
              <w:pStyle w:val="TableParagraph"/>
              <w:spacing w:before="1"/>
              <w:ind w:left="44"/>
              <w:rPr>
                <w:b/>
                <w:sz w:val="22"/>
              </w:rPr>
            </w:pPr>
            <w:r>
              <w:rPr>
                <w:b/>
                <w:sz w:val="22"/>
              </w:rPr>
              <w:t>TIENDAS</w:t>
            </w:r>
            <w:r>
              <w:rPr>
                <w:b/>
                <w:spacing w:val="-13"/>
                <w:sz w:val="22"/>
              </w:rPr>
              <w:t> </w:t>
            </w:r>
            <w:r>
              <w:rPr>
                <w:b/>
                <w:spacing w:val="-5"/>
                <w:sz w:val="22"/>
              </w:rPr>
              <w:t>DE</w:t>
            </w:r>
          </w:p>
          <w:p>
            <w:pPr>
              <w:pStyle w:val="TableParagraph"/>
              <w:spacing w:line="264" w:lineRule="exact" w:before="31"/>
              <w:ind w:left="44"/>
              <w:rPr>
                <w:b/>
                <w:sz w:val="22"/>
              </w:rPr>
            </w:pPr>
            <w:r>
              <w:rPr>
                <w:b/>
                <w:spacing w:val="-2"/>
                <w:sz w:val="22"/>
              </w:rPr>
              <w:t>AUTOSERVICIO</w:t>
            </w:r>
          </w:p>
        </w:tc>
        <w:tc>
          <w:tcPr>
            <w:tcW w:w="390" w:type="dxa"/>
          </w:tcPr>
          <w:p>
            <w:pPr>
              <w:pStyle w:val="TableParagraph"/>
              <w:rPr>
                <w:rFonts w:ascii="Times New Roman"/>
                <w:sz w:val="20"/>
              </w:rPr>
            </w:pPr>
          </w:p>
        </w:tc>
        <w:tc>
          <w:tcPr>
            <w:tcW w:w="390" w:type="dxa"/>
          </w:tcPr>
          <w:p>
            <w:pPr>
              <w:pStyle w:val="TableParagraph"/>
              <w:spacing w:before="151"/>
              <w:ind w:left="44"/>
              <w:jc w:val="center"/>
              <w:rPr>
                <w:sz w:val="22"/>
              </w:rPr>
            </w:pPr>
            <w:r>
              <w:rPr>
                <w:spacing w:val="-10"/>
                <w:sz w:val="22"/>
              </w:rPr>
              <w:t>O</w:t>
            </w:r>
          </w:p>
        </w:tc>
        <w:tc>
          <w:tcPr>
            <w:tcW w:w="689" w:type="dxa"/>
          </w:tcPr>
          <w:p>
            <w:pPr>
              <w:pStyle w:val="TableParagraph"/>
              <w:spacing w:before="151"/>
              <w:ind w:left="53" w:right="8"/>
              <w:jc w:val="center"/>
              <w:rPr>
                <w:sz w:val="22"/>
              </w:rPr>
            </w:pPr>
            <w:r>
              <w:rPr>
                <w:spacing w:val="-10"/>
                <w:sz w:val="22"/>
              </w:rPr>
              <w:t>O</w:t>
            </w:r>
          </w:p>
        </w:tc>
        <w:tc>
          <w:tcPr>
            <w:tcW w:w="989" w:type="dxa"/>
          </w:tcPr>
          <w:p>
            <w:pPr>
              <w:pStyle w:val="TableParagraph"/>
              <w:spacing w:before="151"/>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before="151"/>
              <w:ind w:left="51"/>
              <w:jc w:val="center"/>
              <w:rPr>
                <w:sz w:val="22"/>
              </w:rPr>
            </w:pPr>
            <w:r>
              <w:rPr>
                <w:spacing w:val="-10"/>
                <w:sz w:val="22"/>
              </w:rPr>
              <w:t>O</w:t>
            </w:r>
          </w:p>
        </w:tc>
        <w:tc>
          <w:tcPr>
            <w:tcW w:w="689" w:type="dxa"/>
          </w:tcPr>
          <w:p>
            <w:pPr>
              <w:pStyle w:val="TableParagraph"/>
              <w:spacing w:before="151"/>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before="151"/>
              <w:ind w:left="84" w:right="1"/>
              <w:jc w:val="center"/>
              <w:rPr>
                <w:sz w:val="22"/>
              </w:rPr>
            </w:pPr>
            <w:r>
              <w:rPr>
                <w:spacing w:val="-10"/>
                <w:sz w:val="22"/>
              </w:rPr>
              <w:t>O</w:t>
            </w:r>
          </w:p>
        </w:tc>
      </w:tr>
      <w:tr>
        <w:trPr>
          <w:trHeight w:val="584" w:hRule="atLeast"/>
        </w:trPr>
        <w:tc>
          <w:tcPr>
            <w:tcW w:w="2535" w:type="dxa"/>
          </w:tcPr>
          <w:p>
            <w:pPr>
              <w:pStyle w:val="TableParagraph"/>
              <w:ind w:left="44"/>
              <w:rPr>
                <w:b/>
                <w:sz w:val="22"/>
              </w:rPr>
            </w:pPr>
            <w:r>
              <w:rPr>
                <w:b/>
                <w:spacing w:val="-2"/>
                <w:sz w:val="22"/>
              </w:rPr>
              <w:t>TIENDAS</w:t>
            </w:r>
          </w:p>
          <w:p>
            <w:pPr>
              <w:pStyle w:val="TableParagraph"/>
              <w:spacing w:line="264" w:lineRule="exact" w:before="32"/>
              <w:ind w:left="44"/>
              <w:rPr>
                <w:b/>
                <w:sz w:val="22"/>
              </w:rPr>
            </w:pPr>
            <w:r>
              <w:rPr>
                <w:b/>
                <w:spacing w:val="-2"/>
                <w:sz w:val="22"/>
              </w:rPr>
              <w:t>DEPARTAMENTALES</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spacing w:before="151"/>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before="151"/>
              <w:ind w:left="51"/>
              <w:jc w:val="center"/>
              <w:rPr>
                <w:sz w:val="22"/>
              </w:rPr>
            </w:pPr>
            <w:r>
              <w:rPr>
                <w:spacing w:val="-10"/>
                <w:sz w:val="22"/>
              </w:rPr>
              <w:t>O</w:t>
            </w:r>
          </w:p>
        </w:tc>
        <w:tc>
          <w:tcPr>
            <w:tcW w:w="689" w:type="dxa"/>
          </w:tcPr>
          <w:p>
            <w:pPr>
              <w:pStyle w:val="TableParagraph"/>
              <w:spacing w:before="151"/>
              <w:ind w:left="53" w:right="3"/>
              <w:jc w:val="center"/>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before="151"/>
              <w:ind w:left="84" w:right="1"/>
              <w:jc w:val="center"/>
              <w:rPr>
                <w:sz w:val="22"/>
              </w:rPr>
            </w:pPr>
            <w:r>
              <w:rPr>
                <w:spacing w:val="-10"/>
                <w:sz w:val="22"/>
              </w:rPr>
              <w:t>O</w:t>
            </w:r>
          </w:p>
        </w:tc>
      </w:tr>
      <w:tr>
        <w:trPr>
          <w:trHeight w:val="285" w:hRule="atLeast"/>
        </w:trPr>
        <w:tc>
          <w:tcPr>
            <w:tcW w:w="2535" w:type="dxa"/>
          </w:tcPr>
          <w:p>
            <w:pPr>
              <w:pStyle w:val="TableParagraph"/>
              <w:spacing w:line="264" w:lineRule="exact"/>
              <w:ind w:left="44"/>
              <w:rPr>
                <w:b/>
                <w:sz w:val="22"/>
              </w:rPr>
            </w:pPr>
            <w:r>
              <w:rPr>
                <w:b/>
                <w:sz w:val="22"/>
              </w:rPr>
              <w:t>CENTROS</w:t>
            </w:r>
            <w:r>
              <w:rPr>
                <w:b/>
                <w:spacing w:val="-11"/>
                <w:sz w:val="22"/>
              </w:rPr>
              <w:t> </w:t>
            </w:r>
            <w:r>
              <w:rPr>
                <w:b/>
                <w:spacing w:val="-2"/>
                <w:sz w:val="22"/>
              </w:rPr>
              <w:t>COMERCIALES</w:t>
            </w:r>
          </w:p>
        </w:tc>
        <w:tc>
          <w:tcPr>
            <w:tcW w:w="390" w:type="dxa"/>
          </w:tcPr>
          <w:p>
            <w:pPr>
              <w:pStyle w:val="TableParagraph"/>
              <w:rPr>
                <w:rFonts w:ascii="Times New Roman"/>
                <w:sz w:val="20"/>
              </w:rPr>
            </w:pPr>
          </w:p>
        </w:tc>
        <w:tc>
          <w:tcPr>
            <w:tcW w:w="390" w:type="dxa"/>
          </w:tcPr>
          <w:p>
            <w:pPr>
              <w:pStyle w:val="TableParagraph"/>
              <w:spacing w:line="264" w:lineRule="exact"/>
              <w:ind w:left="44"/>
              <w:jc w:val="center"/>
              <w:rPr>
                <w:sz w:val="22"/>
              </w:rPr>
            </w:pPr>
            <w:r>
              <w:rPr>
                <w:spacing w:val="-10"/>
                <w:sz w:val="22"/>
              </w:rPr>
              <w:t>O</w:t>
            </w:r>
          </w:p>
        </w:tc>
        <w:tc>
          <w:tcPr>
            <w:tcW w:w="689" w:type="dxa"/>
          </w:tcPr>
          <w:p>
            <w:pPr>
              <w:pStyle w:val="TableParagraph"/>
              <w:rPr>
                <w:rFonts w:ascii="Times New Roman"/>
                <w:sz w:val="20"/>
              </w:rPr>
            </w:pPr>
          </w:p>
        </w:tc>
        <w:tc>
          <w:tcPr>
            <w:tcW w:w="989" w:type="dxa"/>
          </w:tcPr>
          <w:p>
            <w:pPr>
              <w:pStyle w:val="TableParagraph"/>
              <w:spacing w:line="264" w:lineRule="exact"/>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line="264" w:lineRule="exact"/>
              <w:ind w:left="51"/>
              <w:jc w:val="center"/>
              <w:rPr>
                <w:sz w:val="22"/>
              </w:rPr>
            </w:pPr>
            <w:r>
              <w:rPr>
                <w:spacing w:val="-10"/>
                <w:sz w:val="22"/>
              </w:rPr>
              <w:t>O</w:t>
            </w:r>
          </w:p>
        </w:tc>
        <w:tc>
          <w:tcPr>
            <w:tcW w:w="689" w:type="dxa"/>
          </w:tcPr>
          <w:p>
            <w:pPr>
              <w:pStyle w:val="TableParagraph"/>
              <w:spacing w:line="264" w:lineRule="exact"/>
              <w:ind w:left="53" w:right="3"/>
              <w:jc w:val="center"/>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line="264" w:lineRule="exact"/>
              <w:ind w:left="84" w:right="1"/>
              <w:jc w:val="center"/>
              <w:rPr>
                <w:sz w:val="22"/>
              </w:rPr>
            </w:pPr>
            <w:r>
              <w:rPr>
                <w:spacing w:val="-10"/>
                <w:sz w:val="22"/>
              </w:rPr>
              <w:t>O</w:t>
            </w:r>
          </w:p>
        </w:tc>
      </w:tr>
      <w:tr>
        <w:trPr>
          <w:trHeight w:val="284" w:hRule="atLeast"/>
        </w:trPr>
        <w:tc>
          <w:tcPr>
            <w:tcW w:w="2535" w:type="dxa"/>
          </w:tcPr>
          <w:p>
            <w:pPr>
              <w:pStyle w:val="TableParagraph"/>
              <w:spacing w:line="264" w:lineRule="exact"/>
              <w:ind w:left="44"/>
              <w:rPr>
                <w:b/>
                <w:sz w:val="22"/>
              </w:rPr>
            </w:pPr>
            <w:r>
              <w:rPr>
                <w:b/>
                <w:sz w:val="22"/>
              </w:rPr>
              <w:t>VENTA</w:t>
            </w:r>
            <w:r>
              <w:rPr>
                <w:b/>
                <w:spacing w:val="-6"/>
                <w:sz w:val="22"/>
              </w:rPr>
              <w:t> </w:t>
            </w:r>
            <w:r>
              <w:rPr>
                <w:b/>
                <w:sz w:val="22"/>
              </w:rPr>
              <w:t>DE</w:t>
            </w:r>
            <w:r>
              <w:rPr>
                <w:b/>
                <w:spacing w:val="-10"/>
                <w:sz w:val="22"/>
              </w:rPr>
              <w:t> </w:t>
            </w:r>
            <w:r>
              <w:rPr>
                <w:b/>
                <w:spacing w:val="-2"/>
                <w:sz w:val="22"/>
              </w:rPr>
              <w:t>MATERIALES</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rPr>
                <w:rFonts w:ascii="Times New Roman"/>
                <w:sz w:val="20"/>
              </w:rPr>
            </w:pPr>
          </w:p>
        </w:tc>
        <w:tc>
          <w:tcPr>
            <w:tcW w:w="989" w:type="dxa"/>
          </w:tcPr>
          <w:p>
            <w:pPr>
              <w:pStyle w:val="TableParagraph"/>
              <w:rPr>
                <w:rFonts w:ascii="Times New Roman"/>
                <w:sz w:val="20"/>
              </w:rPr>
            </w:pPr>
          </w:p>
        </w:tc>
        <w:tc>
          <w:tcPr>
            <w:tcW w:w="389" w:type="dxa"/>
          </w:tcPr>
          <w:p>
            <w:pPr>
              <w:pStyle w:val="TableParagraph"/>
              <w:spacing w:line="264" w:lineRule="exact"/>
              <w:ind w:left="51"/>
              <w:jc w:val="center"/>
              <w:rPr>
                <w:sz w:val="22"/>
              </w:rPr>
            </w:pPr>
            <w:r>
              <w:rPr>
                <w:spacing w:val="-10"/>
                <w:sz w:val="22"/>
              </w:rPr>
              <w:t>O</w:t>
            </w:r>
          </w:p>
        </w:tc>
        <w:tc>
          <w:tcPr>
            <w:tcW w:w="689" w:type="dxa"/>
          </w:tcPr>
          <w:p>
            <w:pPr>
              <w:pStyle w:val="TableParagraph"/>
              <w:spacing w:line="264" w:lineRule="exact"/>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285" w:hRule="atLeast"/>
        </w:trPr>
        <w:tc>
          <w:tcPr>
            <w:tcW w:w="2535" w:type="dxa"/>
            <w:tcBorders>
              <w:bottom w:val="single" w:sz="12" w:space="0" w:color="000000"/>
            </w:tcBorders>
          </w:tcPr>
          <w:p>
            <w:pPr>
              <w:pStyle w:val="TableParagraph"/>
              <w:spacing w:line="254" w:lineRule="exact"/>
              <w:ind w:left="44"/>
              <w:rPr>
                <w:b/>
                <w:sz w:val="22"/>
              </w:rPr>
            </w:pPr>
            <w:r>
              <w:rPr>
                <w:b/>
                <w:sz w:val="22"/>
              </w:rPr>
              <w:t>TIENDAS</w:t>
            </w:r>
            <w:r>
              <w:rPr>
                <w:b/>
                <w:spacing w:val="-12"/>
                <w:sz w:val="22"/>
              </w:rPr>
              <w:t> </w:t>
            </w:r>
            <w:r>
              <w:rPr>
                <w:b/>
                <w:sz w:val="22"/>
              </w:rPr>
              <w:t>DE</w:t>
            </w:r>
            <w:r>
              <w:rPr>
                <w:b/>
                <w:spacing w:val="-13"/>
                <w:sz w:val="22"/>
              </w:rPr>
              <w:t> </w:t>
            </w:r>
            <w:r>
              <w:rPr>
                <w:b/>
                <w:spacing w:val="-2"/>
                <w:sz w:val="22"/>
              </w:rPr>
              <w:t>SERVICIOS</w:t>
            </w:r>
          </w:p>
        </w:tc>
        <w:tc>
          <w:tcPr>
            <w:tcW w:w="390" w:type="dxa"/>
            <w:tcBorders>
              <w:bottom w:val="single" w:sz="12" w:space="0" w:color="000000"/>
            </w:tcBorders>
          </w:tcPr>
          <w:p>
            <w:pPr>
              <w:pStyle w:val="TableParagraph"/>
              <w:rPr>
                <w:rFonts w:ascii="Times New Roman"/>
                <w:sz w:val="20"/>
              </w:rPr>
            </w:pPr>
          </w:p>
        </w:tc>
        <w:tc>
          <w:tcPr>
            <w:tcW w:w="390" w:type="dxa"/>
            <w:tcBorders>
              <w:bottom w:val="single" w:sz="12" w:space="0" w:color="000000"/>
            </w:tcBorders>
          </w:tcPr>
          <w:p>
            <w:pPr>
              <w:pStyle w:val="TableParagraph"/>
              <w:spacing w:line="264" w:lineRule="exact" w:before="1"/>
              <w:ind w:left="44"/>
              <w:jc w:val="center"/>
              <w:rPr>
                <w:sz w:val="22"/>
              </w:rPr>
            </w:pPr>
            <w:r>
              <w:rPr>
                <w:spacing w:val="-10"/>
                <w:sz w:val="22"/>
              </w:rPr>
              <w:t>O</w:t>
            </w:r>
          </w:p>
        </w:tc>
        <w:tc>
          <w:tcPr>
            <w:tcW w:w="689" w:type="dxa"/>
            <w:tcBorders>
              <w:bottom w:val="single" w:sz="12" w:space="0" w:color="000000"/>
            </w:tcBorders>
          </w:tcPr>
          <w:p>
            <w:pPr>
              <w:pStyle w:val="TableParagraph"/>
              <w:spacing w:line="264" w:lineRule="exact" w:before="1"/>
              <w:ind w:left="53" w:right="8"/>
              <w:jc w:val="center"/>
              <w:rPr>
                <w:sz w:val="22"/>
              </w:rPr>
            </w:pPr>
            <w:r>
              <w:rPr>
                <w:spacing w:val="-10"/>
                <w:sz w:val="22"/>
              </w:rPr>
              <w:t>O</w:t>
            </w:r>
          </w:p>
        </w:tc>
        <w:tc>
          <w:tcPr>
            <w:tcW w:w="989" w:type="dxa"/>
            <w:tcBorders>
              <w:bottom w:val="single" w:sz="12" w:space="0" w:color="000000"/>
            </w:tcBorders>
          </w:tcPr>
          <w:p>
            <w:pPr>
              <w:pStyle w:val="TableParagraph"/>
              <w:spacing w:line="264" w:lineRule="exact" w:before="1"/>
              <w:ind w:left="50" w:right="4"/>
              <w:jc w:val="center"/>
              <w:rPr>
                <w:sz w:val="22"/>
              </w:rPr>
            </w:pPr>
            <w:r>
              <w:rPr>
                <w:spacing w:val="-10"/>
                <w:sz w:val="22"/>
              </w:rPr>
              <w:t>O</w:t>
            </w:r>
          </w:p>
        </w:tc>
        <w:tc>
          <w:tcPr>
            <w:tcW w:w="989" w:type="dxa"/>
            <w:tcBorders>
              <w:bottom w:val="single" w:sz="12" w:space="0" w:color="000000"/>
            </w:tcBorders>
          </w:tcPr>
          <w:p>
            <w:pPr>
              <w:pStyle w:val="TableParagraph"/>
              <w:rPr>
                <w:rFonts w:ascii="Times New Roman"/>
                <w:sz w:val="20"/>
              </w:rPr>
            </w:pPr>
          </w:p>
        </w:tc>
        <w:tc>
          <w:tcPr>
            <w:tcW w:w="389" w:type="dxa"/>
            <w:tcBorders>
              <w:bottom w:val="single" w:sz="12" w:space="0" w:color="000000"/>
            </w:tcBorders>
          </w:tcPr>
          <w:p>
            <w:pPr>
              <w:pStyle w:val="TableParagraph"/>
              <w:spacing w:line="264" w:lineRule="exact" w:before="1"/>
              <w:ind w:left="51"/>
              <w:jc w:val="center"/>
              <w:rPr>
                <w:sz w:val="22"/>
              </w:rPr>
            </w:pPr>
            <w:r>
              <w:rPr>
                <w:spacing w:val="-10"/>
                <w:sz w:val="22"/>
              </w:rPr>
              <w:t>O</w:t>
            </w:r>
          </w:p>
        </w:tc>
        <w:tc>
          <w:tcPr>
            <w:tcW w:w="689" w:type="dxa"/>
            <w:tcBorders>
              <w:bottom w:val="single" w:sz="12" w:space="0" w:color="000000"/>
            </w:tcBorders>
          </w:tcPr>
          <w:p>
            <w:pPr>
              <w:pStyle w:val="TableParagraph"/>
              <w:spacing w:line="264" w:lineRule="exact" w:before="1"/>
              <w:ind w:left="53"/>
              <w:jc w:val="center"/>
              <w:rPr>
                <w:sz w:val="22"/>
              </w:rPr>
            </w:pPr>
            <w:r>
              <w:rPr>
                <w:spacing w:val="-10"/>
                <w:sz w:val="22"/>
              </w:rPr>
              <w:t>O</w:t>
            </w: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0" w:type="dxa"/>
            <w:tcBorders>
              <w:bottom w:val="single" w:sz="12" w:space="0" w:color="000000"/>
              <w:right w:val="single" w:sz="12" w:space="0" w:color="000000"/>
            </w:tcBorders>
          </w:tcPr>
          <w:p>
            <w:pPr>
              <w:pStyle w:val="TableParagraph"/>
              <w:spacing w:line="264" w:lineRule="exact" w:before="1"/>
              <w:ind w:left="84" w:right="1"/>
              <w:jc w:val="center"/>
              <w:rPr>
                <w:sz w:val="22"/>
              </w:rPr>
            </w:pPr>
            <w:r>
              <w:rPr>
                <w:spacing w:val="-10"/>
                <w:sz w:val="22"/>
              </w:rPr>
              <w:t>O</w:t>
            </w:r>
          </w:p>
        </w:tc>
      </w:tr>
    </w:tbl>
    <w:p>
      <w:pPr>
        <w:pStyle w:val="BodyText"/>
        <w:tabs>
          <w:tab w:pos="1571" w:val="left" w:leader="none"/>
        </w:tabs>
        <w:ind w:left="262"/>
      </w:pPr>
      <w:r>
        <w:rPr/>
        <w:t>O</w:t>
      </w:r>
      <w:r>
        <w:rPr>
          <w:spacing w:val="-2"/>
        </w:rPr>
        <w:t> adecuada</w:t>
      </w:r>
      <w:r>
        <w:rPr/>
        <w:tab/>
        <w:t>X</w:t>
      </w:r>
      <w:r>
        <w:rPr>
          <w:spacing w:val="-2"/>
        </w:rPr>
        <w:t> tolerable</w:t>
      </w:r>
    </w:p>
    <w:p>
      <w:pPr>
        <w:pStyle w:val="BodyText"/>
        <w:spacing w:before="229"/>
        <w:ind w:right="18"/>
        <w:jc w:val="center"/>
      </w:pPr>
      <w:r>
        <w:rPr/>
        <w:t>SERVICIOS</w:t>
      </w:r>
      <w:r>
        <w:rPr>
          <w:spacing w:val="-6"/>
        </w:rPr>
        <w:t> </w:t>
      </w:r>
      <w:r>
        <w:rPr/>
        <w:t>DE</w:t>
      </w:r>
      <w:r>
        <w:rPr>
          <w:spacing w:val="-4"/>
        </w:rPr>
        <w:t> </w:t>
      </w:r>
      <w:r>
        <w:rPr>
          <w:spacing w:val="-2"/>
        </w:rPr>
        <w:t>SALUD</w:t>
      </w: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85" w:hRule="atLeast"/>
        </w:trPr>
        <w:tc>
          <w:tcPr>
            <w:tcW w:w="2535" w:type="dxa"/>
            <w:tcBorders>
              <w:bottom w:val="single" w:sz="6" w:space="0" w:color="D0D6E4"/>
            </w:tcBorders>
          </w:tcPr>
          <w:p>
            <w:pPr>
              <w:pStyle w:val="TableParagraph"/>
              <w:rPr>
                <w:rFonts w:ascii="Times New Roman"/>
                <w:sz w:val="20"/>
              </w:rPr>
            </w:pPr>
          </w:p>
        </w:tc>
        <w:tc>
          <w:tcPr>
            <w:tcW w:w="1469" w:type="dxa"/>
            <w:gridSpan w:val="3"/>
          </w:tcPr>
          <w:p>
            <w:pPr>
              <w:pStyle w:val="TableParagraph"/>
              <w:spacing w:line="258" w:lineRule="exact" w:before="7"/>
              <w:ind w:left="74"/>
              <w:rPr>
                <w:b/>
                <w:sz w:val="22"/>
              </w:rPr>
            </w:pPr>
            <w:r>
              <w:rPr>
                <w:b/>
                <w:spacing w:val="-2"/>
                <w:sz w:val="22"/>
              </w:rPr>
              <w:t>INTERURBANA</w:t>
            </w:r>
          </w:p>
        </w:tc>
        <w:tc>
          <w:tcPr>
            <w:tcW w:w="4600" w:type="dxa"/>
            <w:gridSpan w:val="8"/>
            <w:tcBorders>
              <w:right w:val="single" w:sz="12" w:space="0" w:color="000000"/>
            </w:tcBorders>
          </w:tcPr>
          <w:p>
            <w:pPr>
              <w:pStyle w:val="TableParagraph"/>
              <w:spacing w:line="258" w:lineRule="exact" w:before="7"/>
              <w:ind w:left="76"/>
              <w:jc w:val="center"/>
              <w:rPr>
                <w:b/>
                <w:sz w:val="22"/>
              </w:rPr>
            </w:pPr>
            <w:r>
              <w:rPr>
                <w:b/>
                <w:spacing w:val="-2"/>
                <w:sz w:val="22"/>
              </w:rPr>
              <w:t>URBANA</w:t>
            </w:r>
          </w:p>
        </w:tc>
      </w:tr>
      <w:tr>
        <w:trPr>
          <w:trHeight w:val="1140" w:hRule="atLeast"/>
        </w:trPr>
        <w:tc>
          <w:tcPr>
            <w:tcW w:w="2535" w:type="dxa"/>
            <w:tcBorders>
              <w:top w:val="single" w:sz="6" w:space="0" w:color="D0D6E4"/>
            </w:tcBorders>
          </w:tcPr>
          <w:p>
            <w:pPr>
              <w:pStyle w:val="TableParagraph"/>
              <w:rPr>
                <w:rFonts w:ascii="Times New Roman"/>
                <w:sz w:val="20"/>
              </w:rPr>
            </w:pPr>
          </w:p>
        </w:tc>
        <w:tc>
          <w:tcPr>
            <w:tcW w:w="390" w:type="dxa"/>
            <w:textDirection w:val="btLr"/>
          </w:tcPr>
          <w:p>
            <w:pPr>
              <w:pStyle w:val="TableParagraph"/>
              <w:spacing w:before="75"/>
              <w:ind w:left="38"/>
              <w:rPr>
                <w:b/>
                <w:sz w:val="22"/>
              </w:rPr>
            </w:pPr>
            <w:r>
              <w:rPr>
                <w:b/>
                <w:spacing w:val="-2"/>
                <w:sz w:val="22"/>
              </w:rPr>
              <w:t>autopista</w:t>
            </w:r>
          </w:p>
        </w:tc>
        <w:tc>
          <w:tcPr>
            <w:tcW w:w="390" w:type="dxa"/>
            <w:textDirection w:val="btLr"/>
          </w:tcPr>
          <w:p>
            <w:pPr>
              <w:pStyle w:val="TableParagraph"/>
              <w:spacing w:before="75"/>
              <w:ind w:left="38"/>
              <w:rPr>
                <w:b/>
                <w:sz w:val="22"/>
              </w:rPr>
            </w:pPr>
            <w:r>
              <w:rPr>
                <w:b/>
                <w:spacing w:val="-2"/>
                <w:sz w:val="22"/>
              </w:rPr>
              <w:t>carretera</w:t>
            </w:r>
          </w:p>
        </w:tc>
        <w:tc>
          <w:tcPr>
            <w:tcW w:w="689" w:type="dxa"/>
            <w:textDirection w:val="btLr"/>
          </w:tcPr>
          <w:p>
            <w:pPr>
              <w:pStyle w:val="TableParagraph"/>
              <w:spacing w:line="300" w:lineRule="atLeast" w:before="44"/>
              <w:ind w:left="38" w:right="44"/>
              <w:rPr>
                <w:b/>
                <w:sz w:val="22"/>
              </w:rPr>
            </w:pPr>
            <w:r>
              <w:rPr>
                <w:b/>
                <w:spacing w:val="-2"/>
                <w:sz w:val="22"/>
              </w:rPr>
              <w:t>camino rural</w:t>
            </w:r>
          </w:p>
        </w:tc>
        <w:tc>
          <w:tcPr>
            <w:tcW w:w="989" w:type="dxa"/>
            <w:textDirection w:val="btLr"/>
          </w:tcPr>
          <w:p>
            <w:pPr>
              <w:pStyle w:val="TableParagraph"/>
              <w:spacing w:line="300" w:lineRule="atLeast" w:before="45"/>
              <w:ind w:left="38"/>
              <w:rPr>
                <w:b/>
                <w:sz w:val="22"/>
              </w:rPr>
            </w:pPr>
            <w:r>
              <w:rPr>
                <w:b/>
                <w:spacing w:val="-2"/>
                <w:sz w:val="22"/>
              </w:rPr>
              <w:t>acceso controlado c/lateral</w:t>
            </w:r>
          </w:p>
        </w:tc>
        <w:tc>
          <w:tcPr>
            <w:tcW w:w="989" w:type="dxa"/>
            <w:textDirection w:val="btLr"/>
          </w:tcPr>
          <w:p>
            <w:pPr>
              <w:pStyle w:val="TableParagraph"/>
              <w:spacing w:line="300" w:lineRule="atLeast" w:before="46"/>
              <w:ind w:left="38"/>
              <w:rPr>
                <w:b/>
                <w:sz w:val="22"/>
              </w:rPr>
            </w:pPr>
            <w:r>
              <w:rPr>
                <w:b/>
                <w:spacing w:val="-2"/>
                <w:sz w:val="22"/>
              </w:rPr>
              <w:t>acceso controlado s/lateral</w:t>
            </w:r>
          </w:p>
        </w:tc>
        <w:tc>
          <w:tcPr>
            <w:tcW w:w="389" w:type="dxa"/>
            <w:textDirection w:val="btLr"/>
          </w:tcPr>
          <w:p>
            <w:pPr>
              <w:pStyle w:val="TableParagraph"/>
              <w:spacing w:before="78"/>
              <w:ind w:left="38"/>
              <w:rPr>
                <w:b/>
                <w:sz w:val="22"/>
              </w:rPr>
            </w:pPr>
            <w:r>
              <w:rPr>
                <w:b/>
                <w:spacing w:val="-2"/>
                <w:sz w:val="22"/>
              </w:rPr>
              <w:t>primaria</w:t>
            </w:r>
          </w:p>
        </w:tc>
        <w:tc>
          <w:tcPr>
            <w:tcW w:w="689" w:type="dxa"/>
            <w:textDirection w:val="btLr"/>
          </w:tcPr>
          <w:p>
            <w:pPr>
              <w:pStyle w:val="TableParagraph"/>
              <w:spacing w:line="300" w:lineRule="atLeast" w:before="48"/>
              <w:ind w:left="38" w:right="44"/>
              <w:rPr>
                <w:b/>
                <w:sz w:val="22"/>
              </w:rPr>
            </w:pPr>
            <w:r>
              <w:rPr>
                <w:b/>
                <w:spacing w:val="-2"/>
                <w:sz w:val="22"/>
              </w:rPr>
              <w:t>secundaria </w:t>
            </w:r>
            <w:r>
              <w:rPr>
                <w:b/>
                <w:sz w:val="22"/>
              </w:rPr>
              <w:t>o</w:t>
            </w:r>
            <w:r>
              <w:rPr>
                <w:b/>
                <w:spacing w:val="-5"/>
                <w:sz w:val="22"/>
              </w:rPr>
              <w:t> </w:t>
            </w:r>
            <w:r>
              <w:rPr>
                <w:b/>
                <w:spacing w:val="-2"/>
                <w:sz w:val="22"/>
              </w:rPr>
              <w:t>colectora</w:t>
            </w:r>
          </w:p>
        </w:tc>
        <w:tc>
          <w:tcPr>
            <w:tcW w:w="388" w:type="dxa"/>
            <w:textDirection w:val="btLr"/>
          </w:tcPr>
          <w:p>
            <w:pPr>
              <w:pStyle w:val="TableParagraph"/>
              <w:spacing w:before="81"/>
              <w:ind w:left="38"/>
              <w:rPr>
                <w:b/>
                <w:sz w:val="22"/>
              </w:rPr>
            </w:pPr>
            <w:r>
              <w:rPr>
                <w:b/>
                <w:spacing w:val="-2"/>
                <w:sz w:val="22"/>
              </w:rPr>
              <w:t>local</w:t>
            </w:r>
          </w:p>
        </w:tc>
        <w:tc>
          <w:tcPr>
            <w:tcW w:w="388" w:type="dxa"/>
            <w:textDirection w:val="btLr"/>
          </w:tcPr>
          <w:p>
            <w:pPr>
              <w:pStyle w:val="TableParagraph"/>
              <w:spacing w:before="82"/>
              <w:ind w:left="38"/>
              <w:rPr>
                <w:b/>
                <w:sz w:val="22"/>
              </w:rPr>
            </w:pPr>
            <w:r>
              <w:rPr>
                <w:b/>
                <w:spacing w:val="-2"/>
                <w:sz w:val="22"/>
              </w:rPr>
              <w:t>cerrada</w:t>
            </w:r>
          </w:p>
        </w:tc>
        <w:tc>
          <w:tcPr>
            <w:tcW w:w="388" w:type="dxa"/>
            <w:textDirection w:val="btLr"/>
          </w:tcPr>
          <w:p>
            <w:pPr>
              <w:pStyle w:val="TableParagraph"/>
              <w:spacing w:before="84"/>
              <w:ind w:left="38"/>
              <w:rPr>
                <w:b/>
                <w:sz w:val="22"/>
              </w:rPr>
            </w:pPr>
            <w:r>
              <w:rPr>
                <w:b/>
                <w:spacing w:val="-2"/>
                <w:sz w:val="22"/>
              </w:rPr>
              <w:t>ciclovía</w:t>
            </w:r>
          </w:p>
        </w:tc>
        <w:tc>
          <w:tcPr>
            <w:tcW w:w="380" w:type="dxa"/>
            <w:tcBorders>
              <w:right w:val="single" w:sz="12" w:space="0" w:color="000000"/>
            </w:tcBorders>
            <w:textDirection w:val="btLr"/>
          </w:tcPr>
          <w:p>
            <w:pPr>
              <w:pStyle w:val="TableParagraph"/>
              <w:spacing w:line="251" w:lineRule="exact" w:before="87"/>
              <w:ind w:left="38"/>
              <w:rPr>
                <w:b/>
                <w:sz w:val="22"/>
              </w:rPr>
            </w:pPr>
            <w:r>
              <w:rPr>
                <w:b/>
                <w:spacing w:val="-2"/>
                <w:sz w:val="22"/>
              </w:rPr>
              <w:t>andador</w:t>
            </w:r>
          </w:p>
        </w:tc>
      </w:tr>
      <w:tr>
        <w:trPr>
          <w:trHeight w:val="285" w:hRule="atLeast"/>
        </w:trPr>
        <w:tc>
          <w:tcPr>
            <w:tcW w:w="2535" w:type="dxa"/>
          </w:tcPr>
          <w:p>
            <w:pPr>
              <w:pStyle w:val="TableParagraph"/>
              <w:spacing w:line="258" w:lineRule="exact" w:before="7"/>
              <w:ind w:left="44"/>
              <w:rPr>
                <w:b/>
                <w:sz w:val="22"/>
              </w:rPr>
            </w:pPr>
            <w:r>
              <w:rPr>
                <w:b/>
                <w:spacing w:val="-2"/>
                <w:sz w:val="22"/>
              </w:rPr>
              <w:t>HOSPITALES</w:t>
            </w:r>
          </w:p>
        </w:tc>
        <w:tc>
          <w:tcPr>
            <w:tcW w:w="390" w:type="dxa"/>
          </w:tcPr>
          <w:p>
            <w:pPr>
              <w:pStyle w:val="TableParagraph"/>
              <w:rPr>
                <w:rFonts w:ascii="Times New Roman"/>
                <w:sz w:val="20"/>
              </w:rPr>
            </w:pPr>
          </w:p>
        </w:tc>
        <w:tc>
          <w:tcPr>
            <w:tcW w:w="390" w:type="dxa"/>
          </w:tcPr>
          <w:p>
            <w:pPr>
              <w:pStyle w:val="TableParagraph"/>
              <w:spacing w:line="258" w:lineRule="exact" w:before="7"/>
              <w:ind w:left="44"/>
              <w:jc w:val="center"/>
              <w:rPr>
                <w:sz w:val="22"/>
              </w:rPr>
            </w:pPr>
            <w:r>
              <w:rPr>
                <w:spacing w:val="-10"/>
                <w:sz w:val="22"/>
              </w:rPr>
              <w:t>O</w:t>
            </w:r>
          </w:p>
        </w:tc>
        <w:tc>
          <w:tcPr>
            <w:tcW w:w="689" w:type="dxa"/>
          </w:tcPr>
          <w:p>
            <w:pPr>
              <w:pStyle w:val="TableParagraph"/>
              <w:spacing w:line="258" w:lineRule="exact" w:before="7"/>
              <w:ind w:left="53" w:right="7"/>
              <w:jc w:val="center"/>
              <w:rPr>
                <w:sz w:val="22"/>
              </w:rPr>
            </w:pPr>
            <w:r>
              <w:rPr>
                <w:spacing w:val="-10"/>
                <w:sz w:val="22"/>
              </w:rPr>
              <w:t>O</w:t>
            </w:r>
          </w:p>
        </w:tc>
        <w:tc>
          <w:tcPr>
            <w:tcW w:w="989" w:type="dxa"/>
          </w:tcPr>
          <w:p>
            <w:pPr>
              <w:pStyle w:val="TableParagraph"/>
              <w:spacing w:line="258" w:lineRule="exact" w:before="7"/>
              <w:ind w:left="50" w:right="5"/>
              <w:jc w:val="center"/>
              <w:rPr>
                <w:sz w:val="22"/>
              </w:rPr>
            </w:pPr>
            <w:r>
              <w:rPr>
                <w:spacing w:val="-10"/>
                <w:sz w:val="22"/>
              </w:rPr>
              <w:t>X</w:t>
            </w:r>
          </w:p>
        </w:tc>
        <w:tc>
          <w:tcPr>
            <w:tcW w:w="989" w:type="dxa"/>
          </w:tcPr>
          <w:p>
            <w:pPr>
              <w:pStyle w:val="TableParagraph"/>
              <w:rPr>
                <w:rFonts w:ascii="Times New Roman"/>
                <w:sz w:val="20"/>
              </w:rPr>
            </w:pPr>
          </w:p>
        </w:tc>
        <w:tc>
          <w:tcPr>
            <w:tcW w:w="389" w:type="dxa"/>
          </w:tcPr>
          <w:p>
            <w:pPr>
              <w:pStyle w:val="TableParagraph"/>
              <w:spacing w:line="258" w:lineRule="exact" w:before="7"/>
              <w:ind w:left="51" w:right="3"/>
              <w:jc w:val="center"/>
              <w:rPr>
                <w:sz w:val="22"/>
              </w:rPr>
            </w:pPr>
            <w:r>
              <w:rPr>
                <w:spacing w:val="-10"/>
                <w:sz w:val="22"/>
              </w:rPr>
              <w:t>X</w:t>
            </w:r>
          </w:p>
        </w:tc>
        <w:tc>
          <w:tcPr>
            <w:tcW w:w="689" w:type="dxa"/>
          </w:tcPr>
          <w:p>
            <w:pPr>
              <w:pStyle w:val="TableParagraph"/>
              <w:spacing w:line="258" w:lineRule="exact" w:before="7"/>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85" w:hRule="atLeast"/>
        </w:trPr>
        <w:tc>
          <w:tcPr>
            <w:tcW w:w="2535" w:type="dxa"/>
          </w:tcPr>
          <w:p>
            <w:pPr>
              <w:pStyle w:val="TableParagraph"/>
              <w:spacing w:before="7"/>
              <w:ind w:left="44"/>
              <w:rPr>
                <w:b/>
                <w:sz w:val="22"/>
              </w:rPr>
            </w:pPr>
            <w:r>
              <w:rPr>
                <w:b/>
                <w:sz w:val="22"/>
              </w:rPr>
              <w:t>CLÍNICAS</w:t>
            </w:r>
            <w:r>
              <w:rPr>
                <w:b/>
                <w:spacing w:val="-6"/>
                <w:sz w:val="22"/>
              </w:rPr>
              <w:t> </w:t>
            </w:r>
            <w:r>
              <w:rPr>
                <w:b/>
                <w:sz w:val="22"/>
              </w:rPr>
              <w:t>Y</w:t>
            </w:r>
            <w:r>
              <w:rPr>
                <w:b/>
                <w:spacing w:val="-1"/>
                <w:sz w:val="22"/>
              </w:rPr>
              <w:t> </w:t>
            </w:r>
            <w:r>
              <w:rPr>
                <w:b/>
                <w:sz w:val="22"/>
              </w:rPr>
              <w:t>CENTROS</w:t>
            </w:r>
            <w:r>
              <w:rPr>
                <w:b/>
                <w:spacing w:val="-5"/>
                <w:sz w:val="22"/>
              </w:rPr>
              <w:t> DE</w:t>
            </w:r>
          </w:p>
          <w:p>
            <w:pPr>
              <w:pStyle w:val="TableParagraph"/>
              <w:spacing w:line="258" w:lineRule="exact" w:before="31"/>
              <w:ind w:left="44"/>
              <w:rPr>
                <w:b/>
                <w:sz w:val="22"/>
              </w:rPr>
            </w:pPr>
            <w:r>
              <w:rPr>
                <w:b/>
                <w:spacing w:val="-2"/>
                <w:sz w:val="22"/>
              </w:rPr>
              <w:t>SALUD</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spacing w:before="157"/>
              <w:ind w:left="50" w:right="5"/>
              <w:jc w:val="center"/>
              <w:rPr>
                <w:sz w:val="22"/>
              </w:rPr>
            </w:pPr>
            <w:r>
              <w:rPr>
                <w:spacing w:val="-10"/>
                <w:sz w:val="22"/>
              </w:rPr>
              <w:t>X</w:t>
            </w:r>
          </w:p>
        </w:tc>
        <w:tc>
          <w:tcPr>
            <w:tcW w:w="989" w:type="dxa"/>
          </w:tcPr>
          <w:p>
            <w:pPr>
              <w:pStyle w:val="TableParagraph"/>
              <w:rPr>
                <w:rFonts w:ascii="Times New Roman"/>
                <w:sz w:val="20"/>
              </w:rPr>
            </w:pPr>
          </w:p>
        </w:tc>
        <w:tc>
          <w:tcPr>
            <w:tcW w:w="389" w:type="dxa"/>
          </w:tcPr>
          <w:p>
            <w:pPr>
              <w:pStyle w:val="TableParagraph"/>
              <w:spacing w:before="157"/>
              <w:ind w:left="51"/>
              <w:jc w:val="center"/>
              <w:rPr>
                <w:sz w:val="22"/>
              </w:rPr>
            </w:pPr>
            <w:r>
              <w:rPr>
                <w:spacing w:val="-10"/>
                <w:sz w:val="22"/>
              </w:rPr>
              <w:t>O</w:t>
            </w:r>
          </w:p>
        </w:tc>
        <w:tc>
          <w:tcPr>
            <w:tcW w:w="689" w:type="dxa"/>
          </w:tcPr>
          <w:p>
            <w:pPr>
              <w:pStyle w:val="TableParagraph"/>
              <w:spacing w:before="157"/>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285" w:hRule="atLeast"/>
        </w:trPr>
        <w:tc>
          <w:tcPr>
            <w:tcW w:w="2535" w:type="dxa"/>
          </w:tcPr>
          <w:p>
            <w:pPr>
              <w:pStyle w:val="TableParagraph"/>
              <w:spacing w:line="258" w:lineRule="exact" w:before="7"/>
              <w:ind w:left="44"/>
              <w:rPr>
                <w:b/>
                <w:sz w:val="22"/>
              </w:rPr>
            </w:pPr>
            <w:r>
              <w:rPr>
                <w:b/>
                <w:sz w:val="22"/>
              </w:rPr>
              <w:t>ASISTENCIA</w:t>
            </w:r>
            <w:r>
              <w:rPr>
                <w:b/>
                <w:spacing w:val="-5"/>
                <w:sz w:val="22"/>
              </w:rPr>
              <w:t> </w:t>
            </w:r>
            <w:r>
              <w:rPr>
                <w:b/>
                <w:spacing w:val="-2"/>
                <w:sz w:val="22"/>
              </w:rPr>
              <w:t>SOCIAL</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spacing w:line="258" w:lineRule="exact" w:before="7"/>
              <w:ind w:left="53" w:right="7"/>
              <w:jc w:val="center"/>
              <w:rPr>
                <w:sz w:val="22"/>
              </w:rPr>
            </w:pPr>
            <w:r>
              <w:rPr>
                <w:spacing w:val="-10"/>
                <w:sz w:val="22"/>
              </w:rPr>
              <w:t>O</w:t>
            </w:r>
          </w:p>
        </w:tc>
        <w:tc>
          <w:tcPr>
            <w:tcW w:w="989" w:type="dxa"/>
          </w:tcPr>
          <w:p>
            <w:pPr>
              <w:pStyle w:val="TableParagraph"/>
              <w:rPr>
                <w:rFonts w:ascii="Times New Roman"/>
                <w:sz w:val="20"/>
              </w:rPr>
            </w:pPr>
          </w:p>
        </w:tc>
        <w:tc>
          <w:tcPr>
            <w:tcW w:w="989" w:type="dxa"/>
          </w:tcPr>
          <w:p>
            <w:pPr>
              <w:pStyle w:val="TableParagraph"/>
              <w:rPr>
                <w:rFonts w:ascii="Times New Roman"/>
                <w:sz w:val="20"/>
              </w:rPr>
            </w:pPr>
          </w:p>
        </w:tc>
        <w:tc>
          <w:tcPr>
            <w:tcW w:w="389" w:type="dxa"/>
          </w:tcPr>
          <w:p>
            <w:pPr>
              <w:pStyle w:val="TableParagraph"/>
              <w:spacing w:line="258" w:lineRule="exact" w:before="7"/>
              <w:ind w:left="51" w:right="3"/>
              <w:jc w:val="center"/>
              <w:rPr>
                <w:sz w:val="22"/>
              </w:rPr>
            </w:pPr>
            <w:r>
              <w:rPr>
                <w:spacing w:val="-10"/>
                <w:sz w:val="22"/>
              </w:rPr>
              <w:t>X</w:t>
            </w:r>
          </w:p>
        </w:tc>
        <w:tc>
          <w:tcPr>
            <w:tcW w:w="689" w:type="dxa"/>
          </w:tcPr>
          <w:p>
            <w:pPr>
              <w:pStyle w:val="TableParagraph"/>
              <w:spacing w:line="258" w:lineRule="exact" w:before="7"/>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line="258" w:lineRule="exact" w:before="7"/>
              <w:ind w:left="84"/>
              <w:jc w:val="center"/>
              <w:rPr>
                <w:sz w:val="22"/>
              </w:rPr>
            </w:pPr>
            <w:r>
              <w:rPr>
                <w:spacing w:val="-10"/>
                <w:sz w:val="22"/>
              </w:rPr>
              <w:t>O</w:t>
            </w:r>
          </w:p>
        </w:tc>
      </w:tr>
      <w:tr>
        <w:trPr>
          <w:trHeight w:val="284" w:hRule="atLeast"/>
        </w:trPr>
        <w:tc>
          <w:tcPr>
            <w:tcW w:w="2535" w:type="dxa"/>
            <w:tcBorders>
              <w:bottom w:val="single" w:sz="12" w:space="0" w:color="000000"/>
            </w:tcBorders>
          </w:tcPr>
          <w:p>
            <w:pPr>
              <w:pStyle w:val="TableParagraph"/>
              <w:spacing w:line="261" w:lineRule="exact"/>
              <w:ind w:left="44"/>
              <w:rPr>
                <w:b/>
                <w:sz w:val="22"/>
              </w:rPr>
            </w:pPr>
            <w:r>
              <w:rPr>
                <w:b/>
                <w:sz w:val="22"/>
              </w:rPr>
              <w:t>ASISTENCIA</w:t>
            </w:r>
            <w:r>
              <w:rPr>
                <w:b/>
                <w:spacing w:val="-5"/>
                <w:sz w:val="22"/>
              </w:rPr>
              <w:t> </w:t>
            </w:r>
            <w:r>
              <w:rPr>
                <w:b/>
                <w:spacing w:val="-2"/>
                <w:sz w:val="22"/>
              </w:rPr>
              <w:t>ANIMAL</w:t>
            </w:r>
          </w:p>
        </w:tc>
        <w:tc>
          <w:tcPr>
            <w:tcW w:w="390" w:type="dxa"/>
            <w:tcBorders>
              <w:bottom w:val="single" w:sz="12" w:space="0" w:color="000000"/>
            </w:tcBorders>
          </w:tcPr>
          <w:p>
            <w:pPr>
              <w:pStyle w:val="TableParagraph"/>
              <w:rPr>
                <w:rFonts w:ascii="Times New Roman"/>
                <w:sz w:val="20"/>
              </w:rPr>
            </w:pPr>
          </w:p>
        </w:tc>
        <w:tc>
          <w:tcPr>
            <w:tcW w:w="390" w:type="dxa"/>
            <w:tcBorders>
              <w:bottom w:val="single" w:sz="12" w:space="0" w:color="000000"/>
            </w:tcBorders>
          </w:tcPr>
          <w:p>
            <w:pPr>
              <w:pStyle w:val="TableParagraph"/>
              <w:spacing w:line="258" w:lineRule="exact" w:before="7"/>
              <w:ind w:left="44"/>
              <w:jc w:val="center"/>
              <w:rPr>
                <w:sz w:val="22"/>
              </w:rPr>
            </w:pPr>
            <w:r>
              <w:rPr>
                <w:spacing w:val="-10"/>
                <w:sz w:val="22"/>
              </w:rPr>
              <w:t>O</w:t>
            </w:r>
          </w:p>
        </w:tc>
        <w:tc>
          <w:tcPr>
            <w:tcW w:w="689" w:type="dxa"/>
            <w:tcBorders>
              <w:bottom w:val="single" w:sz="12" w:space="0" w:color="000000"/>
            </w:tcBorders>
          </w:tcPr>
          <w:p>
            <w:pPr>
              <w:pStyle w:val="TableParagraph"/>
              <w:spacing w:line="258" w:lineRule="exact" w:before="7"/>
              <w:ind w:left="53" w:right="7"/>
              <w:jc w:val="center"/>
              <w:rPr>
                <w:sz w:val="22"/>
              </w:rPr>
            </w:pPr>
            <w:r>
              <w:rPr>
                <w:spacing w:val="-10"/>
                <w:sz w:val="22"/>
              </w:rPr>
              <w:t>O</w:t>
            </w:r>
          </w:p>
        </w:tc>
        <w:tc>
          <w:tcPr>
            <w:tcW w:w="989" w:type="dxa"/>
            <w:tcBorders>
              <w:bottom w:val="single" w:sz="12" w:space="0" w:color="000000"/>
            </w:tcBorders>
          </w:tcPr>
          <w:p>
            <w:pPr>
              <w:pStyle w:val="TableParagraph"/>
              <w:spacing w:line="258" w:lineRule="exact" w:before="7"/>
              <w:ind w:left="50" w:right="3"/>
              <w:jc w:val="center"/>
              <w:rPr>
                <w:sz w:val="22"/>
              </w:rPr>
            </w:pPr>
            <w:r>
              <w:rPr>
                <w:spacing w:val="-10"/>
                <w:sz w:val="22"/>
              </w:rPr>
              <w:t>O</w:t>
            </w:r>
          </w:p>
        </w:tc>
        <w:tc>
          <w:tcPr>
            <w:tcW w:w="989" w:type="dxa"/>
            <w:tcBorders>
              <w:bottom w:val="single" w:sz="12" w:space="0" w:color="000000"/>
            </w:tcBorders>
          </w:tcPr>
          <w:p>
            <w:pPr>
              <w:pStyle w:val="TableParagraph"/>
              <w:rPr>
                <w:rFonts w:ascii="Times New Roman"/>
                <w:sz w:val="20"/>
              </w:rPr>
            </w:pPr>
          </w:p>
        </w:tc>
        <w:tc>
          <w:tcPr>
            <w:tcW w:w="389" w:type="dxa"/>
            <w:tcBorders>
              <w:bottom w:val="single" w:sz="12" w:space="0" w:color="000000"/>
            </w:tcBorders>
          </w:tcPr>
          <w:p>
            <w:pPr>
              <w:pStyle w:val="TableParagraph"/>
              <w:spacing w:line="258" w:lineRule="exact" w:before="7"/>
              <w:ind w:left="51"/>
              <w:jc w:val="center"/>
              <w:rPr>
                <w:sz w:val="22"/>
              </w:rPr>
            </w:pPr>
            <w:r>
              <w:rPr>
                <w:spacing w:val="-10"/>
                <w:sz w:val="22"/>
              </w:rPr>
              <w:t>O</w:t>
            </w:r>
          </w:p>
        </w:tc>
        <w:tc>
          <w:tcPr>
            <w:tcW w:w="689" w:type="dxa"/>
            <w:tcBorders>
              <w:bottom w:val="single" w:sz="12" w:space="0" w:color="000000"/>
            </w:tcBorders>
          </w:tcPr>
          <w:p>
            <w:pPr>
              <w:pStyle w:val="TableParagraph"/>
              <w:spacing w:line="258" w:lineRule="exact" w:before="7"/>
              <w:ind w:left="53"/>
              <w:jc w:val="center"/>
              <w:rPr>
                <w:sz w:val="22"/>
              </w:rPr>
            </w:pPr>
            <w:r>
              <w:rPr>
                <w:spacing w:val="-10"/>
                <w:sz w:val="22"/>
              </w:rPr>
              <w:t>O</w:t>
            </w: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0" w:type="dxa"/>
            <w:tcBorders>
              <w:bottom w:val="single" w:sz="12" w:space="0" w:color="000000"/>
              <w:right w:val="single" w:sz="12" w:space="0" w:color="000000"/>
            </w:tcBorders>
          </w:tcPr>
          <w:p>
            <w:pPr>
              <w:pStyle w:val="TableParagraph"/>
              <w:spacing w:line="258" w:lineRule="exact" w:before="7"/>
              <w:ind w:left="84"/>
              <w:jc w:val="center"/>
              <w:rPr>
                <w:sz w:val="22"/>
              </w:rPr>
            </w:pPr>
            <w:r>
              <w:rPr>
                <w:spacing w:val="-10"/>
                <w:sz w:val="22"/>
              </w:rPr>
              <w:t>O</w:t>
            </w:r>
          </w:p>
        </w:tc>
      </w:tr>
    </w:tbl>
    <w:p>
      <w:pPr>
        <w:pStyle w:val="BodyText"/>
        <w:tabs>
          <w:tab w:pos="1571" w:val="left" w:leader="none"/>
        </w:tabs>
        <w:spacing w:before="2"/>
        <w:ind w:left="262"/>
      </w:pPr>
      <w:r>
        <w:rPr/>
        <w:t>O</w:t>
      </w:r>
      <w:r>
        <w:rPr>
          <w:spacing w:val="-2"/>
        </w:rPr>
        <w:t> adecuada</w:t>
      </w:r>
      <w:r>
        <w:rPr/>
        <w:tab/>
        <w:t>X</w:t>
      </w:r>
      <w:r>
        <w:rPr>
          <w:spacing w:val="-2"/>
        </w:rPr>
        <w:t> tolerable</w:t>
      </w:r>
    </w:p>
    <w:p>
      <w:pPr>
        <w:pStyle w:val="BodyText"/>
        <w:spacing w:before="229"/>
        <w:ind w:right="15"/>
        <w:jc w:val="center"/>
      </w:pPr>
      <w:r>
        <w:rPr/>
        <w:t>SERVICIOS</w:t>
      </w:r>
      <w:r>
        <w:rPr>
          <w:spacing w:val="-9"/>
        </w:rPr>
        <w:t> </w:t>
      </w:r>
      <w:r>
        <w:rPr/>
        <w:t>DE</w:t>
      </w:r>
      <w:r>
        <w:rPr>
          <w:spacing w:val="-5"/>
        </w:rPr>
        <w:t> </w:t>
      </w:r>
      <w:r>
        <w:rPr/>
        <w:t>EDUCACIÓN</w:t>
      </w:r>
      <w:r>
        <w:rPr>
          <w:spacing w:val="-7"/>
        </w:rPr>
        <w:t> </w:t>
      </w:r>
      <w:r>
        <w:rPr/>
        <w:t>Y</w:t>
      </w:r>
      <w:r>
        <w:rPr>
          <w:spacing w:val="-6"/>
        </w:rPr>
        <w:t> </w:t>
      </w:r>
      <w:r>
        <w:rPr>
          <w:spacing w:val="-2"/>
        </w:rPr>
        <w:t>CULTURA</w:t>
      </w:r>
    </w:p>
    <w:p>
      <w:pPr>
        <w:pStyle w:val="BodyText"/>
        <w:spacing w:after="0"/>
        <w:jc w:val="center"/>
        <w:sectPr>
          <w:headerReference w:type="default" r:id="rId9"/>
          <w:footerReference w:type="default" r:id="rId10"/>
          <w:pgSz w:w="12240" w:h="15840"/>
          <w:pgMar w:header="720" w:footer="697" w:top="2640" w:bottom="880" w:left="1440" w:right="1440"/>
        </w:sectPr>
      </w:pP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84" w:hRule="atLeast"/>
        </w:trPr>
        <w:tc>
          <w:tcPr>
            <w:tcW w:w="2535" w:type="dxa"/>
            <w:tcBorders>
              <w:bottom w:val="single" w:sz="6" w:space="0" w:color="D0D6E4"/>
            </w:tcBorders>
          </w:tcPr>
          <w:p>
            <w:pPr>
              <w:pStyle w:val="TableParagraph"/>
              <w:rPr>
                <w:rFonts w:ascii="Times New Roman"/>
                <w:sz w:val="20"/>
              </w:rPr>
            </w:pPr>
          </w:p>
        </w:tc>
        <w:tc>
          <w:tcPr>
            <w:tcW w:w="1469" w:type="dxa"/>
            <w:gridSpan w:val="3"/>
            <w:tcBorders>
              <w:bottom w:val="single" w:sz="12" w:space="0" w:color="000000"/>
            </w:tcBorders>
          </w:tcPr>
          <w:p>
            <w:pPr>
              <w:pStyle w:val="TableParagraph"/>
              <w:spacing w:line="264" w:lineRule="exact"/>
              <w:ind w:left="74"/>
              <w:rPr>
                <w:b/>
                <w:sz w:val="22"/>
              </w:rPr>
            </w:pPr>
            <w:r>
              <w:rPr>
                <w:b/>
                <w:spacing w:val="-2"/>
                <w:sz w:val="22"/>
              </w:rPr>
              <w:t>INTERURBANA</w:t>
            </w:r>
          </w:p>
        </w:tc>
        <w:tc>
          <w:tcPr>
            <w:tcW w:w="4600" w:type="dxa"/>
            <w:gridSpan w:val="8"/>
            <w:tcBorders>
              <w:bottom w:val="single" w:sz="12" w:space="0" w:color="000000"/>
              <w:right w:val="single" w:sz="12" w:space="0" w:color="000000"/>
            </w:tcBorders>
          </w:tcPr>
          <w:p>
            <w:pPr>
              <w:pStyle w:val="TableParagraph"/>
              <w:spacing w:line="264" w:lineRule="exact"/>
              <w:ind w:left="76" w:right="1"/>
              <w:jc w:val="center"/>
              <w:rPr>
                <w:b/>
                <w:sz w:val="22"/>
              </w:rPr>
            </w:pPr>
            <w:r>
              <w:rPr>
                <w:b/>
                <w:spacing w:val="-2"/>
                <w:sz w:val="22"/>
              </w:rPr>
              <w:t>URBANA</w:t>
            </w:r>
          </w:p>
        </w:tc>
      </w:tr>
      <w:tr>
        <w:trPr>
          <w:trHeight w:val="1139" w:hRule="atLeast"/>
        </w:trPr>
        <w:tc>
          <w:tcPr>
            <w:tcW w:w="2535" w:type="dxa"/>
            <w:tcBorders>
              <w:top w:val="single" w:sz="6" w:space="0" w:color="D0D6E4"/>
            </w:tcBorders>
          </w:tcPr>
          <w:p>
            <w:pPr>
              <w:pStyle w:val="TableParagraph"/>
              <w:rPr>
                <w:rFonts w:ascii="Times New Roman"/>
                <w:sz w:val="20"/>
              </w:rPr>
            </w:pPr>
          </w:p>
        </w:tc>
        <w:tc>
          <w:tcPr>
            <w:tcW w:w="390" w:type="dxa"/>
            <w:tcBorders>
              <w:top w:val="single" w:sz="12" w:space="0" w:color="000000"/>
            </w:tcBorders>
            <w:textDirection w:val="btLr"/>
          </w:tcPr>
          <w:p>
            <w:pPr>
              <w:pStyle w:val="TableParagraph"/>
              <w:spacing w:before="75"/>
              <w:ind w:left="44"/>
              <w:rPr>
                <w:b/>
                <w:sz w:val="22"/>
              </w:rPr>
            </w:pPr>
            <w:r>
              <w:rPr>
                <w:b/>
                <w:spacing w:val="-2"/>
                <w:sz w:val="22"/>
              </w:rPr>
              <w:t>autopista</w:t>
            </w:r>
          </w:p>
        </w:tc>
        <w:tc>
          <w:tcPr>
            <w:tcW w:w="390" w:type="dxa"/>
            <w:tcBorders>
              <w:top w:val="single" w:sz="12" w:space="0" w:color="000000"/>
            </w:tcBorders>
            <w:textDirection w:val="btLr"/>
          </w:tcPr>
          <w:p>
            <w:pPr>
              <w:pStyle w:val="TableParagraph"/>
              <w:spacing w:before="75"/>
              <w:ind w:left="44"/>
              <w:rPr>
                <w:b/>
                <w:sz w:val="22"/>
              </w:rPr>
            </w:pPr>
            <w:r>
              <w:rPr>
                <w:b/>
                <w:spacing w:val="-2"/>
                <w:sz w:val="22"/>
              </w:rPr>
              <w:t>carretera</w:t>
            </w:r>
          </w:p>
        </w:tc>
        <w:tc>
          <w:tcPr>
            <w:tcW w:w="689" w:type="dxa"/>
            <w:tcBorders>
              <w:top w:val="single" w:sz="12" w:space="0" w:color="000000"/>
            </w:tcBorders>
            <w:textDirection w:val="btLr"/>
          </w:tcPr>
          <w:p>
            <w:pPr>
              <w:pStyle w:val="TableParagraph"/>
              <w:spacing w:line="300" w:lineRule="atLeast" w:before="44"/>
              <w:ind w:left="44" w:right="29"/>
              <w:rPr>
                <w:b/>
                <w:sz w:val="22"/>
              </w:rPr>
            </w:pPr>
            <w:r>
              <w:rPr>
                <w:b/>
                <w:spacing w:val="-2"/>
                <w:sz w:val="22"/>
              </w:rPr>
              <w:t>camino rural</w:t>
            </w:r>
          </w:p>
        </w:tc>
        <w:tc>
          <w:tcPr>
            <w:tcW w:w="989" w:type="dxa"/>
            <w:tcBorders>
              <w:top w:val="single" w:sz="12" w:space="0" w:color="000000"/>
            </w:tcBorders>
            <w:textDirection w:val="btLr"/>
          </w:tcPr>
          <w:p>
            <w:pPr>
              <w:pStyle w:val="TableParagraph"/>
              <w:spacing w:line="300" w:lineRule="atLeast" w:before="45"/>
              <w:ind w:left="44"/>
              <w:rPr>
                <w:b/>
                <w:sz w:val="22"/>
              </w:rPr>
            </w:pPr>
            <w:r>
              <w:rPr>
                <w:b/>
                <w:spacing w:val="-2"/>
                <w:sz w:val="22"/>
              </w:rPr>
              <w:t>acceso controlado c/lateral</w:t>
            </w:r>
          </w:p>
        </w:tc>
        <w:tc>
          <w:tcPr>
            <w:tcW w:w="989" w:type="dxa"/>
            <w:tcBorders>
              <w:top w:val="single" w:sz="12" w:space="0" w:color="000000"/>
            </w:tcBorders>
            <w:textDirection w:val="btLr"/>
          </w:tcPr>
          <w:p>
            <w:pPr>
              <w:pStyle w:val="TableParagraph"/>
              <w:spacing w:line="300" w:lineRule="atLeast" w:before="46"/>
              <w:ind w:left="44"/>
              <w:rPr>
                <w:b/>
                <w:sz w:val="22"/>
              </w:rPr>
            </w:pPr>
            <w:r>
              <w:rPr>
                <w:b/>
                <w:spacing w:val="-2"/>
                <w:sz w:val="22"/>
              </w:rPr>
              <w:t>acceso controlado s/lateral</w:t>
            </w:r>
          </w:p>
        </w:tc>
        <w:tc>
          <w:tcPr>
            <w:tcW w:w="389" w:type="dxa"/>
            <w:tcBorders>
              <w:top w:val="single" w:sz="12" w:space="0" w:color="000000"/>
            </w:tcBorders>
            <w:textDirection w:val="btLr"/>
          </w:tcPr>
          <w:p>
            <w:pPr>
              <w:pStyle w:val="TableParagraph"/>
              <w:spacing w:before="78"/>
              <w:ind w:left="44"/>
              <w:rPr>
                <w:b/>
                <w:sz w:val="22"/>
              </w:rPr>
            </w:pPr>
            <w:r>
              <w:rPr>
                <w:b/>
                <w:spacing w:val="-2"/>
                <w:sz w:val="22"/>
              </w:rPr>
              <w:t>primaria</w:t>
            </w:r>
          </w:p>
        </w:tc>
        <w:tc>
          <w:tcPr>
            <w:tcW w:w="689" w:type="dxa"/>
            <w:tcBorders>
              <w:top w:val="single" w:sz="12" w:space="0" w:color="000000"/>
            </w:tcBorders>
            <w:textDirection w:val="btLr"/>
          </w:tcPr>
          <w:p>
            <w:pPr>
              <w:pStyle w:val="TableParagraph"/>
              <w:spacing w:line="300" w:lineRule="atLeast" w:before="48"/>
              <w:ind w:left="44" w:right="29"/>
              <w:rPr>
                <w:b/>
                <w:sz w:val="22"/>
              </w:rPr>
            </w:pPr>
            <w:r>
              <w:rPr>
                <w:b/>
                <w:spacing w:val="-2"/>
                <w:sz w:val="22"/>
              </w:rPr>
              <w:t>secundaria </w:t>
            </w:r>
            <w:r>
              <w:rPr>
                <w:b/>
                <w:sz w:val="22"/>
              </w:rPr>
              <w:t>o</w:t>
            </w:r>
            <w:r>
              <w:rPr>
                <w:b/>
                <w:spacing w:val="-4"/>
                <w:sz w:val="22"/>
              </w:rPr>
              <w:t> </w:t>
            </w:r>
            <w:r>
              <w:rPr>
                <w:b/>
                <w:spacing w:val="-2"/>
                <w:sz w:val="22"/>
              </w:rPr>
              <w:t>colectora</w:t>
            </w:r>
          </w:p>
        </w:tc>
        <w:tc>
          <w:tcPr>
            <w:tcW w:w="388" w:type="dxa"/>
            <w:tcBorders>
              <w:top w:val="single" w:sz="12" w:space="0" w:color="000000"/>
            </w:tcBorders>
            <w:textDirection w:val="btLr"/>
          </w:tcPr>
          <w:p>
            <w:pPr>
              <w:pStyle w:val="TableParagraph"/>
              <w:spacing w:before="81"/>
              <w:ind w:left="44"/>
              <w:rPr>
                <w:b/>
                <w:sz w:val="22"/>
              </w:rPr>
            </w:pPr>
            <w:r>
              <w:rPr>
                <w:b/>
                <w:spacing w:val="-2"/>
                <w:sz w:val="22"/>
              </w:rPr>
              <w:t>local</w:t>
            </w:r>
          </w:p>
        </w:tc>
        <w:tc>
          <w:tcPr>
            <w:tcW w:w="388" w:type="dxa"/>
            <w:tcBorders>
              <w:top w:val="single" w:sz="12" w:space="0" w:color="000000"/>
            </w:tcBorders>
            <w:textDirection w:val="btLr"/>
          </w:tcPr>
          <w:p>
            <w:pPr>
              <w:pStyle w:val="TableParagraph"/>
              <w:spacing w:before="82"/>
              <w:ind w:left="44"/>
              <w:rPr>
                <w:b/>
                <w:sz w:val="22"/>
              </w:rPr>
            </w:pPr>
            <w:r>
              <w:rPr>
                <w:b/>
                <w:spacing w:val="-2"/>
                <w:sz w:val="22"/>
              </w:rPr>
              <w:t>cerrada</w:t>
            </w:r>
          </w:p>
        </w:tc>
        <w:tc>
          <w:tcPr>
            <w:tcW w:w="388" w:type="dxa"/>
            <w:tcBorders>
              <w:top w:val="single" w:sz="12" w:space="0" w:color="000000"/>
            </w:tcBorders>
            <w:textDirection w:val="btLr"/>
          </w:tcPr>
          <w:p>
            <w:pPr>
              <w:pStyle w:val="TableParagraph"/>
              <w:spacing w:before="84"/>
              <w:ind w:left="44"/>
              <w:rPr>
                <w:b/>
                <w:sz w:val="22"/>
              </w:rPr>
            </w:pPr>
            <w:r>
              <w:rPr>
                <w:b/>
                <w:spacing w:val="-2"/>
                <w:sz w:val="22"/>
              </w:rPr>
              <w:t>ciclovía</w:t>
            </w:r>
          </w:p>
        </w:tc>
        <w:tc>
          <w:tcPr>
            <w:tcW w:w="380" w:type="dxa"/>
            <w:tcBorders>
              <w:top w:val="single" w:sz="12" w:space="0" w:color="000000"/>
              <w:right w:val="single" w:sz="12" w:space="0" w:color="000000"/>
            </w:tcBorders>
            <w:textDirection w:val="btLr"/>
          </w:tcPr>
          <w:p>
            <w:pPr>
              <w:pStyle w:val="TableParagraph"/>
              <w:spacing w:line="251" w:lineRule="exact" w:before="87"/>
              <w:ind w:left="44"/>
              <w:rPr>
                <w:b/>
                <w:sz w:val="22"/>
              </w:rPr>
            </w:pPr>
            <w:r>
              <w:rPr>
                <w:b/>
                <w:spacing w:val="-2"/>
                <w:sz w:val="22"/>
              </w:rPr>
              <w:t>andador</w:t>
            </w:r>
          </w:p>
        </w:tc>
      </w:tr>
      <w:tr>
        <w:trPr>
          <w:trHeight w:val="285" w:hRule="atLeast"/>
        </w:trPr>
        <w:tc>
          <w:tcPr>
            <w:tcW w:w="2535" w:type="dxa"/>
          </w:tcPr>
          <w:p>
            <w:pPr>
              <w:pStyle w:val="TableParagraph"/>
              <w:spacing w:line="264" w:lineRule="exact"/>
              <w:ind w:left="44"/>
              <w:rPr>
                <w:b/>
                <w:sz w:val="22"/>
              </w:rPr>
            </w:pPr>
            <w:r>
              <w:rPr>
                <w:b/>
                <w:sz w:val="22"/>
              </w:rPr>
              <w:t>EDUCACIÓN</w:t>
            </w:r>
            <w:r>
              <w:rPr>
                <w:b/>
                <w:spacing w:val="2"/>
                <w:sz w:val="22"/>
              </w:rPr>
              <w:t> </w:t>
            </w:r>
            <w:r>
              <w:rPr>
                <w:b/>
                <w:spacing w:val="-2"/>
                <w:sz w:val="22"/>
              </w:rPr>
              <w:t>ELEMENTAL</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rPr>
                <w:rFonts w:ascii="Times New Roman"/>
                <w:sz w:val="20"/>
              </w:rPr>
            </w:pPr>
          </w:p>
        </w:tc>
        <w:tc>
          <w:tcPr>
            <w:tcW w:w="989" w:type="dxa"/>
          </w:tcPr>
          <w:p>
            <w:pPr>
              <w:pStyle w:val="TableParagraph"/>
              <w:rPr>
                <w:rFonts w:ascii="Times New Roman"/>
                <w:sz w:val="20"/>
              </w:rPr>
            </w:pPr>
          </w:p>
        </w:tc>
        <w:tc>
          <w:tcPr>
            <w:tcW w:w="389" w:type="dxa"/>
          </w:tcPr>
          <w:p>
            <w:pPr>
              <w:pStyle w:val="TableParagraph"/>
              <w:spacing w:line="264" w:lineRule="exact"/>
              <w:ind w:left="51" w:right="3"/>
              <w:jc w:val="center"/>
              <w:rPr>
                <w:sz w:val="22"/>
              </w:rPr>
            </w:pPr>
            <w:r>
              <w:rPr>
                <w:spacing w:val="-10"/>
                <w:sz w:val="22"/>
              </w:rPr>
              <w:t>X</w:t>
            </w:r>
          </w:p>
        </w:tc>
        <w:tc>
          <w:tcPr>
            <w:tcW w:w="689" w:type="dxa"/>
          </w:tcPr>
          <w:p>
            <w:pPr>
              <w:pStyle w:val="TableParagraph"/>
              <w:spacing w:line="264" w:lineRule="exact"/>
              <w:ind w:left="53"/>
              <w:jc w:val="center"/>
              <w:rPr>
                <w:sz w:val="22"/>
              </w:rPr>
            </w:pPr>
            <w:r>
              <w:rPr>
                <w:spacing w:val="-10"/>
                <w:sz w:val="22"/>
              </w:rPr>
              <w:t>O</w:t>
            </w:r>
          </w:p>
        </w:tc>
        <w:tc>
          <w:tcPr>
            <w:tcW w:w="388" w:type="dxa"/>
          </w:tcPr>
          <w:p>
            <w:pPr>
              <w:pStyle w:val="TableParagraph"/>
              <w:spacing w:line="264" w:lineRule="exact"/>
              <w:ind w:left="56"/>
              <w:jc w:val="center"/>
              <w:rPr>
                <w:sz w:val="22"/>
              </w:rPr>
            </w:pPr>
            <w:r>
              <w:rPr>
                <w:spacing w:val="-10"/>
                <w:sz w:val="22"/>
              </w:rPr>
              <w:t>O</w:t>
            </w:r>
          </w:p>
        </w:tc>
        <w:tc>
          <w:tcPr>
            <w:tcW w:w="388" w:type="dxa"/>
          </w:tcPr>
          <w:p>
            <w:pPr>
              <w:pStyle w:val="TableParagraph"/>
              <w:spacing w:line="264" w:lineRule="exact"/>
              <w:ind w:left="156"/>
              <w:rPr>
                <w:sz w:val="22"/>
              </w:rPr>
            </w:pPr>
            <w:r>
              <w:rPr>
                <w:spacing w:val="-10"/>
                <w:sz w:val="22"/>
              </w:rPr>
              <w:t>X</w:t>
            </w: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spacing w:line="264" w:lineRule="exact"/>
              <w:ind w:left="84" w:right="1"/>
              <w:jc w:val="center"/>
              <w:rPr>
                <w:sz w:val="22"/>
              </w:rPr>
            </w:pPr>
            <w:r>
              <w:rPr>
                <w:spacing w:val="-10"/>
                <w:sz w:val="22"/>
              </w:rPr>
              <w:t>O</w:t>
            </w:r>
          </w:p>
        </w:tc>
      </w:tr>
      <w:tr>
        <w:trPr>
          <w:trHeight w:val="285" w:hRule="atLeast"/>
        </w:trPr>
        <w:tc>
          <w:tcPr>
            <w:tcW w:w="2535" w:type="dxa"/>
          </w:tcPr>
          <w:p>
            <w:pPr>
              <w:pStyle w:val="TableParagraph"/>
              <w:spacing w:line="264" w:lineRule="exact"/>
              <w:ind w:left="44"/>
              <w:rPr>
                <w:b/>
                <w:sz w:val="22"/>
              </w:rPr>
            </w:pPr>
            <w:r>
              <w:rPr>
                <w:b/>
                <w:sz w:val="22"/>
              </w:rPr>
              <w:t>EDUCACIÓN</w:t>
            </w:r>
            <w:r>
              <w:rPr>
                <w:b/>
                <w:spacing w:val="2"/>
                <w:sz w:val="22"/>
              </w:rPr>
              <w:t> </w:t>
            </w:r>
            <w:r>
              <w:rPr>
                <w:b/>
                <w:spacing w:val="-4"/>
                <w:sz w:val="22"/>
              </w:rPr>
              <w:t>MEDIA</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spacing w:line="264" w:lineRule="exact"/>
              <w:ind w:left="50" w:right="5"/>
              <w:jc w:val="center"/>
              <w:rPr>
                <w:sz w:val="22"/>
              </w:rPr>
            </w:pPr>
            <w:r>
              <w:rPr>
                <w:spacing w:val="-10"/>
                <w:sz w:val="22"/>
              </w:rPr>
              <w:t>X</w:t>
            </w:r>
          </w:p>
        </w:tc>
        <w:tc>
          <w:tcPr>
            <w:tcW w:w="989" w:type="dxa"/>
          </w:tcPr>
          <w:p>
            <w:pPr>
              <w:pStyle w:val="TableParagraph"/>
              <w:rPr>
                <w:rFonts w:ascii="Times New Roman"/>
                <w:sz w:val="20"/>
              </w:rPr>
            </w:pPr>
          </w:p>
        </w:tc>
        <w:tc>
          <w:tcPr>
            <w:tcW w:w="389" w:type="dxa"/>
          </w:tcPr>
          <w:p>
            <w:pPr>
              <w:pStyle w:val="TableParagraph"/>
              <w:spacing w:line="264" w:lineRule="exact"/>
              <w:ind w:left="51" w:right="3"/>
              <w:jc w:val="center"/>
              <w:rPr>
                <w:sz w:val="22"/>
              </w:rPr>
            </w:pPr>
            <w:r>
              <w:rPr>
                <w:spacing w:val="-10"/>
                <w:sz w:val="22"/>
              </w:rPr>
              <w:t>X</w:t>
            </w:r>
          </w:p>
        </w:tc>
        <w:tc>
          <w:tcPr>
            <w:tcW w:w="689" w:type="dxa"/>
          </w:tcPr>
          <w:p>
            <w:pPr>
              <w:pStyle w:val="TableParagraph"/>
              <w:spacing w:line="264" w:lineRule="exact"/>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285" w:hRule="atLeast"/>
        </w:trPr>
        <w:tc>
          <w:tcPr>
            <w:tcW w:w="2535" w:type="dxa"/>
          </w:tcPr>
          <w:p>
            <w:pPr>
              <w:pStyle w:val="TableParagraph"/>
              <w:spacing w:line="265" w:lineRule="exact"/>
              <w:ind w:left="44"/>
              <w:rPr>
                <w:b/>
                <w:sz w:val="22"/>
              </w:rPr>
            </w:pPr>
            <w:r>
              <w:rPr>
                <w:b/>
                <w:sz w:val="22"/>
              </w:rPr>
              <w:t>EDUCACIÓN</w:t>
            </w:r>
            <w:r>
              <w:rPr>
                <w:b/>
                <w:spacing w:val="2"/>
                <w:sz w:val="22"/>
              </w:rPr>
              <w:t> </w:t>
            </w:r>
            <w:r>
              <w:rPr>
                <w:b/>
                <w:spacing w:val="-2"/>
                <w:sz w:val="22"/>
              </w:rPr>
              <w:t>SUPERIOR</w:t>
            </w:r>
          </w:p>
        </w:tc>
        <w:tc>
          <w:tcPr>
            <w:tcW w:w="390" w:type="dxa"/>
          </w:tcPr>
          <w:p>
            <w:pPr>
              <w:pStyle w:val="TableParagraph"/>
              <w:rPr>
                <w:rFonts w:ascii="Times New Roman"/>
                <w:sz w:val="20"/>
              </w:rPr>
            </w:pPr>
          </w:p>
        </w:tc>
        <w:tc>
          <w:tcPr>
            <w:tcW w:w="390" w:type="dxa"/>
          </w:tcPr>
          <w:p>
            <w:pPr>
              <w:pStyle w:val="TableParagraph"/>
              <w:spacing w:line="265" w:lineRule="exact"/>
              <w:ind w:left="44" w:right="2"/>
              <w:jc w:val="center"/>
              <w:rPr>
                <w:sz w:val="22"/>
              </w:rPr>
            </w:pPr>
            <w:r>
              <w:rPr>
                <w:spacing w:val="-10"/>
                <w:sz w:val="22"/>
              </w:rPr>
              <w:t>X</w:t>
            </w:r>
          </w:p>
        </w:tc>
        <w:tc>
          <w:tcPr>
            <w:tcW w:w="689" w:type="dxa"/>
          </w:tcPr>
          <w:p>
            <w:pPr>
              <w:pStyle w:val="TableParagraph"/>
              <w:spacing w:line="265" w:lineRule="exact"/>
              <w:ind w:left="53" w:right="10"/>
              <w:jc w:val="center"/>
              <w:rPr>
                <w:sz w:val="22"/>
              </w:rPr>
            </w:pPr>
            <w:r>
              <w:rPr>
                <w:spacing w:val="-10"/>
                <w:sz w:val="22"/>
              </w:rPr>
              <w:t>X</w:t>
            </w:r>
          </w:p>
        </w:tc>
        <w:tc>
          <w:tcPr>
            <w:tcW w:w="989" w:type="dxa"/>
          </w:tcPr>
          <w:p>
            <w:pPr>
              <w:pStyle w:val="TableParagraph"/>
              <w:spacing w:line="265" w:lineRule="exact"/>
              <w:ind w:left="50" w:right="4"/>
              <w:jc w:val="center"/>
              <w:rPr>
                <w:sz w:val="22"/>
              </w:rPr>
            </w:pPr>
            <w:r>
              <w:rPr>
                <w:spacing w:val="-10"/>
                <w:sz w:val="22"/>
              </w:rPr>
              <w:t>O</w:t>
            </w:r>
          </w:p>
        </w:tc>
        <w:tc>
          <w:tcPr>
            <w:tcW w:w="989" w:type="dxa"/>
          </w:tcPr>
          <w:p>
            <w:pPr>
              <w:pStyle w:val="TableParagraph"/>
              <w:spacing w:line="265" w:lineRule="exact"/>
              <w:ind w:left="50" w:right="1"/>
              <w:jc w:val="center"/>
              <w:rPr>
                <w:sz w:val="22"/>
              </w:rPr>
            </w:pPr>
            <w:r>
              <w:rPr>
                <w:spacing w:val="-10"/>
                <w:sz w:val="22"/>
              </w:rPr>
              <w:t>O</w:t>
            </w:r>
          </w:p>
        </w:tc>
        <w:tc>
          <w:tcPr>
            <w:tcW w:w="389" w:type="dxa"/>
          </w:tcPr>
          <w:p>
            <w:pPr>
              <w:pStyle w:val="TableParagraph"/>
              <w:spacing w:line="265" w:lineRule="exact"/>
              <w:ind w:left="51" w:right="3"/>
              <w:jc w:val="center"/>
              <w:rPr>
                <w:sz w:val="22"/>
              </w:rPr>
            </w:pPr>
            <w:r>
              <w:rPr>
                <w:spacing w:val="-10"/>
                <w:sz w:val="22"/>
              </w:rPr>
              <w:t>X</w:t>
            </w:r>
          </w:p>
        </w:tc>
        <w:tc>
          <w:tcPr>
            <w:tcW w:w="689" w:type="dxa"/>
          </w:tcPr>
          <w:p>
            <w:pPr>
              <w:pStyle w:val="TableParagraph"/>
              <w:spacing w:line="265" w:lineRule="exact"/>
              <w:ind w:left="53" w:right="3"/>
              <w:jc w:val="center"/>
              <w:rPr>
                <w:sz w:val="22"/>
              </w:rPr>
            </w:pPr>
            <w:r>
              <w:rPr>
                <w:spacing w:val="-10"/>
                <w:sz w:val="22"/>
              </w:rPr>
              <w:t>X</w:t>
            </w:r>
          </w:p>
        </w:tc>
        <w:tc>
          <w:tcPr>
            <w:tcW w:w="388" w:type="dxa"/>
          </w:tcPr>
          <w:p>
            <w:pPr>
              <w:pStyle w:val="TableParagraph"/>
              <w:spacing w:line="265" w:lineRule="exact"/>
              <w:ind w:left="56" w:right="2"/>
              <w:jc w:val="center"/>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85" w:hRule="atLeast"/>
        </w:trPr>
        <w:tc>
          <w:tcPr>
            <w:tcW w:w="2535" w:type="dxa"/>
          </w:tcPr>
          <w:p>
            <w:pPr>
              <w:pStyle w:val="TableParagraph"/>
              <w:ind w:left="44"/>
              <w:rPr>
                <w:b/>
                <w:sz w:val="22"/>
              </w:rPr>
            </w:pPr>
            <w:r>
              <w:rPr>
                <w:b/>
                <w:spacing w:val="-2"/>
                <w:sz w:val="22"/>
              </w:rPr>
              <w:t>INSTITUCIONES</w:t>
            </w:r>
          </w:p>
          <w:p>
            <w:pPr>
              <w:pStyle w:val="TableParagraph"/>
              <w:spacing w:line="265" w:lineRule="exact" w:before="32"/>
              <w:ind w:left="44"/>
              <w:rPr>
                <w:b/>
                <w:sz w:val="22"/>
              </w:rPr>
            </w:pPr>
            <w:r>
              <w:rPr>
                <w:b/>
                <w:spacing w:val="-2"/>
                <w:sz w:val="22"/>
              </w:rPr>
              <w:t>CIENTÍFICAS</w:t>
            </w:r>
          </w:p>
        </w:tc>
        <w:tc>
          <w:tcPr>
            <w:tcW w:w="390" w:type="dxa"/>
          </w:tcPr>
          <w:p>
            <w:pPr>
              <w:pStyle w:val="TableParagraph"/>
              <w:rPr>
                <w:rFonts w:ascii="Times New Roman"/>
                <w:sz w:val="20"/>
              </w:rPr>
            </w:pPr>
          </w:p>
        </w:tc>
        <w:tc>
          <w:tcPr>
            <w:tcW w:w="390" w:type="dxa"/>
          </w:tcPr>
          <w:p>
            <w:pPr>
              <w:pStyle w:val="TableParagraph"/>
              <w:spacing w:before="150"/>
              <w:ind w:left="44"/>
              <w:jc w:val="center"/>
              <w:rPr>
                <w:sz w:val="22"/>
              </w:rPr>
            </w:pPr>
            <w:r>
              <w:rPr>
                <w:spacing w:val="-10"/>
                <w:sz w:val="22"/>
              </w:rPr>
              <w:t>O</w:t>
            </w:r>
          </w:p>
        </w:tc>
        <w:tc>
          <w:tcPr>
            <w:tcW w:w="689" w:type="dxa"/>
          </w:tcPr>
          <w:p>
            <w:pPr>
              <w:pStyle w:val="TableParagraph"/>
              <w:spacing w:before="150"/>
              <w:ind w:left="53" w:right="8"/>
              <w:jc w:val="center"/>
              <w:rPr>
                <w:sz w:val="22"/>
              </w:rPr>
            </w:pPr>
            <w:r>
              <w:rPr>
                <w:spacing w:val="-10"/>
                <w:sz w:val="22"/>
              </w:rPr>
              <w:t>O</w:t>
            </w:r>
          </w:p>
        </w:tc>
        <w:tc>
          <w:tcPr>
            <w:tcW w:w="989" w:type="dxa"/>
          </w:tcPr>
          <w:p>
            <w:pPr>
              <w:pStyle w:val="TableParagraph"/>
              <w:spacing w:before="150"/>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before="150"/>
              <w:ind w:left="51"/>
              <w:jc w:val="center"/>
              <w:rPr>
                <w:sz w:val="22"/>
              </w:rPr>
            </w:pPr>
            <w:r>
              <w:rPr>
                <w:spacing w:val="-10"/>
                <w:sz w:val="22"/>
              </w:rPr>
              <w:t>O</w:t>
            </w:r>
          </w:p>
        </w:tc>
        <w:tc>
          <w:tcPr>
            <w:tcW w:w="689" w:type="dxa"/>
          </w:tcPr>
          <w:p>
            <w:pPr>
              <w:pStyle w:val="TableParagraph"/>
              <w:spacing w:before="150"/>
              <w:ind w:left="53"/>
              <w:jc w:val="center"/>
              <w:rPr>
                <w:sz w:val="22"/>
              </w:rPr>
            </w:pPr>
            <w:r>
              <w:rPr>
                <w:spacing w:val="-10"/>
                <w:sz w:val="22"/>
              </w:rPr>
              <w:t>O</w:t>
            </w:r>
          </w:p>
        </w:tc>
        <w:tc>
          <w:tcPr>
            <w:tcW w:w="388" w:type="dxa"/>
          </w:tcPr>
          <w:p>
            <w:pPr>
              <w:pStyle w:val="TableParagraph"/>
              <w:spacing w:before="150"/>
              <w:ind w:left="56" w:right="2"/>
              <w:jc w:val="center"/>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84" w:hRule="atLeast"/>
        </w:trPr>
        <w:tc>
          <w:tcPr>
            <w:tcW w:w="2535" w:type="dxa"/>
          </w:tcPr>
          <w:p>
            <w:pPr>
              <w:pStyle w:val="TableParagraph"/>
              <w:ind w:left="44"/>
              <w:rPr>
                <w:b/>
                <w:sz w:val="22"/>
              </w:rPr>
            </w:pPr>
            <w:r>
              <w:rPr>
                <w:b/>
                <w:sz w:val="22"/>
              </w:rPr>
              <w:t>INSALACIONES </w:t>
            </w:r>
            <w:r>
              <w:rPr>
                <w:b/>
                <w:spacing w:val="-4"/>
                <w:sz w:val="22"/>
              </w:rPr>
              <w:t>PARA</w:t>
            </w:r>
          </w:p>
          <w:p>
            <w:pPr>
              <w:pStyle w:val="TableParagraph"/>
              <w:spacing w:line="264" w:lineRule="exact" w:before="32"/>
              <w:ind w:left="44"/>
              <w:rPr>
                <w:b/>
                <w:sz w:val="22"/>
              </w:rPr>
            </w:pPr>
            <w:r>
              <w:rPr>
                <w:b/>
                <w:spacing w:val="-2"/>
                <w:sz w:val="22"/>
              </w:rPr>
              <w:t>EXHIBICIONES</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rPr>
                <w:rFonts w:ascii="Times New Roman"/>
                <w:sz w:val="20"/>
              </w:rPr>
            </w:pPr>
          </w:p>
        </w:tc>
        <w:tc>
          <w:tcPr>
            <w:tcW w:w="989" w:type="dxa"/>
          </w:tcPr>
          <w:p>
            <w:pPr>
              <w:pStyle w:val="TableParagraph"/>
              <w:spacing w:before="150"/>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before="150"/>
              <w:ind w:left="51"/>
              <w:jc w:val="center"/>
              <w:rPr>
                <w:sz w:val="22"/>
              </w:rPr>
            </w:pPr>
            <w:r>
              <w:rPr>
                <w:spacing w:val="-10"/>
                <w:sz w:val="22"/>
              </w:rPr>
              <w:t>O</w:t>
            </w:r>
          </w:p>
        </w:tc>
        <w:tc>
          <w:tcPr>
            <w:tcW w:w="689" w:type="dxa"/>
          </w:tcPr>
          <w:p>
            <w:pPr>
              <w:pStyle w:val="TableParagraph"/>
              <w:spacing w:before="150"/>
              <w:ind w:left="53"/>
              <w:jc w:val="center"/>
              <w:rPr>
                <w:sz w:val="22"/>
              </w:rPr>
            </w:pPr>
            <w:r>
              <w:rPr>
                <w:spacing w:val="-10"/>
                <w:sz w:val="22"/>
              </w:rPr>
              <w:t>O</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85" w:hRule="atLeast"/>
        </w:trPr>
        <w:tc>
          <w:tcPr>
            <w:tcW w:w="2535" w:type="dxa"/>
          </w:tcPr>
          <w:p>
            <w:pPr>
              <w:pStyle w:val="TableParagraph"/>
              <w:spacing w:before="1"/>
              <w:ind w:left="44"/>
              <w:rPr>
                <w:b/>
                <w:sz w:val="22"/>
              </w:rPr>
            </w:pPr>
            <w:r>
              <w:rPr>
                <w:b/>
                <w:sz w:val="22"/>
              </w:rPr>
              <w:t>INSTALACIONES</w:t>
            </w:r>
            <w:r>
              <w:rPr>
                <w:b/>
                <w:spacing w:val="-5"/>
                <w:sz w:val="22"/>
              </w:rPr>
              <w:t> </w:t>
            </w:r>
            <w:r>
              <w:rPr>
                <w:b/>
                <w:sz w:val="22"/>
              </w:rPr>
              <w:t>PARA</w:t>
            </w:r>
            <w:r>
              <w:rPr>
                <w:b/>
                <w:spacing w:val="-4"/>
                <w:sz w:val="22"/>
              </w:rPr>
              <w:t> </w:t>
            </w:r>
            <w:r>
              <w:rPr>
                <w:b/>
                <w:spacing w:val="-5"/>
                <w:sz w:val="22"/>
              </w:rPr>
              <w:t>LA</w:t>
            </w:r>
          </w:p>
          <w:p>
            <w:pPr>
              <w:pStyle w:val="TableParagraph"/>
              <w:spacing w:line="264" w:lineRule="exact" w:before="31"/>
              <w:ind w:left="44"/>
              <w:rPr>
                <w:b/>
                <w:sz w:val="22"/>
              </w:rPr>
            </w:pPr>
            <w:r>
              <w:rPr>
                <w:b/>
                <w:spacing w:val="-2"/>
                <w:sz w:val="22"/>
              </w:rPr>
              <w:t>INFORMACIÓN</w:t>
            </w:r>
          </w:p>
        </w:tc>
        <w:tc>
          <w:tcPr>
            <w:tcW w:w="390" w:type="dxa"/>
          </w:tcPr>
          <w:p>
            <w:pPr>
              <w:pStyle w:val="TableParagraph"/>
              <w:rPr>
                <w:rFonts w:ascii="Times New Roman"/>
                <w:sz w:val="20"/>
              </w:rPr>
            </w:pPr>
          </w:p>
        </w:tc>
        <w:tc>
          <w:tcPr>
            <w:tcW w:w="390" w:type="dxa"/>
          </w:tcPr>
          <w:p>
            <w:pPr>
              <w:pStyle w:val="TableParagraph"/>
              <w:rPr>
                <w:rFonts w:ascii="Times New Roman"/>
                <w:sz w:val="20"/>
              </w:rPr>
            </w:pPr>
          </w:p>
        </w:tc>
        <w:tc>
          <w:tcPr>
            <w:tcW w:w="689" w:type="dxa"/>
          </w:tcPr>
          <w:p>
            <w:pPr>
              <w:pStyle w:val="TableParagraph"/>
              <w:spacing w:before="151"/>
              <w:ind w:left="53" w:right="8"/>
              <w:jc w:val="center"/>
              <w:rPr>
                <w:sz w:val="22"/>
              </w:rPr>
            </w:pPr>
            <w:r>
              <w:rPr>
                <w:spacing w:val="-10"/>
                <w:sz w:val="22"/>
              </w:rPr>
              <w:t>O</w:t>
            </w:r>
          </w:p>
        </w:tc>
        <w:tc>
          <w:tcPr>
            <w:tcW w:w="989" w:type="dxa"/>
          </w:tcPr>
          <w:p>
            <w:pPr>
              <w:pStyle w:val="TableParagraph"/>
              <w:spacing w:before="151"/>
              <w:ind w:left="50" w:right="4"/>
              <w:jc w:val="center"/>
              <w:rPr>
                <w:sz w:val="22"/>
              </w:rPr>
            </w:pPr>
            <w:r>
              <w:rPr>
                <w:spacing w:val="-10"/>
                <w:sz w:val="22"/>
              </w:rPr>
              <w:t>O</w:t>
            </w:r>
          </w:p>
        </w:tc>
        <w:tc>
          <w:tcPr>
            <w:tcW w:w="989" w:type="dxa"/>
          </w:tcPr>
          <w:p>
            <w:pPr>
              <w:pStyle w:val="TableParagraph"/>
              <w:rPr>
                <w:rFonts w:ascii="Times New Roman"/>
                <w:sz w:val="20"/>
              </w:rPr>
            </w:pPr>
          </w:p>
        </w:tc>
        <w:tc>
          <w:tcPr>
            <w:tcW w:w="389" w:type="dxa"/>
          </w:tcPr>
          <w:p>
            <w:pPr>
              <w:pStyle w:val="TableParagraph"/>
              <w:spacing w:before="151"/>
              <w:ind w:left="51"/>
              <w:jc w:val="center"/>
              <w:rPr>
                <w:sz w:val="22"/>
              </w:rPr>
            </w:pPr>
            <w:r>
              <w:rPr>
                <w:spacing w:val="-10"/>
                <w:sz w:val="22"/>
              </w:rPr>
              <w:t>O</w:t>
            </w:r>
          </w:p>
        </w:tc>
        <w:tc>
          <w:tcPr>
            <w:tcW w:w="689" w:type="dxa"/>
          </w:tcPr>
          <w:p>
            <w:pPr>
              <w:pStyle w:val="TableParagraph"/>
              <w:spacing w:before="151"/>
              <w:ind w:left="53"/>
              <w:jc w:val="center"/>
              <w:rPr>
                <w:sz w:val="22"/>
              </w:rPr>
            </w:pPr>
            <w:r>
              <w:rPr>
                <w:spacing w:val="-10"/>
                <w:sz w:val="22"/>
              </w:rPr>
              <w:t>O</w:t>
            </w:r>
          </w:p>
        </w:tc>
        <w:tc>
          <w:tcPr>
            <w:tcW w:w="388" w:type="dxa"/>
          </w:tcPr>
          <w:p>
            <w:pPr>
              <w:pStyle w:val="TableParagraph"/>
              <w:spacing w:before="151"/>
              <w:ind w:left="56" w:right="2"/>
              <w:jc w:val="center"/>
              <w:rPr>
                <w:sz w:val="22"/>
              </w:rPr>
            </w:pPr>
            <w:r>
              <w:rPr>
                <w:spacing w:val="-10"/>
                <w:sz w:val="22"/>
              </w:rPr>
              <w:t>X</w:t>
            </w: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585" w:hRule="atLeast"/>
        </w:trPr>
        <w:tc>
          <w:tcPr>
            <w:tcW w:w="2535" w:type="dxa"/>
            <w:tcBorders>
              <w:bottom w:val="single" w:sz="12" w:space="0" w:color="000000"/>
            </w:tcBorders>
          </w:tcPr>
          <w:p>
            <w:pPr>
              <w:pStyle w:val="TableParagraph"/>
              <w:spacing w:line="254" w:lineRule="exact"/>
              <w:ind w:left="44"/>
              <w:rPr>
                <w:b/>
                <w:sz w:val="22"/>
              </w:rPr>
            </w:pPr>
            <w:r>
              <w:rPr>
                <w:b/>
                <w:spacing w:val="-2"/>
                <w:sz w:val="22"/>
              </w:rPr>
              <w:t>INSALACIONES</w:t>
            </w:r>
          </w:p>
          <w:p>
            <w:pPr>
              <w:pStyle w:val="TableParagraph"/>
              <w:spacing w:before="31"/>
              <w:ind w:left="44"/>
              <w:rPr>
                <w:b/>
                <w:sz w:val="22"/>
              </w:rPr>
            </w:pPr>
            <w:r>
              <w:rPr>
                <w:b/>
                <w:spacing w:val="-2"/>
                <w:sz w:val="22"/>
              </w:rPr>
              <w:t>RELIGIOSAS</w:t>
            </w:r>
          </w:p>
        </w:tc>
        <w:tc>
          <w:tcPr>
            <w:tcW w:w="390" w:type="dxa"/>
            <w:tcBorders>
              <w:bottom w:val="single" w:sz="12" w:space="0" w:color="000000"/>
            </w:tcBorders>
          </w:tcPr>
          <w:p>
            <w:pPr>
              <w:pStyle w:val="TableParagraph"/>
              <w:rPr>
                <w:rFonts w:ascii="Times New Roman"/>
                <w:sz w:val="20"/>
              </w:rPr>
            </w:pPr>
          </w:p>
        </w:tc>
        <w:tc>
          <w:tcPr>
            <w:tcW w:w="390" w:type="dxa"/>
            <w:tcBorders>
              <w:bottom w:val="single" w:sz="12" w:space="0" w:color="000000"/>
            </w:tcBorders>
          </w:tcPr>
          <w:p>
            <w:pPr>
              <w:pStyle w:val="TableParagraph"/>
              <w:rPr>
                <w:rFonts w:ascii="Times New Roman"/>
                <w:sz w:val="20"/>
              </w:rPr>
            </w:pPr>
          </w:p>
        </w:tc>
        <w:tc>
          <w:tcPr>
            <w:tcW w:w="689" w:type="dxa"/>
            <w:tcBorders>
              <w:bottom w:val="single" w:sz="12" w:space="0" w:color="000000"/>
            </w:tcBorders>
          </w:tcPr>
          <w:p>
            <w:pPr>
              <w:pStyle w:val="TableParagraph"/>
              <w:rPr>
                <w:rFonts w:ascii="Times New Roman"/>
                <w:sz w:val="20"/>
              </w:rPr>
            </w:pPr>
          </w:p>
        </w:tc>
        <w:tc>
          <w:tcPr>
            <w:tcW w:w="989" w:type="dxa"/>
            <w:tcBorders>
              <w:bottom w:val="single" w:sz="12" w:space="0" w:color="000000"/>
            </w:tcBorders>
          </w:tcPr>
          <w:p>
            <w:pPr>
              <w:pStyle w:val="TableParagraph"/>
              <w:spacing w:before="150"/>
              <w:ind w:left="50" w:right="5"/>
              <w:jc w:val="center"/>
              <w:rPr>
                <w:sz w:val="22"/>
              </w:rPr>
            </w:pPr>
            <w:r>
              <w:rPr>
                <w:spacing w:val="-10"/>
                <w:sz w:val="22"/>
              </w:rPr>
              <w:t>X</w:t>
            </w:r>
          </w:p>
        </w:tc>
        <w:tc>
          <w:tcPr>
            <w:tcW w:w="989" w:type="dxa"/>
            <w:tcBorders>
              <w:bottom w:val="single" w:sz="12" w:space="0" w:color="000000"/>
            </w:tcBorders>
          </w:tcPr>
          <w:p>
            <w:pPr>
              <w:pStyle w:val="TableParagraph"/>
              <w:rPr>
                <w:rFonts w:ascii="Times New Roman"/>
                <w:sz w:val="20"/>
              </w:rPr>
            </w:pPr>
          </w:p>
        </w:tc>
        <w:tc>
          <w:tcPr>
            <w:tcW w:w="389" w:type="dxa"/>
            <w:tcBorders>
              <w:bottom w:val="single" w:sz="12" w:space="0" w:color="000000"/>
            </w:tcBorders>
          </w:tcPr>
          <w:p>
            <w:pPr>
              <w:pStyle w:val="TableParagraph"/>
              <w:spacing w:before="150"/>
              <w:ind w:left="51"/>
              <w:jc w:val="center"/>
              <w:rPr>
                <w:sz w:val="22"/>
              </w:rPr>
            </w:pPr>
            <w:r>
              <w:rPr>
                <w:spacing w:val="-10"/>
                <w:sz w:val="22"/>
              </w:rPr>
              <w:t>O</w:t>
            </w:r>
          </w:p>
        </w:tc>
        <w:tc>
          <w:tcPr>
            <w:tcW w:w="689" w:type="dxa"/>
            <w:tcBorders>
              <w:bottom w:val="single" w:sz="12" w:space="0" w:color="000000"/>
            </w:tcBorders>
          </w:tcPr>
          <w:p>
            <w:pPr>
              <w:pStyle w:val="TableParagraph"/>
              <w:spacing w:before="150"/>
              <w:ind w:left="53"/>
              <w:jc w:val="center"/>
              <w:rPr>
                <w:sz w:val="22"/>
              </w:rPr>
            </w:pPr>
            <w:r>
              <w:rPr>
                <w:spacing w:val="-10"/>
                <w:sz w:val="22"/>
              </w:rPr>
              <w:t>O</w:t>
            </w: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0" w:type="dxa"/>
            <w:tcBorders>
              <w:bottom w:val="single" w:sz="12" w:space="0" w:color="000000"/>
              <w:right w:val="single" w:sz="12" w:space="0" w:color="000000"/>
            </w:tcBorders>
          </w:tcPr>
          <w:p>
            <w:pPr>
              <w:pStyle w:val="TableParagraph"/>
              <w:spacing w:before="150"/>
              <w:ind w:left="84" w:right="3"/>
              <w:jc w:val="center"/>
              <w:rPr>
                <w:sz w:val="22"/>
              </w:rPr>
            </w:pPr>
            <w:r>
              <w:rPr>
                <w:spacing w:val="-10"/>
                <w:sz w:val="22"/>
              </w:rPr>
              <w:t>X</w:t>
            </w:r>
          </w:p>
        </w:tc>
      </w:tr>
    </w:tbl>
    <w:p>
      <w:pPr>
        <w:pStyle w:val="BodyText"/>
        <w:tabs>
          <w:tab w:pos="1571" w:val="left" w:leader="none"/>
        </w:tabs>
        <w:ind w:left="262"/>
      </w:pPr>
      <w:r>
        <w:rPr/>
        <w:t>O</w:t>
      </w:r>
      <w:r>
        <w:rPr>
          <w:spacing w:val="-2"/>
        </w:rPr>
        <w:t> adecuada</w:t>
      </w:r>
      <w:r>
        <w:rPr/>
        <w:tab/>
        <w:t>X</w:t>
      </w:r>
      <w:r>
        <w:rPr>
          <w:spacing w:val="-2"/>
        </w:rPr>
        <w:t> tolerable</w:t>
      </w:r>
    </w:p>
    <w:p>
      <w:pPr>
        <w:pStyle w:val="BodyText"/>
        <w:spacing w:before="225"/>
      </w:pPr>
    </w:p>
    <w:p>
      <w:pPr>
        <w:pStyle w:val="BodyText"/>
        <w:ind w:right="18"/>
        <w:jc w:val="center"/>
      </w:pPr>
      <w:r>
        <w:rPr/>
        <w:t>SERVICIOS</w:t>
      </w:r>
      <w:r>
        <w:rPr>
          <w:spacing w:val="-5"/>
        </w:rPr>
        <w:t> </w:t>
      </w:r>
      <w:r>
        <w:rPr/>
        <w:t>PARA</w:t>
      </w:r>
      <w:r>
        <w:rPr>
          <w:spacing w:val="-6"/>
        </w:rPr>
        <w:t> </w:t>
      </w:r>
      <w:r>
        <w:rPr/>
        <w:t>LA</w:t>
      </w:r>
      <w:r>
        <w:rPr>
          <w:spacing w:val="-6"/>
        </w:rPr>
        <w:t> </w:t>
      </w:r>
      <w:r>
        <w:rPr>
          <w:spacing w:val="-2"/>
        </w:rPr>
        <w:t>RECREACIÓN</w:t>
      </w:r>
    </w:p>
    <w:tbl>
      <w:tblPr>
        <w:tblW w:w="0" w:type="auto"/>
        <w:jc w:val="left"/>
        <w:tblInd w:w="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21"/>
        <w:gridCol w:w="373"/>
        <w:gridCol w:w="373"/>
        <w:gridCol w:w="659"/>
        <w:gridCol w:w="945"/>
        <w:gridCol w:w="945"/>
        <w:gridCol w:w="372"/>
        <w:gridCol w:w="659"/>
        <w:gridCol w:w="372"/>
        <w:gridCol w:w="372"/>
        <w:gridCol w:w="372"/>
        <w:gridCol w:w="364"/>
      </w:tblGrid>
      <w:tr>
        <w:trPr>
          <w:trHeight w:val="270" w:hRule="atLeast"/>
        </w:trPr>
        <w:tc>
          <w:tcPr>
            <w:tcW w:w="2421" w:type="dxa"/>
            <w:tcBorders>
              <w:bottom w:val="single" w:sz="12" w:space="0" w:color="000000"/>
            </w:tcBorders>
          </w:tcPr>
          <w:p>
            <w:pPr>
              <w:pStyle w:val="TableParagraph"/>
              <w:rPr>
                <w:rFonts w:ascii="Times New Roman"/>
                <w:sz w:val="20"/>
              </w:rPr>
            </w:pPr>
          </w:p>
        </w:tc>
        <w:tc>
          <w:tcPr>
            <w:tcW w:w="1405" w:type="dxa"/>
            <w:gridSpan w:val="3"/>
            <w:tcBorders>
              <w:bottom w:val="single" w:sz="12" w:space="0" w:color="000000"/>
            </w:tcBorders>
          </w:tcPr>
          <w:p>
            <w:pPr>
              <w:pStyle w:val="TableParagraph"/>
              <w:spacing w:line="244" w:lineRule="exact" w:before="7"/>
              <w:ind w:left="70"/>
              <w:rPr>
                <w:b/>
                <w:sz w:val="21"/>
              </w:rPr>
            </w:pPr>
            <w:r>
              <w:rPr>
                <w:b/>
                <w:spacing w:val="-2"/>
                <w:sz w:val="21"/>
              </w:rPr>
              <w:t>INTERURBANA</w:t>
            </w:r>
          </w:p>
        </w:tc>
        <w:tc>
          <w:tcPr>
            <w:tcW w:w="4401" w:type="dxa"/>
            <w:gridSpan w:val="8"/>
            <w:tcBorders>
              <w:bottom w:val="single" w:sz="12" w:space="0" w:color="000000"/>
              <w:right w:val="single" w:sz="12" w:space="0" w:color="000000"/>
            </w:tcBorders>
          </w:tcPr>
          <w:p>
            <w:pPr>
              <w:pStyle w:val="TableParagraph"/>
              <w:spacing w:line="244" w:lineRule="exact" w:before="7"/>
              <w:ind w:left="59"/>
              <w:jc w:val="center"/>
              <w:rPr>
                <w:b/>
                <w:sz w:val="21"/>
              </w:rPr>
            </w:pPr>
            <w:r>
              <w:rPr>
                <w:b/>
                <w:spacing w:val="-2"/>
                <w:sz w:val="21"/>
              </w:rPr>
              <w:t>URBANA</w:t>
            </w:r>
          </w:p>
        </w:tc>
      </w:tr>
      <w:tr>
        <w:trPr>
          <w:trHeight w:val="1087" w:hRule="atLeast"/>
        </w:trPr>
        <w:tc>
          <w:tcPr>
            <w:tcW w:w="2421" w:type="dxa"/>
            <w:tcBorders>
              <w:top w:val="single" w:sz="12" w:space="0" w:color="000000"/>
            </w:tcBorders>
          </w:tcPr>
          <w:p>
            <w:pPr>
              <w:pStyle w:val="TableParagraph"/>
              <w:rPr>
                <w:rFonts w:ascii="Times New Roman"/>
                <w:sz w:val="20"/>
              </w:rPr>
            </w:pPr>
          </w:p>
        </w:tc>
        <w:tc>
          <w:tcPr>
            <w:tcW w:w="373" w:type="dxa"/>
            <w:tcBorders>
              <w:top w:val="single" w:sz="12" w:space="0" w:color="000000"/>
            </w:tcBorders>
            <w:textDirection w:val="btLr"/>
          </w:tcPr>
          <w:p>
            <w:pPr>
              <w:pStyle w:val="TableParagraph"/>
              <w:spacing w:before="71"/>
              <w:ind w:left="35"/>
              <w:rPr>
                <w:b/>
                <w:sz w:val="21"/>
              </w:rPr>
            </w:pPr>
            <w:r>
              <w:rPr>
                <w:b/>
                <w:spacing w:val="-2"/>
                <w:sz w:val="21"/>
              </w:rPr>
              <w:t>autopista</w:t>
            </w:r>
          </w:p>
        </w:tc>
        <w:tc>
          <w:tcPr>
            <w:tcW w:w="373" w:type="dxa"/>
            <w:tcBorders>
              <w:top w:val="single" w:sz="12" w:space="0" w:color="000000"/>
            </w:tcBorders>
            <w:textDirection w:val="btLr"/>
          </w:tcPr>
          <w:p>
            <w:pPr>
              <w:pStyle w:val="TableParagraph"/>
              <w:spacing w:before="71"/>
              <w:ind w:left="35"/>
              <w:rPr>
                <w:b/>
                <w:sz w:val="21"/>
              </w:rPr>
            </w:pPr>
            <w:r>
              <w:rPr>
                <w:b/>
                <w:spacing w:val="-2"/>
                <w:sz w:val="21"/>
              </w:rPr>
              <w:t>carretera</w:t>
            </w:r>
          </w:p>
        </w:tc>
        <w:tc>
          <w:tcPr>
            <w:tcW w:w="659" w:type="dxa"/>
            <w:tcBorders>
              <w:top w:val="single" w:sz="12" w:space="0" w:color="000000"/>
            </w:tcBorders>
            <w:textDirection w:val="btLr"/>
          </w:tcPr>
          <w:p>
            <w:pPr>
              <w:pStyle w:val="TableParagraph"/>
              <w:spacing w:line="280" w:lineRule="atLeast" w:before="47"/>
              <w:ind w:left="35" w:right="44"/>
              <w:rPr>
                <w:b/>
                <w:sz w:val="21"/>
              </w:rPr>
            </w:pPr>
            <w:r>
              <w:rPr>
                <w:b/>
                <w:spacing w:val="-2"/>
                <w:sz w:val="21"/>
              </w:rPr>
              <w:t>camino rural</w:t>
            </w:r>
          </w:p>
        </w:tc>
        <w:tc>
          <w:tcPr>
            <w:tcW w:w="945" w:type="dxa"/>
            <w:tcBorders>
              <w:top w:val="single" w:sz="12" w:space="0" w:color="000000"/>
            </w:tcBorders>
            <w:textDirection w:val="btLr"/>
          </w:tcPr>
          <w:p>
            <w:pPr>
              <w:pStyle w:val="TableParagraph"/>
              <w:spacing w:line="280" w:lineRule="atLeast" w:before="46"/>
              <w:ind w:left="35"/>
              <w:rPr>
                <w:b/>
                <w:sz w:val="21"/>
              </w:rPr>
            </w:pPr>
            <w:r>
              <w:rPr>
                <w:b/>
                <w:spacing w:val="-2"/>
                <w:sz w:val="21"/>
              </w:rPr>
              <w:t>acceso controlado c/lateral</w:t>
            </w:r>
          </w:p>
        </w:tc>
        <w:tc>
          <w:tcPr>
            <w:tcW w:w="945" w:type="dxa"/>
            <w:tcBorders>
              <w:top w:val="single" w:sz="12" w:space="0" w:color="000000"/>
            </w:tcBorders>
            <w:textDirection w:val="btLr"/>
          </w:tcPr>
          <w:p>
            <w:pPr>
              <w:pStyle w:val="TableParagraph"/>
              <w:spacing w:line="280" w:lineRule="atLeast" w:before="46"/>
              <w:ind w:left="35"/>
              <w:rPr>
                <w:b/>
                <w:sz w:val="21"/>
              </w:rPr>
            </w:pPr>
            <w:r>
              <w:rPr>
                <w:b/>
                <w:spacing w:val="-2"/>
                <w:sz w:val="21"/>
              </w:rPr>
              <w:t>acceso controlado s/lateral</w:t>
            </w:r>
          </w:p>
        </w:tc>
        <w:tc>
          <w:tcPr>
            <w:tcW w:w="372" w:type="dxa"/>
            <w:tcBorders>
              <w:top w:val="single" w:sz="12" w:space="0" w:color="000000"/>
            </w:tcBorders>
            <w:textDirection w:val="btLr"/>
          </w:tcPr>
          <w:p>
            <w:pPr>
              <w:pStyle w:val="TableParagraph"/>
              <w:spacing w:before="71"/>
              <w:ind w:left="35"/>
              <w:rPr>
                <w:b/>
                <w:sz w:val="21"/>
              </w:rPr>
            </w:pPr>
            <w:r>
              <w:rPr>
                <w:b/>
                <w:spacing w:val="-2"/>
                <w:sz w:val="21"/>
              </w:rPr>
              <w:t>primaria</w:t>
            </w:r>
          </w:p>
        </w:tc>
        <w:tc>
          <w:tcPr>
            <w:tcW w:w="659" w:type="dxa"/>
            <w:tcBorders>
              <w:top w:val="single" w:sz="12" w:space="0" w:color="000000"/>
            </w:tcBorders>
            <w:textDirection w:val="btLr"/>
          </w:tcPr>
          <w:p>
            <w:pPr>
              <w:pStyle w:val="TableParagraph"/>
              <w:spacing w:line="280" w:lineRule="atLeast" w:before="47"/>
              <w:ind w:left="35" w:right="44"/>
              <w:rPr>
                <w:b/>
                <w:sz w:val="21"/>
              </w:rPr>
            </w:pPr>
            <w:r>
              <w:rPr>
                <w:b/>
                <w:spacing w:val="-2"/>
                <w:sz w:val="21"/>
              </w:rPr>
              <w:t>secundaria </w:t>
            </w:r>
            <w:r>
              <w:rPr>
                <w:b/>
                <w:sz w:val="21"/>
              </w:rPr>
              <w:t>o</w:t>
            </w:r>
            <w:r>
              <w:rPr>
                <w:b/>
                <w:spacing w:val="-4"/>
                <w:sz w:val="21"/>
              </w:rPr>
              <w:t> </w:t>
            </w:r>
            <w:r>
              <w:rPr>
                <w:b/>
                <w:spacing w:val="-2"/>
                <w:sz w:val="21"/>
              </w:rPr>
              <w:t>colectora</w:t>
            </w:r>
          </w:p>
        </w:tc>
        <w:tc>
          <w:tcPr>
            <w:tcW w:w="372" w:type="dxa"/>
            <w:tcBorders>
              <w:top w:val="single" w:sz="12" w:space="0" w:color="000000"/>
            </w:tcBorders>
            <w:textDirection w:val="btLr"/>
          </w:tcPr>
          <w:p>
            <w:pPr>
              <w:pStyle w:val="TableParagraph"/>
              <w:spacing w:before="71"/>
              <w:ind w:left="35"/>
              <w:rPr>
                <w:b/>
                <w:sz w:val="21"/>
              </w:rPr>
            </w:pPr>
            <w:r>
              <w:rPr>
                <w:b/>
                <w:spacing w:val="-2"/>
                <w:sz w:val="21"/>
              </w:rPr>
              <w:t>local</w:t>
            </w:r>
          </w:p>
        </w:tc>
        <w:tc>
          <w:tcPr>
            <w:tcW w:w="372" w:type="dxa"/>
            <w:tcBorders>
              <w:top w:val="single" w:sz="12" w:space="0" w:color="000000"/>
            </w:tcBorders>
            <w:textDirection w:val="btLr"/>
          </w:tcPr>
          <w:p>
            <w:pPr>
              <w:pStyle w:val="TableParagraph"/>
              <w:spacing w:before="71"/>
              <w:ind w:left="35"/>
              <w:rPr>
                <w:b/>
                <w:sz w:val="21"/>
              </w:rPr>
            </w:pPr>
            <w:r>
              <w:rPr>
                <w:b/>
                <w:spacing w:val="-2"/>
                <w:sz w:val="21"/>
              </w:rPr>
              <w:t>cerrada</w:t>
            </w:r>
          </w:p>
        </w:tc>
        <w:tc>
          <w:tcPr>
            <w:tcW w:w="372" w:type="dxa"/>
            <w:tcBorders>
              <w:top w:val="single" w:sz="12" w:space="0" w:color="000000"/>
            </w:tcBorders>
            <w:textDirection w:val="btLr"/>
          </w:tcPr>
          <w:p>
            <w:pPr>
              <w:pStyle w:val="TableParagraph"/>
              <w:spacing w:before="71"/>
              <w:ind w:left="35"/>
              <w:rPr>
                <w:b/>
                <w:sz w:val="21"/>
              </w:rPr>
            </w:pPr>
            <w:r>
              <w:rPr>
                <w:b/>
                <w:spacing w:val="-2"/>
                <w:sz w:val="21"/>
              </w:rPr>
              <w:t>ciclovía</w:t>
            </w:r>
          </w:p>
        </w:tc>
        <w:tc>
          <w:tcPr>
            <w:tcW w:w="364" w:type="dxa"/>
            <w:tcBorders>
              <w:top w:val="single" w:sz="12" w:space="0" w:color="000000"/>
              <w:right w:val="single" w:sz="12" w:space="0" w:color="000000"/>
            </w:tcBorders>
            <w:textDirection w:val="btLr"/>
          </w:tcPr>
          <w:p>
            <w:pPr>
              <w:pStyle w:val="TableParagraph"/>
              <w:spacing w:line="249" w:lineRule="exact" w:before="72"/>
              <w:ind w:left="35"/>
              <w:rPr>
                <w:b/>
                <w:sz w:val="21"/>
              </w:rPr>
            </w:pPr>
            <w:r>
              <w:rPr>
                <w:b/>
                <w:spacing w:val="-2"/>
                <w:sz w:val="21"/>
              </w:rPr>
              <w:t>andador</w:t>
            </w:r>
          </w:p>
        </w:tc>
      </w:tr>
      <w:tr>
        <w:trPr>
          <w:trHeight w:val="271" w:hRule="atLeast"/>
        </w:trPr>
        <w:tc>
          <w:tcPr>
            <w:tcW w:w="2421" w:type="dxa"/>
          </w:tcPr>
          <w:p>
            <w:pPr>
              <w:pStyle w:val="TableParagraph"/>
              <w:spacing w:line="244" w:lineRule="exact" w:before="7"/>
              <w:ind w:left="42"/>
              <w:rPr>
                <w:b/>
                <w:sz w:val="21"/>
              </w:rPr>
            </w:pPr>
            <w:r>
              <w:rPr>
                <w:b/>
                <w:sz w:val="21"/>
              </w:rPr>
              <w:t>ALIMENTOS</w:t>
            </w:r>
            <w:r>
              <w:rPr>
                <w:b/>
                <w:spacing w:val="-8"/>
                <w:sz w:val="21"/>
              </w:rPr>
              <w:t> </w:t>
            </w:r>
            <w:r>
              <w:rPr>
                <w:b/>
                <w:sz w:val="21"/>
              </w:rPr>
              <w:t>Y</w:t>
            </w:r>
            <w:r>
              <w:rPr>
                <w:b/>
                <w:spacing w:val="-4"/>
                <w:sz w:val="21"/>
              </w:rPr>
              <w:t> </w:t>
            </w:r>
            <w:r>
              <w:rPr>
                <w:b/>
                <w:spacing w:val="-2"/>
                <w:sz w:val="21"/>
              </w:rPr>
              <w:t>BEBIDAS</w:t>
            </w:r>
          </w:p>
        </w:tc>
        <w:tc>
          <w:tcPr>
            <w:tcW w:w="373" w:type="dxa"/>
          </w:tcPr>
          <w:p>
            <w:pPr>
              <w:pStyle w:val="TableParagraph"/>
              <w:rPr>
                <w:rFonts w:ascii="Times New Roman"/>
                <w:sz w:val="20"/>
              </w:rPr>
            </w:pPr>
          </w:p>
        </w:tc>
        <w:tc>
          <w:tcPr>
            <w:tcW w:w="373" w:type="dxa"/>
          </w:tcPr>
          <w:p>
            <w:pPr>
              <w:pStyle w:val="TableParagraph"/>
              <w:rPr>
                <w:rFonts w:ascii="Times New Roman"/>
                <w:sz w:val="20"/>
              </w:rPr>
            </w:pPr>
          </w:p>
        </w:tc>
        <w:tc>
          <w:tcPr>
            <w:tcW w:w="659" w:type="dxa"/>
          </w:tcPr>
          <w:p>
            <w:pPr>
              <w:pStyle w:val="TableParagraph"/>
              <w:rPr>
                <w:rFonts w:ascii="Times New Roman"/>
                <w:sz w:val="20"/>
              </w:rPr>
            </w:pPr>
          </w:p>
        </w:tc>
        <w:tc>
          <w:tcPr>
            <w:tcW w:w="945" w:type="dxa"/>
          </w:tcPr>
          <w:p>
            <w:pPr>
              <w:pStyle w:val="TableParagraph"/>
              <w:spacing w:line="244" w:lineRule="exact" w:before="7"/>
              <w:ind w:left="40" w:right="1"/>
              <w:jc w:val="center"/>
              <w:rPr>
                <w:sz w:val="21"/>
              </w:rPr>
            </w:pPr>
            <w:r>
              <w:rPr>
                <w:spacing w:val="-10"/>
                <w:sz w:val="21"/>
              </w:rPr>
              <w:t>O</w:t>
            </w:r>
          </w:p>
        </w:tc>
        <w:tc>
          <w:tcPr>
            <w:tcW w:w="945" w:type="dxa"/>
          </w:tcPr>
          <w:p>
            <w:pPr>
              <w:pStyle w:val="TableParagraph"/>
              <w:rPr>
                <w:rFonts w:ascii="Times New Roman"/>
                <w:sz w:val="20"/>
              </w:rPr>
            </w:pPr>
          </w:p>
        </w:tc>
        <w:tc>
          <w:tcPr>
            <w:tcW w:w="372" w:type="dxa"/>
          </w:tcPr>
          <w:p>
            <w:pPr>
              <w:pStyle w:val="TableParagraph"/>
              <w:spacing w:line="244" w:lineRule="exact" w:before="7"/>
              <w:ind w:left="43" w:right="3"/>
              <w:jc w:val="center"/>
              <w:rPr>
                <w:sz w:val="21"/>
              </w:rPr>
            </w:pPr>
            <w:r>
              <w:rPr>
                <w:spacing w:val="-10"/>
                <w:sz w:val="21"/>
              </w:rPr>
              <w:t>O</w:t>
            </w:r>
          </w:p>
        </w:tc>
        <w:tc>
          <w:tcPr>
            <w:tcW w:w="659" w:type="dxa"/>
          </w:tcPr>
          <w:p>
            <w:pPr>
              <w:pStyle w:val="TableParagraph"/>
              <w:spacing w:line="244" w:lineRule="exact" w:before="7"/>
              <w:ind w:left="41" w:right="1"/>
              <w:jc w:val="center"/>
              <w:rPr>
                <w:sz w:val="21"/>
              </w:rPr>
            </w:pPr>
            <w:r>
              <w:rPr>
                <w:spacing w:val="-10"/>
                <w:sz w:val="21"/>
              </w:rPr>
              <w:t>O</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spacing w:line="244" w:lineRule="exact" w:before="7"/>
              <w:ind w:left="43"/>
              <w:jc w:val="center"/>
              <w:rPr>
                <w:sz w:val="21"/>
              </w:rPr>
            </w:pPr>
            <w:r>
              <w:rPr>
                <w:spacing w:val="-10"/>
                <w:sz w:val="21"/>
              </w:rPr>
              <w:t>O</w:t>
            </w:r>
          </w:p>
        </w:tc>
        <w:tc>
          <w:tcPr>
            <w:tcW w:w="364" w:type="dxa"/>
            <w:tcBorders>
              <w:right w:val="single" w:sz="12" w:space="0" w:color="000000"/>
            </w:tcBorders>
          </w:tcPr>
          <w:p>
            <w:pPr>
              <w:pStyle w:val="TableParagraph"/>
              <w:spacing w:line="244" w:lineRule="exact" w:before="7"/>
              <w:ind w:left="59"/>
              <w:jc w:val="center"/>
              <w:rPr>
                <w:sz w:val="21"/>
              </w:rPr>
            </w:pPr>
            <w:r>
              <w:rPr>
                <w:spacing w:val="-10"/>
                <w:sz w:val="21"/>
              </w:rPr>
              <w:t>O</w:t>
            </w:r>
          </w:p>
        </w:tc>
      </w:tr>
      <w:tr>
        <w:trPr>
          <w:trHeight w:val="271" w:hRule="atLeast"/>
        </w:trPr>
        <w:tc>
          <w:tcPr>
            <w:tcW w:w="2421" w:type="dxa"/>
          </w:tcPr>
          <w:p>
            <w:pPr>
              <w:pStyle w:val="TableParagraph"/>
              <w:spacing w:line="244" w:lineRule="exact" w:before="7"/>
              <w:ind w:left="42"/>
              <w:rPr>
                <w:b/>
                <w:sz w:val="21"/>
              </w:rPr>
            </w:pPr>
            <w:r>
              <w:rPr>
                <w:b/>
                <w:spacing w:val="-2"/>
                <w:sz w:val="21"/>
              </w:rPr>
              <w:t>ENTRETENIMIENTO</w:t>
            </w:r>
          </w:p>
        </w:tc>
        <w:tc>
          <w:tcPr>
            <w:tcW w:w="373" w:type="dxa"/>
          </w:tcPr>
          <w:p>
            <w:pPr>
              <w:pStyle w:val="TableParagraph"/>
              <w:rPr>
                <w:rFonts w:ascii="Times New Roman"/>
                <w:sz w:val="20"/>
              </w:rPr>
            </w:pPr>
          </w:p>
        </w:tc>
        <w:tc>
          <w:tcPr>
            <w:tcW w:w="373" w:type="dxa"/>
          </w:tcPr>
          <w:p>
            <w:pPr>
              <w:pStyle w:val="TableParagraph"/>
              <w:rPr>
                <w:rFonts w:ascii="Times New Roman"/>
                <w:sz w:val="20"/>
              </w:rPr>
            </w:pPr>
          </w:p>
        </w:tc>
        <w:tc>
          <w:tcPr>
            <w:tcW w:w="659" w:type="dxa"/>
          </w:tcPr>
          <w:p>
            <w:pPr>
              <w:pStyle w:val="TableParagraph"/>
              <w:rPr>
                <w:rFonts w:ascii="Times New Roman"/>
                <w:sz w:val="20"/>
              </w:rPr>
            </w:pPr>
          </w:p>
        </w:tc>
        <w:tc>
          <w:tcPr>
            <w:tcW w:w="945" w:type="dxa"/>
          </w:tcPr>
          <w:p>
            <w:pPr>
              <w:pStyle w:val="TableParagraph"/>
              <w:spacing w:line="244" w:lineRule="exact" w:before="7"/>
              <w:ind w:left="40" w:right="1"/>
              <w:jc w:val="center"/>
              <w:rPr>
                <w:sz w:val="21"/>
              </w:rPr>
            </w:pPr>
            <w:r>
              <w:rPr>
                <w:spacing w:val="-10"/>
                <w:sz w:val="21"/>
              </w:rPr>
              <w:t>O</w:t>
            </w:r>
          </w:p>
        </w:tc>
        <w:tc>
          <w:tcPr>
            <w:tcW w:w="945" w:type="dxa"/>
          </w:tcPr>
          <w:p>
            <w:pPr>
              <w:pStyle w:val="TableParagraph"/>
              <w:rPr>
                <w:rFonts w:ascii="Times New Roman"/>
                <w:sz w:val="20"/>
              </w:rPr>
            </w:pPr>
          </w:p>
        </w:tc>
        <w:tc>
          <w:tcPr>
            <w:tcW w:w="372" w:type="dxa"/>
          </w:tcPr>
          <w:p>
            <w:pPr>
              <w:pStyle w:val="TableParagraph"/>
              <w:spacing w:line="244" w:lineRule="exact" w:before="7"/>
              <w:ind w:left="43" w:right="3"/>
              <w:jc w:val="center"/>
              <w:rPr>
                <w:sz w:val="21"/>
              </w:rPr>
            </w:pPr>
            <w:r>
              <w:rPr>
                <w:spacing w:val="-10"/>
                <w:sz w:val="21"/>
              </w:rPr>
              <w:t>O</w:t>
            </w:r>
          </w:p>
        </w:tc>
        <w:tc>
          <w:tcPr>
            <w:tcW w:w="659" w:type="dxa"/>
          </w:tcPr>
          <w:p>
            <w:pPr>
              <w:pStyle w:val="TableParagraph"/>
              <w:spacing w:line="244" w:lineRule="exact" w:before="7"/>
              <w:ind w:left="41" w:right="1"/>
              <w:jc w:val="center"/>
              <w:rPr>
                <w:sz w:val="21"/>
              </w:rPr>
            </w:pPr>
            <w:r>
              <w:rPr>
                <w:spacing w:val="-10"/>
                <w:sz w:val="21"/>
              </w:rPr>
              <w:t>O</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spacing w:line="244" w:lineRule="exact" w:before="7"/>
              <w:ind w:left="59"/>
              <w:jc w:val="center"/>
              <w:rPr>
                <w:sz w:val="21"/>
              </w:rPr>
            </w:pPr>
            <w:r>
              <w:rPr>
                <w:spacing w:val="-10"/>
                <w:sz w:val="21"/>
              </w:rPr>
              <w:t>O</w:t>
            </w:r>
          </w:p>
        </w:tc>
      </w:tr>
      <w:tr>
        <w:trPr>
          <w:trHeight w:val="271" w:hRule="atLeast"/>
        </w:trPr>
        <w:tc>
          <w:tcPr>
            <w:tcW w:w="2421" w:type="dxa"/>
          </w:tcPr>
          <w:p>
            <w:pPr>
              <w:pStyle w:val="TableParagraph"/>
              <w:spacing w:line="244" w:lineRule="exact" w:before="7"/>
              <w:ind w:left="42"/>
              <w:rPr>
                <w:b/>
                <w:sz w:val="21"/>
              </w:rPr>
            </w:pPr>
            <w:r>
              <w:rPr>
                <w:b/>
                <w:spacing w:val="-2"/>
                <w:sz w:val="21"/>
              </w:rPr>
              <w:t>RECREACIÓN</w:t>
            </w:r>
            <w:r>
              <w:rPr>
                <w:b/>
                <w:spacing w:val="7"/>
                <w:sz w:val="21"/>
              </w:rPr>
              <w:t> </w:t>
            </w:r>
            <w:r>
              <w:rPr>
                <w:b/>
                <w:spacing w:val="-2"/>
                <w:sz w:val="21"/>
              </w:rPr>
              <w:t>SOCIAL</w:t>
            </w:r>
          </w:p>
        </w:tc>
        <w:tc>
          <w:tcPr>
            <w:tcW w:w="373" w:type="dxa"/>
          </w:tcPr>
          <w:p>
            <w:pPr>
              <w:pStyle w:val="TableParagraph"/>
              <w:rPr>
                <w:rFonts w:ascii="Times New Roman"/>
                <w:sz w:val="20"/>
              </w:rPr>
            </w:pPr>
          </w:p>
        </w:tc>
        <w:tc>
          <w:tcPr>
            <w:tcW w:w="373" w:type="dxa"/>
          </w:tcPr>
          <w:p>
            <w:pPr>
              <w:pStyle w:val="TableParagraph"/>
              <w:rPr>
                <w:rFonts w:ascii="Times New Roman"/>
                <w:sz w:val="20"/>
              </w:rPr>
            </w:pPr>
          </w:p>
        </w:tc>
        <w:tc>
          <w:tcPr>
            <w:tcW w:w="659" w:type="dxa"/>
          </w:tcPr>
          <w:p>
            <w:pPr>
              <w:pStyle w:val="TableParagraph"/>
              <w:rPr>
                <w:rFonts w:ascii="Times New Roman"/>
                <w:sz w:val="20"/>
              </w:rPr>
            </w:pPr>
          </w:p>
        </w:tc>
        <w:tc>
          <w:tcPr>
            <w:tcW w:w="945" w:type="dxa"/>
          </w:tcPr>
          <w:p>
            <w:pPr>
              <w:pStyle w:val="TableParagraph"/>
              <w:spacing w:line="244" w:lineRule="exact" w:before="7"/>
              <w:ind w:left="40" w:right="1"/>
              <w:jc w:val="center"/>
              <w:rPr>
                <w:sz w:val="21"/>
              </w:rPr>
            </w:pPr>
            <w:r>
              <w:rPr>
                <w:spacing w:val="-10"/>
                <w:sz w:val="21"/>
              </w:rPr>
              <w:t>O</w:t>
            </w:r>
          </w:p>
        </w:tc>
        <w:tc>
          <w:tcPr>
            <w:tcW w:w="945" w:type="dxa"/>
          </w:tcPr>
          <w:p>
            <w:pPr>
              <w:pStyle w:val="TableParagraph"/>
              <w:rPr>
                <w:rFonts w:ascii="Times New Roman"/>
                <w:sz w:val="20"/>
              </w:rPr>
            </w:pPr>
          </w:p>
        </w:tc>
        <w:tc>
          <w:tcPr>
            <w:tcW w:w="372" w:type="dxa"/>
          </w:tcPr>
          <w:p>
            <w:pPr>
              <w:pStyle w:val="TableParagraph"/>
              <w:spacing w:line="244" w:lineRule="exact" w:before="7"/>
              <w:ind w:left="43" w:right="3"/>
              <w:jc w:val="center"/>
              <w:rPr>
                <w:sz w:val="21"/>
              </w:rPr>
            </w:pPr>
            <w:r>
              <w:rPr>
                <w:spacing w:val="-10"/>
                <w:sz w:val="21"/>
              </w:rPr>
              <w:t>O</w:t>
            </w:r>
          </w:p>
        </w:tc>
        <w:tc>
          <w:tcPr>
            <w:tcW w:w="659" w:type="dxa"/>
          </w:tcPr>
          <w:p>
            <w:pPr>
              <w:pStyle w:val="TableParagraph"/>
              <w:spacing w:line="244" w:lineRule="exact" w:before="7"/>
              <w:ind w:left="41" w:right="1"/>
              <w:jc w:val="center"/>
              <w:rPr>
                <w:sz w:val="21"/>
              </w:rPr>
            </w:pPr>
            <w:r>
              <w:rPr>
                <w:spacing w:val="-10"/>
                <w:sz w:val="21"/>
              </w:rPr>
              <w:t>O</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spacing w:line="244" w:lineRule="exact" w:before="7"/>
              <w:ind w:left="43"/>
              <w:jc w:val="center"/>
              <w:rPr>
                <w:sz w:val="21"/>
              </w:rPr>
            </w:pPr>
            <w:r>
              <w:rPr>
                <w:spacing w:val="-10"/>
                <w:sz w:val="21"/>
              </w:rPr>
              <w:t>O</w:t>
            </w:r>
          </w:p>
        </w:tc>
        <w:tc>
          <w:tcPr>
            <w:tcW w:w="364" w:type="dxa"/>
            <w:tcBorders>
              <w:right w:val="single" w:sz="12" w:space="0" w:color="000000"/>
            </w:tcBorders>
          </w:tcPr>
          <w:p>
            <w:pPr>
              <w:pStyle w:val="TableParagraph"/>
              <w:rPr>
                <w:rFonts w:ascii="Times New Roman"/>
                <w:sz w:val="20"/>
              </w:rPr>
            </w:pPr>
          </w:p>
        </w:tc>
      </w:tr>
      <w:tr>
        <w:trPr>
          <w:trHeight w:val="557" w:hRule="atLeast"/>
        </w:trPr>
        <w:tc>
          <w:tcPr>
            <w:tcW w:w="2421" w:type="dxa"/>
          </w:tcPr>
          <w:p>
            <w:pPr>
              <w:pStyle w:val="TableParagraph"/>
              <w:spacing w:before="7"/>
              <w:ind w:left="42"/>
              <w:rPr>
                <w:b/>
                <w:sz w:val="21"/>
              </w:rPr>
            </w:pPr>
            <w:r>
              <w:rPr>
                <w:b/>
                <w:spacing w:val="-2"/>
                <w:sz w:val="21"/>
              </w:rPr>
              <w:t>DEPORTES</w:t>
            </w:r>
            <w:r>
              <w:rPr>
                <w:b/>
                <w:spacing w:val="-4"/>
                <w:sz w:val="21"/>
              </w:rPr>
              <w:t> </w:t>
            </w:r>
            <w:r>
              <w:rPr>
                <w:b/>
                <w:spacing w:val="-2"/>
                <w:sz w:val="21"/>
              </w:rPr>
              <w:t>AL</w:t>
            </w:r>
            <w:r>
              <w:rPr>
                <w:b/>
                <w:spacing w:val="-8"/>
                <w:sz w:val="21"/>
              </w:rPr>
              <w:t> </w:t>
            </w:r>
            <w:r>
              <w:rPr>
                <w:b/>
                <w:spacing w:val="-2"/>
                <w:sz w:val="21"/>
              </w:rPr>
              <w:t>AIRE</w:t>
            </w:r>
            <w:r>
              <w:rPr>
                <w:b/>
                <w:spacing w:val="-7"/>
                <w:sz w:val="21"/>
              </w:rPr>
              <w:t> </w:t>
            </w:r>
            <w:r>
              <w:rPr>
                <w:b/>
                <w:spacing w:val="-2"/>
                <w:sz w:val="21"/>
              </w:rPr>
              <w:t>LIBRE</w:t>
            </w:r>
            <w:r>
              <w:rPr>
                <w:b/>
                <w:spacing w:val="-7"/>
                <w:sz w:val="21"/>
              </w:rPr>
              <w:t> </w:t>
            </w:r>
            <w:r>
              <w:rPr>
                <w:b/>
                <w:spacing w:val="-10"/>
                <w:sz w:val="21"/>
              </w:rPr>
              <w:t>Y</w:t>
            </w:r>
          </w:p>
          <w:p>
            <w:pPr>
              <w:pStyle w:val="TableParagraph"/>
              <w:spacing w:line="244" w:lineRule="exact" w:before="30"/>
              <w:ind w:left="42"/>
              <w:rPr>
                <w:b/>
                <w:sz w:val="21"/>
              </w:rPr>
            </w:pPr>
            <w:r>
              <w:rPr>
                <w:b/>
                <w:spacing w:val="-2"/>
                <w:sz w:val="21"/>
              </w:rPr>
              <w:t>ACUÁTICOS</w:t>
            </w:r>
          </w:p>
        </w:tc>
        <w:tc>
          <w:tcPr>
            <w:tcW w:w="373" w:type="dxa"/>
          </w:tcPr>
          <w:p>
            <w:pPr>
              <w:pStyle w:val="TableParagraph"/>
              <w:rPr>
                <w:rFonts w:ascii="Times New Roman"/>
                <w:sz w:val="20"/>
              </w:rPr>
            </w:pPr>
          </w:p>
        </w:tc>
        <w:tc>
          <w:tcPr>
            <w:tcW w:w="373" w:type="dxa"/>
          </w:tcPr>
          <w:p>
            <w:pPr>
              <w:pStyle w:val="TableParagraph"/>
              <w:rPr>
                <w:rFonts w:ascii="Times New Roman"/>
                <w:sz w:val="20"/>
              </w:rPr>
            </w:pPr>
          </w:p>
        </w:tc>
        <w:tc>
          <w:tcPr>
            <w:tcW w:w="659" w:type="dxa"/>
          </w:tcPr>
          <w:p>
            <w:pPr>
              <w:pStyle w:val="TableParagraph"/>
              <w:spacing w:before="150"/>
              <w:ind w:left="41" w:right="2"/>
              <w:jc w:val="center"/>
              <w:rPr>
                <w:sz w:val="21"/>
              </w:rPr>
            </w:pPr>
            <w:r>
              <w:rPr>
                <w:spacing w:val="-10"/>
                <w:sz w:val="21"/>
              </w:rPr>
              <w:t>O</w:t>
            </w:r>
          </w:p>
        </w:tc>
        <w:tc>
          <w:tcPr>
            <w:tcW w:w="945" w:type="dxa"/>
          </w:tcPr>
          <w:p>
            <w:pPr>
              <w:pStyle w:val="TableParagraph"/>
              <w:spacing w:before="150"/>
              <w:ind w:left="40" w:right="1"/>
              <w:jc w:val="center"/>
              <w:rPr>
                <w:sz w:val="21"/>
              </w:rPr>
            </w:pPr>
            <w:r>
              <w:rPr>
                <w:spacing w:val="-10"/>
                <w:sz w:val="21"/>
              </w:rPr>
              <w:t>O</w:t>
            </w:r>
          </w:p>
        </w:tc>
        <w:tc>
          <w:tcPr>
            <w:tcW w:w="945" w:type="dxa"/>
          </w:tcPr>
          <w:p>
            <w:pPr>
              <w:pStyle w:val="TableParagraph"/>
              <w:spacing w:before="150"/>
              <w:ind w:left="40"/>
              <w:jc w:val="center"/>
              <w:rPr>
                <w:sz w:val="21"/>
              </w:rPr>
            </w:pPr>
            <w:r>
              <w:rPr>
                <w:spacing w:val="-10"/>
                <w:sz w:val="21"/>
              </w:rPr>
              <w:t>O</w:t>
            </w:r>
          </w:p>
        </w:tc>
        <w:tc>
          <w:tcPr>
            <w:tcW w:w="372" w:type="dxa"/>
          </w:tcPr>
          <w:p>
            <w:pPr>
              <w:pStyle w:val="TableParagraph"/>
              <w:spacing w:before="150"/>
              <w:ind w:left="43" w:right="5"/>
              <w:jc w:val="center"/>
              <w:rPr>
                <w:sz w:val="21"/>
              </w:rPr>
            </w:pPr>
            <w:r>
              <w:rPr>
                <w:spacing w:val="-10"/>
                <w:sz w:val="21"/>
              </w:rPr>
              <w:t>X</w:t>
            </w:r>
          </w:p>
        </w:tc>
        <w:tc>
          <w:tcPr>
            <w:tcW w:w="659" w:type="dxa"/>
          </w:tcPr>
          <w:p>
            <w:pPr>
              <w:pStyle w:val="TableParagraph"/>
              <w:spacing w:before="150"/>
              <w:ind w:left="41" w:right="3"/>
              <w:jc w:val="center"/>
              <w:rPr>
                <w:sz w:val="21"/>
              </w:rPr>
            </w:pPr>
            <w:r>
              <w:rPr>
                <w:spacing w:val="-10"/>
                <w:sz w:val="21"/>
              </w:rPr>
              <w:t>X</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spacing w:before="150"/>
              <w:ind w:left="43"/>
              <w:jc w:val="center"/>
              <w:rPr>
                <w:sz w:val="21"/>
              </w:rPr>
            </w:pPr>
            <w:r>
              <w:rPr>
                <w:spacing w:val="-10"/>
                <w:sz w:val="21"/>
              </w:rPr>
              <w:t>O</w:t>
            </w:r>
          </w:p>
        </w:tc>
        <w:tc>
          <w:tcPr>
            <w:tcW w:w="364" w:type="dxa"/>
            <w:tcBorders>
              <w:right w:val="single" w:sz="12" w:space="0" w:color="000000"/>
            </w:tcBorders>
          </w:tcPr>
          <w:p>
            <w:pPr>
              <w:pStyle w:val="TableParagraph"/>
              <w:rPr>
                <w:rFonts w:ascii="Times New Roman"/>
                <w:sz w:val="20"/>
              </w:rPr>
            </w:pPr>
          </w:p>
        </w:tc>
      </w:tr>
      <w:tr>
        <w:trPr>
          <w:trHeight w:val="271" w:hRule="atLeast"/>
        </w:trPr>
        <w:tc>
          <w:tcPr>
            <w:tcW w:w="2421" w:type="dxa"/>
            <w:tcBorders>
              <w:bottom w:val="single" w:sz="12" w:space="0" w:color="000000"/>
            </w:tcBorders>
          </w:tcPr>
          <w:p>
            <w:pPr>
              <w:pStyle w:val="TableParagraph"/>
              <w:spacing w:line="249" w:lineRule="exact"/>
              <w:ind w:left="42"/>
              <w:rPr>
                <w:b/>
                <w:sz w:val="21"/>
              </w:rPr>
            </w:pPr>
            <w:r>
              <w:rPr>
                <w:b/>
                <w:spacing w:val="-2"/>
                <w:sz w:val="21"/>
              </w:rPr>
              <w:t>DEPORTES</w:t>
            </w:r>
            <w:r>
              <w:rPr>
                <w:b/>
                <w:spacing w:val="-5"/>
                <w:sz w:val="21"/>
              </w:rPr>
              <w:t> </w:t>
            </w:r>
            <w:r>
              <w:rPr>
                <w:b/>
                <w:spacing w:val="-2"/>
                <w:sz w:val="21"/>
              </w:rPr>
              <w:t>AL</w:t>
            </w:r>
            <w:r>
              <w:rPr>
                <w:b/>
                <w:spacing w:val="-7"/>
                <w:sz w:val="21"/>
              </w:rPr>
              <w:t> </w:t>
            </w:r>
            <w:r>
              <w:rPr>
                <w:b/>
                <w:spacing w:val="-2"/>
                <w:sz w:val="21"/>
              </w:rPr>
              <w:t>CUBIERTO</w:t>
            </w:r>
          </w:p>
        </w:tc>
        <w:tc>
          <w:tcPr>
            <w:tcW w:w="373" w:type="dxa"/>
            <w:tcBorders>
              <w:bottom w:val="single" w:sz="12" w:space="0" w:color="000000"/>
            </w:tcBorders>
          </w:tcPr>
          <w:p>
            <w:pPr>
              <w:pStyle w:val="TableParagraph"/>
              <w:rPr>
                <w:rFonts w:ascii="Times New Roman"/>
                <w:sz w:val="20"/>
              </w:rPr>
            </w:pPr>
          </w:p>
        </w:tc>
        <w:tc>
          <w:tcPr>
            <w:tcW w:w="373" w:type="dxa"/>
            <w:tcBorders>
              <w:bottom w:val="single" w:sz="12" w:space="0" w:color="000000"/>
            </w:tcBorders>
          </w:tcPr>
          <w:p>
            <w:pPr>
              <w:pStyle w:val="TableParagraph"/>
              <w:rPr>
                <w:rFonts w:ascii="Times New Roman"/>
                <w:sz w:val="20"/>
              </w:rPr>
            </w:pPr>
          </w:p>
        </w:tc>
        <w:tc>
          <w:tcPr>
            <w:tcW w:w="659" w:type="dxa"/>
            <w:tcBorders>
              <w:bottom w:val="single" w:sz="12" w:space="0" w:color="000000"/>
            </w:tcBorders>
          </w:tcPr>
          <w:p>
            <w:pPr>
              <w:pStyle w:val="TableParagraph"/>
              <w:rPr>
                <w:rFonts w:ascii="Times New Roman"/>
                <w:sz w:val="20"/>
              </w:rPr>
            </w:pPr>
          </w:p>
        </w:tc>
        <w:tc>
          <w:tcPr>
            <w:tcW w:w="945" w:type="dxa"/>
            <w:tcBorders>
              <w:bottom w:val="single" w:sz="12" w:space="0" w:color="000000"/>
            </w:tcBorders>
          </w:tcPr>
          <w:p>
            <w:pPr>
              <w:pStyle w:val="TableParagraph"/>
              <w:spacing w:line="244" w:lineRule="exact" w:before="7"/>
              <w:ind w:left="40" w:right="1"/>
              <w:jc w:val="center"/>
              <w:rPr>
                <w:sz w:val="21"/>
              </w:rPr>
            </w:pPr>
            <w:r>
              <w:rPr>
                <w:spacing w:val="-10"/>
                <w:sz w:val="21"/>
              </w:rPr>
              <w:t>O</w:t>
            </w:r>
          </w:p>
        </w:tc>
        <w:tc>
          <w:tcPr>
            <w:tcW w:w="945" w:type="dxa"/>
            <w:tcBorders>
              <w:bottom w:val="single" w:sz="12" w:space="0" w:color="000000"/>
            </w:tcBorders>
          </w:tcPr>
          <w:p>
            <w:pPr>
              <w:pStyle w:val="TableParagraph"/>
              <w:rPr>
                <w:rFonts w:ascii="Times New Roman"/>
                <w:sz w:val="20"/>
              </w:rPr>
            </w:pPr>
          </w:p>
        </w:tc>
        <w:tc>
          <w:tcPr>
            <w:tcW w:w="372" w:type="dxa"/>
            <w:tcBorders>
              <w:bottom w:val="single" w:sz="12" w:space="0" w:color="000000"/>
            </w:tcBorders>
          </w:tcPr>
          <w:p>
            <w:pPr>
              <w:pStyle w:val="TableParagraph"/>
              <w:spacing w:line="244" w:lineRule="exact" w:before="7"/>
              <w:ind w:left="43" w:right="3"/>
              <w:jc w:val="center"/>
              <w:rPr>
                <w:sz w:val="21"/>
              </w:rPr>
            </w:pPr>
            <w:r>
              <w:rPr>
                <w:spacing w:val="-10"/>
                <w:sz w:val="21"/>
              </w:rPr>
              <w:t>O</w:t>
            </w:r>
          </w:p>
        </w:tc>
        <w:tc>
          <w:tcPr>
            <w:tcW w:w="659" w:type="dxa"/>
            <w:tcBorders>
              <w:bottom w:val="single" w:sz="12" w:space="0" w:color="000000"/>
            </w:tcBorders>
          </w:tcPr>
          <w:p>
            <w:pPr>
              <w:pStyle w:val="TableParagraph"/>
              <w:spacing w:line="244" w:lineRule="exact" w:before="7"/>
              <w:ind w:left="41" w:right="1"/>
              <w:jc w:val="center"/>
              <w:rPr>
                <w:sz w:val="21"/>
              </w:rPr>
            </w:pPr>
            <w:r>
              <w:rPr>
                <w:spacing w:val="-10"/>
                <w:sz w:val="21"/>
              </w:rPr>
              <w:t>O</w:t>
            </w:r>
          </w:p>
        </w:tc>
        <w:tc>
          <w:tcPr>
            <w:tcW w:w="372" w:type="dxa"/>
            <w:tcBorders>
              <w:bottom w:val="single" w:sz="12" w:space="0" w:color="000000"/>
            </w:tcBorders>
          </w:tcPr>
          <w:p>
            <w:pPr>
              <w:pStyle w:val="TableParagraph"/>
              <w:rPr>
                <w:rFonts w:ascii="Times New Roman"/>
                <w:sz w:val="20"/>
              </w:rPr>
            </w:pPr>
          </w:p>
        </w:tc>
        <w:tc>
          <w:tcPr>
            <w:tcW w:w="372" w:type="dxa"/>
            <w:tcBorders>
              <w:bottom w:val="single" w:sz="12" w:space="0" w:color="000000"/>
            </w:tcBorders>
          </w:tcPr>
          <w:p>
            <w:pPr>
              <w:pStyle w:val="TableParagraph"/>
              <w:rPr>
                <w:rFonts w:ascii="Times New Roman"/>
                <w:sz w:val="20"/>
              </w:rPr>
            </w:pPr>
          </w:p>
        </w:tc>
        <w:tc>
          <w:tcPr>
            <w:tcW w:w="372" w:type="dxa"/>
            <w:tcBorders>
              <w:bottom w:val="single" w:sz="12" w:space="0" w:color="000000"/>
            </w:tcBorders>
          </w:tcPr>
          <w:p>
            <w:pPr>
              <w:pStyle w:val="TableParagraph"/>
              <w:rPr>
                <w:rFonts w:ascii="Times New Roman"/>
                <w:sz w:val="20"/>
              </w:rPr>
            </w:pPr>
          </w:p>
        </w:tc>
        <w:tc>
          <w:tcPr>
            <w:tcW w:w="364" w:type="dxa"/>
            <w:tcBorders>
              <w:bottom w:val="single" w:sz="12" w:space="0" w:color="000000"/>
              <w:right w:val="single" w:sz="12" w:space="0" w:color="000000"/>
            </w:tcBorders>
          </w:tcPr>
          <w:p>
            <w:pPr>
              <w:pStyle w:val="TableParagraph"/>
              <w:rPr>
                <w:rFonts w:ascii="Times New Roman"/>
                <w:sz w:val="20"/>
              </w:rPr>
            </w:pPr>
          </w:p>
        </w:tc>
      </w:tr>
    </w:tbl>
    <w:p>
      <w:pPr>
        <w:pStyle w:val="BodyText"/>
        <w:tabs>
          <w:tab w:pos="1571" w:val="left" w:leader="none"/>
        </w:tabs>
        <w:spacing w:before="2"/>
        <w:ind w:left="262"/>
      </w:pPr>
      <w:r>
        <w:rPr/>
        <w:t>O</w:t>
      </w:r>
      <w:r>
        <w:rPr>
          <w:spacing w:val="-2"/>
        </w:rPr>
        <w:t> adecuada</w:t>
      </w:r>
      <w:r>
        <w:rPr/>
        <w:tab/>
        <w:t>X</w:t>
      </w:r>
      <w:r>
        <w:rPr>
          <w:spacing w:val="-2"/>
        </w:rPr>
        <w:t> tolerable</w:t>
      </w:r>
    </w:p>
    <w:p>
      <w:pPr>
        <w:pStyle w:val="BodyText"/>
      </w:pPr>
    </w:p>
    <w:p>
      <w:pPr>
        <w:pStyle w:val="BodyText"/>
      </w:pPr>
    </w:p>
    <w:p>
      <w:pPr>
        <w:pStyle w:val="BodyText"/>
        <w:spacing w:before="4"/>
      </w:pPr>
    </w:p>
    <w:p>
      <w:pPr>
        <w:pStyle w:val="BodyText"/>
        <w:ind w:right="17"/>
        <w:jc w:val="center"/>
      </w:pPr>
      <w:r>
        <w:rPr/>
        <w:t>SERVICIOS</w:t>
      </w:r>
      <w:r>
        <w:rPr>
          <w:spacing w:val="-6"/>
        </w:rPr>
        <w:t> </w:t>
      </w:r>
      <w:r>
        <w:rPr/>
        <w:t>DE</w:t>
      </w:r>
      <w:r>
        <w:rPr>
          <w:spacing w:val="-4"/>
        </w:rPr>
        <w:t> </w:t>
      </w:r>
      <w:r>
        <w:rPr>
          <w:spacing w:val="-2"/>
        </w:rPr>
        <w:t>ALOJAMIENTO</w:t>
      </w:r>
    </w:p>
    <w:p>
      <w:pPr>
        <w:pStyle w:val="BodyText"/>
        <w:spacing w:after="0"/>
        <w:jc w:val="center"/>
        <w:sectPr>
          <w:pgSz w:w="12240" w:h="15840"/>
          <w:pgMar w:header="720" w:footer="697" w:top="2640" w:bottom="880" w:left="1440" w:right="1440"/>
        </w:sectPr>
      </w:pPr>
    </w:p>
    <w:tbl>
      <w:tblPr>
        <w:tblW w:w="0" w:type="auto"/>
        <w:jc w:val="left"/>
        <w:tblInd w:w="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21"/>
        <w:gridCol w:w="373"/>
        <w:gridCol w:w="373"/>
        <w:gridCol w:w="659"/>
        <w:gridCol w:w="945"/>
        <w:gridCol w:w="945"/>
        <w:gridCol w:w="372"/>
        <w:gridCol w:w="659"/>
        <w:gridCol w:w="372"/>
        <w:gridCol w:w="372"/>
        <w:gridCol w:w="372"/>
        <w:gridCol w:w="364"/>
      </w:tblGrid>
      <w:tr>
        <w:trPr>
          <w:trHeight w:val="270" w:hRule="atLeast"/>
        </w:trPr>
        <w:tc>
          <w:tcPr>
            <w:tcW w:w="2421" w:type="dxa"/>
            <w:tcBorders>
              <w:bottom w:val="single" w:sz="6" w:space="0" w:color="D0D6E4"/>
            </w:tcBorders>
          </w:tcPr>
          <w:p>
            <w:pPr>
              <w:pStyle w:val="TableParagraph"/>
              <w:rPr>
                <w:rFonts w:ascii="Times New Roman"/>
                <w:sz w:val="20"/>
              </w:rPr>
            </w:pPr>
          </w:p>
        </w:tc>
        <w:tc>
          <w:tcPr>
            <w:tcW w:w="1405" w:type="dxa"/>
            <w:gridSpan w:val="3"/>
            <w:tcBorders>
              <w:bottom w:val="single" w:sz="12" w:space="0" w:color="000000"/>
            </w:tcBorders>
          </w:tcPr>
          <w:p>
            <w:pPr>
              <w:pStyle w:val="TableParagraph"/>
              <w:spacing w:line="251" w:lineRule="exact"/>
              <w:ind w:left="70"/>
              <w:rPr>
                <w:b/>
                <w:sz w:val="21"/>
              </w:rPr>
            </w:pPr>
            <w:r>
              <w:rPr>
                <w:b/>
                <w:spacing w:val="-2"/>
                <w:sz w:val="21"/>
              </w:rPr>
              <w:t>INTERURBANA</w:t>
            </w:r>
          </w:p>
        </w:tc>
        <w:tc>
          <w:tcPr>
            <w:tcW w:w="4401" w:type="dxa"/>
            <w:gridSpan w:val="8"/>
            <w:tcBorders>
              <w:bottom w:val="single" w:sz="12" w:space="0" w:color="000000"/>
              <w:right w:val="single" w:sz="12" w:space="0" w:color="000000"/>
            </w:tcBorders>
          </w:tcPr>
          <w:p>
            <w:pPr>
              <w:pStyle w:val="TableParagraph"/>
              <w:spacing w:line="251" w:lineRule="exact"/>
              <w:ind w:left="59"/>
              <w:jc w:val="center"/>
              <w:rPr>
                <w:b/>
                <w:sz w:val="21"/>
              </w:rPr>
            </w:pPr>
            <w:r>
              <w:rPr>
                <w:b/>
                <w:spacing w:val="-2"/>
                <w:sz w:val="21"/>
              </w:rPr>
              <w:t>URBANA</w:t>
            </w:r>
          </w:p>
        </w:tc>
      </w:tr>
      <w:tr>
        <w:trPr>
          <w:trHeight w:val="1088" w:hRule="atLeast"/>
        </w:trPr>
        <w:tc>
          <w:tcPr>
            <w:tcW w:w="2421" w:type="dxa"/>
            <w:tcBorders>
              <w:top w:val="single" w:sz="6" w:space="0" w:color="D0D6E4"/>
            </w:tcBorders>
          </w:tcPr>
          <w:p>
            <w:pPr>
              <w:pStyle w:val="TableParagraph"/>
              <w:rPr>
                <w:rFonts w:ascii="Times New Roman"/>
                <w:sz w:val="20"/>
              </w:rPr>
            </w:pPr>
          </w:p>
        </w:tc>
        <w:tc>
          <w:tcPr>
            <w:tcW w:w="373" w:type="dxa"/>
            <w:tcBorders>
              <w:top w:val="single" w:sz="12" w:space="0" w:color="000000"/>
            </w:tcBorders>
            <w:textDirection w:val="btLr"/>
          </w:tcPr>
          <w:p>
            <w:pPr>
              <w:pStyle w:val="TableParagraph"/>
              <w:spacing w:before="71"/>
              <w:ind w:left="42"/>
              <w:rPr>
                <w:b/>
                <w:sz w:val="21"/>
              </w:rPr>
            </w:pPr>
            <w:r>
              <w:rPr>
                <w:b/>
                <w:spacing w:val="-2"/>
                <w:sz w:val="21"/>
              </w:rPr>
              <w:t>autopista</w:t>
            </w:r>
          </w:p>
        </w:tc>
        <w:tc>
          <w:tcPr>
            <w:tcW w:w="373" w:type="dxa"/>
            <w:tcBorders>
              <w:top w:val="single" w:sz="12" w:space="0" w:color="000000"/>
            </w:tcBorders>
            <w:textDirection w:val="btLr"/>
          </w:tcPr>
          <w:p>
            <w:pPr>
              <w:pStyle w:val="TableParagraph"/>
              <w:spacing w:before="71"/>
              <w:ind w:left="42"/>
              <w:rPr>
                <w:b/>
                <w:sz w:val="21"/>
              </w:rPr>
            </w:pPr>
            <w:r>
              <w:rPr>
                <w:b/>
                <w:spacing w:val="-2"/>
                <w:sz w:val="21"/>
              </w:rPr>
              <w:t>carretera</w:t>
            </w:r>
          </w:p>
        </w:tc>
        <w:tc>
          <w:tcPr>
            <w:tcW w:w="659" w:type="dxa"/>
            <w:tcBorders>
              <w:top w:val="single" w:sz="12" w:space="0" w:color="000000"/>
            </w:tcBorders>
            <w:textDirection w:val="btLr"/>
          </w:tcPr>
          <w:p>
            <w:pPr>
              <w:pStyle w:val="TableParagraph"/>
              <w:spacing w:line="280" w:lineRule="atLeast" w:before="47"/>
              <w:ind w:left="42" w:right="31"/>
              <w:rPr>
                <w:b/>
                <w:sz w:val="21"/>
              </w:rPr>
            </w:pPr>
            <w:r>
              <w:rPr>
                <w:b/>
                <w:spacing w:val="-2"/>
                <w:sz w:val="21"/>
              </w:rPr>
              <w:t>camino rural</w:t>
            </w:r>
          </w:p>
        </w:tc>
        <w:tc>
          <w:tcPr>
            <w:tcW w:w="945" w:type="dxa"/>
            <w:tcBorders>
              <w:top w:val="single" w:sz="12" w:space="0" w:color="000000"/>
            </w:tcBorders>
            <w:textDirection w:val="btLr"/>
          </w:tcPr>
          <w:p>
            <w:pPr>
              <w:pStyle w:val="TableParagraph"/>
              <w:spacing w:line="280" w:lineRule="atLeast" w:before="46"/>
              <w:ind w:left="42"/>
              <w:rPr>
                <w:b/>
                <w:sz w:val="21"/>
              </w:rPr>
            </w:pPr>
            <w:r>
              <w:rPr>
                <w:b/>
                <w:spacing w:val="-2"/>
                <w:sz w:val="21"/>
              </w:rPr>
              <w:t>acceso controlado c/lateral</w:t>
            </w:r>
          </w:p>
        </w:tc>
        <w:tc>
          <w:tcPr>
            <w:tcW w:w="945" w:type="dxa"/>
            <w:tcBorders>
              <w:top w:val="single" w:sz="12" w:space="0" w:color="000000"/>
            </w:tcBorders>
            <w:textDirection w:val="btLr"/>
          </w:tcPr>
          <w:p>
            <w:pPr>
              <w:pStyle w:val="TableParagraph"/>
              <w:spacing w:line="280" w:lineRule="atLeast" w:before="46"/>
              <w:ind w:left="42"/>
              <w:rPr>
                <w:b/>
                <w:sz w:val="21"/>
              </w:rPr>
            </w:pPr>
            <w:r>
              <w:rPr>
                <w:b/>
                <w:spacing w:val="-2"/>
                <w:sz w:val="21"/>
              </w:rPr>
              <w:t>acceso controlado s/lateral</w:t>
            </w:r>
          </w:p>
        </w:tc>
        <w:tc>
          <w:tcPr>
            <w:tcW w:w="372" w:type="dxa"/>
            <w:tcBorders>
              <w:top w:val="single" w:sz="12" w:space="0" w:color="000000"/>
            </w:tcBorders>
            <w:textDirection w:val="btLr"/>
          </w:tcPr>
          <w:p>
            <w:pPr>
              <w:pStyle w:val="TableParagraph"/>
              <w:spacing w:before="71"/>
              <w:ind w:left="42"/>
              <w:rPr>
                <w:b/>
                <w:sz w:val="21"/>
              </w:rPr>
            </w:pPr>
            <w:r>
              <w:rPr>
                <w:b/>
                <w:spacing w:val="-2"/>
                <w:sz w:val="21"/>
              </w:rPr>
              <w:t>primaria</w:t>
            </w:r>
          </w:p>
        </w:tc>
        <w:tc>
          <w:tcPr>
            <w:tcW w:w="659" w:type="dxa"/>
            <w:tcBorders>
              <w:top w:val="single" w:sz="12" w:space="0" w:color="000000"/>
            </w:tcBorders>
            <w:textDirection w:val="btLr"/>
          </w:tcPr>
          <w:p>
            <w:pPr>
              <w:pStyle w:val="TableParagraph"/>
              <w:spacing w:line="280" w:lineRule="atLeast" w:before="47"/>
              <w:ind w:left="42" w:right="31"/>
              <w:rPr>
                <w:b/>
                <w:sz w:val="21"/>
              </w:rPr>
            </w:pPr>
            <w:r>
              <w:rPr>
                <w:b/>
                <w:spacing w:val="-2"/>
                <w:sz w:val="21"/>
              </w:rPr>
              <w:t>secundaria </w:t>
            </w:r>
            <w:r>
              <w:rPr>
                <w:b/>
                <w:sz w:val="21"/>
              </w:rPr>
              <w:t>o</w:t>
            </w:r>
            <w:r>
              <w:rPr>
                <w:b/>
                <w:spacing w:val="-4"/>
                <w:sz w:val="21"/>
              </w:rPr>
              <w:t> </w:t>
            </w:r>
            <w:r>
              <w:rPr>
                <w:b/>
                <w:spacing w:val="-2"/>
                <w:sz w:val="21"/>
              </w:rPr>
              <w:t>colectora</w:t>
            </w:r>
          </w:p>
        </w:tc>
        <w:tc>
          <w:tcPr>
            <w:tcW w:w="372" w:type="dxa"/>
            <w:tcBorders>
              <w:top w:val="single" w:sz="12" w:space="0" w:color="000000"/>
            </w:tcBorders>
            <w:textDirection w:val="btLr"/>
          </w:tcPr>
          <w:p>
            <w:pPr>
              <w:pStyle w:val="TableParagraph"/>
              <w:spacing w:before="71"/>
              <w:ind w:left="42"/>
              <w:rPr>
                <w:b/>
                <w:sz w:val="21"/>
              </w:rPr>
            </w:pPr>
            <w:r>
              <w:rPr>
                <w:b/>
                <w:spacing w:val="-2"/>
                <w:sz w:val="21"/>
              </w:rPr>
              <w:t>local</w:t>
            </w:r>
          </w:p>
        </w:tc>
        <w:tc>
          <w:tcPr>
            <w:tcW w:w="372" w:type="dxa"/>
            <w:tcBorders>
              <w:top w:val="single" w:sz="12" w:space="0" w:color="000000"/>
            </w:tcBorders>
            <w:textDirection w:val="btLr"/>
          </w:tcPr>
          <w:p>
            <w:pPr>
              <w:pStyle w:val="TableParagraph"/>
              <w:spacing w:before="71"/>
              <w:ind w:left="42"/>
              <w:rPr>
                <w:b/>
                <w:sz w:val="21"/>
              </w:rPr>
            </w:pPr>
            <w:r>
              <w:rPr>
                <w:b/>
                <w:spacing w:val="-2"/>
                <w:sz w:val="21"/>
              </w:rPr>
              <w:t>cerrada</w:t>
            </w:r>
          </w:p>
        </w:tc>
        <w:tc>
          <w:tcPr>
            <w:tcW w:w="372" w:type="dxa"/>
            <w:tcBorders>
              <w:top w:val="single" w:sz="12" w:space="0" w:color="000000"/>
            </w:tcBorders>
            <w:textDirection w:val="btLr"/>
          </w:tcPr>
          <w:p>
            <w:pPr>
              <w:pStyle w:val="TableParagraph"/>
              <w:spacing w:before="71"/>
              <w:ind w:left="42"/>
              <w:rPr>
                <w:b/>
                <w:sz w:val="21"/>
              </w:rPr>
            </w:pPr>
            <w:r>
              <w:rPr>
                <w:b/>
                <w:spacing w:val="-2"/>
                <w:sz w:val="21"/>
              </w:rPr>
              <w:t>ciclovía</w:t>
            </w:r>
          </w:p>
        </w:tc>
        <w:tc>
          <w:tcPr>
            <w:tcW w:w="364" w:type="dxa"/>
            <w:tcBorders>
              <w:top w:val="single" w:sz="12" w:space="0" w:color="000000"/>
              <w:right w:val="single" w:sz="12" w:space="0" w:color="000000"/>
            </w:tcBorders>
            <w:textDirection w:val="btLr"/>
          </w:tcPr>
          <w:p>
            <w:pPr>
              <w:pStyle w:val="TableParagraph"/>
              <w:spacing w:line="249" w:lineRule="exact" w:before="72"/>
              <w:ind w:left="42"/>
              <w:rPr>
                <w:b/>
                <w:sz w:val="21"/>
              </w:rPr>
            </w:pPr>
            <w:r>
              <w:rPr>
                <w:b/>
                <w:spacing w:val="-2"/>
                <w:sz w:val="21"/>
              </w:rPr>
              <w:t>andador</w:t>
            </w:r>
          </w:p>
        </w:tc>
      </w:tr>
      <w:tr>
        <w:trPr>
          <w:trHeight w:val="271" w:hRule="atLeast"/>
        </w:trPr>
        <w:tc>
          <w:tcPr>
            <w:tcW w:w="2421" w:type="dxa"/>
          </w:tcPr>
          <w:p>
            <w:pPr>
              <w:pStyle w:val="TableParagraph"/>
              <w:spacing w:line="251" w:lineRule="exact"/>
              <w:ind w:left="42"/>
              <w:rPr>
                <w:b/>
                <w:sz w:val="21"/>
              </w:rPr>
            </w:pPr>
            <w:r>
              <w:rPr>
                <w:b/>
                <w:spacing w:val="-2"/>
                <w:sz w:val="21"/>
              </w:rPr>
              <w:t>HOTELES</w:t>
            </w:r>
          </w:p>
        </w:tc>
        <w:tc>
          <w:tcPr>
            <w:tcW w:w="373" w:type="dxa"/>
          </w:tcPr>
          <w:p>
            <w:pPr>
              <w:pStyle w:val="TableParagraph"/>
              <w:rPr>
                <w:rFonts w:ascii="Times New Roman"/>
                <w:sz w:val="20"/>
              </w:rPr>
            </w:pPr>
          </w:p>
        </w:tc>
        <w:tc>
          <w:tcPr>
            <w:tcW w:w="373" w:type="dxa"/>
          </w:tcPr>
          <w:p>
            <w:pPr>
              <w:pStyle w:val="TableParagraph"/>
              <w:spacing w:line="251" w:lineRule="exact"/>
              <w:ind w:left="40" w:right="2"/>
              <w:jc w:val="center"/>
              <w:rPr>
                <w:sz w:val="21"/>
              </w:rPr>
            </w:pPr>
            <w:r>
              <w:rPr>
                <w:spacing w:val="-10"/>
                <w:sz w:val="21"/>
              </w:rPr>
              <w:t>X</w:t>
            </w:r>
          </w:p>
        </w:tc>
        <w:tc>
          <w:tcPr>
            <w:tcW w:w="659" w:type="dxa"/>
          </w:tcPr>
          <w:p>
            <w:pPr>
              <w:pStyle w:val="TableParagraph"/>
              <w:rPr>
                <w:rFonts w:ascii="Times New Roman"/>
                <w:sz w:val="20"/>
              </w:rPr>
            </w:pPr>
          </w:p>
        </w:tc>
        <w:tc>
          <w:tcPr>
            <w:tcW w:w="945" w:type="dxa"/>
          </w:tcPr>
          <w:p>
            <w:pPr>
              <w:pStyle w:val="TableParagraph"/>
              <w:spacing w:line="251" w:lineRule="exact"/>
              <w:ind w:left="40" w:right="1"/>
              <w:jc w:val="center"/>
              <w:rPr>
                <w:sz w:val="21"/>
              </w:rPr>
            </w:pPr>
            <w:r>
              <w:rPr>
                <w:spacing w:val="-10"/>
                <w:sz w:val="21"/>
              </w:rPr>
              <w:t>O</w:t>
            </w:r>
          </w:p>
        </w:tc>
        <w:tc>
          <w:tcPr>
            <w:tcW w:w="945" w:type="dxa"/>
          </w:tcPr>
          <w:p>
            <w:pPr>
              <w:pStyle w:val="TableParagraph"/>
              <w:rPr>
                <w:rFonts w:ascii="Times New Roman"/>
                <w:sz w:val="20"/>
              </w:rPr>
            </w:pPr>
          </w:p>
        </w:tc>
        <w:tc>
          <w:tcPr>
            <w:tcW w:w="372" w:type="dxa"/>
          </w:tcPr>
          <w:p>
            <w:pPr>
              <w:pStyle w:val="TableParagraph"/>
              <w:spacing w:line="251" w:lineRule="exact"/>
              <w:ind w:left="43" w:right="3"/>
              <w:jc w:val="center"/>
              <w:rPr>
                <w:sz w:val="21"/>
              </w:rPr>
            </w:pPr>
            <w:r>
              <w:rPr>
                <w:spacing w:val="-10"/>
                <w:sz w:val="21"/>
              </w:rPr>
              <w:t>O</w:t>
            </w:r>
          </w:p>
        </w:tc>
        <w:tc>
          <w:tcPr>
            <w:tcW w:w="659" w:type="dxa"/>
          </w:tcPr>
          <w:p>
            <w:pPr>
              <w:pStyle w:val="TableParagraph"/>
              <w:spacing w:line="251" w:lineRule="exact"/>
              <w:ind w:left="41"/>
              <w:jc w:val="center"/>
              <w:rPr>
                <w:sz w:val="21"/>
              </w:rPr>
            </w:pPr>
            <w:r>
              <w:rPr>
                <w:spacing w:val="-10"/>
                <w:sz w:val="21"/>
              </w:rPr>
              <w:t>O</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spacing w:line="251" w:lineRule="exact"/>
              <w:ind w:left="59"/>
              <w:jc w:val="center"/>
              <w:rPr>
                <w:sz w:val="21"/>
              </w:rPr>
            </w:pPr>
            <w:r>
              <w:rPr>
                <w:spacing w:val="-10"/>
                <w:sz w:val="21"/>
              </w:rPr>
              <w:t>O</w:t>
            </w:r>
          </w:p>
        </w:tc>
      </w:tr>
      <w:tr>
        <w:trPr>
          <w:trHeight w:val="271" w:hRule="atLeast"/>
        </w:trPr>
        <w:tc>
          <w:tcPr>
            <w:tcW w:w="2421" w:type="dxa"/>
          </w:tcPr>
          <w:p>
            <w:pPr>
              <w:pStyle w:val="TableParagraph"/>
              <w:spacing w:line="251" w:lineRule="exact"/>
              <w:ind w:left="42"/>
              <w:rPr>
                <w:b/>
                <w:sz w:val="21"/>
              </w:rPr>
            </w:pPr>
            <w:r>
              <w:rPr>
                <w:b/>
                <w:spacing w:val="-2"/>
                <w:sz w:val="21"/>
              </w:rPr>
              <w:t>MOTELES</w:t>
            </w:r>
          </w:p>
        </w:tc>
        <w:tc>
          <w:tcPr>
            <w:tcW w:w="373" w:type="dxa"/>
          </w:tcPr>
          <w:p>
            <w:pPr>
              <w:pStyle w:val="TableParagraph"/>
              <w:rPr>
                <w:rFonts w:ascii="Times New Roman"/>
                <w:sz w:val="20"/>
              </w:rPr>
            </w:pPr>
          </w:p>
        </w:tc>
        <w:tc>
          <w:tcPr>
            <w:tcW w:w="373" w:type="dxa"/>
          </w:tcPr>
          <w:p>
            <w:pPr>
              <w:pStyle w:val="TableParagraph"/>
              <w:spacing w:line="251" w:lineRule="exact"/>
              <w:ind w:left="40"/>
              <w:jc w:val="center"/>
              <w:rPr>
                <w:sz w:val="21"/>
              </w:rPr>
            </w:pPr>
            <w:r>
              <w:rPr>
                <w:spacing w:val="-10"/>
                <w:sz w:val="21"/>
              </w:rPr>
              <w:t>O</w:t>
            </w:r>
          </w:p>
        </w:tc>
        <w:tc>
          <w:tcPr>
            <w:tcW w:w="659" w:type="dxa"/>
          </w:tcPr>
          <w:p>
            <w:pPr>
              <w:pStyle w:val="TableParagraph"/>
              <w:rPr>
                <w:rFonts w:ascii="Times New Roman"/>
                <w:sz w:val="20"/>
              </w:rPr>
            </w:pPr>
          </w:p>
        </w:tc>
        <w:tc>
          <w:tcPr>
            <w:tcW w:w="945" w:type="dxa"/>
          </w:tcPr>
          <w:p>
            <w:pPr>
              <w:pStyle w:val="TableParagraph"/>
              <w:spacing w:line="251" w:lineRule="exact"/>
              <w:ind w:left="40" w:right="1"/>
              <w:jc w:val="center"/>
              <w:rPr>
                <w:sz w:val="21"/>
              </w:rPr>
            </w:pPr>
            <w:r>
              <w:rPr>
                <w:spacing w:val="-10"/>
                <w:sz w:val="21"/>
              </w:rPr>
              <w:t>O</w:t>
            </w:r>
          </w:p>
        </w:tc>
        <w:tc>
          <w:tcPr>
            <w:tcW w:w="945" w:type="dxa"/>
          </w:tcPr>
          <w:p>
            <w:pPr>
              <w:pStyle w:val="TableParagraph"/>
              <w:rPr>
                <w:rFonts w:ascii="Times New Roman"/>
                <w:sz w:val="20"/>
              </w:rPr>
            </w:pPr>
          </w:p>
        </w:tc>
        <w:tc>
          <w:tcPr>
            <w:tcW w:w="372" w:type="dxa"/>
          </w:tcPr>
          <w:p>
            <w:pPr>
              <w:pStyle w:val="TableParagraph"/>
              <w:rPr>
                <w:rFonts w:ascii="Times New Roman"/>
                <w:sz w:val="20"/>
              </w:rPr>
            </w:pPr>
          </w:p>
        </w:tc>
        <w:tc>
          <w:tcPr>
            <w:tcW w:w="659"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rPr>
                <w:rFonts w:ascii="Times New Roman"/>
                <w:sz w:val="20"/>
              </w:rPr>
            </w:pPr>
          </w:p>
        </w:tc>
      </w:tr>
      <w:tr>
        <w:trPr>
          <w:trHeight w:val="558" w:hRule="atLeast"/>
        </w:trPr>
        <w:tc>
          <w:tcPr>
            <w:tcW w:w="2421" w:type="dxa"/>
            <w:tcBorders>
              <w:bottom w:val="single" w:sz="12" w:space="0" w:color="000000"/>
            </w:tcBorders>
          </w:tcPr>
          <w:p>
            <w:pPr>
              <w:pStyle w:val="TableParagraph"/>
              <w:spacing w:line="243" w:lineRule="exact"/>
              <w:ind w:left="42"/>
              <w:rPr>
                <w:b/>
                <w:sz w:val="21"/>
              </w:rPr>
            </w:pPr>
            <w:r>
              <w:rPr>
                <w:b/>
                <w:sz w:val="21"/>
              </w:rPr>
              <w:t>CASAS</w:t>
            </w:r>
            <w:r>
              <w:rPr>
                <w:b/>
                <w:spacing w:val="-12"/>
                <w:sz w:val="21"/>
              </w:rPr>
              <w:t> </w:t>
            </w:r>
            <w:r>
              <w:rPr>
                <w:b/>
                <w:sz w:val="21"/>
              </w:rPr>
              <w:t>DE</w:t>
            </w:r>
            <w:r>
              <w:rPr>
                <w:b/>
                <w:spacing w:val="-12"/>
                <w:sz w:val="21"/>
              </w:rPr>
              <w:t> </w:t>
            </w:r>
            <w:r>
              <w:rPr>
                <w:b/>
                <w:sz w:val="21"/>
              </w:rPr>
              <w:t>HUÉSPEDES</w:t>
            </w:r>
            <w:r>
              <w:rPr>
                <w:b/>
                <w:spacing w:val="-10"/>
                <w:sz w:val="21"/>
              </w:rPr>
              <w:t> Y</w:t>
            </w:r>
          </w:p>
          <w:p>
            <w:pPr>
              <w:pStyle w:val="TableParagraph"/>
              <w:spacing w:before="30"/>
              <w:ind w:left="42"/>
              <w:rPr>
                <w:b/>
                <w:sz w:val="21"/>
              </w:rPr>
            </w:pPr>
            <w:r>
              <w:rPr>
                <w:b/>
                <w:spacing w:val="-2"/>
                <w:sz w:val="21"/>
              </w:rPr>
              <w:t>ALBERGUES</w:t>
            </w:r>
          </w:p>
        </w:tc>
        <w:tc>
          <w:tcPr>
            <w:tcW w:w="373" w:type="dxa"/>
            <w:tcBorders>
              <w:bottom w:val="single" w:sz="12" w:space="0" w:color="000000"/>
            </w:tcBorders>
          </w:tcPr>
          <w:p>
            <w:pPr>
              <w:pStyle w:val="TableParagraph"/>
              <w:rPr>
                <w:rFonts w:ascii="Times New Roman"/>
                <w:sz w:val="20"/>
              </w:rPr>
            </w:pPr>
          </w:p>
        </w:tc>
        <w:tc>
          <w:tcPr>
            <w:tcW w:w="373" w:type="dxa"/>
            <w:tcBorders>
              <w:bottom w:val="single" w:sz="12" w:space="0" w:color="000000"/>
            </w:tcBorders>
          </w:tcPr>
          <w:p>
            <w:pPr>
              <w:pStyle w:val="TableParagraph"/>
              <w:rPr>
                <w:rFonts w:ascii="Times New Roman"/>
                <w:sz w:val="20"/>
              </w:rPr>
            </w:pPr>
          </w:p>
        </w:tc>
        <w:tc>
          <w:tcPr>
            <w:tcW w:w="659" w:type="dxa"/>
            <w:tcBorders>
              <w:bottom w:val="single" w:sz="12" w:space="0" w:color="000000"/>
            </w:tcBorders>
          </w:tcPr>
          <w:p>
            <w:pPr>
              <w:pStyle w:val="TableParagraph"/>
              <w:rPr>
                <w:rFonts w:ascii="Times New Roman"/>
                <w:sz w:val="20"/>
              </w:rPr>
            </w:pPr>
          </w:p>
        </w:tc>
        <w:tc>
          <w:tcPr>
            <w:tcW w:w="945" w:type="dxa"/>
            <w:tcBorders>
              <w:bottom w:val="single" w:sz="12" w:space="0" w:color="000000"/>
            </w:tcBorders>
          </w:tcPr>
          <w:p>
            <w:pPr>
              <w:pStyle w:val="TableParagraph"/>
              <w:spacing w:before="143"/>
              <w:ind w:left="40" w:right="3"/>
              <w:jc w:val="center"/>
              <w:rPr>
                <w:sz w:val="21"/>
              </w:rPr>
            </w:pPr>
            <w:r>
              <w:rPr>
                <w:spacing w:val="-10"/>
                <w:sz w:val="21"/>
              </w:rPr>
              <w:t>X</w:t>
            </w:r>
          </w:p>
        </w:tc>
        <w:tc>
          <w:tcPr>
            <w:tcW w:w="945" w:type="dxa"/>
            <w:tcBorders>
              <w:bottom w:val="single" w:sz="12" w:space="0" w:color="000000"/>
            </w:tcBorders>
          </w:tcPr>
          <w:p>
            <w:pPr>
              <w:pStyle w:val="TableParagraph"/>
              <w:rPr>
                <w:rFonts w:ascii="Times New Roman"/>
                <w:sz w:val="20"/>
              </w:rPr>
            </w:pPr>
          </w:p>
        </w:tc>
        <w:tc>
          <w:tcPr>
            <w:tcW w:w="372" w:type="dxa"/>
            <w:tcBorders>
              <w:bottom w:val="single" w:sz="12" w:space="0" w:color="000000"/>
            </w:tcBorders>
          </w:tcPr>
          <w:p>
            <w:pPr>
              <w:pStyle w:val="TableParagraph"/>
              <w:spacing w:before="143"/>
              <w:ind w:left="43" w:right="3"/>
              <w:jc w:val="center"/>
              <w:rPr>
                <w:sz w:val="21"/>
              </w:rPr>
            </w:pPr>
            <w:r>
              <w:rPr>
                <w:spacing w:val="-10"/>
                <w:sz w:val="21"/>
              </w:rPr>
              <w:t>O</w:t>
            </w:r>
          </w:p>
        </w:tc>
        <w:tc>
          <w:tcPr>
            <w:tcW w:w="659" w:type="dxa"/>
            <w:tcBorders>
              <w:bottom w:val="single" w:sz="12" w:space="0" w:color="000000"/>
            </w:tcBorders>
          </w:tcPr>
          <w:p>
            <w:pPr>
              <w:pStyle w:val="TableParagraph"/>
              <w:spacing w:before="143"/>
              <w:ind w:left="41"/>
              <w:jc w:val="center"/>
              <w:rPr>
                <w:sz w:val="21"/>
              </w:rPr>
            </w:pPr>
            <w:r>
              <w:rPr>
                <w:spacing w:val="-10"/>
                <w:sz w:val="21"/>
              </w:rPr>
              <w:t>O</w:t>
            </w:r>
          </w:p>
        </w:tc>
        <w:tc>
          <w:tcPr>
            <w:tcW w:w="372" w:type="dxa"/>
            <w:tcBorders>
              <w:bottom w:val="single" w:sz="12" w:space="0" w:color="000000"/>
            </w:tcBorders>
          </w:tcPr>
          <w:p>
            <w:pPr>
              <w:pStyle w:val="TableParagraph"/>
              <w:spacing w:before="143"/>
              <w:ind w:left="127"/>
              <w:rPr>
                <w:sz w:val="21"/>
              </w:rPr>
            </w:pPr>
            <w:r>
              <w:rPr>
                <w:spacing w:val="-10"/>
                <w:sz w:val="21"/>
              </w:rPr>
              <w:t>O</w:t>
            </w:r>
          </w:p>
        </w:tc>
        <w:tc>
          <w:tcPr>
            <w:tcW w:w="372" w:type="dxa"/>
            <w:tcBorders>
              <w:bottom w:val="single" w:sz="12" w:space="0" w:color="000000"/>
            </w:tcBorders>
          </w:tcPr>
          <w:p>
            <w:pPr>
              <w:pStyle w:val="TableParagraph"/>
              <w:spacing w:before="143"/>
              <w:ind w:left="128"/>
              <w:rPr>
                <w:sz w:val="21"/>
              </w:rPr>
            </w:pPr>
            <w:r>
              <w:rPr>
                <w:spacing w:val="-10"/>
                <w:sz w:val="21"/>
              </w:rPr>
              <w:t>O</w:t>
            </w:r>
          </w:p>
        </w:tc>
        <w:tc>
          <w:tcPr>
            <w:tcW w:w="372" w:type="dxa"/>
            <w:tcBorders>
              <w:bottom w:val="single" w:sz="12" w:space="0" w:color="000000"/>
            </w:tcBorders>
          </w:tcPr>
          <w:p>
            <w:pPr>
              <w:pStyle w:val="TableParagraph"/>
              <w:rPr>
                <w:rFonts w:ascii="Times New Roman"/>
                <w:sz w:val="20"/>
              </w:rPr>
            </w:pPr>
          </w:p>
        </w:tc>
        <w:tc>
          <w:tcPr>
            <w:tcW w:w="364" w:type="dxa"/>
            <w:tcBorders>
              <w:bottom w:val="single" w:sz="12" w:space="0" w:color="000000"/>
              <w:right w:val="single" w:sz="12" w:space="0" w:color="000000"/>
            </w:tcBorders>
          </w:tcPr>
          <w:p>
            <w:pPr>
              <w:pStyle w:val="TableParagraph"/>
              <w:spacing w:before="143"/>
              <w:ind w:left="59"/>
              <w:jc w:val="center"/>
              <w:rPr>
                <w:sz w:val="21"/>
              </w:rPr>
            </w:pPr>
            <w:r>
              <w:rPr>
                <w:spacing w:val="-10"/>
                <w:sz w:val="21"/>
              </w:rPr>
              <w:t>O</w:t>
            </w:r>
          </w:p>
        </w:tc>
      </w:tr>
    </w:tbl>
    <w:p>
      <w:pPr>
        <w:pStyle w:val="BodyText"/>
        <w:tabs>
          <w:tab w:pos="1571" w:val="left" w:leader="none"/>
        </w:tabs>
        <w:spacing w:before="224"/>
        <w:ind w:left="262"/>
      </w:pPr>
      <w:r>
        <w:rPr/>
        <w:t>O</w:t>
      </w:r>
      <w:r>
        <w:rPr>
          <w:spacing w:val="-2"/>
        </w:rPr>
        <w:t> adecuada</w:t>
      </w:r>
      <w:r>
        <w:rPr/>
        <w:tab/>
        <w:t>X</w:t>
      </w:r>
      <w:r>
        <w:rPr>
          <w:spacing w:val="-2"/>
        </w:rPr>
        <w:t> tolerable</w:t>
      </w:r>
    </w:p>
    <w:p>
      <w:pPr>
        <w:pStyle w:val="BodyText"/>
      </w:pPr>
    </w:p>
    <w:p>
      <w:pPr>
        <w:pStyle w:val="BodyText"/>
        <w:spacing w:before="1"/>
        <w:ind w:right="18"/>
        <w:jc w:val="center"/>
      </w:pPr>
      <w:r>
        <w:rPr/>
        <w:t>SERVICIOS</w:t>
      </w:r>
      <w:r>
        <w:rPr>
          <w:spacing w:val="-6"/>
        </w:rPr>
        <w:t> </w:t>
      </w:r>
      <w:r>
        <w:rPr/>
        <w:t>DE</w:t>
      </w:r>
      <w:r>
        <w:rPr>
          <w:spacing w:val="-4"/>
        </w:rPr>
        <w:t> </w:t>
      </w:r>
      <w:r>
        <w:rPr>
          <w:spacing w:val="-2"/>
        </w:rPr>
        <w:t>SEGURIDAD</w:t>
      </w:r>
    </w:p>
    <w:p>
      <w:pPr>
        <w:pStyle w:val="BodyText"/>
        <w:spacing w:before="4"/>
        <w:rPr>
          <w:sz w:val="19"/>
        </w:rPr>
      </w:pPr>
    </w:p>
    <w:tbl>
      <w:tblPr>
        <w:tblW w:w="0" w:type="auto"/>
        <w:jc w:val="left"/>
        <w:tblInd w:w="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21"/>
        <w:gridCol w:w="373"/>
        <w:gridCol w:w="373"/>
        <w:gridCol w:w="659"/>
        <w:gridCol w:w="945"/>
        <w:gridCol w:w="945"/>
        <w:gridCol w:w="372"/>
        <w:gridCol w:w="659"/>
        <w:gridCol w:w="372"/>
        <w:gridCol w:w="372"/>
        <w:gridCol w:w="372"/>
        <w:gridCol w:w="364"/>
      </w:tblGrid>
      <w:tr>
        <w:trPr>
          <w:trHeight w:val="270" w:hRule="atLeast"/>
        </w:trPr>
        <w:tc>
          <w:tcPr>
            <w:tcW w:w="2421" w:type="dxa"/>
            <w:tcBorders>
              <w:bottom w:val="single" w:sz="6" w:space="0" w:color="D0D6E4"/>
            </w:tcBorders>
          </w:tcPr>
          <w:p>
            <w:pPr>
              <w:pStyle w:val="TableParagraph"/>
              <w:rPr>
                <w:rFonts w:ascii="Times New Roman"/>
                <w:sz w:val="20"/>
              </w:rPr>
            </w:pPr>
          </w:p>
        </w:tc>
        <w:tc>
          <w:tcPr>
            <w:tcW w:w="1405" w:type="dxa"/>
            <w:gridSpan w:val="3"/>
            <w:tcBorders>
              <w:bottom w:val="single" w:sz="12" w:space="0" w:color="000000"/>
            </w:tcBorders>
          </w:tcPr>
          <w:p>
            <w:pPr>
              <w:pStyle w:val="TableParagraph"/>
              <w:spacing w:line="237" w:lineRule="exact" w:before="14"/>
              <w:ind w:left="70"/>
              <w:rPr>
                <w:b/>
                <w:sz w:val="21"/>
              </w:rPr>
            </w:pPr>
            <w:r>
              <w:rPr>
                <w:b/>
                <w:spacing w:val="-2"/>
                <w:sz w:val="21"/>
              </w:rPr>
              <w:t>INTERURBANA</w:t>
            </w:r>
          </w:p>
        </w:tc>
        <w:tc>
          <w:tcPr>
            <w:tcW w:w="4401" w:type="dxa"/>
            <w:gridSpan w:val="8"/>
            <w:tcBorders>
              <w:bottom w:val="single" w:sz="12" w:space="0" w:color="000000"/>
              <w:right w:val="single" w:sz="12" w:space="0" w:color="000000"/>
            </w:tcBorders>
          </w:tcPr>
          <w:p>
            <w:pPr>
              <w:pStyle w:val="TableParagraph"/>
              <w:spacing w:line="237" w:lineRule="exact" w:before="14"/>
              <w:ind w:left="59"/>
              <w:jc w:val="center"/>
              <w:rPr>
                <w:b/>
                <w:sz w:val="21"/>
              </w:rPr>
            </w:pPr>
            <w:r>
              <w:rPr>
                <w:b/>
                <w:spacing w:val="-2"/>
                <w:sz w:val="21"/>
              </w:rPr>
              <w:t>URBANA</w:t>
            </w:r>
          </w:p>
        </w:tc>
      </w:tr>
      <w:tr>
        <w:trPr>
          <w:trHeight w:val="1087" w:hRule="atLeast"/>
        </w:trPr>
        <w:tc>
          <w:tcPr>
            <w:tcW w:w="2421" w:type="dxa"/>
            <w:tcBorders>
              <w:top w:val="single" w:sz="6" w:space="0" w:color="D0D6E4"/>
            </w:tcBorders>
          </w:tcPr>
          <w:p>
            <w:pPr>
              <w:pStyle w:val="TableParagraph"/>
              <w:rPr>
                <w:rFonts w:ascii="Times New Roman"/>
                <w:sz w:val="20"/>
              </w:rPr>
            </w:pPr>
          </w:p>
        </w:tc>
        <w:tc>
          <w:tcPr>
            <w:tcW w:w="373" w:type="dxa"/>
            <w:tcBorders>
              <w:top w:val="single" w:sz="12" w:space="0" w:color="000000"/>
            </w:tcBorders>
            <w:textDirection w:val="btLr"/>
          </w:tcPr>
          <w:p>
            <w:pPr>
              <w:pStyle w:val="TableParagraph"/>
              <w:spacing w:before="71"/>
              <w:ind w:left="28"/>
              <w:rPr>
                <w:b/>
                <w:sz w:val="21"/>
              </w:rPr>
            </w:pPr>
            <w:r>
              <w:rPr>
                <w:b/>
                <w:spacing w:val="-2"/>
                <w:sz w:val="21"/>
              </w:rPr>
              <w:t>autopista</w:t>
            </w:r>
          </w:p>
        </w:tc>
        <w:tc>
          <w:tcPr>
            <w:tcW w:w="373" w:type="dxa"/>
            <w:tcBorders>
              <w:top w:val="single" w:sz="12" w:space="0" w:color="000000"/>
            </w:tcBorders>
            <w:textDirection w:val="btLr"/>
          </w:tcPr>
          <w:p>
            <w:pPr>
              <w:pStyle w:val="TableParagraph"/>
              <w:spacing w:before="71"/>
              <w:ind w:left="28"/>
              <w:rPr>
                <w:b/>
                <w:sz w:val="21"/>
              </w:rPr>
            </w:pPr>
            <w:r>
              <w:rPr>
                <w:b/>
                <w:spacing w:val="-2"/>
                <w:sz w:val="21"/>
              </w:rPr>
              <w:t>carretera</w:t>
            </w:r>
          </w:p>
        </w:tc>
        <w:tc>
          <w:tcPr>
            <w:tcW w:w="659" w:type="dxa"/>
            <w:tcBorders>
              <w:top w:val="single" w:sz="12" w:space="0" w:color="000000"/>
            </w:tcBorders>
            <w:textDirection w:val="btLr"/>
          </w:tcPr>
          <w:p>
            <w:pPr>
              <w:pStyle w:val="TableParagraph"/>
              <w:spacing w:line="280" w:lineRule="atLeast" w:before="47"/>
              <w:ind w:left="28" w:right="44"/>
              <w:rPr>
                <w:b/>
                <w:sz w:val="21"/>
              </w:rPr>
            </w:pPr>
            <w:r>
              <w:rPr>
                <w:b/>
                <w:spacing w:val="-2"/>
                <w:sz w:val="21"/>
              </w:rPr>
              <w:t>camino rural</w:t>
            </w:r>
          </w:p>
        </w:tc>
        <w:tc>
          <w:tcPr>
            <w:tcW w:w="945" w:type="dxa"/>
            <w:tcBorders>
              <w:top w:val="single" w:sz="12" w:space="0" w:color="000000"/>
            </w:tcBorders>
            <w:textDirection w:val="btLr"/>
          </w:tcPr>
          <w:p>
            <w:pPr>
              <w:pStyle w:val="TableParagraph"/>
              <w:spacing w:line="280" w:lineRule="atLeast" w:before="46"/>
              <w:ind w:left="28"/>
              <w:rPr>
                <w:b/>
                <w:sz w:val="21"/>
              </w:rPr>
            </w:pPr>
            <w:r>
              <w:rPr>
                <w:b/>
                <w:spacing w:val="-2"/>
                <w:sz w:val="21"/>
              </w:rPr>
              <w:t>acceso controlado c/lateral</w:t>
            </w:r>
          </w:p>
        </w:tc>
        <w:tc>
          <w:tcPr>
            <w:tcW w:w="945" w:type="dxa"/>
            <w:tcBorders>
              <w:top w:val="single" w:sz="12" w:space="0" w:color="000000"/>
            </w:tcBorders>
            <w:textDirection w:val="btLr"/>
          </w:tcPr>
          <w:p>
            <w:pPr>
              <w:pStyle w:val="TableParagraph"/>
              <w:spacing w:line="280" w:lineRule="atLeast" w:before="46"/>
              <w:ind w:left="28"/>
              <w:rPr>
                <w:b/>
                <w:sz w:val="21"/>
              </w:rPr>
            </w:pPr>
            <w:r>
              <w:rPr>
                <w:b/>
                <w:spacing w:val="-2"/>
                <w:sz w:val="21"/>
              </w:rPr>
              <w:t>acceso controlado s/lateral</w:t>
            </w:r>
          </w:p>
        </w:tc>
        <w:tc>
          <w:tcPr>
            <w:tcW w:w="372" w:type="dxa"/>
            <w:tcBorders>
              <w:top w:val="single" w:sz="12" w:space="0" w:color="000000"/>
            </w:tcBorders>
            <w:textDirection w:val="btLr"/>
          </w:tcPr>
          <w:p>
            <w:pPr>
              <w:pStyle w:val="TableParagraph"/>
              <w:spacing w:before="71"/>
              <w:ind w:left="28"/>
              <w:rPr>
                <w:b/>
                <w:sz w:val="21"/>
              </w:rPr>
            </w:pPr>
            <w:r>
              <w:rPr>
                <w:b/>
                <w:spacing w:val="-2"/>
                <w:sz w:val="21"/>
              </w:rPr>
              <w:t>primaria</w:t>
            </w:r>
          </w:p>
        </w:tc>
        <w:tc>
          <w:tcPr>
            <w:tcW w:w="659" w:type="dxa"/>
            <w:tcBorders>
              <w:top w:val="single" w:sz="12" w:space="0" w:color="000000"/>
            </w:tcBorders>
            <w:textDirection w:val="btLr"/>
          </w:tcPr>
          <w:p>
            <w:pPr>
              <w:pStyle w:val="TableParagraph"/>
              <w:spacing w:line="280" w:lineRule="atLeast" w:before="47"/>
              <w:ind w:left="28" w:right="44"/>
              <w:rPr>
                <w:b/>
                <w:sz w:val="21"/>
              </w:rPr>
            </w:pPr>
            <w:r>
              <w:rPr>
                <w:b/>
                <w:spacing w:val="-2"/>
                <w:sz w:val="21"/>
              </w:rPr>
              <w:t>secundaria </w:t>
            </w:r>
            <w:r>
              <w:rPr>
                <w:b/>
                <w:sz w:val="21"/>
              </w:rPr>
              <w:t>o</w:t>
            </w:r>
            <w:r>
              <w:rPr>
                <w:b/>
                <w:spacing w:val="-4"/>
                <w:sz w:val="21"/>
              </w:rPr>
              <w:t> </w:t>
            </w:r>
            <w:r>
              <w:rPr>
                <w:b/>
                <w:spacing w:val="-2"/>
                <w:sz w:val="21"/>
              </w:rPr>
              <w:t>colectora</w:t>
            </w:r>
          </w:p>
        </w:tc>
        <w:tc>
          <w:tcPr>
            <w:tcW w:w="372" w:type="dxa"/>
            <w:tcBorders>
              <w:top w:val="single" w:sz="12" w:space="0" w:color="000000"/>
            </w:tcBorders>
            <w:textDirection w:val="btLr"/>
          </w:tcPr>
          <w:p>
            <w:pPr>
              <w:pStyle w:val="TableParagraph"/>
              <w:spacing w:before="71"/>
              <w:ind w:left="28"/>
              <w:rPr>
                <w:b/>
                <w:sz w:val="21"/>
              </w:rPr>
            </w:pPr>
            <w:r>
              <w:rPr>
                <w:b/>
                <w:spacing w:val="-2"/>
                <w:sz w:val="21"/>
              </w:rPr>
              <w:t>local</w:t>
            </w:r>
          </w:p>
        </w:tc>
        <w:tc>
          <w:tcPr>
            <w:tcW w:w="372" w:type="dxa"/>
            <w:tcBorders>
              <w:top w:val="single" w:sz="12" w:space="0" w:color="000000"/>
            </w:tcBorders>
            <w:textDirection w:val="btLr"/>
          </w:tcPr>
          <w:p>
            <w:pPr>
              <w:pStyle w:val="TableParagraph"/>
              <w:spacing w:before="71"/>
              <w:ind w:left="28"/>
              <w:rPr>
                <w:b/>
                <w:sz w:val="21"/>
              </w:rPr>
            </w:pPr>
            <w:r>
              <w:rPr>
                <w:b/>
                <w:spacing w:val="-2"/>
                <w:sz w:val="21"/>
              </w:rPr>
              <w:t>cerrada</w:t>
            </w:r>
          </w:p>
        </w:tc>
        <w:tc>
          <w:tcPr>
            <w:tcW w:w="372" w:type="dxa"/>
            <w:tcBorders>
              <w:top w:val="single" w:sz="12" w:space="0" w:color="000000"/>
            </w:tcBorders>
            <w:textDirection w:val="btLr"/>
          </w:tcPr>
          <w:p>
            <w:pPr>
              <w:pStyle w:val="TableParagraph"/>
              <w:spacing w:before="71"/>
              <w:ind w:left="28"/>
              <w:rPr>
                <w:b/>
                <w:sz w:val="21"/>
              </w:rPr>
            </w:pPr>
            <w:r>
              <w:rPr>
                <w:b/>
                <w:spacing w:val="-2"/>
                <w:sz w:val="21"/>
              </w:rPr>
              <w:t>ciclovía</w:t>
            </w:r>
          </w:p>
        </w:tc>
        <w:tc>
          <w:tcPr>
            <w:tcW w:w="364" w:type="dxa"/>
            <w:tcBorders>
              <w:top w:val="single" w:sz="12" w:space="0" w:color="000000"/>
              <w:right w:val="single" w:sz="12" w:space="0" w:color="000000"/>
            </w:tcBorders>
            <w:textDirection w:val="btLr"/>
          </w:tcPr>
          <w:p>
            <w:pPr>
              <w:pStyle w:val="TableParagraph"/>
              <w:spacing w:line="249" w:lineRule="exact" w:before="72"/>
              <w:ind w:left="28"/>
              <w:rPr>
                <w:b/>
                <w:sz w:val="21"/>
              </w:rPr>
            </w:pPr>
            <w:r>
              <w:rPr>
                <w:b/>
                <w:spacing w:val="-2"/>
                <w:sz w:val="21"/>
              </w:rPr>
              <w:t>andador</w:t>
            </w:r>
          </w:p>
        </w:tc>
      </w:tr>
      <w:tr>
        <w:trPr>
          <w:trHeight w:val="271" w:hRule="atLeast"/>
        </w:trPr>
        <w:tc>
          <w:tcPr>
            <w:tcW w:w="2421" w:type="dxa"/>
          </w:tcPr>
          <w:p>
            <w:pPr>
              <w:pStyle w:val="TableParagraph"/>
              <w:spacing w:line="237" w:lineRule="exact" w:before="14"/>
              <w:ind w:left="42"/>
              <w:rPr>
                <w:b/>
                <w:sz w:val="21"/>
              </w:rPr>
            </w:pPr>
            <w:r>
              <w:rPr>
                <w:b/>
                <w:spacing w:val="-2"/>
                <w:sz w:val="21"/>
              </w:rPr>
              <w:t>DEFENSA</w:t>
            </w:r>
          </w:p>
        </w:tc>
        <w:tc>
          <w:tcPr>
            <w:tcW w:w="373" w:type="dxa"/>
          </w:tcPr>
          <w:p>
            <w:pPr>
              <w:pStyle w:val="TableParagraph"/>
              <w:spacing w:line="237" w:lineRule="exact" w:before="14"/>
              <w:ind w:left="40"/>
              <w:jc w:val="center"/>
              <w:rPr>
                <w:sz w:val="21"/>
              </w:rPr>
            </w:pPr>
            <w:r>
              <w:rPr>
                <w:spacing w:val="-10"/>
                <w:sz w:val="21"/>
              </w:rPr>
              <w:t>O</w:t>
            </w:r>
          </w:p>
        </w:tc>
        <w:tc>
          <w:tcPr>
            <w:tcW w:w="373" w:type="dxa"/>
          </w:tcPr>
          <w:p>
            <w:pPr>
              <w:pStyle w:val="TableParagraph"/>
              <w:spacing w:line="237" w:lineRule="exact" w:before="14"/>
              <w:ind w:left="40" w:right="1"/>
              <w:jc w:val="center"/>
              <w:rPr>
                <w:sz w:val="21"/>
              </w:rPr>
            </w:pPr>
            <w:r>
              <w:rPr>
                <w:spacing w:val="-10"/>
                <w:sz w:val="21"/>
              </w:rPr>
              <w:t>O</w:t>
            </w:r>
          </w:p>
        </w:tc>
        <w:tc>
          <w:tcPr>
            <w:tcW w:w="659" w:type="dxa"/>
          </w:tcPr>
          <w:p>
            <w:pPr>
              <w:pStyle w:val="TableParagraph"/>
              <w:spacing w:line="237" w:lineRule="exact" w:before="14"/>
              <w:ind w:left="41" w:right="2"/>
              <w:jc w:val="center"/>
              <w:rPr>
                <w:sz w:val="21"/>
              </w:rPr>
            </w:pPr>
            <w:r>
              <w:rPr>
                <w:spacing w:val="-10"/>
                <w:sz w:val="21"/>
              </w:rPr>
              <w:t>O</w:t>
            </w:r>
          </w:p>
        </w:tc>
        <w:tc>
          <w:tcPr>
            <w:tcW w:w="945" w:type="dxa"/>
          </w:tcPr>
          <w:p>
            <w:pPr>
              <w:pStyle w:val="TableParagraph"/>
              <w:spacing w:line="237" w:lineRule="exact" w:before="14"/>
              <w:ind w:left="40" w:right="1"/>
              <w:jc w:val="center"/>
              <w:rPr>
                <w:sz w:val="21"/>
              </w:rPr>
            </w:pPr>
            <w:r>
              <w:rPr>
                <w:spacing w:val="-10"/>
                <w:sz w:val="21"/>
              </w:rPr>
              <w:t>O</w:t>
            </w:r>
          </w:p>
        </w:tc>
        <w:tc>
          <w:tcPr>
            <w:tcW w:w="945" w:type="dxa"/>
          </w:tcPr>
          <w:p>
            <w:pPr>
              <w:pStyle w:val="TableParagraph"/>
              <w:spacing w:line="237" w:lineRule="exact" w:before="14"/>
              <w:ind w:left="40"/>
              <w:jc w:val="center"/>
              <w:rPr>
                <w:sz w:val="21"/>
              </w:rPr>
            </w:pPr>
            <w:r>
              <w:rPr>
                <w:spacing w:val="-10"/>
                <w:sz w:val="21"/>
              </w:rPr>
              <w:t>O</w:t>
            </w:r>
          </w:p>
        </w:tc>
        <w:tc>
          <w:tcPr>
            <w:tcW w:w="372" w:type="dxa"/>
          </w:tcPr>
          <w:p>
            <w:pPr>
              <w:pStyle w:val="TableParagraph"/>
              <w:spacing w:line="237" w:lineRule="exact" w:before="14"/>
              <w:ind w:left="43" w:right="5"/>
              <w:jc w:val="center"/>
              <w:rPr>
                <w:sz w:val="21"/>
              </w:rPr>
            </w:pPr>
            <w:r>
              <w:rPr>
                <w:spacing w:val="-10"/>
                <w:sz w:val="21"/>
              </w:rPr>
              <w:t>X</w:t>
            </w:r>
          </w:p>
        </w:tc>
        <w:tc>
          <w:tcPr>
            <w:tcW w:w="659"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rPr>
                <w:rFonts w:ascii="Times New Roman"/>
                <w:sz w:val="20"/>
              </w:rPr>
            </w:pPr>
          </w:p>
        </w:tc>
      </w:tr>
      <w:tr>
        <w:trPr>
          <w:trHeight w:val="271" w:hRule="atLeast"/>
        </w:trPr>
        <w:tc>
          <w:tcPr>
            <w:tcW w:w="2421" w:type="dxa"/>
          </w:tcPr>
          <w:p>
            <w:pPr>
              <w:pStyle w:val="TableParagraph"/>
              <w:spacing w:line="237" w:lineRule="exact" w:before="14"/>
              <w:ind w:left="42"/>
              <w:rPr>
                <w:b/>
                <w:sz w:val="21"/>
              </w:rPr>
            </w:pPr>
            <w:r>
              <w:rPr>
                <w:b/>
                <w:spacing w:val="-2"/>
                <w:sz w:val="21"/>
              </w:rPr>
              <w:t>POLICÍA</w:t>
            </w:r>
          </w:p>
        </w:tc>
        <w:tc>
          <w:tcPr>
            <w:tcW w:w="373" w:type="dxa"/>
          </w:tcPr>
          <w:p>
            <w:pPr>
              <w:pStyle w:val="TableParagraph"/>
              <w:spacing w:line="237" w:lineRule="exact" w:before="14"/>
              <w:ind w:left="40"/>
              <w:jc w:val="center"/>
              <w:rPr>
                <w:sz w:val="21"/>
              </w:rPr>
            </w:pPr>
            <w:r>
              <w:rPr>
                <w:spacing w:val="-10"/>
                <w:sz w:val="21"/>
              </w:rPr>
              <w:t>O</w:t>
            </w:r>
          </w:p>
        </w:tc>
        <w:tc>
          <w:tcPr>
            <w:tcW w:w="373" w:type="dxa"/>
          </w:tcPr>
          <w:p>
            <w:pPr>
              <w:pStyle w:val="TableParagraph"/>
              <w:spacing w:line="237" w:lineRule="exact" w:before="14"/>
              <w:ind w:left="40" w:right="1"/>
              <w:jc w:val="center"/>
              <w:rPr>
                <w:sz w:val="21"/>
              </w:rPr>
            </w:pPr>
            <w:r>
              <w:rPr>
                <w:spacing w:val="-10"/>
                <w:sz w:val="21"/>
              </w:rPr>
              <w:t>O</w:t>
            </w:r>
          </w:p>
        </w:tc>
        <w:tc>
          <w:tcPr>
            <w:tcW w:w="659" w:type="dxa"/>
          </w:tcPr>
          <w:p>
            <w:pPr>
              <w:pStyle w:val="TableParagraph"/>
              <w:rPr>
                <w:rFonts w:ascii="Times New Roman"/>
                <w:sz w:val="20"/>
              </w:rPr>
            </w:pPr>
          </w:p>
        </w:tc>
        <w:tc>
          <w:tcPr>
            <w:tcW w:w="945" w:type="dxa"/>
          </w:tcPr>
          <w:p>
            <w:pPr>
              <w:pStyle w:val="TableParagraph"/>
              <w:spacing w:line="237" w:lineRule="exact" w:before="14"/>
              <w:ind w:left="40" w:right="1"/>
              <w:jc w:val="center"/>
              <w:rPr>
                <w:sz w:val="21"/>
              </w:rPr>
            </w:pPr>
            <w:r>
              <w:rPr>
                <w:spacing w:val="-10"/>
                <w:sz w:val="21"/>
              </w:rPr>
              <w:t>O</w:t>
            </w:r>
          </w:p>
        </w:tc>
        <w:tc>
          <w:tcPr>
            <w:tcW w:w="945" w:type="dxa"/>
          </w:tcPr>
          <w:p>
            <w:pPr>
              <w:pStyle w:val="TableParagraph"/>
              <w:rPr>
                <w:rFonts w:ascii="Times New Roman"/>
                <w:sz w:val="20"/>
              </w:rPr>
            </w:pPr>
          </w:p>
        </w:tc>
        <w:tc>
          <w:tcPr>
            <w:tcW w:w="372" w:type="dxa"/>
          </w:tcPr>
          <w:p>
            <w:pPr>
              <w:pStyle w:val="TableParagraph"/>
              <w:spacing w:line="237" w:lineRule="exact" w:before="14"/>
              <w:ind w:left="43" w:right="3"/>
              <w:jc w:val="center"/>
              <w:rPr>
                <w:sz w:val="21"/>
              </w:rPr>
            </w:pPr>
            <w:r>
              <w:rPr>
                <w:spacing w:val="-10"/>
                <w:sz w:val="21"/>
              </w:rPr>
              <w:t>O</w:t>
            </w:r>
          </w:p>
        </w:tc>
        <w:tc>
          <w:tcPr>
            <w:tcW w:w="659" w:type="dxa"/>
          </w:tcPr>
          <w:p>
            <w:pPr>
              <w:pStyle w:val="TableParagraph"/>
              <w:spacing w:line="237" w:lineRule="exact" w:before="14"/>
              <w:ind w:left="41" w:right="1"/>
              <w:jc w:val="center"/>
              <w:rPr>
                <w:sz w:val="21"/>
              </w:rPr>
            </w:pPr>
            <w:r>
              <w:rPr>
                <w:spacing w:val="-10"/>
                <w:sz w:val="21"/>
              </w:rPr>
              <w:t>O</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rPr>
                <w:rFonts w:ascii="Times New Roman"/>
                <w:sz w:val="20"/>
              </w:rPr>
            </w:pPr>
          </w:p>
        </w:tc>
      </w:tr>
      <w:tr>
        <w:trPr>
          <w:trHeight w:val="271" w:hRule="atLeast"/>
        </w:trPr>
        <w:tc>
          <w:tcPr>
            <w:tcW w:w="2421" w:type="dxa"/>
          </w:tcPr>
          <w:p>
            <w:pPr>
              <w:pStyle w:val="TableParagraph"/>
              <w:spacing w:line="237" w:lineRule="exact" w:before="14"/>
              <w:ind w:left="42"/>
              <w:rPr>
                <w:b/>
                <w:sz w:val="21"/>
              </w:rPr>
            </w:pPr>
            <w:r>
              <w:rPr>
                <w:b/>
                <w:spacing w:val="-2"/>
                <w:sz w:val="21"/>
              </w:rPr>
              <w:t>BOMBEROS</w:t>
            </w:r>
          </w:p>
        </w:tc>
        <w:tc>
          <w:tcPr>
            <w:tcW w:w="373" w:type="dxa"/>
          </w:tcPr>
          <w:p>
            <w:pPr>
              <w:pStyle w:val="TableParagraph"/>
              <w:rPr>
                <w:rFonts w:ascii="Times New Roman"/>
                <w:sz w:val="20"/>
              </w:rPr>
            </w:pPr>
          </w:p>
        </w:tc>
        <w:tc>
          <w:tcPr>
            <w:tcW w:w="373" w:type="dxa"/>
          </w:tcPr>
          <w:p>
            <w:pPr>
              <w:pStyle w:val="TableParagraph"/>
              <w:spacing w:line="237" w:lineRule="exact" w:before="14"/>
              <w:ind w:left="40" w:right="1"/>
              <w:jc w:val="center"/>
              <w:rPr>
                <w:sz w:val="21"/>
              </w:rPr>
            </w:pPr>
            <w:r>
              <w:rPr>
                <w:spacing w:val="-10"/>
                <w:sz w:val="21"/>
              </w:rPr>
              <w:t>O</w:t>
            </w:r>
          </w:p>
        </w:tc>
        <w:tc>
          <w:tcPr>
            <w:tcW w:w="659" w:type="dxa"/>
          </w:tcPr>
          <w:p>
            <w:pPr>
              <w:pStyle w:val="TableParagraph"/>
              <w:rPr>
                <w:rFonts w:ascii="Times New Roman"/>
                <w:sz w:val="20"/>
              </w:rPr>
            </w:pPr>
          </w:p>
        </w:tc>
        <w:tc>
          <w:tcPr>
            <w:tcW w:w="945" w:type="dxa"/>
          </w:tcPr>
          <w:p>
            <w:pPr>
              <w:pStyle w:val="TableParagraph"/>
              <w:spacing w:line="237" w:lineRule="exact" w:before="14"/>
              <w:ind w:left="40" w:right="1"/>
              <w:jc w:val="center"/>
              <w:rPr>
                <w:sz w:val="21"/>
              </w:rPr>
            </w:pPr>
            <w:r>
              <w:rPr>
                <w:spacing w:val="-10"/>
                <w:sz w:val="21"/>
              </w:rPr>
              <w:t>O</w:t>
            </w:r>
          </w:p>
        </w:tc>
        <w:tc>
          <w:tcPr>
            <w:tcW w:w="945" w:type="dxa"/>
          </w:tcPr>
          <w:p>
            <w:pPr>
              <w:pStyle w:val="TableParagraph"/>
              <w:spacing w:line="237" w:lineRule="exact" w:before="14"/>
              <w:ind w:left="40"/>
              <w:jc w:val="center"/>
              <w:rPr>
                <w:sz w:val="21"/>
              </w:rPr>
            </w:pPr>
            <w:r>
              <w:rPr>
                <w:spacing w:val="-10"/>
                <w:sz w:val="21"/>
              </w:rPr>
              <w:t>O</w:t>
            </w:r>
          </w:p>
        </w:tc>
        <w:tc>
          <w:tcPr>
            <w:tcW w:w="372" w:type="dxa"/>
          </w:tcPr>
          <w:p>
            <w:pPr>
              <w:pStyle w:val="TableParagraph"/>
              <w:spacing w:line="237" w:lineRule="exact" w:before="14"/>
              <w:ind w:left="43" w:right="3"/>
              <w:jc w:val="center"/>
              <w:rPr>
                <w:sz w:val="21"/>
              </w:rPr>
            </w:pPr>
            <w:r>
              <w:rPr>
                <w:spacing w:val="-10"/>
                <w:sz w:val="21"/>
              </w:rPr>
              <w:t>O</w:t>
            </w:r>
          </w:p>
        </w:tc>
        <w:tc>
          <w:tcPr>
            <w:tcW w:w="659" w:type="dxa"/>
          </w:tcPr>
          <w:p>
            <w:pPr>
              <w:pStyle w:val="TableParagraph"/>
              <w:spacing w:line="237" w:lineRule="exact" w:before="14"/>
              <w:ind w:left="41" w:right="1"/>
              <w:jc w:val="center"/>
              <w:rPr>
                <w:sz w:val="21"/>
              </w:rPr>
            </w:pPr>
            <w:r>
              <w:rPr>
                <w:spacing w:val="-10"/>
                <w:sz w:val="21"/>
              </w:rPr>
              <w:t>O</w:t>
            </w: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rPr>
                <w:rFonts w:ascii="Times New Roman"/>
                <w:sz w:val="20"/>
              </w:rPr>
            </w:pPr>
          </w:p>
        </w:tc>
      </w:tr>
      <w:tr>
        <w:trPr>
          <w:trHeight w:val="557" w:hRule="atLeast"/>
        </w:trPr>
        <w:tc>
          <w:tcPr>
            <w:tcW w:w="2421" w:type="dxa"/>
          </w:tcPr>
          <w:p>
            <w:pPr>
              <w:pStyle w:val="TableParagraph"/>
              <w:spacing w:before="14"/>
              <w:ind w:left="42"/>
              <w:rPr>
                <w:b/>
                <w:sz w:val="21"/>
              </w:rPr>
            </w:pPr>
            <w:r>
              <w:rPr>
                <w:b/>
                <w:sz w:val="21"/>
              </w:rPr>
              <w:t>CENTRO</w:t>
            </w:r>
            <w:r>
              <w:rPr>
                <w:b/>
                <w:spacing w:val="-11"/>
                <w:sz w:val="21"/>
              </w:rPr>
              <w:t> </w:t>
            </w:r>
            <w:r>
              <w:rPr>
                <w:b/>
                <w:spacing w:val="-5"/>
                <w:sz w:val="21"/>
              </w:rPr>
              <w:t>DE</w:t>
            </w:r>
          </w:p>
          <w:p>
            <w:pPr>
              <w:pStyle w:val="TableParagraph"/>
              <w:spacing w:line="237" w:lineRule="exact" w:before="30"/>
              <w:ind w:left="42"/>
              <w:rPr>
                <w:b/>
                <w:sz w:val="21"/>
              </w:rPr>
            </w:pPr>
            <w:r>
              <w:rPr>
                <w:b/>
                <w:spacing w:val="-2"/>
                <w:sz w:val="21"/>
              </w:rPr>
              <w:t>READAPTACIÓN</w:t>
            </w:r>
            <w:r>
              <w:rPr>
                <w:b/>
                <w:spacing w:val="9"/>
                <w:sz w:val="21"/>
              </w:rPr>
              <w:t> </w:t>
            </w:r>
            <w:r>
              <w:rPr>
                <w:b/>
                <w:spacing w:val="-2"/>
                <w:sz w:val="21"/>
              </w:rPr>
              <w:t>SOCIAL</w:t>
            </w:r>
          </w:p>
        </w:tc>
        <w:tc>
          <w:tcPr>
            <w:tcW w:w="373" w:type="dxa"/>
          </w:tcPr>
          <w:p>
            <w:pPr>
              <w:pStyle w:val="TableParagraph"/>
              <w:rPr>
                <w:rFonts w:ascii="Times New Roman"/>
                <w:sz w:val="20"/>
              </w:rPr>
            </w:pPr>
          </w:p>
        </w:tc>
        <w:tc>
          <w:tcPr>
            <w:tcW w:w="373" w:type="dxa"/>
          </w:tcPr>
          <w:p>
            <w:pPr>
              <w:pStyle w:val="TableParagraph"/>
              <w:spacing w:before="157"/>
              <w:ind w:left="40" w:right="1"/>
              <w:jc w:val="center"/>
              <w:rPr>
                <w:sz w:val="21"/>
              </w:rPr>
            </w:pPr>
            <w:r>
              <w:rPr>
                <w:spacing w:val="-10"/>
                <w:sz w:val="21"/>
              </w:rPr>
              <w:t>O</w:t>
            </w:r>
          </w:p>
        </w:tc>
        <w:tc>
          <w:tcPr>
            <w:tcW w:w="659" w:type="dxa"/>
          </w:tcPr>
          <w:p>
            <w:pPr>
              <w:pStyle w:val="TableParagraph"/>
              <w:spacing w:before="157"/>
              <w:ind w:left="41" w:right="2"/>
              <w:jc w:val="center"/>
              <w:rPr>
                <w:sz w:val="21"/>
              </w:rPr>
            </w:pPr>
            <w:r>
              <w:rPr>
                <w:spacing w:val="-10"/>
                <w:sz w:val="21"/>
              </w:rPr>
              <w:t>O</w:t>
            </w:r>
          </w:p>
        </w:tc>
        <w:tc>
          <w:tcPr>
            <w:tcW w:w="945" w:type="dxa"/>
          </w:tcPr>
          <w:p>
            <w:pPr>
              <w:pStyle w:val="TableParagraph"/>
              <w:rPr>
                <w:rFonts w:ascii="Times New Roman"/>
                <w:sz w:val="20"/>
              </w:rPr>
            </w:pPr>
          </w:p>
        </w:tc>
        <w:tc>
          <w:tcPr>
            <w:tcW w:w="945" w:type="dxa"/>
          </w:tcPr>
          <w:p>
            <w:pPr>
              <w:pStyle w:val="TableParagraph"/>
              <w:rPr>
                <w:rFonts w:ascii="Times New Roman"/>
                <w:sz w:val="20"/>
              </w:rPr>
            </w:pPr>
          </w:p>
        </w:tc>
        <w:tc>
          <w:tcPr>
            <w:tcW w:w="372" w:type="dxa"/>
          </w:tcPr>
          <w:p>
            <w:pPr>
              <w:pStyle w:val="TableParagraph"/>
              <w:rPr>
                <w:rFonts w:ascii="Times New Roman"/>
                <w:sz w:val="20"/>
              </w:rPr>
            </w:pPr>
          </w:p>
        </w:tc>
        <w:tc>
          <w:tcPr>
            <w:tcW w:w="659"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72" w:type="dxa"/>
          </w:tcPr>
          <w:p>
            <w:pPr>
              <w:pStyle w:val="TableParagraph"/>
              <w:rPr>
                <w:rFonts w:ascii="Times New Roman"/>
                <w:sz w:val="20"/>
              </w:rPr>
            </w:pPr>
          </w:p>
        </w:tc>
        <w:tc>
          <w:tcPr>
            <w:tcW w:w="364" w:type="dxa"/>
            <w:tcBorders>
              <w:right w:val="single" w:sz="12" w:space="0" w:color="000000"/>
            </w:tcBorders>
          </w:tcPr>
          <w:p>
            <w:pPr>
              <w:pStyle w:val="TableParagraph"/>
              <w:rPr>
                <w:rFonts w:ascii="Times New Roman"/>
                <w:sz w:val="20"/>
              </w:rPr>
            </w:pPr>
          </w:p>
        </w:tc>
      </w:tr>
      <w:tr>
        <w:trPr>
          <w:trHeight w:val="271" w:hRule="atLeast"/>
        </w:trPr>
        <w:tc>
          <w:tcPr>
            <w:tcW w:w="2421" w:type="dxa"/>
            <w:tcBorders>
              <w:bottom w:val="single" w:sz="12" w:space="0" w:color="000000"/>
            </w:tcBorders>
          </w:tcPr>
          <w:p>
            <w:pPr>
              <w:pStyle w:val="TableParagraph"/>
              <w:spacing w:line="251" w:lineRule="exact"/>
              <w:ind w:left="42"/>
              <w:rPr>
                <w:b/>
                <w:sz w:val="21"/>
              </w:rPr>
            </w:pPr>
            <w:r>
              <w:rPr>
                <w:b/>
                <w:spacing w:val="-2"/>
                <w:sz w:val="21"/>
              </w:rPr>
              <w:t>EMERGENCIAS</w:t>
            </w:r>
          </w:p>
        </w:tc>
        <w:tc>
          <w:tcPr>
            <w:tcW w:w="373" w:type="dxa"/>
            <w:tcBorders>
              <w:bottom w:val="single" w:sz="12" w:space="0" w:color="000000"/>
            </w:tcBorders>
          </w:tcPr>
          <w:p>
            <w:pPr>
              <w:pStyle w:val="TableParagraph"/>
              <w:spacing w:line="237" w:lineRule="exact" w:before="14"/>
              <w:ind w:left="40"/>
              <w:jc w:val="center"/>
              <w:rPr>
                <w:sz w:val="21"/>
              </w:rPr>
            </w:pPr>
            <w:r>
              <w:rPr>
                <w:spacing w:val="-10"/>
                <w:sz w:val="21"/>
              </w:rPr>
              <w:t>O</w:t>
            </w:r>
          </w:p>
        </w:tc>
        <w:tc>
          <w:tcPr>
            <w:tcW w:w="373" w:type="dxa"/>
            <w:tcBorders>
              <w:bottom w:val="single" w:sz="12" w:space="0" w:color="000000"/>
            </w:tcBorders>
          </w:tcPr>
          <w:p>
            <w:pPr>
              <w:pStyle w:val="TableParagraph"/>
              <w:spacing w:line="237" w:lineRule="exact" w:before="14"/>
              <w:ind w:left="40" w:right="1"/>
              <w:jc w:val="center"/>
              <w:rPr>
                <w:sz w:val="21"/>
              </w:rPr>
            </w:pPr>
            <w:r>
              <w:rPr>
                <w:spacing w:val="-10"/>
                <w:sz w:val="21"/>
              </w:rPr>
              <w:t>O</w:t>
            </w:r>
          </w:p>
        </w:tc>
        <w:tc>
          <w:tcPr>
            <w:tcW w:w="659" w:type="dxa"/>
            <w:tcBorders>
              <w:bottom w:val="single" w:sz="12" w:space="0" w:color="000000"/>
            </w:tcBorders>
          </w:tcPr>
          <w:p>
            <w:pPr>
              <w:pStyle w:val="TableParagraph"/>
              <w:spacing w:line="237" w:lineRule="exact" w:before="14"/>
              <w:ind w:left="41" w:right="2"/>
              <w:jc w:val="center"/>
              <w:rPr>
                <w:sz w:val="21"/>
              </w:rPr>
            </w:pPr>
            <w:r>
              <w:rPr>
                <w:spacing w:val="-10"/>
                <w:sz w:val="21"/>
              </w:rPr>
              <w:t>O</w:t>
            </w:r>
          </w:p>
        </w:tc>
        <w:tc>
          <w:tcPr>
            <w:tcW w:w="945" w:type="dxa"/>
            <w:tcBorders>
              <w:bottom w:val="single" w:sz="12" w:space="0" w:color="000000"/>
            </w:tcBorders>
          </w:tcPr>
          <w:p>
            <w:pPr>
              <w:pStyle w:val="TableParagraph"/>
              <w:spacing w:line="237" w:lineRule="exact" w:before="14"/>
              <w:ind w:left="40" w:right="1"/>
              <w:jc w:val="center"/>
              <w:rPr>
                <w:sz w:val="21"/>
              </w:rPr>
            </w:pPr>
            <w:r>
              <w:rPr>
                <w:spacing w:val="-10"/>
                <w:sz w:val="21"/>
              </w:rPr>
              <w:t>O</w:t>
            </w:r>
          </w:p>
        </w:tc>
        <w:tc>
          <w:tcPr>
            <w:tcW w:w="945" w:type="dxa"/>
            <w:tcBorders>
              <w:bottom w:val="single" w:sz="12" w:space="0" w:color="000000"/>
            </w:tcBorders>
          </w:tcPr>
          <w:p>
            <w:pPr>
              <w:pStyle w:val="TableParagraph"/>
              <w:spacing w:line="237" w:lineRule="exact" w:before="14"/>
              <w:ind w:left="40"/>
              <w:jc w:val="center"/>
              <w:rPr>
                <w:sz w:val="21"/>
              </w:rPr>
            </w:pPr>
            <w:r>
              <w:rPr>
                <w:spacing w:val="-10"/>
                <w:sz w:val="21"/>
              </w:rPr>
              <w:t>O</w:t>
            </w:r>
          </w:p>
        </w:tc>
        <w:tc>
          <w:tcPr>
            <w:tcW w:w="372" w:type="dxa"/>
            <w:tcBorders>
              <w:bottom w:val="single" w:sz="12" w:space="0" w:color="000000"/>
            </w:tcBorders>
          </w:tcPr>
          <w:p>
            <w:pPr>
              <w:pStyle w:val="TableParagraph"/>
              <w:spacing w:line="237" w:lineRule="exact" w:before="14"/>
              <w:ind w:left="43" w:right="3"/>
              <w:jc w:val="center"/>
              <w:rPr>
                <w:sz w:val="21"/>
              </w:rPr>
            </w:pPr>
            <w:r>
              <w:rPr>
                <w:spacing w:val="-10"/>
                <w:sz w:val="21"/>
              </w:rPr>
              <w:t>O</w:t>
            </w:r>
          </w:p>
        </w:tc>
        <w:tc>
          <w:tcPr>
            <w:tcW w:w="659" w:type="dxa"/>
            <w:tcBorders>
              <w:bottom w:val="single" w:sz="12" w:space="0" w:color="000000"/>
            </w:tcBorders>
          </w:tcPr>
          <w:p>
            <w:pPr>
              <w:pStyle w:val="TableParagraph"/>
              <w:spacing w:line="237" w:lineRule="exact" w:before="14"/>
              <w:ind w:left="41" w:right="1"/>
              <w:jc w:val="center"/>
              <w:rPr>
                <w:sz w:val="21"/>
              </w:rPr>
            </w:pPr>
            <w:r>
              <w:rPr>
                <w:spacing w:val="-10"/>
                <w:sz w:val="21"/>
              </w:rPr>
              <w:t>O</w:t>
            </w:r>
          </w:p>
        </w:tc>
        <w:tc>
          <w:tcPr>
            <w:tcW w:w="372" w:type="dxa"/>
            <w:tcBorders>
              <w:bottom w:val="single" w:sz="12" w:space="0" w:color="000000"/>
            </w:tcBorders>
          </w:tcPr>
          <w:p>
            <w:pPr>
              <w:pStyle w:val="TableParagraph"/>
              <w:rPr>
                <w:rFonts w:ascii="Times New Roman"/>
                <w:sz w:val="20"/>
              </w:rPr>
            </w:pPr>
          </w:p>
        </w:tc>
        <w:tc>
          <w:tcPr>
            <w:tcW w:w="372" w:type="dxa"/>
            <w:tcBorders>
              <w:bottom w:val="single" w:sz="12" w:space="0" w:color="000000"/>
            </w:tcBorders>
          </w:tcPr>
          <w:p>
            <w:pPr>
              <w:pStyle w:val="TableParagraph"/>
              <w:rPr>
                <w:rFonts w:ascii="Times New Roman"/>
                <w:sz w:val="20"/>
              </w:rPr>
            </w:pPr>
          </w:p>
        </w:tc>
        <w:tc>
          <w:tcPr>
            <w:tcW w:w="372" w:type="dxa"/>
            <w:tcBorders>
              <w:bottom w:val="single" w:sz="12" w:space="0" w:color="000000"/>
            </w:tcBorders>
          </w:tcPr>
          <w:p>
            <w:pPr>
              <w:pStyle w:val="TableParagraph"/>
              <w:rPr>
                <w:rFonts w:ascii="Times New Roman"/>
                <w:sz w:val="20"/>
              </w:rPr>
            </w:pPr>
          </w:p>
        </w:tc>
        <w:tc>
          <w:tcPr>
            <w:tcW w:w="364" w:type="dxa"/>
            <w:tcBorders>
              <w:bottom w:val="single" w:sz="12" w:space="0" w:color="000000"/>
              <w:right w:val="single" w:sz="12" w:space="0" w:color="000000"/>
            </w:tcBorders>
          </w:tcPr>
          <w:p>
            <w:pPr>
              <w:pStyle w:val="TableParagraph"/>
              <w:rPr>
                <w:rFonts w:ascii="Times New Roman"/>
                <w:sz w:val="20"/>
              </w:rPr>
            </w:pPr>
          </w:p>
        </w:tc>
      </w:tr>
    </w:tbl>
    <w:p>
      <w:pPr>
        <w:pStyle w:val="BodyText"/>
        <w:spacing w:before="9"/>
      </w:pPr>
    </w:p>
    <w:p>
      <w:pPr>
        <w:pStyle w:val="BodyText"/>
        <w:tabs>
          <w:tab w:pos="1571" w:val="left" w:leader="none"/>
        </w:tabs>
        <w:ind w:left="262"/>
      </w:pPr>
      <w:r>
        <w:rPr/>
        <w:t>O</w:t>
      </w:r>
      <w:r>
        <w:rPr>
          <w:spacing w:val="-2"/>
        </w:rPr>
        <w:t> adecuada</w:t>
      </w:r>
      <w:r>
        <w:rPr/>
        <w:tab/>
        <w:t>X</w:t>
      </w:r>
      <w:r>
        <w:rPr>
          <w:spacing w:val="-2"/>
        </w:rPr>
        <w:t> tolerable</w:t>
      </w:r>
    </w:p>
    <w:p>
      <w:pPr>
        <w:pStyle w:val="BodyText"/>
      </w:pPr>
    </w:p>
    <w:p>
      <w:pPr>
        <w:pStyle w:val="BodyText"/>
        <w:spacing w:before="4"/>
      </w:pPr>
    </w:p>
    <w:p>
      <w:pPr>
        <w:pStyle w:val="BodyText"/>
        <w:ind w:right="17"/>
        <w:jc w:val="center"/>
      </w:pPr>
      <w:r>
        <w:rPr/>
        <mc:AlternateContent>
          <mc:Choice Requires="wps">
            <w:drawing>
              <wp:anchor distT="0" distB="0" distL="0" distR="0" allowOverlap="1" layoutInCell="1" locked="0" behindDoc="1" simplePos="0" relativeHeight="482494976">
                <wp:simplePos x="0" y="0"/>
                <wp:positionH relativeFrom="page">
                  <wp:posOffset>5436425</wp:posOffset>
                </wp:positionH>
                <wp:positionV relativeFrom="paragraph">
                  <wp:posOffset>542843</wp:posOffset>
                </wp:positionV>
                <wp:extent cx="168910" cy="6769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68910" cy="676910"/>
                        </a:xfrm>
                        <a:prstGeom prst="rect">
                          <a:avLst/>
                        </a:prstGeom>
                      </wps:spPr>
                      <wps:txbx>
                        <w:txbxContent>
                          <w:p>
                            <w:pPr>
                              <w:spacing w:line="248" w:lineRule="exact" w:before="0"/>
                              <w:ind w:left="20" w:right="0" w:firstLine="0"/>
                              <w:jc w:val="left"/>
                              <w:rPr>
                                <w:rFonts w:ascii="Calibri"/>
                                <w:b/>
                                <w:sz w:val="22"/>
                              </w:rPr>
                            </w:pPr>
                            <w:r>
                              <w:rPr>
                                <w:rFonts w:ascii="Calibri"/>
                                <w:b/>
                                <w:sz w:val="22"/>
                              </w:rPr>
                              <w:t>o</w:t>
                            </w:r>
                            <w:r>
                              <w:rPr>
                                <w:rFonts w:ascii="Calibri"/>
                                <w:b/>
                                <w:spacing w:val="-5"/>
                                <w:sz w:val="22"/>
                              </w:rPr>
                              <w:t> </w:t>
                            </w:r>
                            <w:r>
                              <w:rPr>
                                <w:rFonts w:ascii="Calibri"/>
                                <w:b/>
                                <w:spacing w:val="-2"/>
                                <w:sz w:val="22"/>
                              </w:rPr>
                              <w:t>colectora</w:t>
                            </w:r>
                          </w:p>
                        </w:txbxContent>
                      </wps:txbx>
                      <wps:bodyPr wrap="square" lIns="0" tIns="0" rIns="0" bIns="0" rtlCol="0" vert="vert270">
                        <a:noAutofit/>
                      </wps:bodyPr>
                    </wps:wsp>
                  </a:graphicData>
                </a:graphic>
              </wp:anchor>
            </w:drawing>
          </mc:Choice>
          <mc:Fallback>
            <w:pict>
              <v:shape style="position:absolute;margin-left:428.064972pt;margin-top:42.743561pt;width:13.3pt;height:53.3pt;mso-position-horizontal-relative:page;mso-position-vertical-relative:paragraph;z-index:-20821504" type="#_x0000_t202" id="docshape16" filled="false" stroked="false">
                <v:textbox inset="0,0,0,0" style="layout-flow:vertical;mso-layout-flow-alt:bottom-to-top">
                  <w:txbxContent>
                    <w:p>
                      <w:pPr>
                        <w:spacing w:line="248" w:lineRule="exact" w:before="0"/>
                        <w:ind w:left="20" w:right="0" w:firstLine="0"/>
                        <w:jc w:val="left"/>
                        <w:rPr>
                          <w:rFonts w:ascii="Calibri"/>
                          <w:b/>
                          <w:sz w:val="22"/>
                        </w:rPr>
                      </w:pPr>
                      <w:r>
                        <w:rPr>
                          <w:rFonts w:ascii="Calibri"/>
                          <w:b/>
                          <w:sz w:val="22"/>
                        </w:rPr>
                        <w:t>o</w:t>
                      </w:r>
                      <w:r>
                        <w:rPr>
                          <w:rFonts w:ascii="Calibri"/>
                          <w:b/>
                          <w:spacing w:val="-5"/>
                          <w:sz w:val="22"/>
                        </w:rPr>
                        <w:t> </w:t>
                      </w:r>
                      <w:r>
                        <w:rPr>
                          <w:rFonts w:ascii="Calibri"/>
                          <w:b/>
                          <w:spacing w:val="-2"/>
                          <w:sz w:val="22"/>
                        </w:rPr>
                        <w:t>colectora</w:t>
                      </w:r>
                    </w:p>
                  </w:txbxContent>
                </v:textbox>
                <w10:wrap type="none"/>
              </v:shape>
            </w:pict>
          </mc:Fallback>
        </mc:AlternateContent>
      </w:r>
      <w:r>
        <w:rPr/>
        <w:t>SERVICIOS</w:t>
      </w:r>
      <w:r>
        <w:rPr>
          <w:spacing w:val="-10"/>
        </w:rPr>
        <w:t> </w:t>
      </w:r>
      <w:r>
        <w:rPr>
          <w:spacing w:val="-2"/>
        </w:rPr>
        <w:t>MORTUORIOS</w:t>
      </w:r>
    </w:p>
    <w:p>
      <w:pPr>
        <w:pStyle w:val="BodyText"/>
        <w:spacing w:before="4"/>
        <w:rPr>
          <w:sz w:val="19"/>
        </w:rPr>
      </w:pP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85" w:hRule="atLeast"/>
        </w:trPr>
        <w:tc>
          <w:tcPr>
            <w:tcW w:w="2535" w:type="dxa"/>
            <w:tcBorders>
              <w:bottom w:val="single" w:sz="6" w:space="0" w:color="D0D6E4"/>
            </w:tcBorders>
          </w:tcPr>
          <w:p>
            <w:pPr>
              <w:pStyle w:val="TableParagraph"/>
              <w:rPr>
                <w:rFonts w:ascii="Times New Roman"/>
                <w:sz w:val="20"/>
              </w:rPr>
            </w:pPr>
          </w:p>
        </w:tc>
        <w:tc>
          <w:tcPr>
            <w:tcW w:w="1469" w:type="dxa"/>
            <w:gridSpan w:val="3"/>
            <w:tcBorders>
              <w:bottom w:val="single" w:sz="12" w:space="0" w:color="000000"/>
            </w:tcBorders>
          </w:tcPr>
          <w:p>
            <w:pPr>
              <w:pStyle w:val="TableParagraph"/>
              <w:spacing w:line="250" w:lineRule="exact" w:before="15"/>
              <w:ind w:left="74"/>
              <w:rPr>
                <w:b/>
                <w:sz w:val="22"/>
              </w:rPr>
            </w:pPr>
            <w:r>
              <w:rPr>
                <w:b/>
                <w:spacing w:val="-2"/>
                <w:sz w:val="22"/>
              </w:rPr>
              <w:t>INTERURBANA</w:t>
            </w:r>
          </w:p>
        </w:tc>
        <w:tc>
          <w:tcPr>
            <w:tcW w:w="4600" w:type="dxa"/>
            <w:gridSpan w:val="8"/>
            <w:tcBorders>
              <w:bottom w:val="single" w:sz="12" w:space="0" w:color="000000"/>
              <w:right w:val="single" w:sz="12" w:space="0" w:color="000000"/>
            </w:tcBorders>
          </w:tcPr>
          <w:p>
            <w:pPr>
              <w:pStyle w:val="TableParagraph"/>
              <w:spacing w:line="250" w:lineRule="exact" w:before="15"/>
              <w:ind w:left="76"/>
              <w:jc w:val="center"/>
              <w:rPr>
                <w:b/>
                <w:sz w:val="22"/>
              </w:rPr>
            </w:pPr>
            <w:r>
              <w:rPr>
                <w:b/>
                <w:spacing w:val="-2"/>
                <w:sz w:val="22"/>
              </w:rPr>
              <w:t>URBANA</w:t>
            </w:r>
          </w:p>
        </w:tc>
      </w:tr>
      <w:tr>
        <w:trPr>
          <w:trHeight w:val="1140" w:hRule="atLeast"/>
        </w:trPr>
        <w:tc>
          <w:tcPr>
            <w:tcW w:w="2535" w:type="dxa"/>
            <w:tcBorders>
              <w:top w:val="single" w:sz="6" w:space="0" w:color="D0D6E4"/>
            </w:tcBorders>
          </w:tcPr>
          <w:p>
            <w:pPr>
              <w:pStyle w:val="TableParagraph"/>
              <w:rPr>
                <w:rFonts w:ascii="Times New Roman"/>
                <w:sz w:val="20"/>
              </w:rPr>
            </w:pPr>
          </w:p>
        </w:tc>
        <w:tc>
          <w:tcPr>
            <w:tcW w:w="390" w:type="dxa"/>
            <w:tcBorders>
              <w:top w:val="single" w:sz="12" w:space="0" w:color="000000"/>
            </w:tcBorders>
            <w:textDirection w:val="btLr"/>
          </w:tcPr>
          <w:p>
            <w:pPr>
              <w:pStyle w:val="TableParagraph"/>
              <w:spacing w:before="75"/>
              <w:ind w:left="30"/>
              <w:rPr>
                <w:b/>
                <w:sz w:val="22"/>
              </w:rPr>
            </w:pPr>
            <w:r>
              <w:rPr>
                <w:b/>
                <w:spacing w:val="-2"/>
                <w:sz w:val="22"/>
              </w:rPr>
              <w:t>autopista</w:t>
            </w:r>
          </w:p>
        </w:tc>
        <w:tc>
          <w:tcPr>
            <w:tcW w:w="390" w:type="dxa"/>
            <w:tcBorders>
              <w:top w:val="single" w:sz="12" w:space="0" w:color="000000"/>
            </w:tcBorders>
            <w:textDirection w:val="btLr"/>
          </w:tcPr>
          <w:p>
            <w:pPr>
              <w:pStyle w:val="TableParagraph"/>
              <w:spacing w:before="75"/>
              <w:ind w:left="30"/>
              <w:rPr>
                <w:b/>
                <w:sz w:val="22"/>
              </w:rPr>
            </w:pPr>
            <w:r>
              <w:rPr>
                <w:b/>
                <w:spacing w:val="-2"/>
                <w:sz w:val="22"/>
              </w:rPr>
              <w:t>carretera</w:t>
            </w:r>
          </w:p>
        </w:tc>
        <w:tc>
          <w:tcPr>
            <w:tcW w:w="689" w:type="dxa"/>
            <w:tcBorders>
              <w:top w:val="single" w:sz="12" w:space="0" w:color="000000"/>
            </w:tcBorders>
            <w:textDirection w:val="btLr"/>
          </w:tcPr>
          <w:p>
            <w:pPr>
              <w:pStyle w:val="TableParagraph"/>
              <w:spacing w:line="300" w:lineRule="atLeast" w:before="44"/>
              <w:ind w:left="30" w:right="44"/>
              <w:rPr>
                <w:b/>
                <w:sz w:val="22"/>
              </w:rPr>
            </w:pPr>
            <w:r>
              <w:rPr>
                <w:b/>
                <w:spacing w:val="-2"/>
                <w:sz w:val="22"/>
              </w:rPr>
              <w:t>camino rural</w:t>
            </w:r>
          </w:p>
        </w:tc>
        <w:tc>
          <w:tcPr>
            <w:tcW w:w="989" w:type="dxa"/>
            <w:tcBorders>
              <w:top w:val="single" w:sz="12" w:space="0" w:color="000000"/>
            </w:tcBorders>
            <w:textDirection w:val="btLr"/>
          </w:tcPr>
          <w:p>
            <w:pPr>
              <w:pStyle w:val="TableParagraph"/>
              <w:spacing w:line="300" w:lineRule="atLeast" w:before="45"/>
              <w:ind w:left="30"/>
              <w:rPr>
                <w:b/>
                <w:sz w:val="22"/>
              </w:rPr>
            </w:pPr>
            <w:r>
              <w:rPr>
                <w:b/>
                <w:spacing w:val="-2"/>
                <w:sz w:val="22"/>
              </w:rPr>
              <w:t>acceso controlado c/lateral</w:t>
            </w:r>
          </w:p>
        </w:tc>
        <w:tc>
          <w:tcPr>
            <w:tcW w:w="989" w:type="dxa"/>
            <w:tcBorders>
              <w:top w:val="single" w:sz="12" w:space="0" w:color="000000"/>
            </w:tcBorders>
            <w:textDirection w:val="btLr"/>
          </w:tcPr>
          <w:p>
            <w:pPr>
              <w:pStyle w:val="TableParagraph"/>
              <w:spacing w:line="300" w:lineRule="atLeast" w:before="46"/>
              <w:ind w:left="30"/>
              <w:rPr>
                <w:b/>
                <w:sz w:val="22"/>
              </w:rPr>
            </w:pPr>
            <w:r>
              <w:rPr>
                <w:b/>
                <w:spacing w:val="-2"/>
                <w:sz w:val="22"/>
              </w:rPr>
              <w:t>acceso controlado s/lateral</w:t>
            </w:r>
          </w:p>
        </w:tc>
        <w:tc>
          <w:tcPr>
            <w:tcW w:w="389" w:type="dxa"/>
            <w:tcBorders>
              <w:top w:val="single" w:sz="12" w:space="0" w:color="000000"/>
            </w:tcBorders>
            <w:textDirection w:val="btLr"/>
          </w:tcPr>
          <w:p>
            <w:pPr>
              <w:pStyle w:val="TableParagraph"/>
              <w:spacing w:before="78"/>
              <w:ind w:left="30"/>
              <w:rPr>
                <w:b/>
                <w:sz w:val="22"/>
              </w:rPr>
            </w:pPr>
            <w:r>
              <w:rPr>
                <w:b/>
                <w:spacing w:val="-2"/>
                <w:sz w:val="22"/>
              </w:rPr>
              <w:t>primaria</w:t>
            </w:r>
          </w:p>
        </w:tc>
        <w:tc>
          <w:tcPr>
            <w:tcW w:w="689" w:type="dxa"/>
            <w:tcBorders>
              <w:top w:val="single" w:sz="12" w:space="0" w:color="000000"/>
            </w:tcBorders>
            <w:textDirection w:val="btLr"/>
          </w:tcPr>
          <w:p>
            <w:pPr>
              <w:pStyle w:val="TableParagraph"/>
              <w:spacing w:before="79"/>
              <w:ind w:left="30"/>
              <w:rPr>
                <w:b/>
                <w:sz w:val="22"/>
              </w:rPr>
            </w:pPr>
            <w:r>
              <w:rPr>
                <w:b/>
                <w:spacing w:val="-2"/>
                <w:sz w:val="22"/>
              </w:rPr>
              <w:t>secundaria</w:t>
            </w:r>
          </w:p>
        </w:tc>
        <w:tc>
          <w:tcPr>
            <w:tcW w:w="388" w:type="dxa"/>
            <w:tcBorders>
              <w:top w:val="single" w:sz="12" w:space="0" w:color="000000"/>
            </w:tcBorders>
            <w:textDirection w:val="btLr"/>
          </w:tcPr>
          <w:p>
            <w:pPr>
              <w:pStyle w:val="TableParagraph"/>
              <w:spacing w:before="81"/>
              <w:ind w:left="30"/>
              <w:rPr>
                <w:b/>
                <w:sz w:val="22"/>
              </w:rPr>
            </w:pPr>
            <w:r>
              <w:rPr>
                <w:b/>
                <w:spacing w:val="-2"/>
                <w:sz w:val="22"/>
              </w:rPr>
              <w:t>local</w:t>
            </w:r>
          </w:p>
        </w:tc>
        <w:tc>
          <w:tcPr>
            <w:tcW w:w="388" w:type="dxa"/>
            <w:tcBorders>
              <w:top w:val="single" w:sz="12" w:space="0" w:color="000000"/>
            </w:tcBorders>
            <w:textDirection w:val="btLr"/>
          </w:tcPr>
          <w:p>
            <w:pPr>
              <w:pStyle w:val="TableParagraph"/>
              <w:spacing w:before="82"/>
              <w:ind w:left="30"/>
              <w:rPr>
                <w:b/>
                <w:sz w:val="22"/>
              </w:rPr>
            </w:pPr>
            <w:r>
              <w:rPr>
                <w:b/>
                <w:spacing w:val="-2"/>
                <w:sz w:val="22"/>
              </w:rPr>
              <w:t>cerrada</w:t>
            </w:r>
          </w:p>
        </w:tc>
        <w:tc>
          <w:tcPr>
            <w:tcW w:w="388" w:type="dxa"/>
            <w:tcBorders>
              <w:top w:val="single" w:sz="12" w:space="0" w:color="000000"/>
            </w:tcBorders>
            <w:textDirection w:val="btLr"/>
          </w:tcPr>
          <w:p>
            <w:pPr>
              <w:pStyle w:val="TableParagraph"/>
              <w:spacing w:before="84"/>
              <w:ind w:left="30"/>
              <w:rPr>
                <w:b/>
                <w:sz w:val="22"/>
              </w:rPr>
            </w:pPr>
            <w:r>
              <w:rPr>
                <w:b/>
                <w:spacing w:val="-2"/>
                <w:sz w:val="22"/>
              </w:rPr>
              <w:t>ciclovía</w:t>
            </w:r>
          </w:p>
        </w:tc>
        <w:tc>
          <w:tcPr>
            <w:tcW w:w="380" w:type="dxa"/>
            <w:tcBorders>
              <w:top w:val="single" w:sz="12" w:space="0" w:color="000000"/>
              <w:right w:val="single" w:sz="12" w:space="0" w:color="000000"/>
            </w:tcBorders>
            <w:textDirection w:val="btLr"/>
          </w:tcPr>
          <w:p>
            <w:pPr>
              <w:pStyle w:val="TableParagraph"/>
              <w:spacing w:line="251" w:lineRule="exact" w:before="87"/>
              <w:ind w:left="30"/>
              <w:rPr>
                <w:b/>
                <w:sz w:val="22"/>
              </w:rPr>
            </w:pPr>
            <w:r>
              <w:rPr>
                <w:b/>
                <w:spacing w:val="-2"/>
                <w:sz w:val="22"/>
              </w:rPr>
              <w:t>andador</w:t>
            </w:r>
          </w:p>
        </w:tc>
      </w:tr>
      <w:tr>
        <w:trPr>
          <w:trHeight w:val="284" w:hRule="atLeast"/>
        </w:trPr>
        <w:tc>
          <w:tcPr>
            <w:tcW w:w="2535" w:type="dxa"/>
          </w:tcPr>
          <w:p>
            <w:pPr>
              <w:pStyle w:val="TableParagraph"/>
              <w:spacing w:line="250" w:lineRule="exact" w:before="15"/>
              <w:ind w:left="44"/>
              <w:rPr>
                <w:b/>
                <w:sz w:val="22"/>
              </w:rPr>
            </w:pPr>
            <w:r>
              <w:rPr>
                <w:b/>
                <w:spacing w:val="-2"/>
                <w:sz w:val="22"/>
              </w:rPr>
              <w:t>CEMENTERIO</w:t>
            </w:r>
          </w:p>
        </w:tc>
        <w:tc>
          <w:tcPr>
            <w:tcW w:w="390" w:type="dxa"/>
          </w:tcPr>
          <w:p>
            <w:pPr>
              <w:pStyle w:val="TableParagraph"/>
              <w:rPr>
                <w:rFonts w:ascii="Times New Roman"/>
                <w:sz w:val="20"/>
              </w:rPr>
            </w:pPr>
          </w:p>
        </w:tc>
        <w:tc>
          <w:tcPr>
            <w:tcW w:w="390" w:type="dxa"/>
          </w:tcPr>
          <w:p>
            <w:pPr>
              <w:pStyle w:val="TableParagraph"/>
              <w:spacing w:line="250" w:lineRule="exact" w:before="15"/>
              <w:ind w:left="44"/>
              <w:jc w:val="center"/>
              <w:rPr>
                <w:sz w:val="22"/>
              </w:rPr>
            </w:pPr>
            <w:r>
              <w:rPr>
                <w:spacing w:val="-10"/>
                <w:sz w:val="22"/>
              </w:rPr>
              <w:t>O</w:t>
            </w:r>
          </w:p>
        </w:tc>
        <w:tc>
          <w:tcPr>
            <w:tcW w:w="689" w:type="dxa"/>
          </w:tcPr>
          <w:p>
            <w:pPr>
              <w:pStyle w:val="TableParagraph"/>
              <w:spacing w:line="250" w:lineRule="exact" w:before="15"/>
              <w:ind w:left="53" w:right="7"/>
              <w:jc w:val="center"/>
              <w:rPr>
                <w:sz w:val="22"/>
              </w:rPr>
            </w:pPr>
            <w:r>
              <w:rPr>
                <w:spacing w:val="-10"/>
                <w:sz w:val="22"/>
              </w:rPr>
              <w:t>O</w:t>
            </w:r>
          </w:p>
        </w:tc>
        <w:tc>
          <w:tcPr>
            <w:tcW w:w="989" w:type="dxa"/>
          </w:tcPr>
          <w:p>
            <w:pPr>
              <w:pStyle w:val="TableParagraph"/>
              <w:spacing w:line="250" w:lineRule="exact" w:before="15"/>
              <w:ind w:left="50" w:right="5"/>
              <w:jc w:val="center"/>
              <w:rPr>
                <w:sz w:val="22"/>
              </w:rPr>
            </w:pPr>
            <w:r>
              <w:rPr>
                <w:spacing w:val="-10"/>
                <w:sz w:val="22"/>
              </w:rPr>
              <w:t>X</w:t>
            </w:r>
          </w:p>
        </w:tc>
        <w:tc>
          <w:tcPr>
            <w:tcW w:w="989" w:type="dxa"/>
          </w:tcPr>
          <w:p>
            <w:pPr>
              <w:pStyle w:val="TableParagraph"/>
              <w:rPr>
                <w:rFonts w:ascii="Times New Roman"/>
                <w:sz w:val="20"/>
              </w:rPr>
            </w:pPr>
          </w:p>
        </w:tc>
        <w:tc>
          <w:tcPr>
            <w:tcW w:w="389" w:type="dxa"/>
          </w:tcPr>
          <w:p>
            <w:pPr>
              <w:pStyle w:val="TableParagraph"/>
              <w:rPr>
                <w:rFonts w:ascii="Times New Roman"/>
                <w:sz w:val="20"/>
              </w:rPr>
            </w:pPr>
          </w:p>
        </w:tc>
        <w:tc>
          <w:tcPr>
            <w:tcW w:w="689"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8" w:type="dxa"/>
          </w:tcPr>
          <w:p>
            <w:pPr>
              <w:pStyle w:val="TableParagraph"/>
              <w:rPr>
                <w:rFonts w:ascii="Times New Roman"/>
                <w:sz w:val="20"/>
              </w:rPr>
            </w:pPr>
          </w:p>
        </w:tc>
        <w:tc>
          <w:tcPr>
            <w:tcW w:w="380" w:type="dxa"/>
            <w:tcBorders>
              <w:right w:val="single" w:sz="12" w:space="0" w:color="000000"/>
            </w:tcBorders>
          </w:tcPr>
          <w:p>
            <w:pPr>
              <w:pStyle w:val="TableParagraph"/>
              <w:rPr>
                <w:rFonts w:ascii="Times New Roman"/>
                <w:sz w:val="20"/>
              </w:rPr>
            </w:pPr>
          </w:p>
        </w:tc>
      </w:tr>
      <w:tr>
        <w:trPr>
          <w:trHeight w:val="282" w:hRule="atLeast"/>
        </w:trPr>
        <w:tc>
          <w:tcPr>
            <w:tcW w:w="2535" w:type="dxa"/>
            <w:tcBorders>
              <w:bottom w:val="single" w:sz="8" w:space="0" w:color="000000"/>
            </w:tcBorders>
          </w:tcPr>
          <w:p>
            <w:pPr>
              <w:pStyle w:val="TableParagraph"/>
              <w:spacing w:line="247" w:lineRule="exact" w:before="15"/>
              <w:ind w:left="44"/>
              <w:rPr>
                <w:b/>
                <w:sz w:val="22"/>
              </w:rPr>
            </w:pPr>
            <w:r>
              <w:rPr>
                <w:b/>
                <w:spacing w:val="-2"/>
                <w:sz w:val="22"/>
              </w:rPr>
              <w:t>MAUSOLEOS</w:t>
            </w:r>
          </w:p>
        </w:tc>
        <w:tc>
          <w:tcPr>
            <w:tcW w:w="390" w:type="dxa"/>
            <w:tcBorders>
              <w:bottom w:val="single" w:sz="8" w:space="0" w:color="000000"/>
            </w:tcBorders>
          </w:tcPr>
          <w:p>
            <w:pPr>
              <w:pStyle w:val="TableParagraph"/>
              <w:rPr>
                <w:rFonts w:ascii="Times New Roman"/>
                <w:sz w:val="20"/>
              </w:rPr>
            </w:pPr>
          </w:p>
        </w:tc>
        <w:tc>
          <w:tcPr>
            <w:tcW w:w="390" w:type="dxa"/>
            <w:tcBorders>
              <w:bottom w:val="single" w:sz="8" w:space="0" w:color="000000"/>
            </w:tcBorders>
          </w:tcPr>
          <w:p>
            <w:pPr>
              <w:pStyle w:val="TableParagraph"/>
              <w:spacing w:line="247" w:lineRule="exact" w:before="15"/>
              <w:ind w:left="44"/>
              <w:jc w:val="center"/>
              <w:rPr>
                <w:sz w:val="22"/>
              </w:rPr>
            </w:pPr>
            <w:r>
              <w:rPr>
                <w:spacing w:val="-10"/>
                <w:sz w:val="22"/>
              </w:rPr>
              <w:t>O</w:t>
            </w:r>
          </w:p>
        </w:tc>
        <w:tc>
          <w:tcPr>
            <w:tcW w:w="689" w:type="dxa"/>
            <w:tcBorders>
              <w:bottom w:val="single" w:sz="8" w:space="0" w:color="000000"/>
            </w:tcBorders>
          </w:tcPr>
          <w:p>
            <w:pPr>
              <w:pStyle w:val="TableParagraph"/>
              <w:spacing w:line="247" w:lineRule="exact" w:before="15"/>
              <w:ind w:left="53" w:right="7"/>
              <w:jc w:val="center"/>
              <w:rPr>
                <w:sz w:val="22"/>
              </w:rPr>
            </w:pPr>
            <w:r>
              <w:rPr>
                <w:spacing w:val="-10"/>
                <w:sz w:val="22"/>
              </w:rPr>
              <w:t>O</w:t>
            </w:r>
          </w:p>
        </w:tc>
        <w:tc>
          <w:tcPr>
            <w:tcW w:w="989" w:type="dxa"/>
            <w:tcBorders>
              <w:bottom w:val="single" w:sz="8" w:space="0" w:color="000000"/>
            </w:tcBorders>
          </w:tcPr>
          <w:p>
            <w:pPr>
              <w:pStyle w:val="TableParagraph"/>
              <w:spacing w:line="247" w:lineRule="exact" w:before="15"/>
              <w:ind w:left="50" w:right="5"/>
              <w:jc w:val="center"/>
              <w:rPr>
                <w:sz w:val="22"/>
              </w:rPr>
            </w:pPr>
            <w:r>
              <w:rPr>
                <w:spacing w:val="-10"/>
                <w:sz w:val="22"/>
              </w:rPr>
              <w:t>X</w:t>
            </w:r>
          </w:p>
        </w:tc>
        <w:tc>
          <w:tcPr>
            <w:tcW w:w="989" w:type="dxa"/>
            <w:tcBorders>
              <w:bottom w:val="single" w:sz="8" w:space="0" w:color="000000"/>
            </w:tcBorders>
          </w:tcPr>
          <w:p>
            <w:pPr>
              <w:pStyle w:val="TableParagraph"/>
              <w:rPr>
                <w:rFonts w:ascii="Times New Roman"/>
                <w:sz w:val="20"/>
              </w:rPr>
            </w:pPr>
          </w:p>
        </w:tc>
        <w:tc>
          <w:tcPr>
            <w:tcW w:w="389" w:type="dxa"/>
            <w:tcBorders>
              <w:bottom w:val="single" w:sz="8" w:space="0" w:color="000000"/>
            </w:tcBorders>
          </w:tcPr>
          <w:p>
            <w:pPr>
              <w:pStyle w:val="TableParagraph"/>
              <w:rPr>
                <w:rFonts w:ascii="Times New Roman"/>
                <w:sz w:val="20"/>
              </w:rPr>
            </w:pPr>
          </w:p>
        </w:tc>
        <w:tc>
          <w:tcPr>
            <w:tcW w:w="689"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0" w:type="dxa"/>
            <w:tcBorders>
              <w:bottom w:val="single" w:sz="8" w:space="0" w:color="000000"/>
              <w:right w:val="single" w:sz="12" w:space="0" w:color="000000"/>
            </w:tcBorders>
          </w:tcPr>
          <w:p>
            <w:pPr>
              <w:pStyle w:val="TableParagraph"/>
              <w:rPr>
                <w:rFonts w:ascii="Times New Roman"/>
                <w:sz w:val="20"/>
              </w:rPr>
            </w:pPr>
          </w:p>
        </w:tc>
      </w:tr>
      <w:tr>
        <w:trPr>
          <w:trHeight w:val="874" w:hRule="atLeast"/>
        </w:trPr>
        <w:tc>
          <w:tcPr>
            <w:tcW w:w="2535" w:type="dxa"/>
            <w:tcBorders>
              <w:top w:val="single" w:sz="8" w:space="0" w:color="000000"/>
              <w:bottom w:val="single" w:sz="18" w:space="0" w:color="000000"/>
            </w:tcBorders>
          </w:tcPr>
          <w:p>
            <w:pPr>
              <w:pStyle w:val="TableParagraph"/>
              <w:spacing w:line="267" w:lineRule="exact"/>
              <w:ind w:left="44"/>
              <w:rPr>
                <w:b/>
                <w:sz w:val="22"/>
              </w:rPr>
            </w:pPr>
            <w:r>
              <w:rPr>
                <w:b/>
                <w:sz w:val="22"/>
              </w:rPr>
              <w:t>AGENCIAS</w:t>
            </w:r>
            <w:r>
              <w:rPr>
                <w:b/>
                <w:spacing w:val="8"/>
                <w:sz w:val="22"/>
              </w:rPr>
              <w:t> </w:t>
            </w:r>
            <w:r>
              <w:rPr>
                <w:b/>
                <w:spacing w:val="-5"/>
                <w:sz w:val="22"/>
              </w:rPr>
              <w:t>DE</w:t>
            </w:r>
          </w:p>
          <w:p>
            <w:pPr>
              <w:pStyle w:val="TableParagraph"/>
              <w:spacing w:line="300" w:lineRule="atLeast"/>
              <w:ind w:left="44"/>
              <w:rPr>
                <w:b/>
                <w:sz w:val="22"/>
              </w:rPr>
            </w:pPr>
            <w:r>
              <w:rPr>
                <w:b/>
                <w:sz w:val="22"/>
              </w:rPr>
              <w:t>INHUMACIONES</w:t>
            </w:r>
            <w:r>
              <w:rPr>
                <w:b/>
                <w:spacing w:val="-13"/>
                <w:sz w:val="22"/>
              </w:rPr>
              <w:t> </w:t>
            </w:r>
            <w:r>
              <w:rPr>
                <w:b/>
                <w:sz w:val="22"/>
              </w:rPr>
              <w:t>Y </w:t>
            </w:r>
            <w:r>
              <w:rPr>
                <w:b/>
                <w:spacing w:val="-2"/>
                <w:sz w:val="22"/>
              </w:rPr>
              <w:t>FUNERARIAS</w:t>
            </w:r>
          </w:p>
        </w:tc>
        <w:tc>
          <w:tcPr>
            <w:tcW w:w="390" w:type="dxa"/>
            <w:tcBorders>
              <w:top w:val="single" w:sz="8" w:space="0" w:color="000000"/>
              <w:bottom w:val="single" w:sz="18" w:space="0" w:color="000000"/>
            </w:tcBorders>
          </w:tcPr>
          <w:p>
            <w:pPr>
              <w:pStyle w:val="TableParagraph"/>
              <w:rPr>
                <w:rFonts w:ascii="Times New Roman"/>
                <w:sz w:val="20"/>
              </w:rPr>
            </w:pPr>
          </w:p>
        </w:tc>
        <w:tc>
          <w:tcPr>
            <w:tcW w:w="390" w:type="dxa"/>
            <w:tcBorders>
              <w:top w:val="single" w:sz="8" w:space="0" w:color="000000"/>
              <w:bottom w:val="single" w:sz="18" w:space="0" w:color="000000"/>
            </w:tcBorders>
          </w:tcPr>
          <w:p>
            <w:pPr>
              <w:pStyle w:val="TableParagraph"/>
              <w:rPr>
                <w:rFonts w:ascii="Times New Roman"/>
                <w:sz w:val="20"/>
              </w:rPr>
            </w:pPr>
          </w:p>
        </w:tc>
        <w:tc>
          <w:tcPr>
            <w:tcW w:w="689" w:type="dxa"/>
            <w:tcBorders>
              <w:top w:val="single" w:sz="8" w:space="0" w:color="000000"/>
              <w:bottom w:val="single" w:sz="18" w:space="0" w:color="000000"/>
            </w:tcBorders>
          </w:tcPr>
          <w:p>
            <w:pPr>
              <w:pStyle w:val="TableParagraph"/>
              <w:rPr>
                <w:rFonts w:ascii="Times New Roman"/>
                <w:sz w:val="20"/>
              </w:rPr>
            </w:pPr>
          </w:p>
        </w:tc>
        <w:tc>
          <w:tcPr>
            <w:tcW w:w="989" w:type="dxa"/>
            <w:tcBorders>
              <w:top w:val="single" w:sz="8" w:space="0" w:color="000000"/>
              <w:bottom w:val="single" w:sz="18" w:space="0" w:color="000000"/>
            </w:tcBorders>
          </w:tcPr>
          <w:p>
            <w:pPr>
              <w:pStyle w:val="TableParagraph"/>
              <w:spacing w:before="60"/>
              <w:rPr>
                <w:rFonts w:ascii="Arial MT"/>
                <w:sz w:val="22"/>
              </w:rPr>
            </w:pPr>
          </w:p>
          <w:p>
            <w:pPr>
              <w:pStyle w:val="TableParagraph"/>
              <w:ind w:left="50" w:right="3"/>
              <w:jc w:val="center"/>
              <w:rPr>
                <w:sz w:val="22"/>
              </w:rPr>
            </w:pPr>
            <w:r>
              <w:rPr>
                <w:spacing w:val="-10"/>
                <w:sz w:val="22"/>
              </w:rPr>
              <w:t>O</w:t>
            </w:r>
          </w:p>
        </w:tc>
        <w:tc>
          <w:tcPr>
            <w:tcW w:w="989" w:type="dxa"/>
            <w:tcBorders>
              <w:top w:val="single" w:sz="8" w:space="0" w:color="000000"/>
              <w:bottom w:val="single" w:sz="18" w:space="0" w:color="000000"/>
            </w:tcBorders>
          </w:tcPr>
          <w:p>
            <w:pPr>
              <w:pStyle w:val="TableParagraph"/>
              <w:rPr>
                <w:rFonts w:ascii="Times New Roman"/>
                <w:sz w:val="20"/>
              </w:rPr>
            </w:pPr>
          </w:p>
        </w:tc>
        <w:tc>
          <w:tcPr>
            <w:tcW w:w="389" w:type="dxa"/>
            <w:tcBorders>
              <w:top w:val="single" w:sz="8" w:space="0" w:color="000000"/>
              <w:bottom w:val="single" w:sz="18" w:space="0" w:color="000000"/>
            </w:tcBorders>
          </w:tcPr>
          <w:p>
            <w:pPr>
              <w:pStyle w:val="TableParagraph"/>
              <w:spacing w:before="60"/>
              <w:rPr>
                <w:rFonts w:ascii="Arial MT"/>
                <w:sz w:val="22"/>
              </w:rPr>
            </w:pPr>
          </w:p>
          <w:p>
            <w:pPr>
              <w:pStyle w:val="TableParagraph"/>
              <w:ind w:left="138"/>
              <w:rPr>
                <w:sz w:val="22"/>
              </w:rPr>
            </w:pPr>
            <w:r>
              <w:rPr>
                <w:spacing w:val="-10"/>
                <w:sz w:val="22"/>
              </w:rPr>
              <w:t>O</w:t>
            </w:r>
          </w:p>
        </w:tc>
        <w:tc>
          <w:tcPr>
            <w:tcW w:w="689" w:type="dxa"/>
            <w:tcBorders>
              <w:top w:val="single" w:sz="8" w:space="0" w:color="000000"/>
              <w:bottom w:val="single" w:sz="18" w:space="0" w:color="000000"/>
            </w:tcBorders>
          </w:tcPr>
          <w:p>
            <w:pPr>
              <w:pStyle w:val="TableParagraph"/>
              <w:spacing w:before="60"/>
              <w:rPr>
                <w:rFonts w:ascii="Arial MT"/>
                <w:sz w:val="22"/>
              </w:rPr>
            </w:pPr>
          </w:p>
          <w:p>
            <w:pPr>
              <w:pStyle w:val="TableParagraph"/>
              <w:ind w:left="53"/>
              <w:jc w:val="center"/>
              <w:rPr>
                <w:sz w:val="22"/>
              </w:rPr>
            </w:pPr>
            <w:r>
              <w:rPr>
                <w:spacing w:val="-10"/>
                <w:sz w:val="22"/>
              </w:rPr>
              <w:t>O</w:t>
            </w:r>
          </w:p>
        </w:tc>
        <w:tc>
          <w:tcPr>
            <w:tcW w:w="388" w:type="dxa"/>
            <w:tcBorders>
              <w:top w:val="single" w:sz="8" w:space="0" w:color="000000"/>
              <w:bottom w:val="single" w:sz="18" w:space="0" w:color="000000"/>
            </w:tcBorders>
          </w:tcPr>
          <w:p>
            <w:pPr>
              <w:pStyle w:val="TableParagraph"/>
              <w:rPr>
                <w:rFonts w:ascii="Times New Roman"/>
                <w:sz w:val="20"/>
              </w:rPr>
            </w:pPr>
          </w:p>
        </w:tc>
        <w:tc>
          <w:tcPr>
            <w:tcW w:w="388" w:type="dxa"/>
            <w:tcBorders>
              <w:top w:val="single" w:sz="8" w:space="0" w:color="000000"/>
              <w:bottom w:val="single" w:sz="18" w:space="0" w:color="000000"/>
            </w:tcBorders>
          </w:tcPr>
          <w:p>
            <w:pPr>
              <w:pStyle w:val="TableParagraph"/>
              <w:rPr>
                <w:rFonts w:ascii="Times New Roman"/>
                <w:sz w:val="20"/>
              </w:rPr>
            </w:pPr>
          </w:p>
        </w:tc>
        <w:tc>
          <w:tcPr>
            <w:tcW w:w="388" w:type="dxa"/>
            <w:tcBorders>
              <w:top w:val="single" w:sz="8" w:space="0" w:color="000000"/>
              <w:bottom w:val="single" w:sz="18" w:space="0" w:color="000000"/>
            </w:tcBorders>
          </w:tcPr>
          <w:p>
            <w:pPr>
              <w:pStyle w:val="TableParagraph"/>
              <w:rPr>
                <w:rFonts w:ascii="Times New Roman"/>
                <w:sz w:val="20"/>
              </w:rPr>
            </w:pPr>
          </w:p>
        </w:tc>
        <w:tc>
          <w:tcPr>
            <w:tcW w:w="380" w:type="dxa"/>
            <w:tcBorders>
              <w:top w:val="single" w:sz="8" w:space="0" w:color="000000"/>
              <w:bottom w:val="single" w:sz="18" w:space="0" w:color="000000"/>
              <w:right w:val="single" w:sz="12" w:space="0" w:color="000000"/>
            </w:tcBorders>
          </w:tcPr>
          <w:p>
            <w:pPr>
              <w:pStyle w:val="TableParagraph"/>
              <w:rPr>
                <w:rFonts w:ascii="Times New Roman"/>
                <w:sz w:val="20"/>
              </w:rPr>
            </w:pPr>
          </w:p>
        </w:tc>
      </w:tr>
    </w:tbl>
    <w:p>
      <w:pPr>
        <w:pStyle w:val="TableParagraph"/>
        <w:spacing w:after="0"/>
        <w:rPr>
          <w:rFonts w:ascii="Times New Roman"/>
          <w:sz w:val="20"/>
        </w:rPr>
        <w:sectPr>
          <w:pgSz w:w="12240" w:h="15840"/>
          <w:pgMar w:header="720" w:footer="697" w:top="2640" w:bottom="880" w:left="1440" w:right="1440"/>
        </w:sectPr>
      </w:pPr>
    </w:p>
    <w:p>
      <w:pPr>
        <w:pStyle w:val="BodyText"/>
      </w:pPr>
    </w:p>
    <w:p>
      <w:pPr>
        <w:pStyle w:val="BodyText"/>
        <w:spacing w:before="71"/>
      </w:pPr>
    </w:p>
    <w:p>
      <w:pPr>
        <w:pStyle w:val="BodyText"/>
        <w:tabs>
          <w:tab w:pos="1571" w:val="left" w:leader="none"/>
        </w:tabs>
        <w:ind w:left="262"/>
      </w:pPr>
      <w:r>
        <w:rPr/>
        <w:t>O</w:t>
      </w:r>
      <w:r>
        <w:rPr>
          <w:spacing w:val="-2"/>
        </w:rPr>
        <w:t> adecuada</w:t>
      </w:r>
      <w:r>
        <w:rPr/>
        <w:tab/>
        <w:t>X</w:t>
      </w:r>
      <w:r>
        <w:rPr>
          <w:spacing w:val="-2"/>
        </w:rPr>
        <w:t> tolerable</w:t>
      </w:r>
    </w:p>
    <w:p>
      <w:pPr>
        <w:pStyle w:val="BodyText"/>
        <w:spacing w:before="1"/>
      </w:pPr>
    </w:p>
    <w:p>
      <w:pPr>
        <w:pStyle w:val="BodyText"/>
        <w:ind w:left="5" w:right="24"/>
        <w:jc w:val="center"/>
      </w:pPr>
      <w:r>
        <w:rPr/>
        <w:t>SERVICIOS</w:t>
      </w:r>
      <w:r>
        <w:rPr>
          <w:spacing w:val="-9"/>
        </w:rPr>
        <w:t> </w:t>
      </w:r>
      <w:r>
        <w:rPr/>
        <w:t>DE</w:t>
      </w:r>
      <w:r>
        <w:rPr>
          <w:spacing w:val="-8"/>
        </w:rPr>
        <w:t> </w:t>
      </w:r>
      <w:r>
        <w:rPr/>
        <w:t>COMUNICACIONES</w:t>
      </w:r>
      <w:r>
        <w:rPr>
          <w:spacing w:val="-7"/>
        </w:rPr>
        <w:t> </w:t>
      </w:r>
      <w:r>
        <w:rPr/>
        <w:t>Y</w:t>
      </w:r>
      <w:r>
        <w:rPr>
          <w:spacing w:val="-8"/>
        </w:rPr>
        <w:t> </w:t>
      </w:r>
      <w:r>
        <w:rPr>
          <w:spacing w:val="-2"/>
        </w:rPr>
        <w:t>TRANSPORTES</w:t>
      </w: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77" w:hRule="atLeast"/>
        </w:trPr>
        <w:tc>
          <w:tcPr>
            <w:tcW w:w="2535" w:type="dxa"/>
            <w:tcBorders>
              <w:bottom w:val="single" w:sz="6" w:space="0" w:color="D0D6E4"/>
            </w:tcBorders>
          </w:tcPr>
          <w:p>
            <w:pPr>
              <w:pStyle w:val="TableParagraph"/>
              <w:rPr>
                <w:rFonts w:ascii="Times New Roman"/>
                <w:sz w:val="20"/>
              </w:rPr>
            </w:pPr>
          </w:p>
        </w:tc>
        <w:tc>
          <w:tcPr>
            <w:tcW w:w="1469" w:type="dxa"/>
            <w:gridSpan w:val="3"/>
            <w:tcBorders>
              <w:bottom w:val="single" w:sz="18" w:space="0" w:color="000000"/>
            </w:tcBorders>
          </w:tcPr>
          <w:p>
            <w:pPr>
              <w:pStyle w:val="TableParagraph"/>
              <w:spacing w:line="249" w:lineRule="exact" w:before="9"/>
              <w:ind w:left="74"/>
              <w:rPr>
                <w:b/>
                <w:sz w:val="22"/>
              </w:rPr>
            </w:pPr>
            <w:r>
              <w:rPr>
                <w:b/>
                <w:spacing w:val="-2"/>
                <w:sz w:val="22"/>
              </w:rPr>
              <w:t>INTERURBANA</w:t>
            </w:r>
          </w:p>
        </w:tc>
        <w:tc>
          <w:tcPr>
            <w:tcW w:w="4600" w:type="dxa"/>
            <w:gridSpan w:val="8"/>
            <w:tcBorders>
              <w:bottom w:val="single" w:sz="18" w:space="0" w:color="000000"/>
              <w:right w:val="single" w:sz="12" w:space="0" w:color="000000"/>
            </w:tcBorders>
          </w:tcPr>
          <w:p>
            <w:pPr>
              <w:pStyle w:val="TableParagraph"/>
              <w:spacing w:line="249" w:lineRule="exact" w:before="9"/>
              <w:ind w:left="76"/>
              <w:jc w:val="center"/>
              <w:rPr>
                <w:b/>
                <w:sz w:val="22"/>
              </w:rPr>
            </w:pPr>
            <w:r>
              <w:rPr>
                <w:b/>
                <w:spacing w:val="-2"/>
                <w:sz w:val="22"/>
              </w:rPr>
              <w:t>URBANA</w:t>
            </w:r>
          </w:p>
        </w:tc>
      </w:tr>
      <w:tr>
        <w:trPr>
          <w:trHeight w:val="1130" w:hRule="atLeast"/>
        </w:trPr>
        <w:tc>
          <w:tcPr>
            <w:tcW w:w="2535" w:type="dxa"/>
            <w:tcBorders>
              <w:top w:val="single" w:sz="6" w:space="0" w:color="D0D6E4"/>
              <w:bottom w:val="single" w:sz="8" w:space="0" w:color="000000"/>
            </w:tcBorders>
          </w:tcPr>
          <w:p>
            <w:pPr>
              <w:pStyle w:val="TableParagraph"/>
              <w:rPr>
                <w:rFonts w:ascii="Times New Roman"/>
                <w:sz w:val="20"/>
              </w:rPr>
            </w:pPr>
          </w:p>
        </w:tc>
        <w:tc>
          <w:tcPr>
            <w:tcW w:w="390" w:type="dxa"/>
            <w:tcBorders>
              <w:top w:val="single" w:sz="18" w:space="0" w:color="000000"/>
              <w:bottom w:val="single" w:sz="8" w:space="0" w:color="000000"/>
            </w:tcBorders>
            <w:textDirection w:val="btLr"/>
          </w:tcPr>
          <w:p>
            <w:pPr>
              <w:pStyle w:val="TableParagraph"/>
              <w:spacing w:before="75"/>
              <w:ind w:left="34"/>
              <w:rPr>
                <w:b/>
                <w:sz w:val="22"/>
              </w:rPr>
            </w:pPr>
            <w:r>
              <w:rPr>
                <w:b/>
                <w:spacing w:val="-2"/>
                <w:sz w:val="22"/>
              </w:rPr>
              <w:t>autopista</w:t>
            </w:r>
          </w:p>
        </w:tc>
        <w:tc>
          <w:tcPr>
            <w:tcW w:w="390" w:type="dxa"/>
            <w:tcBorders>
              <w:top w:val="single" w:sz="18" w:space="0" w:color="000000"/>
              <w:bottom w:val="single" w:sz="8" w:space="0" w:color="000000"/>
            </w:tcBorders>
            <w:textDirection w:val="btLr"/>
          </w:tcPr>
          <w:p>
            <w:pPr>
              <w:pStyle w:val="TableParagraph"/>
              <w:spacing w:before="75"/>
              <w:ind w:left="34"/>
              <w:rPr>
                <w:b/>
                <w:sz w:val="22"/>
              </w:rPr>
            </w:pPr>
            <w:r>
              <w:rPr>
                <w:b/>
                <w:spacing w:val="-2"/>
                <w:sz w:val="22"/>
              </w:rPr>
              <w:t>carretera</w:t>
            </w:r>
          </w:p>
        </w:tc>
        <w:tc>
          <w:tcPr>
            <w:tcW w:w="689" w:type="dxa"/>
            <w:tcBorders>
              <w:top w:val="single" w:sz="18" w:space="0" w:color="000000"/>
              <w:bottom w:val="single" w:sz="8" w:space="0" w:color="000000"/>
            </w:tcBorders>
            <w:textDirection w:val="btLr"/>
          </w:tcPr>
          <w:p>
            <w:pPr>
              <w:pStyle w:val="TableParagraph"/>
              <w:spacing w:line="300" w:lineRule="atLeast" w:before="44"/>
              <w:ind w:left="34" w:right="30"/>
              <w:rPr>
                <w:b/>
                <w:sz w:val="22"/>
              </w:rPr>
            </w:pPr>
            <w:r>
              <w:rPr>
                <w:b/>
                <w:spacing w:val="-2"/>
                <w:sz w:val="22"/>
              </w:rPr>
              <w:t>camino rural</w:t>
            </w:r>
          </w:p>
        </w:tc>
        <w:tc>
          <w:tcPr>
            <w:tcW w:w="989" w:type="dxa"/>
            <w:tcBorders>
              <w:top w:val="single" w:sz="18" w:space="0" w:color="000000"/>
              <w:bottom w:val="single" w:sz="8" w:space="0" w:color="000000"/>
            </w:tcBorders>
            <w:textDirection w:val="btLr"/>
          </w:tcPr>
          <w:p>
            <w:pPr>
              <w:pStyle w:val="TableParagraph"/>
              <w:spacing w:line="300" w:lineRule="atLeast" w:before="45"/>
              <w:ind w:left="34"/>
              <w:rPr>
                <w:b/>
                <w:sz w:val="22"/>
              </w:rPr>
            </w:pPr>
            <w:r>
              <w:rPr>
                <w:b/>
                <w:spacing w:val="-2"/>
                <w:sz w:val="22"/>
              </w:rPr>
              <w:t>acceso controlado c/lateral</w:t>
            </w:r>
          </w:p>
        </w:tc>
        <w:tc>
          <w:tcPr>
            <w:tcW w:w="989" w:type="dxa"/>
            <w:tcBorders>
              <w:top w:val="single" w:sz="18" w:space="0" w:color="000000"/>
              <w:bottom w:val="single" w:sz="8" w:space="0" w:color="000000"/>
            </w:tcBorders>
            <w:textDirection w:val="btLr"/>
          </w:tcPr>
          <w:p>
            <w:pPr>
              <w:pStyle w:val="TableParagraph"/>
              <w:spacing w:line="300" w:lineRule="atLeast" w:before="46"/>
              <w:ind w:left="34"/>
              <w:rPr>
                <w:b/>
                <w:sz w:val="22"/>
              </w:rPr>
            </w:pPr>
            <w:r>
              <w:rPr>
                <w:b/>
                <w:spacing w:val="-2"/>
                <w:sz w:val="22"/>
              </w:rPr>
              <w:t>acceso controlado s/lateral</w:t>
            </w:r>
          </w:p>
        </w:tc>
        <w:tc>
          <w:tcPr>
            <w:tcW w:w="389" w:type="dxa"/>
            <w:tcBorders>
              <w:top w:val="single" w:sz="18" w:space="0" w:color="000000"/>
              <w:bottom w:val="single" w:sz="8" w:space="0" w:color="000000"/>
            </w:tcBorders>
            <w:textDirection w:val="btLr"/>
          </w:tcPr>
          <w:p>
            <w:pPr>
              <w:pStyle w:val="TableParagraph"/>
              <w:spacing w:before="78"/>
              <w:ind w:left="34"/>
              <w:rPr>
                <w:b/>
                <w:sz w:val="22"/>
              </w:rPr>
            </w:pPr>
            <w:r>
              <w:rPr>
                <w:b/>
                <w:spacing w:val="-2"/>
                <w:sz w:val="22"/>
              </w:rPr>
              <w:t>primaria</w:t>
            </w:r>
          </w:p>
        </w:tc>
        <w:tc>
          <w:tcPr>
            <w:tcW w:w="689" w:type="dxa"/>
            <w:tcBorders>
              <w:top w:val="single" w:sz="18" w:space="0" w:color="000000"/>
              <w:bottom w:val="single" w:sz="8" w:space="0" w:color="000000"/>
            </w:tcBorders>
            <w:textDirection w:val="btLr"/>
          </w:tcPr>
          <w:p>
            <w:pPr>
              <w:pStyle w:val="TableParagraph"/>
              <w:spacing w:line="300" w:lineRule="atLeast" w:before="48"/>
              <w:ind w:left="34" w:right="30"/>
              <w:rPr>
                <w:b/>
                <w:sz w:val="22"/>
              </w:rPr>
            </w:pPr>
            <w:r>
              <w:rPr>
                <w:b/>
                <w:spacing w:val="-2"/>
                <w:sz w:val="22"/>
              </w:rPr>
              <w:t>secundaria </w:t>
            </w:r>
            <w:r>
              <w:rPr>
                <w:b/>
                <w:sz w:val="22"/>
              </w:rPr>
              <w:t>o</w:t>
            </w:r>
            <w:r>
              <w:rPr>
                <w:b/>
                <w:spacing w:val="-5"/>
                <w:sz w:val="22"/>
              </w:rPr>
              <w:t> </w:t>
            </w:r>
            <w:r>
              <w:rPr>
                <w:b/>
                <w:spacing w:val="-2"/>
                <w:sz w:val="22"/>
              </w:rPr>
              <w:t>colectora</w:t>
            </w:r>
          </w:p>
        </w:tc>
        <w:tc>
          <w:tcPr>
            <w:tcW w:w="388" w:type="dxa"/>
            <w:tcBorders>
              <w:top w:val="single" w:sz="18" w:space="0" w:color="000000"/>
              <w:bottom w:val="single" w:sz="8" w:space="0" w:color="000000"/>
            </w:tcBorders>
            <w:textDirection w:val="btLr"/>
          </w:tcPr>
          <w:p>
            <w:pPr>
              <w:pStyle w:val="TableParagraph"/>
              <w:spacing w:before="81"/>
              <w:ind w:left="34"/>
              <w:rPr>
                <w:b/>
                <w:sz w:val="22"/>
              </w:rPr>
            </w:pPr>
            <w:r>
              <w:rPr>
                <w:b/>
                <w:spacing w:val="-2"/>
                <w:sz w:val="22"/>
              </w:rPr>
              <w:t>local</w:t>
            </w:r>
          </w:p>
        </w:tc>
        <w:tc>
          <w:tcPr>
            <w:tcW w:w="388" w:type="dxa"/>
            <w:tcBorders>
              <w:top w:val="single" w:sz="18" w:space="0" w:color="000000"/>
              <w:bottom w:val="single" w:sz="8" w:space="0" w:color="000000"/>
            </w:tcBorders>
            <w:textDirection w:val="btLr"/>
          </w:tcPr>
          <w:p>
            <w:pPr>
              <w:pStyle w:val="TableParagraph"/>
              <w:spacing w:before="82"/>
              <w:ind w:left="34"/>
              <w:rPr>
                <w:b/>
                <w:sz w:val="22"/>
              </w:rPr>
            </w:pPr>
            <w:r>
              <w:rPr>
                <w:b/>
                <w:spacing w:val="-2"/>
                <w:sz w:val="22"/>
              </w:rPr>
              <w:t>cerrada</w:t>
            </w:r>
          </w:p>
        </w:tc>
        <w:tc>
          <w:tcPr>
            <w:tcW w:w="388" w:type="dxa"/>
            <w:tcBorders>
              <w:top w:val="single" w:sz="18" w:space="0" w:color="000000"/>
              <w:bottom w:val="single" w:sz="8" w:space="0" w:color="000000"/>
            </w:tcBorders>
            <w:textDirection w:val="btLr"/>
          </w:tcPr>
          <w:p>
            <w:pPr>
              <w:pStyle w:val="TableParagraph"/>
              <w:spacing w:before="84"/>
              <w:ind w:left="34"/>
              <w:rPr>
                <w:b/>
                <w:sz w:val="22"/>
              </w:rPr>
            </w:pPr>
            <w:r>
              <w:rPr>
                <w:b/>
                <w:spacing w:val="-2"/>
                <w:sz w:val="22"/>
              </w:rPr>
              <w:t>ciclovía</w:t>
            </w:r>
          </w:p>
        </w:tc>
        <w:tc>
          <w:tcPr>
            <w:tcW w:w="380" w:type="dxa"/>
            <w:tcBorders>
              <w:top w:val="single" w:sz="18" w:space="0" w:color="000000"/>
              <w:bottom w:val="single" w:sz="8" w:space="0" w:color="000000"/>
              <w:right w:val="single" w:sz="12" w:space="0" w:color="000000"/>
            </w:tcBorders>
            <w:textDirection w:val="btLr"/>
          </w:tcPr>
          <w:p>
            <w:pPr>
              <w:pStyle w:val="TableParagraph"/>
              <w:spacing w:line="251" w:lineRule="exact" w:before="87"/>
              <w:ind w:left="34"/>
              <w:rPr>
                <w:b/>
                <w:sz w:val="22"/>
              </w:rPr>
            </w:pPr>
            <w:r>
              <w:rPr>
                <w:b/>
                <w:spacing w:val="-2"/>
                <w:sz w:val="22"/>
              </w:rPr>
              <w:t>andador</w:t>
            </w:r>
          </w:p>
        </w:tc>
      </w:tr>
      <w:tr>
        <w:trPr>
          <w:trHeight w:val="582" w:hRule="atLeast"/>
        </w:trPr>
        <w:tc>
          <w:tcPr>
            <w:tcW w:w="2535" w:type="dxa"/>
            <w:tcBorders>
              <w:top w:val="single" w:sz="8" w:space="0" w:color="000000"/>
            </w:tcBorders>
          </w:tcPr>
          <w:p>
            <w:pPr>
              <w:pStyle w:val="TableParagraph"/>
              <w:spacing w:before="6"/>
              <w:ind w:left="44"/>
              <w:rPr>
                <w:b/>
                <w:sz w:val="22"/>
              </w:rPr>
            </w:pPr>
            <w:r>
              <w:rPr>
                <w:b/>
                <w:spacing w:val="-2"/>
                <w:sz w:val="22"/>
              </w:rPr>
              <w:t>TERMINALES</w:t>
            </w:r>
            <w:r>
              <w:rPr>
                <w:b/>
                <w:spacing w:val="-3"/>
                <w:sz w:val="22"/>
              </w:rPr>
              <w:t> </w:t>
            </w:r>
            <w:r>
              <w:rPr>
                <w:b/>
                <w:spacing w:val="-5"/>
                <w:sz w:val="22"/>
              </w:rPr>
              <w:t>DE</w:t>
            </w:r>
          </w:p>
          <w:p>
            <w:pPr>
              <w:pStyle w:val="TableParagraph"/>
              <w:spacing w:line="257" w:lineRule="exact" w:before="31"/>
              <w:ind w:left="44"/>
              <w:rPr>
                <w:b/>
                <w:sz w:val="22"/>
              </w:rPr>
            </w:pPr>
            <w:r>
              <w:rPr>
                <w:b/>
                <w:spacing w:val="-2"/>
                <w:sz w:val="22"/>
              </w:rPr>
              <w:t>TRANSPORTE</w:t>
            </w:r>
            <w:r>
              <w:rPr>
                <w:b/>
                <w:spacing w:val="-8"/>
                <w:sz w:val="22"/>
              </w:rPr>
              <w:t> </w:t>
            </w:r>
            <w:r>
              <w:rPr>
                <w:b/>
                <w:spacing w:val="-2"/>
                <w:sz w:val="22"/>
              </w:rPr>
              <w:t>TERRESTRE</w:t>
            </w:r>
          </w:p>
        </w:tc>
        <w:tc>
          <w:tcPr>
            <w:tcW w:w="390" w:type="dxa"/>
            <w:tcBorders>
              <w:top w:val="single" w:sz="8" w:space="0" w:color="000000"/>
            </w:tcBorders>
          </w:tcPr>
          <w:p>
            <w:pPr>
              <w:pStyle w:val="TableParagraph"/>
              <w:spacing w:before="156"/>
              <w:ind w:left="44"/>
              <w:jc w:val="center"/>
              <w:rPr>
                <w:sz w:val="22"/>
              </w:rPr>
            </w:pPr>
            <w:r>
              <w:rPr>
                <w:spacing w:val="-10"/>
                <w:sz w:val="22"/>
              </w:rPr>
              <w:t>O</w:t>
            </w:r>
          </w:p>
        </w:tc>
        <w:tc>
          <w:tcPr>
            <w:tcW w:w="390" w:type="dxa"/>
            <w:tcBorders>
              <w:top w:val="single" w:sz="8" w:space="0" w:color="000000"/>
            </w:tcBorders>
          </w:tcPr>
          <w:p>
            <w:pPr>
              <w:pStyle w:val="TableParagraph"/>
              <w:spacing w:before="156"/>
              <w:ind w:left="44"/>
              <w:jc w:val="center"/>
              <w:rPr>
                <w:sz w:val="22"/>
              </w:rPr>
            </w:pPr>
            <w:r>
              <w:rPr>
                <w:spacing w:val="-10"/>
                <w:sz w:val="22"/>
              </w:rPr>
              <w:t>O</w:t>
            </w:r>
          </w:p>
        </w:tc>
        <w:tc>
          <w:tcPr>
            <w:tcW w:w="689" w:type="dxa"/>
            <w:tcBorders>
              <w:top w:val="single" w:sz="8" w:space="0" w:color="000000"/>
            </w:tcBorders>
          </w:tcPr>
          <w:p>
            <w:pPr>
              <w:pStyle w:val="TableParagraph"/>
              <w:spacing w:before="156"/>
              <w:ind w:left="53" w:right="7"/>
              <w:jc w:val="center"/>
              <w:rPr>
                <w:sz w:val="22"/>
              </w:rPr>
            </w:pPr>
            <w:r>
              <w:rPr>
                <w:spacing w:val="-10"/>
                <w:sz w:val="22"/>
              </w:rPr>
              <w:t>O</w:t>
            </w:r>
          </w:p>
        </w:tc>
        <w:tc>
          <w:tcPr>
            <w:tcW w:w="989" w:type="dxa"/>
            <w:tcBorders>
              <w:top w:val="single" w:sz="8" w:space="0" w:color="000000"/>
            </w:tcBorders>
          </w:tcPr>
          <w:p>
            <w:pPr>
              <w:pStyle w:val="TableParagraph"/>
              <w:spacing w:before="156"/>
              <w:ind w:left="50" w:right="3"/>
              <w:jc w:val="center"/>
              <w:rPr>
                <w:sz w:val="22"/>
              </w:rPr>
            </w:pPr>
            <w:r>
              <w:rPr>
                <w:spacing w:val="-10"/>
                <w:sz w:val="22"/>
              </w:rPr>
              <w:t>O</w:t>
            </w:r>
          </w:p>
        </w:tc>
        <w:tc>
          <w:tcPr>
            <w:tcW w:w="989" w:type="dxa"/>
            <w:tcBorders>
              <w:top w:val="single" w:sz="8" w:space="0" w:color="000000"/>
            </w:tcBorders>
          </w:tcPr>
          <w:p>
            <w:pPr>
              <w:pStyle w:val="TableParagraph"/>
              <w:rPr>
                <w:rFonts w:ascii="Times New Roman"/>
                <w:sz w:val="20"/>
              </w:rPr>
            </w:pPr>
          </w:p>
        </w:tc>
        <w:tc>
          <w:tcPr>
            <w:tcW w:w="389" w:type="dxa"/>
            <w:tcBorders>
              <w:top w:val="single" w:sz="8" w:space="0" w:color="000000"/>
            </w:tcBorders>
          </w:tcPr>
          <w:p>
            <w:pPr>
              <w:pStyle w:val="TableParagraph"/>
              <w:spacing w:before="156"/>
              <w:ind w:left="51"/>
              <w:jc w:val="center"/>
              <w:rPr>
                <w:sz w:val="22"/>
              </w:rPr>
            </w:pPr>
            <w:r>
              <w:rPr>
                <w:spacing w:val="-10"/>
                <w:sz w:val="22"/>
              </w:rPr>
              <w:t>O</w:t>
            </w:r>
          </w:p>
        </w:tc>
        <w:tc>
          <w:tcPr>
            <w:tcW w:w="689" w:type="dxa"/>
            <w:tcBorders>
              <w:top w:val="single" w:sz="8" w:space="0" w:color="000000"/>
            </w:tcBorders>
          </w:tcPr>
          <w:p>
            <w:pPr>
              <w:pStyle w:val="TableParagraph"/>
              <w:spacing w:before="156"/>
              <w:ind w:left="53"/>
              <w:jc w:val="center"/>
              <w:rPr>
                <w:sz w:val="22"/>
              </w:rPr>
            </w:pPr>
            <w:r>
              <w:rPr>
                <w:spacing w:val="-10"/>
                <w:sz w:val="22"/>
              </w:rPr>
              <w:t>O</w:t>
            </w:r>
          </w:p>
        </w:tc>
        <w:tc>
          <w:tcPr>
            <w:tcW w:w="388" w:type="dxa"/>
            <w:tcBorders>
              <w:top w:val="single" w:sz="8" w:space="0" w:color="000000"/>
            </w:tcBorders>
          </w:tcPr>
          <w:p>
            <w:pPr>
              <w:pStyle w:val="TableParagraph"/>
              <w:rPr>
                <w:rFonts w:ascii="Times New Roman"/>
                <w:sz w:val="20"/>
              </w:rPr>
            </w:pPr>
          </w:p>
        </w:tc>
        <w:tc>
          <w:tcPr>
            <w:tcW w:w="388" w:type="dxa"/>
            <w:tcBorders>
              <w:top w:val="single" w:sz="8" w:space="0" w:color="000000"/>
            </w:tcBorders>
          </w:tcPr>
          <w:p>
            <w:pPr>
              <w:pStyle w:val="TableParagraph"/>
              <w:rPr>
                <w:rFonts w:ascii="Times New Roman"/>
                <w:sz w:val="20"/>
              </w:rPr>
            </w:pPr>
          </w:p>
        </w:tc>
        <w:tc>
          <w:tcPr>
            <w:tcW w:w="388" w:type="dxa"/>
            <w:tcBorders>
              <w:top w:val="single" w:sz="8" w:space="0" w:color="000000"/>
            </w:tcBorders>
          </w:tcPr>
          <w:p>
            <w:pPr>
              <w:pStyle w:val="TableParagraph"/>
              <w:rPr>
                <w:rFonts w:ascii="Times New Roman"/>
                <w:sz w:val="20"/>
              </w:rPr>
            </w:pPr>
          </w:p>
        </w:tc>
        <w:tc>
          <w:tcPr>
            <w:tcW w:w="380" w:type="dxa"/>
            <w:tcBorders>
              <w:top w:val="single" w:sz="8" w:space="0" w:color="000000"/>
              <w:right w:val="single" w:sz="12" w:space="0" w:color="000000"/>
            </w:tcBorders>
          </w:tcPr>
          <w:p>
            <w:pPr>
              <w:pStyle w:val="TableParagraph"/>
              <w:rPr>
                <w:rFonts w:ascii="Times New Roman"/>
                <w:sz w:val="20"/>
              </w:rPr>
            </w:pPr>
          </w:p>
        </w:tc>
      </w:tr>
      <w:tr>
        <w:trPr>
          <w:trHeight w:val="282" w:hRule="atLeast"/>
        </w:trPr>
        <w:tc>
          <w:tcPr>
            <w:tcW w:w="2535" w:type="dxa"/>
            <w:tcBorders>
              <w:bottom w:val="single" w:sz="8" w:space="0" w:color="000000"/>
            </w:tcBorders>
          </w:tcPr>
          <w:p>
            <w:pPr>
              <w:pStyle w:val="TableParagraph"/>
              <w:spacing w:line="254" w:lineRule="exact" w:before="8"/>
              <w:ind w:left="44"/>
              <w:rPr>
                <w:b/>
                <w:sz w:val="22"/>
              </w:rPr>
            </w:pPr>
            <w:r>
              <w:rPr>
                <w:b/>
                <w:spacing w:val="-2"/>
                <w:sz w:val="22"/>
              </w:rPr>
              <w:t>TRANSPORTES</w:t>
            </w:r>
            <w:r>
              <w:rPr>
                <w:b/>
                <w:spacing w:val="-6"/>
                <w:sz w:val="22"/>
              </w:rPr>
              <w:t> </w:t>
            </w:r>
            <w:r>
              <w:rPr>
                <w:b/>
                <w:spacing w:val="-2"/>
                <w:sz w:val="22"/>
              </w:rPr>
              <w:t>AÉREOS</w:t>
            </w:r>
          </w:p>
        </w:tc>
        <w:tc>
          <w:tcPr>
            <w:tcW w:w="390" w:type="dxa"/>
            <w:tcBorders>
              <w:bottom w:val="single" w:sz="8" w:space="0" w:color="000000"/>
            </w:tcBorders>
          </w:tcPr>
          <w:p>
            <w:pPr>
              <w:pStyle w:val="TableParagraph"/>
              <w:spacing w:line="254" w:lineRule="exact" w:before="8"/>
              <w:ind w:left="44"/>
              <w:jc w:val="center"/>
              <w:rPr>
                <w:sz w:val="22"/>
              </w:rPr>
            </w:pPr>
            <w:r>
              <w:rPr>
                <w:spacing w:val="-10"/>
                <w:sz w:val="22"/>
              </w:rPr>
              <w:t>O</w:t>
            </w:r>
          </w:p>
        </w:tc>
        <w:tc>
          <w:tcPr>
            <w:tcW w:w="390" w:type="dxa"/>
            <w:tcBorders>
              <w:bottom w:val="single" w:sz="8" w:space="0" w:color="000000"/>
            </w:tcBorders>
          </w:tcPr>
          <w:p>
            <w:pPr>
              <w:pStyle w:val="TableParagraph"/>
              <w:spacing w:line="254" w:lineRule="exact" w:before="8"/>
              <w:ind w:left="44"/>
              <w:jc w:val="center"/>
              <w:rPr>
                <w:sz w:val="22"/>
              </w:rPr>
            </w:pPr>
            <w:r>
              <w:rPr>
                <w:spacing w:val="-10"/>
                <w:sz w:val="22"/>
              </w:rPr>
              <w:t>O</w:t>
            </w:r>
          </w:p>
        </w:tc>
        <w:tc>
          <w:tcPr>
            <w:tcW w:w="689" w:type="dxa"/>
            <w:tcBorders>
              <w:bottom w:val="single" w:sz="8" w:space="0" w:color="000000"/>
            </w:tcBorders>
          </w:tcPr>
          <w:p>
            <w:pPr>
              <w:pStyle w:val="TableParagraph"/>
              <w:rPr>
                <w:rFonts w:ascii="Times New Roman"/>
                <w:sz w:val="20"/>
              </w:rPr>
            </w:pPr>
          </w:p>
        </w:tc>
        <w:tc>
          <w:tcPr>
            <w:tcW w:w="989" w:type="dxa"/>
            <w:tcBorders>
              <w:bottom w:val="single" w:sz="8" w:space="0" w:color="000000"/>
            </w:tcBorders>
          </w:tcPr>
          <w:p>
            <w:pPr>
              <w:pStyle w:val="TableParagraph"/>
              <w:spacing w:line="254" w:lineRule="exact" w:before="8"/>
              <w:ind w:left="50" w:right="3"/>
              <w:jc w:val="center"/>
              <w:rPr>
                <w:sz w:val="22"/>
              </w:rPr>
            </w:pPr>
            <w:r>
              <w:rPr>
                <w:spacing w:val="-10"/>
                <w:sz w:val="22"/>
              </w:rPr>
              <w:t>O</w:t>
            </w:r>
          </w:p>
        </w:tc>
        <w:tc>
          <w:tcPr>
            <w:tcW w:w="989" w:type="dxa"/>
            <w:tcBorders>
              <w:bottom w:val="single" w:sz="8" w:space="0" w:color="000000"/>
            </w:tcBorders>
          </w:tcPr>
          <w:p>
            <w:pPr>
              <w:pStyle w:val="TableParagraph"/>
              <w:spacing w:line="254" w:lineRule="exact" w:before="8"/>
              <w:ind w:left="50"/>
              <w:jc w:val="center"/>
              <w:rPr>
                <w:sz w:val="22"/>
              </w:rPr>
            </w:pPr>
            <w:r>
              <w:rPr>
                <w:spacing w:val="-10"/>
                <w:sz w:val="22"/>
              </w:rPr>
              <w:t>O</w:t>
            </w:r>
          </w:p>
        </w:tc>
        <w:tc>
          <w:tcPr>
            <w:tcW w:w="389" w:type="dxa"/>
            <w:tcBorders>
              <w:bottom w:val="single" w:sz="8" w:space="0" w:color="000000"/>
            </w:tcBorders>
          </w:tcPr>
          <w:p>
            <w:pPr>
              <w:pStyle w:val="TableParagraph"/>
              <w:rPr>
                <w:rFonts w:ascii="Times New Roman"/>
                <w:sz w:val="20"/>
              </w:rPr>
            </w:pPr>
          </w:p>
        </w:tc>
        <w:tc>
          <w:tcPr>
            <w:tcW w:w="689"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0" w:type="dxa"/>
            <w:tcBorders>
              <w:bottom w:val="single" w:sz="8" w:space="0" w:color="000000"/>
              <w:right w:val="single" w:sz="12" w:space="0" w:color="000000"/>
            </w:tcBorders>
          </w:tcPr>
          <w:p>
            <w:pPr>
              <w:pStyle w:val="TableParagraph"/>
              <w:rPr>
                <w:rFonts w:ascii="Times New Roman"/>
                <w:sz w:val="20"/>
              </w:rPr>
            </w:pPr>
          </w:p>
        </w:tc>
      </w:tr>
      <w:tr>
        <w:trPr>
          <w:trHeight w:val="282" w:hRule="atLeast"/>
        </w:trPr>
        <w:tc>
          <w:tcPr>
            <w:tcW w:w="2535" w:type="dxa"/>
            <w:tcBorders>
              <w:top w:val="single" w:sz="8" w:space="0" w:color="000000"/>
              <w:bottom w:val="single" w:sz="12" w:space="0" w:color="000000"/>
            </w:tcBorders>
          </w:tcPr>
          <w:p>
            <w:pPr>
              <w:pStyle w:val="TableParagraph"/>
              <w:spacing w:line="260" w:lineRule="exact"/>
              <w:ind w:left="44"/>
              <w:rPr>
                <w:b/>
                <w:sz w:val="22"/>
              </w:rPr>
            </w:pPr>
            <w:r>
              <w:rPr>
                <w:b/>
                <w:spacing w:val="-2"/>
                <w:sz w:val="22"/>
              </w:rPr>
              <w:t>COMUNICACIONES</w:t>
            </w:r>
          </w:p>
        </w:tc>
        <w:tc>
          <w:tcPr>
            <w:tcW w:w="390" w:type="dxa"/>
            <w:tcBorders>
              <w:top w:val="single" w:sz="8" w:space="0" w:color="000000"/>
              <w:bottom w:val="single" w:sz="12" w:space="0" w:color="000000"/>
            </w:tcBorders>
          </w:tcPr>
          <w:p>
            <w:pPr>
              <w:pStyle w:val="TableParagraph"/>
              <w:spacing w:line="257" w:lineRule="exact" w:before="6"/>
              <w:ind w:left="44"/>
              <w:jc w:val="center"/>
              <w:rPr>
                <w:sz w:val="22"/>
              </w:rPr>
            </w:pPr>
            <w:r>
              <w:rPr>
                <w:spacing w:val="-10"/>
                <w:sz w:val="22"/>
              </w:rPr>
              <w:t>O</w:t>
            </w:r>
          </w:p>
        </w:tc>
        <w:tc>
          <w:tcPr>
            <w:tcW w:w="390" w:type="dxa"/>
            <w:tcBorders>
              <w:top w:val="single" w:sz="8" w:space="0" w:color="000000"/>
              <w:bottom w:val="single" w:sz="12" w:space="0" w:color="000000"/>
            </w:tcBorders>
          </w:tcPr>
          <w:p>
            <w:pPr>
              <w:pStyle w:val="TableParagraph"/>
              <w:spacing w:line="257" w:lineRule="exact" w:before="6"/>
              <w:ind w:left="44"/>
              <w:jc w:val="center"/>
              <w:rPr>
                <w:sz w:val="22"/>
              </w:rPr>
            </w:pPr>
            <w:r>
              <w:rPr>
                <w:spacing w:val="-10"/>
                <w:sz w:val="22"/>
              </w:rPr>
              <w:t>O</w:t>
            </w:r>
          </w:p>
        </w:tc>
        <w:tc>
          <w:tcPr>
            <w:tcW w:w="689" w:type="dxa"/>
            <w:tcBorders>
              <w:top w:val="single" w:sz="8" w:space="0" w:color="000000"/>
              <w:bottom w:val="single" w:sz="12" w:space="0" w:color="000000"/>
            </w:tcBorders>
          </w:tcPr>
          <w:p>
            <w:pPr>
              <w:pStyle w:val="TableParagraph"/>
              <w:rPr>
                <w:rFonts w:ascii="Times New Roman"/>
                <w:sz w:val="20"/>
              </w:rPr>
            </w:pPr>
          </w:p>
        </w:tc>
        <w:tc>
          <w:tcPr>
            <w:tcW w:w="989" w:type="dxa"/>
            <w:tcBorders>
              <w:top w:val="single" w:sz="8" w:space="0" w:color="000000"/>
              <w:bottom w:val="single" w:sz="12" w:space="0" w:color="000000"/>
            </w:tcBorders>
          </w:tcPr>
          <w:p>
            <w:pPr>
              <w:pStyle w:val="TableParagraph"/>
              <w:spacing w:line="257" w:lineRule="exact" w:before="6"/>
              <w:ind w:left="50" w:right="3"/>
              <w:jc w:val="center"/>
              <w:rPr>
                <w:sz w:val="22"/>
              </w:rPr>
            </w:pPr>
            <w:r>
              <w:rPr>
                <w:spacing w:val="-10"/>
                <w:sz w:val="22"/>
              </w:rPr>
              <w:t>O</w:t>
            </w:r>
          </w:p>
        </w:tc>
        <w:tc>
          <w:tcPr>
            <w:tcW w:w="989" w:type="dxa"/>
            <w:tcBorders>
              <w:top w:val="single" w:sz="8" w:space="0" w:color="000000"/>
              <w:bottom w:val="single" w:sz="12" w:space="0" w:color="000000"/>
            </w:tcBorders>
          </w:tcPr>
          <w:p>
            <w:pPr>
              <w:pStyle w:val="TableParagraph"/>
              <w:rPr>
                <w:rFonts w:ascii="Times New Roman"/>
                <w:sz w:val="20"/>
              </w:rPr>
            </w:pPr>
          </w:p>
        </w:tc>
        <w:tc>
          <w:tcPr>
            <w:tcW w:w="389" w:type="dxa"/>
            <w:tcBorders>
              <w:top w:val="single" w:sz="8" w:space="0" w:color="000000"/>
              <w:bottom w:val="single" w:sz="12" w:space="0" w:color="000000"/>
            </w:tcBorders>
          </w:tcPr>
          <w:p>
            <w:pPr>
              <w:pStyle w:val="TableParagraph"/>
              <w:spacing w:line="257" w:lineRule="exact" w:before="6"/>
              <w:ind w:left="51"/>
              <w:jc w:val="center"/>
              <w:rPr>
                <w:sz w:val="22"/>
              </w:rPr>
            </w:pPr>
            <w:r>
              <w:rPr>
                <w:spacing w:val="-10"/>
                <w:sz w:val="22"/>
              </w:rPr>
              <w:t>O</w:t>
            </w:r>
          </w:p>
        </w:tc>
        <w:tc>
          <w:tcPr>
            <w:tcW w:w="689" w:type="dxa"/>
            <w:tcBorders>
              <w:top w:val="single" w:sz="8" w:space="0" w:color="000000"/>
              <w:bottom w:val="single" w:sz="12" w:space="0" w:color="000000"/>
            </w:tcBorders>
          </w:tcPr>
          <w:p>
            <w:pPr>
              <w:pStyle w:val="TableParagraph"/>
              <w:spacing w:line="257" w:lineRule="exact" w:before="6"/>
              <w:ind w:left="53"/>
              <w:jc w:val="center"/>
              <w:rPr>
                <w:sz w:val="22"/>
              </w:rPr>
            </w:pPr>
            <w:r>
              <w:rPr>
                <w:spacing w:val="-10"/>
                <w:sz w:val="22"/>
              </w:rPr>
              <w:t>O</w:t>
            </w:r>
          </w:p>
        </w:tc>
        <w:tc>
          <w:tcPr>
            <w:tcW w:w="388" w:type="dxa"/>
            <w:tcBorders>
              <w:top w:val="single" w:sz="8" w:space="0" w:color="000000"/>
              <w:bottom w:val="single" w:sz="12" w:space="0" w:color="000000"/>
            </w:tcBorders>
          </w:tcPr>
          <w:p>
            <w:pPr>
              <w:pStyle w:val="TableParagraph"/>
              <w:rPr>
                <w:rFonts w:ascii="Times New Roman"/>
                <w:sz w:val="20"/>
              </w:rPr>
            </w:pPr>
          </w:p>
        </w:tc>
        <w:tc>
          <w:tcPr>
            <w:tcW w:w="388" w:type="dxa"/>
            <w:tcBorders>
              <w:top w:val="single" w:sz="8" w:space="0" w:color="000000"/>
              <w:bottom w:val="single" w:sz="12" w:space="0" w:color="000000"/>
            </w:tcBorders>
          </w:tcPr>
          <w:p>
            <w:pPr>
              <w:pStyle w:val="TableParagraph"/>
              <w:rPr>
                <w:rFonts w:ascii="Times New Roman"/>
                <w:sz w:val="20"/>
              </w:rPr>
            </w:pPr>
          </w:p>
        </w:tc>
        <w:tc>
          <w:tcPr>
            <w:tcW w:w="388" w:type="dxa"/>
            <w:tcBorders>
              <w:top w:val="single" w:sz="8" w:space="0" w:color="000000"/>
              <w:bottom w:val="single" w:sz="12" w:space="0" w:color="000000"/>
            </w:tcBorders>
          </w:tcPr>
          <w:p>
            <w:pPr>
              <w:pStyle w:val="TableParagraph"/>
              <w:rPr>
                <w:rFonts w:ascii="Times New Roman"/>
                <w:sz w:val="20"/>
              </w:rPr>
            </w:pPr>
          </w:p>
        </w:tc>
        <w:tc>
          <w:tcPr>
            <w:tcW w:w="380" w:type="dxa"/>
            <w:tcBorders>
              <w:top w:val="single" w:sz="8" w:space="0" w:color="000000"/>
              <w:bottom w:val="single" w:sz="12" w:space="0" w:color="000000"/>
              <w:right w:val="single" w:sz="12" w:space="0" w:color="000000"/>
            </w:tcBorders>
          </w:tcPr>
          <w:p>
            <w:pPr>
              <w:pStyle w:val="TableParagraph"/>
              <w:rPr>
                <w:rFonts w:ascii="Times New Roman"/>
                <w:sz w:val="20"/>
              </w:rPr>
            </w:pPr>
          </w:p>
        </w:tc>
      </w:tr>
    </w:tbl>
    <w:p>
      <w:pPr>
        <w:pStyle w:val="BodyText"/>
        <w:tabs>
          <w:tab w:pos="1571" w:val="left" w:leader="none"/>
        </w:tabs>
        <w:spacing w:before="3"/>
        <w:ind w:left="262"/>
      </w:pPr>
      <w:r>
        <w:rPr/>
        <w:t>O</w:t>
      </w:r>
      <w:r>
        <w:rPr>
          <w:spacing w:val="-2"/>
        </w:rPr>
        <w:t> adecuada</w:t>
      </w:r>
      <w:r>
        <w:rPr/>
        <w:tab/>
        <w:t>X</w:t>
      </w:r>
      <w:r>
        <w:rPr>
          <w:spacing w:val="-2"/>
        </w:rPr>
        <w:t> tolerable</w:t>
      </w:r>
    </w:p>
    <w:p>
      <w:pPr>
        <w:pStyle w:val="BodyText"/>
        <w:ind w:left="10" w:right="24"/>
        <w:jc w:val="center"/>
      </w:pPr>
      <w:r>
        <w:rPr>
          <w:spacing w:val="-2"/>
        </w:rPr>
        <w:t>INDUSTRIA</w:t>
      </w:r>
    </w:p>
    <w:tbl>
      <w:tblPr>
        <w:tblW w:w="0" w:type="auto"/>
        <w:jc w:val="left"/>
        <w:tblInd w:w="3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35"/>
        <w:gridCol w:w="390"/>
        <w:gridCol w:w="390"/>
        <w:gridCol w:w="689"/>
        <w:gridCol w:w="989"/>
        <w:gridCol w:w="989"/>
        <w:gridCol w:w="389"/>
        <w:gridCol w:w="689"/>
        <w:gridCol w:w="388"/>
        <w:gridCol w:w="388"/>
        <w:gridCol w:w="388"/>
        <w:gridCol w:w="380"/>
      </w:tblGrid>
      <w:tr>
        <w:trPr>
          <w:trHeight w:val="284" w:hRule="atLeast"/>
        </w:trPr>
        <w:tc>
          <w:tcPr>
            <w:tcW w:w="2535" w:type="dxa"/>
            <w:tcBorders>
              <w:bottom w:val="single" w:sz="6" w:space="0" w:color="D0D6E4"/>
            </w:tcBorders>
          </w:tcPr>
          <w:p>
            <w:pPr>
              <w:pStyle w:val="TableParagraph"/>
              <w:rPr>
                <w:rFonts w:ascii="Times New Roman"/>
                <w:sz w:val="20"/>
              </w:rPr>
            </w:pPr>
          </w:p>
        </w:tc>
        <w:tc>
          <w:tcPr>
            <w:tcW w:w="1469" w:type="dxa"/>
            <w:gridSpan w:val="3"/>
            <w:tcBorders>
              <w:bottom w:val="single" w:sz="12" w:space="0" w:color="000000"/>
            </w:tcBorders>
          </w:tcPr>
          <w:p>
            <w:pPr>
              <w:pStyle w:val="TableParagraph"/>
              <w:spacing w:line="257" w:lineRule="exact" w:before="7"/>
              <w:ind w:left="74"/>
              <w:rPr>
                <w:b/>
                <w:sz w:val="22"/>
              </w:rPr>
            </w:pPr>
            <w:r>
              <w:rPr>
                <w:b/>
                <w:spacing w:val="-2"/>
                <w:sz w:val="22"/>
              </w:rPr>
              <w:t>INTERURBANA</w:t>
            </w:r>
          </w:p>
        </w:tc>
        <w:tc>
          <w:tcPr>
            <w:tcW w:w="4600" w:type="dxa"/>
            <w:gridSpan w:val="8"/>
            <w:tcBorders>
              <w:bottom w:val="single" w:sz="12" w:space="0" w:color="000000"/>
              <w:right w:val="single" w:sz="12" w:space="0" w:color="000000"/>
            </w:tcBorders>
          </w:tcPr>
          <w:p>
            <w:pPr>
              <w:pStyle w:val="TableParagraph"/>
              <w:spacing w:line="257" w:lineRule="exact" w:before="7"/>
              <w:ind w:left="76"/>
              <w:jc w:val="center"/>
              <w:rPr>
                <w:b/>
                <w:sz w:val="22"/>
              </w:rPr>
            </w:pPr>
            <w:r>
              <w:rPr>
                <w:b/>
                <w:spacing w:val="-2"/>
                <w:sz w:val="22"/>
              </w:rPr>
              <w:t>URBANA</w:t>
            </w:r>
          </w:p>
        </w:tc>
      </w:tr>
      <w:tr>
        <w:trPr>
          <w:trHeight w:val="1140" w:hRule="atLeast"/>
        </w:trPr>
        <w:tc>
          <w:tcPr>
            <w:tcW w:w="2535" w:type="dxa"/>
            <w:tcBorders>
              <w:top w:val="single" w:sz="6" w:space="0" w:color="D0D6E4"/>
            </w:tcBorders>
          </w:tcPr>
          <w:p>
            <w:pPr>
              <w:pStyle w:val="TableParagraph"/>
              <w:rPr>
                <w:rFonts w:ascii="Times New Roman"/>
                <w:sz w:val="20"/>
              </w:rPr>
            </w:pPr>
          </w:p>
        </w:tc>
        <w:tc>
          <w:tcPr>
            <w:tcW w:w="390" w:type="dxa"/>
            <w:tcBorders>
              <w:top w:val="single" w:sz="12" w:space="0" w:color="000000"/>
            </w:tcBorders>
            <w:textDirection w:val="btLr"/>
          </w:tcPr>
          <w:p>
            <w:pPr>
              <w:pStyle w:val="TableParagraph"/>
              <w:spacing w:before="75"/>
              <w:ind w:left="37"/>
              <w:rPr>
                <w:b/>
                <w:sz w:val="22"/>
              </w:rPr>
            </w:pPr>
            <w:r>
              <w:rPr>
                <w:b/>
                <w:spacing w:val="-2"/>
                <w:sz w:val="22"/>
              </w:rPr>
              <w:t>autopista</w:t>
            </w:r>
          </w:p>
        </w:tc>
        <w:tc>
          <w:tcPr>
            <w:tcW w:w="390" w:type="dxa"/>
            <w:tcBorders>
              <w:top w:val="single" w:sz="12" w:space="0" w:color="000000"/>
            </w:tcBorders>
            <w:textDirection w:val="btLr"/>
          </w:tcPr>
          <w:p>
            <w:pPr>
              <w:pStyle w:val="TableParagraph"/>
              <w:spacing w:before="75"/>
              <w:ind w:left="37"/>
              <w:rPr>
                <w:b/>
                <w:sz w:val="22"/>
              </w:rPr>
            </w:pPr>
            <w:r>
              <w:rPr>
                <w:b/>
                <w:spacing w:val="-2"/>
                <w:sz w:val="22"/>
              </w:rPr>
              <w:t>carretera</w:t>
            </w:r>
          </w:p>
        </w:tc>
        <w:tc>
          <w:tcPr>
            <w:tcW w:w="689" w:type="dxa"/>
            <w:tcBorders>
              <w:top w:val="single" w:sz="12" w:space="0" w:color="000000"/>
            </w:tcBorders>
            <w:textDirection w:val="btLr"/>
          </w:tcPr>
          <w:p>
            <w:pPr>
              <w:pStyle w:val="TableParagraph"/>
              <w:spacing w:line="300" w:lineRule="atLeast" w:before="44"/>
              <w:ind w:left="37" w:right="44"/>
              <w:rPr>
                <w:b/>
                <w:sz w:val="22"/>
              </w:rPr>
            </w:pPr>
            <w:r>
              <w:rPr>
                <w:b/>
                <w:spacing w:val="-2"/>
                <w:sz w:val="22"/>
              </w:rPr>
              <w:t>camino rural</w:t>
            </w:r>
          </w:p>
        </w:tc>
        <w:tc>
          <w:tcPr>
            <w:tcW w:w="989" w:type="dxa"/>
            <w:tcBorders>
              <w:top w:val="single" w:sz="12" w:space="0" w:color="000000"/>
            </w:tcBorders>
            <w:textDirection w:val="btLr"/>
          </w:tcPr>
          <w:p>
            <w:pPr>
              <w:pStyle w:val="TableParagraph"/>
              <w:spacing w:line="300" w:lineRule="atLeast" w:before="45"/>
              <w:ind w:left="37"/>
              <w:rPr>
                <w:b/>
                <w:sz w:val="22"/>
              </w:rPr>
            </w:pPr>
            <w:r>
              <w:rPr>
                <w:b/>
                <w:spacing w:val="-2"/>
                <w:sz w:val="22"/>
              </w:rPr>
              <w:t>acceso controlado c/lateral</w:t>
            </w:r>
          </w:p>
        </w:tc>
        <w:tc>
          <w:tcPr>
            <w:tcW w:w="989" w:type="dxa"/>
            <w:tcBorders>
              <w:top w:val="single" w:sz="12" w:space="0" w:color="000000"/>
            </w:tcBorders>
            <w:textDirection w:val="btLr"/>
          </w:tcPr>
          <w:p>
            <w:pPr>
              <w:pStyle w:val="TableParagraph"/>
              <w:spacing w:line="300" w:lineRule="atLeast" w:before="46"/>
              <w:ind w:left="37"/>
              <w:rPr>
                <w:b/>
                <w:sz w:val="22"/>
              </w:rPr>
            </w:pPr>
            <w:r>
              <w:rPr>
                <w:b/>
                <w:spacing w:val="-2"/>
                <w:sz w:val="22"/>
              </w:rPr>
              <w:t>acceso controlado s/lateral</w:t>
            </w:r>
          </w:p>
        </w:tc>
        <w:tc>
          <w:tcPr>
            <w:tcW w:w="389" w:type="dxa"/>
            <w:tcBorders>
              <w:top w:val="single" w:sz="12" w:space="0" w:color="000000"/>
            </w:tcBorders>
            <w:textDirection w:val="btLr"/>
          </w:tcPr>
          <w:p>
            <w:pPr>
              <w:pStyle w:val="TableParagraph"/>
              <w:spacing w:before="78"/>
              <w:ind w:left="37"/>
              <w:rPr>
                <w:b/>
                <w:sz w:val="22"/>
              </w:rPr>
            </w:pPr>
            <w:r>
              <w:rPr>
                <w:b/>
                <w:spacing w:val="-2"/>
                <w:sz w:val="22"/>
              </w:rPr>
              <w:t>primaria</w:t>
            </w:r>
          </w:p>
        </w:tc>
        <w:tc>
          <w:tcPr>
            <w:tcW w:w="689" w:type="dxa"/>
            <w:tcBorders>
              <w:top w:val="single" w:sz="12" w:space="0" w:color="000000"/>
            </w:tcBorders>
            <w:textDirection w:val="btLr"/>
          </w:tcPr>
          <w:p>
            <w:pPr>
              <w:pStyle w:val="TableParagraph"/>
              <w:spacing w:line="300" w:lineRule="atLeast" w:before="48"/>
              <w:ind w:left="37" w:right="44"/>
              <w:rPr>
                <w:b/>
                <w:sz w:val="22"/>
              </w:rPr>
            </w:pPr>
            <w:r>
              <w:rPr>
                <w:b/>
                <w:spacing w:val="-2"/>
                <w:sz w:val="22"/>
              </w:rPr>
              <w:t>secundaria </w:t>
            </w:r>
            <w:r>
              <w:rPr>
                <w:b/>
                <w:sz w:val="22"/>
              </w:rPr>
              <w:t>o</w:t>
            </w:r>
            <w:r>
              <w:rPr>
                <w:b/>
                <w:spacing w:val="-4"/>
                <w:sz w:val="22"/>
              </w:rPr>
              <w:t> </w:t>
            </w:r>
            <w:r>
              <w:rPr>
                <w:b/>
                <w:spacing w:val="-2"/>
                <w:sz w:val="22"/>
              </w:rPr>
              <w:t>colectora</w:t>
            </w:r>
          </w:p>
        </w:tc>
        <w:tc>
          <w:tcPr>
            <w:tcW w:w="388" w:type="dxa"/>
            <w:tcBorders>
              <w:top w:val="single" w:sz="12" w:space="0" w:color="000000"/>
            </w:tcBorders>
            <w:textDirection w:val="btLr"/>
          </w:tcPr>
          <w:p>
            <w:pPr>
              <w:pStyle w:val="TableParagraph"/>
              <w:spacing w:before="81"/>
              <w:ind w:left="37"/>
              <w:rPr>
                <w:b/>
                <w:sz w:val="22"/>
              </w:rPr>
            </w:pPr>
            <w:r>
              <w:rPr>
                <w:b/>
                <w:spacing w:val="-2"/>
                <w:sz w:val="22"/>
              </w:rPr>
              <w:t>local</w:t>
            </w:r>
          </w:p>
        </w:tc>
        <w:tc>
          <w:tcPr>
            <w:tcW w:w="388" w:type="dxa"/>
            <w:tcBorders>
              <w:top w:val="single" w:sz="12" w:space="0" w:color="000000"/>
            </w:tcBorders>
            <w:textDirection w:val="btLr"/>
          </w:tcPr>
          <w:p>
            <w:pPr>
              <w:pStyle w:val="TableParagraph"/>
              <w:spacing w:before="82"/>
              <w:ind w:left="37"/>
              <w:rPr>
                <w:b/>
                <w:sz w:val="22"/>
              </w:rPr>
            </w:pPr>
            <w:r>
              <w:rPr>
                <w:b/>
                <w:spacing w:val="-2"/>
                <w:sz w:val="22"/>
              </w:rPr>
              <w:t>cerrada</w:t>
            </w:r>
          </w:p>
        </w:tc>
        <w:tc>
          <w:tcPr>
            <w:tcW w:w="388" w:type="dxa"/>
            <w:tcBorders>
              <w:top w:val="single" w:sz="12" w:space="0" w:color="000000"/>
            </w:tcBorders>
            <w:textDirection w:val="btLr"/>
          </w:tcPr>
          <w:p>
            <w:pPr>
              <w:pStyle w:val="TableParagraph"/>
              <w:spacing w:before="84"/>
              <w:ind w:left="37"/>
              <w:rPr>
                <w:b/>
                <w:sz w:val="22"/>
              </w:rPr>
            </w:pPr>
            <w:r>
              <w:rPr>
                <w:b/>
                <w:spacing w:val="-2"/>
                <w:sz w:val="22"/>
              </w:rPr>
              <w:t>ciclovía</w:t>
            </w:r>
          </w:p>
        </w:tc>
        <w:tc>
          <w:tcPr>
            <w:tcW w:w="380" w:type="dxa"/>
            <w:tcBorders>
              <w:top w:val="single" w:sz="12" w:space="0" w:color="000000"/>
              <w:right w:val="single" w:sz="12" w:space="0" w:color="000000"/>
            </w:tcBorders>
            <w:textDirection w:val="btLr"/>
          </w:tcPr>
          <w:p>
            <w:pPr>
              <w:pStyle w:val="TableParagraph"/>
              <w:spacing w:line="251" w:lineRule="exact" w:before="87"/>
              <w:ind w:left="37"/>
              <w:rPr>
                <w:b/>
                <w:sz w:val="22"/>
              </w:rPr>
            </w:pPr>
            <w:r>
              <w:rPr>
                <w:b/>
                <w:spacing w:val="-2"/>
                <w:sz w:val="22"/>
              </w:rPr>
              <w:t>andador</w:t>
            </w:r>
          </w:p>
        </w:tc>
      </w:tr>
      <w:tr>
        <w:trPr>
          <w:trHeight w:val="282" w:hRule="atLeast"/>
        </w:trPr>
        <w:tc>
          <w:tcPr>
            <w:tcW w:w="2535" w:type="dxa"/>
            <w:tcBorders>
              <w:bottom w:val="single" w:sz="8" w:space="0" w:color="000000"/>
            </w:tcBorders>
          </w:tcPr>
          <w:p>
            <w:pPr>
              <w:pStyle w:val="TableParagraph"/>
              <w:spacing w:line="254" w:lineRule="exact" w:before="8"/>
              <w:ind w:left="44"/>
              <w:rPr>
                <w:b/>
                <w:sz w:val="22"/>
              </w:rPr>
            </w:pPr>
            <w:r>
              <w:rPr>
                <w:b/>
                <w:sz w:val="22"/>
              </w:rPr>
              <w:t>INDUSTRIA</w:t>
            </w:r>
            <w:r>
              <w:rPr>
                <w:b/>
                <w:spacing w:val="-11"/>
                <w:sz w:val="22"/>
              </w:rPr>
              <w:t> </w:t>
            </w:r>
            <w:r>
              <w:rPr>
                <w:b/>
                <w:spacing w:val="-2"/>
                <w:sz w:val="22"/>
              </w:rPr>
              <w:t>PESADA</w:t>
            </w:r>
          </w:p>
        </w:tc>
        <w:tc>
          <w:tcPr>
            <w:tcW w:w="390" w:type="dxa"/>
            <w:tcBorders>
              <w:bottom w:val="single" w:sz="8" w:space="0" w:color="000000"/>
            </w:tcBorders>
          </w:tcPr>
          <w:p>
            <w:pPr>
              <w:pStyle w:val="TableParagraph"/>
              <w:spacing w:line="254" w:lineRule="exact" w:before="8"/>
              <w:ind w:left="44"/>
              <w:jc w:val="center"/>
              <w:rPr>
                <w:sz w:val="22"/>
              </w:rPr>
            </w:pPr>
            <w:r>
              <w:rPr>
                <w:spacing w:val="-10"/>
                <w:sz w:val="22"/>
              </w:rPr>
              <w:t>O</w:t>
            </w:r>
          </w:p>
        </w:tc>
        <w:tc>
          <w:tcPr>
            <w:tcW w:w="390" w:type="dxa"/>
            <w:tcBorders>
              <w:bottom w:val="single" w:sz="8" w:space="0" w:color="000000"/>
            </w:tcBorders>
          </w:tcPr>
          <w:p>
            <w:pPr>
              <w:pStyle w:val="TableParagraph"/>
              <w:spacing w:line="254" w:lineRule="exact" w:before="8"/>
              <w:ind w:left="44"/>
              <w:jc w:val="center"/>
              <w:rPr>
                <w:sz w:val="22"/>
              </w:rPr>
            </w:pPr>
            <w:r>
              <w:rPr>
                <w:spacing w:val="-10"/>
                <w:sz w:val="22"/>
              </w:rPr>
              <w:t>O</w:t>
            </w:r>
          </w:p>
        </w:tc>
        <w:tc>
          <w:tcPr>
            <w:tcW w:w="689" w:type="dxa"/>
            <w:tcBorders>
              <w:bottom w:val="single" w:sz="8" w:space="0" w:color="000000"/>
            </w:tcBorders>
          </w:tcPr>
          <w:p>
            <w:pPr>
              <w:pStyle w:val="TableParagraph"/>
              <w:spacing w:line="254" w:lineRule="exact" w:before="8"/>
              <w:ind w:left="45"/>
              <w:rPr>
                <w:sz w:val="22"/>
              </w:rPr>
            </w:pPr>
            <w:r>
              <w:rPr>
                <w:spacing w:val="-10"/>
                <w:sz w:val="22"/>
              </w:rPr>
              <w:t>O</w:t>
            </w:r>
          </w:p>
        </w:tc>
        <w:tc>
          <w:tcPr>
            <w:tcW w:w="989" w:type="dxa"/>
            <w:tcBorders>
              <w:bottom w:val="single" w:sz="8" w:space="0" w:color="000000"/>
            </w:tcBorders>
          </w:tcPr>
          <w:p>
            <w:pPr>
              <w:pStyle w:val="TableParagraph"/>
              <w:spacing w:line="254" w:lineRule="exact" w:before="8"/>
              <w:ind w:left="50" w:right="5"/>
              <w:jc w:val="center"/>
              <w:rPr>
                <w:sz w:val="22"/>
              </w:rPr>
            </w:pPr>
            <w:r>
              <w:rPr>
                <w:spacing w:val="-10"/>
                <w:sz w:val="22"/>
              </w:rPr>
              <w:t>X</w:t>
            </w:r>
          </w:p>
        </w:tc>
        <w:tc>
          <w:tcPr>
            <w:tcW w:w="989" w:type="dxa"/>
            <w:tcBorders>
              <w:bottom w:val="single" w:sz="8" w:space="0" w:color="000000"/>
            </w:tcBorders>
          </w:tcPr>
          <w:p>
            <w:pPr>
              <w:pStyle w:val="TableParagraph"/>
              <w:spacing w:line="254" w:lineRule="exact" w:before="8"/>
              <w:ind w:left="50" w:right="3"/>
              <w:jc w:val="center"/>
              <w:rPr>
                <w:sz w:val="22"/>
              </w:rPr>
            </w:pPr>
            <w:r>
              <w:rPr>
                <w:spacing w:val="-10"/>
                <w:sz w:val="22"/>
              </w:rPr>
              <w:t>X</w:t>
            </w:r>
          </w:p>
        </w:tc>
        <w:tc>
          <w:tcPr>
            <w:tcW w:w="389" w:type="dxa"/>
            <w:tcBorders>
              <w:bottom w:val="single" w:sz="8" w:space="0" w:color="000000"/>
            </w:tcBorders>
          </w:tcPr>
          <w:p>
            <w:pPr>
              <w:pStyle w:val="TableParagraph"/>
              <w:rPr>
                <w:rFonts w:ascii="Times New Roman"/>
                <w:sz w:val="20"/>
              </w:rPr>
            </w:pPr>
          </w:p>
        </w:tc>
        <w:tc>
          <w:tcPr>
            <w:tcW w:w="689"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8" w:type="dxa"/>
            <w:tcBorders>
              <w:bottom w:val="single" w:sz="8" w:space="0" w:color="000000"/>
            </w:tcBorders>
          </w:tcPr>
          <w:p>
            <w:pPr>
              <w:pStyle w:val="TableParagraph"/>
              <w:rPr>
                <w:rFonts w:ascii="Times New Roman"/>
                <w:sz w:val="20"/>
              </w:rPr>
            </w:pPr>
          </w:p>
        </w:tc>
        <w:tc>
          <w:tcPr>
            <w:tcW w:w="380" w:type="dxa"/>
            <w:tcBorders>
              <w:bottom w:val="single" w:sz="8" w:space="0" w:color="000000"/>
              <w:right w:val="single" w:sz="12" w:space="0" w:color="000000"/>
            </w:tcBorders>
          </w:tcPr>
          <w:p>
            <w:pPr>
              <w:pStyle w:val="TableParagraph"/>
              <w:rPr>
                <w:rFonts w:ascii="Times New Roman"/>
                <w:sz w:val="20"/>
              </w:rPr>
            </w:pPr>
          </w:p>
        </w:tc>
      </w:tr>
      <w:tr>
        <w:trPr>
          <w:trHeight w:val="282" w:hRule="atLeast"/>
        </w:trPr>
        <w:tc>
          <w:tcPr>
            <w:tcW w:w="2535" w:type="dxa"/>
            <w:tcBorders>
              <w:top w:val="single" w:sz="8" w:space="0" w:color="000000"/>
            </w:tcBorders>
          </w:tcPr>
          <w:p>
            <w:pPr>
              <w:pStyle w:val="TableParagraph"/>
              <w:spacing w:line="257" w:lineRule="exact" w:before="5"/>
              <w:ind w:left="44"/>
              <w:rPr>
                <w:b/>
                <w:sz w:val="22"/>
              </w:rPr>
            </w:pPr>
            <w:r>
              <w:rPr>
                <w:b/>
                <w:sz w:val="22"/>
              </w:rPr>
              <w:t>INDUSTRIA</w:t>
            </w:r>
            <w:r>
              <w:rPr>
                <w:b/>
                <w:spacing w:val="-11"/>
                <w:sz w:val="22"/>
              </w:rPr>
              <w:t> </w:t>
            </w:r>
            <w:r>
              <w:rPr>
                <w:b/>
                <w:spacing w:val="-2"/>
                <w:sz w:val="22"/>
              </w:rPr>
              <w:t>LIGERA</w:t>
            </w:r>
          </w:p>
        </w:tc>
        <w:tc>
          <w:tcPr>
            <w:tcW w:w="390" w:type="dxa"/>
            <w:tcBorders>
              <w:top w:val="single" w:sz="8" w:space="0" w:color="000000"/>
            </w:tcBorders>
          </w:tcPr>
          <w:p>
            <w:pPr>
              <w:pStyle w:val="TableParagraph"/>
              <w:spacing w:line="257" w:lineRule="exact" w:before="5"/>
              <w:ind w:left="44"/>
              <w:jc w:val="center"/>
              <w:rPr>
                <w:sz w:val="22"/>
              </w:rPr>
            </w:pPr>
            <w:r>
              <w:rPr>
                <w:spacing w:val="-10"/>
                <w:sz w:val="22"/>
              </w:rPr>
              <w:t>O</w:t>
            </w:r>
          </w:p>
        </w:tc>
        <w:tc>
          <w:tcPr>
            <w:tcW w:w="390" w:type="dxa"/>
            <w:tcBorders>
              <w:top w:val="single" w:sz="8" w:space="0" w:color="000000"/>
            </w:tcBorders>
          </w:tcPr>
          <w:p>
            <w:pPr>
              <w:pStyle w:val="TableParagraph"/>
              <w:spacing w:line="257" w:lineRule="exact" w:before="5"/>
              <w:ind w:left="44"/>
              <w:jc w:val="center"/>
              <w:rPr>
                <w:sz w:val="22"/>
              </w:rPr>
            </w:pPr>
            <w:r>
              <w:rPr>
                <w:spacing w:val="-10"/>
                <w:sz w:val="22"/>
              </w:rPr>
              <w:t>O</w:t>
            </w:r>
          </w:p>
        </w:tc>
        <w:tc>
          <w:tcPr>
            <w:tcW w:w="689" w:type="dxa"/>
            <w:tcBorders>
              <w:top w:val="single" w:sz="8" w:space="0" w:color="000000"/>
            </w:tcBorders>
          </w:tcPr>
          <w:p>
            <w:pPr>
              <w:pStyle w:val="TableParagraph"/>
              <w:spacing w:line="257" w:lineRule="exact" w:before="5"/>
              <w:ind w:left="45"/>
              <w:rPr>
                <w:sz w:val="22"/>
              </w:rPr>
            </w:pPr>
            <w:r>
              <w:rPr>
                <w:spacing w:val="-10"/>
                <w:sz w:val="22"/>
              </w:rPr>
              <w:t>O</w:t>
            </w:r>
          </w:p>
        </w:tc>
        <w:tc>
          <w:tcPr>
            <w:tcW w:w="989" w:type="dxa"/>
            <w:tcBorders>
              <w:top w:val="single" w:sz="8" w:space="0" w:color="000000"/>
            </w:tcBorders>
          </w:tcPr>
          <w:p>
            <w:pPr>
              <w:pStyle w:val="TableParagraph"/>
              <w:spacing w:line="257" w:lineRule="exact" w:before="5"/>
              <w:ind w:left="50" w:right="3"/>
              <w:jc w:val="center"/>
              <w:rPr>
                <w:sz w:val="22"/>
              </w:rPr>
            </w:pPr>
            <w:r>
              <w:rPr>
                <w:spacing w:val="-10"/>
                <w:sz w:val="22"/>
              </w:rPr>
              <w:t>O</w:t>
            </w:r>
          </w:p>
        </w:tc>
        <w:tc>
          <w:tcPr>
            <w:tcW w:w="989" w:type="dxa"/>
            <w:tcBorders>
              <w:top w:val="single" w:sz="8" w:space="0" w:color="000000"/>
            </w:tcBorders>
          </w:tcPr>
          <w:p>
            <w:pPr>
              <w:pStyle w:val="TableParagraph"/>
              <w:spacing w:line="257" w:lineRule="exact" w:before="5"/>
              <w:ind w:left="50"/>
              <w:jc w:val="center"/>
              <w:rPr>
                <w:sz w:val="22"/>
              </w:rPr>
            </w:pPr>
            <w:r>
              <w:rPr>
                <w:spacing w:val="-10"/>
                <w:sz w:val="22"/>
              </w:rPr>
              <w:t>O</w:t>
            </w:r>
          </w:p>
        </w:tc>
        <w:tc>
          <w:tcPr>
            <w:tcW w:w="389" w:type="dxa"/>
            <w:tcBorders>
              <w:top w:val="single" w:sz="8" w:space="0" w:color="000000"/>
            </w:tcBorders>
          </w:tcPr>
          <w:p>
            <w:pPr>
              <w:pStyle w:val="TableParagraph"/>
              <w:spacing w:line="257" w:lineRule="exact" w:before="5"/>
              <w:ind w:left="138"/>
              <w:rPr>
                <w:sz w:val="22"/>
              </w:rPr>
            </w:pPr>
            <w:r>
              <w:rPr>
                <w:spacing w:val="-10"/>
                <w:sz w:val="22"/>
              </w:rPr>
              <w:t>O</w:t>
            </w:r>
          </w:p>
        </w:tc>
        <w:tc>
          <w:tcPr>
            <w:tcW w:w="689" w:type="dxa"/>
            <w:tcBorders>
              <w:top w:val="single" w:sz="8" w:space="0" w:color="000000"/>
            </w:tcBorders>
          </w:tcPr>
          <w:p>
            <w:pPr>
              <w:pStyle w:val="TableParagraph"/>
              <w:spacing w:line="257" w:lineRule="exact" w:before="5"/>
              <w:ind w:left="53"/>
              <w:jc w:val="center"/>
              <w:rPr>
                <w:sz w:val="22"/>
              </w:rPr>
            </w:pPr>
            <w:r>
              <w:rPr>
                <w:spacing w:val="-10"/>
                <w:sz w:val="22"/>
              </w:rPr>
              <w:t>O</w:t>
            </w:r>
          </w:p>
        </w:tc>
        <w:tc>
          <w:tcPr>
            <w:tcW w:w="388" w:type="dxa"/>
            <w:tcBorders>
              <w:top w:val="single" w:sz="8" w:space="0" w:color="000000"/>
            </w:tcBorders>
          </w:tcPr>
          <w:p>
            <w:pPr>
              <w:pStyle w:val="TableParagraph"/>
              <w:rPr>
                <w:rFonts w:ascii="Times New Roman"/>
                <w:sz w:val="20"/>
              </w:rPr>
            </w:pPr>
          </w:p>
        </w:tc>
        <w:tc>
          <w:tcPr>
            <w:tcW w:w="388" w:type="dxa"/>
            <w:tcBorders>
              <w:top w:val="single" w:sz="8" w:space="0" w:color="000000"/>
            </w:tcBorders>
          </w:tcPr>
          <w:p>
            <w:pPr>
              <w:pStyle w:val="TableParagraph"/>
              <w:rPr>
                <w:rFonts w:ascii="Times New Roman"/>
                <w:sz w:val="20"/>
              </w:rPr>
            </w:pPr>
          </w:p>
        </w:tc>
        <w:tc>
          <w:tcPr>
            <w:tcW w:w="388" w:type="dxa"/>
            <w:tcBorders>
              <w:top w:val="single" w:sz="8" w:space="0" w:color="000000"/>
            </w:tcBorders>
          </w:tcPr>
          <w:p>
            <w:pPr>
              <w:pStyle w:val="TableParagraph"/>
              <w:rPr>
                <w:rFonts w:ascii="Times New Roman"/>
                <w:sz w:val="20"/>
              </w:rPr>
            </w:pPr>
          </w:p>
        </w:tc>
        <w:tc>
          <w:tcPr>
            <w:tcW w:w="380" w:type="dxa"/>
            <w:tcBorders>
              <w:top w:val="single" w:sz="8" w:space="0" w:color="000000"/>
              <w:right w:val="single" w:sz="12" w:space="0" w:color="000000"/>
            </w:tcBorders>
          </w:tcPr>
          <w:p>
            <w:pPr>
              <w:pStyle w:val="TableParagraph"/>
              <w:rPr>
                <w:rFonts w:ascii="Times New Roman"/>
                <w:sz w:val="20"/>
              </w:rPr>
            </w:pPr>
          </w:p>
        </w:tc>
      </w:tr>
      <w:tr>
        <w:trPr>
          <w:trHeight w:val="285" w:hRule="atLeast"/>
        </w:trPr>
        <w:tc>
          <w:tcPr>
            <w:tcW w:w="2535" w:type="dxa"/>
            <w:tcBorders>
              <w:bottom w:val="single" w:sz="12" w:space="0" w:color="000000"/>
            </w:tcBorders>
          </w:tcPr>
          <w:p>
            <w:pPr>
              <w:pStyle w:val="TableParagraph"/>
              <w:spacing w:line="262" w:lineRule="exact"/>
              <w:ind w:left="44"/>
              <w:rPr>
                <w:b/>
                <w:sz w:val="22"/>
              </w:rPr>
            </w:pPr>
            <w:r>
              <w:rPr>
                <w:b/>
                <w:spacing w:val="-2"/>
                <w:sz w:val="22"/>
              </w:rPr>
              <w:t>AGROINDUSTRIA</w:t>
            </w:r>
          </w:p>
        </w:tc>
        <w:tc>
          <w:tcPr>
            <w:tcW w:w="390" w:type="dxa"/>
            <w:tcBorders>
              <w:bottom w:val="single" w:sz="12" w:space="0" w:color="000000"/>
            </w:tcBorders>
          </w:tcPr>
          <w:p>
            <w:pPr>
              <w:pStyle w:val="TableParagraph"/>
              <w:spacing w:line="257" w:lineRule="exact" w:before="8"/>
              <w:ind w:left="44"/>
              <w:jc w:val="center"/>
              <w:rPr>
                <w:sz w:val="22"/>
              </w:rPr>
            </w:pPr>
            <w:r>
              <w:rPr>
                <w:spacing w:val="-10"/>
                <w:sz w:val="22"/>
              </w:rPr>
              <w:t>O</w:t>
            </w:r>
          </w:p>
        </w:tc>
        <w:tc>
          <w:tcPr>
            <w:tcW w:w="390" w:type="dxa"/>
            <w:tcBorders>
              <w:bottom w:val="single" w:sz="12" w:space="0" w:color="000000"/>
            </w:tcBorders>
          </w:tcPr>
          <w:p>
            <w:pPr>
              <w:pStyle w:val="TableParagraph"/>
              <w:spacing w:line="257" w:lineRule="exact" w:before="8"/>
              <w:ind w:left="44"/>
              <w:jc w:val="center"/>
              <w:rPr>
                <w:sz w:val="22"/>
              </w:rPr>
            </w:pPr>
            <w:r>
              <w:rPr>
                <w:spacing w:val="-10"/>
                <w:sz w:val="22"/>
              </w:rPr>
              <w:t>O</w:t>
            </w:r>
          </w:p>
        </w:tc>
        <w:tc>
          <w:tcPr>
            <w:tcW w:w="689" w:type="dxa"/>
            <w:tcBorders>
              <w:bottom w:val="single" w:sz="12" w:space="0" w:color="000000"/>
            </w:tcBorders>
          </w:tcPr>
          <w:p>
            <w:pPr>
              <w:pStyle w:val="TableParagraph"/>
              <w:spacing w:line="257" w:lineRule="exact" w:before="8"/>
              <w:ind w:left="45"/>
              <w:rPr>
                <w:sz w:val="22"/>
              </w:rPr>
            </w:pPr>
            <w:r>
              <w:rPr>
                <w:spacing w:val="-10"/>
                <w:sz w:val="22"/>
              </w:rPr>
              <w:t>O</w:t>
            </w:r>
          </w:p>
        </w:tc>
        <w:tc>
          <w:tcPr>
            <w:tcW w:w="989" w:type="dxa"/>
            <w:tcBorders>
              <w:bottom w:val="single" w:sz="12" w:space="0" w:color="000000"/>
            </w:tcBorders>
          </w:tcPr>
          <w:p>
            <w:pPr>
              <w:pStyle w:val="TableParagraph"/>
              <w:rPr>
                <w:rFonts w:ascii="Times New Roman"/>
                <w:sz w:val="20"/>
              </w:rPr>
            </w:pPr>
          </w:p>
        </w:tc>
        <w:tc>
          <w:tcPr>
            <w:tcW w:w="989" w:type="dxa"/>
            <w:tcBorders>
              <w:bottom w:val="single" w:sz="12" w:space="0" w:color="000000"/>
            </w:tcBorders>
          </w:tcPr>
          <w:p>
            <w:pPr>
              <w:pStyle w:val="TableParagraph"/>
              <w:rPr>
                <w:rFonts w:ascii="Times New Roman"/>
                <w:sz w:val="20"/>
              </w:rPr>
            </w:pPr>
          </w:p>
        </w:tc>
        <w:tc>
          <w:tcPr>
            <w:tcW w:w="389" w:type="dxa"/>
            <w:tcBorders>
              <w:bottom w:val="single" w:sz="12" w:space="0" w:color="000000"/>
            </w:tcBorders>
          </w:tcPr>
          <w:p>
            <w:pPr>
              <w:pStyle w:val="TableParagraph"/>
              <w:rPr>
                <w:rFonts w:ascii="Times New Roman"/>
                <w:sz w:val="20"/>
              </w:rPr>
            </w:pPr>
          </w:p>
        </w:tc>
        <w:tc>
          <w:tcPr>
            <w:tcW w:w="689"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8" w:type="dxa"/>
            <w:tcBorders>
              <w:bottom w:val="single" w:sz="12" w:space="0" w:color="000000"/>
            </w:tcBorders>
          </w:tcPr>
          <w:p>
            <w:pPr>
              <w:pStyle w:val="TableParagraph"/>
              <w:rPr>
                <w:rFonts w:ascii="Times New Roman"/>
                <w:sz w:val="20"/>
              </w:rPr>
            </w:pPr>
          </w:p>
        </w:tc>
        <w:tc>
          <w:tcPr>
            <w:tcW w:w="380" w:type="dxa"/>
            <w:tcBorders>
              <w:bottom w:val="single" w:sz="12" w:space="0" w:color="000000"/>
              <w:right w:val="single" w:sz="12" w:space="0" w:color="000000"/>
            </w:tcBorders>
          </w:tcPr>
          <w:p>
            <w:pPr>
              <w:pStyle w:val="TableParagraph"/>
              <w:rPr>
                <w:rFonts w:ascii="Times New Roman"/>
                <w:sz w:val="20"/>
              </w:rPr>
            </w:pPr>
          </w:p>
        </w:tc>
      </w:tr>
    </w:tbl>
    <w:p>
      <w:pPr>
        <w:pStyle w:val="BodyText"/>
        <w:tabs>
          <w:tab w:pos="1571" w:val="left" w:leader="none"/>
        </w:tabs>
        <w:spacing w:before="1"/>
        <w:ind w:left="262"/>
      </w:pPr>
      <w:r>
        <w:rPr/>
        <w:t>O</w:t>
      </w:r>
      <w:r>
        <w:rPr>
          <w:spacing w:val="-2"/>
        </w:rPr>
        <w:t> adecuada</w:t>
      </w:r>
      <w:r>
        <w:rPr/>
        <w:tab/>
        <w:t>X</w:t>
      </w:r>
      <w:r>
        <w:rPr>
          <w:spacing w:val="-2"/>
        </w:rPr>
        <w:t> tolerable</w:t>
      </w:r>
    </w:p>
    <w:p>
      <w:pPr>
        <w:pStyle w:val="BodyText"/>
      </w:pPr>
    </w:p>
    <w:p>
      <w:pPr>
        <w:pStyle w:val="BodyText"/>
        <w:spacing w:before="6"/>
      </w:pPr>
    </w:p>
    <w:p>
      <w:pPr>
        <w:pStyle w:val="BodyText"/>
        <w:ind w:right="15"/>
        <w:jc w:val="center"/>
      </w:pPr>
      <w:r>
        <w:rPr/>
        <w:t>ESPACIOS</w:t>
      </w:r>
      <w:r>
        <w:rPr>
          <w:spacing w:val="-10"/>
        </w:rPr>
        <w:t> </w:t>
      </w:r>
      <w:r>
        <w:rPr>
          <w:spacing w:val="-2"/>
        </w:rPr>
        <w:t>ABIERTOS</w:t>
      </w:r>
    </w:p>
    <w:tbl>
      <w:tblPr>
        <w:tblW w:w="0" w:type="auto"/>
        <w:jc w:val="left"/>
        <w:tblInd w:w="4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73"/>
        <w:gridCol w:w="380"/>
        <w:gridCol w:w="380"/>
        <w:gridCol w:w="672"/>
        <w:gridCol w:w="965"/>
        <w:gridCol w:w="965"/>
        <w:gridCol w:w="379"/>
        <w:gridCol w:w="672"/>
        <w:gridCol w:w="379"/>
        <w:gridCol w:w="379"/>
        <w:gridCol w:w="379"/>
        <w:gridCol w:w="371"/>
      </w:tblGrid>
      <w:tr>
        <w:trPr>
          <w:trHeight w:val="278" w:hRule="atLeast"/>
        </w:trPr>
        <w:tc>
          <w:tcPr>
            <w:tcW w:w="2473" w:type="dxa"/>
            <w:tcBorders>
              <w:bottom w:val="single" w:sz="6" w:space="0" w:color="D0D6E4"/>
            </w:tcBorders>
          </w:tcPr>
          <w:p>
            <w:pPr>
              <w:pStyle w:val="TableParagraph"/>
              <w:rPr>
                <w:rFonts w:ascii="Times New Roman"/>
                <w:sz w:val="20"/>
              </w:rPr>
            </w:pPr>
          </w:p>
        </w:tc>
        <w:tc>
          <w:tcPr>
            <w:tcW w:w="1432" w:type="dxa"/>
            <w:gridSpan w:val="3"/>
            <w:tcBorders>
              <w:bottom w:val="single" w:sz="12" w:space="0" w:color="000000"/>
            </w:tcBorders>
          </w:tcPr>
          <w:p>
            <w:pPr>
              <w:pStyle w:val="TableParagraph"/>
              <w:spacing w:line="256" w:lineRule="exact" w:before="2"/>
              <w:ind w:left="73"/>
              <w:rPr>
                <w:b/>
                <w:sz w:val="22"/>
              </w:rPr>
            </w:pPr>
            <w:r>
              <w:rPr>
                <w:b/>
                <w:spacing w:val="-2"/>
                <w:sz w:val="22"/>
              </w:rPr>
              <w:t>INTERURBANA</w:t>
            </w:r>
          </w:p>
        </w:tc>
        <w:tc>
          <w:tcPr>
            <w:tcW w:w="4489" w:type="dxa"/>
            <w:gridSpan w:val="8"/>
            <w:tcBorders>
              <w:bottom w:val="single" w:sz="12" w:space="0" w:color="000000"/>
              <w:right w:val="single" w:sz="12" w:space="0" w:color="000000"/>
            </w:tcBorders>
          </w:tcPr>
          <w:p>
            <w:pPr>
              <w:pStyle w:val="TableParagraph"/>
              <w:spacing w:line="256" w:lineRule="exact" w:before="2"/>
              <w:ind w:left="77"/>
              <w:jc w:val="center"/>
              <w:rPr>
                <w:b/>
                <w:sz w:val="22"/>
              </w:rPr>
            </w:pPr>
            <w:r>
              <w:rPr>
                <w:b/>
                <w:spacing w:val="-2"/>
                <w:sz w:val="22"/>
              </w:rPr>
              <w:t>URBANA</w:t>
            </w:r>
          </w:p>
        </w:tc>
      </w:tr>
      <w:tr>
        <w:trPr>
          <w:trHeight w:val="1115" w:hRule="atLeast"/>
        </w:trPr>
        <w:tc>
          <w:tcPr>
            <w:tcW w:w="2473" w:type="dxa"/>
            <w:tcBorders>
              <w:top w:val="single" w:sz="6" w:space="0" w:color="D0D6E4"/>
            </w:tcBorders>
          </w:tcPr>
          <w:p>
            <w:pPr>
              <w:pStyle w:val="TableParagraph"/>
              <w:rPr>
                <w:rFonts w:ascii="Times New Roman"/>
                <w:sz w:val="20"/>
              </w:rPr>
            </w:pPr>
          </w:p>
        </w:tc>
        <w:tc>
          <w:tcPr>
            <w:tcW w:w="380" w:type="dxa"/>
            <w:tcBorders>
              <w:top w:val="single" w:sz="12" w:space="0" w:color="000000"/>
            </w:tcBorders>
            <w:textDirection w:val="btLr"/>
          </w:tcPr>
          <w:p>
            <w:pPr>
              <w:pStyle w:val="TableParagraph"/>
              <w:spacing w:before="69"/>
              <w:ind w:left="37"/>
              <w:rPr>
                <w:b/>
                <w:sz w:val="22"/>
              </w:rPr>
            </w:pPr>
            <w:r>
              <w:rPr>
                <w:b/>
                <w:spacing w:val="-2"/>
                <w:sz w:val="22"/>
              </w:rPr>
              <w:t>autopista</w:t>
            </w:r>
          </w:p>
        </w:tc>
        <w:tc>
          <w:tcPr>
            <w:tcW w:w="380" w:type="dxa"/>
            <w:tcBorders>
              <w:top w:val="single" w:sz="12" w:space="0" w:color="000000"/>
            </w:tcBorders>
            <w:textDirection w:val="btLr"/>
          </w:tcPr>
          <w:p>
            <w:pPr>
              <w:pStyle w:val="TableParagraph"/>
              <w:spacing w:before="69"/>
              <w:ind w:left="37"/>
              <w:rPr>
                <w:b/>
                <w:sz w:val="22"/>
              </w:rPr>
            </w:pPr>
            <w:r>
              <w:rPr>
                <w:b/>
                <w:spacing w:val="-2"/>
                <w:sz w:val="22"/>
              </w:rPr>
              <w:t>carretera</w:t>
            </w:r>
          </w:p>
        </w:tc>
        <w:tc>
          <w:tcPr>
            <w:tcW w:w="672" w:type="dxa"/>
            <w:tcBorders>
              <w:top w:val="single" w:sz="12" w:space="0" w:color="000000"/>
            </w:tcBorders>
            <w:textDirection w:val="btLr"/>
          </w:tcPr>
          <w:p>
            <w:pPr>
              <w:pStyle w:val="TableParagraph"/>
              <w:spacing w:line="290" w:lineRule="atLeast" w:before="48"/>
              <w:ind w:left="37" w:right="412"/>
              <w:rPr>
                <w:b/>
                <w:sz w:val="22"/>
              </w:rPr>
            </w:pPr>
            <w:r>
              <w:rPr>
                <w:b/>
                <w:spacing w:val="-4"/>
                <w:sz w:val="22"/>
              </w:rPr>
              <w:t>camino </w:t>
            </w:r>
            <w:r>
              <w:rPr>
                <w:b/>
                <w:spacing w:val="-2"/>
                <w:sz w:val="22"/>
              </w:rPr>
              <w:t>rural</w:t>
            </w:r>
          </w:p>
        </w:tc>
        <w:tc>
          <w:tcPr>
            <w:tcW w:w="965" w:type="dxa"/>
            <w:tcBorders>
              <w:top w:val="single" w:sz="12" w:space="0" w:color="000000"/>
            </w:tcBorders>
            <w:textDirection w:val="btLr"/>
          </w:tcPr>
          <w:p>
            <w:pPr>
              <w:pStyle w:val="TableParagraph"/>
              <w:spacing w:line="290" w:lineRule="atLeast" w:before="50"/>
              <w:ind w:left="37"/>
              <w:rPr>
                <w:b/>
                <w:sz w:val="22"/>
              </w:rPr>
            </w:pPr>
            <w:r>
              <w:rPr>
                <w:b/>
                <w:spacing w:val="-2"/>
                <w:sz w:val="22"/>
              </w:rPr>
              <w:t>acceso </w:t>
            </w:r>
            <w:r>
              <w:rPr>
                <w:b/>
                <w:spacing w:val="-4"/>
                <w:sz w:val="22"/>
              </w:rPr>
              <w:t>controlado </w:t>
            </w:r>
            <w:r>
              <w:rPr>
                <w:b/>
                <w:spacing w:val="-2"/>
                <w:sz w:val="22"/>
              </w:rPr>
              <w:t>c/lateral</w:t>
            </w:r>
          </w:p>
        </w:tc>
        <w:tc>
          <w:tcPr>
            <w:tcW w:w="965" w:type="dxa"/>
            <w:tcBorders>
              <w:top w:val="single" w:sz="12" w:space="0" w:color="000000"/>
            </w:tcBorders>
            <w:textDirection w:val="btLr"/>
          </w:tcPr>
          <w:p>
            <w:pPr>
              <w:pStyle w:val="TableParagraph"/>
              <w:spacing w:line="290" w:lineRule="atLeast" w:before="50"/>
              <w:ind w:left="37"/>
              <w:rPr>
                <w:b/>
                <w:sz w:val="22"/>
              </w:rPr>
            </w:pPr>
            <w:r>
              <w:rPr>
                <w:b/>
                <w:spacing w:val="-2"/>
                <w:sz w:val="22"/>
              </w:rPr>
              <w:t>acceso </w:t>
            </w:r>
            <w:r>
              <w:rPr>
                <w:b/>
                <w:spacing w:val="-4"/>
                <w:sz w:val="22"/>
              </w:rPr>
              <w:t>controlado </w:t>
            </w:r>
            <w:r>
              <w:rPr>
                <w:b/>
                <w:spacing w:val="-2"/>
                <w:sz w:val="22"/>
              </w:rPr>
              <w:t>s/lateral</w:t>
            </w:r>
          </w:p>
        </w:tc>
        <w:tc>
          <w:tcPr>
            <w:tcW w:w="379" w:type="dxa"/>
            <w:tcBorders>
              <w:top w:val="single" w:sz="12" w:space="0" w:color="000000"/>
            </w:tcBorders>
            <w:textDirection w:val="btLr"/>
          </w:tcPr>
          <w:p>
            <w:pPr>
              <w:pStyle w:val="TableParagraph"/>
              <w:spacing w:before="73"/>
              <w:ind w:left="37"/>
              <w:rPr>
                <w:b/>
                <w:sz w:val="22"/>
              </w:rPr>
            </w:pPr>
            <w:r>
              <w:rPr>
                <w:b/>
                <w:spacing w:val="-2"/>
                <w:sz w:val="22"/>
              </w:rPr>
              <w:t>primaria</w:t>
            </w:r>
          </w:p>
        </w:tc>
        <w:tc>
          <w:tcPr>
            <w:tcW w:w="672" w:type="dxa"/>
            <w:tcBorders>
              <w:top w:val="single" w:sz="12" w:space="0" w:color="000000"/>
            </w:tcBorders>
            <w:textDirection w:val="btLr"/>
          </w:tcPr>
          <w:p>
            <w:pPr>
              <w:pStyle w:val="TableParagraph"/>
              <w:spacing w:line="290" w:lineRule="atLeast" w:before="53"/>
              <w:ind w:left="37" w:right="66"/>
              <w:rPr>
                <w:b/>
                <w:sz w:val="22"/>
              </w:rPr>
            </w:pPr>
            <w:r>
              <w:rPr>
                <w:b/>
                <w:spacing w:val="-2"/>
                <w:sz w:val="22"/>
              </w:rPr>
              <w:t>secundaria </w:t>
            </w:r>
            <w:r>
              <w:rPr>
                <w:b/>
                <w:sz w:val="22"/>
              </w:rPr>
              <w:t>o</w:t>
            </w:r>
            <w:r>
              <w:rPr>
                <w:b/>
                <w:spacing w:val="-7"/>
                <w:sz w:val="22"/>
              </w:rPr>
              <w:t> </w:t>
            </w:r>
            <w:r>
              <w:rPr>
                <w:b/>
                <w:spacing w:val="-2"/>
                <w:sz w:val="22"/>
              </w:rPr>
              <w:t>colectora</w:t>
            </w:r>
          </w:p>
        </w:tc>
        <w:tc>
          <w:tcPr>
            <w:tcW w:w="379" w:type="dxa"/>
            <w:tcBorders>
              <w:top w:val="single" w:sz="12" w:space="0" w:color="000000"/>
            </w:tcBorders>
            <w:textDirection w:val="btLr"/>
          </w:tcPr>
          <w:p>
            <w:pPr>
              <w:pStyle w:val="TableParagraph"/>
              <w:spacing w:line="268" w:lineRule="exact" w:before="76"/>
              <w:ind w:left="37"/>
              <w:rPr>
                <w:b/>
                <w:sz w:val="22"/>
              </w:rPr>
            </w:pPr>
            <w:r>
              <w:rPr>
                <w:b/>
                <w:spacing w:val="-2"/>
                <w:sz w:val="22"/>
              </w:rPr>
              <w:t>local</w:t>
            </w:r>
          </w:p>
        </w:tc>
        <w:tc>
          <w:tcPr>
            <w:tcW w:w="379" w:type="dxa"/>
            <w:tcBorders>
              <w:top w:val="single" w:sz="12" w:space="0" w:color="000000"/>
            </w:tcBorders>
            <w:textDirection w:val="btLr"/>
          </w:tcPr>
          <w:p>
            <w:pPr>
              <w:pStyle w:val="TableParagraph"/>
              <w:spacing w:line="266" w:lineRule="exact" w:before="77"/>
              <w:ind w:left="37"/>
              <w:rPr>
                <w:b/>
                <w:sz w:val="22"/>
              </w:rPr>
            </w:pPr>
            <w:r>
              <w:rPr>
                <w:b/>
                <w:spacing w:val="-2"/>
                <w:sz w:val="22"/>
              </w:rPr>
              <w:t>cerrada</w:t>
            </w:r>
          </w:p>
        </w:tc>
        <w:tc>
          <w:tcPr>
            <w:tcW w:w="379" w:type="dxa"/>
            <w:tcBorders>
              <w:top w:val="single" w:sz="12" w:space="0" w:color="000000"/>
            </w:tcBorders>
            <w:textDirection w:val="btLr"/>
          </w:tcPr>
          <w:p>
            <w:pPr>
              <w:pStyle w:val="TableParagraph"/>
              <w:spacing w:line="265" w:lineRule="exact" w:before="78"/>
              <w:ind w:left="37"/>
              <w:rPr>
                <w:b/>
                <w:sz w:val="22"/>
              </w:rPr>
            </w:pPr>
            <w:r>
              <w:rPr>
                <w:b/>
                <w:spacing w:val="-2"/>
                <w:sz w:val="22"/>
              </w:rPr>
              <w:t>ciclovía</w:t>
            </w:r>
          </w:p>
        </w:tc>
        <w:tc>
          <w:tcPr>
            <w:tcW w:w="371" w:type="dxa"/>
            <w:tcBorders>
              <w:top w:val="single" w:sz="12" w:space="0" w:color="000000"/>
              <w:right w:val="single" w:sz="12" w:space="0" w:color="000000"/>
            </w:tcBorders>
            <w:textDirection w:val="btLr"/>
          </w:tcPr>
          <w:p>
            <w:pPr>
              <w:pStyle w:val="TableParagraph"/>
              <w:spacing w:line="248" w:lineRule="exact" w:before="80"/>
              <w:ind w:left="37"/>
              <w:rPr>
                <w:b/>
                <w:sz w:val="22"/>
              </w:rPr>
            </w:pPr>
            <w:r>
              <w:rPr>
                <w:b/>
                <w:spacing w:val="-2"/>
                <w:sz w:val="22"/>
              </w:rPr>
              <w:t>andador</w:t>
            </w:r>
          </w:p>
        </w:tc>
      </w:tr>
      <w:tr>
        <w:trPr>
          <w:trHeight w:val="278" w:hRule="atLeast"/>
        </w:trPr>
        <w:tc>
          <w:tcPr>
            <w:tcW w:w="2473" w:type="dxa"/>
          </w:tcPr>
          <w:p>
            <w:pPr>
              <w:pStyle w:val="TableParagraph"/>
              <w:spacing w:line="256" w:lineRule="exact" w:before="2"/>
              <w:ind w:left="43"/>
              <w:rPr>
                <w:b/>
                <w:sz w:val="22"/>
              </w:rPr>
            </w:pPr>
            <w:r>
              <w:rPr>
                <w:b/>
                <w:spacing w:val="-2"/>
                <w:sz w:val="22"/>
              </w:rPr>
              <w:t>PLAZAS</w:t>
            </w:r>
            <w:r>
              <w:rPr>
                <w:b/>
                <w:spacing w:val="-9"/>
                <w:sz w:val="22"/>
              </w:rPr>
              <w:t> </w:t>
            </w:r>
            <w:r>
              <w:rPr>
                <w:b/>
                <w:spacing w:val="-2"/>
                <w:sz w:val="22"/>
              </w:rPr>
              <w:t>Y</w:t>
            </w:r>
            <w:r>
              <w:rPr>
                <w:b/>
                <w:spacing w:val="-4"/>
                <w:sz w:val="22"/>
              </w:rPr>
              <w:t> </w:t>
            </w:r>
            <w:r>
              <w:rPr>
                <w:b/>
                <w:spacing w:val="-2"/>
                <w:sz w:val="22"/>
              </w:rPr>
              <w:t>EXPLANADAS</w:t>
            </w:r>
          </w:p>
        </w:tc>
        <w:tc>
          <w:tcPr>
            <w:tcW w:w="380" w:type="dxa"/>
          </w:tcPr>
          <w:p>
            <w:pPr>
              <w:pStyle w:val="TableParagraph"/>
              <w:rPr>
                <w:rFonts w:ascii="Times New Roman"/>
                <w:sz w:val="20"/>
              </w:rPr>
            </w:pPr>
          </w:p>
        </w:tc>
        <w:tc>
          <w:tcPr>
            <w:tcW w:w="380" w:type="dxa"/>
          </w:tcPr>
          <w:p>
            <w:pPr>
              <w:pStyle w:val="TableParagraph"/>
              <w:rPr>
                <w:rFonts w:ascii="Times New Roman"/>
                <w:sz w:val="20"/>
              </w:rPr>
            </w:pPr>
          </w:p>
        </w:tc>
        <w:tc>
          <w:tcPr>
            <w:tcW w:w="672" w:type="dxa"/>
          </w:tcPr>
          <w:p>
            <w:pPr>
              <w:pStyle w:val="TableParagraph"/>
              <w:rPr>
                <w:rFonts w:ascii="Times New Roman"/>
                <w:sz w:val="20"/>
              </w:rPr>
            </w:pPr>
          </w:p>
        </w:tc>
        <w:tc>
          <w:tcPr>
            <w:tcW w:w="965" w:type="dxa"/>
          </w:tcPr>
          <w:p>
            <w:pPr>
              <w:pStyle w:val="TableParagraph"/>
              <w:spacing w:line="256" w:lineRule="exact" w:before="2"/>
              <w:ind w:left="52" w:right="4"/>
              <w:jc w:val="center"/>
              <w:rPr>
                <w:sz w:val="22"/>
              </w:rPr>
            </w:pPr>
            <w:r>
              <w:rPr>
                <w:spacing w:val="-10"/>
                <w:sz w:val="22"/>
              </w:rPr>
              <w:t>X</w:t>
            </w:r>
          </w:p>
        </w:tc>
        <w:tc>
          <w:tcPr>
            <w:tcW w:w="965" w:type="dxa"/>
          </w:tcPr>
          <w:p>
            <w:pPr>
              <w:pStyle w:val="TableParagraph"/>
              <w:spacing w:line="256" w:lineRule="exact" w:before="2"/>
              <w:ind w:left="52"/>
              <w:jc w:val="center"/>
              <w:rPr>
                <w:sz w:val="22"/>
              </w:rPr>
            </w:pPr>
            <w:r>
              <w:rPr>
                <w:spacing w:val="-10"/>
                <w:sz w:val="22"/>
              </w:rPr>
              <w:t>O</w:t>
            </w:r>
          </w:p>
        </w:tc>
        <w:tc>
          <w:tcPr>
            <w:tcW w:w="379" w:type="dxa"/>
          </w:tcPr>
          <w:p>
            <w:pPr>
              <w:pStyle w:val="TableParagraph"/>
              <w:spacing w:line="256" w:lineRule="exact" w:before="2"/>
              <w:ind w:left="66" w:right="12"/>
              <w:jc w:val="center"/>
              <w:rPr>
                <w:sz w:val="22"/>
              </w:rPr>
            </w:pPr>
            <w:r>
              <w:rPr>
                <w:spacing w:val="-10"/>
                <w:sz w:val="22"/>
              </w:rPr>
              <w:t>O</w:t>
            </w:r>
          </w:p>
        </w:tc>
        <w:tc>
          <w:tcPr>
            <w:tcW w:w="672" w:type="dxa"/>
          </w:tcPr>
          <w:p>
            <w:pPr>
              <w:pStyle w:val="TableParagraph"/>
              <w:spacing w:line="256" w:lineRule="exact" w:before="2"/>
              <w:ind w:left="57"/>
              <w:jc w:val="center"/>
              <w:rPr>
                <w:sz w:val="22"/>
              </w:rPr>
            </w:pPr>
            <w:r>
              <w:rPr>
                <w:spacing w:val="-10"/>
                <w:sz w:val="22"/>
              </w:rPr>
              <w:t>O</w:t>
            </w: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spacing w:line="256" w:lineRule="exact" w:before="2"/>
              <w:ind w:left="66"/>
              <w:jc w:val="center"/>
              <w:rPr>
                <w:sz w:val="22"/>
              </w:rPr>
            </w:pPr>
            <w:r>
              <w:rPr>
                <w:spacing w:val="-10"/>
                <w:sz w:val="22"/>
              </w:rPr>
              <w:t>O</w:t>
            </w:r>
          </w:p>
        </w:tc>
        <w:tc>
          <w:tcPr>
            <w:tcW w:w="371" w:type="dxa"/>
            <w:tcBorders>
              <w:right w:val="single" w:sz="12" w:space="0" w:color="000000"/>
            </w:tcBorders>
          </w:tcPr>
          <w:p>
            <w:pPr>
              <w:pStyle w:val="TableParagraph"/>
              <w:spacing w:line="256" w:lineRule="exact" w:before="2"/>
              <w:ind w:left="84"/>
              <w:jc w:val="center"/>
              <w:rPr>
                <w:sz w:val="22"/>
              </w:rPr>
            </w:pPr>
            <w:r>
              <w:rPr>
                <w:spacing w:val="-10"/>
                <w:sz w:val="22"/>
              </w:rPr>
              <w:t>O</w:t>
            </w:r>
          </w:p>
        </w:tc>
      </w:tr>
      <w:tr>
        <w:trPr>
          <w:trHeight w:val="278" w:hRule="atLeast"/>
        </w:trPr>
        <w:tc>
          <w:tcPr>
            <w:tcW w:w="2473" w:type="dxa"/>
            <w:tcBorders>
              <w:bottom w:val="single" w:sz="12" w:space="0" w:color="000000"/>
            </w:tcBorders>
          </w:tcPr>
          <w:p>
            <w:pPr>
              <w:pStyle w:val="TableParagraph"/>
              <w:spacing w:line="256" w:lineRule="exact"/>
              <w:ind w:left="43"/>
              <w:rPr>
                <w:b/>
                <w:sz w:val="22"/>
              </w:rPr>
            </w:pPr>
            <w:r>
              <w:rPr>
                <w:b/>
                <w:spacing w:val="-2"/>
                <w:sz w:val="22"/>
              </w:rPr>
              <w:t>JARDINES</w:t>
            </w:r>
            <w:r>
              <w:rPr>
                <w:b/>
                <w:spacing w:val="-11"/>
                <w:sz w:val="22"/>
              </w:rPr>
              <w:t> </w:t>
            </w:r>
            <w:r>
              <w:rPr>
                <w:b/>
                <w:spacing w:val="-2"/>
                <w:sz w:val="22"/>
              </w:rPr>
              <w:t>Y</w:t>
            </w:r>
            <w:r>
              <w:rPr>
                <w:b/>
                <w:spacing w:val="-7"/>
                <w:sz w:val="22"/>
              </w:rPr>
              <w:t> </w:t>
            </w:r>
            <w:r>
              <w:rPr>
                <w:b/>
                <w:spacing w:val="-2"/>
                <w:sz w:val="22"/>
              </w:rPr>
              <w:t>PARQUES</w:t>
            </w:r>
          </w:p>
        </w:tc>
        <w:tc>
          <w:tcPr>
            <w:tcW w:w="380" w:type="dxa"/>
            <w:tcBorders>
              <w:bottom w:val="single" w:sz="12" w:space="0" w:color="000000"/>
            </w:tcBorders>
          </w:tcPr>
          <w:p>
            <w:pPr>
              <w:pStyle w:val="TableParagraph"/>
              <w:spacing w:line="256" w:lineRule="exact" w:before="3"/>
              <w:ind w:left="131"/>
              <w:rPr>
                <w:sz w:val="22"/>
              </w:rPr>
            </w:pPr>
            <w:r>
              <w:rPr>
                <w:spacing w:val="-10"/>
                <w:sz w:val="22"/>
              </w:rPr>
              <w:t>O</w:t>
            </w:r>
          </w:p>
        </w:tc>
        <w:tc>
          <w:tcPr>
            <w:tcW w:w="380" w:type="dxa"/>
            <w:tcBorders>
              <w:bottom w:val="single" w:sz="12" w:space="0" w:color="000000"/>
            </w:tcBorders>
          </w:tcPr>
          <w:p>
            <w:pPr>
              <w:pStyle w:val="TableParagraph"/>
              <w:spacing w:line="256" w:lineRule="exact" w:before="3"/>
              <w:ind w:left="132"/>
              <w:rPr>
                <w:sz w:val="22"/>
              </w:rPr>
            </w:pPr>
            <w:r>
              <w:rPr>
                <w:spacing w:val="-10"/>
                <w:sz w:val="22"/>
              </w:rPr>
              <w:t>O</w:t>
            </w:r>
          </w:p>
        </w:tc>
        <w:tc>
          <w:tcPr>
            <w:tcW w:w="672" w:type="dxa"/>
            <w:tcBorders>
              <w:bottom w:val="single" w:sz="12" w:space="0" w:color="000000"/>
            </w:tcBorders>
          </w:tcPr>
          <w:p>
            <w:pPr>
              <w:pStyle w:val="TableParagraph"/>
              <w:spacing w:line="256" w:lineRule="exact" w:before="3"/>
              <w:ind w:left="57" w:right="9"/>
              <w:jc w:val="center"/>
              <w:rPr>
                <w:sz w:val="22"/>
              </w:rPr>
            </w:pPr>
            <w:r>
              <w:rPr>
                <w:spacing w:val="-10"/>
                <w:sz w:val="22"/>
              </w:rPr>
              <w:t>O</w:t>
            </w:r>
          </w:p>
        </w:tc>
        <w:tc>
          <w:tcPr>
            <w:tcW w:w="965" w:type="dxa"/>
            <w:tcBorders>
              <w:bottom w:val="single" w:sz="12" w:space="0" w:color="000000"/>
            </w:tcBorders>
          </w:tcPr>
          <w:p>
            <w:pPr>
              <w:pStyle w:val="TableParagraph"/>
              <w:spacing w:line="256" w:lineRule="exact" w:before="3"/>
              <w:ind w:left="52" w:right="3"/>
              <w:jc w:val="center"/>
              <w:rPr>
                <w:sz w:val="22"/>
              </w:rPr>
            </w:pPr>
            <w:r>
              <w:rPr>
                <w:spacing w:val="-10"/>
                <w:sz w:val="22"/>
              </w:rPr>
              <w:t>O</w:t>
            </w:r>
          </w:p>
        </w:tc>
        <w:tc>
          <w:tcPr>
            <w:tcW w:w="965" w:type="dxa"/>
            <w:tcBorders>
              <w:bottom w:val="single" w:sz="12" w:space="0" w:color="000000"/>
            </w:tcBorders>
          </w:tcPr>
          <w:p>
            <w:pPr>
              <w:pStyle w:val="TableParagraph"/>
              <w:spacing w:line="256" w:lineRule="exact" w:before="3"/>
              <w:ind w:left="52"/>
              <w:jc w:val="center"/>
              <w:rPr>
                <w:sz w:val="22"/>
              </w:rPr>
            </w:pPr>
            <w:r>
              <w:rPr>
                <w:spacing w:val="-10"/>
                <w:sz w:val="22"/>
              </w:rPr>
              <w:t>O</w:t>
            </w:r>
          </w:p>
        </w:tc>
        <w:tc>
          <w:tcPr>
            <w:tcW w:w="379" w:type="dxa"/>
            <w:tcBorders>
              <w:bottom w:val="single" w:sz="12" w:space="0" w:color="000000"/>
            </w:tcBorders>
          </w:tcPr>
          <w:p>
            <w:pPr>
              <w:pStyle w:val="TableParagraph"/>
              <w:spacing w:line="256" w:lineRule="exact" w:before="3"/>
              <w:ind w:left="66" w:right="12"/>
              <w:jc w:val="center"/>
              <w:rPr>
                <w:sz w:val="22"/>
              </w:rPr>
            </w:pPr>
            <w:r>
              <w:rPr>
                <w:spacing w:val="-10"/>
                <w:sz w:val="22"/>
              </w:rPr>
              <w:t>O</w:t>
            </w:r>
          </w:p>
        </w:tc>
        <w:tc>
          <w:tcPr>
            <w:tcW w:w="672" w:type="dxa"/>
            <w:tcBorders>
              <w:bottom w:val="single" w:sz="12" w:space="0" w:color="000000"/>
            </w:tcBorders>
          </w:tcPr>
          <w:p>
            <w:pPr>
              <w:pStyle w:val="TableParagraph"/>
              <w:spacing w:line="256" w:lineRule="exact" w:before="3"/>
              <w:ind w:left="57" w:right="3"/>
              <w:jc w:val="center"/>
              <w:rPr>
                <w:sz w:val="22"/>
              </w:rPr>
            </w:pPr>
            <w:r>
              <w:rPr>
                <w:spacing w:val="-10"/>
                <w:sz w:val="22"/>
              </w:rPr>
              <w:t>X</w:t>
            </w:r>
          </w:p>
        </w:tc>
        <w:tc>
          <w:tcPr>
            <w:tcW w:w="379" w:type="dxa"/>
            <w:tcBorders>
              <w:bottom w:val="single" w:sz="12" w:space="0" w:color="000000"/>
            </w:tcBorders>
          </w:tcPr>
          <w:p>
            <w:pPr>
              <w:pStyle w:val="TableParagraph"/>
              <w:spacing w:line="256" w:lineRule="exact" w:before="3"/>
              <w:ind w:left="139"/>
              <w:rPr>
                <w:sz w:val="22"/>
              </w:rPr>
            </w:pPr>
            <w:r>
              <w:rPr>
                <w:spacing w:val="-10"/>
                <w:sz w:val="22"/>
              </w:rPr>
              <w:t>O</w:t>
            </w:r>
          </w:p>
        </w:tc>
        <w:tc>
          <w:tcPr>
            <w:tcW w:w="379" w:type="dxa"/>
            <w:tcBorders>
              <w:bottom w:val="single" w:sz="12" w:space="0" w:color="000000"/>
            </w:tcBorders>
          </w:tcPr>
          <w:p>
            <w:pPr>
              <w:pStyle w:val="TableParagraph"/>
              <w:spacing w:line="256" w:lineRule="exact" w:before="3"/>
              <w:ind w:left="140"/>
              <w:rPr>
                <w:sz w:val="22"/>
              </w:rPr>
            </w:pPr>
            <w:r>
              <w:rPr>
                <w:spacing w:val="-10"/>
                <w:sz w:val="22"/>
              </w:rPr>
              <w:t>O</w:t>
            </w:r>
          </w:p>
        </w:tc>
        <w:tc>
          <w:tcPr>
            <w:tcW w:w="379" w:type="dxa"/>
            <w:tcBorders>
              <w:bottom w:val="single" w:sz="12" w:space="0" w:color="000000"/>
            </w:tcBorders>
          </w:tcPr>
          <w:p>
            <w:pPr>
              <w:pStyle w:val="TableParagraph"/>
              <w:spacing w:line="256" w:lineRule="exact" w:before="3"/>
              <w:ind w:left="66"/>
              <w:jc w:val="center"/>
              <w:rPr>
                <w:sz w:val="22"/>
              </w:rPr>
            </w:pPr>
            <w:r>
              <w:rPr>
                <w:spacing w:val="-10"/>
                <w:sz w:val="22"/>
              </w:rPr>
              <w:t>O</w:t>
            </w:r>
          </w:p>
        </w:tc>
        <w:tc>
          <w:tcPr>
            <w:tcW w:w="371" w:type="dxa"/>
            <w:tcBorders>
              <w:bottom w:val="single" w:sz="12" w:space="0" w:color="000000"/>
              <w:right w:val="single" w:sz="12" w:space="0" w:color="000000"/>
            </w:tcBorders>
          </w:tcPr>
          <w:p>
            <w:pPr>
              <w:pStyle w:val="TableParagraph"/>
              <w:spacing w:line="256" w:lineRule="exact" w:before="3"/>
              <w:ind w:left="84"/>
              <w:jc w:val="center"/>
              <w:rPr>
                <w:sz w:val="22"/>
              </w:rPr>
            </w:pPr>
            <w:r>
              <w:rPr>
                <w:spacing w:val="-10"/>
                <w:sz w:val="22"/>
              </w:rPr>
              <w:t>O</w:t>
            </w:r>
          </w:p>
        </w:tc>
      </w:tr>
    </w:tbl>
    <w:p>
      <w:pPr>
        <w:pStyle w:val="BodyText"/>
        <w:tabs>
          <w:tab w:pos="1571" w:val="left" w:leader="none"/>
        </w:tabs>
        <w:spacing w:before="1"/>
        <w:ind w:left="262"/>
      </w:pPr>
      <w:r>
        <w:rPr/>
        <w:t>O</w:t>
      </w:r>
      <w:r>
        <w:rPr>
          <w:spacing w:val="-2"/>
        </w:rPr>
        <w:t> adecuada</w:t>
      </w:r>
      <w:r>
        <w:rPr/>
        <w:tab/>
        <w:t>X</w:t>
      </w:r>
      <w:r>
        <w:rPr>
          <w:spacing w:val="-2"/>
        </w:rPr>
        <w:t> tolerable</w:t>
      </w:r>
    </w:p>
    <w:p>
      <w:pPr>
        <w:pStyle w:val="BodyText"/>
        <w:spacing w:before="1"/>
      </w:pPr>
    </w:p>
    <w:p>
      <w:pPr>
        <w:pStyle w:val="BodyText"/>
        <w:ind w:right="17"/>
        <w:jc w:val="center"/>
      </w:pPr>
      <w:r>
        <w:rPr>
          <w:spacing w:val="-2"/>
        </w:rPr>
        <w:t>INFRAESTRUCTURA</w:t>
      </w:r>
    </w:p>
    <w:p>
      <w:pPr>
        <w:pStyle w:val="BodyText"/>
        <w:spacing w:after="0"/>
        <w:jc w:val="center"/>
        <w:sectPr>
          <w:headerReference w:type="default" r:id="rId11"/>
          <w:footerReference w:type="default" r:id="rId12"/>
          <w:pgSz w:w="12240" w:h="15840"/>
          <w:pgMar w:header="720" w:footer="697" w:top="2100" w:bottom="880" w:left="1440" w:right="1440"/>
        </w:sectPr>
      </w:pPr>
    </w:p>
    <w:p>
      <w:pPr>
        <w:pStyle w:val="BodyText"/>
      </w:pPr>
    </w:p>
    <w:p>
      <w:pPr>
        <w:pStyle w:val="BodyText"/>
        <w:spacing w:before="65"/>
      </w:pPr>
    </w:p>
    <w:tbl>
      <w:tblPr>
        <w:tblW w:w="0" w:type="auto"/>
        <w:jc w:val="left"/>
        <w:tblInd w:w="4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73"/>
        <w:gridCol w:w="380"/>
        <w:gridCol w:w="380"/>
        <w:gridCol w:w="672"/>
        <w:gridCol w:w="965"/>
        <w:gridCol w:w="965"/>
        <w:gridCol w:w="379"/>
        <w:gridCol w:w="672"/>
        <w:gridCol w:w="379"/>
        <w:gridCol w:w="379"/>
        <w:gridCol w:w="379"/>
        <w:gridCol w:w="371"/>
      </w:tblGrid>
      <w:tr>
        <w:trPr>
          <w:trHeight w:val="277" w:hRule="atLeast"/>
        </w:trPr>
        <w:tc>
          <w:tcPr>
            <w:tcW w:w="2473" w:type="dxa"/>
            <w:tcBorders>
              <w:bottom w:val="single" w:sz="6" w:space="0" w:color="D0D6E4"/>
            </w:tcBorders>
          </w:tcPr>
          <w:p>
            <w:pPr>
              <w:pStyle w:val="TableParagraph"/>
              <w:rPr>
                <w:rFonts w:ascii="Times New Roman"/>
                <w:sz w:val="20"/>
              </w:rPr>
            </w:pPr>
          </w:p>
        </w:tc>
        <w:tc>
          <w:tcPr>
            <w:tcW w:w="1432" w:type="dxa"/>
            <w:gridSpan w:val="3"/>
            <w:tcBorders>
              <w:bottom w:val="single" w:sz="12" w:space="0" w:color="000000"/>
            </w:tcBorders>
          </w:tcPr>
          <w:p>
            <w:pPr>
              <w:pStyle w:val="TableParagraph"/>
              <w:spacing w:line="248" w:lineRule="exact" w:before="9"/>
              <w:ind w:left="73"/>
              <w:rPr>
                <w:b/>
                <w:sz w:val="22"/>
              </w:rPr>
            </w:pPr>
            <w:r>
              <w:rPr>
                <w:b/>
                <w:spacing w:val="-2"/>
                <w:sz w:val="22"/>
              </w:rPr>
              <w:t>INTERURBANA</w:t>
            </w:r>
          </w:p>
        </w:tc>
        <w:tc>
          <w:tcPr>
            <w:tcW w:w="4489" w:type="dxa"/>
            <w:gridSpan w:val="8"/>
            <w:tcBorders>
              <w:bottom w:val="single" w:sz="12" w:space="0" w:color="000000"/>
              <w:right w:val="single" w:sz="12" w:space="0" w:color="000000"/>
            </w:tcBorders>
          </w:tcPr>
          <w:p>
            <w:pPr>
              <w:pStyle w:val="TableParagraph"/>
              <w:spacing w:line="248" w:lineRule="exact" w:before="9"/>
              <w:ind w:left="77"/>
              <w:jc w:val="center"/>
              <w:rPr>
                <w:b/>
                <w:sz w:val="22"/>
              </w:rPr>
            </w:pPr>
            <w:r>
              <w:rPr>
                <w:b/>
                <w:spacing w:val="-2"/>
                <w:sz w:val="22"/>
              </w:rPr>
              <w:t>URBANA</w:t>
            </w:r>
          </w:p>
        </w:tc>
      </w:tr>
      <w:tr>
        <w:trPr>
          <w:trHeight w:val="1113" w:hRule="atLeast"/>
        </w:trPr>
        <w:tc>
          <w:tcPr>
            <w:tcW w:w="2473" w:type="dxa"/>
            <w:tcBorders>
              <w:top w:val="single" w:sz="6" w:space="0" w:color="D0D6E4"/>
            </w:tcBorders>
          </w:tcPr>
          <w:p>
            <w:pPr>
              <w:pStyle w:val="TableParagraph"/>
              <w:rPr>
                <w:rFonts w:ascii="Times New Roman"/>
                <w:sz w:val="20"/>
              </w:rPr>
            </w:pPr>
          </w:p>
        </w:tc>
        <w:tc>
          <w:tcPr>
            <w:tcW w:w="380" w:type="dxa"/>
            <w:tcBorders>
              <w:top w:val="single" w:sz="12" w:space="0" w:color="000000"/>
            </w:tcBorders>
            <w:textDirection w:val="btLr"/>
          </w:tcPr>
          <w:p>
            <w:pPr>
              <w:pStyle w:val="TableParagraph"/>
              <w:spacing w:before="69"/>
              <w:ind w:left="29"/>
              <w:rPr>
                <w:b/>
                <w:sz w:val="22"/>
              </w:rPr>
            </w:pPr>
            <w:r>
              <w:rPr>
                <w:b/>
                <w:spacing w:val="-2"/>
                <w:sz w:val="22"/>
              </w:rPr>
              <w:t>autopista</w:t>
            </w:r>
          </w:p>
        </w:tc>
        <w:tc>
          <w:tcPr>
            <w:tcW w:w="380" w:type="dxa"/>
            <w:tcBorders>
              <w:top w:val="single" w:sz="12" w:space="0" w:color="000000"/>
            </w:tcBorders>
            <w:textDirection w:val="btLr"/>
          </w:tcPr>
          <w:p>
            <w:pPr>
              <w:pStyle w:val="TableParagraph"/>
              <w:spacing w:before="69"/>
              <w:ind w:left="29"/>
              <w:rPr>
                <w:b/>
                <w:sz w:val="22"/>
              </w:rPr>
            </w:pPr>
            <w:r>
              <w:rPr>
                <w:b/>
                <w:spacing w:val="-2"/>
                <w:sz w:val="22"/>
              </w:rPr>
              <w:t>carretera</w:t>
            </w:r>
          </w:p>
        </w:tc>
        <w:tc>
          <w:tcPr>
            <w:tcW w:w="672" w:type="dxa"/>
            <w:tcBorders>
              <w:top w:val="single" w:sz="12" w:space="0" w:color="000000"/>
            </w:tcBorders>
            <w:textDirection w:val="btLr"/>
          </w:tcPr>
          <w:p>
            <w:pPr>
              <w:pStyle w:val="TableParagraph"/>
              <w:spacing w:line="290" w:lineRule="atLeast" w:before="48"/>
              <w:ind w:left="29" w:right="418"/>
              <w:rPr>
                <w:b/>
                <w:sz w:val="22"/>
              </w:rPr>
            </w:pPr>
            <w:r>
              <w:rPr>
                <w:b/>
                <w:spacing w:val="-4"/>
                <w:sz w:val="22"/>
              </w:rPr>
              <w:t>camino </w:t>
            </w:r>
            <w:r>
              <w:rPr>
                <w:b/>
                <w:spacing w:val="-2"/>
                <w:sz w:val="22"/>
              </w:rPr>
              <w:t>rural</w:t>
            </w:r>
          </w:p>
        </w:tc>
        <w:tc>
          <w:tcPr>
            <w:tcW w:w="965" w:type="dxa"/>
            <w:tcBorders>
              <w:top w:val="single" w:sz="12" w:space="0" w:color="000000"/>
            </w:tcBorders>
            <w:textDirection w:val="btLr"/>
          </w:tcPr>
          <w:p>
            <w:pPr>
              <w:pStyle w:val="TableParagraph"/>
              <w:spacing w:line="290" w:lineRule="atLeast" w:before="50"/>
              <w:ind w:left="29"/>
              <w:rPr>
                <w:b/>
                <w:sz w:val="22"/>
              </w:rPr>
            </w:pPr>
            <w:r>
              <w:rPr>
                <w:b/>
                <w:spacing w:val="-2"/>
                <w:sz w:val="22"/>
              </w:rPr>
              <w:t>acceso </w:t>
            </w:r>
            <w:r>
              <w:rPr>
                <w:b/>
                <w:spacing w:val="-4"/>
                <w:sz w:val="22"/>
              </w:rPr>
              <w:t>controlado </w:t>
            </w:r>
            <w:r>
              <w:rPr>
                <w:b/>
                <w:spacing w:val="-2"/>
                <w:sz w:val="22"/>
              </w:rPr>
              <w:t>c/lateral</w:t>
            </w:r>
          </w:p>
        </w:tc>
        <w:tc>
          <w:tcPr>
            <w:tcW w:w="965" w:type="dxa"/>
            <w:tcBorders>
              <w:top w:val="single" w:sz="12" w:space="0" w:color="000000"/>
            </w:tcBorders>
            <w:textDirection w:val="btLr"/>
          </w:tcPr>
          <w:p>
            <w:pPr>
              <w:pStyle w:val="TableParagraph"/>
              <w:spacing w:line="290" w:lineRule="atLeast" w:before="50"/>
              <w:ind w:left="29"/>
              <w:rPr>
                <w:b/>
                <w:sz w:val="22"/>
              </w:rPr>
            </w:pPr>
            <w:r>
              <w:rPr>
                <w:b/>
                <w:spacing w:val="-2"/>
                <w:sz w:val="22"/>
              </w:rPr>
              <w:t>acceso </w:t>
            </w:r>
            <w:r>
              <w:rPr>
                <w:b/>
                <w:spacing w:val="-4"/>
                <w:sz w:val="22"/>
              </w:rPr>
              <w:t>controlado </w:t>
            </w:r>
            <w:r>
              <w:rPr>
                <w:b/>
                <w:spacing w:val="-2"/>
                <w:sz w:val="22"/>
              </w:rPr>
              <w:t>s/lateral</w:t>
            </w:r>
          </w:p>
        </w:tc>
        <w:tc>
          <w:tcPr>
            <w:tcW w:w="379" w:type="dxa"/>
            <w:tcBorders>
              <w:top w:val="single" w:sz="12" w:space="0" w:color="000000"/>
            </w:tcBorders>
            <w:textDirection w:val="btLr"/>
          </w:tcPr>
          <w:p>
            <w:pPr>
              <w:pStyle w:val="TableParagraph"/>
              <w:spacing w:before="73"/>
              <w:ind w:left="29"/>
              <w:rPr>
                <w:b/>
                <w:sz w:val="22"/>
              </w:rPr>
            </w:pPr>
            <w:r>
              <w:rPr>
                <w:b/>
                <w:spacing w:val="-2"/>
                <w:sz w:val="22"/>
              </w:rPr>
              <w:t>primaria</w:t>
            </w:r>
          </w:p>
        </w:tc>
        <w:tc>
          <w:tcPr>
            <w:tcW w:w="672" w:type="dxa"/>
            <w:tcBorders>
              <w:top w:val="single" w:sz="12" w:space="0" w:color="000000"/>
            </w:tcBorders>
            <w:textDirection w:val="btLr"/>
          </w:tcPr>
          <w:p>
            <w:pPr>
              <w:pStyle w:val="TableParagraph"/>
              <w:spacing w:line="290" w:lineRule="atLeast" w:before="53"/>
              <w:ind w:left="29" w:right="74"/>
              <w:rPr>
                <w:b/>
                <w:sz w:val="22"/>
              </w:rPr>
            </w:pPr>
            <w:r>
              <w:rPr>
                <w:b/>
                <w:spacing w:val="-2"/>
                <w:sz w:val="22"/>
              </w:rPr>
              <w:t>secundaria </w:t>
            </w:r>
            <w:r>
              <w:rPr>
                <w:b/>
                <w:sz w:val="22"/>
              </w:rPr>
              <w:t>o</w:t>
            </w:r>
            <w:r>
              <w:rPr>
                <w:b/>
                <w:spacing w:val="-9"/>
                <w:sz w:val="22"/>
              </w:rPr>
              <w:t> </w:t>
            </w:r>
            <w:r>
              <w:rPr>
                <w:b/>
                <w:spacing w:val="-2"/>
                <w:sz w:val="22"/>
              </w:rPr>
              <w:t>colectora</w:t>
            </w:r>
          </w:p>
        </w:tc>
        <w:tc>
          <w:tcPr>
            <w:tcW w:w="379" w:type="dxa"/>
            <w:tcBorders>
              <w:top w:val="single" w:sz="12" w:space="0" w:color="000000"/>
            </w:tcBorders>
            <w:textDirection w:val="btLr"/>
          </w:tcPr>
          <w:p>
            <w:pPr>
              <w:pStyle w:val="TableParagraph"/>
              <w:spacing w:line="268" w:lineRule="exact" w:before="76"/>
              <w:ind w:left="29"/>
              <w:rPr>
                <w:b/>
                <w:sz w:val="22"/>
              </w:rPr>
            </w:pPr>
            <w:r>
              <w:rPr>
                <w:b/>
                <w:spacing w:val="-2"/>
                <w:sz w:val="22"/>
              </w:rPr>
              <w:t>local</w:t>
            </w:r>
          </w:p>
        </w:tc>
        <w:tc>
          <w:tcPr>
            <w:tcW w:w="379" w:type="dxa"/>
            <w:tcBorders>
              <w:top w:val="single" w:sz="12" w:space="0" w:color="000000"/>
            </w:tcBorders>
            <w:textDirection w:val="btLr"/>
          </w:tcPr>
          <w:p>
            <w:pPr>
              <w:pStyle w:val="TableParagraph"/>
              <w:spacing w:line="266" w:lineRule="exact" w:before="77"/>
              <w:ind w:left="29"/>
              <w:rPr>
                <w:b/>
                <w:sz w:val="22"/>
              </w:rPr>
            </w:pPr>
            <w:r>
              <w:rPr>
                <w:b/>
                <w:spacing w:val="-2"/>
                <w:sz w:val="22"/>
              </w:rPr>
              <w:t>cerrada</w:t>
            </w:r>
          </w:p>
        </w:tc>
        <w:tc>
          <w:tcPr>
            <w:tcW w:w="379" w:type="dxa"/>
            <w:tcBorders>
              <w:top w:val="single" w:sz="12" w:space="0" w:color="000000"/>
            </w:tcBorders>
            <w:textDirection w:val="btLr"/>
          </w:tcPr>
          <w:p>
            <w:pPr>
              <w:pStyle w:val="TableParagraph"/>
              <w:spacing w:line="265" w:lineRule="exact" w:before="78"/>
              <w:ind w:left="29"/>
              <w:rPr>
                <w:b/>
                <w:sz w:val="22"/>
              </w:rPr>
            </w:pPr>
            <w:r>
              <w:rPr>
                <w:b/>
                <w:spacing w:val="-2"/>
                <w:sz w:val="22"/>
              </w:rPr>
              <w:t>ciclovía</w:t>
            </w:r>
          </w:p>
        </w:tc>
        <w:tc>
          <w:tcPr>
            <w:tcW w:w="371" w:type="dxa"/>
            <w:tcBorders>
              <w:top w:val="single" w:sz="12" w:space="0" w:color="000000"/>
              <w:right w:val="single" w:sz="12" w:space="0" w:color="000000"/>
            </w:tcBorders>
            <w:textDirection w:val="btLr"/>
          </w:tcPr>
          <w:p>
            <w:pPr>
              <w:pStyle w:val="TableParagraph"/>
              <w:spacing w:line="248" w:lineRule="exact" w:before="80"/>
              <w:ind w:left="29"/>
              <w:rPr>
                <w:b/>
                <w:sz w:val="22"/>
              </w:rPr>
            </w:pPr>
            <w:r>
              <w:rPr>
                <w:b/>
                <w:spacing w:val="-2"/>
                <w:sz w:val="22"/>
              </w:rPr>
              <w:t>andador</w:t>
            </w:r>
          </w:p>
        </w:tc>
      </w:tr>
      <w:tr>
        <w:trPr>
          <w:trHeight w:val="571" w:hRule="atLeast"/>
        </w:trPr>
        <w:tc>
          <w:tcPr>
            <w:tcW w:w="2473" w:type="dxa"/>
          </w:tcPr>
          <w:p>
            <w:pPr>
              <w:pStyle w:val="TableParagraph"/>
              <w:spacing w:before="10"/>
              <w:ind w:left="43"/>
              <w:rPr>
                <w:b/>
                <w:sz w:val="22"/>
              </w:rPr>
            </w:pPr>
            <w:r>
              <w:rPr>
                <w:b/>
                <w:spacing w:val="-4"/>
                <w:sz w:val="22"/>
              </w:rPr>
              <w:t>PLANTAS,</w:t>
            </w:r>
            <w:r>
              <w:rPr>
                <w:b/>
                <w:spacing w:val="8"/>
                <w:sz w:val="22"/>
              </w:rPr>
              <w:t> </w:t>
            </w:r>
            <w:r>
              <w:rPr>
                <w:b/>
                <w:spacing w:val="-4"/>
                <w:sz w:val="22"/>
              </w:rPr>
              <w:t>ESTACIONES</w:t>
            </w:r>
            <w:r>
              <w:rPr>
                <w:b/>
                <w:spacing w:val="6"/>
                <w:sz w:val="22"/>
              </w:rPr>
              <w:t> </w:t>
            </w:r>
            <w:r>
              <w:rPr>
                <w:b/>
                <w:spacing w:val="-10"/>
                <w:sz w:val="22"/>
              </w:rPr>
              <w:t>Y</w:t>
            </w:r>
          </w:p>
          <w:p>
            <w:pPr>
              <w:pStyle w:val="TableParagraph"/>
              <w:spacing w:line="248" w:lineRule="exact" w:before="25"/>
              <w:ind w:left="43"/>
              <w:rPr>
                <w:b/>
                <w:sz w:val="22"/>
              </w:rPr>
            </w:pPr>
            <w:r>
              <w:rPr>
                <w:b/>
                <w:spacing w:val="-2"/>
                <w:sz w:val="22"/>
              </w:rPr>
              <w:t>SUBESTACIONES</w:t>
            </w:r>
          </w:p>
        </w:tc>
        <w:tc>
          <w:tcPr>
            <w:tcW w:w="380" w:type="dxa"/>
          </w:tcPr>
          <w:p>
            <w:pPr>
              <w:pStyle w:val="TableParagraph"/>
              <w:rPr>
                <w:rFonts w:ascii="Times New Roman"/>
                <w:sz w:val="20"/>
              </w:rPr>
            </w:pPr>
          </w:p>
        </w:tc>
        <w:tc>
          <w:tcPr>
            <w:tcW w:w="380" w:type="dxa"/>
          </w:tcPr>
          <w:p>
            <w:pPr>
              <w:pStyle w:val="TableParagraph"/>
              <w:spacing w:before="156"/>
              <w:ind w:left="45"/>
              <w:jc w:val="center"/>
              <w:rPr>
                <w:sz w:val="22"/>
              </w:rPr>
            </w:pPr>
            <w:r>
              <w:rPr>
                <w:spacing w:val="-10"/>
                <w:sz w:val="22"/>
              </w:rPr>
              <w:t>O</w:t>
            </w:r>
          </w:p>
        </w:tc>
        <w:tc>
          <w:tcPr>
            <w:tcW w:w="672" w:type="dxa"/>
          </w:tcPr>
          <w:p>
            <w:pPr>
              <w:pStyle w:val="TableParagraph"/>
              <w:spacing w:before="156"/>
              <w:ind w:left="57" w:right="9"/>
              <w:jc w:val="center"/>
              <w:rPr>
                <w:sz w:val="22"/>
              </w:rPr>
            </w:pPr>
            <w:r>
              <w:rPr>
                <w:spacing w:val="-10"/>
                <w:sz w:val="22"/>
              </w:rPr>
              <w:t>O</w:t>
            </w:r>
          </w:p>
        </w:tc>
        <w:tc>
          <w:tcPr>
            <w:tcW w:w="965" w:type="dxa"/>
          </w:tcPr>
          <w:p>
            <w:pPr>
              <w:pStyle w:val="TableParagraph"/>
              <w:spacing w:before="156"/>
              <w:ind w:left="52" w:right="3"/>
              <w:jc w:val="center"/>
              <w:rPr>
                <w:sz w:val="22"/>
              </w:rPr>
            </w:pPr>
            <w:r>
              <w:rPr>
                <w:spacing w:val="-10"/>
                <w:sz w:val="22"/>
              </w:rPr>
              <w:t>O</w:t>
            </w:r>
          </w:p>
        </w:tc>
        <w:tc>
          <w:tcPr>
            <w:tcW w:w="965" w:type="dxa"/>
          </w:tcPr>
          <w:p>
            <w:pPr>
              <w:pStyle w:val="TableParagraph"/>
              <w:spacing w:before="156"/>
              <w:ind w:left="52" w:right="1"/>
              <w:jc w:val="center"/>
              <w:rPr>
                <w:sz w:val="22"/>
              </w:rPr>
            </w:pPr>
            <w:r>
              <w:rPr>
                <w:spacing w:val="-10"/>
                <w:sz w:val="22"/>
              </w:rPr>
              <w:t>O</w:t>
            </w:r>
          </w:p>
        </w:tc>
        <w:tc>
          <w:tcPr>
            <w:tcW w:w="379" w:type="dxa"/>
          </w:tcPr>
          <w:p>
            <w:pPr>
              <w:pStyle w:val="TableParagraph"/>
              <w:spacing w:before="156"/>
              <w:ind w:left="66" w:right="12"/>
              <w:jc w:val="center"/>
              <w:rPr>
                <w:sz w:val="22"/>
              </w:rPr>
            </w:pPr>
            <w:r>
              <w:rPr>
                <w:spacing w:val="-10"/>
                <w:sz w:val="22"/>
              </w:rPr>
              <w:t>O</w:t>
            </w:r>
          </w:p>
        </w:tc>
        <w:tc>
          <w:tcPr>
            <w:tcW w:w="672" w:type="dxa"/>
          </w:tcPr>
          <w:p>
            <w:pPr>
              <w:pStyle w:val="TableParagraph"/>
              <w:spacing w:before="156"/>
              <w:ind w:left="57" w:right="1"/>
              <w:jc w:val="center"/>
              <w:rPr>
                <w:sz w:val="22"/>
              </w:rPr>
            </w:pPr>
            <w:r>
              <w:rPr>
                <w:spacing w:val="-10"/>
                <w:sz w:val="22"/>
              </w:rPr>
              <w:t>O</w:t>
            </w: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1" w:type="dxa"/>
            <w:tcBorders>
              <w:right w:val="single" w:sz="12" w:space="0" w:color="000000"/>
            </w:tcBorders>
          </w:tcPr>
          <w:p>
            <w:pPr>
              <w:pStyle w:val="TableParagraph"/>
              <w:rPr>
                <w:rFonts w:ascii="Times New Roman"/>
                <w:sz w:val="20"/>
              </w:rPr>
            </w:pPr>
          </w:p>
        </w:tc>
      </w:tr>
      <w:tr>
        <w:trPr>
          <w:trHeight w:val="277" w:hRule="atLeast"/>
        </w:trPr>
        <w:tc>
          <w:tcPr>
            <w:tcW w:w="2473" w:type="dxa"/>
          </w:tcPr>
          <w:p>
            <w:pPr>
              <w:pStyle w:val="TableParagraph"/>
              <w:spacing w:line="248" w:lineRule="exact" w:before="10"/>
              <w:ind w:left="43"/>
              <w:rPr>
                <w:b/>
                <w:sz w:val="22"/>
              </w:rPr>
            </w:pPr>
            <w:r>
              <w:rPr>
                <w:b/>
                <w:spacing w:val="-4"/>
                <w:sz w:val="22"/>
              </w:rPr>
              <w:t>TORRES</w:t>
            </w:r>
            <w:r>
              <w:rPr>
                <w:b/>
                <w:spacing w:val="-9"/>
                <w:sz w:val="22"/>
              </w:rPr>
              <w:t> </w:t>
            </w:r>
            <w:r>
              <w:rPr>
                <w:b/>
                <w:spacing w:val="-4"/>
                <w:sz w:val="22"/>
              </w:rPr>
              <w:t>Y</w:t>
            </w:r>
            <w:r>
              <w:rPr>
                <w:b/>
                <w:spacing w:val="-7"/>
                <w:sz w:val="22"/>
              </w:rPr>
              <w:t> </w:t>
            </w:r>
            <w:r>
              <w:rPr>
                <w:b/>
                <w:spacing w:val="-4"/>
                <w:sz w:val="22"/>
              </w:rPr>
              <w:t>ANTENAS</w:t>
            </w:r>
          </w:p>
        </w:tc>
        <w:tc>
          <w:tcPr>
            <w:tcW w:w="380" w:type="dxa"/>
          </w:tcPr>
          <w:p>
            <w:pPr>
              <w:pStyle w:val="TableParagraph"/>
              <w:spacing w:line="248" w:lineRule="exact" w:before="10"/>
              <w:ind w:left="45" w:right="1"/>
              <w:jc w:val="center"/>
              <w:rPr>
                <w:sz w:val="22"/>
              </w:rPr>
            </w:pPr>
            <w:r>
              <w:rPr>
                <w:spacing w:val="-10"/>
                <w:sz w:val="22"/>
              </w:rPr>
              <w:t>O</w:t>
            </w:r>
          </w:p>
        </w:tc>
        <w:tc>
          <w:tcPr>
            <w:tcW w:w="380" w:type="dxa"/>
          </w:tcPr>
          <w:p>
            <w:pPr>
              <w:pStyle w:val="TableParagraph"/>
              <w:spacing w:line="248" w:lineRule="exact" w:before="10"/>
              <w:ind w:left="45"/>
              <w:jc w:val="center"/>
              <w:rPr>
                <w:sz w:val="22"/>
              </w:rPr>
            </w:pPr>
            <w:r>
              <w:rPr>
                <w:spacing w:val="-10"/>
                <w:sz w:val="22"/>
              </w:rPr>
              <w:t>O</w:t>
            </w:r>
          </w:p>
        </w:tc>
        <w:tc>
          <w:tcPr>
            <w:tcW w:w="672" w:type="dxa"/>
          </w:tcPr>
          <w:p>
            <w:pPr>
              <w:pStyle w:val="TableParagraph"/>
              <w:spacing w:line="248" w:lineRule="exact" w:before="10"/>
              <w:ind w:left="57" w:right="9"/>
              <w:jc w:val="center"/>
              <w:rPr>
                <w:sz w:val="22"/>
              </w:rPr>
            </w:pPr>
            <w:r>
              <w:rPr>
                <w:spacing w:val="-10"/>
                <w:sz w:val="22"/>
              </w:rPr>
              <w:t>O</w:t>
            </w:r>
          </w:p>
        </w:tc>
        <w:tc>
          <w:tcPr>
            <w:tcW w:w="965" w:type="dxa"/>
          </w:tcPr>
          <w:p>
            <w:pPr>
              <w:pStyle w:val="TableParagraph"/>
              <w:spacing w:line="248" w:lineRule="exact" w:before="10"/>
              <w:ind w:left="52" w:right="3"/>
              <w:jc w:val="center"/>
              <w:rPr>
                <w:sz w:val="22"/>
              </w:rPr>
            </w:pPr>
            <w:r>
              <w:rPr>
                <w:spacing w:val="-10"/>
                <w:sz w:val="22"/>
              </w:rPr>
              <w:t>O</w:t>
            </w:r>
          </w:p>
        </w:tc>
        <w:tc>
          <w:tcPr>
            <w:tcW w:w="965" w:type="dxa"/>
          </w:tcPr>
          <w:p>
            <w:pPr>
              <w:pStyle w:val="TableParagraph"/>
              <w:spacing w:line="248" w:lineRule="exact" w:before="10"/>
              <w:ind w:left="52" w:right="1"/>
              <w:jc w:val="center"/>
              <w:rPr>
                <w:sz w:val="22"/>
              </w:rPr>
            </w:pPr>
            <w:r>
              <w:rPr>
                <w:spacing w:val="-10"/>
                <w:sz w:val="22"/>
              </w:rPr>
              <w:t>O</w:t>
            </w:r>
          </w:p>
        </w:tc>
        <w:tc>
          <w:tcPr>
            <w:tcW w:w="379" w:type="dxa"/>
          </w:tcPr>
          <w:p>
            <w:pPr>
              <w:pStyle w:val="TableParagraph"/>
              <w:spacing w:line="248" w:lineRule="exact" w:before="10"/>
              <w:ind w:left="66" w:right="12"/>
              <w:jc w:val="center"/>
              <w:rPr>
                <w:sz w:val="22"/>
              </w:rPr>
            </w:pPr>
            <w:r>
              <w:rPr>
                <w:spacing w:val="-10"/>
                <w:sz w:val="22"/>
              </w:rPr>
              <w:t>O</w:t>
            </w:r>
          </w:p>
        </w:tc>
        <w:tc>
          <w:tcPr>
            <w:tcW w:w="672" w:type="dxa"/>
          </w:tcPr>
          <w:p>
            <w:pPr>
              <w:pStyle w:val="TableParagraph"/>
              <w:spacing w:line="248" w:lineRule="exact" w:before="10"/>
              <w:ind w:left="57" w:right="1"/>
              <w:jc w:val="center"/>
              <w:rPr>
                <w:sz w:val="22"/>
              </w:rPr>
            </w:pPr>
            <w:r>
              <w:rPr>
                <w:spacing w:val="-10"/>
                <w:sz w:val="22"/>
              </w:rPr>
              <w:t>O</w:t>
            </w: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1" w:type="dxa"/>
            <w:tcBorders>
              <w:right w:val="single" w:sz="12" w:space="0" w:color="000000"/>
            </w:tcBorders>
          </w:tcPr>
          <w:p>
            <w:pPr>
              <w:pStyle w:val="TableParagraph"/>
              <w:rPr>
                <w:rFonts w:ascii="Times New Roman"/>
                <w:sz w:val="20"/>
              </w:rPr>
            </w:pPr>
          </w:p>
        </w:tc>
      </w:tr>
      <w:tr>
        <w:trPr>
          <w:trHeight w:val="278" w:hRule="atLeast"/>
        </w:trPr>
        <w:tc>
          <w:tcPr>
            <w:tcW w:w="2473" w:type="dxa"/>
          </w:tcPr>
          <w:p>
            <w:pPr>
              <w:pStyle w:val="TableParagraph"/>
              <w:spacing w:line="248" w:lineRule="exact" w:before="10"/>
              <w:ind w:left="43"/>
              <w:rPr>
                <w:b/>
                <w:sz w:val="22"/>
              </w:rPr>
            </w:pPr>
            <w:r>
              <w:rPr>
                <w:b/>
                <w:spacing w:val="-4"/>
                <w:sz w:val="22"/>
              </w:rPr>
              <w:t>DEPÓSITOS Y</w:t>
            </w:r>
            <w:r>
              <w:rPr>
                <w:b/>
                <w:spacing w:val="1"/>
                <w:sz w:val="22"/>
              </w:rPr>
              <w:t> </w:t>
            </w:r>
            <w:r>
              <w:rPr>
                <w:b/>
                <w:spacing w:val="-4"/>
                <w:sz w:val="22"/>
              </w:rPr>
              <w:t>ALMACENES</w:t>
            </w:r>
          </w:p>
        </w:tc>
        <w:tc>
          <w:tcPr>
            <w:tcW w:w="380" w:type="dxa"/>
          </w:tcPr>
          <w:p>
            <w:pPr>
              <w:pStyle w:val="TableParagraph"/>
              <w:rPr>
                <w:rFonts w:ascii="Times New Roman"/>
                <w:sz w:val="20"/>
              </w:rPr>
            </w:pPr>
          </w:p>
        </w:tc>
        <w:tc>
          <w:tcPr>
            <w:tcW w:w="380" w:type="dxa"/>
          </w:tcPr>
          <w:p>
            <w:pPr>
              <w:pStyle w:val="TableParagraph"/>
              <w:spacing w:line="248" w:lineRule="exact" w:before="10"/>
              <w:ind w:left="45"/>
              <w:jc w:val="center"/>
              <w:rPr>
                <w:sz w:val="22"/>
              </w:rPr>
            </w:pPr>
            <w:r>
              <w:rPr>
                <w:spacing w:val="-10"/>
                <w:sz w:val="22"/>
              </w:rPr>
              <w:t>O</w:t>
            </w:r>
          </w:p>
        </w:tc>
        <w:tc>
          <w:tcPr>
            <w:tcW w:w="672" w:type="dxa"/>
          </w:tcPr>
          <w:p>
            <w:pPr>
              <w:pStyle w:val="TableParagraph"/>
              <w:spacing w:line="248" w:lineRule="exact" w:before="10"/>
              <w:ind w:left="57" w:right="9"/>
              <w:jc w:val="center"/>
              <w:rPr>
                <w:sz w:val="22"/>
              </w:rPr>
            </w:pPr>
            <w:r>
              <w:rPr>
                <w:spacing w:val="-10"/>
                <w:sz w:val="22"/>
              </w:rPr>
              <w:t>O</w:t>
            </w:r>
          </w:p>
        </w:tc>
        <w:tc>
          <w:tcPr>
            <w:tcW w:w="965" w:type="dxa"/>
          </w:tcPr>
          <w:p>
            <w:pPr>
              <w:pStyle w:val="TableParagraph"/>
              <w:spacing w:line="248" w:lineRule="exact" w:before="10"/>
              <w:ind w:left="52" w:right="3"/>
              <w:jc w:val="center"/>
              <w:rPr>
                <w:sz w:val="22"/>
              </w:rPr>
            </w:pPr>
            <w:r>
              <w:rPr>
                <w:spacing w:val="-10"/>
                <w:sz w:val="22"/>
              </w:rPr>
              <w:t>O</w:t>
            </w:r>
          </w:p>
        </w:tc>
        <w:tc>
          <w:tcPr>
            <w:tcW w:w="965" w:type="dxa"/>
          </w:tcPr>
          <w:p>
            <w:pPr>
              <w:pStyle w:val="TableParagraph"/>
              <w:rPr>
                <w:rFonts w:ascii="Times New Roman"/>
                <w:sz w:val="20"/>
              </w:rPr>
            </w:pPr>
          </w:p>
        </w:tc>
        <w:tc>
          <w:tcPr>
            <w:tcW w:w="379" w:type="dxa"/>
          </w:tcPr>
          <w:p>
            <w:pPr>
              <w:pStyle w:val="TableParagraph"/>
              <w:spacing w:line="248" w:lineRule="exact" w:before="10"/>
              <w:ind w:left="66" w:right="15"/>
              <w:jc w:val="center"/>
              <w:rPr>
                <w:sz w:val="22"/>
              </w:rPr>
            </w:pPr>
            <w:r>
              <w:rPr>
                <w:spacing w:val="-10"/>
                <w:sz w:val="22"/>
              </w:rPr>
              <w:t>X</w:t>
            </w:r>
          </w:p>
        </w:tc>
        <w:tc>
          <w:tcPr>
            <w:tcW w:w="672"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1" w:type="dxa"/>
            <w:tcBorders>
              <w:right w:val="single" w:sz="12" w:space="0" w:color="000000"/>
            </w:tcBorders>
          </w:tcPr>
          <w:p>
            <w:pPr>
              <w:pStyle w:val="TableParagraph"/>
              <w:rPr>
                <w:rFonts w:ascii="Times New Roman"/>
                <w:sz w:val="20"/>
              </w:rPr>
            </w:pPr>
          </w:p>
        </w:tc>
      </w:tr>
      <w:tr>
        <w:trPr>
          <w:trHeight w:val="277" w:hRule="atLeast"/>
        </w:trPr>
        <w:tc>
          <w:tcPr>
            <w:tcW w:w="2473" w:type="dxa"/>
          </w:tcPr>
          <w:p>
            <w:pPr>
              <w:pStyle w:val="TableParagraph"/>
              <w:spacing w:line="248" w:lineRule="exact" w:before="10"/>
              <w:ind w:left="43"/>
              <w:rPr>
                <w:b/>
                <w:sz w:val="22"/>
              </w:rPr>
            </w:pPr>
            <w:r>
              <w:rPr>
                <w:b/>
                <w:spacing w:val="-2"/>
                <w:sz w:val="22"/>
              </w:rPr>
              <w:t>CÁRCAMOS</w:t>
            </w:r>
            <w:r>
              <w:rPr>
                <w:b/>
                <w:spacing w:val="-7"/>
                <w:sz w:val="22"/>
              </w:rPr>
              <w:t> </w:t>
            </w:r>
            <w:r>
              <w:rPr>
                <w:b/>
                <w:spacing w:val="-2"/>
                <w:sz w:val="22"/>
              </w:rPr>
              <w:t>Y BOMBAS</w:t>
            </w:r>
          </w:p>
        </w:tc>
        <w:tc>
          <w:tcPr>
            <w:tcW w:w="380" w:type="dxa"/>
          </w:tcPr>
          <w:p>
            <w:pPr>
              <w:pStyle w:val="TableParagraph"/>
              <w:rPr>
                <w:rFonts w:ascii="Times New Roman"/>
                <w:sz w:val="20"/>
              </w:rPr>
            </w:pPr>
          </w:p>
        </w:tc>
        <w:tc>
          <w:tcPr>
            <w:tcW w:w="380" w:type="dxa"/>
          </w:tcPr>
          <w:p>
            <w:pPr>
              <w:pStyle w:val="TableParagraph"/>
              <w:spacing w:line="248" w:lineRule="exact" w:before="10"/>
              <w:ind w:left="45"/>
              <w:jc w:val="center"/>
              <w:rPr>
                <w:sz w:val="22"/>
              </w:rPr>
            </w:pPr>
            <w:r>
              <w:rPr>
                <w:spacing w:val="-10"/>
                <w:sz w:val="22"/>
              </w:rPr>
              <w:t>O</w:t>
            </w:r>
          </w:p>
        </w:tc>
        <w:tc>
          <w:tcPr>
            <w:tcW w:w="672" w:type="dxa"/>
          </w:tcPr>
          <w:p>
            <w:pPr>
              <w:pStyle w:val="TableParagraph"/>
              <w:spacing w:line="248" w:lineRule="exact" w:before="10"/>
              <w:ind w:left="57" w:right="9"/>
              <w:jc w:val="center"/>
              <w:rPr>
                <w:sz w:val="22"/>
              </w:rPr>
            </w:pPr>
            <w:r>
              <w:rPr>
                <w:spacing w:val="-10"/>
                <w:sz w:val="22"/>
              </w:rPr>
              <w:t>O</w:t>
            </w:r>
          </w:p>
        </w:tc>
        <w:tc>
          <w:tcPr>
            <w:tcW w:w="965" w:type="dxa"/>
          </w:tcPr>
          <w:p>
            <w:pPr>
              <w:pStyle w:val="TableParagraph"/>
              <w:spacing w:line="248" w:lineRule="exact" w:before="10"/>
              <w:ind w:left="52" w:right="3"/>
              <w:jc w:val="center"/>
              <w:rPr>
                <w:sz w:val="22"/>
              </w:rPr>
            </w:pPr>
            <w:r>
              <w:rPr>
                <w:spacing w:val="-10"/>
                <w:sz w:val="22"/>
              </w:rPr>
              <w:t>O</w:t>
            </w:r>
          </w:p>
        </w:tc>
        <w:tc>
          <w:tcPr>
            <w:tcW w:w="965" w:type="dxa"/>
          </w:tcPr>
          <w:p>
            <w:pPr>
              <w:pStyle w:val="TableParagraph"/>
              <w:rPr>
                <w:rFonts w:ascii="Times New Roman"/>
                <w:sz w:val="20"/>
              </w:rPr>
            </w:pPr>
          </w:p>
        </w:tc>
        <w:tc>
          <w:tcPr>
            <w:tcW w:w="379" w:type="dxa"/>
          </w:tcPr>
          <w:p>
            <w:pPr>
              <w:pStyle w:val="TableParagraph"/>
              <w:spacing w:line="248" w:lineRule="exact" w:before="10"/>
              <w:ind w:left="66" w:right="15"/>
              <w:jc w:val="center"/>
              <w:rPr>
                <w:sz w:val="22"/>
              </w:rPr>
            </w:pPr>
            <w:r>
              <w:rPr>
                <w:spacing w:val="-10"/>
                <w:sz w:val="22"/>
              </w:rPr>
              <w:t>X</w:t>
            </w:r>
          </w:p>
        </w:tc>
        <w:tc>
          <w:tcPr>
            <w:tcW w:w="672" w:type="dxa"/>
          </w:tcPr>
          <w:p>
            <w:pPr>
              <w:pStyle w:val="TableParagraph"/>
              <w:spacing w:line="248" w:lineRule="exact" w:before="10"/>
              <w:ind w:left="57" w:right="1"/>
              <w:jc w:val="center"/>
              <w:rPr>
                <w:sz w:val="22"/>
              </w:rPr>
            </w:pPr>
            <w:r>
              <w:rPr>
                <w:spacing w:val="-10"/>
                <w:sz w:val="22"/>
              </w:rPr>
              <w:t>O</w:t>
            </w: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1" w:type="dxa"/>
            <w:tcBorders>
              <w:right w:val="single" w:sz="12" w:space="0" w:color="000000"/>
            </w:tcBorders>
          </w:tcPr>
          <w:p>
            <w:pPr>
              <w:pStyle w:val="TableParagraph"/>
              <w:rPr>
                <w:rFonts w:ascii="Times New Roman"/>
                <w:sz w:val="20"/>
              </w:rPr>
            </w:pPr>
          </w:p>
        </w:tc>
      </w:tr>
      <w:tr>
        <w:trPr>
          <w:trHeight w:val="571" w:hRule="atLeast"/>
        </w:trPr>
        <w:tc>
          <w:tcPr>
            <w:tcW w:w="2473" w:type="dxa"/>
          </w:tcPr>
          <w:p>
            <w:pPr>
              <w:pStyle w:val="TableParagraph"/>
              <w:spacing w:before="10"/>
              <w:ind w:left="43"/>
              <w:rPr>
                <w:b/>
                <w:sz w:val="22"/>
              </w:rPr>
            </w:pPr>
            <w:r>
              <w:rPr>
                <w:b/>
                <w:spacing w:val="-4"/>
                <w:sz w:val="22"/>
              </w:rPr>
              <w:t>TALUDES,</w:t>
            </w:r>
            <w:r>
              <w:rPr>
                <w:b/>
                <w:spacing w:val="-5"/>
                <w:sz w:val="22"/>
              </w:rPr>
              <w:t> </w:t>
            </w:r>
            <w:r>
              <w:rPr>
                <w:b/>
                <w:spacing w:val="-4"/>
                <w:sz w:val="22"/>
              </w:rPr>
              <w:t>BORDOS</w:t>
            </w:r>
            <w:r>
              <w:rPr>
                <w:b/>
                <w:spacing w:val="-8"/>
                <w:sz w:val="22"/>
              </w:rPr>
              <w:t> </w:t>
            </w:r>
            <w:r>
              <w:rPr>
                <w:b/>
                <w:spacing w:val="-10"/>
                <w:sz w:val="22"/>
              </w:rPr>
              <w:t>Y</w:t>
            </w:r>
          </w:p>
          <w:p>
            <w:pPr>
              <w:pStyle w:val="TableParagraph"/>
              <w:spacing w:line="248" w:lineRule="exact" w:before="24"/>
              <w:ind w:left="43"/>
              <w:rPr>
                <w:b/>
                <w:sz w:val="22"/>
              </w:rPr>
            </w:pPr>
            <w:r>
              <w:rPr>
                <w:b/>
                <w:spacing w:val="-2"/>
                <w:sz w:val="22"/>
              </w:rPr>
              <w:t>RETENES</w:t>
            </w:r>
          </w:p>
        </w:tc>
        <w:tc>
          <w:tcPr>
            <w:tcW w:w="380" w:type="dxa"/>
          </w:tcPr>
          <w:p>
            <w:pPr>
              <w:pStyle w:val="TableParagraph"/>
              <w:spacing w:before="156"/>
              <w:ind w:left="45" w:right="1"/>
              <w:jc w:val="center"/>
              <w:rPr>
                <w:sz w:val="22"/>
              </w:rPr>
            </w:pPr>
            <w:r>
              <w:rPr>
                <w:spacing w:val="-10"/>
                <w:sz w:val="22"/>
              </w:rPr>
              <w:t>O</w:t>
            </w:r>
          </w:p>
        </w:tc>
        <w:tc>
          <w:tcPr>
            <w:tcW w:w="380" w:type="dxa"/>
          </w:tcPr>
          <w:p>
            <w:pPr>
              <w:pStyle w:val="TableParagraph"/>
              <w:spacing w:before="156"/>
              <w:ind w:left="45"/>
              <w:jc w:val="center"/>
              <w:rPr>
                <w:sz w:val="22"/>
              </w:rPr>
            </w:pPr>
            <w:r>
              <w:rPr>
                <w:spacing w:val="-10"/>
                <w:sz w:val="22"/>
              </w:rPr>
              <w:t>O</w:t>
            </w:r>
          </w:p>
        </w:tc>
        <w:tc>
          <w:tcPr>
            <w:tcW w:w="672" w:type="dxa"/>
          </w:tcPr>
          <w:p>
            <w:pPr>
              <w:pStyle w:val="TableParagraph"/>
              <w:spacing w:before="156"/>
              <w:ind w:left="57" w:right="9"/>
              <w:jc w:val="center"/>
              <w:rPr>
                <w:sz w:val="22"/>
              </w:rPr>
            </w:pPr>
            <w:r>
              <w:rPr>
                <w:spacing w:val="-10"/>
                <w:sz w:val="22"/>
              </w:rPr>
              <w:t>O</w:t>
            </w:r>
          </w:p>
        </w:tc>
        <w:tc>
          <w:tcPr>
            <w:tcW w:w="965" w:type="dxa"/>
          </w:tcPr>
          <w:p>
            <w:pPr>
              <w:pStyle w:val="TableParagraph"/>
              <w:spacing w:before="156"/>
              <w:ind w:left="52" w:right="3"/>
              <w:jc w:val="center"/>
              <w:rPr>
                <w:sz w:val="22"/>
              </w:rPr>
            </w:pPr>
            <w:r>
              <w:rPr>
                <w:spacing w:val="-10"/>
                <w:sz w:val="22"/>
              </w:rPr>
              <w:t>O</w:t>
            </w:r>
          </w:p>
        </w:tc>
        <w:tc>
          <w:tcPr>
            <w:tcW w:w="965" w:type="dxa"/>
          </w:tcPr>
          <w:p>
            <w:pPr>
              <w:pStyle w:val="TableParagraph"/>
              <w:spacing w:before="156"/>
              <w:ind w:left="52" w:right="1"/>
              <w:jc w:val="center"/>
              <w:rPr>
                <w:sz w:val="22"/>
              </w:rPr>
            </w:pPr>
            <w:r>
              <w:rPr>
                <w:spacing w:val="-10"/>
                <w:sz w:val="22"/>
              </w:rPr>
              <w:t>O</w:t>
            </w:r>
          </w:p>
        </w:tc>
        <w:tc>
          <w:tcPr>
            <w:tcW w:w="379" w:type="dxa"/>
          </w:tcPr>
          <w:p>
            <w:pPr>
              <w:pStyle w:val="TableParagraph"/>
              <w:spacing w:before="156"/>
              <w:ind w:left="66" w:right="12"/>
              <w:jc w:val="center"/>
              <w:rPr>
                <w:sz w:val="22"/>
              </w:rPr>
            </w:pPr>
            <w:r>
              <w:rPr>
                <w:spacing w:val="-10"/>
                <w:sz w:val="22"/>
              </w:rPr>
              <w:t>O</w:t>
            </w:r>
          </w:p>
        </w:tc>
        <w:tc>
          <w:tcPr>
            <w:tcW w:w="672" w:type="dxa"/>
          </w:tcPr>
          <w:p>
            <w:pPr>
              <w:pStyle w:val="TableParagraph"/>
              <w:spacing w:before="156"/>
              <w:ind w:left="57" w:right="1"/>
              <w:jc w:val="center"/>
              <w:rPr>
                <w:sz w:val="22"/>
              </w:rPr>
            </w:pPr>
            <w:r>
              <w:rPr>
                <w:spacing w:val="-10"/>
                <w:sz w:val="22"/>
              </w:rPr>
              <w:t>O</w:t>
            </w:r>
          </w:p>
        </w:tc>
        <w:tc>
          <w:tcPr>
            <w:tcW w:w="379" w:type="dxa"/>
          </w:tcPr>
          <w:p>
            <w:pPr>
              <w:pStyle w:val="TableParagraph"/>
              <w:rPr>
                <w:rFonts w:ascii="Times New Roman"/>
                <w:sz w:val="20"/>
              </w:rPr>
            </w:pPr>
          </w:p>
        </w:tc>
        <w:tc>
          <w:tcPr>
            <w:tcW w:w="379" w:type="dxa"/>
          </w:tcPr>
          <w:p>
            <w:pPr>
              <w:pStyle w:val="TableParagraph"/>
              <w:rPr>
                <w:rFonts w:ascii="Times New Roman"/>
                <w:sz w:val="20"/>
              </w:rPr>
            </w:pPr>
          </w:p>
        </w:tc>
        <w:tc>
          <w:tcPr>
            <w:tcW w:w="379" w:type="dxa"/>
          </w:tcPr>
          <w:p>
            <w:pPr>
              <w:pStyle w:val="TableParagraph"/>
              <w:spacing w:before="156"/>
              <w:ind w:left="142"/>
              <w:rPr>
                <w:sz w:val="22"/>
              </w:rPr>
            </w:pPr>
            <w:r>
              <w:rPr>
                <w:spacing w:val="-10"/>
                <w:sz w:val="22"/>
              </w:rPr>
              <w:t>O</w:t>
            </w:r>
          </w:p>
        </w:tc>
        <w:tc>
          <w:tcPr>
            <w:tcW w:w="371" w:type="dxa"/>
            <w:tcBorders>
              <w:right w:val="single" w:sz="12" w:space="0" w:color="000000"/>
            </w:tcBorders>
          </w:tcPr>
          <w:p>
            <w:pPr>
              <w:pStyle w:val="TableParagraph"/>
              <w:spacing w:before="156"/>
              <w:ind w:left="143"/>
              <w:rPr>
                <w:sz w:val="22"/>
              </w:rPr>
            </w:pPr>
            <w:r>
              <w:rPr>
                <w:spacing w:val="-10"/>
                <w:sz w:val="22"/>
              </w:rPr>
              <w:t>O</w:t>
            </w:r>
          </w:p>
        </w:tc>
      </w:tr>
      <w:tr>
        <w:trPr>
          <w:trHeight w:val="277" w:hRule="atLeast"/>
        </w:trPr>
        <w:tc>
          <w:tcPr>
            <w:tcW w:w="2473" w:type="dxa"/>
            <w:tcBorders>
              <w:bottom w:val="single" w:sz="12" w:space="0" w:color="000000"/>
            </w:tcBorders>
          </w:tcPr>
          <w:p>
            <w:pPr>
              <w:pStyle w:val="TableParagraph"/>
              <w:spacing w:line="258" w:lineRule="exact"/>
              <w:ind w:left="43"/>
              <w:rPr>
                <w:b/>
                <w:sz w:val="22"/>
              </w:rPr>
            </w:pPr>
            <w:r>
              <w:rPr>
                <w:b/>
                <w:spacing w:val="-2"/>
                <w:sz w:val="22"/>
              </w:rPr>
              <w:t>BASUREROS</w:t>
            </w:r>
          </w:p>
        </w:tc>
        <w:tc>
          <w:tcPr>
            <w:tcW w:w="380" w:type="dxa"/>
            <w:tcBorders>
              <w:bottom w:val="single" w:sz="12" w:space="0" w:color="000000"/>
            </w:tcBorders>
          </w:tcPr>
          <w:p>
            <w:pPr>
              <w:pStyle w:val="TableParagraph"/>
              <w:rPr>
                <w:rFonts w:ascii="Times New Roman"/>
                <w:sz w:val="20"/>
              </w:rPr>
            </w:pPr>
          </w:p>
        </w:tc>
        <w:tc>
          <w:tcPr>
            <w:tcW w:w="380" w:type="dxa"/>
            <w:tcBorders>
              <w:bottom w:val="single" w:sz="12" w:space="0" w:color="000000"/>
            </w:tcBorders>
          </w:tcPr>
          <w:p>
            <w:pPr>
              <w:pStyle w:val="TableParagraph"/>
              <w:spacing w:line="247" w:lineRule="exact" w:before="10"/>
              <w:ind w:left="45"/>
              <w:jc w:val="center"/>
              <w:rPr>
                <w:sz w:val="22"/>
              </w:rPr>
            </w:pPr>
            <w:r>
              <w:rPr>
                <w:spacing w:val="-10"/>
                <w:sz w:val="22"/>
              </w:rPr>
              <w:t>O</w:t>
            </w:r>
          </w:p>
        </w:tc>
        <w:tc>
          <w:tcPr>
            <w:tcW w:w="672" w:type="dxa"/>
            <w:tcBorders>
              <w:bottom w:val="single" w:sz="12" w:space="0" w:color="000000"/>
            </w:tcBorders>
          </w:tcPr>
          <w:p>
            <w:pPr>
              <w:pStyle w:val="TableParagraph"/>
              <w:spacing w:line="247" w:lineRule="exact" w:before="10"/>
              <w:ind w:left="57" w:right="9"/>
              <w:jc w:val="center"/>
              <w:rPr>
                <w:sz w:val="22"/>
              </w:rPr>
            </w:pPr>
            <w:r>
              <w:rPr>
                <w:spacing w:val="-10"/>
                <w:sz w:val="22"/>
              </w:rPr>
              <w:t>O</w:t>
            </w:r>
          </w:p>
        </w:tc>
        <w:tc>
          <w:tcPr>
            <w:tcW w:w="965" w:type="dxa"/>
            <w:tcBorders>
              <w:bottom w:val="single" w:sz="12" w:space="0" w:color="000000"/>
            </w:tcBorders>
          </w:tcPr>
          <w:p>
            <w:pPr>
              <w:pStyle w:val="TableParagraph"/>
              <w:spacing w:line="247" w:lineRule="exact" w:before="10"/>
              <w:ind w:left="52" w:right="3"/>
              <w:jc w:val="center"/>
              <w:rPr>
                <w:sz w:val="22"/>
              </w:rPr>
            </w:pPr>
            <w:r>
              <w:rPr>
                <w:spacing w:val="-10"/>
                <w:sz w:val="22"/>
              </w:rPr>
              <w:t>O</w:t>
            </w:r>
          </w:p>
        </w:tc>
        <w:tc>
          <w:tcPr>
            <w:tcW w:w="965" w:type="dxa"/>
            <w:tcBorders>
              <w:bottom w:val="single" w:sz="12" w:space="0" w:color="000000"/>
            </w:tcBorders>
          </w:tcPr>
          <w:p>
            <w:pPr>
              <w:pStyle w:val="TableParagraph"/>
              <w:spacing w:line="247" w:lineRule="exact" w:before="10"/>
              <w:ind w:left="52" w:right="1"/>
              <w:jc w:val="center"/>
              <w:rPr>
                <w:sz w:val="22"/>
              </w:rPr>
            </w:pPr>
            <w:r>
              <w:rPr>
                <w:spacing w:val="-10"/>
                <w:sz w:val="22"/>
              </w:rPr>
              <w:t>O</w:t>
            </w:r>
          </w:p>
        </w:tc>
        <w:tc>
          <w:tcPr>
            <w:tcW w:w="379" w:type="dxa"/>
            <w:tcBorders>
              <w:bottom w:val="single" w:sz="12" w:space="0" w:color="000000"/>
            </w:tcBorders>
          </w:tcPr>
          <w:p>
            <w:pPr>
              <w:pStyle w:val="TableParagraph"/>
              <w:rPr>
                <w:rFonts w:ascii="Times New Roman"/>
                <w:sz w:val="20"/>
              </w:rPr>
            </w:pPr>
          </w:p>
        </w:tc>
        <w:tc>
          <w:tcPr>
            <w:tcW w:w="672" w:type="dxa"/>
            <w:tcBorders>
              <w:bottom w:val="single" w:sz="12" w:space="0" w:color="000000"/>
            </w:tcBorders>
          </w:tcPr>
          <w:p>
            <w:pPr>
              <w:pStyle w:val="TableParagraph"/>
              <w:rPr>
                <w:rFonts w:ascii="Times New Roman"/>
                <w:sz w:val="20"/>
              </w:rPr>
            </w:pPr>
          </w:p>
        </w:tc>
        <w:tc>
          <w:tcPr>
            <w:tcW w:w="379" w:type="dxa"/>
            <w:tcBorders>
              <w:bottom w:val="single" w:sz="12" w:space="0" w:color="000000"/>
            </w:tcBorders>
          </w:tcPr>
          <w:p>
            <w:pPr>
              <w:pStyle w:val="TableParagraph"/>
              <w:rPr>
                <w:rFonts w:ascii="Times New Roman"/>
                <w:sz w:val="20"/>
              </w:rPr>
            </w:pPr>
          </w:p>
        </w:tc>
        <w:tc>
          <w:tcPr>
            <w:tcW w:w="379" w:type="dxa"/>
            <w:tcBorders>
              <w:bottom w:val="single" w:sz="12" w:space="0" w:color="000000"/>
            </w:tcBorders>
          </w:tcPr>
          <w:p>
            <w:pPr>
              <w:pStyle w:val="TableParagraph"/>
              <w:rPr>
                <w:rFonts w:ascii="Times New Roman"/>
                <w:sz w:val="20"/>
              </w:rPr>
            </w:pPr>
          </w:p>
        </w:tc>
        <w:tc>
          <w:tcPr>
            <w:tcW w:w="379" w:type="dxa"/>
            <w:tcBorders>
              <w:bottom w:val="single" w:sz="12" w:space="0" w:color="000000"/>
            </w:tcBorders>
          </w:tcPr>
          <w:p>
            <w:pPr>
              <w:pStyle w:val="TableParagraph"/>
              <w:rPr>
                <w:rFonts w:ascii="Times New Roman"/>
                <w:sz w:val="20"/>
              </w:rPr>
            </w:pPr>
          </w:p>
        </w:tc>
        <w:tc>
          <w:tcPr>
            <w:tcW w:w="371" w:type="dxa"/>
            <w:tcBorders>
              <w:bottom w:val="single" w:sz="12" w:space="0" w:color="000000"/>
              <w:right w:val="single" w:sz="12" w:space="0" w:color="000000"/>
            </w:tcBorders>
          </w:tcPr>
          <w:p>
            <w:pPr>
              <w:pStyle w:val="TableParagraph"/>
              <w:rPr>
                <w:rFonts w:ascii="Times New Roman"/>
                <w:sz w:val="20"/>
              </w:rPr>
            </w:pPr>
          </w:p>
        </w:tc>
      </w:tr>
    </w:tbl>
    <w:p>
      <w:pPr>
        <w:pStyle w:val="BodyText"/>
        <w:tabs>
          <w:tab w:pos="1571" w:val="left" w:leader="none"/>
        </w:tabs>
        <w:spacing w:before="11"/>
        <w:ind w:left="262"/>
      </w:pPr>
      <w:r>
        <w:rPr/>
        <w:t>O</w:t>
      </w:r>
      <w:r>
        <w:rPr>
          <w:spacing w:val="-2"/>
        </w:rPr>
        <w:t> adecuada</w:t>
      </w:r>
      <w:r>
        <w:rPr/>
        <w:tab/>
        <w:t>X</w:t>
      </w:r>
      <w:r>
        <w:rPr>
          <w:spacing w:val="-2"/>
        </w:rPr>
        <w:t> tolerable</w:t>
      </w:r>
    </w:p>
    <w:p>
      <w:pPr>
        <w:pStyle w:val="BodyText"/>
        <w:spacing w:before="228"/>
        <w:ind w:right="20"/>
        <w:jc w:val="center"/>
      </w:pPr>
      <w:r>
        <w:rPr/>
        <w:t>EXPLOTACIÓN</w:t>
      </w:r>
      <w:r>
        <w:rPr>
          <w:spacing w:val="-9"/>
        </w:rPr>
        <w:t> </w:t>
      </w:r>
      <w:r>
        <w:rPr/>
        <w:t>AGROPECUARIA,</w:t>
      </w:r>
      <w:r>
        <w:rPr>
          <w:spacing w:val="-10"/>
        </w:rPr>
        <w:t> </w:t>
      </w:r>
      <w:r>
        <w:rPr/>
        <w:t>FORESTAL</w:t>
      </w:r>
      <w:r>
        <w:rPr>
          <w:spacing w:val="-9"/>
        </w:rPr>
        <w:t> </w:t>
      </w:r>
      <w:r>
        <w:rPr/>
        <w:t>Y</w:t>
      </w:r>
      <w:r>
        <w:rPr>
          <w:spacing w:val="-8"/>
        </w:rPr>
        <w:t> </w:t>
      </w:r>
      <w:r>
        <w:rPr>
          <w:spacing w:val="-2"/>
        </w:rPr>
        <w:t>PISCICULTURA</w:t>
      </w:r>
    </w:p>
    <w:tbl>
      <w:tblPr>
        <w:tblW w:w="0" w:type="auto"/>
        <w:jc w:val="left"/>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95"/>
        <w:gridCol w:w="383"/>
        <w:gridCol w:w="383"/>
        <w:gridCol w:w="678"/>
        <w:gridCol w:w="973"/>
        <w:gridCol w:w="973"/>
        <w:gridCol w:w="382"/>
        <w:gridCol w:w="678"/>
        <w:gridCol w:w="382"/>
        <w:gridCol w:w="382"/>
        <w:gridCol w:w="382"/>
        <w:gridCol w:w="374"/>
      </w:tblGrid>
      <w:tr>
        <w:trPr>
          <w:trHeight w:val="280" w:hRule="atLeast"/>
        </w:trPr>
        <w:tc>
          <w:tcPr>
            <w:tcW w:w="2495" w:type="dxa"/>
            <w:tcBorders>
              <w:bottom w:val="single" w:sz="6" w:space="0" w:color="D0D6E4"/>
            </w:tcBorders>
          </w:tcPr>
          <w:p>
            <w:pPr>
              <w:pStyle w:val="TableParagraph"/>
              <w:rPr>
                <w:rFonts w:ascii="Times New Roman"/>
                <w:sz w:val="20"/>
              </w:rPr>
            </w:pPr>
          </w:p>
        </w:tc>
        <w:tc>
          <w:tcPr>
            <w:tcW w:w="1444" w:type="dxa"/>
            <w:gridSpan w:val="3"/>
            <w:tcBorders>
              <w:bottom w:val="single" w:sz="12" w:space="0" w:color="000000"/>
            </w:tcBorders>
          </w:tcPr>
          <w:p>
            <w:pPr>
              <w:pStyle w:val="TableParagraph"/>
              <w:spacing w:line="254" w:lineRule="exact" w:before="6"/>
              <w:ind w:left="73"/>
              <w:rPr>
                <w:b/>
                <w:sz w:val="22"/>
              </w:rPr>
            </w:pPr>
            <w:r>
              <w:rPr>
                <w:b/>
                <w:spacing w:val="-2"/>
                <w:sz w:val="22"/>
              </w:rPr>
              <w:t>INTERURBANA</w:t>
            </w:r>
          </w:p>
        </w:tc>
        <w:tc>
          <w:tcPr>
            <w:tcW w:w="4526" w:type="dxa"/>
            <w:gridSpan w:val="8"/>
            <w:tcBorders>
              <w:bottom w:val="single" w:sz="12" w:space="0" w:color="000000"/>
              <w:right w:val="single" w:sz="12" w:space="0" w:color="000000"/>
            </w:tcBorders>
          </w:tcPr>
          <w:p>
            <w:pPr>
              <w:pStyle w:val="TableParagraph"/>
              <w:spacing w:line="254" w:lineRule="exact" w:before="6"/>
              <w:ind w:left="82"/>
              <w:jc w:val="center"/>
              <w:rPr>
                <w:b/>
                <w:sz w:val="22"/>
              </w:rPr>
            </w:pPr>
            <w:r>
              <w:rPr>
                <w:b/>
                <w:spacing w:val="-2"/>
                <w:sz w:val="22"/>
              </w:rPr>
              <w:t>URBANA</w:t>
            </w:r>
          </w:p>
        </w:tc>
      </w:tr>
      <w:tr>
        <w:trPr>
          <w:trHeight w:val="1122" w:hRule="atLeast"/>
        </w:trPr>
        <w:tc>
          <w:tcPr>
            <w:tcW w:w="2495" w:type="dxa"/>
            <w:tcBorders>
              <w:top w:val="single" w:sz="6" w:space="0" w:color="D0D6E4"/>
            </w:tcBorders>
          </w:tcPr>
          <w:p>
            <w:pPr>
              <w:pStyle w:val="TableParagraph"/>
              <w:rPr>
                <w:rFonts w:ascii="Times New Roman"/>
                <w:sz w:val="20"/>
              </w:rPr>
            </w:pPr>
          </w:p>
        </w:tc>
        <w:tc>
          <w:tcPr>
            <w:tcW w:w="383" w:type="dxa"/>
            <w:tcBorders>
              <w:top w:val="single" w:sz="12" w:space="0" w:color="000000"/>
            </w:tcBorders>
            <w:textDirection w:val="btLr"/>
          </w:tcPr>
          <w:p>
            <w:pPr>
              <w:pStyle w:val="TableParagraph"/>
              <w:spacing w:before="71"/>
              <w:ind w:left="35"/>
              <w:rPr>
                <w:b/>
                <w:sz w:val="22"/>
              </w:rPr>
            </w:pPr>
            <w:r>
              <w:rPr>
                <w:b/>
                <w:spacing w:val="-2"/>
                <w:sz w:val="22"/>
              </w:rPr>
              <w:t>autopista</w:t>
            </w:r>
          </w:p>
        </w:tc>
        <w:tc>
          <w:tcPr>
            <w:tcW w:w="383" w:type="dxa"/>
            <w:tcBorders>
              <w:top w:val="single" w:sz="12" w:space="0" w:color="000000"/>
            </w:tcBorders>
            <w:textDirection w:val="btLr"/>
          </w:tcPr>
          <w:p>
            <w:pPr>
              <w:pStyle w:val="TableParagraph"/>
              <w:spacing w:before="72"/>
              <w:ind w:left="35"/>
              <w:rPr>
                <w:b/>
                <w:sz w:val="22"/>
              </w:rPr>
            </w:pPr>
            <w:r>
              <w:rPr>
                <w:b/>
                <w:spacing w:val="-2"/>
                <w:sz w:val="22"/>
              </w:rPr>
              <w:t>carretera</w:t>
            </w:r>
          </w:p>
        </w:tc>
        <w:tc>
          <w:tcPr>
            <w:tcW w:w="678" w:type="dxa"/>
            <w:tcBorders>
              <w:top w:val="single" w:sz="12" w:space="0" w:color="000000"/>
            </w:tcBorders>
            <w:textDirection w:val="btLr"/>
          </w:tcPr>
          <w:p>
            <w:pPr>
              <w:pStyle w:val="TableParagraph"/>
              <w:spacing w:line="290" w:lineRule="atLeast" w:before="52"/>
              <w:ind w:left="35" w:right="409"/>
              <w:rPr>
                <w:b/>
                <w:sz w:val="22"/>
              </w:rPr>
            </w:pPr>
            <w:r>
              <w:rPr>
                <w:b/>
                <w:spacing w:val="-2"/>
                <w:sz w:val="22"/>
              </w:rPr>
              <w:t>camino rural</w:t>
            </w:r>
          </w:p>
        </w:tc>
        <w:tc>
          <w:tcPr>
            <w:tcW w:w="973" w:type="dxa"/>
            <w:tcBorders>
              <w:top w:val="single" w:sz="12" w:space="0" w:color="000000"/>
            </w:tcBorders>
            <w:textDirection w:val="btLr"/>
          </w:tcPr>
          <w:p>
            <w:pPr>
              <w:pStyle w:val="TableParagraph"/>
              <w:spacing w:line="290" w:lineRule="atLeast" w:before="53"/>
              <w:ind w:left="35" w:right="86"/>
              <w:rPr>
                <w:b/>
                <w:sz w:val="22"/>
              </w:rPr>
            </w:pPr>
            <w:r>
              <w:rPr>
                <w:b/>
                <w:spacing w:val="-2"/>
                <w:sz w:val="22"/>
              </w:rPr>
              <w:t>acceso controlado c/lateral</w:t>
            </w:r>
          </w:p>
        </w:tc>
        <w:tc>
          <w:tcPr>
            <w:tcW w:w="973" w:type="dxa"/>
            <w:tcBorders>
              <w:top w:val="single" w:sz="12" w:space="0" w:color="000000"/>
            </w:tcBorders>
            <w:textDirection w:val="btLr"/>
          </w:tcPr>
          <w:p>
            <w:pPr>
              <w:pStyle w:val="TableParagraph"/>
              <w:spacing w:line="290" w:lineRule="atLeast" w:before="54"/>
              <w:ind w:left="35" w:right="86"/>
              <w:rPr>
                <w:b/>
                <w:sz w:val="22"/>
              </w:rPr>
            </w:pPr>
            <w:r>
              <w:rPr>
                <w:b/>
                <w:spacing w:val="-2"/>
                <w:sz w:val="22"/>
              </w:rPr>
              <w:t>acceso controlado s/lateral</w:t>
            </w:r>
          </w:p>
        </w:tc>
        <w:tc>
          <w:tcPr>
            <w:tcW w:w="382" w:type="dxa"/>
            <w:tcBorders>
              <w:top w:val="single" w:sz="12" w:space="0" w:color="000000"/>
            </w:tcBorders>
            <w:textDirection w:val="btLr"/>
          </w:tcPr>
          <w:p>
            <w:pPr>
              <w:pStyle w:val="TableParagraph"/>
              <w:spacing w:before="77"/>
              <w:ind w:left="35"/>
              <w:rPr>
                <w:b/>
                <w:sz w:val="22"/>
              </w:rPr>
            </w:pPr>
            <w:r>
              <w:rPr>
                <w:b/>
                <w:spacing w:val="-2"/>
                <w:sz w:val="22"/>
              </w:rPr>
              <w:t>primaria</w:t>
            </w:r>
          </w:p>
        </w:tc>
        <w:tc>
          <w:tcPr>
            <w:tcW w:w="678" w:type="dxa"/>
            <w:tcBorders>
              <w:top w:val="single" w:sz="12" w:space="0" w:color="000000"/>
            </w:tcBorders>
            <w:textDirection w:val="btLr"/>
          </w:tcPr>
          <w:p>
            <w:pPr>
              <w:pStyle w:val="TableParagraph"/>
              <w:spacing w:line="290" w:lineRule="atLeast" w:before="58"/>
              <w:ind w:left="35" w:right="14"/>
              <w:rPr>
                <w:b/>
                <w:sz w:val="22"/>
              </w:rPr>
            </w:pPr>
            <w:r>
              <w:rPr>
                <w:b/>
                <w:spacing w:val="-2"/>
                <w:sz w:val="22"/>
              </w:rPr>
              <w:t>secundaria </w:t>
            </w:r>
            <w:r>
              <w:rPr>
                <w:b/>
                <w:sz w:val="22"/>
              </w:rPr>
              <w:t>o</w:t>
            </w:r>
            <w:r>
              <w:rPr>
                <w:b/>
                <w:spacing w:val="-7"/>
                <w:sz w:val="22"/>
              </w:rPr>
              <w:t> </w:t>
            </w:r>
            <w:r>
              <w:rPr>
                <w:b/>
                <w:spacing w:val="-2"/>
                <w:sz w:val="22"/>
              </w:rPr>
              <w:t>colectora</w:t>
            </w:r>
          </w:p>
        </w:tc>
        <w:tc>
          <w:tcPr>
            <w:tcW w:w="382" w:type="dxa"/>
            <w:tcBorders>
              <w:top w:val="single" w:sz="12" w:space="0" w:color="000000"/>
            </w:tcBorders>
            <w:textDirection w:val="btLr"/>
          </w:tcPr>
          <w:p>
            <w:pPr>
              <w:pStyle w:val="TableParagraph"/>
              <w:spacing w:line="266" w:lineRule="exact" w:before="81"/>
              <w:ind w:left="35"/>
              <w:rPr>
                <w:b/>
                <w:sz w:val="22"/>
              </w:rPr>
            </w:pPr>
            <w:r>
              <w:rPr>
                <w:b/>
                <w:spacing w:val="-2"/>
                <w:sz w:val="22"/>
              </w:rPr>
              <w:t>local</w:t>
            </w:r>
          </w:p>
        </w:tc>
        <w:tc>
          <w:tcPr>
            <w:tcW w:w="382" w:type="dxa"/>
            <w:tcBorders>
              <w:top w:val="single" w:sz="12" w:space="0" w:color="000000"/>
            </w:tcBorders>
            <w:textDirection w:val="btLr"/>
          </w:tcPr>
          <w:p>
            <w:pPr>
              <w:pStyle w:val="TableParagraph"/>
              <w:spacing w:line="264" w:lineRule="exact" w:before="82"/>
              <w:ind w:left="35"/>
              <w:rPr>
                <w:b/>
                <w:sz w:val="22"/>
              </w:rPr>
            </w:pPr>
            <w:r>
              <w:rPr>
                <w:b/>
                <w:spacing w:val="-2"/>
                <w:sz w:val="22"/>
              </w:rPr>
              <w:t>cerrada</w:t>
            </w:r>
          </w:p>
        </w:tc>
        <w:tc>
          <w:tcPr>
            <w:tcW w:w="382" w:type="dxa"/>
            <w:tcBorders>
              <w:top w:val="single" w:sz="12" w:space="0" w:color="000000"/>
            </w:tcBorders>
            <w:textDirection w:val="btLr"/>
          </w:tcPr>
          <w:p>
            <w:pPr>
              <w:pStyle w:val="TableParagraph"/>
              <w:spacing w:line="263" w:lineRule="exact" w:before="84"/>
              <w:ind w:left="35"/>
              <w:rPr>
                <w:b/>
                <w:sz w:val="22"/>
              </w:rPr>
            </w:pPr>
            <w:r>
              <w:rPr>
                <w:b/>
                <w:spacing w:val="-2"/>
                <w:sz w:val="22"/>
              </w:rPr>
              <w:t>ciclovía</w:t>
            </w:r>
          </w:p>
        </w:tc>
        <w:tc>
          <w:tcPr>
            <w:tcW w:w="374" w:type="dxa"/>
            <w:tcBorders>
              <w:top w:val="single" w:sz="12" w:space="0" w:color="000000"/>
              <w:right w:val="single" w:sz="12" w:space="0" w:color="000000"/>
            </w:tcBorders>
            <w:textDirection w:val="btLr"/>
          </w:tcPr>
          <w:p>
            <w:pPr>
              <w:pStyle w:val="TableParagraph"/>
              <w:spacing w:line="245" w:lineRule="exact" w:before="86"/>
              <w:ind w:left="35"/>
              <w:rPr>
                <w:b/>
                <w:sz w:val="22"/>
              </w:rPr>
            </w:pPr>
            <w:r>
              <w:rPr>
                <w:b/>
                <w:spacing w:val="-2"/>
                <w:sz w:val="22"/>
              </w:rPr>
              <w:t>andador</w:t>
            </w:r>
          </w:p>
        </w:tc>
      </w:tr>
      <w:tr>
        <w:trPr>
          <w:trHeight w:val="280" w:hRule="atLeast"/>
        </w:trPr>
        <w:tc>
          <w:tcPr>
            <w:tcW w:w="2495" w:type="dxa"/>
          </w:tcPr>
          <w:p>
            <w:pPr>
              <w:pStyle w:val="TableParagraph"/>
              <w:spacing w:line="254" w:lineRule="exact" w:before="6"/>
              <w:ind w:left="44"/>
              <w:rPr>
                <w:b/>
                <w:sz w:val="22"/>
              </w:rPr>
            </w:pPr>
            <w:r>
              <w:rPr>
                <w:b/>
                <w:spacing w:val="-2"/>
                <w:sz w:val="22"/>
              </w:rPr>
              <w:t>AGRÍCOLA</w:t>
            </w:r>
            <w:r>
              <w:rPr>
                <w:b/>
                <w:spacing w:val="-6"/>
                <w:sz w:val="22"/>
              </w:rPr>
              <w:t> </w:t>
            </w:r>
            <w:r>
              <w:rPr>
                <w:b/>
                <w:spacing w:val="-2"/>
                <w:sz w:val="22"/>
              </w:rPr>
              <w:t>INTENSIVO</w:t>
            </w:r>
          </w:p>
        </w:tc>
        <w:tc>
          <w:tcPr>
            <w:tcW w:w="383" w:type="dxa"/>
          </w:tcPr>
          <w:p>
            <w:pPr>
              <w:pStyle w:val="TableParagraph"/>
              <w:spacing w:line="254" w:lineRule="exact" w:before="6"/>
              <w:ind w:left="47" w:right="2"/>
              <w:jc w:val="center"/>
              <w:rPr>
                <w:sz w:val="22"/>
              </w:rPr>
            </w:pPr>
            <w:r>
              <w:rPr>
                <w:spacing w:val="-10"/>
                <w:sz w:val="22"/>
              </w:rPr>
              <w:t>O</w:t>
            </w:r>
          </w:p>
        </w:tc>
        <w:tc>
          <w:tcPr>
            <w:tcW w:w="383" w:type="dxa"/>
          </w:tcPr>
          <w:p>
            <w:pPr>
              <w:pStyle w:val="TableParagraph"/>
              <w:spacing w:line="254" w:lineRule="exact" w:before="6"/>
              <w:ind w:left="47"/>
              <w:jc w:val="center"/>
              <w:rPr>
                <w:sz w:val="22"/>
              </w:rPr>
            </w:pPr>
            <w:r>
              <w:rPr>
                <w:spacing w:val="-10"/>
                <w:sz w:val="22"/>
              </w:rPr>
              <w:t>O</w:t>
            </w:r>
          </w:p>
        </w:tc>
        <w:tc>
          <w:tcPr>
            <w:tcW w:w="678" w:type="dxa"/>
          </w:tcPr>
          <w:p>
            <w:pPr>
              <w:pStyle w:val="TableParagraph"/>
              <w:spacing w:line="254" w:lineRule="exact" w:before="6"/>
              <w:ind w:left="50"/>
              <w:jc w:val="center"/>
              <w:rPr>
                <w:sz w:val="22"/>
              </w:rPr>
            </w:pPr>
            <w:r>
              <w:rPr>
                <w:spacing w:val="-10"/>
                <w:sz w:val="22"/>
              </w:rPr>
              <w:t>O</w:t>
            </w:r>
          </w:p>
        </w:tc>
        <w:tc>
          <w:tcPr>
            <w:tcW w:w="973" w:type="dxa"/>
          </w:tcPr>
          <w:p>
            <w:pPr>
              <w:pStyle w:val="TableParagraph"/>
              <w:spacing w:line="254" w:lineRule="exact" w:before="6"/>
              <w:ind w:left="53" w:right="3"/>
              <w:jc w:val="center"/>
              <w:rPr>
                <w:sz w:val="22"/>
              </w:rPr>
            </w:pPr>
            <w:r>
              <w:rPr>
                <w:spacing w:val="-10"/>
                <w:sz w:val="22"/>
              </w:rPr>
              <w:t>X</w:t>
            </w:r>
          </w:p>
        </w:tc>
        <w:tc>
          <w:tcPr>
            <w:tcW w:w="973" w:type="dxa"/>
          </w:tcPr>
          <w:p>
            <w:pPr>
              <w:pStyle w:val="TableParagraph"/>
              <w:spacing w:line="254" w:lineRule="exact" w:before="6"/>
              <w:ind w:left="53"/>
              <w:jc w:val="center"/>
              <w:rPr>
                <w:sz w:val="22"/>
              </w:rPr>
            </w:pPr>
            <w:r>
              <w:rPr>
                <w:spacing w:val="-10"/>
                <w:sz w:val="22"/>
              </w:rPr>
              <w:t>X</w:t>
            </w:r>
          </w:p>
        </w:tc>
        <w:tc>
          <w:tcPr>
            <w:tcW w:w="382" w:type="dxa"/>
          </w:tcPr>
          <w:p>
            <w:pPr>
              <w:pStyle w:val="TableParagraph"/>
              <w:rPr>
                <w:rFonts w:ascii="Times New Roman"/>
                <w:sz w:val="20"/>
              </w:rPr>
            </w:pPr>
          </w:p>
        </w:tc>
        <w:tc>
          <w:tcPr>
            <w:tcW w:w="678"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74" w:type="dxa"/>
            <w:tcBorders>
              <w:right w:val="single" w:sz="12" w:space="0" w:color="000000"/>
            </w:tcBorders>
          </w:tcPr>
          <w:p>
            <w:pPr>
              <w:pStyle w:val="TableParagraph"/>
              <w:rPr>
                <w:rFonts w:ascii="Times New Roman"/>
                <w:sz w:val="20"/>
              </w:rPr>
            </w:pPr>
          </w:p>
        </w:tc>
      </w:tr>
      <w:tr>
        <w:trPr>
          <w:trHeight w:val="280" w:hRule="atLeast"/>
        </w:trPr>
        <w:tc>
          <w:tcPr>
            <w:tcW w:w="2495" w:type="dxa"/>
          </w:tcPr>
          <w:p>
            <w:pPr>
              <w:pStyle w:val="TableParagraph"/>
              <w:spacing w:line="254" w:lineRule="exact" w:before="6"/>
              <w:ind w:left="44"/>
              <w:rPr>
                <w:b/>
                <w:sz w:val="22"/>
              </w:rPr>
            </w:pPr>
            <w:r>
              <w:rPr>
                <w:b/>
                <w:spacing w:val="-2"/>
                <w:sz w:val="22"/>
              </w:rPr>
              <w:t>AGRÍCOLA</w:t>
            </w:r>
            <w:r>
              <w:rPr>
                <w:b/>
                <w:spacing w:val="-6"/>
                <w:sz w:val="22"/>
              </w:rPr>
              <w:t> </w:t>
            </w:r>
            <w:r>
              <w:rPr>
                <w:b/>
                <w:spacing w:val="-2"/>
                <w:sz w:val="22"/>
              </w:rPr>
              <w:t>EXTENSIVO</w:t>
            </w:r>
          </w:p>
        </w:tc>
        <w:tc>
          <w:tcPr>
            <w:tcW w:w="383" w:type="dxa"/>
          </w:tcPr>
          <w:p>
            <w:pPr>
              <w:pStyle w:val="TableParagraph"/>
              <w:spacing w:line="254" w:lineRule="exact" w:before="6"/>
              <w:ind w:left="47" w:right="2"/>
              <w:jc w:val="center"/>
              <w:rPr>
                <w:sz w:val="22"/>
              </w:rPr>
            </w:pPr>
            <w:r>
              <w:rPr>
                <w:spacing w:val="-10"/>
                <w:sz w:val="22"/>
              </w:rPr>
              <w:t>O</w:t>
            </w:r>
          </w:p>
        </w:tc>
        <w:tc>
          <w:tcPr>
            <w:tcW w:w="383" w:type="dxa"/>
          </w:tcPr>
          <w:p>
            <w:pPr>
              <w:pStyle w:val="TableParagraph"/>
              <w:spacing w:line="254" w:lineRule="exact" w:before="6"/>
              <w:ind w:left="47"/>
              <w:jc w:val="center"/>
              <w:rPr>
                <w:sz w:val="22"/>
              </w:rPr>
            </w:pPr>
            <w:r>
              <w:rPr>
                <w:spacing w:val="-10"/>
                <w:sz w:val="22"/>
              </w:rPr>
              <w:t>O</w:t>
            </w:r>
          </w:p>
        </w:tc>
        <w:tc>
          <w:tcPr>
            <w:tcW w:w="678" w:type="dxa"/>
          </w:tcPr>
          <w:p>
            <w:pPr>
              <w:pStyle w:val="TableParagraph"/>
              <w:spacing w:line="254" w:lineRule="exact" w:before="6"/>
              <w:ind w:left="50"/>
              <w:jc w:val="center"/>
              <w:rPr>
                <w:sz w:val="22"/>
              </w:rPr>
            </w:pPr>
            <w:r>
              <w:rPr>
                <w:spacing w:val="-10"/>
                <w:sz w:val="22"/>
              </w:rPr>
              <w:t>O</w:t>
            </w:r>
          </w:p>
        </w:tc>
        <w:tc>
          <w:tcPr>
            <w:tcW w:w="973" w:type="dxa"/>
          </w:tcPr>
          <w:p>
            <w:pPr>
              <w:pStyle w:val="TableParagraph"/>
              <w:spacing w:line="254" w:lineRule="exact" w:before="6"/>
              <w:ind w:left="53" w:right="3"/>
              <w:jc w:val="center"/>
              <w:rPr>
                <w:sz w:val="22"/>
              </w:rPr>
            </w:pPr>
            <w:r>
              <w:rPr>
                <w:spacing w:val="-10"/>
                <w:sz w:val="22"/>
              </w:rPr>
              <w:t>X</w:t>
            </w:r>
          </w:p>
        </w:tc>
        <w:tc>
          <w:tcPr>
            <w:tcW w:w="973" w:type="dxa"/>
          </w:tcPr>
          <w:p>
            <w:pPr>
              <w:pStyle w:val="TableParagraph"/>
              <w:spacing w:line="254" w:lineRule="exact" w:before="6"/>
              <w:ind w:left="53"/>
              <w:jc w:val="center"/>
              <w:rPr>
                <w:sz w:val="22"/>
              </w:rPr>
            </w:pPr>
            <w:r>
              <w:rPr>
                <w:spacing w:val="-10"/>
                <w:sz w:val="22"/>
              </w:rPr>
              <w:t>X</w:t>
            </w:r>
          </w:p>
        </w:tc>
        <w:tc>
          <w:tcPr>
            <w:tcW w:w="382" w:type="dxa"/>
          </w:tcPr>
          <w:p>
            <w:pPr>
              <w:pStyle w:val="TableParagraph"/>
              <w:rPr>
                <w:rFonts w:ascii="Times New Roman"/>
                <w:sz w:val="20"/>
              </w:rPr>
            </w:pPr>
          </w:p>
        </w:tc>
        <w:tc>
          <w:tcPr>
            <w:tcW w:w="678"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74" w:type="dxa"/>
            <w:tcBorders>
              <w:right w:val="single" w:sz="12" w:space="0" w:color="000000"/>
            </w:tcBorders>
          </w:tcPr>
          <w:p>
            <w:pPr>
              <w:pStyle w:val="TableParagraph"/>
              <w:rPr>
                <w:rFonts w:ascii="Times New Roman"/>
                <w:sz w:val="20"/>
              </w:rPr>
            </w:pPr>
          </w:p>
        </w:tc>
      </w:tr>
      <w:tr>
        <w:trPr>
          <w:trHeight w:val="280" w:hRule="atLeast"/>
        </w:trPr>
        <w:tc>
          <w:tcPr>
            <w:tcW w:w="2495" w:type="dxa"/>
          </w:tcPr>
          <w:p>
            <w:pPr>
              <w:pStyle w:val="TableParagraph"/>
              <w:spacing w:line="254" w:lineRule="exact" w:before="6"/>
              <w:ind w:left="44"/>
              <w:rPr>
                <w:b/>
                <w:sz w:val="22"/>
              </w:rPr>
            </w:pPr>
            <w:r>
              <w:rPr>
                <w:b/>
                <w:spacing w:val="-2"/>
                <w:sz w:val="22"/>
              </w:rPr>
              <w:t>PECUARIO</w:t>
            </w:r>
          </w:p>
        </w:tc>
        <w:tc>
          <w:tcPr>
            <w:tcW w:w="383" w:type="dxa"/>
          </w:tcPr>
          <w:p>
            <w:pPr>
              <w:pStyle w:val="TableParagraph"/>
              <w:spacing w:line="254" w:lineRule="exact" w:before="6"/>
              <w:ind w:left="47" w:right="2"/>
              <w:jc w:val="center"/>
              <w:rPr>
                <w:sz w:val="22"/>
              </w:rPr>
            </w:pPr>
            <w:r>
              <w:rPr>
                <w:spacing w:val="-10"/>
                <w:sz w:val="22"/>
              </w:rPr>
              <w:t>O</w:t>
            </w:r>
          </w:p>
        </w:tc>
        <w:tc>
          <w:tcPr>
            <w:tcW w:w="383" w:type="dxa"/>
          </w:tcPr>
          <w:p>
            <w:pPr>
              <w:pStyle w:val="TableParagraph"/>
              <w:spacing w:line="254" w:lineRule="exact" w:before="6"/>
              <w:ind w:left="47"/>
              <w:jc w:val="center"/>
              <w:rPr>
                <w:sz w:val="22"/>
              </w:rPr>
            </w:pPr>
            <w:r>
              <w:rPr>
                <w:spacing w:val="-10"/>
                <w:sz w:val="22"/>
              </w:rPr>
              <w:t>O</w:t>
            </w:r>
          </w:p>
        </w:tc>
        <w:tc>
          <w:tcPr>
            <w:tcW w:w="678" w:type="dxa"/>
          </w:tcPr>
          <w:p>
            <w:pPr>
              <w:pStyle w:val="TableParagraph"/>
              <w:spacing w:line="254" w:lineRule="exact" w:before="6"/>
              <w:ind w:left="50"/>
              <w:jc w:val="center"/>
              <w:rPr>
                <w:sz w:val="22"/>
              </w:rPr>
            </w:pPr>
            <w:r>
              <w:rPr>
                <w:spacing w:val="-10"/>
                <w:sz w:val="22"/>
              </w:rPr>
              <w:t>O</w:t>
            </w:r>
          </w:p>
        </w:tc>
        <w:tc>
          <w:tcPr>
            <w:tcW w:w="973" w:type="dxa"/>
          </w:tcPr>
          <w:p>
            <w:pPr>
              <w:pStyle w:val="TableParagraph"/>
              <w:spacing w:line="254" w:lineRule="exact" w:before="6"/>
              <w:ind w:left="53" w:right="3"/>
              <w:jc w:val="center"/>
              <w:rPr>
                <w:sz w:val="22"/>
              </w:rPr>
            </w:pPr>
            <w:r>
              <w:rPr>
                <w:spacing w:val="-10"/>
                <w:sz w:val="22"/>
              </w:rPr>
              <w:t>X</w:t>
            </w:r>
          </w:p>
        </w:tc>
        <w:tc>
          <w:tcPr>
            <w:tcW w:w="973" w:type="dxa"/>
          </w:tcPr>
          <w:p>
            <w:pPr>
              <w:pStyle w:val="TableParagraph"/>
              <w:spacing w:line="254" w:lineRule="exact" w:before="6"/>
              <w:ind w:left="53"/>
              <w:jc w:val="center"/>
              <w:rPr>
                <w:sz w:val="22"/>
              </w:rPr>
            </w:pPr>
            <w:r>
              <w:rPr>
                <w:spacing w:val="-10"/>
                <w:sz w:val="22"/>
              </w:rPr>
              <w:t>X</w:t>
            </w:r>
          </w:p>
        </w:tc>
        <w:tc>
          <w:tcPr>
            <w:tcW w:w="382" w:type="dxa"/>
          </w:tcPr>
          <w:p>
            <w:pPr>
              <w:pStyle w:val="TableParagraph"/>
              <w:rPr>
                <w:rFonts w:ascii="Times New Roman"/>
                <w:sz w:val="20"/>
              </w:rPr>
            </w:pPr>
          </w:p>
        </w:tc>
        <w:tc>
          <w:tcPr>
            <w:tcW w:w="678"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74" w:type="dxa"/>
            <w:tcBorders>
              <w:right w:val="single" w:sz="12" w:space="0" w:color="000000"/>
            </w:tcBorders>
          </w:tcPr>
          <w:p>
            <w:pPr>
              <w:pStyle w:val="TableParagraph"/>
              <w:rPr>
                <w:rFonts w:ascii="Times New Roman"/>
                <w:sz w:val="20"/>
              </w:rPr>
            </w:pPr>
          </w:p>
        </w:tc>
      </w:tr>
      <w:tr>
        <w:trPr>
          <w:trHeight w:val="280" w:hRule="atLeast"/>
        </w:trPr>
        <w:tc>
          <w:tcPr>
            <w:tcW w:w="2495" w:type="dxa"/>
          </w:tcPr>
          <w:p>
            <w:pPr>
              <w:pStyle w:val="TableParagraph"/>
              <w:spacing w:line="254" w:lineRule="exact" w:before="6"/>
              <w:ind w:left="44"/>
              <w:rPr>
                <w:b/>
                <w:sz w:val="22"/>
              </w:rPr>
            </w:pPr>
            <w:r>
              <w:rPr>
                <w:b/>
                <w:spacing w:val="-2"/>
                <w:sz w:val="22"/>
              </w:rPr>
              <w:t>FORESTAL</w:t>
            </w:r>
          </w:p>
        </w:tc>
        <w:tc>
          <w:tcPr>
            <w:tcW w:w="383" w:type="dxa"/>
          </w:tcPr>
          <w:p>
            <w:pPr>
              <w:pStyle w:val="TableParagraph"/>
              <w:spacing w:line="254" w:lineRule="exact" w:before="6"/>
              <w:ind w:left="47" w:right="2"/>
              <w:jc w:val="center"/>
              <w:rPr>
                <w:sz w:val="22"/>
              </w:rPr>
            </w:pPr>
            <w:r>
              <w:rPr>
                <w:spacing w:val="-10"/>
                <w:sz w:val="22"/>
              </w:rPr>
              <w:t>O</w:t>
            </w:r>
          </w:p>
        </w:tc>
        <w:tc>
          <w:tcPr>
            <w:tcW w:w="383" w:type="dxa"/>
          </w:tcPr>
          <w:p>
            <w:pPr>
              <w:pStyle w:val="TableParagraph"/>
              <w:spacing w:line="254" w:lineRule="exact" w:before="6"/>
              <w:ind w:left="47"/>
              <w:jc w:val="center"/>
              <w:rPr>
                <w:sz w:val="22"/>
              </w:rPr>
            </w:pPr>
            <w:r>
              <w:rPr>
                <w:spacing w:val="-10"/>
                <w:sz w:val="22"/>
              </w:rPr>
              <w:t>O</w:t>
            </w:r>
          </w:p>
        </w:tc>
        <w:tc>
          <w:tcPr>
            <w:tcW w:w="678" w:type="dxa"/>
          </w:tcPr>
          <w:p>
            <w:pPr>
              <w:pStyle w:val="TableParagraph"/>
              <w:spacing w:line="254" w:lineRule="exact" w:before="6"/>
              <w:ind w:left="50"/>
              <w:jc w:val="center"/>
              <w:rPr>
                <w:sz w:val="22"/>
              </w:rPr>
            </w:pPr>
            <w:r>
              <w:rPr>
                <w:spacing w:val="-10"/>
                <w:sz w:val="22"/>
              </w:rPr>
              <w:t>O</w:t>
            </w:r>
          </w:p>
        </w:tc>
        <w:tc>
          <w:tcPr>
            <w:tcW w:w="973" w:type="dxa"/>
          </w:tcPr>
          <w:p>
            <w:pPr>
              <w:pStyle w:val="TableParagraph"/>
              <w:spacing w:line="254" w:lineRule="exact" w:before="6"/>
              <w:ind w:left="53" w:right="3"/>
              <w:jc w:val="center"/>
              <w:rPr>
                <w:sz w:val="22"/>
              </w:rPr>
            </w:pPr>
            <w:r>
              <w:rPr>
                <w:spacing w:val="-10"/>
                <w:sz w:val="22"/>
              </w:rPr>
              <w:t>X</w:t>
            </w:r>
          </w:p>
        </w:tc>
        <w:tc>
          <w:tcPr>
            <w:tcW w:w="973" w:type="dxa"/>
          </w:tcPr>
          <w:p>
            <w:pPr>
              <w:pStyle w:val="TableParagraph"/>
              <w:spacing w:line="254" w:lineRule="exact" w:before="6"/>
              <w:ind w:left="53"/>
              <w:jc w:val="center"/>
              <w:rPr>
                <w:sz w:val="22"/>
              </w:rPr>
            </w:pPr>
            <w:r>
              <w:rPr>
                <w:spacing w:val="-10"/>
                <w:sz w:val="22"/>
              </w:rPr>
              <w:t>X</w:t>
            </w:r>
          </w:p>
        </w:tc>
        <w:tc>
          <w:tcPr>
            <w:tcW w:w="382" w:type="dxa"/>
          </w:tcPr>
          <w:p>
            <w:pPr>
              <w:pStyle w:val="TableParagraph"/>
              <w:rPr>
                <w:rFonts w:ascii="Times New Roman"/>
                <w:sz w:val="20"/>
              </w:rPr>
            </w:pPr>
          </w:p>
        </w:tc>
        <w:tc>
          <w:tcPr>
            <w:tcW w:w="678"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82" w:type="dxa"/>
          </w:tcPr>
          <w:p>
            <w:pPr>
              <w:pStyle w:val="TableParagraph"/>
              <w:rPr>
                <w:rFonts w:ascii="Times New Roman"/>
                <w:sz w:val="20"/>
              </w:rPr>
            </w:pPr>
          </w:p>
        </w:tc>
        <w:tc>
          <w:tcPr>
            <w:tcW w:w="374" w:type="dxa"/>
            <w:tcBorders>
              <w:right w:val="single" w:sz="12" w:space="0" w:color="000000"/>
            </w:tcBorders>
          </w:tcPr>
          <w:p>
            <w:pPr>
              <w:pStyle w:val="TableParagraph"/>
              <w:rPr>
                <w:rFonts w:ascii="Times New Roman"/>
                <w:sz w:val="20"/>
              </w:rPr>
            </w:pPr>
          </w:p>
        </w:tc>
      </w:tr>
      <w:tr>
        <w:trPr>
          <w:trHeight w:val="280" w:hRule="atLeast"/>
        </w:trPr>
        <w:tc>
          <w:tcPr>
            <w:tcW w:w="2495" w:type="dxa"/>
            <w:tcBorders>
              <w:bottom w:val="single" w:sz="12" w:space="0" w:color="000000"/>
            </w:tcBorders>
          </w:tcPr>
          <w:p>
            <w:pPr>
              <w:pStyle w:val="TableParagraph"/>
              <w:spacing w:line="260" w:lineRule="exact"/>
              <w:ind w:left="44"/>
              <w:rPr>
                <w:b/>
                <w:sz w:val="22"/>
              </w:rPr>
            </w:pPr>
            <w:r>
              <w:rPr>
                <w:b/>
                <w:spacing w:val="-2"/>
                <w:sz w:val="22"/>
              </w:rPr>
              <w:t>PISCICULTURA</w:t>
            </w:r>
          </w:p>
        </w:tc>
        <w:tc>
          <w:tcPr>
            <w:tcW w:w="383" w:type="dxa"/>
            <w:tcBorders>
              <w:bottom w:val="single" w:sz="12" w:space="0" w:color="000000"/>
            </w:tcBorders>
          </w:tcPr>
          <w:p>
            <w:pPr>
              <w:pStyle w:val="TableParagraph"/>
              <w:spacing w:line="254" w:lineRule="exact" w:before="6"/>
              <w:ind w:left="47" w:right="2"/>
              <w:jc w:val="center"/>
              <w:rPr>
                <w:sz w:val="22"/>
              </w:rPr>
            </w:pPr>
            <w:r>
              <w:rPr>
                <w:spacing w:val="-10"/>
                <w:sz w:val="22"/>
              </w:rPr>
              <w:t>O</w:t>
            </w:r>
          </w:p>
        </w:tc>
        <w:tc>
          <w:tcPr>
            <w:tcW w:w="383" w:type="dxa"/>
            <w:tcBorders>
              <w:bottom w:val="single" w:sz="12" w:space="0" w:color="000000"/>
            </w:tcBorders>
          </w:tcPr>
          <w:p>
            <w:pPr>
              <w:pStyle w:val="TableParagraph"/>
              <w:spacing w:line="254" w:lineRule="exact" w:before="6"/>
              <w:ind w:left="47"/>
              <w:jc w:val="center"/>
              <w:rPr>
                <w:sz w:val="22"/>
              </w:rPr>
            </w:pPr>
            <w:r>
              <w:rPr>
                <w:spacing w:val="-10"/>
                <w:sz w:val="22"/>
              </w:rPr>
              <w:t>O</w:t>
            </w:r>
          </w:p>
        </w:tc>
        <w:tc>
          <w:tcPr>
            <w:tcW w:w="678" w:type="dxa"/>
            <w:tcBorders>
              <w:bottom w:val="single" w:sz="12" w:space="0" w:color="000000"/>
            </w:tcBorders>
          </w:tcPr>
          <w:p>
            <w:pPr>
              <w:pStyle w:val="TableParagraph"/>
              <w:spacing w:line="254" w:lineRule="exact" w:before="6"/>
              <w:ind w:left="50"/>
              <w:jc w:val="center"/>
              <w:rPr>
                <w:sz w:val="22"/>
              </w:rPr>
            </w:pPr>
            <w:r>
              <w:rPr>
                <w:spacing w:val="-10"/>
                <w:sz w:val="22"/>
              </w:rPr>
              <w:t>O</w:t>
            </w:r>
          </w:p>
        </w:tc>
        <w:tc>
          <w:tcPr>
            <w:tcW w:w="973" w:type="dxa"/>
            <w:tcBorders>
              <w:bottom w:val="single" w:sz="12" w:space="0" w:color="000000"/>
            </w:tcBorders>
          </w:tcPr>
          <w:p>
            <w:pPr>
              <w:pStyle w:val="TableParagraph"/>
              <w:spacing w:line="254" w:lineRule="exact" w:before="6"/>
              <w:ind w:left="53" w:right="3"/>
              <w:jc w:val="center"/>
              <w:rPr>
                <w:sz w:val="22"/>
              </w:rPr>
            </w:pPr>
            <w:r>
              <w:rPr>
                <w:spacing w:val="-10"/>
                <w:sz w:val="22"/>
              </w:rPr>
              <w:t>X</w:t>
            </w:r>
          </w:p>
        </w:tc>
        <w:tc>
          <w:tcPr>
            <w:tcW w:w="973" w:type="dxa"/>
            <w:tcBorders>
              <w:bottom w:val="single" w:sz="12" w:space="0" w:color="000000"/>
            </w:tcBorders>
          </w:tcPr>
          <w:p>
            <w:pPr>
              <w:pStyle w:val="TableParagraph"/>
              <w:spacing w:line="254" w:lineRule="exact" w:before="6"/>
              <w:ind w:left="53"/>
              <w:jc w:val="center"/>
              <w:rPr>
                <w:sz w:val="22"/>
              </w:rPr>
            </w:pPr>
            <w:r>
              <w:rPr>
                <w:spacing w:val="-10"/>
                <w:sz w:val="22"/>
              </w:rPr>
              <w:t>X</w:t>
            </w:r>
          </w:p>
        </w:tc>
        <w:tc>
          <w:tcPr>
            <w:tcW w:w="382" w:type="dxa"/>
            <w:tcBorders>
              <w:bottom w:val="single" w:sz="12" w:space="0" w:color="000000"/>
            </w:tcBorders>
          </w:tcPr>
          <w:p>
            <w:pPr>
              <w:pStyle w:val="TableParagraph"/>
              <w:rPr>
                <w:rFonts w:ascii="Times New Roman"/>
                <w:sz w:val="20"/>
              </w:rPr>
            </w:pPr>
          </w:p>
        </w:tc>
        <w:tc>
          <w:tcPr>
            <w:tcW w:w="678" w:type="dxa"/>
            <w:tcBorders>
              <w:bottom w:val="single" w:sz="12" w:space="0" w:color="000000"/>
            </w:tcBorders>
          </w:tcPr>
          <w:p>
            <w:pPr>
              <w:pStyle w:val="TableParagraph"/>
              <w:rPr>
                <w:rFonts w:ascii="Times New Roman"/>
                <w:sz w:val="20"/>
              </w:rPr>
            </w:pPr>
          </w:p>
        </w:tc>
        <w:tc>
          <w:tcPr>
            <w:tcW w:w="382" w:type="dxa"/>
            <w:tcBorders>
              <w:bottom w:val="single" w:sz="12" w:space="0" w:color="000000"/>
            </w:tcBorders>
          </w:tcPr>
          <w:p>
            <w:pPr>
              <w:pStyle w:val="TableParagraph"/>
              <w:rPr>
                <w:rFonts w:ascii="Times New Roman"/>
                <w:sz w:val="20"/>
              </w:rPr>
            </w:pPr>
          </w:p>
        </w:tc>
        <w:tc>
          <w:tcPr>
            <w:tcW w:w="382" w:type="dxa"/>
            <w:tcBorders>
              <w:bottom w:val="single" w:sz="12" w:space="0" w:color="000000"/>
            </w:tcBorders>
          </w:tcPr>
          <w:p>
            <w:pPr>
              <w:pStyle w:val="TableParagraph"/>
              <w:rPr>
                <w:rFonts w:ascii="Times New Roman"/>
                <w:sz w:val="20"/>
              </w:rPr>
            </w:pPr>
          </w:p>
        </w:tc>
        <w:tc>
          <w:tcPr>
            <w:tcW w:w="382" w:type="dxa"/>
            <w:tcBorders>
              <w:bottom w:val="single" w:sz="12" w:space="0" w:color="000000"/>
            </w:tcBorders>
          </w:tcPr>
          <w:p>
            <w:pPr>
              <w:pStyle w:val="TableParagraph"/>
              <w:rPr>
                <w:rFonts w:ascii="Times New Roman"/>
                <w:sz w:val="20"/>
              </w:rPr>
            </w:pPr>
          </w:p>
        </w:tc>
        <w:tc>
          <w:tcPr>
            <w:tcW w:w="374" w:type="dxa"/>
            <w:tcBorders>
              <w:bottom w:val="single" w:sz="12" w:space="0" w:color="000000"/>
              <w:right w:val="single" w:sz="12" w:space="0" w:color="000000"/>
            </w:tcBorders>
          </w:tcPr>
          <w:p>
            <w:pPr>
              <w:pStyle w:val="TableParagraph"/>
              <w:rPr>
                <w:rFonts w:ascii="Times New Roman"/>
                <w:sz w:val="20"/>
              </w:rPr>
            </w:pPr>
          </w:p>
        </w:tc>
      </w:tr>
    </w:tbl>
    <w:p>
      <w:pPr>
        <w:pStyle w:val="BodyText"/>
        <w:tabs>
          <w:tab w:pos="1571" w:val="left" w:leader="none"/>
        </w:tabs>
        <w:spacing w:before="6"/>
        <w:ind w:left="262"/>
      </w:pPr>
      <w:r>
        <w:rPr/>
        <w:t>O</w:t>
      </w:r>
      <w:r>
        <w:rPr>
          <w:spacing w:val="-2"/>
        </w:rPr>
        <w:t> adecuada</w:t>
      </w:r>
      <w:r>
        <w:rPr/>
        <w:tab/>
        <w:t>X</w:t>
      </w:r>
      <w:r>
        <w:rPr>
          <w:spacing w:val="-2"/>
        </w:rPr>
        <w:t> tolerable</w:t>
      </w:r>
    </w:p>
    <w:p>
      <w:pPr>
        <w:pStyle w:val="BodyText"/>
        <w:spacing w:before="229"/>
        <w:ind w:left="262" w:right="286"/>
        <w:jc w:val="both"/>
      </w:pPr>
      <w:r>
        <w:rPr>
          <w:rFonts w:ascii="Arial" w:hAnsi="Arial"/>
          <w:b/>
        </w:rPr>
        <w:t>ARTÍCULO 179. </w:t>
      </w:r>
      <w:r>
        <w:rPr/>
        <w:t>El tipo y características técnicas del pavimento a emplearse en vías públicas se determinarán con base en su función dentro de la estructura e imagen urbana y a la intensidad del tránsito y pesos vehiculares considerando:</w:t>
      </w:r>
    </w:p>
    <w:p>
      <w:pPr>
        <w:pStyle w:val="BodyText"/>
        <w:spacing w:before="1"/>
      </w:pPr>
    </w:p>
    <w:p>
      <w:pPr>
        <w:pStyle w:val="ListParagraph"/>
        <w:numPr>
          <w:ilvl w:val="0"/>
          <w:numId w:val="73"/>
        </w:numPr>
        <w:tabs>
          <w:tab w:pos="689" w:val="left" w:leader="none"/>
        </w:tabs>
        <w:spacing w:line="240" w:lineRule="auto" w:before="0" w:after="0"/>
        <w:ind w:left="262" w:right="278" w:firstLine="0"/>
        <w:jc w:val="left"/>
        <w:rPr>
          <w:sz w:val="20"/>
        </w:rPr>
      </w:pPr>
      <w:r>
        <w:rPr>
          <w:sz w:val="20"/>
        </w:rPr>
        <w:t>Las</w:t>
      </w:r>
      <w:r>
        <w:rPr>
          <w:spacing w:val="-2"/>
          <w:sz w:val="20"/>
        </w:rPr>
        <w:t> </w:t>
      </w:r>
      <w:r>
        <w:rPr>
          <w:sz w:val="20"/>
        </w:rPr>
        <w:t>especificaciones</w:t>
      </w:r>
      <w:r>
        <w:rPr>
          <w:spacing w:val="-2"/>
          <w:sz w:val="20"/>
        </w:rPr>
        <w:t> </w:t>
      </w:r>
      <w:r>
        <w:rPr>
          <w:sz w:val="20"/>
        </w:rPr>
        <w:t>técnicas</w:t>
      </w:r>
      <w:r>
        <w:rPr>
          <w:spacing w:val="-2"/>
          <w:sz w:val="20"/>
        </w:rPr>
        <w:t> </w:t>
      </w:r>
      <w:r>
        <w:rPr>
          <w:sz w:val="20"/>
        </w:rPr>
        <w:t>necesarias</w:t>
      </w:r>
      <w:r>
        <w:rPr>
          <w:spacing w:val="-2"/>
          <w:sz w:val="20"/>
        </w:rPr>
        <w:t> </w:t>
      </w:r>
      <w:r>
        <w:rPr>
          <w:sz w:val="20"/>
        </w:rPr>
        <w:t>en</w:t>
      </w:r>
      <w:r>
        <w:rPr>
          <w:spacing w:val="-2"/>
          <w:sz w:val="20"/>
        </w:rPr>
        <w:t> </w:t>
      </w:r>
      <w:r>
        <w:rPr>
          <w:sz w:val="20"/>
        </w:rPr>
        <w:t>sus</w:t>
      </w:r>
      <w:r>
        <w:rPr>
          <w:spacing w:val="-2"/>
          <w:sz w:val="20"/>
        </w:rPr>
        <w:t> </w:t>
      </w:r>
      <w:r>
        <w:rPr>
          <w:sz w:val="20"/>
        </w:rPr>
        <w:t>pavimentos</w:t>
      </w:r>
      <w:r>
        <w:rPr>
          <w:spacing w:val="-2"/>
          <w:sz w:val="20"/>
        </w:rPr>
        <w:t> </w:t>
      </w:r>
      <w:r>
        <w:rPr>
          <w:sz w:val="20"/>
        </w:rPr>
        <w:t>bases</w:t>
      </w:r>
      <w:r>
        <w:rPr>
          <w:spacing w:val="-2"/>
          <w:sz w:val="20"/>
        </w:rPr>
        <w:t> </w:t>
      </w:r>
      <w:r>
        <w:rPr>
          <w:sz w:val="20"/>
        </w:rPr>
        <w:t>y sub-bases,</w:t>
      </w:r>
      <w:r>
        <w:rPr>
          <w:spacing w:val="-1"/>
          <w:sz w:val="20"/>
        </w:rPr>
        <w:t> </w:t>
      </w:r>
      <w:r>
        <w:rPr>
          <w:sz w:val="20"/>
        </w:rPr>
        <w:t>que</w:t>
      </w:r>
      <w:r>
        <w:rPr>
          <w:spacing w:val="-1"/>
          <w:sz w:val="20"/>
        </w:rPr>
        <w:t> </w:t>
      </w:r>
      <w:r>
        <w:rPr>
          <w:sz w:val="20"/>
        </w:rPr>
        <w:t>cumplan con la vida útil establecida en el diseño del pavimento;</w:t>
      </w:r>
    </w:p>
    <w:p>
      <w:pPr>
        <w:pStyle w:val="ListParagraph"/>
        <w:numPr>
          <w:ilvl w:val="0"/>
          <w:numId w:val="73"/>
        </w:numPr>
        <w:tabs>
          <w:tab w:pos="689" w:val="left" w:leader="none"/>
        </w:tabs>
        <w:spacing w:line="240" w:lineRule="auto" w:before="230" w:after="0"/>
        <w:ind w:left="262" w:right="275" w:firstLine="0"/>
        <w:jc w:val="left"/>
        <w:rPr>
          <w:sz w:val="20"/>
        </w:rPr>
      </w:pPr>
      <w:r>
        <w:rPr>
          <w:sz w:val="20"/>
        </w:rPr>
        <w:t>Los</w:t>
      </w:r>
      <w:r>
        <w:rPr>
          <w:spacing w:val="26"/>
          <w:sz w:val="20"/>
        </w:rPr>
        <w:t> </w:t>
      </w:r>
      <w:r>
        <w:rPr>
          <w:sz w:val="20"/>
        </w:rPr>
        <w:t>estudios</w:t>
      </w:r>
      <w:r>
        <w:rPr>
          <w:spacing w:val="26"/>
          <w:sz w:val="20"/>
        </w:rPr>
        <w:t> </w:t>
      </w:r>
      <w:r>
        <w:rPr>
          <w:sz w:val="20"/>
        </w:rPr>
        <w:t>geotécnico</w:t>
      </w:r>
      <w:r>
        <w:rPr>
          <w:spacing w:val="25"/>
          <w:sz w:val="20"/>
        </w:rPr>
        <w:t> </w:t>
      </w:r>
      <w:r>
        <w:rPr>
          <w:sz w:val="20"/>
        </w:rPr>
        <w:t>y</w:t>
      </w:r>
      <w:r>
        <w:rPr>
          <w:spacing w:val="28"/>
          <w:sz w:val="20"/>
        </w:rPr>
        <w:t> </w:t>
      </w:r>
      <w:r>
        <w:rPr>
          <w:sz w:val="20"/>
        </w:rPr>
        <w:t>de</w:t>
      </w:r>
      <w:r>
        <w:rPr>
          <w:spacing w:val="25"/>
          <w:sz w:val="20"/>
        </w:rPr>
        <w:t> </w:t>
      </w:r>
      <w:r>
        <w:rPr>
          <w:sz w:val="20"/>
        </w:rPr>
        <w:t>mecánica</w:t>
      </w:r>
      <w:r>
        <w:rPr>
          <w:spacing w:val="27"/>
          <w:sz w:val="20"/>
        </w:rPr>
        <w:t> </w:t>
      </w:r>
      <w:r>
        <w:rPr>
          <w:sz w:val="20"/>
        </w:rPr>
        <w:t>de</w:t>
      </w:r>
      <w:r>
        <w:rPr>
          <w:spacing w:val="25"/>
          <w:sz w:val="20"/>
        </w:rPr>
        <w:t> </w:t>
      </w:r>
      <w:r>
        <w:rPr>
          <w:sz w:val="20"/>
        </w:rPr>
        <w:t>suelos</w:t>
      </w:r>
      <w:r>
        <w:rPr>
          <w:spacing w:val="26"/>
          <w:sz w:val="20"/>
        </w:rPr>
        <w:t> </w:t>
      </w:r>
      <w:r>
        <w:rPr>
          <w:sz w:val="20"/>
        </w:rPr>
        <w:t>de</w:t>
      </w:r>
      <w:r>
        <w:rPr>
          <w:spacing w:val="25"/>
          <w:sz w:val="20"/>
        </w:rPr>
        <w:t> </w:t>
      </w:r>
      <w:r>
        <w:rPr>
          <w:sz w:val="20"/>
        </w:rPr>
        <w:t>las</w:t>
      </w:r>
      <w:r>
        <w:rPr>
          <w:spacing w:val="26"/>
          <w:sz w:val="20"/>
        </w:rPr>
        <w:t> </w:t>
      </w:r>
      <w:r>
        <w:rPr>
          <w:sz w:val="20"/>
        </w:rPr>
        <w:t>terracerías</w:t>
      </w:r>
      <w:r>
        <w:rPr>
          <w:spacing w:val="26"/>
          <w:sz w:val="20"/>
        </w:rPr>
        <w:t> </w:t>
      </w:r>
      <w:r>
        <w:rPr>
          <w:sz w:val="20"/>
        </w:rPr>
        <w:t>de</w:t>
      </w:r>
      <w:r>
        <w:rPr>
          <w:spacing w:val="25"/>
          <w:sz w:val="20"/>
        </w:rPr>
        <w:t> </w:t>
      </w:r>
      <w:r>
        <w:rPr>
          <w:sz w:val="20"/>
        </w:rPr>
        <w:t>sub-rasante</w:t>
      </w:r>
      <w:r>
        <w:rPr>
          <w:spacing w:val="25"/>
          <w:sz w:val="20"/>
        </w:rPr>
        <w:t> </w:t>
      </w:r>
      <w:r>
        <w:rPr>
          <w:sz w:val="20"/>
        </w:rPr>
        <w:t>y</w:t>
      </w:r>
      <w:r>
        <w:rPr>
          <w:spacing w:val="26"/>
          <w:sz w:val="20"/>
        </w:rPr>
        <w:t> </w:t>
      </w:r>
      <w:r>
        <w:rPr>
          <w:sz w:val="20"/>
        </w:rPr>
        <w:t>sub-yacente, que servirán de apoyo de cimentación de la estructura de pavimento flexible o rígido, y</w:t>
      </w:r>
    </w:p>
    <w:p>
      <w:pPr>
        <w:pStyle w:val="ListParagraph"/>
        <w:numPr>
          <w:ilvl w:val="0"/>
          <w:numId w:val="73"/>
        </w:numPr>
        <w:tabs>
          <w:tab w:pos="689" w:val="left" w:leader="none"/>
        </w:tabs>
        <w:spacing w:line="240" w:lineRule="auto" w:before="228" w:after="0"/>
        <w:ind w:left="262" w:right="285" w:firstLine="0"/>
        <w:jc w:val="left"/>
        <w:rPr>
          <w:sz w:val="20"/>
        </w:rPr>
      </w:pPr>
      <w:r>
        <w:rPr>
          <w:sz w:val="20"/>
        </w:rPr>
        <w:t>Que se permita el desalojo rápido de las aguas superficiales, sin que afecten a guarniciones, redes de instalaciones, banquetas y construcciones colindantes.</w:t>
      </w:r>
    </w:p>
    <w:p>
      <w:pPr>
        <w:pStyle w:val="BodyText"/>
        <w:spacing w:before="2"/>
      </w:pPr>
    </w:p>
    <w:p>
      <w:pPr>
        <w:pStyle w:val="BodyText"/>
        <w:ind w:left="262" w:right="287"/>
        <w:jc w:val="both"/>
      </w:pPr>
      <w:r>
        <w:rPr>
          <w:spacing w:val="-2"/>
        </w:rPr>
        <w:t>Se</w:t>
      </w:r>
      <w:r>
        <w:rPr>
          <w:spacing w:val="-4"/>
        </w:rPr>
        <w:t> </w:t>
      </w:r>
      <w:r>
        <w:rPr>
          <w:spacing w:val="-2"/>
        </w:rPr>
        <w:t>privilegiará</w:t>
      </w:r>
      <w:r>
        <w:rPr>
          <w:spacing w:val="-4"/>
        </w:rPr>
        <w:t> </w:t>
      </w:r>
      <w:r>
        <w:rPr>
          <w:spacing w:val="-2"/>
        </w:rPr>
        <w:t>el</w:t>
      </w:r>
      <w:r>
        <w:rPr>
          <w:spacing w:val="-5"/>
        </w:rPr>
        <w:t> </w:t>
      </w:r>
      <w:r>
        <w:rPr>
          <w:spacing w:val="-2"/>
        </w:rPr>
        <w:t>uso</w:t>
      </w:r>
      <w:r>
        <w:rPr>
          <w:spacing w:val="-4"/>
        </w:rPr>
        <w:t> </w:t>
      </w:r>
      <w:r>
        <w:rPr>
          <w:spacing w:val="-2"/>
        </w:rPr>
        <w:t>de</w:t>
      </w:r>
      <w:r>
        <w:rPr>
          <w:spacing w:val="-5"/>
        </w:rPr>
        <w:t> </w:t>
      </w:r>
      <w:r>
        <w:rPr>
          <w:spacing w:val="-2"/>
        </w:rPr>
        <w:t>pavimentos</w:t>
      </w:r>
      <w:r>
        <w:rPr>
          <w:spacing w:val="-3"/>
        </w:rPr>
        <w:t> </w:t>
      </w:r>
      <w:r>
        <w:rPr>
          <w:spacing w:val="-2"/>
        </w:rPr>
        <w:t>ecológicos</w:t>
      </w:r>
      <w:r>
        <w:rPr>
          <w:spacing w:val="-6"/>
        </w:rPr>
        <w:t> </w:t>
      </w:r>
      <w:r>
        <w:rPr>
          <w:spacing w:val="-2"/>
        </w:rPr>
        <w:t>en</w:t>
      </w:r>
      <w:r>
        <w:rPr>
          <w:spacing w:val="-8"/>
        </w:rPr>
        <w:t> </w:t>
      </w:r>
      <w:r>
        <w:rPr>
          <w:spacing w:val="-2"/>
        </w:rPr>
        <w:t>calles</w:t>
      </w:r>
      <w:r>
        <w:rPr>
          <w:spacing w:val="-5"/>
        </w:rPr>
        <w:t> </w:t>
      </w:r>
      <w:r>
        <w:rPr>
          <w:spacing w:val="-2"/>
        </w:rPr>
        <w:t>primarias,</w:t>
      </w:r>
      <w:r>
        <w:rPr>
          <w:spacing w:val="-4"/>
        </w:rPr>
        <w:t> </w:t>
      </w:r>
      <w:r>
        <w:rPr>
          <w:spacing w:val="-2"/>
        </w:rPr>
        <w:t>secundarias,</w:t>
      </w:r>
      <w:r>
        <w:rPr>
          <w:spacing w:val="-4"/>
        </w:rPr>
        <w:t> </w:t>
      </w:r>
      <w:r>
        <w:rPr>
          <w:spacing w:val="-2"/>
        </w:rPr>
        <w:t>cerradas</w:t>
      </w:r>
      <w:r>
        <w:rPr>
          <w:spacing w:val="-6"/>
        </w:rPr>
        <w:t> </w:t>
      </w:r>
      <w:r>
        <w:rPr>
          <w:spacing w:val="-2"/>
        </w:rPr>
        <w:t>y</w:t>
      </w:r>
      <w:r>
        <w:rPr>
          <w:spacing w:val="-3"/>
        </w:rPr>
        <w:t> </w:t>
      </w:r>
      <w:r>
        <w:rPr>
          <w:spacing w:val="-2"/>
        </w:rPr>
        <w:t>en</w:t>
      </w:r>
      <w:r>
        <w:rPr>
          <w:spacing w:val="-5"/>
        </w:rPr>
        <w:t> </w:t>
      </w:r>
      <w:r>
        <w:rPr>
          <w:spacing w:val="-2"/>
        </w:rPr>
        <w:t>áreas </w:t>
      </w:r>
      <w:r>
        <w:rPr/>
        <w:t>para estacionamiento de todo tipo de fraccionamiento.</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75"/>
        <w:jc w:val="both"/>
      </w:pPr>
      <w:r>
        <w:rPr>
          <w:rFonts w:ascii="Arial" w:hAnsi="Arial"/>
          <w:b/>
        </w:rPr>
        <w:t>ARTÍCULO 180. </w:t>
      </w:r>
      <w:r>
        <w:rPr/>
        <w:t>Los espesores y resistencias mínimas del pavimento, estarán dados, en áreas urbanas,</w:t>
      </w:r>
      <w:r>
        <w:rPr>
          <w:spacing w:val="-1"/>
        </w:rPr>
        <w:t> </w:t>
      </w:r>
      <w:r>
        <w:rPr/>
        <w:t>por las normas técnicas de</w:t>
      </w:r>
      <w:r>
        <w:rPr>
          <w:spacing w:val="-2"/>
        </w:rPr>
        <w:t> </w:t>
      </w:r>
      <w:r>
        <w:rPr/>
        <w:t>la</w:t>
      </w:r>
      <w:r>
        <w:rPr>
          <w:spacing w:val="-1"/>
        </w:rPr>
        <w:t> </w:t>
      </w:r>
      <w:r>
        <w:rPr/>
        <w:t>autoridad</w:t>
      </w:r>
      <w:r>
        <w:rPr>
          <w:spacing w:val="-1"/>
        </w:rPr>
        <w:t> </w:t>
      </w:r>
      <w:r>
        <w:rPr/>
        <w:t>municipal;</w:t>
      </w:r>
      <w:r>
        <w:rPr>
          <w:spacing w:val="-1"/>
        </w:rPr>
        <w:t> </w:t>
      </w:r>
      <w:r>
        <w:rPr/>
        <w:t>o</w:t>
      </w:r>
      <w:r>
        <w:rPr>
          <w:spacing w:val="-1"/>
        </w:rPr>
        <w:t> </w:t>
      </w:r>
      <w:r>
        <w:rPr/>
        <w:t>en</w:t>
      </w:r>
      <w:r>
        <w:rPr>
          <w:spacing w:val="-2"/>
        </w:rPr>
        <w:t> </w:t>
      </w:r>
      <w:r>
        <w:rPr/>
        <w:t>su</w:t>
      </w:r>
      <w:r>
        <w:rPr>
          <w:spacing w:val="-1"/>
        </w:rPr>
        <w:t> </w:t>
      </w:r>
      <w:r>
        <w:rPr/>
        <w:t>caso,</w:t>
      </w:r>
      <w:r>
        <w:rPr>
          <w:spacing w:val="-1"/>
        </w:rPr>
        <w:t> </w:t>
      </w:r>
      <w:r>
        <w:rPr/>
        <w:t>si</w:t>
      </w:r>
      <w:r>
        <w:rPr>
          <w:spacing w:val="-2"/>
        </w:rPr>
        <w:t> </w:t>
      </w:r>
      <w:r>
        <w:rPr/>
        <w:t>no</w:t>
      </w:r>
      <w:r>
        <w:rPr>
          <w:spacing w:val="-2"/>
        </w:rPr>
        <w:t> </w:t>
      </w:r>
      <w:r>
        <w:rPr/>
        <w:t>las tuvieran,</w:t>
      </w:r>
      <w:r>
        <w:rPr>
          <w:spacing w:val="-1"/>
        </w:rPr>
        <w:t> </w:t>
      </w:r>
      <w:r>
        <w:rPr/>
        <w:t>por las Normas Oficiales Mexicanas aplicables;</w:t>
      </w:r>
      <w:r>
        <w:rPr>
          <w:spacing w:val="40"/>
        </w:rPr>
        <w:t> </w:t>
      </w:r>
      <w:r>
        <w:rPr/>
        <w:t>y en áreas no urbanas por las normas técnicas de la Secretaría de Comunicaciones y Transportes del Estado.</w:t>
      </w:r>
    </w:p>
    <w:p>
      <w:pPr>
        <w:pStyle w:val="BodyText"/>
      </w:pPr>
    </w:p>
    <w:p>
      <w:pPr>
        <w:pStyle w:val="BodyText"/>
        <w:ind w:left="262" w:right="287"/>
        <w:jc w:val="both"/>
      </w:pPr>
      <w:r>
        <w:rPr/>
        <w:t>Las terracerías se formarán con material adecuado, preferentemente de la localidad, siguiendo los procedimientos constructivos, la calidad y normas que exija la autoridad competente.</w:t>
      </w:r>
    </w:p>
    <w:p>
      <w:pPr>
        <w:pStyle w:val="BodyText"/>
        <w:spacing w:before="1"/>
      </w:pPr>
    </w:p>
    <w:p>
      <w:pPr>
        <w:pStyle w:val="BodyText"/>
        <w:ind w:left="262" w:right="285"/>
        <w:jc w:val="both"/>
      </w:pPr>
      <w:r>
        <w:rPr/>
        <w:t>Previo</w:t>
      </w:r>
      <w:r>
        <w:rPr>
          <w:spacing w:val="-12"/>
        </w:rPr>
        <w:t> </w:t>
      </w:r>
      <w:r>
        <w:rPr/>
        <w:t>a</w:t>
      </w:r>
      <w:r>
        <w:rPr>
          <w:spacing w:val="-10"/>
        </w:rPr>
        <w:t> </w:t>
      </w:r>
      <w:r>
        <w:rPr/>
        <w:t>los</w:t>
      </w:r>
      <w:r>
        <w:rPr>
          <w:spacing w:val="-11"/>
        </w:rPr>
        <w:t> </w:t>
      </w:r>
      <w:r>
        <w:rPr/>
        <w:t>trabajos</w:t>
      </w:r>
      <w:r>
        <w:rPr>
          <w:spacing w:val="-11"/>
        </w:rPr>
        <w:t> </w:t>
      </w:r>
      <w:r>
        <w:rPr/>
        <w:t>de</w:t>
      </w:r>
      <w:r>
        <w:rPr>
          <w:spacing w:val="-13"/>
        </w:rPr>
        <w:t> </w:t>
      </w:r>
      <w:r>
        <w:rPr/>
        <w:t>pavimentación</w:t>
      </w:r>
      <w:r>
        <w:rPr>
          <w:spacing w:val="-13"/>
        </w:rPr>
        <w:t> </w:t>
      </w:r>
      <w:r>
        <w:rPr/>
        <w:t>se</w:t>
      </w:r>
      <w:r>
        <w:rPr>
          <w:spacing w:val="-12"/>
        </w:rPr>
        <w:t> </w:t>
      </w:r>
      <w:r>
        <w:rPr/>
        <w:t>deberán</w:t>
      </w:r>
      <w:r>
        <w:rPr>
          <w:spacing w:val="-12"/>
        </w:rPr>
        <w:t> </w:t>
      </w:r>
      <w:r>
        <w:rPr/>
        <w:t>instalar</w:t>
      </w:r>
      <w:r>
        <w:rPr>
          <w:spacing w:val="-11"/>
        </w:rPr>
        <w:t> </w:t>
      </w:r>
      <w:r>
        <w:rPr/>
        <w:t>las</w:t>
      </w:r>
      <w:r>
        <w:rPr>
          <w:spacing w:val="-11"/>
        </w:rPr>
        <w:t> </w:t>
      </w:r>
      <w:r>
        <w:rPr/>
        <w:t>redes</w:t>
      </w:r>
      <w:r>
        <w:rPr>
          <w:spacing w:val="-11"/>
        </w:rPr>
        <w:t> </w:t>
      </w:r>
      <w:r>
        <w:rPr/>
        <w:t>de</w:t>
      </w:r>
      <w:r>
        <w:rPr>
          <w:spacing w:val="-13"/>
        </w:rPr>
        <w:t> </w:t>
      </w:r>
      <w:r>
        <w:rPr/>
        <w:t>agua</w:t>
      </w:r>
      <w:r>
        <w:rPr>
          <w:spacing w:val="-10"/>
        </w:rPr>
        <w:t> </w:t>
      </w:r>
      <w:r>
        <w:rPr/>
        <w:t>potable</w:t>
      </w:r>
      <w:r>
        <w:rPr>
          <w:spacing w:val="-12"/>
        </w:rPr>
        <w:t> </w:t>
      </w:r>
      <w:r>
        <w:rPr/>
        <w:t>y</w:t>
      </w:r>
      <w:r>
        <w:rPr>
          <w:spacing w:val="-11"/>
        </w:rPr>
        <w:t> </w:t>
      </w:r>
      <w:r>
        <w:rPr/>
        <w:t>alcantarillado con las tomas y descargas correspondientes, procurando incluir las redes de energía eléctrica, telefonía, y otros cables de televisión, internet o similares.</w:t>
      </w:r>
    </w:p>
    <w:p>
      <w:pPr>
        <w:pStyle w:val="BodyText"/>
      </w:pPr>
    </w:p>
    <w:p>
      <w:pPr>
        <w:pStyle w:val="BodyText"/>
      </w:pPr>
    </w:p>
    <w:p>
      <w:pPr>
        <w:pStyle w:val="Heading1"/>
        <w:spacing w:line="480" w:lineRule="auto" w:before="1"/>
        <w:ind w:left="2381" w:right="2331" w:firstLine="1006"/>
        <w:jc w:val="left"/>
      </w:pPr>
      <w:r>
        <w:rPr/>
        <w:t>TÍTULO DÉCIMO PRIMERO INSTRUMENTOS</w:t>
      </w:r>
      <w:r>
        <w:rPr>
          <w:spacing w:val="-11"/>
        </w:rPr>
        <w:t> </w:t>
      </w:r>
      <w:r>
        <w:rPr/>
        <w:t>NORMATIVOS</w:t>
      </w:r>
      <w:r>
        <w:rPr>
          <w:spacing w:val="-10"/>
        </w:rPr>
        <w:t> </w:t>
      </w:r>
      <w:r>
        <w:rPr/>
        <w:t>Y</w:t>
      </w:r>
      <w:r>
        <w:rPr>
          <w:spacing w:val="-11"/>
        </w:rPr>
        <w:t> </w:t>
      </w:r>
      <w:r>
        <w:rPr/>
        <w:t>DE</w:t>
      </w:r>
      <w:r>
        <w:rPr>
          <w:spacing w:val="-11"/>
        </w:rPr>
        <w:t> </w:t>
      </w:r>
      <w:r>
        <w:rPr/>
        <w:t>CONTROL</w:t>
      </w:r>
    </w:p>
    <w:p>
      <w:pPr>
        <w:pStyle w:val="Heading2"/>
        <w:spacing w:line="480" w:lineRule="auto" w:before="229"/>
        <w:ind w:left="3161" w:right="3159" w:firstLine="804"/>
        <w:jc w:val="left"/>
      </w:pPr>
      <w:r>
        <w:rPr/>
        <w:t>Capítulo Único Regulación</w:t>
      </w:r>
      <w:r>
        <w:rPr>
          <w:spacing w:val="-14"/>
        </w:rPr>
        <w:t> </w:t>
      </w:r>
      <w:r>
        <w:rPr/>
        <w:t>del</w:t>
      </w:r>
      <w:r>
        <w:rPr>
          <w:spacing w:val="-14"/>
        </w:rPr>
        <w:t> </w:t>
      </w:r>
      <w:r>
        <w:rPr/>
        <w:t>Espacio</w:t>
      </w:r>
      <w:r>
        <w:rPr>
          <w:spacing w:val="-14"/>
        </w:rPr>
        <w:t> </w:t>
      </w:r>
      <w:r>
        <w:rPr/>
        <w:t>Público</w:t>
      </w:r>
    </w:p>
    <w:p>
      <w:pPr>
        <w:pStyle w:val="BodyText"/>
        <w:ind w:left="262" w:right="277"/>
        <w:jc w:val="both"/>
      </w:pPr>
      <w:r>
        <w:rPr>
          <w:rFonts w:ascii="Arial" w:hAnsi="Arial"/>
          <w:b/>
        </w:rPr>
        <w:t>ARTÍCULO</w:t>
      </w:r>
      <w:r>
        <w:rPr>
          <w:rFonts w:ascii="Arial" w:hAnsi="Arial"/>
          <w:b/>
          <w:spacing w:val="-5"/>
        </w:rPr>
        <w:t> </w:t>
      </w:r>
      <w:r>
        <w:rPr>
          <w:rFonts w:ascii="Arial" w:hAnsi="Arial"/>
          <w:b/>
        </w:rPr>
        <w:t>181.</w:t>
      </w:r>
      <w:r>
        <w:rPr>
          <w:rFonts w:ascii="Arial" w:hAnsi="Arial"/>
          <w:b/>
          <w:spacing w:val="-3"/>
        </w:rPr>
        <w:t> </w:t>
      </w:r>
      <w:r>
        <w:rPr/>
        <w:t>La</w:t>
      </w:r>
      <w:r>
        <w:rPr>
          <w:spacing w:val="-5"/>
        </w:rPr>
        <w:t> </w:t>
      </w:r>
      <w:r>
        <w:rPr/>
        <w:t>creación,</w:t>
      </w:r>
      <w:r>
        <w:rPr>
          <w:spacing w:val="-7"/>
        </w:rPr>
        <w:t> </w:t>
      </w:r>
      <w:r>
        <w:rPr/>
        <w:t>recuperación,</w:t>
      </w:r>
      <w:r>
        <w:rPr>
          <w:spacing w:val="-4"/>
        </w:rPr>
        <w:t> </w:t>
      </w:r>
      <w:r>
        <w:rPr/>
        <w:t>mantenimiento</w:t>
      </w:r>
      <w:r>
        <w:rPr>
          <w:spacing w:val="-5"/>
        </w:rPr>
        <w:t> </w:t>
      </w:r>
      <w:r>
        <w:rPr/>
        <w:t>y</w:t>
      </w:r>
      <w:r>
        <w:rPr>
          <w:spacing w:val="-5"/>
        </w:rPr>
        <w:t> </w:t>
      </w:r>
      <w:r>
        <w:rPr/>
        <w:t>defensa</w:t>
      </w:r>
      <w:r>
        <w:rPr>
          <w:spacing w:val="-5"/>
        </w:rPr>
        <w:t> </w:t>
      </w:r>
      <w:r>
        <w:rPr/>
        <w:t>del</w:t>
      </w:r>
      <w:r>
        <w:rPr>
          <w:spacing w:val="-6"/>
        </w:rPr>
        <w:t> </w:t>
      </w:r>
      <w:r>
        <w:rPr/>
        <w:t>espacio</w:t>
      </w:r>
      <w:r>
        <w:rPr>
          <w:spacing w:val="-4"/>
        </w:rPr>
        <w:t> </w:t>
      </w:r>
      <w:r>
        <w:rPr/>
        <w:t>público</w:t>
      </w:r>
      <w:r>
        <w:rPr>
          <w:spacing w:val="-5"/>
        </w:rPr>
        <w:t> </w:t>
      </w:r>
      <w:r>
        <w:rPr/>
        <w:t>para</w:t>
      </w:r>
      <w:r>
        <w:rPr>
          <w:spacing w:val="-5"/>
        </w:rPr>
        <w:t> </w:t>
      </w:r>
      <w:r>
        <w:rPr/>
        <w:t>todo tipo de usos y para la movilidad, es principio de esta Ley y una alta prioridad para los órdenes de gobierno estatal y municipal, por lo que en los procesos de planeación urbana, programación de inversiones públicas, aprovechamiento</w:t>
      </w:r>
      <w:r>
        <w:rPr>
          <w:spacing w:val="-1"/>
        </w:rPr>
        <w:t> </w:t>
      </w:r>
      <w:r>
        <w:rPr/>
        <w:t>y utilización de áreas, polígonos y predios baldíos, públicos o privados, dentro de los Centros de Población, se deberá privilegiar el diseño, adecuación, mantenimiento y protección de espacios públicos, teniendo en cuenta siempre la evolución de la </w:t>
      </w:r>
      <w:r>
        <w:rPr>
          <w:spacing w:val="-2"/>
        </w:rPr>
        <w:t>ciudad.</w:t>
      </w:r>
    </w:p>
    <w:p>
      <w:pPr>
        <w:pStyle w:val="BodyText"/>
        <w:spacing w:before="1"/>
      </w:pPr>
    </w:p>
    <w:p>
      <w:pPr>
        <w:pStyle w:val="BodyText"/>
        <w:ind w:left="262" w:right="277"/>
        <w:jc w:val="both"/>
      </w:pPr>
      <w:r>
        <w:rPr>
          <w:rFonts w:ascii="Arial" w:hAnsi="Arial"/>
          <w:b/>
        </w:rPr>
        <w:t>ARTÍCULO 182. </w:t>
      </w:r>
      <w:r>
        <w:rPr/>
        <w:t>Los programas municipales de ordenamiento territorial y desarrollo urbano, de conurbaciones</w:t>
      </w:r>
      <w:r>
        <w:rPr>
          <w:spacing w:val="-8"/>
        </w:rPr>
        <w:t> </w:t>
      </w:r>
      <w:r>
        <w:rPr/>
        <w:t>y</w:t>
      </w:r>
      <w:r>
        <w:rPr>
          <w:spacing w:val="-8"/>
        </w:rPr>
        <w:t> </w:t>
      </w:r>
      <w:r>
        <w:rPr/>
        <w:t>de</w:t>
      </w:r>
      <w:r>
        <w:rPr>
          <w:spacing w:val="-9"/>
        </w:rPr>
        <w:t> </w:t>
      </w:r>
      <w:r>
        <w:rPr/>
        <w:t>zonas</w:t>
      </w:r>
      <w:r>
        <w:rPr>
          <w:spacing w:val="-7"/>
        </w:rPr>
        <w:t> </w:t>
      </w:r>
      <w:r>
        <w:rPr/>
        <w:t>metropolitanas,</w:t>
      </w:r>
      <w:r>
        <w:rPr>
          <w:spacing w:val="-9"/>
        </w:rPr>
        <w:t> </w:t>
      </w:r>
      <w:r>
        <w:rPr/>
        <w:t>definirán</w:t>
      </w:r>
      <w:r>
        <w:rPr>
          <w:spacing w:val="-9"/>
        </w:rPr>
        <w:t> </w:t>
      </w:r>
      <w:r>
        <w:rPr/>
        <w:t>la</w:t>
      </w:r>
      <w:r>
        <w:rPr>
          <w:spacing w:val="-8"/>
        </w:rPr>
        <w:t> </w:t>
      </w:r>
      <w:r>
        <w:rPr/>
        <w:t>dotación</w:t>
      </w:r>
      <w:r>
        <w:rPr>
          <w:spacing w:val="-8"/>
        </w:rPr>
        <w:t> </w:t>
      </w:r>
      <w:r>
        <w:rPr/>
        <w:t>de</w:t>
      </w:r>
      <w:r>
        <w:rPr>
          <w:spacing w:val="-9"/>
        </w:rPr>
        <w:t> </w:t>
      </w:r>
      <w:r>
        <w:rPr/>
        <w:t>espacio</w:t>
      </w:r>
      <w:r>
        <w:rPr>
          <w:spacing w:val="-8"/>
        </w:rPr>
        <w:t> </w:t>
      </w:r>
      <w:r>
        <w:rPr/>
        <w:t>público</w:t>
      </w:r>
      <w:r>
        <w:rPr>
          <w:spacing w:val="-8"/>
        </w:rPr>
        <w:t> </w:t>
      </w:r>
      <w:r>
        <w:rPr/>
        <w:t>en</w:t>
      </w:r>
      <w:r>
        <w:rPr>
          <w:spacing w:val="-9"/>
        </w:rPr>
        <w:t> </w:t>
      </w:r>
      <w:r>
        <w:rPr/>
        <w:t>cantidades</w:t>
      </w:r>
      <w:r>
        <w:rPr>
          <w:spacing w:val="-8"/>
        </w:rPr>
        <w:t> </w:t>
      </w:r>
      <w:r>
        <w:rPr/>
        <w:t>no menores a lo establecido por las normas oficiales mexicanas aplicables y normas de dotación de equipamiento</w:t>
      </w:r>
      <w:r>
        <w:rPr>
          <w:spacing w:val="-13"/>
        </w:rPr>
        <w:t> </w:t>
      </w:r>
      <w:r>
        <w:rPr/>
        <w:t>urbano</w:t>
      </w:r>
      <w:r>
        <w:rPr>
          <w:spacing w:val="-13"/>
        </w:rPr>
        <w:t> </w:t>
      </w:r>
      <w:r>
        <w:rPr/>
        <w:t>expedidas</w:t>
      </w:r>
      <w:r>
        <w:rPr>
          <w:spacing w:val="-14"/>
        </w:rPr>
        <w:t> </w:t>
      </w:r>
      <w:r>
        <w:rPr/>
        <w:t>por</w:t>
      </w:r>
      <w:r>
        <w:rPr>
          <w:spacing w:val="-11"/>
        </w:rPr>
        <w:t> </w:t>
      </w:r>
      <w:r>
        <w:rPr/>
        <w:t>la</w:t>
      </w:r>
      <w:r>
        <w:rPr>
          <w:spacing w:val="-13"/>
        </w:rPr>
        <w:t> </w:t>
      </w:r>
      <w:r>
        <w:rPr/>
        <w:t>SEDATU,</w:t>
      </w:r>
      <w:r>
        <w:rPr>
          <w:spacing w:val="-12"/>
        </w:rPr>
        <w:t> </w:t>
      </w:r>
      <w:r>
        <w:rPr/>
        <w:t>Privilegiarán</w:t>
      </w:r>
      <w:r>
        <w:rPr>
          <w:spacing w:val="-12"/>
        </w:rPr>
        <w:t> </w:t>
      </w:r>
      <w:r>
        <w:rPr/>
        <w:t>la</w:t>
      </w:r>
      <w:r>
        <w:rPr>
          <w:spacing w:val="-13"/>
        </w:rPr>
        <w:t> </w:t>
      </w:r>
      <w:r>
        <w:rPr/>
        <w:t>dotación</w:t>
      </w:r>
      <w:r>
        <w:rPr>
          <w:spacing w:val="-14"/>
        </w:rPr>
        <w:t> </w:t>
      </w:r>
      <w:r>
        <w:rPr/>
        <w:t>y</w:t>
      </w:r>
      <w:r>
        <w:rPr>
          <w:spacing w:val="-11"/>
        </w:rPr>
        <w:t> </w:t>
      </w:r>
      <w:r>
        <w:rPr/>
        <w:t>preservación</w:t>
      </w:r>
      <w:r>
        <w:rPr>
          <w:spacing w:val="-13"/>
        </w:rPr>
        <w:t> </w:t>
      </w:r>
      <w:r>
        <w:rPr/>
        <w:t>del</w:t>
      </w:r>
      <w:r>
        <w:rPr>
          <w:spacing w:val="-14"/>
        </w:rPr>
        <w:t> </w:t>
      </w:r>
      <w:r>
        <w:rPr/>
        <w:t>espacio para</w:t>
      </w:r>
      <w:r>
        <w:rPr>
          <w:spacing w:val="-4"/>
        </w:rPr>
        <w:t> </w:t>
      </w:r>
      <w:r>
        <w:rPr/>
        <w:t>el</w:t>
      </w:r>
      <w:r>
        <w:rPr>
          <w:spacing w:val="-5"/>
        </w:rPr>
        <w:t> </w:t>
      </w:r>
      <w:r>
        <w:rPr/>
        <w:t>tránsito</w:t>
      </w:r>
      <w:r>
        <w:rPr>
          <w:spacing w:val="-7"/>
        </w:rPr>
        <w:t> </w:t>
      </w:r>
      <w:r>
        <w:rPr/>
        <w:t>de</w:t>
      </w:r>
      <w:r>
        <w:rPr>
          <w:spacing w:val="-4"/>
        </w:rPr>
        <w:t> </w:t>
      </w:r>
      <w:r>
        <w:rPr/>
        <w:t>los</w:t>
      </w:r>
      <w:r>
        <w:rPr>
          <w:spacing w:val="-6"/>
        </w:rPr>
        <w:t> </w:t>
      </w:r>
      <w:r>
        <w:rPr/>
        <w:t>peatones</w:t>
      </w:r>
      <w:r>
        <w:rPr>
          <w:spacing w:val="-6"/>
        </w:rPr>
        <w:t> </w:t>
      </w:r>
      <w:r>
        <w:rPr/>
        <w:t>y</w:t>
      </w:r>
      <w:r>
        <w:rPr>
          <w:spacing w:val="-5"/>
        </w:rPr>
        <w:t> </w:t>
      </w:r>
      <w:r>
        <w:rPr/>
        <w:t>para</w:t>
      </w:r>
      <w:r>
        <w:rPr>
          <w:spacing w:val="-4"/>
        </w:rPr>
        <w:t> </w:t>
      </w:r>
      <w:r>
        <w:rPr/>
        <w:t>las</w:t>
      </w:r>
      <w:r>
        <w:rPr>
          <w:spacing w:val="-3"/>
        </w:rPr>
        <w:t> </w:t>
      </w:r>
      <w:r>
        <w:rPr/>
        <w:t>bicicletas,</w:t>
      </w:r>
      <w:r>
        <w:rPr>
          <w:spacing w:val="-6"/>
        </w:rPr>
        <w:t> </w:t>
      </w:r>
      <w:r>
        <w:rPr/>
        <w:t>y</w:t>
      </w:r>
      <w:r>
        <w:rPr>
          <w:spacing w:val="-3"/>
        </w:rPr>
        <w:t> </w:t>
      </w:r>
      <w:r>
        <w:rPr/>
        <w:t>criterios</w:t>
      </w:r>
      <w:r>
        <w:rPr>
          <w:spacing w:val="-3"/>
        </w:rPr>
        <w:t> </w:t>
      </w:r>
      <w:r>
        <w:rPr/>
        <w:t>de</w:t>
      </w:r>
      <w:r>
        <w:rPr>
          <w:spacing w:val="-5"/>
        </w:rPr>
        <w:t> </w:t>
      </w:r>
      <w:r>
        <w:rPr/>
        <w:t>conectividad</w:t>
      </w:r>
      <w:r>
        <w:rPr>
          <w:spacing w:val="-4"/>
        </w:rPr>
        <w:t> </w:t>
      </w:r>
      <w:r>
        <w:rPr/>
        <w:t>entre</w:t>
      </w:r>
      <w:r>
        <w:rPr>
          <w:spacing w:val="-6"/>
        </w:rPr>
        <w:t> </w:t>
      </w:r>
      <w:r>
        <w:rPr/>
        <w:t>vialidades</w:t>
      </w:r>
      <w:r>
        <w:rPr>
          <w:spacing w:val="-5"/>
        </w:rPr>
        <w:t> </w:t>
      </w:r>
      <w:r>
        <w:rPr/>
        <w:t>que propicien</w:t>
      </w:r>
      <w:r>
        <w:rPr>
          <w:spacing w:val="-9"/>
        </w:rPr>
        <w:t> </w:t>
      </w:r>
      <w:r>
        <w:rPr/>
        <w:t>la</w:t>
      </w:r>
      <w:r>
        <w:rPr>
          <w:spacing w:val="-11"/>
        </w:rPr>
        <w:t> </w:t>
      </w:r>
      <w:r>
        <w:rPr/>
        <w:t>accesibilidad</w:t>
      </w:r>
      <w:r>
        <w:rPr>
          <w:spacing w:val="-12"/>
        </w:rPr>
        <w:t> </w:t>
      </w:r>
      <w:r>
        <w:rPr/>
        <w:t>universal</w:t>
      </w:r>
      <w:r>
        <w:rPr>
          <w:spacing w:val="-12"/>
        </w:rPr>
        <w:t> </w:t>
      </w:r>
      <w:r>
        <w:rPr/>
        <w:t>y</w:t>
      </w:r>
      <w:r>
        <w:rPr>
          <w:spacing w:val="-10"/>
        </w:rPr>
        <w:t> </w:t>
      </w:r>
      <w:r>
        <w:rPr/>
        <w:t>la</w:t>
      </w:r>
      <w:r>
        <w:rPr>
          <w:spacing w:val="-11"/>
        </w:rPr>
        <w:t> </w:t>
      </w:r>
      <w:r>
        <w:rPr/>
        <w:t>movilidad</w:t>
      </w:r>
      <w:r>
        <w:rPr>
          <w:spacing w:val="-11"/>
        </w:rPr>
        <w:t> </w:t>
      </w:r>
      <w:r>
        <w:rPr/>
        <w:t>;</w:t>
      </w:r>
      <w:r>
        <w:rPr>
          <w:spacing w:val="-11"/>
        </w:rPr>
        <w:t> </w:t>
      </w:r>
      <w:r>
        <w:rPr/>
        <w:t>igualmente,</w:t>
      </w:r>
      <w:r>
        <w:rPr>
          <w:spacing w:val="-11"/>
        </w:rPr>
        <w:t> </w:t>
      </w:r>
      <w:r>
        <w:rPr/>
        <w:t>los</w:t>
      </w:r>
      <w:r>
        <w:rPr>
          <w:spacing w:val="-10"/>
        </w:rPr>
        <w:t> </w:t>
      </w:r>
      <w:r>
        <w:rPr/>
        <w:t>espacios</w:t>
      </w:r>
      <w:r>
        <w:rPr>
          <w:spacing w:val="-10"/>
        </w:rPr>
        <w:t> </w:t>
      </w:r>
      <w:r>
        <w:rPr/>
        <w:t>abiertos</w:t>
      </w:r>
      <w:r>
        <w:rPr>
          <w:spacing w:val="-10"/>
        </w:rPr>
        <w:t> </w:t>
      </w:r>
      <w:r>
        <w:rPr/>
        <w:t>para</w:t>
      </w:r>
      <w:r>
        <w:rPr>
          <w:spacing w:val="-11"/>
        </w:rPr>
        <w:t> </w:t>
      </w:r>
      <w:r>
        <w:rPr/>
        <w:t>el</w:t>
      </w:r>
      <w:r>
        <w:rPr>
          <w:spacing w:val="-12"/>
        </w:rPr>
        <w:t> </w:t>
      </w:r>
      <w:r>
        <w:rPr/>
        <w:t>deporte, los</w:t>
      </w:r>
      <w:r>
        <w:rPr>
          <w:spacing w:val="-6"/>
        </w:rPr>
        <w:t> </w:t>
      </w:r>
      <w:r>
        <w:rPr/>
        <w:t>parques</w:t>
      </w:r>
      <w:r>
        <w:rPr>
          <w:spacing w:val="-5"/>
        </w:rPr>
        <w:t> </w:t>
      </w:r>
      <w:r>
        <w:rPr/>
        <w:t>y</w:t>
      </w:r>
      <w:r>
        <w:rPr>
          <w:spacing w:val="-5"/>
        </w:rPr>
        <w:t> </w:t>
      </w:r>
      <w:r>
        <w:rPr/>
        <w:t>las</w:t>
      </w:r>
      <w:r>
        <w:rPr>
          <w:spacing w:val="-6"/>
        </w:rPr>
        <w:t> </w:t>
      </w:r>
      <w:r>
        <w:rPr/>
        <w:t>plazas</w:t>
      </w:r>
      <w:r>
        <w:rPr>
          <w:spacing w:val="-6"/>
        </w:rPr>
        <w:t> </w:t>
      </w:r>
      <w:r>
        <w:rPr/>
        <w:t>de</w:t>
      </w:r>
      <w:r>
        <w:rPr>
          <w:spacing w:val="-5"/>
        </w:rPr>
        <w:t> </w:t>
      </w:r>
      <w:r>
        <w:rPr/>
        <w:t>manera</w:t>
      </w:r>
      <w:r>
        <w:rPr>
          <w:spacing w:val="-7"/>
        </w:rPr>
        <w:t> </w:t>
      </w:r>
      <w:r>
        <w:rPr/>
        <w:t>que</w:t>
      </w:r>
      <w:r>
        <w:rPr>
          <w:spacing w:val="-7"/>
        </w:rPr>
        <w:t> </w:t>
      </w:r>
      <w:r>
        <w:rPr/>
        <w:t>cada</w:t>
      </w:r>
      <w:r>
        <w:rPr>
          <w:spacing w:val="-7"/>
        </w:rPr>
        <w:t> </w:t>
      </w:r>
      <w:r>
        <w:rPr/>
        <w:t>colonia,</w:t>
      </w:r>
      <w:r>
        <w:rPr>
          <w:spacing w:val="-7"/>
        </w:rPr>
        <w:t> </w:t>
      </w:r>
      <w:r>
        <w:rPr/>
        <w:t>barrio</w:t>
      </w:r>
      <w:r>
        <w:rPr>
          <w:spacing w:val="-7"/>
        </w:rPr>
        <w:t> </w:t>
      </w:r>
      <w:r>
        <w:rPr/>
        <w:t>y</w:t>
      </w:r>
      <w:r>
        <w:rPr>
          <w:spacing w:val="-5"/>
        </w:rPr>
        <w:t> </w:t>
      </w:r>
      <w:r>
        <w:rPr/>
        <w:t>localidad</w:t>
      </w:r>
      <w:r>
        <w:rPr>
          <w:spacing w:val="-7"/>
        </w:rPr>
        <w:t> </w:t>
      </w:r>
      <w:r>
        <w:rPr/>
        <w:t>cuente</w:t>
      </w:r>
      <w:r>
        <w:rPr>
          <w:spacing w:val="-7"/>
        </w:rPr>
        <w:t> </w:t>
      </w:r>
      <w:r>
        <w:rPr/>
        <w:t>con</w:t>
      </w:r>
      <w:r>
        <w:rPr>
          <w:spacing w:val="-5"/>
        </w:rPr>
        <w:t> </w:t>
      </w:r>
      <w:r>
        <w:rPr/>
        <w:t>la</w:t>
      </w:r>
      <w:r>
        <w:rPr>
          <w:spacing w:val="-7"/>
        </w:rPr>
        <w:t> </w:t>
      </w:r>
      <w:r>
        <w:rPr/>
        <w:t>dotación</w:t>
      </w:r>
      <w:r>
        <w:rPr>
          <w:spacing w:val="-7"/>
        </w:rPr>
        <w:t> </w:t>
      </w:r>
      <w:r>
        <w:rPr/>
        <w:t>igual o mayor a la establecida en las normas mencionadas.</w:t>
      </w:r>
    </w:p>
    <w:p>
      <w:pPr>
        <w:pStyle w:val="BodyText"/>
        <w:spacing w:before="229"/>
        <w:ind w:left="262" w:right="276"/>
        <w:jc w:val="both"/>
      </w:pPr>
      <w:r>
        <w:rPr>
          <w:rFonts w:ascii="Arial" w:hAnsi="Arial"/>
          <w:b/>
        </w:rPr>
        <w:t>ARTÍCULO 183. </w:t>
      </w:r>
      <w:r>
        <w:rPr/>
        <w:t>Los programas municipales incluirán los aspectos relacionados con el uso, aprovechamiento y custodia del espacio público, contemplando la participación social efectiva a través de la consulta, la opinión y la deliberación con las personas y sus organizaciones e instituciones, para determinar las prioridades y los proyectos sobre espacio público y para dar seguimiento</w:t>
      </w:r>
      <w:r>
        <w:rPr>
          <w:spacing w:val="-10"/>
        </w:rPr>
        <w:t> </w:t>
      </w:r>
      <w:r>
        <w:rPr/>
        <w:t>a</w:t>
      </w:r>
      <w:r>
        <w:rPr>
          <w:spacing w:val="-11"/>
        </w:rPr>
        <w:t> </w:t>
      </w:r>
      <w:r>
        <w:rPr/>
        <w:t>la</w:t>
      </w:r>
      <w:r>
        <w:rPr>
          <w:spacing w:val="-11"/>
        </w:rPr>
        <w:t> </w:t>
      </w:r>
      <w:r>
        <w:rPr/>
        <w:t>ejecución</w:t>
      </w:r>
      <w:r>
        <w:rPr>
          <w:spacing w:val="-10"/>
        </w:rPr>
        <w:t> </w:t>
      </w:r>
      <w:r>
        <w:rPr/>
        <w:t>de</w:t>
      </w:r>
      <w:r>
        <w:rPr>
          <w:spacing w:val="-12"/>
        </w:rPr>
        <w:t> </w:t>
      </w:r>
      <w:r>
        <w:rPr/>
        <w:t>obras,</w:t>
      </w:r>
      <w:r>
        <w:rPr>
          <w:spacing w:val="-10"/>
        </w:rPr>
        <w:t> </w:t>
      </w:r>
      <w:r>
        <w:rPr/>
        <w:t>la</w:t>
      </w:r>
      <w:r>
        <w:rPr>
          <w:spacing w:val="-11"/>
        </w:rPr>
        <w:t> </w:t>
      </w:r>
      <w:r>
        <w:rPr/>
        <w:t>evaluación</w:t>
      </w:r>
      <w:r>
        <w:rPr>
          <w:spacing w:val="-12"/>
        </w:rPr>
        <w:t> </w:t>
      </w:r>
      <w:r>
        <w:rPr/>
        <w:t>de</w:t>
      </w:r>
      <w:r>
        <w:rPr>
          <w:spacing w:val="-11"/>
        </w:rPr>
        <w:t> </w:t>
      </w:r>
      <w:r>
        <w:rPr/>
        <w:t>los</w:t>
      </w:r>
      <w:r>
        <w:rPr>
          <w:spacing w:val="-11"/>
        </w:rPr>
        <w:t> </w:t>
      </w:r>
      <w:r>
        <w:rPr/>
        <w:t>programas</w:t>
      </w:r>
      <w:r>
        <w:rPr>
          <w:spacing w:val="-11"/>
        </w:rPr>
        <w:t> </w:t>
      </w:r>
      <w:r>
        <w:rPr/>
        <w:t>y</w:t>
      </w:r>
      <w:r>
        <w:rPr>
          <w:spacing w:val="-11"/>
        </w:rPr>
        <w:t> </w:t>
      </w:r>
      <w:r>
        <w:rPr/>
        <w:t>la</w:t>
      </w:r>
      <w:r>
        <w:rPr>
          <w:spacing w:val="-11"/>
        </w:rPr>
        <w:t> </w:t>
      </w:r>
      <w:r>
        <w:rPr/>
        <w:t>operación</w:t>
      </w:r>
      <w:r>
        <w:rPr>
          <w:spacing w:val="-11"/>
        </w:rPr>
        <w:t> </w:t>
      </w:r>
      <w:r>
        <w:rPr/>
        <w:t>y</w:t>
      </w:r>
      <w:r>
        <w:rPr>
          <w:spacing w:val="-11"/>
        </w:rPr>
        <w:t> </w:t>
      </w:r>
      <w:r>
        <w:rPr/>
        <w:t>funcionamiento de dichos espacios y entre otras acciones, las siguientes:</w:t>
      </w:r>
    </w:p>
    <w:p>
      <w:pPr>
        <w:pStyle w:val="BodyText"/>
        <w:spacing w:before="1"/>
      </w:pPr>
    </w:p>
    <w:p>
      <w:pPr>
        <w:pStyle w:val="ListParagraph"/>
        <w:numPr>
          <w:ilvl w:val="0"/>
          <w:numId w:val="74"/>
        </w:numPr>
        <w:tabs>
          <w:tab w:pos="543" w:val="left" w:leader="none"/>
        </w:tabs>
        <w:spacing w:line="240" w:lineRule="auto" w:before="0" w:after="0"/>
        <w:ind w:left="262" w:right="287" w:firstLine="0"/>
        <w:jc w:val="both"/>
        <w:rPr>
          <w:sz w:val="20"/>
        </w:rPr>
      </w:pPr>
      <w:r>
        <w:rPr>
          <w:sz w:val="20"/>
        </w:rPr>
        <w:t>Establecer las medidas para la identificación y mejor localización de los espacios públicos con relación a la función que tendrán y a la ubicación de los beneficiarios, atendiendo las normas nacionales y estatales en la materia;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74"/>
        </w:numPr>
        <w:tabs>
          <w:tab w:pos="543" w:val="left" w:leader="none"/>
        </w:tabs>
        <w:spacing w:line="240" w:lineRule="auto" w:before="0" w:after="0"/>
        <w:ind w:left="262" w:right="278" w:firstLine="0"/>
        <w:jc w:val="both"/>
        <w:rPr>
          <w:sz w:val="20"/>
        </w:rPr>
      </w:pPr>
      <w:r>
        <w:rPr>
          <w:sz w:val="20"/>
        </w:rPr>
        <w:t>Crear</w:t>
      </w:r>
      <w:r>
        <w:rPr>
          <w:spacing w:val="-13"/>
          <w:sz w:val="20"/>
        </w:rPr>
        <w:t> </w:t>
      </w:r>
      <w:r>
        <w:rPr>
          <w:sz w:val="20"/>
        </w:rPr>
        <w:t>y</w:t>
      </w:r>
      <w:r>
        <w:rPr>
          <w:spacing w:val="-10"/>
          <w:sz w:val="20"/>
        </w:rPr>
        <w:t> </w:t>
      </w:r>
      <w:r>
        <w:rPr>
          <w:sz w:val="20"/>
        </w:rPr>
        <w:t>defender</w:t>
      </w:r>
      <w:r>
        <w:rPr>
          <w:spacing w:val="-11"/>
          <w:sz w:val="20"/>
        </w:rPr>
        <w:t> </w:t>
      </w:r>
      <w:r>
        <w:rPr>
          <w:sz w:val="20"/>
        </w:rPr>
        <w:t>el</w:t>
      </w:r>
      <w:r>
        <w:rPr>
          <w:spacing w:val="-12"/>
          <w:sz w:val="20"/>
        </w:rPr>
        <w:t> </w:t>
      </w:r>
      <w:r>
        <w:rPr>
          <w:sz w:val="20"/>
        </w:rPr>
        <w:t>espacio</w:t>
      </w:r>
      <w:r>
        <w:rPr>
          <w:spacing w:val="-12"/>
          <w:sz w:val="20"/>
        </w:rPr>
        <w:t> </w:t>
      </w:r>
      <w:r>
        <w:rPr>
          <w:sz w:val="20"/>
        </w:rPr>
        <w:t>público,</w:t>
      </w:r>
      <w:r>
        <w:rPr>
          <w:spacing w:val="-12"/>
          <w:sz w:val="20"/>
        </w:rPr>
        <w:t> </w:t>
      </w:r>
      <w:r>
        <w:rPr>
          <w:sz w:val="20"/>
        </w:rPr>
        <w:t>la</w:t>
      </w:r>
      <w:r>
        <w:rPr>
          <w:spacing w:val="-12"/>
          <w:sz w:val="20"/>
        </w:rPr>
        <w:t> </w:t>
      </w:r>
      <w:r>
        <w:rPr>
          <w:sz w:val="20"/>
        </w:rPr>
        <w:t>calidad</w:t>
      </w:r>
      <w:r>
        <w:rPr>
          <w:spacing w:val="-12"/>
          <w:sz w:val="20"/>
        </w:rPr>
        <w:t> </w:t>
      </w:r>
      <w:r>
        <w:rPr>
          <w:sz w:val="20"/>
        </w:rPr>
        <w:t>de</w:t>
      </w:r>
      <w:r>
        <w:rPr>
          <w:spacing w:val="-12"/>
          <w:sz w:val="20"/>
        </w:rPr>
        <w:t> </w:t>
      </w:r>
      <w:r>
        <w:rPr>
          <w:sz w:val="20"/>
        </w:rPr>
        <w:t>su</w:t>
      </w:r>
      <w:r>
        <w:rPr>
          <w:spacing w:val="-11"/>
          <w:sz w:val="20"/>
        </w:rPr>
        <w:t> </w:t>
      </w:r>
      <w:r>
        <w:rPr>
          <w:sz w:val="20"/>
        </w:rPr>
        <w:t>entorno</w:t>
      </w:r>
      <w:r>
        <w:rPr>
          <w:spacing w:val="-12"/>
          <w:sz w:val="20"/>
        </w:rPr>
        <w:t> </w:t>
      </w:r>
      <w:r>
        <w:rPr>
          <w:sz w:val="20"/>
        </w:rPr>
        <w:t>y</w:t>
      </w:r>
      <w:r>
        <w:rPr>
          <w:spacing w:val="-12"/>
          <w:sz w:val="20"/>
        </w:rPr>
        <w:t> </w:t>
      </w:r>
      <w:r>
        <w:rPr>
          <w:sz w:val="20"/>
        </w:rPr>
        <w:t>las</w:t>
      </w:r>
      <w:r>
        <w:rPr>
          <w:spacing w:val="-13"/>
          <w:sz w:val="20"/>
        </w:rPr>
        <w:t> </w:t>
      </w:r>
      <w:r>
        <w:rPr>
          <w:sz w:val="20"/>
        </w:rPr>
        <w:t>alternativas</w:t>
      </w:r>
      <w:r>
        <w:rPr>
          <w:spacing w:val="-10"/>
          <w:sz w:val="20"/>
        </w:rPr>
        <w:t> </w:t>
      </w:r>
      <w:r>
        <w:rPr>
          <w:sz w:val="20"/>
        </w:rPr>
        <w:t>para</w:t>
      </w:r>
      <w:r>
        <w:rPr>
          <w:spacing w:val="-12"/>
          <w:sz w:val="20"/>
        </w:rPr>
        <w:t> </w:t>
      </w:r>
      <w:r>
        <w:rPr>
          <w:sz w:val="20"/>
        </w:rPr>
        <w:t>su</w:t>
      </w:r>
      <w:r>
        <w:rPr>
          <w:spacing w:val="-11"/>
          <w:sz w:val="20"/>
        </w:rPr>
        <w:t> </w:t>
      </w:r>
      <w:r>
        <w:rPr>
          <w:sz w:val="20"/>
        </w:rPr>
        <w:t>expansión; al efecto los municipios podrán celebrar convenios o acuerdos con los vecinos, asociaciones e habitantes, organizaciones sociales o empresariales y demás personas físicas y morales interesadas, para que participen en el cuidado, administración y mantenimiento de los parques urbanos, jardines públicos, áreas verdes, plazas cívicas, glorietas, camellones y demás bienes municipales</w:t>
      </w:r>
      <w:r>
        <w:rPr>
          <w:spacing w:val="-8"/>
          <w:sz w:val="20"/>
        </w:rPr>
        <w:t> </w:t>
      </w:r>
      <w:r>
        <w:rPr>
          <w:sz w:val="20"/>
        </w:rPr>
        <w:t>de</w:t>
      </w:r>
      <w:r>
        <w:rPr>
          <w:spacing w:val="-9"/>
          <w:sz w:val="20"/>
        </w:rPr>
        <w:t> </w:t>
      </w:r>
      <w:r>
        <w:rPr>
          <w:sz w:val="20"/>
        </w:rPr>
        <w:t>uso</w:t>
      </w:r>
      <w:r>
        <w:rPr>
          <w:spacing w:val="-9"/>
          <w:sz w:val="20"/>
        </w:rPr>
        <w:t> </w:t>
      </w:r>
      <w:r>
        <w:rPr>
          <w:sz w:val="20"/>
        </w:rPr>
        <w:t>común</w:t>
      </w:r>
      <w:r>
        <w:rPr>
          <w:spacing w:val="-7"/>
          <w:sz w:val="20"/>
        </w:rPr>
        <w:t> </w:t>
      </w:r>
      <w:r>
        <w:rPr>
          <w:sz w:val="20"/>
        </w:rPr>
        <w:t>con</w:t>
      </w:r>
      <w:r>
        <w:rPr>
          <w:spacing w:val="-9"/>
          <w:sz w:val="20"/>
        </w:rPr>
        <w:t> </w:t>
      </w:r>
      <w:r>
        <w:rPr>
          <w:sz w:val="20"/>
        </w:rPr>
        <w:t>cubierta</w:t>
      </w:r>
      <w:r>
        <w:rPr>
          <w:spacing w:val="-9"/>
          <w:sz w:val="20"/>
        </w:rPr>
        <w:t> </w:t>
      </w:r>
      <w:r>
        <w:rPr>
          <w:sz w:val="20"/>
        </w:rPr>
        <w:t>vegetal;</w:t>
      </w:r>
      <w:r>
        <w:rPr>
          <w:spacing w:val="-9"/>
          <w:sz w:val="20"/>
        </w:rPr>
        <w:t> </w:t>
      </w:r>
      <w:r>
        <w:rPr>
          <w:sz w:val="20"/>
        </w:rPr>
        <w:t>estos</w:t>
      </w:r>
      <w:r>
        <w:rPr>
          <w:spacing w:val="-8"/>
          <w:sz w:val="20"/>
        </w:rPr>
        <w:t> </w:t>
      </w:r>
      <w:r>
        <w:rPr>
          <w:sz w:val="20"/>
        </w:rPr>
        <w:t>convenios</w:t>
      </w:r>
      <w:r>
        <w:rPr>
          <w:spacing w:val="-8"/>
          <w:sz w:val="20"/>
        </w:rPr>
        <w:t> </w:t>
      </w:r>
      <w:r>
        <w:rPr>
          <w:sz w:val="20"/>
        </w:rPr>
        <w:t>no</w:t>
      </w:r>
      <w:r>
        <w:rPr>
          <w:spacing w:val="-7"/>
          <w:sz w:val="20"/>
        </w:rPr>
        <w:t> </w:t>
      </w:r>
      <w:r>
        <w:rPr>
          <w:sz w:val="20"/>
        </w:rPr>
        <w:t>generarán</w:t>
      </w:r>
      <w:r>
        <w:rPr>
          <w:spacing w:val="-7"/>
          <w:sz w:val="20"/>
        </w:rPr>
        <w:t> </w:t>
      </w:r>
      <w:r>
        <w:rPr>
          <w:sz w:val="20"/>
        </w:rPr>
        <w:t>derecho</w:t>
      </w:r>
      <w:r>
        <w:rPr>
          <w:spacing w:val="-9"/>
          <w:sz w:val="20"/>
        </w:rPr>
        <w:t> </w:t>
      </w:r>
      <w:r>
        <w:rPr>
          <w:sz w:val="20"/>
        </w:rPr>
        <w:t>real</w:t>
      </w:r>
      <w:r>
        <w:rPr>
          <w:spacing w:val="-10"/>
          <w:sz w:val="20"/>
        </w:rPr>
        <w:t> </w:t>
      </w:r>
      <w:r>
        <w:rPr>
          <w:sz w:val="20"/>
        </w:rPr>
        <w:t>alguno;</w:t>
      </w:r>
    </w:p>
    <w:p>
      <w:pPr>
        <w:pStyle w:val="BodyText"/>
        <w:spacing w:before="1"/>
      </w:pPr>
    </w:p>
    <w:p>
      <w:pPr>
        <w:pStyle w:val="ListParagraph"/>
        <w:numPr>
          <w:ilvl w:val="0"/>
          <w:numId w:val="74"/>
        </w:numPr>
        <w:tabs>
          <w:tab w:pos="541" w:val="left" w:leader="none"/>
        </w:tabs>
        <w:spacing w:line="240" w:lineRule="auto" w:before="0" w:after="0"/>
        <w:ind w:left="262" w:right="286" w:firstLine="0"/>
        <w:jc w:val="both"/>
        <w:rPr>
          <w:sz w:val="20"/>
        </w:rPr>
      </w:pPr>
      <w:r>
        <w:rPr>
          <w:spacing w:val="-2"/>
          <w:sz w:val="20"/>
        </w:rPr>
        <w:t>Definir</w:t>
      </w:r>
      <w:r>
        <w:rPr>
          <w:spacing w:val="-5"/>
          <w:sz w:val="20"/>
        </w:rPr>
        <w:t> </w:t>
      </w:r>
      <w:r>
        <w:rPr>
          <w:spacing w:val="-2"/>
          <w:sz w:val="20"/>
        </w:rPr>
        <w:t>las</w:t>
      </w:r>
      <w:r>
        <w:rPr>
          <w:spacing w:val="-5"/>
          <w:sz w:val="20"/>
        </w:rPr>
        <w:t> </w:t>
      </w:r>
      <w:r>
        <w:rPr>
          <w:spacing w:val="-2"/>
          <w:sz w:val="20"/>
        </w:rPr>
        <w:t>características</w:t>
      </w:r>
      <w:r>
        <w:rPr>
          <w:spacing w:val="-5"/>
          <w:sz w:val="20"/>
        </w:rPr>
        <w:t> </w:t>
      </w:r>
      <w:r>
        <w:rPr>
          <w:spacing w:val="-2"/>
          <w:sz w:val="20"/>
        </w:rPr>
        <w:t>del</w:t>
      </w:r>
      <w:r>
        <w:rPr>
          <w:spacing w:val="-7"/>
          <w:sz w:val="20"/>
        </w:rPr>
        <w:t> </w:t>
      </w:r>
      <w:r>
        <w:rPr>
          <w:spacing w:val="-2"/>
          <w:sz w:val="20"/>
        </w:rPr>
        <w:t>espacio</w:t>
      </w:r>
      <w:r>
        <w:rPr>
          <w:spacing w:val="-6"/>
          <w:sz w:val="20"/>
        </w:rPr>
        <w:t> </w:t>
      </w:r>
      <w:r>
        <w:rPr>
          <w:spacing w:val="-2"/>
          <w:sz w:val="20"/>
        </w:rPr>
        <w:t>público</w:t>
      </w:r>
      <w:r>
        <w:rPr>
          <w:spacing w:val="-6"/>
          <w:sz w:val="20"/>
        </w:rPr>
        <w:t> </w:t>
      </w:r>
      <w:r>
        <w:rPr>
          <w:spacing w:val="-2"/>
          <w:sz w:val="20"/>
        </w:rPr>
        <w:t>y</w:t>
      </w:r>
      <w:r>
        <w:rPr>
          <w:spacing w:val="-5"/>
          <w:sz w:val="20"/>
        </w:rPr>
        <w:t> </w:t>
      </w:r>
      <w:r>
        <w:rPr>
          <w:spacing w:val="-2"/>
          <w:sz w:val="20"/>
        </w:rPr>
        <w:t>el</w:t>
      </w:r>
      <w:r>
        <w:rPr>
          <w:spacing w:val="-7"/>
          <w:sz w:val="20"/>
        </w:rPr>
        <w:t> </w:t>
      </w:r>
      <w:r>
        <w:rPr>
          <w:spacing w:val="-2"/>
          <w:sz w:val="20"/>
        </w:rPr>
        <w:t>trazo</w:t>
      </w:r>
      <w:r>
        <w:rPr>
          <w:spacing w:val="-4"/>
          <w:sz w:val="20"/>
        </w:rPr>
        <w:t> </w:t>
      </w:r>
      <w:r>
        <w:rPr>
          <w:spacing w:val="-2"/>
          <w:sz w:val="20"/>
        </w:rPr>
        <w:t>de</w:t>
      </w:r>
      <w:r>
        <w:rPr>
          <w:spacing w:val="-7"/>
          <w:sz w:val="20"/>
        </w:rPr>
        <w:t> </w:t>
      </w:r>
      <w:r>
        <w:rPr>
          <w:spacing w:val="-2"/>
          <w:sz w:val="20"/>
        </w:rPr>
        <w:t>la</w:t>
      </w:r>
      <w:r>
        <w:rPr>
          <w:spacing w:val="-6"/>
          <w:sz w:val="20"/>
        </w:rPr>
        <w:t> </w:t>
      </w:r>
      <w:r>
        <w:rPr>
          <w:spacing w:val="-2"/>
          <w:sz w:val="20"/>
        </w:rPr>
        <w:t>red</w:t>
      </w:r>
      <w:r>
        <w:rPr>
          <w:spacing w:val="-7"/>
          <w:sz w:val="20"/>
        </w:rPr>
        <w:t> </w:t>
      </w:r>
      <w:r>
        <w:rPr>
          <w:spacing w:val="-2"/>
          <w:sz w:val="20"/>
        </w:rPr>
        <w:t>vial</w:t>
      </w:r>
      <w:r>
        <w:rPr>
          <w:spacing w:val="-7"/>
          <w:sz w:val="20"/>
        </w:rPr>
        <w:t> </w:t>
      </w:r>
      <w:r>
        <w:rPr>
          <w:spacing w:val="-2"/>
          <w:sz w:val="20"/>
        </w:rPr>
        <w:t>de</w:t>
      </w:r>
      <w:r>
        <w:rPr>
          <w:spacing w:val="-7"/>
          <w:sz w:val="20"/>
        </w:rPr>
        <w:t> </w:t>
      </w:r>
      <w:r>
        <w:rPr>
          <w:spacing w:val="-2"/>
          <w:sz w:val="20"/>
        </w:rPr>
        <w:t>manera</w:t>
      </w:r>
      <w:r>
        <w:rPr>
          <w:spacing w:val="-6"/>
          <w:sz w:val="20"/>
        </w:rPr>
        <w:t> </w:t>
      </w:r>
      <w:r>
        <w:rPr>
          <w:spacing w:val="-2"/>
          <w:sz w:val="20"/>
        </w:rPr>
        <w:t>que</w:t>
      </w:r>
      <w:r>
        <w:rPr>
          <w:spacing w:val="-6"/>
          <w:sz w:val="20"/>
        </w:rPr>
        <w:t> </w:t>
      </w:r>
      <w:r>
        <w:rPr>
          <w:spacing w:val="-2"/>
          <w:sz w:val="20"/>
        </w:rPr>
        <w:t>ésta</w:t>
      </w:r>
      <w:r>
        <w:rPr>
          <w:spacing w:val="-7"/>
          <w:sz w:val="20"/>
        </w:rPr>
        <w:t> </w:t>
      </w:r>
      <w:r>
        <w:rPr>
          <w:spacing w:val="-2"/>
          <w:sz w:val="20"/>
        </w:rPr>
        <w:t>garantice </w:t>
      </w:r>
      <w:r>
        <w:rPr>
          <w:sz w:val="20"/>
        </w:rPr>
        <w:t>la conectividad adecuada para la movilidad y su adaptación a diferentes densidades en el tiempo;</w:t>
      </w:r>
    </w:p>
    <w:p>
      <w:pPr>
        <w:pStyle w:val="ListParagraph"/>
        <w:numPr>
          <w:ilvl w:val="0"/>
          <w:numId w:val="74"/>
        </w:numPr>
        <w:tabs>
          <w:tab w:pos="688" w:val="left" w:leader="none"/>
        </w:tabs>
        <w:spacing w:line="240" w:lineRule="auto" w:before="229" w:after="0"/>
        <w:ind w:left="262" w:right="283" w:firstLine="0"/>
        <w:jc w:val="both"/>
        <w:rPr>
          <w:sz w:val="20"/>
        </w:rPr>
      </w:pPr>
      <w:r>
        <w:rPr>
          <w:sz w:val="20"/>
        </w:rPr>
        <w:t>Definir</w:t>
      </w:r>
      <w:r>
        <w:rPr>
          <w:spacing w:val="-8"/>
          <w:sz w:val="20"/>
        </w:rPr>
        <w:t> </w:t>
      </w:r>
      <w:r>
        <w:rPr>
          <w:sz w:val="20"/>
        </w:rPr>
        <w:t>la</w:t>
      </w:r>
      <w:r>
        <w:rPr>
          <w:spacing w:val="-6"/>
          <w:sz w:val="20"/>
        </w:rPr>
        <w:t> </w:t>
      </w:r>
      <w:r>
        <w:rPr>
          <w:sz w:val="20"/>
        </w:rPr>
        <w:t>mejor</w:t>
      </w:r>
      <w:r>
        <w:rPr>
          <w:spacing w:val="-8"/>
          <w:sz w:val="20"/>
        </w:rPr>
        <w:t> </w:t>
      </w:r>
      <w:r>
        <w:rPr>
          <w:sz w:val="20"/>
        </w:rPr>
        <w:t>localización</w:t>
      </w:r>
      <w:r>
        <w:rPr>
          <w:spacing w:val="-7"/>
          <w:sz w:val="20"/>
        </w:rPr>
        <w:t> </w:t>
      </w:r>
      <w:r>
        <w:rPr>
          <w:sz w:val="20"/>
        </w:rPr>
        <w:t>y</w:t>
      </w:r>
      <w:r>
        <w:rPr>
          <w:spacing w:val="-7"/>
          <w:sz w:val="20"/>
        </w:rPr>
        <w:t> </w:t>
      </w:r>
      <w:r>
        <w:rPr>
          <w:sz w:val="20"/>
        </w:rPr>
        <w:t>dimensiones</w:t>
      </w:r>
      <w:r>
        <w:rPr>
          <w:spacing w:val="-8"/>
          <w:sz w:val="20"/>
        </w:rPr>
        <w:t> </w:t>
      </w:r>
      <w:r>
        <w:rPr>
          <w:sz w:val="20"/>
        </w:rPr>
        <w:t>de</w:t>
      </w:r>
      <w:r>
        <w:rPr>
          <w:spacing w:val="-7"/>
          <w:sz w:val="20"/>
        </w:rPr>
        <w:t> </w:t>
      </w:r>
      <w:r>
        <w:rPr>
          <w:sz w:val="20"/>
        </w:rPr>
        <w:t>los</w:t>
      </w:r>
      <w:r>
        <w:rPr>
          <w:spacing w:val="-8"/>
          <w:sz w:val="20"/>
        </w:rPr>
        <w:t> </w:t>
      </w:r>
      <w:r>
        <w:rPr>
          <w:sz w:val="20"/>
        </w:rPr>
        <w:t>equipamientos</w:t>
      </w:r>
      <w:r>
        <w:rPr>
          <w:spacing w:val="-8"/>
          <w:sz w:val="20"/>
        </w:rPr>
        <w:t> </w:t>
      </w:r>
      <w:r>
        <w:rPr>
          <w:sz w:val="20"/>
        </w:rPr>
        <w:t>colectivos</w:t>
      </w:r>
      <w:r>
        <w:rPr>
          <w:spacing w:val="-8"/>
          <w:sz w:val="20"/>
        </w:rPr>
        <w:t> </w:t>
      </w:r>
      <w:r>
        <w:rPr>
          <w:sz w:val="20"/>
        </w:rPr>
        <w:t>de</w:t>
      </w:r>
      <w:r>
        <w:rPr>
          <w:spacing w:val="-8"/>
          <w:sz w:val="20"/>
        </w:rPr>
        <w:t> </w:t>
      </w:r>
      <w:r>
        <w:rPr>
          <w:sz w:val="20"/>
        </w:rPr>
        <w:t>interés</w:t>
      </w:r>
      <w:r>
        <w:rPr>
          <w:spacing w:val="-8"/>
          <w:sz w:val="20"/>
        </w:rPr>
        <w:t> </w:t>
      </w:r>
      <w:r>
        <w:rPr>
          <w:sz w:val="20"/>
        </w:rPr>
        <w:t>público</w:t>
      </w:r>
      <w:r>
        <w:rPr>
          <w:spacing w:val="-8"/>
          <w:sz w:val="20"/>
        </w:rPr>
        <w:t> </w:t>
      </w:r>
      <w:r>
        <w:rPr>
          <w:sz w:val="20"/>
        </w:rPr>
        <w:t>o social</w:t>
      </w:r>
      <w:r>
        <w:rPr>
          <w:spacing w:val="-12"/>
          <w:sz w:val="20"/>
        </w:rPr>
        <w:t> </w:t>
      </w:r>
      <w:r>
        <w:rPr>
          <w:sz w:val="20"/>
        </w:rPr>
        <w:t>en</w:t>
      </w:r>
      <w:r>
        <w:rPr>
          <w:spacing w:val="-14"/>
          <w:sz w:val="20"/>
        </w:rPr>
        <w:t> </w:t>
      </w:r>
      <w:r>
        <w:rPr>
          <w:sz w:val="20"/>
        </w:rPr>
        <w:t>cada</w:t>
      </w:r>
      <w:r>
        <w:rPr>
          <w:spacing w:val="-11"/>
          <w:sz w:val="20"/>
        </w:rPr>
        <w:t> </w:t>
      </w:r>
      <w:r>
        <w:rPr>
          <w:sz w:val="20"/>
        </w:rPr>
        <w:t>barrio</w:t>
      </w:r>
      <w:r>
        <w:rPr>
          <w:spacing w:val="-14"/>
          <w:sz w:val="20"/>
        </w:rPr>
        <w:t> </w:t>
      </w:r>
      <w:r>
        <w:rPr>
          <w:sz w:val="20"/>
        </w:rPr>
        <w:t>con</w:t>
      </w:r>
      <w:r>
        <w:rPr>
          <w:spacing w:val="-11"/>
          <w:sz w:val="20"/>
        </w:rPr>
        <w:t> </w:t>
      </w:r>
      <w:r>
        <w:rPr>
          <w:sz w:val="20"/>
        </w:rPr>
        <w:t>relación</w:t>
      </w:r>
      <w:r>
        <w:rPr>
          <w:spacing w:val="-12"/>
          <w:sz w:val="20"/>
        </w:rPr>
        <w:t> </w:t>
      </w:r>
      <w:r>
        <w:rPr>
          <w:sz w:val="20"/>
        </w:rPr>
        <w:t>a</w:t>
      </w:r>
      <w:r>
        <w:rPr>
          <w:spacing w:val="-11"/>
          <w:sz w:val="20"/>
        </w:rPr>
        <w:t> </w:t>
      </w:r>
      <w:r>
        <w:rPr>
          <w:sz w:val="20"/>
        </w:rPr>
        <w:t>la</w:t>
      </w:r>
      <w:r>
        <w:rPr>
          <w:spacing w:val="-12"/>
          <w:sz w:val="20"/>
        </w:rPr>
        <w:t> </w:t>
      </w:r>
      <w:r>
        <w:rPr>
          <w:sz w:val="20"/>
        </w:rPr>
        <w:t>función</w:t>
      </w:r>
      <w:r>
        <w:rPr>
          <w:spacing w:val="-12"/>
          <w:sz w:val="20"/>
        </w:rPr>
        <w:t> </w:t>
      </w:r>
      <w:r>
        <w:rPr>
          <w:sz w:val="20"/>
        </w:rPr>
        <w:t>que</w:t>
      </w:r>
      <w:r>
        <w:rPr>
          <w:spacing w:val="-14"/>
          <w:sz w:val="20"/>
        </w:rPr>
        <w:t> </w:t>
      </w:r>
      <w:r>
        <w:rPr>
          <w:sz w:val="20"/>
        </w:rPr>
        <w:t>tendrán</w:t>
      </w:r>
      <w:r>
        <w:rPr>
          <w:spacing w:val="-13"/>
          <w:sz w:val="20"/>
        </w:rPr>
        <w:t> </w:t>
      </w:r>
      <w:r>
        <w:rPr>
          <w:sz w:val="20"/>
        </w:rPr>
        <w:t>y</w:t>
      </w:r>
      <w:r>
        <w:rPr>
          <w:spacing w:val="-12"/>
          <w:sz w:val="20"/>
        </w:rPr>
        <w:t> </w:t>
      </w:r>
      <w:r>
        <w:rPr>
          <w:sz w:val="20"/>
        </w:rPr>
        <w:t>a</w:t>
      </w:r>
      <w:r>
        <w:rPr>
          <w:spacing w:val="-12"/>
          <w:sz w:val="20"/>
        </w:rPr>
        <w:t> </w:t>
      </w:r>
      <w:r>
        <w:rPr>
          <w:sz w:val="20"/>
        </w:rPr>
        <w:t>la</w:t>
      </w:r>
      <w:r>
        <w:rPr>
          <w:spacing w:val="-14"/>
          <w:sz w:val="20"/>
        </w:rPr>
        <w:t> </w:t>
      </w:r>
      <w:r>
        <w:rPr>
          <w:sz w:val="20"/>
        </w:rPr>
        <w:t>ubicación</w:t>
      </w:r>
      <w:r>
        <w:rPr>
          <w:spacing w:val="-11"/>
          <w:sz w:val="20"/>
        </w:rPr>
        <w:t> </w:t>
      </w:r>
      <w:r>
        <w:rPr>
          <w:sz w:val="20"/>
        </w:rPr>
        <w:t>de</w:t>
      </w:r>
      <w:r>
        <w:rPr>
          <w:spacing w:val="-12"/>
          <w:sz w:val="20"/>
        </w:rPr>
        <w:t> </w:t>
      </w:r>
      <w:r>
        <w:rPr>
          <w:sz w:val="20"/>
        </w:rPr>
        <w:t>los</w:t>
      </w:r>
      <w:r>
        <w:rPr>
          <w:spacing w:val="-10"/>
          <w:sz w:val="20"/>
        </w:rPr>
        <w:t> </w:t>
      </w:r>
      <w:r>
        <w:rPr>
          <w:sz w:val="20"/>
        </w:rPr>
        <w:t>beneficiarios,</w:t>
      </w:r>
      <w:r>
        <w:rPr>
          <w:spacing w:val="-14"/>
          <w:sz w:val="20"/>
        </w:rPr>
        <w:t> </w:t>
      </w:r>
      <w:r>
        <w:rPr>
          <w:sz w:val="20"/>
        </w:rPr>
        <w:t>como centros docentes y de salud, espacios públicos para la recreación, el deporte y zonas verdes destinados a parques, plazas, jardines o zonas de esparcimiento, respetando las normas y lineamientos vigentes, y</w:t>
      </w:r>
    </w:p>
    <w:p>
      <w:pPr>
        <w:pStyle w:val="BodyText"/>
      </w:pPr>
    </w:p>
    <w:p>
      <w:pPr>
        <w:pStyle w:val="ListParagraph"/>
        <w:numPr>
          <w:ilvl w:val="0"/>
          <w:numId w:val="74"/>
        </w:numPr>
        <w:tabs>
          <w:tab w:pos="688" w:val="left" w:leader="none"/>
        </w:tabs>
        <w:spacing w:line="240" w:lineRule="auto" w:before="0" w:after="0"/>
        <w:ind w:left="262" w:right="284" w:firstLine="0"/>
        <w:jc w:val="both"/>
        <w:rPr>
          <w:sz w:val="20"/>
        </w:rPr>
      </w:pPr>
      <w:r>
        <w:rPr>
          <w:sz w:val="20"/>
        </w:rPr>
        <w:t>Establecer</w:t>
      </w:r>
      <w:r>
        <w:rPr>
          <w:spacing w:val="-11"/>
          <w:sz w:val="20"/>
        </w:rPr>
        <w:t> </w:t>
      </w:r>
      <w:r>
        <w:rPr>
          <w:sz w:val="20"/>
        </w:rPr>
        <w:t>los</w:t>
      </w:r>
      <w:r>
        <w:rPr>
          <w:spacing w:val="-11"/>
          <w:sz w:val="20"/>
        </w:rPr>
        <w:t> </w:t>
      </w:r>
      <w:r>
        <w:rPr>
          <w:sz w:val="20"/>
        </w:rPr>
        <w:t>instrumentos</w:t>
      </w:r>
      <w:r>
        <w:rPr>
          <w:spacing w:val="-11"/>
          <w:sz w:val="20"/>
        </w:rPr>
        <w:t> </w:t>
      </w:r>
      <w:r>
        <w:rPr>
          <w:sz w:val="20"/>
        </w:rPr>
        <w:t>bajo</w:t>
      </w:r>
      <w:r>
        <w:rPr>
          <w:spacing w:val="-12"/>
          <w:sz w:val="20"/>
        </w:rPr>
        <w:t> </w:t>
      </w:r>
      <w:r>
        <w:rPr>
          <w:sz w:val="20"/>
        </w:rPr>
        <w:t>los</w:t>
      </w:r>
      <w:r>
        <w:rPr>
          <w:spacing w:val="-11"/>
          <w:sz w:val="20"/>
        </w:rPr>
        <w:t> </w:t>
      </w:r>
      <w:r>
        <w:rPr>
          <w:sz w:val="20"/>
        </w:rPr>
        <w:t>cuales</w:t>
      </w:r>
      <w:r>
        <w:rPr>
          <w:spacing w:val="-11"/>
          <w:sz w:val="20"/>
        </w:rPr>
        <w:t> </w:t>
      </w:r>
      <w:r>
        <w:rPr>
          <w:sz w:val="20"/>
        </w:rPr>
        <w:t>se</w:t>
      </w:r>
      <w:r>
        <w:rPr>
          <w:spacing w:val="-12"/>
          <w:sz w:val="20"/>
        </w:rPr>
        <w:t> </w:t>
      </w:r>
      <w:r>
        <w:rPr>
          <w:sz w:val="20"/>
        </w:rPr>
        <w:t>podrá</w:t>
      </w:r>
      <w:r>
        <w:rPr>
          <w:spacing w:val="-12"/>
          <w:sz w:val="20"/>
        </w:rPr>
        <w:t> </w:t>
      </w:r>
      <w:r>
        <w:rPr>
          <w:sz w:val="20"/>
        </w:rPr>
        <w:t>autorizar</w:t>
      </w:r>
      <w:r>
        <w:rPr>
          <w:spacing w:val="-11"/>
          <w:sz w:val="20"/>
        </w:rPr>
        <w:t> </w:t>
      </w:r>
      <w:r>
        <w:rPr>
          <w:sz w:val="20"/>
        </w:rPr>
        <w:t>la</w:t>
      </w:r>
      <w:r>
        <w:rPr>
          <w:spacing w:val="-10"/>
          <w:sz w:val="20"/>
        </w:rPr>
        <w:t> </w:t>
      </w:r>
      <w:r>
        <w:rPr>
          <w:sz w:val="20"/>
        </w:rPr>
        <w:t>ocupación</w:t>
      </w:r>
      <w:r>
        <w:rPr>
          <w:spacing w:val="-13"/>
          <w:sz w:val="20"/>
        </w:rPr>
        <w:t> </w:t>
      </w:r>
      <w:r>
        <w:rPr>
          <w:sz w:val="20"/>
        </w:rPr>
        <w:t>del</w:t>
      </w:r>
      <w:r>
        <w:rPr>
          <w:spacing w:val="-11"/>
          <w:sz w:val="20"/>
        </w:rPr>
        <w:t> </w:t>
      </w:r>
      <w:r>
        <w:rPr>
          <w:sz w:val="20"/>
        </w:rPr>
        <w:t>espacio</w:t>
      </w:r>
      <w:r>
        <w:rPr>
          <w:spacing w:val="-12"/>
          <w:sz w:val="20"/>
        </w:rPr>
        <w:t> </w:t>
      </w:r>
      <w:r>
        <w:rPr>
          <w:sz w:val="20"/>
        </w:rPr>
        <w:t>público, que únicamente podrá ser de carácter temporal y uso definido.</w:t>
      </w:r>
    </w:p>
    <w:p>
      <w:pPr>
        <w:pStyle w:val="BodyText"/>
        <w:spacing w:before="2"/>
      </w:pPr>
    </w:p>
    <w:p>
      <w:pPr>
        <w:pStyle w:val="BodyText"/>
        <w:ind w:left="262" w:right="282"/>
      </w:pPr>
      <w:r>
        <w:rPr/>
        <w:t>Los municipios serán los encargados de velar, vigilar y proteger la seguridad, integridad y calidad del espacio público.</w:t>
      </w:r>
    </w:p>
    <w:p>
      <w:pPr>
        <w:pStyle w:val="BodyText"/>
        <w:spacing w:before="229"/>
        <w:ind w:left="262"/>
      </w:pPr>
      <w:r>
        <w:rPr>
          <w:rFonts w:ascii="Arial" w:hAnsi="Arial"/>
          <w:b/>
        </w:rPr>
        <w:t>ARTÍCULO</w:t>
      </w:r>
      <w:r>
        <w:rPr>
          <w:rFonts w:ascii="Arial" w:hAnsi="Arial"/>
          <w:b/>
          <w:spacing w:val="-6"/>
        </w:rPr>
        <w:t> </w:t>
      </w:r>
      <w:r>
        <w:rPr>
          <w:rFonts w:ascii="Arial" w:hAnsi="Arial"/>
          <w:b/>
        </w:rPr>
        <w:t>184.</w:t>
      </w:r>
      <w:r>
        <w:rPr>
          <w:rFonts w:ascii="Arial" w:hAnsi="Arial"/>
          <w:b/>
          <w:spacing w:val="-5"/>
        </w:rPr>
        <w:t> </w:t>
      </w:r>
      <w:r>
        <w:rPr/>
        <w:t>El</w:t>
      </w:r>
      <w:r>
        <w:rPr>
          <w:spacing w:val="-6"/>
        </w:rPr>
        <w:t> </w:t>
      </w:r>
      <w:r>
        <w:rPr/>
        <w:t>uso,</w:t>
      </w:r>
      <w:r>
        <w:rPr>
          <w:spacing w:val="-7"/>
        </w:rPr>
        <w:t> </w:t>
      </w:r>
      <w:r>
        <w:rPr/>
        <w:t>aprovechamiento</w:t>
      </w:r>
      <w:r>
        <w:rPr>
          <w:spacing w:val="-6"/>
        </w:rPr>
        <w:t> </w:t>
      </w:r>
      <w:r>
        <w:rPr/>
        <w:t>y</w:t>
      </w:r>
      <w:r>
        <w:rPr>
          <w:spacing w:val="-6"/>
        </w:rPr>
        <w:t> </w:t>
      </w:r>
      <w:r>
        <w:rPr/>
        <w:t>custodia</w:t>
      </w:r>
      <w:r>
        <w:rPr>
          <w:spacing w:val="-5"/>
        </w:rPr>
        <w:t> </w:t>
      </w:r>
      <w:r>
        <w:rPr/>
        <w:t>del</w:t>
      </w:r>
      <w:r>
        <w:rPr>
          <w:spacing w:val="-8"/>
        </w:rPr>
        <w:t> </w:t>
      </w:r>
      <w:r>
        <w:rPr/>
        <w:t>espacio</w:t>
      </w:r>
      <w:r>
        <w:rPr>
          <w:spacing w:val="-5"/>
        </w:rPr>
        <w:t> </w:t>
      </w:r>
      <w:r>
        <w:rPr/>
        <w:t>público</w:t>
      </w:r>
      <w:r>
        <w:rPr>
          <w:spacing w:val="-6"/>
        </w:rPr>
        <w:t> </w:t>
      </w:r>
      <w:r>
        <w:rPr/>
        <w:t>se</w:t>
      </w:r>
      <w:r>
        <w:rPr>
          <w:spacing w:val="-7"/>
        </w:rPr>
        <w:t> </w:t>
      </w:r>
      <w:r>
        <w:rPr/>
        <w:t>sujetará</w:t>
      </w:r>
      <w:r>
        <w:rPr>
          <w:spacing w:val="-7"/>
        </w:rPr>
        <w:t> </w:t>
      </w:r>
      <w:r>
        <w:rPr/>
        <w:t>a</w:t>
      </w:r>
      <w:r>
        <w:rPr>
          <w:spacing w:val="-7"/>
        </w:rPr>
        <w:t> </w:t>
      </w:r>
      <w:r>
        <w:rPr/>
        <w:t>lo</w:t>
      </w:r>
      <w:r>
        <w:rPr>
          <w:spacing w:val="-7"/>
        </w:rPr>
        <w:t> </w:t>
      </w:r>
      <w:r>
        <w:rPr>
          <w:spacing w:val="-2"/>
        </w:rPr>
        <w:t>siguiente:</w:t>
      </w:r>
    </w:p>
    <w:p>
      <w:pPr>
        <w:pStyle w:val="BodyText"/>
        <w:spacing w:before="1"/>
      </w:pPr>
    </w:p>
    <w:p>
      <w:pPr>
        <w:pStyle w:val="ListParagraph"/>
        <w:numPr>
          <w:ilvl w:val="0"/>
          <w:numId w:val="75"/>
        </w:numPr>
        <w:tabs>
          <w:tab w:pos="543" w:val="left" w:leader="none"/>
        </w:tabs>
        <w:spacing w:line="240" w:lineRule="auto" w:before="0" w:after="0"/>
        <w:ind w:left="543" w:right="0" w:hanging="281"/>
        <w:jc w:val="both"/>
        <w:rPr>
          <w:sz w:val="20"/>
        </w:rPr>
      </w:pPr>
      <w:r>
        <w:rPr>
          <w:sz w:val="20"/>
        </w:rPr>
        <w:t>Prevalecerá</w:t>
      </w:r>
      <w:r>
        <w:rPr>
          <w:spacing w:val="-8"/>
          <w:sz w:val="20"/>
        </w:rPr>
        <w:t> </w:t>
      </w:r>
      <w:r>
        <w:rPr>
          <w:sz w:val="20"/>
        </w:rPr>
        <w:t>el</w:t>
      </w:r>
      <w:r>
        <w:rPr>
          <w:spacing w:val="-9"/>
          <w:sz w:val="20"/>
        </w:rPr>
        <w:t> </w:t>
      </w:r>
      <w:r>
        <w:rPr>
          <w:sz w:val="20"/>
        </w:rPr>
        <w:t>interés</w:t>
      </w:r>
      <w:r>
        <w:rPr>
          <w:spacing w:val="-5"/>
          <w:sz w:val="20"/>
        </w:rPr>
        <w:t> </w:t>
      </w:r>
      <w:r>
        <w:rPr>
          <w:sz w:val="20"/>
        </w:rPr>
        <w:t>general</w:t>
      </w:r>
      <w:r>
        <w:rPr>
          <w:spacing w:val="-9"/>
          <w:sz w:val="20"/>
        </w:rPr>
        <w:t> </w:t>
      </w:r>
      <w:r>
        <w:rPr>
          <w:sz w:val="20"/>
        </w:rPr>
        <w:t>sobre</w:t>
      </w:r>
      <w:r>
        <w:rPr>
          <w:spacing w:val="-6"/>
          <w:sz w:val="20"/>
        </w:rPr>
        <w:t> </w:t>
      </w:r>
      <w:r>
        <w:rPr>
          <w:sz w:val="20"/>
        </w:rPr>
        <w:t>el</w:t>
      </w:r>
      <w:r>
        <w:rPr>
          <w:spacing w:val="-7"/>
          <w:sz w:val="20"/>
        </w:rPr>
        <w:t> </w:t>
      </w:r>
      <w:r>
        <w:rPr>
          <w:spacing w:val="-2"/>
          <w:sz w:val="20"/>
        </w:rPr>
        <w:t>particular;</w:t>
      </w:r>
    </w:p>
    <w:p>
      <w:pPr>
        <w:pStyle w:val="BodyText"/>
      </w:pPr>
    </w:p>
    <w:p>
      <w:pPr>
        <w:pStyle w:val="ListParagraph"/>
        <w:numPr>
          <w:ilvl w:val="0"/>
          <w:numId w:val="75"/>
        </w:numPr>
        <w:tabs>
          <w:tab w:pos="543" w:val="left" w:leader="none"/>
        </w:tabs>
        <w:spacing w:line="240" w:lineRule="auto" w:before="1" w:after="0"/>
        <w:ind w:left="543" w:right="0" w:hanging="281"/>
        <w:jc w:val="both"/>
        <w:rPr>
          <w:sz w:val="20"/>
        </w:rPr>
      </w:pPr>
      <w:r>
        <w:rPr>
          <w:sz w:val="20"/>
        </w:rPr>
        <w:t>Se</w:t>
      </w:r>
      <w:r>
        <w:rPr>
          <w:spacing w:val="-6"/>
          <w:sz w:val="20"/>
        </w:rPr>
        <w:t> </w:t>
      </w:r>
      <w:r>
        <w:rPr>
          <w:sz w:val="20"/>
        </w:rPr>
        <w:t>deberá</w:t>
      </w:r>
      <w:r>
        <w:rPr>
          <w:spacing w:val="-5"/>
          <w:sz w:val="20"/>
        </w:rPr>
        <w:t> </w:t>
      </w:r>
      <w:r>
        <w:rPr>
          <w:sz w:val="20"/>
        </w:rPr>
        <w:t>promover</w:t>
      </w:r>
      <w:r>
        <w:rPr>
          <w:spacing w:val="-5"/>
          <w:sz w:val="20"/>
        </w:rPr>
        <w:t> </w:t>
      </w:r>
      <w:r>
        <w:rPr>
          <w:sz w:val="20"/>
        </w:rPr>
        <w:t>la</w:t>
      </w:r>
      <w:r>
        <w:rPr>
          <w:spacing w:val="-5"/>
          <w:sz w:val="20"/>
        </w:rPr>
        <w:t> </w:t>
      </w:r>
      <w:r>
        <w:rPr>
          <w:sz w:val="20"/>
        </w:rPr>
        <w:t>equidad</w:t>
      </w:r>
      <w:r>
        <w:rPr>
          <w:spacing w:val="-5"/>
          <w:sz w:val="20"/>
        </w:rPr>
        <w:t> </w:t>
      </w:r>
      <w:r>
        <w:rPr>
          <w:sz w:val="20"/>
        </w:rPr>
        <w:t>en</w:t>
      </w:r>
      <w:r>
        <w:rPr>
          <w:spacing w:val="-3"/>
          <w:sz w:val="20"/>
        </w:rPr>
        <w:t> </w:t>
      </w:r>
      <w:r>
        <w:rPr>
          <w:sz w:val="20"/>
        </w:rPr>
        <w:t>su</w:t>
      </w:r>
      <w:r>
        <w:rPr>
          <w:spacing w:val="-5"/>
          <w:sz w:val="20"/>
        </w:rPr>
        <w:t> </w:t>
      </w:r>
      <w:r>
        <w:rPr>
          <w:sz w:val="20"/>
        </w:rPr>
        <w:t>uso</w:t>
      </w:r>
      <w:r>
        <w:rPr>
          <w:spacing w:val="-5"/>
          <w:sz w:val="20"/>
        </w:rPr>
        <w:t> </w:t>
      </w:r>
      <w:r>
        <w:rPr>
          <w:sz w:val="20"/>
        </w:rPr>
        <w:t>y</w:t>
      </w:r>
      <w:r>
        <w:rPr>
          <w:spacing w:val="-4"/>
          <w:sz w:val="20"/>
        </w:rPr>
        <w:t> </w:t>
      </w:r>
      <w:r>
        <w:rPr>
          <w:spacing w:val="-2"/>
          <w:sz w:val="20"/>
        </w:rPr>
        <w:t>disfrute;</w:t>
      </w:r>
    </w:p>
    <w:p>
      <w:pPr>
        <w:pStyle w:val="ListParagraph"/>
        <w:numPr>
          <w:ilvl w:val="0"/>
          <w:numId w:val="75"/>
        </w:numPr>
        <w:tabs>
          <w:tab w:pos="597" w:val="left" w:leader="none"/>
        </w:tabs>
        <w:spacing w:line="240" w:lineRule="auto" w:before="228" w:after="0"/>
        <w:ind w:left="262" w:right="287" w:firstLine="0"/>
        <w:jc w:val="both"/>
        <w:rPr>
          <w:sz w:val="20"/>
        </w:rPr>
      </w:pPr>
      <w:r>
        <w:rPr>
          <w:sz w:val="20"/>
        </w:rPr>
        <w:t>Se deberá asegurar la accesibilidad universal y libre circulación de todas las personas, promoviendo espacios públicos que sirvan como transición y conexión entre barrios y fomenten la pluralidad y la cohesión social;</w:t>
      </w:r>
    </w:p>
    <w:p>
      <w:pPr>
        <w:pStyle w:val="BodyText"/>
        <w:spacing w:before="2"/>
      </w:pPr>
    </w:p>
    <w:p>
      <w:pPr>
        <w:pStyle w:val="ListParagraph"/>
        <w:numPr>
          <w:ilvl w:val="0"/>
          <w:numId w:val="75"/>
        </w:numPr>
        <w:tabs>
          <w:tab w:pos="545" w:val="left" w:leader="none"/>
        </w:tabs>
        <w:spacing w:line="240" w:lineRule="auto" w:before="0" w:after="0"/>
        <w:ind w:left="545" w:right="0" w:hanging="283"/>
        <w:jc w:val="both"/>
        <w:rPr>
          <w:sz w:val="20"/>
        </w:rPr>
      </w:pPr>
      <w:r>
        <w:rPr>
          <w:sz w:val="20"/>
        </w:rPr>
        <w:t>En</w:t>
      </w:r>
      <w:r>
        <w:rPr>
          <w:spacing w:val="-7"/>
          <w:sz w:val="20"/>
        </w:rPr>
        <w:t> </w:t>
      </w:r>
      <w:r>
        <w:rPr>
          <w:sz w:val="20"/>
        </w:rPr>
        <w:t>el</w:t>
      </w:r>
      <w:r>
        <w:rPr>
          <w:spacing w:val="-7"/>
          <w:sz w:val="20"/>
        </w:rPr>
        <w:t> </w:t>
      </w:r>
      <w:r>
        <w:rPr>
          <w:sz w:val="20"/>
        </w:rPr>
        <w:t>caso</w:t>
      </w:r>
      <w:r>
        <w:rPr>
          <w:spacing w:val="-5"/>
          <w:sz w:val="20"/>
        </w:rPr>
        <w:t> </w:t>
      </w:r>
      <w:r>
        <w:rPr>
          <w:sz w:val="20"/>
        </w:rPr>
        <w:t>de</w:t>
      </w:r>
      <w:r>
        <w:rPr>
          <w:spacing w:val="-6"/>
          <w:sz w:val="20"/>
        </w:rPr>
        <w:t> </w:t>
      </w:r>
      <w:r>
        <w:rPr>
          <w:sz w:val="20"/>
        </w:rPr>
        <w:t>los</w:t>
      </w:r>
      <w:r>
        <w:rPr>
          <w:spacing w:val="-6"/>
          <w:sz w:val="20"/>
        </w:rPr>
        <w:t> </w:t>
      </w:r>
      <w:r>
        <w:rPr>
          <w:sz w:val="20"/>
        </w:rPr>
        <w:t>bienes</w:t>
      </w:r>
      <w:r>
        <w:rPr>
          <w:spacing w:val="-5"/>
          <w:sz w:val="20"/>
        </w:rPr>
        <w:t> </w:t>
      </w:r>
      <w:r>
        <w:rPr>
          <w:sz w:val="20"/>
        </w:rPr>
        <w:t>de</w:t>
      </w:r>
      <w:r>
        <w:rPr>
          <w:spacing w:val="-5"/>
          <w:sz w:val="20"/>
        </w:rPr>
        <w:t> </w:t>
      </w:r>
      <w:r>
        <w:rPr>
          <w:sz w:val="20"/>
        </w:rPr>
        <w:t>dominio</w:t>
      </w:r>
      <w:r>
        <w:rPr>
          <w:spacing w:val="-5"/>
          <w:sz w:val="20"/>
        </w:rPr>
        <w:t> </w:t>
      </w:r>
      <w:r>
        <w:rPr>
          <w:sz w:val="20"/>
        </w:rPr>
        <w:t>público,</w:t>
      </w:r>
      <w:r>
        <w:rPr>
          <w:spacing w:val="-4"/>
          <w:sz w:val="20"/>
        </w:rPr>
        <w:t> </w:t>
      </w:r>
      <w:r>
        <w:rPr>
          <w:sz w:val="20"/>
        </w:rPr>
        <w:t>éstos</w:t>
      </w:r>
      <w:r>
        <w:rPr>
          <w:spacing w:val="-6"/>
          <w:sz w:val="20"/>
        </w:rPr>
        <w:t> </w:t>
      </w:r>
      <w:r>
        <w:rPr>
          <w:sz w:val="20"/>
        </w:rPr>
        <w:t>son</w:t>
      </w:r>
      <w:r>
        <w:rPr>
          <w:spacing w:val="-5"/>
          <w:sz w:val="20"/>
        </w:rPr>
        <w:t> </w:t>
      </w:r>
      <w:r>
        <w:rPr>
          <w:sz w:val="20"/>
        </w:rPr>
        <w:t>inalienables</w:t>
      </w:r>
      <w:r>
        <w:rPr>
          <w:spacing w:val="-5"/>
          <w:sz w:val="20"/>
        </w:rPr>
        <w:t> </w:t>
      </w:r>
      <w:r>
        <w:rPr>
          <w:sz w:val="20"/>
        </w:rPr>
        <w:t>e</w:t>
      </w:r>
      <w:r>
        <w:rPr>
          <w:spacing w:val="-5"/>
          <w:sz w:val="20"/>
        </w:rPr>
        <w:t> </w:t>
      </w:r>
      <w:r>
        <w:rPr>
          <w:spacing w:val="-2"/>
          <w:sz w:val="20"/>
        </w:rPr>
        <w:t>inembargables;</w:t>
      </w:r>
    </w:p>
    <w:p>
      <w:pPr>
        <w:pStyle w:val="ListParagraph"/>
        <w:numPr>
          <w:ilvl w:val="0"/>
          <w:numId w:val="75"/>
        </w:numPr>
        <w:tabs>
          <w:tab w:pos="544" w:val="left" w:leader="none"/>
        </w:tabs>
        <w:spacing w:line="240" w:lineRule="auto" w:before="228" w:after="0"/>
        <w:ind w:left="262" w:right="283" w:firstLine="0"/>
        <w:jc w:val="both"/>
        <w:rPr>
          <w:sz w:val="20"/>
        </w:rPr>
      </w:pPr>
      <w:r>
        <w:rPr>
          <w:sz w:val="20"/>
        </w:rPr>
        <w:t>Se</w:t>
      </w:r>
      <w:r>
        <w:rPr>
          <w:spacing w:val="-8"/>
          <w:sz w:val="20"/>
        </w:rPr>
        <w:t> </w:t>
      </w:r>
      <w:r>
        <w:rPr>
          <w:sz w:val="20"/>
        </w:rPr>
        <w:t>procurará</w:t>
      </w:r>
      <w:r>
        <w:rPr>
          <w:spacing w:val="-5"/>
          <w:sz w:val="20"/>
        </w:rPr>
        <w:t> </w:t>
      </w:r>
      <w:r>
        <w:rPr>
          <w:sz w:val="20"/>
        </w:rPr>
        <w:t>mantener</w:t>
      </w:r>
      <w:r>
        <w:rPr>
          <w:spacing w:val="-7"/>
          <w:sz w:val="20"/>
        </w:rPr>
        <w:t> </w:t>
      </w:r>
      <w:r>
        <w:rPr>
          <w:sz w:val="20"/>
        </w:rPr>
        <w:t>el</w:t>
      </w:r>
      <w:r>
        <w:rPr>
          <w:spacing w:val="-8"/>
          <w:sz w:val="20"/>
        </w:rPr>
        <w:t> </w:t>
      </w:r>
      <w:r>
        <w:rPr>
          <w:sz w:val="20"/>
        </w:rPr>
        <w:t>equilibrio</w:t>
      </w:r>
      <w:r>
        <w:rPr>
          <w:spacing w:val="-8"/>
          <w:sz w:val="20"/>
        </w:rPr>
        <w:t> </w:t>
      </w:r>
      <w:r>
        <w:rPr>
          <w:sz w:val="20"/>
        </w:rPr>
        <w:t>entre</w:t>
      </w:r>
      <w:r>
        <w:rPr>
          <w:spacing w:val="-7"/>
          <w:sz w:val="20"/>
        </w:rPr>
        <w:t> </w:t>
      </w:r>
      <w:r>
        <w:rPr>
          <w:sz w:val="20"/>
        </w:rPr>
        <w:t>las</w:t>
      </w:r>
      <w:r>
        <w:rPr>
          <w:spacing w:val="-7"/>
          <w:sz w:val="20"/>
        </w:rPr>
        <w:t> </w:t>
      </w:r>
      <w:r>
        <w:rPr>
          <w:sz w:val="20"/>
        </w:rPr>
        <w:t>áreas</w:t>
      </w:r>
      <w:r>
        <w:rPr>
          <w:spacing w:val="-6"/>
          <w:sz w:val="20"/>
        </w:rPr>
        <w:t> </w:t>
      </w:r>
      <w:r>
        <w:rPr>
          <w:sz w:val="20"/>
        </w:rPr>
        <w:t>verdes</w:t>
      </w:r>
      <w:r>
        <w:rPr>
          <w:spacing w:val="-6"/>
          <w:sz w:val="20"/>
        </w:rPr>
        <w:t> </w:t>
      </w:r>
      <w:r>
        <w:rPr>
          <w:sz w:val="20"/>
        </w:rPr>
        <w:t>y</w:t>
      </w:r>
      <w:r>
        <w:rPr>
          <w:spacing w:val="-6"/>
          <w:sz w:val="20"/>
        </w:rPr>
        <w:t> </w:t>
      </w:r>
      <w:r>
        <w:rPr>
          <w:sz w:val="20"/>
        </w:rPr>
        <w:t>la</w:t>
      </w:r>
      <w:r>
        <w:rPr>
          <w:spacing w:val="-8"/>
          <w:sz w:val="20"/>
        </w:rPr>
        <w:t> </w:t>
      </w:r>
      <w:r>
        <w:rPr>
          <w:sz w:val="20"/>
        </w:rPr>
        <w:t>construcción</w:t>
      </w:r>
      <w:r>
        <w:rPr>
          <w:spacing w:val="-8"/>
          <w:sz w:val="20"/>
        </w:rPr>
        <w:t> </w:t>
      </w:r>
      <w:r>
        <w:rPr>
          <w:sz w:val="20"/>
        </w:rPr>
        <w:t>de</w:t>
      </w:r>
      <w:r>
        <w:rPr>
          <w:spacing w:val="-6"/>
          <w:sz w:val="20"/>
        </w:rPr>
        <w:t> </w:t>
      </w:r>
      <w:r>
        <w:rPr>
          <w:sz w:val="20"/>
        </w:rPr>
        <w:t>la</w:t>
      </w:r>
      <w:r>
        <w:rPr>
          <w:spacing w:val="-8"/>
          <w:sz w:val="20"/>
        </w:rPr>
        <w:t> </w:t>
      </w:r>
      <w:r>
        <w:rPr>
          <w:sz w:val="20"/>
        </w:rPr>
        <w:t>infraestructura, tomando como base de cálculo las normas nacionales y estatales en la materia;</w:t>
      </w:r>
    </w:p>
    <w:p>
      <w:pPr>
        <w:pStyle w:val="BodyText"/>
        <w:spacing w:before="1"/>
      </w:pPr>
    </w:p>
    <w:p>
      <w:pPr>
        <w:pStyle w:val="ListParagraph"/>
        <w:numPr>
          <w:ilvl w:val="0"/>
          <w:numId w:val="75"/>
        </w:numPr>
        <w:tabs>
          <w:tab w:pos="688" w:val="left" w:leader="none"/>
        </w:tabs>
        <w:spacing w:line="240" w:lineRule="auto" w:before="0" w:after="0"/>
        <w:ind w:left="262" w:right="281" w:firstLine="0"/>
        <w:jc w:val="both"/>
        <w:rPr>
          <w:sz w:val="20"/>
        </w:rPr>
      </w:pPr>
      <w:r>
        <w:rPr>
          <w:sz w:val="20"/>
        </w:rPr>
        <w:t>Se</w:t>
      </w:r>
      <w:r>
        <w:rPr>
          <w:spacing w:val="-4"/>
          <w:sz w:val="20"/>
        </w:rPr>
        <w:t> </w:t>
      </w:r>
      <w:r>
        <w:rPr>
          <w:sz w:val="20"/>
        </w:rPr>
        <w:t>deberá</w:t>
      </w:r>
      <w:r>
        <w:rPr>
          <w:spacing w:val="-4"/>
          <w:sz w:val="20"/>
        </w:rPr>
        <w:t> </w:t>
      </w:r>
      <w:r>
        <w:rPr>
          <w:sz w:val="20"/>
        </w:rPr>
        <w:t>utilizar</w:t>
      </w:r>
      <w:r>
        <w:rPr>
          <w:spacing w:val="-4"/>
          <w:sz w:val="20"/>
        </w:rPr>
        <w:t> </w:t>
      </w:r>
      <w:r>
        <w:rPr>
          <w:sz w:val="20"/>
        </w:rPr>
        <w:t>una</w:t>
      </w:r>
      <w:r>
        <w:rPr>
          <w:spacing w:val="-4"/>
          <w:sz w:val="20"/>
        </w:rPr>
        <w:t> </w:t>
      </w:r>
      <w:r>
        <w:rPr>
          <w:sz w:val="20"/>
        </w:rPr>
        <w:t>paleta</w:t>
      </w:r>
      <w:r>
        <w:rPr>
          <w:spacing w:val="-4"/>
          <w:sz w:val="20"/>
        </w:rPr>
        <w:t> </w:t>
      </w:r>
      <w:r>
        <w:rPr>
          <w:sz w:val="20"/>
        </w:rPr>
        <w:t>vegetal</w:t>
      </w:r>
      <w:r>
        <w:rPr>
          <w:spacing w:val="-5"/>
          <w:sz w:val="20"/>
        </w:rPr>
        <w:t> </w:t>
      </w:r>
      <w:r>
        <w:rPr>
          <w:sz w:val="20"/>
        </w:rPr>
        <w:t>que</w:t>
      </w:r>
      <w:r>
        <w:rPr>
          <w:spacing w:val="-4"/>
          <w:sz w:val="20"/>
        </w:rPr>
        <w:t> </w:t>
      </w:r>
      <w:r>
        <w:rPr>
          <w:sz w:val="20"/>
        </w:rPr>
        <w:t>priorice</w:t>
      </w:r>
      <w:r>
        <w:rPr>
          <w:spacing w:val="-4"/>
          <w:sz w:val="20"/>
        </w:rPr>
        <w:t> </w:t>
      </w:r>
      <w:r>
        <w:rPr>
          <w:sz w:val="20"/>
        </w:rPr>
        <w:t>la</w:t>
      </w:r>
      <w:r>
        <w:rPr>
          <w:spacing w:val="-4"/>
          <w:sz w:val="20"/>
        </w:rPr>
        <w:t> </w:t>
      </w:r>
      <w:r>
        <w:rPr>
          <w:sz w:val="20"/>
        </w:rPr>
        <w:t>utilización</w:t>
      </w:r>
      <w:r>
        <w:rPr>
          <w:spacing w:val="-3"/>
          <w:sz w:val="20"/>
        </w:rPr>
        <w:t> </w:t>
      </w:r>
      <w:r>
        <w:rPr>
          <w:sz w:val="20"/>
        </w:rPr>
        <w:t>de</w:t>
      </w:r>
      <w:r>
        <w:rPr>
          <w:spacing w:val="-5"/>
          <w:sz w:val="20"/>
        </w:rPr>
        <w:t> </w:t>
      </w:r>
      <w:r>
        <w:rPr>
          <w:sz w:val="20"/>
        </w:rPr>
        <w:t>especies</w:t>
      </w:r>
      <w:r>
        <w:rPr>
          <w:spacing w:val="-3"/>
          <w:sz w:val="20"/>
        </w:rPr>
        <w:t> </w:t>
      </w:r>
      <w:r>
        <w:rPr>
          <w:sz w:val="20"/>
        </w:rPr>
        <w:t>nativas</w:t>
      </w:r>
      <w:r>
        <w:rPr>
          <w:spacing w:val="-1"/>
          <w:sz w:val="20"/>
        </w:rPr>
        <w:t> </w:t>
      </w:r>
      <w:r>
        <w:rPr>
          <w:sz w:val="20"/>
        </w:rPr>
        <w:t>de</w:t>
      </w:r>
      <w:r>
        <w:rPr>
          <w:spacing w:val="-5"/>
          <w:sz w:val="20"/>
        </w:rPr>
        <w:t> </w:t>
      </w:r>
      <w:r>
        <w:rPr>
          <w:sz w:val="20"/>
        </w:rPr>
        <w:t>la</w:t>
      </w:r>
      <w:r>
        <w:rPr>
          <w:spacing w:val="-4"/>
          <w:sz w:val="20"/>
        </w:rPr>
        <w:t> </w:t>
      </w:r>
      <w:r>
        <w:rPr>
          <w:sz w:val="20"/>
        </w:rPr>
        <w:t>región ecológica respectiva, entendiendo por ésta, el listado de plantas seleccionadas acorde a criterios ambientales y paisajistas;</w:t>
      </w:r>
    </w:p>
    <w:p>
      <w:pPr>
        <w:pStyle w:val="BodyText"/>
      </w:pPr>
    </w:p>
    <w:p>
      <w:pPr>
        <w:pStyle w:val="ListParagraph"/>
        <w:numPr>
          <w:ilvl w:val="0"/>
          <w:numId w:val="75"/>
        </w:numPr>
        <w:tabs>
          <w:tab w:pos="688" w:val="left" w:leader="none"/>
        </w:tabs>
        <w:spacing w:line="240" w:lineRule="auto" w:before="0" w:after="0"/>
        <w:ind w:left="262" w:right="286" w:firstLine="0"/>
        <w:jc w:val="both"/>
        <w:rPr>
          <w:sz w:val="20"/>
        </w:rPr>
      </w:pPr>
      <w:r>
        <w:rPr>
          <w:sz w:val="20"/>
        </w:rPr>
        <w:t>Los espacios públicos originalmente destinados a la recreación, el deporte y zonas verdes destinados a parques, jardines o zonas de esparcimiento, no podrán ser destinados a otro uso;</w:t>
      </w:r>
    </w:p>
    <w:p>
      <w:pPr>
        <w:pStyle w:val="ListParagraph"/>
        <w:numPr>
          <w:ilvl w:val="0"/>
          <w:numId w:val="75"/>
        </w:numPr>
        <w:tabs>
          <w:tab w:pos="827" w:val="left" w:leader="none"/>
        </w:tabs>
        <w:spacing w:line="240" w:lineRule="auto" w:before="229" w:after="0"/>
        <w:ind w:left="262" w:right="288" w:firstLine="0"/>
        <w:jc w:val="both"/>
        <w:rPr>
          <w:sz w:val="20"/>
        </w:rPr>
      </w:pPr>
      <w:r>
        <w:rPr>
          <w:sz w:val="20"/>
        </w:rPr>
        <w:t>Los</w:t>
      </w:r>
      <w:r>
        <w:rPr>
          <w:spacing w:val="-3"/>
          <w:sz w:val="20"/>
        </w:rPr>
        <w:t> </w:t>
      </w:r>
      <w:r>
        <w:rPr>
          <w:sz w:val="20"/>
        </w:rPr>
        <w:t>instrumentos</w:t>
      </w:r>
      <w:r>
        <w:rPr>
          <w:spacing w:val="-1"/>
          <w:sz w:val="20"/>
        </w:rPr>
        <w:t> </w:t>
      </w:r>
      <w:r>
        <w:rPr>
          <w:sz w:val="20"/>
        </w:rPr>
        <w:t>en</w:t>
      </w:r>
      <w:r>
        <w:rPr>
          <w:spacing w:val="-2"/>
          <w:sz w:val="20"/>
        </w:rPr>
        <w:t> </w:t>
      </w:r>
      <w:r>
        <w:rPr>
          <w:sz w:val="20"/>
        </w:rPr>
        <w:t>los</w:t>
      </w:r>
      <w:r>
        <w:rPr>
          <w:spacing w:val="-3"/>
          <w:sz w:val="20"/>
        </w:rPr>
        <w:t> </w:t>
      </w:r>
      <w:r>
        <w:rPr>
          <w:sz w:val="20"/>
        </w:rPr>
        <w:t>que</w:t>
      </w:r>
      <w:r>
        <w:rPr>
          <w:spacing w:val="-4"/>
          <w:sz w:val="20"/>
        </w:rPr>
        <w:t> </w:t>
      </w:r>
      <w:r>
        <w:rPr>
          <w:sz w:val="20"/>
        </w:rPr>
        <w:t>se</w:t>
      </w:r>
      <w:r>
        <w:rPr>
          <w:spacing w:val="-2"/>
          <w:sz w:val="20"/>
        </w:rPr>
        <w:t> </w:t>
      </w:r>
      <w:r>
        <w:rPr>
          <w:sz w:val="20"/>
        </w:rPr>
        <w:t>autorice</w:t>
      </w:r>
      <w:r>
        <w:rPr>
          <w:spacing w:val="-2"/>
          <w:sz w:val="20"/>
        </w:rPr>
        <w:t> </w:t>
      </w:r>
      <w:r>
        <w:rPr>
          <w:sz w:val="20"/>
        </w:rPr>
        <w:t>la</w:t>
      </w:r>
      <w:r>
        <w:rPr>
          <w:spacing w:val="-2"/>
          <w:sz w:val="20"/>
        </w:rPr>
        <w:t> </w:t>
      </w:r>
      <w:r>
        <w:rPr>
          <w:sz w:val="20"/>
        </w:rPr>
        <w:t>ocupación</w:t>
      </w:r>
      <w:r>
        <w:rPr>
          <w:spacing w:val="-2"/>
          <w:sz w:val="20"/>
        </w:rPr>
        <w:t> </w:t>
      </w:r>
      <w:r>
        <w:rPr>
          <w:sz w:val="20"/>
        </w:rPr>
        <w:t>del</w:t>
      </w:r>
      <w:r>
        <w:rPr>
          <w:spacing w:val="-3"/>
          <w:sz w:val="20"/>
        </w:rPr>
        <w:t> </w:t>
      </w:r>
      <w:r>
        <w:rPr>
          <w:sz w:val="20"/>
        </w:rPr>
        <w:t>Espacio</w:t>
      </w:r>
      <w:r>
        <w:rPr>
          <w:spacing w:val="-2"/>
          <w:sz w:val="20"/>
        </w:rPr>
        <w:t> </w:t>
      </w:r>
      <w:r>
        <w:rPr>
          <w:sz w:val="20"/>
        </w:rPr>
        <w:t>Público</w:t>
      </w:r>
      <w:r>
        <w:rPr>
          <w:spacing w:val="-2"/>
          <w:sz w:val="20"/>
        </w:rPr>
        <w:t> </w:t>
      </w:r>
      <w:r>
        <w:rPr>
          <w:sz w:val="20"/>
        </w:rPr>
        <w:t>solo</w:t>
      </w:r>
      <w:r>
        <w:rPr>
          <w:spacing w:val="-4"/>
          <w:sz w:val="20"/>
        </w:rPr>
        <w:t> </w:t>
      </w:r>
      <w:r>
        <w:rPr>
          <w:sz w:val="20"/>
        </w:rPr>
        <w:t>confiere</w:t>
      </w:r>
      <w:r>
        <w:rPr>
          <w:spacing w:val="-2"/>
          <w:sz w:val="20"/>
        </w:rPr>
        <w:t> </w:t>
      </w:r>
      <w:r>
        <w:rPr>
          <w:sz w:val="20"/>
        </w:rPr>
        <w:t>a</w:t>
      </w:r>
      <w:r>
        <w:rPr>
          <w:spacing w:val="-2"/>
          <w:sz w:val="20"/>
        </w:rPr>
        <w:t> </w:t>
      </w:r>
      <w:r>
        <w:rPr>
          <w:sz w:val="20"/>
        </w:rPr>
        <w:t>sus titulares el derecho sobre la ocupación temporal y para el uso definido;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75"/>
        </w:numPr>
        <w:tabs>
          <w:tab w:pos="827" w:val="left" w:leader="none"/>
        </w:tabs>
        <w:spacing w:line="240" w:lineRule="auto" w:before="0" w:after="0"/>
        <w:ind w:left="262" w:right="286" w:firstLine="0"/>
        <w:jc w:val="both"/>
        <w:rPr>
          <w:sz w:val="20"/>
        </w:rPr>
      </w:pPr>
      <w:r>
        <w:rPr>
          <w:sz w:val="20"/>
        </w:rPr>
        <w:t>Se promoverá la adecuación de los reglamentos municipales que garanticen comodidad y seguridad en el</w:t>
      </w:r>
      <w:r>
        <w:rPr>
          <w:spacing w:val="-1"/>
          <w:sz w:val="20"/>
        </w:rPr>
        <w:t> </w:t>
      </w:r>
      <w:r>
        <w:rPr>
          <w:sz w:val="20"/>
        </w:rPr>
        <w:t>espacio público, sobre todo para los peatones, con una equidad entre los espacios edificables y los no edificables;</w:t>
      </w:r>
    </w:p>
    <w:p>
      <w:pPr>
        <w:pStyle w:val="BodyText"/>
        <w:spacing w:before="1"/>
      </w:pPr>
    </w:p>
    <w:p>
      <w:pPr>
        <w:pStyle w:val="ListParagraph"/>
        <w:numPr>
          <w:ilvl w:val="0"/>
          <w:numId w:val="75"/>
        </w:numPr>
        <w:tabs>
          <w:tab w:pos="544" w:val="left" w:leader="none"/>
        </w:tabs>
        <w:spacing w:line="240" w:lineRule="auto" w:before="1" w:after="0"/>
        <w:ind w:left="262" w:right="287" w:firstLine="0"/>
        <w:jc w:val="both"/>
        <w:rPr>
          <w:sz w:val="20"/>
        </w:rPr>
      </w:pPr>
      <w:r>
        <w:rPr>
          <w:sz w:val="20"/>
        </w:rPr>
        <w:t>Se</w:t>
      </w:r>
      <w:r>
        <w:rPr>
          <w:spacing w:val="-10"/>
          <w:sz w:val="20"/>
        </w:rPr>
        <w:t> </w:t>
      </w:r>
      <w:r>
        <w:rPr>
          <w:sz w:val="20"/>
        </w:rPr>
        <w:t>deberán</w:t>
      </w:r>
      <w:r>
        <w:rPr>
          <w:spacing w:val="-11"/>
          <w:sz w:val="20"/>
        </w:rPr>
        <w:t> </w:t>
      </w:r>
      <w:r>
        <w:rPr>
          <w:sz w:val="20"/>
        </w:rPr>
        <w:t>definir</w:t>
      </w:r>
      <w:r>
        <w:rPr>
          <w:spacing w:val="-9"/>
          <w:sz w:val="20"/>
        </w:rPr>
        <w:t> </w:t>
      </w:r>
      <w:r>
        <w:rPr>
          <w:sz w:val="20"/>
        </w:rPr>
        <w:t>los</w:t>
      </w:r>
      <w:r>
        <w:rPr>
          <w:spacing w:val="-9"/>
          <w:sz w:val="20"/>
        </w:rPr>
        <w:t> </w:t>
      </w:r>
      <w:r>
        <w:rPr>
          <w:sz w:val="20"/>
        </w:rPr>
        <w:t>instrumentos,</w:t>
      </w:r>
      <w:r>
        <w:rPr>
          <w:spacing w:val="-10"/>
          <w:sz w:val="20"/>
        </w:rPr>
        <w:t> </w:t>
      </w:r>
      <w:r>
        <w:rPr>
          <w:sz w:val="20"/>
        </w:rPr>
        <w:t>públicos</w:t>
      </w:r>
      <w:r>
        <w:rPr>
          <w:spacing w:val="-9"/>
          <w:sz w:val="20"/>
        </w:rPr>
        <w:t> </w:t>
      </w:r>
      <w:r>
        <w:rPr>
          <w:sz w:val="20"/>
        </w:rPr>
        <w:t>o</w:t>
      </w:r>
      <w:r>
        <w:rPr>
          <w:spacing w:val="-10"/>
          <w:sz w:val="20"/>
        </w:rPr>
        <w:t> </w:t>
      </w:r>
      <w:r>
        <w:rPr>
          <w:sz w:val="20"/>
        </w:rPr>
        <w:t>privados,</w:t>
      </w:r>
      <w:r>
        <w:rPr>
          <w:spacing w:val="-12"/>
          <w:sz w:val="20"/>
        </w:rPr>
        <w:t> </w:t>
      </w:r>
      <w:r>
        <w:rPr>
          <w:sz w:val="20"/>
        </w:rPr>
        <w:t>que</w:t>
      </w:r>
      <w:r>
        <w:rPr>
          <w:spacing w:val="-10"/>
          <w:sz w:val="20"/>
        </w:rPr>
        <w:t> </w:t>
      </w:r>
      <w:r>
        <w:rPr>
          <w:sz w:val="20"/>
        </w:rPr>
        <w:t>promuevan</w:t>
      </w:r>
      <w:r>
        <w:rPr>
          <w:spacing w:val="-11"/>
          <w:sz w:val="20"/>
        </w:rPr>
        <w:t> </w:t>
      </w:r>
      <w:r>
        <w:rPr>
          <w:sz w:val="20"/>
        </w:rPr>
        <w:t>la</w:t>
      </w:r>
      <w:r>
        <w:rPr>
          <w:spacing w:val="-12"/>
          <w:sz w:val="20"/>
        </w:rPr>
        <w:t> </w:t>
      </w:r>
      <w:r>
        <w:rPr>
          <w:sz w:val="20"/>
        </w:rPr>
        <w:t>creación</w:t>
      </w:r>
      <w:r>
        <w:rPr>
          <w:spacing w:val="-11"/>
          <w:sz w:val="20"/>
        </w:rPr>
        <w:t> </w:t>
      </w:r>
      <w:r>
        <w:rPr>
          <w:sz w:val="20"/>
        </w:rPr>
        <w:t>de</w:t>
      </w:r>
      <w:r>
        <w:rPr>
          <w:spacing w:val="-11"/>
          <w:sz w:val="20"/>
        </w:rPr>
        <w:t> </w:t>
      </w:r>
      <w:r>
        <w:rPr>
          <w:sz w:val="20"/>
        </w:rPr>
        <w:t>espacios públicos de dimensiones adecuadas para integrar barrios, de tal manera que su ubicación y beneficios sean accesibles a distancias peatonales para sus habitantes;</w:t>
      </w:r>
    </w:p>
    <w:p>
      <w:pPr>
        <w:pStyle w:val="ListParagraph"/>
        <w:numPr>
          <w:ilvl w:val="0"/>
          <w:numId w:val="75"/>
        </w:numPr>
        <w:tabs>
          <w:tab w:pos="688" w:val="left" w:leader="none"/>
        </w:tabs>
        <w:spacing w:line="240" w:lineRule="auto" w:before="229" w:after="0"/>
        <w:ind w:left="262" w:right="283" w:firstLine="0"/>
        <w:jc w:val="both"/>
        <w:rPr>
          <w:sz w:val="20"/>
        </w:rPr>
      </w:pPr>
      <w:r>
        <w:rPr>
          <w:sz w:val="20"/>
        </w:rPr>
        <w:t>Se establecerán los lineamientos para que el diseño y traza de vialidades en los Centros de Población</w:t>
      </w:r>
      <w:r>
        <w:rPr>
          <w:spacing w:val="-9"/>
          <w:sz w:val="20"/>
        </w:rPr>
        <w:t> </w:t>
      </w:r>
      <w:r>
        <w:rPr>
          <w:sz w:val="20"/>
        </w:rPr>
        <w:t>asegure</w:t>
      </w:r>
      <w:r>
        <w:rPr>
          <w:spacing w:val="-10"/>
          <w:sz w:val="20"/>
        </w:rPr>
        <w:t> </w:t>
      </w:r>
      <w:r>
        <w:rPr>
          <w:sz w:val="20"/>
        </w:rPr>
        <w:t>su</w:t>
      </w:r>
      <w:r>
        <w:rPr>
          <w:spacing w:val="-9"/>
          <w:sz w:val="20"/>
        </w:rPr>
        <w:t> </w:t>
      </w:r>
      <w:r>
        <w:rPr>
          <w:sz w:val="20"/>
        </w:rPr>
        <w:t>continuidad,</w:t>
      </w:r>
      <w:r>
        <w:rPr>
          <w:spacing w:val="-9"/>
          <w:sz w:val="20"/>
        </w:rPr>
        <w:t> </w:t>
      </w:r>
      <w:r>
        <w:rPr>
          <w:sz w:val="20"/>
        </w:rPr>
        <w:t>procurando</w:t>
      </w:r>
      <w:r>
        <w:rPr>
          <w:spacing w:val="-9"/>
          <w:sz w:val="20"/>
        </w:rPr>
        <w:t> </w:t>
      </w:r>
      <w:r>
        <w:rPr>
          <w:sz w:val="20"/>
        </w:rPr>
        <w:t>una</w:t>
      </w:r>
      <w:r>
        <w:rPr>
          <w:spacing w:val="-11"/>
          <w:sz w:val="20"/>
        </w:rPr>
        <w:t> </w:t>
      </w:r>
      <w:r>
        <w:rPr>
          <w:sz w:val="20"/>
        </w:rPr>
        <w:t>cantidad</w:t>
      </w:r>
      <w:r>
        <w:rPr>
          <w:spacing w:val="-9"/>
          <w:sz w:val="20"/>
        </w:rPr>
        <w:t> </w:t>
      </w:r>
      <w:r>
        <w:rPr>
          <w:sz w:val="20"/>
        </w:rPr>
        <w:t>mínima</w:t>
      </w:r>
      <w:r>
        <w:rPr>
          <w:spacing w:val="-9"/>
          <w:sz w:val="20"/>
        </w:rPr>
        <w:t> </w:t>
      </w:r>
      <w:r>
        <w:rPr>
          <w:sz w:val="20"/>
        </w:rPr>
        <w:t>de</w:t>
      </w:r>
      <w:r>
        <w:rPr>
          <w:spacing w:val="-9"/>
          <w:sz w:val="20"/>
        </w:rPr>
        <w:t> </w:t>
      </w:r>
      <w:r>
        <w:rPr>
          <w:sz w:val="20"/>
        </w:rPr>
        <w:t>intersecciones,</w:t>
      </w:r>
      <w:r>
        <w:rPr>
          <w:spacing w:val="-11"/>
          <w:sz w:val="20"/>
        </w:rPr>
        <w:t> </w:t>
      </w:r>
      <w:r>
        <w:rPr>
          <w:sz w:val="20"/>
        </w:rPr>
        <w:t>que</w:t>
      </w:r>
      <w:r>
        <w:rPr>
          <w:spacing w:val="-11"/>
          <w:sz w:val="20"/>
        </w:rPr>
        <w:t> </w:t>
      </w:r>
      <w:r>
        <w:rPr>
          <w:sz w:val="20"/>
        </w:rPr>
        <w:t>fomente la Movilidad, de acuerdo a las características topográficas y culturales de cada región;</w:t>
      </w:r>
    </w:p>
    <w:p>
      <w:pPr>
        <w:pStyle w:val="BodyText"/>
      </w:pPr>
    </w:p>
    <w:p>
      <w:pPr>
        <w:pStyle w:val="ListParagraph"/>
        <w:numPr>
          <w:ilvl w:val="0"/>
          <w:numId w:val="75"/>
        </w:numPr>
        <w:tabs>
          <w:tab w:pos="688" w:val="left" w:leader="none"/>
        </w:tabs>
        <w:spacing w:line="240" w:lineRule="auto" w:before="0" w:after="0"/>
        <w:ind w:left="262" w:right="284" w:firstLine="0"/>
        <w:jc w:val="both"/>
        <w:rPr>
          <w:sz w:val="20"/>
        </w:rPr>
      </w:pPr>
      <w:r>
        <w:rPr>
          <w:sz w:val="20"/>
        </w:rPr>
        <w:t>Se deberá asegurar la preservación y restauración del equilibrio ecológico y la protección al ambiente, la calidad formal e imagen urbana, la Conservación de los monumentos y el paisaje y mobiliario urbano, y</w:t>
      </w:r>
    </w:p>
    <w:p>
      <w:pPr>
        <w:pStyle w:val="BodyText"/>
        <w:spacing w:before="1"/>
      </w:pPr>
    </w:p>
    <w:p>
      <w:pPr>
        <w:pStyle w:val="ListParagraph"/>
        <w:numPr>
          <w:ilvl w:val="0"/>
          <w:numId w:val="75"/>
        </w:numPr>
        <w:tabs>
          <w:tab w:pos="827" w:val="left" w:leader="none"/>
        </w:tabs>
        <w:spacing w:line="240" w:lineRule="auto" w:before="0" w:after="0"/>
        <w:ind w:left="262" w:right="287" w:firstLine="0"/>
        <w:jc w:val="both"/>
        <w:rPr>
          <w:sz w:val="20"/>
        </w:rPr>
      </w:pPr>
      <w:r>
        <w:rPr>
          <w:sz w:val="20"/>
        </w:rPr>
        <w:t>En caso de tener que utilizar suelo destinado a espacio público para otros fines, la autoridad tendrá que justificar sus acciones para dicho cambio de destino, además de sustituirlo por otro de características, ubicación y dimensiones similares dentro de la misma zona.</w:t>
      </w:r>
    </w:p>
    <w:p>
      <w:pPr>
        <w:pStyle w:val="BodyText"/>
      </w:pPr>
    </w:p>
    <w:p>
      <w:pPr>
        <w:pStyle w:val="BodyText"/>
        <w:ind w:left="262" w:right="283"/>
        <w:jc w:val="both"/>
      </w:pPr>
      <w:r>
        <w:rPr/>
        <w:t>Los</w:t>
      </w:r>
      <w:r>
        <w:rPr>
          <w:spacing w:val="-10"/>
        </w:rPr>
        <w:t> </w:t>
      </w:r>
      <w:r>
        <w:rPr/>
        <w:t>municipios</w:t>
      </w:r>
      <w:r>
        <w:rPr>
          <w:spacing w:val="-10"/>
        </w:rPr>
        <w:t> </w:t>
      </w:r>
      <w:r>
        <w:rPr/>
        <w:t>vigilarán</w:t>
      </w:r>
      <w:r>
        <w:rPr>
          <w:spacing w:val="-11"/>
        </w:rPr>
        <w:t> </w:t>
      </w:r>
      <w:r>
        <w:rPr/>
        <w:t>y</w:t>
      </w:r>
      <w:r>
        <w:rPr>
          <w:spacing w:val="-10"/>
        </w:rPr>
        <w:t> </w:t>
      </w:r>
      <w:r>
        <w:rPr/>
        <w:t>protegerán</w:t>
      </w:r>
      <w:r>
        <w:rPr>
          <w:spacing w:val="-11"/>
        </w:rPr>
        <w:t> </w:t>
      </w:r>
      <w:r>
        <w:rPr/>
        <w:t>la</w:t>
      </w:r>
      <w:r>
        <w:rPr>
          <w:spacing w:val="-11"/>
        </w:rPr>
        <w:t> </w:t>
      </w:r>
      <w:r>
        <w:rPr/>
        <w:t>seguridad,</w:t>
      </w:r>
      <w:r>
        <w:rPr>
          <w:spacing w:val="-8"/>
        </w:rPr>
        <w:t> </w:t>
      </w:r>
      <w:r>
        <w:rPr/>
        <w:t>integridad,</w:t>
      </w:r>
      <w:r>
        <w:rPr>
          <w:spacing w:val="-11"/>
        </w:rPr>
        <w:t> </w:t>
      </w:r>
      <w:r>
        <w:rPr/>
        <w:t>calidad,</w:t>
      </w:r>
      <w:r>
        <w:rPr>
          <w:spacing w:val="-11"/>
        </w:rPr>
        <w:t> </w:t>
      </w:r>
      <w:r>
        <w:rPr/>
        <w:t>mantenimiento</w:t>
      </w:r>
      <w:r>
        <w:rPr>
          <w:spacing w:val="-11"/>
        </w:rPr>
        <w:t> </w:t>
      </w:r>
      <w:r>
        <w:rPr/>
        <w:t>y</w:t>
      </w:r>
      <w:r>
        <w:rPr>
          <w:spacing w:val="-10"/>
        </w:rPr>
        <w:t> </w:t>
      </w:r>
      <w:r>
        <w:rPr/>
        <w:t>promoverán la gestión del Espacio Público con cobertura suficiente.</w:t>
      </w:r>
    </w:p>
    <w:p>
      <w:pPr>
        <w:pStyle w:val="BodyText"/>
        <w:spacing w:before="229"/>
        <w:ind w:left="262" w:right="284"/>
        <w:jc w:val="both"/>
      </w:pPr>
      <w:r>
        <w:rPr/>
        <w:t>Los municipios podrán celebrar convenios, con la participación que corresponda al Ejecutivo del Estado,</w:t>
      </w:r>
      <w:r>
        <w:rPr>
          <w:spacing w:val="-4"/>
        </w:rPr>
        <w:t> </w:t>
      </w:r>
      <w:r>
        <w:rPr/>
        <w:t>para</w:t>
      </w:r>
      <w:r>
        <w:rPr>
          <w:spacing w:val="-4"/>
        </w:rPr>
        <w:t> </w:t>
      </w:r>
      <w:r>
        <w:rPr/>
        <w:t>la</w:t>
      </w:r>
      <w:r>
        <w:rPr>
          <w:spacing w:val="-4"/>
        </w:rPr>
        <w:t> </w:t>
      </w:r>
      <w:r>
        <w:rPr/>
        <w:t>protección</w:t>
      </w:r>
      <w:r>
        <w:rPr>
          <w:spacing w:val="-4"/>
        </w:rPr>
        <w:t> </w:t>
      </w:r>
      <w:r>
        <w:rPr/>
        <w:t>y</w:t>
      </w:r>
      <w:r>
        <w:rPr>
          <w:spacing w:val="-6"/>
        </w:rPr>
        <w:t> </w:t>
      </w:r>
      <w:r>
        <w:rPr/>
        <w:t>ornato</w:t>
      </w:r>
      <w:r>
        <w:rPr>
          <w:spacing w:val="-4"/>
        </w:rPr>
        <w:t> </w:t>
      </w:r>
      <w:r>
        <w:rPr/>
        <w:t>de</w:t>
      </w:r>
      <w:r>
        <w:rPr>
          <w:spacing w:val="-5"/>
        </w:rPr>
        <w:t> </w:t>
      </w:r>
      <w:r>
        <w:rPr/>
        <w:t>las</w:t>
      </w:r>
      <w:r>
        <w:rPr>
          <w:spacing w:val="-3"/>
        </w:rPr>
        <w:t> </w:t>
      </w:r>
      <w:r>
        <w:rPr/>
        <w:t>zonas</w:t>
      </w:r>
      <w:r>
        <w:rPr>
          <w:spacing w:val="-3"/>
        </w:rPr>
        <w:t> </w:t>
      </w:r>
      <w:r>
        <w:rPr/>
        <w:t>federales</w:t>
      </w:r>
      <w:r>
        <w:rPr>
          <w:spacing w:val="-3"/>
        </w:rPr>
        <w:t> </w:t>
      </w:r>
      <w:r>
        <w:rPr/>
        <w:t>de</w:t>
      </w:r>
      <w:r>
        <w:rPr>
          <w:spacing w:val="-5"/>
        </w:rPr>
        <w:t> </w:t>
      </w:r>
      <w:r>
        <w:rPr/>
        <w:t>cauces</w:t>
      </w:r>
      <w:r>
        <w:rPr>
          <w:spacing w:val="-3"/>
        </w:rPr>
        <w:t> </w:t>
      </w:r>
      <w:r>
        <w:rPr/>
        <w:t>y</w:t>
      </w:r>
      <w:r>
        <w:rPr>
          <w:spacing w:val="-5"/>
        </w:rPr>
        <w:t> </w:t>
      </w:r>
      <w:r>
        <w:rPr/>
        <w:t>cuerpos</w:t>
      </w:r>
      <w:r>
        <w:rPr>
          <w:spacing w:val="-6"/>
        </w:rPr>
        <w:t> </w:t>
      </w:r>
      <w:r>
        <w:rPr/>
        <w:t>de</w:t>
      </w:r>
      <w:r>
        <w:rPr>
          <w:spacing w:val="-7"/>
        </w:rPr>
        <w:t> </w:t>
      </w:r>
      <w:r>
        <w:rPr/>
        <w:t>agua</w:t>
      </w:r>
      <w:r>
        <w:rPr>
          <w:spacing w:val="-5"/>
        </w:rPr>
        <w:t> </w:t>
      </w:r>
      <w:r>
        <w:rPr/>
        <w:t>nacionales que se ubiquen dentro de los centros de población.</w:t>
      </w:r>
    </w:p>
    <w:p>
      <w:pPr>
        <w:pStyle w:val="BodyText"/>
        <w:spacing w:before="1"/>
      </w:pPr>
    </w:p>
    <w:p>
      <w:pPr>
        <w:pStyle w:val="BodyText"/>
        <w:spacing w:before="1"/>
        <w:ind w:left="262" w:right="287"/>
        <w:jc w:val="both"/>
      </w:pPr>
      <w:r>
        <w:rPr>
          <w:rFonts w:ascii="Arial" w:hAnsi="Arial"/>
          <w:b/>
        </w:rPr>
        <w:t>ARTÍCULO 185. </w:t>
      </w:r>
      <w:r>
        <w:rPr/>
        <w:t>Todos los habitantes tienen el derecho de denunciar, ante las autoridades correspondientes, cualquier acción que atente contra la integridad y condiciones de uso, goce y disfrute del Espacio Público.</w:t>
      </w:r>
    </w:p>
    <w:p>
      <w:pPr>
        <w:pStyle w:val="BodyText"/>
        <w:spacing w:before="229"/>
        <w:ind w:left="262" w:right="275"/>
        <w:jc w:val="both"/>
      </w:pPr>
      <w:r>
        <w:rPr>
          <w:rFonts w:ascii="Arial" w:hAnsi="Arial"/>
          <w:b/>
        </w:rPr>
        <w:t>ARTÍCULO 186. </w:t>
      </w:r>
      <w:r>
        <w:rPr/>
        <w:t>Los programas que implementen acciones de densificación, establecerán una dotación suficiente de espacios públicos por habitante y conectividad con base en las normas aplicables, por medio de la adquisición y habilitación de espacios públicos adicionales a los existentes dentro del polígono sujeto a densificación.</w:t>
      </w:r>
    </w:p>
    <w:p>
      <w:pPr>
        <w:pStyle w:val="BodyText"/>
        <w:spacing w:before="230"/>
        <w:ind w:left="262" w:right="278"/>
        <w:jc w:val="both"/>
      </w:pPr>
      <w:r>
        <w:rPr>
          <w:rFonts w:ascii="Arial" w:hAnsi="Arial"/>
          <w:b/>
        </w:rPr>
        <w:t>ARTÍCULO 187. </w:t>
      </w:r>
      <w:r>
        <w:rPr/>
        <w:t>Los predios que los fraccionadores y desarrolladores estén obligados a ceder al municipio para ser destinados a áreas verdes y equipamientos, no podrán ser residuales, estar ubicados</w:t>
      </w:r>
      <w:r>
        <w:rPr>
          <w:spacing w:val="-4"/>
        </w:rPr>
        <w:t> </w:t>
      </w:r>
      <w:r>
        <w:rPr/>
        <w:t>en</w:t>
      </w:r>
      <w:r>
        <w:rPr>
          <w:spacing w:val="-5"/>
        </w:rPr>
        <w:t> </w:t>
      </w:r>
      <w:r>
        <w:rPr/>
        <w:t>zonas</w:t>
      </w:r>
      <w:r>
        <w:rPr>
          <w:spacing w:val="-4"/>
        </w:rPr>
        <w:t> </w:t>
      </w:r>
      <w:r>
        <w:rPr/>
        <w:t>inundables</w:t>
      </w:r>
      <w:r>
        <w:rPr>
          <w:spacing w:val="-4"/>
        </w:rPr>
        <w:t> </w:t>
      </w:r>
      <w:r>
        <w:rPr/>
        <w:t>o</w:t>
      </w:r>
      <w:r>
        <w:rPr>
          <w:spacing w:val="-3"/>
        </w:rPr>
        <w:t> </w:t>
      </w:r>
      <w:r>
        <w:rPr/>
        <w:t>de</w:t>
      </w:r>
      <w:r>
        <w:rPr>
          <w:spacing w:val="-6"/>
        </w:rPr>
        <w:t> </w:t>
      </w:r>
      <w:r>
        <w:rPr/>
        <w:t>riesgos,</w:t>
      </w:r>
      <w:r>
        <w:rPr>
          <w:spacing w:val="-3"/>
        </w:rPr>
        <w:t> </w:t>
      </w:r>
      <w:r>
        <w:rPr/>
        <w:t>o</w:t>
      </w:r>
      <w:r>
        <w:rPr>
          <w:spacing w:val="-5"/>
        </w:rPr>
        <w:t> </w:t>
      </w:r>
      <w:r>
        <w:rPr/>
        <w:t>presentar</w:t>
      </w:r>
      <w:r>
        <w:rPr>
          <w:spacing w:val="-5"/>
        </w:rPr>
        <w:t> </w:t>
      </w:r>
      <w:r>
        <w:rPr/>
        <w:t>condiciones</w:t>
      </w:r>
      <w:r>
        <w:rPr>
          <w:spacing w:val="-4"/>
        </w:rPr>
        <w:t> </w:t>
      </w:r>
      <w:r>
        <w:rPr/>
        <w:t>topográficas</w:t>
      </w:r>
      <w:r>
        <w:rPr>
          <w:spacing w:val="-2"/>
        </w:rPr>
        <w:t> </w:t>
      </w:r>
      <w:r>
        <w:rPr/>
        <w:t>más complicadas que el promedio del fraccionamiento o conjunto urbano.</w:t>
      </w:r>
    </w:p>
    <w:p>
      <w:pPr>
        <w:pStyle w:val="BodyText"/>
      </w:pPr>
    </w:p>
    <w:p>
      <w:pPr>
        <w:pStyle w:val="BodyText"/>
        <w:ind w:left="262" w:right="278"/>
        <w:jc w:val="both"/>
      </w:pPr>
      <w:r>
        <w:rPr>
          <w:rFonts w:ascii="Arial" w:hAnsi="Arial"/>
          <w:b/>
        </w:rPr>
        <w:t>ARTÍCULO 188. </w:t>
      </w:r>
      <w:r>
        <w:rPr/>
        <w:t>Las autoridades estatales y municipales otorgarán en las acciones derivadas de los programas de ordenamiento territorial y desarrollo urbano, las facilidades urbanísticas y arquitectónicas en la infraestructura, equipamiento y servicio, acordes a las necesidades de las personas con discapacidad, aplicando las disposiciones normativas generales de diseño e imagen urbana, emitidas a favor de dichas personas.</w:t>
      </w:r>
    </w:p>
    <w:p>
      <w:pPr>
        <w:pStyle w:val="BodyText"/>
      </w:pPr>
    </w:p>
    <w:p>
      <w:pPr>
        <w:pStyle w:val="BodyText"/>
        <w:ind w:left="262" w:right="283"/>
        <w:jc w:val="both"/>
      </w:pPr>
      <w:r>
        <w:rPr>
          <w:rFonts w:ascii="Arial" w:hAnsi="Arial"/>
          <w:b/>
        </w:rPr>
        <w:t>ARTÍCULO 189. </w:t>
      </w:r>
      <w:r>
        <w:rPr/>
        <w:t>En cualquier recinto en que se presenten espectáculos públicos, los administradores</w:t>
      </w:r>
      <w:r>
        <w:rPr>
          <w:spacing w:val="40"/>
        </w:rPr>
        <w:t> </w:t>
      </w:r>
      <w:r>
        <w:rPr/>
        <w:t>y</w:t>
      </w:r>
      <w:r>
        <w:rPr>
          <w:spacing w:val="40"/>
        </w:rPr>
        <w:t> </w:t>
      </w:r>
      <w:r>
        <w:rPr/>
        <w:t>organizadores</w:t>
      </w:r>
      <w:r>
        <w:rPr>
          <w:spacing w:val="40"/>
        </w:rPr>
        <w:t> </w:t>
      </w:r>
      <w:r>
        <w:rPr/>
        <w:t>deberán</w:t>
      </w:r>
      <w:r>
        <w:rPr>
          <w:spacing w:val="40"/>
        </w:rPr>
        <w:t> </w:t>
      </w:r>
      <w:r>
        <w:rPr/>
        <w:t>establecer</w:t>
      </w:r>
      <w:r>
        <w:rPr>
          <w:spacing w:val="40"/>
        </w:rPr>
        <w:t> </w:t>
      </w:r>
      <w:r>
        <w:rPr/>
        <w:t>espacios</w:t>
      </w:r>
      <w:r>
        <w:rPr>
          <w:spacing w:val="40"/>
        </w:rPr>
        <w:t> </w:t>
      </w:r>
      <w:r>
        <w:rPr/>
        <w:t>reservados</w:t>
      </w:r>
      <w:r>
        <w:rPr>
          <w:spacing w:val="40"/>
        </w:rPr>
        <w:t> </w:t>
      </w:r>
      <w:r>
        <w:rPr/>
        <w:t>para</w:t>
      </w:r>
      <w:r>
        <w:rPr>
          <w:spacing w:val="40"/>
        </w:rPr>
        <w:t> </w:t>
      </w:r>
      <w:r>
        <w:rPr/>
        <w:t>personas</w:t>
      </w:r>
      <w:r>
        <w:rPr>
          <w:spacing w:val="40"/>
        </w:rPr>
        <w:t> </w:t>
      </w:r>
      <w:r>
        <w:rPr/>
        <w:t>con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discapacidad, que no puedan ocupar las butacas o asientos ordinarios, de conformidad con las disposiciones jurídicas aplicables.</w:t>
      </w:r>
    </w:p>
    <w:p>
      <w:pPr>
        <w:pStyle w:val="BodyText"/>
        <w:spacing w:before="1"/>
      </w:pPr>
    </w:p>
    <w:p>
      <w:pPr>
        <w:pStyle w:val="Heading1"/>
        <w:spacing w:line="460" w:lineRule="atLeast" w:before="1"/>
        <w:ind w:left="2448" w:right="2470" w:firstLine="900"/>
        <w:jc w:val="left"/>
      </w:pPr>
      <w:r>
        <w:rPr/>
        <w:t>TÍTULO DÉCIMO SEGUNDO GESTIÓN</w:t>
      </w:r>
      <w:r>
        <w:rPr>
          <w:spacing w:val="-8"/>
        </w:rPr>
        <w:t> </w:t>
      </w:r>
      <w:r>
        <w:rPr/>
        <w:t>E</w:t>
      </w:r>
      <w:r>
        <w:rPr>
          <w:spacing w:val="-10"/>
        </w:rPr>
        <w:t> </w:t>
      </w:r>
      <w:r>
        <w:rPr/>
        <w:t>INSTRUMENTOS</w:t>
      </w:r>
      <w:r>
        <w:rPr>
          <w:spacing w:val="-10"/>
        </w:rPr>
        <w:t> </w:t>
      </w:r>
      <w:r>
        <w:rPr/>
        <w:t>DE</w:t>
      </w:r>
      <w:r>
        <w:rPr>
          <w:spacing w:val="-8"/>
        </w:rPr>
        <w:t> </w:t>
      </w:r>
      <w:r>
        <w:rPr/>
        <w:t>SUELO</w:t>
      </w:r>
      <w:r>
        <w:rPr>
          <w:spacing w:val="-9"/>
        </w:rPr>
        <w:t> </w:t>
      </w:r>
      <w:r>
        <w:rPr/>
        <w:t>PARA</w:t>
      </w:r>
    </w:p>
    <w:p>
      <w:pPr>
        <w:spacing w:line="229" w:lineRule="exact" w:before="0"/>
        <w:ind w:left="0" w:right="17" w:firstLine="0"/>
        <w:jc w:val="center"/>
        <w:rPr>
          <w:rFonts w:ascii="Arial"/>
          <w:b/>
          <w:sz w:val="20"/>
        </w:rPr>
      </w:pPr>
      <w:r>
        <w:rPr>
          <w:rFonts w:ascii="Arial"/>
          <w:b/>
          <w:sz w:val="20"/>
        </w:rPr>
        <w:t>EL</w:t>
      </w:r>
      <w:r>
        <w:rPr>
          <w:rFonts w:ascii="Arial"/>
          <w:b/>
          <w:spacing w:val="-8"/>
          <w:sz w:val="20"/>
        </w:rPr>
        <w:t> </w:t>
      </w:r>
      <w:r>
        <w:rPr>
          <w:rFonts w:ascii="Arial"/>
          <w:b/>
          <w:sz w:val="20"/>
        </w:rPr>
        <w:t>DESARROLLO</w:t>
      </w:r>
      <w:r>
        <w:rPr>
          <w:rFonts w:ascii="Arial"/>
          <w:b/>
          <w:spacing w:val="-8"/>
          <w:sz w:val="20"/>
        </w:rPr>
        <w:t> </w:t>
      </w:r>
      <w:r>
        <w:rPr>
          <w:rFonts w:ascii="Arial"/>
          <w:b/>
          <w:spacing w:val="-2"/>
          <w:sz w:val="20"/>
        </w:rPr>
        <w:t>URBANO</w:t>
      </w:r>
    </w:p>
    <w:p>
      <w:pPr>
        <w:pStyle w:val="BodyText"/>
        <w:rPr>
          <w:rFonts w:ascii="Arial"/>
          <w:b/>
        </w:rPr>
      </w:pPr>
    </w:p>
    <w:p>
      <w:pPr>
        <w:pStyle w:val="BodyText"/>
        <w:spacing w:before="1"/>
        <w:rPr>
          <w:rFonts w:ascii="Arial"/>
          <w:b/>
        </w:rPr>
      </w:pPr>
    </w:p>
    <w:p>
      <w:pPr>
        <w:pStyle w:val="Heading2"/>
      </w:pPr>
      <w:r>
        <w:rPr/>
        <w:t>Capítulo</w:t>
      </w:r>
      <w:r>
        <w:rPr>
          <w:spacing w:val="-8"/>
        </w:rPr>
        <w:t> </w:t>
      </w:r>
      <w:r>
        <w:rPr>
          <w:spacing w:val="-10"/>
        </w:rPr>
        <w:t>I</w:t>
      </w:r>
    </w:p>
    <w:p>
      <w:pPr>
        <w:spacing w:before="229"/>
        <w:ind w:left="2156" w:right="2174" w:firstLine="0"/>
        <w:jc w:val="center"/>
        <w:rPr>
          <w:rFonts w:ascii="Arial"/>
          <w:b/>
          <w:sz w:val="20"/>
        </w:rPr>
      </w:pPr>
      <w:r>
        <w:rPr>
          <w:rFonts w:ascii="Arial"/>
          <w:b/>
          <w:sz w:val="20"/>
        </w:rPr>
        <w:t>Sistema</w:t>
      </w:r>
      <w:r>
        <w:rPr>
          <w:rFonts w:ascii="Arial"/>
          <w:b/>
          <w:spacing w:val="-8"/>
          <w:sz w:val="20"/>
        </w:rPr>
        <w:t> </w:t>
      </w:r>
      <w:r>
        <w:rPr>
          <w:rFonts w:ascii="Arial"/>
          <w:b/>
          <w:sz w:val="20"/>
        </w:rPr>
        <w:t>Estatal</w:t>
      </w:r>
      <w:r>
        <w:rPr>
          <w:rFonts w:ascii="Arial"/>
          <w:b/>
          <w:spacing w:val="-8"/>
          <w:sz w:val="20"/>
        </w:rPr>
        <w:t> </w:t>
      </w:r>
      <w:r>
        <w:rPr>
          <w:rFonts w:ascii="Arial"/>
          <w:b/>
          <w:sz w:val="20"/>
        </w:rPr>
        <w:t>de</w:t>
      </w:r>
      <w:r>
        <w:rPr>
          <w:rFonts w:ascii="Arial"/>
          <w:b/>
          <w:spacing w:val="-8"/>
          <w:sz w:val="20"/>
        </w:rPr>
        <w:t> </w:t>
      </w:r>
      <w:r>
        <w:rPr>
          <w:rFonts w:ascii="Arial"/>
          <w:b/>
          <w:sz w:val="20"/>
        </w:rPr>
        <w:t>Suelo</w:t>
      </w:r>
      <w:r>
        <w:rPr>
          <w:rFonts w:ascii="Arial"/>
          <w:b/>
          <w:spacing w:val="-5"/>
          <w:sz w:val="20"/>
        </w:rPr>
        <w:t> </w:t>
      </w:r>
      <w:r>
        <w:rPr>
          <w:rFonts w:ascii="Arial"/>
          <w:b/>
          <w:sz w:val="20"/>
        </w:rPr>
        <w:t>y</w:t>
      </w:r>
      <w:r>
        <w:rPr>
          <w:rFonts w:ascii="Arial"/>
          <w:b/>
          <w:spacing w:val="-8"/>
          <w:sz w:val="20"/>
        </w:rPr>
        <w:t> </w:t>
      </w:r>
      <w:r>
        <w:rPr>
          <w:rFonts w:ascii="Arial"/>
          <w:b/>
          <w:sz w:val="20"/>
        </w:rPr>
        <w:t>Reservas</w:t>
      </w:r>
      <w:r>
        <w:rPr>
          <w:rFonts w:ascii="Arial"/>
          <w:b/>
          <w:spacing w:val="-8"/>
          <w:sz w:val="20"/>
        </w:rPr>
        <w:t> </w:t>
      </w:r>
      <w:r>
        <w:rPr>
          <w:rFonts w:ascii="Arial"/>
          <w:b/>
          <w:sz w:val="20"/>
        </w:rPr>
        <w:t>Territoriales para el Desarrollo Urbano y la Vivienda</w:t>
      </w:r>
    </w:p>
    <w:p>
      <w:pPr>
        <w:pStyle w:val="BodyText"/>
        <w:spacing w:before="1"/>
        <w:rPr>
          <w:rFonts w:ascii="Arial"/>
          <w:b/>
        </w:rPr>
      </w:pPr>
    </w:p>
    <w:p>
      <w:pPr>
        <w:pStyle w:val="BodyText"/>
        <w:ind w:left="262" w:right="280"/>
        <w:jc w:val="both"/>
      </w:pPr>
      <w:r>
        <w:rPr>
          <w:rFonts w:ascii="Arial" w:hAnsi="Arial"/>
          <w:b/>
        </w:rPr>
        <w:t>ARTÍCULO 190. </w:t>
      </w:r>
      <w:r>
        <w:rPr/>
        <w:t>Se declaran</w:t>
      </w:r>
      <w:r>
        <w:rPr>
          <w:spacing w:val="-1"/>
        </w:rPr>
        <w:t> </w:t>
      </w:r>
      <w:r>
        <w:rPr/>
        <w:t>de utilidad pública e</w:t>
      </w:r>
      <w:r>
        <w:rPr>
          <w:spacing w:val="-1"/>
        </w:rPr>
        <w:t> </w:t>
      </w:r>
      <w:r>
        <w:rPr/>
        <w:t>interés social, las acciones, obras e</w:t>
      </w:r>
      <w:r>
        <w:rPr>
          <w:spacing w:val="-1"/>
        </w:rPr>
        <w:t> </w:t>
      </w:r>
      <w:r>
        <w:rPr/>
        <w:t>inversiones, que ejecuten los gobiernos estatal y municipales, a efecto de adquirir reservas territoriales que satisfagan las necesidades de suelo urbano para la fundación, conservación, mejoramiento y crecimiento de los centros de población, así como para dar solución al problema de los asentamientos humanos irregulares, seguridad jurídica en la tenencia y protección del patrimonio </w:t>
      </w:r>
      <w:r>
        <w:rPr>
          <w:spacing w:val="-2"/>
        </w:rPr>
        <w:t>familiar.</w:t>
      </w:r>
    </w:p>
    <w:p>
      <w:pPr>
        <w:spacing w:before="228"/>
        <w:ind w:left="262" w:right="0" w:firstLine="0"/>
        <w:jc w:val="both"/>
        <w:rPr>
          <w:rFonts w:ascii="Arial"/>
          <w:b/>
          <w:i/>
          <w:sz w:val="20"/>
        </w:rPr>
      </w:pPr>
      <w:r>
        <w:rPr>
          <w:rFonts w:ascii="Arial"/>
          <w:b/>
          <w:i/>
          <w:sz w:val="20"/>
        </w:rPr>
        <w:t>(REFORMADO</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6"/>
          <w:sz w:val="20"/>
        </w:rPr>
        <w:t> </w:t>
      </w:r>
      <w:r>
        <w:rPr>
          <w:rFonts w:ascii="Arial"/>
          <w:b/>
          <w:i/>
          <w:sz w:val="20"/>
        </w:rPr>
        <w:t>22</w:t>
      </w:r>
      <w:r>
        <w:rPr>
          <w:rFonts w:ascii="Arial"/>
          <w:b/>
          <w:i/>
          <w:spacing w:val="-6"/>
          <w:sz w:val="20"/>
        </w:rPr>
        <w:t> </w:t>
      </w:r>
      <w:r>
        <w:rPr>
          <w:rFonts w:ascii="Arial"/>
          <w:b/>
          <w:i/>
          <w:sz w:val="20"/>
        </w:rPr>
        <w:t>DE</w:t>
      </w:r>
      <w:r>
        <w:rPr>
          <w:rFonts w:ascii="Arial"/>
          <w:b/>
          <w:i/>
          <w:spacing w:val="-2"/>
          <w:sz w:val="20"/>
        </w:rPr>
        <w:t> </w:t>
      </w:r>
      <w:r>
        <w:rPr>
          <w:rFonts w:ascii="Arial"/>
          <w:b/>
          <w:i/>
          <w:sz w:val="20"/>
        </w:rPr>
        <w:t>MAYO</w:t>
      </w:r>
      <w:r>
        <w:rPr>
          <w:rFonts w:ascii="Arial"/>
          <w:b/>
          <w:i/>
          <w:spacing w:val="-6"/>
          <w:sz w:val="20"/>
        </w:rPr>
        <w:t> </w:t>
      </w:r>
      <w:r>
        <w:rPr>
          <w:rFonts w:ascii="Arial"/>
          <w:b/>
          <w:i/>
          <w:sz w:val="20"/>
        </w:rPr>
        <w:t>DE</w:t>
      </w:r>
      <w:r>
        <w:rPr>
          <w:rFonts w:ascii="Arial"/>
          <w:b/>
          <w:i/>
          <w:spacing w:val="-4"/>
          <w:sz w:val="20"/>
        </w:rPr>
        <w:t> 2026)</w:t>
      </w:r>
    </w:p>
    <w:p>
      <w:pPr>
        <w:pStyle w:val="Heading2"/>
        <w:spacing w:before="1"/>
        <w:ind w:left="262" w:right="284"/>
        <w:jc w:val="both"/>
      </w:pPr>
      <w:r>
        <w:rPr/>
        <w:t>ARTÍCULO 191. La ejecución de acciones para la obtención de reservas de suelo para desarrollo urbano y la vivienda adecuada y para la regularización de la tenencia de la tierra, deberá atender problemas conexos, como la falta o insuficiencia de infraestructura, equipamiento y servicios públicos y establecer un mayor control catastral y registral de las </w:t>
      </w:r>
      <w:r>
        <w:rPr>
          <w:spacing w:val="-2"/>
        </w:rPr>
        <w:t>propiedades.</w:t>
      </w:r>
    </w:p>
    <w:p>
      <w:pPr>
        <w:pStyle w:val="BodyText"/>
        <w:rPr>
          <w:rFonts w:ascii="Arial"/>
          <w:b/>
        </w:rPr>
      </w:pPr>
    </w:p>
    <w:p>
      <w:pPr>
        <w:pStyle w:val="BodyText"/>
        <w:ind w:left="262" w:right="284"/>
        <w:jc w:val="both"/>
      </w:pPr>
      <w:r>
        <w:rPr/>
        <w:t>Los</w:t>
      </w:r>
      <w:r>
        <w:rPr>
          <w:spacing w:val="-6"/>
        </w:rPr>
        <w:t> </w:t>
      </w:r>
      <w:r>
        <w:rPr/>
        <w:t>particulares</w:t>
      </w:r>
      <w:r>
        <w:rPr>
          <w:spacing w:val="-6"/>
        </w:rPr>
        <w:t> </w:t>
      </w:r>
      <w:r>
        <w:rPr/>
        <w:t>y</w:t>
      </w:r>
      <w:r>
        <w:rPr>
          <w:spacing w:val="-5"/>
        </w:rPr>
        <w:t> </w:t>
      </w:r>
      <w:r>
        <w:rPr/>
        <w:t>desarrolladores</w:t>
      </w:r>
      <w:r>
        <w:rPr>
          <w:spacing w:val="-4"/>
        </w:rPr>
        <w:t> </w:t>
      </w:r>
      <w:r>
        <w:rPr/>
        <w:t>que</w:t>
      </w:r>
      <w:r>
        <w:rPr>
          <w:spacing w:val="-6"/>
        </w:rPr>
        <w:t> </w:t>
      </w:r>
      <w:r>
        <w:rPr/>
        <w:t>obtengan</w:t>
      </w:r>
      <w:r>
        <w:rPr>
          <w:spacing w:val="-6"/>
        </w:rPr>
        <w:t> </w:t>
      </w:r>
      <w:r>
        <w:rPr/>
        <w:t>contratos</w:t>
      </w:r>
      <w:r>
        <w:rPr>
          <w:spacing w:val="-6"/>
        </w:rPr>
        <w:t> </w:t>
      </w:r>
      <w:r>
        <w:rPr/>
        <w:t>o</w:t>
      </w:r>
      <w:r>
        <w:rPr>
          <w:spacing w:val="-6"/>
        </w:rPr>
        <w:t> </w:t>
      </w:r>
      <w:r>
        <w:rPr/>
        <w:t>concesiones</w:t>
      </w:r>
      <w:r>
        <w:rPr>
          <w:spacing w:val="-5"/>
        </w:rPr>
        <w:t> </w:t>
      </w:r>
      <w:r>
        <w:rPr/>
        <w:t>para</w:t>
      </w:r>
      <w:r>
        <w:rPr>
          <w:spacing w:val="-6"/>
        </w:rPr>
        <w:t> </w:t>
      </w:r>
      <w:r>
        <w:rPr/>
        <w:t>construir</w:t>
      </w:r>
      <w:r>
        <w:rPr>
          <w:spacing w:val="-7"/>
        </w:rPr>
        <w:t> </w:t>
      </w:r>
      <w:r>
        <w:rPr/>
        <w:t>vivienda</w:t>
      </w:r>
      <w:r>
        <w:rPr>
          <w:spacing w:val="-6"/>
        </w:rPr>
        <w:t> </w:t>
      </w:r>
      <w:r>
        <w:rPr/>
        <w:t>en dichas zonas, deberán integrar a sus proyectos de desarrollo la cobertura de equipamiento urbano del entorno.</w:t>
      </w:r>
    </w:p>
    <w:p>
      <w:pPr>
        <w:pStyle w:val="BodyText"/>
        <w:spacing w:before="2"/>
      </w:pPr>
    </w:p>
    <w:p>
      <w:pPr>
        <w:pStyle w:val="BodyText"/>
        <w:ind w:left="262" w:right="277"/>
        <w:jc w:val="both"/>
      </w:pPr>
      <w:r>
        <w:rPr>
          <w:rFonts w:ascii="Arial" w:hAnsi="Arial"/>
          <w:b/>
        </w:rPr>
        <w:t>ARTÍCULO 192. </w:t>
      </w:r>
      <w:r>
        <w:rPr/>
        <w:t>El Gobierno del Estado y los ayuntamientos, administrarán sus respectivas reservas territoriales, previendo los instrumentos y acciones de planeación urbana y protección ecológica, a fin de destinar dichas</w:t>
      </w:r>
      <w:r>
        <w:rPr>
          <w:spacing w:val="-1"/>
        </w:rPr>
        <w:t> </w:t>
      </w:r>
      <w:r>
        <w:rPr/>
        <w:t>reservas</w:t>
      </w:r>
      <w:r>
        <w:rPr>
          <w:spacing w:val="-1"/>
        </w:rPr>
        <w:t> </w:t>
      </w:r>
      <w:r>
        <w:rPr/>
        <w:t>a los programas que consideren pertinentes,</w:t>
      </w:r>
      <w:r>
        <w:rPr>
          <w:spacing w:val="-2"/>
        </w:rPr>
        <w:t> </w:t>
      </w:r>
      <w:r>
        <w:rPr/>
        <w:t>como</w:t>
      </w:r>
      <w:r>
        <w:rPr>
          <w:spacing w:val="-2"/>
        </w:rPr>
        <w:t> </w:t>
      </w:r>
      <w:r>
        <w:rPr/>
        <w:t>son los de ordenamiento territorial y desarrollo urbano, regularización de la tenencia de la tierra y </w:t>
      </w:r>
      <w:r>
        <w:rPr>
          <w:spacing w:val="-2"/>
        </w:rPr>
        <w:t>vivienda.</w:t>
      </w:r>
    </w:p>
    <w:p>
      <w:pPr>
        <w:pStyle w:val="BodyText"/>
      </w:pPr>
    </w:p>
    <w:p>
      <w:pPr>
        <w:pStyle w:val="BodyText"/>
        <w:ind w:left="262" w:right="288"/>
        <w:jc w:val="both"/>
      </w:pPr>
      <w:r>
        <w:rPr/>
        <w:t>Las acciones, obras e inversiones que realicen el gobierno estatal y los gobiernos municipales en materia de suelo y reservas territoriales para el desarrollo urbano y la vivienda, se sujetarán a lo dispuesto en los programas de ordenamiento territorial y desarrollo urbano, así como de vivienda.</w:t>
      </w:r>
    </w:p>
    <w:p>
      <w:pPr>
        <w:pStyle w:val="BodyText"/>
      </w:pPr>
    </w:p>
    <w:p>
      <w:pPr>
        <w:pStyle w:val="BodyText"/>
        <w:ind w:left="262" w:right="279"/>
        <w:jc w:val="both"/>
      </w:pPr>
      <w:r>
        <w:rPr>
          <w:rFonts w:ascii="Arial" w:hAnsi="Arial"/>
          <w:b/>
        </w:rPr>
        <w:t>ARTÍCULO</w:t>
      </w:r>
      <w:r>
        <w:rPr>
          <w:rFonts w:ascii="Arial" w:hAnsi="Arial"/>
          <w:b/>
          <w:spacing w:val="-14"/>
        </w:rPr>
        <w:t> </w:t>
      </w:r>
      <w:r>
        <w:rPr>
          <w:rFonts w:ascii="Arial" w:hAnsi="Arial"/>
          <w:b/>
        </w:rPr>
        <w:t>193.</w:t>
      </w:r>
      <w:r>
        <w:rPr>
          <w:rFonts w:ascii="Arial" w:hAnsi="Arial"/>
          <w:b/>
          <w:spacing w:val="-14"/>
        </w:rPr>
        <w:t> </w:t>
      </w:r>
      <w:r>
        <w:rPr/>
        <w:t>Se</w:t>
      </w:r>
      <w:r>
        <w:rPr>
          <w:spacing w:val="-14"/>
        </w:rPr>
        <w:t> </w:t>
      </w:r>
      <w:r>
        <w:rPr/>
        <w:t>establece</w:t>
      </w:r>
      <w:r>
        <w:rPr>
          <w:spacing w:val="-14"/>
        </w:rPr>
        <w:t> </w:t>
      </w:r>
      <w:r>
        <w:rPr/>
        <w:t>el</w:t>
      </w:r>
      <w:r>
        <w:rPr>
          <w:spacing w:val="-14"/>
        </w:rPr>
        <w:t> </w:t>
      </w:r>
      <w:r>
        <w:rPr/>
        <w:t>Sistema</w:t>
      </w:r>
      <w:r>
        <w:rPr>
          <w:spacing w:val="-14"/>
        </w:rPr>
        <w:t> </w:t>
      </w:r>
      <w:r>
        <w:rPr/>
        <w:t>Estatal</w:t>
      </w:r>
      <w:r>
        <w:rPr>
          <w:spacing w:val="-14"/>
        </w:rPr>
        <w:t> </w:t>
      </w:r>
      <w:r>
        <w:rPr/>
        <w:t>de</w:t>
      </w:r>
      <w:r>
        <w:rPr>
          <w:spacing w:val="-14"/>
        </w:rPr>
        <w:t> </w:t>
      </w:r>
      <w:r>
        <w:rPr/>
        <w:t>Suelo</w:t>
      </w:r>
      <w:r>
        <w:rPr>
          <w:spacing w:val="-14"/>
        </w:rPr>
        <w:t> </w:t>
      </w:r>
      <w:r>
        <w:rPr/>
        <w:t>y</w:t>
      </w:r>
      <w:r>
        <w:rPr>
          <w:spacing w:val="-13"/>
        </w:rPr>
        <w:t> </w:t>
      </w:r>
      <w:r>
        <w:rPr/>
        <w:t>Reservas</w:t>
      </w:r>
      <w:r>
        <w:rPr>
          <w:spacing w:val="-14"/>
        </w:rPr>
        <w:t> </w:t>
      </w:r>
      <w:r>
        <w:rPr/>
        <w:t>Territoriales</w:t>
      </w:r>
      <w:r>
        <w:rPr>
          <w:spacing w:val="-14"/>
        </w:rPr>
        <w:t> </w:t>
      </w:r>
      <w:r>
        <w:rPr/>
        <w:t>para</w:t>
      </w:r>
      <w:r>
        <w:rPr>
          <w:spacing w:val="-14"/>
        </w:rPr>
        <w:t> </w:t>
      </w:r>
      <w:r>
        <w:rPr/>
        <w:t>el</w:t>
      </w:r>
      <w:r>
        <w:rPr>
          <w:spacing w:val="-14"/>
        </w:rPr>
        <w:t> </w:t>
      </w:r>
      <w:r>
        <w:rPr/>
        <w:t>Desarrollo Urbano y la Vivienda, como el mecanismo de coordinación entre los tres órdenes de gobierno y de concertación con los sectores social y privado, a fin de determinar, aportar y adquirir el suelo y las reservas</w:t>
      </w:r>
      <w:r>
        <w:rPr>
          <w:spacing w:val="-13"/>
        </w:rPr>
        <w:t> </w:t>
      </w:r>
      <w:r>
        <w:rPr/>
        <w:t>territoriales</w:t>
      </w:r>
      <w:r>
        <w:rPr>
          <w:spacing w:val="-13"/>
        </w:rPr>
        <w:t> </w:t>
      </w:r>
      <w:r>
        <w:rPr/>
        <w:t>que</w:t>
      </w:r>
      <w:r>
        <w:rPr>
          <w:spacing w:val="-12"/>
        </w:rPr>
        <w:t> </w:t>
      </w:r>
      <w:r>
        <w:rPr/>
        <w:t>se</w:t>
      </w:r>
      <w:r>
        <w:rPr>
          <w:spacing w:val="-12"/>
        </w:rPr>
        <w:t> </w:t>
      </w:r>
      <w:r>
        <w:rPr/>
        <w:t>requieran</w:t>
      </w:r>
      <w:r>
        <w:rPr>
          <w:spacing w:val="-11"/>
        </w:rPr>
        <w:t> </w:t>
      </w:r>
      <w:r>
        <w:rPr/>
        <w:t>para</w:t>
      </w:r>
      <w:r>
        <w:rPr>
          <w:spacing w:val="-12"/>
        </w:rPr>
        <w:t> </w:t>
      </w:r>
      <w:r>
        <w:rPr/>
        <w:t>ordenar</w:t>
      </w:r>
      <w:r>
        <w:rPr>
          <w:spacing w:val="-11"/>
        </w:rPr>
        <w:t> </w:t>
      </w:r>
      <w:r>
        <w:rPr/>
        <w:t>y</w:t>
      </w:r>
      <w:r>
        <w:rPr>
          <w:spacing w:val="-12"/>
        </w:rPr>
        <w:t> </w:t>
      </w:r>
      <w:r>
        <w:rPr/>
        <w:t>regular</w:t>
      </w:r>
      <w:r>
        <w:rPr>
          <w:spacing w:val="-13"/>
        </w:rPr>
        <w:t> </w:t>
      </w:r>
      <w:r>
        <w:rPr/>
        <w:t>el</w:t>
      </w:r>
      <w:r>
        <w:rPr>
          <w:spacing w:val="-12"/>
        </w:rPr>
        <w:t> </w:t>
      </w:r>
      <w:r>
        <w:rPr/>
        <w:t>actual</w:t>
      </w:r>
      <w:r>
        <w:rPr>
          <w:spacing w:val="-12"/>
        </w:rPr>
        <w:t> </w:t>
      </w:r>
      <w:r>
        <w:rPr/>
        <w:t>desarrollo</w:t>
      </w:r>
      <w:r>
        <w:rPr>
          <w:spacing w:val="-12"/>
        </w:rPr>
        <w:t> </w:t>
      </w:r>
      <w:r>
        <w:rPr/>
        <w:t>y</w:t>
      </w:r>
      <w:r>
        <w:rPr>
          <w:spacing w:val="-12"/>
        </w:rPr>
        <w:t> </w:t>
      </w:r>
      <w:r>
        <w:rPr/>
        <w:t>futuro</w:t>
      </w:r>
      <w:r>
        <w:rPr>
          <w:spacing w:val="-12"/>
        </w:rPr>
        <w:t> </w:t>
      </w:r>
      <w:r>
        <w:rPr/>
        <w:t>crecimiento de los centros de población de la Entidad.</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Este Sistema se integrará de la misma forma que el Sistema de Información Territorial y Urbana, que establece el artículo 232 de esta Ley, y será presidido por la Secretaría.</w:t>
      </w:r>
    </w:p>
    <w:p>
      <w:pPr>
        <w:pStyle w:val="BodyText"/>
        <w:spacing w:before="1"/>
      </w:pPr>
    </w:p>
    <w:p>
      <w:pPr>
        <w:pStyle w:val="BodyText"/>
        <w:ind w:left="262" w:right="283"/>
        <w:jc w:val="both"/>
      </w:pPr>
      <w:r>
        <w:rPr/>
        <w:t>Las reservas territoriales que se requieran para ordenar y regular la fundación, conservación, mejoramiento</w:t>
      </w:r>
      <w:r>
        <w:rPr>
          <w:spacing w:val="-7"/>
        </w:rPr>
        <w:t> </w:t>
      </w:r>
      <w:r>
        <w:rPr/>
        <w:t>y</w:t>
      </w:r>
      <w:r>
        <w:rPr>
          <w:spacing w:val="-5"/>
        </w:rPr>
        <w:t> </w:t>
      </w:r>
      <w:r>
        <w:rPr/>
        <w:t>crecimiento</w:t>
      </w:r>
      <w:r>
        <w:rPr>
          <w:spacing w:val="-5"/>
        </w:rPr>
        <w:t> </w:t>
      </w:r>
      <w:r>
        <w:rPr/>
        <w:t>de</w:t>
      </w:r>
      <w:r>
        <w:rPr>
          <w:spacing w:val="-7"/>
        </w:rPr>
        <w:t> </w:t>
      </w:r>
      <w:r>
        <w:rPr/>
        <w:t>los</w:t>
      </w:r>
      <w:r>
        <w:rPr>
          <w:spacing w:val="-6"/>
        </w:rPr>
        <w:t> </w:t>
      </w:r>
      <w:r>
        <w:rPr/>
        <w:t>centros</w:t>
      </w:r>
      <w:r>
        <w:rPr>
          <w:spacing w:val="-6"/>
        </w:rPr>
        <w:t> </w:t>
      </w:r>
      <w:r>
        <w:rPr/>
        <w:t>de</w:t>
      </w:r>
      <w:r>
        <w:rPr>
          <w:spacing w:val="-5"/>
        </w:rPr>
        <w:t> </w:t>
      </w:r>
      <w:r>
        <w:rPr/>
        <w:t>población</w:t>
      </w:r>
      <w:r>
        <w:rPr>
          <w:spacing w:val="-7"/>
        </w:rPr>
        <w:t> </w:t>
      </w:r>
      <w:r>
        <w:rPr/>
        <w:t>en</w:t>
      </w:r>
      <w:r>
        <w:rPr>
          <w:spacing w:val="-5"/>
        </w:rPr>
        <w:t> </w:t>
      </w:r>
      <w:r>
        <w:rPr/>
        <w:t>la</w:t>
      </w:r>
      <w:r>
        <w:rPr>
          <w:spacing w:val="-7"/>
        </w:rPr>
        <w:t> </w:t>
      </w:r>
      <w:r>
        <w:rPr/>
        <w:t>Entidad,</w:t>
      </w:r>
      <w:r>
        <w:rPr>
          <w:spacing w:val="-7"/>
        </w:rPr>
        <w:t> </w:t>
      </w:r>
      <w:r>
        <w:rPr/>
        <w:t>se</w:t>
      </w:r>
      <w:r>
        <w:rPr>
          <w:spacing w:val="-7"/>
        </w:rPr>
        <w:t> </w:t>
      </w:r>
      <w:r>
        <w:rPr/>
        <w:t>determinarán</w:t>
      </w:r>
      <w:r>
        <w:rPr>
          <w:spacing w:val="-7"/>
        </w:rPr>
        <w:t> </w:t>
      </w:r>
      <w:r>
        <w:rPr/>
        <w:t>con</w:t>
      </w:r>
      <w:r>
        <w:rPr>
          <w:spacing w:val="-7"/>
        </w:rPr>
        <w:t> </w:t>
      </w:r>
      <w:r>
        <w:rPr/>
        <w:t>base</w:t>
      </w:r>
      <w:r>
        <w:rPr>
          <w:spacing w:val="-4"/>
        </w:rPr>
        <w:t> </w:t>
      </w:r>
      <w:r>
        <w:rPr/>
        <w:t>en los programas de ordenamiento territorial y desarrollo urbano, así como de vivienda.</w:t>
      </w:r>
    </w:p>
    <w:p>
      <w:pPr>
        <w:pStyle w:val="BodyText"/>
        <w:spacing w:before="229"/>
        <w:ind w:left="262" w:right="281"/>
        <w:jc w:val="both"/>
      </w:pPr>
      <w:r>
        <w:rPr>
          <w:rFonts w:ascii="Arial" w:hAnsi="Arial"/>
          <w:b/>
        </w:rPr>
        <w:t>ARTÍCULO</w:t>
      </w:r>
      <w:r>
        <w:rPr>
          <w:rFonts w:ascii="Arial" w:hAnsi="Arial"/>
          <w:b/>
          <w:spacing w:val="-8"/>
        </w:rPr>
        <w:t> </w:t>
      </w:r>
      <w:r>
        <w:rPr>
          <w:rFonts w:ascii="Arial" w:hAnsi="Arial"/>
          <w:b/>
        </w:rPr>
        <w:t>194.</w:t>
      </w:r>
      <w:r>
        <w:rPr>
          <w:rFonts w:ascii="Arial" w:hAnsi="Arial"/>
          <w:b/>
          <w:spacing w:val="-6"/>
        </w:rPr>
        <w:t> </w:t>
      </w:r>
      <w:r>
        <w:rPr/>
        <w:t>El</w:t>
      </w:r>
      <w:r>
        <w:rPr>
          <w:spacing w:val="-7"/>
        </w:rPr>
        <w:t> </w:t>
      </w:r>
      <w:r>
        <w:rPr/>
        <w:t>Sistema</w:t>
      </w:r>
      <w:r>
        <w:rPr>
          <w:spacing w:val="-9"/>
        </w:rPr>
        <w:t> </w:t>
      </w:r>
      <w:r>
        <w:rPr/>
        <w:t>Estatal</w:t>
      </w:r>
      <w:r>
        <w:rPr>
          <w:spacing w:val="-10"/>
        </w:rPr>
        <w:t> </w:t>
      </w:r>
      <w:r>
        <w:rPr/>
        <w:t>de</w:t>
      </w:r>
      <w:r>
        <w:rPr>
          <w:spacing w:val="-7"/>
        </w:rPr>
        <w:t> </w:t>
      </w:r>
      <w:r>
        <w:rPr/>
        <w:t>Suelo</w:t>
      </w:r>
      <w:r>
        <w:rPr>
          <w:spacing w:val="-7"/>
        </w:rPr>
        <w:t> </w:t>
      </w:r>
      <w:r>
        <w:rPr/>
        <w:t>y</w:t>
      </w:r>
      <w:r>
        <w:rPr>
          <w:spacing w:val="-8"/>
        </w:rPr>
        <w:t> </w:t>
      </w:r>
      <w:r>
        <w:rPr/>
        <w:t>Reservas</w:t>
      </w:r>
      <w:r>
        <w:rPr>
          <w:spacing w:val="-8"/>
        </w:rPr>
        <w:t> </w:t>
      </w:r>
      <w:r>
        <w:rPr/>
        <w:t>Territoriales</w:t>
      </w:r>
      <w:r>
        <w:rPr>
          <w:spacing w:val="-8"/>
        </w:rPr>
        <w:t> </w:t>
      </w:r>
      <w:r>
        <w:rPr/>
        <w:t>para</w:t>
      </w:r>
      <w:r>
        <w:rPr>
          <w:spacing w:val="-8"/>
        </w:rPr>
        <w:t> </w:t>
      </w:r>
      <w:r>
        <w:rPr/>
        <w:t>el</w:t>
      </w:r>
      <w:r>
        <w:rPr>
          <w:spacing w:val="-7"/>
        </w:rPr>
        <w:t> </w:t>
      </w:r>
      <w:r>
        <w:rPr/>
        <w:t>Desarrollo</w:t>
      </w:r>
      <w:r>
        <w:rPr>
          <w:spacing w:val="-9"/>
        </w:rPr>
        <w:t> </w:t>
      </w:r>
      <w:r>
        <w:rPr/>
        <w:t>Urbano</w:t>
      </w:r>
      <w:r>
        <w:rPr>
          <w:spacing w:val="-7"/>
        </w:rPr>
        <w:t> </w:t>
      </w:r>
      <w:r>
        <w:rPr/>
        <w:t>y</w:t>
      </w:r>
      <w:r>
        <w:rPr>
          <w:spacing w:val="-8"/>
        </w:rPr>
        <w:t> </w:t>
      </w:r>
      <w:r>
        <w:rPr/>
        <w:t>la Vivienda, tendrá por objeto:</w:t>
      </w:r>
    </w:p>
    <w:p>
      <w:pPr>
        <w:pStyle w:val="BodyText"/>
        <w:spacing w:before="2"/>
      </w:pPr>
    </w:p>
    <w:p>
      <w:pPr>
        <w:pStyle w:val="ListParagraph"/>
        <w:numPr>
          <w:ilvl w:val="0"/>
          <w:numId w:val="76"/>
        </w:numPr>
        <w:tabs>
          <w:tab w:pos="688" w:val="left" w:leader="none"/>
        </w:tabs>
        <w:spacing w:line="240" w:lineRule="auto" w:before="0" w:after="0"/>
        <w:ind w:left="262" w:right="285" w:firstLine="0"/>
        <w:jc w:val="both"/>
        <w:rPr>
          <w:sz w:val="20"/>
        </w:rPr>
      </w:pPr>
      <w:r>
        <w:rPr>
          <w:sz w:val="20"/>
        </w:rPr>
        <w:t>Establecer una política integral de suelo urbano y reservas territoriales, mediante la programación de las adquisiciones y la oferta de suelo para el desarrollo urbano,</w:t>
      </w:r>
      <w:r>
        <w:rPr>
          <w:spacing w:val="40"/>
          <w:sz w:val="20"/>
        </w:rPr>
        <w:t> </w:t>
      </w:r>
      <w:r>
        <w:rPr>
          <w:sz w:val="20"/>
        </w:rPr>
        <w:t>el ordenamiento territorial</w:t>
      </w:r>
      <w:r>
        <w:rPr>
          <w:spacing w:val="40"/>
          <w:sz w:val="20"/>
        </w:rPr>
        <w:t> </w:t>
      </w:r>
      <w:r>
        <w:rPr>
          <w:sz w:val="20"/>
        </w:rPr>
        <w:t>y la vivienda;</w:t>
      </w:r>
    </w:p>
    <w:p>
      <w:pPr>
        <w:pStyle w:val="ListParagraph"/>
        <w:numPr>
          <w:ilvl w:val="0"/>
          <w:numId w:val="76"/>
        </w:numPr>
        <w:tabs>
          <w:tab w:pos="686" w:val="left" w:leader="none"/>
        </w:tabs>
        <w:spacing w:line="240" w:lineRule="auto" w:before="230" w:after="0"/>
        <w:ind w:left="262" w:right="284" w:firstLine="0"/>
        <w:jc w:val="both"/>
        <w:rPr>
          <w:sz w:val="20"/>
        </w:rPr>
      </w:pPr>
      <w:r>
        <w:rPr>
          <w:sz w:val="20"/>
        </w:rPr>
        <w:t>Evitar</w:t>
      </w:r>
      <w:r>
        <w:rPr>
          <w:spacing w:val="-14"/>
          <w:sz w:val="20"/>
        </w:rPr>
        <w:t> </w:t>
      </w:r>
      <w:r>
        <w:rPr>
          <w:sz w:val="20"/>
        </w:rPr>
        <w:t>la</w:t>
      </w:r>
      <w:r>
        <w:rPr>
          <w:spacing w:val="-14"/>
          <w:sz w:val="20"/>
        </w:rPr>
        <w:t> </w:t>
      </w:r>
      <w:r>
        <w:rPr>
          <w:sz w:val="20"/>
        </w:rPr>
        <w:t>especulación</w:t>
      </w:r>
      <w:r>
        <w:rPr>
          <w:spacing w:val="-14"/>
          <w:sz w:val="20"/>
        </w:rPr>
        <w:t> </w:t>
      </w:r>
      <w:r>
        <w:rPr>
          <w:sz w:val="20"/>
        </w:rPr>
        <w:t>en</w:t>
      </w:r>
      <w:r>
        <w:rPr>
          <w:spacing w:val="-14"/>
          <w:sz w:val="20"/>
        </w:rPr>
        <w:t> </w:t>
      </w:r>
      <w:r>
        <w:rPr>
          <w:sz w:val="20"/>
        </w:rPr>
        <w:t>el</w:t>
      </w:r>
      <w:r>
        <w:rPr>
          <w:spacing w:val="-14"/>
          <w:sz w:val="20"/>
        </w:rPr>
        <w:t> </w:t>
      </w:r>
      <w:r>
        <w:rPr>
          <w:sz w:val="20"/>
        </w:rPr>
        <w:t>mercado</w:t>
      </w:r>
      <w:r>
        <w:rPr>
          <w:spacing w:val="-14"/>
          <w:sz w:val="20"/>
        </w:rPr>
        <w:t> </w:t>
      </w:r>
      <w:r>
        <w:rPr>
          <w:sz w:val="20"/>
        </w:rPr>
        <w:t>inmobiliario</w:t>
      </w:r>
      <w:r>
        <w:rPr>
          <w:spacing w:val="-14"/>
          <w:sz w:val="20"/>
        </w:rPr>
        <w:t> </w:t>
      </w:r>
      <w:r>
        <w:rPr>
          <w:sz w:val="20"/>
        </w:rPr>
        <w:t>y</w:t>
      </w:r>
      <w:r>
        <w:rPr>
          <w:spacing w:val="-14"/>
          <w:sz w:val="20"/>
        </w:rPr>
        <w:t> </w:t>
      </w:r>
      <w:r>
        <w:rPr>
          <w:sz w:val="20"/>
        </w:rPr>
        <w:t>captar</w:t>
      </w:r>
      <w:r>
        <w:rPr>
          <w:spacing w:val="-14"/>
          <w:sz w:val="20"/>
        </w:rPr>
        <w:t> </w:t>
      </w:r>
      <w:r>
        <w:rPr>
          <w:sz w:val="20"/>
        </w:rPr>
        <w:t>las</w:t>
      </w:r>
      <w:r>
        <w:rPr>
          <w:spacing w:val="-13"/>
          <w:sz w:val="20"/>
        </w:rPr>
        <w:t> </w:t>
      </w:r>
      <w:r>
        <w:rPr>
          <w:sz w:val="20"/>
        </w:rPr>
        <w:t>plusvalías</w:t>
      </w:r>
      <w:r>
        <w:rPr>
          <w:spacing w:val="-14"/>
          <w:sz w:val="20"/>
        </w:rPr>
        <w:t> </w:t>
      </w:r>
      <w:r>
        <w:rPr>
          <w:sz w:val="20"/>
        </w:rPr>
        <w:t>que</w:t>
      </w:r>
      <w:r>
        <w:rPr>
          <w:spacing w:val="-14"/>
          <w:sz w:val="20"/>
        </w:rPr>
        <w:t> </w:t>
      </w:r>
      <w:r>
        <w:rPr>
          <w:sz w:val="20"/>
        </w:rPr>
        <w:t>genera</w:t>
      </w:r>
      <w:r>
        <w:rPr>
          <w:spacing w:val="-14"/>
          <w:sz w:val="20"/>
        </w:rPr>
        <w:t> </w:t>
      </w:r>
      <w:r>
        <w:rPr>
          <w:sz w:val="20"/>
        </w:rPr>
        <w:t>el</w:t>
      </w:r>
      <w:r>
        <w:rPr>
          <w:spacing w:val="-14"/>
          <w:sz w:val="20"/>
        </w:rPr>
        <w:t> </w:t>
      </w:r>
      <w:r>
        <w:rPr>
          <w:sz w:val="20"/>
        </w:rPr>
        <w:t>desarrollo urbano, para aplicarlas en beneficio de los habitantes de los centros de población;</w:t>
      </w:r>
    </w:p>
    <w:p>
      <w:pPr>
        <w:pStyle w:val="ListParagraph"/>
        <w:numPr>
          <w:ilvl w:val="0"/>
          <w:numId w:val="76"/>
        </w:numPr>
        <w:tabs>
          <w:tab w:pos="685" w:val="left" w:leader="none"/>
        </w:tabs>
        <w:spacing w:line="240" w:lineRule="auto" w:before="228" w:after="0"/>
        <w:ind w:left="262" w:right="285" w:firstLine="0"/>
        <w:jc w:val="both"/>
        <w:rPr>
          <w:sz w:val="20"/>
        </w:rPr>
      </w:pPr>
      <w:r>
        <w:rPr>
          <w:sz w:val="20"/>
        </w:rPr>
        <w:t>Prevenir, evitar y abatir los procesos de ocupación irregular de áreas, mediante la oferta de la tierra urbana que atienda, preferentemente, las necesidades de los grupos de bajos ingresos;</w:t>
      </w:r>
    </w:p>
    <w:p>
      <w:pPr>
        <w:pStyle w:val="BodyText"/>
        <w:spacing w:before="1"/>
      </w:pPr>
    </w:p>
    <w:p>
      <w:pPr>
        <w:pStyle w:val="ListParagraph"/>
        <w:numPr>
          <w:ilvl w:val="0"/>
          <w:numId w:val="76"/>
        </w:numPr>
        <w:tabs>
          <w:tab w:pos="688" w:val="left" w:leader="none"/>
        </w:tabs>
        <w:spacing w:line="240" w:lineRule="auto" w:before="1" w:after="0"/>
        <w:ind w:left="262" w:right="286" w:firstLine="0"/>
        <w:jc w:val="both"/>
        <w:rPr>
          <w:sz w:val="20"/>
        </w:rPr>
      </w:pPr>
      <w:r>
        <w:rPr>
          <w:sz w:val="20"/>
        </w:rPr>
        <w:t>Asegurar</w:t>
      </w:r>
      <w:r>
        <w:rPr>
          <w:spacing w:val="-14"/>
          <w:sz w:val="20"/>
        </w:rPr>
        <w:t> </w:t>
      </w:r>
      <w:r>
        <w:rPr>
          <w:sz w:val="20"/>
        </w:rPr>
        <w:t>la</w:t>
      </w:r>
      <w:r>
        <w:rPr>
          <w:spacing w:val="-14"/>
          <w:sz w:val="20"/>
        </w:rPr>
        <w:t> </w:t>
      </w:r>
      <w:r>
        <w:rPr>
          <w:sz w:val="20"/>
        </w:rPr>
        <w:t>disponibilidad</w:t>
      </w:r>
      <w:r>
        <w:rPr>
          <w:spacing w:val="-14"/>
          <w:sz w:val="20"/>
        </w:rPr>
        <w:t> </w:t>
      </w:r>
      <w:r>
        <w:rPr>
          <w:sz w:val="20"/>
        </w:rPr>
        <w:t>de</w:t>
      </w:r>
      <w:r>
        <w:rPr>
          <w:spacing w:val="-14"/>
          <w:sz w:val="20"/>
        </w:rPr>
        <w:t> </w:t>
      </w:r>
      <w:r>
        <w:rPr>
          <w:sz w:val="20"/>
        </w:rPr>
        <w:t>suelo</w:t>
      </w:r>
      <w:r>
        <w:rPr>
          <w:spacing w:val="-14"/>
          <w:sz w:val="20"/>
        </w:rPr>
        <w:t> </w:t>
      </w:r>
      <w:r>
        <w:rPr>
          <w:sz w:val="20"/>
        </w:rPr>
        <w:t>para</w:t>
      </w:r>
      <w:r>
        <w:rPr>
          <w:spacing w:val="-14"/>
          <w:sz w:val="20"/>
        </w:rPr>
        <w:t> </w:t>
      </w:r>
      <w:r>
        <w:rPr>
          <w:sz w:val="20"/>
        </w:rPr>
        <w:t>los</w:t>
      </w:r>
      <w:r>
        <w:rPr>
          <w:spacing w:val="-14"/>
          <w:sz w:val="20"/>
        </w:rPr>
        <w:t> </w:t>
      </w:r>
      <w:r>
        <w:rPr>
          <w:sz w:val="20"/>
        </w:rPr>
        <w:t>distintos</w:t>
      </w:r>
      <w:r>
        <w:rPr>
          <w:spacing w:val="-14"/>
          <w:sz w:val="20"/>
        </w:rPr>
        <w:t> </w:t>
      </w:r>
      <w:r>
        <w:rPr>
          <w:sz w:val="20"/>
        </w:rPr>
        <w:t>usos</w:t>
      </w:r>
      <w:r>
        <w:rPr>
          <w:spacing w:val="-14"/>
          <w:sz w:val="20"/>
        </w:rPr>
        <w:t> </w:t>
      </w:r>
      <w:r>
        <w:rPr>
          <w:sz w:val="20"/>
        </w:rPr>
        <w:t>y</w:t>
      </w:r>
      <w:r>
        <w:rPr>
          <w:spacing w:val="-13"/>
          <w:sz w:val="20"/>
        </w:rPr>
        <w:t> </w:t>
      </w:r>
      <w:r>
        <w:rPr>
          <w:sz w:val="20"/>
        </w:rPr>
        <w:t>destinos</w:t>
      </w:r>
      <w:r>
        <w:rPr>
          <w:spacing w:val="-14"/>
          <w:sz w:val="20"/>
        </w:rPr>
        <w:t> </w:t>
      </w:r>
      <w:r>
        <w:rPr>
          <w:sz w:val="20"/>
        </w:rPr>
        <w:t>que</w:t>
      </w:r>
      <w:r>
        <w:rPr>
          <w:spacing w:val="-14"/>
          <w:sz w:val="20"/>
        </w:rPr>
        <w:t> </w:t>
      </w:r>
      <w:r>
        <w:rPr>
          <w:sz w:val="20"/>
        </w:rPr>
        <w:t>señalen</w:t>
      </w:r>
      <w:r>
        <w:rPr>
          <w:spacing w:val="-14"/>
          <w:sz w:val="20"/>
        </w:rPr>
        <w:t> </w:t>
      </w:r>
      <w:r>
        <w:rPr>
          <w:sz w:val="20"/>
        </w:rPr>
        <w:t>los</w:t>
      </w:r>
      <w:r>
        <w:rPr>
          <w:spacing w:val="-14"/>
          <w:sz w:val="20"/>
        </w:rPr>
        <w:t> </w:t>
      </w:r>
      <w:r>
        <w:rPr>
          <w:sz w:val="20"/>
        </w:rPr>
        <w:t>programas de ordenamiento territorial y desarrollo urbano de manera sostenible;</w:t>
      </w:r>
    </w:p>
    <w:p>
      <w:pPr>
        <w:pStyle w:val="ListParagraph"/>
        <w:numPr>
          <w:ilvl w:val="0"/>
          <w:numId w:val="76"/>
        </w:numPr>
        <w:tabs>
          <w:tab w:pos="688" w:val="left" w:leader="none"/>
        </w:tabs>
        <w:spacing w:line="240" w:lineRule="auto" w:before="229" w:after="0"/>
        <w:ind w:left="262" w:right="285" w:firstLine="0"/>
        <w:jc w:val="both"/>
        <w:rPr>
          <w:sz w:val="20"/>
        </w:rPr>
      </w:pPr>
      <w:r>
        <w:rPr>
          <w:sz w:val="20"/>
        </w:rPr>
        <w:t>Asegurar la conservación de suelo para la infiltración del agua y la protección de reservas </w:t>
      </w:r>
      <w:r>
        <w:rPr>
          <w:spacing w:val="-2"/>
          <w:sz w:val="20"/>
        </w:rPr>
        <w:t>acuíferas;</w:t>
      </w:r>
    </w:p>
    <w:p>
      <w:pPr>
        <w:pStyle w:val="BodyText"/>
        <w:spacing w:before="1"/>
      </w:pPr>
    </w:p>
    <w:p>
      <w:pPr>
        <w:pStyle w:val="ListParagraph"/>
        <w:numPr>
          <w:ilvl w:val="0"/>
          <w:numId w:val="76"/>
        </w:numPr>
        <w:tabs>
          <w:tab w:pos="688" w:val="left" w:leader="none"/>
        </w:tabs>
        <w:spacing w:line="240" w:lineRule="auto" w:before="0" w:after="0"/>
        <w:ind w:left="262" w:right="285" w:firstLine="0"/>
        <w:jc w:val="both"/>
        <w:rPr>
          <w:sz w:val="20"/>
        </w:rPr>
      </w:pPr>
      <w:r>
        <w:rPr>
          <w:sz w:val="20"/>
        </w:rPr>
        <w:t>Integrar</w:t>
      </w:r>
      <w:r>
        <w:rPr>
          <w:spacing w:val="-8"/>
          <w:sz w:val="20"/>
        </w:rPr>
        <w:t> </w:t>
      </w:r>
      <w:r>
        <w:rPr>
          <w:sz w:val="20"/>
        </w:rPr>
        <w:t>la</w:t>
      </w:r>
      <w:r>
        <w:rPr>
          <w:spacing w:val="-9"/>
          <w:sz w:val="20"/>
        </w:rPr>
        <w:t> </w:t>
      </w:r>
      <w:r>
        <w:rPr>
          <w:sz w:val="20"/>
        </w:rPr>
        <w:t>información</w:t>
      </w:r>
      <w:r>
        <w:rPr>
          <w:spacing w:val="-10"/>
          <w:sz w:val="20"/>
        </w:rPr>
        <w:t> </w:t>
      </w:r>
      <w:r>
        <w:rPr>
          <w:sz w:val="20"/>
        </w:rPr>
        <w:t>sobre</w:t>
      </w:r>
      <w:r>
        <w:rPr>
          <w:spacing w:val="-9"/>
          <w:sz w:val="20"/>
        </w:rPr>
        <w:t> </w:t>
      </w:r>
      <w:r>
        <w:rPr>
          <w:sz w:val="20"/>
        </w:rPr>
        <w:t>los</w:t>
      </w:r>
      <w:r>
        <w:rPr>
          <w:spacing w:val="-9"/>
          <w:sz w:val="20"/>
        </w:rPr>
        <w:t> </w:t>
      </w:r>
      <w:r>
        <w:rPr>
          <w:sz w:val="20"/>
        </w:rPr>
        <w:t>inventarios,</w:t>
      </w:r>
      <w:r>
        <w:rPr>
          <w:spacing w:val="-10"/>
          <w:sz w:val="20"/>
        </w:rPr>
        <w:t> </w:t>
      </w:r>
      <w:r>
        <w:rPr>
          <w:sz w:val="20"/>
        </w:rPr>
        <w:t>requerimientos</w:t>
      </w:r>
      <w:r>
        <w:rPr>
          <w:spacing w:val="-9"/>
          <w:sz w:val="20"/>
        </w:rPr>
        <w:t> </w:t>
      </w:r>
      <w:r>
        <w:rPr>
          <w:sz w:val="20"/>
        </w:rPr>
        <w:t>y</w:t>
      </w:r>
      <w:r>
        <w:rPr>
          <w:spacing w:val="-7"/>
          <w:sz w:val="20"/>
        </w:rPr>
        <w:t> </w:t>
      </w:r>
      <w:r>
        <w:rPr>
          <w:sz w:val="20"/>
        </w:rPr>
        <w:t>disponibilidad</w:t>
      </w:r>
      <w:r>
        <w:rPr>
          <w:spacing w:val="-9"/>
          <w:sz w:val="20"/>
        </w:rPr>
        <w:t> </w:t>
      </w:r>
      <w:r>
        <w:rPr>
          <w:sz w:val="20"/>
        </w:rPr>
        <w:t>de</w:t>
      </w:r>
      <w:r>
        <w:rPr>
          <w:spacing w:val="-9"/>
          <w:sz w:val="20"/>
        </w:rPr>
        <w:t> </w:t>
      </w:r>
      <w:r>
        <w:rPr>
          <w:sz w:val="20"/>
        </w:rPr>
        <w:t>inmuebles</w:t>
      </w:r>
      <w:r>
        <w:rPr>
          <w:spacing w:val="-8"/>
          <w:sz w:val="20"/>
        </w:rPr>
        <w:t> </w:t>
      </w:r>
      <w:r>
        <w:rPr>
          <w:sz w:val="20"/>
        </w:rPr>
        <w:t>para el desarrollo urbano e</w:t>
      </w:r>
      <w:r>
        <w:rPr>
          <w:spacing w:val="40"/>
          <w:sz w:val="20"/>
        </w:rPr>
        <w:t> </w:t>
      </w:r>
      <w:r>
        <w:rPr>
          <w:sz w:val="20"/>
        </w:rPr>
        <w:t>industrial, el ordenamiento territorial y la vivienda;</w:t>
      </w:r>
    </w:p>
    <w:p>
      <w:pPr>
        <w:pStyle w:val="ListParagraph"/>
        <w:numPr>
          <w:ilvl w:val="0"/>
          <w:numId w:val="76"/>
        </w:numPr>
        <w:tabs>
          <w:tab w:pos="743" w:val="left" w:leader="none"/>
        </w:tabs>
        <w:spacing w:line="240" w:lineRule="auto" w:before="229" w:after="0"/>
        <w:ind w:left="262" w:right="285" w:firstLine="0"/>
        <w:jc w:val="both"/>
        <w:rPr>
          <w:sz w:val="20"/>
        </w:rPr>
      </w:pPr>
      <w:r>
        <w:rPr>
          <w:sz w:val="20"/>
        </w:rPr>
        <w:t>Articular</w:t>
      </w:r>
      <w:r>
        <w:rPr>
          <w:spacing w:val="-11"/>
          <w:sz w:val="20"/>
        </w:rPr>
        <w:t> </w:t>
      </w:r>
      <w:r>
        <w:rPr>
          <w:sz w:val="20"/>
        </w:rPr>
        <w:t>los</w:t>
      </w:r>
      <w:r>
        <w:rPr>
          <w:spacing w:val="-11"/>
          <w:sz w:val="20"/>
        </w:rPr>
        <w:t> </w:t>
      </w:r>
      <w:r>
        <w:rPr>
          <w:sz w:val="20"/>
        </w:rPr>
        <w:t>estudios</w:t>
      </w:r>
      <w:r>
        <w:rPr>
          <w:spacing w:val="-14"/>
          <w:sz w:val="20"/>
        </w:rPr>
        <w:t> </w:t>
      </w:r>
      <w:r>
        <w:rPr>
          <w:sz w:val="20"/>
        </w:rPr>
        <w:t>y</w:t>
      </w:r>
      <w:r>
        <w:rPr>
          <w:spacing w:val="-11"/>
          <w:sz w:val="20"/>
        </w:rPr>
        <w:t> </w:t>
      </w:r>
      <w:r>
        <w:rPr>
          <w:sz w:val="20"/>
        </w:rPr>
        <w:t>la</w:t>
      </w:r>
      <w:r>
        <w:rPr>
          <w:spacing w:val="-12"/>
          <w:sz w:val="20"/>
        </w:rPr>
        <w:t> </w:t>
      </w:r>
      <w:r>
        <w:rPr>
          <w:sz w:val="20"/>
        </w:rPr>
        <w:t>programación</w:t>
      </w:r>
      <w:r>
        <w:rPr>
          <w:spacing w:val="-13"/>
          <w:sz w:val="20"/>
        </w:rPr>
        <w:t> </w:t>
      </w:r>
      <w:r>
        <w:rPr>
          <w:sz w:val="20"/>
        </w:rPr>
        <w:t>de</w:t>
      </w:r>
      <w:r>
        <w:rPr>
          <w:spacing w:val="-13"/>
          <w:sz w:val="20"/>
        </w:rPr>
        <w:t> </w:t>
      </w:r>
      <w:r>
        <w:rPr>
          <w:sz w:val="20"/>
        </w:rPr>
        <w:t>acciones</w:t>
      </w:r>
      <w:r>
        <w:rPr>
          <w:spacing w:val="-13"/>
          <w:sz w:val="20"/>
        </w:rPr>
        <w:t> </w:t>
      </w:r>
      <w:r>
        <w:rPr>
          <w:sz w:val="20"/>
        </w:rPr>
        <w:t>que</w:t>
      </w:r>
      <w:r>
        <w:rPr>
          <w:spacing w:val="-14"/>
          <w:sz w:val="20"/>
        </w:rPr>
        <w:t> </w:t>
      </w:r>
      <w:r>
        <w:rPr>
          <w:sz w:val="20"/>
        </w:rPr>
        <w:t>en</w:t>
      </w:r>
      <w:r>
        <w:rPr>
          <w:spacing w:val="-12"/>
          <w:sz w:val="20"/>
        </w:rPr>
        <w:t> </w:t>
      </w:r>
      <w:r>
        <w:rPr>
          <w:sz w:val="20"/>
        </w:rPr>
        <w:t>materia</w:t>
      </w:r>
      <w:r>
        <w:rPr>
          <w:spacing w:val="-13"/>
          <w:sz w:val="20"/>
        </w:rPr>
        <w:t> </w:t>
      </w:r>
      <w:r>
        <w:rPr>
          <w:sz w:val="20"/>
        </w:rPr>
        <w:t>de</w:t>
      </w:r>
      <w:r>
        <w:rPr>
          <w:spacing w:val="-13"/>
          <w:sz w:val="20"/>
        </w:rPr>
        <w:t> </w:t>
      </w:r>
      <w:r>
        <w:rPr>
          <w:sz w:val="20"/>
        </w:rPr>
        <w:t>suelo</w:t>
      </w:r>
      <w:r>
        <w:rPr>
          <w:spacing w:val="-12"/>
          <w:sz w:val="20"/>
        </w:rPr>
        <w:t> </w:t>
      </w:r>
      <w:r>
        <w:rPr>
          <w:sz w:val="20"/>
        </w:rPr>
        <w:t>urbano</w:t>
      </w:r>
      <w:r>
        <w:rPr>
          <w:spacing w:val="-14"/>
          <w:sz w:val="20"/>
        </w:rPr>
        <w:t> </w:t>
      </w:r>
      <w:r>
        <w:rPr>
          <w:sz w:val="20"/>
        </w:rPr>
        <w:t>y</w:t>
      </w:r>
      <w:r>
        <w:rPr>
          <w:spacing w:val="-13"/>
          <w:sz w:val="20"/>
        </w:rPr>
        <w:t> </w:t>
      </w:r>
      <w:r>
        <w:rPr>
          <w:sz w:val="20"/>
        </w:rPr>
        <w:t>reservas territoriales se deriven de los programas ordenamiento territorial y desarrollo urbano;</w:t>
      </w:r>
    </w:p>
    <w:p>
      <w:pPr>
        <w:pStyle w:val="BodyText"/>
        <w:spacing w:before="1"/>
      </w:pPr>
    </w:p>
    <w:p>
      <w:pPr>
        <w:pStyle w:val="ListParagraph"/>
        <w:numPr>
          <w:ilvl w:val="0"/>
          <w:numId w:val="76"/>
        </w:numPr>
        <w:tabs>
          <w:tab w:pos="827" w:val="left" w:leader="none"/>
        </w:tabs>
        <w:spacing w:line="240" w:lineRule="auto" w:before="0" w:after="0"/>
        <w:ind w:left="262" w:right="289" w:firstLine="0"/>
        <w:jc w:val="both"/>
        <w:rPr>
          <w:sz w:val="20"/>
        </w:rPr>
      </w:pPr>
      <w:r>
        <w:rPr>
          <w:sz w:val="20"/>
        </w:rPr>
        <w:t>Establecer normas para la adquisición, aprovechamiento, aportación y transmisión de suelo urbano y de reservas territoriales, y</w:t>
      </w:r>
    </w:p>
    <w:p>
      <w:pPr>
        <w:pStyle w:val="ListParagraph"/>
        <w:numPr>
          <w:ilvl w:val="0"/>
          <w:numId w:val="76"/>
        </w:numPr>
        <w:tabs>
          <w:tab w:pos="827" w:val="left" w:leader="none"/>
        </w:tabs>
        <w:spacing w:line="240" w:lineRule="auto" w:before="229" w:after="0"/>
        <w:ind w:left="262" w:right="288" w:firstLine="0"/>
        <w:jc w:val="both"/>
        <w:rPr>
          <w:sz w:val="20"/>
        </w:rPr>
      </w:pPr>
      <w:r>
        <w:rPr>
          <w:sz w:val="20"/>
        </w:rPr>
        <w:t>Planear e integrar las acciones, obras e inversiones de infraestructura, equipamiento y servicios urbanos que requieran el desarrollo del suelo urbano y las reservas territoriales.</w:t>
      </w:r>
    </w:p>
    <w:p>
      <w:pPr>
        <w:pStyle w:val="BodyText"/>
        <w:spacing w:before="1"/>
      </w:pPr>
    </w:p>
    <w:p>
      <w:pPr>
        <w:pStyle w:val="BodyText"/>
        <w:ind w:left="262" w:right="279"/>
        <w:jc w:val="both"/>
      </w:pPr>
      <w:r>
        <w:rPr>
          <w:rFonts w:ascii="Arial" w:hAnsi="Arial"/>
          <w:b/>
        </w:rPr>
        <w:t>ARTÍCULO 195. </w:t>
      </w:r>
      <w:r>
        <w:rPr/>
        <w:t>Los gobiernos estatal y municipales, deberán clasificar e inventariar las reservas territoriales</w:t>
      </w:r>
      <w:r>
        <w:rPr>
          <w:spacing w:val="-6"/>
        </w:rPr>
        <w:t> </w:t>
      </w:r>
      <w:r>
        <w:rPr/>
        <w:t>que</w:t>
      </w:r>
      <w:r>
        <w:rPr>
          <w:spacing w:val="-7"/>
        </w:rPr>
        <w:t> </w:t>
      </w:r>
      <w:r>
        <w:rPr/>
        <w:t>administren,</w:t>
      </w:r>
      <w:r>
        <w:rPr>
          <w:spacing w:val="-7"/>
        </w:rPr>
        <w:t> </w:t>
      </w:r>
      <w:r>
        <w:rPr/>
        <w:t>a</w:t>
      </w:r>
      <w:r>
        <w:rPr>
          <w:spacing w:val="-7"/>
        </w:rPr>
        <w:t> </w:t>
      </w:r>
      <w:r>
        <w:rPr/>
        <w:t>fin</w:t>
      </w:r>
      <w:r>
        <w:rPr>
          <w:spacing w:val="-7"/>
        </w:rPr>
        <w:t> </w:t>
      </w:r>
      <w:r>
        <w:rPr/>
        <w:t>de</w:t>
      </w:r>
      <w:r>
        <w:rPr>
          <w:spacing w:val="-5"/>
        </w:rPr>
        <w:t> </w:t>
      </w:r>
      <w:r>
        <w:rPr/>
        <w:t>orientar</w:t>
      </w:r>
      <w:r>
        <w:rPr>
          <w:spacing w:val="-6"/>
        </w:rPr>
        <w:t> </w:t>
      </w:r>
      <w:r>
        <w:rPr/>
        <w:t>el</w:t>
      </w:r>
      <w:r>
        <w:rPr>
          <w:spacing w:val="-7"/>
        </w:rPr>
        <w:t> </w:t>
      </w:r>
      <w:r>
        <w:rPr/>
        <w:t>crecimiento</w:t>
      </w:r>
      <w:r>
        <w:rPr>
          <w:spacing w:val="-7"/>
        </w:rPr>
        <w:t> </w:t>
      </w:r>
      <w:r>
        <w:rPr/>
        <w:t>urbano</w:t>
      </w:r>
      <w:r>
        <w:rPr>
          <w:spacing w:val="-7"/>
        </w:rPr>
        <w:t> </w:t>
      </w:r>
      <w:r>
        <w:rPr/>
        <w:t>hacia</w:t>
      </w:r>
      <w:r>
        <w:rPr>
          <w:spacing w:val="-4"/>
        </w:rPr>
        <w:t> </w:t>
      </w:r>
      <w:r>
        <w:rPr/>
        <w:t>las</w:t>
      </w:r>
      <w:r>
        <w:rPr>
          <w:spacing w:val="-6"/>
        </w:rPr>
        <w:t> </w:t>
      </w:r>
      <w:r>
        <w:rPr/>
        <w:t>áreas</w:t>
      </w:r>
      <w:r>
        <w:rPr>
          <w:spacing w:val="-5"/>
        </w:rPr>
        <w:t> </w:t>
      </w:r>
      <w:r>
        <w:rPr/>
        <w:t>más</w:t>
      </w:r>
      <w:r>
        <w:rPr>
          <w:spacing w:val="-5"/>
        </w:rPr>
        <w:t> </w:t>
      </w:r>
      <w:r>
        <w:rPr/>
        <w:t>adecuadas, de acuerdo con la potencialidad y capacidad de aprovechamiento sustentable del suelo y tomando en</w:t>
      </w:r>
      <w:r>
        <w:rPr>
          <w:spacing w:val="-3"/>
        </w:rPr>
        <w:t> </w:t>
      </w:r>
      <w:r>
        <w:rPr/>
        <w:t>cuenta</w:t>
      </w:r>
      <w:r>
        <w:rPr>
          <w:spacing w:val="-2"/>
        </w:rPr>
        <w:t> </w:t>
      </w:r>
      <w:r>
        <w:rPr/>
        <w:t>la disponibilidad de</w:t>
      </w:r>
      <w:r>
        <w:rPr>
          <w:spacing w:val="-3"/>
        </w:rPr>
        <w:t> </w:t>
      </w:r>
      <w:r>
        <w:rPr/>
        <w:t>agua</w:t>
      </w:r>
      <w:r>
        <w:rPr>
          <w:spacing w:val="-3"/>
        </w:rPr>
        <w:t> </w:t>
      </w:r>
      <w:r>
        <w:rPr/>
        <w:t>y</w:t>
      </w:r>
      <w:r>
        <w:rPr>
          <w:spacing w:val="-1"/>
        </w:rPr>
        <w:t> </w:t>
      </w:r>
      <w:r>
        <w:rPr/>
        <w:t>energía,</w:t>
      </w:r>
      <w:r>
        <w:rPr>
          <w:spacing w:val="-2"/>
        </w:rPr>
        <w:t> </w:t>
      </w:r>
      <w:r>
        <w:rPr/>
        <w:t>dentro del</w:t>
      </w:r>
      <w:r>
        <w:rPr>
          <w:spacing w:val="-3"/>
        </w:rPr>
        <w:t> </w:t>
      </w:r>
      <w:r>
        <w:rPr/>
        <w:t>marco</w:t>
      </w:r>
      <w:r>
        <w:rPr>
          <w:spacing w:val="-2"/>
        </w:rPr>
        <w:t> </w:t>
      </w:r>
      <w:r>
        <w:rPr/>
        <w:t>de</w:t>
      </w:r>
      <w:r>
        <w:rPr>
          <w:spacing w:val="-3"/>
        </w:rPr>
        <w:t> </w:t>
      </w:r>
      <w:r>
        <w:rPr/>
        <w:t>los</w:t>
      </w:r>
      <w:r>
        <w:rPr>
          <w:spacing w:val="-1"/>
        </w:rPr>
        <w:t> </w:t>
      </w:r>
      <w:r>
        <w:rPr/>
        <w:t>programas</w:t>
      </w:r>
      <w:r>
        <w:rPr>
          <w:spacing w:val="-1"/>
        </w:rPr>
        <w:t> </w:t>
      </w:r>
      <w:r>
        <w:rPr/>
        <w:t>de</w:t>
      </w:r>
      <w:r>
        <w:rPr>
          <w:spacing w:val="-3"/>
        </w:rPr>
        <w:t> </w:t>
      </w:r>
      <w:r>
        <w:rPr/>
        <w:t>ordenamiento territorial y desarrollo urbano.</w:t>
      </w:r>
    </w:p>
    <w:p>
      <w:pPr>
        <w:pStyle w:val="BodyText"/>
        <w:spacing w:before="1"/>
      </w:pPr>
    </w:p>
    <w:p>
      <w:pPr>
        <w:pStyle w:val="BodyText"/>
        <w:ind w:left="262" w:right="287"/>
        <w:jc w:val="both"/>
      </w:pPr>
      <w:r>
        <w:rPr>
          <w:rFonts w:ascii="Arial" w:hAnsi="Arial"/>
          <w:b/>
        </w:rPr>
        <w:t>ARTÍCULO 196. </w:t>
      </w:r>
      <w:r>
        <w:rPr/>
        <w:t>A efecto de racionalizar las obras e inversiones destinadas a la dotación de infraestructura, equipamiento y servicios urbanos en las reservas territoriales, se deberán realizar los</w:t>
      </w:r>
      <w:r>
        <w:rPr>
          <w:spacing w:val="-2"/>
        </w:rPr>
        <w:t> </w:t>
      </w:r>
      <w:r>
        <w:rPr/>
        <w:t>programas parciales</w:t>
      </w:r>
      <w:r>
        <w:rPr>
          <w:spacing w:val="-2"/>
        </w:rPr>
        <w:t> </w:t>
      </w:r>
      <w:r>
        <w:rPr/>
        <w:t>conducentes</w:t>
      </w:r>
      <w:r>
        <w:rPr>
          <w:spacing w:val="-2"/>
        </w:rPr>
        <w:t> </w:t>
      </w:r>
      <w:r>
        <w:rPr/>
        <w:t>para</w:t>
      </w:r>
      <w:r>
        <w:rPr>
          <w:spacing w:val="-3"/>
        </w:rPr>
        <w:t> </w:t>
      </w:r>
      <w:r>
        <w:rPr/>
        <w:t>programar su</w:t>
      </w:r>
      <w:r>
        <w:rPr>
          <w:spacing w:val="-3"/>
        </w:rPr>
        <w:t> </w:t>
      </w:r>
      <w:r>
        <w:rPr/>
        <w:t>ocupación</w:t>
      </w:r>
      <w:r>
        <w:rPr>
          <w:spacing w:val="-4"/>
        </w:rPr>
        <w:t> </w:t>
      </w:r>
      <w:r>
        <w:rPr/>
        <w:t>y</w:t>
      </w:r>
      <w:r>
        <w:rPr>
          <w:spacing w:val="-2"/>
        </w:rPr>
        <w:t> </w:t>
      </w:r>
      <w:r>
        <w:rPr/>
        <w:t>aprovechamiento</w:t>
      </w:r>
      <w:r>
        <w:rPr>
          <w:spacing w:val="-2"/>
        </w:rPr>
        <w:t> </w:t>
      </w:r>
      <w:r>
        <w:rPr/>
        <w:t>por</w:t>
      </w:r>
      <w:r>
        <w:rPr>
          <w:spacing w:val="-2"/>
        </w:rPr>
        <w:t> </w:t>
      </w:r>
      <w:r>
        <w:rPr/>
        <w:t>etapas.</w:t>
      </w:r>
    </w:p>
    <w:p>
      <w:pPr>
        <w:pStyle w:val="BodyText"/>
        <w:spacing w:before="229"/>
        <w:ind w:left="262" w:right="283"/>
        <w:jc w:val="both"/>
      </w:pPr>
      <w:r>
        <w:rPr>
          <w:rFonts w:ascii="Arial" w:hAnsi="Arial"/>
          <w:b/>
        </w:rPr>
        <w:t>ARTÍCULO 197. </w:t>
      </w:r>
      <w:r>
        <w:rPr/>
        <w:t>La determinación de reservas en los programas de ordenamiento territorial y desarrollo</w:t>
      </w:r>
      <w:r>
        <w:rPr>
          <w:spacing w:val="-9"/>
        </w:rPr>
        <w:t> </w:t>
      </w:r>
      <w:r>
        <w:rPr/>
        <w:t>urbano</w:t>
      </w:r>
      <w:r>
        <w:rPr>
          <w:spacing w:val="-10"/>
        </w:rPr>
        <w:t> </w:t>
      </w:r>
      <w:r>
        <w:rPr/>
        <w:t>contendrá</w:t>
      </w:r>
      <w:r>
        <w:rPr>
          <w:spacing w:val="-11"/>
        </w:rPr>
        <w:t> </w:t>
      </w:r>
      <w:r>
        <w:rPr/>
        <w:t>la</w:t>
      </w:r>
      <w:r>
        <w:rPr>
          <w:spacing w:val="-9"/>
        </w:rPr>
        <w:t> </w:t>
      </w:r>
      <w:r>
        <w:rPr/>
        <w:t>delimitación</w:t>
      </w:r>
      <w:r>
        <w:rPr>
          <w:spacing w:val="-10"/>
        </w:rPr>
        <w:t> </w:t>
      </w:r>
      <w:r>
        <w:rPr/>
        <w:t>de</w:t>
      </w:r>
      <w:r>
        <w:rPr>
          <w:spacing w:val="-9"/>
        </w:rPr>
        <w:t> </w:t>
      </w:r>
      <w:r>
        <w:rPr/>
        <w:t>las</w:t>
      </w:r>
      <w:r>
        <w:rPr>
          <w:spacing w:val="-8"/>
        </w:rPr>
        <w:t> </w:t>
      </w:r>
      <w:r>
        <w:rPr/>
        <w:t>áreas</w:t>
      </w:r>
      <w:r>
        <w:rPr>
          <w:spacing w:val="-10"/>
        </w:rPr>
        <w:t> </w:t>
      </w:r>
      <w:r>
        <w:rPr/>
        <w:t>de</w:t>
      </w:r>
      <w:r>
        <w:rPr>
          <w:spacing w:val="-10"/>
        </w:rPr>
        <w:t> </w:t>
      </w:r>
      <w:r>
        <w:rPr/>
        <w:t>expansión</w:t>
      </w:r>
      <w:r>
        <w:rPr>
          <w:spacing w:val="-10"/>
        </w:rPr>
        <w:t> </w:t>
      </w:r>
      <w:r>
        <w:rPr/>
        <w:t>futura</w:t>
      </w:r>
      <w:r>
        <w:rPr>
          <w:spacing w:val="-9"/>
        </w:rPr>
        <w:t> </w:t>
      </w:r>
      <w:r>
        <w:rPr/>
        <w:t>del</w:t>
      </w:r>
      <w:r>
        <w:rPr>
          <w:spacing w:val="-10"/>
        </w:rPr>
        <w:t> </w:t>
      </w:r>
      <w:r>
        <w:rPr/>
        <w:t>centro</w:t>
      </w:r>
      <w:r>
        <w:rPr>
          <w:spacing w:val="-9"/>
        </w:rPr>
        <w:t> </w:t>
      </w:r>
      <w:r>
        <w:rPr/>
        <w:t>de</w:t>
      </w:r>
      <w:r>
        <w:rPr>
          <w:spacing w:val="-10"/>
        </w:rPr>
        <w:t> </w:t>
      </w:r>
      <w:r>
        <w:rPr/>
        <w:t>población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1"/>
        <w:jc w:val="both"/>
      </w:pPr>
      <w:r>
        <w:rPr>
          <w:spacing w:val="-2"/>
        </w:rPr>
        <w:t>y</w:t>
      </w:r>
      <w:r>
        <w:rPr>
          <w:spacing w:val="-4"/>
        </w:rPr>
        <w:t> </w:t>
      </w:r>
      <w:r>
        <w:rPr>
          <w:spacing w:val="-2"/>
        </w:rPr>
        <w:t>sus</w:t>
      </w:r>
      <w:r>
        <w:rPr>
          <w:spacing w:val="-4"/>
        </w:rPr>
        <w:t> </w:t>
      </w:r>
      <w:r>
        <w:rPr>
          <w:spacing w:val="-2"/>
        </w:rPr>
        <w:t>etapas</w:t>
      </w:r>
      <w:r>
        <w:rPr>
          <w:spacing w:val="-4"/>
        </w:rPr>
        <w:t> </w:t>
      </w:r>
      <w:r>
        <w:rPr>
          <w:spacing w:val="-2"/>
        </w:rPr>
        <w:t>de</w:t>
      </w:r>
      <w:r>
        <w:rPr>
          <w:spacing w:val="-7"/>
        </w:rPr>
        <w:t> </w:t>
      </w:r>
      <w:r>
        <w:rPr>
          <w:spacing w:val="-2"/>
        </w:rPr>
        <w:t>incorporación</w:t>
      </w:r>
      <w:r>
        <w:rPr>
          <w:spacing w:val="-7"/>
        </w:rPr>
        <w:t> </w:t>
      </w:r>
      <w:r>
        <w:rPr>
          <w:spacing w:val="-2"/>
        </w:rPr>
        <w:t>al</w:t>
      </w:r>
      <w:r>
        <w:rPr>
          <w:spacing w:val="-7"/>
        </w:rPr>
        <w:t> </w:t>
      </w:r>
      <w:r>
        <w:rPr>
          <w:spacing w:val="-2"/>
        </w:rPr>
        <w:t>área</w:t>
      </w:r>
      <w:r>
        <w:rPr>
          <w:spacing w:val="-5"/>
        </w:rPr>
        <w:t> </w:t>
      </w:r>
      <w:r>
        <w:rPr>
          <w:spacing w:val="-2"/>
        </w:rPr>
        <w:t>urbana</w:t>
      </w:r>
      <w:r>
        <w:rPr>
          <w:spacing w:val="-7"/>
        </w:rPr>
        <w:t> </w:t>
      </w:r>
      <w:r>
        <w:rPr>
          <w:spacing w:val="-2"/>
        </w:rPr>
        <w:t>y</w:t>
      </w:r>
      <w:r>
        <w:rPr>
          <w:spacing w:val="-4"/>
        </w:rPr>
        <w:t> </w:t>
      </w:r>
      <w:r>
        <w:rPr>
          <w:spacing w:val="-2"/>
        </w:rPr>
        <w:t>deberán</w:t>
      </w:r>
      <w:r>
        <w:rPr>
          <w:spacing w:val="-3"/>
        </w:rPr>
        <w:t> </w:t>
      </w:r>
      <w:r>
        <w:rPr>
          <w:spacing w:val="-2"/>
        </w:rPr>
        <w:t>considerar</w:t>
      </w:r>
      <w:r>
        <w:rPr>
          <w:spacing w:val="-4"/>
        </w:rPr>
        <w:t> </w:t>
      </w:r>
      <w:r>
        <w:rPr>
          <w:spacing w:val="-2"/>
        </w:rPr>
        <w:t>la</w:t>
      </w:r>
      <w:r>
        <w:rPr>
          <w:spacing w:val="-5"/>
        </w:rPr>
        <w:t> </w:t>
      </w:r>
      <w:r>
        <w:rPr>
          <w:spacing w:val="-2"/>
        </w:rPr>
        <w:t>participación</w:t>
      </w:r>
      <w:r>
        <w:rPr>
          <w:spacing w:val="-3"/>
        </w:rPr>
        <w:t> </w:t>
      </w:r>
      <w:r>
        <w:rPr>
          <w:spacing w:val="-2"/>
        </w:rPr>
        <w:t>de</w:t>
      </w:r>
      <w:r>
        <w:rPr>
          <w:spacing w:val="-7"/>
        </w:rPr>
        <w:t> </w:t>
      </w:r>
      <w:r>
        <w:rPr>
          <w:spacing w:val="-2"/>
        </w:rPr>
        <w:t>las</w:t>
      </w:r>
      <w:r>
        <w:rPr>
          <w:spacing w:val="-4"/>
        </w:rPr>
        <w:t> </w:t>
      </w:r>
      <w:r>
        <w:rPr>
          <w:spacing w:val="-2"/>
        </w:rPr>
        <w:t>autoridades </w:t>
      </w:r>
      <w:r>
        <w:rPr/>
        <w:t>estatales y municipales</w:t>
      </w:r>
      <w:r>
        <w:rPr>
          <w:spacing w:val="40"/>
        </w:rPr>
        <w:t> </w:t>
      </w:r>
      <w:r>
        <w:rPr/>
        <w:t>en la incorporación de áreas o predios de la reserva de suelo y los mecanismos para la adquisición o aportación por parte de los sectores público, social y privado de predios</w:t>
      </w:r>
      <w:r>
        <w:rPr>
          <w:spacing w:val="-2"/>
        </w:rPr>
        <w:t> </w:t>
      </w:r>
      <w:r>
        <w:rPr/>
        <w:t>destinados</w:t>
      </w:r>
      <w:r>
        <w:rPr>
          <w:spacing w:val="-2"/>
        </w:rPr>
        <w:t> </w:t>
      </w:r>
      <w:r>
        <w:rPr/>
        <w:t>a</w:t>
      </w:r>
      <w:r>
        <w:rPr>
          <w:spacing w:val="-2"/>
        </w:rPr>
        <w:t> </w:t>
      </w:r>
      <w:r>
        <w:rPr/>
        <w:t>dicho</w:t>
      </w:r>
      <w:r>
        <w:rPr>
          <w:spacing w:val="-1"/>
        </w:rPr>
        <w:t> </w:t>
      </w:r>
      <w:r>
        <w:rPr/>
        <w:t>fin,</w:t>
      </w:r>
      <w:r>
        <w:rPr>
          <w:spacing w:val="-2"/>
        </w:rPr>
        <w:t> </w:t>
      </w:r>
      <w:r>
        <w:rPr/>
        <w:t>a</w:t>
      </w:r>
      <w:r>
        <w:rPr>
          <w:spacing w:val="-1"/>
        </w:rPr>
        <w:t> </w:t>
      </w:r>
      <w:r>
        <w:rPr/>
        <w:t>efecto</w:t>
      </w:r>
      <w:r>
        <w:rPr>
          <w:spacing w:val="-1"/>
        </w:rPr>
        <w:t> </w:t>
      </w:r>
      <w:r>
        <w:rPr/>
        <w:t>de</w:t>
      </w:r>
      <w:r>
        <w:rPr>
          <w:spacing w:val="-3"/>
        </w:rPr>
        <w:t> </w:t>
      </w:r>
      <w:r>
        <w:rPr/>
        <w:t>satisfacer</w:t>
      </w:r>
      <w:r>
        <w:rPr>
          <w:spacing w:val="-2"/>
        </w:rPr>
        <w:t> </w:t>
      </w:r>
      <w:r>
        <w:rPr/>
        <w:t>oportunamente</w:t>
      </w:r>
      <w:r>
        <w:rPr>
          <w:spacing w:val="-1"/>
        </w:rPr>
        <w:t> </w:t>
      </w:r>
      <w:r>
        <w:rPr/>
        <w:t>las</w:t>
      </w:r>
      <w:r>
        <w:rPr>
          <w:spacing w:val="-2"/>
        </w:rPr>
        <w:t> </w:t>
      </w:r>
      <w:r>
        <w:rPr/>
        <w:t>necesidades</w:t>
      </w:r>
      <w:r>
        <w:rPr>
          <w:spacing w:val="-2"/>
        </w:rPr>
        <w:t> </w:t>
      </w:r>
      <w:r>
        <w:rPr/>
        <w:t>de</w:t>
      </w:r>
      <w:r>
        <w:rPr>
          <w:spacing w:val="-3"/>
        </w:rPr>
        <w:t> </w:t>
      </w:r>
      <w:r>
        <w:rPr/>
        <w:t>tierra</w:t>
      </w:r>
      <w:r>
        <w:rPr>
          <w:spacing w:val="-2"/>
        </w:rPr>
        <w:t> </w:t>
      </w:r>
      <w:r>
        <w:rPr/>
        <w:t>para el Crecimiento de los Centros de Población.</w:t>
      </w:r>
    </w:p>
    <w:p>
      <w:pPr>
        <w:pStyle w:val="BodyText"/>
      </w:pPr>
    </w:p>
    <w:p>
      <w:pPr>
        <w:pStyle w:val="BodyText"/>
        <w:ind w:left="262" w:right="274"/>
        <w:jc w:val="both"/>
      </w:pPr>
      <w:r>
        <w:rPr>
          <w:rFonts w:ascii="Arial" w:hAnsi="Arial"/>
          <w:b/>
        </w:rPr>
        <w:t>ARTÍCULO 198. </w:t>
      </w:r>
      <w:r>
        <w:rPr/>
        <w:t>Una vez que los programas de ordenamiento territorial y desarrollo urbano sean publicados e inscritos en los registros correspondientes, los predios ubicados en las zonas de reserva, se utilizarán por sus propietarios en forma que no presente obstáculo al futuro aprovechamiento determinado por el programa correspondiente.</w:t>
      </w:r>
    </w:p>
    <w:p>
      <w:pPr>
        <w:pStyle w:val="BodyText"/>
      </w:pPr>
    </w:p>
    <w:p>
      <w:pPr>
        <w:pStyle w:val="BodyText"/>
        <w:ind w:left="262" w:right="282"/>
        <w:jc w:val="both"/>
      </w:pPr>
      <w:r>
        <w:rPr/>
        <w:t>En igualdad de circunstancias, se comprenderán preferentemente terrenos que no sean de propiedad</w:t>
      </w:r>
      <w:r>
        <w:rPr>
          <w:spacing w:val="-4"/>
        </w:rPr>
        <w:t> </w:t>
      </w:r>
      <w:r>
        <w:rPr/>
        <w:t>ejidal</w:t>
      </w:r>
      <w:r>
        <w:rPr>
          <w:spacing w:val="-5"/>
        </w:rPr>
        <w:t> </w:t>
      </w:r>
      <w:r>
        <w:rPr/>
        <w:t>o</w:t>
      </w:r>
      <w:r>
        <w:rPr>
          <w:spacing w:val="-5"/>
        </w:rPr>
        <w:t> </w:t>
      </w:r>
      <w:r>
        <w:rPr/>
        <w:t>comunal.</w:t>
      </w:r>
      <w:r>
        <w:rPr>
          <w:spacing w:val="-2"/>
        </w:rPr>
        <w:t> </w:t>
      </w:r>
      <w:r>
        <w:rPr/>
        <w:t>Cuando</w:t>
      </w:r>
      <w:r>
        <w:rPr>
          <w:spacing w:val="-5"/>
        </w:rPr>
        <w:t> </w:t>
      </w:r>
      <w:r>
        <w:rPr/>
        <w:t>se</w:t>
      </w:r>
      <w:r>
        <w:rPr>
          <w:spacing w:val="-2"/>
        </w:rPr>
        <w:t> </w:t>
      </w:r>
      <w:r>
        <w:rPr/>
        <w:t>haga</w:t>
      </w:r>
      <w:r>
        <w:rPr>
          <w:spacing w:val="-3"/>
        </w:rPr>
        <w:t> </w:t>
      </w:r>
      <w:r>
        <w:rPr/>
        <w:t>necesaria</w:t>
      </w:r>
      <w:r>
        <w:rPr>
          <w:spacing w:val="-2"/>
        </w:rPr>
        <w:t> </w:t>
      </w:r>
      <w:r>
        <w:rPr/>
        <w:t>la</w:t>
      </w:r>
      <w:r>
        <w:rPr>
          <w:spacing w:val="-2"/>
        </w:rPr>
        <w:t> </w:t>
      </w:r>
      <w:r>
        <w:rPr/>
        <w:t>utilización</w:t>
      </w:r>
      <w:r>
        <w:rPr>
          <w:spacing w:val="-3"/>
        </w:rPr>
        <w:t> </w:t>
      </w:r>
      <w:r>
        <w:rPr/>
        <w:t>parcial</w:t>
      </w:r>
      <w:r>
        <w:rPr>
          <w:spacing w:val="-3"/>
        </w:rPr>
        <w:t> </w:t>
      </w:r>
      <w:r>
        <w:rPr/>
        <w:t>o</w:t>
      </w:r>
      <w:r>
        <w:rPr>
          <w:spacing w:val="-4"/>
        </w:rPr>
        <w:t> </w:t>
      </w:r>
      <w:r>
        <w:rPr/>
        <w:t>total</w:t>
      </w:r>
      <w:r>
        <w:rPr>
          <w:spacing w:val="-1"/>
        </w:rPr>
        <w:t> </w:t>
      </w:r>
      <w:r>
        <w:rPr/>
        <w:t>de</w:t>
      </w:r>
      <w:r>
        <w:rPr>
          <w:spacing w:val="-5"/>
        </w:rPr>
        <w:t> </w:t>
      </w:r>
      <w:r>
        <w:rPr/>
        <w:t>la</w:t>
      </w:r>
      <w:r>
        <w:rPr>
          <w:spacing w:val="-4"/>
        </w:rPr>
        <w:t> </w:t>
      </w:r>
      <w:r>
        <w:rPr/>
        <w:t>reserva,</w:t>
      </w:r>
      <w:r>
        <w:rPr>
          <w:spacing w:val="-4"/>
        </w:rPr>
        <w:t> </w:t>
      </w:r>
      <w:r>
        <w:rPr/>
        <w:t>se expedirá</w:t>
      </w:r>
      <w:r>
        <w:rPr>
          <w:spacing w:val="-2"/>
        </w:rPr>
        <w:t> </w:t>
      </w:r>
      <w:r>
        <w:rPr/>
        <w:t>un</w:t>
      </w:r>
      <w:r>
        <w:rPr>
          <w:spacing w:val="-3"/>
        </w:rPr>
        <w:t> </w:t>
      </w:r>
      <w:r>
        <w:rPr/>
        <w:t>programa</w:t>
      </w:r>
      <w:r>
        <w:rPr>
          <w:spacing w:val="-2"/>
        </w:rPr>
        <w:t> </w:t>
      </w:r>
      <w:r>
        <w:rPr/>
        <w:t>parcial</w:t>
      </w:r>
      <w:r>
        <w:rPr>
          <w:spacing w:val="-3"/>
        </w:rPr>
        <w:t> </w:t>
      </w:r>
      <w:r>
        <w:rPr/>
        <w:t>de desarrollo</w:t>
      </w:r>
      <w:r>
        <w:rPr>
          <w:spacing w:val="-2"/>
        </w:rPr>
        <w:t> </w:t>
      </w:r>
      <w:r>
        <w:rPr/>
        <w:t>urbano</w:t>
      </w:r>
      <w:r>
        <w:rPr>
          <w:spacing w:val="-2"/>
        </w:rPr>
        <w:t> </w:t>
      </w:r>
      <w:r>
        <w:rPr/>
        <w:t>que regule</w:t>
      </w:r>
      <w:r>
        <w:rPr>
          <w:spacing w:val="-2"/>
        </w:rPr>
        <w:t> </w:t>
      </w:r>
      <w:r>
        <w:rPr/>
        <w:t>las</w:t>
      </w:r>
      <w:r>
        <w:rPr>
          <w:spacing w:val="-1"/>
        </w:rPr>
        <w:t> </w:t>
      </w:r>
      <w:r>
        <w:rPr/>
        <w:t>acciones</w:t>
      </w:r>
      <w:r>
        <w:rPr>
          <w:spacing w:val="-1"/>
        </w:rPr>
        <w:t> </w:t>
      </w:r>
      <w:r>
        <w:rPr/>
        <w:t>y</w:t>
      </w:r>
      <w:r>
        <w:rPr>
          <w:spacing w:val="-1"/>
        </w:rPr>
        <w:t> </w:t>
      </w:r>
      <w:r>
        <w:rPr/>
        <w:t>utilización</w:t>
      </w:r>
      <w:r>
        <w:rPr>
          <w:spacing w:val="-3"/>
        </w:rPr>
        <w:t> </w:t>
      </w:r>
      <w:r>
        <w:rPr/>
        <w:t>del</w:t>
      </w:r>
      <w:r>
        <w:rPr>
          <w:spacing w:val="-3"/>
        </w:rPr>
        <w:t> </w:t>
      </w:r>
      <w:r>
        <w:rPr/>
        <w:t>área</w:t>
      </w:r>
      <w:r>
        <w:rPr>
          <w:spacing w:val="-3"/>
        </w:rPr>
        <w:t> </w:t>
      </w:r>
      <w:r>
        <w:rPr/>
        <w:t>de que se trate. En el caso de áreas ejidales y comunales, se promoverán las expropiaciones o aportaciones correspondientes, en los términos de las leyes Agraria y General de Asentamientos </w:t>
      </w:r>
      <w:r>
        <w:rPr>
          <w:spacing w:val="-2"/>
        </w:rPr>
        <w:t>Humanos.</w:t>
      </w:r>
    </w:p>
    <w:p>
      <w:pPr>
        <w:pStyle w:val="BodyText"/>
        <w:spacing w:before="1"/>
      </w:pPr>
    </w:p>
    <w:p>
      <w:pPr>
        <w:pStyle w:val="BodyText"/>
        <w:ind w:left="262" w:right="285"/>
        <w:jc w:val="both"/>
      </w:pPr>
      <w:r>
        <w:rPr>
          <w:rFonts w:ascii="Arial" w:hAnsi="Arial"/>
          <w:b/>
        </w:rPr>
        <w:t>ARTÍCULO</w:t>
      </w:r>
      <w:r>
        <w:rPr>
          <w:rFonts w:ascii="Arial" w:hAnsi="Arial"/>
          <w:b/>
          <w:spacing w:val="-8"/>
        </w:rPr>
        <w:t> </w:t>
      </w:r>
      <w:r>
        <w:rPr>
          <w:rFonts w:ascii="Arial" w:hAnsi="Arial"/>
          <w:b/>
        </w:rPr>
        <w:t>199.</w:t>
      </w:r>
      <w:r>
        <w:rPr>
          <w:rFonts w:ascii="Arial" w:hAnsi="Arial"/>
          <w:b/>
          <w:spacing w:val="-6"/>
        </w:rPr>
        <w:t> </w:t>
      </w:r>
      <w:r>
        <w:rPr/>
        <w:t>Las</w:t>
      </w:r>
      <w:r>
        <w:rPr>
          <w:spacing w:val="-8"/>
        </w:rPr>
        <w:t> </w:t>
      </w:r>
      <w:r>
        <w:rPr/>
        <w:t>zonas</w:t>
      </w:r>
      <w:r>
        <w:rPr>
          <w:spacing w:val="-8"/>
        </w:rPr>
        <w:t> </w:t>
      </w:r>
      <w:r>
        <w:rPr/>
        <w:t>de</w:t>
      </w:r>
      <w:r>
        <w:rPr>
          <w:spacing w:val="-7"/>
        </w:rPr>
        <w:t> </w:t>
      </w:r>
      <w:r>
        <w:rPr/>
        <w:t>reserva</w:t>
      </w:r>
      <w:r>
        <w:rPr>
          <w:spacing w:val="-7"/>
        </w:rPr>
        <w:t> </w:t>
      </w:r>
      <w:r>
        <w:rPr/>
        <w:t>deberán</w:t>
      </w:r>
      <w:r>
        <w:rPr>
          <w:spacing w:val="-7"/>
        </w:rPr>
        <w:t> </w:t>
      </w:r>
      <w:r>
        <w:rPr/>
        <w:t>mantenerse</w:t>
      </w:r>
      <w:r>
        <w:rPr>
          <w:spacing w:val="-7"/>
        </w:rPr>
        <w:t> </w:t>
      </w:r>
      <w:r>
        <w:rPr/>
        <w:t>inalterables,</w:t>
      </w:r>
      <w:r>
        <w:rPr>
          <w:spacing w:val="-9"/>
        </w:rPr>
        <w:t> </w:t>
      </w:r>
      <w:r>
        <w:rPr/>
        <w:t>en</w:t>
      </w:r>
      <w:r>
        <w:rPr>
          <w:spacing w:val="-9"/>
        </w:rPr>
        <w:t> </w:t>
      </w:r>
      <w:r>
        <w:rPr/>
        <w:t>tanto</w:t>
      </w:r>
      <w:r>
        <w:rPr>
          <w:spacing w:val="-7"/>
        </w:rPr>
        <w:t> </w:t>
      </w:r>
      <w:r>
        <w:rPr/>
        <w:t>no</w:t>
      </w:r>
      <w:r>
        <w:rPr>
          <w:spacing w:val="-9"/>
        </w:rPr>
        <w:t> </w:t>
      </w:r>
      <w:r>
        <w:rPr/>
        <w:t>se</w:t>
      </w:r>
      <w:r>
        <w:rPr>
          <w:spacing w:val="-7"/>
        </w:rPr>
        <w:t> </w:t>
      </w:r>
      <w:r>
        <w:rPr/>
        <w:t>expidan</w:t>
      </w:r>
      <w:r>
        <w:rPr>
          <w:spacing w:val="-7"/>
        </w:rPr>
        <w:t> </w:t>
      </w:r>
      <w:r>
        <w:rPr/>
        <w:t>las normas de planificación urbana correspondientes, que determinen el aprovechamiento que podrá otorgarse al suelo.</w:t>
      </w:r>
    </w:p>
    <w:p>
      <w:pPr>
        <w:pStyle w:val="BodyText"/>
        <w:spacing w:before="229"/>
        <w:ind w:left="262" w:right="265"/>
        <w:jc w:val="both"/>
      </w:pPr>
      <w:r>
        <w:rPr/>
        <w:t>Igualmente,</w:t>
      </w:r>
      <w:r>
        <w:rPr>
          <w:spacing w:val="-8"/>
        </w:rPr>
        <w:t> </w:t>
      </w:r>
      <w:r>
        <w:rPr/>
        <w:t>deberán</w:t>
      </w:r>
      <w:r>
        <w:rPr>
          <w:spacing w:val="-11"/>
        </w:rPr>
        <w:t> </w:t>
      </w:r>
      <w:r>
        <w:rPr/>
        <w:t>mantenerse</w:t>
      </w:r>
      <w:r>
        <w:rPr>
          <w:spacing w:val="-11"/>
        </w:rPr>
        <w:t> </w:t>
      </w:r>
      <w:r>
        <w:rPr/>
        <w:t>inalterables</w:t>
      </w:r>
      <w:r>
        <w:rPr>
          <w:spacing w:val="-10"/>
        </w:rPr>
        <w:t> </w:t>
      </w:r>
      <w:r>
        <w:rPr/>
        <w:t>las</w:t>
      </w:r>
      <w:r>
        <w:rPr>
          <w:spacing w:val="-10"/>
        </w:rPr>
        <w:t> </w:t>
      </w:r>
      <w:r>
        <w:rPr/>
        <w:t>áreas</w:t>
      </w:r>
      <w:r>
        <w:rPr>
          <w:spacing w:val="-7"/>
        </w:rPr>
        <w:t> </w:t>
      </w:r>
      <w:r>
        <w:rPr/>
        <w:t>no</w:t>
      </w:r>
      <w:r>
        <w:rPr>
          <w:spacing w:val="-11"/>
        </w:rPr>
        <w:t> </w:t>
      </w:r>
      <w:r>
        <w:rPr/>
        <w:t>urbanizables</w:t>
      </w:r>
      <w:r>
        <w:rPr>
          <w:spacing w:val="-10"/>
        </w:rPr>
        <w:t> </w:t>
      </w:r>
      <w:r>
        <w:rPr/>
        <w:t>de</w:t>
      </w:r>
      <w:r>
        <w:rPr>
          <w:spacing w:val="-9"/>
        </w:rPr>
        <w:t> </w:t>
      </w:r>
      <w:r>
        <w:rPr/>
        <w:t>los</w:t>
      </w:r>
      <w:r>
        <w:rPr>
          <w:spacing w:val="-10"/>
        </w:rPr>
        <w:t> </w:t>
      </w:r>
      <w:r>
        <w:rPr/>
        <w:t>centros</w:t>
      </w:r>
      <w:r>
        <w:rPr>
          <w:spacing w:val="-10"/>
        </w:rPr>
        <w:t> </w:t>
      </w:r>
      <w:r>
        <w:rPr/>
        <w:t>de</w:t>
      </w:r>
      <w:r>
        <w:rPr>
          <w:spacing w:val="-11"/>
        </w:rPr>
        <w:t> </w:t>
      </w:r>
      <w:r>
        <w:rPr/>
        <w:t>población, durante el término que fije el programa de desarrollo urbano respectivo, que en ningún caso será menor de cinco años.</w:t>
      </w:r>
    </w:p>
    <w:p>
      <w:pPr>
        <w:pStyle w:val="BodyText"/>
        <w:spacing w:before="2"/>
      </w:pPr>
    </w:p>
    <w:p>
      <w:pPr>
        <w:spacing w:before="0"/>
        <w:ind w:left="262" w:right="0" w:firstLine="0"/>
        <w:jc w:val="both"/>
        <w:rPr>
          <w:rFonts w:ascii="Arial"/>
          <w:b/>
          <w:i/>
          <w:sz w:val="20"/>
        </w:rPr>
      </w:pPr>
      <w:r>
        <w:rPr>
          <w:rFonts w:ascii="Arial"/>
          <w:b/>
          <w:i/>
          <w:sz w:val="20"/>
        </w:rPr>
        <w:t>(REFORMADO</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6"/>
          <w:sz w:val="20"/>
        </w:rPr>
        <w:t> </w:t>
      </w:r>
      <w:r>
        <w:rPr>
          <w:rFonts w:ascii="Arial"/>
          <w:b/>
          <w:i/>
          <w:sz w:val="20"/>
        </w:rPr>
        <w:t>22</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6"/>
          <w:sz w:val="20"/>
        </w:rPr>
        <w:t> </w:t>
      </w:r>
      <w:r>
        <w:rPr>
          <w:rFonts w:ascii="Arial"/>
          <w:b/>
          <w:i/>
          <w:sz w:val="20"/>
        </w:rPr>
        <w:t>DE</w:t>
      </w:r>
      <w:r>
        <w:rPr>
          <w:rFonts w:ascii="Arial"/>
          <w:b/>
          <w:i/>
          <w:spacing w:val="-4"/>
          <w:sz w:val="20"/>
        </w:rPr>
        <w:t> 2026)</w:t>
      </w:r>
    </w:p>
    <w:p>
      <w:pPr>
        <w:pStyle w:val="Heading2"/>
        <w:spacing w:before="1"/>
        <w:ind w:left="262" w:right="276"/>
        <w:jc w:val="both"/>
      </w:pPr>
      <w:r>
        <w:rPr/>
        <w:t>ARTÍCULO</w:t>
      </w:r>
      <w:r>
        <w:rPr>
          <w:spacing w:val="-3"/>
        </w:rPr>
        <w:t> </w:t>
      </w:r>
      <w:r>
        <w:rPr/>
        <w:t>200.</w:t>
      </w:r>
      <w:r>
        <w:rPr>
          <w:spacing w:val="-2"/>
        </w:rPr>
        <w:t> </w:t>
      </w:r>
      <w:r>
        <w:rPr/>
        <w:t>Corresponde</w:t>
      </w:r>
      <w:r>
        <w:rPr>
          <w:spacing w:val="-4"/>
        </w:rPr>
        <w:t> </w:t>
      </w:r>
      <w:r>
        <w:rPr/>
        <w:t>al</w:t>
      </w:r>
      <w:r>
        <w:rPr>
          <w:spacing w:val="-4"/>
        </w:rPr>
        <w:t> </w:t>
      </w:r>
      <w:r>
        <w:rPr/>
        <w:t>Gobierno</w:t>
      </w:r>
      <w:r>
        <w:rPr>
          <w:spacing w:val="-3"/>
        </w:rPr>
        <w:t> </w:t>
      </w:r>
      <w:r>
        <w:rPr/>
        <w:t>del</w:t>
      </w:r>
      <w:r>
        <w:rPr>
          <w:spacing w:val="-2"/>
        </w:rPr>
        <w:t> </w:t>
      </w:r>
      <w:r>
        <w:rPr/>
        <w:t>Estado</w:t>
      </w:r>
      <w:r>
        <w:rPr>
          <w:spacing w:val="-3"/>
        </w:rPr>
        <w:t> </w:t>
      </w:r>
      <w:r>
        <w:rPr/>
        <w:t>y</w:t>
      </w:r>
      <w:r>
        <w:rPr>
          <w:spacing w:val="-5"/>
        </w:rPr>
        <w:t> </w:t>
      </w:r>
      <w:r>
        <w:rPr/>
        <w:t>a</w:t>
      </w:r>
      <w:r>
        <w:rPr>
          <w:spacing w:val="-2"/>
        </w:rPr>
        <w:t> </w:t>
      </w:r>
      <w:r>
        <w:rPr/>
        <w:t>los</w:t>
      </w:r>
      <w:r>
        <w:rPr>
          <w:spacing w:val="-2"/>
        </w:rPr>
        <w:t> </w:t>
      </w:r>
      <w:r>
        <w:rPr/>
        <w:t>ayuntamientos,</w:t>
      </w:r>
      <w:r>
        <w:rPr>
          <w:spacing w:val="-2"/>
        </w:rPr>
        <w:t> </w:t>
      </w:r>
      <w:r>
        <w:rPr/>
        <w:t>en</w:t>
      </w:r>
      <w:r>
        <w:rPr>
          <w:spacing w:val="-4"/>
        </w:rPr>
        <w:t> </w:t>
      </w:r>
      <w:r>
        <w:rPr/>
        <w:t>coordinación con la Federación y con los sectores social y privado, realizar las acciones que agilicen la adquisición</w:t>
      </w:r>
      <w:r>
        <w:rPr>
          <w:spacing w:val="-2"/>
        </w:rPr>
        <w:t> </w:t>
      </w:r>
      <w:r>
        <w:rPr/>
        <w:t>o</w:t>
      </w:r>
      <w:r>
        <w:rPr>
          <w:spacing w:val="-2"/>
        </w:rPr>
        <w:t> </w:t>
      </w:r>
      <w:r>
        <w:rPr/>
        <w:t>manejo</w:t>
      </w:r>
      <w:r>
        <w:rPr>
          <w:spacing w:val="-2"/>
        </w:rPr>
        <w:t> </w:t>
      </w:r>
      <w:r>
        <w:rPr/>
        <w:t>de</w:t>
      </w:r>
      <w:r>
        <w:rPr>
          <w:spacing w:val="-1"/>
        </w:rPr>
        <w:t> </w:t>
      </w:r>
      <w:r>
        <w:rPr/>
        <w:t>reservas</w:t>
      </w:r>
      <w:r>
        <w:rPr>
          <w:spacing w:val="-3"/>
        </w:rPr>
        <w:t> </w:t>
      </w:r>
      <w:r>
        <w:rPr/>
        <w:t>territoriales</w:t>
      </w:r>
      <w:r>
        <w:rPr>
          <w:spacing w:val="-2"/>
        </w:rPr>
        <w:t> </w:t>
      </w:r>
      <w:r>
        <w:rPr/>
        <w:t>para</w:t>
      </w:r>
      <w:r>
        <w:rPr>
          <w:spacing w:val="-2"/>
        </w:rPr>
        <w:t> </w:t>
      </w:r>
      <w:r>
        <w:rPr/>
        <w:t>la</w:t>
      </w:r>
      <w:r>
        <w:rPr>
          <w:spacing w:val="-2"/>
        </w:rPr>
        <w:t> </w:t>
      </w:r>
      <w:r>
        <w:rPr/>
        <w:t>construcción</w:t>
      </w:r>
      <w:r>
        <w:rPr>
          <w:spacing w:val="-2"/>
        </w:rPr>
        <w:t> </w:t>
      </w:r>
      <w:r>
        <w:rPr/>
        <w:t>de</w:t>
      </w:r>
      <w:r>
        <w:rPr>
          <w:spacing w:val="-2"/>
        </w:rPr>
        <w:t> </w:t>
      </w:r>
      <w:r>
        <w:rPr/>
        <w:t>vivienda</w:t>
      </w:r>
      <w:r>
        <w:rPr>
          <w:spacing w:val="-2"/>
        </w:rPr>
        <w:t> </w:t>
      </w:r>
      <w:r>
        <w:rPr/>
        <w:t>adecuada de interés social, popular y económica y para la ejecución de obras públicas.</w:t>
      </w:r>
    </w:p>
    <w:p>
      <w:pPr>
        <w:spacing w:before="229"/>
        <w:ind w:left="262" w:right="0" w:firstLine="0"/>
        <w:jc w:val="both"/>
        <w:rPr>
          <w:rFonts w:ascii="Arial"/>
          <w:b/>
          <w:i/>
          <w:sz w:val="20"/>
        </w:rPr>
      </w:pPr>
      <w:r>
        <w:rPr>
          <w:rFonts w:ascii="Arial"/>
          <w:b/>
          <w:i/>
          <w:sz w:val="20"/>
        </w:rPr>
        <w:t>(REFORMADO</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6"/>
          <w:sz w:val="20"/>
        </w:rPr>
        <w:t> </w:t>
      </w:r>
      <w:r>
        <w:rPr>
          <w:rFonts w:ascii="Arial"/>
          <w:b/>
          <w:i/>
          <w:sz w:val="20"/>
        </w:rPr>
        <w:t>22</w:t>
      </w:r>
      <w:r>
        <w:rPr>
          <w:rFonts w:ascii="Arial"/>
          <w:b/>
          <w:i/>
          <w:spacing w:val="-6"/>
          <w:sz w:val="20"/>
        </w:rPr>
        <w:t> </w:t>
      </w:r>
      <w:r>
        <w:rPr>
          <w:rFonts w:ascii="Arial"/>
          <w:b/>
          <w:i/>
          <w:sz w:val="20"/>
        </w:rPr>
        <w:t>DE</w:t>
      </w:r>
      <w:r>
        <w:rPr>
          <w:rFonts w:ascii="Arial"/>
          <w:b/>
          <w:i/>
          <w:spacing w:val="-5"/>
          <w:sz w:val="20"/>
        </w:rPr>
        <w:t> </w:t>
      </w:r>
      <w:r>
        <w:rPr>
          <w:rFonts w:ascii="Arial"/>
          <w:b/>
          <w:i/>
          <w:sz w:val="20"/>
        </w:rPr>
        <w:t>MAYO</w:t>
      </w:r>
      <w:r>
        <w:rPr>
          <w:rFonts w:ascii="Arial"/>
          <w:b/>
          <w:i/>
          <w:spacing w:val="-6"/>
          <w:sz w:val="20"/>
        </w:rPr>
        <w:t> </w:t>
      </w:r>
      <w:r>
        <w:rPr>
          <w:rFonts w:ascii="Arial"/>
          <w:b/>
          <w:i/>
          <w:sz w:val="20"/>
        </w:rPr>
        <w:t>DE</w:t>
      </w:r>
      <w:r>
        <w:rPr>
          <w:rFonts w:ascii="Arial"/>
          <w:b/>
          <w:i/>
          <w:spacing w:val="-4"/>
          <w:sz w:val="20"/>
        </w:rPr>
        <w:t> 2026)</w:t>
      </w:r>
    </w:p>
    <w:p>
      <w:pPr>
        <w:pStyle w:val="Heading2"/>
        <w:spacing w:before="1"/>
        <w:ind w:left="262" w:right="277"/>
        <w:jc w:val="both"/>
      </w:pPr>
      <w:r>
        <w:rPr/>
        <w:t>ARTÍCULO 201. La Secretaría en coordinación con las entidades estatales competentes en materia de vivienda y regularización de la tenencia de la tierra urbana, así como los </w:t>
      </w:r>
      <w:r>
        <w:rPr>
          <w:spacing w:val="-2"/>
        </w:rPr>
        <w:t>ayuntamientos o</w:t>
      </w:r>
      <w:r>
        <w:rPr>
          <w:spacing w:val="-3"/>
        </w:rPr>
        <w:t> </w:t>
      </w:r>
      <w:r>
        <w:rPr>
          <w:spacing w:val="-2"/>
        </w:rPr>
        <w:t>sus Institutos</w:t>
      </w:r>
      <w:r>
        <w:rPr>
          <w:spacing w:val="-4"/>
        </w:rPr>
        <w:t> </w:t>
      </w:r>
      <w:r>
        <w:rPr>
          <w:spacing w:val="-2"/>
        </w:rPr>
        <w:t>Municipales</w:t>
      </w:r>
      <w:r>
        <w:rPr>
          <w:spacing w:val="-4"/>
        </w:rPr>
        <w:t> </w:t>
      </w:r>
      <w:r>
        <w:rPr>
          <w:spacing w:val="-2"/>
        </w:rPr>
        <w:t>o Metropolitanos</w:t>
      </w:r>
      <w:r>
        <w:rPr>
          <w:spacing w:val="-4"/>
        </w:rPr>
        <w:t> </w:t>
      </w:r>
      <w:r>
        <w:rPr>
          <w:spacing w:val="-2"/>
        </w:rPr>
        <w:t>de Planeación Urbana, efectuará </w:t>
      </w:r>
      <w:r>
        <w:rPr/>
        <w:t>a</w:t>
      </w:r>
      <w:r>
        <w:rPr>
          <w:spacing w:val="-9"/>
        </w:rPr>
        <w:t> </w:t>
      </w:r>
      <w:r>
        <w:rPr/>
        <w:t>través</w:t>
      </w:r>
      <w:r>
        <w:rPr>
          <w:spacing w:val="-7"/>
        </w:rPr>
        <w:t> </w:t>
      </w:r>
      <w:r>
        <w:rPr/>
        <w:t>del</w:t>
      </w:r>
      <w:r>
        <w:rPr>
          <w:spacing w:val="-7"/>
        </w:rPr>
        <w:t> </w:t>
      </w:r>
      <w:r>
        <w:rPr/>
        <w:t>Instituto</w:t>
      </w:r>
      <w:r>
        <w:rPr>
          <w:spacing w:val="-8"/>
        </w:rPr>
        <w:t> </w:t>
      </w:r>
      <w:r>
        <w:rPr/>
        <w:t>Estatal</w:t>
      </w:r>
      <w:r>
        <w:rPr>
          <w:spacing w:val="-9"/>
        </w:rPr>
        <w:t> </w:t>
      </w:r>
      <w:r>
        <w:rPr/>
        <w:t>de</w:t>
      </w:r>
      <w:r>
        <w:rPr>
          <w:spacing w:val="-7"/>
        </w:rPr>
        <w:t> </w:t>
      </w:r>
      <w:r>
        <w:rPr/>
        <w:t>Planeación</w:t>
      </w:r>
      <w:r>
        <w:rPr>
          <w:spacing w:val="-8"/>
        </w:rPr>
        <w:t> </w:t>
      </w:r>
      <w:r>
        <w:rPr/>
        <w:t>cuando</w:t>
      </w:r>
      <w:r>
        <w:rPr>
          <w:spacing w:val="-6"/>
        </w:rPr>
        <w:t> </w:t>
      </w:r>
      <w:r>
        <w:rPr/>
        <w:t>éste</w:t>
      </w:r>
      <w:r>
        <w:rPr>
          <w:spacing w:val="-7"/>
        </w:rPr>
        <w:t> </w:t>
      </w:r>
      <w:r>
        <w:rPr/>
        <w:t>se</w:t>
      </w:r>
      <w:r>
        <w:rPr>
          <w:spacing w:val="-7"/>
        </w:rPr>
        <w:t> </w:t>
      </w:r>
      <w:r>
        <w:rPr/>
        <w:t>encuentre</w:t>
      </w:r>
      <w:r>
        <w:rPr>
          <w:spacing w:val="-7"/>
        </w:rPr>
        <w:t> </w:t>
      </w:r>
      <w:r>
        <w:rPr/>
        <w:t>constituido</w:t>
      </w:r>
      <w:r>
        <w:rPr>
          <w:spacing w:val="-8"/>
        </w:rPr>
        <w:t> </w:t>
      </w:r>
      <w:r>
        <w:rPr/>
        <w:t>o</w:t>
      </w:r>
      <w:r>
        <w:rPr>
          <w:spacing w:val="-8"/>
        </w:rPr>
        <w:t> </w:t>
      </w:r>
      <w:r>
        <w:rPr/>
        <w:t>por</w:t>
      </w:r>
      <w:r>
        <w:rPr>
          <w:spacing w:val="-7"/>
        </w:rPr>
        <w:t> </w:t>
      </w:r>
      <w:r>
        <w:rPr/>
        <w:t>sí,</w:t>
      </w:r>
      <w:r>
        <w:rPr>
          <w:spacing w:val="-7"/>
        </w:rPr>
        <w:t> </w:t>
      </w:r>
      <w:r>
        <w:rPr/>
        <w:t>los estudios necesarios, a fin de determinar las necesidades que existen en el Estado de suelo urbano y reservas territoriales para ser canalizadas al desarrollo urbano y a la construcción de vivienda adecuada, tomando en cuenta los requerimientos presentes y los del futuro inmediato,</w:t>
      </w:r>
      <w:r>
        <w:rPr>
          <w:spacing w:val="-9"/>
        </w:rPr>
        <w:t> </w:t>
      </w:r>
      <w:r>
        <w:rPr/>
        <w:t>los</w:t>
      </w:r>
      <w:r>
        <w:rPr>
          <w:spacing w:val="-8"/>
        </w:rPr>
        <w:t> </w:t>
      </w:r>
      <w:r>
        <w:rPr/>
        <w:t>que</w:t>
      </w:r>
      <w:r>
        <w:rPr>
          <w:spacing w:val="-8"/>
        </w:rPr>
        <w:t> </w:t>
      </w:r>
      <w:r>
        <w:rPr/>
        <w:t>servirán</w:t>
      </w:r>
      <w:r>
        <w:rPr>
          <w:spacing w:val="-8"/>
        </w:rPr>
        <w:t> </w:t>
      </w:r>
      <w:r>
        <w:rPr/>
        <w:t>de</w:t>
      </w:r>
      <w:r>
        <w:rPr>
          <w:spacing w:val="-9"/>
        </w:rPr>
        <w:t> </w:t>
      </w:r>
      <w:r>
        <w:rPr/>
        <w:t>base</w:t>
      </w:r>
      <w:r>
        <w:rPr>
          <w:spacing w:val="-9"/>
        </w:rPr>
        <w:t> </w:t>
      </w:r>
      <w:r>
        <w:rPr/>
        <w:t>para</w:t>
      </w:r>
      <w:r>
        <w:rPr>
          <w:spacing w:val="-8"/>
        </w:rPr>
        <w:t> </w:t>
      </w:r>
      <w:r>
        <w:rPr/>
        <w:t>su</w:t>
      </w:r>
      <w:r>
        <w:rPr>
          <w:spacing w:val="-8"/>
        </w:rPr>
        <w:t> </w:t>
      </w:r>
      <w:r>
        <w:rPr/>
        <w:t>adquisición</w:t>
      </w:r>
      <w:r>
        <w:rPr>
          <w:spacing w:val="-8"/>
        </w:rPr>
        <w:t> </w:t>
      </w:r>
      <w:r>
        <w:rPr/>
        <w:t>y</w:t>
      </w:r>
      <w:r>
        <w:rPr>
          <w:spacing w:val="-9"/>
        </w:rPr>
        <w:t> </w:t>
      </w:r>
      <w:r>
        <w:rPr/>
        <w:t>urbanización.</w:t>
      </w:r>
      <w:r>
        <w:rPr>
          <w:spacing w:val="-9"/>
        </w:rPr>
        <w:t> </w:t>
      </w:r>
      <w:r>
        <w:rPr/>
        <w:t>Asimismo,</w:t>
      </w:r>
      <w:r>
        <w:rPr>
          <w:spacing w:val="-9"/>
        </w:rPr>
        <w:t> </w:t>
      </w:r>
      <w:r>
        <w:rPr/>
        <w:t>formulará un</w:t>
      </w:r>
      <w:r>
        <w:rPr>
          <w:spacing w:val="-3"/>
        </w:rPr>
        <w:t> </w:t>
      </w:r>
      <w:r>
        <w:rPr/>
        <w:t>inventario</w:t>
      </w:r>
      <w:r>
        <w:rPr>
          <w:spacing w:val="-4"/>
        </w:rPr>
        <w:t> </w:t>
      </w:r>
      <w:r>
        <w:rPr/>
        <w:t>de</w:t>
      </w:r>
      <w:r>
        <w:rPr>
          <w:spacing w:val="-4"/>
        </w:rPr>
        <w:t> </w:t>
      </w:r>
      <w:r>
        <w:rPr/>
        <w:t>terrenos</w:t>
      </w:r>
      <w:r>
        <w:rPr>
          <w:spacing w:val="-3"/>
        </w:rPr>
        <w:t> </w:t>
      </w:r>
      <w:r>
        <w:rPr/>
        <w:t>que</w:t>
      </w:r>
      <w:r>
        <w:rPr>
          <w:spacing w:val="-4"/>
        </w:rPr>
        <w:t> </w:t>
      </w:r>
      <w:r>
        <w:rPr/>
        <w:t>puedan</w:t>
      </w:r>
      <w:r>
        <w:rPr>
          <w:spacing w:val="-3"/>
        </w:rPr>
        <w:t> </w:t>
      </w:r>
      <w:r>
        <w:rPr/>
        <w:t>ser</w:t>
      </w:r>
      <w:r>
        <w:rPr>
          <w:spacing w:val="-4"/>
        </w:rPr>
        <w:t> </w:t>
      </w:r>
      <w:r>
        <w:rPr/>
        <w:t>aprovechados</w:t>
      </w:r>
      <w:r>
        <w:rPr>
          <w:spacing w:val="-4"/>
        </w:rPr>
        <w:t> </w:t>
      </w:r>
      <w:r>
        <w:rPr/>
        <w:t>en</w:t>
      </w:r>
      <w:r>
        <w:rPr>
          <w:spacing w:val="-3"/>
        </w:rPr>
        <w:t> </w:t>
      </w:r>
      <w:r>
        <w:rPr/>
        <w:t>programas</w:t>
      </w:r>
      <w:r>
        <w:rPr>
          <w:spacing w:val="-5"/>
        </w:rPr>
        <w:t> </w:t>
      </w:r>
      <w:r>
        <w:rPr/>
        <w:t>de</w:t>
      </w:r>
      <w:r>
        <w:rPr>
          <w:spacing w:val="-4"/>
        </w:rPr>
        <w:t> </w:t>
      </w:r>
      <w:r>
        <w:rPr/>
        <w:t>desarrollo</w:t>
      </w:r>
      <w:r>
        <w:rPr>
          <w:spacing w:val="-4"/>
        </w:rPr>
        <w:t> </w:t>
      </w:r>
      <w:r>
        <w:rPr/>
        <w:t>urbano, ordenamiento</w:t>
      </w:r>
      <w:r>
        <w:rPr>
          <w:spacing w:val="-13"/>
        </w:rPr>
        <w:t> </w:t>
      </w:r>
      <w:r>
        <w:rPr/>
        <w:t>territorial</w:t>
      </w:r>
      <w:r>
        <w:rPr>
          <w:spacing w:val="-14"/>
        </w:rPr>
        <w:t> </w:t>
      </w:r>
      <w:r>
        <w:rPr/>
        <w:t>y</w:t>
      </w:r>
      <w:r>
        <w:rPr>
          <w:spacing w:val="-11"/>
        </w:rPr>
        <w:t> </w:t>
      </w:r>
      <w:r>
        <w:rPr/>
        <w:t>de</w:t>
      </w:r>
      <w:r>
        <w:rPr>
          <w:spacing w:val="-14"/>
        </w:rPr>
        <w:t> </w:t>
      </w:r>
      <w:r>
        <w:rPr/>
        <w:t>vivienda,</w:t>
      </w:r>
      <w:r>
        <w:rPr>
          <w:spacing w:val="-14"/>
        </w:rPr>
        <w:t> </w:t>
      </w:r>
      <w:r>
        <w:rPr/>
        <w:t>con</w:t>
      </w:r>
      <w:r>
        <w:rPr>
          <w:spacing w:val="-13"/>
        </w:rPr>
        <w:t> </w:t>
      </w:r>
      <w:r>
        <w:rPr/>
        <w:t>base</w:t>
      </w:r>
      <w:r>
        <w:rPr>
          <w:spacing w:val="-11"/>
        </w:rPr>
        <w:t> </w:t>
      </w:r>
      <w:r>
        <w:rPr/>
        <w:t>en</w:t>
      </w:r>
      <w:r>
        <w:rPr>
          <w:spacing w:val="-13"/>
        </w:rPr>
        <w:t> </w:t>
      </w:r>
      <w:r>
        <w:rPr/>
        <w:t>las</w:t>
      </w:r>
      <w:r>
        <w:rPr>
          <w:spacing w:val="-14"/>
        </w:rPr>
        <w:t> </w:t>
      </w:r>
      <w:r>
        <w:rPr/>
        <w:t>condiciones</w:t>
      </w:r>
      <w:r>
        <w:rPr>
          <w:spacing w:val="-14"/>
        </w:rPr>
        <w:t> </w:t>
      </w:r>
      <w:r>
        <w:rPr/>
        <w:t>básicas</w:t>
      </w:r>
      <w:r>
        <w:rPr>
          <w:spacing w:val="-14"/>
        </w:rPr>
        <w:t> </w:t>
      </w:r>
      <w:r>
        <w:rPr/>
        <w:t>de</w:t>
      </w:r>
      <w:r>
        <w:rPr>
          <w:spacing w:val="-14"/>
        </w:rPr>
        <w:t> </w:t>
      </w:r>
      <w:r>
        <w:rPr/>
        <w:t>infraestructura y equipamiento urbano y la posibilidad de introducción de servicios públicos, con el menor costo y tiempo posible.</w:t>
      </w:r>
    </w:p>
    <w:p>
      <w:pPr>
        <w:pStyle w:val="BodyText"/>
        <w:spacing w:before="229"/>
        <w:ind w:left="262" w:right="276"/>
        <w:jc w:val="both"/>
      </w:pPr>
      <w:r>
        <w:rPr>
          <w:rFonts w:ascii="Arial" w:hAnsi="Arial"/>
          <w:b/>
        </w:rPr>
        <w:t>ARTÍCULO</w:t>
      </w:r>
      <w:r>
        <w:rPr>
          <w:rFonts w:ascii="Arial" w:hAnsi="Arial"/>
          <w:b/>
          <w:spacing w:val="-14"/>
        </w:rPr>
        <w:t> </w:t>
      </w:r>
      <w:r>
        <w:rPr>
          <w:rFonts w:ascii="Arial" w:hAnsi="Arial"/>
          <w:b/>
        </w:rPr>
        <w:t>202.</w:t>
      </w:r>
      <w:r>
        <w:rPr>
          <w:rFonts w:ascii="Arial" w:hAnsi="Arial"/>
          <w:b/>
          <w:spacing w:val="-11"/>
        </w:rPr>
        <w:t> </w:t>
      </w:r>
      <w:r>
        <w:rPr/>
        <w:t>Las</w:t>
      </w:r>
      <w:r>
        <w:rPr>
          <w:spacing w:val="-11"/>
        </w:rPr>
        <w:t> </w:t>
      </w:r>
      <w:r>
        <w:rPr/>
        <w:t>dependencias</w:t>
      </w:r>
      <w:r>
        <w:rPr>
          <w:spacing w:val="-14"/>
        </w:rPr>
        <w:t> </w:t>
      </w:r>
      <w:r>
        <w:rPr/>
        <w:t>y</w:t>
      </w:r>
      <w:r>
        <w:rPr>
          <w:spacing w:val="-13"/>
        </w:rPr>
        <w:t> </w:t>
      </w:r>
      <w:r>
        <w:rPr/>
        <w:t>entidades</w:t>
      </w:r>
      <w:r>
        <w:rPr>
          <w:spacing w:val="-11"/>
        </w:rPr>
        <w:t> </w:t>
      </w:r>
      <w:r>
        <w:rPr/>
        <w:t>de</w:t>
      </w:r>
      <w:r>
        <w:rPr>
          <w:spacing w:val="-13"/>
        </w:rPr>
        <w:t> </w:t>
      </w:r>
      <w:r>
        <w:rPr/>
        <w:t>la</w:t>
      </w:r>
      <w:r>
        <w:rPr>
          <w:spacing w:val="-12"/>
        </w:rPr>
        <w:t> </w:t>
      </w:r>
      <w:r>
        <w:rPr/>
        <w:t>Administración</w:t>
      </w:r>
      <w:r>
        <w:rPr>
          <w:spacing w:val="-13"/>
        </w:rPr>
        <w:t> </w:t>
      </w:r>
      <w:r>
        <w:rPr/>
        <w:t>Pública</w:t>
      </w:r>
      <w:r>
        <w:rPr>
          <w:spacing w:val="-12"/>
        </w:rPr>
        <w:t> </w:t>
      </w:r>
      <w:r>
        <w:rPr/>
        <w:t>Estatal,</w:t>
      </w:r>
      <w:r>
        <w:rPr>
          <w:spacing w:val="-12"/>
        </w:rPr>
        <w:t> </w:t>
      </w:r>
      <w:r>
        <w:rPr/>
        <w:t>podrán</w:t>
      </w:r>
      <w:r>
        <w:rPr>
          <w:spacing w:val="-13"/>
        </w:rPr>
        <w:t> </w:t>
      </w:r>
      <w:r>
        <w:rPr/>
        <w:t>adquirir y enajenar terrenos destinados a la realización de las estrategias y acciones derivadas de los programas de ordenamiento territorial y desarrollo urbano, para la industria y la vivienda, previa autorización de la Secretaría, cumpliendo con los requisitos siguientes: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77"/>
        </w:numPr>
        <w:tabs>
          <w:tab w:pos="543" w:val="left" w:leader="none"/>
        </w:tabs>
        <w:spacing w:line="240" w:lineRule="auto" w:before="0" w:after="0"/>
        <w:ind w:left="262" w:right="284" w:firstLine="0"/>
        <w:jc w:val="both"/>
        <w:rPr>
          <w:sz w:val="20"/>
        </w:rPr>
      </w:pPr>
      <w:r>
        <w:rPr>
          <w:sz w:val="20"/>
        </w:rPr>
        <w:t>Que en el programa operativo anual autorizado se prevea la enajenación, aportación o </w:t>
      </w:r>
      <w:r>
        <w:rPr>
          <w:spacing w:val="-2"/>
          <w:sz w:val="20"/>
        </w:rPr>
        <w:t>adquisición;</w:t>
      </w:r>
    </w:p>
    <w:p>
      <w:pPr>
        <w:pStyle w:val="BodyText"/>
        <w:spacing w:before="1"/>
      </w:pPr>
    </w:p>
    <w:p>
      <w:pPr>
        <w:pStyle w:val="ListParagraph"/>
        <w:numPr>
          <w:ilvl w:val="0"/>
          <w:numId w:val="77"/>
        </w:numPr>
        <w:tabs>
          <w:tab w:pos="543" w:val="left" w:leader="none"/>
        </w:tabs>
        <w:spacing w:line="240" w:lineRule="auto" w:before="1" w:after="0"/>
        <w:ind w:left="543" w:right="0" w:hanging="281"/>
        <w:jc w:val="both"/>
        <w:rPr>
          <w:sz w:val="20"/>
        </w:rPr>
      </w:pPr>
      <w:r>
        <w:rPr>
          <w:sz w:val="20"/>
        </w:rPr>
        <w:t>Que</w:t>
      </w:r>
      <w:r>
        <w:rPr>
          <w:spacing w:val="-10"/>
          <w:sz w:val="20"/>
        </w:rPr>
        <w:t> </w:t>
      </w:r>
      <w:r>
        <w:rPr>
          <w:sz w:val="20"/>
        </w:rPr>
        <w:t>existan</w:t>
      </w:r>
      <w:r>
        <w:rPr>
          <w:spacing w:val="-9"/>
          <w:sz w:val="20"/>
        </w:rPr>
        <w:t> </w:t>
      </w:r>
      <w:r>
        <w:rPr>
          <w:sz w:val="20"/>
        </w:rPr>
        <w:t>los</w:t>
      </w:r>
      <w:r>
        <w:rPr>
          <w:spacing w:val="-7"/>
          <w:sz w:val="20"/>
        </w:rPr>
        <w:t> </w:t>
      </w:r>
      <w:r>
        <w:rPr>
          <w:sz w:val="20"/>
        </w:rPr>
        <w:t>medios</w:t>
      </w:r>
      <w:r>
        <w:rPr>
          <w:spacing w:val="-8"/>
          <w:sz w:val="20"/>
        </w:rPr>
        <w:t> </w:t>
      </w:r>
      <w:r>
        <w:rPr>
          <w:sz w:val="20"/>
        </w:rPr>
        <w:t>de</w:t>
      </w:r>
      <w:r>
        <w:rPr>
          <w:spacing w:val="-8"/>
          <w:sz w:val="20"/>
        </w:rPr>
        <w:t> </w:t>
      </w:r>
      <w:r>
        <w:rPr>
          <w:sz w:val="20"/>
        </w:rPr>
        <w:t>financiamiento</w:t>
      </w:r>
      <w:r>
        <w:rPr>
          <w:spacing w:val="-7"/>
          <w:sz w:val="20"/>
        </w:rPr>
        <w:t> </w:t>
      </w:r>
      <w:r>
        <w:rPr>
          <w:spacing w:val="-2"/>
          <w:sz w:val="20"/>
        </w:rPr>
        <w:t>necesarios;</w:t>
      </w:r>
    </w:p>
    <w:p>
      <w:pPr>
        <w:pStyle w:val="ListParagraph"/>
        <w:numPr>
          <w:ilvl w:val="0"/>
          <w:numId w:val="77"/>
        </w:numPr>
        <w:tabs>
          <w:tab w:pos="597" w:val="left" w:leader="none"/>
        </w:tabs>
        <w:spacing w:line="240" w:lineRule="auto" w:before="228" w:after="0"/>
        <w:ind w:left="597" w:right="0" w:hanging="335"/>
        <w:jc w:val="both"/>
        <w:rPr>
          <w:sz w:val="20"/>
        </w:rPr>
      </w:pPr>
      <w:r>
        <w:rPr>
          <w:sz w:val="20"/>
        </w:rPr>
        <w:t>Que</w:t>
      </w:r>
      <w:r>
        <w:rPr>
          <w:spacing w:val="-10"/>
          <w:sz w:val="20"/>
        </w:rPr>
        <w:t> </w:t>
      </w:r>
      <w:r>
        <w:rPr>
          <w:sz w:val="20"/>
        </w:rPr>
        <w:t>haya</w:t>
      </w:r>
      <w:r>
        <w:rPr>
          <w:spacing w:val="-9"/>
          <w:sz w:val="20"/>
        </w:rPr>
        <w:t> </w:t>
      </w:r>
      <w:r>
        <w:rPr>
          <w:sz w:val="20"/>
        </w:rPr>
        <w:t>la</w:t>
      </w:r>
      <w:r>
        <w:rPr>
          <w:spacing w:val="-9"/>
          <w:sz w:val="20"/>
        </w:rPr>
        <w:t> </w:t>
      </w:r>
      <w:r>
        <w:rPr>
          <w:sz w:val="20"/>
        </w:rPr>
        <w:t>disponibilidad</w:t>
      </w:r>
      <w:r>
        <w:rPr>
          <w:spacing w:val="-7"/>
          <w:sz w:val="20"/>
        </w:rPr>
        <w:t> </w:t>
      </w:r>
      <w:r>
        <w:rPr>
          <w:sz w:val="20"/>
        </w:rPr>
        <w:t>de</w:t>
      </w:r>
      <w:r>
        <w:rPr>
          <w:spacing w:val="-10"/>
          <w:sz w:val="20"/>
        </w:rPr>
        <w:t> </w:t>
      </w:r>
      <w:r>
        <w:rPr>
          <w:sz w:val="20"/>
        </w:rPr>
        <w:t>servicios</w:t>
      </w:r>
      <w:r>
        <w:rPr>
          <w:spacing w:val="-8"/>
          <w:sz w:val="20"/>
        </w:rPr>
        <w:t> </w:t>
      </w:r>
      <w:r>
        <w:rPr>
          <w:sz w:val="20"/>
        </w:rPr>
        <w:t>públicos,</w:t>
      </w:r>
      <w:r>
        <w:rPr>
          <w:spacing w:val="-7"/>
          <w:sz w:val="20"/>
        </w:rPr>
        <w:t> </w:t>
      </w:r>
      <w:r>
        <w:rPr>
          <w:sz w:val="20"/>
        </w:rPr>
        <w:t>infraestructura</w:t>
      </w:r>
      <w:r>
        <w:rPr>
          <w:spacing w:val="-9"/>
          <w:sz w:val="20"/>
        </w:rPr>
        <w:t> </w:t>
      </w:r>
      <w:r>
        <w:rPr>
          <w:sz w:val="20"/>
        </w:rPr>
        <w:t>y</w:t>
      </w:r>
      <w:r>
        <w:rPr>
          <w:spacing w:val="-8"/>
          <w:sz w:val="20"/>
        </w:rPr>
        <w:t> </w:t>
      </w:r>
      <w:r>
        <w:rPr>
          <w:sz w:val="20"/>
        </w:rPr>
        <w:t>equipamiento,</w:t>
      </w:r>
      <w:r>
        <w:rPr>
          <w:spacing w:val="-8"/>
          <w:sz w:val="20"/>
        </w:rPr>
        <w:t> </w:t>
      </w:r>
      <w:r>
        <w:rPr>
          <w:spacing w:val="-10"/>
          <w:sz w:val="20"/>
        </w:rPr>
        <w:t>y</w:t>
      </w:r>
    </w:p>
    <w:p>
      <w:pPr>
        <w:pStyle w:val="BodyText"/>
        <w:spacing w:before="1"/>
      </w:pPr>
    </w:p>
    <w:p>
      <w:pPr>
        <w:pStyle w:val="ListParagraph"/>
        <w:numPr>
          <w:ilvl w:val="0"/>
          <w:numId w:val="77"/>
        </w:numPr>
        <w:tabs>
          <w:tab w:pos="545" w:val="left" w:leader="none"/>
        </w:tabs>
        <w:spacing w:line="240" w:lineRule="auto" w:before="0" w:after="0"/>
        <w:ind w:left="262" w:right="287" w:firstLine="0"/>
        <w:jc w:val="both"/>
        <w:rPr>
          <w:sz w:val="20"/>
        </w:rPr>
      </w:pPr>
      <w:r>
        <w:rPr>
          <w:sz w:val="20"/>
        </w:rPr>
        <w:t>Que las acciones sean compatibles con lo establecido en los programas de desarrollo urbano, ordenamiento territorial y vivienda y las disposiciones que regulan el aprovechamiento sustentable del suelo.</w:t>
      </w:r>
    </w:p>
    <w:p>
      <w:pPr>
        <w:pStyle w:val="BodyText"/>
      </w:pPr>
    </w:p>
    <w:p>
      <w:pPr>
        <w:pStyle w:val="BodyText"/>
        <w:ind w:left="262" w:right="285"/>
        <w:jc w:val="both"/>
      </w:pPr>
      <w:r>
        <w:rPr/>
        <w:t>La</w:t>
      </w:r>
      <w:r>
        <w:rPr>
          <w:spacing w:val="-14"/>
        </w:rPr>
        <w:t> </w:t>
      </w:r>
      <w:r>
        <w:rPr/>
        <w:t>enajenación</w:t>
      </w:r>
      <w:r>
        <w:rPr>
          <w:spacing w:val="-14"/>
        </w:rPr>
        <w:t> </w:t>
      </w:r>
      <w:r>
        <w:rPr/>
        <w:t>de</w:t>
      </w:r>
      <w:r>
        <w:rPr>
          <w:spacing w:val="-14"/>
        </w:rPr>
        <w:t> </w:t>
      </w:r>
      <w:r>
        <w:rPr/>
        <w:t>terrenos</w:t>
      </w:r>
      <w:r>
        <w:rPr>
          <w:spacing w:val="-14"/>
        </w:rPr>
        <w:t> </w:t>
      </w:r>
      <w:r>
        <w:rPr/>
        <w:t>con</w:t>
      </w:r>
      <w:r>
        <w:rPr>
          <w:spacing w:val="-14"/>
        </w:rPr>
        <w:t> </w:t>
      </w:r>
      <w:r>
        <w:rPr/>
        <w:t>los</w:t>
      </w:r>
      <w:r>
        <w:rPr>
          <w:spacing w:val="-14"/>
        </w:rPr>
        <w:t> </w:t>
      </w:r>
      <w:r>
        <w:rPr/>
        <w:t>fines</w:t>
      </w:r>
      <w:r>
        <w:rPr>
          <w:spacing w:val="-14"/>
        </w:rPr>
        <w:t> </w:t>
      </w:r>
      <w:r>
        <w:rPr/>
        <w:t>descritos,</w:t>
      </w:r>
      <w:r>
        <w:rPr>
          <w:spacing w:val="-14"/>
        </w:rPr>
        <w:t> </w:t>
      </w:r>
      <w:r>
        <w:rPr/>
        <w:t>requerirá</w:t>
      </w:r>
      <w:r>
        <w:rPr>
          <w:spacing w:val="-14"/>
        </w:rPr>
        <w:t> </w:t>
      </w:r>
      <w:r>
        <w:rPr/>
        <w:t>además</w:t>
      </w:r>
      <w:r>
        <w:rPr>
          <w:spacing w:val="-13"/>
        </w:rPr>
        <w:t> </w:t>
      </w:r>
      <w:r>
        <w:rPr/>
        <w:t>de</w:t>
      </w:r>
      <w:r>
        <w:rPr>
          <w:spacing w:val="-14"/>
        </w:rPr>
        <w:t> </w:t>
      </w:r>
      <w:r>
        <w:rPr/>
        <w:t>la</w:t>
      </w:r>
      <w:r>
        <w:rPr>
          <w:spacing w:val="-14"/>
        </w:rPr>
        <w:t> </w:t>
      </w:r>
      <w:r>
        <w:rPr/>
        <w:t>autorización</w:t>
      </w:r>
      <w:r>
        <w:rPr>
          <w:spacing w:val="-14"/>
        </w:rPr>
        <w:t> </w:t>
      </w:r>
      <w:r>
        <w:rPr/>
        <w:t>del</w:t>
      </w:r>
      <w:r>
        <w:rPr>
          <w:spacing w:val="-14"/>
        </w:rPr>
        <w:t> </w:t>
      </w:r>
      <w:r>
        <w:rPr/>
        <w:t>Congreso del Estado, de conformidad con los artículos 57 y 80 de la Constitución Política del Estado Libre y Soberano de San Luis Potosí, y 31 de la Ley Orgánica del Municipio Libre del Estado.</w:t>
      </w:r>
    </w:p>
    <w:p>
      <w:pPr>
        <w:pStyle w:val="BodyText"/>
        <w:spacing w:before="1"/>
      </w:pPr>
    </w:p>
    <w:p>
      <w:pPr>
        <w:pStyle w:val="BodyText"/>
        <w:ind w:left="262" w:right="286"/>
        <w:jc w:val="both"/>
      </w:pPr>
      <w:r>
        <w:rPr/>
        <w:t>Los ayuntamientos vigilarán la adquisición de suelo urbano y reservas territoriales, por parte de dependencias y entidades municipales, a fin de programar y financiar su manejo.</w:t>
      </w:r>
    </w:p>
    <w:p>
      <w:pPr>
        <w:pStyle w:val="BodyText"/>
        <w:spacing w:before="229"/>
        <w:ind w:left="262" w:right="285"/>
        <w:jc w:val="both"/>
      </w:pPr>
      <w:r>
        <w:rPr>
          <w:rFonts w:ascii="Arial" w:hAnsi="Arial"/>
          <w:b/>
        </w:rPr>
        <w:t>ARTÍCULO 203. </w:t>
      </w:r>
      <w:r>
        <w:rPr/>
        <w:t>Los apoyos e instrumentos que el Gobierno del Estado y los ayuntamientos establezcan en materia de suelo y reservas territoriales para la vivienda, se orientarán </w:t>
      </w:r>
      <w:r>
        <w:rPr>
          <w:spacing w:val="-2"/>
        </w:rPr>
        <w:t>preferentemente:</w:t>
      </w:r>
    </w:p>
    <w:p>
      <w:pPr>
        <w:pStyle w:val="ListParagraph"/>
        <w:numPr>
          <w:ilvl w:val="0"/>
          <w:numId w:val="78"/>
        </w:numPr>
        <w:tabs>
          <w:tab w:pos="543" w:val="left" w:leader="none"/>
        </w:tabs>
        <w:spacing w:line="240" w:lineRule="auto" w:before="230" w:after="0"/>
        <w:ind w:left="262" w:right="289" w:firstLine="0"/>
        <w:jc w:val="both"/>
        <w:rPr>
          <w:sz w:val="20"/>
        </w:rPr>
      </w:pPr>
      <w:r>
        <w:rPr>
          <w:sz w:val="20"/>
        </w:rPr>
        <w:t>A la promoción de obras para que los habitantes del Estado tengan una vivienda digna y </w:t>
      </w:r>
      <w:r>
        <w:rPr>
          <w:spacing w:val="-2"/>
          <w:sz w:val="20"/>
        </w:rPr>
        <w:t>adecuada;</w:t>
      </w:r>
    </w:p>
    <w:p>
      <w:pPr>
        <w:pStyle w:val="BodyText"/>
        <w:spacing w:before="1"/>
      </w:pPr>
    </w:p>
    <w:p>
      <w:pPr>
        <w:pStyle w:val="ListParagraph"/>
        <w:numPr>
          <w:ilvl w:val="0"/>
          <w:numId w:val="78"/>
        </w:numPr>
        <w:tabs>
          <w:tab w:pos="543" w:val="left" w:leader="none"/>
        </w:tabs>
        <w:spacing w:line="240" w:lineRule="auto" w:before="0" w:after="0"/>
        <w:ind w:left="262" w:right="287" w:firstLine="0"/>
        <w:jc w:val="both"/>
        <w:rPr>
          <w:sz w:val="20"/>
        </w:rPr>
      </w:pPr>
      <w:r>
        <w:rPr>
          <w:sz w:val="20"/>
        </w:rPr>
        <w:t>A</w:t>
      </w:r>
      <w:r>
        <w:rPr>
          <w:spacing w:val="-9"/>
          <w:sz w:val="20"/>
        </w:rPr>
        <w:t> </w:t>
      </w:r>
      <w:r>
        <w:rPr>
          <w:sz w:val="20"/>
        </w:rPr>
        <w:t>la</w:t>
      </w:r>
      <w:r>
        <w:rPr>
          <w:spacing w:val="-9"/>
          <w:sz w:val="20"/>
        </w:rPr>
        <w:t> </w:t>
      </w:r>
      <w:r>
        <w:rPr>
          <w:sz w:val="20"/>
        </w:rPr>
        <w:t>regulación</w:t>
      </w:r>
      <w:r>
        <w:rPr>
          <w:spacing w:val="-10"/>
          <w:sz w:val="20"/>
        </w:rPr>
        <w:t> </w:t>
      </w:r>
      <w:r>
        <w:rPr>
          <w:sz w:val="20"/>
        </w:rPr>
        <w:t>del</w:t>
      </w:r>
      <w:r>
        <w:rPr>
          <w:spacing w:val="-10"/>
          <w:sz w:val="20"/>
        </w:rPr>
        <w:t> </w:t>
      </w:r>
      <w:r>
        <w:rPr>
          <w:sz w:val="20"/>
        </w:rPr>
        <w:t>mercado</w:t>
      </w:r>
      <w:r>
        <w:rPr>
          <w:spacing w:val="-10"/>
          <w:sz w:val="20"/>
        </w:rPr>
        <w:t> </w:t>
      </w:r>
      <w:r>
        <w:rPr>
          <w:sz w:val="20"/>
        </w:rPr>
        <w:t>de</w:t>
      </w:r>
      <w:r>
        <w:rPr>
          <w:spacing w:val="-10"/>
          <w:sz w:val="20"/>
        </w:rPr>
        <w:t> </w:t>
      </w:r>
      <w:r>
        <w:rPr>
          <w:sz w:val="20"/>
        </w:rPr>
        <w:t>los</w:t>
      </w:r>
      <w:r>
        <w:rPr>
          <w:spacing w:val="-10"/>
          <w:sz w:val="20"/>
        </w:rPr>
        <w:t> </w:t>
      </w:r>
      <w:r>
        <w:rPr>
          <w:sz w:val="20"/>
        </w:rPr>
        <w:t>terrenos</w:t>
      </w:r>
      <w:r>
        <w:rPr>
          <w:spacing w:val="-10"/>
          <w:sz w:val="20"/>
        </w:rPr>
        <w:t> </w:t>
      </w:r>
      <w:r>
        <w:rPr>
          <w:sz w:val="20"/>
        </w:rPr>
        <w:t>y</w:t>
      </w:r>
      <w:r>
        <w:rPr>
          <w:spacing w:val="-8"/>
          <w:sz w:val="20"/>
        </w:rPr>
        <w:t> </w:t>
      </w:r>
      <w:r>
        <w:rPr>
          <w:sz w:val="20"/>
        </w:rPr>
        <w:t>de</w:t>
      </w:r>
      <w:r>
        <w:rPr>
          <w:spacing w:val="-7"/>
          <w:sz w:val="20"/>
        </w:rPr>
        <w:t> </w:t>
      </w:r>
      <w:r>
        <w:rPr>
          <w:sz w:val="20"/>
        </w:rPr>
        <w:t>los</w:t>
      </w:r>
      <w:r>
        <w:rPr>
          <w:spacing w:val="-8"/>
          <w:sz w:val="20"/>
        </w:rPr>
        <w:t> </w:t>
      </w:r>
      <w:r>
        <w:rPr>
          <w:sz w:val="20"/>
        </w:rPr>
        <w:t>inmuebles</w:t>
      </w:r>
      <w:r>
        <w:rPr>
          <w:spacing w:val="-8"/>
          <w:sz w:val="20"/>
        </w:rPr>
        <w:t> </w:t>
      </w:r>
      <w:r>
        <w:rPr>
          <w:sz w:val="20"/>
        </w:rPr>
        <w:t>dedicados</w:t>
      </w:r>
      <w:r>
        <w:rPr>
          <w:spacing w:val="-8"/>
          <w:sz w:val="20"/>
        </w:rPr>
        <w:t> </w:t>
      </w:r>
      <w:r>
        <w:rPr>
          <w:sz w:val="20"/>
        </w:rPr>
        <w:t>a</w:t>
      </w:r>
      <w:r>
        <w:rPr>
          <w:spacing w:val="-9"/>
          <w:sz w:val="20"/>
        </w:rPr>
        <w:t> </w:t>
      </w:r>
      <w:r>
        <w:rPr>
          <w:sz w:val="20"/>
        </w:rPr>
        <w:t>la</w:t>
      </w:r>
      <w:r>
        <w:rPr>
          <w:spacing w:val="-9"/>
          <w:sz w:val="20"/>
        </w:rPr>
        <w:t> </w:t>
      </w:r>
      <w:r>
        <w:rPr>
          <w:sz w:val="20"/>
        </w:rPr>
        <w:t>vivienda</w:t>
      </w:r>
      <w:r>
        <w:rPr>
          <w:spacing w:val="-10"/>
          <w:sz w:val="20"/>
        </w:rPr>
        <w:t> </w:t>
      </w:r>
      <w:r>
        <w:rPr>
          <w:sz w:val="20"/>
        </w:rPr>
        <w:t>de</w:t>
      </w:r>
      <w:r>
        <w:rPr>
          <w:spacing w:val="-9"/>
          <w:sz w:val="20"/>
        </w:rPr>
        <w:t> </w:t>
      </w:r>
      <w:r>
        <w:rPr>
          <w:sz w:val="20"/>
        </w:rPr>
        <w:t>interés social y popular, a fin de evitar su especulación;</w:t>
      </w:r>
    </w:p>
    <w:p>
      <w:pPr>
        <w:pStyle w:val="ListParagraph"/>
        <w:numPr>
          <w:ilvl w:val="0"/>
          <w:numId w:val="78"/>
        </w:numPr>
        <w:tabs>
          <w:tab w:pos="597" w:val="left" w:leader="none"/>
        </w:tabs>
        <w:spacing w:line="240" w:lineRule="auto" w:before="229" w:after="0"/>
        <w:ind w:left="262" w:right="286" w:firstLine="0"/>
        <w:jc w:val="both"/>
        <w:rPr>
          <w:sz w:val="20"/>
        </w:rPr>
      </w:pPr>
      <w:r>
        <w:rPr>
          <w:sz w:val="20"/>
        </w:rPr>
        <w:t>A asegurar la disponibilidad del suelo y reservas territoriales para la ejecución de acciones habitacionales,</w:t>
      </w:r>
      <w:r>
        <w:rPr>
          <w:spacing w:val="-4"/>
          <w:sz w:val="20"/>
        </w:rPr>
        <w:t> </w:t>
      </w:r>
      <w:r>
        <w:rPr>
          <w:sz w:val="20"/>
        </w:rPr>
        <w:t>cuidando</w:t>
      </w:r>
      <w:r>
        <w:rPr>
          <w:spacing w:val="-4"/>
          <w:sz w:val="20"/>
        </w:rPr>
        <w:t> </w:t>
      </w:r>
      <w:r>
        <w:rPr>
          <w:sz w:val="20"/>
        </w:rPr>
        <w:t>que</w:t>
      </w:r>
      <w:r>
        <w:rPr>
          <w:spacing w:val="-5"/>
          <w:sz w:val="20"/>
        </w:rPr>
        <w:t> </w:t>
      </w:r>
      <w:r>
        <w:rPr>
          <w:sz w:val="20"/>
        </w:rPr>
        <w:t>dichas</w:t>
      </w:r>
      <w:r>
        <w:rPr>
          <w:spacing w:val="-3"/>
          <w:sz w:val="20"/>
        </w:rPr>
        <w:t> </w:t>
      </w:r>
      <w:r>
        <w:rPr>
          <w:sz w:val="20"/>
        </w:rPr>
        <w:t>reservas</w:t>
      </w:r>
      <w:r>
        <w:rPr>
          <w:spacing w:val="-3"/>
          <w:sz w:val="20"/>
        </w:rPr>
        <w:t> </w:t>
      </w:r>
      <w:r>
        <w:rPr>
          <w:sz w:val="20"/>
        </w:rPr>
        <w:t>no</w:t>
      </w:r>
      <w:r>
        <w:rPr>
          <w:spacing w:val="-4"/>
          <w:sz w:val="20"/>
        </w:rPr>
        <w:t> </w:t>
      </w:r>
      <w:r>
        <w:rPr>
          <w:sz w:val="20"/>
        </w:rPr>
        <w:t>sean</w:t>
      </w:r>
      <w:r>
        <w:rPr>
          <w:spacing w:val="-2"/>
          <w:sz w:val="20"/>
        </w:rPr>
        <w:t> </w:t>
      </w:r>
      <w:r>
        <w:rPr>
          <w:sz w:val="20"/>
        </w:rPr>
        <w:t>de</w:t>
      </w:r>
      <w:r>
        <w:rPr>
          <w:spacing w:val="-3"/>
          <w:sz w:val="20"/>
        </w:rPr>
        <w:t> </w:t>
      </w:r>
      <w:r>
        <w:rPr>
          <w:sz w:val="20"/>
        </w:rPr>
        <w:t>alto</w:t>
      </w:r>
      <w:r>
        <w:rPr>
          <w:spacing w:val="-4"/>
          <w:sz w:val="20"/>
        </w:rPr>
        <w:t> </w:t>
      </w:r>
      <w:r>
        <w:rPr>
          <w:sz w:val="20"/>
        </w:rPr>
        <w:t>valor</w:t>
      </w:r>
      <w:r>
        <w:rPr>
          <w:spacing w:val="-4"/>
          <w:sz w:val="20"/>
        </w:rPr>
        <w:t> </w:t>
      </w:r>
      <w:r>
        <w:rPr>
          <w:sz w:val="20"/>
        </w:rPr>
        <w:t>ambiental</w:t>
      </w:r>
      <w:r>
        <w:rPr>
          <w:spacing w:val="-3"/>
          <w:sz w:val="20"/>
        </w:rPr>
        <w:t> </w:t>
      </w:r>
      <w:r>
        <w:rPr>
          <w:sz w:val="20"/>
        </w:rPr>
        <w:t>o</w:t>
      </w:r>
      <w:r>
        <w:rPr>
          <w:spacing w:val="-4"/>
          <w:sz w:val="20"/>
        </w:rPr>
        <w:t> </w:t>
      </w:r>
      <w:r>
        <w:rPr>
          <w:sz w:val="20"/>
        </w:rPr>
        <w:t>importantes</w:t>
      </w:r>
      <w:r>
        <w:rPr>
          <w:spacing w:val="-3"/>
          <w:sz w:val="20"/>
        </w:rPr>
        <w:t> </w:t>
      </w:r>
      <w:r>
        <w:rPr>
          <w:sz w:val="20"/>
        </w:rPr>
        <w:t>para</w:t>
      </w:r>
      <w:r>
        <w:rPr>
          <w:spacing w:val="-2"/>
          <w:sz w:val="20"/>
        </w:rPr>
        <w:t> </w:t>
      </w:r>
      <w:r>
        <w:rPr>
          <w:sz w:val="20"/>
        </w:rPr>
        <w:t>la captación y descarga de agua pluvial;</w:t>
      </w:r>
    </w:p>
    <w:p>
      <w:pPr>
        <w:pStyle w:val="BodyText"/>
        <w:spacing w:before="2"/>
      </w:pPr>
    </w:p>
    <w:p>
      <w:pPr>
        <w:pStyle w:val="ListParagraph"/>
        <w:numPr>
          <w:ilvl w:val="0"/>
          <w:numId w:val="78"/>
        </w:numPr>
        <w:tabs>
          <w:tab w:pos="545" w:val="left" w:leader="none"/>
        </w:tabs>
        <w:spacing w:line="240" w:lineRule="auto" w:before="0" w:after="0"/>
        <w:ind w:left="262" w:right="288" w:firstLine="0"/>
        <w:jc w:val="both"/>
        <w:rPr>
          <w:sz w:val="20"/>
        </w:rPr>
      </w:pPr>
      <w:r>
        <w:rPr>
          <w:sz w:val="20"/>
        </w:rPr>
        <w:t>A facilitar los trámites expropiatorios de terrenos destinados a satisfacer necesidades de tierra para vivienda de interés social y popular;</w:t>
      </w:r>
    </w:p>
    <w:p>
      <w:pPr>
        <w:pStyle w:val="ListParagraph"/>
        <w:numPr>
          <w:ilvl w:val="0"/>
          <w:numId w:val="78"/>
        </w:numPr>
        <w:tabs>
          <w:tab w:pos="688" w:val="left" w:leader="none"/>
        </w:tabs>
        <w:spacing w:line="240" w:lineRule="auto" w:before="229" w:after="0"/>
        <w:ind w:left="262" w:right="285" w:firstLine="0"/>
        <w:jc w:val="both"/>
        <w:rPr>
          <w:sz w:val="20"/>
        </w:rPr>
      </w:pPr>
      <w:r>
        <w:rPr>
          <w:sz w:val="20"/>
        </w:rPr>
        <w:t>Facilitar la regeneración de inmuebles de la zonas con valores históricos y culturales para adecuación de vivienda en sus tres tipologías;</w:t>
      </w:r>
    </w:p>
    <w:p>
      <w:pPr>
        <w:pStyle w:val="BodyText"/>
        <w:spacing w:before="1"/>
      </w:pPr>
    </w:p>
    <w:p>
      <w:pPr>
        <w:pStyle w:val="ListParagraph"/>
        <w:numPr>
          <w:ilvl w:val="0"/>
          <w:numId w:val="78"/>
        </w:numPr>
        <w:tabs>
          <w:tab w:pos="688" w:val="left" w:leader="none"/>
        </w:tabs>
        <w:spacing w:line="240" w:lineRule="auto" w:before="0" w:after="0"/>
        <w:ind w:left="262" w:right="284" w:firstLine="0"/>
        <w:jc w:val="both"/>
        <w:rPr>
          <w:sz w:val="20"/>
        </w:rPr>
      </w:pPr>
      <w:r>
        <w:rPr>
          <w:sz w:val="20"/>
        </w:rPr>
        <w:t>Promover la incentivación de la vivienda y usos mixtos en las zonas con valores históricos y culturales.</w:t>
      </w:r>
      <w:r>
        <w:rPr>
          <w:spacing w:val="-10"/>
          <w:sz w:val="20"/>
        </w:rPr>
        <w:t> </w:t>
      </w:r>
      <w:r>
        <w:rPr>
          <w:sz w:val="20"/>
        </w:rPr>
        <w:t>Promover</w:t>
      </w:r>
      <w:r>
        <w:rPr>
          <w:spacing w:val="-9"/>
          <w:sz w:val="20"/>
        </w:rPr>
        <w:t> </w:t>
      </w:r>
      <w:r>
        <w:rPr>
          <w:sz w:val="20"/>
        </w:rPr>
        <w:t>la</w:t>
      </w:r>
      <w:r>
        <w:rPr>
          <w:spacing w:val="-10"/>
          <w:sz w:val="20"/>
        </w:rPr>
        <w:t> </w:t>
      </w:r>
      <w:r>
        <w:rPr>
          <w:sz w:val="20"/>
        </w:rPr>
        <w:t>adecuación</w:t>
      </w:r>
      <w:r>
        <w:rPr>
          <w:spacing w:val="-10"/>
          <w:sz w:val="20"/>
        </w:rPr>
        <w:t> </w:t>
      </w:r>
      <w:r>
        <w:rPr>
          <w:sz w:val="20"/>
        </w:rPr>
        <w:t>de</w:t>
      </w:r>
      <w:r>
        <w:rPr>
          <w:spacing w:val="-10"/>
          <w:sz w:val="20"/>
        </w:rPr>
        <w:t> </w:t>
      </w:r>
      <w:r>
        <w:rPr>
          <w:sz w:val="20"/>
        </w:rPr>
        <w:t>vivienda</w:t>
      </w:r>
      <w:r>
        <w:rPr>
          <w:spacing w:val="-10"/>
          <w:sz w:val="20"/>
        </w:rPr>
        <w:t> </w:t>
      </w:r>
      <w:r>
        <w:rPr>
          <w:sz w:val="20"/>
        </w:rPr>
        <w:t>en</w:t>
      </w:r>
      <w:r>
        <w:rPr>
          <w:spacing w:val="-10"/>
          <w:sz w:val="20"/>
        </w:rPr>
        <w:t> </w:t>
      </w:r>
      <w:r>
        <w:rPr>
          <w:sz w:val="20"/>
        </w:rPr>
        <w:t>corazones</w:t>
      </w:r>
      <w:r>
        <w:rPr>
          <w:spacing w:val="-9"/>
          <w:sz w:val="20"/>
        </w:rPr>
        <w:t> </w:t>
      </w:r>
      <w:r>
        <w:rPr>
          <w:sz w:val="20"/>
        </w:rPr>
        <w:t>de</w:t>
      </w:r>
      <w:r>
        <w:rPr>
          <w:spacing w:val="-10"/>
          <w:sz w:val="20"/>
        </w:rPr>
        <w:t> </w:t>
      </w:r>
      <w:r>
        <w:rPr>
          <w:sz w:val="20"/>
        </w:rPr>
        <w:t>manzana</w:t>
      </w:r>
      <w:r>
        <w:rPr>
          <w:spacing w:val="-10"/>
          <w:sz w:val="20"/>
        </w:rPr>
        <w:t> </w:t>
      </w:r>
      <w:r>
        <w:rPr>
          <w:sz w:val="20"/>
        </w:rPr>
        <w:t>y</w:t>
      </w:r>
      <w:r>
        <w:rPr>
          <w:spacing w:val="-9"/>
          <w:sz w:val="20"/>
        </w:rPr>
        <w:t> </w:t>
      </w:r>
      <w:r>
        <w:rPr>
          <w:sz w:val="20"/>
        </w:rPr>
        <w:t>zonas</w:t>
      </w:r>
      <w:r>
        <w:rPr>
          <w:spacing w:val="-8"/>
          <w:sz w:val="20"/>
        </w:rPr>
        <w:t> </w:t>
      </w:r>
      <w:r>
        <w:rPr>
          <w:sz w:val="20"/>
        </w:rPr>
        <w:t>abandonadas</w:t>
      </w:r>
      <w:r>
        <w:rPr>
          <w:spacing w:val="-9"/>
          <w:sz w:val="20"/>
        </w:rPr>
        <w:t> </w:t>
      </w:r>
      <w:r>
        <w:rPr>
          <w:sz w:val="20"/>
        </w:rPr>
        <w:t>de valor histórico y cultural, y</w:t>
      </w:r>
    </w:p>
    <w:p>
      <w:pPr>
        <w:pStyle w:val="ListParagraph"/>
        <w:numPr>
          <w:ilvl w:val="0"/>
          <w:numId w:val="78"/>
        </w:numPr>
        <w:tabs>
          <w:tab w:pos="688" w:val="left" w:leader="none"/>
        </w:tabs>
        <w:spacing w:line="240" w:lineRule="auto" w:before="230" w:after="0"/>
        <w:ind w:left="262" w:right="284" w:firstLine="0"/>
        <w:jc w:val="both"/>
        <w:rPr>
          <w:sz w:val="20"/>
        </w:rPr>
      </w:pPr>
      <w:r>
        <w:rPr>
          <w:sz w:val="20"/>
        </w:rPr>
        <w:t>Promover</w:t>
      </w:r>
      <w:r>
        <w:rPr>
          <w:spacing w:val="-4"/>
          <w:sz w:val="20"/>
        </w:rPr>
        <w:t> </w:t>
      </w:r>
      <w:r>
        <w:rPr>
          <w:sz w:val="20"/>
        </w:rPr>
        <w:t>la</w:t>
      </w:r>
      <w:r>
        <w:rPr>
          <w:spacing w:val="-6"/>
          <w:sz w:val="20"/>
        </w:rPr>
        <w:t> </w:t>
      </w:r>
      <w:r>
        <w:rPr>
          <w:sz w:val="20"/>
        </w:rPr>
        <w:t>adecuación</w:t>
      </w:r>
      <w:r>
        <w:rPr>
          <w:spacing w:val="-6"/>
          <w:sz w:val="20"/>
        </w:rPr>
        <w:t> </w:t>
      </w:r>
      <w:r>
        <w:rPr>
          <w:sz w:val="20"/>
        </w:rPr>
        <w:t>de</w:t>
      </w:r>
      <w:r>
        <w:rPr>
          <w:spacing w:val="-6"/>
          <w:sz w:val="20"/>
        </w:rPr>
        <w:t> </w:t>
      </w:r>
      <w:r>
        <w:rPr>
          <w:sz w:val="20"/>
        </w:rPr>
        <w:t>vivienda</w:t>
      </w:r>
      <w:r>
        <w:rPr>
          <w:spacing w:val="-6"/>
          <w:sz w:val="20"/>
        </w:rPr>
        <w:t> </w:t>
      </w:r>
      <w:r>
        <w:rPr>
          <w:sz w:val="20"/>
        </w:rPr>
        <w:t>en</w:t>
      </w:r>
      <w:r>
        <w:rPr>
          <w:spacing w:val="-6"/>
          <w:sz w:val="20"/>
        </w:rPr>
        <w:t> </w:t>
      </w:r>
      <w:r>
        <w:rPr>
          <w:sz w:val="20"/>
        </w:rPr>
        <w:t>corazones</w:t>
      </w:r>
      <w:r>
        <w:rPr>
          <w:spacing w:val="-7"/>
          <w:sz w:val="20"/>
        </w:rPr>
        <w:t> </w:t>
      </w:r>
      <w:r>
        <w:rPr>
          <w:sz w:val="20"/>
        </w:rPr>
        <w:t>de</w:t>
      </w:r>
      <w:r>
        <w:rPr>
          <w:spacing w:val="-3"/>
          <w:sz w:val="20"/>
        </w:rPr>
        <w:t> </w:t>
      </w:r>
      <w:r>
        <w:rPr>
          <w:sz w:val="20"/>
        </w:rPr>
        <w:t>manzana</w:t>
      </w:r>
      <w:r>
        <w:rPr>
          <w:spacing w:val="-8"/>
          <w:sz w:val="20"/>
        </w:rPr>
        <w:t> </w:t>
      </w:r>
      <w:r>
        <w:rPr>
          <w:sz w:val="20"/>
        </w:rPr>
        <w:t>y</w:t>
      </w:r>
      <w:r>
        <w:rPr>
          <w:spacing w:val="-6"/>
          <w:sz w:val="20"/>
        </w:rPr>
        <w:t> </w:t>
      </w:r>
      <w:r>
        <w:rPr>
          <w:sz w:val="20"/>
        </w:rPr>
        <w:t>zonas</w:t>
      </w:r>
      <w:r>
        <w:rPr>
          <w:spacing w:val="-6"/>
          <w:sz w:val="20"/>
        </w:rPr>
        <w:t> </w:t>
      </w:r>
      <w:r>
        <w:rPr>
          <w:sz w:val="20"/>
        </w:rPr>
        <w:t>abandonadas</w:t>
      </w:r>
      <w:r>
        <w:rPr>
          <w:spacing w:val="-7"/>
          <w:sz w:val="20"/>
        </w:rPr>
        <w:t> </w:t>
      </w:r>
      <w:r>
        <w:rPr>
          <w:sz w:val="20"/>
        </w:rPr>
        <w:t>de</w:t>
      </w:r>
      <w:r>
        <w:rPr>
          <w:spacing w:val="-8"/>
          <w:sz w:val="20"/>
        </w:rPr>
        <w:t> </w:t>
      </w:r>
      <w:r>
        <w:rPr>
          <w:sz w:val="20"/>
        </w:rPr>
        <w:t>valor histórico y cultural.</w:t>
      </w:r>
    </w:p>
    <w:p>
      <w:pPr>
        <w:pStyle w:val="BodyText"/>
        <w:spacing w:before="229"/>
        <w:ind w:left="262" w:right="278"/>
        <w:jc w:val="both"/>
      </w:pPr>
      <w:r>
        <w:rPr>
          <w:rFonts w:ascii="Arial" w:hAnsi="Arial"/>
          <w:b/>
        </w:rPr>
        <w:t>ARTÍCULO 204. </w:t>
      </w:r>
      <w:r>
        <w:rPr/>
        <w:t>El Ejecutivo Estatal, previa autorización de la Legislatura del Estado, podrá transferir áreas o predios propiedad del Estado a los municipios, dependencias y entidades de la Administración</w:t>
      </w:r>
      <w:r>
        <w:rPr>
          <w:spacing w:val="25"/>
        </w:rPr>
        <w:t> </w:t>
      </w:r>
      <w:r>
        <w:rPr/>
        <w:t>Pública</w:t>
      </w:r>
      <w:r>
        <w:rPr>
          <w:spacing w:val="24"/>
        </w:rPr>
        <w:t> </w:t>
      </w:r>
      <w:r>
        <w:rPr/>
        <w:t>Estatal,</w:t>
      </w:r>
      <w:r>
        <w:rPr>
          <w:spacing w:val="23"/>
        </w:rPr>
        <w:t> </w:t>
      </w:r>
      <w:r>
        <w:rPr/>
        <w:t>a</w:t>
      </w:r>
      <w:r>
        <w:rPr>
          <w:spacing w:val="24"/>
        </w:rPr>
        <w:t> </w:t>
      </w:r>
      <w:r>
        <w:rPr/>
        <w:t>la</w:t>
      </w:r>
      <w:r>
        <w:rPr>
          <w:spacing w:val="23"/>
        </w:rPr>
        <w:t> </w:t>
      </w:r>
      <w:r>
        <w:rPr/>
        <w:t>Federación</w:t>
      </w:r>
      <w:r>
        <w:rPr>
          <w:spacing w:val="22"/>
        </w:rPr>
        <w:t> </w:t>
      </w:r>
      <w:r>
        <w:rPr/>
        <w:t>y</w:t>
      </w:r>
      <w:r>
        <w:rPr>
          <w:spacing w:val="27"/>
        </w:rPr>
        <w:t> </w:t>
      </w:r>
      <w:r>
        <w:rPr/>
        <w:t>a</w:t>
      </w:r>
      <w:r>
        <w:rPr>
          <w:spacing w:val="25"/>
        </w:rPr>
        <w:t> </w:t>
      </w:r>
      <w:r>
        <w:rPr/>
        <w:t>las</w:t>
      </w:r>
      <w:r>
        <w:rPr>
          <w:spacing w:val="23"/>
        </w:rPr>
        <w:t> </w:t>
      </w:r>
      <w:r>
        <w:rPr/>
        <w:t>organizaciones</w:t>
      </w:r>
      <w:r>
        <w:rPr>
          <w:spacing w:val="27"/>
        </w:rPr>
        <w:t> </w:t>
      </w:r>
      <w:r>
        <w:rPr/>
        <w:t>sociales</w:t>
      </w:r>
      <w:r>
        <w:rPr>
          <w:spacing w:val="34"/>
        </w:rPr>
        <w:t> </w:t>
      </w:r>
      <w:r>
        <w:rPr/>
        <w:t>y</w:t>
      </w:r>
      <w:r>
        <w:rPr>
          <w:spacing w:val="25"/>
        </w:rPr>
        <w:t> </w:t>
      </w:r>
      <w:r>
        <w:rPr/>
        <w:t>privadas,</w:t>
      </w:r>
      <w:r>
        <w:rPr>
          <w:spacing w:val="25"/>
        </w:rPr>
        <w:t> </w:t>
      </w:r>
      <w:r>
        <w:rPr>
          <w:spacing w:val="-5"/>
        </w:rPr>
        <w:t>que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tengan como objetivo la realización de acciones de desarrollo urbano, industrial y de vivienda de interés social y popular, siempre y cuando se cumpla con los siguientes requisitos:</w:t>
      </w:r>
    </w:p>
    <w:p>
      <w:pPr>
        <w:pStyle w:val="BodyText"/>
        <w:spacing w:before="1"/>
      </w:pPr>
    </w:p>
    <w:p>
      <w:pPr>
        <w:pStyle w:val="ListParagraph"/>
        <w:numPr>
          <w:ilvl w:val="0"/>
          <w:numId w:val="79"/>
        </w:numPr>
        <w:tabs>
          <w:tab w:pos="543" w:val="left" w:leader="none"/>
        </w:tabs>
        <w:spacing w:line="240" w:lineRule="auto" w:before="0" w:after="0"/>
        <w:ind w:left="262" w:right="286" w:firstLine="0"/>
        <w:jc w:val="both"/>
        <w:rPr>
          <w:sz w:val="20"/>
        </w:rPr>
      </w:pPr>
      <w:r>
        <w:rPr>
          <w:sz w:val="20"/>
        </w:rPr>
        <w:t>Que el aprovechamiento de los inmuebles sea compatible con los programas de desarrollo urbano,</w:t>
      </w:r>
      <w:r>
        <w:rPr>
          <w:spacing w:val="-2"/>
          <w:sz w:val="20"/>
        </w:rPr>
        <w:t> </w:t>
      </w:r>
      <w:r>
        <w:rPr>
          <w:sz w:val="20"/>
        </w:rPr>
        <w:t>ordenamiento territorial</w:t>
      </w:r>
      <w:r>
        <w:rPr>
          <w:spacing w:val="-1"/>
          <w:sz w:val="20"/>
        </w:rPr>
        <w:t> </w:t>
      </w:r>
      <w:r>
        <w:rPr>
          <w:sz w:val="20"/>
        </w:rPr>
        <w:t>y</w:t>
      </w:r>
      <w:r>
        <w:rPr>
          <w:spacing w:val="-1"/>
          <w:sz w:val="20"/>
        </w:rPr>
        <w:t> </w:t>
      </w:r>
      <w:r>
        <w:rPr>
          <w:sz w:val="20"/>
        </w:rPr>
        <w:t>vivienda</w:t>
      </w:r>
      <w:r>
        <w:rPr>
          <w:spacing w:val="-3"/>
          <w:sz w:val="20"/>
        </w:rPr>
        <w:t> </w:t>
      </w:r>
      <w:r>
        <w:rPr>
          <w:sz w:val="20"/>
        </w:rPr>
        <w:t>y</w:t>
      </w:r>
      <w:r>
        <w:rPr>
          <w:spacing w:val="-1"/>
          <w:sz w:val="20"/>
        </w:rPr>
        <w:t> </w:t>
      </w:r>
      <w:r>
        <w:rPr>
          <w:sz w:val="20"/>
        </w:rPr>
        <w:t>con</w:t>
      </w:r>
      <w:r>
        <w:rPr>
          <w:spacing w:val="40"/>
          <w:sz w:val="20"/>
        </w:rPr>
        <w:t> </w:t>
      </w:r>
      <w:r>
        <w:rPr>
          <w:sz w:val="20"/>
        </w:rPr>
        <w:t>las</w:t>
      </w:r>
      <w:r>
        <w:rPr>
          <w:spacing w:val="-1"/>
          <w:sz w:val="20"/>
        </w:rPr>
        <w:t> </w:t>
      </w:r>
      <w:r>
        <w:rPr>
          <w:sz w:val="20"/>
        </w:rPr>
        <w:t>disposiciones</w:t>
      </w:r>
      <w:r>
        <w:rPr>
          <w:spacing w:val="-1"/>
          <w:sz w:val="20"/>
        </w:rPr>
        <w:t> </w:t>
      </w:r>
      <w:r>
        <w:rPr>
          <w:sz w:val="20"/>
        </w:rPr>
        <w:t>que</w:t>
      </w:r>
      <w:r>
        <w:rPr>
          <w:spacing w:val="-2"/>
          <w:sz w:val="20"/>
        </w:rPr>
        <w:t> </w:t>
      </w:r>
      <w:r>
        <w:rPr>
          <w:sz w:val="20"/>
        </w:rPr>
        <w:t>regulan</w:t>
      </w:r>
      <w:r>
        <w:rPr>
          <w:spacing w:val="-2"/>
          <w:sz w:val="20"/>
        </w:rPr>
        <w:t> </w:t>
      </w:r>
      <w:r>
        <w:rPr>
          <w:sz w:val="20"/>
        </w:rPr>
        <w:t>el uso</w:t>
      </w:r>
      <w:r>
        <w:rPr>
          <w:spacing w:val="-2"/>
          <w:sz w:val="20"/>
        </w:rPr>
        <w:t> </w:t>
      </w:r>
      <w:r>
        <w:rPr>
          <w:sz w:val="20"/>
        </w:rPr>
        <w:t>o</w:t>
      </w:r>
      <w:r>
        <w:rPr>
          <w:spacing w:val="-2"/>
          <w:sz w:val="20"/>
        </w:rPr>
        <w:t> </w:t>
      </w:r>
      <w:r>
        <w:rPr>
          <w:sz w:val="20"/>
        </w:rPr>
        <w:t>destino</w:t>
      </w:r>
      <w:r>
        <w:rPr>
          <w:spacing w:val="-2"/>
          <w:sz w:val="20"/>
        </w:rPr>
        <w:t> </w:t>
      </w:r>
      <w:r>
        <w:rPr>
          <w:sz w:val="20"/>
        </w:rPr>
        <w:t>del </w:t>
      </w:r>
      <w:r>
        <w:rPr>
          <w:spacing w:val="-2"/>
          <w:sz w:val="20"/>
        </w:rPr>
        <w:t>suelo;</w:t>
      </w:r>
    </w:p>
    <w:p>
      <w:pPr>
        <w:pStyle w:val="ListParagraph"/>
        <w:numPr>
          <w:ilvl w:val="0"/>
          <w:numId w:val="79"/>
        </w:numPr>
        <w:tabs>
          <w:tab w:pos="543" w:val="left" w:leader="none"/>
        </w:tabs>
        <w:spacing w:line="240" w:lineRule="auto" w:before="229" w:after="0"/>
        <w:ind w:left="262" w:right="286" w:firstLine="0"/>
        <w:jc w:val="both"/>
        <w:rPr>
          <w:sz w:val="20"/>
        </w:rPr>
      </w:pPr>
      <w:r>
        <w:rPr>
          <w:sz w:val="20"/>
        </w:rPr>
        <w:t>Que</w:t>
      </w:r>
      <w:r>
        <w:rPr>
          <w:spacing w:val="-9"/>
          <w:sz w:val="20"/>
        </w:rPr>
        <w:t> </w:t>
      </w:r>
      <w:r>
        <w:rPr>
          <w:sz w:val="20"/>
        </w:rPr>
        <w:t>las</w:t>
      </w:r>
      <w:r>
        <w:rPr>
          <w:spacing w:val="-8"/>
          <w:sz w:val="20"/>
        </w:rPr>
        <w:t> </w:t>
      </w:r>
      <w:r>
        <w:rPr>
          <w:sz w:val="20"/>
        </w:rPr>
        <w:t>áreas</w:t>
      </w:r>
      <w:r>
        <w:rPr>
          <w:spacing w:val="-8"/>
          <w:sz w:val="20"/>
        </w:rPr>
        <w:t> </w:t>
      </w:r>
      <w:r>
        <w:rPr>
          <w:sz w:val="20"/>
        </w:rPr>
        <w:t>o</w:t>
      </w:r>
      <w:r>
        <w:rPr>
          <w:spacing w:val="-7"/>
          <w:sz w:val="20"/>
        </w:rPr>
        <w:t> </w:t>
      </w:r>
      <w:r>
        <w:rPr>
          <w:sz w:val="20"/>
        </w:rPr>
        <w:t>predios</w:t>
      </w:r>
      <w:r>
        <w:rPr>
          <w:spacing w:val="-8"/>
          <w:sz w:val="20"/>
        </w:rPr>
        <w:t> </w:t>
      </w:r>
      <w:r>
        <w:rPr>
          <w:sz w:val="20"/>
        </w:rPr>
        <w:t>sean</w:t>
      </w:r>
      <w:r>
        <w:rPr>
          <w:spacing w:val="-9"/>
          <w:sz w:val="20"/>
        </w:rPr>
        <w:t> </w:t>
      </w:r>
      <w:r>
        <w:rPr>
          <w:sz w:val="20"/>
        </w:rPr>
        <w:t>aptos</w:t>
      </w:r>
      <w:r>
        <w:rPr>
          <w:spacing w:val="-5"/>
          <w:sz w:val="20"/>
        </w:rPr>
        <w:t> </w:t>
      </w:r>
      <w:r>
        <w:rPr>
          <w:sz w:val="20"/>
        </w:rPr>
        <w:t>para</w:t>
      </w:r>
      <w:r>
        <w:rPr>
          <w:spacing w:val="-7"/>
          <w:sz w:val="20"/>
        </w:rPr>
        <w:t> </w:t>
      </w:r>
      <w:r>
        <w:rPr>
          <w:sz w:val="20"/>
        </w:rPr>
        <w:t>la</w:t>
      </w:r>
      <w:r>
        <w:rPr>
          <w:spacing w:val="-9"/>
          <w:sz w:val="20"/>
        </w:rPr>
        <w:t> </w:t>
      </w:r>
      <w:r>
        <w:rPr>
          <w:sz w:val="20"/>
        </w:rPr>
        <w:t>ejecución</w:t>
      </w:r>
      <w:r>
        <w:rPr>
          <w:spacing w:val="-5"/>
          <w:sz w:val="20"/>
        </w:rPr>
        <w:t> </w:t>
      </w:r>
      <w:r>
        <w:rPr>
          <w:sz w:val="20"/>
        </w:rPr>
        <w:t>de</w:t>
      </w:r>
      <w:r>
        <w:rPr>
          <w:spacing w:val="-7"/>
          <w:sz w:val="20"/>
        </w:rPr>
        <w:t> </w:t>
      </w:r>
      <w:r>
        <w:rPr>
          <w:sz w:val="20"/>
        </w:rPr>
        <w:t>las</w:t>
      </w:r>
      <w:r>
        <w:rPr>
          <w:spacing w:val="-8"/>
          <w:sz w:val="20"/>
        </w:rPr>
        <w:t> </w:t>
      </w:r>
      <w:r>
        <w:rPr>
          <w:sz w:val="20"/>
        </w:rPr>
        <w:t>acciones</w:t>
      </w:r>
      <w:r>
        <w:rPr>
          <w:spacing w:val="-6"/>
          <w:sz w:val="20"/>
        </w:rPr>
        <w:t> </w:t>
      </w:r>
      <w:r>
        <w:rPr>
          <w:sz w:val="20"/>
        </w:rPr>
        <w:t>de</w:t>
      </w:r>
      <w:r>
        <w:rPr>
          <w:spacing w:val="-7"/>
          <w:sz w:val="20"/>
        </w:rPr>
        <w:t> </w:t>
      </w:r>
      <w:r>
        <w:rPr>
          <w:sz w:val="20"/>
        </w:rPr>
        <w:t>vivienda</w:t>
      </w:r>
      <w:r>
        <w:rPr>
          <w:spacing w:val="-7"/>
          <w:sz w:val="20"/>
        </w:rPr>
        <w:t> </w:t>
      </w:r>
      <w:r>
        <w:rPr>
          <w:sz w:val="20"/>
        </w:rPr>
        <w:t>o</w:t>
      </w:r>
      <w:r>
        <w:rPr>
          <w:spacing w:val="-7"/>
          <w:sz w:val="20"/>
        </w:rPr>
        <w:t> </w:t>
      </w:r>
      <w:r>
        <w:rPr>
          <w:sz w:val="20"/>
        </w:rPr>
        <w:t>de</w:t>
      </w:r>
      <w:r>
        <w:rPr>
          <w:spacing w:val="-7"/>
          <w:sz w:val="20"/>
        </w:rPr>
        <w:t> </w:t>
      </w:r>
      <w:r>
        <w:rPr>
          <w:sz w:val="20"/>
        </w:rPr>
        <w:t>desarrollo urbano e industrial;</w:t>
      </w:r>
    </w:p>
    <w:p>
      <w:pPr>
        <w:pStyle w:val="BodyText"/>
        <w:spacing w:before="2"/>
      </w:pPr>
    </w:p>
    <w:p>
      <w:pPr>
        <w:pStyle w:val="ListParagraph"/>
        <w:numPr>
          <w:ilvl w:val="0"/>
          <w:numId w:val="79"/>
        </w:numPr>
        <w:tabs>
          <w:tab w:pos="741" w:val="left" w:leader="none"/>
        </w:tabs>
        <w:spacing w:line="240" w:lineRule="auto" w:before="0" w:after="0"/>
        <w:ind w:left="262" w:right="285" w:firstLine="0"/>
        <w:jc w:val="both"/>
        <w:rPr>
          <w:sz w:val="20"/>
        </w:rPr>
      </w:pPr>
      <w:r>
        <w:rPr>
          <w:sz w:val="20"/>
        </w:rPr>
        <w:t>Contar con un proyecto financiero en el que se establezcan los recursos económicos disponibles y su vinculación con las acciones de desarrollo urbano e industrial y de vivienda, y</w:t>
      </w:r>
    </w:p>
    <w:p>
      <w:pPr>
        <w:pStyle w:val="ListParagraph"/>
        <w:numPr>
          <w:ilvl w:val="0"/>
          <w:numId w:val="79"/>
        </w:numPr>
        <w:tabs>
          <w:tab w:pos="688" w:val="left" w:leader="none"/>
        </w:tabs>
        <w:spacing w:line="240" w:lineRule="auto" w:before="229" w:after="0"/>
        <w:ind w:left="262" w:right="285" w:firstLine="0"/>
        <w:jc w:val="both"/>
        <w:rPr>
          <w:sz w:val="20"/>
        </w:rPr>
      </w:pPr>
      <w:r>
        <w:rPr>
          <w:sz w:val="20"/>
        </w:rPr>
        <w:t>Cumplir con los requisitos señalados en esta</w:t>
      </w:r>
      <w:r>
        <w:rPr>
          <w:spacing w:val="-1"/>
          <w:sz w:val="20"/>
        </w:rPr>
        <w:t> </w:t>
      </w:r>
      <w:r>
        <w:rPr>
          <w:sz w:val="20"/>
        </w:rPr>
        <w:t>Ley, en</w:t>
      </w:r>
      <w:r>
        <w:rPr>
          <w:spacing w:val="-1"/>
          <w:sz w:val="20"/>
        </w:rPr>
        <w:t> </w:t>
      </w:r>
      <w:r>
        <w:rPr>
          <w:sz w:val="20"/>
        </w:rPr>
        <w:t>la</w:t>
      </w:r>
      <w:r>
        <w:rPr>
          <w:spacing w:val="-1"/>
          <w:sz w:val="20"/>
        </w:rPr>
        <w:t> </w:t>
      </w:r>
      <w:r>
        <w:rPr>
          <w:sz w:val="20"/>
        </w:rPr>
        <w:t>normatividad</w:t>
      </w:r>
      <w:r>
        <w:rPr>
          <w:spacing w:val="40"/>
          <w:sz w:val="20"/>
        </w:rPr>
        <w:t> </w:t>
      </w:r>
      <w:r>
        <w:rPr>
          <w:sz w:val="20"/>
        </w:rPr>
        <w:t>para fraccionamientos o condominios y demás disposiciones legales aplicables.</w:t>
      </w:r>
    </w:p>
    <w:p>
      <w:pPr>
        <w:pStyle w:val="BodyText"/>
        <w:spacing w:before="1"/>
      </w:pPr>
    </w:p>
    <w:p>
      <w:pPr>
        <w:pStyle w:val="BodyText"/>
        <w:ind w:left="262" w:right="274"/>
        <w:jc w:val="both"/>
      </w:pPr>
      <w:r>
        <w:rPr>
          <w:rFonts w:ascii="Arial" w:hAnsi="Arial"/>
          <w:b/>
        </w:rPr>
        <w:t>ARTÍCULO 205. </w:t>
      </w:r>
      <w:r>
        <w:rPr/>
        <w:t>La transferencia o enajenación de inmuebles propiedad del Estado o de los municipios, para la ejecución de programas de desarrollo urbano e industrial y de vivienda, se sujetarán a las disposiciones de esta Ley, y requerirán de autorización previa de la Legislatura del </w:t>
      </w:r>
      <w:r>
        <w:rPr>
          <w:spacing w:val="-2"/>
        </w:rPr>
        <w:t>Estado.</w:t>
      </w:r>
    </w:p>
    <w:p>
      <w:pPr>
        <w:pStyle w:val="BodyText"/>
      </w:pPr>
    </w:p>
    <w:p>
      <w:pPr>
        <w:pStyle w:val="BodyText"/>
        <w:ind w:left="262" w:right="284"/>
        <w:jc w:val="both"/>
      </w:pPr>
      <w:r>
        <w:rPr>
          <w:rFonts w:ascii="Arial" w:hAnsi="Arial"/>
          <w:b/>
        </w:rPr>
        <w:t>ARTÍCULO</w:t>
      </w:r>
      <w:r>
        <w:rPr>
          <w:rFonts w:ascii="Arial" w:hAnsi="Arial"/>
          <w:b/>
          <w:spacing w:val="-5"/>
        </w:rPr>
        <w:t> </w:t>
      </w:r>
      <w:r>
        <w:rPr>
          <w:rFonts w:ascii="Arial" w:hAnsi="Arial"/>
          <w:b/>
        </w:rPr>
        <w:t>206.</w:t>
      </w:r>
      <w:r>
        <w:rPr>
          <w:rFonts w:ascii="Arial" w:hAnsi="Arial"/>
          <w:b/>
          <w:spacing w:val="-3"/>
        </w:rPr>
        <w:t> </w:t>
      </w:r>
      <w:r>
        <w:rPr/>
        <w:t>La</w:t>
      </w:r>
      <w:r>
        <w:rPr>
          <w:spacing w:val="-4"/>
        </w:rPr>
        <w:t> </w:t>
      </w:r>
      <w:r>
        <w:rPr/>
        <w:t>asignación</w:t>
      </w:r>
      <w:r>
        <w:rPr>
          <w:spacing w:val="-5"/>
        </w:rPr>
        <w:t> </w:t>
      </w:r>
      <w:r>
        <w:rPr/>
        <w:t>o</w:t>
      </w:r>
      <w:r>
        <w:rPr>
          <w:spacing w:val="-5"/>
        </w:rPr>
        <w:t> </w:t>
      </w:r>
      <w:r>
        <w:rPr/>
        <w:t>enajenación</w:t>
      </w:r>
      <w:r>
        <w:rPr>
          <w:spacing w:val="-5"/>
        </w:rPr>
        <w:t> </w:t>
      </w:r>
      <w:r>
        <w:rPr/>
        <w:t>de</w:t>
      </w:r>
      <w:r>
        <w:rPr>
          <w:spacing w:val="-5"/>
        </w:rPr>
        <w:t> </w:t>
      </w:r>
      <w:r>
        <w:rPr/>
        <w:t>suelo</w:t>
      </w:r>
      <w:r>
        <w:rPr>
          <w:spacing w:val="-7"/>
        </w:rPr>
        <w:t> </w:t>
      </w:r>
      <w:r>
        <w:rPr/>
        <w:t>para</w:t>
      </w:r>
      <w:r>
        <w:rPr>
          <w:spacing w:val="-6"/>
        </w:rPr>
        <w:t> </w:t>
      </w:r>
      <w:r>
        <w:rPr/>
        <w:t>vivienda</w:t>
      </w:r>
      <w:r>
        <w:rPr>
          <w:spacing w:val="-5"/>
        </w:rPr>
        <w:t> </w:t>
      </w:r>
      <w:r>
        <w:rPr/>
        <w:t>de</w:t>
      </w:r>
      <w:r>
        <w:rPr>
          <w:spacing w:val="-2"/>
        </w:rPr>
        <w:t> </w:t>
      </w:r>
      <w:r>
        <w:rPr/>
        <w:t>interés</w:t>
      </w:r>
      <w:r>
        <w:rPr>
          <w:spacing w:val="-6"/>
        </w:rPr>
        <w:t> </w:t>
      </w:r>
      <w:r>
        <w:rPr/>
        <w:t>social</w:t>
      </w:r>
      <w:r>
        <w:rPr>
          <w:spacing w:val="-6"/>
        </w:rPr>
        <w:t> </w:t>
      </w:r>
      <w:r>
        <w:rPr/>
        <w:t>y</w:t>
      </w:r>
      <w:r>
        <w:rPr>
          <w:spacing w:val="-3"/>
        </w:rPr>
        <w:t> </w:t>
      </w:r>
      <w:r>
        <w:rPr/>
        <w:t>popular,</w:t>
      </w:r>
      <w:r>
        <w:rPr>
          <w:spacing w:val="-6"/>
        </w:rPr>
        <w:t> </w:t>
      </w:r>
      <w:r>
        <w:rPr/>
        <w:t>de propiedad estatal o municipal, deberá cumplir con los requisitos siguientes:</w:t>
      </w:r>
    </w:p>
    <w:p>
      <w:pPr>
        <w:pStyle w:val="ListParagraph"/>
        <w:numPr>
          <w:ilvl w:val="0"/>
          <w:numId w:val="80"/>
        </w:numPr>
        <w:tabs>
          <w:tab w:pos="688" w:val="left" w:leader="none"/>
        </w:tabs>
        <w:spacing w:line="240" w:lineRule="auto" w:before="229" w:after="0"/>
        <w:ind w:left="262" w:right="289" w:firstLine="0"/>
        <w:jc w:val="both"/>
        <w:rPr>
          <w:sz w:val="20"/>
        </w:rPr>
      </w:pPr>
      <w:r>
        <w:rPr>
          <w:sz w:val="20"/>
        </w:rPr>
        <w:t>Dirigirse a la población con ingresos máximos de hasta cinco veces el salario mínimo general del Estado, dando preferencia a las personas con más bajos ingresos;</w:t>
      </w:r>
    </w:p>
    <w:p>
      <w:pPr>
        <w:pStyle w:val="BodyText"/>
        <w:spacing w:before="1"/>
      </w:pPr>
    </w:p>
    <w:p>
      <w:pPr>
        <w:pStyle w:val="ListParagraph"/>
        <w:numPr>
          <w:ilvl w:val="0"/>
          <w:numId w:val="80"/>
        </w:numPr>
        <w:tabs>
          <w:tab w:pos="686" w:val="left" w:leader="none"/>
        </w:tabs>
        <w:spacing w:line="240" w:lineRule="auto" w:before="1" w:after="0"/>
        <w:ind w:left="262" w:right="289" w:firstLine="0"/>
        <w:jc w:val="both"/>
        <w:rPr>
          <w:sz w:val="20"/>
        </w:rPr>
      </w:pPr>
      <w:r>
        <w:rPr>
          <w:sz w:val="20"/>
        </w:rPr>
        <w:t>El tamaño de los lotes</w:t>
      </w:r>
      <w:r>
        <w:rPr>
          <w:spacing w:val="40"/>
          <w:sz w:val="20"/>
        </w:rPr>
        <w:t> </w:t>
      </w:r>
      <w:r>
        <w:rPr>
          <w:sz w:val="20"/>
        </w:rPr>
        <w:t>o predios para la vivienda de interés social y popular, deberá cumplir con las normas mínimas de habitabilidad y seguridad, y</w:t>
      </w:r>
    </w:p>
    <w:p>
      <w:pPr>
        <w:pStyle w:val="ListParagraph"/>
        <w:numPr>
          <w:ilvl w:val="0"/>
          <w:numId w:val="80"/>
        </w:numPr>
        <w:tabs>
          <w:tab w:pos="597" w:val="left" w:leader="none"/>
        </w:tabs>
        <w:spacing w:line="240" w:lineRule="auto" w:before="228" w:after="0"/>
        <w:ind w:left="597" w:right="0" w:hanging="335"/>
        <w:jc w:val="both"/>
        <w:rPr>
          <w:sz w:val="20"/>
        </w:rPr>
      </w:pPr>
      <w:r>
        <w:rPr>
          <w:sz w:val="20"/>
        </w:rPr>
        <w:t>El</w:t>
      </w:r>
      <w:r>
        <w:rPr>
          <w:spacing w:val="-7"/>
          <w:sz w:val="20"/>
        </w:rPr>
        <w:t> </w:t>
      </w:r>
      <w:r>
        <w:rPr>
          <w:sz w:val="20"/>
        </w:rPr>
        <w:t>precio</w:t>
      </w:r>
      <w:r>
        <w:rPr>
          <w:spacing w:val="-6"/>
          <w:sz w:val="20"/>
        </w:rPr>
        <w:t> </w:t>
      </w:r>
      <w:r>
        <w:rPr>
          <w:sz w:val="20"/>
        </w:rPr>
        <w:t>máximo</w:t>
      </w:r>
      <w:r>
        <w:rPr>
          <w:spacing w:val="-6"/>
          <w:sz w:val="20"/>
        </w:rPr>
        <w:t> </w:t>
      </w:r>
      <w:r>
        <w:rPr>
          <w:sz w:val="20"/>
        </w:rPr>
        <w:t>de</w:t>
      </w:r>
      <w:r>
        <w:rPr>
          <w:spacing w:val="-6"/>
          <w:sz w:val="20"/>
        </w:rPr>
        <w:t> </w:t>
      </w:r>
      <w:r>
        <w:rPr>
          <w:sz w:val="20"/>
        </w:rPr>
        <w:t>enajenación</w:t>
      </w:r>
      <w:r>
        <w:rPr>
          <w:spacing w:val="-8"/>
          <w:sz w:val="20"/>
        </w:rPr>
        <w:t> </w:t>
      </w:r>
      <w:r>
        <w:rPr>
          <w:sz w:val="20"/>
        </w:rPr>
        <w:t>deberá</w:t>
      </w:r>
      <w:r>
        <w:rPr>
          <w:spacing w:val="-7"/>
          <w:sz w:val="20"/>
        </w:rPr>
        <w:t> </w:t>
      </w:r>
      <w:r>
        <w:rPr>
          <w:sz w:val="20"/>
        </w:rPr>
        <w:t>corresponder</w:t>
      </w:r>
      <w:r>
        <w:rPr>
          <w:spacing w:val="-7"/>
          <w:sz w:val="20"/>
        </w:rPr>
        <w:t> </w:t>
      </w:r>
      <w:r>
        <w:rPr>
          <w:sz w:val="20"/>
        </w:rPr>
        <w:t>al</w:t>
      </w:r>
      <w:r>
        <w:rPr>
          <w:spacing w:val="-9"/>
          <w:sz w:val="20"/>
        </w:rPr>
        <w:t> </w:t>
      </w:r>
      <w:r>
        <w:rPr>
          <w:sz w:val="20"/>
        </w:rPr>
        <w:t>ingreso</w:t>
      </w:r>
      <w:r>
        <w:rPr>
          <w:spacing w:val="-5"/>
          <w:sz w:val="20"/>
        </w:rPr>
        <w:t> </w:t>
      </w:r>
      <w:r>
        <w:rPr>
          <w:sz w:val="20"/>
        </w:rPr>
        <w:t>de</w:t>
      </w:r>
      <w:r>
        <w:rPr>
          <w:spacing w:val="-7"/>
          <w:sz w:val="20"/>
        </w:rPr>
        <w:t> </w:t>
      </w:r>
      <w:r>
        <w:rPr>
          <w:sz w:val="20"/>
        </w:rPr>
        <w:t>los</w:t>
      </w:r>
      <w:r>
        <w:rPr>
          <w:spacing w:val="-7"/>
          <w:sz w:val="20"/>
        </w:rPr>
        <w:t> </w:t>
      </w:r>
      <w:r>
        <w:rPr>
          <w:spacing w:val="-2"/>
          <w:sz w:val="20"/>
        </w:rPr>
        <w:t>beneficiarios.</w:t>
      </w:r>
    </w:p>
    <w:p>
      <w:pPr>
        <w:pStyle w:val="BodyText"/>
        <w:spacing w:before="1"/>
      </w:pPr>
    </w:p>
    <w:p>
      <w:pPr>
        <w:pStyle w:val="BodyText"/>
        <w:ind w:left="262" w:right="283"/>
        <w:jc w:val="both"/>
      </w:pPr>
      <w:r>
        <w:rPr>
          <w:rFonts w:ascii="Arial" w:hAnsi="Arial"/>
          <w:b/>
        </w:rPr>
        <w:t>ARTÍCULO</w:t>
      </w:r>
      <w:r>
        <w:rPr>
          <w:rFonts w:ascii="Arial" w:hAnsi="Arial"/>
          <w:b/>
          <w:spacing w:val="-9"/>
        </w:rPr>
        <w:t> </w:t>
      </w:r>
      <w:r>
        <w:rPr>
          <w:rFonts w:ascii="Arial" w:hAnsi="Arial"/>
          <w:b/>
        </w:rPr>
        <w:t>207.</w:t>
      </w:r>
      <w:r>
        <w:rPr>
          <w:rFonts w:ascii="Arial" w:hAnsi="Arial"/>
          <w:b/>
          <w:spacing w:val="-7"/>
        </w:rPr>
        <w:t> </w:t>
      </w:r>
      <w:r>
        <w:rPr/>
        <w:t>El</w:t>
      </w:r>
      <w:r>
        <w:rPr>
          <w:spacing w:val="-11"/>
        </w:rPr>
        <w:t> </w:t>
      </w:r>
      <w:r>
        <w:rPr/>
        <w:t>Gobierno</w:t>
      </w:r>
      <w:r>
        <w:rPr>
          <w:spacing w:val="-10"/>
        </w:rPr>
        <w:t> </w:t>
      </w:r>
      <w:r>
        <w:rPr/>
        <w:t>del</w:t>
      </w:r>
      <w:r>
        <w:rPr>
          <w:spacing w:val="-9"/>
        </w:rPr>
        <w:t> </w:t>
      </w:r>
      <w:r>
        <w:rPr/>
        <w:t>Estado</w:t>
      </w:r>
      <w:r>
        <w:rPr>
          <w:spacing w:val="-10"/>
        </w:rPr>
        <w:t> </w:t>
      </w:r>
      <w:r>
        <w:rPr/>
        <w:t>y</w:t>
      </w:r>
      <w:r>
        <w:rPr>
          <w:spacing w:val="-6"/>
        </w:rPr>
        <w:t> </w:t>
      </w:r>
      <w:r>
        <w:rPr/>
        <w:t>los</w:t>
      </w:r>
      <w:r>
        <w:rPr>
          <w:spacing w:val="-7"/>
        </w:rPr>
        <w:t> </w:t>
      </w:r>
      <w:r>
        <w:rPr/>
        <w:t>ayuntamientos</w:t>
      </w:r>
      <w:r>
        <w:rPr>
          <w:spacing w:val="-6"/>
        </w:rPr>
        <w:t> </w:t>
      </w:r>
      <w:r>
        <w:rPr/>
        <w:t>otorgarán</w:t>
      </w:r>
      <w:r>
        <w:rPr>
          <w:spacing w:val="-10"/>
        </w:rPr>
        <w:t> </w:t>
      </w:r>
      <w:r>
        <w:rPr/>
        <w:t>facilidades</w:t>
      </w:r>
      <w:r>
        <w:rPr>
          <w:spacing w:val="-9"/>
        </w:rPr>
        <w:t> </w:t>
      </w:r>
      <w:r>
        <w:rPr/>
        <w:t>administrativas</w:t>
      </w:r>
      <w:r>
        <w:rPr>
          <w:spacing w:val="-7"/>
        </w:rPr>
        <w:t> </w:t>
      </w:r>
      <w:r>
        <w:rPr/>
        <w:t>y fiscales,</w:t>
      </w:r>
      <w:r>
        <w:rPr>
          <w:spacing w:val="-6"/>
        </w:rPr>
        <w:t> </w:t>
      </w:r>
      <w:r>
        <w:rPr/>
        <w:t>a</w:t>
      </w:r>
      <w:r>
        <w:rPr>
          <w:spacing w:val="-4"/>
        </w:rPr>
        <w:t> </w:t>
      </w:r>
      <w:r>
        <w:rPr/>
        <w:t>efecto</w:t>
      </w:r>
      <w:r>
        <w:rPr>
          <w:spacing w:val="-7"/>
        </w:rPr>
        <w:t> </w:t>
      </w:r>
      <w:r>
        <w:rPr/>
        <w:t>de</w:t>
      </w:r>
      <w:r>
        <w:rPr>
          <w:spacing w:val="-7"/>
        </w:rPr>
        <w:t> </w:t>
      </w:r>
      <w:r>
        <w:rPr/>
        <w:t>agilizar</w:t>
      </w:r>
      <w:r>
        <w:rPr>
          <w:spacing w:val="-3"/>
        </w:rPr>
        <w:t> </w:t>
      </w:r>
      <w:r>
        <w:rPr/>
        <w:t>y</w:t>
      </w:r>
      <w:r>
        <w:rPr>
          <w:spacing w:val="-5"/>
        </w:rPr>
        <w:t> </w:t>
      </w:r>
      <w:r>
        <w:rPr/>
        <w:t>reducir</w:t>
      </w:r>
      <w:r>
        <w:rPr>
          <w:spacing w:val="-6"/>
        </w:rPr>
        <w:t> </w:t>
      </w:r>
      <w:r>
        <w:rPr/>
        <w:t>el</w:t>
      </w:r>
      <w:r>
        <w:rPr>
          <w:spacing w:val="-8"/>
        </w:rPr>
        <w:t> </w:t>
      </w:r>
      <w:r>
        <w:rPr/>
        <w:t>costo</w:t>
      </w:r>
      <w:r>
        <w:rPr>
          <w:spacing w:val="-7"/>
        </w:rPr>
        <w:t> </w:t>
      </w:r>
      <w:r>
        <w:rPr/>
        <w:t>y</w:t>
      </w:r>
      <w:r>
        <w:rPr>
          <w:spacing w:val="-5"/>
        </w:rPr>
        <w:t> </w:t>
      </w:r>
      <w:r>
        <w:rPr/>
        <w:t>los</w:t>
      </w:r>
      <w:r>
        <w:rPr>
          <w:spacing w:val="-6"/>
        </w:rPr>
        <w:t> </w:t>
      </w:r>
      <w:r>
        <w:rPr/>
        <w:t>trámites</w:t>
      </w:r>
      <w:r>
        <w:rPr>
          <w:spacing w:val="-6"/>
        </w:rPr>
        <w:t> </w:t>
      </w:r>
      <w:r>
        <w:rPr/>
        <w:t>de</w:t>
      </w:r>
      <w:r>
        <w:rPr>
          <w:spacing w:val="-7"/>
        </w:rPr>
        <w:t> </w:t>
      </w:r>
      <w:r>
        <w:rPr/>
        <w:t>titulación</w:t>
      </w:r>
      <w:r>
        <w:rPr>
          <w:spacing w:val="-5"/>
        </w:rPr>
        <w:t> </w:t>
      </w:r>
      <w:r>
        <w:rPr/>
        <w:t>de</w:t>
      </w:r>
      <w:r>
        <w:rPr>
          <w:spacing w:val="-7"/>
        </w:rPr>
        <w:t> </w:t>
      </w:r>
      <w:r>
        <w:rPr/>
        <w:t>inmuebles</w:t>
      </w:r>
      <w:r>
        <w:rPr>
          <w:spacing w:val="-6"/>
        </w:rPr>
        <w:t> </w:t>
      </w:r>
      <w:r>
        <w:rPr/>
        <w:t>para</w:t>
      </w:r>
      <w:r>
        <w:rPr>
          <w:spacing w:val="-7"/>
        </w:rPr>
        <w:t> </w:t>
      </w:r>
      <w:r>
        <w:rPr/>
        <w:t>vivienda de interés social y popular.</w:t>
      </w:r>
    </w:p>
    <w:p>
      <w:pPr>
        <w:pStyle w:val="BodyText"/>
        <w:spacing w:before="230"/>
        <w:ind w:left="262" w:right="280"/>
        <w:jc w:val="both"/>
      </w:pPr>
      <w:r>
        <w:rPr/>
        <w:t>Las</w:t>
      </w:r>
      <w:r>
        <w:rPr>
          <w:spacing w:val="-3"/>
        </w:rPr>
        <w:t> </w:t>
      </w:r>
      <w:r>
        <w:rPr/>
        <w:t>autoridades</w:t>
      </w:r>
      <w:r>
        <w:rPr>
          <w:spacing w:val="-3"/>
        </w:rPr>
        <w:t> </w:t>
      </w:r>
      <w:r>
        <w:rPr/>
        <w:t>a</w:t>
      </w:r>
      <w:r>
        <w:rPr>
          <w:spacing w:val="-5"/>
        </w:rPr>
        <w:t> </w:t>
      </w:r>
      <w:r>
        <w:rPr/>
        <w:t>que</w:t>
      </w:r>
      <w:r>
        <w:rPr>
          <w:spacing w:val="-5"/>
        </w:rPr>
        <w:t> </w:t>
      </w:r>
      <w:r>
        <w:rPr/>
        <w:t>se</w:t>
      </w:r>
      <w:r>
        <w:rPr>
          <w:spacing w:val="-4"/>
        </w:rPr>
        <w:t> </w:t>
      </w:r>
      <w:r>
        <w:rPr/>
        <w:t>refiere</w:t>
      </w:r>
      <w:r>
        <w:rPr>
          <w:spacing w:val="-2"/>
        </w:rPr>
        <w:t> </w:t>
      </w:r>
      <w:r>
        <w:rPr/>
        <w:t>el</w:t>
      </w:r>
      <w:r>
        <w:rPr>
          <w:spacing w:val="-3"/>
        </w:rPr>
        <w:t> </w:t>
      </w:r>
      <w:r>
        <w:rPr/>
        <w:t>párrafo</w:t>
      </w:r>
      <w:r>
        <w:rPr>
          <w:spacing w:val="-5"/>
        </w:rPr>
        <w:t> </w:t>
      </w:r>
      <w:r>
        <w:rPr/>
        <w:t>anterior,</w:t>
      </w:r>
      <w:r>
        <w:rPr>
          <w:spacing w:val="-4"/>
        </w:rPr>
        <w:t> </w:t>
      </w:r>
      <w:r>
        <w:rPr/>
        <w:t>podrán</w:t>
      </w:r>
      <w:r>
        <w:rPr>
          <w:spacing w:val="-5"/>
        </w:rPr>
        <w:t> </w:t>
      </w:r>
      <w:r>
        <w:rPr/>
        <w:t>celebrar</w:t>
      </w:r>
      <w:r>
        <w:rPr>
          <w:spacing w:val="-4"/>
        </w:rPr>
        <w:t> </w:t>
      </w:r>
      <w:r>
        <w:rPr/>
        <w:t>para</w:t>
      </w:r>
      <w:r>
        <w:rPr>
          <w:spacing w:val="-4"/>
        </w:rPr>
        <w:t> </w:t>
      </w:r>
      <w:r>
        <w:rPr/>
        <w:t>los</w:t>
      </w:r>
      <w:r>
        <w:rPr>
          <w:spacing w:val="-3"/>
        </w:rPr>
        <w:t> </w:t>
      </w:r>
      <w:r>
        <w:rPr/>
        <w:t>fines</w:t>
      </w:r>
      <w:r>
        <w:rPr>
          <w:spacing w:val="-3"/>
        </w:rPr>
        <w:t> </w:t>
      </w:r>
      <w:r>
        <w:rPr/>
        <w:t>antes</w:t>
      </w:r>
      <w:r>
        <w:rPr>
          <w:spacing w:val="-3"/>
        </w:rPr>
        <w:t> </w:t>
      </w:r>
      <w:r>
        <w:rPr/>
        <w:t>señalados, convenios de coordinación y</w:t>
      </w:r>
      <w:r>
        <w:rPr>
          <w:spacing w:val="40"/>
        </w:rPr>
        <w:t> </w:t>
      </w:r>
      <w:r>
        <w:rPr/>
        <w:t>concertación con la dependencias y entidades de la Administración Pública Federal, notarios públicos, instituciones de crédito, organismos públicos de vivienda, valuadores, promotores y agentes</w:t>
      </w:r>
      <w:r>
        <w:rPr>
          <w:spacing w:val="40"/>
        </w:rPr>
        <w:t> </w:t>
      </w:r>
      <w:r>
        <w:rPr/>
        <w:t>inmobiliarios.</w:t>
      </w:r>
    </w:p>
    <w:p>
      <w:pPr>
        <w:pStyle w:val="BodyText"/>
      </w:pPr>
    </w:p>
    <w:p>
      <w:pPr>
        <w:pStyle w:val="BodyText"/>
      </w:pPr>
    </w:p>
    <w:p>
      <w:pPr>
        <w:pStyle w:val="Heading2"/>
        <w:ind w:right="15"/>
      </w:pPr>
      <w:r>
        <w:rPr/>
        <w:t>Capítulo</w:t>
      </w:r>
      <w:r>
        <w:rPr>
          <w:spacing w:val="-8"/>
        </w:rPr>
        <w:t> </w:t>
      </w:r>
      <w:r>
        <w:rPr>
          <w:spacing w:val="-5"/>
        </w:rPr>
        <w:t>II</w:t>
      </w:r>
    </w:p>
    <w:p>
      <w:pPr>
        <w:pStyle w:val="BodyText"/>
        <w:spacing w:before="1"/>
        <w:rPr>
          <w:rFonts w:ascii="Arial"/>
          <w:b/>
        </w:rPr>
      </w:pPr>
    </w:p>
    <w:p>
      <w:pPr>
        <w:spacing w:before="0"/>
        <w:ind w:left="5" w:right="24" w:firstLine="0"/>
        <w:jc w:val="center"/>
        <w:rPr>
          <w:rFonts w:ascii="Arial" w:hAnsi="Arial"/>
          <w:b/>
          <w:sz w:val="20"/>
        </w:rPr>
      </w:pPr>
      <w:r>
        <w:rPr>
          <w:rFonts w:ascii="Arial" w:hAnsi="Arial"/>
          <w:b/>
          <w:sz w:val="20"/>
        </w:rPr>
        <w:t>Regulaciones</w:t>
      </w:r>
      <w:r>
        <w:rPr>
          <w:rFonts w:ascii="Arial" w:hAnsi="Arial"/>
          <w:b/>
          <w:spacing w:val="-8"/>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7"/>
          <w:sz w:val="20"/>
        </w:rPr>
        <w:t> </w:t>
      </w:r>
      <w:r>
        <w:rPr>
          <w:rFonts w:ascii="Arial" w:hAnsi="Arial"/>
          <w:b/>
          <w:sz w:val="20"/>
        </w:rPr>
        <w:t>Suelo</w:t>
      </w:r>
      <w:r>
        <w:rPr>
          <w:rFonts w:ascii="Arial" w:hAnsi="Arial"/>
          <w:b/>
          <w:spacing w:val="-7"/>
          <w:sz w:val="20"/>
        </w:rPr>
        <w:t> </w:t>
      </w:r>
      <w:r>
        <w:rPr>
          <w:rFonts w:ascii="Arial" w:hAnsi="Arial"/>
          <w:b/>
          <w:sz w:val="20"/>
        </w:rPr>
        <w:t>Proveniente</w:t>
      </w:r>
      <w:r>
        <w:rPr>
          <w:rFonts w:ascii="Arial" w:hAnsi="Arial"/>
          <w:b/>
          <w:spacing w:val="-7"/>
          <w:sz w:val="20"/>
        </w:rPr>
        <w:t> </w:t>
      </w:r>
      <w:r>
        <w:rPr>
          <w:rFonts w:ascii="Arial" w:hAnsi="Arial"/>
          <w:b/>
          <w:sz w:val="20"/>
        </w:rPr>
        <w:t>del</w:t>
      </w:r>
      <w:r>
        <w:rPr>
          <w:rFonts w:ascii="Arial" w:hAnsi="Arial"/>
          <w:b/>
          <w:spacing w:val="-7"/>
          <w:sz w:val="20"/>
        </w:rPr>
        <w:t> </w:t>
      </w:r>
      <w:r>
        <w:rPr>
          <w:rFonts w:ascii="Arial" w:hAnsi="Arial"/>
          <w:b/>
          <w:sz w:val="20"/>
        </w:rPr>
        <w:t>Régimen</w:t>
      </w:r>
      <w:r>
        <w:rPr>
          <w:rFonts w:ascii="Arial" w:hAnsi="Arial"/>
          <w:b/>
          <w:spacing w:val="-7"/>
          <w:sz w:val="20"/>
        </w:rPr>
        <w:t> </w:t>
      </w:r>
      <w:r>
        <w:rPr>
          <w:rFonts w:ascii="Arial" w:hAnsi="Arial"/>
          <w:b/>
          <w:spacing w:val="-2"/>
          <w:sz w:val="20"/>
        </w:rPr>
        <w:t>Agrario</w:t>
      </w:r>
    </w:p>
    <w:p>
      <w:pPr>
        <w:pStyle w:val="BodyText"/>
        <w:spacing w:before="229"/>
        <w:ind w:left="262" w:right="276"/>
        <w:jc w:val="both"/>
      </w:pPr>
      <w:r>
        <w:rPr>
          <w:rFonts w:ascii="Arial" w:hAnsi="Arial"/>
          <w:b/>
        </w:rPr>
        <w:t>ARTÍCULO</w:t>
      </w:r>
      <w:r>
        <w:rPr>
          <w:rFonts w:ascii="Arial" w:hAnsi="Arial"/>
          <w:b/>
          <w:spacing w:val="-6"/>
        </w:rPr>
        <w:t> </w:t>
      </w:r>
      <w:r>
        <w:rPr>
          <w:rFonts w:ascii="Arial" w:hAnsi="Arial"/>
          <w:b/>
        </w:rPr>
        <w:t>208.</w:t>
      </w:r>
      <w:r>
        <w:rPr>
          <w:rFonts w:ascii="Arial" w:hAnsi="Arial"/>
          <w:b/>
          <w:spacing w:val="-5"/>
        </w:rPr>
        <w:t> </w:t>
      </w:r>
      <w:r>
        <w:rPr/>
        <w:t>El</w:t>
      </w:r>
      <w:r>
        <w:rPr>
          <w:spacing w:val="-8"/>
        </w:rPr>
        <w:t> </w:t>
      </w:r>
      <w:r>
        <w:rPr/>
        <w:t>aprovechamiento</w:t>
      </w:r>
      <w:r>
        <w:rPr>
          <w:spacing w:val="-8"/>
        </w:rPr>
        <w:t> </w:t>
      </w:r>
      <w:r>
        <w:rPr/>
        <w:t>de</w:t>
      </w:r>
      <w:r>
        <w:rPr>
          <w:spacing w:val="-8"/>
        </w:rPr>
        <w:t> </w:t>
      </w:r>
      <w:r>
        <w:rPr/>
        <w:t>áreas</w:t>
      </w:r>
      <w:r>
        <w:rPr>
          <w:spacing w:val="-6"/>
        </w:rPr>
        <w:t> </w:t>
      </w:r>
      <w:r>
        <w:rPr/>
        <w:t>y</w:t>
      </w:r>
      <w:r>
        <w:rPr>
          <w:spacing w:val="-6"/>
        </w:rPr>
        <w:t> </w:t>
      </w:r>
      <w:r>
        <w:rPr/>
        <w:t>predios</w:t>
      </w:r>
      <w:r>
        <w:rPr>
          <w:spacing w:val="-7"/>
        </w:rPr>
        <w:t> </w:t>
      </w:r>
      <w:r>
        <w:rPr/>
        <w:t>ejidales</w:t>
      </w:r>
      <w:r>
        <w:rPr>
          <w:spacing w:val="-7"/>
        </w:rPr>
        <w:t> </w:t>
      </w:r>
      <w:r>
        <w:rPr/>
        <w:t>o</w:t>
      </w:r>
      <w:r>
        <w:rPr>
          <w:spacing w:val="-8"/>
        </w:rPr>
        <w:t> </w:t>
      </w:r>
      <w:r>
        <w:rPr/>
        <w:t>comunales</w:t>
      </w:r>
      <w:r>
        <w:rPr>
          <w:spacing w:val="-7"/>
        </w:rPr>
        <w:t> </w:t>
      </w:r>
      <w:r>
        <w:rPr/>
        <w:t>comprendidos</w:t>
      </w:r>
      <w:r>
        <w:rPr>
          <w:spacing w:val="-7"/>
        </w:rPr>
        <w:t> </w:t>
      </w:r>
      <w:r>
        <w:rPr/>
        <w:t>dentro de los límites de los centros de población o que formen parte de las zonas de urbanización ejidal y de las tierras del asentamiento humano en ejidos y comunidades, se sujetará a</w:t>
      </w:r>
      <w:r>
        <w:rPr>
          <w:spacing w:val="20"/>
        </w:rPr>
        <w:t> </w:t>
      </w:r>
      <w:r>
        <w:rPr/>
        <w:t>lo dispuesto en la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5"/>
        <w:jc w:val="both"/>
      </w:pPr>
      <w:r>
        <w:rPr/>
        <w:t>Ley</w:t>
      </w:r>
      <w:r>
        <w:rPr>
          <w:spacing w:val="-14"/>
        </w:rPr>
        <w:t> </w:t>
      </w:r>
      <w:r>
        <w:rPr/>
        <w:t>General,</w:t>
      </w:r>
      <w:r>
        <w:rPr>
          <w:spacing w:val="-14"/>
        </w:rPr>
        <w:t> </w:t>
      </w:r>
      <w:r>
        <w:rPr/>
        <w:t>en</w:t>
      </w:r>
      <w:r>
        <w:rPr>
          <w:spacing w:val="-14"/>
        </w:rPr>
        <w:t> </w:t>
      </w:r>
      <w:r>
        <w:rPr/>
        <w:t>la</w:t>
      </w:r>
      <w:r>
        <w:rPr>
          <w:spacing w:val="-14"/>
        </w:rPr>
        <w:t> </w:t>
      </w:r>
      <w:r>
        <w:rPr/>
        <w:t>Ley</w:t>
      </w:r>
      <w:r>
        <w:rPr>
          <w:spacing w:val="-14"/>
        </w:rPr>
        <w:t> </w:t>
      </w:r>
      <w:r>
        <w:rPr/>
        <w:t>Agraria,</w:t>
      </w:r>
      <w:r>
        <w:rPr>
          <w:spacing w:val="-14"/>
        </w:rPr>
        <w:t> </w:t>
      </w:r>
      <w:r>
        <w:rPr/>
        <w:t>en</w:t>
      </w:r>
      <w:r>
        <w:rPr>
          <w:spacing w:val="-14"/>
        </w:rPr>
        <w:t> </w:t>
      </w:r>
      <w:r>
        <w:rPr/>
        <w:t>esta</w:t>
      </w:r>
      <w:r>
        <w:rPr>
          <w:spacing w:val="-14"/>
        </w:rPr>
        <w:t> </w:t>
      </w:r>
      <w:r>
        <w:rPr/>
        <w:t>Ley,</w:t>
      </w:r>
      <w:r>
        <w:rPr>
          <w:spacing w:val="-14"/>
        </w:rPr>
        <w:t> </w:t>
      </w:r>
      <w:r>
        <w:rPr/>
        <w:t>en</w:t>
      </w:r>
      <w:r>
        <w:rPr>
          <w:spacing w:val="-13"/>
        </w:rPr>
        <w:t> </w:t>
      </w:r>
      <w:r>
        <w:rPr/>
        <w:t>los</w:t>
      </w:r>
      <w:r>
        <w:rPr>
          <w:spacing w:val="-14"/>
        </w:rPr>
        <w:t> </w:t>
      </w:r>
      <w:r>
        <w:rPr/>
        <w:t>programas</w:t>
      </w:r>
      <w:r>
        <w:rPr>
          <w:spacing w:val="-14"/>
        </w:rPr>
        <w:t> </w:t>
      </w:r>
      <w:r>
        <w:rPr/>
        <w:t>de</w:t>
      </w:r>
      <w:r>
        <w:rPr>
          <w:spacing w:val="-13"/>
        </w:rPr>
        <w:t> </w:t>
      </w:r>
      <w:r>
        <w:rPr/>
        <w:t>ordenamiento</w:t>
      </w:r>
      <w:r>
        <w:rPr>
          <w:spacing w:val="-14"/>
        </w:rPr>
        <w:t> </w:t>
      </w:r>
      <w:r>
        <w:rPr/>
        <w:t>territorial</w:t>
      </w:r>
      <w:r>
        <w:rPr>
          <w:spacing w:val="-14"/>
        </w:rPr>
        <w:t> </w:t>
      </w:r>
      <w:r>
        <w:rPr/>
        <w:t>y</w:t>
      </w:r>
      <w:r>
        <w:rPr>
          <w:spacing w:val="-14"/>
        </w:rPr>
        <w:t> </w:t>
      </w:r>
      <w:r>
        <w:rPr/>
        <w:t>desarrollo urbano aplicables, así como en las reservas, usos y destinos de áreas y predios.</w:t>
      </w:r>
    </w:p>
    <w:p>
      <w:pPr>
        <w:pStyle w:val="BodyText"/>
        <w:spacing w:before="1"/>
      </w:pPr>
    </w:p>
    <w:p>
      <w:pPr>
        <w:pStyle w:val="BodyText"/>
        <w:ind w:left="262" w:right="279"/>
        <w:jc w:val="both"/>
      </w:pPr>
      <w:r>
        <w:rPr/>
        <w:t>Para constituir, ampliar y delimitar la zona de urbanización ejidal y su reserva de crecimiento; así como para regularizar la tenencia de predios en los que se hayan constituido asentamientos humanos irregulares, la asamblea ejidal o de comuneros respectiva deberá ajustarse a las disposiciones</w:t>
      </w:r>
      <w:r>
        <w:rPr>
          <w:spacing w:val="-6"/>
        </w:rPr>
        <w:t> </w:t>
      </w:r>
      <w:r>
        <w:rPr/>
        <w:t>de</w:t>
      </w:r>
      <w:r>
        <w:rPr>
          <w:spacing w:val="-4"/>
        </w:rPr>
        <w:t> </w:t>
      </w:r>
      <w:r>
        <w:rPr/>
        <w:t>esta</w:t>
      </w:r>
      <w:r>
        <w:rPr>
          <w:spacing w:val="-5"/>
        </w:rPr>
        <w:t> </w:t>
      </w:r>
      <w:r>
        <w:rPr/>
        <w:t>Ley</w:t>
      </w:r>
      <w:r>
        <w:rPr>
          <w:spacing w:val="-5"/>
        </w:rPr>
        <w:t> </w:t>
      </w:r>
      <w:r>
        <w:rPr/>
        <w:t>y</w:t>
      </w:r>
      <w:r>
        <w:rPr>
          <w:spacing w:val="-3"/>
        </w:rPr>
        <w:t> </w:t>
      </w:r>
      <w:r>
        <w:rPr/>
        <w:t>a</w:t>
      </w:r>
      <w:r>
        <w:rPr>
          <w:spacing w:val="-5"/>
        </w:rPr>
        <w:t> </w:t>
      </w:r>
      <w:r>
        <w:rPr/>
        <w:t>la</w:t>
      </w:r>
      <w:r>
        <w:rPr>
          <w:spacing w:val="-5"/>
        </w:rPr>
        <w:t> </w:t>
      </w:r>
      <w:r>
        <w:rPr/>
        <w:t>zonificación</w:t>
      </w:r>
      <w:r>
        <w:rPr>
          <w:spacing w:val="-5"/>
        </w:rPr>
        <w:t> </w:t>
      </w:r>
      <w:r>
        <w:rPr/>
        <w:t>contenida</w:t>
      </w:r>
      <w:r>
        <w:rPr>
          <w:spacing w:val="-3"/>
        </w:rPr>
        <w:t> </w:t>
      </w:r>
      <w:r>
        <w:rPr/>
        <w:t>en</w:t>
      </w:r>
      <w:r>
        <w:rPr>
          <w:spacing w:val="-5"/>
        </w:rPr>
        <w:t> </w:t>
      </w:r>
      <w:r>
        <w:rPr/>
        <w:t>los</w:t>
      </w:r>
      <w:r>
        <w:rPr>
          <w:spacing w:val="-3"/>
        </w:rPr>
        <w:t> </w:t>
      </w:r>
      <w:r>
        <w:rPr/>
        <w:t>programas</w:t>
      </w:r>
      <w:r>
        <w:rPr>
          <w:spacing w:val="-3"/>
        </w:rPr>
        <w:t> </w:t>
      </w:r>
      <w:r>
        <w:rPr/>
        <w:t>de</w:t>
      </w:r>
      <w:r>
        <w:rPr>
          <w:spacing w:val="-5"/>
        </w:rPr>
        <w:t> </w:t>
      </w:r>
      <w:r>
        <w:rPr/>
        <w:t>ordenamiento</w:t>
      </w:r>
      <w:r>
        <w:rPr>
          <w:spacing w:val="-5"/>
        </w:rPr>
        <w:t> </w:t>
      </w:r>
      <w:r>
        <w:rPr/>
        <w:t>territorial y</w:t>
      </w:r>
      <w:r>
        <w:rPr>
          <w:spacing w:val="-3"/>
        </w:rPr>
        <w:t> </w:t>
      </w:r>
      <w:r>
        <w:rPr/>
        <w:t>desarrollo</w:t>
      </w:r>
      <w:r>
        <w:rPr>
          <w:spacing w:val="-4"/>
        </w:rPr>
        <w:t> </w:t>
      </w:r>
      <w:r>
        <w:rPr/>
        <w:t>urbano</w:t>
      </w:r>
      <w:r>
        <w:rPr>
          <w:spacing w:val="-5"/>
        </w:rPr>
        <w:t> </w:t>
      </w:r>
      <w:r>
        <w:rPr/>
        <w:t>aplicables.</w:t>
      </w:r>
      <w:r>
        <w:rPr>
          <w:spacing w:val="-4"/>
        </w:rPr>
        <w:t> </w:t>
      </w:r>
      <w:r>
        <w:rPr/>
        <w:t>En</w:t>
      </w:r>
      <w:r>
        <w:rPr>
          <w:spacing w:val="-4"/>
        </w:rPr>
        <w:t> </w:t>
      </w:r>
      <w:r>
        <w:rPr/>
        <w:t>estos</w:t>
      </w:r>
      <w:r>
        <w:rPr>
          <w:spacing w:val="-3"/>
        </w:rPr>
        <w:t> </w:t>
      </w:r>
      <w:r>
        <w:rPr/>
        <w:t>casos,</w:t>
      </w:r>
      <w:r>
        <w:rPr>
          <w:spacing w:val="-4"/>
        </w:rPr>
        <w:t> </w:t>
      </w:r>
      <w:r>
        <w:rPr/>
        <w:t>se</w:t>
      </w:r>
      <w:r>
        <w:rPr>
          <w:spacing w:val="-4"/>
        </w:rPr>
        <w:t> </w:t>
      </w:r>
      <w:r>
        <w:rPr/>
        <w:t>requiere</w:t>
      </w:r>
      <w:r>
        <w:rPr>
          <w:spacing w:val="-4"/>
        </w:rPr>
        <w:t> </w:t>
      </w:r>
      <w:r>
        <w:rPr/>
        <w:t>la</w:t>
      </w:r>
      <w:r>
        <w:rPr>
          <w:spacing w:val="-4"/>
        </w:rPr>
        <w:t> </w:t>
      </w:r>
      <w:r>
        <w:rPr/>
        <w:t>autorización</w:t>
      </w:r>
      <w:r>
        <w:rPr>
          <w:spacing w:val="-5"/>
        </w:rPr>
        <w:t> </w:t>
      </w:r>
      <w:r>
        <w:rPr/>
        <w:t>del</w:t>
      </w:r>
      <w:r>
        <w:rPr>
          <w:spacing w:val="-5"/>
        </w:rPr>
        <w:t> </w:t>
      </w:r>
      <w:r>
        <w:rPr/>
        <w:t>ayuntamiento</w:t>
      </w:r>
      <w:r>
        <w:rPr>
          <w:spacing w:val="-5"/>
        </w:rPr>
        <w:t> </w:t>
      </w:r>
      <w:r>
        <w:rPr/>
        <w:t>en</w:t>
      </w:r>
      <w:r>
        <w:rPr>
          <w:spacing w:val="-4"/>
        </w:rPr>
        <w:t> </w:t>
      </w:r>
      <w:r>
        <w:rPr/>
        <w:t>que se encuentre ubicado el ejido o comunidad.</w:t>
      </w:r>
    </w:p>
    <w:p>
      <w:pPr>
        <w:pStyle w:val="BodyText"/>
        <w:spacing w:before="1"/>
      </w:pPr>
    </w:p>
    <w:p>
      <w:pPr>
        <w:pStyle w:val="BodyText"/>
        <w:ind w:left="262" w:right="286"/>
        <w:jc w:val="both"/>
      </w:pPr>
      <w:r>
        <w:rPr>
          <w:rFonts w:ascii="Arial" w:hAnsi="Arial"/>
          <w:b/>
        </w:rPr>
        <w:t>ARTÍCULO 209. </w:t>
      </w:r>
      <w:r>
        <w:rPr/>
        <w:t>La incorporación de terrenos ejidales, comunales y de propiedad federal al Desarrollo Urbano y la vivienda, deberá cumplir con los siguientes requisitos:</w:t>
      </w:r>
    </w:p>
    <w:p>
      <w:pPr>
        <w:pStyle w:val="ListParagraph"/>
        <w:numPr>
          <w:ilvl w:val="0"/>
          <w:numId w:val="81"/>
        </w:numPr>
        <w:tabs>
          <w:tab w:pos="543" w:val="left" w:leader="none"/>
        </w:tabs>
        <w:spacing w:line="240" w:lineRule="auto" w:before="229" w:after="0"/>
        <w:ind w:left="543" w:right="0" w:hanging="281"/>
        <w:jc w:val="left"/>
        <w:rPr>
          <w:sz w:val="20"/>
        </w:rPr>
      </w:pPr>
      <w:r>
        <w:rPr>
          <w:sz w:val="20"/>
        </w:rPr>
        <w:t>Ser</w:t>
      </w:r>
      <w:r>
        <w:rPr>
          <w:spacing w:val="-8"/>
          <w:sz w:val="20"/>
        </w:rPr>
        <w:t> </w:t>
      </w:r>
      <w:r>
        <w:rPr>
          <w:sz w:val="20"/>
        </w:rPr>
        <w:t>necesaria</w:t>
      </w:r>
      <w:r>
        <w:rPr>
          <w:spacing w:val="-6"/>
          <w:sz w:val="20"/>
        </w:rPr>
        <w:t> </w:t>
      </w:r>
      <w:r>
        <w:rPr>
          <w:sz w:val="20"/>
        </w:rPr>
        <w:t>para</w:t>
      </w:r>
      <w:r>
        <w:rPr>
          <w:spacing w:val="-6"/>
          <w:sz w:val="20"/>
        </w:rPr>
        <w:t> </w:t>
      </w:r>
      <w:r>
        <w:rPr>
          <w:sz w:val="20"/>
        </w:rPr>
        <w:t>la</w:t>
      </w:r>
      <w:r>
        <w:rPr>
          <w:spacing w:val="-5"/>
          <w:sz w:val="20"/>
        </w:rPr>
        <w:t> </w:t>
      </w:r>
      <w:r>
        <w:rPr>
          <w:sz w:val="20"/>
        </w:rPr>
        <w:t>ejecución</w:t>
      </w:r>
      <w:r>
        <w:rPr>
          <w:spacing w:val="-9"/>
          <w:sz w:val="20"/>
        </w:rPr>
        <w:t> </w:t>
      </w:r>
      <w:r>
        <w:rPr>
          <w:sz w:val="20"/>
        </w:rPr>
        <w:t>de</w:t>
      </w:r>
      <w:r>
        <w:rPr>
          <w:spacing w:val="-7"/>
          <w:sz w:val="20"/>
        </w:rPr>
        <w:t> </w:t>
      </w:r>
      <w:r>
        <w:rPr>
          <w:sz w:val="20"/>
        </w:rPr>
        <w:t>un</w:t>
      </w:r>
      <w:r>
        <w:rPr>
          <w:spacing w:val="-7"/>
          <w:sz w:val="20"/>
        </w:rPr>
        <w:t> </w:t>
      </w:r>
      <w:r>
        <w:rPr>
          <w:sz w:val="20"/>
        </w:rPr>
        <w:t>programa</w:t>
      </w:r>
      <w:r>
        <w:rPr>
          <w:spacing w:val="-6"/>
          <w:sz w:val="20"/>
        </w:rPr>
        <w:t> </w:t>
      </w:r>
      <w:r>
        <w:rPr>
          <w:sz w:val="20"/>
        </w:rPr>
        <w:t>de</w:t>
      </w:r>
      <w:r>
        <w:rPr>
          <w:spacing w:val="-6"/>
          <w:sz w:val="20"/>
        </w:rPr>
        <w:t> </w:t>
      </w:r>
      <w:r>
        <w:rPr>
          <w:sz w:val="20"/>
        </w:rPr>
        <w:t>Desarrollo</w:t>
      </w:r>
      <w:r>
        <w:rPr>
          <w:spacing w:val="-6"/>
          <w:sz w:val="20"/>
        </w:rPr>
        <w:t> </w:t>
      </w:r>
      <w:r>
        <w:rPr>
          <w:spacing w:val="-2"/>
          <w:sz w:val="20"/>
        </w:rPr>
        <w:t>Urbano;</w:t>
      </w:r>
    </w:p>
    <w:p>
      <w:pPr>
        <w:pStyle w:val="BodyText"/>
        <w:spacing w:before="1"/>
      </w:pPr>
    </w:p>
    <w:p>
      <w:pPr>
        <w:pStyle w:val="ListParagraph"/>
        <w:numPr>
          <w:ilvl w:val="0"/>
          <w:numId w:val="81"/>
        </w:numPr>
        <w:tabs>
          <w:tab w:pos="543" w:val="left" w:leader="none"/>
        </w:tabs>
        <w:spacing w:line="240" w:lineRule="auto" w:before="0" w:after="0"/>
        <w:ind w:left="262" w:right="288" w:firstLine="0"/>
        <w:jc w:val="left"/>
        <w:rPr>
          <w:sz w:val="20"/>
        </w:rPr>
      </w:pPr>
      <w:r>
        <w:rPr>
          <w:sz w:val="20"/>
        </w:rPr>
        <w:t>Las áreas o predios que se incorporen deberán cumplir lo establecido en la definición de área urbanizable contenida en la fracción II del artículo 3º de esta Ley;</w:t>
      </w:r>
    </w:p>
    <w:p>
      <w:pPr>
        <w:pStyle w:val="ListParagraph"/>
        <w:numPr>
          <w:ilvl w:val="0"/>
          <w:numId w:val="81"/>
        </w:numPr>
        <w:tabs>
          <w:tab w:pos="597" w:val="left" w:leader="none"/>
        </w:tabs>
        <w:spacing w:line="240" w:lineRule="auto" w:before="229" w:after="0"/>
        <w:ind w:left="262" w:right="286" w:firstLine="0"/>
        <w:jc w:val="left"/>
        <w:rPr>
          <w:sz w:val="20"/>
        </w:rPr>
      </w:pPr>
      <w:r>
        <w:rPr>
          <w:sz w:val="20"/>
        </w:rPr>
        <w:t>El</w:t>
      </w:r>
      <w:r>
        <w:rPr>
          <w:spacing w:val="38"/>
          <w:sz w:val="20"/>
        </w:rPr>
        <w:t> </w:t>
      </w:r>
      <w:r>
        <w:rPr>
          <w:sz w:val="20"/>
        </w:rPr>
        <w:t>planteamiento</w:t>
      </w:r>
      <w:r>
        <w:rPr>
          <w:spacing w:val="36"/>
          <w:sz w:val="20"/>
        </w:rPr>
        <w:t> </w:t>
      </w:r>
      <w:r>
        <w:rPr>
          <w:sz w:val="20"/>
        </w:rPr>
        <w:t>de</w:t>
      </w:r>
      <w:r>
        <w:rPr>
          <w:spacing w:val="36"/>
          <w:sz w:val="20"/>
        </w:rPr>
        <w:t> </w:t>
      </w:r>
      <w:r>
        <w:rPr>
          <w:sz w:val="20"/>
        </w:rPr>
        <w:t>esquemas</w:t>
      </w:r>
      <w:r>
        <w:rPr>
          <w:spacing w:val="37"/>
          <w:sz w:val="20"/>
        </w:rPr>
        <w:t> </w:t>
      </w:r>
      <w:r>
        <w:rPr>
          <w:sz w:val="20"/>
        </w:rPr>
        <w:t>financieros</w:t>
      </w:r>
      <w:r>
        <w:rPr>
          <w:spacing w:val="37"/>
          <w:sz w:val="20"/>
        </w:rPr>
        <w:t> </w:t>
      </w:r>
      <w:r>
        <w:rPr>
          <w:sz w:val="20"/>
        </w:rPr>
        <w:t>para</w:t>
      </w:r>
      <w:r>
        <w:rPr>
          <w:spacing w:val="36"/>
          <w:sz w:val="20"/>
        </w:rPr>
        <w:t> </w:t>
      </w:r>
      <w:r>
        <w:rPr>
          <w:sz w:val="20"/>
        </w:rPr>
        <w:t>su</w:t>
      </w:r>
      <w:r>
        <w:rPr>
          <w:spacing w:val="38"/>
          <w:sz w:val="20"/>
        </w:rPr>
        <w:t> </w:t>
      </w:r>
      <w:r>
        <w:rPr>
          <w:sz w:val="20"/>
        </w:rPr>
        <w:t>aprovechamiento</w:t>
      </w:r>
      <w:r>
        <w:rPr>
          <w:spacing w:val="35"/>
          <w:sz w:val="20"/>
        </w:rPr>
        <w:t> </w:t>
      </w:r>
      <w:r>
        <w:rPr>
          <w:sz w:val="20"/>
        </w:rPr>
        <w:t>y</w:t>
      </w:r>
      <w:r>
        <w:rPr>
          <w:spacing w:val="37"/>
          <w:sz w:val="20"/>
        </w:rPr>
        <w:t> </w:t>
      </w:r>
      <w:r>
        <w:rPr>
          <w:sz w:val="20"/>
        </w:rPr>
        <w:t>para</w:t>
      </w:r>
      <w:r>
        <w:rPr>
          <w:spacing w:val="36"/>
          <w:sz w:val="20"/>
        </w:rPr>
        <w:t> </w:t>
      </w:r>
      <w:r>
        <w:rPr>
          <w:sz w:val="20"/>
        </w:rPr>
        <w:t>la</w:t>
      </w:r>
      <w:r>
        <w:rPr>
          <w:spacing w:val="36"/>
          <w:sz w:val="20"/>
        </w:rPr>
        <w:t> </w:t>
      </w:r>
      <w:r>
        <w:rPr>
          <w:sz w:val="20"/>
        </w:rPr>
        <w:t>dotación</w:t>
      </w:r>
      <w:r>
        <w:rPr>
          <w:spacing w:val="38"/>
          <w:sz w:val="20"/>
        </w:rPr>
        <w:t> </w:t>
      </w:r>
      <w:r>
        <w:rPr>
          <w:sz w:val="20"/>
        </w:rPr>
        <w:t>de infraestructura, equipamiento y Servicios Urbanos, así como para la construcción de vivienda, y</w:t>
      </w:r>
    </w:p>
    <w:p>
      <w:pPr>
        <w:pStyle w:val="BodyText"/>
        <w:spacing w:before="1"/>
      </w:pPr>
    </w:p>
    <w:p>
      <w:pPr>
        <w:pStyle w:val="ListParagraph"/>
        <w:numPr>
          <w:ilvl w:val="0"/>
          <w:numId w:val="81"/>
        </w:numPr>
        <w:tabs>
          <w:tab w:pos="688" w:val="left" w:leader="none"/>
        </w:tabs>
        <w:spacing w:line="240" w:lineRule="auto" w:before="0" w:after="0"/>
        <w:ind w:left="262" w:right="286" w:firstLine="0"/>
        <w:jc w:val="left"/>
        <w:rPr>
          <w:sz w:val="20"/>
        </w:rPr>
      </w:pPr>
      <w:r>
        <w:rPr>
          <w:sz w:val="20"/>
        </w:rPr>
        <w:t>Los</w:t>
      </w:r>
      <w:r>
        <w:rPr>
          <w:spacing w:val="-6"/>
          <w:sz w:val="20"/>
        </w:rPr>
        <w:t> </w:t>
      </w:r>
      <w:r>
        <w:rPr>
          <w:sz w:val="20"/>
        </w:rPr>
        <w:t>demás</w:t>
      </w:r>
      <w:r>
        <w:rPr>
          <w:spacing w:val="-4"/>
          <w:sz w:val="20"/>
        </w:rPr>
        <w:t> </w:t>
      </w:r>
      <w:r>
        <w:rPr>
          <w:sz w:val="20"/>
        </w:rPr>
        <w:t>que</w:t>
      </w:r>
      <w:r>
        <w:rPr>
          <w:spacing w:val="-6"/>
          <w:sz w:val="20"/>
        </w:rPr>
        <w:t> </w:t>
      </w:r>
      <w:r>
        <w:rPr>
          <w:sz w:val="20"/>
        </w:rPr>
        <w:t>determine</w:t>
      </w:r>
      <w:r>
        <w:rPr>
          <w:spacing w:val="-6"/>
          <w:sz w:val="20"/>
        </w:rPr>
        <w:t> </w:t>
      </w:r>
      <w:r>
        <w:rPr>
          <w:sz w:val="20"/>
        </w:rPr>
        <w:t>la</w:t>
      </w:r>
      <w:r>
        <w:rPr>
          <w:spacing w:val="-8"/>
          <w:sz w:val="20"/>
        </w:rPr>
        <w:t> </w:t>
      </w:r>
      <w:r>
        <w:rPr>
          <w:sz w:val="20"/>
        </w:rPr>
        <w:t>Secretaría</w:t>
      </w:r>
      <w:r>
        <w:rPr>
          <w:spacing w:val="-6"/>
          <w:sz w:val="20"/>
        </w:rPr>
        <w:t> </w:t>
      </w:r>
      <w:r>
        <w:rPr>
          <w:sz w:val="20"/>
        </w:rPr>
        <w:t>conforme</w:t>
      </w:r>
      <w:r>
        <w:rPr>
          <w:spacing w:val="-5"/>
          <w:sz w:val="20"/>
        </w:rPr>
        <w:t> </w:t>
      </w:r>
      <w:r>
        <w:rPr>
          <w:sz w:val="20"/>
        </w:rPr>
        <w:t>a</w:t>
      </w:r>
      <w:r>
        <w:rPr>
          <w:spacing w:val="-5"/>
          <w:sz w:val="20"/>
        </w:rPr>
        <w:t> </w:t>
      </w:r>
      <w:r>
        <w:rPr>
          <w:sz w:val="20"/>
        </w:rPr>
        <w:t>las</w:t>
      </w:r>
      <w:r>
        <w:rPr>
          <w:spacing w:val="-4"/>
          <w:sz w:val="20"/>
        </w:rPr>
        <w:t> </w:t>
      </w:r>
      <w:r>
        <w:rPr>
          <w:sz w:val="20"/>
        </w:rPr>
        <w:t>disposiciones</w:t>
      </w:r>
      <w:r>
        <w:rPr>
          <w:spacing w:val="-6"/>
          <w:sz w:val="20"/>
        </w:rPr>
        <w:t> </w:t>
      </w:r>
      <w:r>
        <w:rPr>
          <w:sz w:val="20"/>
        </w:rPr>
        <w:t>jurídicas</w:t>
      </w:r>
      <w:r>
        <w:rPr>
          <w:spacing w:val="-7"/>
          <w:sz w:val="20"/>
        </w:rPr>
        <w:t> </w:t>
      </w:r>
      <w:r>
        <w:rPr>
          <w:sz w:val="20"/>
        </w:rPr>
        <w:t>aplicables</w:t>
      </w:r>
      <w:r>
        <w:rPr>
          <w:spacing w:val="-7"/>
          <w:sz w:val="20"/>
        </w:rPr>
        <w:t> </w:t>
      </w:r>
      <w:r>
        <w:rPr>
          <w:sz w:val="20"/>
        </w:rPr>
        <w:t>y</w:t>
      </w:r>
      <w:r>
        <w:rPr>
          <w:spacing w:val="-4"/>
          <w:sz w:val="20"/>
        </w:rPr>
        <w:t> </w:t>
      </w:r>
      <w:r>
        <w:rPr>
          <w:sz w:val="20"/>
        </w:rPr>
        <w:t>que se deriven de los convenios o acuerdos correspondientes.</w:t>
      </w:r>
    </w:p>
    <w:p>
      <w:pPr>
        <w:pStyle w:val="BodyText"/>
        <w:spacing w:before="229"/>
        <w:ind w:left="262" w:right="277"/>
        <w:jc w:val="both"/>
      </w:pPr>
      <w:r>
        <w:rPr>
          <w:rFonts w:ascii="Arial" w:hAnsi="Arial"/>
          <w:b/>
        </w:rPr>
        <w:t>ARTÍCULO 210. </w:t>
      </w:r>
      <w:r>
        <w:rPr/>
        <w:t>En los casos de suelo y reservas territoriales que tengan por objeto el desarrollo de acciones habitacionales de interés social y popular, provenientes del dominio federal, la enajenación de predios que realicen la Federación, las entidades de la Administración Pública Federal, las entidades federativas, los municipios y de las demarcaciones territoriales, o sus entidades paraestatales, estará sujeta a la legislación aplicable en materia de vivienda.</w:t>
      </w:r>
    </w:p>
    <w:p>
      <w:pPr>
        <w:pStyle w:val="BodyText"/>
      </w:pPr>
    </w:p>
    <w:p>
      <w:pPr>
        <w:pStyle w:val="BodyText"/>
        <w:ind w:left="262" w:right="274"/>
        <w:jc w:val="both"/>
      </w:pPr>
      <w:r>
        <w:rPr>
          <w:rFonts w:ascii="Arial" w:hAnsi="Arial"/>
          <w:b/>
        </w:rPr>
        <w:t>ARTÍCULO 211. </w:t>
      </w:r>
      <w:r>
        <w:rPr/>
        <w:t>La</w:t>
      </w:r>
      <w:r>
        <w:rPr>
          <w:spacing w:val="-2"/>
        </w:rPr>
        <w:t> </w:t>
      </w:r>
      <w:r>
        <w:rPr/>
        <w:t>constitución de reservas territoriales en</w:t>
      </w:r>
      <w:r>
        <w:rPr>
          <w:spacing w:val="-2"/>
        </w:rPr>
        <w:t> </w:t>
      </w:r>
      <w:r>
        <w:rPr/>
        <w:t>centros de</w:t>
      </w:r>
      <w:r>
        <w:rPr>
          <w:spacing w:val="-1"/>
        </w:rPr>
        <w:t> </w:t>
      </w:r>
      <w:r>
        <w:rPr/>
        <w:t>población,</w:t>
      </w:r>
      <w:r>
        <w:rPr>
          <w:spacing w:val="-1"/>
        </w:rPr>
        <w:t> </w:t>
      </w:r>
      <w:r>
        <w:rPr/>
        <w:t>que</w:t>
      </w:r>
      <w:r>
        <w:rPr>
          <w:spacing w:val="-1"/>
        </w:rPr>
        <w:t> </w:t>
      </w:r>
      <w:r>
        <w:rPr/>
        <w:t>cuenten con áreas ejidales o comunales aptas para el desarrollo urbano, se establecerá mediante la determinación de reservas, de conformidad a lo dispuesto en esta Ley, en la legislación agraria aplicable y en los programas de ordenamiento territorial y desarrollo urbano.</w:t>
      </w:r>
    </w:p>
    <w:p>
      <w:pPr>
        <w:pStyle w:val="BodyText"/>
      </w:pPr>
    </w:p>
    <w:p>
      <w:pPr>
        <w:pStyle w:val="BodyText"/>
        <w:ind w:left="262" w:right="279"/>
        <w:jc w:val="both"/>
      </w:pPr>
      <w:r>
        <w:rPr>
          <w:rFonts w:ascii="Arial" w:hAnsi="Arial"/>
          <w:b/>
        </w:rPr>
        <w:t>ARTÍCULO</w:t>
      </w:r>
      <w:r>
        <w:rPr>
          <w:rFonts w:ascii="Arial" w:hAnsi="Arial"/>
          <w:b/>
          <w:spacing w:val="-1"/>
        </w:rPr>
        <w:t> </w:t>
      </w:r>
      <w:r>
        <w:rPr>
          <w:rFonts w:ascii="Arial" w:hAnsi="Arial"/>
          <w:b/>
        </w:rPr>
        <w:t>212.</w:t>
      </w:r>
      <w:r>
        <w:rPr>
          <w:rFonts w:ascii="Arial" w:hAnsi="Arial"/>
          <w:b/>
          <w:spacing w:val="-1"/>
        </w:rPr>
        <w:t> </w:t>
      </w:r>
      <w:r>
        <w:rPr/>
        <w:t>Se</w:t>
      </w:r>
      <w:r>
        <w:rPr>
          <w:spacing w:val="-2"/>
        </w:rPr>
        <w:t> </w:t>
      </w:r>
      <w:r>
        <w:rPr/>
        <w:t>coordinarán las</w:t>
      </w:r>
      <w:r>
        <w:rPr>
          <w:spacing w:val="-1"/>
        </w:rPr>
        <w:t> </w:t>
      </w:r>
      <w:r>
        <w:rPr/>
        <w:t>acciones</w:t>
      </w:r>
      <w:r>
        <w:rPr>
          <w:spacing w:val="-1"/>
        </w:rPr>
        <w:t> </w:t>
      </w:r>
      <w:r>
        <w:rPr/>
        <w:t>del</w:t>
      </w:r>
      <w:r>
        <w:rPr>
          <w:spacing w:val="-3"/>
        </w:rPr>
        <w:t> </w:t>
      </w:r>
      <w:r>
        <w:rPr/>
        <w:t>Estado</w:t>
      </w:r>
      <w:r>
        <w:rPr>
          <w:spacing w:val="-3"/>
        </w:rPr>
        <w:t> </w:t>
      </w:r>
      <w:r>
        <w:rPr/>
        <w:t>con</w:t>
      </w:r>
      <w:r>
        <w:rPr>
          <w:spacing w:val="-3"/>
        </w:rPr>
        <w:t> </w:t>
      </w:r>
      <w:r>
        <w:rPr/>
        <w:t>los</w:t>
      </w:r>
      <w:r>
        <w:rPr>
          <w:spacing w:val="-1"/>
        </w:rPr>
        <w:t> </w:t>
      </w:r>
      <w:r>
        <w:rPr/>
        <w:t>demás</w:t>
      </w:r>
      <w:r>
        <w:rPr>
          <w:spacing w:val="-1"/>
        </w:rPr>
        <w:t> </w:t>
      </w:r>
      <w:r>
        <w:rPr/>
        <w:t>órdenes</w:t>
      </w:r>
      <w:r>
        <w:rPr>
          <w:spacing w:val="-1"/>
        </w:rPr>
        <w:t> </w:t>
      </w:r>
      <w:r>
        <w:rPr/>
        <w:t>de</w:t>
      </w:r>
      <w:r>
        <w:rPr>
          <w:spacing w:val="-3"/>
        </w:rPr>
        <w:t> </w:t>
      </w:r>
      <w:r>
        <w:rPr/>
        <w:t>gobierno,</w:t>
      </w:r>
      <w:r>
        <w:rPr>
          <w:spacing w:val="-2"/>
        </w:rPr>
        <w:t> </w:t>
      </w:r>
      <w:r>
        <w:rPr/>
        <w:t>para establecer la congruencia de las políticas agrarias con los programas de ordenamiento territorial y desarrollo urbano, relativas a la expropiación o aportación de terrenos ejidales y comunales, así como para el establecimiento de las zonas de urbanización ejidal y de reserva.</w:t>
      </w:r>
    </w:p>
    <w:p>
      <w:pPr>
        <w:pStyle w:val="BodyText"/>
      </w:pPr>
    </w:p>
    <w:p>
      <w:pPr>
        <w:pStyle w:val="BodyText"/>
        <w:ind w:left="262" w:right="281"/>
        <w:jc w:val="both"/>
      </w:pPr>
      <w:r>
        <w:rPr/>
        <w:t>Para la ejecución de los planes o programas de Desarrollo Urbano, el Estado y los municipios, podrán</w:t>
      </w:r>
      <w:r>
        <w:rPr>
          <w:spacing w:val="-14"/>
        </w:rPr>
        <w:t> </w:t>
      </w:r>
      <w:r>
        <w:rPr/>
        <w:t>promover</w:t>
      </w:r>
      <w:r>
        <w:rPr>
          <w:spacing w:val="-14"/>
        </w:rPr>
        <w:t> </w:t>
      </w:r>
      <w:r>
        <w:rPr/>
        <w:t>ante</w:t>
      </w:r>
      <w:r>
        <w:rPr>
          <w:spacing w:val="-14"/>
        </w:rPr>
        <w:t> </w:t>
      </w:r>
      <w:r>
        <w:rPr/>
        <w:t>propietarios</w:t>
      </w:r>
      <w:r>
        <w:rPr>
          <w:spacing w:val="-14"/>
        </w:rPr>
        <w:t> </w:t>
      </w:r>
      <w:r>
        <w:rPr/>
        <w:t>e</w:t>
      </w:r>
      <w:r>
        <w:rPr>
          <w:spacing w:val="-14"/>
        </w:rPr>
        <w:t> </w:t>
      </w:r>
      <w:r>
        <w:rPr/>
        <w:t>inversionistas</w:t>
      </w:r>
      <w:r>
        <w:rPr>
          <w:spacing w:val="-14"/>
        </w:rPr>
        <w:t> </w:t>
      </w:r>
      <w:r>
        <w:rPr/>
        <w:t>la</w:t>
      </w:r>
      <w:r>
        <w:rPr>
          <w:spacing w:val="-14"/>
        </w:rPr>
        <w:t> </w:t>
      </w:r>
      <w:r>
        <w:rPr/>
        <w:t>integración</w:t>
      </w:r>
      <w:r>
        <w:rPr>
          <w:spacing w:val="-14"/>
        </w:rPr>
        <w:t> </w:t>
      </w:r>
      <w:r>
        <w:rPr/>
        <w:t>de</w:t>
      </w:r>
      <w:r>
        <w:rPr>
          <w:spacing w:val="-14"/>
        </w:rPr>
        <w:t> </w:t>
      </w:r>
      <w:r>
        <w:rPr/>
        <w:t>la</w:t>
      </w:r>
      <w:r>
        <w:rPr>
          <w:spacing w:val="-13"/>
        </w:rPr>
        <w:t> </w:t>
      </w:r>
      <w:r>
        <w:rPr/>
        <w:t>propiedad</w:t>
      </w:r>
      <w:r>
        <w:rPr>
          <w:spacing w:val="-14"/>
        </w:rPr>
        <w:t> </w:t>
      </w:r>
      <w:r>
        <w:rPr/>
        <w:t>requerida</w:t>
      </w:r>
      <w:r>
        <w:rPr>
          <w:spacing w:val="-14"/>
        </w:rPr>
        <w:t> </w:t>
      </w:r>
      <w:r>
        <w:rPr/>
        <w:t>mediante el reagrupamiento de predios, en los términos de las leyes estatales relativas. Los predios </w:t>
      </w:r>
      <w:r>
        <w:rPr>
          <w:spacing w:val="-2"/>
        </w:rPr>
        <w:t>reagrupados podrán</w:t>
      </w:r>
      <w:r>
        <w:rPr>
          <w:spacing w:val="-4"/>
        </w:rPr>
        <w:t> </w:t>
      </w:r>
      <w:r>
        <w:rPr>
          <w:spacing w:val="-2"/>
        </w:rPr>
        <w:t>conformar</w:t>
      </w:r>
      <w:r>
        <w:rPr>
          <w:spacing w:val="-6"/>
        </w:rPr>
        <w:t> </w:t>
      </w:r>
      <w:r>
        <w:rPr>
          <w:spacing w:val="-2"/>
        </w:rPr>
        <w:t>polígonos</w:t>
      </w:r>
      <w:r>
        <w:rPr>
          <w:spacing w:val="-6"/>
        </w:rPr>
        <w:t> </w:t>
      </w:r>
      <w:r>
        <w:rPr>
          <w:spacing w:val="-2"/>
        </w:rPr>
        <w:t>de</w:t>
      </w:r>
      <w:r>
        <w:rPr>
          <w:spacing w:val="-4"/>
        </w:rPr>
        <w:t> </w:t>
      </w:r>
      <w:r>
        <w:rPr>
          <w:spacing w:val="-2"/>
        </w:rPr>
        <w:t>actuación</w:t>
      </w:r>
      <w:r>
        <w:rPr>
          <w:spacing w:val="-5"/>
        </w:rPr>
        <w:t> </w:t>
      </w:r>
      <w:r>
        <w:rPr>
          <w:spacing w:val="-2"/>
        </w:rPr>
        <w:t>a</w:t>
      </w:r>
      <w:r>
        <w:rPr>
          <w:spacing w:val="-4"/>
        </w:rPr>
        <w:t> </w:t>
      </w:r>
      <w:r>
        <w:rPr>
          <w:spacing w:val="-2"/>
        </w:rPr>
        <w:t>fin</w:t>
      </w:r>
      <w:r>
        <w:rPr>
          <w:spacing w:val="-4"/>
        </w:rPr>
        <w:t> </w:t>
      </w:r>
      <w:r>
        <w:rPr>
          <w:spacing w:val="-2"/>
        </w:rPr>
        <w:t>de</w:t>
      </w:r>
      <w:r>
        <w:rPr>
          <w:spacing w:val="-4"/>
        </w:rPr>
        <w:t> </w:t>
      </w:r>
      <w:r>
        <w:rPr>
          <w:spacing w:val="-2"/>
        </w:rPr>
        <w:t>lograr un</w:t>
      </w:r>
      <w:r>
        <w:rPr>
          <w:spacing w:val="-5"/>
        </w:rPr>
        <w:t> </w:t>
      </w:r>
      <w:r>
        <w:rPr>
          <w:spacing w:val="-2"/>
        </w:rPr>
        <w:t>Desarrollo</w:t>
      </w:r>
      <w:r>
        <w:rPr>
          <w:spacing w:val="-4"/>
        </w:rPr>
        <w:t> </w:t>
      </w:r>
      <w:r>
        <w:rPr>
          <w:spacing w:val="-2"/>
        </w:rPr>
        <w:t>Urbano</w:t>
      </w:r>
      <w:r>
        <w:rPr>
          <w:spacing w:val="-5"/>
        </w:rPr>
        <w:t> </w:t>
      </w:r>
      <w:r>
        <w:rPr>
          <w:spacing w:val="-2"/>
        </w:rPr>
        <w:t>integrado </w:t>
      </w:r>
      <w:r>
        <w:rPr/>
        <w:t>y podrán aprovechar los incentivos y facilidades contempladas en esta Ley para la ocupación y aprovechamiento de áreas, polígonos y predios baldíos, subutilizados y mostrencos.</w:t>
      </w:r>
    </w:p>
    <w:p>
      <w:pPr>
        <w:pStyle w:val="BodyText"/>
        <w:spacing w:before="1"/>
      </w:pPr>
    </w:p>
    <w:p>
      <w:pPr>
        <w:pStyle w:val="BodyText"/>
        <w:ind w:left="262" w:right="289"/>
        <w:jc w:val="both"/>
      </w:pPr>
      <w:r>
        <w:rPr/>
        <w:t>Asimismo, podrán instrumentar de forma coordinada</w:t>
      </w:r>
      <w:r>
        <w:rPr>
          <w:spacing w:val="40"/>
        </w:rPr>
        <w:t> </w:t>
      </w:r>
      <w:r>
        <w:rPr/>
        <w:t>programas de desarrollo social para que los titulares de derechos ejidales y comunales cuyas tierras se incorporen al desarrollo urbano, se integren a las actividades económicas y sociales.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5"/>
        <w:jc w:val="both"/>
      </w:pPr>
      <w:r>
        <w:rPr/>
        <w:t>Una</w:t>
      </w:r>
      <w:r>
        <w:rPr>
          <w:spacing w:val="-7"/>
        </w:rPr>
        <w:t> </w:t>
      </w:r>
      <w:r>
        <w:rPr/>
        <w:t>vez</w:t>
      </w:r>
      <w:r>
        <w:rPr>
          <w:spacing w:val="-6"/>
        </w:rPr>
        <w:t> </w:t>
      </w:r>
      <w:r>
        <w:rPr/>
        <w:t>ejecutada</w:t>
      </w:r>
      <w:r>
        <w:rPr>
          <w:spacing w:val="-5"/>
        </w:rPr>
        <w:t> </w:t>
      </w:r>
      <w:r>
        <w:rPr/>
        <w:t>la</w:t>
      </w:r>
      <w:r>
        <w:rPr>
          <w:spacing w:val="-5"/>
        </w:rPr>
        <w:t> </w:t>
      </w:r>
      <w:r>
        <w:rPr/>
        <w:t>Acción</w:t>
      </w:r>
      <w:r>
        <w:rPr>
          <w:spacing w:val="-7"/>
        </w:rPr>
        <w:t> </w:t>
      </w:r>
      <w:r>
        <w:rPr/>
        <w:t>Urbanística,</w:t>
      </w:r>
      <w:r>
        <w:rPr>
          <w:spacing w:val="-5"/>
        </w:rPr>
        <w:t> </w:t>
      </w:r>
      <w:r>
        <w:rPr/>
        <w:t>los</w:t>
      </w:r>
      <w:r>
        <w:rPr>
          <w:spacing w:val="-6"/>
        </w:rPr>
        <w:t> </w:t>
      </w:r>
      <w:r>
        <w:rPr/>
        <w:t>propietarios</w:t>
      </w:r>
      <w:r>
        <w:rPr>
          <w:spacing w:val="-6"/>
        </w:rPr>
        <w:t> </w:t>
      </w:r>
      <w:r>
        <w:rPr/>
        <w:t>e</w:t>
      </w:r>
      <w:r>
        <w:rPr>
          <w:spacing w:val="-7"/>
        </w:rPr>
        <w:t> </w:t>
      </w:r>
      <w:r>
        <w:rPr/>
        <w:t>inversionistas</w:t>
      </w:r>
      <w:r>
        <w:rPr>
          <w:spacing w:val="-6"/>
        </w:rPr>
        <w:t> </w:t>
      </w:r>
      <w:r>
        <w:rPr/>
        <w:t>procederán</w:t>
      </w:r>
      <w:r>
        <w:rPr>
          <w:spacing w:val="-7"/>
        </w:rPr>
        <w:t> </w:t>
      </w:r>
      <w:r>
        <w:rPr/>
        <w:t>a</w:t>
      </w:r>
      <w:r>
        <w:rPr>
          <w:spacing w:val="-7"/>
        </w:rPr>
        <w:t> </w:t>
      </w:r>
      <w:r>
        <w:rPr/>
        <w:t>recuperar</w:t>
      </w:r>
      <w:r>
        <w:rPr>
          <w:spacing w:val="-5"/>
        </w:rPr>
        <w:t> </w:t>
      </w:r>
      <w:r>
        <w:rPr/>
        <w:t>la parte</w:t>
      </w:r>
      <w:r>
        <w:rPr>
          <w:spacing w:val="-10"/>
        </w:rPr>
        <w:t> </w:t>
      </w:r>
      <w:r>
        <w:rPr/>
        <w:t>alícuota</w:t>
      </w:r>
      <w:r>
        <w:rPr>
          <w:spacing w:val="-10"/>
        </w:rPr>
        <w:t> </w:t>
      </w:r>
      <w:r>
        <w:rPr/>
        <w:t>que</w:t>
      </w:r>
      <w:r>
        <w:rPr>
          <w:spacing w:val="-10"/>
        </w:rPr>
        <w:t> </w:t>
      </w:r>
      <w:r>
        <w:rPr/>
        <w:t>les</w:t>
      </w:r>
      <w:r>
        <w:rPr>
          <w:spacing w:val="-11"/>
        </w:rPr>
        <w:t> </w:t>
      </w:r>
      <w:r>
        <w:rPr/>
        <w:t>corresponda,</w:t>
      </w:r>
      <w:r>
        <w:rPr>
          <w:spacing w:val="-12"/>
        </w:rPr>
        <w:t> </w:t>
      </w:r>
      <w:r>
        <w:rPr/>
        <w:t>pudiendo</w:t>
      </w:r>
      <w:r>
        <w:rPr>
          <w:spacing w:val="-12"/>
        </w:rPr>
        <w:t> </w:t>
      </w:r>
      <w:r>
        <w:rPr/>
        <w:t>ser</w:t>
      </w:r>
      <w:r>
        <w:rPr>
          <w:spacing w:val="-11"/>
        </w:rPr>
        <w:t> </w:t>
      </w:r>
      <w:r>
        <w:rPr/>
        <w:t>en</w:t>
      </w:r>
      <w:r>
        <w:rPr>
          <w:spacing w:val="-12"/>
        </w:rPr>
        <w:t> </w:t>
      </w:r>
      <w:r>
        <w:rPr/>
        <w:t>tierra,</w:t>
      </w:r>
      <w:r>
        <w:rPr>
          <w:spacing w:val="-13"/>
        </w:rPr>
        <w:t> </w:t>
      </w:r>
      <w:r>
        <w:rPr/>
        <w:t>edificaciones</w:t>
      </w:r>
      <w:r>
        <w:rPr>
          <w:spacing w:val="-9"/>
        </w:rPr>
        <w:t> </w:t>
      </w:r>
      <w:r>
        <w:rPr/>
        <w:t>o</w:t>
      </w:r>
      <w:r>
        <w:rPr>
          <w:spacing w:val="-12"/>
        </w:rPr>
        <w:t> </w:t>
      </w:r>
      <w:r>
        <w:rPr/>
        <w:t>en</w:t>
      </w:r>
      <w:r>
        <w:rPr>
          <w:spacing w:val="-12"/>
        </w:rPr>
        <w:t> </w:t>
      </w:r>
      <w:r>
        <w:rPr/>
        <w:t>numerario,</w:t>
      </w:r>
      <w:r>
        <w:rPr>
          <w:spacing w:val="-10"/>
        </w:rPr>
        <w:t> </w:t>
      </w:r>
      <w:r>
        <w:rPr/>
        <w:t>de</w:t>
      </w:r>
      <w:r>
        <w:rPr>
          <w:spacing w:val="-10"/>
        </w:rPr>
        <w:t> </w:t>
      </w:r>
      <w:r>
        <w:rPr/>
        <w:t>acuerdo a los convenios que al efecto se celebren.</w:t>
      </w:r>
    </w:p>
    <w:p>
      <w:pPr>
        <w:pStyle w:val="BodyText"/>
      </w:pPr>
    </w:p>
    <w:p>
      <w:pPr>
        <w:pStyle w:val="BodyText"/>
      </w:pPr>
    </w:p>
    <w:p>
      <w:pPr>
        <w:pStyle w:val="Heading2"/>
        <w:ind w:right="17"/>
      </w:pPr>
      <w:r>
        <w:rPr/>
        <w:t>Capítulo</w:t>
      </w:r>
      <w:r>
        <w:rPr>
          <w:spacing w:val="-8"/>
        </w:rPr>
        <w:t> </w:t>
      </w:r>
      <w:r>
        <w:rPr>
          <w:spacing w:val="-5"/>
        </w:rPr>
        <w:t>III</w:t>
      </w:r>
    </w:p>
    <w:p>
      <w:pPr>
        <w:pStyle w:val="BodyText"/>
        <w:spacing w:before="1"/>
        <w:rPr>
          <w:rFonts w:ascii="Arial"/>
          <w:b/>
        </w:rPr>
      </w:pPr>
    </w:p>
    <w:p>
      <w:pPr>
        <w:spacing w:before="0"/>
        <w:ind w:left="0" w:right="21" w:firstLine="0"/>
        <w:jc w:val="center"/>
        <w:rPr>
          <w:rFonts w:ascii="Arial" w:hAnsi="Arial"/>
          <w:b/>
          <w:sz w:val="20"/>
        </w:rPr>
      </w:pPr>
      <w:r>
        <w:rPr>
          <w:rFonts w:ascii="Arial" w:hAnsi="Arial"/>
          <w:b/>
          <w:sz w:val="20"/>
        </w:rPr>
        <w:t>Regularización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Tenencia</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Tierra</w:t>
      </w:r>
      <w:r>
        <w:rPr>
          <w:rFonts w:ascii="Arial" w:hAnsi="Arial"/>
          <w:b/>
          <w:spacing w:val="-6"/>
          <w:sz w:val="20"/>
        </w:rPr>
        <w:t> </w:t>
      </w:r>
      <w:r>
        <w:rPr>
          <w:rFonts w:ascii="Arial" w:hAnsi="Arial"/>
          <w:b/>
          <w:sz w:val="20"/>
        </w:rPr>
        <w:t>Urbana</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pacing w:val="-2"/>
          <w:sz w:val="20"/>
        </w:rPr>
        <w:t>Rústica</w:t>
      </w:r>
    </w:p>
    <w:p>
      <w:pPr>
        <w:pStyle w:val="BodyText"/>
        <w:spacing w:before="1"/>
        <w:rPr>
          <w:rFonts w:ascii="Arial"/>
          <w:b/>
        </w:rPr>
      </w:pPr>
    </w:p>
    <w:p>
      <w:pPr>
        <w:pStyle w:val="BodyText"/>
        <w:ind w:left="262" w:right="281"/>
        <w:jc w:val="both"/>
      </w:pPr>
      <w:r>
        <w:rPr>
          <w:rFonts w:ascii="Arial" w:hAnsi="Arial"/>
          <w:b/>
        </w:rPr>
        <w:t>ARTÍCULO</w:t>
      </w:r>
      <w:r>
        <w:rPr>
          <w:rFonts w:ascii="Arial" w:hAnsi="Arial"/>
          <w:b/>
          <w:spacing w:val="-4"/>
        </w:rPr>
        <w:t> </w:t>
      </w:r>
      <w:r>
        <w:rPr>
          <w:rFonts w:ascii="Arial" w:hAnsi="Arial"/>
          <w:b/>
        </w:rPr>
        <w:t>213.</w:t>
      </w:r>
      <w:r>
        <w:rPr>
          <w:rFonts w:ascii="Arial" w:hAnsi="Arial"/>
          <w:b/>
          <w:spacing w:val="-2"/>
        </w:rPr>
        <w:t> </w:t>
      </w:r>
      <w:r>
        <w:rPr/>
        <w:t>Se</w:t>
      </w:r>
      <w:r>
        <w:rPr>
          <w:spacing w:val="-3"/>
        </w:rPr>
        <w:t> </w:t>
      </w:r>
      <w:r>
        <w:rPr/>
        <w:t>considera</w:t>
      </w:r>
      <w:r>
        <w:rPr>
          <w:spacing w:val="-5"/>
        </w:rPr>
        <w:t> </w:t>
      </w:r>
      <w:r>
        <w:rPr/>
        <w:t>de</w:t>
      </w:r>
      <w:r>
        <w:rPr>
          <w:spacing w:val="-3"/>
        </w:rPr>
        <w:t> </w:t>
      </w:r>
      <w:r>
        <w:rPr/>
        <w:t>interés</w:t>
      </w:r>
      <w:r>
        <w:rPr>
          <w:spacing w:val="-4"/>
        </w:rPr>
        <w:t> </w:t>
      </w:r>
      <w:r>
        <w:rPr/>
        <w:t>público</w:t>
      </w:r>
      <w:r>
        <w:rPr>
          <w:spacing w:val="-3"/>
        </w:rPr>
        <w:t> </w:t>
      </w:r>
      <w:r>
        <w:rPr/>
        <w:t>y</w:t>
      </w:r>
      <w:r>
        <w:rPr>
          <w:spacing w:val="-4"/>
        </w:rPr>
        <w:t> </w:t>
      </w:r>
      <w:r>
        <w:rPr/>
        <w:t>prioritario,</w:t>
      </w:r>
      <w:r>
        <w:rPr>
          <w:spacing w:val="-3"/>
        </w:rPr>
        <w:t> </w:t>
      </w:r>
      <w:r>
        <w:rPr/>
        <w:t>el</w:t>
      </w:r>
      <w:r>
        <w:rPr>
          <w:spacing w:val="-4"/>
        </w:rPr>
        <w:t> </w:t>
      </w:r>
      <w:r>
        <w:rPr/>
        <w:t>establecimiento</w:t>
      </w:r>
      <w:r>
        <w:rPr>
          <w:spacing w:val="-1"/>
        </w:rPr>
        <w:t> </w:t>
      </w:r>
      <w:r>
        <w:rPr/>
        <w:t>de</w:t>
      </w:r>
      <w:r>
        <w:rPr>
          <w:spacing w:val="-6"/>
        </w:rPr>
        <w:t> </w:t>
      </w:r>
      <w:r>
        <w:rPr/>
        <w:t>mecanismos</w:t>
      </w:r>
      <w:r>
        <w:rPr>
          <w:spacing w:val="-4"/>
        </w:rPr>
        <w:t> </w:t>
      </w:r>
      <w:r>
        <w:rPr/>
        <w:t>de coordinación</w:t>
      </w:r>
      <w:r>
        <w:rPr>
          <w:spacing w:val="-2"/>
        </w:rPr>
        <w:t> </w:t>
      </w:r>
      <w:r>
        <w:rPr/>
        <w:t>entre los</w:t>
      </w:r>
      <w:r>
        <w:rPr>
          <w:spacing w:val="-1"/>
        </w:rPr>
        <w:t> </w:t>
      </w:r>
      <w:r>
        <w:rPr/>
        <w:t>gobiernos</w:t>
      </w:r>
      <w:r>
        <w:rPr>
          <w:spacing w:val="-1"/>
        </w:rPr>
        <w:t> </w:t>
      </w:r>
      <w:r>
        <w:rPr/>
        <w:t>federal,</w:t>
      </w:r>
      <w:r>
        <w:rPr>
          <w:spacing w:val="-2"/>
        </w:rPr>
        <w:t> </w:t>
      </w:r>
      <w:r>
        <w:rPr/>
        <w:t>estatal</w:t>
      </w:r>
      <w:r>
        <w:rPr>
          <w:spacing w:val="-3"/>
        </w:rPr>
        <w:t> </w:t>
      </w:r>
      <w:r>
        <w:rPr/>
        <w:t>y</w:t>
      </w:r>
      <w:r>
        <w:rPr>
          <w:spacing w:val="-1"/>
        </w:rPr>
        <w:t> </w:t>
      </w:r>
      <w:r>
        <w:rPr/>
        <w:t>municipales,</w:t>
      </w:r>
      <w:r>
        <w:rPr>
          <w:spacing w:val="-2"/>
        </w:rPr>
        <w:t> </w:t>
      </w:r>
      <w:r>
        <w:rPr/>
        <w:t>tendentes</w:t>
      </w:r>
      <w:r>
        <w:rPr>
          <w:spacing w:val="-1"/>
        </w:rPr>
        <w:t> </w:t>
      </w:r>
      <w:r>
        <w:rPr/>
        <w:t>a la</w:t>
      </w:r>
      <w:r>
        <w:rPr>
          <w:spacing w:val="-2"/>
        </w:rPr>
        <w:t> </w:t>
      </w:r>
      <w:r>
        <w:rPr/>
        <w:t>regularización</w:t>
      </w:r>
      <w:r>
        <w:rPr>
          <w:spacing w:val="-2"/>
        </w:rPr>
        <w:t> </w:t>
      </w:r>
      <w:r>
        <w:rPr/>
        <w:t>de los asentamientos</w:t>
      </w:r>
      <w:r>
        <w:rPr>
          <w:spacing w:val="-13"/>
        </w:rPr>
        <w:t> </w:t>
      </w:r>
      <w:r>
        <w:rPr/>
        <w:t>humanos</w:t>
      </w:r>
      <w:r>
        <w:rPr>
          <w:spacing w:val="-14"/>
        </w:rPr>
        <w:t> </w:t>
      </w:r>
      <w:r>
        <w:rPr/>
        <w:t>en</w:t>
      </w:r>
      <w:r>
        <w:rPr>
          <w:spacing w:val="-13"/>
        </w:rPr>
        <w:t> </w:t>
      </w:r>
      <w:r>
        <w:rPr/>
        <w:t>la</w:t>
      </w:r>
      <w:r>
        <w:rPr>
          <w:spacing w:val="-13"/>
        </w:rPr>
        <w:t> </w:t>
      </w:r>
      <w:r>
        <w:rPr/>
        <w:t>Entidad,</w:t>
      </w:r>
      <w:r>
        <w:rPr>
          <w:spacing w:val="-12"/>
        </w:rPr>
        <w:t> </w:t>
      </w:r>
      <w:r>
        <w:rPr/>
        <w:t>como</w:t>
      </w:r>
      <w:r>
        <w:rPr>
          <w:spacing w:val="-13"/>
        </w:rPr>
        <w:t> </w:t>
      </w:r>
      <w:r>
        <w:rPr/>
        <w:t>acciones</w:t>
      </w:r>
      <w:r>
        <w:rPr>
          <w:spacing w:val="-12"/>
        </w:rPr>
        <w:t> </w:t>
      </w:r>
      <w:r>
        <w:rPr/>
        <w:t>de</w:t>
      </w:r>
      <w:r>
        <w:rPr>
          <w:spacing w:val="-14"/>
        </w:rPr>
        <w:t> </w:t>
      </w:r>
      <w:r>
        <w:rPr/>
        <w:t>mejoramiento</w:t>
      </w:r>
      <w:r>
        <w:rPr>
          <w:spacing w:val="-13"/>
        </w:rPr>
        <w:t> </w:t>
      </w:r>
      <w:r>
        <w:rPr/>
        <w:t>de</w:t>
      </w:r>
      <w:r>
        <w:rPr>
          <w:spacing w:val="-7"/>
        </w:rPr>
        <w:t> </w:t>
      </w:r>
      <w:r>
        <w:rPr/>
        <w:t>los</w:t>
      </w:r>
      <w:r>
        <w:rPr>
          <w:spacing w:val="-14"/>
        </w:rPr>
        <w:t> </w:t>
      </w:r>
      <w:r>
        <w:rPr/>
        <w:t>centros</w:t>
      </w:r>
      <w:r>
        <w:rPr>
          <w:spacing w:val="-14"/>
        </w:rPr>
        <w:t> </w:t>
      </w:r>
      <w:r>
        <w:rPr/>
        <w:t>de</w:t>
      </w:r>
      <w:r>
        <w:rPr>
          <w:spacing w:val="-13"/>
        </w:rPr>
        <w:t> </w:t>
      </w:r>
      <w:r>
        <w:rPr/>
        <w:t>población.</w:t>
      </w:r>
    </w:p>
    <w:p>
      <w:pPr>
        <w:pStyle w:val="BodyText"/>
        <w:spacing w:before="230"/>
        <w:ind w:left="262" w:right="286"/>
        <w:jc w:val="both"/>
      </w:pPr>
      <w:r>
        <w:rPr>
          <w:rFonts w:ascii="Arial" w:hAnsi="Arial"/>
          <w:b/>
        </w:rPr>
        <w:t>ARTÍCULO 214. </w:t>
      </w:r>
      <w:r>
        <w:rPr/>
        <w:t>Cualquier enajenación de predios que realicen las dependencias y entidades de las administraciones públicas estatales o municipales a los particulares, para efectos de regularización de predios, de acuerdo con esta Ley, estará sujeta a las siguientes normas:</w:t>
      </w:r>
    </w:p>
    <w:p>
      <w:pPr>
        <w:pStyle w:val="ListParagraph"/>
        <w:numPr>
          <w:ilvl w:val="0"/>
          <w:numId w:val="82"/>
        </w:numPr>
        <w:tabs>
          <w:tab w:pos="543" w:val="left" w:leader="none"/>
        </w:tabs>
        <w:spacing w:line="240" w:lineRule="auto" w:before="229" w:after="0"/>
        <w:ind w:left="543" w:right="0" w:hanging="281"/>
        <w:jc w:val="both"/>
        <w:rPr>
          <w:sz w:val="20"/>
        </w:rPr>
      </w:pPr>
      <w:r>
        <w:rPr>
          <w:spacing w:val="-2"/>
          <w:sz w:val="20"/>
        </w:rPr>
        <w:t>Que</w:t>
      </w:r>
      <w:r>
        <w:rPr>
          <w:spacing w:val="-11"/>
          <w:sz w:val="20"/>
        </w:rPr>
        <w:t> </w:t>
      </w:r>
      <w:r>
        <w:rPr>
          <w:spacing w:val="-2"/>
          <w:sz w:val="20"/>
        </w:rPr>
        <w:t>el</w:t>
      </w:r>
      <w:r>
        <w:rPr>
          <w:spacing w:val="-10"/>
          <w:sz w:val="20"/>
        </w:rPr>
        <w:t> </w:t>
      </w:r>
      <w:r>
        <w:rPr>
          <w:spacing w:val="-2"/>
          <w:sz w:val="20"/>
        </w:rPr>
        <w:t>solicitante</w:t>
      </w:r>
      <w:r>
        <w:rPr>
          <w:spacing w:val="-7"/>
          <w:sz w:val="20"/>
        </w:rPr>
        <w:t> </w:t>
      </w:r>
      <w:r>
        <w:rPr>
          <w:spacing w:val="-2"/>
          <w:sz w:val="20"/>
        </w:rPr>
        <w:t>o</w:t>
      </w:r>
      <w:r>
        <w:rPr>
          <w:spacing w:val="-9"/>
          <w:sz w:val="20"/>
        </w:rPr>
        <w:t> </w:t>
      </w:r>
      <w:r>
        <w:rPr>
          <w:spacing w:val="-2"/>
          <w:sz w:val="20"/>
        </w:rPr>
        <w:t>su</w:t>
      </w:r>
      <w:r>
        <w:rPr>
          <w:spacing w:val="-9"/>
          <w:sz w:val="20"/>
        </w:rPr>
        <w:t> </w:t>
      </w:r>
      <w:r>
        <w:rPr>
          <w:spacing w:val="-2"/>
          <w:sz w:val="20"/>
        </w:rPr>
        <w:t>cónyuge,</w:t>
      </w:r>
      <w:r>
        <w:rPr>
          <w:spacing w:val="-7"/>
          <w:sz w:val="20"/>
        </w:rPr>
        <w:t> </w:t>
      </w:r>
      <w:r>
        <w:rPr>
          <w:spacing w:val="-2"/>
          <w:sz w:val="20"/>
        </w:rPr>
        <w:t>no</w:t>
      </w:r>
      <w:r>
        <w:rPr>
          <w:spacing w:val="-10"/>
          <w:sz w:val="20"/>
        </w:rPr>
        <w:t> </w:t>
      </w:r>
      <w:r>
        <w:rPr>
          <w:spacing w:val="-2"/>
          <w:sz w:val="20"/>
        </w:rPr>
        <w:t>sea</w:t>
      </w:r>
      <w:r>
        <w:rPr>
          <w:spacing w:val="-9"/>
          <w:sz w:val="20"/>
        </w:rPr>
        <w:t> </w:t>
      </w:r>
      <w:r>
        <w:rPr>
          <w:spacing w:val="-2"/>
          <w:sz w:val="20"/>
        </w:rPr>
        <w:t>propietario</w:t>
      </w:r>
      <w:r>
        <w:rPr>
          <w:spacing w:val="-9"/>
          <w:sz w:val="20"/>
        </w:rPr>
        <w:t> </w:t>
      </w:r>
      <w:r>
        <w:rPr>
          <w:spacing w:val="-2"/>
          <w:sz w:val="20"/>
        </w:rPr>
        <w:t>de</w:t>
      </w:r>
      <w:r>
        <w:rPr>
          <w:spacing w:val="-7"/>
          <w:sz w:val="20"/>
        </w:rPr>
        <w:t> </w:t>
      </w:r>
      <w:r>
        <w:rPr>
          <w:spacing w:val="-2"/>
          <w:sz w:val="20"/>
        </w:rPr>
        <w:t>casa</w:t>
      </w:r>
      <w:r>
        <w:rPr>
          <w:spacing w:val="-9"/>
          <w:sz w:val="20"/>
        </w:rPr>
        <w:t> </w:t>
      </w:r>
      <w:r>
        <w:rPr>
          <w:spacing w:val="-2"/>
          <w:sz w:val="20"/>
        </w:rPr>
        <w:t>habitación</w:t>
      </w:r>
      <w:r>
        <w:rPr>
          <w:spacing w:val="-7"/>
          <w:sz w:val="20"/>
        </w:rPr>
        <w:t> </w:t>
      </w:r>
      <w:r>
        <w:rPr>
          <w:spacing w:val="-2"/>
          <w:sz w:val="20"/>
        </w:rPr>
        <w:t>o</w:t>
      </w:r>
      <w:r>
        <w:rPr>
          <w:spacing w:val="-9"/>
          <w:sz w:val="20"/>
        </w:rPr>
        <w:t> </w:t>
      </w:r>
      <w:r>
        <w:rPr>
          <w:spacing w:val="-2"/>
          <w:sz w:val="20"/>
        </w:rPr>
        <w:t>de</w:t>
      </w:r>
      <w:r>
        <w:rPr>
          <w:spacing w:val="-9"/>
          <w:sz w:val="20"/>
        </w:rPr>
        <w:t> </w:t>
      </w:r>
      <w:r>
        <w:rPr>
          <w:spacing w:val="-2"/>
          <w:sz w:val="20"/>
        </w:rPr>
        <w:t>terreno</w:t>
      </w:r>
      <w:r>
        <w:rPr>
          <w:spacing w:val="-7"/>
          <w:sz w:val="20"/>
        </w:rPr>
        <w:t> </w:t>
      </w:r>
      <w:r>
        <w:rPr>
          <w:spacing w:val="-2"/>
          <w:sz w:val="20"/>
        </w:rPr>
        <w:t>en</w:t>
      </w:r>
      <w:r>
        <w:rPr>
          <w:spacing w:val="-10"/>
          <w:sz w:val="20"/>
        </w:rPr>
        <w:t> </w:t>
      </w:r>
      <w:r>
        <w:rPr>
          <w:spacing w:val="-2"/>
          <w:sz w:val="20"/>
        </w:rPr>
        <w:t>la</w:t>
      </w:r>
      <w:r>
        <w:rPr>
          <w:spacing w:val="-9"/>
          <w:sz w:val="20"/>
        </w:rPr>
        <w:t> </w:t>
      </w:r>
      <w:r>
        <w:rPr>
          <w:spacing w:val="-2"/>
          <w:sz w:val="20"/>
        </w:rPr>
        <w:t>localidad;</w:t>
      </w:r>
    </w:p>
    <w:p>
      <w:pPr>
        <w:pStyle w:val="BodyText"/>
        <w:spacing w:before="1"/>
      </w:pPr>
    </w:p>
    <w:p>
      <w:pPr>
        <w:pStyle w:val="ListParagraph"/>
        <w:numPr>
          <w:ilvl w:val="0"/>
          <w:numId w:val="82"/>
        </w:numPr>
        <w:tabs>
          <w:tab w:pos="543" w:val="left" w:leader="none"/>
        </w:tabs>
        <w:spacing w:line="240" w:lineRule="auto" w:before="0" w:after="0"/>
        <w:ind w:left="262" w:right="287" w:firstLine="0"/>
        <w:jc w:val="both"/>
        <w:rPr>
          <w:sz w:val="20"/>
        </w:rPr>
      </w:pPr>
      <w:r>
        <w:rPr>
          <w:spacing w:val="-2"/>
          <w:sz w:val="20"/>
        </w:rPr>
        <w:t>Las</w:t>
      </w:r>
      <w:r>
        <w:rPr>
          <w:spacing w:val="-3"/>
          <w:sz w:val="20"/>
        </w:rPr>
        <w:t> </w:t>
      </w:r>
      <w:r>
        <w:rPr>
          <w:spacing w:val="-2"/>
          <w:sz w:val="20"/>
        </w:rPr>
        <w:t>condiciones</w:t>
      </w:r>
      <w:r>
        <w:rPr>
          <w:spacing w:val="-3"/>
          <w:sz w:val="20"/>
        </w:rPr>
        <w:t> </w:t>
      </w:r>
      <w:r>
        <w:rPr>
          <w:spacing w:val="-2"/>
          <w:sz w:val="20"/>
        </w:rPr>
        <w:t>de</w:t>
      </w:r>
      <w:r>
        <w:rPr>
          <w:spacing w:val="-6"/>
          <w:sz w:val="20"/>
        </w:rPr>
        <w:t> </w:t>
      </w:r>
      <w:r>
        <w:rPr>
          <w:spacing w:val="-2"/>
          <w:sz w:val="20"/>
        </w:rPr>
        <w:t>pago</w:t>
      </w:r>
      <w:r>
        <w:rPr>
          <w:spacing w:val="-6"/>
          <w:sz w:val="20"/>
        </w:rPr>
        <w:t> </w:t>
      </w:r>
      <w:r>
        <w:rPr>
          <w:spacing w:val="-2"/>
          <w:sz w:val="20"/>
        </w:rPr>
        <w:t>se determinarán</w:t>
      </w:r>
      <w:r>
        <w:rPr>
          <w:spacing w:val="-5"/>
          <w:sz w:val="20"/>
        </w:rPr>
        <w:t> </w:t>
      </w:r>
      <w:r>
        <w:rPr>
          <w:spacing w:val="-2"/>
          <w:sz w:val="20"/>
        </w:rPr>
        <w:t>en</w:t>
      </w:r>
      <w:r>
        <w:rPr>
          <w:spacing w:val="-6"/>
          <w:sz w:val="20"/>
        </w:rPr>
        <w:t> </w:t>
      </w:r>
      <w:r>
        <w:rPr>
          <w:spacing w:val="-2"/>
          <w:sz w:val="20"/>
        </w:rPr>
        <w:t>atención</w:t>
      </w:r>
      <w:r>
        <w:rPr>
          <w:spacing w:val="-6"/>
          <w:sz w:val="20"/>
        </w:rPr>
        <w:t> </w:t>
      </w:r>
      <w:r>
        <w:rPr>
          <w:spacing w:val="-2"/>
          <w:sz w:val="20"/>
        </w:rPr>
        <w:t>al</w:t>
      </w:r>
      <w:r>
        <w:rPr>
          <w:spacing w:val="-6"/>
          <w:sz w:val="20"/>
        </w:rPr>
        <w:t> </w:t>
      </w:r>
      <w:r>
        <w:rPr>
          <w:spacing w:val="-2"/>
          <w:sz w:val="20"/>
        </w:rPr>
        <w:t>ingreso</w:t>
      </w:r>
      <w:r>
        <w:rPr>
          <w:spacing w:val="-5"/>
          <w:sz w:val="20"/>
        </w:rPr>
        <w:t> </w:t>
      </w:r>
      <w:r>
        <w:rPr>
          <w:spacing w:val="-2"/>
          <w:sz w:val="20"/>
        </w:rPr>
        <w:t>de</w:t>
      </w:r>
      <w:r>
        <w:rPr>
          <w:spacing w:val="-6"/>
          <w:sz w:val="20"/>
        </w:rPr>
        <w:t> </w:t>
      </w:r>
      <w:r>
        <w:rPr>
          <w:spacing w:val="-2"/>
          <w:sz w:val="20"/>
        </w:rPr>
        <w:t>los</w:t>
      </w:r>
      <w:r>
        <w:rPr>
          <w:spacing w:val="-3"/>
          <w:sz w:val="20"/>
        </w:rPr>
        <w:t> </w:t>
      </w:r>
      <w:r>
        <w:rPr>
          <w:spacing w:val="-2"/>
          <w:sz w:val="20"/>
        </w:rPr>
        <w:t>solicitantes,</w:t>
      </w:r>
      <w:r>
        <w:rPr>
          <w:spacing w:val="-5"/>
          <w:sz w:val="20"/>
        </w:rPr>
        <w:t> </w:t>
      </w:r>
      <w:r>
        <w:rPr>
          <w:spacing w:val="-2"/>
          <w:sz w:val="20"/>
        </w:rPr>
        <w:t>previo</w:t>
      </w:r>
      <w:r>
        <w:rPr>
          <w:spacing w:val="-5"/>
          <w:sz w:val="20"/>
        </w:rPr>
        <w:t> </w:t>
      </w:r>
      <w:r>
        <w:rPr>
          <w:spacing w:val="-2"/>
          <w:sz w:val="20"/>
        </w:rPr>
        <w:t>estudio socioeconómico;</w:t>
      </w:r>
    </w:p>
    <w:p>
      <w:pPr>
        <w:pStyle w:val="ListParagraph"/>
        <w:numPr>
          <w:ilvl w:val="0"/>
          <w:numId w:val="82"/>
        </w:numPr>
        <w:tabs>
          <w:tab w:pos="597" w:val="left" w:leader="none"/>
        </w:tabs>
        <w:spacing w:line="240" w:lineRule="auto" w:before="229" w:after="0"/>
        <w:ind w:left="262" w:right="279" w:firstLine="0"/>
        <w:jc w:val="both"/>
        <w:rPr>
          <w:sz w:val="20"/>
        </w:rPr>
      </w:pPr>
      <w:r>
        <w:rPr>
          <w:sz w:val="20"/>
        </w:rPr>
        <w:t>El solicitante deberá cubrir ante los organismos regularizadores el costo inherente a la escrituración</w:t>
      </w:r>
      <w:r>
        <w:rPr>
          <w:spacing w:val="-7"/>
          <w:sz w:val="20"/>
        </w:rPr>
        <w:t> </w:t>
      </w:r>
      <w:r>
        <w:rPr>
          <w:sz w:val="20"/>
        </w:rPr>
        <w:t>y</w:t>
      </w:r>
      <w:r>
        <w:rPr>
          <w:spacing w:val="-5"/>
          <w:sz w:val="20"/>
        </w:rPr>
        <w:t> </w:t>
      </w:r>
      <w:r>
        <w:rPr>
          <w:sz w:val="20"/>
        </w:rPr>
        <w:t>demás</w:t>
      </w:r>
      <w:r>
        <w:rPr>
          <w:spacing w:val="-6"/>
          <w:sz w:val="20"/>
        </w:rPr>
        <w:t> </w:t>
      </w:r>
      <w:r>
        <w:rPr>
          <w:sz w:val="20"/>
        </w:rPr>
        <w:t>gastos</w:t>
      </w:r>
      <w:r>
        <w:rPr>
          <w:spacing w:val="-6"/>
          <w:sz w:val="20"/>
        </w:rPr>
        <w:t> </w:t>
      </w:r>
      <w:r>
        <w:rPr>
          <w:sz w:val="20"/>
        </w:rPr>
        <w:t>que</w:t>
      </w:r>
      <w:r>
        <w:rPr>
          <w:spacing w:val="-7"/>
          <w:sz w:val="20"/>
        </w:rPr>
        <w:t> </w:t>
      </w:r>
      <w:r>
        <w:rPr>
          <w:sz w:val="20"/>
        </w:rPr>
        <w:t>genere</w:t>
      </w:r>
      <w:r>
        <w:rPr>
          <w:spacing w:val="-7"/>
          <w:sz w:val="20"/>
        </w:rPr>
        <w:t> </w:t>
      </w:r>
      <w:r>
        <w:rPr>
          <w:sz w:val="20"/>
        </w:rPr>
        <w:t>el</w:t>
      </w:r>
      <w:r>
        <w:rPr>
          <w:spacing w:val="-5"/>
          <w:sz w:val="20"/>
        </w:rPr>
        <w:t> </w:t>
      </w:r>
      <w:r>
        <w:rPr>
          <w:sz w:val="20"/>
        </w:rPr>
        <w:t>proceso</w:t>
      </w:r>
      <w:r>
        <w:rPr>
          <w:spacing w:val="-7"/>
          <w:sz w:val="20"/>
        </w:rPr>
        <w:t> </w:t>
      </w:r>
      <w:r>
        <w:rPr>
          <w:sz w:val="20"/>
        </w:rPr>
        <w:t>de</w:t>
      </w:r>
      <w:r>
        <w:rPr>
          <w:spacing w:val="-7"/>
          <w:sz w:val="20"/>
        </w:rPr>
        <w:t> </w:t>
      </w:r>
      <w:r>
        <w:rPr>
          <w:sz w:val="20"/>
        </w:rPr>
        <w:t>regularización,</w:t>
      </w:r>
      <w:r>
        <w:rPr>
          <w:spacing w:val="-4"/>
          <w:sz w:val="20"/>
        </w:rPr>
        <w:t> </w:t>
      </w:r>
      <w:r>
        <w:rPr>
          <w:sz w:val="20"/>
        </w:rPr>
        <w:t>el</w:t>
      </w:r>
      <w:r>
        <w:rPr>
          <w:spacing w:val="-7"/>
          <w:sz w:val="20"/>
        </w:rPr>
        <w:t> </w:t>
      </w:r>
      <w:r>
        <w:rPr>
          <w:sz w:val="20"/>
        </w:rPr>
        <w:t>cual</w:t>
      </w:r>
      <w:r>
        <w:rPr>
          <w:spacing w:val="-7"/>
          <w:sz w:val="20"/>
        </w:rPr>
        <w:t> </w:t>
      </w:r>
      <w:r>
        <w:rPr>
          <w:sz w:val="20"/>
        </w:rPr>
        <w:t>será</w:t>
      </w:r>
      <w:r>
        <w:rPr>
          <w:spacing w:val="-7"/>
          <w:sz w:val="20"/>
        </w:rPr>
        <w:t> </w:t>
      </w:r>
      <w:r>
        <w:rPr>
          <w:sz w:val="20"/>
        </w:rPr>
        <w:t>fijado</w:t>
      </w:r>
      <w:r>
        <w:rPr>
          <w:spacing w:val="-7"/>
          <w:sz w:val="20"/>
        </w:rPr>
        <w:t> </w:t>
      </w:r>
      <w:r>
        <w:rPr>
          <w:sz w:val="20"/>
        </w:rPr>
        <w:t>por</w:t>
      </w:r>
      <w:r>
        <w:rPr>
          <w:spacing w:val="-6"/>
          <w:sz w:val="20"/>
        </w:rPr>
        <w:t> </w:t>
      </w:r>
      <w:r>
        <w:rPr>
          <w:sz w:val="20"/>
        </w:rPr>
        <w:t>dichos organismos atendiendo a las características específicas del proceso de regularización </w:t>
      </w:r>
      <w:r>
        <w:rPr>
          <w:spacing w:val="-2"/>
          <w:sz w:val="20"/>
        </w:rPr>
        <w:t>correspondiente;</w:t>
      </w:r>
    </w:p>
    <w:p>
      <w:pPr>
        <w:pStyle w:val="ListParagraph"/>
        <w:numPr>
          <w:ilvl w:val="0"/>
          <w:numId w:val="82"/>
        </w:numPr>
        <w:tabs>
          <w:tab w:pos="545" w:val="left" w:leader="none"/>
        </w:tabs>
        <w:spacing w:line="240" w:lineRule="auto" w:before="230" w:after="0"/>
        <w:ind w:left="262" w:right="285" w:firstLine="0"/>
        <w:jc w:val="both"/>
        <w:rPr>
          <w:sz w:val="20"/>
        </w:rPr>
      </w:pPr>
      <w:r>
        <w:rPr>
          <w:sz w:val="20"/>
        </w:rPr>
        <w:t>La superficie deberá corresponder al lote o predio</w:t>
      </w:r>
      <w:r>
        <w:rPr>
          <w:spacing w:val="40"/>
          <w:sz w:val="20"/>
        </w:rPr>
        <w:t> </w:t>
      </w:r>
      <w:r>
        <w:rPr>
          <w:sz w:val="20"/>
        </w:rPr>
        <w:t>tipo o de tamaño promedio del centro de población, según la legislación y programas de desarrollo urbano aplicables;</w:t>
      </w:r>
    </w:p>
    <w:p>
      <w:pPr>
        <w:pStyle w:val="BodyText"/>
        <w:spacing w:before="1"/>
      </w:pPr>
    </w:p>
    <w:p>
      <w:pPr>
        <w:pStyle w:val="ListParagraph"/>
        <w:numPr>
          <w:ilvl w:val="0"/>
          <w:numId w:val="82"/>
        </w:numPr>
        <w:tabs>
          <w:tab w:pos="688" w:val="left" w:leader="none"/>
        </w:tabs>
        <w:spacing w:line="240" w:lineRule="auto" w:before="0" w:after="0"/>
        <w:ind w:left="262" w:right="284" w:firstLine="0"/>
        <w:jc w:val="both"/>
        <w:rPr>
          <w:sz w:val="20"/>
        </w:rPr>
      </w:pPr>
      <w:r>
        <w:rPr>
          <w:sz w:val="20"/>
        </w:rPr>
        <w:t>Cuando el solicitante contrate a plazos, el crédito se otorgará a la tasa de interés que para vivienda de interés social, económica y popular fijen las autoridades competentes, y</w:t>
      </w:r>
    </w:p>
    <w:p>
      <w:pPr>
        <w:pStyle w:val="ListParagraph"/>
        <w:numPr>
          <w:ilvl w:val="0"/>
          <w:numId w:val="82"/>
        </w:numPr>
        <w:tabs>
          <w:tab w:pos="688" w:val="left" w:leader="none"/>
        </w:tabs>
        <w:spacing w:line="240" w:lineRule="auto" w:before="229" w:after="0"/>
        <w:ind w:left="688" w:right="0" w:hanging="426"/>
        <w:jc w:val="both"/>
        <w:rPr>
          <w:sz w:val="20"/>
        </w:rPr>
      </w:pPr>
      <w:r>
        <w:rPr>
          <w:sz w:val="20"/>
        </w:rPr>
        <w:t>Cumplir</w:t>
      </w:r>
      <w:r>
        <w:rPr>
          <w:spacing w:val="-8"/>
          <w:sz w:val="20"/>
        </w:rPr>
        <w:t> </w:t>
      </w:r>
      <w:r>
        <w:rPr>
          <w:sz w:val="20"/>
        </w:rPr>
        <w:t>con</w:t>
      </w:r>
      <w:r>
        <w:rPr>
          <w:spacing w:val="-9"/>
          <w:sz w:val="20"/>
        </w:rPr>
        <w:t> </w:t>
      </w:r>
      <w:r>
        <w:rPr>
          <w:sz w:val="20"/>
        </w:rPr>
        <w:t>las</w:t>
      </w:r>
      <w:r>
        <w:rPr>
          <w:spacing w:val="-8"/>
          <w:sz w:val="20"/>
        </w:rPr>
        <w:t> </w:t>
      </w:r>
      <w:r>
        <w:rPr>
          <w:sz w:val="20"/>
        </w:rPr>
        <w:t>normas</w:t>
      </w:r>
      <w:r>
        <w:rPr>
          <w:spacing w:val="-7"/>
          <w:sz w:val="20"/>
        </w:rPr>
        <w:t> </w:t>
      </w:r>
      <w:r>
        <w:rPr>
          <w:sz w:val="20"/>
        </w:rPr>
        <w:t>de</w:t>
      </w:r>
      <w:r>
        <w:rPr>
          <w:spacing w:val="-8"/>
          <w:sz w:val="20"/>
        </w:rPr>
        <w:t> </w:t>
      </w:r>
      <w:r>
        <w:rPr>
          <w:sz w:val="20"/>
        </w:rPr>
        <w:t>planeación</w:t>
      </w:r>
      <w:r>
        <w:rPr>
          <w:spacing w:val="-8"/>
          <w:sz w:val="20"/>
        </w:rPr>
        <w:t> </w:t>
      </w:r>
      <w:r>
        <w:rPr>
          <w:sz w:val="20"/>
        </w:rPr>
        <w:t>urbana</w:t>
      </w:r>
      <w:r>
        <w:rPr>
          <w:spacing w:val="-8"/>
          <w:sz w:val="20"/>
        </w:rPr>
        <w:t> </w:t>
      </w:r>
      <w:r>
        <w:rPr>
          <w:sz w:val="20"/>
        </w:rPr>
        <w:t>y</w:t>
      </w:r>
      <w:r>
        <w:rPr>
          <w:spacing w:val="-8"/>
          <w:sz w:val="20"/>
        </w:rPr>
        <w:t> </w:t>
      </w:r>
      <w:r>
        <w:rPr>
          <w:sz w:val="20"/>
        </w:rPr>
        <w:t>demás</w:t>
      </w:r>
      <w:r>
        <w:rPr>
          <w:spacing w:val="-8"/>
          <w:sz w:val="20"/>
        </w:rPr>
        <w:t> </w:t>
      </w:r>
      <w:r>
        <w:rPr>
          <w:sz w:val="20"/>
        </w:rPr>
        <w:t>disposiciones</w:t>
      </w:r>
      <w:r>
        <w:rPr>
          <w:spacing w:val="-8"/>
          <w:sz w:val="20"/>
        </w:rPr>
        <w:t> </w:t>
      </w:r>
      <w:r>
        <w:rPr>
          <w:sz w:val="20"/>
        </w:rPr>
        <w:t>jurídicas</w:t>
      </w:r>
      <w:r>
        <w:rPr>
          <w:spacing w:val="-7"/>
          <w:sz w:val="20"/>
        </w:rPr>
        <w:t> </w:t>
      </w:r>
      <w:r>
        <w:rPr>
          <w:spacing w:val="-2"/>
          <w:sz w:val="20"/>
        </w:rPr>
        <w:t>aplicables.</w:t>
      </w:r>
    </w:p>
    <w:p>
      <w:pPr>
        <w:pStyle w:val="BodyText"/>
      </w:pPr>
    </w:p>
    <w:p>
      <w:pPr>
        <w:pStyle w:val="BodyText"/>
        <w:spacing w:before="1"/>
        <w:ind w:left="262" w:right="286"/>
        <w:jc w:val="both"/>
      </w:pPr>
      <w:r>
        <w:rPr>
          <w:rFonts w:ascii="Arial" w:hAnsi="Arial"/>
          <w:b/>
        </w:rPr>
        <w:t>ARTÍCULO 215. </w:t>
      </w:r>
      <w:r>
        <w:rPr/>
        <w:t>El precio de los lotes y predios, se determinará de manera independiente de los costos y precios de las urbanizaciones, de los servicios específicos y de la edificación.</w:t>
      </w:r>
    </w:p>
    <w:p>
      <w:pPr>
        <w:pStyle w:val="BodyText"/>
        <w:spacing w:before="1"/>
      </w:pPr>
    </w:p>
    <w:p>
      <w:pPr>
        <w:pStyle w:val="BodyText"/>
        <w:ind w:left="262" w:right="288"/>
        <w:jc w:val="both"/>
      </w:pPr>
      <w:r>
        <w:rPr>
          <w:rFonts w:ascii="Arial" w:hAnsi="Arial"/>
          <w:b/>
        </w:rPr>
        <w:t>ARTÍCULO 216. </w:t>
      </w:r>
      <w:r>
        <w:rPr/>
        <w:t>La regularización de la tenencia de la tierra, para su incorporación al desarrollo urbano, se sujetará a las siguientes normas:</w:t>
      </w:r>
    </w:p>
    <w:p>
      <w:pPr>
        <w:pStyle w:val="ListParagraph"/>
        <w:numPr>
          <w:ilvl w:val="0"/>
          <w:numId w:val="83"/>
        </w:numPr>
        <w:tabs>
          <w:tab w:pos="543" w:val="left" w:leader="none"/>
        </w:tabs>
        <w:spacing w:line="240" w:lineRule="auto" w:before="229" w:after="0"/>
        <w:ind w:left="262" w:right="285" w:firstLine="0"/>
        <w:jc w:val="both"/>
        <w:rPr>
          <w:sz w:val="20"/>
        </w:rPr>
      </w:pPr>
      <w:r>
        <w:rPr>
          <w:sz w:val="20"/>
        </w:rPr>
        <w:t>Se deberá proceder conforme al programa de ordenamiento territorial y desarrollo urbano aplicable, en la ejecución de acciones de mejoramiento;</w:t>
      </w:r>
    </w:p>
    <w:p>
      <w:pPr>
        <w:pStyle w:val="ListParagraph"/>
        <w:numPr>
          <w:ilvl w:val="0"/>
          <w:numId w:val="83"/>
        </w:numPr>
        <w:tabs>
          <w:tab w:pos="543" w:val="left" w:leader="none"/>
        </w:tabs>
        <w:spacing w:line="240" w:lineRule="auto" w:before="229" w:after="0"/>
        <w:ind w:left="262" w:right="284" w:firstLine="0"/>
        <w:jc w:val="both"/>
        <w:rPr>
          <w:sz w:val="20"/>
        </w:rPr>
      </w:pPr>
      <w:r>
        <w:rPr>
          <w:sz w:val="20"/>
        </w:rPr>
        <w:t>Sólo podrán ser beneficiarios de la regularización, quienes siendo mayores de edad, ocupen un predio</w:t>
      </w:r>
      <w:r>
        <w:rPr>
          <w:spacing w:val="-9"/>
          <w:sz w:val="20"/>
        </w:rPr>
        <w:t> </w:t>
      </w:r>
      <w:r>
        <w:rPr>
          <w:sz w:val="20"/>
        </w:rPr>
        <w:t>y</w:t>
      </w:r>
      <w:r>
        <w:rPr>
          <w:spacing w:val="-8"/>
          <w:sz w:val="20"/>
        </w:rPr>
        <w:t> </w:t>
      </w:r>
      <w:r>
        <w:rPr>
          <w:sz w:val="20"/>
        </w:rPr>
        <w:t>no</w:t>
      </w:r>
      <w:r>
        <w:rPr>
          <w:spacing w:val="-9"/>
          <w:sz w:val="20"/>
        </w:rPr>
        <w:t> </w:t>
      </w:r>
      <w:r>
        <w:rPr>
          <w:sz w:val="20"/>
        </w:rPr>
        <w:t>sean</w:t>
      </w:r>
      <w:r>
        <w:rPr>
          <w:spacing w:val="-9"/>
          <w:sz w:val="20"/>
        </w:rPr>
        <w:t> </w:t>
      </w:r>
      <w:r>
        <w:rPr>
          <w:sz w:val="20"/>
        </w:rPr>
        <w:t>propietarios</w:t>
      </w:r>
      <w:r>
        <w:rPr>
          <w:spacing w:val="-8"/>
          <w:sz w:val="20"/>
        </w:rPr>
        <w:t> </w:t>
      </w:r>
      <w:r>
        <w:rPr>
          <w:sz w:val="20"/>
        </w:rPr>
        <w:t>de</w:t>
      </w:r>
      <w:r>
        <w:rPr>
          <w:spacing w:val="-9"/>
          <w:sz w:val="20"/>
        </w:rPr>
        <w:t> </w:t>
      </w:r>
      <w:r>
        <w:rPr>
          <w:sz w:val="20"/>
        </w:rPr>
        <w:t>otro</w:t>
      </w:r>
      <w:r>
        <w:rPr>
          <w:spacing w:val="-6"/>
          <w:sz w:val="20"/>
        </w:rPr>
        <w:t> </w:t>
      </w:r>
      <w:r>
        <w:rPr>
          <w:sz w:val="20"/>
        </w:rPr>
        <w:t>inmueble.</w:t>
      </w:r>
      <w:r>
        <w:rPr>
          <w:spacing w:val="-9"/>
          <w:sz w:val="20"/>
        </w:rPr>
        <w:t> </w:t>
      </w:r>
      <w:r>
        <w:rPr>
          <w:sz w:val="20"/>
        </w:rPr>
        <w:t>Tendrán</w:t>
      </w:r>
      <w:r>
        <w:rPr>
          <w:spacing w:val="-9"/>
          <w:sz w:val="20"/>
        </w:rPr>
        <w:t> </w:t>
      </w:r>
      <w:r>
        <w:rPr>
          <w:sz w:val="20"/>
        </w:rPr>
        <w:t>preferencia</w:t>
      </w:r>
      <w:r>
        <w:rPr>
          <w:spacing w:val="-9"/>
          <w:sz w:val="20"/>
        </w:rPr>
        <w:t> </w:t>
      </w:r>
      <w:r>
        <w:rPr>
          <w:sz w:val="20"/>
        </w:rPr>
        <w:t>los</w:t>
      </w:r>
      <w:r>
        <w:rPr>
          <w:spacing w:val="-8"/>
          <w:sz w:val="20"/>
        </w:rPr>
        <w:t> </w:t>
      </w:r>
      <w:r>
        <w:rPr>
          <w:sz w:val="20"/>
        </w:rPr>
        <w:t>poseedores</w:t>
      </w:r>
      <w:r>
        <w:rPr>
          <w:spacing w:val="-8"/>
          <w:sz w:val="20"/>
        </w:rPr>
        <w:t> </w:t>
      </w:r>
      <w:r>
        <w:rPr>
          <w:sz w:val="20"/>
        </w:rPr>
        <w:t>de</w:t>
      </w:r>
      <w:r>
        <w:rPr>
          <w:spacing w:val="-9"/>
          <w:sz w:val="20"/>
        </w:rPr>
        <w:t> </w:t>
      </w:r>
      <w:r>
        <w:rPr>
          <w:sz w:val="20"/>
        </w:rPr>
        <w:t>buena</w:t>
      </w:r>
      <w:r>
        <w:rPr>
          <w:spacing w:val="-7"/>
          <w:sz w:val="20"/>
        </w:rPr>
        <w:t> </w:t>
      </w:r>
      <w:r>
        <w:rPr>
          <w:sz w:val="20"/>
        </w:rPr>
        <w:t>fe,</w:t>
      </w:r>
      <w:r>
        <w:rPr>
          <w:spacing w:val="-9"/>
          <w:sz w:val="20"/>
        </w:rPr>
        <w:t> </w:t>
      </w:r>
      <w:r>
        <w:rPr>
          <w:sz w:val="20"/>
        </w:rPr>
        <w:t>de acuerdo a la antigüedad de la posesión,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83"/>
        </w:numPr>
        <w:tabs>
          <w:tab w:pos="597" w:val="left" w:leader="none"/>
        </w:tabs>
        <w:spacing w:line="240" w:lineRule="auto" w:before="0" w:after="0"/>
        <w:ind w:left="262" w:right="286" w:firstLine="0"/>
        <w:jc w:val="both"/>
        <w:rPr>
          <w:sz w:val="20"/>
        </w:rPr>
      </w:pPr>
      <w:r>
        <w:rPr>
          <w:sz w:val="20"/>
        </w:rPr>
        <w:t>Ninguna persona podrá resultar beneficiada por la regularización con más de un lote o predio, cuya superficie no podrá ser mayor de la extensión determinada por la legislación y programas de ordenamiento territorial y desarrollo urbano.</w:t>
      </w:r>
    </w:p>
    <w:p>
      <w:pPr>
        <w:pStyle w:val="BodyText"/>
        <w:spacing w:before="1"/>
      </w:pPr>
    </w:p>
    <w:p>
      <w:pPr>
        <w:pStyle w:val="BodyText"/>
        <w:spacing w:before="1"/>
        <w:ind w:left="262" w:right="277"/>
        <w:jc w:val="both"/>
      </w:pPr>
      <w:r>
        <w:rPr>
          <w:rFonts w:ascii="Arial" w:hAnsi="Arial"/>
          <w:b/>
        </w:rPr>
        <w:t>ARTÍCULO 217. </w:t>
      </w:r>
      <w:r>
        <w:rPr/>
        <w:t>La Secretaría y los ayuntamientos, dentro del ámbito de sus respectivas competencias,</w:t>
      </w:r>
      <w:r>
        <w:rPr>
          <w:spacing w:val="-6"/>
        </w:rPr>
        <w:t> </w:t>
      </w:r>
      <w:r>
        <w:rPr/>
        <w:t>vigilarán</w:t>
      </w:r>
      <w:r>
        <w:rPr>
          <w:spacing w:val="-7"/>
        </w:rPr>
        <w:t> </w:t>
      </w:r>
      <w:r>
        <w:rPr/>
        <w:t>el</w:t>
      </w:r>
      <w:r>
        <w:rPr>
          <w:spacing w:val="-8"/>
        </w:rPr>
        <w:t> </w:t>
      </w:r>
      <w:r>
        <w:rPr/>
        <w:t>cumplimiento</w:t>
      </w:r>
      <w:r>
        <w:rPr>
          <w:spacing w:val="-7"/>
        </w:rPr>
        <w:t> </w:t>
      </w:r>
      <w:r>
        <w:rPr/>
        <w:t>de</w:t>
      </w:r>
      <w:r>
        <w:rPr>
          <w:spacing w:val="-7"/>
        </w:rPr>
        <w:t> </w:t>
      </w:r>
      <w:r>
        <w:rPr/>
        <w:t>las</w:t>
      </w:r>
      <w:r>
        <w:rPr>
          <w:spacing w:val="-6"/>
        </w:rPr>
        <w:t> </w:t>
      </w:r>
      <w:r>
        <w:rPr/>
        <w:t>disposiciones</w:t>
      </w:r>
      <w:r>
        <w:rPr>
          <w:spacing w:val="-6"/>
        </w:rPr>
        <w:t> </w:t>
      </w:r>
      <w:r>
        <w:rPr/>
        <w:t>de</w:t>
      </w:r>
      <w:r>
        <w:rPr>
          <w:spacing w:val="-7"/>
        </w:rPr>
        <w:t> </w:t>
      </w:r>
      <w:r>
        <w:rPr/>
        <w:t>esta</w:t>
      </w:r>
      <w:r>
        <w:rPr>
          <w:spacing w:val="-7"/>
        </w:rPr>
        <w:t> </w:t>
      </w:r>
      <w:r>
        <w:rPr/>
        <w:t>Ley,</w:t>
      </w:r>
      <w:r>
        <w:rPr>
          <w:spacing w:val="-6"/>
        </w:rPr>
        <w:t> </w:t>
      </w:r>
      <w:r>
        <w:rPr/>
        <w:t>debiendo</w:t>
      </w:r>
      <w:r>
        <w:rPr>
          <w:spacing w:val="-7"/>
        </w:rPr>
        <w:t> </w:t>
      </w:r>
      <w:r>
        <w:rPr/>
        <w:t>adoptar</w:t>
      </w:r>
      <w:r>
        <w:rPr>
          <w:spacing w:val="-6"/>
        </w:rPr>
        <w:t> </w:t>
      </w:r>
      <w:r>
        <w:rPr/>
        <w:t>para</w:t>
      </w:r>
      <w:r>
        <w:rPr>
          <w:spacing w:val="-7"/>
        </w:rPr>
        <w:t> </w:t>
      </w:r>
      <w:r>
        <w:rPr/>
        <w:t>tal efecto,</w:t>
      </w:r>
      <w:r>
        <w:rPr>
          <w:spacing w:val="-2"/>
        </w:rPr>
        <w:t> </w:t>
      </w:r>
      <w:r>
        <w:rPr/>
        <w:t>las</w:t>
      </w:r>
      <w:r>
        <w:rPr>
          <w:spacing w:val="-3"/>
        </w:rPr>
        <w:t> </w:t>
      </w:r>
      <w:r>
        <w:rPr/>
        <w:t>medidas de</w:t>
      </w:r>
      <w:r>
        <w:rPr>
          <w:spacing w:val="-2"/>
        </w:rPr>
        <w:t> </w:t>
      </w:r>
      <w:r>
        <w:rPr/>
        <w:t>seguridad,</w:t>
      </w:r>
      <w:r>
        <w:rPr>
          <w:spacing w:val="-2"/>
        </w:rPr>
        <w:t> </w:t>
      </w:r>
      <w:r>
        <w:rPr/>
        <w:t>así</w:t>
      </w:r>
      <w:r>
        <w:rPr>
          <w:spacing w:val="-4"/>
        </w:rPr>
        <w:t> </w:t>
      </w:r>
      <w:r>
        <w:rPr/>
        <w:t>como</w:t>
      </w:r>
      <w:r>
        <w:rPr>
          <w:spacing w:val="-2"/>
        </w:rPr>
        <w:t> </w:t>
      </w:r>
      <w:r>
        <w:rPr/>
        <w:t>imponer</w:t>
      </w:r>
      <w:r>
        <w:rPr>
          <w:spacing w:val="-1"/>
        </w:rPr>
        <w:t> </w:t>
      </w:r>
      <w:r>
        <w:rPr/>
        <w:t>las</w:t>
      </w:r>
      <w:r>
        <w:rPr>
          <w:spacing w:val="-3"/>
        </w:rPr>
        <w:t> </w:t>
      </w:r>
      <w:r>
        <w:rPr/>
        <w:t>sanciones</w:t>
      </w:r>
      <w:r>
        <w:rPr>
          <w:spacing w:val="-1"/>
        </w:rPr>
        <w:t> </w:t>
      </w:r>
      <w:r>
        <w:rPr/>
        <w:t>administrativas</w:t>
      </w:r>
      <w:r>
        <w:rPr>
          <w:spacing w:val="-3"/>
        </w:rPr>
        <w:t> </w:t>
      </w:r>
      <w:r>
        <w:rPr/>
        <w:t>que</w:t>
      </w:r>
      <w:r>
        <w:rPr>
          <w:spacing w:val="-2"/>
        </w:rPr>
        <w:t> </w:t>
      </w:r>
      <w:r>
        <w:rPr/>
        <w:t>establece</w:t>
      </w:r>
      <w:r>
        <w:rPr>
          <w:spacing w:val="-2"/>
        </w:rPr>
        <w:t> </w:t>
      </w:r>
      <w:r>
        <w:rPr/>
        <w:t>el mismo, independientemente de los ilícitos en que se hubiere incurrido.</w:t>
      </w:r>
    </w:p>
    <w:p>
      <w:pPr>
        <w:pStyle w:val="BodyText"/>
        <w:spacing w:before="229"/>
        <w:ind w:left="262" w:right="278"/>
        <w:jc w:val="both"/>
      </w:pPr>
      <w:r>
        <w:rPr/>
        <w:t>La existencia de asentamientos humanos irregulares, o la gestación de éstos, podrán ser denunciados ante Organismo Estatal Regulizador o a los ayuntamientos por cualquier persona, a efecto de que dichas autoridades procedan a coordinar las acciones administrativas correspondientes</w:t>
      </w:r>
      <w:r>
        <w:rPr>
          <w:spacing w:val="-11"/>
        </w:rPr>
        <w:t> </w:t>
      </w:r>
      <w:r>
        <w:rPr/>
        <w:t>y</w:t>
      </w:r>
      <w:r>
        <w:rPr>
          <w:spacing w:val="-11"/>
        </w:rPr>
        <w:t> </w:t>
      </w:r>
      <w:r>
        <w:rPr/>
        <w:t>promover</w:t>
      </w:r>
      <w:r>
        <w:rPr>
          <w:spacing w:val="-11"/>
        </w:rPr>
        <w:t> </w:t>
      </w:r>
      <w:r>
        <w:rPr/>
        <w:t>las</w:t>
      </w:r>
      <w:r>
        <w:rPr>
          <w:spacing w:val="-11"/>
        </w:rPr>
        <w:t> </w:t>
      </w:r>
      <w:r>
        <w:rPr/>
        <w:t>denuncias</w:t>
      </w:r>
      <w:r>
        <w:rPr>
          <w:spacing w:val="-11"/>
        </w:rPr>
        <w:t> </w:t>
      </w:r>
      <w:r>
        <w:rPr/>
        <w:t>penales</w:t>
      </w:r>
      <w:r>
        <w:rPr>
          <w:spacing w:val="-11"/>
        </w:rPr>
        <w:t> </w:t>
      </w:r>
      <w:r>
        <w:rPr/>
        <w:t>ante</w:t>
      </w:r>
      <w:r>
        <w:rPr>
          <w:spacing w:val="-10"/>
        </w:rPr>
        <w:t> </w:t>
      </w:r>
      <w:r>
        <w:rPr/>
        <w:t>las</w:t>
      </w:r>
      <w:r>
        <w:rPr>
          <w:spacing w:val="-11"/>
        </w:rPr>
        <w:t> </w:t>
      </w:r>
      <w:r>
        <w:rPr/>
        <w:t>autoridades</w:t>
      </w:r>
      <w:r>
        <w:rPr>
          <w:spacing w:val="-11"/>
        </w:rPr>
        <w:t> </w:t>
      </w:r>
      <w:r>
        <w:rPr/>
        <w:t>competentes,</w:t>
      </w:r>
      <w:r>
        <w:rPr>
          <w:spacing w:val="-10"/>
        </w:rPr>
        <w:t> </w:t>
      </w:r>
      <w:r>
        <w:rPr/>
        <w:t>en</w:t>
      </w:r>
      <w:r>
        <w:rPr>
          <w:spacing w:val="-13"/>
        </w:rPr>
        <w:t> </w:t>
      </w:r>
      <w:r>
        <w:rPr/>
        <w:t>contra</w:t>
      </w:r>
      <w:r>
        <w:rPr>
          <w:spacing w:val="-12"/>
        </w:rPr>
        <w:t> </w:t>
      </w:r>
      <w:r>
        <w:rPr/>
        <w:t>de los vendedores de áreas, lotes o predios al margen de la ley o de quienes resulten responsables.</w:t>
      </w:r>
    </w:p>
    <w:p>
      <w:pPr>
        <w:pStyle w:val="BodyText"/>
        <w:spacing w:before="1"/>
      </w:pPr>
    </w:p>
    <w:p>
      <w:pPr>
        <w:pStyle w:val="BodyText"/>
        <w:ind w:left="262" w:right="285"/>
        <w:jc w:val="both"/>
      </w:pPr>
      <w:r>
        <w:rPr>
          <w:rFonts w:ascii="Arial" w:hAnsi="Arial"/>
          <w:b/>
        </w:rPr>
        <w:t>ARTÍCULO</w:t>
      </w:r>
      <w:r>
        <w:rPr>
          <w:rFonts w:ascii="Arial" w:hAnsi="Arial"/>
          <w:b/>
          <w:spacing w:val="-9"/>
        </w:rPr>
        <w:t> </w:t>
      </w:r>
      <w:r>
        <w:rPr>
          <w:rFonts w:ascii="Arial" w:hAnsi="Arial"/>
          <w:b/>
        </w:rPr>
        <w:t>218.</w:t>
      </w:r>
      <w:r>
        <w:rPr>
          <w:rFonts w:ascii="Arial" w:hAnsi="Arial"/>
          <w:b/>
          <w:spacing w:val="-7"/>
        </w:rPr>
        <w:t> </w:t>
      </w:r>
      <w:r>
        <w:rPr/>
        <w:t>Tratándose</w:t>
      </w:r>
      <w:r>
        <w:rPr>
          <w:spacing w:val="-10"/>
        </w:rPr>
        <w:t> </w:t>
      </w:r>
      <w:r>
        <w:rPr/>
        <w:t>de</w:t>
      </w:r>
      <w:r>
        <w:rPr>
          <w:spacing w:val="-8"/>
        </w:rPr>
        <w:t> </w:t>
      </w:r>
      <w:r>
        <w:rPr/>
        <w:t>asentamientos</w:t>
      </w:r>
      <w:r>
        <w:rPr>
          <w:spacing w:val="-9"/>
        </w:rPr>
        <w:t> </w:t>
      </w:r>
      <w:r>
        <w:rPr/>
        <w:t>humanos</w:t>
      </w:r>
      <w:r>
        <w:rPr>
          <w:spacing w:val="-9"/>
        </w:rPr>
        <w:t> </w:t>
      </w:r>
      <w:r>
        <w:rPr/>
        <w:t>irregulares,</w:t>
      </w:r>
      <w:r>
        <w:rPr>
          <w:spacing w:val="-10"/>
        </w:rPr>
        <w:t> </w:t>
      </w:r>
      <w:r>
        <w:rPr/>
        <w:t>ubicados</w:t>
      </w:r>
      <w:r>
        <w:rPr>
          <w:spacing w:val="-6"/>
        </w:rPr>
        <w:t> </w:t>
      </w:r>
      <w:r>
        <w:rPr/>
        <w:t>en</w:t>
      </w:r>
      <w:r>
        <w:rPr>
          <w:spacing w:val="-6"/>
        </w:rPr>
        <w:t> </w:t>
      </w:r>
      <w:r>
        <w:rPr/>
        <w:t>predios</w:t>
      </w:r>
      <w:r>
        <w:rPr>
          <w:spacing w:val="-9"/>
        </w:rPr>
        <w:t> </w:t>
      </w:r>
      <w:r>
        <w:rPr/>
        <w:t>ejidales</w:t>
      </w:r>
      <w:r>
        <w:rPr>
          <w:spacing w:val="-9"/>
        </w:rPr>
        <w:t> </w:t>
      </w:r>
      <w:r>
        <w:rPr/>
        <w:t>o comunales, se procederá conforme a lo previsto en esta Ley y en la Ley Agraria.</w:t>
      </w:r>
    </w:p>
    <w:p>
      <w:pPr>
        <w:pStyle w:val="BodyText"/>
        <w:spacing w:before="229"/>
        <w:ind w:left="262" w:right="278"/>
        <w:jc w:val="both"/>
      </w:pPr>
      <w:r>
        <w:rPr>
          <w:rFonts w:ascii="Arial" w:hAnsi="Arial"/>
          <w:b/>
        </w:rPr>
        <w:t>ARTÍCULO 219. </w:t>
      </w:r>
      <w:r>
        <w:rPr/>
        <w:t>El ayuntamiento respectivo, en coordinación con la Secretaria y la Promotora del Estado, al tener conocimiento de un asentamiento humano irregular o la formación de éste, procederá</w:t>
      </w:r>
      <w:r>
        <w:rPr>
          <w:spacing w:val="-14"/>
        </w:rPr>
        <w:t> </w:t>
      </w:r>
      <w:r>
        <w:rPr/>
        <w:t>a</w:t>
      </w:r>
      <w:r>
        <w:rPr>
          <w:spacing w:val="-14"/>
        </w:rPr>
        <w:t> </w:t>
      </w:r>
      <w:r>
        <w:rPr/>
        <w:t>la</w:t>
      </w:r>
      <w:r>
        <w:rPr>
          <w:spacing w:val="-14"/>
        </w:rPr>
        <w:t> </w:t>
      </w:r>
      <w:r>
        <w:rPr/>
        <w:t>suspensión</w:t>
      </w:r>
      <w:r>
        <w:rPr>
          <w:spacing w:val="-14"/>
        </w:rPr>
        <w:t> </w:t>
      </w:r>
      <w:r>
        <w:rPr/>
        <w:t>de</w:t>
      </w:r>
      <w:r>
        <w:rPr>
          <w:spacing w:val="-14"/>
        </w:rPr>
        <w:t> </w:t>
      </w:r>
      <w:r>
        <w:rPr/>
        <w:t>cualquier</w:t>
      </w:r>
      <w:r>
        <w:rPr>
          <w:spacing w:val="-14"/>
        </w:rPr>
        <w:t> </w:t>
      </w:r>
      <w:r>
        <w:rPr/>
        <w:t>obra</w:t>
      </w:r>
      <w:r>
        <w:rPr>
          <w:spacing w:val="-14"/>
        </w:rPr>
        <w:t> </w:t>
      </w:r>
      <w:r>
        <w:rPr/>
        <w:t>y/o</w:t>
      </w:r>
      <w:r>
        <w:rPr>
          <w:spacing w:val="-14"/>
        </w:rPr>
        <w:t> </w:t>
      </w:r>
      <w:r>
        <w:rPr/>
        <w:t>venta</w:t>
      </w:r>
      <w:r>
        <w:rPr>
          <w:spacing w:val="-14"/>
        </w:rPr>
        <w:t> </w:t>
      </w:r>
      <w:r>
        <w:rPr/>
        <w:t>de</w:t>
      </w:r>
      <w:r>
        <w:rPr>
          <w:spacing w:val="-12"/>
        </w:rPr>
        <w:t> </w:t>
      </w:r>
      <w:r>
        <w:rPr/>
        <w:t>predios</w:t>
      </w:r>
      <w:r>
        <w:rPr>
          <w:spacing w:val="-12"/>
        </w:rPr>
        <w:t> </w:t>
      </w:r>
      <w:r>
        <w:rPr/>
        <w:t>que</w:t>
      </w:r>
      <w:r>
        <w:rPr>
          <w:spacing w:val="-13"/>
        </w:rPr>
        <w:t> </w:t>
      </w:r>
      <w:r>
        <w:rPr/>
        <w:t>se</w:t>
      </w:r>
      <w:r>
        <w:rPr>
          <w:spacing w:val="-14"/>
        </w:rPr>
        <w:t> </w:t>
      </w:r>
      <w:r>
        <w:rPr/>
        <w:t>realicen</w:t>
      </w:r>
      <w:r>
        <w:rPr>
          <w:spacing w:val="-13"/>
        </w:rPr>
        <w:t> </w:t>
      </w:r>
      <w:r>
        <w:rPr/>
        <w:t>ilícitamente,</w:t>
      </w:r>
      <w:r>
        <w:rPr>
          <w:spacing w:val="-14"/>
        </w:rPr>
        <w:t> </w:t>
      </w:r>
      <w:r>
        <w:rPr/>
        <w:t>fijando en lugares públicos y visibles, copias del ordenamiento que disponga tal situación, el cual deberá estar</w:t>
      </w:r>
      <w:r>
        <w:rPr>
          <w:spacing w:val="-8"/>
        </w:rPr>
        <w:t> </w:t>
      </w:r>
      <w:r>
        <w:rPr/>
        <w:t>fundamentado</w:t>
      </w:r>
      <w:r>
        <w:rPr>
          <w:spacing w:val="-9"/>
        </w:rPr>
        <w:t> </w:t>
      </w:r>
      <w:r>
        <w:rPr/>
        <w:t>en</w:t>
      </w:r>
      <w:r>
        <w:rPr>
          <w:spacing w:val="-7"/>
        </w:rPr>
        <w:t> </w:t>
      </w:r>
      <w:r>
        <w:rPr/>
        <w:t>las</w:t>
      </w:r>
      <w:r>
        <w:rPr>
          <w:spacing w:val="-6"/>
        </w:rPr>
        <w:t> </w:t>
      </w:r>
      <w:r>
        <w:rPr/>
        <w:t>disposiciones</w:t>
      </w:r>
      <w:r>
        <w:rPr>
          <w:spacing w:val="-8"/>
        </w:rPr>
        <w:t> </w:t>
      </w:r>
      <w:r>
        <w:rPr/>
        <w:t>de</w:t>
      </w:r>
      <w:r>
        <w:rPr>
          <w:spacing w:val="-7"/>
        </w:rPr>
        <w:t> </w:t>
      </w:r>
      <w:r>
        <w:rPr/>
        <w:t>esta</w:t>
      </w:r>
      <w:r>
        <w:rPr>
          <w:spacing w:val="-7"/>
        </w:rPr>
        <w:t> </w:t>
      </w:r>
      <w:r>
        <w:rPr/>
        <w:t>Ley,</w:t>
      </w:r>
      <w:r>
        <w:rPr>
          <w:spacing w:val="-6"/>
        </w:rPr>
        <w:t> </w:t>
      </w:r>
      <w:r>
        <w:rPr/>
        <w:t>así</w:t>
      </w:r>
      <w:r>
        <w:rPr>
          <w:spacing w:val="-9"/>
        </w:rPr>
        <w:t> </w:t>
      </w:r>
      <w:r>
        <w:rPr/>
        <w:t>como</w:t>
      </w:r>
      <w:r>
        <w:rPr>
          <w:spacing w:val="-7"/>
        </w:rPr>
        <w:t> </w:t>
      </w:r>
      <w:r>
        <w:rPr/>
        <w:t>publicado</w:t>
      </w:r>
      <w:r>
        <w:rPr>
          <w:spacing w:val="-9"/>
        </w:rPr>
        <w:t> </w:t>
      </w:r>
      <w:r>
        <w:rPr/>
        <w:t>como</w:t>
      </w:r>
      <w:r>
        <w:rPr>
          <w:spacing w:val="-7"/>
        </w:rPr>
        <w:t> </w:t>
      </w:r>
      <w:r>
        <w:rPr/>
        <w:t>advertencia</w:t>
      </w:r>
      <w:r>
        <w:rPr>
          <w:spacing w:val="-9"/>
        </w:rPr>
        <w:t> </w:t>
      </w:r>
      <w:r>
        <w:rPr/>
        <w:t>pública en un diario de mayor circulación de la localidad y notificarse al Instituto Registral y Catastral del Estado, así como a la Dirección del Notariado y al Colegio de Notarios a fin de que no inscriban ni lleven a cabo ningún acto, contrato o convenio derivado de la propiedad o posesión de inmuebles ubicados en ese asentamiento humano.</w:t>
      </w:r>
    </w:p>
    <w:p>
      <w:pPr>
        <w:pStyle w:val="BodyText"/>
        <w:spacing w:before="230"/>
        <w:ind w:left="262" w:right="287"/>
        <w:jc w:val="both"/>
      </w:pPr>
      <w:r>
        <w:rPr/>
        <w:t>El incumplimiento de lo señalado en el párrafo inmediato anterior será causa de</w:t>
      </w:r>
      <w:r>
        <w:rPr>
          <w:spacing w:val="40"/>
        </w:rPr>
        <w:t> </w:t>
      </w:r>
      <w:r>
        <w:rPr/>
        <w:t>responsabilidad administrativa, sin perjuicio de las sanciones civiles y penales que procedan.</w:t>
      </w:r>
    </w:p>
    <w:p>
      <w:pPr>
        <w:pStyle w:val="BodyText"/>
        <w:spacing w:before="1"/>
      </w:pPr>
    </w:p>
    <w:p>
      <w:pPr>
        <w:pStyle w:val="BodyText"/>
        <w:ind w:left="262" w:right="279"/>
        <w:jc w:val="both"/>
      </w:pPr>
      <w:r>
        <w:rPr>
          <w:rFonts w:ascii="Arial" w:hAnsi="Arial"/>
          <w:b/>
        </w:rPr>
        <w:t>ARTÍCULO 220. </w:t>
      </w:r>
      <w:r>
        <w:rPr/>
        <w:t>En el caso de que el asentamiento humano irregular se encuentre en terrenos ejidales o comunales, y que estos terrenos o áreas estén contempladas como aptas para el uso habitacional, así como el que su regularización e incorporación al desarrollo urbano represente un beneficio social y público, el ayuntamiento respectivo, en coordinación con la Secretaría, analizará tal</w:t>
      </w:r>
      <w:r>
        <w:rPr>
          <w:spacing w:val="-9"/>
        </w:rPr>
        <w:t> </w:t>
      </w:r>
      <w:r>
        <w:rPr/>
        <w:t>situación,</w:t>
      </w:r>
      <w:r>
        <w:rPr>
          <w:spacing w:val="-8"/>
        </w:rPr>
        <w:t> </w:t>
      </w:r>
      <w:r>
        <w:rPr/>
        <w:t>y</w:t>
      </w:r>
      <w:r>
        <w:rPr>
          <w:spacing w:val="-7"/>
        </w:rPr>
        <w:t> </w:t>
      </w:r>
      <w:r>
        <w:rPr/>
        <w:t>promoverá</w:t>
      </w:r>
      <w:r>
        <w:rPr>
          <w:spacing w:val="-7"/>
        </w:rPr>
        <w:t> </w:t>
      </w:r>
      <w:r>
        <w:rPr/>
        <w:t>en</w:t>
      </w:r>
      <w:r>
        <w:rPr>
          <w:spacing w:val="-8"/>
        </w:rPr>
        <w:t> </w:t>
      </w:r>
      <w:r>
        <w:rPr/>
        <w:t>su</w:t>
      </w:r>
      <w:r>
        <w:rPr>
          <w:spacing w:val="-8"/>
        </w:rPr>
        <w:t> </w:t>
      </w:r>
      <w:r>
        <w:rPr/>
        <w:t>caso,</w:t>
      </w:r>
      <w:r>
        <w:rPr>
          <w:spacing w:val="-8"/>
        </w:rPr>
        <w:t> </w:t>
      </w:r>
      <w:r>
        <w:rPr/>
        <w:t>la</w:t>
      </w:r>
      <w:r>
        <w:rPr>
          <w:spacing w:val="-8"/>
        </w:rPr>
        <w:t> </w:t>
      </w:r>
      <w:r>
        <w:rPr/>
        <w:t>solicitud</w:t>
      </w:r>
      <w:r>
        <w:rPr>
          <w:spacing w:val="-8"/>
        </w:rPr>
        <w:t> </w:t>
      </w:r>
      <w:r>
        <w:rPr/>
        <w:t>de</w:t>
      </w:r>
      <w:r>
        <w:rPr>
          <w:spacing w:val="-8"/>
        </w:rPr>
        <w:t> </w:t>
      </w:r>
      <w:r>
        <w:rPr/>
        <w:t>expropiación</w:t>
      </w:r>
      <w:r>
        <w:rPr>
          <w:spacing w:val="-8"/>
        </w:rPr>
        <w:t> </w:t>
      </w:r>
      <w:r>
        <w:rPr/>
        <w:t>o</w:t>
      </w:r>
      <w:r>
        <w:rPr>
          <w:spacing w:val="-8"/>
        </w:rPr>
        <w:t> </w:t>
      </w:r>
      <w:r>
        <w:rPr/>
        <w:t>aportación</w:t>
      </w:r>
      <w:r>
        <w:rPr>
          <w:spacing w:val="-8"/>
        </w:rPr>
        <w:t> </w:t>
      </w:r>
      <w:r>
        <w:rPr/>
        <w:t>de</w:t>
      </w:r>
      <w:r>
        <w:rPr>
          <w:spacing w:val="-8"/>
        </w:rPr>
        <w:t> </w:t>
      </w:r>
      <w:r>
        <w:rPr/>
        <w:t>dicho</w:t>
      </w:r>
      <w:r>
        <w:rPr>
          <w:spacing w:val="-8"/>
        </w:rPr>
        <w:t> </w:t>
      </w:r>
      <w:r>
        <w:rPr/>
        <w:t>predio,</w:t>
      </w:r>
      <w:r>
        <w:rPr>
          <w:spacing w:val="-8"/>
        </w:rPr>
        <w:t> </w:t>
      </w:r>
      <w:r>
        <w:rPr/>
        <w:t>para su regularización ante las autoridades competentes.</w:t>
      </w:r>
    </w:p>
    <w:p>
      <w:pPr>
        <w:pStyle w:val="BodyText"/>
      </w:pPr>
    </w:p>
    <w:p>
      <w:pPr>
        <w:pStyle w:val="BodyText"/>
        <w:ind w:left="262" w:right="284"/>
        <w:jc w:val="both"/>
      </w:pPr>
      <w:r>
        <w:rPr>
          <w:rFonts w:ascii="Arial" w:hAnsi="Arial"/>
          <w:b/>
        </w:rPr>
        <w:t>ARTÍCULO 221. </w:t>
      </w:r>
      <w:r>
        <w:rPr/>
        <w:t>El organismo estatal regularizador o el ayuntamiento respectivo expedirán un dictamen</w:t>
      </w:r>
      <w:r>
        <w:rPr>
          <w:spacing w:val="-7"/>
        </w:rPr>
        <w:t> </w:t>
      </w:r>
      <w:r>
        <w:rPr/>
        <w:t>de</w:t>
      </w:r>
      <w:r>
        <w:rPr>
          <w:spacing w:val="-7"/>
        </w:rPr>
        <w:t> </w:t>
      </w:r>
      <w:r>
        <w:rPr/>
        <w:t>la</w:t>
      </w:r>
      <w:r>
        <w:rPr>
          <w:spacing w:val="-7"/>
        </w:rPr>
        <w:t> </w:t>
      </w:r>
      <w:r>
        <w:rPr/>
        <w:t>posibilidad</w:t>
      </w:r>
      <w:r>
        <w:rPr>
          <w:spacing w:val="-7"/>
        </w:rPr>
        <w:t> </w:t>
      </w:r>
      <w:r>
        <w:rPr/>
        <w:t>de</w:t>
      </w:r>
      <w:r>
        <w:rPr>
          <w:spacing w:val="-7"/>
        </w:rPr>
        <w:t> </w:t>
      </w:r>
      <w:r>
        <w:rPr/>
        <w:t>regularización</w:t>
      </w:r>
      <w:r>
        <w:rPr>
          <w:spacing w:val="-7"/>
        </w:rPr>
        <w:t> </w:t>
      </w:r>
      <w:r>
        <w:rPr/>
        <w:t>de</w:t>
      </w:r>
      <w:r>
        <w:rPr>
          <w:spacing w:val="-7"/>
        </w:rPr>
        <w:t> </w:t>
      </w:r>
      <w:r>
        <w:rPr/>
        <w:t>un</w:t>
      </w:r>
      <w:r>
        <w:rPr>
          <w:spacing w:val="-5"/>
        </w:rPr>
        <w:t> </w:t>
      </w:r>
      <w:r>
        <w:rPr/>
        <w:t>asentamiento</w:t>
      </w:r>
      <w:r>
        <w:rPr>
          <w:spacing w:val="-7"/>
        </w:rPr>
        <w:t> </w:t>
      </w:r>
      <w:r>
        <w:rPr/>
        <w:t>humano,</w:t>
      </w:r>
      <w:r>
        <w:rPr>
          <w:spacing w:val="-7"/>
        </w:rPr>
        <w:t> </w:t>
      </w:r>
      <w:r>
        <w:rPr/>
        <w:t>previo</w:t>
      </w:r>
      <w:r>
        <w:rPr>
          <w:spacing w:val="-7"/>
        </w:rPr>
        <w:t> </w:t>
      </w:r>
      <w:r>
        <w:rPr/>
        <w:t>a</w:t>
      </w:r>
      <w:r>
        <w:rPr>
          <w:spacing w:val="-7"/>
        </w:rPr>
        <w:t> </w:t>
      </w:r>
      <w:r>
        <w:rPr/>
        <w:t>la</w:t>
      </w:r>
      <w:r>
        <w:rPr>
          <w:spacing w:val="-7"/>
        </w:rPr>
        <w:t> </w:t>
      </w:r>
      <w:r>
        <w:rPr/>
        <w:t>expropiación</w:t>
      </w:r>
      <w:r>
        <w:rPr>
          <w:spacing w:val="-4"/>
        </w:rPr>
        <w:t> </w:t>
      </w:r>
      <w:r>
        <w:rPr/>
        <w:t>o aportación en su caso, el cual deberá contener:</w:t>
      </w:r>
    </w:p>
    <w:p>
      <w:pPr>
        <w:pStyle w:val="BodyText"/>
      </w:pPr>
    </w:p>
    <w:p>
      <w:pPr>
        <w:pStyle w:val="ListParagraph"/>
        <w:numPr>
          <w:ilvl w:val="0"/>
          <w:numId w:val="84"/>
        </w:numPr>
        <w:tabs>
          <w:tab w:pos="543" w:val="left" w:leader="none"/>
        </w:tabs>
        <w:spacing w:line="240" w:lineRule="auto" w:before="0" w:after="0"/>
        <w:ind w:left="543" w:right="0" w:hanging="281"/>
        <w:jc w:val="both"/>
        <w:rPr>
          <w:sz w:val="20"/>
        </w:rPr>
      </w:pPr>
      <w:r>
        <w:rPr>
          <w:sz w:val="20"/>
        </w:rPr>
        <w:t>La</w:t>
      </w:r>
      <w:r>
        <w:rPr>
          <w:spacing w:val="-10"/>
          <w:sz w:val="20"/>
        </w:rPr>
        <w:t> </w:t>
      </w:r>
      <w:r>
        <w:rPr>
          <w:sz w:val="20"/>
        </w:rPr>
        <w:t>factibilidad</w:t>
      </w:r>
      <w:r>
        <w:rPr>
          <w:spacing w:val="-9"/>
          <w:sz w:val="20"/>
        </w:rPr>
        <w:t> </w:t>
      </w:r>
      <w:r>
        <w:rPr>
          <w:spacing w:val="-2"/>
          <w:sz w:val="20"/>
        </w:rPr>
        <w:t>jurídica;</w:t>
      </w:r>
    </w:p>
    <w:p>
      <w:pPr>
        <w:pStyle w:val="BodyText"/>
        <w:spacing w:before="1"/>
      </w:pPr>
    </w:p>
    <w:p>
      <w:pPr>
        <w:pStyle w:val="ListParagraph"/>
        <w:numPr>
          <w:ilvl w:val="0"/>
          <w:numId w:val="84"/>
        </w:numPr>
        <w:tabs>
          <w:tab w:pos="543" w:val="left" w:leader="none"/>
        </w:tabs>
        <w:spacing w:line="240" w:lineRule="auto" w:before="0" w:after="0"/>
        <w:ind w:left="262" w:right="289" w:firstLine="0"/>
        <w:jc w:val="both"/>
        <w:rPr>
          <w:sz w:val="20"/>
        </w:rPr>
      </w:pPr>
      <w:r>
        <w:rPr>
          <w:sz w:val="20"/>
        </w:rPr>
        <w:t>La factibilidad técnica urbanística, evitando el asentamiento en zonas no urbanizables o de </w:t>
      </w:r>
      <w:r>
        <w:rPr>
          <w:spacing w:val="-2"/>
          <w:sz w:val="20"/>
        </w:rPr>
        <w:t>riesgo;</w:t>
      </w:r>
    </w:p>
    <w:p>
      <w:pPr>
        <w:pStyle w:val="ListParagraph"/>
        <w:numPr>
          <w:ilvl w:val="0"/>
          <w:numId w:val="84"/>
        </w:numPr>
        <w:tabs>
          <w:tab w:pos="597" w:val="left" w:leader="none"/>
        </w:tabs>
        <w:spacing w:line="240" w:lineRule="auto" w:before="229" w:after="0"/>
        <w:ind w:left="597" w:right="0" w:hanging="335"/>
        <w:jc w:val="both"/>
        <w:rPr>
          <w:sz w:val="20"/>
        </w:rPr>
      </w:pPr>
      <w:r>
        <w:rPr>
          <w:sz w:val="20"/>
        </w:rPr>
        <w:t>La</w:t>
      </w:r>
      <w:r>
        <w:rPr>
          <w:spacing w:val="-9"/>
          <w:sz w:val="20"/>
        </w:rPr>
        <w:t> </w:t>
      </w:r>
      <w:r>
        <w:rPr>
          <w:sz w:val="20"/>
        </w:rPr>
        <w:t>viabilidad</w:t>
      </w:r>
      <w:r>
        <w:rPr>
          <w:spacing w:val="-7"/>
          <w:sz w:val="20"/>
        </w:rPr>
        <w:t> </w:t>
      </w:r>
      <w:r>
        <w:rPr>
          <w:sz w:val="20"/>
        </w:rPr>
        <w:t>de</w:t>
      </w:r>
      <w:r>
        <w:rPr>
          <w:spacing w:val="-7"/>
          <w:sz w:val="20"/>
        </w:rPr>
        <w:t> </w:t>
      </w:r>
      <w:r>
        <w:rPr>
          <w:sz w:val="20"/>
        </w:rPr>
        <w:t>introducción</w:t>
      </w:r>
      <w:r>
        <w:rPr>
          <w:spacing w:val="-9"/>
          <w:sz w:val="20"/>
        </w:rPr>
        <w:t> </w:t>
      </w:r>
      <w:r>
        <w:rPr>
          <w:sz w:val="20"/>
        </w:rPr>
        <w:t>de</w:t>
      </w:r>
      <w:r>
        <w:rPr>
          <w:spacing w:val="-8"/>
          <w:sz w:val="20"/>
        </w:rPr>
        <w:t> </w:t>
      </w:r>
      <w:r>
        <w:rPr>
          <w:sz w:val="20"/>
        </w:rPr>
        <w:t>infraestructura,</w:t>
      </w:r>
      <w:r>
        <w:rPr>
          <w:spacing w:val="-8"/>
          <w:sz w:val="20"/>
        </w:rPr>
        <w:t> </w:t>
      </w:r>
      <w:r>
        <w:rPr>
          <w:sz w:val="20"/>
        </w:rPr>
        <w:t>equipamiento</w:t>
      </w:r>
      <w:r>
        <w:rPr>
          <w:spacing w:val="-6"/>
          <w:sz w:val="20"/>
        </w:rPr>
        <w:t> </w:t>
      </w:r>
      <w:r>
        <w:rPr>
          <w:sz w:val="20"/>
        </w:rPr>
        <w:t>y</w:t>
      </w:r>
      <w:r>
        <w:rPr>
          <w:spacing w:val="-7"/>
          <w:sz w:val="20"/>
        </w:rPr>
        <w:t> </w:t>
      </w:r>
      <w:r>
        <w:rPr>
          <w:sz w:val="20"/>
        </w:rPr>
        <w:t>servicios</w:t>
      </w:r>
      <w:r>
        <w:rPr>
          <w:spacing w:val="-7"/>
          <w:sz w:val="20"/>
        </w:rPr>
        <w:t> </w:t>
      </w:r>
      <w:r>
        <w:rPr>
          <w:sz w:val="20"/>
        </w:rPr>
        <w:t>a</w:t>
      </w:r>
      <w:r>
        <w:rPr>
          <w:spacing w:val="-9"/>
          <w:sz w:val="20"/>
        </w:rPr>
        <w:t> </w:t>
      </w:r>
      <w:r>
        <w:rPr>
          <w:sz w:val="20"/>
        </w:rPr>
        <w:t>costos</w:t>
      </w:r>
      <w:r>
        <w:rPr>
          <w:spacing w:val="-7"/>
          <w:sz w:val="20"/>
        </w:rPr>
        <w:t> </w:t>
      </w:r>
      <w:r>
        <w:rPr>
          <w:spacing w:val="-2"/>
          <w:sz w:val="20"/>
        </w:rPr>
        <w:t>razonables;</w:t>
      </w:r>
    </w:p>
    <w:p>
      <w:pPr>
        <w:pStyle w:val="BodyText"/>
        <w:spacing w:before="1"/>
      </w:pPr>
    </w:p>
    <w:p>
      <w:pPr>
        <w:pStyle w:val="ListParagraph"/>
        <w:numPr>
          <w:ilvl w:val="0"/>
          <w:numId w:val="84"/>
        </w:numPr>
        <w:tabs>
          <w:tab w:pos="545" w:val="left" w:leader="none"/>
        </w:tabs>
        <w:spacing w:line="240" w:lineRule="auto" w:before="0" w:after="0"/>
        <w:ind w:left="545" w:right="0" w:hanging="283"/>
        <w:jc w:val="both"/>
        <w:rPr>
          <w:sz w:val="20"/>
        </w:rPr>
      </w:pPr>
      <w:r>
        <w:rPr>
          <w:sz w:val="20"/>
        </w:rPr>
        <w:t>Su</w:t>
      </w:r>
      <w:r>
        <w:rPr>
          <w:spacing w:val="-4"/>
          <w:sz w:val="20"/>
        </w:rPr>
        <w:t> </w:t>
      </w:r>
      <w:r>
        <w:rPr>
          <w:sz w:val="20"/>
        </w:rPr>
        <w:t>liga</w:t>
      </w:r>
      <w:r>
        <w:rPr>
          <w:spacing w:val="-5"/>
          <w:sz w:val="20"/>
        </w:rPr>
        <w:t> </w:t>
      </w:r>
      <w:r>
        <w:rPr>
          <w:sz w:val="20"/>
        </w:rPr>
        <w:t>con</w:t>
      </w:r>
      <w:r>
        <w:rPr>
          <w:spacing w:val="-4"/>
          <w:sz w:val="20"/>
        </w:rPr>
        <w:t> </w:t>
      </w:r>
      <w:r>
        <w:rPr>
          <w:sz w:val="20"/>
        </w:rPr>
        <w:t>la</w:t>
      </w:r>
      <w:r>
        <w:rPr>
          <w:spacing w:val="-3"/>
          <w:sz w:val="20"/>
        </w:rPr>
        <w:t> </w:t>
      </w:r>
      <w:r>
        <w:rPr>
          <w:sz w:val="20"/>
        </w:rPr>
        <w:t>traza</w:t>
      </w:r>
      <w:r>
        <w:rPr>
          <w:spacing w:val="-5"/>
          <w:sz w:val="20"/>
        </w:rPr>
        <w:t> </w:t>
      </w:r>
      <w:r>
        <w:rPr>
          <w:spacing w:val="-2"/>
          <w:sz w:val="20"/>
        </w:rPr>
        <w:t>urbana;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84"/>
        </w:numPr>
        <w:tabs>
          <w:tab w:pos="544" w:val="left" w:leader="none"/>
        </w:tabs>
        <w:spacing w:line="240" w:lineRule="auto" w:before="0" w:after="0"/>
        <w:ind w:left="544" w:right="0" w:hanging="282"/>
        <w:jc w:val="left"/>
        <w:rPr>
          <w:sz w:val="20"/>
        </w:rPr>
      </w:pPr>
      <w:r>
        <w:rPr>
          <w:sz w:val="20"/>
        </w:rPr>
        <w:t>La</w:t>
      </w:r>
      <w:r>
        <w:rPr>
          <w:spacing w:val="-9"/>
          <w:sz w:val="20"/>
        </w:rPr>
        <w:t> </w:t>
      </w:r>
      <w:r>
        <w:rPr>
          <w:sz w:val="20"/>
        </w:rPr>
        <w:t>representación</w:t>
      </w:r>
      <w:r>
        <w:rPr>
          <w:spacing w:val="-6"/>
          <w:sz w:val="20"/>
        </w:rPr>
        <w:t> </w:t>
      </w:r>
      <w:r>
        <w:rPr>
          <w:sz w:val="20"/>
        </w:rPr>
        <w:t>de</w:t>
      </w:r>
      <w:r>
        <w:rPr>
          <w:spacing w:val="-7"/>
          <w:sz w:val="20"/>
        </w:rPr>
        <w:t> </w:t>
      </w:r>
      <w:r>
        <w:rPr>
          <w:sz w:val="20"/>
        </w:rPr>
        <w:t>un</w:t>
      </w:r>
      <w:r>
        <w:rPr>
          <w:spacing w:val="-8"/>
          <w:sz w:val="20"/>
        </w:rPr>
        <w:t> </w:t>
      </w:r>
      <w:r>
        <w:rPr>
          <w:sz w:val="20"/>
        </w:rPr>
        <w:t>beneficio</w:t>
      </w:r>
      <w:r>
        <w:rPr>
          <w:spacing w:val="-7"/>
          <w:sz w:val="20"/>
        </w:rPr>
        <w:t> </w:t>
      </w:r>
      <w:r>
        <w:rPr>
          <w:sz w:val="20"/>
        </w:rPr>
        <w:t>social</w:t>
      </w:r>
      <w:r>
        <w:rPr>
          <w:spacing w:val="-8"/>
          <w:sz w:val="20"/>
        </w:rPr>
        <w:t> </w:t>
      </w:r>
      <w:r>
        <w:rPr>
          <w:sz w:val="20"/>
        </w:rPr>
        <w:t>y</w:t>
      </w:r>
      <w:r>
        <w:rPr>
          <w:spacing w:val="-7"/>
          <w:sz w:val="20"/>
        </w:rPr>
        <w:t> </w:t>
      </w:r>
      <w:r>
        <w:rPr>
          <w:sz w:val="20"/>
        </w:rPr>
        <w:t>público,</w:t>
      </w:r>
      <w:r>
        <w:rPr>
          <w:spacing w:val="-5"/>
          <w:sz w:val="20"/>
        </w:rPr>
        <w:t> </w:t>
      </w:r>
      <w:r>
        <w:rPr>
          <w:spacing w:val="-10"/>
          <w:sz w:val="20"/>
        </w:rPr>
        <w:t>y</w:t>
      </w:r>
    </w:p>
    <w:p>
      <w:pPr>
        <w:pStyle w:val="BodyText"/>
        <w:spacing w:before="1"/>
      </w:pPr>
    </w:p>
    <w:p>
      <w:pPr>
        <w:pStyle w:val="ListParagraph"/>
        <w:numPr>
          <w:ilvl w:val="0"/>
          <w:numId w:val="84"/>
        </w:numPr>
        <w:tabs>
          <w:tab w:pos="544" w:val="left" w:leader="none"/>
        </w:tabs>
        <w:spacing w:line="240" w:lineRule="auto" w:before="0" w:after="0"/>
        <w:ind w:left="262" w:right="285" w:firstLine="0"/>
        <w:jc w:val="left"/>
        <w:rPr>
          <w:sz w:val="20"/>
        </w:rPr>
      </w:pPr>
      <w:r>
        <w:rPr>
          <w:sz w:val="20"/>
        </w:rPr>
        <w:t>La congruencia con</w:t>
      </w:r>
      <w:r>
        <w:rPr>
          <w:spacing w:val="24"/>
          <w:sz w:val="20"/>
        </w:rPr>
        <w:t> </w:t>
      </w:r>
      <w:r>
        <w:rPr>
          <w:sz w:val="20"/>
        </w:rPr>
        <w:t>esta Ley y los programas de ordenamiento territorial y desarrollo urbano</w:t>
      </w:r>
      <w:r>
        <w:rPr>
          <w:spacing w:val="80"/>
          <w:sz w:val="20"/>
        </w:rPr>
        <w:t> </w:t>
      </w:r>
      <w:r>
        <w:rPr>
          <w:spacing w:val="-2"/>
          <w:sz w:val="20"/>
        </w:rPr>
        <w:t>aplicables.</w:t>
      </w:r>
    </w:p>
    <w:p>
      <w:pPr>
        <w:pStyle w:val="BodyText"/>
        <w:spacing w:before="229"/>
        <w:ind w:left="262" w:right="279"/>
        <w:jc w:val="both"/>
      </w:pPr>
      <w:r>
        <w:rPr>
          <w:rFonts w:ascii="Arial" w:hAnsi="Arial"/>
          <w:b/>
        </w:rPr>
        <w:t>ARTÍCULO 222. </w:t>
      </w:r>
      <w:r>
        <w:rPr/>
        <w:t>En caso de ser negativo el dictamen de regularización a que se refiere el artículo anterior,</w:t>
      </w:r>
      <w:r>
        <w:rPr>
          <w:spacing w:val="-3"/>
        </w:rPr>
        <w:t> </w:t>
      </w:r>
      <w:r>
        <w:rPr/>
        <w:t>por</w:t>
      </w:r>
      <w:r>
        <w:rPr>
          <w:spacing w:val="-3"/>
        </w:rPr>
        <w:t> </w:t>
      </w:r>
      <w:r>
        <w:rPr/>
        <w:t>encontrarse</w:t>
      </w:r>
      <w:r>
        <w:rPr>
          <w:spacing w:val="-3"/>
        </w:rPr>
        <w:t> </w:t>
      </w:r>
      <w:r>
        <w:rPr/>
        <w:t>el</w:t>
      </w:r>
      <w:r>
        <w:rPr>
          <w:spacing w:val="-2"/>
        </w:rPr>
        <w:t> </w:t>
      </w:r>
      <w:r>
        <w:rPr/>
        <w:t>asentamiento</w:t>
      </w:r>
      <w:r>
        <w:rPr>
          <w:spacing w:val="-3"/>
        </w:rPr>
        <w:t> </w:t>
      </w:r>
      <w:r>
        <w:rPr/>
        <w:t>de</w:t>
      </w:r>
      <w:r>
        <w:rPr>
          <w:spacing w:val="-3"/>
        </w:rPr>
        <w:t> </w:t>
      </w:r>
      <w:r>
        <w:rPr/>
        <w:t>que</w:t>
      </w:r>
      <w:r>
        <w:rPr>
          <w:spacing w:val="-3"/>
        </w:rPr>
        <w:t> </w:t>
      </w:r>
      <w:r>
        <w:rPr/>
        <w:t>se</w:t>
      </w:r>
      <w:r>
        <w:rPr>
          <w:spacing w:val="-3"/>
        </w:rPr>
        <w:t> </w:t>
      </w:r>
      <w:r>
        <w:rPr/>
        <w:t>trate</w:t>
      </w:r>
      <w:r>
        <w:rPr>
          <w:spacing w:val="-4"/>
        </w:rPr>
        <w:t> </w:t>
      </w:r>
      <w:r>
        <w:rPr/>
        <w:t>en</w:t>
      </w:r>
      <w:r>
        <w:rPr>
          <w:spacing w:val="-3"/>
        </w:rPr>
        <w:t> </w:t>
      </w:r>
      <w:r>
        <w:rPr/>
        <w:t>zonas</w:t>
      </w:r>
      <w:r>
        <w:rPr>
          <w:spacing w:val="-2"/>
        </w:rPr>
        <w:t> </w:t>
      </w:r>
      <w:r>
        <w:rPr/>
        <w:t>de</w:t>
      </w:r>
      <w:r>
        <w:rPr>
          <w:spacing w:val="-1"/>
        </w:rPr>
        <w:t> </w:t>
      </w:r>
      <w:r>
        <w:rPr/>
        <w:t>alto</w:t>
      </w:r>
      <w:r>
        <w:rPr>
          <w:spacing w:val="-4"/>
        </w:rPr>
        <w:t> </w:t>
      </w:r>
      <w:r>
        <w:rPr/>
        <w:t>riesgo,</w:t>
      </w:r>
      <w:r>
        <w:rPr>
          <w:spacing w:val="-3"/>
        </w:rPr>
        <w:t> </w:t>
      </w:r>
      <w:r>
        <w:rPr/>
        <w:t>zonas</w:t>
      </w:r>
      <w:r>
        <w:rPr>
          <w:spacing w:val="-2"/>
        </w:rPr>
        <w:t> </w:t>
      </w:r>
      <w:r>
        <w:rPr/>
        <w:t>de</w:t>
      </w:r>
      <w:r>
        <w:rPr>
          <w:spacing w:val="-3"/>
        </w:rPr>
        <w:t> </w:t>
      </w:r>
      <w:r>
        <w:rPr/>
        <w:t>reserva ecológica, de recarga del acuífero, dentro de derechos de vía, de propiedad pública de uso común y demás zonas no aptas para vivienda, se procederá al inmediato desalojo del asentamiento humano, independientemente de las sanciones civiles, administrativas o penales a que se hagan acreedores</w:t>
      </w:r>
      <w:r>
        <w:rPr>
          <w:spacing w:val="-1"/>
        </w:rPr>
        <w:t> </w:t>
      </w:r>
      <w:r>
        <w:rPr/>
        <w:t>los</w:t>
      </w:r>
      <w:r>
        <w:rPr>
          <w:spacing w:val="-1"/>
        </w:rPr>
        <w:t> </w:t>
      </w:r>
      <w:r>
        <w:rPr/>
        <w:t>asentados</w:t>
      </w:r>
      <w:r>
        <w:rPr>
          <w:spacing w:val="-1"/>
        </w:rPr>
        <w:t> </w:t>
      </w:r>
      <w:r>
        <w:rPr/>
        <w:t>y/o</w:t>
      </w:r>
      <w:r>
        <w:rPr>
          <w:spacing w:val="-5"/>
        </w:rPr>
        <w:t> </w:t>
      </w:r>
      <w:r>
        <w:rPr/>
        <w:t>promotores</w:t>
      </w:r>
      <w:r>
        <w:rPr>
          <w:spacing w:val="-2"/>
        </w:rPr>
        <w:t> </w:t>
      </w:r>
      <w:r>
        <w:rPr/>
        <w:t>de</w:t>
      </w:r>
      <w:r>
        <w:rPr>
          <w:spacing w:val="-2"/>
        </w:rPr>
        <w:t> </w:t>
      </w:r>
      <w:r>
        <w:rPr/>
        <w:t>dicho</w:t>
      </w:r>
      <w:r>
        <w:rPr>
          <w:spacing w:val="-4"/>
        </w:rPr>
        <w:t> </w:t>
      </w:r>
      <w:r>
        <w:rPr/>
        <w:t>asentamiento,</w:t>
      </w:r>
      <w:r>
        <w:rPr>
          <w:spacing w:val="-2"/>
        </w:rPr>
        <w:t> </w:t>
      </w:r>
      <w:r>
        <w:rPr/>
        <w:t>o</w:t>
      </w:r>
      <w:r>
        <w:rPr>
          <w:spacing w:val="-2"/>
        </w:rPr>
        <w:t> </w:t>
      </w:r>
      <w:r>
        <w:rPr/>
        <w:t>en</w:t>
      </w:r>
      <w:r>
        <w:rPr>
          <w:spacing w:val="-2"/>
        </w:rPr>
        <w:t> </w:t>
      </w:r>
      <w:r>
        <w:rPr/>
        <w:t>los</w:t>
      </w:r>
      <w:r>
        <w:rPr>
          <w:spacing w:val="-3"/>
        </w:rPr>
        <w:t> </w:t>
      </w:r>
      <w:r>
        <w:rPr/>
        <w:t>casos</w:t>
      </w:r>
      <w:r>
        <w:rPr>
          <w:spacing w:val="-3"/>
        </w:rPr>
        <w:t> </w:t>
      </w:r>
      <w:r>
        <w:rPr/>
        <w:t>en</w:t>
      </w:r>
      <w:r>
        <w:rPr>
          <w:spacing w:val="-4"/>
        </w:rPr>
        <w:t> </w:t>
      </w:r>
      <w:r>
        <w:rPr/>
        <w:t>que</w:t>
      </w:r>
      <w:r>
        <w:rPr>
          <w:spacing w:val="-3"/>
        </w:rPr>
        <w:t> </w:t>
      </w:r>
      <w:r>
        <w:rPr/>
        <w:t>proceda, a su reubicación.</w:t>
      </w:r>
    </w:p>
    <w:p>
      <w:pPr>
        <w:pStyle w:val="BodyText"/>
        <w:spacing w:before="1"/>
      </w:pPr>
    </w:p>
    <w:p>
      <w:pPr>
        <w:pStyle w:val="BodyText"/>
        <w:spacing w:before="1"/>
        <w:ind w:left="262" w:right="280"/>
        <w:jc w:val="both"/>
      </w:pPr>
      <w:r>
        <w:rPr>
          <w:rFonts w:ascii="Arial" w:hAnsi="Arial"/>
          <w:b/>
        </w:rPr>
        <w:t>ARTÍCULO</w:t>
      </w:r>
      <w:r>
        <w:rPr>
          <w:rFonts w:ascii="Arial" w:hAnsi="Arial"/>
          <w:b/>
          <w:spacing w:val="-14"/>
        </w:rPr>
        <w:t> </w:t>
      </w:r>
      <w:r>
        <w:rPr>
          <w:rFonts w:ascii="Arial" w:hAnsi="Arial"/>
          <w:b/>
        </w:rPr>
        <w:t>223.</w:t>
      </w:r>
      <w:r>
        <w:rPr>
          <w:rFonts w:ascii="Arial" w:hAnsi="Arial"/>
          <w:b/>
          <w:spacing w:val="-13"/>
        </w:rPr>
        <w:t> </w:t>
      </w:r>
      <w:r>
        <w:rPr/>
        <w:t>Una</w:t>
      </w:r>
      <w:r>
        <w:rPr>
          <w:spacing w:val="-14"/>
        </w:rPr>
        <w:t> </w:t>
      </w:r>
      <w:r>
        <w:rPr/>
        <w:t>vez</w:t>
      </w:r>
      <w:r>
        <w:rPr>
          <w:spacing w:val="-13"/>
        </w:rPr>
        <w:t> </w:t>
      </w:r>
      <w:r>
        <w:rPr/>
        <w:t>que</w:t>
      </w:r>
      <w:r>
        <w:rPr>
          <w:spacing w:val="-14"/>
        </w:rPr>
        <w:t> </w:t>
      </w:r>
      <w:r>
        <w:rPr/>
        <w:t>las</w:t>
      </w:r>
      <w:r>
        <w:rPr>
          <w:spacing w:val="-13"/>
        </w:rPr>
        <w:t> </w:t>
      </w:r>
      <w:r>
        <w:rPr/>
        <w:t>autoridades</w:t>
      </w:r>
      <w:r>
        <w:rPr>
          <w:spacing w:val="-13"/>
        </w:rPr>
        <w:t> </w:t>
      </w:r>
      <w:r>
        <w:rPr/>
        <w:t>competentes</w:t>
      </w:r>
      <w:r>
        <w:rPr>
          <w:spacing w:val="-12"/>
        </w:rPr>
        <w:t> </w:t>
      </w:r>
      <w:r>
        <w:rPr/>
        <w:t>hayan</w:t>
      </w:r>
      <w:r>
        <w:rPr>
          <w:spacing w:val="-14"/>
        </w:rPr>
        <w:t> </w:t>
      </w:r>
      <w:r>
        <w:rPr/>
        <w:t>ejecutado</w:t>
      </w:r>
      <w:r>
        <w:rPr>
          <w:spacing w:val="-14"/>
        </w:rPr>
        <w:t> </w:t>
      </w:r>
      <w:r>
        <w:rPr/>
        <w:t>el</w:t>
      </w:r>
      <w:r>
        <w:rPr>
          <w:spacing w:val="-14"/>
        </w:rPr>
        <w:t> </w:t>
      </w:r>
      <w:r>
        <w:rPr/>
        <w:t>decreto</w:t>
      </w:r>
      <w:r>
        <w:rPr>
          <w:spacing w:val="-14"/>
        </w:rPr>
        <w:t> </w:t>
      </w:r>
      <w:r>
        <w:rPr/>
        <w:t>expropiatorio del predio a regularizar, o en su caso obtenido la aportación del mismo por parte del dueño a favor del Estado, se solicitará ante el ayuntamiento respectivo, la autorización de fraccionamiento por </w:t>
      </w:r>
      <w:r>
        <w:rPr>
          <w:spacing w:val="-2"/>
        </w:rPr>
        <w:t>regularización.</w:t>
      </w:r>
    </w:p>
    <w:p>
      <w:pPr>
        <w:pStyle w:val="BodyText"/>
        <w:spacing w:before="229"/>
        <w:ind w:left="262" w:right="276"/>
        <w:jc w:val="both"/>
      </w:pPr>
      <w:r>
        <w:rPr>
          <w:rFonts w:ascii="Arial" w:hAnsi="Arial"/>
          <w:b/>
        </w:rPr>
        <w:t>ARTÍCULO 224. </w:t>
      </w:r>
      <w:r>
        <w:rPr/>
        <w:t>Los ayuntamientos en coordinación con la Secretaría, solicitarán a las dependencias o entidades competentes del Gobierno Federal, la constitución de las zonas de urbanización ejidal en todos y cada uno de los ejidos del Estado que lo requieran, así como la regularización de la tenencia de la tierra ejidal, de conformidad con los programas de desarrollo urbano y ordenamiento del</w:t>
      </w:r>
      <w:r>
        <w:rPr>
          <w:spacing w:val="40"/>
        </w:rPr>
        <w:t> </w:t>
      </w:r>
      <w:r>
        <w:rPr/>
        <w:t>territorio.</w:t>
      </w:r>
    </w:p>
    <w:p>
      <w:pPr>
        <w:pStyle w:val="BodyText"/>
        <w:spacing w:before="1"/>
      </w:pPr>
    </w:p>
    <w:p>
      <w:pPr>
        <w:pStyle w:val="BodyText"/>
        <w:ind w:left="262" w:right="285"/>
        <w:jc w:val="both"/>
      </w:pPr>
      <w:r>
        <w:rPr>
          <w:rFonts w:ascii="Arial" w:hAnsi="Arial"/>
          <w:b/>
        </w:rPr>
        <w:t>ARTÍCULO 225. </w:t>
      </w:r>
      <w:r>
        <w:rPr/>
        <w:t>La regularización de la tenencia de la tierra como una acción de mejoramiento urbano, deberá considerar la ejecución por cooperación de las obras de infraestructura, equipamiento o servicios urbanos que requiera el asentamiento humano correspondiente.</w:t>
      </w:r>
    </w:p>
    <w:p>
      <w:pPr>
        <w:pStyle w:val="BodyText"/>
        <w:spacing w:before="229"/>
      </w:pPr>
    </w:p>
    <w:p>
      <w:pPr>
        <w:pStyle w:val="Heading2"/>
        <w:spacing w:line="480" w:lineRule="auto"/>
        <w:ind w:left="3555" w:right="3408" w:firstLine="595"/>
        <w:jc w:val="left"/>
      </w:pPr>
      <w:r>
        <w:rPr/>
        <w:t>Capítulo IV Derecho</w:t>
      </w:r>
      <w:r>
        <w:rPr>
          <w:spacing w:val="-14"/>
        </w:rPr>
        <w:t> </w:t>
      </w:r>
      <w:r>
        <w:rPr/>
        <w:t>de</w:t>
      </w:r>
      <w:r>
        <w:rPr>
          <w:spacing w:val="-14"/>
        </w:rPr>
        <w:t> </w:t>
      </w:r>
      <w:r>
        <w:rPr/>
        <w:t>Preferencia</w:t>
      </w:r>
    </w:p>
    <w:p>
      <w:pPr>
        <w:pStyle w:val="BodyText"/>
        <w:ind w:left="262" w:right="276"/>
        <w:jc w:val="both"/>
      </w:pPr>
      <w:r>
        <w:rPr>
          <w:rFonts w:ascii="Arial" w:hAnsi="Arial"/>
          <w:b/>
        </w:rPr>
        <w:t>ARTÍCULO 226. </w:t>
      </w:r>
      <w:r>
        <w:rPr/>
        <w:t>Los gobiernos de los municipios y del Estado, cuando se justifique a través de un proyecto de interés público o de beneficio social, tendrán derecho de preferencia para adquirir predios</w:t>
      </w:r>
      <w:r>
        <w:rPr>
          <w:spacing w:val="-6"/>
        </w:rPr>
        <w:t> </w:t>
      </w:r>
      <w:r>
        <w:rPr/>
        <w:t>comprendidos</w:t>
      </w:r>
      <w:r>
        <w:rPr>
          <w:spacing w:val="-6"/>
        </w:rPr>
        <w:t> </w:t>
      </w:r>
      <w:r>
        <w:rPr/>
        <w:t>como</w:t>
      </w:r>
      <w:r>
        <w:rPr>
          <w:spacing w:val="-7"/>
        </w:rPr>
        <w:t> </w:t>
      </w:r>
      <w:r>
        <w:rPr/>
        <w:t>reserva</w:t>
      </w:r>
      <w:r>
        <w:rPr>
          <w:spacing w:val="-4"/>
        </w:rPr>
        <w:t> </w:t>
      </w:r>
      <w:r>
        <w:rPr/>
        <w:t>en</w:t>
      </w:r>
      <w:r>
        <w:rPr>
          <w:spacing w:val="-4"/>
        </w:rPr>
        <w:t> </w:t>
      </w:r>
      <w:r>
        <w:rPr/>
        <w:t>los</w:t>
      </w:r>
      <w:r>
        <w:rPr>
          <w:spacing w:val="-3"/>
        </w:rPr>
        <w:t> </w:t>
      </w:r>
      <w:r>
        <w:rPr/>
        <w:t>programas</w:t>
      </w:r>
      <w:r>
        <w:rPr>
          <w:spacing w:val="-3"/>
        </w:rPr>
        <w:t> </w:t>
      </w:r>
      <w:r>
        <w:rPr/>
        <w:t>de</w:t>
      </w:r>
      <w:r>
        <w:rPr>
          <w:spacing w:val="-5"/>
        </w:rPr>
        <w:t> </w:t>
      </w:r>
      <w:r>
        <w:rPr/>
        <w:t>desarrollo</w:t>
      </w:r>
      <w:r>
        <w:rPr>
          <w:spacing w:val="-7"/>
        </w:rPr>
        <w:t> </w:t>
      </w:r>
      <w:r>
        <w:rPr/>
        <w:t>urbano,</w:t>
      </w:r>
      <w:r>
        <w:rPr>
          <w:spacing w:val="-7"/>
        </w:rPr>
        <w:t> </w:t>
      </w:r>
      <w:r>
        <w:rPr/>
        <w:t>cuando</w:t>
      </w:r>
      <w:r>
        <w:rPr>
          <w:spacing w:val="-5"/>
        </w:rPr>
        <w:t> </w:t>
      </w:r>
      <w:r>
        <w:rPr/>
        <w:t>dichos</w:t>
      </w:r>
      <w:r>
        <w:rPr>
          <w:spacing w:val="-3"/>
        </w:rPr>
        <w:t> </w:t>
      </w:r>
      <w:r>
        <w:rPr/>
        <w:t>predios sean</w:t>
      </w:r>
      <w:r>
        <w:rPr>
          <w:spacing w:val="-6"/>
        </w:rPr>
        <w:t> </w:t>
      </w:r>
      <w:r>
        <w:rPr/>
        <w:t>puestos</w:t>
      </w:r>
      <w:r>
        <w:rPr>
          <w:spacing w:val="-5"/>
        </w:rPr>
        <w:t> </w:t>
      </w:r>
      <w:r>
        <w:rPr/>
        <w:t>a</w:t>
      </w:r>
      <w:r>
        <w:rPr>
          <w:spacing w:val="-6"/>
        </w:rPr>
        <w:t> </w:t>
      </w:r>
      <w:r>
        <w:rPr/>
        <w:t>la</w:t>
      </w:r>
      <w:r>
        <w:rPr>
          <w:spacing w:val="-6"/>
        </w:rPr>
        <w:t> </w:t>
      </w:r>
      <w:r>
        <w:rPr/>
        <w:t>venta</w:t>
      </w:r>
      <w:r>
        <w:rPr>
          <w:spacing w:val="-4"/>
        </w:rPr>
        <w:t> </w:t>
      </w:r>
      <w:r>
        <w:rPr/>
        <w:t>o,</w:t>
      </w:r>
      <w:r>
        <w:rPr>
          <w:spacing w:val="-3"/>
        </w:rPr>
        <w:t> </w:t>
      </w:r>
      <w:r>
        <w:rPr/>
        <w:t>a</w:t>
      </w:r>
      <w:r>
        <w:rPr>
          <w:spacing w:val="-6"/>
        </w:rPr>
        <w:t> </w:t>
      </w:r>
      <w:r>
        <w:rPr/>
        <w:t>través</w:t>
      </w:r>
      <w:r>
        <w:rPr>
          <w:spacing w:val="-5"/>
        </w:rPr>
        <w:t> </w:t>
      </w:r>
      <w:r>
        <w:rPr/>
        <w:t>de</w:t>
      </w:r>
      <w:r>
        <w:rPr>
          <w:spacing w:val="-6"/>
        </w:rPr>
        <w:t> </w:t>
      </w:r>
      <w:r>
        <w:rPr/>
        <w:t>cualquier</w:t>
      </w:r>
      <w:r>
        <w:rPr>
          <w:spacing w:val="-5"/>
        </w:rPr>
        <w:t> </w:t>
      </w:r>
      <w:r>
        <w:rPr/>
        <w:t>acto</w:t>
      </w:r>
      <w:r>
        <w:rPr>
          <w:spacing w:val="-6"/>
        </w:rPr>
        <w:t> </w:t>
      </w:r>
      <w:r>
        <w:rPr/>
        <w:t>jurídico,</w:t>
      </w:r>
      <w:r>
        <w:rPr>
          <w:spacing w:val="-6"/>
        </w:rPr>
        <w:t> </w:t>
      </w:r>
      <w:r>
        <w:rPr/>
        <w:t>vayan</w:t>
      </w:r>
      <w:r>
        <w:rPr>
          <w:spacing w:val="-6"/>
        </w:rPr>
        <w:t> </w:t>
      </w:r>
      <w:r>
        <w:rPr/>
        <w:t>a</w:t>
      </w:r>
      <w:r>
        <w:rPr>
          <w:spacing w:val="-6"/>
        </w:rPr>
        <w:t> </w:t>
      </w:r>
      <w:r>
        <w:rPr/>
        <w:t>ser</w:t>
      </w:r>
      <w:r>
        <w:rPr>
          <w:spacing w:val="-5"/>
        </w:rPr>
        <w:t> </w:t>
      </w:r>
      <w:r>
        <w:rPr/>
        <w:t>objeto</w:t>
      </w:r>
      <w:r>
        <w:rPr>
          <w:spacing w:val="-3"/>
        </w:rPr>
        <w:t> </w:t>
      </w:r>
      <w:r>
        <w:rPr/>
        <w:t>de</w:t>
      </w:r>
      <w:r>
        <w:rPr>
          <w:spacing w:val="-6"/>
        </w:rPr>
        <w:t> </w:t>
      </w:r>
      <w:r>
        <w:rPr/>
        <w:t>una</w:t>
      </w:r>
      <w:r>
        <w:rPr>
          <w:spacing w:val="-6"/>
        </w:rPr>
        <w:t> </w:t>
      </w:r>
      <w:r>
        <w:rPr/>
        <w:t>transmisión de propiedad; igual derecho de preferencia tendrán, en caso de remate judicial o administrativo, al precio</w:t>
      </w:r>
      <w:r>
        <w:rPr>
          <w:spacing w:val="-9"/>
        </w:rPr>
        <w:t> </w:t>
      </w:r>
      <w:r>
        <w:rPr/>
        <w:t>en</w:t>
      </w:r>
      <w:r>
        <w:rPr>
          <w:spacing w:val="-9"/>
        </w:rPr>
        <w:t> </w:t>
      </w:r>
      <w:r>
        <w:rPr/>
        <w:t>que</w:t>
      </w:r>
      <w:r>
        <w:rPr>
          <w:spacing w:val="-11"/>
        </w:rPr>
        <w:t> </w:t>
      </w:r>
      <w:r>
        <w:rPr/>
        <w:t>se</w:t>
      </w:r>
      <w:r>
        <w:rPr>
          <w:spacing w:val="-9"/>
        </w:rPr>
        <w:t> </w:t>
      </w:r>
      <w:r>
        <w:rPr/>
        <w:t>finque</w:t>
      </w:r>
      <w:r>
        <w:rPr>
          <w:spacing w:val="-9"/>
        </w:rPr>
        <w:t> </w:t>
      </w:r>
      <w:r>
        <w:rPr/>
        <w:t>el</w:t>
      </w:r>
      <w:r>
        <w:rPr>
          <w:spacing w:val="-12"/>
        </w:rPr>
        <w:t> </w:t>
      </w:r>
      <w:r>
        <w:rPr/>
        <w:t>remate</w:t>
      </w:r>
      <w:r>
        <w:rPr>
          <w:spacing w:val="-11"/>
        </w:rPr>
        <w:t> </w:t>
      </w:r>
      <w:r>
        <w:rPr/>
        <w:t>al</w:t>
      </w:r>
      <w:r>
        <w:rPr>
          <w:spacing w:val="-7"/>
        </w:rPr>
        <w:t> </w:t>
      </w:r>
      <w:r>
        <w:rPr/>
        <w:t>mejor</w:t>
      </w:r>
      <w:r>
        <w:rPr>
          <w:spacing w:val="-10"/>
        </w:rPr>
        <w:t> </w:t>
      </w:r>
      <w:r>
        <w:rPr/>
        <w:t>postor.</w:t>
      </w:r>
      <w:r>
        <w:rPr>
          <w:spacing w:val="-8"/>
        </w:rPr>
        <w:t> </w:t>
      </w:r>
      <w:r>
        <w:rPr/>
        <w:t>Para</w:t>
      </w:r>
      <w:r>
        <w:rPr>
          <w:spacing w:val="-9"/>
        </w:rPr>
        <w:t> </w:t>
      </w:r>
      <w:r>
        <w:rPr/>
        <w:t>tal</w:t>
      </w:r>
      <w:r>
        <w:rPr>
          <w:spacing w:val="-10"/>
        </w:rPr>
        <w:t> </w:t>
      </w:r>
      <w:r>
        <w:rPr/>
        <w:t>efecto,</w:t>
      </w:r>
      <w:r>
        <w:rPr>
          <w:spacing w:val="-9"/>
        </w:rPr>
        <w:t> </w:t>
      </w:r>
      <w:r>
        <w:rPr/>
        <w:t>los</w:t>
      </w:r>
      <w:r>
        <w:rPr>
          <w:spacing w:val="-8"/>
        </w:rPr>
        <w:t> </w:t>
      </w:r>
      <w:r>
        <w:rPr/>
        <w:t>propietarios</w:t>
      </w:r>
      <w:r>
        <w:rPr>
          <w:spacing w:val="-8"/>
        </w:rPr>
        <w:t> </w:t>
      </w:r>
      <w:r>
        <w:rPr/>
        <w:t>de</w:t>
      </w:r>
      <w:r>
        <w:rPr>
          <w:spacing w:val="-9"/>
        </w:rPr>
        <w:t> </w:t>
      </w:r>
      <w:r>
        <w:rPr/>
        <w:t>los</w:t>
      </w:r>
      <w:r>
        <w:rPr>
          <w:spacing w:val="-10"/>
        </w:rPr>
        <w:t> </w:t>
      </w:r>
      <w:r>
        <w:rPr/>
        <w:t>mismos</w:t>
      </w:r>
      <w:r>
        <w:rPr>
          <w:spacing w:val="-8"/>
        </w:rPr>
        <w:t> </w:t>
      </w:r>
      <w:r>
        <w:rPr/>
        <w:t>que deseen enajenarlos, los notarios públicos, los jueces y las autoridades administrativas deberán notificar</w:t>
      </w:r>
      <w:r>
        <w:rPr>
          <w:spacing w:val="-4"/>
        </w:rPr>
        <w:t> </w:t>
      </w:r>
      <w:r>
        <w:rPr/>
        <w:t>al</w:t>
      </w:r>
      <w:r>
        <w:rPr>
          <w:spacing w:val="-5"/>
        </w:rPr>
        <w:t> </w:t>
      </w:r>
      <w:r>
        <w:rPr/>
        <w:t>Gobierno</w:t>
      </w:r>
      <w:r>
        <w:rPr>
          <w:spacing w:val="-4"/>
        </w:rPr>
        <w:t> </w:t>
      </w:r>
      <w:r>
        <w:rPr/>
        <w:t>del</w:t>
      </w:r>
      <w:r>
        <w:rPr>
          <w:spacing w:val="-5"/>
        </w:rPr>
        <w:t> </w:t>
      </w:r>
      <w:r>
        <w:rPr/>
        <w:t>Estado</w:t>
      </w:r>
      <w:r>
        <w:rPr>
          <w:spacing w:val="-5"/>
        </w:rPr>
        <w:t> </w:t>
      </w:r>
      <w:r>
        <w:rPr/>
        <w:t>y</w:t>
      </w:r>
      <w:r>
        <w:rPr>
          <w:spacing w:val="-5"/>
        </w:rPr>
        <w:t> </w:t>
      </w:r>
      <w:r>
        <w:rPr/>
        <w:t>al</w:t>
      </w:r>
      <w:r>
        <w:rPr>
          <w:spacing w:val="-5"/>
        </w:rPr>
        <w:t> </w:t>
      </w:r>
      <w:r>
        <w:rPr/>
        <w:t>Ayuntamiento</w:t>
      </w:r>
      <w:r>
        <w:rPr>
          <w:spacing w:val="-5"/>
        </w:rPr>
        <w:t> </w:t>
      </w:r>
      <w:r>
        <w:rPr/>
        <w:t>correspondiente,</w:t>
      </w:r>
      <w:r>
        <w:rPr>
          <w:spacing w:val="-4"/>
        </w:rPr>
        <w:t> </w:t>
      </w:r>
      <w:r>
        <w:rPr/>
        <w:t>dando</w:t>
      </w:r>
      <w:r>
        <w:rPr>
          <w:spacing w:val="-4"/>
        </w:rPr>
        <w:t> </w:t>
      </w:r>
      <w:r>
        <w:rPr/>
        <w:t>a</w:t>
      </w:r>
      <w:r>
        <w:rPr>
          <w:spacing w:val="-7"/>
        </w:rPr>
        <w:t> </w:t>
      </w:r>
      <w:r>
        <w:rPr/>
        <w:t>conocer</w:t>
      </w:r>
      <w:r>
        <w:rPr>
          <w:spacing w:val="-6"/>
        </w:rPr>
        <w:t> </w:t>
      </w:r>
      <w:r>
        <w:rPr/>
        <w:t>el</w:t>
      </w:r>
      <w:r>
        <w:rPr>
          <w:spacing w:val="-6"/>
        </w:rPr>
        <w:t> </w:t>
      </w:r>
      <w:r>
        <w:rPr/>
        <w:t>monto de</w:t>
      </w:r>
      <w:r>
        <w:rPr>
          <w:spacing w:val="-4"/>
        </w:rPr>
        <w:t> </w:t>
      </w:r>
      <w:r>
        <w:rPr/>
        <w:t>la operación a fin de que aquellos, en un plazo no mayor de treinta días naturales, ejerzan o no el derecho de preferencia, garantizando en su caso el pago respectivo.</w:t>
      </w:r>
    </w:p>
    <w:p>
      <w:pPr>
        <w:pStyle w:val="BodyText"/>
      </w:pPr>
    </w:p>
    <w:p>
      <w:pPr>
        <w:pStyle w:val="BodyText"/>
        <w:ind w:left="262" w:right="287"/>
        <w:jc w:val="both"/>
      </w:pPr>
      <w:r>
        <w:rPr/>
        <w:t>En caso de que las autoridades no ejerzan o resuelvan sobre el ejercicio de su derecho de preferencia a que se refiere este artículo dentro del plazo señalado, se entenderá que no tienen inconveniente de que se realice la enajenación por parte de terceros.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6"/>
        <w:jc w:val="both"/>
      </w:pPr>
      <w:r>
        <w:rPr>
          <w:rFonts w:ascii="Arial" w:hAnsi="Arial"/>
          <w:b/>
        </w:rPr>
        <w:t>ARTÍCULO 227. </w:t>
      </w:r>
      <w:r>
        <w:rPr/>
        <w:t>Cuando para el cumplimiento de los programas de ordenamiento territorial y desarrollo urbano sea necesaria o de mayor beneficio social la ocupación de la propiedad, la autoridad competente por causa de utilidad pública, proveerá la expropiación de la misma, de conformidad con las leyes de la materia que fueren aplicables.</w:t>
      </w:r>
    </w:p>
    <w:p>
      <w:pPr>
        <w:pStyle w:val="BodyText"/>
      </w:pPr>
    </w:p>
    <w:p>
      <w:pPr>
        <w:pStyle w:val="BodyText"/>
      </w:pPr>
    </w:p>
    <w:p>
      <w:pPr>
        <w:pStyle w:val="Heading2"/>
        <w:ind w:right="17"/>
      </w:pPr>
      <w:r>
        <w:rPr/>
        <w:t>Capítulo</w:t>
      </w:r>
      <w:r>
        <w:rPr>
          <w:spacing w:val="-8"/>
        </w:rPr>
        <w:t> </w:t>
      </w:r>
      <w:r>
        <w:rPr>
          <w:spacing w:val="-10"/>
        </w:rPr>
        <w:t>V</w:t>
      </w:r>
    </w:p>
    <w:p>
      <w:pPr>
        <w:pStyle w:val="BodyText"/>
        <w:spacing w:before="1"/>
        <w:rPr>
          <w:rFonts w:ascii="Arial"/>
          <w:b/>
        </w:rPr>
      </w:pPr>
    </w:p>
    <w:p>
      <w:pPr>
        <w:spacing w:before="0"/>
        <w:ind w:left="5" w:right="24" w:firstLine="0"/>
        <w:jc w:val="center"/>
        <w:rPr>
          <w:rFonts w:ascii="Arial" w:hAnsi="Arial"/>
          <w:b/>
          <w:sz w:val="20"/>
        </w:rPr>
      </w:pPr>
      <w:r>
        <w:rPr>
          <w:rFonts w:ascii="Arial" w:hAnsi="Arial"/>
          <w:b/>
          <w:sz w:val="20"/>
        </w:rPr>
        <w:t>Polígonos</w:t>
      </w:r>
      <w:r>
        <w:rPr>
          <w:rFonts w:ascii="Arial" w:hAnsi="Arial"/>
          <w:b/>
          <w:spacing w:val="-10"/>
          <w:sz w:val="20"/>
        </w:rPr>
        <w:t> </w:t>
      </w:r>
      <w:r>
        <w:rPr>
          <w:rFonts w:ascii="Arial" w:hAnsi="Arial"/>
          <w:b/>
          <w:sz w:val="20"/>
        </w:rPr>
        <w:t>de</w:t>
      </w:r>
      <w:r>
        <w:rPr>
          <w:rFonts w:ascii="Arial" w:hAnsi="Arial"/>
          <w:b/>
          <w:spacing w:val="-7"/>
          <w:sz w:val="20"/>
        </w:rPr>
        <w:t> </w:t>
      </w:r>
      <w:r>
        <w:rPr>
          <w:rFonts w:ascii="Arial" w:hAnsi="Arial"/>
          <w:b/>
          <w:sz w:val="20"/>
        </w:rPr>
        <w:t>Desarrollo</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Construcción</w:t>
      </w:r>
      <w:r>
        <w:rPr>
          <w:rFonts w:ascii="Arial" w:hAnsi="Arial"/>
          <w:b/>
          <w:spacing w:val="-8"/>
          <w:sz w:val="20"/>
        </w:rPr>
        <w:t> </w:t>
      </w:r>
      <w:r>
        <w:rPr>
          <w:rFonts w:ascii="Arial" w:hAnsi="Arial"/>
          <w:b/>
          <w:spacing w:val="-2"/>
          <w:sz w:val="20"/>
        </w:rPr>
        <w:t>Prioritarios</w:t>
      </w:r>
    </w:p>
    <w:p>
      <w:pPr>
        <w:pStyle w:val="BodyText"/>
        <w:spacing w:before="1"/>
        <w:rPr>
          <w:rFonts w:ascii="Arial"/>
          <w:b/>
        </w:rPr>
      </w:pPr>
    </w:p>
    <w:p>
      <w:pPr>
        <w:pStyle w:val="BodyText"/>
        <w:ind w:left="262" w:right="280"/>
        <w:jc w:val="both"/>
      </w:pPr>
      <w:r>
        <w:rPr>
          <w:rFonts w:ascii="Arial" w:hAnsi="Arial"/>
          <w:b/>
        </w:rPr>
        <w:t>ARTÍCULO 228. </w:t>
      </w:r>
      <w:r>
        <w:rPr/>
        <w:t>El gobierno del Estado y los municipios podrán mediante Declaratoria, establecer polígonos para el desarrollo o aprovechamiento prioritario o estratégico de inmuebles, bajo el esquema</w:t>
      </w:r>
      <w:r>
        <w:rPr>
          <w:spacing w:val="-9"/>
        </w:rPr>
        <w:t> </w:t>
      </w:r>
      <w:r>
        <w:rPr/>
        <w:t>de</w:t>
      </w:r>
      <w:r>
        <w:rPr>
          <w:spacing w:val="-9"/>
        </w:rPr>
        <w:t> </w:t>
      </w:r>
      <w:r>
        <w:rPr/>
        <w:t>sistemas</w:t>
      </w:r>
      <w:r>
        <w:rPr>
          <w:spacing w:val="-8"/>
        </w:rPr>
        <w:t> </w:t>
      </w:r>
      <w:r>
        <w:rPr/>
        <w:t>de</w:t>
      </w:r>
      <w:r>
        <w:rPr>
          <w:spacing w:val="-9"/>
        </w:rPr>
        <w:t> </w:t>
      </w:r>
      <w:r>
        <w:rPr/>
        <w:t>actuación</w:t>
      </w:r>
      <w:r>
        <w:rPr>
          <w:spacing w:val="-7"/>
        </w:rPr>
        <w:t> </w:t>
      </w:r>
      <w:r>
        <w:rPr/>
        <w:t>pública</w:t>
      </w:r>
      <w:r>
        <w:rPr>
          <w:spacing w:val="-9"/>
        </w:rPr>
        <w:t> </w:t>
      </w:r>
      <w:r>
        <w:rPr/>
        <w:t>o</w:t>
      </w:r>
      <w:r>
        <w:rPr>
          <w:spacing w:val="-9"/>
        </w:rPr>
        <w:t> </w:t>
      </w:r>
      <w:r>
        <w:rPr/>
        <w:t>privada,</w:t>
      </w:r>
      <w:r>
        <w:rPr>
          <w:spacing w:val="-9"/>
        </w:rPr>
        <w:t> </w:t>
      </w:r>
      <w:r>
        <w:rPr/>
        <w:t>de</w:t>
      </w:r>
      <w:r>
        <w:rPr>
          <w:spacing w:val="-9"/>
        </w:rPr>
        <w:t> </w:t>
      </w:r>
      <w:r>
        <w:rPr/>
        <w:t>acuerdo</w:t>
      </w:r>
      <w:r>
        <w:rPr>
          <w:spacing w:val="-9"/>
        </w:rPr>
        <w:t> </w:t>
      </w:r>
      <w:r>
        <w:rPr/>
        <w:t>a</w:t>
      </w:r>
      <w:r>
        <w:rPr>
          <w:spacing w:val="-9"/>
        </w:rPr>
        <w:t> </w:t>
      </w:r>
      <w:r>
        <w:rPr/>
        <w:t>los</w:t>
      </w:r>
      <w:r>
        <w:rPr>
          <w:spacing w:val="-8"/>
        </w:rPr>
        <w:t> </w:t>
      </w:r>
      <w:r>
        <w:rPr/>
        <w:t>objetivos</w:t>
      </w:r>
      <w:r>
        <w:rPr>
          <w:spacing w:val="-8"/>
        </w:rPr>
        <w:t> </w:t>
      </w:r>
      <w:r>
        <w:rPr/>
        <w:t>previstos</w:t>
      </w:r>
      <w:r>
        <w:rPr>
          <w:spacing w:val="-8"/>
        </w:rPr>
        <w:t> </w:t>
      </w:r>
      <w:r>
        <w:rPr/>
        <w:t>en</w:t>
      </w:r>
      <w:r>
        <w:rPr>
          <w:spacing w:val="-9"/>
        </w:rPr>
        <w:t> </w:t>
      </w:r>
      <w:r>
        <w:rPr/>
        <w:t>dichos instrumentos. Los actos de aprovechamiento urbano deberán llevarse a cabo, tanto por las autoridades como por los propietarios y poseedores del suelo, conforme a tales declaratorias y siempre ajustándose a las determinaciones de los programas de Desarrollo Urbano y Desarrollo Metropolitano aplicables.</w:t>
      </w:r>
    </w:p>
    <w:p>
      <w:pPr>
        <w:pStyle w:val="BodyText"/>
        <w:spacing w:before="229"/>
        <w:ind w:left="262" w:right="278"/>
        <w:jc w:val="both"/>
      </w:pPr>
      <w:r>
        <w:rPr/>
        <w:t>El Estado y los municipios determinarán en la propia declaratoria los mecanismos de adquisición directa por vías de derecho público o privado o mediante enajenación en subasta pública del suelo comprendido en la declaratoria, para los casos en que los propietarios no tengan capacidad o se nieguen a ejecutar las acciones urbanísticas señaladas en los plazos establecidos, asegurando el desarrollo de los proyectos.</w:t>
      </w:r>
    </w:p>
    <w:p>
      <w:pPr>
        <w:pStyle w:val="BodyText"/>
      </w:pPr>
    </w:p>
    <w:p>
      <w:pPr>
        <w:pStyle w:val="BodyText"/>
        <w:spacing w:before="1"/>
      </w:pPr>
    </w:p>
    <w:p>
      <w:pPr>
        <w:pStyle w:val="Heading2"/>
        <w:spacing w:line="480" w:lineRule="auto"/>
        <w:ind w:left="3370" w:right="3387" w:firstLine="2"/>
      </w:pPr>
      <w:r>
        <w:rPr/>
        <w:t>Capítulo VI Reagrupamiento</w:t>
      </w:r>
      <w:r>
        <w:rPr>
          <w:spacing w:val="-14"/>
        </w:rPr>
        <w:t> </w:t>
      </w:r>
      <w:r>
        <w:rPr/>
        <w:t>Parcelario</w:t>
      </w:r>
    </w:p>
    <w:p>
      <w:pPr>
        <w:pStyle w:val="BodyText"/>
        <w:ind w:left="262" w:right="285"/>
        <w:jc w:val="both"/>
      </w:pPr>
      <w:r>
        <w:rPr>
          <w:rFonts w:ascii="Arial" w:hAnsi="Arial"/>
          <w:b/>
        </w:rPr>
        <w:t>ARTÍCULO 229. </w:t>
      </w:r>
      <w:r>
        <w:rPr/>
        <w:t>Para la ejecución de los programas de Desarrollo Urbano, el Estado y los municipios, podrán promover ante propietarios e inversionistas la integración de la propiedad requerida mediante el reagrupamiento de predios. Los predios reagrupados podrán conformar polígonos de actuación a fin de lograr un Desarrollo Urbano integrado y podrán aprovechar los incentivos y facilidades contempladas en esta Ley para la ocupación y aprovechamiento de áreas, polígonos y predios baldíos, subutilizados y mostrencos.</w:t>
      </w:r>
    </w:p>
    <w:p>
      <w:pPr>
        <w:pStyle w:val="BodyText"/>
        <w:spacing w:before="230"/>
        <w:ind w:left="262" w:right="285"/>
        <w:jc w:val="both"/>
      </w:pPr>
      <w:r>
        <w:rPr/>
        <w:t>Una</w:t>
      </w:r>
      <w:r>
        <w:rPr>
          <w:spacing w:val="-7"/>
        </w:rPr>
        <w:t> </w:t>
      </w:r>
      <w:r>
        <w:rPr/>
        <w:t>vez</w:t>
      </w:r>
      <w:r>
        <w:rPr>
          <w:spacing w:val="-6"/>
        </w:rPr>
        <w:t> </w:t>
      </w:r>
      <w:r>
        <w:rPr/>
        <w:t>ejecutada</w:t>
      </w:r>
      <w:r>
        <w:rPr>
          <w:spacing w:val="-5"/>
        </w:rPr>
        <w:t> </w:t>
      </w:r>
      <w:r>
        <w:rPr/>
        <w:t>la</w:t>
      </w:r>
      <w:r>
        <w:rPr>
          <w:spacing w:val="-5"/>
        </w:rPr>
        <w:t> </w:t>
      </w:r>
      <w:r>
        <w:rPr/>
        <w:t>Acción</w:t>
      </w:r>
      <w:r>
        <w:rPr>
          <w:spacing w:val="-7"/>
        </w:rPr>
        <w:t> </w:t>
      </w:r>
      <w:r>
        <w:rPr/>
        <w:t>Urbanística,</w:t>
      </w:r>
      <w:r>
        <w:rPr>
          <w:spacing w:val="-5"/>
        </w:rPr>
        <w:t> </w:t>
      </w:r>
      <w:r>
        <w:rPr/>
        <w:t>los</w:t>
      </w:r>
      <w:r>
        <w:rPr>
          <w:spacing w:val="-6"/>
        </w:rPr>
        <w:t> </w:t>
      </w:r>
      <w:r>
        <w:rPr/>
        <w:t>propietarios</w:t>
      </w:r>
      <w:r>
        <w:rPr>
          <w:spacing w:val="-6"/>
        </w:rPr>
        <w:t> </w:t>
      </w:r>
      <w:r>
        <w:rPr/>
        <w:t>e</w:t>
      </w:r>
      <w:r>
        <w:rPr>
          <w:spacing w:val="-7"/>
        </w:rPr>
        <w:t> </w:t>
      </w:r>
      <w:r>
        <w:rPr/>
        <w:t>inversionistas</w:t>
      </w:r>
      <w:r>
        <w:rPr>
          <w:spacing w:val="-6"/>
        </w:rPr>
        <w:t> </w:t>
      </w:r>
      <w:r>
        <w:rPr/>
        <w:t>procederán</w:t>
      </w:r>
      <w:r>
        <w:rPr>
          <w:spacing w:val="-7"/>
        </w:rPr>
        <w:t> </w:t>
      </w:r>
      <w:r>
        <w:rPr/>
        <w:t>a</w:t>
      </w:r>
      <w:r>
        <w:rPr>
          <w:spacing w:val="-7"/>
        </w:rPr>
        <w:t> </w:t>
      </w:r>
      <w:r>
        <w:rPr/>
        <w:t>recuperar</w:t>
      </w:r>
      <w:r>
        <w:rPr>
          <w:spacing w:val="-5"/>
        </w:rPr>
        <w:t> </w:t>
      </w:r>
      <w:r>
        <w:rPr/>
        <w:t>la parte</w:t>
      </w:r>
      <w:r>
        <w:rPr>
          <w:spacing w:val="-10"/>
        </w:rPr>
        <w:t> </w:t>
      </w:r>
      <w:r>
        <w:rPr/>
        <w:t>alícuota</w:t>
      </w:r>
      <w:r>
        <w:rPr>
          <w:spacing w:val="-10"/>
        </w:rPr>
        <w:t> </w:t>
      </w:r>
      <w:r>
        <w:rPr/>
        <w:t>que</w:t>
      </w:r>
      <w:r>
        <w:rPr>
          <w:spacing w:val="-10"/>
        </w:rPr>
        <w:t> </w:t>
      </w:r>
      <w:r>
        <w:rPr/>
        <w:t>les</w:t>
      </w:r>
      <w:r>
        <w:rPr>
          <w:spacing w:val="-11"/>
        </w:rPr>
        <w:t> </w:t>
      </w:r>
      <w:r>
        <w:rPr/>
        <w:t>corresponda,</w:t>
      </w:r>
      <w:r>
        <w:rPr>
          <w:spacing w:val="-12"/>
        </w:rPr>
        <w:t> </w:t>
      </w:r>
      <w:r>
        <w:rPr/>
        <w:t>pudiendo</w:t>
      </w:r>
      <w:r>
        <w:rPr>
          <w:spacing w:val="-12"/>
        </w:rPr>
        <w:t> </w:t>
      </w:r>
      <w:r>
        <w:rPr/>
        <w:t>ser</w:t>
      </w:r>
      <w:r>
        <w:rPr>
          <w:spacing w:val="-11"/>
        </w:rPr>
        <w:t> </w:t>
      </w:r>
      <w:r>
        <w:rPr/>
        <w:t>en</w:t>
      </w:r>
      <w:r>
        <w:rPr>
          <w:spacing w:val="-12"/>
        </w:rPr>
        <w:t> </w:t>
      </w:r>
      <w:r>
        <w:rPr/>
        <w:t>tierra,</w:t>
      </w:r>
      <w:r>
        <w:rPr>
          <w:spacing w:val="-13"/>
        </w:rPr>
        <w:t> </w:t>
      </w:r>
      <w:r>
        <w:rPr/>
        <w:t>edificaciones</w:t>
      </w:r>
      <w:r>
        <w:rPr>
          <w:spacing w:val="-9"/>
        </w:rPr>
        <w:t> </w:t>
      </w:r>
      <w:r>
        <w:rPr/>
        <w:t>o</w:t>
      </w:r>
      <w:r>
        <w:rPr>
          <w:spacing w:val="-12"/>
        </w:rPr>
        <w:t> </w:t>
      </w:r>
      <w:r>
        <w:rPr/>
        <w:t>en</w:t>
      </w:r>
      <w:r>
        <w:rPr>
          <w:spacing w:val="-12"/>
        </w:rPr>
        <w:t> </w:t>
      </w:r>
      <w:r>
        <w:rPr/>
        <w:t>numerario,</w:t>
      </w:r>
      <w:r>
        <w:rPr>
          <w:spacing w:val="-10"/>
        </w:rPr>
        <w:t> </w:t>
      </w:r>
      <w:r>
        <w:rPr/>
        <w:t>de</w:t>
      </w:r>
      <w:r>
        <w:rPr>
          <w:spacing w:val="-10"/>
        </w:rPr>
        <w:t> </w:t>
      </w:r>
      <w:r>
        <w:rPr/>
        <w:t>acuerdo a los convenios que al efecto se celebren.</w:t>
      </w:r>
    </w:p>
    <w:p>
      <w:pPr>
        <w:pStyle w:val="BodyText"/>
        <w:spacing w:before="229"/>
        <w:ind w:left="262" w:right="284"/>
        <w:jc w:val="both"/>
      </w:pPr>
      <w:r>
        <w:rPr>
          <w:rFonts w:ascii="Arial" w:hAnsi="Arial"/>
          <w:b/>
        </w:rPr>
        <w:t>ARTÍCULO</w:t>
      </w:r>
      <w:r>
        <w:rPr>
          <w:rFonts w:ascii="Arial" w:hAnsi="Arial"/>
          <w:b/>
          <w:spacing w:val="-11"/>
        </w:rPr>
        <w:t> </w:t>
      </w:r>
      <w:r>
        <w:rPr>
          <w:rFonts w:ascii="Arial" w:hAnsi="Arial"/>
          <w:b/>
        </w:rPr>
        <w:t>230.</w:t>
      </w:r>
      <w:r>
        <w:rPr>
          <w:rFonts w:ascii="Arial" w:hAnsi="Arial"/>
          <w:b/>
          <w:spacing w:val="-12"/>
        </w:rPr>
        <w:t> </w:t>
      </w:r>
      <w:r>
        <w:rPr/>
        <w:t>El</w:t>
      </w:r>
      <w:r>
        <w:rPr>
          <w:spacing w:val="-13"/>
        </w:rPr>
        <w:t> </w:t>
      </w:r>
      <w:r>
        <w:rPr/>
        <w:t>reagrupamiento</w:t>
      </w:r>
      <w:r>
        <w:rPr>
          <w:spacing w:val="-10"/>
        </w:rPr>
        <w:t> </w:t>
      </w:r>
      <w:r>
        <w:rPr/>
        <w:t>de</w:t>
      </w:r>
      <w:r>
        <w:rPr>
          <w:spacing w:val="-13"/>
        </w:rPr>
        <w:t> </w:t>
      </w:r>
      <w:r>
        <w:rPr/>
        <w:t>predios</w:t>
      </w:r>
      <w:r>
        <w:rPr>
          <w:spacing w:val="-11"/>
        </w:rPr>
        <w:t> </w:t>
      </w:r>
      <w:r>
        <w:rPr/>
        <w:t>a</w:t>
      </w:r>
      <w:r>
        <w:rPr>
          <w:spacing w:val="-12"/>
        </w:rPr>
        <w:t> </w:t>
      </w:r>
      <w:r>
        <w:rPr/>
        <w:t>que</w:t>
      </w:r>
      <w:r>
        <w:rPr>
          <w:spacing w:val="-12"/>
        </w:rPr>
        <w:t> </w:t>
      </w:r>
      <w:r>
        <w:rPr/>
        <w:t>alude</w:t>
      </w:r>
      <w:r>
        <w:rPr>
          <w:spacing w:val="-12"/>
        </w:rPr>
        <w:t> </w:t>
      </w:r>
      <w:r>
        <w:rPr/>
        <w:t>el</w:t>
      </w:r>
      <w:r>
        <w:rPr>
          <w:spacing w:val="-13"/>
        </w:rPr>
        <w:t> </w:t>
      </w:r>
      <w:r>
        <w:rPr/>
        <w:t>artículo</w:t>
      </w:r>
      <w:r>
        <w:rPr>
          <w:spacing w:val="-10"/>
        </w:rPr>
        <w:t> </w:t>
      </w:r>
      <w:r>
        <w:rPr/>
        <w:t>inmediato</w:t>
      </w:r>
      <w:r>
        <w:rPr>
          <w:spacing w:val="-10"/>
        </w:rPr>
        <w:t> </w:t>
      </w:r>
      <w:r>
        <w:rPr/>
        <w:t>anterior,</w:t>
      </w:r>
      <w:r>
        <w:rPr>
          <w:spacing w:val="-12"/>
        </w:rPr>
        <w:t> </w:t>
      </w:r>
      <w:r>
        <w:rPr/>
        <w:t>se</w:t>
      </w:r>
      <w:r>
        <w:rPr>
          <w:spacing w:val="-12"/>
        </w:rPr>
        <w:t> </w:t>
      </w:r>
      <w:r>
        <w:rPr/>
        <w:t>sujetará a las siguientes normas:</w:t>
      </w:r>
    </w:p>
    <w:p>
      <w:pPr>
        <w:pStyle w:val="BodyText"/>
        <w:spacing w:before="2"/>
      </w:pPr>
    </w:p>
    <w:p>
      <w:pPr>
        <w:pStyle w:val="ListParagraph"/>
        <w:numPr>
          <w:ilvl w:val="0"/>
          <w:numId w:val="85"/>
        </w:numPr>
        <w:tabs>
          <w:tab w:pos="688" w:val="left" w:leader="none"/>
        </w:tabs>
        <w:spacing w:line="240" w:lineRule="auto" w:before="0" w:after="0"/>
        <w:ind w:left="262" w:right="283" w:firstLine="0"/>
        <w:jc w:val="both"/>
        <w:rPr>
          <w:sz w:val="20"/>
        </w:rPr>
      </w:pPr>
      <w:r>
        <w:rPr>
          <w:sz w:val="20"/>
        </w:rPr>
        <w:t>Cumplir</w:t>
      </w:r>
      <w:r>
        <w:rPr>
          <w:spacing w:val="-4"/>
          <w:sz w:val="20"/>
        </w:rPr>
        <w:t> </w:t>
      </w:r>
      <w:r>
        <w:rPr>
          <w:sz w:val="20"/>
        </w:rPr>
        <w:t>con</w:t>
      </w:r>
      <w:r>
        <w:rPr>
          <w:spacing w:val="-4"/>
          <w:sz w:val="20"/>
        </w:rPr>
        <w:t> </w:t>
      </w:r>
      <w:r>
        <w:rPr>
          <w:sz w:val="20"/>
        </w:rPr>
        <w:t>las</w:t>
      </w:r>
      <w:r>
        <w:rPr>
          <w:spacing w:val="-4"/>
          <w:sz w:val="20"/>
        </w:rPr>
        <w:t> </w:t>
      </w:r>
      <w:r>
        <w:rPr>
          <w:sz w:val="20"/>
        </w:rPr>
        <w:t>determinaciones</w:t>
      </w:r>
      <w:r>
        <w:rPr>
          <w:spacing w:val="-4"/>
          <w:sz w:val="20"/>
        </w:rPr>
        <w:t> </w:t>
      </w:r>
      <w:r>
        <w:rPr>
          <w:sz w:val="20"/>
        </w:rPr>
        <w:t>del</w:t>
      </w:r>
      <w:r>
        <w:rPr>
          <w:spacing w:val="-4"/>
          <w:sz w:val="20"/>
        </w:rPr>
        <w:t> </w:t>
      </w:r>
      <w:r>
        <w:rPr>
          <w:sz w:val="20"/>
        </w:rPr>
        <w:t>Programa</w:t>
      </w:r>
      <w:r>
        <w:rPr>
          <w:spacing w:val="-5"/>
          <w:sz w:val="20"/>
        </w:rPr>
        <w:t> </w:t>
      </w:r>
      <w:r>
        <w:rPr>
          <w:sz w:val="20"/>
        </w:rPr>
        <w:t>de</w:t>
      </w:r>
      <w:r>
        <w:rPr>
          <w:spacing w:val="-6"/>
          <w:sz w:val="20"/>
        </w:rPr>
        <w:t> </w:t>
      </w:r>
      <w:r>
        <w:rPr>
          <w:sz w:val="20"/>
        </w:rPr>
        <w:t>Desarrollo</w:t>
      </w:r>
      <w:r>
        <w:rPr>
          <w:spacing w:val="-5"/>
          <w:sz w:val="20"/>
        </w:rPr>
        <w:t> </w:t>
      </w:r>
      <w:r>
        <w:rPr>
          <w:sz w:val="20"/>
        </w:rPr>
        <w:t>Urbano</w:t>
      </w:r>
      <w:r>
        <w:rPr>
          <w:spacing w:val="-5"/>
          <w:sz w:val="20"/>
        </w:rPr>
        <w:t> </w:t>
      </w:r>
      <w:r>
        <w:rPr>
          <w:sz w:val="20"/>
        </w:rPr>
        <w:t>y</w:t>
      </w:r>
      <w:r>
        <w:rPr>
          <w:spacing w:val="-4"/>
          <w:sz w:val="20"/>
        </w:rPr>
        <w:t> </w:t>
      </w:r>
      <w:r>
        <w:rPr>
          <w:sz w:val="20"/>
        </w:rPr>
        <w:t>contar</w:t>
      </w:r>
      <w:r>
        <w:rPr>
          <w:spacing w:val="-5"/>
          <w:sz w:val="20"/>
        </w:rPr>
        <w:t> </w:t>
      </w:r>
      <w:r>
        <w:rPr>
          <w:sz w:val="20"/>
        </w:rPr>
        <w:t>con</w:t>
      </w:r>
      <w:r>
        <w:rPr>
          <w:spacing w:val="-3"/>
          <w:sz w:val="20"/>
        </w:rPr>
        <w:t> </w:t>
      </w:r>
      <w:r>
        <w:rPr>
          <w:sz w:val="20"/>
        </w:rPr>
        <w:t>un</w:t>
      </w:r>
      <w:r>
        <w:rPr>
          <w:spacing w:val="-6"/>
          <w:sz w:val="20"/>
        </w:rPr>
        <w:t> </w:t>
      </w:r>
      <w:r>
        <w:rPr>
          <w:sz w:val="20"/>
        </w:rPr>
        <w:t>dictamen de impacto urbano;</w:t>
      </w:r>
    </w:p>
    <w:p>
      <w:pPr>
        <w:pStyle w:val="ListParagraph"/>
        <w:numPr>
          <w:ilvl w:val="0"/>
          <w:numId w:val="85"/>
        </w:numPr>
        <w:tabs>
          <w:tab w:pos="686" w:val="left" w:leader="none"/>
        </w:tabs>
        <w:spacing w:line="240" w:lineRule="auto" w:before="229" w:after="0"/>
        <w:ind w:left="262" w:right="281" w:firstLine="0"/>
        <w:jc w:val="both"/>
        <w:rPr>
          <w:sz w:val="20"/>
        </w:rPr>
      </w:pPr>
      <w:r>
        <w:rPr>
          <w:sz w:val="20"/>
        </w:rPr>
        <w:t>La administración y desarrollo de los predios reagrupados se realizará mediante fideicomiso o cualquier otra forma de gestión o instrumento legal que garantice la distribución equitativa de beneficios</w:t>
      </w:r>
      <w:r>
        <w:rPr>
          <w:spacing w:val="-2"/>
          <w:sz w:val="20"/>
        </w:rPr>
        <w:t> </w:t>
      </w:r>
      <w:r>
        <w:rPr>
          <w:sz w:val="20"/>
        </w:rPr>
        <w:t>y</w:t>
      </w:r>
      <w:r>
        <w:rPr>
          <w:spacing w:val="-2"/>
          <w:sz w:val="20"/>
        </w:rPr>
        <w:t> </w:t>
      </w:r>
      <w:r>
        <w:rPr>
          <w:sz w:val="20"/>
        </w:rPr>
        <w:t>cargas que</w:t>
      </w:r>
      <w:r>
        <w:rPr>
          <w:spacing w:val="-3"/>
          <w:sz w:val="20"/>
        </w:rPr>
        <w:t> </w:t>
      </w:r>
      <w:r>
        <w:rPr>
          <w:sz w:val="20"/>
        </w:rPr>
        <w:t>se</w:t>
      </w:r>
      <w:r>
        <w:rPr>
          <w:spacing w:val="-1"/>
          <w:sz w:val="20"/>
        </w:rPr>
        <w:t> </w:t>
      </w:r>
      <w:r>
        <w:rPr>
          <w:sz w:val="20"/>
        </w:rPr>
        <w:t>generen, la</w:t>
      </w:r>
      <w:r>
        <w:rPr>
          <w:spacing w:val="-1"/>
          <w:sz w:val="20"/>
        </w:rPr>
        <w:t> </w:t>
      </w:r>
      <w:r>
        <w:rPr>
          <w:sz w:val="20"/>
        </w:rPr>
        <w:t>factibilidad</w:t>
      </w:r>
      <w:r>
        <w:rPr>
          <w:spacing w:val="-3"/>
          <w:sz w:val="20"/>
        </w:rPr>
        <w:t> </w:t>
      </w:r>
      <w:r>
        <w:rPr>
          <w:sz w:val="20"/>
        </w:rPr>
        <w:t>financiera de los proyectos</w:t>
      </w:r>
      <w:r>
        <w:rPr>
          <w:spacing w:val="-2"/>
          <w:sz w:val="20"/>
        </w:rPr>
        <w:t> </w:t>
      </w:r>
      <w:r>
        <w:rPr>
          <w:sz w:val="20"/>
        </w:rPr>
        <w:t>y la</w:t>
      </w:r>
      <w:r>
        <w:rPr>
          <w:spacing w:val="-1"/>
          <w:sz w:val="20"/>
        </w:rPr>
        <w:t> </w:t>
      </w:r>
      <w:r>
        <w:rPr>
          <w:sz w:val="20"/>
        </w:rPr>
        <w:t>transparencia</w:t>
      </w:r>
      <w:r>
        <w:rPr>
          <w:spacing w:val="-1"/>
          <w:sz w:val="20"/>
        </w:rPr>
        <w:t> </w:t>
      </w:r>
      <w:r>
        <w:rPr>
          <w:sz w:val="20"/>
        </w:rPr>
        <w:t>en su administración;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85"/>
        </w:numPr>
        <w:tabs>
          <w:tab w:pos="741" w:val="left" w:leader="none"/>
        </w:tabs>
        <w:spacing w:line="240" w:lineRule="auto" w:before="0" w:after="0"/>
        <w:ind w:left="262" w:right="285" w:firstLine="0"/>
        <w:jc w:val="both"/>
        <w:rPr>
          <w:sz w:val="20"/>
        </w:rPr>
      </w:pPr>
      <w:r>
        <w:rPr>
          <w:sz w:val="20"/>
        </w:rPr>
        <w:t>La habilitación con infraestructura primaria y, en su caso, la urbanización y la edificación se llevará a cabo bajo la responsabilidad del titular de la gestión común;</w:t>
      </w:r>
    </w:p>
    <w:p>
      <w:pPr>
        <w:pStyle w:val="BodyText"/>
        <w:spacing w:before="1"/>
      </w:pPr>
    </w:p>
    <w:p>
      <w:pPr>
        <w:pStyle w:val="ListParagraph"/>
        <w:numPr>
          <w:ilvl w:val="0"/>
          <w:numId w:val="85"/>
        </w:numPr>
        <w:tabs>
          <w:tab w:pos="688" w:val="left" w:leader="none"/>
        </w:tabs>
        <w:spacing w:line="240" w:lineRule="auto" w:before="1" w:after="0"/>
        <w:ind w:left="262" w:right="287" w:firstLine="0"/>
        <w:jc w:val="both"/>
        <w:rPr>
          <w:sz w:val="20"/>
        </w:rPr>
      </w:pPr>
      <w:r>
        <w:rPr>
          <w:sz w:val="20"/>
        </w:rPr>
        <w:t>Sólo podrán enajenarse los predios resultantes una vez que hayan sido construidas las obras de habilitación con infraestructura primaria, salvo en los casos en que se trate de proyectos progresivos autorizados con base en la legislación vigente, y</w:t>
      </w:r>
    </w:p>
    <w:p>
      <w:pPr>
        <w:pStyle w:val="ListParagraph"/>
        <w:numPr>
          <w:ilvl w:val="0"/>
          <w:numId w:val="85"/>
        </w:numPr>
        <w:tabs>
          <w:tab w:pos="688" w:val="left" w:leader="none"/>
        </w:tabs>
        <w:spacing w:line="240" w:lineRule="auto" w:before="229" w:after="0"/>
        <w:ind w:left="262" w:right="283" w:firstLine="0"/>
        <w:jc w:val="both"/>
        <w:rPr>
          <w:sz w:val="20"/>
        </w:rPr>
      </w:pPr>
      <w:r>
        <w:rPr>
          <w:sz w:val="20"/>
        </w:rPr>
        <w:t>La</w:t>
      </w:r>
      <w:r>
        <w:rPr>
          <w:spacing w:val="-7"/>
          <w:sz w:val="20"/>
        </w:rPr>
        <w:t> </w:t>
      </w:r>
      <w:r>
        <w:rPr>
          <w:sz w:val="20"/>
        </w:rPr>
        <w:t>distribución</w:t>
      </w:r>
      <w:r>
        <w:rPr>
          <w:spacing w:val="-5"/>
          <w:sz w:val="20"/>
        </w:rPr>
        <w:t> </w:t>
      </w:r>
      <w:r>
        <w:rPr>
          <w:sz w:val="20"/>
        </w:rPr>
        <w:t>de</w:t>
      </w:r>
      <w:r>
        <w:rPr>
          <w:spacing w:val="-7"/>
          <w:sz w:val="20"/>
        </w:rPr>
        <w:t> </w:t>
      </w:r>
      <w:r>
        <w:rPr>
          <w:sz w:val="20"/>
        </w:rPr>
        <w:t>cargas</w:t>
      </w:r>
      <w:r>
        <w:rPr>
          <w:spacing w:val="-6"/>
          <w:sz w:val="20"/>
        </w:rPr>
        <w:t> </w:t>
      </w:r>
      <w:r>
        <w:rPr>
          <w:sz w:val="20"/>
        </w:rPr>
        <w:t>y</w:t>
      </w:r>
      <w:r>
        <w:rPr>
          <w:spacing w:val="-5"/>
          <w:sz w:val="20"/>
        </w:rPr>
        <w:t> </w:t>
      </w:r>
      <w:r>
        <w:rPr>
          <w:sz w:val="20"/>
        </w:rPr>
        <w:t>beneficios</w:t>
      </w:r>
      <w:r>
        <w:rPr>
          <w:spacing w:val="-6"/>
          <w:sz w:val="20"/>
        </w:rPr>
        <w:t> </w:t>
      </w:r>
      <w:r>
        <w:rPr>
          <w:sz w:val="20"/>
        </w:rPr>
        <w:t>económicos</w:t>
      </w:r>
      <w:r>
        <w:rPr>
          <w:spacing w:val="-6"/>
          <w:sz w:val="20"/>
        </w:rPr>
        <w:t> </w:t>
      </w:r>
      <w:r>
        <w:rPr>
          <w:sz w:val="20"/>
        </w:rPr>
        <w:t>entre</w:t>
      </w:r>
      <w:r>
        <w:rPr>
          <w:spacing w:val="-7"/>
          <w:sz w:val="20"/>
        </w:rPr>
        <w:t> </w:t>
      </w:r>
      <w:r>
        <w:rPr>
          <w:sz w:val="20"/>
        </w:rPr>
        <w:t>los</w:t>
      </w:r>
      <w:r>
        <w:rPr>
          <w:spacing w:val="-6"/>
          <w:sz w:val="20"/>
        </w:rPr>
        <w:t> </w:t>
      </w:r>
      <w:r>
        <w:rPr>
          <w:sz w:val="20"/>
        </w:rPr>
        <w:t>participantes</w:t>
      </w:r>
      <w:r>
        <w:rPr>
          <w:spacing w:val="-6"/>
          <w:sz w:val="20"/>
        </w:rPr>
        <w:t> </w:t>
      </w:r>
      <w:r>
        <w:rPr>
          <w:sz w:val="20"/>
        </w:rPr>
        <w:t>se</w:t>
      </w:r>
      <w:r>
        <w:rPr>
          <w:spacing w:val="-7"/>
          <w:sz w:val="20"/>
        </w:rPr>
        <w:t> </w:t>
      </w:r>
      <w:r>
        <w:rPr>
          <w:sz w:val="20"/>
        </w:rPr>
        <w:t>realizará</w:t>
      </w:r>
      <w:r>
        <w:rPr>
          <w:spacing w:val="-6"/>
          <w:sz w:val="20"/>
        </w:rPr>
        <w:t> </w:t>
      </w:r>
      <w:r>
        <w:rPr>
          <w:sz w:val="20"/>
        </w:rPr>
        <w:t>con</w:t>
      </w:r>
      <w:r>
        <w:rPr>
          <w:spacing w:val="-7"/>
          <w:sz w:val="20"/>
        </w:rPr>
        <w:t> </w:t>
      </w:r>
      <w:r>
        <w:rPr>
          <w:sz w:val="20"/>
        </w:rPr>
        <w:t>base en</w:t>
      </w:r>
      <w:r>
        <w:rPr>
          <w:spacing w:val="-10"/>
          <w:sz w:val="20"/>
        </w:rPr>
        <w:t> </w:t>
      </w:r>
      <w:r>
        <w:rPr>
          <w:sz w:val="20"/>
        </w:rPr>
        <w:t>un</w:t>
      </w:r>
      <w:r>
        <w:rPr>
          <w:spacing w:val="-10"/>
          <w:sz w:val="20"/>
        </w:rPr>
        <w:t> </w:t>
      </w:r>
      <w:r>
        <w:rPr>
          <w:sz w:val="20"/>
        </w:rPr>
        <w:t>estudio</w:t>
      </w:r>
      <w:r>
        <w:rPr>
          <w:spacing w:val="-10"/>
          <w:sz w:val="20"/>
        </w:rPr>
        <w:t> </w:t>
      </w:r>
      <w:r>
        <w:rPr>
          <w:sz w:val="20"/>
        </w:rPr>
        <w:t>de</w:t>
      </w:r>
      <w:r>
        <w:rPr>
          <w:spacing w:val="-10"/>
          <w:sz w:val="20"/>
        </w:rPr>
        <w:t> </w:t>
      </w:r>
      <w:r>
        <w:rPr>
          <w:sz w:val="20"/>
        </w:rPr>
        <w:t>factibilidad</w:t>
      </w:r>
      <w:r>
        <w:rPr>
          <w:spacing w:val="-10"/>
          <w:sz w:val="20"/>
        </w:rPr>
        <w:t> </w:t>
      </w:r>
      <w:r>
        <w:rPr>
          <w:sz w:val="20"/>
        </w:rPr>
        <w:t>financiera,</w:t>
      </w:r>
      <w:r>
        <w:rPr>
          <w:spacing w:val="-10"/>
          <w:sz w:val="20"/>
        </w:rPr>
        <w:t> </w:t>
      </w:r>
      <w:r>
        <w:rPr>
          <w:sz w:val="20"/>
        </w:rPr>
        <w:t>que</w:t>
      </w:r>
      <w:r>
        <w:rPr>
          <w:spacing w:val="-10"/>
          <w:sz w:val="20"/>
        </w:rPr>
        <w:t> </w:t>
      </w:r>
      <w:r>
        <w:rPr>
          <w:sz w:val="20"/>
        </w:rPr>
        <w:t>formulará</w:t>
      </w:r>
      <w:r>
        <w:rPr>
          <w:spacing w:val="-7"/>
          <w:sz w:val="20"/>
        </w:rPr>
        <w:t> </w:t>
      </w:r>
      <w:r>
        <w:rPr>
          <w:sz w:val="20"/>
        </w:rPr>
        <w:t>el</w:t>
      </w:r>
      <w:r>
        <w:rPr>
          <w:spacing w:val="-11"/>
          <w:sz w:val="20"/>
        </w:rPr>
        <w:t> </w:t>
      </w:r>
      <w:r>
        <w:rPr>
          <w:sz w:val="20"/>
        </w:rPr>
        <w:t>promovente</w:t>
      </w:r>
      <w:r>
        <w:rPr>
          <w:spacing w:val="-10"/>
          <w:sz w:val="20"/>
        </w:rPr>
        <w:t> </w:t>
      </w:r>
      <w:r>
        <w:rPr>
          <w:sz w:val="20"/>
        </w:rPr>
        <w:t>del</w:t>
      </w:r>
      <w:r>
        <w:rPr>
          <w:spacing w:val="-11"/>
          <w:sz w:val="20"/>
        </w:rPr>
        <w:t> </w:t>
      </w:r>
      <w:r>
        <w:rPr>
          <w:sz w:val="20"/>
        </w:rPr>
        <w:t>reagrupamiento</w:t>
      </w:r>
      <w:r>
        <w:rPr>
          <w:spacing w:val="-10"/>
          <w:sz w:val="20"/>
        </w:rPr>
        <w:t> </w:t>
      </w:r>
      <w:r>
        <w:rPr>
          <w:sz w:val="20"/>
        </w:rPr>
        <w:t>de</w:t>
      </w:r>
      <w:r>
        <w:rPr>
          <w:spacing w:val="-10"/>
          <w:sz w:val="20"/>
        </w:rPr>
        <w:t> </w:t>
      </w:r>
      <w:r>
        <w:rPr>
          <w:sz w:val="20"/>
        </w:rPr>
        <w:t>predios.</w:t>
      </w:r>
    </w:p>
    <w:p>
      <w:pPr>
        <w:pStyle w:val="BodyText"/>
      </w:pPr>
    </w:p>
    <w:p>
      <w:pPr>
        <w:pStyle w:val="BodyText"/>
      </w:pPr>
    </w:p>
    <w:p>
      <w:pPr>
        <w:pStyle w:val="Heading2"/>
      </w:pPr>
      <w:r>
        <w:rPr/>
        <w:t>Capítulo</w:t>
      </w:r>
      <w:r>
        <w:rPr>
          <w:spacing w:val="-8"/>
        </w:rPr>
        <w:t> </w:t>
      </w:r>
      <w:r>
        <w:rPr>
          <w:spacing w:val="-5"/>
        </w:rPr>
        <w:t>VII</w:t>
      </w:r>
    </w:p>
    <w:p>
      <w:pPr>
        <w:pStyle w:val="BodyText"/>
        <w:rPr>
          <w:rFonts w:ascii="Arial"/>
          <w:b/>
        </w:rPr>
      </w:pPr>
    </w:p>
    <w:p>
      <w:pPr>
        <w:spacing w:before="1"/>
        <w:ind w:left="0" w:right="18" w:firstLine="0"/>
        <w:jc w:val="center"/>
        <w:rPr>
          <w:rFonts w:ascii="Arial" w:hAnsi="Arial"/>
          <w:b/>
          <w:sz w:val="20"/>
        </w:rPr>
      </w:pPr>
      <w:r>
        <w:rPr>
          <w:rFonts w:ascii="Arial" w:hAnsi="Arial"/>
          <w:b/>
          <w:sz w:val="20"/>
        </w:rPr>
        <w:t>Sistema</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z w:val="20"/>
        </w:rPr>
        <w:t>Información</w:t>
      </w:r>
      <w:r>
        <w:rPr>
          <w:rFonts w:ascii="Arial" w:hAnsi="Arial"/>
          <w:b/>
          <w:spacing w:val="-8"/>
          <w:sz w:val="20"/>
        </w:rPr>
        <w:t> </w:t>
      </w:r>
      <w:r>
        <w:rPr>
          <w:rFonts w:ascii="Arial" w:hAnsi="Arial"/>
          <w:b/>
          <w:sz w:val="20"/>
        </w:rPr>
        <w:t>Territorial</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pacing w:val="-2"/>
          <w:sz w:val="20"/>
        </w:rPr>
        <w:t>Urbano</w:t>
      </w:r>
    </w:p>
    <w:p>
      <w:pPr>
        <w:pStyle w:val="BodyText"/>
        <w:rPr>
          <w:rFonts w:ascii="Arial"/>
          <w:b/>
        </w:rPr>
      </w:pPr>
    </w:p>
    <w:p>
      <w:pPr>
        <w:pStyle w:val="BodyText"/>
        <w:ind w:left="262" w:right="278"/>
        <w:jc w:val="both"/>
      </w:pPr>
      <w:r>
        <w:rPr>
          <w:rFonts w:ascii="Arial" w:hAnsi="Arial"/>
          <w:b/>
        </w:rPr>
        <w:t>ARTÍCULO 231. </w:t>
      </w:r>
      <w:r>
        <w:rPr/>
        <w:t>Se crea el Sistema de Información Territorial y Urbano (SITU), el cual tendrá por objeto organizar, actualizar y difundir la información e indicadores, seguimiento, monitoreo y evaluación sobre el ordenamiento territorial y el desarrollo urbano en el Estado, estará disponible para</w:t>
      </w:r>
      <w:r>
        <w:rPr>
          <w:spacing w:val="-7"/>
        </w:rPr>
        <w:t> </w:t>
      </w:r>
      <w:r>
        <w:rPr/>
        <w:t>su</w:t>
      </w:r>
      <w:r>
        <w:rPr>
          <w:spacing w:val="-7"/>
        </w:rPr>
        <w:t> </w:t>
      </w:r>
      <w:r>
        <w:rPr/>
        <w:t>consulta</w:t>
      </w:r>
      <w:r>
        <w:rPr>
          <w:spacing w:val="-7"/>
        </w:rPr>
        <w:t> </w:t>
      </w:r>
      <w:r>
        <w:rPr/>
        <w:t>en</w:t>
      </w:r>
      <w:r>
        <w:rPr>
          <w:spacing w:val="-7"/>
        </w:rPr>
        <w:t> </w:t>
      </w:r>
      <w:r>
        <w:rPr/>
        <w:t>medios</w:t>
      </w:r>
      <w:r>
        <w:rPr>
          <w:spacing w:val="-6"/>
        </w:rPr>
        <w:t> </w:t>
      </w:r>
      <w:r>
        <w:rPr/>
        <w:t>electrónicos</w:t>
      </w:r>
      <w:r>
        <w:rPr>
          <w:spacing w:val="-6"/>
        </w:rPr>
        <w:t> </w:t>
      </w:r>
      <w:r>
        <w:rPr/>
        <w:t>y</w:t>
      </w:r>
      <w:r>
        <w:rPr>
          <w:spacing w:val="-6"/>
        </w:rPr>
        <w:t> </w:t>
      </w:r>
      <w:r>
        <w:rPr/>
        <w:t>se</w:t>
      </w:r>
      <w:r>
        <w:rPr>
          <w:spacing w:val="-7"/>
        </w:rPr>
        <w:t> </w:t>
      </w:r>
      <w:r>
        <w:rPr/>
        <w:t>complementará</w:t>
      </w:r>
      <w:r>
        <w:rPr>
          <w:spacing w:val="-6"/>
        </w:rPr>
        <w:t> </w:t>
      </w:r>
      <w:r>
        <w:rPr/>
        <w:t>con</w:t>
      </w:r>
      <w:r>
        <w:rPr>
          <w:spacing w:val="-6"/>
        </w:rPr>
        <w:t> </w:t>
      </w:r>
      <w:r>
        <w:rPr/>
        <w:t>la</w:t>
      </w:r>
      <w:r>
        <w:rPr>
          <w:spacing w:val="-7"/>
        </w:rPr>
        <w:t> </w:t>
      </w:r>
      <w:r>
        <w:rPr/>
        <w:t>información</w:t>
      </w:r>
      <w:r>
        <w:rPr>
          <w:spacing w:val="-7"/>
        </w:rPr>
        <w:t> </w:t>
      </w:r>
      <w:r>
        <w:rPr/>
        <w:t>de</w:t>
      </w:r>
      <w:r>
        <w:rPr>
          <w:spacing w:val="-7"/>
        </w:rPr>
        <w:t> </w:t>
      </w:r>
      <w:r>
        <w:rPr/>
        <w:t>otros</w:t>
      </w:r>
      <w:r>
        <w:rPr>
          <w:spacing w:val="-6"/>
        </w:rPr>
        <w:t> </w:t>
      </w:r>
      <w:r>
        <w:rPr/>
        <w:t>registros</w:t>
      </w:r>
      <w:r>
        <w:rPr>
          <w:spacing w:val="-4"/>
        </w:rPr>
        <w:t> </w:t>
      </w:r>
      <w:r>
        <w:rPr/>
        <w:t>e inventarios sobre el territorio.</w:t>
      </w:r>
    </w:p>
    <w:p>
      <w:pPr>
        <w:pStyle w:val="BodyText"/>
        <w:spacing w:before="228"/>
        <w:ind w:left="262" w:right="279"/>
        <w:jc w:val="both"/>
      </w:pPr>
      <w:r>
        <w:rPr/>
        <w:t>El SITU deberá permitir el intercambio e interoperabilidad de la información e indicadores que produzcan las autoridades estatales y municipales, e instancias de gobernanza metropolitana, relacionada con los programas estatales y municipales de ordenamiento territorial y desarrollo urbano,</w:t>
      </w:r>
      <w:r>
        <w:rPr>
          <w:spacing w:val="-14"/>
        </w:rPr>
        <w:t> </w:t>
      </w:r>
      <w:r>
        <w:rPr/>
        <w:t>así</w:t>
      </w:r>
      <w:r>
        <w:rPr>
          <w:spacing w:val="-14"/>
        </w:rPr>
        <w:t> </w:t>
      </w:r>
      <w:r>
        <w:rPr/>
        <w:t>como</w:t>
      </w:r>
      <w:r>
        <w:rPr>
          <w:spacing w:val="-14"/>
        </w:rPr>
        <w:t> </w:t>
      </w:r>
      <w:r>
        <w:rPr/>
        <w:t>lo</w:t>
      </w:r>
      <w:r>
        <w:rPr>
          <w:spacing w:val="-14"/>
        </w:rPr>
        <w:t> </w:t>
      </w:r>
      <w:r>
        <w:rPr/>
        <w:t>relativo</w:t>
      </w:r>
      <w:r>
        <w:rPr>
          <w:spacing w:val="-12"/>
        </w:rPr>
        <w:t> </w:t>
      </w:r>
      <w:r>
        <w:rPr/>
        <w:t>a</w:t>
      </w:r>
      <w:r>
        <w:rPr>
          <w:spacing w:val="-14"/>
        </w:rPr>
        <w:t> </w:t>
      </w:r>
      <w:r>
        <w:rPr/>
        <w:t>los</w:t>
      </w:r>
      <w:r>
        <w:rPr>
          <w:spacing w:val="-13"/>
        </w:rPr>
        <w:t> </w:t>
      </w:r>
      <w:r>
        <w:rPr/>
        <w:t>zonas</w:t>
      </w:r>
      <w:r>
        <w:rPr>
          <w:spacing w:val="-13"/>
        </w:rPr>
        <w:t> </w:t>
      </w:r>
      <w:r>
        <w:rPr/>
        <w:t>metropolitanas,</w:t>
      </w:r>
      <w:r>
        <w:rPr>
          <w:spacing w:val="-12"/>
        </w:rPr>
        <w:t> </w:t>
      </w:r>
      <w:r>
        <w:rPr/>
        <w:t>incluyendo</w:t>
      </w:r>
      <w:r>
        <w:rPr>
          <w:spacing w:val="-12"/>
        </w:rPr>
        <w:t> </w:t>
      </w:r>
      <w:r>
        <w:rPr/>
        <w:t>las</w:t>
      </w:r>
      <w:r>
        <w:rPr>
          <w:spacing w:val="-13"/>
        </w:rPr>
        <w:t> </w:t>
      </w:r>
      <w:r>
        <w:rPr/>
        <w:t>acciones,</w:t>
      </w:r>
      <w:r>
        <w:rPr>
          <w:spacing w:val="-14"/>
        </w:rPr>
        <w:t> </w:t>
      </w:r>
      <w:r>
        <w:rPr/>
        <w:t>obras</w:t>
      </w:r>
      <w:r>
        <w:rPr>
          <w:spacing w:val="-12"/>
        </w:rPr>
        <w:t> </w:t>
      </w:r>
      <w:r>
        <w:rPr/>
        <w:t>e</w:t>
      </w:r>
      <w:r>
        <w:rPr>
          <w:spacing w:val="-14"/>
        </w:rPr>
        <w:t> </w:t>
      </w:r>
      <w:r>
        <w:rPr/>
        <w:t>inversiones en el territorio.</w:t>
      </w:r>
    </w:p>
    <w:p>
      <w:pPr>
        <w:pStyle w:val="BodyText"/>
      </w:pPr>
    </w:p>
    <w:p>
      <w:pPr>
        <w:spacing w:before="1"/>
        <w:ind w:left="262"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232.</w:t>
      </w:r>
      <w:r>
        <w:rPr>
          <w:rFonts w:ascii="Arial" w:hAnsi="Arial"/>
          <w:b/>
          <w:spacing w:val="-6"/>
          <w:sz w:val="20"/>
        </w:rPr>
        <w:t> </w:t>
      </w:r>
      <w:r>
        <w:rPr>
          <w:sz w:val="20"/>
        </w:rPr>
        <w:t>El</w:t>
      </w:r>
      <w:r>
        <w:rPr>
          <w:spacing w:val="-7"/>
          <w:sz w:val="20"/>
        </w:rPr>
        <w:t> </w:t>
      </w:r>
      <w:r>
        <w:rPr>
          <w:sz w:val="20"/>
        </w:rPr>
        <w:t>SITU</w:t>
      </w:r>
      <w:r>
        <w:rPr>
          <w:spacing w:val="-5"/>
          <w:sz w:val="20"/>
        </w:rPr>
        <w:t> </w:t>
      </w:r>
      <w:r>
        <w:rPr>
          <w:sz w:val="20"/>
        </w:rPr>
        <w:t>estará</w:t>
      </w:r>
      <w:r>
        <w:rPr>
          <w:spacing w:val="-8"/>
          <w:sz w:val="20"/>
        </w:rPr>
        <w:t> </w:t>
      </w:r>
      <w:r>
        <w:rPr>
          <w:sz w:val="20"/>
        </w:rPr>
        <w:t>integrado</w:t>
      </w:r>
      <w:r>
        <w:rPr>
          <w:spacing w:val="-9"/>
          <w:sz w:val="20"/>
        </w:rPr>
        <w:t> </w:t>
      </w:r>
      <w:r>
        <w:rPr>
          <w:spacing w:val="-4"/>
          <w:sz w:val="20"/>
        </w:rPr>
        <w:t>por:</w:t>
      </w:r>
    </w:p>
    <w:p>
      <w:pPr>
        <w:pStyle w:val="BodyText"/>
      </w:pPr>
    </w:p>
    <w:p>
      <w:pPr>
        <w:pStyle w:val="ListParagraph"/>
        <w:numPr>
          <w:ilvl w:val="0"/>
          <w:numId w:val="86"/>
        </w:numPr>
        <w:tabs>
          <w:tab w:pos="543" w:val="left" w:leader="none"/>
        </w:tabs>
        <w:spacing w:line="240" w:lineRule="auto" w:before="0" w:after="0"/>
        <w:ind w:left="543" w:right="0" w:hanging="281"/>
        <w:jc w:val="both"/>
        <w:rPr>
          <w:sz w:val="20"/>
        </w:rPr>
      </w:pPr>
      <w:r>
        <w:rPr>
          <w:sz w:val="20"/>
        </w:rPr>
        <w:t>El</w:t>
      </w:r>
      <w:r>
        <w:rPr>
          <w:spacing w:val="-7"/>
          <w:sz w:val="20"/>
        </w:rPr>
        <w:t> </w:t>
      </w:r>
      <w:r>
        <w:rPr>
          <w:sz w:val="20"/>
        </w:rPr>
        <w:t>Instituto</w:t>
      </w:r>
      <w:r>
        <w:rPr>
          <w:spacing w:val="-7"/>
          <w:sz w:val="20"/>
        </w:rPr>
        <w:t> </w:t>
      </w:r>
      <w:r>
        <w:rPr>
          <w:sz w:val="20"/>
        </w:rPr>
        <w:t>Registral</w:t>
      </w:r>
      <w:r>
        <w:rPr>
          <w:spacing w:val="-7"/>
          <w:sz w:val="20"/>
        </w:rPr>
        <w:t> </w:t>
      </w:r>
      <w:r>
        <w:rPr>
          <w:sz w:val="20"/>
        </w:rPr>
        <w:t>y</w:t>
      </w:r>
      <w:r>
        <w:rPr>
          <w:spacing w:val="-6"/>
          <w:sz w:val="20"/>
        </w:rPr>
        <w:t> </w:t>
      </w:r>
      <w:r>
        <w:rPr>
          <w:sz w:val="20"/>
        </w:rPr>
        <w:t>Catastral</w:t>
      </w:r>
      <w:r>
        <w:rPr>
          <w:spacing w:val="-7"/>
          <w:sz w:val="20"/>
        </w:rPr>
        <w:t> </w:t>
      </w:r>
      <w:r>
        <w:rPr>
          <w:sz w:val="20"/>
        </w:rPr>
        <w:t>del</w:t>
      </w:r>
      <w:r>
        <w:rPr>
          <w:spacing w:val="-5"/>
          <w:sz w:val="20"/>
        </w:rPr>
        <w:t> </w:t>
      </w:r>
      <w:r>
        <w:rPr>
          <w:spacing w:val="-2"/>
          <w:sz w:val="20"/>
        </w:rPr>
        <w:t>Estado;</w:t>
      </w:r>
    </w:p>
    <w:p>
      <w:pPr>
        <w:pStyle w:val="BodyText"/>
        <w:spacing w:before="1"/>
      </w:pPr>
    </w:p>
    <w:p>
      <w:pPr>
        <w:pStyle w:val="ListParagraph"/>
        <w:numPr>
          <w:ilvl w:val="0"/>
          <w:numId w:val="86"/>
        </w:numPr>
        <w:tabs>
          <w:tab w:pos="543" w:val="left" w:leader="none"/>
        </w:tabs>
        <w:spacing w:line="240" w:lineRule="auto" w:before="0" w:after="0"/>
        <w:ind w:left="543" w:right="0" w:hanging="281"/>
        <w:jc w:val="both"/>
        <w:rPr>
          <w:sz w:val="20"/>
        </w:rPr>
      </w:pPr>
      <w:r>
        <w:rPr>
          <w:sz w:val="20"/>
        </w:rPr>
        <w:t>La</w:t>
      </w:r>
      <w:r>
        <w:rPr>
          <w:spacing w:val="-6"/>
          <w:sz w:val="20"/>
        </w:rPr>
        <w:t> </w:t>
      </w:r>
      <w:r>
        <w:rPr>
          <w:spacing w:val="-2"/>
          <w:sz w:val="20"/>
        </w:rPr>
        <w:t>Secretaría;</w:t>
      </w:r>
    </w:p>
    <w:p>
      <w:pPr>
        <w:pStyle w:val="ListParagraph"/>
        <w:numPr>
          <w:ilvl w:val="0"/>
          <w:numId w:val="86"/>
        </w:numPr>
        <w:tabs>
          <w:tab w:pos="597" w:val="left" w:leader="none"/>
        </w:tabs>
        <w:spacing w:line="240" w:lineRule="auto" w:before="229" w:after="0"/>
        <w:ind w:left="597" w:right="0" w:hanging="335"/>
        <w:jc w:val="both"/>
        <w:rPr>
          <w:sz w:val="20"/>
        </w:rPr>
      </w:pPr>
      <w:r>
        <w:rPr>
          <w:sz w:val="20"/>
        </w:rPr>
        <w:t>La</w:t>
      </w:r>
      <w:r>
        <w:rPr>
          <w:spacing w:val="-4"/>
          <w:sz w:val="20"/>
        </w:rPr>
        <w:t> </w:t>
      </w:r>
      <w:r>
        <w:rPr>
          <w:spacing w:val="-2"/>
          <w:sz w:val="20"/>
        </w:rPr>
        <w:t>SEGAM;</w:t>
      </w:r>
    </w:p>
    <w:p>
      <w:pPr>
        <w:pStyle w:val="BodyText"/>
      </w:pPr>
    </w:p>
    <w:p>
      <w:pPr>
        <w:pStyle w:val="ListParagraph"/>
        <w:numPr>
          <w:ilvl w:val="0"/>
          <w:numId w:val="86"/>
        </w:numPr>
        <w:tabs>
          <w:tab w:pos="545" w:val="left" w:leader="none"/>
        </w:tabs>
        <w:spacing w:line="240" w:lineRule="auto" w:before="1" w:after="0"/>
        <w:ind w:left="545" w:right="0" w:hanging="283"/>
        <w:jc w:val="both"/>
        <w:rPr>
          <w:sz w:val="20"/>
        </w:rPr>
      </w:pPr>
      <w:r>
        <w:rPr>
          <w:sz w:val="20"/>
        </w:rPr>
        <w:t>La</w:t>
      </w:r>
      <w:r>
        <w:rPr>
          <w:spacing w:val="-8"/>
          <w:sz w:val="20"/>
        </w:rPr>
        <w:t> </w:t>
      </w:r>
      <w:r>
        <w:rPr>
          <w:sz w:val="20"/>
        </w:rPr>
        <w:t>Comisión</w:t>
      </w:r>
      <w:r>
        <w:rPr>
          <w:spacing w:val="-6"/>
          <w:sz w:val="20"/>
        </w:rPr>
        <w:t> </w:t>
      </w:r>
      <w:r>
        <w:rPr>
          <w:sz w:val="20"/>
        </w:rPr>
        <w:t>Estatal</w:t>
      </w:r>
      <w:r>
        <w:rPr>
          <w:spacing w:val="-6"/>
          <w:sz w:val="20"/>
        </w:rPr>
        <w:t> </w:t>
      </w:r>
      <w:r>
        <w:rPr>
          <w:sz w:val="20"/>
        </w:rPr>
        <w:t>del</w:t>
      </w:r>
      <w:r>
        <w:rPr>
          <w:spacing w:val="-8"/>
          <w:sz w:val="20"/>
        </w:rPr>
        <w:t> </w:t>
      </w:r>
      <w:r>
        <w:rPr>
          <w:spacing w:val="-2"/>
          <w:sz w:val="20"/>
        </w:rPr>
        <w:t>Agua;</w:t>
      </w:r>
    </w:p>
    <w:p>
      <w:pPr>
        <w:pStyle w:val="BodyText"/>
      </w:pPr>
    </w:p>
    <w:p>
      <w:pPr>
        <w:pStyle w:val="ListParagraph"/>
        <w:numPr>
          <w:ilvl w:val="0"/>
          <w:numId w:val="86"/>
        </w:numPr>
        <w:tabs>
          <w:tab w:pos="688" w:val="left" w:leader="none"/>
        </w:tabs>
        <w:spacing w:line="240" w:lineRule="auto" w:before="0" w:after="0"/>
        <w:ind w:left="688" w:right="0" w:hanging="426"/>
        <w:jc w:val="both"/>
        <w:rPr>
          <w:sz w:val="20"/>
        </w:rPr>
      </w:pPr>
      <w:r>
        <w:rPr>
          <w:sz w:val="20"/>
        </w:rPr>
        <w:t>Los</w:t>
      </w:r>
      <w:r>
        <w:rPr>
          <w:spacing w:val="-9"/>
          <w:sz w:val="20"/>
        </w:rPr>
        <w:t> </w:t>
      </w:r>
      <w:r>
        <w:rPr>
          <w:sz w:val="20"/>
        </w:rPr>
        <w:t>organismos</w:t>
      </w:r>
      <w:r>
        <w:rPr>
          <w:spacing w:val="-9"/>
          <w:sz w:val="20"/>
        </w:rPr>
        <w:t> </w:t>
      </w:r>
      <w:r>
        <w:rPr>
          <w:sz w:val="20"/>
        </w:rPr>
        <w:t>operadores</w:t>
      </w:r>
      <w:r>
        <w:rPr>
          <w:spacing w:val="-9"/>
          <w:sz w:val="20"/>
        </w:rPr>
        <w:t> </w:t>
      </w:r>
      <w:r>
        <w:rPr>
          <w:sz w:val="20"/>
        </w:rPr>
        <w:t>de</w:t>
      </w:r>
      <w:r>
        <w:rPr>
          <w:spacing w:val="-10"/>
          <w:sz w:val="20"/>
        </w:rPr>
        <w:t> </w:t>
      </w:r>
      <w:r>
        <w:rPr>
          <w:sz w:val="20"/>
        </w:rPr>
        <w:t>agua</w:t>
      </w:r>
      <w:r>
        <w:rPr>
          <w:spacing w:val="-9"/>
          <w:sz w:val="20"/>
        </w:rPr>
        <w:t> </w:t>
      </w:r>
      <w:r>
        <w:rPr>
          <w:sz w:val="20"/>
        </w:rPr>
        <w:t>metropolitanos</w:t>
      </w:r>
      <w:r>
        <w:rPr>
          <w:spacing w:val="-9"/>
          <w:sz w:val="20"/>
        </w:rPr>
        <w:t> </w:t>
      </w:r>
      <w:r>
        <w:rPr>
          <w:sz w:val="20"/>
        </w:rPr>
        <w:t>y</w:t>
      </w:r>
      <w:r>
        <w:rPr>
          <w:spacing w:val="-6"/>
          <w:sz w:val="20"/>
        </w:rPr>
        <w:t> </w:t>
      </w:r>
      <w:r>
        <w:rPr>
          <w:spacing w:val="-2"/>
          <w:sz w:val="20"/>
        </w:rPr>
        <w:t>municipales;</w:t>
      </w:r>
    </w:p>
    <w:p>
      <w:pPr>
        <w:pStyle w:val="ListParagraph"/>
        <w:numPr>
          <w:ilvl w:val="0"/>
          <w:numId w:val="86"/>
        </w:numPr>
        <w:tabs>
          <w:tab w:pos="688" w:val="left" w:leader="none"/>
        </w:tabs>
        <w:spacing w:line="240" w:lineRule="auto" w:before="229" w:after="0"/>
        <w:ind w:left="262" w:right="283" w:firstLine="0"/>
        <w:jc w:val="both"/>
        <w:rPr>
          <w:sz w:val="20"/>
        </w:rPr>
      </w:pPr>
      <w:r>
        <w:rPr>
          <w:sz w:val="20"/>
        </w:rPr>
        <w:t>El Sistema de Información Geográfica Estatal a cargo del Comité Estatal de Información Estadística y Geográfica (CEIEG), El Sistema de Información Territorial y Urbano tendrá la función de ofrecer la información oficial al nivel de desagregación y escala que se requiera;</w:t>
      </w:r>
    </w:p>
    <w:p>
      <w:pPr>
        <w:pStyle w:val="BodyText"/>
        <w:spacing w:before="2"/>
      </w:pPr>
    </w:p>
    <w:p>
      <w:pPr>
        <w:pStyle w:val="ListParagraph"/>
        <w:numPr>
          <w:ilvl w:val="0"/>
          <w:numId w:val="86"/>
        </w:numPr>
        <w:tabs>
          <w:tab w:pos="688" w:val="left" w:leader="none"/>
        </w:tabs>
        <w:spacing w:line="240" w:lineRule="auto" w:before="0" w:after="0"/>
        <w:ind w:left="262" w:right="288" w:firstLine="0"/>
        <w:jc w:val="both"/>
        <w:rPr>
          <w:sz w:val="20"/>
        </w:rPr>
      </w:pPr>
      <w:r>
        <w:rPr>
          <w:sz w:val="20"/>
        </w:rPr>
        <w:t>Los municipios del Estado, a través de sus autoridades catastrales, de desarrollo urbano y de protección civil;</w:t>
      </w:r>
    </w:p>
    <w:p>
      <w:pPr>
        <w:pStyle w:val="ListParagraph"/>
        <w:numPr>
          <w:ilvl w:val="0"/>
          <w:numId w:val="86"/>
        </w:numPr>
        <w:tabs>
          <w:tab w:pos="688" w:val="left" w:leader="none"/>
        </w:tabs>
        <w:spacing w:line="240" w:lineRule="auto" w:before="229" w:after="0"/>
        <w:ind w:left="688" w:right="0" w:hanging="426"/>
        <w:jc w:val="both"/>
        <w:rPr>
          <w:sz w:val="20"/>
        </w:rPr>
      </w:pPr>
      <w:r>
        <w:rPr>
          <w:sz w:val="20"/>
        </w:rPr>
        <w:t>Los</w:t>
      </w:r>
      <w:r>
        <w:rPr>
          <w:spacing w:val="-9"/>
          <w:sz w:val="20"/>
        </w:rPr>
        <w:t> </w:t>
      </w:r>
      <w:r>
        <w:rPr>
          <w:sz w:val="20"/>
        </w:rPr>
        <w:t>institutos</w:t>
      </w:r>
      <w:r>
        <w:rPr>
          <w:spacing w:val="-8"/>
          <w:sz w:val="20"/>
        </w:rPr>
        <w:t> </w:t>
      </w:r>
      <w:r>
        <w:rPr>
          <w:sz w:val="20"/>
        </w:rPr>
        <w:t>estatal,</w:t>
      </w:r>
      <w:r>
        <w:rPr>
          <w:spacing w:val="-7"/>
          <w:sz w:val="20"/>
        </w:rPr>
        <w:t> </w:t>
      </w:r>
      <w:r>
        <w:rPr>
          <w:sz w:val="20"/>
        </w:rPr>
        <w:t>metropolitanos</w:t>
      </w:r>
      <w:r>
        <w:rPr>
          <w:spacing w:val="-8"/>
          <w:sz w:val="20"/>
        </w:rPr>
        <w:t> </w:t>
      </w:r>
      <w:r>
        <w:rPr>
          <w:sz w:val="20"/>
        </w:rPr>
        <w:t>y</w:t>
      </w:r>
      <w:r>
        <w:rPr>
          <w:spacing w:val="-9"/>
          <w:sz w:val="20"/>
        </w:rPr>
        <w:t> </w:t>
      </w:r>
      <w:r>
        <w:rPr>
          <w:sz w:val="20"/>
        </w:rPr>
        <w:t>municipales</w:t>
      </w:r>
      <w:r>
        <w:rPr>
          <w:spacing w:val="-8"/>
          <w:sz w:val="20"/>
        </w:rPr>
        <w:t> </w:t>
      </w:r>
      <w:r>
        <w:rPr>
          <w:sz w:val="20"/>
        </w:rPr>
        <w:t>de</w:t>
      </w:r>
      <w:r>
        <w:rPr>
          <w:spacing w:val="-6"/>
          <w:sz w:val="20"/>
        </w:rPr>
        <w:t> </w:t>
      </w:r>
      <w:r>
        <w:rPr>
          <w:sz w:val="20"/>
        </w:rPr>
        <w:t>planeación</w:t>
      </w:r>
      <w:r>
        <w:rPr>
          <w:spacing w:val="-8"/>
          <w:sz w:val="20"/>
        </w:rPr>
        <w:t> </w:t>
      </w:r>
      <w:r>
        <w:rPr>
          <w:sz w:val="20"/>
        </w:rPr>
        <w:t>que</w:t>
      </w:r>
      <w:r>
        <w:rPr>
          <w:spacing w:val="-7"/>
          <w:sz w:val="20"/>
        </w:rPr>
        <w:t> </w:t>
      </w:r>
      <w:r>
        <w:rPr>
          <w:sz w:val="20"/>
        </w:rPr>
        <w:t>establece</w:t>
      </w:r>
      <w:r>
        <w:rPr>
          <w:spacing w:val="-7"/>
          <w:sz w:val="20"/>
        </w:rPr>
        <w:t> </w:t>
      </w:r>
      <w:r>
        <w:rPr>
          <w:sz w:val="20"/>
        </w:rPr>
        <w:t>esta</w:t>
      </w:r>
      <w:r>
        <w:rPr>
          <w:spacing w:val="-10"/>
          <w:sz w:val="20"/>
        </w:rPr>
        <w:t> </w:t>
      </w:r>
      <w:r>
        <w:rPr>
          <w:spacing w:val="-4"/>
          <w:sz w:val="20"/>
        </w:rPr>
        <w:t>Ley;</w:t>
      </w:r>
    </w:p>
    <w:p>
      <w:pPr>
        <w:pStyle w:val="BodyText"/>
        <w:spacing w:before="1"/>
      </w:pPr>
    </w:p>
    <w:p>
      <w:pPr>
        <w:pStyle w:val="ListParagraph"/>
        <w:numPr>
          <w:ilvl w:val="0"/>
          <w:numId w:val="86"/>
        </w:numPr>
        <w:tabs>
          <w:tab w:pos="688" w:val="left" w:leader="none"/>
        </w:tabs>
        <w:spacing w:line="240" w:lineRule="auto" w:before="0" w:after="0"/>
        <w:ind w:left="688" w:right="0" w:hanging="426"/>
        <w:jc w:val="both"/>
        <w:rPr>
          <w:sz w:val="20"/>
        </w:rPr>
      </w:pPr>
      <w:r>
        <w:rPr>
          <w:sz w:val="20"/>
        </w:rPr>
        <w:t>Las</w:t>
      </w:r>
      <w:r>
        <w:rPr>
          <w:spacing w:val="-8"/>
          <w:sz w:val="20"/>
        </w:rPr>
        <w:t> </w:t>
      </w:r>
      <w:r>
        <w:rPr>
          <w:sz w:val="20"/>
        </w:rPr>
        <w:t>delegaciones</w:t>
      </w:r>
      <w:r>
        <w:rPr>
          <w:spacing w:val="-7"/>
          <w:sz w:val="20"/>
        </w:rPr>
        <w:t> </w:t>
      </w:r>
      <w:r>
        <w:rPr>
          <w:sz w:val="20"/>
        </w:rPr>
        <w:t>de</w:t>
      </w:r>
      <w:r>
        <w:rPr>
          <w:spacing w:val="-8"/>
          <w:sz w:val="20"/>
        </w:rPr>
        <w:t> </w:t>
      </w:r>
      <w:r>
        <w:rPr>
          <w:sz w:val="20"/>
        </w:rPr>
        <w:t>las</w:t>
      </w:r>
      <w:r>
        <w:rPr>
          <w:spacing w:val="-8"/>
          <w:sz w:val="20"/>
        </w:rPr>
        <w:t> </w:t>
      </w:r>
      <w:r>
        <w:rPr>
          <w:sz w:val="20"/>
        </w:rPr>
        <w:t>Secretarías</w:t>
      </w:r>
      <w:r>
        <w:rPr>
          <w:spacing w:val="-7"/>
          <w:sz w:val="20"/>
        </w:rPr>
        <w:t> </w:t>
      </w:r>
      <w:r>
        <w:rPr>
          <w:sz w:val="20"/>
        </w:rPr>
        <w:t>e</w:t>
      </w:r>
      <w:r>
        <w:rPr>
          <w:spacing w:val="-9"/>
          <w:sz w:val="20"/>
        </w:rPr>
        <w:t> </w:t>
      </w:r>
      <w:r>
        <w:rPr>
          <w:sz w:val="20"/>
        </w:rPr>
        <w:t>Instituciones</w:t>
      </w:r>
      <w:r>
        <w:rPr>
          <w:spacing w:val="-7"/>
          <w:sz w:val="20"/>
        </w:rPr>
        <w:t> </w:t>
      </w:r>
      <w:r>
        <w:rPr>
          <w:sz w:val="20"/>
        </w:rPr>
        <w:t>Federales</w:t>
      </w:r>
      <w:r>
        <w:rPr>
          <w:spacing w:val="-8"/>
          <w:sz w:val="20"/>
        </w:rPr>
        <w:t> </w:t>
      </w:r>
      <w:r>
        <w:rPr>
          <w:sz w:val="20"/>
        </w:rPr>
        <w:t>relacionadas</w:t>
      </w:r>
      <w:r>
        <w:rPr>
          <w:spacing w:val="-7"/>
          <w:sz w:val="20"/>
        </w:rPr>
        <w:t> </w:t>
      </w:r>
      <w:r>
        <w:rPr>
          <w:sz w:val="20"/>
        </w:rPr>
        <w:t>con</w:t>
      </w:r>
      <w:r>
        <w:rPr>
          <w:spacing w:val="-8"/>
          <w:sz w:val="20"/>
        </w:rPr>
        <w:t> </w:t>
      </w:r>
      <w:r>
        <w:rPr>
          <w:sz w:val="20"/>
        </w:rPr>
        <w:t>la</w:t>
      </w:r>
      <w:r>
        <w:rPr>
          <w:spacing w:val="-7"/>
          <w:sz w:val="20"/>
        </w:rPr>
        <w:t> </w:t>
      </w:r>
      <w:r>
        <w:rPr>
          <w:spacing w:val="-2"/>
          <w:sz w:val="20"/>
        </w:rPr>
        <w:t>materia;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86"/>
        </w:numPr>
        <w:tabs>
          <w:tab w:pos="688" w:val="left" w:leader="none"/>
        </w:tabs>
        <w:spacing w:line="240" w:lineRule="auto" w:before="0" w:after="0"/>
        <w:ind w:left="262" w:right="279" w:firstLine="0"/>
        <w:jc w:val="both"/>
        <w:rPr>
          <w:sz w:val="20"/>
        </w:rPr>
      </w:pPr>
      <w:r>
        <w:rPr>
          <w:sz w:val="20"/>
        </w:rPr>
        <w:t>Las representaciones de los colegios registrados de ingenieros civiles, arquitectos y edificadores, diseñadores urbanos y del paisaje; en sus diversas ramas; de topógrafos; hidrólogos, ambientalistas, especialistas en Geomática y Geoinformática entre otros, asociaciones, cámaras e instituciones</w:t>
      </w:r>
      <w:r>
        <w:rPr>
          <w:spacing w:val="-10"/>
          <w:sz w:val="20"/>
        </w:rPr>
        <w:t> </w:t>
      </w:r>
      <w:r>
        <w:rPr>
          <w:sz w:val="20"/>
        </w:rPr>
        <w:t>y</w:t>
      </w:r>
      <w:r>
        <w:rPr>
          <w:spacing w:val="-10"/>
          <w:sz w:val="20"/>
        </w:rPr>
        <w:t> </w:t>
      </w:r>
      <w:r>
        <w:rPr>
          <w:sz w:val="20"/>
        </w:rPr>
        <w:t>organizaciones</w:t>
      </w:r>
      <w:r>
        <w:rPr>
          <w:spacing w:val="-10"/>
          <w:sz w:val="20"/>
        </w:rPr>
        <w:t> </w:t>
      </w:r>
      <w:r>
        <w:rPr>
          <w:sz w:val="20"/>
        </w:rPr>
        <w:t>de</w:t>
      </w:r>
      <w:r>
        <w:rPr>
          <w:spacing w:val="-12"/>
          <w:sz w:val="20"/>
        </w:rPr>
        <w:t> </w:t>
      </w:r>
      <w:r>
        <w:rPr>
          <w:sz w:val="20"/>
        </w:rPr>
        <w:t>los</w:t>
      </w:r>
      <w:r>
        <w:rPr>
          <w:spacing w:val="-10"/>
          <w:sz w:val="20"/>
        </w:rPr>
        <w:t> </w:t>
      </w:r>
      <w:r>
        <w:rPr>
          <w:sz w:val="20"/>
        </w:rPr>
        <w:t>sectores</w:t>
      </w:r>
      <w:r>
        <w:rPr>
          <w:spacing w:val="-10"/>
          <w:sz w:val="20"/>
        </w:rPr>
        <w:t> </w:t>
      </w:r>
      <w:r>
        <w:rPr>
          <w:sz w:val="20"/>
        </w:rPr>
        <w:t>social</w:t>
      </w:r>
      <w:r>
        <w:rPr>
          <w:spacing w:val="-12"/>
          <w:sz w:val="20"/>
        </w:rPr>
        <w:t> </w:t>
      </w:r>
      <w:r>
        <w:rPr>
          <w:sz w:val="20"/>
        </w:rPr>
        <w:t>y</w:t>
      </w:r>
      <w:r>
        <w:rPr>
          <w:spacing w:val="-10"/>
          <w:sz w:val="20"/>
        </w:rPr>
        <w:t> </w:t>
      </w:r>
      <w:r>
        <w:rPr>
          <w:sz w:val="20"/>
        </w:rPr>
        <w:t>privado</w:t>
      </w:r>
      <w:r>
        <w:rPr>
          <w:spacing w:val="-11"/>
          <w:sz w:val="20"/>
        </w:rPr>
        <w:t> </w:t>
      </w:r>
      <w:r>
        <w:rPr>
          <w:sz w:val="20"/>
        </w:rPr>
        <w:t>que</w:t>
      </w:r>
      <w:r>
        <w:rPr>
          <w:spacing w:val="-12"/>
          <w:sz w:val="20"/>
        </w:rPr>
        <w:t> </w:t>
      </w:r>
      <w:r>
        <w:rPr>
          <w:sz w:val="20"/>
        </w:rPr>
        <w:t>existan</w:t>
      </w:r>
      <w:r>
        <w:rPr>
          <w:spacing w:val="-12"/>
          <w:sz w:val="20"/>
        </w:rPr>
        <w:t> </w:t>
      </w:r>
      <w:r>
        <w:rPr>
          <w:sz w:val="20"/>
        </w:rPr>
        <w:t>en</w:t>
      </w:r>
      <w:r>
        <w:rPr>
          <w:spacing w:val="-11"/>
          <w:sz w:val="20"/>
        </w:rPr>
        <w:t> </w:t>
      </w:r>
      <w:r>
        <w:rPr>
          <w:sz w:val="20"/>
        </w:rPr>
        <w:t>el</w:t>
      </w:r>
      <w:r>
        <w:rPr>
          <w:spacing w:val="-10"/>
          <w:sz w:val="20"/>
        </w:rPr>
        <w:t> </w:t>
      </w:r>
      <w:r>
        <w:rPr>
          <w:sz w:val="20"/>
        </w:rPr>
        <w:t>Estado</w:t>
      </w:r>
      <w:r>
        <w:rPr>
          <w:spacing w:val="-11"/>
          <w:sz w:val="20"/>
        </w:rPr>
        <w:t> </w:t>
      </w:r>
      <w:r>
        <w:rPr>
          <w:sz w:val="20"/>
        </w:rPr>
        <w:t>relacionadas con el ordenamiento territorial y el desarrollo urbano, a fin de que aporten la información que </w:t>
      </w:r>
      <w:r>
        <w:rPr>
          <w:spacing w:val="-2"/>
          <w:sz w:val="20"/>
        </w:rPr>
        <w:t>generan;</w:t>
      </w:r>
    </w:p>
    <w:p>
      <w:pPr>
        <w:pStyle w:val="BodyText"/>
        <w:spacing w:before="1"/>
      </w:pPr>
    </w:p>
    <w:p>
      <w:pPr>
        <w:pStyle w:val="ListParagraph"/>
        <w:numPr>
          <w:ilvl w:val="0"/>
          <w:numId w:val="86"/>
        </w:numPr>
        <w:tabs>
          <w:tab w:pos="688" w:val="left" w:leader="none"/>
        </w:tabs>
        <w:spacing w:line="240" w:lineRule="auto" w:before="0" w:after="0"/>
        <w:ind w:left="688" w:right="0" w:hanging="426"/>
        <w:jc w:val="both"/>
        <w:rPr>
          <w:sz w:val="20"/>
        </w:rPr>
      </w:pPr>
      <w:r>
        <w:rPr>
          <w:sz w:val="20"/>
        </w:rPr>
        <w:t>Los</w:t>
      </w:r>
      <w:r>
        <w:rPr>
          <w:spacing w:val="-7"/>
          <w:sz w:val="20"/>
        </w:rPr>
        <w:t> </w:t>
      </w:r>
      <w:r>
        <w:rPr>
          <w:sz w:val="20"/>
        </w:rPr>
        <w:t>observatorios</w:t>
      </w:r>
      <w:r>
        <w:rPr>
          <w:spacing w:val="-6"/>
          <w:sz w:val="20"/>
        </w:rPr>
        <w:t> </w:t>
      </w:r>
      <w:r>
        <w:rPr>
          <w:sz w:val="20"/>
        </w:rPr>
        <w:t>urbanos</w:t>
      </w:r>
      <w:r>
        <w:rPr>
          <w:spacing w:val="-5"/>
          <w:sz w:val="20"/>
        </w:rPr>
        <w:t> </w:t>
      </w:r>
      <w:r>
        <w:rPr>
          <w:sz w:val="20"/>
        </w:rPr>
        <w:t>que</w:t>
      </w:r>
      <w:r>
        <w:rPr>
          <w:spacing w:val="-6"/>
          <w:sz w:val="20"/>
        </w:rPr>
        <w:t> </w:t>
      </w:r>
      <w:r>
        <w:rPr>
          <w:sz w:val="20"/>
        </w:rPr>
        <w:t>existan</w:t>
      </w:r>
      <w:r>
        <w:rPr>
          <w:spacing w:val="-8"/>
          <w:sz w:val="20"/>
        </w:rPr>
        <w:t> </w:t>
      </w:r>
      <w:r>
        <w:rPr>
          <w:sz w:val="20"/>
        </w:rPr>
        <w:t>y</w:t>
      </w:r>
      <w:r>
        <w:rPr>
          <w:spacing w:val="-4"/>
          <w:sz w:val="20"/>
        </w:rPr>
        <w:t> </w:t>
      </w:r>
      <w:r>
        <w:rPr>
          <w:sz w:val="20"/>
        </w:rPr>
        <w:t>operen</w:t>
      </w:r>
      <w:r>
        <w:rPr>
          <w:spacing w:val="-8"/>
          <w:sz w:val="20"/>
        </w:rPr>
        <w:t> </w:t>
      </w:r>
      <w:r>
        <w:rPr>
          <w:sz w:val="20"/>
        </w:rPr>
        <w:t>de</w:t>
      </w:r>
      <w:r>
        <w:rPr>
          <w:spacing w:val="-7"/>
          <w:sz w:val="20"/>
        </w:rPr>
        <w:t> </w:t>
      </w:r>
      <w:r>
        <w:rPr>
          <w:sz w:val="20"/>
        </w:rPr>
        <w:t>conformidad</w:t>
      </w:r>
      <w:r>
        <w:rPr>
          <w:spacing w:val="-7"/>
          <w:sz w:val="20"/>
        </w:rPr>
        <w:t> </w:t>
      </w:r>
      <w:r>
        <w:rPr>
          <w:sz w:val="20"/>
        </w:rPr>
        <w:t>con</w:t>
      </w:r>
      <w:r>
        <w:rPr>
          <w:spacing w:val="-7"/>
          <w:sz w:val="20"/>
        </w:rPr>
        <w:t> </w:t>
      </w:r>
      <w:r>
        <w:rPr>
          <w:sz w:val="20"/>
        </w:rPr>
        <w:t>lo</w:t>
      </w:r>
      <w:r>
        <w:rPr>
          <w:spacing w:val="-5"/>
          <w:sz w:val="20"/>
        </w:rPr>
        <w:t> </w:t>
      </w:r>
      <w:r>
        <w:rPr>
          <w:sz w:val="20"/>
        </w:rPr>
        <w:t>previsto</w:t>
      </w:r>
      <w:r>
        <w:rPr>
          <w:spacing w:val="-6"/>
          <w:sz w:val="20"/>
        </w:rPr>
        <w:t> </w:t>
      </w:r>
      <w:r>
        <w:rPr>
          <w:sz w:val="20"/>
        </w:rPr>
        <w:t>en</w:t>
      </w:r>
      <w:r>
        <w:rPr>
          <w:spacing w:val="-7"/>
          <w:sz w:val="20"/>
        </w:rPr>
        <w:t> </w:t>
      </w:r>
      <w:r>
        <w:rPr>
          <w:sz w:val="20"/>
        </w:rPr>
        <w:t>esta</w:t>
      </w:r>
      <w:r>
        <w:rPr>
          <w:spacing w:val="-6"/>
          <w:sz w:val="20"/>
        </w:rPr>
        <w:t> </w:t>
      </w:r>
      <w:r>
        <w:rPr>
          <w:spacing w:val="-4"/>
          <w:sz w:val="20"/>
        </w:rPr>
        <w:t>Ley;</w:t>
      </w:r>
    </w:p>
    <w:p>
      <w:pPr>
        <w:pStyle w:val="BodyText"/>
        <w:spacing w:before="1"/>
      </w:pPr>
    </w:p>
    <w:p>
      <w:pPr>
        <w:pStyle w:val="ListParagraph"/>
        <w:numPr>
          <w:ilvl w:val="0"/>
          <w:numId w:val="86"/>
        </w:numPr>
        <w:tabs>
          <w:tab w:pos="688" w:val="left" w:leader="none"/>
        </w:tabs>
        <w:spacing w:line="240" w:lineRule="auto" w:before="0" w:after="0"/>
        <w:ind w:left="262" w:right="288" w:firstLine="0"/>
        <w:jc w:val="both"/>
        <w:rPr>
          <w:sz w:val="20"/>
        </w:rPr>
      </w:pPr>
      <w:r>
        <w:rPr>
          <w:sz w:val="20"/>
        </w:rPr>
        <w:t>Las instituciones académicas públicas y privadas relacionadas con la materia, a fin de que aporten la información que generan, y</w:t>
      </w:r>
    </w:p>
    <w:p>
      <w:pPr>
        <w:pStyle w:val="ListParagraph"/>
        <w:numPr>
          <w:ilvl w:val="0"/>
          <w:numId w:val="86"/>
        </w:numPr>
        <w:tabs>
          <w:tab w:pos="688" w:val="left" w:leader="none"/>
        </w:tabs>
        <w:spacing w:line="240" w:lineRule="auto" w:before="229" w:after="0"/>
        <w:ind w:left="262" w:right="284" w:firstLine="0"/>
        <w:jc w:val="both"/>
        <w:rPr>
          <w:sz w:val="20"/>
        </w:rPr>
      </w:pPr>
      <w:r>
        <w:rPr>
          <w:sz w:val="20"/>
        </w:rPr>
        <w:t>Las demás autoridades e instituciones que generen información en materia de ordenamiento territorial y desarrollo urbano.</w:t>
      </w:r>
    </w:p>
    <w:p>
      <w:pPr>
        <w:pStyle w:val="BodyText"/>
        <w:spacing w:before="1"/>
      </w:pPr>
    </w:p>
    <w:p>
      <w:pPr>
        <w:pStyle w:val="BodyText"/>
        <w:ind w:left="262" w:right="283"/>
        <w:jc w:val="both"/>
      </w:pPr>
      <w:r>
        <w:rPr>
          <w:rFonts w:ascii="Arial" w:hAnsi="Arial"/>
          <w:b/>
        </w:rPr>
        <w:t>ARTÍCULO</w:t>
      </w:r>
      <w:r>
        <w:rPr>
          <w:rFonts w:ascii="Arial" w:hAnsi="Arial"/>
          <w:b/>
          <w:spacing w:val="-3"/>
        </w:rPr>
        <w:t> </w:t>
      </w:r>
      <w:r>
        <w:rPr>
          <w:rFonts w:ascii="Arial" w:hAnsi="Arial"/>
          <w:b/>
        </w:rPr>
        <w:t>233.</w:t>
      </w:r>
      <w:r>
        <w:rPr>
          <w:rFonts w:ascii="Arial" w:hAnsi="Arial"/>
          <w:b/>
          <w:spacing w:val="-1"/>
        </w:rPr>
        <w:t> </w:t>
      </w:r>
      <w:r>
        <w:rPr/>
        <w:t>El</w:t>
      </w:r>
      <w:r>
        <w:rPr>
          <w:spacing w:val="-3"/>
        </w:rPr>
        <w:t> </w:t>
      </w:r>
      <w:r>
        <w:rPr/>
        <w:t>SITU</w:t>
      </w:r>
      <w:r>
        <w:rPr>
          <w:spacing w:val="-1"/>
        </w:rPr>
        <w:t> </w:t>
      </w:r>
      <w:r>
        <w:rPr/>
        <w:t>será</w:t>
      </w:r>
      <w:r>
        <w:rPr>
          <w:spacing w:val="-4"/>
        </w:rPr>
        <w:t> </w:t>
      </w:r>
      <w:r>
        <w:rPr/>
        <w:t>presidido</w:t>
      </w:r>
      <w:r>
        <w:rPr>
          <w:spacing w:val="-2"/>
        </w:rPr>
        <w:t> </w:t>
      </w:r>
      <w:r>
        <w:rPr/>
        <w:t>y</w:t>
      </w:r>
      <w:r>
        <w:rPr>
          <w:spacing w:val="-3"/>
        </w:rPr>
        <w:t> </w:t>
      </w:r>
      <w:r>
        <w:rPr/>
        <w:t>operado</w:t>
      </w:r>
      <w:r>
        <w:rPr>
          <w:spacing w:val="-2"/>
        </w:rPr>
        <w:t> </w:t>
      </w:r>
      <w:r>
        <w:rPr/>
        <w:t>por</w:t>
      </w:r>
      <w:r>
        <w:rPr>
          <w:spacing w:val="-1"/>
        </w:rPr>
        <w:t> </w:t>
      </w:r>
      <w:r>
        <w:rPr/>
        <w:t>el</w:t>
      </w:r>
      <w:r>
        <w:rPr>
          <w:spacing w:val="-3"/>
        </w:rPr>
        <w:t> </w:t>
      </w:r>
      <w:r>
        <w:rPr/>
        <w:t>Instituto</w:t>
      </w:r>
      <w:r>
        <w:rPr>
          <w:spacing w:val="-2"/>
        </w:rPr>
        <w:t> </w:t>
      </w:r>
      <w:r>
        <w:rPr/>
        <w:t>Registral</w:t>
      </w:r>
      <w:r>
        <w:rPr>
          <w:spacing w:val="-3"/>
        </w:rPr>
        <w:t> </w:t>
      </w:r>
      <w:r>
        <w:rPr/>
        <w:t>y</w:t>
      </w:r>
      <w:r>
        <w:rPr>
          <w:spacing w:val="-3"/>
        </w:rPr>
        <w:t> </w:t>
      </w:r>
      <w:r>
        <w:rPr/>
        <w:t>Catastral</w:t>
      </w:r>
      <w:r>
        <w:rPr>
          <w:spacing w:val="-5"/>
        </w:rPr>
        <w:t> </w:t>
      </w:r>
      <w:r>
        <w:rPr/>
        <w:t>del</w:t>
      </w:r>
      <w:r>
        <w:rPr>
          <w:spacing w:val="-3"/>
        </w:rPr>
        <w:t> </w:t>
      </w:r>
      <w:r>
        <w:rPr/>
        <w:t>Estado</w:t>
      </w:r>
      <w:r>
        <w:rPr>
          <w:spacing w:val="-2"/>
        </w:rPr>
        <w:t> </w:t>
      </w:r>
      <w:r>
        <w:rPr/>
        <w:t>y será</w:t>
      </w:r>
      <w:r>
        <w:rPr>
          <w:spacing w:val="-5"/>
        </w:rPr>
        <w:t> </w:t>
      </w:r>
      <w:r>
        <w:rPr/>
        <w:t>obligatorio</w:t>
      </w:r>
      <w:r>
        <w:rPr>
          <w:spacing w:val="-5"/>
        </w:rPr>
        <w:t> </w:t>
      </w:r>
      <w:r>
        <w:rPr/>
        <w:t>para</w:t>
      </w:r>
      <w:r>
        <w:rPr>
          <w:spacing w:val="-5"/>
        </w:rPr>
        <w:t> </w:t>
      </w:r>
      <w:r>
        <w:rPr/>
        <w:t>todas</w:t>
      </w:r>
      <w:r>
        <w:rPr>
          <w:spacing w:val="-3"/>
        </w:rPr>
        <w:t> </w:t>
      </w:r>
      <w:r>
        <w:rPr/>
        <w:t>las</w:t>
      </w:r>
      <w:r>
        <w:rPr>
          <w:spacing w:val="-4"/>
        </w:rPr>
        <w:t> </w:t>
      </w:r>
      <w:r>
        <w:rPr/>
        <w:t>autoridades</w:t>
      </w:r>
      <w:r>
        <w:rPr>
          <w:spacing w:val="-4"/>
        </w:rPr>
        <w:t> </w:t>
      </w:r>
      <w:r>
        <w:rPr/>
        <w:t>estatales</w:t>
      </w:r>
      <w:r>
        <w:rPr>
          <w:spacing w:val="-4"/>
        </w:rPr>
        <w:t> </w:t>
      </w:r>
      <w:r>
        <w:rPr/>
        <w:t>y</w:t>
      </w:r>
      <w:r>
        <w:rPr>
          <w:spacing w:val="-4"/>
        </w:rPr>
        <w:t> </w:t>
      </w:r>
      <w:r>
        <w:rPr/>
        <w:t>municipales,</w:t>
      </w:r>
      <w:r>
        <w:rPr>
          <w:spacing w:val="-5"/>
        </w:rPr>
        <w:t> </w:t>
      </w:r>
      <w:r>
        <w:rPr/>
        <w:t>proporcionar</w:t>
      </w:r>
      <w:r>
        <w:rPr>
          <w:spacing w:val="-5"/>
        </w:rPr>
        <w:t> </w:t>
      </w:r>
      <w:r>
        <w:rPr/>
        <w:t>la</w:t>
      </w:r>
      <w:r>
        <w:rPr>
          <w:spacing w:val="-5"/>
        </w:rPr>
        <w:t> </w:t>
      </w:r>
      <w:r>
        <w:rPr/>
        <w:t>información</w:t>
      </w:r>
      <w:r>
        <w:rPr>
          <w:spacing w:val="-6"/>
        </w:rPr>
        <w:t> </w:t>
      </w:r>
      <w:r>
        <w:rPr/>
        <w:t>que generen en esta materia en el SITU, a través de la plataforma electrónica del mismo.</w:t>
      </w:r>
    </w:p>
    <w:p>
      <w:pPr>
        <w:pStyle w:val="BodyText"/>
      </w:pPr>
    </w:p>
    <w:p>
      <w:pPr>
        <w:pStyle w:val="BodyText"/>
        <w:ind w:left="262" w:right="286"/>
        <w:jc w:val="both"/>
      </w:pPr>
      <w:r>
        <w:rPr/>
        <w:t>Dicha información deberá ser verificada y aprobada por la instancia que corresponda, en los casos que determine el Reglamento del Sistema.</w:t>
      </w:r>
    </w:p>
    <w:p>
      <w:pPr>
        <w:pStyle w:val="BodyText"/>
        <w:spacing w:before="229"/>
        <w:ind w:left="262" w:right="287"/>
        <w:jc w:val="both"/>
      </w:pPr>
      <w:r>
        <w:rPr/>
        <w:t>El acceso a la plataforma electrónica a través de la cual se alimente el SITU deberá ser proporcionada a los entes obligados, por el Instituto Registral y Catastral del Estado.</w:t>
      </w:r>
    </w:p>
    <w:p>
      <w:pPr>
        <w:pStyle w:val="BodyText"/>
        <w:spacing w:before="1"/>
      </w:pPr>
    </w:p>
    <w:p>
      <w:pPr>
        <w:pStyle w:val="BodyText"/>
        <w:ind w:left="262" w:right="288"/>
        <w:jc w:val="both"/>
      </w:pPr>
      <w:r>
        <w:rPr/>
        <w:t>La falta de cumplimiento de los servidores públicos, de integrar la información de conformidad con los</w:t>
      </w:r>
      <w:r>
        <w:rPr>
          <w:spacing w:val="-14"/>
        </w:rPr>
        <w:t> </w:t>
      </w:r>
      <w:r>
        <w:rPr/>
        <w:t>tiempos</w:t>
      </w:r>
      <w:r>
        <w:rPr>
          <w:spacing w:val="-14"/>
        </w:rPr>
        <w:t> </w:t>
      </w:r>
      <w:r>
        <w:rPr/>
        <w:t>que</w:t>
      </w:r>
      <w:r>
        <w:rPr>
          <w:spacing w:val="-14"/>
        </w:rPr>
        <w:t> </w:t>
      </w:r>
      <w:r>
        <w:rPr/>
        <w:t>determine</w:t>
      </w:r>
      <w:r>
        <w:rPr>
          <w:spacing w:val="-14"/>
        </w:rPr>
        <w:t> </w:t>
      </w:r>
      <w:r>
        <w:rPr/>
        <w:t>el</w:t>
      </w:r>
      <w:r>
        <w:rPr>
          <w:spacing w:val="-14"/>
        </w:rPr>
        <w:t> </w:t>
      </w:r>
      <w:r>
        <w:rPr/>
        <w:t>reglamento,</w:t>
      </w:r>
      <w:r>
        <w:rPr>
          <w:spacing w:val="-14"/>
        </w:rPr>
        <w:t> </w:t>
      </w:r>
      <w:r>
        <w:rPr/>
        <w:t>serán</w:t>
      </w:r>
      <w:r>
        <w:rPr>
          <w:spacing w:val="-14"/>
        </w:rPr>
        <w:t> </w:t>
      </w:r>
      <w:r>
        <w:rPr/>
        <w:t>sujetos</w:t>
      </w:r>
      <w:r>
        <w:rPr>
          <w:spacing w:val="-14"/>
        </w:rPr>
        <w:t> </w:t>
      </w:r>
      <w:r>
        <w:rPr/>
        <w:t>de</w:t>
      </w:r>
      <w:r>
        <w:rPr>
          <w:spacing w:val="-14"/>
        </w:rPr>
        <w:t> </w:t>
      </w:r>
      <w:r>
        <w:rPr/>
        <w:t>las</w:t>
      </w:r>
      <w:r>
        <w:rPr>
          <w:spacing w:val="-13"/>
        </w:rPr>
        <w:t> </w:t>
      </w:r>
      <w:r>
        <w:rPr/>
        <w:t>responsabilidades</w:t>
      </w:r>
      <w:r>
        <w:rPr>
          <w:spacing w:val="-14"/>
        </w:rPr>
        <w:t> </w:t>
      </w:r>
      <w:r>
        <w:rPr/>
        <w:t>administrativas</w:t>
      </w:r>
      <w:r>
        <w:rPr>
          <w:spacing w:val="-14"/>
        </w:rPr>
        <w:t> </w:t>
      </w:r>
      <w:r>
        <w:rPr/>
        <w:t>que establece la ley.</w:t>
      </w:r>
    </w:p>
    <w:p>
      <w:pPr>
        <w:pStyle w:val="BodyText"/>
        <w:spacing w:before="229"/>
        <w:ind w:left="262"/>
        <w:jc w:val="both"/>
      </w:pPr>
      <w:r>
        <w:rPr>
          <w:rFonts w:ascii="Arial" w:hAnsi="Arial"/>
          <w:b/>
        </w:rPr>
        <w:t>ARTÍCULO</w:t>
      </w:r>
      <w:r>
        <w:rPr>
          <w:rFonts w:ascii="Arial" w:hAnsi="Arial"/>
          <w:b/>
          <w:spacing w:val="-7"/>
        </w:rPr>
        <w:t> </w:t>
      </w:r>
      <w:r>
        <w:rPr>
          <w:rFonts w:ascii="Arial" w:hAnsi="Arial"/>
          <w:b/>
        </w:rPr>
        <w:t>234.</w:t>
      </w:r>
      <w:r>
        <w:rPr>
          <w:rFonts w:ascii="Arial" w:hAnsi="Arial"/>
          <w:b/>
          <w:spacing w:val="-8"/>
        </w:rPr>
        <w:t> </w:t>
      </w:r>
      <w:r>
        <w:rPr/>
        <w:t>La</w:t>
      </w:r>
      <w:r>
        <w:rPr>
          <w:spacing w:val="-8"/>
        </w:rPr>
        <w:t> </w:t>
      </w:r>
      <w:r>
        <w:rPr/>
        <w:t>Plataforma</w:t>
      </w:r>
      <w:r>
        <w:rPr>
          <w:spacing w:val="-8"/>
        </w:rPr>
        <w:t> </w:t>
      </w:r>
      <w:r>
        <w:rPr/>
        <w:t>de</w:t>
      </w:r>
      <w:r>
        <w:rPr>
          <w:spacing w:val="-6"/>
        </w:rPr>
        <w:t> </w:t>
      </w:r>
      <w:r>
        <w:rPr/>
        <w:t>información</w:t>
      </w:r>
      <w:r>
        <w:rPr>
          <w:spacing w:val="-7"/>
        </w:rPr>
        <w:t> </w:t>
      </w:r>
      <w:r>
        <w:rPr/>
        <w:t>del</w:t>
      </w:r>
      <w:r>
        <w:rPr>
          <w:spacing w:val="-8"/>
        </w:rPr>
        <w:t> </w:t>
      </w:r>
      <w:r>
        <w:rPr/>
        <w:t>SITU</w:t>
      </w:r>
      <w:r>
        <w:rPr>
          <w:spacing w:val="-7"/>
        </w:rPr>
        <w:t> </w:t>
      </w:r>
      <w:r>
        <w:rPr/>
        <w:t>deberá</w:t>
      </w:r>
      <w:r>
        <w:rPr>
          <w:spacing w:val="-8"/>
        </w:rPr>
        <w:t> </w:t>
      </w:r>
      <w:r>
        <w:rPr/>
        <w:t>contener</w:t>
      </w:r>
      <w:r>
        <w:rPr>
          <w:spacing w:val="-8"/>
        </w:rPr>
        <w:t> </w:t>
      </w:r>
      <w:r>
        <w:rPr/>
        <w:t>cuando</w:t>
      </w:r>
      <w:r>
        <w:rPr>
          <w:spacing w:val="-7"/>
        </w:rPr>
        <w:t> </w:t>
      </w:r>
      <w:r>
        <w:rPr>
          <w:spacing w:val="-2"/>
        </w:rPr>
        <w:t>menos:</w:t>
      </w:r>
    </w:p>
    <w:p>
      <w:pPr>
        <w:pStyle w:val="BodyText"/>
        <w:spacing w:before="1"/>
      </w:pPr>
    </w:p>
    <w:p>
      <w:pPr>
        <w:pStyle w:val="ListParagraph"/>
        <w:numPr>
          <w:ilvl w:val="0"/>
          <w:numId w:val="87"/>
        </w:numPr>
        <w:tabs>
          <w:tab w:pos="688" w:val="left" w:leader="none"/>
        </w:tabs>
        <w:spacing w:line="240" w:lineRule="auto" w:before="0" w:after="0"/>
        <w:ind w:left="262" w:right="284" w:firstLine="0"/>
        <w:jc w:val="both"/>
        <w:rPr>
          <w:sz w:val="20"/>
        </w:rPr>
      </w:pPr>
      <w:r>
        <w:rPr>
          <w:sz w:val="20"/>
        </w:rPr>
        <w:t>El Programa de Ordenamiento Territorial y Desarrollo Urbano del Estado y los programas que deriven de éste;</w:t>
      </w:r>
    </w:p>
    <w:p>
      <w:pPr>
        <w:pStyle w:val="ListParagraph"/>
        <w:numPr>
          <w:ilvl w:val="0"/>
          <w:numId w:val="87"/>
        </w:numPr>
        <w:tabs>
          <w:tab w:pos="686" w:val="left" w:leader="none"/>
        </w:tabs>
        <w:spacing w:line="240" w:lineRule="auto" w:before="229" w:after="0"/>
        <w:ind w:left="686" w:right="0" w:hanging="424"/>
        <w:jc w:val="both"/>
        <w:rPr>
          <w:sz w:val="20"/>
        </w:rPr>
      </w:pPr>
      <w:r>
        <w:rPr>
          <w:sz w:val="20"/>
        </w:rPr>
        <w:t>Los</w:t>
      </w:r>
      <w:r>
        <w:rPr>
          <w:spacing w:val="-8"/>
          <w:sz w:val="20"/>
        </w:rPr>
        <w:t> </w:t>
      </w:r>
      <w:r>
        <w:rPr>
          <w:sz w:val="20"/>
        </w:rPr>
        <w:t>planes</w:t>
      </w:r>
      <w:r>
        <w:rPr>
          <w:spacing w:val="-5"/>
          <w:sz w:val="20"/>
        </w:rPr>
        <w:t> </w:t>
      </w:r>
      <w:r>
        <w:rPr>
          <w:sz w:val="20"/>
        </w:rPr>
        <w:t>o</w:t>
      </w:r>
      <w:r>
        <w:rPr>
          <w:spacing w:val="-8"/>
          <w:sz w:val="20"/>
        </w:rPr>
        <w:t> </w:t>
      </w:r>
      <w:r>
        <w:rPr>
          <w:sz w:val="20"/>
        </w:rPr>
        <w:t>programas</w:t>
      </w:r>
      <w:r>
        <w:rPr>
          <w:spacing w:val="-5"/>
          <w:sz w:val="20"/>
        </w:rPr>
        <w:t> </w:t>
      </w:r>
      <w:r>
        <w:rPr>
          <w:sz w:val="20"/>
        </w:rPr>
        <w:t>de</w:t>
      </w:r>
      <w:r>
        <w:rPr>
          <w:spacing w:val="-7"/>
          <w:sz w:val="20"/>
        </w:rPr>
        <w:t> </w:t>
      </w:r>
      <w:r>
        <w:rPr>
          <w:sz w:val="20"/>
        </w:rPr>
        <w:t>ordenamiento</w:t>
      </w:r>
      <w:r>
        <w:rPr>
          <w:spacing w:val="-8"/>
          <w:sz w:val="20"/>
        </w:rPr>
        <w:t> </w:t>
      </w:r>
      <w:r>
        <w:rPr>
          <w:sz w:val="20"/>
        </w:rPr>
        <w:t>ecológico</w:t>
      </w:r>
      <w:r>
        <w:rPr>
          <w:spacing w:val="-6"/>
          <w:sz w:val="20"/>
        </w:rPr>
        <w:t> </w:t>
      </w:r>
      <w:r>
        <w:rPr>
          <w:sz w:val="20"/>
        </w:rPr>
        <w:t>del</w:t>
      </w:r>
      <w:r>
        <w:rPr>
          <w:spacing w:val="-7"/>
          <w:sz w:val="20"/>
        </w:rPr>
        <w:t> </w:t>
      </w:r>
      <w:r>
        <w:rPr>
          <w:spacing w:val="-2"/>
          <w:sz w:val="20"/>
        </w:rPr>
        <w:t>Estado;</w:t>
      </w:r>
    </w:p>
    <w:p>
      <w:pPr>
        <w:pStyle w:val="BodyText"/>
        <w:spacing w:before="1"/>
      </w:pPr>
    </w:p>
    <w:p>
      <w:pPr>
        <w:pStyle w:val="ListParagraph"/>
        <w:numPr>
          <w:ilvl w:val="0"/>
          <w:numId w:val="87"/>
        </w:numPr>
        <w:tabs>
          <w:tab w:pos="741" w:val="left" w:leader="none"/>
        </w:tabs>
        <w:spacing w:line="240" w:lineRule="auto" w:before="0" w:after="0"/>
        <w:ind w:left="741" w:right="0" w:hanging="479"/>
        <w:jc w:val="both"/>
        <w:rPr>
          <w:sz w:val="20"/>
        </w:rPr>
      </w:pPr>
      <w:r>
        <w:rPr>
          <w:sz w:val="20"/>
        </w:rPr>
        <w:t>Los</w:t>
      </w:r>
      <w:r>
        <w:rPr>
          <w:spacing w:val="-9"/>
          <w:sz w:val="20"/>
        </w:rPr>
        <w:t> </w:t>
      </w:r>
      <w:r>
        <w:rPr>
          <w:sz w:val="20"/>
        </w:rPr>
        <w:t>programas</w:t>
      </w:r>
      <w:r>
        <w:rPr>
          <w:spacing w:val="-7"/>
          <w:sz w:val="20"/>
        </w:rPr>
        <w:t> </w:t>
      </w:r>
      <w:r>
        <w:rPr>
          <w:sz w:val="20"/>
        </w:rPr>
        <w:t>municipales</w:t>
      </w:r>
      <w:r>
        <w:rPr>
          <w:spacing w:val="-9"/>
          <w:sz w:val="20"/>
        </w:rPr>
        <w:t> </w:t>
      </w:r>
      <w:r>
        <w:rPr>
          <w:sz w:val="20"/>
        </w:rPr>
        <w:t>de</w:t>
      </w:r>
      <w:r>
        <w:rPr>
          <w:spacing w:val="-11"/>
          <w:sz w:val="20"/>
        </w:rPr>
        <w:t> </w:t>
      </w:r>
      <w:r>
        <w:rPr>
          <w:sz w:val="20"/>
        </w:rPr>
        <w:t>ordenamiento</w:t>
      </w:r>
      <w:r>
        <w:rPr>
          <w:spacing w:val="-9"/>
          <w:sz w:val="20"/>
        </w:rPr>
        <w:t> </w:t>
      </w:r>
      <w:r>
        <w:rPr>
          <w:sz w:val="20"/>
        </w:rPr>
        <w:t>territorial</w:t>
      </w:r>
      <w:r>
        <w:rPr>
          <w:spacing w:val="-10"/>
          <w:sz w:val="20"/>
        </w:rPr>
        <w:t> </w:t>
      </w:r>
      <w:r>
        <w:rPr>
          <w:sz w:val="20"/>
        </w:rPr>
        <w:t>y</w:t>
      </w:r>
      <w:r>
        <w:rPr>
          <w:spacing w:val="-9"/>
          <w:sz w:val="20"/>
        </w:rPr>
        <w:t> </w:t>
      </w:r>
      <w:r>
        <w:rPr>
          <w:sz w:val="20"/>
        </w:rPr>
        <w:t>desarrollo</w:t>
      </w:r>
      <w:r>
        <w:rPr>
          <w:spacing w:val="-8"/>
          <w:sz w:val="20"/>
        </w:rPr>
        <w:t> </w:t>
      </w:r>
      <w:r>
        <w:rPr>
          <w:spacing w:val="-2"/>
          <w:sz w:val="20"/>
        </w:rPr>
        <w:t>urbano;</w:t>
      </w:r>
    </w:p>
    <w:p>
      <w:pPr>
        <w:pStyle w:val="BodyText"/>
        <w:spacing w:before="1"/>
      </w:pPr>
    </w:p>
    <w:p>
      <w:pPr>
        <w:pStyle w:val="ListParagraph"/>
        <w:numPr>
          <w:ilvl w:val="0"/>
          <w:numId w:val="87"/>
        </w:numPr>
        <w:tabs>
          <w:tab w:pos="688" w:val="left" w:leader="none"/>
        </w:tabs>
        <w:spacing w:line="240" w:lineRule="auto" w:before="0" w:after="0"/>
        <w:ind w:left="262" w:right="286" w:firstLine="0"/>
        <w:jc w:val="both"/>
        <w:rPr>
          <w:sz w:val="20"/>
        </w:rPr>
      </w:pPr>
      <w:r>
        <w:rPr>
          <w:sz w:val="20"/>
        </w:rPr>
        <w:t>Planos cartográficos autorizados estatal y municipales, relacionados con el ordenamiento </w:t>
      </w:r>
      <w:r>
        <w:rPr>
          <w:spacing w:val="-2"/>
          <w:sz w:val="20"/>
        </w:rPr>
        <w:t>territorial;</w:t>
      </w:r>
    </w:p>
    <w:p>
      <w:pPr>
        <w:pStyle w:val="ListParagraph"/>
        <w:numPr>
          <w:ilvl w:val="0"/>
          <w:numId w:val="87"/>
        </w:numPr>
        <w:tabs>
          <w:tab w:pos="688" w:val="left" w:leader="none"/>
        </w:tabs>
        <w:spacing w:line="240" w:lineRule="auto" w:before="229" w:after="0"/>
        <w:ind w:left="688" w:right="0" w:hanging="426"/>
        <w:jc w:val="both"/>
        <w:rPr>
          <w:sz w:val="20"/>
        </w:rPr>
      </w:pPr>
      <w:r>
        <w:rPr>
          <w:sz w:val="20"/>
        </w:rPr>
        <w:t>Los</w:t>
      </w:r>
      <w:r>
        <w:rPr>
          <w:spacing w:val="-5"/>
          <w:sz w:val="20"/>
        </w:rPr>
        <w:t> </w:t>
      </w:r>
      <w:r>
        <w:rPr>
          <w:sz w:val="20"/>
        </w:rPr>
        <w:t>Atlas</w:t>
      </w:r>
      <w:r>
        <w:rPr>
          <w:spacing w:val="-5"/>
          <w:sz w:val="20"/>
        </w:rPr>
        <w:t> </w:t>
      </w:r>
      <w:r>
        <w:rPr>
          <w:sz w:val="20"/>
        </w:rPr>
        <w:t>de</w:t>
      </w:r>
      <w:r>
        <w:rPr>
          <w:spacing w:val="-6"/>
          <w:sz w:val="20"/>
        </w:rPr>
        <w:t> </w:t>
      </w:r>
      <w:r>
        <w:rPr>
          <w:sz w:val="20"/>
        </w:rPr>
        <w:t>riesgos</w:t>
      </w:r>
      <w:r>
        <w:rPr>
          <w:spacing w:val="-4"/>
          <w:sz w:val="20"/>
        </w:rPr>
        <w:t> </w:t>
      </w:r>
      <w:r>
        <w:rPr>
          <w:sz w:val="20"/>
        </w:rPr>
        <w:t>estatales</w:t>
      </w:r>
      <w:r>
        <w:rPr>
          <w:spacing w:val="-5"/>
          <w:sz w:val="20"/>
        </w:rPr>
        <w:t> </w:t>
      </w:r>
      <w:r>
        <w:rPr>
          <w:sz w:val="20"/>
        </w:rPr>
        <w:t>y</w:t>
      </w:r>
      <w:r>
        <w:rPr>
          <w:spacing w:val="-5"/>
          <w:sz w:val="20"/>
        </w:rPr>
        <w:t> </w:t>
      </w:r>
      <w:r>
        <w:rPr>
          <w:spacing w:val="-2"/>
          <w:sz w:val="20"/>
        </w:rPr>
        <w:t>municipales;</w:t>
      </w:r>
    </w:p>
    <w:p>
      <w:pPr>
        <w:pStyle w:val="BodyText"/>
        <w:spacing w:before="1"/>
      </w:pPr>
    </w:p>
    <w:p>
      <w:pPr>
        <w:pStyle w:val="ListParagraph"/>
        <w:numPr>
          <w:ilvl w:val="0"/>
          <w:numId w:val="87"/>
        </w:numPr>
        <w:tabs>
          <w:tab w:pos="688" w:val="left" w:leader="none"/>
        </w:tabs>
        <w:spacing w:line="240" w:lineRule="auto" w:before="0" w:after="0"/>
        <w:ind w:left="688" w:right="0" w:hanging="426"/>
        <w:jc w:val="both"/>
        <w:rPr>
          <w:sz w:val="20"/>
        </w:rPr>
      </w:pPr>
      <w:r>
        <w:rPr>
          <w:sz w:val="20"/>
        </w:rPr>
        <w:t>Los</w:t>
      </w:r>
      <w:r>
        <w:rPr>
          <w:spacing w:val="-9"/>
          <w:sz w:val="20"/>
        </w:rPr>
        <w:t> </w:t>
      </w:r>
      <w:r>
        <w:rPr>
          <w:sz w:val="20"/>
        </w:rPr>
        <w:t>asentamientos</w:t>
      </w:r>
      <w:r>
        <w:rPr>
          <w:spacing w:val="-9"/>
          <w:sz w:val="20"/>
        </w:rPr>
        <w:t> </w:t>
      </w:r>
      <w:r>
        <w:rPr>
          <w:sz w:val="20"/>
        </w:rPr>
        <w:t>humanos</w:t>
      </w:r>
      <w:r>
        <w:rPr>
          <w:spacing w:val="-9"/>
          <w:sz w:val="20"/>
        </w:rPr>
        <w:t> </w:t>
      </w:r>
      <w:r>
        <w:rPr>
          <w:spacing w:val="-2"/>
          <w:sz w:val="20"/>
        </w:rPr>
        <w:t>irregulares;</w:t>
      </w:r>
    </w:p>
    <w:p>
      <w:pPr>
        <w:pStyle w:val="ListParagraph"/>
        <w:numPr>
          <w:ilvl w:val="0"/>
          <w:numId w:val="87"/>
        </w:numPr>
        <w:tabs>
          <w:tab w:pos="688" w:val="left" w:leader="none"/>
        </w:tabs>
        <w:spacing w:line="240" w:lineRule="auto" w:before="229" w:after="0"/>
        <w:ind w:left="688" w:right="0" w:hanging="426"/>
        <w:jc w:val="both"/>
        <w:rPr>
          <w:sz w:val="20"/>
        </w:rPr>
      </w:pPr>
      <w:r>
        <w:rPr>
          <w:sz w:val="20"/>
        </w:rPr>
        <w:t>Las</w:t>
      </w:r>
      <w:r>
        <w:rPr>
          <w:spacing w:val="-8"/>
          <w:sz w:val="20"/>
        </w:rPr>
        <w:t> </w:t>
      </w:r>
      <w:r>
        <w:rPr>
          <w:sz w:val="20"/>
        </w:rPr>
        <w:t>declaratorias</w:t>
      </w:r>
      <w:r>
        <w:rPr>
          <w:spacing w:val="-8"/>
          <w:sz w:val="20"/>
        </w:rPr>
        <w:t> </w:t>
      </w:r>
      <w:r>
        <w:rPr>
          <w:sz w:val="20"/>
        </w:rPr>
        <w:t>de</w:t>
      </w:r>
      <w:r>
        <w:rPr>
          <w:spacing w:val="-9"/>
          <w:sz w:val="20"/>
        </w:rPr>
        <w:t> </w:t>
      </w:r>
      <w:r>
        <w:rPr>
          <w:sz w:val="20"/>
        </w:rPr>
        <w:t>áreas</w:t>
      </w:r>
      <w:r>
        <w:rPr>
          <w:spacing w:val="-6"/>
          <w:sz w:val="20"/>
        </w:rPr>
        <w:t> </w:t>
      </w:r>
      <w:r>
        <w:rPr>
          <w:sz w:val="20"/>
        </w:rPr>
        <w:t>naturales</w:t>
      </w:r>
      <w:r>
        <w:rPr>
          <w:spacing w:val="-8"/>
          <w:sz w:val="20"/>
        </w:rPr>
        <w:t> </w:t>
      </w:r>
      <w:r>
        <w:rPr>
          <w:spacing w:val="-2"/>
          <w:sz w:val="20"/>
        </w:rPr>
        <w:t>protegidas;</w:t>
      </w:r>
    </w:p>
    <w:p>
      <w:pPr>
        <w:pStyle w:val="BodyText"/>
      </w:pPr>
    </w:p>
    <w:p>
      <w:pPr>
        <w:pStyle w:val="ListParagraph"/>
        <w:numPr>
          <w:ilvl w:val="0"/>
          <w:numId w:val="87"/>
        </w:numPr>
        <w:tabs>
          <w:tab w:pos="688" w:val="left" w:leader="none"/>
        </w:tabs>
        <w:spacing w:line="240" w:lineRule="auto" w:before="0" w:after="0"/>
        <w:ind w:left="688" w:right="0" w:hanging="426"/>
        <w:jc w:val="both"/>
        <w:rPr>
          <w:sz w:val="20"/>
        </w:rPr>
      </w:pPr>
      <w:r>
        <w:rPr>
          <w:sz w:val="20"/>
        </w:rPr>
        <w:t>La</w:t>
      </w:r>
      <w:r>
        <w:rPr>
          <w:spacing w:val="-7"/>
          <w:sz w:val="20"/>
        </w:rPr>
        <w:t> </w:t>
      </w:r>
      <w:r>
        <w:rPr>
          <w:sz w:val="20"/>
        </w:rPr>
        <w:t>densificación</w:t>
      </w:r>
      <w:r>
        <w:rPr>
          <w:spacing w:val="-6"/>
          <w:sz w:val="20"/>
        </w:rPr>
        <w:t> </w:t>
      </w:r>
      <w:r>
        <w:rPr>
          <w:sz w:val="20"/>
        </w:rPr>
        <w:t>actual</w:t>
      </w:r>
      <w:r>
        <w:rPr>
          <w:spacing w:val="-5"/>
          <w:sz w:val="20"/>
        </w:rPr>
        <w:t> </w:t>
      </w:r>
      <w:r>
        <w:rPr>
          <w:sz w:val="20"/>
        </w:rPr>
        <w:t>del</w:t>
      </w:r>
      <w:r>
        <w:rPr>
          <w:spacing w:val="-5"/>
          <w:sz w:val="20"/>
        </w:rPr>
        <w:t> </w:t>
      </w:r>
      <w:r>
        <w:rPr>
          <w:sz w:val="20"/>
        </w:rPr>
        <w:t>uso</w:t>
      </w:r>
      <w:r>
        <w:rPr>
          <w:spacing w:val="-6"/>
          <w:sz w:val="20"/>
        </w:rPr>
        <w:t> </w:t>
      </w:r>
      <w:r>
        <w:rPr>
          <w:sz w:val="20"/>
        </w:rPr>
        <w:t>de</w:t>
      </w:r>
      <w:r>
        <w:rPr>
          <w:spacing w:val="-5"/>
          <w:sz w:val="20"/>
        </w:rPr>
        <w:t> </w:t>
      </w:r>
      <w:r>
        <w:rPr>
          <w:sz w:val="20"/>
        </w:rPr>
        <w:t>suelo</w:t>
      </w:r>
      <w:r>
        <w:rPr>
          <w:spacing w:val="-6"/>
          <w:sz w:val="20"/>
        </w:rPr>
        <w:t> </w:t>
      </w:r>
      <w:r>
        <w:rPr>
          <w:sz w:val="20"/>
        </w:rPr>
        <w:t>de</w:t>
      </w:r>
      <w:r>
        <w:rPr>
          <w:spacing w:val="-4"/>
          <w:sz w:val="20"/>
        </w:rPr>
        <w:t> </w:t>
      </w:r>
      <w:r>
        <w:rPr>
          <w:sz w:val="20"/>
        </w:rPr>
        <w:t>los</w:t>
      </w:r>
      <w:r>
        <w:rPr>
          <w:spacing w:val="-5"/>
          <w:sz w:val="20"/>
        </w:rPr>
        <w:t> </w:t>
      </w:r>
      <w:r>
        <w:rPr>
          <w:sz w:val="20"/>
        </w:rPr>
        <w:t>centros</w:t>
      </w:r>
      <w:r>
        <w:rPr>
          <w:spacing w:val="-2"/>
          <w:sz w:val="20"/>
        </w:rPr>
        <w:t> </w:t>
      </w:r>
      <w:r>
        <w:rPr>
          <w:sz w:val="20"/>
        </w:rPr>
        <w:t>de</w:t>
      </w:r>
      <w:r>
        <w:rPr>
          <w:spacing w:val="-7"/>
          <w:sz w:val="20"/>
        </w:rPr>
        <w:t> </w:t>
      </w:r>
      <w:r>
        <w:rPr>
          <w:spacing w:val="-2"/>
          <w:sz w:val="20"/>
        </w:rPr>
        <w:t>población;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87"/>
        </w:numPr>
        <w:tabs>
          <w:tab w:pos="688" w:val="left" w:leader="none"/>
        </w:tabs>
        <w:spacing w:line="240" w:lineRule="auto" w:before="0" w:after="0"/>
        <w:ind w:left="688" w:right="0" w:hanging="426"/>
        <w:jc w:val="both"/>
        <w:rPr>
          <w:sz w:val="20"/>
        </w:rPr>
      </w:pPr>
      <w:r>
        <w:rPr>
          <w:sz w:val="20"/>
        </w:rPr>
        <w:t>Las</w:t>
      </w:r>
      <w:r>
        <w:rPr>
          <w:spacing w:val="-8"/>
          <w:sz w:val="20"/>
        </w:rPr>
        <w:t> </w:t>
      </w:r>
      <w:r>
        <w:rPr>
          <w:sz w:val="20"/>
        </w:rPr>
        <w:t>coberturas</w:t>
      </w:r>
      <w:r>
        <w:rPr>
          <w:spacing w:val="-7"/>
          <w:sz w:val="20"/>
        </w:rPr>
        <w:t> </w:t>
      </w:r>
      <w:r>
        <w:rPr>
          <w:sz w:val="20"/>
        </w:rPr>
        <w:t>de</w:t>
      </w:r>
      <w:r>
        <w:rPr>
          <w:spacing w:val="-7"/>
          <w:sz w:val="20"/>
        </w:rPr>
        <w:t> </w:t>
      </w:r>
      <w:r>
        <w:rPr>
          <w:sz w:val="20"/>
        </w:rPr>
        <w:t>amortiguamiento</w:t>
      </w:r>
      <w:r>
        <w:rPr>
          <w:spacing w:val="-6"/>
          <w:sz w:val="20"/>
        </w:rPr>
        <w:t> </w:t>
      </w:r>
      <w:r>
        <w:rPr>
          <w:sz w:val="20"/>
        </w:rPr>
        <w:t>ambiental</w:t>
      </w:r>
      <w:r>
        <w:rPr>
          <w:spacing w:val="-8"/>
          <w:sz w:val="20"/>
        </w:rPr>
        <w:t> </w:t>
      </w:r>
      <w:r>
        <w:rPr>
          <w:sz w:val="20"/>
        </w:rPr>
        <w:t>en</w:t>
      </w:r>
      <w:r>
        <w:rPr>
          <w:spacing w:val="-7"/>
          <w:sz w:val="20"/>
        </w:rPr>
        <w:t> </w:t>
      </w:r>
      <w:r>
        <w:rPr>
          <w:sz w:val="20"/>
        </w:rPr>
        <w:t>los</w:t>
      </w:r>
      <w:r>
        <w:rPr>
          <w:spacing w:val="-7"/>
          <w:sz w:val="20"/>
        </w:rPr>
        <w:t> </w:t>
      </w:r>
      <w:r>
        <w:rPr>
          <w:sz w:val="20"/>
        </w:rPr>
        <w:t>centros</w:t>
      </w:r>
      <w:r>
        <w:rPr>
          <w:spacing w:val="-7"/>
          <w:sz w:val="20"/>
        </w:rPr>
        <w:t> </w:t>
      </w:r>
      <w:r>
        <w:rPr>
          <w:sz w:val="20"/>
        </w:rPr>
        <w:t>de</w:t>
      </w:r>
      <w:r>
        <w:rPr>
          <w:spacing w:val="-7"/>
          <w:sz w:val="20"/>
        </w:rPr>
        <w:t> </w:t>
      </w:r>
      <w:r>
        <w:rPr>
          <w:spacing w:val="-2"/>
          <w:sz w:val="20"/>
        </w:rPr>
        <w:t>población;</w:t>
      </w:r>
    </w:p>
    <w:p>
      <w:pPr>
        <w:pStyle w:val="BodyText"/>
        <w:spacing w:before="1"/>
      </w:pPr>
    </w:p>
    <w:p>
      <w:pPr>
        <w:pStyle w:val="ListParagraph"/>
        <w:numPr>
          <w:ilvl w:val="0"/>
          <w:numId w:val="87"/>
        </w:numPr>
        <w:tabs>
          <w:tab w:pos="688" w:val="left" w:leader="none"/>
        </w:tabs>
        <w:spacing w:line="240" w:lineRule="auto" w:before="0" w:after="0"/>
        <w:ind w:left="262" w:right="283" w:firstLine="0"/>
        <w:jc w:val="both"/>
        <w:rPr>
          <w:sz w:val="20"/>
        </w:rPr>
      </w:pPr>
      <w:r>
        <w:rPr>
          <w:sz w:val="20"/>
        </w:rPr>
        <w:t>El grado de afectación multi-temporal de la contaminación atmosférica de los centros de población, y</w:t>
      </w:r>
    </w:p>
    <w:p>
      <w:pPr>
        <w:pStyle w:val="ListParagraph"/>
        <w:numPr>
          <w:ilvl w:val="0"/>
          <w:numId w:val="87"/>
        </w:numPr>
        <w:tabs>
          <w:tab w:pos="688" w:val="left" w:leader="none"/>
        </w:tabs>
        <w:spacing w:line="240" w:lineRule="auto" w:before="229" w:after="0"/>
        <w:ind w:left="262" w:right="286" w:firstLine="0"/>
        <w:jc w:val="both"/>
        <w:rPr>
          <w:sz w:val="20"/>
        </w:rPr>
      </w:pPr>
      <w:r>
        <w:rPr>
          <w:sz w:val="20"/>
        </w:rPr>
        <w:t>Los informes y documentos relevantes derivados de actividades científicas, académicas, trabajos técnicos o de cualquier índole en materia de ordenamiento territorial y desarrollo urbano derivados de trabajos de personas morales o físicas, nacionales o extranjeras.</w:t>
      </w:r>
    </w:p>
    <w:p>
      <w:pPr>
        <w:pStyle w:val="BodyText"/>
        <w:spacing w:before="1"/>
      </w:pPr>
    </w:p>
    <w:p>
      <w:pPr>
        <w:pStyle w:val="BodyText"/>
        <w:ind w:left="262" w:right="277"/>
        <w:jc w:val="both"/>
      </w:pPr>
      <w:r>
        <w:rPr>
          <w:rFonts w:ascii="Arial" w:hAnsi="Arial"/>
          <w:b/>
        </w:rPr>
        <w:t>ARTÍCULO 235. </w:t>
      </w:r>
      <w:r>
        <w:rPr/>
        <w:t>Las autoridades estatales y municipales deberán incorporar en sus informes de gobierno anuales, un rubro específico relacionado con el avance en el cumplimiento de los programas</w:t>
      </w:r>
      <w:r>
        <w:rPr>
          <w:spacing w:val="-8"/>
        </w:rPr>
        <w:t> </w:t>
      </w:r>
      <w:r>
        <w:rPr/>
        <w:t>de</w:t>
      </w:r>
      <w:r>
        <w:rPr>
          <w:spacing w:val="-7"/>
        </w:rPr>
        <w:t> </w:t>
      </w:r>
      <w:r>
        <w:rPr/>
        <w:t>ordenamiento</w:t>
      </w:r>
      <w:r>
        <w:rPr>
          <w:spacing w:val="-9"/>
        </w:rPr>
        <w:t> </w:t>
      </w:r>
      <w:r>
        <w:rPr/>
        <w:t>territorial</w:t>
      </w:r>
      <w:r>
        <w:rPr>
          <w:spacing w:val="-10"/>
        </w:rPr>
        <w:t> </w:t>
      </w:r>
      <w:r>
        <w:rPr/>
        <w:t>y</w:t>
      </w:r>
      <w:r>
        <w:rPr>
          <w:spacing w:val="-8"/>
        </w:rPr>
        <w:t> </w:t>
      </w:r>
      <w:r>
        <w:rPr/>
        <w:t>desarrollo</w:t>
      </w:r>
      <w:r>
        <w:rPr>
          <w:spacing w:val="-9"/>
        </w:rPr>
        <w:t> </w:t>
      </w:r>
      <w:r>
        <w:rPr/>
        <w:t>urbano</w:t>
      </w:r>
      <w:r>
        <w:rPr>
          <w:spacing w:val="-9"/>
        </w:rPr>
        <w:t> </w:t>
      </w:r>
      <w:r>
        <w:rPr/>
        <w:t>y</w:t>
      </w:r>
      <w:r>
        <w:rPr>
          <w:spacing w:val="-8"/>
        </w:rPr>
        <w:t> </w:t>
      </w:r>
      <w:r>
        <w:rPr/>
        <w:t>desarrollo</w:t>
      </w:r>
      <w:r>
        <w:rPr>
          <w:spacing w:val="-9"/>
        </w:rPr>
        <w:t> </w:t>
      </w:r>
      <w:r>
        <w:rPr/>
        <w:t>metropolitano,</w:t>
      </w:r>
      <w:r>
        <w:rPr>
          <w:spacing w:val="-9"/>
        </w:rPr>
        <w:t> </w:t>
      </w:r>
      <w:r>
        <w:rPr/>
        <w:t>así</w:t>
      </w:r>
      <w:r>
        <w:rPr>
          <w:spacing w:val="-9"/>
        </w:rPr>
        <w:t> </w:t>
      </w:r>
      <w:r>
        <w:rPr/>
        <w:t>como</w:t>
      </w:r>
      <w:r>
        <w:rPr>
          <w:spacing w:val="-7"/>
        </w:rPr>
        <w:t> </w:t>
      </w:r>
      <w:r>
        <w:rPr/>
        <w:t>en</w:t>
      </w:r>
      <w:r>
        <w:rPr>
          <w:spacing w:val="-7"/>
        </w:rPr>
        <w:t> </w:t>
      </w:r>
      <w:r>
        <w:rPr/>
        <w:t>la ejecución de los proyectos, obras, inversiones y servicios planteados en los mismos.</w:t>
      </w:r>
    </w:p>
    <w:p>
      <w:pPr>
        <w:pStyle w:val="BodyText"/>
      </w:pPr>
    </w:p>
    <w:p>
      <w:pPr>
        <w:pStyle w:val="BodyText"/>
        <w:spacing w:before="1"/>
      </w:pPr>
    </w:p>
    <w:p>
      <w:pPr>
        <w:spacing w:before="0"/>
        <w:ind w:left="0" w:right="18"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4"/>
          <w:sz w:val="20"/>
        </w:rPr>
        <w:t>VIII</w:t>
      </w:r>
    </w:p>
    <w:p>
      <w:pPr>
        <w:spacing w:before="228"/>
        <w:ind w:left="0" w:right="23" w:firstLine="0"/>
        <w:jc w:val="center"/>
        <w:rPr>
          <w:rFonts w:ascii="Arial"/>
          <w:b/>
          <w:sz w:val="20"/>
        </w:rPr>
      </w:pPr>
      <w:r>
        <w:rPr>
          <w:rFonts w:ascii="Arial"/>
          <w:b/>
          <w:sz w:val="20"/>
        </w:rPr>
        <w:t>Directores</w:t>
      </w:r>
      <w:r>
        <w:rPr>
          <w:rFonts w:ascii="Arial"/>
          <w:b/>
          <w:spacing w:val="-9"/>
          <w:sz w:val="20"/>
        </w:rPr>
        <w:t> </w:t>
      </w:r>
      <w:r>
        <w:rPr>
          <w:rFonts w:ascii="Arial"/>
          <w:b/>
          <w:sz w:val="20"/>
        </w:rPr>
        <w:t>Responsables</w:t>
      </w:r>
      <w:r>
        <w:rPr>
          <w:rFonts w:ascii="Arial"/>
          <w:b/>
          <w:spacing w:val="-7"/>
          <w:sz w:val="20"/>
        </w:rPr>
        <w:t> </w:t>
      </w:r>
      <w:r>
        <w:rPr>
          <w:rFonts w:ascii="Arial"/>
          <w:b/>
          <w:sz w:val="20"/>
        </w:rPr>
        <w:t>de</w:t>
      </w:r>
      <w:r>
        <w:rPr>
          <w:rFonts w:ascii="Arial"/>
          <w:b/>
          <w:spacing w:val="-9"/>
          <w:sz w:val="20"/>
        </w:rPr>
        <w:t> </w:t>
      </w:r>
      <w:r>
        <w:rPr>
          <w:rFonts w:ascii="Arial"/>
          <w:b/>
          <w:sz w:val="20"/>
        </w:rPr>
        <w:t>Obra</w:t>
      </w:r>
      <w:r>
        <w:rPr>
          <w:rFonts w:ascii="Arial"/>
          <w:b/>
          <w:spacing w:val="-7"/>
          <w:sz w:val="20"/>
        </w:rPr>
        <w:t> </w:t>
      </w:r>
      <w:r>
        <w:rPr>
          <w:rFonts w:ascii="Arial"/>
          <w:b/>
          <w:sz w:val="20"/>
        </w:rPr>
        <w:t>y</w:t>
      </w:r>
      <w:r>
        <w:rPr>
          <w:rFonts w:ascii="Arial"/>
          <w:b/>
          <w:spacing w:val="-9"/>
          <w:sz w:val="20"/>
        </w:rPr>
        <w:t> </w:t>
      </w:r>
      <w:r>
        <w:rPr>
          <w:rFonts w:ascii="Arial"/>
          <w:b/>
          <w:spacing w:val="-2"/>
          <w:sz w:val="20"/>
        </w:rPr>
        <w:t>Corresponsables</w:t>
      </w:r>
    </w:p>
    <w:p>
      <w:pPr>
        <w:pStyle w:val="BodyText"/>
        <w:rPr>
          <w:rFonts w:ascii="Arial"/>
          <w:b/>
        </w:rPr>
      </w:pPr>
    </w:p>
    <w:p>
      <w:pPr>
        <w:pStyle w:val="BodyText"/>
        <w:spacing w:before="2"/>
        <w:rPr>
          <w:rFonts w:ascii="Arial"/>
          <w:b/>
        </w:rPr>
      </w:pPr>
    </w:p>
    <w:p>
      <w:pPr>
        <w:spacing w:before="0"/>
        <w:ind w:left="0" w:right="15" w:firstLine="0"/>
        <w:jc w:val="center"/>
        <w:rPr>
          <w:rFonts w:ascii="Arial" w:hAnsi="Arial"/>
          <w:b/>
          <w:sz w:val="20"/>
        </w:rPr>
      </w:pPr>
      <w:r>
        <w:rPr>
          <w:rFonts w:ascii="Arial" w:hAnsi="Arial"/>
          <w:b/>
          <w:sz w:val="20"/>
        </w:rPr>
        <w:t>Sección</w:t>
      </w:r>
      <w:r>
        <w:rPr>
          <w:rFonts w:ascii="Arial" w:hAnsi="Arial"/>
          <w:b/>
          <w:spacing w:val="-9"/>
          <w:sz w:val="20"/>
        </w:rPr>
        <w:t> </w:t>
      </w:r>
      <w:r>
        <w:rPr>
          <w:rFonts w:ascii="Arial" w:hAnsi="Arial"/>
          <w:b/>
          <w:spacing w:val="-2"/>
          <w:sz w:val="20"/>
        </w:rPr>
        <w:t>Primera</w:t>
      </w:r>
    </w:p>
    <w:p>
      <w:pPr>
        <w:spacing w:before="228"/>
        <w:ind w:left="1070" w:right="0" w:firstLine="0"/>
        <w:jc w:val="left"/>
        <w:rPr>
          <w:rFonts w:ascii="Arial"/>
          <w:b/>
          <w:sz w:val="20"/>
        </w:rPr>
      </w:pPr>
      <w:r>
        <w:rPr>
          <w:rFonts w:ascii="Arial"/>
          <w:b/>
          <w:sz w:val="20"/>
        </w:rPr>
        <w:t>Registro</w:t>
      </w:r>
      <w:r>
        <w:rPr>
          <w:rFonts w:ascii="Arial"/>
          <w:b/>
          <w:spacing w:val="-6"/>
          <w:sz w:val="20"/>
        </w:rPr>
        <w:t> </w:t>
      </w:r>
      <w:r>
        <w:rPr>
          <w:rFonts w:ascii="Arial"/>
          <w:b/>
          <w:sz w:val="20"/>
        </w:rPr>
        <w:t>Municipal</w:t>
      </w:r>
      <w:r>
        <w:rPr>
          <w:rFonts w:ascii="Arial"/>
          <w:b/>
          <w:spacing w:val="-8"/>
          <w:sz w:val="20"/>
        </w:rPr>
        <w:t> </w:t>
      </w:r>
      <w:r>
        <w:rPr>
          <w:rFonts w:ascii="Arial"/>
          <w:b/>
          <w:sz w:val="20"/>
        </w:rPr>
        <w:t>de</w:t>
      </w:r>
      <w:r>
        <w:rPr>
          <w:rFonts w:ascii="Arial"/>
          <w:b/>
          <w:spacing w:val="-8"/>
          <w:sz w:val="20"/>
        </w:rPr>
        <w:t> </w:t>
      </w:r>
      <w:r>
        <w:rPr>
          <w:rFonts w:ascii="Arial"/>
          <w:b/>
          <w:sz w:val="20"/>
        </w:rPr>
        <w:t>Directores</w:t>
      </w:r>
      <w:r>
        <w:rPr>
          <w:rFonts w:ascii="Arial"/>
          <w:b/>
          <w:spacing w:val="-7"/>
          <w:sz w:val="20"/>
        </w:rPr>
        <w:t> </w:t>
      </w:r>
      <w:r>
        <w:rPr>
          <w:rFonts w:ascii="Arial"/>
          <w:b/>
          <w:sz w:val="20"/>
        </w:rPr>
        <w:t>Responsables</w:t>
      </w:r>
      <w:r>
        <w:rPr>
          <w:rFonts w:ascii="Arial"/>
          <w:b/>
          <w:spacing w:val="-8"/>
          <w:sz w:val="20"/>
        </w:rPr>
        <w:t> </w:t>
      </w:r>
      <w:r>
        <w:rPr>
          <w:rFonts w:ascii="Arial"/>
          <w:b/>
          <w:sz w:val="20"/>
        </w:rPr>
        <w:t>de</w:t>
      </w:r>
      <w:r>
        <w:rPr>
          <w:rFonts w:ascii="Arial"/>
          <w:b/>
          <w:spacing w:val="-6"/>
          <w:sz w:val="20"/>
        </w:rPr>
        <w:t> </w:t>
      </w:r>
      <w:r>
        <w:rPr>
          <w:rFonts w:ascii="Arial"/>
          <w:b/>
          <w:sz w:val="20"/>
        </w:rPr>
        <w:t>Obra</w:t>
      </w:r>
      <w:r>
        <w:rPr>
          <w:rFonts w:ascii="Arial"/>
          <w:b/>
          <w:spacing w:val="-8"/>
          <w:sz w:val="20"/>
        </w:rPr>
        <w:t> </w:t>
      </w:r>
      <w:r>
        <w:rPr>
          <w:rFonts w:ascii="Arial"/>
          <w:b/>
          <w:sz w:val="20"/>
        </w:rPr>
        <w:t>y</w:t>
      </w:r>
      <w:r>
        <w:rPr>
          <w:rFonts w:ascii="Arial"/>
          <w:b/>
          <w:spacing w:val="-8"/>
          <w:sz w:val="20"/>
        </w:rPr>
        <w:t> </w:t>
      </w:r>
      <w:r>
        <w:rPr>
          <w:rFonts w:ascii="Arial"/>
          <w:b/>
          <w:spacing w:val="-2"/>
          <w:sz w:val="20"/>
        </w:rPr>
        <w:t>Corresponsables</w:t>
      </w:r>
    </w:p>
    <w:p>
      <w:pPr>
        <w:pStyle w:val="BodyText"/>
        <w:spacing w:before="1"/>
        <w:rPr>
          <w:rFonts w:ascii="Arial"/>
          <w:b/>
        </w:rPr>
      </w:pPr>
    </w:p>
    <w:p>
      <w:pPr>
        <w:pStyle w:val="BodyText"/>
        <w:ind w:left="262" w:right="286"/>
        <w:jc w:val="both"/>
      </w:pPr>
      <w:r>
        <w:rPr>
          <w:rFonts w:ascii="Arial" w:hAnsi="Arial"/>
          <w:b/>
        </w:rPr>
        <w:t>ARTÍCULO 236. </w:t>
      </w:r>
      <w:r>
        <w:rPr/>
        <w:t>Los ayuntamientos serán responsables, del registro y organización de los Directores Responsables de</w:t>
      </w:r>
      <w:r>
        <w:rPr>
          <w:spacing w:val="-1"/>
        </w:rPr>
        <w:t> </w:t>
      </w:r>
      <w:r>
        <w:rPr/>
        <w:t>Obra y Corresponsables y demás peritos requeridos según la</w:t>
      </w:r>
      <w:r>
        <w:rPr>
          <w:spacing w:val="-1"/>
        </w:rPr>
        <w:t> </w:t>
      </w:r>
      <w:r>
        <w:rPr/>
        <w:t>obra de que se trate, así como de vigilar su correcto desempeño mientras esté vigente su registro.</w:t>
      </w:r>
    </w:p>
    <w:p>
      <w:pPr>
        <w:pStyle w:val="BodyText"/>
        <w:spacing w:before="230"/>
        <w:ind w:left="262" w:right="279"/>
        <w:jc w:val="both"/>
      </w:pPr>
      <w:r>
        <w:rPr/>
        <w:t>Al efecto, cada Municipio establecerá un Registro de Directores Responsables de Obra y Corresponsables,</w:t>
      </w:r>
      <w:r>
        <w:rPr>
          <w:spacing w:val="-4"/>
        </w:rPr>
        <w:t> </w:t>
      </w:r>
      <w:r>
        <w:rPr/>
        <w:t>para</w:t>
      </w:r>
      <w:r>
        <w:rPr>
          <w:spacing w:val="-6"/>
        </w:rPr>
        <w:t> </w:t>
      </w:r>
      <w:r>
        <w:rPr/>
        <w:t>todas</w:t>
      </w:r>
      <w:r>
        <w:rPr>
          <w:spacing w:val="-6"/>
        </w:rPr>
        <w:t> </w:t>
      </w:r>
      <w:r>
        <w:rPr/>
        <w:t>las</w:t>
      </w:r>
      <w:r>
        <w:rPr>
          <w:spacing w:val="-6"/>
        </w:rPr>
        <w:t> </w:t>
      </w:r>
      <w:r>
        <w:rPr/>
        <w:t>obras</w:t>
      </w:r>
      <w:r>
        <w:rPr>
          <w:spacing w:val="-3"/>
        </w:rPr>
        <w:t> </w:t>
      </w:r>
      <w:r>
        <w:rPr/>
        <w:t>públicas</w:t>
      </w:r>
      <w:r>
        <w:rPr>
          <w:spacing w:val="-6"/>
        </w:rPr>
        <w:t> </w:t>
      </w:r>
      <w:r>
        <w:rPr/>
        <w:t>y</w:t>
      </w:r>
      <w:r>
        <w:rPr>
          <w:spacing w:val="-5"/>
        </w:rPr>
        <w:t> </w:t>
      </w:r>
      <w:r>
        <w:rPr/>
        <w:t>privadas</w:t>
      </w:r>
      <w:r>
        <w:rPr>
          <w:spacing w:val="-6"/>
        </w:rPr>
        <w:t> </w:t>
      </w:r>
      <w:r>
        <w:rPr/>
        <w:t>que</w:t>
      </w:r>
      <w:r>
        <w:rPr>
          <w:spacing w:val="-7"/>
        </w:rPr>
        <w:t> </w:t>
      </w:r>
      <w:r>
        <w:rPr/>
        <w:t>se</w:t>
      </w:r>
      <w:r>
        <w:rPr>
          <w:spacing w:val="-4"/>
        </w:rPr>
        <w:t> </w:t>
      </w:r>
      <w:r>
        <w:rPr/>
        <w:t>lleven</w:t>
      </w:r>
      <w:r>
        <w:rPr>
          <w:spacing w:val="-7"/>
        </w:rPr>
        <w:t> </w:t>
      </w:r>
      <w:r>
        <w:rPr/>
        <w:t>a</w:t>
      </w:r>
      <w:r>
        <w:rPr>
          <w:spacing w:val="-7"/>
        </w:rPr>
        <w:t> </w:t>
      </w:r>
      <w:r>
        <w:rPr/>
        <w:t>cabo</w:t>
      </w:r>
      <w:r>
        <w:rPr>
          <w:spacing w:val="-5"/>
        </w:rPr>
        <w:t> </w:t>
      </w:r>
      <w:r>
        <w:rPr/>
        <w:t>en</w:t>
      </w:r>
      <w:r>
        <w:rPr>
          <w:spacing w:val="-7"/>
        </w:rPr>
        <w:t> </w:t>
      </w:r>
      <w:r>
        <w:rPr/>
        <w:t>su</w:t>
      </w:r>
      <w:r>
        <w:rPr>
          <w:spacing w:val="-7"/>
        </w:rPr>
        <w:t> </w:t>
      </w:r>
      <w:r>
        <w:rPr/>
        <w:t>territorio,</w:t>
      </w:r>
      <w:r>
        <w:rPr>
          <w:spacing w:val="-7"/>
        </w:rPr>
        <w:t> </w:t>
      </w:r>
      <w:r>
        <w:rPr/>
        <w:t>que tendrá por objeto inscribir a dichos profesionistas en la sección correspondiente habilitados para el desempeño de las funciones que establece esta Ley.</w:t>
      </w:r>
    </w:p>
    <w:p>
      <w:pPr>
        <w:pStyle w:val="BodyText"/>
        <w:spacing w:before="2"/>
      </w:pPr>
    </w:p>
    <w:p>
      <w:pPr>
        <w:pStyle w:val="BodyText"/>
        <w:ind w:left="262" w:right="286"/>
        <w:jc w:val="both"/>
      </w:pPr>
      <w:r>
        <w:rPr/>
        <w:t>Quienes pretendan</w:t>
      </w:r>
      <w:r>
        <w:rPr>
          <w:spacing w:val="-1"/>
        </w:rPr>
        <w:t> </w:t>
      </w:r>
      <w:r>
        <w:rPr/>
        <w:t>registrarse</w:t>
      </w:r>
      <w:r>
        <w:rPr>
          <w:spacing w:val="-1"/>
        </w:rPr>
        <w:t> </w:t>
      </w:r>
      <w:r>
        <w:rPr/>
        <w:t>ante</w:t>
      </w:r>
      <w:r>
        <w:rPr>
          <w:spacing w:val="-1"/>
        </w:rPr>
        <w:t> </w:t>
      </w:r>
      <w:r>
        <w:rPr/>
        <w:t>los municipios como</w:t>
      </w:r>
      <w:r>
        <w:rPr>
          <w:spacing w:val="-1"/>
        </w:rPr>
        <w:t> </w:t>
      </w:r>
      <w:r>
        <w:rPr/>
        <w:t>nuevos Directores Responsables de</w:t>
      </w:r>
      <w:r>
        <w:rPr>
          <w:spacing w:val="-1"/>
        </w:rPr>
        <w:t> </w:t>
      </w:r>
      <w:r>
        <w:rPr/>
        <w:t>Obra y Corresponsables, deberán contar con la acreditación expedida por la Comisión Estatal de Acreditación de Directores Responsables de Obra y Corresponsables, (CADROC).</w:t>
      </w:r>
    </w:p>
    <w:p>
      <w:pPr>
        <w:pStyle w:val="BodyText"/>
        <w:spacing w:before="229"/>
        <w:ind w:left="262" w:right="289"/>
        <w:jc w:val="both"/>
      </w:pPr>
      <w:r>
        <w:rPr>
          <w:rFonts w:ascii="Arial" w:hAnsi="Arial"/>
          <w:b/>
        </w:rPr>
        <w:t>ARTÍCULO 237. </w:t>
      </w:r>
      <w:r>
        <w:rPr/>
        <w:t>El Registro</w:t>
      </w:r>
      <w:r>
        <w:rPr>
          <w:spacing w:val="-1"/>
        </w:rPr>
        <w:t> </w:t>
      </w:r>
      <w:r>
        <w:rPr/>
        <w:t>Municipal de Directores Responsables de Obra y Corresponsables se organizará de la siguiente forma:</w:t>
      </w:r>
    </w:p>
    <w:p>
      <w:pPr>
        <w:pStyle w:val="ListParagraph"/>
        <w:numPr>
          <w:ilvl w:val="0"/>
          <w:numId w:val="88"/>
        </w:numPr>
        <w:tabs>
          <w:tab w:pos="543" w:val="left" w:leader="none"/>
        </w:tabs>
        <w:spacing w:line="240" w:lineRule="auto" w:before="229" w:after="0"/>
        <w:ind w:left="543" w:right="0" w:hanging="281"/>
        <w:jc w:val="both"/>
        <w:rPr>
          <w:sz w:val="20"/>
        </w:rPr>
      </w:pPr>
      <w:r>
        <w:rPr>
          <w:sz w:val="20"/>
        </w:rPr>
        <w:t>Se</w:t>
      </w:r>
      <w:r>
        <w:rPr>
          <w:spacing w:val="-8"/>
          <w:sz w:val="20"/>
        </w:rPr>
        <w:t> </w:t>
      </w:r>
      <w:r>
        <w:rPr>
          <w:sz w:val="20"/>
        </w:rPr>
        <w:t>dividirá</w:t>
      </w:r>
      <w:r>
        <w:rPr>
          <w:spacing w:val="-6"/>
          <w:sz w:val="20"/>
        </w:rPr>
        <w:t> </w:t>
      </w:r>
      <w:r>
        <w:rPr>
          <w:sz w:val="20"/>
        </w:rPr>
        <w:t>en</w:t>
      </w:r>
      <w:r>
        <w:rPr>
          <w:spacing w:val="-7"/>
          <w:sz w:val="20"/>
        </w:rPr>
        <w:t> </w:t>
      </w:r>
      <w:r>
        <w:rPr>
          <w:sz w:val="20"/>
        </w:rPr>
        <w:t>las</w:t>
      </w:r>
      <w:r>
        <w:rPr>
          <w:spacing w:val="-6"/>
          <w:sz w:val="20"/>
        </w:rPr>
        <w:t> </w:t>
      </w:r>
      <w:r>
        <w:rPr>
          <w:sz w:val="20"/>
        </w:rPr>
        <w:t>siguientes</w:t>
      </w:r>
      <w:r>
        <w:rPr>
          <w:spacing w:val="-7"/>
          <w:sz w:val="20"/>
        </w:rPr>
        <w:t> </w:t>
      </w:r>
      <w:r>
        <w:rPr>
          <w:spacing w:val="-2"/>
          <w:sz w:val="20"/>
        </w:rPr>
        <w:t>secciones:</w:t>
      </w:r>
    </w:p>
    <w:p>
      <w:pPr>
        <w:pStyle w:val="BodyText"/>
        <w:spacing w:before="1"/>
      </w:pPr>
    </w:p>
    <w:p>
      <w:pPr>
        <w:pStyle w:val="ListParagraph"/>
        <w:numPr>
          <w:ilvl w:val="1"/>
          <w:numId w:val="88"/>
        </w:numPr>
        <w:tabs>
          <w:tab w:pos="544" w:val="left" w:leader="none"/>
        </w:tabs>
        <w:spacing w:line="240" w:lineRule="auto" w:before="0" w:after="0"/>
        <w:ind w:left="262" w:right="279" w:firstLine="0"/>
        <w:jc w:val="both"/>
        <w:rPr>
          <w:sz w:val="20"/>
        </w:rPr>
      </w:pPr>
      <w:r>
        <w:rPr>
          <w:sz w:val="20"/>
        </w:rPr>
        <w:t>Primera: Registro de Directores Responsables de Obra, tanto de construcción como de </w:t>
      </w:r>
      <w:r>
        <w:rPr>
          <w:spacing w:val="-2"/>
          <w:sz w:val="20"/>
        </w:rPr>
        <w:t>urbanización.</w:t>
      </w:r>
    </w:p>
    <w:p>
      <w:pPr>
        <w:pStyle w:val="ListParagraph"/>
        <w:numPr>
          <w:ilvl w:val="1"/>
          <w:numId w:val="88"/>
        </w:numPr>
        <w:tabs>
          <w:tab w:pos="544" w:val="left" w:leader="none"/>
        </w:tabs>
        <w:spacing w:line="240" w:lineRule="auto" w:before="229" w:after="0"/>
        <w:ind w:left="544" w:right="0" w:hanging="282"/>
        <w:jc w:val="both"/>
        <w:rPr>
          <w:sz w:val="20"/>
        </w:rPr>
      </w:pPr>
      <w:r>
        <w:rPr>
          <w:sz w:val="20"/>
        </w:rPr>
        <w:t>Segunda:</w:t>
      </w:r>
      <w:r>
        <w:rPr>
          <w:spacing w:val="-12"/>
          <w:sz w:val="20"/>
        </w:rPr>
        <w:t> </w:t>
      </w:r>
      <w:r>
        <w:rPr>
          <w:sz w:val="20"/>
        </w:rPr>
        <w:t>Registro</w:t>
      </w:r>
      <w:r>
        <w:rPr>
          <w:spacing w:val="-10"/>
          <w:sz w:val="20"/>
        </w:rPr>
        <w:t> </w:t>
      </w:r>
      <w:r>
        <w:rPr>
          <w:sz w:val="20"/>
        </w:rPr>
        <w:t>de</w:t>
      </w:r>
      <w:r>
        <w:rPr>
          <w:spacing w:val="-11"/>
          <w:sz w:val="20"/>
        </w:rPr>
        <w:t> </w:t>
      </w:r>
      <w:r>
        <w:rPr>
          <w:sz w:val="20"/>
        </w:rPr>
        <w:t>Especialistas</w:t>
      </w:r>
      <w:r>
        <w:rPr>
          <w:spacing w:val="-10"/>
          <w:sz w:val="20"/>
        </w:rPr>
        <w:t> </w:t>
      </w:r>
      <w:r>
        <w:rPr>
          <w:sz w:val="20"/>
        </w:rPr>
        <w:t>Corresponsables,</w:t>
      </w:r>
      <w:r>
        <w:rPr>
          <w:spacing w:val="-10"/>
          <w:sz w:val="20"/>
        </w:rPr>
        <w:t> y</w:t>
      </w:r>
    </w:p>
    <w:p>
      <w:pPr>
        <w:pStyle w:val="BodyText"/>
        <w:spacing w:before="1"/>
      </w:pPr>
    </w:p>
    <w:p>
      <w:pPr>
        <w:pStyle w:val="ListParagraph"/>
        <w:numPr>
          <w:ilvl w:val="0"/>
          <w:numId w:val="88"/>
        </w:numPr>
        <w:tabs>
          <w:tab w:pos="543" w:val="left" w:leader="none"/>
        </w:tabs>
        <w:spacing w:line="240" w:lineRule="auto" w:before="0" w:after="0"/>
        <w:ind w:left="262" w:right="286" w:firstLine="0"/>
        <w:jc w:val="both"/>
        <w:rPr>
          <w:sz w:val="20"/>
        </w:rPr>
      </w:pPr>
      <w:r>
        <w:rPr>
          <w:sz w:val="20"/>
        </w:rPr>
        <w:t>En</w:t>
      </w:r>
      <w:r>
        <w:rPr>
          <w:spacing w:val="-3"/>
          <w:sz w:val="20"/>
        </w:rPr>
        <w:t> </w:t>
      </w:r>
      <w:r>
        <w:rPr>
          <w:sz w:val="20"/>
        </w:rPr>
        <w:t>las</w:t>
      </w:r>
      <w:r>
        <w:rPr>
          <w:spacing w:val="-4"/>
          <w:sz w:val="20"/>
        </w:rPr>
        <w:t> </w:t>
      </w:r>
      <w:r>
        <w:rPr>
          <w:sz w:val="20"/>
        </w:rPr>
        <w:t>secciones</w:t>
      </w:r>
      <w:r>
        <w:rPr>
          <w:spacing w:val="-4"/>
          <w:sz w:val="20"/>
        </w:rPr>
        <w:t> </w:t>
      </w:r>
      <w:r>
        <w:rPr>
          <w:sz w:val="20"/>
        </w:rPr>
        <w:t>a</w:t>
      </w:r>
      <w:r>
        <w:rPr>
          <w:spacing w:val="-6"/>
          <w:sz w:val="20"/>
        </w:rPr>
        <w:t> </w:t>
      </w:r>
      <w:r>
        <w:rPr>
          <w:sz w:val="20"/>
        </w:rPr>
        <w:t>que</w:t>
      </w:r>
      <w:r>
        <w:rPr>
          <w:spacing w:val="-5"/>
          <w:sz w:val="20"/>
        </w:rPr>
        <w:t> </w:t>
      </w:r>
      <w:r>
        <w:rPr>
          <w:sz w:val="20"/>
        </w:rPr>
        <w:t>se</w:t>
      </w:r>
      <w:r>
        <w:rPr>
          <w:spacing w:val="-5"/>
          <w:sz w:val="20"/>
        </w:rPr>
        <w:t> </w:t>
      </w:r>
      <w:r>
        <w:rPr>
          <w:sz w:val="20"/>
        </w:rPr>
        <w:t>refiere</w:t>
      </w:r>
      <w:r>
        <w:rPr>
          <w:spacing w:val="-2"/>
          <w:sz w:val="20"/>
        </w:rPr>
        <w:t> </w:t>
      </w:r>
      <w:r>
        <w:rPr>
          <w:sz w:val="20"/>
        </w:rPr>
        <w:t>la</w:t>
      </w:r>
      <w:r>
        <w:rPr>
          <w:spacing w:val="-3"/>
          <w:sz w:val="20"/>
        </w:rPr>
        <w:t> </w:t>
      </w:r>
      <w:r>
        <w:rPr>
          <w:sz w:val="20"/>
        </w:rPr>
        <w:t>fracción</w:t>
      </w:r>
      <w:r>
        <w:rPr>
          <w:spacing w:val="-4"/>
          <w:sz w:val="20"/>
        </w:rPr>
        <w:t> </w:t>
      </w:r>
      <w:r>
        <w:rPr>
          <w:sz w:val="20"/>
        </w:rPr>
        <w:t>anterior,</w:t>
      </w:r>
      <w:r>
        <w:rPr>
          <w:spacing w:val="-5"/>
          <w:sz w:val="20"/>
        </w:rPr>
        <w:t> </w:t>
      </w:r>
      <w:r>
        <w:rPr>
          <w:sz w:val="20"/>
        </w:rPr>
        <w:t>se</w:t>
      </w:r>
      <w:r>
        <w:rPr>
          <w:spacing w:val="-5"/>
          <w:sz w:val="20"/>
        </w:rPr>
        <w:t> </w:t>
      </w:r>
      <w:r>
        <w:rPr>
          <w:sz w:val="20"/>
        </w:rPr>
        <w:t>inscribirán</w:t>
      </w:r>
      <w:r>
        <w:rPr>
          <w:spacing w:val="-4"/>
          <w:sz w:val="20"/>
        </w:rPr>
        <w:t> </w:t>
      </w:r>
      <w:r>
        <w:rPr>
          <w:sz w:val="20"/>
        </w:rPr>
        <w:t>los</w:t>
      </w:r>
      <w:r>
        <w:rPr>
          <w:spacing w:val="-4"/>
          <w:sz w:val="20"/>
        </w:rPr>
        <w:t> </w:t>
      </w:r>
      <w:r>
        <w:rPr>
          <w:sz w:val="20"/>
        </w:rPr>
        <w:t>Directores</w:t>
      </w:r>
      <w:r>
        <w:rPr>
          <w:spacing w:val="-2"/>
          <w:sz w:val="20"/>
        </w:rPr>
        <w:t> </w:t>
      </w:r>
      <w:r>
        <w:rPr>
          <w:sz w:val="20"/>
        </w:rPr>
        <w:t>Responsables de Obra, titulados en las profesiones que se indican: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88"/>
        </w:numPr>
        <w:tabs>
          <w:tab w:pos="544" w:val="left" w:leader="none"/>
        </w:tabs>
        <w:spacing w:line="240" w:lineRule="auto" w:before="0" w:after="0"/>
        <w:ind w:left="262" w:right="285" w:firstLine="0"/>
        <w:jc w:val="both"/>
        <w:rPr>
          <w:sz w:val="20"/>
        </w:rPr>
      </w:pPr>
      <w:r>
        <w:rPr>
          <w:sz w:val="20"/>
        </w:rPr>
        <w:t>En la Primera: ingeniero civil, arquitecto, ingeniero arquitecto, ingeniero constructor militar y licenciado en edificación y administración de obras y demás carreras análogas que ampare el Sistema Educativo Nacional, y</w:t>
      </w:r>
    </w:p>
    <w:p>
      <w:pPr>
        <w:pStyle w:val="BodyText"/>
        <w:spacing w:before="1"/>
      </w:pPr>
    </w:p>
    <w:p>
      <w:pPr>
        <w:pStyle w:val="ListParagraph"/>
        <w:numPr>
          <w:ilvl w:val="1"/>
          <w:numId w:val="88"/>
        </w:numPr>
        <w:tabs>
          <w:tab w:pos="544" w:val="left" w:leader="none"/>
        </w:tabs>
        <w:spacing w:line="240" w:lineRule="auto" w:before="1" w:after="0"/>
        <w:ind w:left="262" w:right="288" w:firstLine="0"/>
        <w:jc w:val="both"/>
        <w:rPr>
          <w:sz w:val="20"/>
        </w:rPr>
      </w:pPr>
      <w:r>
        <w:rPr>
          <w:sz w:val="20"/>
        </w:rPr>
        <w:t>En la Segunda: especialistas en seguridad estructural, urbanismo, diseño arquitectónico y urbano, impacto urbano, así como en instalaciones en edificios y obras de urbanización y demás especialidades análogas que ampare el Sistema Educativo Nacional.</w:t>
      </w:r>
    </w:p>
    <w:p>
      <w:pPr>
        <w:pStyle w:val="BodyText"/>
        <w:spacing w:before="229"/>
        <w:ind w:left="262" w:right="277"/>
        <w:jc w:val="both"/>
      </w:pPr>
      <w:r>
        <w:rPr>
          <w:rFonts w:ascii="Arial" w:hAnsi="Arial"/>
          <w:b/>
        </w:rPr>
        <w:t>ARTÍCULO 238. </w:t>
      </w:r>
      <w:r>
        <w:rPr/>
        <w:t>La inscripción en el Registro Municipal de Directores Responsables de Obra y Corresponsables tendrá vigencia de un año, contado a partir de la fecha en que se expida, y se refrendará por plazos sucesivos iguales, siempre y cuando el director responsable de obra o especialista corresponsable, compruebe mediante la acreditación expedida por su respectivo Colegio, la actualización y adiestramiento en sus conocimientos profesionales.</w:t>
      </w:r>
    </w:p>
    <w:p>
      <w:pPr>
        <w:pStyle w:val="BodyText"/>
      </w:pPr>
    </w:p>
    <w:p>
      <w:pPr>
        <w:pStyle w:val="BodyText"/>
        <w:spacing w:before="1"/>
        <w:ind w:left="262" w:right="284"/>
        <w:jc w:val="both"/>
      </w:pPr>
      <w:r>
        <w:rPr>
          <w:rFonts w:ascii="Arial" w:hAnsi="Arial"/>
          <w:b/>
        </w:rPr>
        <w:t>ARTÍCULO 239. </w:t>
      </w:r>
      <w:r>
        <w:rPr/>
        <w:t>El Registro como Director Responsable de Obra o Corresponsables, podrá cancelarse o suspenderse por la Dirección Municipal, previa garantía de audiencia, cuando éstos incumplan cualquiera de las obligaciones establecidas en este Capítulo.</w:t>
      </w:r>
    </w:p>
    <w:p>
      <w:pPr>
        <w:pStyle w:val="BodyText"/>
        <w:spacing w:before="229"/>
        <w:ind w:left="262" w:right="285"/>
        <w:jc w:val="both"/>
      </w:pPr>
      <w:r>
        <w:rPr>
          <w:rFonts w:ascii="Arial" w:hAnsi="Arial"/>
          <w:b/>
          <w:spacing w:val="-2"/>
        </w:rPr>
        <w:t>ARTÍCULO</w:t>
      </w:r>
      <w:r>
        <w:rPr>
          <w:rFonts w:ascii="Arial" w:hAnsi="Arial"/>
          <w:b/>
          <w:spacing w:val="-4"/>
        </w:rPr>
        <w:t> </w:t>
      </w:r>
      <w:r>
        <w:rPr>
          <w:rFonts w:ascii="Arial" w:hAnsi="Arial"/>
          <w:b/>
          <w:spacing w:val="-2"/>
        </w:rPr>
        <w:t>240.</w:t>
      </w:r>
      <w:r>
        <w:rPr>
          <w:rFonts w:ascii="Arial" w:hAnsi="Arial"/>
          <w:b/>
          <w:spacing w:val="-5"/>
        </w:rPr>
        <w:t> </w:t>
      </w:r>
      <w:r>
        <w:rPr>
          <w:spacing w:val="-2"/>
        </w:rPr>
        <w:t>Los</w:t>
      </w:r>
      <w:r>
        <w:rPr>
          <w:spacing w:val="-7"/>
        </w:rPr>
        <w:t> </w:t>
      </w:r>
      <w:r>
        <w:rPr>
          <w:spacing w:val="-2"/>
        </w:rPr>
        <w:t>ayuntamientos</w:t>
      </w:r>
      <w:r>
        <w:rPr>
          <w:spacing w:val="-4"/>
        </w:rPr>
        <w:t> </w:t>
      </w:r>
      <w:r>
        <w:rPr>
          <w:spacing w:val="-2"/>
        </w:rPr>
        <w:t>a</w:t>
      </w:r>
      <w:r>
        <w:rPr>
          <w:spacing w:val="-5"/>
        </w:rPr>
        <w:t> </w:t>
      </w:r>
      <w:r>
        <w:rPr>
          <w:spacing w:val="-2"/>
        </w:rPr>
        <w:t>través</w:t>
      </w:r>
      <w:r>
        <w:rPr>
          <w:spacing w:val="-4"/>
        </w:rPr>
        <w:t> </w:t>
      </w:r>
      <w:r>
        <w:rPr>
          <w:spacing w:val="-2"/>
        </w:rPr>
        <w:t>de</w:t>
      </w:r>
      <w:r>
        <w:rPr>
          <w:spacing w:val="-6"/>
        </w:rPr>
        <w:t> </w:t>
      </w:r>
      <w:r>
        <w:rPr>
          <w:spacing w:val="-2"/>
        </w:rPr>
        <w:t>Dirección</w:t>
      </w:r>
      <w:r>
        <w:rPr>
          <w:spacing w:val="-6"/>
        </w:rPr>
        <w:t> </w:t>
      </w:r>
      <w:r>
        <w:rPr>
          <w:spacing w:val="-2"/>
        </w:rPr>
        <w:t>Municipal,</w:t>
      </w:r>
      <w:r>
        <w:rPr>
          <w:spacing w:val="-5"/>
        </w:rPr>
        <w:t> </w:t>
      </w:r>
      <w:r>
        <w:rPr>
          <w:spacing w:val="-2"/>
        </w:rPr>
        <w:t>negarán</w:t>
      </w:r>
      <w:r>
        <w:rPr>
          <w:spacing w:val="-5"/>
        </w:rPr>
        <w:t> </w:t>
      </w:r>
      <w:r>
        <w:rPr>
          <w:spacing w:val="-2"/>
        </w:rPr>
        <w:t>el</w:t>
      </w:r>
      <w:r>
        <w:rPr>
          <w:spacing w:val="-6"/>
        </w:rPr>
        <w:t> </w:t>
      </w:r>
      <w:r>
        <w:rPr>
          <w:spacing w:val="-2"/>
        </w:rPr>
        <w:t>registro</w:t>
      </w:r>
      <w:r>
        <w:rPr>
          <w:spacing w:val="-5"/>
        </w:rPr>
        <w:t> </w:t>
      </w:r>
      <w:r>
        <w:rPr>
          <w:spacing w:val="-2"/>
        </w:rPr>
        <w:t>o</w:t>
      </w:r>
      <w:r>
        <w:rPr>
          <w:spacing w:val="-5"/>
        </w:rPr>
        <w:t> </w:t>
      </w:r>
      <w:r>
        <w:rPr>
          <w:spacing w:val="-2"/>
        </w:rPr>
        <w:t>el</w:t>
      </w:r>
      <w:r>
        <w:rPr>
          <w:spacing w:val="-6"/>
        </w:rPr>
        <w:t> </w:t>
      </w:r>
      <w:r>
        <w:rPr>
          <w:spacing w:val="-2"/>
        </w:rPr>
        <w:t>refrendo como</w:t>
      </w:r>
      <w:r>
        <w:rPr>
          <w:spacing w:val="-8"/>
        </w:rPr>
        <w:t> </w:t>
      </w:r>
      <w:r>
        <w:rPr>
          <w:spacing w:val="-2"/>
        </w:rPr>
        <w:t>Directores</w:t>
      </w:r>
      <w:r>
        <w:rPr>
          <w:spacing w:val="-6"/>
        </w:rPr>
        <w:t> </w:t>
      </w:r>
      <w:r>
        <w:rPr>
          <w:spacing w:val="-2"/>
        </w:rPr>
        <w:t>Responsables</w:t>
      </w:r>
      <w:r>
        <w:rPr>
          <w:spacing w:val="-6"/>
        </w:rPr>
        <w:t> </w:t>
      </w:r>
      <w:r>
        <w:rPr>
          <w:spacing w:val="-2"/>
        </w:rPr>
        <w:t>de</w:t>
      </w:r>
      <w:r>
        <w:rPr>
          <w:spacing w:val="-7"/>
        </w:rPr>
        <w:t> </w:t>
      </w:r>
      <w:r>
        <w:rPr>
          <w:spacing w:val="-2"/>
        </w:rPr>
        <w:t>Obra</w:t>
      </w:r>
      <w:r>
        <w:rPr>
          <w:spacing w:val="-4"/>
        </w:rPr>
        <w:t> </w:t>
      </w:r>
      <w:r>
        <w:rPr>
          <w:spacing w:val="-2"/>
        </w:rPr>
        <w:t>o</w:t>
      </w:r>
      <w:r>
        <w:rPr>
          <w:spacing w:val="-8"/>
        </w:rPr>
        <w:t> </w:t>
      </w:r>
      <w:r>
        <w:rPr>
          <w:spacing w:val="-2"/>
        </w:rPr>
        <w:t>Corresponsables,</w:t>
      </w:r>
      <w:r>
        <w:rPr>
          <w:spacing w:val="-7"/>
        </w:rPr>
        <w:t> </w:t>
      </w:r>
      <w:r>
        <w:rPr>
          <w:spacing w:val="-2"/>
        </w:rPr>
        <w:t>por</w:t>
      </w:r>
      <w:r>
        <w:rPr>
          <w:spacing w:val="-6"/>
        </w:rPr>
        <w:t> </w:t>
      </w:r>
      <w:r>
        <w:rPr>
          <w:spacing w:val="-2"/>
        </w:rPr>
        <w:t>cualquiera</w:t>
      </w:r>
      <w:r>
        <w:rPr>
          <w:spacing w:val="-7"/>
        </w:rPr>
        <w:t> </w:t>
      </w:r>
      <w:r>
        <w:rPr>
          <w:spacing w:val="-2"/>
        </w:rPr>
        <w:t>de</w:t>
      </w:r>
      <w:r>
        <w:rPr>
          <w:spacing w:val="-5"/>
        </w:rPr>
        <w:t> </w:t>
      </w:r>
      <w:r>
        <w:rPr>
          <w:spacing w:val="-2"/>
        </w:rPr>
        <w:t>las</w:t>
      </w:r>
      <w:r>
        <w:rPr>
          <w:spacing w:val="-4"/>
        </w:rPr>
        <w:t> </w:t>
      </w:r>
      <w:r>
        <w:rPr>
          <w:spacing w:val="-2"/>
        </w:rPr>
        <w:t>siguientes</w:t>
      </w:r>
      <w:r>
        <w:rPr>
          <w:spacing w:val="-7"/>
        </w:rPr>
        <w:t> </w:t>
      </w:r>
      <w:r>
        <w:rPr>
          <w:spacing w:val="-2"/>
        </w:rPr>
        <w:t>causas:</w:t>
      </w:r>
    </w:p>
    <w:p>
      <w:pPr>
        <w:pStyle w:val="BodyText"/>
        <w:spacing w:before="1"/>
      </w:pPr>
    </w:p>
    <w:p>
      <w:pPr>
        <w:pStyle w:val="ListParagraph"/>
        <w:numPr>
          <w:ilvl w:val="2"/>
          <w:numId w:val="88"/>
        </w:numPr>
        <w:tabs>
          <w:tab w:pos="688" w:val="left" w:leader="none"/>
        </w:tabs>
        <w:spacing w:line="240" w:lineRule="auto" w:before="0" w:after="0"/>
        <w:ind w:left="262" w:right="284" w:firstLine="0"/>
        <w:jc w:val="both"/>
        <w:rPr>
          <w:sz w:val="20"/>
        </w:rPr>
      </w:pPr>
      <w:r>
        <w:rPr>
          <w:sz w:val="20"/>
        </w:rPr>
        <w:t>Cuando</w:t>
      </w:r>
      <w:r>
        <w:rPr>
          <w:spacing w:val="-14"/>
          <w:sz w:val="20"/>
        </w:rPr>
        <w:t> </w:t>
      </w:r>
      <w:r>
        <w:rPr>
          <w:sz w:val="20"/>
        </w:rPr>
        <w:t>haya</w:t>
      </w:r>
      <w:r>
        <w:rPr>
          <w:spacing w:val="-13"/>
          <w:sz w:val="20"/>
        </w:rPr>
        <w:t> </w:t>
      </w:r>
      <w:r>
        <w:rPr>
          <w:sz w:val="20"/>
        </w:rPr>
        <w:t>obtenido</w:t>
      </w:r>
      <w:r>
        <w:rPr>
          <w:spacing w:val="-14"/>
          <w:sz w:val="20"/>
        </w:rPr>
        <w:t> </w:t>
      </w:r>
      <w:r>
        <w:rPr>
          <w:sz w:val="20"/>
        </w:rPr>
        <w:t>su</w:t>
      </w:r>
      <w:r>
        <w:rPr>
          <w:spacing w:val="-13"/>
          <w:sz w:val="20"/>
        </w:rPr>
        <w:t> </w:t>
      </w:r>
      <w:r>
        <w:rPr>
          <w:sz w:val="20"/>
        </w:rPr>
        <w:t>registro</w:t>
      </w:r>
      <w:r>
        <w:rPr>
          <w:spacing w:val="-13"/>
          <w:sz w:val="20"/>
        </w:rPr>
        <w:t> </w:t>
      </w:r>
      <w:r>
        <w:rPr>
          <w:sz w:val="20"/>
        </w:rPr>
        <w:t>proporcionando</w:t>
      </w:r>
      <w:r>
        <w:rPr>
          <w:spacing w:val="-14"/>
          <w:sz w:val="20"/>
        </w:rPr>
        <w:t> </w:t>
      </w:r>
      <w:r>
        <w:rPr>
          <w:sz w:val="20"/>
        </w:rPr>
        <w:t>datos</w:t>
      </w:r>
      <w:r>
        <w:rPr>
          <w:spacing w:val="-12"/>
          <w:sz w:val="20"/>
        </w:rPr>
        <w:t> </w:t>
      </w:r>
      <w:r>
        <w:rPr>
          <w:sz w:val="20"/>
        </w:rPr>
        <w:t>falsos</w:t>
      </w:r>
      <w:r>
        <w:rPr>
          <w:spacing w:val="-12"/>
          <w:sz w:val="20"/>
        </w:rPr>
        <w:t> </w:t>
      </w:r>
      <w:r>
        <w:rPr>
          <w:sz w:val="20"/>
        </w:rPr>
        <w:t>o</w:t>
      </w:r>
      <w:r>
        <w:rPr>
          <w:spacing w:val="-13"/>
          <w:sz w:val="20"/>
        </w:rPr>
        <w:t> </w:t>
      </w:r>
      <w:r>
        <w:rPr>
          <w:sz w:val="20"/>
        </w:rPr>
        <w:t>cuando</w:t>
      </w:r>
      <w:r>
        <w:rPr>
          <w:spacing w:val="-13"/>
          <w:sz w:val="20"/>
        </w:rPr>
        <w:t> </w:t>
      </w:r>
      <w:r>
        <w:rPr>
          <w:sz w:val="20"/>
        </w:rPr>
        <w:t>dolosamente</w:t>
      </w:r>
      <w:r>
        <w:rPr>
          <w:spacing w:val="-14"/>
          <w:sz w:val="20"/>
        </w:rPr>
        <w:t> </w:t>
      </w:r>
      <w:r>
        <w:rPr>
          <w:sz w:val="20"/>
        </w:rPr>
        <w:t>presente información equivocada o falsa para su refrendo;</w:t>
      </w:r>
    </w:p>
    <w:p>
      <w:pPr>
        <w:pStyle w:val="ListParagraph"/>
        <w:numPr>
          <w:ilvl w:val="2"/>
          <w:numId w:val="88"/>
        </w:numPr>
        <w:tabs>
          <w:tab w:pos="686" w:val="left" w:leader="none"/>
        </w:tabs>
        <w:spacing w:line="240" w:lineRule="auto" w:before="229" w:after="0"/>
        <w:ind w:left="262" w:right="283" w:firstLine="0"/>
        <w:jc w:val="both"/>
        <w:rPr>
          <w:sz w:val="20"/>
        </w:rPr>
      </w:pPr>
      <w:r>
        <w:rPr>
          <w:sz w:val="20"/>
        </w:rPr>
        <w:t>Cuando por inexperiencia, negligencia, dolo o falta de previsión o cuidado, se comprometa la seguridad o estabilidad de las obras;</w:t>
      </w:r>
    </w:p>
    <w:p>
      <w:pPr>
        <w:pStyle w:val="BodyText"/>
        <w:spacing w:before="1"/>
      </w:pPr>
    </w:p>
    <w:p>
      <w:pPr>
        <w:pStyle w:val="ListParagraph"/>
        <w:numPr>
          <w:ilvl w:val="2"/>
          <w:numId w:val="88"/>
        </w:numPr>
        <w:tabs>
          <w:tab w:pos="741" w:val="left" w:leader="none"/>
        </w:tabs>
        <w:spacing w:line="240" w:lineRule="auto" w:before="1" w:after="0"/>
        <w:ind w:left="262" w:right="286" w:firstLine="0"/>
        <w:jc w:val="both"/>
        <w:rPr>
          <w:sz w:val="20"/>
        </w:rPr>
      </w:pPr>
      <w:r>
        <w:rPr>
          <w:sz w:val="20"/>
        </w:rPr>
        <w:t>Cuando la Dirección Municipal compruebe que ha tramitado la obtención de licencias o permisos de obras, en las que no hubiera cumplido sus funciones u obligaciones como Director Responsable de Obra o Corresponsable, o no esté participando como tal;</w:t>
      </w:r>
    </w:p>
    <w:p>
      <w:pPr>
        <w:pStyle w:val="ListParagraph"/>
        <w:numPr>
          <w:ilvl w:val="2"/>
          <w:numId w:val="88"/>
        </w:numPr>
        <w:tabs>
          <w:tab w:pos="688" w:val="left" w:leader="none"/>
        </w:tabs>
        <w:spacing w:line="240" w:lineRule="auto" w:before="229" w:after="0"/>
        <w:ind w:left="262" w:right="284" w:firstLine="0"/>
        <w:jc w:val="both"/>
        <w:rPr>
          <w:sz w:val="20"/>
        </w:rPr>
      </w:pPr>
      <w:r>
        <w:rPr>
          <w:sz w:val="20"/>
        </w:rPr>
        <w:t>Cuando</w:t>
      </w:r>
      <w:r>
        <w:rPr>
          <w:spacing w:val="-14"/>
          <w:sz w:val="20"/>
        </w:rPr>
        <w:t> </w:t>
      </w:r>
      <w:r>
        <w:rPr>
          <w:sz w:val="20"/>
        </w:rPr>
        <w:t>se</w:t>
      </w:r>
      <w:r>
        <w:rPr>
          <w:spacing w:val="-14"/>
          <w:sz w:val="20"/>
        </w:rPr>
        <w:t> </w:t>
      </w:r>
      <w:r>
        <w:rPr>
          <w:sz w:val="20"/>
        </w:rPr>
        <w:t>compruebe</w:t>
      </w:r>
      <w:r>
        <w:rPr>
          <w:spacing w:val="-14"/>
          <w:sz w:val="20"/>
        </w:rPr>
        <w:t> </w:t>
      </w:r>
      <w:r>
        <w:rPr>
          <w:sz w:val="20"/>
        </w:rPr>
        <w:t>la</w:t>
      </w:r>
      <w:r>
        <w:rPr>
          <w:spacing w:val="-14"/>
          <w:sz w:val="20"/>
        </w:rPr>
        <w:t> </w:t>
      </w:r>
      <w:r>
        <w:rPr>
          <w:sz w:val="20"/>
        </w:rPr>
        <w:t>violación</w:t>
      </w:r>
      <w:r>
        <w:rPr>
          <w:spacing w:val="-14"/>
          <w:sz w:val="20"/>
        </w:rPr>
        <w:t> </w:t>
      </w:r>
      <w:r>
        <w:rPr>
          <w:sz w:val="20"/>
        </w:rPr>
        <w:t>reincidente</w:t>
      </w:r>
      <w:r>
        <w:rPr>
          <w:spacing w:val="-14"/>
          <w:sz w:val="20"/>
        </w:rPr>
        <w:t> </w:t>
      </w:r>
      <w:r>
        <w:rPr>
          <w:sz w:val="20"/>
        </w:rPr>
        <w:t>de</w:t>
      </w:r>
      <w:r>
        <w:rPr>
          <w:spacing w:val="-14"/>
          <w:sz w:val="20"/>
        </w:rPr>
        <w:t> </w:t>
      </w:r>
      <w:r>
        <w:rPr>
          <w:sz w:val="20"/>
        </w:rPr>
        <w:t>las</w:t>
      </w:r>
      <w:r>
        <w:rPr>
          <w:spacing w:val="-14"/>
          <w:sz w:val="20"/>
        </w:rPr>
        <w:t> </w:t>
      </w:r>
      <w:r>
        <w:rPr>
          <w:sz w:val="20"/>
        </w:rPr>
        <w:t>disposiciones</w:t>
      </w:r>
      <w:r>
        <w:rPr>
          <w:spacing w:val="-14"/>
          <w:sz w:val="20"/>
        </w:rPr>
        <w:t> </w:t>
      </w:r>
      <w:r>
        <w:rPr>
          <w:sz w:val="20"/>
        </w:rPr>
        <w:t>de</w:t>
      </w:r>
      <w:r>
        <w:rPr>
          <w:spacing w:val="-13"/>
          <w:sz w:val="20"/>
        </w:rPr>
        <w:t> </w:t>
      </w:r>
      <w:r>
        <w:rPr>
          <w:sz w:val="20"/>
        </w:rPr>
        <w:t>esta</w:t>
      </w:r>
      <w:r>
        <w:rPr>
          <w:spacing w:val="-14"/>
          <w:sz w:val="20"/>
        </w:rPr>
        <w:t> </w:t>
      </w:r>
      <w:r>
        <w:rPr>
          <w:sz w:val="20"/>
        </w:rPr>
        <w:t>Ley</w:t>
      </w:r>
      <w:r>
        <w:rPr>
          <w:spacing w:val="-13"/>
          <w:sz w:val="20"/>
        </w:rPr>
        <w:t> </w:t>
      </w:r>
      <w:r>
        <w:rPr>
          <w:sz w:val="20"/>
        </w:rPr>
        <w:t>y</w:t>
      </w:r>
      <w:r>
        <w:rPr>
          <w:spacing w:val="-12"/>
          <w:sz w:val="20"/>
        </w:rPr>
        <w:t> </w:t>
      </w:r>
      <w:r>
        <w:rPr>
          <w:sz w:val="20"/>
        </w:rPr>
        <w:t>el</w:t>
      </w:r>
      <w:r>
        <w:rPr>
          <w:spacing w:val="-14"/>
          <w:sz w:val="20"/>
        </w:rPr>
        <w:t> </w:t>
      </w:r>
      <w:r>
        <w:rPr>
          <w:sz w:val="20"/>
        </w:rPr>
        <w:t>Reglamento de Construcción Municipal respectivo;</w:t>
      </w:r>
    </w:p>
    <w:p>
      <w:pPr>
        <w:pStyle w:val="ListParagraph"/>
        <w:numPr>
          <w:ilvl w:val="2"/>
          <w:numId w:val="88"/>
        </w:numPr>
        <w:tabs>
          <w:tab w:pos="688" w:val="left" w:leader="none"/>
        </w:tabs>
        <w:spacing w:line="240" w:lineRule="auto" w:before="229" w:after="0"/>
        <w:ind w:left="262" w:right="285" w:firstLine="0"/>
        <w:jc w:val="both"/>
        <w:rPr>
          <w:sz w:val="20"/>
        </w:rPr>
      </w:pPr>
      <w:r>
        <w:rPr>
          <w:sz w:val="20"/>
        </w:rPr>
        <w:t>Cuando</w:t>
      </w:r>
      <w:r>
        <w:rPr>
          <w:spacing w:val="-9"/>
          <w:sz w:val="20"/>
        </w:rPr>
        <w:t> </w:t>
      </w:r>
      <w:r>
        <w:rPr>
          <w:sz w:val="20"/>
        </w:rPr>
        <w:t>en</w:t>
      </w:r>
      <w:r>
        <w:rPr>
          <w:spacing w:val="-9"/>
          <w:sz w:val="20"/>
        </w:rPr>
        <w:t> </w:t>
      </w:r>
      <w:r>
        <w:rPr>
          <w:sz w:val="20"/>
        </w:rPr>
        <w:t>la</w:t>
      </w:r>
      <w:r>
        <w:rPr>
          <w:spacing w:val="-8"/>
          <w:sz w:val="20"/>
        </w:rPr>
        <w:t> </w:t>
      </w:r>
      <w:r>
        <w:rPr>
          <w:sz w:val="20"/>
        </w:rPr>
        <w:t>ejecución</w:t>
      </w:r>
      <w:r>
        <w:rPr>
          <w:spacing w:val="-9"/>
          <w:sz w:val="20"/>
        </w:rPr>
        <w:t> </w:t>
      </w:r>
      <w:r>
        <w:rPr>
          <w:sz w:val="20"/>
        </w:rPr>
        <w:t>de</w:t>
      </w:r>
      <w:r>
        <w:rPr>
          <w:spacing w:val="-8"/>
          <w:sz w:val="20"/>
        </w:rPr>
        <w:t> </w:t>
      </w:r>
      <w:r>
        <w:rPr>
          <w:sz w:val="20"/>
        </w:rPr>
        <w:t>una</w:t>
      </w:r>
      <w:r>
        <w:rPr>
          <w:spacing w:val="-9"/>
          <w:sz w:val="20"/>
        </w:rPr>
        <w:t> </w:t>
      </w:r>
      <w:r>
        <w:rPr>
          <w:sz w:val="20"/>
        </w:rPr>
        <w:t>obra</w:t>
      </w:r>
      <w:r>
        <w:rPr>
          <w:spacing w:val="-9"/>
          <w:sz w:val="20"/>
        </w:rPr>
        <w:t> </w:t>
      </w:r>
      <w:r>
        <w:rPr>
          <w:sz w:val="20"/>
        </w:rPr>
        <w:t>no</w:t>
      </w:r>
      <w:r>
        <w:rPr>
          <w:spacing w:val="-9"/>
          <w:sz w:val="20"/>
        </w:rPr>
        <w:t> </w:t>
      </w:r>
      <w:r>
        <w:rPr>
          <w:sz w:val="20"/>
        </w:rPr>
        <w:t>se</w:t>
      </w:r>
      <w:r>
        <w:rPr>
          <w:spacing w:val="-8"/>
          <w:sz w:val="20"/>
        </w:rPr>
        <w:t> </w:t>
      </w:r>
      <w:r>
        <w:rPr>
          <w:sz w:val="20"/>
        </w:rPr>
        <w:t>observe</w:t>
      </w:r>
      <w:r>
        <w:rPr>
          <w:spacing w:val="-9"/>
          <w:sz w:val="20"/>
        </w:rPr>
        <w:t> </w:t>
      </w:r>
      <w:r>
        <w:rPr>
          <w:sz w:val="20"/>
        </w:rPr>
        <w:t>el</w:t>
      </w:r>
      <w:r>
        <w:rPr>
          <w:spacing w:val="-10"/>
          <w:sz w:val="20"/>
        </w:rPr>
        <w:t> </w:t>
      </w:r>
      <w:r>
        <w:rPr>
          <w:sz w:val="20"/>
        </w:rPr>
        <w:t>cumplimiento</w:t>
      </w:r>
      <w:r>
        <w:rPr>
          <w:spacing w:val="-8"/>
          <w:sz w:val="20"/>
        </w:rPr>
        <w:t> </w:t>
      </w:r>
      <w:r>
        <w:rPr>
          <w:sz w:val="20"/>
        </w:rPr>
        <w:t>de</w:t>
      </w:r>
      <w:r>
        <w:rPr>
          <w:spacing w:val="-9"/>
          <w:sz w:val="20"/>
        </w:rPr>
        <w:t> </w:t>
      </w:r>
      <w:r>
        <w:rPr>
          <w:sz w:val="20"/>
        </w:rPr>
        <w:t>los</w:t>
      </w:r>
      <w:r>
        <w:rPr>
          <w:spacing w:val="-9"/>
          <w:sz w:val="20"/>
        </w:rPr>
        <w:t> </w:t>
      </w:r>
      <w:r>
        <w:rPr>
          <w:sz w:val="20"/>
        </w:rPr>
        <w:t>Proyectos</w:t>
      </w:r>
      <w:r>
        <w:rPr>
          <w:spacing w:val="-9"/>
          <w:sz w:val="20"/>
        </w:rPr>
        <w:t> </w:t>
      </w:r>
      <w:r>
        <w:rPr>
          <w:sz w:val="20"/>
        </w:rPr>
        <w:t>Ejecutivos autorizados en la licencia o autorización, sin haber registrado las causas de los cambios en la bitácora respectiva;</w:t>
      </w:r>
    </w:p>
    <w:p>
      <w:pPr>
        <w:pStyle w:val="BodyText"/>
        <w:spacing w:before="1"/>
      </w:pPr>
    </w:p>
    <w:p>
      <w:pPr>
        <w:pStyle w:val="ListParagraph"/>
        <w:numPr>
          <w:ilvl w:val="2"/>
          <w:numId w:val="88"/>
        </w:numPr>
        <w:tabs>
          <w:tab w:pos="688" w:val="left" w:leader="none"/>
        </w:tabs>
        <w:spacing w:line="240" w:lineRule="auto" w:before="0" w:after="0"/>
        <w:ind w:left="262" w:right="283" w:firstLine="0"/>
        <w:jc w:val="both"/>
        <w:rPr>
          <w:sz w:val="20"/>
        </w:rPr>
      </w:pPr>
      <w:r>
        <w:rPr>
          <w:sz w:val="20"/>
        </w:rPr>
        <w:t>La</w:t>
      </w:r>
      <w:r>
        <w:rPr>
          <w:spacing w:val="-10"/>
          <w:sz w:val="20"/>
        </w:rPr>
        <w:t> </w:t>
      </w:r>
      <w:r>
        <w:rPr>
          <w:sz w:val="20"/>
        </w:rPr>
        <w:t>negativa</w:t>
      </w:r>
      <w:r>
        <w:rPr>
          <w:spacing w:val="-10"/>
          <w:sz w:val="20"/>
        </w:rPr>
        <w:t> </w:t>
      </w:r>
      <w:r>
        <w:rPr>
          <w:sz w:val="20"/>
        </w:rPr>
        <w:t>reincidente</w:t>
      </w:r>
      <w:r>
        <w:rPr>
          <w:spacing w:val="-8"/>
          <w:sz w:val="20"/>
        </w:rPr>
        <w:t> </w:t>
      </w:r>
      <w:r>
        <w:rPr>
          <w:sz w:val="20"/>
        </w:rPr>
        <w:t>a</w:t>
      </w:r>
      <w:r>
        <w:rPr>
          <w:spacing w:val="-10"/>
          <w:sz w:val="20"/>
        </w:rPr>
        <w:t> </w:t>
      </w:r>
      <w:r>
        <w:rPr>
          <w:sz w:val="20"/>
        </w:rPr>
        <w:t>prestar</w:t>
      </w:r>
      <w:r>
        <w:rPr>
          <w:spacing w:val="-9"/>
          <w:sz w:val="20"/>
        </w:rPr>
        <w:t> </w:t>
      </w:r>
      <w:r>
        <w:rPr>
          <w:sz w:val="20"/>
        </w:rPr>
        <w:t>facilidades</w:t>
      </w:r>
      <w:r>
        <w:rPr>
          <w:spacing w:val="-9"/>
          <w:sz w:val="20"/>
        </w:rPr>
        <w:t> </w:t>
      </w:r>
      <w:r>
        <w:rPr>
          <w:sz w:val="20"/>
        </w:rPr>
        <w:t>para</w:t>
      </w:r>
      <w:r>
        <w:rPr>
          <w:spacing w:val="-9"/>
          <w:sz w:val="20"/>
        </w:rPr>
        <w:t> </w:t>
      </w:r>
      <w:r>
        <w:rPr>
          <w:sz w:val="20"/>
        </w:rPr>
        <w:t>la</w:t>
      </w:r>
      <w:r>
        <w:rPr>
          <w:spacing w:val="-10"/>
          <w:sz w:val="20"/>
        </w:rPr>
        <w:t> </w:t>
      </w:r>
      <w:r>
        <w:rPr>
          <w:sz w:val="20"/>
        </w:rPr>
        <w:t>práctica</w:t>
      </w:r>
      <w:r>
        <w:rPr>
          <w:spacing w:val="-10"/>
          <w:sz w:val="20"/>
        </w:rPr>
        <w:t> </w:t>
      </w:r>
      <w:r>
        <w:rPr>
          <w:sz w:val="20"/>
        </w:rPr>
        <w:t>de</w:t>
      </w:r>
      <w:r>
        <w:rPr>
          <w:spacing w:val="-10"/>
          <w:sz w:val="20"/>
        </w:rPr>
        <w:t> </w:t>
      </w:r>
      <w:r>
        <w:rPr>
          <w:sz w:val="20"/>
        </w:rPr>
        <w:t>visitas</w:t>
      </w:r>
      <w:r>
        <w:rPr>
          <w:spacing w:val="-9"/>
          <w:sz w:val="20"/>
        </w:rPr>
        <w:t> </w:t>
      </w:r>
      <w:r>
        <w:rPr>
          <w:sz w:val="20"/>
        </w:rPr>
        <w:t>de</w:t>
      </w:r>
      <w:r>
        <w:rPr>
          <w:spacing w:val="-8"/>
          <w:sz w:val="20"/>
        </w:rPr>
        <w:t> </w:t>
      </w:r>
      <w:r>
        <w:rPr>
          <w:sz w:val="20"/>
        </w:rPr>
        <w:t>inspección</w:t>
      </w:r>
      <w:r>
        <w:rPr>
          <w:spacing w:val="-10"/>
          <w:sz w:val="20"/>
        </w:rPr>
        <w:t> </w:t>
      </w:r>
      <w:r>
        <w:rPr>
          <w:sz w:val="20"/>
        </w:rPr>
        <w:t>municipal, que le sea atribuible directamente;</w:t>
      </w:r>
    </w:p>
    <w:p>
      <w:pPr>
        <w:pStyle w:val="BodyText"/>
      </w:pPr>
    </w:p>
    <w:p>
      <w:pPr>
        <w:pStyle w:val="ListParagraph"/>
        <w:numPr>
          <w:ilvl w:val="2"/>
          <w:numId w:val="88"/>
        </w:numPr>
        <w:tabs>
          <w:tab w:pos="688" w:val="left" w:leader="none"/>
        </w:tabs>
        <w:spacing w:line="240" w:lineRule="auto" w:before="0" w:after="0"/>
        <w:ind w:left="262" w:right="285" w:firstLine="0"/>
        <w:jc w:val="both"/>
        <w:rPr>
          <w:sz w:val="20"/>
        </w:rPr>
      </w:pPr>
      <w:r>
        <w:rPr>
          <w:sz w:val="20"/>
        </w:rPr>
        <w:t>Cuando por sentencia ejecutoria se condene a un Director Responsable de Obra o Corresponsable</w:t>
      </w:r>
      <w:r>
        <w:rPr>
          <w:spacing w:val="-3"/>
          <w:sz w:val="20"/>
        </w:rPr>
        <w:t> </w:t>
      </w:r>
      <w:r>
        <w:rPr>
          <w:sz w:val="20"/>
        </w:rPr>
        <w:t>a</w:t>
      </w:r>
      <w:r>
        <w:rPr>
          <w:spacing w:val="-5"/>
          <w:sz w:val="20"/>
        </w:rPr>
        <w:t> </w:t>
      </w:r>
      <w:r>
        <w:rPr>
          <w:sz w:val="20"/>
        </w:rPr>
        <w:t>cumplir</w:t>
      </w:r>
      <w:r>
        <w:rPr>
          <w:spacing w:val="-4"/>
          <w:sz w:val="20"/>
        </w:rPr>
        <w:t> </w:t>
      </w:r>
      <w:r>
        <w:rPr>
          <w:sz w:val="20"/>
        </w:rPr>
        <w:t>una</w:t>
      </w:r>
      <w:r>
        <w:rPr>
          <w:spacing w:val="-6"/>
          <w:sz w:val="20"/>
        </w:rPr>
        <w:t> </w:t>
      </w:r>
      <w:r>
        <w:rPr>
          <w:sz w:val="20"/>
        </w:rPr>
        <w:t>pena</w:t>
      </w:r>
      <w:r>
        <w:rPr>
          <w:spacing w:val="-6"/>
          <w:sz w:val="20"/>
        </w:rPr>
        <w:t> </w:t>
      </w:r>
      <w:r>
        <w:rPr>
          <w:sz w:val="20"/>
        </w:rPr>
        <w:t>privativa</w:t>
      </w:r>
      <w:r>
        <w:rPr>
          <w:spacing w:val="-5"/>
          <w:sz w:val="20"/>
        </w:rPr>
        <w:t> </w:t>
      </w:r>
      <w:r>
        <w:rPr>
          <w:sz w:val="20"/>
        </w:rPr>
        <w:t>de</w:t>
      </w:r>
      <w:r>
        <w:rPr>
          <w:spacing w:val="-5"/>
          <w:sz w:val="20"/>
        </w:rPr>
        <w:t> </w:t>
      </w:r>
      <w:r>
        <w:rPr>
          <w:sz w:val="20"/>
        </w:rPr>
        <w:t>la</w:t>
      </w:r>
      <w:r>
        <w:rPr>
          <w:spacing w:val="-5"/>
          <w:sz w:val="20"/>
        </w:rPr>
        <w:t> </w:t>
      </w:r>
      <w:r>
        <w:rPr>
          <w:sz w:val="20"/>
        </w:rPr>
        <w:t>libertad</w:t>
      </w:r>
      <w:r>
        <w:rPr>
          <w:spacing w:val="-6"/>
          <w:sz w:val="20"/>
        </w:rPr>
        <w:t> </w:t>
      </w:r>
      <w:r>
        <w:rPr>
          <w:sz w:val="20"/>
        </w:rPr>
        <w:t>relacionada</w:t>
      </w:r>
      <w:r>
        <w:rPr>
          <w:spacing w:val="-5"/>
          <w:sz w:val="20"/>
        </w:rPr>
        <w:t> </w:t>
      </w:r>
      <w:r>
        <w:rPr>
          <w:sz w:val="20"/>
        </w:rPr>
        <w:t>con</w:t>
      </w:r>
      <w:r>
        <w:rPr>
          <w:spacing w:val="-6"/>
          <w:sz w:val="20"/>
        </w:rPr>
        <w:t> </w:t>
      </w:r>
      <w:r>
        <w:rPr>
          <w:sz w:val="20"/>
        </w:rPr>
        <w:t>violaciones</w:t>
      </w:r>
      <w:r>
        <w:rPr>
          <w:spacing w:val="-4"/>
          <w:sz w:val="20"/>
        </w:rPr>
        <w:t> </w:t>
      </w:r>
      <w:r>
        <w:rPr>
          <w:sz w:val="20"/>
        </w:rPr>
        <w:t>al</w:t>
      </w:r>
      <w:r>
        <w:rPr>
          <w:spacing w:val="-4"/>
          <w:sz w:val="20"/>
        </w:rPr>
        <w:t> </w:t>
      </w:r>
      <w:r>
        <w:rPr>
          <w:sz w:val="20"/>
        </w:rPr>
        <w:t>desarrollo </w:t>
      </w:r>
      <w:r>
        <w:rPr>
          <w:spacing w:val="-2"/>
          <w:sz w:val="20"/>
        </w:rPr>
        <w:t>urbano;</w:t>
      </w:r>
    </w:p>
    <w:p>
      <w:pPr>
        <w:pStyle w:val="ListParagraph"/>
        <w:numPr>
          <w:ilvl w:val="2"/>
          <w:numId w:val="88"/>
        </w:numPr>
        <w:tabs>
          <w:tab w:pos="688" w:val="left" w:leader="none"/>
        </w:tabs>
        <w:spacing w:line="240" w:lineRule="auto" w:before="229" w:after="0"/>
        <w:ind w:left="262" w:right="278" w:firstLine="0"/>
        <w:jc w:val="both"/>
        <w:rPr>
          <w:sz w:val="20"/>
        </w:rPr>
      </w:pPr>
      <w:r>
        <w:rPr>
          <w:sz w:val="20"/>
        </w:rPr>
        <w:t>Cuando por la violación de esta Ley y el Reglamento de Construcción municipal y demás disposiciones legales aplicables, se comprometa el equilibrio ecológico, la ejecución de los Programas</w:t>
      </w:r>
      <w:r>
        <w:rPr>
          <w:spacing w:val="-9"/>
          <w:sz w:val="20"/>
        </w:rPr>
        <w:t> </w:t>
      </w:r>
      <w:r>
        <w:rPr>
          <w:sz w:val="20"/>
        </w:rPr>
        <w:t>de</w:t>
      </w:r>
      <w:r>
        <w:rPr>
          <w:spacing w:val="-10"/>
          <w:sz w:val="20"/>
        </w:rPr>
        <w:t> </w:t>
      </w:r>
      <w:r>
        <w:rPr>
          <w:sz w:val="20"/>
        </w:rPr>
        <w:t>Ordenamiento</w:t>
      </w:r>
      <w:r>
        <w:rPr>
          <w:spacing w:val="-10"/>
          <w:sz w:val="20"/>
        </w:rPr>
        <w:t> </w:t>
      </w:r>
      <w:r>
        <w:rPr>
          <w:sz w:val="20"/>
        </w:rPr>
        <w:t>Territorial</w:t>
      </w:r>
      <w:r>
        <w:rPr>
          <w:spacing w:val="-11"/>
          <w:sz w:val="20"/>
        </w:rPr>
        <w:t> </w:t>
      </w:r>
      <w:r>
        <w:rPr>
          <w:sz w:val="20"/>
        </w:rPr>
        <w:t>y</w:t>
      </w:r>
      <w:r>
        <w:rPr>
          <w:spacing w:val="-9"/>
          <w:sz w:val="20"/>
        </w:rPr>
        <w:t> </w:t>
      </w:r>
      <w:r>
        <w:rPr>
          <w:sz w:val="20"/>
        </w:rPr>
        <w:t>Desarrollo</w:t>
      </w:r>
      <w:r>
        <w:rPr>
          <w:spacing w:val="-10"/>
          <w:sz w:val="20"/>
        </w:rPr>
        <w:t> </w:t>
      </w:r>
      <w:r>
        <w:rPr>
          <w:sz w:val="20"/>
        </w:rPr>
        <w:t>Urbano</w:t>
      </w:r>
      <w:r>
        <w:rPr>
          <w:spacing w:val="-8"/>
          <w:sz w:val="20"/>
        </w:rPr>
        <w:t> </w:t>
      </w:r>
      <w:r>
        <w:rPr>
          <w:sz w:val="20"/>
        </w:rPr>
        <w:t>estatal</w:t>
      </w:r>
      <w:r>
        <w:rPr>
          <w:spacing w:val="-11"/>
          <w:sz w:val="20"/>
        </w:rPr>
        <w:t> </w:t>
      </w:r>
      <w:r>
        <w:rPr>
          <w:sz w:val="20"/>
        </w:rPr>
        <w:t>o</w:t>
      </w:r>
      <w:r>
        <w:rPr>
          <w:spacing w:val="-10"/>
          <w:sz w:val="20"/>
        </w:rPr>
        <w:t> </w:t>
      </w:r>
      <w:r>
        <w:rPr>
          <w:sz w:val="20"/>
        </w:rPr>
        <w:t>municipal</w:t>
      </w:r>
      <w:r>
        <w:rPr>
          <w:spacing w:val="-4"/>
          <w:sz w:val="20"/>
        </w:rPr>
        <w:t> </w:t>
      </w:r>
      <w:r>
        <w:rPr>
          <w:sz w:val="20"/>
        </w:rPr>
        <w:t>y</w:t>
      </w:r>
      <w:r>
        <w:rPr>
          <w:spacing w:val="-9"/>
          <w:sz w:val="20"/>
        </w:rPr>
        <w:t> </w:t>
      </w:r>
      <w:r>
        <w:rPr>
          <w:sz w:val="20"/>
        </w:rPr>
        <w:t>los</w:t>
      </w:r>
      <w:r>
        <w:rPr>
          <w:spacing w:val="-9"/>
          <w:sz w:val="20"/>
        </w:rPr>
        <w:t> </w:t>
      </w:r>
      <w:r>
        <w:rPr>
          <w:sz w:val="20"/>
        </w:rPr>
        <w:t>programas</w:t>
      </w:r>
      <w:r>
        <w:rPr>
          <w:spacing w:val="-9"/>
          <w:sz w:val="20"/>
        </w:rPr>
        <w:t> </w:t>
      </w:r>
      <w:r>
        <w:rPr>
          <w:sz w:val="20"/>
        </w:rPr>
        <w:t>que de éstos deriven o las Obras Públicas existentes,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2"/>
          <w:numId w:val="88"/>
        </w:numPr>
        <w:tabs>
          <w:tab w:pos="688" w:val="left" w:leader="none"/>
        </w:tabs>
        <w:spacing w:line="240" w:lineRule="auto" w:before="0" w:after="0"/>
        <w:ind w:left="262" w:right="282" w:firstLine="0"/>
        <w:jc w:val="left"/>
        <w:rPr>
          <w:sz w:val="20"/>
        </w:rPr>
      </w:pPr>
      <w:r>
        <w:rPr>
          <w:sz w:val="20"/>
        </w:rPr>
        <w:t>Las</w:t>
      </w:r>
      <w:r>
        <w:rPr>
          <w:spacing w:val="-6"/>
          <w:sz w:val="20"/>
        </w:rPr>
        <w:t> </w:t>
      </w:r>
      <w:r>
        <w:rPr>
          <w:sz w:val="20"/>
        </w:rPr>
        <w:t>demás</w:t>
      </w:r>
      <w:r>
        <w:rPr>
          <w:spacing w:val="-7"/>
          <w:sz w:val="20"/>
        </w:rPr>
        <w:t> </w:t>
      </w:r>
      <w:r>
        <w:rPr>
          <w:sz w:val="20"/>
        </w:rPr>
        <w:t>que</w:t>
      </w:r>
      <w:r>
        <w:rPr>
          <w:spacing w:val="-8"/>
          <w:sz w:val="20"/>
        </w:rPr>
        <w:t> </w:t>
      </w:r>
      <w:r>
        <w:rPr>
          <w:sz w:val="20"/>
        </w:rPr>
        <w:t>contravengan</w:t>
      </w:r>
      <w:r>
        <w:rPr>
          <w:spacing w:val="-8"/>
          <w:sz w:val="20"/>
        </w:rPr>
        <w:t> </w:t>
      </w:r>
      <w:r>
        <w:rPr>
          <w:sz w:val="20"/>
        </w:rPr>
        <w:t>las</w:t>
      </w:r>
      <w:r>
        <w:rPr>
          <w:spacing w:val="-7"/>
          <w:sz w:val="20"/>
        </w:rPr>
        <w:t> </w:t>
      </w:r>
      <w:r>
        <w:rPr>
          <w:sz w:val="20"/>
        </w:rPr>
        <w:t>leyes</w:t>
      </w:r>
      <w:r>
        <w:rPr>
          <w:spacing w:val="-7"/>
          <w:sz w:val="20"/>
        </w:rPr>
        <w:t> </w:t>
      </w:r>
      <w:r>
        <w:rPr>
          <w:sz w:val="20"/>
        </w:rPr>
        <w:t>y</w:t>
      </w:r>
      <w:r>
        <w:rPr>
          <w:spacing w:val="-6"/>
          <w:sz w:val="20"/>
        </w:rPr>
        <w:t> </w:t>
      </w:r>
      <w:r>
        <w:rPr>
          <w:sz w:val="20"/>
        </w:rPr>
        <w:t>reglamentos</w:t>
      </w:r>
      <w:r>
        <w:rPr>
          <w:spacing w:val="-4"/>
          <w:sz w:val="20"/>
        </w:rPr>
        <w:t> </w:t>
      </w:r>
      <w:r>
        <w:rPr>
          <w:sz w:val="20"/>
        </w:rPr>
        <w:t>aplicables,</w:t>
      </w:r>
      <w:r>
        <w:rPr>
          <w:spacing w:val="-7"/>
          <w:sz w:val="20"/>
        </w:rPr>
        <w:t> </w:t>
      </w:r>
      <w:r>
        <w:rPr>
          <w:sz w:val="20"/>
        </w:rPr>
        <w:t>causando</w:t>
      </w:r>
      <w:r>
        <w:rPr>
          <w:spacing w:val="-6"/>
          <w:sz w:val="20"/>
        </w:rPr>
        <w:t> </w:t>
      </w:r>
      <w:r>
        <w:rPr>
          <w:sz w:val="20"/>
        </w:rPr>
        <w:t>perjuicios</w:t>
      </w:r>
      <w:r>
        <w:rPr>
          <w:spacing w:val="-7"/>
          <w:sz w:val="20"/>
        </w:rPr>
        <w:t> </w:t>
      </w:r>
      <w:r>
        <w:rPr>
          <w:sz w:val="20"/>
        </w:rPr>
        <w:t>graves</w:t>
      </w:r>
      <w:r>
        <w:rPr>
          <w:spacing w:val="-7"/>
          <w:sz w:val="20"/>
        </w:rPr>
        <w:t> </w:t>
      </w:r>
      <w:r>
        <w:rPr>
          <w:sz w:val="20"/>
        </w:rPr>
        <w:t>a la obra.</w:t>
      </w:r>
    </w:p>
    <w:p>
      <w:pPr>
        <w:pStyle w:val="BodyText"/>
        <w:spacing w:before="1"/>
      </w:pPr>
    </w:p>
    <w:p>
      <w:pPr>
        <w:pStyle w:val="BodyText"/>
        <w:ind w:left="262" w:right="287"/>
        <w:jc w:val="both"/>
      </w:pPr>
      <w:r>
        <w:rPr>
          <w:rFonts w:ascii="Arial" w:hAnsi="Arial"/>
          <w:b/>
        </w:rPr>
        <w:t>ARTÍCULO 241. </w:t>
      </w:r>
      <w:r>
        <w:rPr/>
        <w:t>Los funcionarios y servidores públicos municipales, durante su ejercicio, aún y cuando cuenten con su respectivo registro vigente, no podrán desempeñar la función de Director Responsable de Obra o Corresponsable en el municipio en que presten sus servicios.</w:t>
      </w:r>
    </w:p>
    <w:p>
      <w:pPr>
        <w:pStyle w:val="BodyText"/>
        <w:spacing w:before="229"/>
        <w:ind w:left="262" w:right="279"/>
        <w:jc w:val="both"/>
      </w:pPr>
      <w:r>
        <w:rPr/>
        <w:t>Quienes pretendan registrarse como Directores Responsables de Obra y Corresponsables, y que </w:t>
      </w:r>
      <w:r>
        <w:rPr>
          <w:spacing w:val="-2"/>
        </w:rPr>
        <w:t>con</w:t>
      </w:r>
      <w:r>
        <w:rPr>
          <w:spacing w:val="-6"/>
        </w:rPr>
        <w:t> </w:t>
      </w:r>
      <w:r>
        <w:rPr>
          <w:spacing w:val="-2"/>
        </w:rPr>
        <w:t>anterioridad</w:t>
      </w:r>
      <w:r>
        <w:rPr>
          <w:spacing w:val="-3"/>
        </w:rPr>
        <w:t> </w:t>
      </w:r>
      <w:r>
        <w:rPr>
          <w:spacing w:val="-2"/>
        </w:rPr>
        <w:t>se</w:t>
      </w:r>
      <w:r>
        <w:rPr>
          <w:spacing w:val="-6"/>
        </w:rPr>
        <w:t> </w:t>
      </w:r>
      <w:r>
        <w:rPr>
          <w:spacing w:val="-2"/>
        </w:rPr>
        <w:t>hayan</w:t>
      </w:r>
      <w:r>
        <w:rPr>
          <w:spacing w:val="-3"/>
        </w:rPr>
        <w:t> </w:t>
      </w:r>
      <w:r>
        <w:rPr>
          <w:spacing w:val="-2"/>
        </w:rPr>
        <w:t>desempeñado</w:t>
      </w:r>
      <w:r>
        <w:rPr>
          <w:spacing w:val="-6"/>
        </w:rPr>
        <w:t> </w:t>
      </w:r>
      <w:r>
        <w:rPr>
          <w:spacing w:val="-2"/>
        </w:rPr>
        <w:t>como</w:t>
      </w:r>
      <w:r>
        <w:rPr>
          <w:spacing w:val="-3"/>
        </w:rPr>
        <w:t> </w:t>
      </w:r>
      <w:r>
        <w:rPr>
          <w:spacing w:val="-2"/>
        </w:rPr>
        <w:t>servidores</w:t>
      </w:r>
      <w:r>
        <w:rPr>
          <w:spacing w:val="-5"/>
        </w:rPr>
        <w:t> </w:t>
      </w:r>
      <w:r>
        <w:rPr>
          <w:spacing w:val="-2"/>
        </w:rPr>
        <w:t>públicos</w:t>
      </w:r>
      <w:r>
        <w:rPr>
          <w:spacing w:val="-5"/>
        </w:rPr>
        <w:t> </w:t>
      </w:r>
      <w:r>
        <w:rPr>
          <w:spacing w:val="-2"/>
        </w:rPr>
        <w:t>del</w:t>
      </w:r>
      <w:r>
        <w:rPr>
          <w:spacing w:val="-3"/>
        </w:rPr>
        <w:t> </w:t>
      </w:r>
      <w:r>
        <w:rPr>
          <w:spacing w:val="-2"/>
        </w:rPr>
        <w:t>municipio</w:t>
      </w:r>
      <w:r>
        <w:rPr>
          <w:spacing w:val="-6"/>
        </w:rPr>
        <w:t> </w:t>
      </w:r>
      <w:r>
        <w:rPr>
          <w:spacing w:val="-2"/>
        </w:rPr>
        <w:t>en el</w:t>
      </w:r>
      <w:r>
        <w:rPr>
          <w:spacing w:val="-3"/>
        </w:rPr>
        <w:t> </w:t>
      </w:r>
      <w:r>
        <w:rPr>
          <w:spacing w:val="-2"/>
        </w:rPr>
        <w:t>que</w:t>
      </w:r>
      <w:r>
        <w:rPr>
          <w:spacing w:val="-3"/>
        </w:rPr>
        <w:t> </w:t>
      </w:r>
      <w:r>
        <w:rPr>
          <w:spacing w:val="-2"/>
        </w:rPr>
        <w:t>pretenden </w:t>
      </w:r>
      <w:r>
        <w:rPr/>
        <w:t>ejercer, deberán cumplir como mínimo con un año fuera de su cargo para ingresar su solicitud de registro ante el municipio o ejercer como tal si ya contaba con el mismo.</w:t>
      </w:r>
    </w:p>
    <w:p>
      <w:pPr>
        <w:pStyle w:val="BodyText"/>
        <w:spacing w:before="1"/>
      </w:pPr>
    </w:p>
    <w:p>
      <w:pPr>
        <w:pStyle w:val="BodyText"/>
        <w:ind w:left="262" w:right="288"/>
        <w:jc w:val="both"/>
      </w:pPr>
      <w:r>
        <w:rPr>
          <w:rFonts w:ascii="Arial" w:hAnsi="Arial"/>
          <w:b/>
        </w:rPr>
        <w:t>ARTÍCULO 242. </w:t>
      </w:r>
      <w:r>
        <w:rPr/>
        <w:t>No se concederán licencias o autorizaciones para nuevas obras a los Directores Responsables</w:t>
      </w:r>
      <w:r>
        <w:rPr>
          <w:spacing w:val="-1"/>
        </w:rPr>
        <w:t> </w:t>
      </w:r>
      <w:r>
        <w:rPr/>
        <w:t>de</w:t>
      </w:r>
      <w:r>
        <w:rPr>
          <w:spacing w:val="-2"/>
        </w:rPr>
        <w:t> </w:t>
      </w:r>
      <w:r>
        <w:rPr/>
        <w:t>Obra</w:t>
      </w:r>
      <w:r>
        <w:rPr>
          <w:spacing w:val="-2"/>
        </w:rPr>
        <w:t> </w:t>
      </w:r>
      <w:r>
        <w:rPr/>
        <w:t>o</w:t>
      </w:r>
      <w:r>
        <w:rPr>
          <w:spacing w:val="-2"/>
        </w:rPr>
        <w:t> </w:t>
      </w:r>
      <w:r>
        <w:rPr/>
        <w:t>Corresponsables,</w:t>
      </w:r>
      <w:r>
        <w:rPr>
          <w:spacing w:val="-2"/>
        </w:rPr>
        <w:t> </w:t>
      </w:r>
      <w:r>
        <w:rPr/>
        <w:t>mientras</w:t>
      </w:r>
      <w:r>
        <w:rPr>
          <w:spacing w:val="-1"/>
        </w:rPr>
        <w:t> </w:t>
      </w:r>
      <w:r>
        <w:rPr/>
        <w:t>no</w:t>
      </w:r>
      <w:r>
        <w:rPr>
          <w:spacing w:val="-2"/>
        </w:rPr>
        <w:t> </w:t>
      </w:r>
      <w:r>
        <w:rPr/>
        <w:t>subsanen</w:t>
      </w:r>
      <w:r>
        <w:rPr>
          <w:spacing w:val="-2"/>
        </w:rPr>
        <w:t> </w:t>
      </w:r>
      <w:r>
        <w:rPr/>
        <w:t>las</w:t>
      </w:r>
      <w:r>
        <w:rPr>
          <w:spacing w:val="-1"/>
        </w:rPr>
        <w:t> </w:t>
      </w:r>
      <w:r>
        <w:rPr/>
        <w:t>omisiones</w:t>
      </w:r>
      <w:r>
        <w:rPr>
          <w:spacing w:val="-1"/>
        </w:rPr>
        <w:t> </w:t>
      </w:r>
      <w:r>
        <w:rPr/>
        <w:t>de</w:t>
      </w:r>
      <w:r>
        <w:rPr>
          <w:spacing w:val="-3"/>
        </w:rPr>
        <w:t> </w:t>
      </w:r>
      <w:r>
        <w:rPr/>
        <w:t>que</w:t>
      </w:r>
      <w:r>
        <w:rPr>
          <w:spacing w:val="-2"/>
        </w:rPr>
        <w:t> </w:t>
      </w:r>
      <w:r>
        <w:rPr/>
        <w:t>se</w:t>
      </w:r>
      <w:r>
        <w:rPr>
          <w:spacing w:val="-2"/>
        </w:rPr>
        <w:t> </w:t>
      </w:r>
      <w:r>
        <w:rPr/>
        <w:t>trata</w:t>
      </w:r>
      <w:r>
        <w:rPr>
          <w:spacing w:val="-3"/>
        </w:rPr>
        <w:t> </w:t>
      </w:r>
      <w:r>
        <w:rPr/>
        <w:t>en los siguientes casos:</w:t>
      </w:r>
    </w:p>
    <w:p>
      <w:pPr>
        <w:pStyle w:val="BodyText"/>
        <w:spacing w:before="1"/>
      </w:pPr>
    </w:p>
    <w:p>
      <w:pPr>
        <w:pStyle w:val="ListParagraph"/>
        <w:numPr>
          <w:ilvl w:val="0"/>
          <w:numId w:val="89"/>
        </w:numPr>
        <w:tabs>
          <w:tab w:pos="543" w:val="left" w:leader="none"/>
        </w:tabs>
        <w:spacing w:line="240" w:lineRule="auto" w:before="0" w:after="0"/>
        <w:ind w:left="543" w:right="0" w:hanging="281"/>
        <w:jc w:val="left"/>
        <w:rPr>
          <w:rFonts w:ascii="Arial" w:hAnsi="Arial"/>
          <w:b/>
          <w:sz w:val="20"/>
        </w:rPr>
      </w:pPr>
      <w:r>
        <w:rPr>
          <w:sz w:val="20"/>
        </w:rPr>
        <w:t>No</w:t>
      </w:r>
      <w:r>
        <w:rPr>
          <w:spacing w:val="-7"/>
          <w:sz w:val="20"/>
        </w:rPr>
        <w:t> </w:t>
      </w:r>
      <w:r>
        <w:rPr>
          <w:sz w:val="20"/>
        </w:rPr>
        <w:t>contar</w:t>
      </w:r>
      <w:r>
        <w:rPr>
          <w:spacing w:val="-6"/>
          <w:sz w:val="20"/>
        </w:rPr>
        <w:t> </w:t>
      </w:r>
      <w:r>
        <w:rPr>
          <w:sz w:val="20"/>
        </w:rPr>
        <w:t>con</w:t>
      </w:r>
      <w:r>
        <w:rPr>
          <w:spacing w:val="-7"/>
          <w:sz w:val="20"/>
        </w:rPr>
        <w:t> </w:t>
      </w:r>
      <w:r>
        <w:rPr>
          <w:sz w:val="20"/>
        </w:rPr>
        <w:t>su</w:t>
      </w:r>
      <w:r>
        <w:rPr>
          <w:spacing w:val="-6"/>
          <w:sz w:val="20"/>
        </w:rPr>
        <w:t> </w:t>
      </w:r>
      <w:r>
        <w:rPr>
          <w:sz w:val="20"/>
        </w:rPr>
        <w:t>registro</w:t>
      </w:r>
      <w:r>
        <w:rPr>
          <w:spacing w:val="-7"/>
          <w:sz w:val="20"/>
        </w:rPr>
        <w:t> </w:t>
      </w:r>
      <w:r>
        <w:rPr>
          <w:sz w:val="20"/>
        </w:rPr>
        <w:t>vigente,</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5"/>
          <w:sz w:val="20"/>
        </w:rPr>
        <w:t> </w:t>
      </w:r>
      <w:r>
        <w:rPr>
          <w:sz w:val="20"/>
        </w:rPr>
        <w:t>establecidos</w:t>
      </w:r>
      <w:r>
        <w:rPr>
          <w:spacing w:val="-5"/>
          <w:sz w:val="20"/>
        </w:rPr>
        <w:t> </w:t>
      </w:r>
      <w:r>
        <w:rPr>
          <w:sz w:val="20"/>
        </w:rPr>
        <w:t>en</w:t>
      </w:r>
      <w:r>
        <w:rPr>
          <w:spacing w:val="-7"/>
          <w:sz w:val="20"/>
        </w:rPr>
        <w:t> </w:t>
      </w:r>
      <w:r>
        <w:rPr>
          <w:sz w:val="20"/>
        </w:rPr>
        <w:t>esta</w:t>
      </w:r>
      <w:r>
        <w:rPr>
          <w:spacing w:val="-4"/>
          <w:sz w:val="20"/>
        </w:rPr>
        <w:t> Ley;</w:t>
      </w:r>
    </w:p>
    <w:p>
      <w:pPr>
        <w:pStyle w:val="ListParagraph"/>
        <w:numPr>
          <w:ilvl w:val="0"/>
          <w:numId w:val="89"/>
        </w:numPr>
        <w:tabs>
          <w:tab w:pos="543" w:val="left" w:leader="none"/>
        </w:tabs>
        <w:spacing w:line="240" w:lineRule="auto" w:before="229" w:after="0"/>
        <w:ind w:left="262" w:right="287" w:firstLine="0"/>
        <w:jc w:val="left"/>
        <w:rPr>
          <w:rFonts w:ascii="Arial" w:hAnsi="Arial"/>
          <w:b/>
          <w:sz w:val="20"/>
        </w:rPr>
      </w:pPr>
      <w:r>
        <w:rPr>
          <w:sz w:val="20"/>
        </w:rPr>
        <w:t>No</w:t>
      </w:r>
      <w:r>
        <w:rPr>
          <w:spacing w:val="22"/>
          <w:sz w:val="20"/>
        </w:rPr>
        <w:t> </w:t>
      </w:r>
      <w:r>
        <w:rPr>
          <w:sz w:val="20"/>
        </w:rPr>
        <w:t>cumplir</w:t>
      </w:r>
      <w:r>
        <w:rPr>
          <w:spacing w:val="23"/>
          <w:sz w:val="20"/>
        </w:rPr>
        <w:t> </w:t>
      </w:r>
      <w:r>
        <w:rPr>
          <w:sz w:val="20"/>
        </w:rPr>
        <w:t>con</w:t>
      </w:r>
      <w:r>
        <w:rPr>
          <w:spacing w:val="24"/>
          <w:sz w:val="20"/>
        </w:rPr>
        <w:t> </w:t>
      </w:r>
      <w:r>
        <w:rPr>
          <w:sz w:val="20"/>
        </w:rPr>
        <w:t>las</w:t>
      </w:r>
      <w:r>
        <w:rPr>
          <w:spacing w:val="25"/>
          <w:sz w:val="20"/>
        </w:rPr>
        <w:t> </w:t>
      </w:r>
      <w:r>
        <w:rPr>
          <w:sz w:val="20"/>
        </w:rPr>
        <w:t>observaciones</w:t>
      </w:r>
      <w:r>
        <w:rPr>
          <w:spacing w:val="23"/>
          <w:sz w:val="20"/>
        </w:rPr>
        <w:t> </w:t>
      </w:r>
      <w:r>
        <w:rPr>
          <w:sz w:val="20"/>
        </w:rPr>
        <w:t>que</w:t>
      </w:r>
      <w:r>
        <w:rPr>
          <w:spacing w:val="22"/>
          <w:sz w:val="20"/>
        </w:rPr>
        <w:t> </w:t>
      </w:r>
      <w:r>
        <w:rPr>
          <w:sz w:val="20"/>
        </w:rPr>
        <w:t>la</w:t>
      </w:r>
      <w:r>
        <w:rPr>
          <w:spacing w:val="22"/>
          <w:sz w:val="20"/>
        </w:rPr>
        <w:t> </w:t>
      </w:r>
      <w:r>
        <w:rPr>
          <w:sz w:val="20"/>
        </w:rPr>
        <w:t>Dirección</w:t>
      </w:r>
      <w:r>
        <w:rPr>
          <w:spacing w:val="26"/>
          <w:sz w:val="20"/>
        </w:rPr>
        <w:t> </w:t>
      </w:r>
      <w:r>
        <w:rPr>
          <w:sz w:val="20"/>
        </w:rPr>
        <w:t>Municipal</w:t>
      </w:r>
      <w:r>
        <w:rPr>
          <w:spacing w:val="21"/>
          <w:sz w:val="20"/>
        </w:rPr>
        <w:t> </w:t>
      </w:r>
      <w:r>
        <w:rPr>
          <w:sz w:val="20"/>
        </w:rPr>
        <w:t>señale</w:t>
      </w:r>
      <w:r>
        <w:rPr>
          <w:spacing w:val="22"/>
          <w:sz w:val="20"/>
        </w:rPr>
        <w:t> </w:t>
      </w:r>
      <w:r>
        <w:rPr>
          <w:sz w:val="20"/>
        </w:rPr>
        <w:t>respecto</w:t>
      </w:r>
      <w:r>
        <w:rPr>
          <w:spacing w:val="24"/>
          <w:sz w:val="20"/>
        </w:rPr>
        <w:t> </w:t>
      </w:r>
      <w:r>
        <w:rPr>
          <w:sz w:val="20"/>
        </w:rPr>
        <w:t>a</w:t>
      </w:r>
      <w:r>
        <w:rPr>
          <w:spacing w:val="22"/>
          <w:sz w:val="20"/>
        </w:rPr>
        <w:t> </w:t>
      </w:r>
      <w:r>
        <w:rPr>
          <w:sz w:val="20"/>
        </w:rPr>
        <w:t>las</w:t>
      </w:r>
      <w:r>
        <w:rPr>
          <w:spacing w:val="23"/>
          <w:sz w:val="20"/>
        </w:rPr>
        <w:t> </w:t>
      </w:r>
      <w:r>
        <w:rPr>
          <w:sz w:val="20"/>
        </w:rPr>
        <w:t>obras</w:t>
      </w:r>
      <w:r>
        <w:rPr>
          <w:spacing w:val="25"/>
          <w:sz w:val="20"/>
        </w:rPr>
        <w:t> </w:t>
      </w:r>
      <w:r>
        <w:rPr>
          <w:sz w:val="20"/>
        </w:rPr>
        <w:t>en </w:t>
      </w:r>
      <w:r>
        <w:rPr>
          <w:spacing w:val="-2"/>
          <w:sz w:val="20"/>
        </w:rPr>
        <w:t>ejecución;</w:t>
      </w:r>
    </w:p>
    <w:p>
      <w:pPr>
        <w:pStyle w:val="BodyText"/>
        <w:spacing w:before="1"/>
      </w:pPr>
    </w:p>
    <w:p>
      <w:pPr>
        <w:pStyle w:val="ListParagraph"/>
        <w:numPr>
          <w:ilvl w:val="0"/>
          <w:numId w:val="89"/>
        </w:numPr>
        <w:tabs>
          <w:tab w:pos="597" w:val="left" w:leader="none"/>
        </w:tabs>
        <w:spacing w:line="240" w:lineRule="auto" w:before="0" w:after="0"/>
        <w:ind w:left="262" w:right="285" w:firstLine="0"/>
        <w:jc w:val="left"/>
        <w:rPr>
          <w:rFonts w:ascii="Arial" w:hAnsi="Arial"/>
          <w:b/>
          <w:sz w:val="20"/>
        </w:rPr>
      </w:pPr>
      <w:r>
        <w:rPr>
          <w:sz w:val="20"/>
        </w:rPr>
        <w:t>No</w:t>
      </w:r>
      <w:r>
        <w:rPr>
          <w:spacing w:val="-7"/>
          <w:sz w:val="20"/>
        </w:rPr>
        <w:t> </w:t>
      </w:r>
      <w:r>
        <w:rPr>
          <w:sz w:val="20"/>
        </w:rPr>
        <w:t>cumplir</w:t>
      </w:r>
      <w:r>
        <w:rPr>
          <w:spacing w:val="-7"/>
          <w:sz w:val="20"/>
        </w:rPr>
        <w:t> </w:t>
      </w:r>
      <w:r>
        <w:rPr>
          <w:sz w:val="20"/>
        </w:rPr>
        <w:t>con</w:t>
      </w:r>
      <w:r>
        <w:rPr>
          <w:spacing w:val="-7"/>
          <w:sz w:val="20"/>
        </w:rPr>
        <w:t> </w:t>
      </w:r>
      <w:r>
        <w:rPr>
          <w:sz w:val="20"/>
        </w:rPr>
        <w:t>el</w:t>
      </w:r>
      <w:r>
        <w:rPr>
          <w:spacing w:val="-7"/>
          <w:sz w:val="20"/>
        </w:rPr>
        <w:t> </w:t>
      </w:r>
      <w:r>
        <w:rPr>
          <w:sz w:val="20"/>
        </w:rPr>
        <w:t>pago</w:t>
      </w:r>
      <w:r>
        <w:rPr>
          <w:spacing w:val="-7"/>
          <w:sz w:val="20"/>
        </w:rPr>
        <w:t> </w:t>
      </w:r>
      <w:r>
        <w:rPr>
          <w:sz w:val="20"/>
        </w:rPr>
        <w:t>de</w:t>
      </w:r>
      <w:r>
        <w:rPr>
          <w:spacing w:val="-6"/>
          <w:sz w:val="20"/>
        </w:rPr>
        <w:t> </w:t>
      </w:r>
      <w:r>
        <w:rPr>
          <w:sz w:val="20"/>
        </w:rPr>
        <w:t>las</w:t>
      </w:r>
      <w:r>
        <w:rPr>
          <w:spacing w:val="-7"/>
          <w:sz w:val="20"/>
        </w:rPr>
        <w:t> </w:t>
      </w:r>
      <w:r>
        <w:rPr>
          <w:sz w:val="20"/>
        </w:rPr>
        <w:t>sanciones</w:t>
      </w:r>
      <w:r>
        <w:rPr>
          <w:spacing w:val="-6"/>
          <w:sz w:val="20"/>
        </w:rPr>
        <w:t> </w:t>
      </w:r>
      <w:r>
        <w:rPr>
          <w:sz w:val="20"/>
        </w:rPr>
        <w:t>económicas</w:t>
      </w:r>
      <w:r>
        <w:rPr>
          <w:spacing w:val="-7"/>
          <w:sz w:val="20"/>
        </w:rPr>
        <w:t> </w:t>
      </w:r>
      <w:r>
        <w:rPr>
          <w:sz w:val="20"/>
        </w:rPr>
        <w:t>impuestas</w:t>
      </w:r>
      <w:r>
        <w:rPr>
          <w:spacing w:val="-7"/>
          <w:sz w:val="20"/>
        </w:rPr>
        <w:t> </w:t>
      </w:r>
      <w:r>
        <w:rPr>
          <w:sz w:val="20"/>
        </w:rPr>
        <w:t>por</w:t>
      </w:r>
      <w:r>
        <w:rPr>
          <w:spacing w:val="-7"/>
          <w:sz w:val="20"/>
        </w:rPr>
        <w:t> </w:t>
      </w:r>
      <w:r>
        <w:rPr>
          <w:sz w:val="20"/>
        </w:rPr>
        <w:t>la</w:t>
      </w:r>
      <w:r>
        <w:rPr>
          <w:spacing w:val="-7"/>
          <w:sz w:val="20"/>
        </w:rPr>
        <w:t> </w:t>
      </w:r>
      <w:r>
        <w:rPr>
          <w:sz w:val="20"/>
        </w:rPr>
        <w:t>violación</w:t>
      </w:r>
      <w:r>
        <w:rPr>
          <w:spacing w:val="-7"/>
          <w:sz w:val="20"/>
        </w:rPr>
        <w:t> </w:t>
      </w:r>
      <w:r>
        <w:rPr>
          <w:sz w:val="20"/>
        </w:rPr>
        <w:t>del</w:t>
      </w:r>
      <w:r>
        <w:rPr>
          <w:spacing w:val="-8"/>
          <w:sz w:val="20"/>
        </w:rPr>
        <w:t> </w:t>
      </w:r>
      <w:r>
        <w:rPr>
          <w:sz w:val="20"/>
        </w:rPr>
        <w:t>Reglamento de Construcción Municipal respectivo, que sean atribuibles directamente a los mismos, y</w:t>
      </w:r>
    </w:p>
    <w:p>
      <w:pPr>
        <w:pStyle w:val="ListParagraph"/>
        <w:numPr>
          <w:ilvl w:val="0"/>
          <w:numId w:val="89"/>
        </w:numPr>
        <w:tabs>
          <w:tab w:pos="545" w:val="left" w:leader="none"/>
        </w:tabs>
        <w:spacing w:line="240" w:lineRule="auto" w:before="229" w:after="0"/>
        <w:ind w:left="262" w:right="289" w:firstLine="0"/>
        <w:jc w:val="left"/>
        <w:rPr>
          <w:rFonts w:ascii="Arial"/>
          <w:b/>
          <w:sz w:val="20"/>
        </w:rPr>
      </w:pPr>
      <w:r>
        <w:rPr>
          <w:sz w:val="20"/>
        </w:rPr>
        <w:t>Cuando por causa fundada o reincidencia lo solicite el Colegio al que pertenezca y las razones sean consideradas procedentes por la autoridad municipal.</w:t>
      </w:r>
    </w:p>
    <w:p>
      <w:pPr>
        <w:pStyle w:val="BodyText"/>
        <w:spacing w:before="1"/>
      </w:pPr>
    </w:p>
    <w:p>
      <w:pPr>
        <w:pStyle w:val="BodyText"/>
        <w:spacing w:before="1"/>
        <w:ind w:left="262" w:right="283"/>
        <w:jc w:val="both"/>
      </w:pPr>
      <w:r>
        <w:rPr>
          <w:rFonts w:ascii="Arial" w:hAnsi="Arial"/>
          <w:b/>
        </w:rPr>
        <w:t>ARTÍCULO</w:t>
      </w:r>
      <w:r>
        <w:rPr>
          <w:rFonts w:ascii="Arial" w:hAnsi="Arial"/>
          <w:b/>
          <w:spacing w:val="-2"/>
        </w:rPr>
        <w:t> </w:t>
      </w:r>
      <w:r>
        <w:rPr>
          <w:rFonts w:ascii="Arial" w:hAnsi="Arial"/>
          <w:b/>
        </w:rPr>
        <w:t>243. </w:t>
      </w:r>
      <w:r>
        <w:rPr/>
        <w:t>Ningún</w:t>
      </w:r>
      <w:r>
        <w:rPr>
          <w:spacing w:val="-2"/>
        </w:rPr>
        <w:t> </w:t>
      </w:r>
      <w:r>
        <w:rPr/>
        <w:t>Director</w:t>
      </w:r>
      <w:r>
        <w:rPr>
          <w:spacing w:val="-1"/>
        </w:rPr>
        <w:t> </w:t>
      </w:r>
      <w:r>
        <w:rPr/>
        <w:t>Responsable</w:t>
      </w:r>
      <w:r>
        <w:rPr>
          <w:spacing w:val="-1"/>
        </w:rPr>
        <w:t> </w:t>
      </w:r>
      <w:r>
        <w:rPr/>
        <w:t>de</w:t>
      </w:r>
      <w:r>
        <w:rPr>
          <w:spacing w:val="-1"/>
        </w:rPr>
        <w:t> </w:t>
      </w:r>
      <w:r>
        <w:rPr/>
        <w:t>Obra</w:t>
      </w:r>
      <w:r>
        <w:rPr>
          <w:spacing w:val="-3"/>
        </w:rPr>
        <w:t> </w:t>
      </w:r>
      <w:r>
        <w:rPr/>
        <w:t>o</w:t>
      </w:r>
      <w:r>
        <w:rPr>
          <w:spacing w:val="-1"/>
        </w:rPr>
        <w:t> </w:t>
      </w:r>
      <w:r>
        <w:rPr/>
        <w:t>Corresponsable,</w:t>
      </w:r>
      <w:r>
        <w:rPr>
          <w:spacing w:val="-1"/>
        </w:rPr>
        <w:t> </w:t>
      </w:r>
      <w:r>
        <w:rPr/>
        <w:t>podrá hacerse</w:t>
      </w:r>
      <w:r>
        <w:rPr>
          <w:spacing w:val="-3"/>
        </w:rPr>
        <w:t> </w:t>
      </w:r>
      <w:r>
        <w:rPr/>
        <w:t>cargo</w:t>
      </w:r>
      <w:r>
        <w:rPr>
          <w:spacing w:val="-1"/>
        </w:rPr>
        <w:t> </w:t>
      </w:r>
      <w:r>
        <w:rPr/>
        <w:t>de más</w:t>
      </w:r>
      <w:r>
        <w:rPr>
          <w:spacing w:val="-10"/>
        </w:rPr>
        <w:t> </w:t>
      </w:r>
      <w:r>
        <w:rPr/>
        <w:t>de</w:t>
      </w:r>
      <w:r>
        <w:rPr>
          <w:spacing w:val="-11"/>
        </w:rPr>
        <w:t> </w:t>
      </w:r>
      <w:r>
        <w:rPr/>
        <w:t>cien</w:t>
      </w:r>
      <w:r>
        <w:rPr>
          <w:spacing w:val="-10"/>
        </w:rPr>
        <w:t> </w:t>
      </w:r>
      <w:r>
        <w:rPr/>
        <w:t>obras</w:t>
      </w:r>
      <w:r>
        <w:rPr>
          <w:spacing w:val="-8"/>
        </w:rPr>
        <w:t> </w:t>
      </w:r>
      <w:r>
        <w:rPr/>
        <w:t>que</w:t>
      </w:r>
      <w:r>
        <w:rPr>
          <w:spacing w:val="-11"/>
        </w:rPr>
        <w:t> </w:t>
      </w:r>
      <w:r>
        <w:rPr/>
        <w:t>se</w:t>
      </w:r>
      <w:r>
        <w:rPr>
          <w:spacing w:val="-9"/>
        </w:rPr>
        <w:t> </w:t>
      </w:r>
      <w:r>
        <w:rPr/>
        <w:t>encuentren</w:t>
      </w:r>
      <w:r>
        <w:rPr>
          <w:spacing w:val="-9"/>
        </w:rPr>
        <w:t> </w:t>
      </w:r>
      <w:r>
        <w:rPr/>
        <w:t>en</w:t>
      </w:r>
      <w:r>
        <w:rPr>
          <w:spacing w:val="-9"/>
        </w:rPr>
        <w:t> </w:t>
      </w:r>
      <w:r>
        <w:rPr/>
        <w:t>ejecución</w:t>
      </w:r>
      <w:r>
        <w:rPr>
          <w:spacing w:val="-10"/>
        </w:rPr>
        <w:t> </w:t>
      </w:r>
      <w:r>
        <w:rPr/>
        <w:t>de</w:t>
      </w:r>
      <w:r>
        <w:rPr>
          <w:spacing w:val="-9"/>
        </w:rPr>
        <w:t> </w:t>
      </w:r>
      <w:r>
        <w:rPr/>
        <w:t>manera</w:t>
      </w:r>
      <w:r>
        <w:rPr>
          <w:spacing w:val="-11"/>
        </w:rPr>
        <w:t> </w:t>
      </w:r>
      <w:r>
        <w:rPr/>
        <w:t>simultánea,</w:t>
      </w:r>
      <w:r>
        <w:rPr>
          <w:spacing w:val="-9"/>
        </w:rPr>
        <w:t> </w:t>
      </w:r>
      <w:r>
        <w:rPr/>
        <w:t>y</w:t>
      </w:r>
      <w:r>
        <w:rPr>
          <w:spacing w:val="-10"/>
        </w:rPr>
        <w:t> </w:t>
      </w:r>
      <w:r>
        <w:rPr/>
        <w:t>por</w:t>
      </w:r>
      <w:r>
        <w:rPr>
          <w:spacing w:val="-10"/>
        </w:rPr>
        <w:t> </w:t>
      </w:r>
      <w:r>
        <w:rPr/>
        <w:t>lo</w:t>
      </w:r>
      <w:r>
        <w:rPr>
          <w:spacing w:val="-9"/>
        </w:rPr>
        <w:t> </w:t>
      </w:r>
      <w:r>
        <w:rPr/>
        <w:t>tanto</w:t>
      </w:r>
      <w:r>
        <w:rPr>
          <w:spacing w:val="-9"/>
        </w:rPr>
        <w:t> </w:t>
      </w:r>
      <w:r>
        <w:rPr/>
        <w:t>la</w:t>
      </w:r>
      <w:r>
        <w:rPr>
          <w:spacing w:val="-9"/>
        </w:rPr>
        <w:t> </w:t>
      </w:r>
      <w:r>
        <w:rPr/>
        <w:t>Dirección Municipal correspondiente, no autorizará el ingreso de nuevas responsivas a quienes hayan alcanzado dicho límite.</w:t>
      </w:r>
    </w:p>
    <w:p>
      <w:pPr>
        <w:pStyle w:val="BodyText"/>
      </w:pPr>
    </w:p>
    <w:p>
      <w:pPr>
        <w:pStyle w:val="BodyText"/>
      </w:pPr>
    </w:p>
    <w:p>
      <w:pPr>
        <w:pStyle w:val="Heading2"/>
        <w:ind w:right="16"/>
      </w:pPr>
      <w:r>
        <w:rPr/>
        <w:t>Sección</w:t>
      </w:r>
      <w:r>
        <w:rPr>
          <w:spacing w:val="-9"/>
        </w:rPr>
        <w:t> </w:t>
      </w:r>
      <w:r>
        <w:rPr>
          <w:spacing w:val="-2"/>
        </w:rPr>
        <w:t>Segunda</w:t>
      </w:r>
    </w:p>
    <w:p>
      <w:pPr>
        <w:spacing w:before="228"/>
        <w:ind w:left="1988" w:right="2010" w:firstLine="0"/>
        <w:jc w:val="center"/>
        <w:rPr>
          <w:rFonts w:ascii="Arial" w:hAnsi="Arial"/>
          <w:b/>
          <w:sz w:val="20"/>
        </w:rPr>
      </w:pPr>
      <w:r>
        <w:rPr>
          <w:rFonts w:ascii="Arial" w:hAnsi="Arial"/>
          <w:b/>
          <w:sz w:val="20"/>
        </w:rPr>
        <w:t>Comisión</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Acreditación</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Directores</w:t>
      </w:r>
      <w:r>
        <w:rPr>
          <w:rFonts w:ascii="Arial" w:hAnsi="Arial"/>
          <w:b/>
          <w:spacing w:val="-9"/>
          <w:sz w:val="20"/>
        </w:rPr>
        <w:t> </w:t>
      </w:r>
      <w:r>
        <w:rPr>
          <w:rFonts w:ascii="Arial" w:hAnsi="Arial"/>
          <w:b/>
          <w:sz w:val="20"/>
        </w:rPr>
        <w:t>Responsables de Obra y Corresponsables (CADROC)</w:t>
      </w:r>
    </w:p>
    <w:p>
      <w:pPr>
        <w:pStyle w:val="BodyText"/>
        <w:spacing w:before="1"/>
        <w:rPr>
          <w:rFonts w:ascii="Arial"/>
          <w:b/>
        </w:rPr>
      </w:pPr>
    </w:p>
    <w:p>
      <w:pPr>
        <w:pStyle w:val="BodyText"/>
        <w:ind w:left="262" w:right="277"/>
        <w:jc w:val="both"/>
      </w:pPr>
      <w:r>
        <w:rPr>
          <w:rFonts w:ascii="Arial" w:hAnsi="Arial"/>
          <w:b/>
        </w:rPr>
        <w:t>ARTÍCULO</w:t>
      </w:r>
      <w:r>
        <w:rPr>
          <w:rFonts w:ascii="Arial" w:hAnsi="Arial"/>
          <w:b/>
          <w:spacing w:val="-3"/>
        </w:rPr>
        <w:t> </w:t>
      </w:r>
      <w:r>
        <w:rPr>
          <w:rFonts w:ascii="Arial" w:hAnsi="Arial"/>
          <w:b/>
        </w:rPr>
        <w:t>244</w:t>
      </w:r>
      <w:r>
        <w:rPr/>
        <w:t>.</w:t>
      </w:r>
      <w:r>
        <w:rPr>
          <w:spacing w:val="-2"/>
        </w:rPr>
        <w:t> </w:t>
      </w:r>
      <w:r>
        <w:rPr/>
        <w:t>La</w:t>
      </w:r>
      <w:r>
        <w:rPr>
          <w:spacing w:val="-5"/>
        </w:rPr>
        <w:t> </w:t>
      </w:r>
      <w:r>
        <w:rPr/>
        <w:t>CADROC,</w:t>
      </w:r>
      <w:r>
        <w:rPr>
          <w:spacing w:val="-4"/>
        </w:rPr>
        <w:t> </w:t>
      </w:r>
      <w:r>
        <w:rPr/>
        <w:t>es</w:t>
      </w:r>
      <w:r>
        <w:rPr>
          <w:spacing w:val="-3"/>
        </w:rPr>
        <w:t> </w:t>
      </w:r>
      <w:r>
        <w:rPr/>
        <w:t>una</w:t>
      </w:r>
      <w:r>
        <w:rPr>
          <w:spacing w:val="-4"/>
        </w:rPr>
        <w:t> </w:t>
      </w:r>
      <w:r>
        <w:rPr/>
        <w:t>Comisión</w:t>
      </w:r>
      <w:r>
        <w:rPr>
          <w:spacing w:val="-2"/>
        </w:rPr>
        <w:t> </w:t>
      </w:r>
      <w:r>
        <w:rPr/>
        <w:t>de</w:t>
      </w:r>
      <w:r>
        <w:rPr>
          <w:spacing w:val="-2"/>
        </w:rPr>
        <w:t> </w:t>
      </w:r>
      <w:r>
        <w:rPr/>
        <w:t>carácter</w:t>
      </w:r>
      <w:r>
        <w:rPr>
          <w:spacing w:val="-4"/>
        </w:rPr>
        <w:t> </w:t>
      </w:r>
      <w:r>
        <w:rPr/>
        <w:t>público</w:t>
      </w:r>
      <w:r>
        <w:rPr>
          <w:spacing w:val="-2"/>
        </w:rPr>
        <w:t> </w:t>
      </w:r>
      <w:r>
        <w:rPr/>
        <w:t>que</w:t>
      </w:r>
      <w:r>
        <w:rPr>
          <w:spacing w:val="-4"/>
        </w:rPr>
        <w:t> </w:t>
      </w:r>
      <w:r>
        <w:rPr/>
        <w:t>tendrá</w:t>
      </w:r>
      <w:r>
        <w:rPr>
          <w:spacing w:val="-2"/>
        </w:rPr>
        <w:t> </w:t>
      </w:r>
      <w:r>
        <w:rPr/>
        <w:t>por</w:t>
      </w:r>
      <w:r>
        <w:rPr>
          <w:spacing w:val="-4"/>
        </w:rPr>
        <w:t> </w:t>
      </w:r>
      <w:r>
        <w:rPr/>
        <w:t>objeto</w:t>
      </w:r>
      <w:r>
        <w:rPr>
          <w:spacing w:val="-2"/>
        </w:rPr>
        <w:t> </w:t>
      </w:r>
      <w:r>
        <w:rPr/>
        <w:t>acreditar la</w:t>
      </w:r>
      <w:r>
        <w:rPr>
          <w:spacing w:val="-7"/>
        </w:rPr>
        <w:t> </w:t>
      </w:r>
      <w:r>
        <w:rPr/>
        <w:t>experiencia</w:t>
      </w:r>
      <w:r>
        <w:rPr>
          <w:spacing w:val="-7"/>
        </w:rPr>
        <w:t> </w:t>
      </w:r>
      <w:r>
        <w:rPr/>
        <w:t>e</w:t>
      </w:r>
      <w:r>
        <w:rPr>
          <w:spacing w:val="-4"/>
        </w:rPr>
        <w:t> </w:t>
      </w:r>
      <w:r>
        <w:rPr/>
        <w:t>idoneidad</w:t>
      </w:r>
      <w:r>
        <w:rPr>
          <w:spacing w:val="-5"/>
        </w:rPr>
        <w:t> </w:t>
      </w:r>
      <w:r>
        <w:rPr/>
        <w:t>profesional</w:t>
      </w:r>
      <w:r>
        <w:rPr>
          <w:spacing w:val="-7"/>
        </w:rPr>
        <w:t> </w:t>
      </w:r>
      <w:r>
        <w:rPr/>
        <w:t>y</w:t>
      </w:r>
      <w:r>
        <w:rPr>
          <w:spacing w:val="-5"/>
        </w:rPr>
        <w:t> </w:t>
      </w:r>
      <w:r>
        <w:rPr/>
        <w:t>pericial</w:t>
      </w:r>
      <w:r>
        <w:rPr>
          <w:spacing w:val="-5"/>
        </w:rPr>
        <w:t> </w:t>
      </w:r>
      <w:r>
        <w:rPr/>
        <w:t>de</w:t>
      </w:r>
      <w:r>
        <w:rPr>
          <w:spacing w:val="-5"/>
        </w:rPr>
        <w:t> </w:t>
      </w:r>
      <w:r>
        <w:rPr/>
        <w:t>las</w:t>
      </w:r>
      <w:r>
        <w:rPr>
          <w:spacing w:val="-3"/>
        </w:rPr>
        <w:t> </w:t>
      </w:r>
      <w:r>
        <w:rPr/>
        <w:t>personas</w:t>
      </w:r>
      <w:r>
        <w:rPr>
          <w:spacing w:val="-6"/>
        </w:rPr>
        <w:t> </w:t>
      </w:r>
      <w:r>
        <w:rPr/>
        <w:t>físicas</w:t>
      </w:r>
      <w:r>
        <w:rPr>
          <w:spacing w:val="-6"/>
        </w:rPr>
        <w:t> </w:t>
      </w:r>
      <w:r>
        <w:rPr/>
        <w:t>profesionales</w:t>
      </w:r>
      <w:r>
        <w:rPr>
          <w:spacing w:val="-6"/>
        </w:rPr>
        <w:t> </w:t>
      </w:r>
      <w:r>
        <w:rPr/>
        <w:t>del</w:t>
      </w:r>
      <w:r>
        <w:rPr>
          <w:spacing w:val="-7"/>
        </w:rPr>
        <w:t> </w:t>
      </w:r>
      <w:r>
        <w:rPr/>
        <w:t>ramo</w:t>
      </w:r>
      <w:r>
        <w:rPr>
          <w:spacing w:val="-7"/>
        </w:rPr>
        <w:t> </w:t>
      </w:r>
      <w:r>
        <w:rPr/>
        <w:t>de</w:t>
      </w:r>
      <w:r>
        <w:rPr>
          <w:spacing w:val="-5"/>
        </w:rPr>
        <w:t> </w:t>
      </w:r>
      <w:r>
        <w:rPr/>
        <w:t>la construcción, que pretendan registrarse por primera vez en los municipios como Directores Responsables de Obra o Corresponsables.</w:t>
      </w:r>
    </w:p>
    <w:p>
      <w:pPr>
        <w:pStyle w:val="BodyText"/>
        <w:spacing w:before="1"/>
      </w:pPr>
    </w:p>
    <w:p>
      <w:pPr>
        <w:spacing w:before="0"/>
        <w:ind w:left="262"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245.</w:t>
      </w:r>
      <w:r>
        <w:rPr>
          <w:rFonts w:ascii="Arial" w:hAnsi="Arial"/>
          <w:b/>
          <w:spacing w:val="-7"/>
          <w:sz w:val="20"/>
        </w:rPr>
        <w:t> </w:t>
      </w:r>
      <w:r>
        <w:rPr>
          <w:sz w:val="20"/>
        </w:rPr>
        <w:t>La</w:t>
      </w:r>
      <w:r>
        <w:rPr>
          <w:spacing w:val="-7"/>
          <w:sz w:val="20"/>
        </w:rPr>
        <w:t> </w:t>
      </w:r>
      <w:r>
        <w:rPr>
          <w:sz w:val="20"/>
        </w:rPr>
        <w:t>CADROC</w:t>
      </w:r>
      <w:r>
        <w:rPr>
          <w:spacing w:val="-7"/>
          <w:sz w:val="20"/>
        </w:rPr>
        <w:t> </w:t>
      </w:r>
      <w:r>
        <w:rPr>
          <w:sz w:val="20"/>
        </w:rPr>
        <w:t>se</w:t>
      </w:r>
      <w:r>
        <w:rPr>
          <w:spacing w:val="-7"/>
          <w:sz w:val="20"/>
        </w:rPr>
        <w:t> </w:t>
      </w:r>
      <w:r>
        <w:rPr>
          <w:sz w:val="20"/>
        </w:rPr>
        <w:t>integrará</w:t>
      </w:r>
      <w:r>
        <w:rPr>
          <w:spacing w:val="-5"/>
          <w:sz w:val="20"/>
        </w:rPr>
        <w:t> </w:t>
      </w:r>
      <w:r>
        <w:rPr>
          <w:sz w:val="20"/>
        </w:rPr>
        <w:t>de</w:t>
      </w:r>
      <w:r>
        <w:rPr>
          <w:spacing w:val="-6"/>
          <w:sz w:val="20"/>
        </w:rPr>
        <w:t> </w:t>
      </w:r>
      <w:r>
        <w:rPr>
          <w:sz w:val="20"/>
        </w:rPr>
        <w:t>la</w:t>
      </w:r>
      <w:r>
        <w:rPr>
          <w:spacing w:val="-6"/>
          <w:sz w:val="20"/>
        </w:rPr>
        <w:t> </w:t>
      </w:r>
      <w:r>
        <w:rPr>
          <w:sz w:val="20"/>
        </w:rPr>
        <w:t>siguiente</w:t>
      </w:r>
      <w:r>
        <w:rPr>
          <w:spacing w:val="-5"/>
          <w:sz w:val="20"/>
        </w:rPr>
        <w:t> </w:t>
      </w:r>
      <w:r>
        <w:rPr>
          <w:spacing w:val="-2"/>
          <w:sz w:val="20"/>
        </w:rPr>
        <w:t>manera:</w:t>
      </w:r>
    </w:p>
    <w:p>
      <w:pPr>
        <w:pStyle w:val="ListParagraph"/>
        <w:numPr>
          <w:ilvl w:val="0"/>
          <w:numId w:val="90"/>
        </w:numPr>
        <w:tabs>
          <w:tab w:pos="543" w:val="left" w:leader="none"/>
        </w:tabs>
        <w:spacing w:line="240" w:lineRule="auto" w:before="228" w:after="0"/>
        <w:ind w:left="543" w:right="0" w:hanging="281"/>
        <w:jc w:val="left"/>
        <w:rPr>
          <w:sz w:val="20"/>
        </w:rPr>
      </w:pPr>
      <w:r>
        <w:rPr>
          <w:sz w:val="20"/>
        </w:rPr>
        <w:t>Un</w:t>
      </w:r>
      <w:r>
        <w:rPr>
          <w:spacing w:val="-8"/>
          <w:sz w:val="20"/>
        </w:rPr>
        <w:t> </w:t>
      </w:r>
      <w:r>
        <w:rPr>
          <w:sz w:val="20"/>
        </w:rPr>
        <w:t>representante</w:t>
      </w:r>
      <w:r>
        <w:rPr>
          <w:spacing w:val="-8"/>
          <w:sz w:val="20"/>
        </w:rPr>
        <w:t> </w:t>
      </w:r>
      <w:r>
        <w:rPr>
          <w:sz w:val="20"/>
        </w:rPr>
        <w:t>del</w:t>
      </w:r>
      <w:r>
        <w:rPr>
          <w:spacing w:val="-8"/>
          <w:sz w:val="20"/>
        </w:rPr>
        <w:t> </w:t>
      </w:r>
      <w:r>
        <w:rPr>
          <w:sz w:val="20"/>
        </w:rPr>
        <w:t>Titular</w:t>
      </w:r>
      <w:r>
        <w:rPr>
          <w:spacing w:val="-6"/>
          <w:sz w:val="20"/>
        </w:rPr>
        <w:t> </w:t>
      </w:r>
      <w:r>
        <w:rPr>
          <w:sz w:val="20"/>
        </w:rPr>
        <w:t>de</w:t>
      </w:r>
      <w:r>
        <w:rPr>
          <w:spacing w:val="-8"/>
          <w:sz w:val="20"/>
        </w:rPr>
        <w:t> </w:t>
      </w:r>
      <w:r>
        <w:rPr>
          <w:sz w:val="20"/>
        </w:rPr>
        <w:t>la</w:t>
      </w:r>
      <w:r>
        <w:rPr>
          <w:spacing w:val="-7"/>
          <w:sz w:val="20"/>
        </w:rPr>
        <w:t> </w:t>
      </w:r>
      <w:r>
        <w:rPr>
          <w:sz w:val="20"/>
        </w:rPr>
        <w:t>Secretaría,</w:t>
      </w:r>
      <w:r>
        <w:rPr>
          <w:spacing w:val="-6"/>
          <w:sz w:val="20"/>
        </w:rPr>
        <w:t> </w:t>
      </w:r>
      <w:r>
        <w:rPr>
          <w:sz w:val="20"/>
        </w:rPr>
        <w:t>quien</w:t>
      </w:r>
      <w:r>
        <w:rPr>
          <w:spacing w:val="-5"/>
          <w:sz w:val="20"/>
        </w:rPr>
        <w:t> </w:t>
      </w:r>
      <w:r>
        <w:rPr>
          <w:sz w:val="20"/>
        </w:rPr>
        <w:t>lo</w:t>
      </w:r>
      <w:r>
        <w:rPr>
          <w:spacing w:val="-4"/>
          <w:sz w:val="20"/>
        </w:rPr>
        <w:t> </w:t>
      </w:r>
      <w:r>
        <w:rPr>
          <w:spacing w:val="-2"/>
          <w:sz w:val="20"/>
        </w:rPr>
        <w:t>presidirá;</w:t>
      </w:r>
    </w:p>
    <w:p>
      <w:pPr>
        <w:pStyle w:val="BodyText"/>
        <w:spacing w:before="1"/>
      </w:pPr>
    </w:p>
    <w:p>
      <w:pPr>
        <w:pStyle w:val="ListParagraph"/>
        <w:numPr>
          <w:ilvl w:val="0"/>
          <w:numId w:val="90"/>
        </w:numPr>
        <w:tabs>
          <w:tab w:pos="543" w:val="left" w:leader="none"/>
        </w:tabs>
        <w:spacing w:line="240" w:lineRule="auto" w:before="0" w:after="0"/>
        <w:ind w:left="543" w:right="0" w:hanging="281"/>
        <w:jc w:val="left"/>
        <w:rPr>
          <w:sz w:val="20"/>
        </w:rPr>
      </w:pPr>
      <w:r>
        <w:rPr>
          <w:sz w:val="20"/>
        </w:rPr>
        <w:t>Un</w:t>
      </w:r>
      <w:r>
        <w:rPr>
          <w:spacing w:val="-7"/>
          <w:sz w:val="20"/>
        </w:rPr>
        <w:t> </w:t>
      </w:r>
      <w:r>
        <w:rPr>
          <w:sz w:val="20"/>
        </w:rPr>
        <w:t>Secretario</w:t>
      </w:r>
      <w:r>
        <w:rPr>
          <w:spacing w:val="-6"/>
          <w:sz w:val="20"/>
        </w:rPr>
        <w:t> </w:t>
      </w:r>
      <w:r>
        <w:rPr>
          <w:sz w:val="20"/>
        </w:rPr>
        <w:t>Técnico</w:t>
      </w:r>
      <w:r>
        <w:rPr>
          <w:spacing w:val="-4"/>
          <w:sz w:val="20"/>
        </w:rPr>
        <w:t> </w:t>
      </w:r>
      <w:r>
        <w:rPr>
          <w:sz w:val="20"/>
        </w:rPr>
        <w:t>que</w:t>
      </w:r>
      <w:r>
        <w:rPr>
          <w:spacing w:val="-5"/>
          <w:sz w:val="20"/>
        </w:rPr>
        <w:t> </w:t>
      </w:r>
      <w:r>
        <w:rPr>
          <w:sz w:val="20"/>
        </w:rPr>
        <w:t>será</w:t>
      </w:r>
      <w:r>
        <w:rPr>
          <w:spacing w:val="-6"/>
          <w:sz w:val="20"/>
        </w:rPr>
        <w:t> </w:t>
      </w:r>
      <w:r>
        <w:rPr>
          <w:sz w:val="20"/>
        </w:rPr>
        <w:t>electo</w:t>
      </w:r>
      <w:r>
        <w:rPr>
          <w:spacing w:val="-6"/>
          <w:sz w:val="20"/>
        </w:rPr>
        <w:t> </w:t>
      </w:r>
      <w:r>
        <w:rPr>
          <w:sz w:val="20"/>
        </w:rPr>
        <w:t>de</w:t>
      </w:r>
      <w:r>
        <w:rPr>
          <w:spacing w:val="-6"/>
          <w:sz w:val="20"/>
        </w:rPr>
        <w:t> </w:t>
      </w:r>
      <w:r>
        <w:rPr>
          <w:sz w:val="20"/>
        </w:rPr>
        <w:t>entre</w:t>
      </w:r>
      <w:r>
        <w:rPr>
          <w:spacing w:val="-6"/>
          <w:sz w:val="20"/>
        </w:rPr>
        <w:t> </w:t>
      </w:r>
      <w:r>
        <w:rPr>
          <w:sz w:val="20"/>
        </w:rPr>
        <w:t>alguno</w:t>
      </w:r>
      <w:r>
        <w:rPr>
          <w:spacing w:val="-5"/>
          <w:sz w:val="20"/>
        </w:rPr>
        <w:t> </w:t>
      </w:r>
      <w:r>
        <w:rPr>
          <w:sz w:val="20"/>
        </w:rPr>
        <w:t>de</w:t>
      </w:r>
      <w:r>
        <w:rPr>
          <w:spacing w:val="-7"/>
          <w:sz w:val="20"/>
        </w:rPr>
        <w:t> </w:t>
      </w:r>
      <w:r>
        <w:rPr>
          <w:sz w:val="20"/>
        </w:rPr>
        <w:t>sus</w:t>
      </w:r>
      <w:r>
        <w:rPr>
          <w:spacing w:val="-5"/>
          <w:sz w:val="20"/>
        </w:rPr>
        <w:t> </w:t>
      </w:r>
      <w:r>
        <w:rPr>
          <w:spacing w:val="-2"/>
          <w:sz w:val="20"/>
        </w:rPr>
        <w:t>integrantes;</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90"/>
        </w:numPr>
        <w:tabs>
          <w:tab w:pos="597" w:val="left" w:leader="none"/>
        </w:tabs>
        <w:spacing w:line="240" w:lineRule="auto" w:before="0" w:after="0"/>
        <w:ind w:left="262" w:right="285" w:firstLine="0"/>
        <w:jc w:val="both"/>
        <w:rPr>
          <w:sz w:val="20"/>
        </w:rPr>
      </w:pPr>
      <w:r>
        <w:rPr>
          <w:sz w:val="20"/>
        </w:rPr>
        <w:t>Un representante de los municipios de San Luis Potosí, Soledad de Graciano Sánchez, Matehuala, Ciudad Valles, Ríoverde y Tamazunchale, que serán designados por sus respectivos Cabildos, y</w:t>
      </w:r>
    </w:p>
    <w:p>
      <w:pPr>
        <w:pStyle w:val="BodyText"/>
        <w:spacing w:before="1"/>
      </w:pPr>
    </w:p>
    <w:p>
      <w:pPr>
        <w:pStyle w:val="ListParagraph"/>
        <w:numPr>
          <w:ilvl w:val="0"/>
          <w:numId w:val="90"/>
        </w:numPr>
        <w:tabs>
          <w:tab w:pos="545" w:val="left" w:leader="none"/>
        </w:tabs>
        <w:spacing w:line="240" w:lineRule="auto" w:before="1" w:after="0"/>
        <w:ind w:left="262" w:right="280" w:firstLine="0"/>
        <w:jc w:val="both"/>
        <w:rPr>
          <w:sz w:val="20"/>
        </w:rPr>
      </w:pPr>
      <w:r>
        <w:rPr>
          <w:sz w:val="20"/>
        </w:rPr>
        <w:t>Un</w:t>
      </w:r>
      <w:r>
        <w:rPr>
          <w:spacing w:val="-4"/>
          <w:sz w:val="20"/>
        </w:rPr>
        <w:t> </w:t>
      </w:r>
      <w:r>
        <w:rPr>
          <w:sz w:val="20"/>
        </w:rPr>
        <w:t>representante</w:t>
      </w:r>
      <w:r>
        <w:rPr>
          <w:spacing w:val="-2"/>
          <w:sz w:val="20"/>
        </w:rPr>
        <w:t> </w:t>
      </w:r>
      <w:r>
        <w:rPr>
          <w:sz w:val="20"/>
        </w:rPr>
        <w:t>de</w:t>
      </w:r>
      <w:r>
        <w:rPr>
          <w:spacing w:val="-2"/>
          <w:sz w:val="20"/>
        </w:rPr>
        <w:t> </w:t>
      </w:r>
      <w:r>
        <w:rPr>
          <w:sz w:val="20"/>
        </w:rPr>
        <w:t>cada</w:t>
      </w:r>
      <w:r>
        <w:rPr>
          <w:spacing w:val="-1"/>
          <w:sz w:val="20"/>
        </w:rPr>
        <w:t> </w:t>
      </w:r>
      <w:r>
        <w:rPr>
          <w:sz w:val="20"/>
        </w:rPr>
        <w:t>uno</w:t>
      </w:r>
      <w:r>
        <w:rPr>
          <w:spacing w:val="-2"/>
          <w:sz w:val="20"/>
        </w:rPr>
        <w:t> </w:t>
      </w:r>
      <w:r>
        <w:rPr>
          <w:sz w:val="20"/>
        </w:rPr>
        <w:t>de</w:t>
      </w:r>
      <w:r>
        <w:rPr>
          <w:spacing w:val="-3"/>
          <w:sz w:val="20"/>
        </w:rPr>
        <w:t> </w:t>
      </w:r>
      <w:r>
        <w:rPr>
          <w:sz w:val="20"/>
        </w:rPr>
        <w:t>los</w:t>
      </w:r>
      <w:r>
        <w:rPr>
          <w:spacing w:val="-3"/>
          <w:sz w:val="20"/>
        </w:rPr>
        <w:t> </w:t>
      </w:r>
      <w:r>
        <w:rPr>
          <w:sz w:val="20"/>
        </w:rPr>
        <w:t>colegios</w:t>
      </w:r>
      <w:r>
        <w:rPr>
          <w:spacing w:val="-2"/>
          <w:sz w:val="20"/>
        </w:rPr>
        <w:t> </w:t>
      </w:r>
      <w:r>
        <w:rPr>
          <w:sz w:val="20"/>
        </w:rPr>
        <w:t>que</w:t>
      </w:r>
      <w:r>
        <w:rPr>
          <w:spacing w:val="-4"/>
          <w:sz w:val="20"/>
        </w:rPr>
        <w:t> </w:t>
      </w:r>
      <w:r>
        <w:rPr>
          <w:sz w:val="20"/>
        </w:rPr>
        <w:t>se</w:t>
      </w:r>
      <w:r>
        <w:rPr>
          <w:spacing w:val="-2"/>
          <w:sz w:val="20"/>
        </w:rPr>
        <w:t> </w:t>
      </w:r>
      <w:r>
        <w:rPr>
          <w:sz w:val="20"/>
        </w:rPr>
        <w:t>encuentren</w:t>
      </w:r>
      <w:r>
        <w:rPr>
          <w:spacing w:val="-5"/>
          <w:sz w:val="20"/>
        </w:rPr>
        <w:t> </w:t>
      </w:r>
      <w:r>
        <w:rPr>
          <w:sz w:val="20"/>
        </w:rPr>
        <w:t>registrados</w:t>
      </w:r>
      <w:r>
        <w:rPr>
          <w:spacing w:val="-2"/>
          <w:sz w:val="20"/>
        </w:rPr>
        <w:t> </w:t>
      </w:r>
      <w:r>
        <w:rPr>
          <w:sz w:val="20"/>
        </w:rPr>
        <w:t>legalmente</w:t>
      </w:r>
      <w:r>
        <w:rPr>
          <w:spacing w:val="-2"/>
          <w:sz w:val="20"/>
        </w:rPr>
        <w:t> </w:t>
      </w:r>
      <w:r>
        <w:rPr>
          <w:sz w:val="20"/>
        </w:rPr>
        <w:t>ante</w:t>
      </w:r>
      <w:r>
        <w:rPr>
          <w:spacing w:val="-3"/>
          <w:sz w:val="20"/>
        </w:rPr>
        <w:t> </w:t>
      </w:r>
      <w:r>
        <w:rPr>
          <w:sz w:val="20"/>
        </w:rPr>
        <w:t>la autoridad educativa competente y que cuente con su respectivo registro vigente como Director Responsable de Obra o Corresponsable en cualquiera de los municipios del Estado. Dichos representantes</w:t>
      </w:r>
      <w:r>
        <w:rPr>
          <w:spacing w:val="-3"/>
          <w:sz w:val="20"/>
        </w:rPr>
        <w:t> </w:t>
      </w:r>
      <w:r>
        <w:rPr>
          <w:sz w:val="20"/>
        </w:rPr>
        <w:t>durarán</w:t>
      </w:r>
      <w:r>
        <w:rPr>
          <w:spacing w:val="-4"/>
          <w:sz w:val="20"/>
        </w:rPr>
        <w:t> </w:t>
      </w:r>
      <w:r>
        <w:rPr>
          <w:sz w:val="20"/>
        </w:rPr>
        <w:t>un</w:t>
      </w:r>
      <w:r>
        <w:rPr>
          <w:spacing w:val="-2"/>
          <w:sz w:val="20"/>
        </w:rPr>
        <w:t> </w:t>
      </w:r>
      <w:r>
        <w:rPr>
          <w:sz w:val="20"/>
        </w:rPr>
        <w:t>año</w:t>
      </w:r>
      <w:r>
        <w:rPr>
          <w:spacing w:val="-5"/>
          <w:sz w:val="20"/>
        </w:rPr>
        <w:t> </w:t>
      </w:r>
      <w:r>
        <w:rPr>
          <w:sz w:val="20"/>
        </w:rPr>
        <w:t>en</w:t>
      </w:r>
      <w:r>
        <w:rPr>
          <w:spacing w:val="-5"/>
          <w:sz w:val="20"/>
        </w:rPr>
        <w:t> </w:t>
      </w:r>
      <w:r>
        <w:rPr>
          <w:sz w:val="20"/>
        </w:rPr>
        <w:t>el</w:t>
      </w:r>
      <w:r>
        <w:rPr>
          <w:spacing w:val="-5"/>
          <w:sz w:val="20"/>
        </w:rPr>
        <w:t> </w:t>
      </w:r>
      <w:r>
        <w:rPr>
          <w:sz w:val="20"/>
        </w:rPr>
        <w:t>ejercicio</w:t>
      </w:r>
      <w:r>
        <w:rPr>
          <w:spacing w:val="-5"/>
          <w:sz w:val="20"/>
        </w:rPr>
        <w:t> </w:t>
      </w:r>
      <w:r>
        <w:rPr>
          <w:sz w:val="20"/>
        </w:rPr>
        <w:t>de</w:t>
      </w:r>
      <w:r>
        <w:rPr>
          <w:spacing w:val="-5"/>
          <w:sz w:val="20"/>
        </w:rPr>
        <w:t> </w:t>
      </w:r>
      <w:r>
        <w:rPr>
          <w:sz w:val="20"/>
        </w:rPr>
        <w:t>su</w:t>
      </w:r>
      <w:r>
        <w:rPr>
          <w:spacing w:val="-5"/>
          <w:sz w:val="20"/>
        </w:rPr>
        <w:t> </w:t>
      </w:r>
      <w:r>
        <w:rPr>
          <w:sz w:val="20"/>
        </w:rPr>
        <w:t>cargo,</w:t>
      </w:r>
      <w:r>
        <w:rPr>
          <w:spacing w:val="-6"/>
          <w:sz w:val="20"/>
        </w:rPr>
        <w:t> </w:t>
      </w:r>
      <w:r>
        <w:rPr>
          <w:sz w:val="20"/>
        </w:rPr>
        <w:t>sin</w:t>
      </w:r>
      <w:r>
        <w:rPr>
          <w:spacing w:val="-4"/>
          <w:sz w:val="20"/>
        </w:rPr>
        <w:t> </w:t>
      </w:r>
      <w:r>
        <w:rPr>
          <w:sz w:val="20"/>
        </w:rPr>
        <w:t>posibilidad</w:t>
      </w:r>
      <w:r>
        <w:rPr>
          <w:spacing w:val="-5"/>
          <w:sz w:val="20"/>
        </w:rPr>
        <w:t> </w:t>
      </w:r>
      <w:r>
        <w:rPr>
          <w:sz w:val="20"/>
        </w:rPr>
        <w:t>de</w:t>
      </w:r>
      <w:r>
        <w:rPr>
          <w:spacing w:val="-5"/>
          <w:sz w:val="20"/>
        </w:rPr>
        <w:t> </w:t>
      </w:r>
      <w:r>
        <w:rPr>
          <w:sz w:val="20"/>
        </w:rPr>
        <w:t>reelección</w:t>
      </w:r>
      <w:r>
        <w:rPr>
          <w:spacing w:val="-5"/>
          <w:sz w:val="20"/>
        </w:rPr>
        <w:t> </w:t>
      </w:r>
      <w:r>
        <w:rPr>
          <w:sz w:val="20"/>
        </w:rPr>
        <w:t>en</w:t>
      </w:r>
      <w:r>
        <w:rPr>
          <w:spacing w:val="-5"/>
          <w:sz w:val="20"/>
        </w:rPr>
        <w:t> </w:t>
      </w:r>
      <w:r>
        <w:rPr>
          <w:sz w:val="20"/>
        </w:rPr>
        <w:t>periodos </w:t>
      </w:r>
      <w:r>
        <w:rPr>
          <w:spacing w:val="-2"/>
          <w:sz w:val="20"/>
        </w:rPr>
        <w:t>consecutivos.</w:t>
      </w:r>
    </w:p>
    <w:p>
      <w:pPr>
        <w:pStyle w:val="BodyText"/>
      </w:pPr>
    </w:p>
    <w:p>
      <w:pPr>
        <w:pStyle w:val="BodyText"/>
        <w:ind w:left="262" w:right="289"/>
        <w:jc w:val="both"/>
      </w:pPr>
      <w:r>
        <w:rPr/>
        <w:t>Cada integrante, con excepción del presidente, designará a un suplente que lo represente en caso de no poder asistir a las sesiones. El presidente podrá ser suplido por el Secretario Técnico.</w:t>
      </w:r>
    </w:p>
    <w:p>
      <w:pPr>
        <w:pStyle w:val="BodyText"/>
        <w:spacing w:before="229"/>
        <w:ind w:left="262" w:right="279"/>
        <w:jc w:val="both"/>
      </w:pPr>
      <w:r>
        <w:rPr>
          <w:rFonts w:ascii="Arial" w:hAnsi="Arial"/>
          <w:b/>
        </w:rPr>
        <w:t>ARTÍCULO</w:t>
      </w:r>
      <w:r>
        <w:rPr>
          <w:rFonts w:ascii="Arial" w:hAnsi="Arial"/>
          <w:b/>
          <w:spacing w:val="-12"/>
        </w:rPr>
        <w:t> </w:t>
      </w:r>
      <w:r>
        <w:rPr>
          <w:rFonts w:ascii="Arial" w:hAnsi="Arial"/>
          <w:b/>
        </w:rPr>
        <w:t>246.</w:t>
      </w:r>
      <w:r>
        <w:rPr>
          <w:rFonts w:ascii="Arial" w:hAnsi="Arial"/>
          <w:b/>
          <w:spacing w:val="-11"/>
        </w:rPr>
        <w:t> </w:t>
      </w:r>
      <w:r>
        <w:rPr/>
        <w:t>Los</w:t>
      </w:r>
      <w:r>
        <w:rPr>
          <w:spacing w:val="-12"/>
        </w:rPr>
        <w:t> </w:t>
      </w:r>
      <w:r>
        <w:rPr/>
        <w:t>Colegios</w:t>
      </w:r>
      <w:r>
        <w:rPr>
          <w:spacing w:val="-12"/>
        </w:rPr>
        <w:t> </w:t>
      </w:r>
      <w:r>
        <w:rPr/>
        <w:t>que</w:t>
      </w:r>
      <w:r>
        <w:rPr>
          <w:spacing w:val="-12"/>
        </w:rPr>
        <w:t> </w:t>
      </w:r>
      <w:r>
        <w:rPr/>
        <w:t>integran</w:t>
      </w:r>
      <w:r>
        <w:rPr>
          <w:spacing w:val="-12"/>
        </w:rPr>
        <w:t> </w:t>
      </w:r>
      <w:r>
        <w:rPr/>
        <w:t>la</w:t>
      </w:r>
      <w:r>
        <w:rPr>
          <w:spacing w:val="-12"/>
        </w:rPr>
        <w:t> </w:t>
      </w:r>
      <w:r>
        <w:rPr/>
        <w:t>CADROC,</w:t>
      </w:r>
      <w:r>
        <w:rPr>
          <w:spacing w:val="-12"/>
        </w:rPr>
        <w:t> </w:t>
      </w:r>
      <w:r>
        <w:rPr/>
        <w:t>serán</w:t>
      </w:r>
      <w:r>
        <w:rPr>
          <w:spacing w:val="-12"/>
        </w:rPr>
        <w:t> </w:t>
      </w:r>
      <w:r>
        <w:rPr/>
        <w:t>los</w:t>
      </w:r>
      <w:r>
        <w:rPr>
          <w:spacing w:val="-12"/>
        </w:rPr>
        <w:t> </w:t>
      </w:r>
      <w:r>
        <w:rPr/>
        <w:t>encargados</w:t>
      </w:r>
      <w:r>
        <w:rPr>
          <w:spacing w:val="-12"/>
        </w:rPr>
        <w:t> </w:t>
      </w:r>
      <w:r>
        <w:rPr/>
        <w:t>de</w:t>
      </w:r>
      <w:r>
        <w:rPr>
          <w:spacing w:val="-12"/>
        </w:rPr>
        <w:t> </w:t>
      </w:r>
      <w:r>
        <w:rPr/>
        <w:t>capacitar,</w:t>
      </w:r>
      <w:r>
        <w:rPr>
          <w:spacing w:val="-12"/>
        </w:rPr>
        <w:t> </w:t>
      </w:r>
      <w:r>
        <w:rPr/>
        <w:t>evaluar y certificar a sus agremiados y en general a los profesionistas en el ramo, sobre los alcances y contenidos</w:t>
      </w:r>
      <w:r>
        <w:rPr>
          <w:spacing w:val="-6"/>
        </w:rPr>
        <w:t> </w:t>
      </w:r>
      <w:r>
        <w:rPr/>
        <w:t>de</w:t>
      </w:r>
      <w:r>
        <w:rPr>
          <w:spacing w:val="-6"/>
        </w:rPr>
        <w:t> </w:t>
      </w:r>
      <w:r>
        <w:rPr/>
        <w:t>los</w:t>
      </w:r>
      <w:r>
        <w:rPr>
          <w:spacing w:val="-7"/>
        </w:rPr>
        <w:t> </w:t>
      </w:r>
      <w:r>
        <w:rPr/>
        <w:t>Programas</w:t>
      </w:r>
      <w:r>
        <w:rPr>
          <w:spacing w:val="-9"/>
        </w:rPr>
        <w:t> </w:t>
      </w:r>
      <w:r>
        <w:rPr/>
        <w:t>de</w:t>
      </w:r>
      <w:r>
        <w:rPr>
          <w:spacing w:val="-8"/>
        </w:rPr>
        <w:t> </w:t>
      </w:r>
      <w:r>
        <w:rPr/>
        <w:t>Ordenamiento</w:t>
      </w:r>
      <w:r>
        <w:rPr>
          <w:spacing w:val="-8"/>
        </w:rPr>
        <w:t> </w:t>
      </w:r>
      <w:r>
        <w:rPr/>
        <w:t>Ecológico,</w:t>
      </w:r>
      <w:r>
        <w:rPr>
          <w:spacing w:val="-8"/>
        </w:rPr>
        <w:t> </w:t>
      </w:r>
      <w:r>
        <w:rPr/>
        <w:t>Programas</w:t>
      </w:r>
      <w:r>
        <w:rPr>
          <w:spacing w:val="-9"/>
        </w:rPr>
        <w:t> </w:t>
      </w:r>
      <w:r>
        <w:rPr/>
        <w:t>de</w:t>
      </w:r>
      <w:r>
        <w:rPr>
          <w:spacing w:val="-10"/>
        </w:rPr>
        <w:t> </w:t>
      </w:r>
      <w:r>
        <w:rPr/>
        <w:t>Ordenamiento</w:t>
      </w:r>
      <w:r>
        <w:rPr>
          <w:spacing w:val="-8"/>
        </w:rPr>
        <w:t> </w:t>
      </w:r>
      <w:r>
        <w:rPr/>
        <w:t>Territorial</w:t>
      </w:r>
      <w:r>
        <w:rPr>
          <w:spacing w:val="-11"/>
        </w:rPr>
        <w:t> </w:t>
      </w:r>
      <w:r>
        <w:rPr/>
        <w:t>y de Desarrollo Urbano, las características geológicas, de riesgos urbanos y las características territoriales</w:t>
      </w:r>
      <w:r>
        <w:rPr>
          <w:spacing w:val="-8"/>
        </w:rPr>
        <w:t> </w:t>
      </w:r>
      <w:r>
        <w:rPr/>
        <w:t>del</w:t>
      </w:r>
      <w:r>
        <w:rPr>
          <w:spacing w:val="-7"/>
        </w:rPr>
        <w:t> </w:t>
      </w:r>
      <w:r>
        <w:rPr/>
        <w:t>Estado</w:t>
      </w:r>
      <w:r>
        <w:rPr>
          <w:spacing w:val="-9"/>
        </w:rPr>
        <w:t> </w:t>
      </w:r>
      <w:r>
        <w:rPr/>
        <w:t>y</w:t>
      </w:r>
      <w:r>
        <w:rPr>
          <w:spacing w:val="-5"/>
        </w:rPr>
        <w:t> </w:t>
      </w:r>
      <w:r>
        <w:rPr/>
        <w:t>sus</w:t>
      </w:r>
      <w:r>
        <w:rPr>
          <w:spacing w:val="-8"/>
        </w:rPr>
        <w:t> </w:t>
      </w:r>
      <w:r>
        <w:rPr/>
        <w:t>municipios</w:t>
      </w:r>
      <w:r>
        <w:rPr>
          <w:spacing w:val="-8"/>
        </w:rPr>
        <w:t> </w:t>
      </w:r>
      <w:r>
        <w:rPr/>
        <w:t>y</w:t>
      </w:r>
      <w:r>
        <w:rPr>
          <w:spacing w:val="-5"/>
        </w:rPr>
        <w:t> </w:t>
      </w:r>
      <w:r>
        <w:rPr/>
        <w:t>demás</w:t>
      </w:r>
      <w:r>
        <w:rPr>
          <w:spacing w:val="-8"/>
        </w:rPr>
        <w:t> </w:t>
      </w:r>
      <w:r>
        <w:rPr/>
        <w:t>temas</w:t>
      </w:r>
      <w:r>
        <w:rPr>
          <w:spacing w:val="-8"/>
        </w:rPr>
        <w:t> </w:t>
      </w:r>
      <w:r>
        <w:rPr/>
        <w:t>relacionados</w:t>
      </w:r>
      <w:r>
        <w:rPr>
          <w:spacing w:val="-8"/>
        </w:rPr>
        <w:t> </w:t>
      </w:r>
      <w:r>
        <w:rPr/>
        <w:t>con</w:t>
      </w:r>
      <w:r>
        <w:rPr>
          <w:spacing w:val="-9"/>
        </w:rPr>
        <w:t> </w:t>
      </w:r>
      <w:r>
        <w:rPr/>
        <w:t>el</w:t>
      </w:r>
      <w:r>
        <w:rPr>
          <w:spacing w:val="-7"/>
        </w:rPr>
        <w:t> </w:t>
      </w:r>
      <w:r>
        <w:rPr/>
        <w:t>ordenamiento</w:t>
      </w:r>
      <w:r>
        <w:rPr>
          <w:spacing w:val="-7"/>
        </w:rPr>
        <w:t> </w:t>
      </w:r>
      <w:r>
        <w:rPr/>
        <w:t>territorial, la gestión urbana y la construcción sostenible de obras; así como sobre las leyes, reglamentos y normas técnicas aplicables y relacionadas con su actividad profesional.</w:t>
      </w:r>
    </w:p>
    <w:p>
      <w:pPr>
        <w:pStyle w:val="BodyText"/>
        <w:spacing w:before="1"/>
      </w:pPr>
    </w:p>
    <w:p>
      <w:pPr>
        <w:pStyle w:val="BodyText"/>
        <w:ind w:left="262" w:right="280"/>
        <w:jc w:val="both"/>
      </w:pPr>
      <w:r>
        <w:rPr/>
        <w:t>Para llevar a cabo la capacitación, actualización profesional y acreditación de los Directores Responsables de Obra y Corresponsables, los Colegios podrán firmar convenios de colaboración, vinculación y coordinación con instituciones educativas de educación superior, con las cámaras o entre los mismos, para establecer mecanismos que les permitan cumplir con dicho objeto.</w:t>
      </w:r>
    </w:p>
    <w:p>
      <w:pPr>
        <w:pStyle w:val="BodyText"/>
      </w:pPr>
    </w:p>
    <w:p>
      <w:pPr>
        <w:pStyle w:val="BodyText"/>
        <w:ind w:left="262" w:right="277"/>
        <w:jc w:val="both"/>
      </w:pPr>
      <w:r>
        <w:rPr>
          <w:rFonts w:ascii="Arial" w:hAnsi="Arial"/>
          <w:b/>
        </w:rPr>
        <w:t>ARTÍCULO 247. </w:t>
      </w:r>
      <w:r>
        <w:rPr/>
        <w:t>La CADROC celebrará una sesión ordinaria una vez cada dos meses y las extraordinarias que sean necesarias a juicio de su presidente o de cuando menos cuatro de sus miembros.</w:t>
      </w:r>
      <w:r>
        <w:rPr>
          <w:spacing w:val="-9"/>
        </w:rPr>
        <w:t> </w:t>
      </w:r>
      <w:r>
        <w:rPr/>
        <w:t>Las</w:t>
      </w:r>
      <w:r>
        <w:rPr>
          <w:spacing w:val="-8"/>
        </w:rPr>
        <w:t> </w:t>
      </w:r>
      <w:r>
        <w:rPr/>
        <w:t>sesiones</w:t>
      </w:r>
      <w:r>
        <w:rPr>
          <w:spacing w:val="-8"/>
        </w:rPr>
        <w:t> </w:t>
      </w:r>
      <w:r>
        <w:rPr/>
        <w:t>serán</w:t>
      </w:r>
      <w:r>
        <w:rPr>
          <w:spacing w:val="-9"/>
        </w:rPr>
        <w:t> </w:t>
      </w:r>
      <w:r>
        <w:rPr/>
        <w:t>válidas</w:t>
      </w:r>
      <w:r>
        <w:rPr>
          <w:spacing w:val="-8"/>
        </w:rPr>
        <w:t> </w:t>
      </w:r>
      <w:r>
        <w:rPr/>
        <w:t>con</w:t>
      </w:r>
      <w:r>
        <w:rPr>
          <w:spacing w:val="-7"/>
        </w:rPr>
        <w:t> </w:t>
      </w:r>
      <w:r>
        <w:rPr/>
        <w:t>la</w:t>
      </w:r>
      <w:r>
        <w:rPr>
          <w:spacing w:val="-9"/>
        </w:rPr>
        <w:t> </w:t>
      </w:r>
      <w:r>
        <w:rPr/>
        <w:t>presencia</w:t>
      </w:r>
      <w:r>
        <w:rPr>
          <w:spacing w:val="-9"/>
        </w:rPr>
        <w:t> </w:t>
      </w:r>
      <w:r>
        <w:rPr/>
        <w:t>de</w:t>
      </w:r>
      <w:r>
        <w:rPr>
          <w:spacing w:val="-9"/>
        </w:rPr>
        <w:t> </w:t>
      </w:r>
      <w:r>
        <w:rPr/>
        <w:t>la</w:t>
      </w:r>
      <w:r>
        <w:rPr>
          <w:spacing w:val="-9"/>
        </w:rPr>
        <w:t> </w:t>
      </w:r>
      <w:r>
        <w:rPr/>
        <w:t>mitad</w:t>
      </w:r>
      <w:r>
        <w:rPr>
          <w:spacing w:val="-7"/>
        </w:rPr>
        <w:t> </w:t>
      </w:r>
      <w:r>
        <w:rPr/>
        <w:t>más</w:t>
      </w:r>
      <w:r>
        <w:rPr>
          <w:spacing w:val="-8"/>
        </w:rPr>
        <w:t> </w:t>
      </w:r>
      <w:r>
        <w:rPr/>
        <w:t>uno</w:t>
      </w:r>
      <w:r>
        <w:rPr>
          <w:spacing w:val="-9"/>
        </w:rPr>
        <w:t> </w:t>
      </w:r>
      <w:r>
        <w:rPr/>
        <w:t>de</w:t>
      </w:r>
      <w:r>
        <w:rPr>
          <w:spacing w:val="-9"/>
        </w:rPr>
        <w:t> </w:t>
      </w:r>
      <w:r>
        <w:rPr/>
        <w:t>sus</w:t>
      </w:r>
      <w:r>
        <w:rPr>
          <w:spacing w:val="-8"/>
        </w:rPr>
        <w:t> </w:t>
      </w:r>
      <w:r>
        <w:rPr/>
        <w:t>integrantes.</w:t>
      </w:r>
      <w:r>
        <w:rPr>
          <w:spacing w:val="-9"/>
        </w:rPr>
        <w:t> </w:t>
      </w:r>
      <w:r>
        <w:rPr/>
        <w:t>Sus decisiones se tomarán por mayoría de votos, teniendo su presidente voto de calidad.</w:t>
      </w:r>
    </w:p>
    <w:p>
      <w:pPr>
        <w:pStyle w:val="BodyText"/>
      </w:pPr>
    </w:p>
    <w:p>
      <w:pPr>
        <w:spacing w:before="0"/>
        <w:ind w:left="262"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248</w:t>
      </w:r>
      <w:r>
        <w:rPr>
          <w:sz w:val="20"/>
        </w:rPr>
        <w:t>.</w:t>
      </w:r>
      <w:r>
        <w:rPr>
          <w:spacing w:val="-8"/>
          <w:sz w:val="20"/>
        </w:rPr>
        <w:t> </w:t>
      </w:r>
      <w:r>
        <w:rPr>
          <w:sz w:val="20"/>
        </w:rPr>
        <w:t>La</w:t>
      </w:r>
      <w:r>
        <w:rPr>
          <w:spacing w:val="-8"/>
          <w:sz w:val="20"/>
        </w:rPr>
        <w:t> </w:t>
      </w:r>
      <w:r>
        <w:rPr>
          <w:sz w:val="20"/>
        </w:rPr>
        <w:t>CADROC</w:t>
      </w:r>
      <w:r>
        <w:rPr>
          <w:spacing w:val="-8"/>
          <w:sz w:val="20"/>
        </w:rPr>
        <w:t> </w:t>
      </w:r>
      <w:r>
        <w:rPr>
          <w:sz w:val="20"/>
        </w:rPr>
        <w:t>tendrá</w:t>
      </w:r>
      <w:r>
        <w:rPr>
          <w:spacing w:val="-5"/>
          <w:sz w:val="20"/>
        </w:rPr>
        <w:t> </w:t>
      </w:r>
      <w:r>
        <w:rPr>
          <w:sz w:val="20"/>
        </w:rPr>
        <w:t>las</w:t>
      </w:r>
      <w:r>
        <w:rPr>
          <w:spacing w:val="-7"/>
          <w:sz w:val="20"/>
        </w:rPr>
        <w:t> </w:t>
      </w:r>
      <w:r>
        <w:rPr>
          <w:sz w:val="20"/>
        </w:rPr>
        <w:t>siguientes</w:t>
      </w:r>
      <w:r>
        <w:rPr>
          <w:spacing w:val="-7"/>
          <w:sz w:val="20"/>
        </w:rPr>
        <w:t> </w:t>
      </w:r>
      <w:r>
        <w:rPr>
          <w:spacing w:val="-2"/>
          <w:sz w:val="20"/>
        </w:rPr>
        <w:t>atribuciones:</w:t>
      </w:r>
    </w:p>
    <w:p>
      <w:pPr>
        <w:pStyle w:val="ListParagraph"/>
        <w:numPr>
          <w:ilvl w:val="0"/>
          <w:numId w:val="91"/>
        </w:numPr>
        <w:tabs>
          <w:tab w:pos="543" w:val="left" w:leader="none"/>
        </w:tabs>
        <w:spacing w:line="240" w:lineRule="auto" w:before="0" w:after="0"/>
        <w:ind w:left="262" w:right="288" w:firstLine="0"/>
        <w:jc w:val="both"/>
        <w:rPr>
          <w:sz w:val="20"/>
        </w:rPr>
      </w:pPr>
      <w:r>
        <w:rPr>
          <w:sz w:val="20"/>
        </w:rPr>
        <w:t>Verificar</w:t>
      </w:r>
      <w:r>
        <w:rPr>
          <w:spacing w:val="-2"/>
          <w:sz w:val="20"/>
        </w:rPr>
        <w:t> </w:t>
      </w:r>
      <w:r>
        <w:rPr>
          <w:sz w:val="20"/>
        </w:rPr>
        <w:t>que</w:t>
      </w:r>
      <w:r>
        <w:rPr>
          <w:spacing w:val="-2"/>
          <w:sz w:val="20"/>
        </w:rPr>
        <w:t> </w:t>
      </w:r>
      <w:r>
        <w:rPr>
          <w:sz w:val="20"/>
        </w:rPr>
        <w:t>los</w:t>
      </w:r>
      <w:r>
        <w:rPr>
          <w:spacing w:val="-2"/>
          <w:sz w:val="20"/>
        </w:rPr>
        <w:t> </w:t>
      </w:r>
      <w:r>
        <w:rPr>
          <w:sz w:val="20"/>
        </w:rPr>
        <w:t>aspirantes</w:t>
      </w:r>
      <w:r>
        <w:rPr>
          <w:spacing w:val="-1"/>
          <w:sz w:val="20"/>
        </w:rPr>
        <w:t> </w:t>
      </w:r>
      <w:r>
        <w:rPr>
          <w:sz w:val="20"/>
        </w:rPr>
        <w:t>a</w:t>
      </w:r>
      <w:r>
        <w:rPr>
          <w:spacing w:val="-3"/>
          <w:sz w:val="20"/>
        </w:rPr>
        <w:t> </w:t>
      </w:r>
      <w:r>
        <w:rPr>
          <w:sz w:val="20"/>
        </w:rPr>
        <w:t>obtener</w:t>
      </w:r>
      <w:r>
        <w:rPr>
          <w:spacing w:val="-2"/>
          <w:sz w:val="20"/>
        </w:rPr>
        <w:t> </w:t>
      </w:r>
      <w:r>
        <w:rPr>
          <w:sz w:val="20"/>
        </w:rPr>
        <w:t>la</w:t>
      </w:r>
      <w:r>
        <w:rPr>
          <w:spacing w:val="-3"/>
          <w:sz w:val="20"/>
        </w:rPr>
        <w:t> </w:t>
      </w:r>
      <w:r>
        <w:rPr>
          <w:sz w:val="20"/>
        </w:rPr>
        <w:t>acreditación</w:t>
      </w:r>
      <w:r>
        <w:rPr>
          <w:spacing w:val="-4"/>
          <w:sz w:val="20"/>
        </w:rPr>
        <w:t> </w:t>
      </w:r>
      <w:r>
        <w:rPr>
          <w:sz w:val="20"/>
        </w:rPr>
        <w:t>cumplan</w:t>
      </w:r>
      <w:r>
        <w:rPr>
          <w:spacing w:val="-4"/>
          <w:sz w:val="20"/>
        </w:rPr>
        <w:t> </w:t>
      </w:r>
      <w:r>
        <w:rPr>
          <w:sz w:val="20"/>
        </w:rPr>
        <w:t>con</w:t>
      </w:r>
      <w:r>
        <w:rPr>
          <w:spacing w:val="-2"/>
          <w:sz w:val="20"/>
        </w:rPr>
        <w:t> </w:t>
      </w:r>
      <w:r>
        <w:rPr>
          <w:sz w:val="20"/>
        </w:rPr>
        <w:t>los</w:t>
      </w:r>
      <w:r>
        <w:rPr>
          <w:spacing w:val="-2"/>
          <w:sz w:val="20"/>
        </w:rPr>
        <w:t> </w:t>
      </w:r>
      <w:r>
        <w:rPr>
          <w:sz w:val="20"/>
        </w:rPr>
        <w:t>requisitos</w:t>
      </w:r>
      <w:r>
        <w:rPr>
          <w:spacing w:val="-2"/>
          <w:sz w:val="20"/>
        </w:rPr>
        <w:t> </w:t>
      </w:r>
      <w:r>
        <w:rPr>
          <w:sz w:val="20"/>
        </w:rPr>
        <w:t>establecidos</w:t>
      </w:r>
      <w:r>
        <w:rPr>
          <w:spacing w:val="-2"/>
          <w:sz w:val="20"/>
        </w:rPr>
        <w:t> </w:t>
      </w:r>
      <w:r>
        <w:rPr>
          <w:sz w:val="20"/>
        </w:rPr>
        <w:t>en la presente Ley, y expedir en su caso la acreditación correspondiente;</w:t>
      </w:r>
    </w:p>
    <w:p>
      <w:pPr>
        <w:pStyle w:val="ListParagraph"/>
        <w:numPr>
          <w:ilvl w:val="0"/>
          <w:numId w:val="91"/>
        </w:numPr>
        <w:tabs>
          <w:tab w:pos="543" w:val="left" w:leader="none"/>
        </w:tabs>
        <w:spacing w:line="240" w:lineRule="auto" w:before="229" w:after="0"/>
        <w:ind w:left="262" w:right="280" w:firstLine="0"/>
        <w:jc w:val="both"/>
        <w:rPr>
          <w:sz w:val="20"/>
        </w:rPr>
      </w:pPr>
      <w:r>
        <w:rPr>
          <w:sz w:val="20"/>
        </w:rPr>
        <w:t>A</w:t>
      </w:r>
      <w:r>
        <w:rPr>
          <w:spacing w:val="-9"/>
          <w:sz w:val="20"/>
        </w:rPr>
        <w:t> </w:t>
      </w:r>
      <w:r>
        <w:rPr>
          <w:sz w:val="20"/>
        </w:rPr>
        <w:t>solicitud</w:t>
      </w:r>
      <w:r>
        <w:rPr>
          <w:spacing w:val="-7"/>
          <w:sz w:val="20"/>
        </w:rPr>
        <w:t> </w:t>
      </w:r>
      <w:r>
        <w:rPr>
          <w:sz w:val="20"/>
        </w:rPr>
        <w:t>expresa</w:t>
      </w:r>
      <w:r>
        <w:rPr>
          <w:spacing w:val="-7"/>
          <w:sz w:val="20"/>
        </w:rPr>
        <w:t> </w:t>
      </w:r>
      <w:r>
        <w:rPr>
          <w:sz w:val="20"/>
        </w:rPr>
        <w:t>de</w:t>
      </w:r>
      <w:r>
        <w:rPr>
          <w:spacing w:val="-7"/>
          <w:sz w:val="20"/>
        </w:rPr>
        <w:t> </w:t>
      </w:r>
      <w:r>
        <w:rPr>
          <w:sz w:val="20"/>
        </w:rPr>
        <w:t>las</w:t>
      </w:r>
      <w:r>
        <w:rPr>
          <w:spacing w:val="-6"/>
          <w:sz w:val="20"/>
        </w:rPr>
        <w:t> </w:t>
      </w:r>
      <w:r>
        <w:rPr>
          <w:sz w:val="20"/>
        </w:rPr>
        <w:t>direcciones</w:t>
      </w:r>
      <w:r>
        <w:rPr>
          <w:spacing w:val="-8"/>
          <w:sz w:val="20"/>
        </w:rPr>
        <w:t> </w:t>
      </w:r>
      <w:r>
        <w:rPr>
          <w:sz w:val="20"/>
        </w:rPr>
        <w:t>municipales</w:t>
      </w:r>
      <w:r>
        <w:rPr>
          <w:spacing w:val="-6"/>
          <w:sz w:val="20"/>
        </w:rPr>
        <w:t> </w:t>
      </w:r>
      <w:r>
        <w:rPr>
          <w:sz w:val="20"/>
        </w:rPr>
        <w:t>competentes,</w:t>
      </w:r>
      <w:r>
        <w:rPr>
          <w:spacing w:val="-7"/>
          <w:sz w:val="20"/>
        </w:rPr>
        <w:t> </w:t>
      </w:r>
      <w:r>
        <w:rPr>
          <w:sz w:val="20"/>
        </w:rPr>
        <w:t>opinar</w:t>
      </w:r>
      <w:r>
        <w:rPr>
          <w:spacing w:val="-6"/>
          <w:sz w:val="20"/>
        </w:rPr>
        <w:t> </w:t>
      </w:r>
      <w:r>
        <w:rPr>
          <w:sz w:val="20"/>
        </w:rPr>
        <w:t>sobre</w:t>
      </w:r>
      <w:r>
        <w:rPr>
          <w:spacing w:val="-7"/>
          <w:sz w:val="20"/>
        </w:rPr>
        <w:t> </w:t>
      </w:r>
      <w:r>
        <w:rPr>
          <w:sz w:val="20"/>
        </w:rPr>
        <w:t>la</w:t>
      </w:r>
      <w:r>
        <w:rPr>
          <w:spacing w:val="-7"/>
          <w:sz w:val="20"/>
        </w:rPr>
        <w:t> </w:t>
      </w:r>
      <w:r>
        <w:rPr>
          <w:sz w:val="20"/>
        </w:rPr>
        <w:t>actuación</w:t>
      </w:r>
      <w:r>
        <w:rPr>
          <w:spacing w:val="-7"/>
          <w:sz w:val="20"/>
        </w:rPr>
        <w:t> </w:t>
      </w:r>
      <w:r>
        <w:rPr>
          <w:sz w:val="20"/>
        </w:rPr>
        <w:t>de</w:t>
      </w:r>
      <w:r>
        <w:rPr>
          <w:spacing w:val="-7"/>
          <w:sz w:val="20"/>
        </w:rPr>
        <w:t> </w:t>
      </w:r>
      <w:r>
        <w:rPr>
          <w:sz w:val="20"/>
        </w:rPr>
        <w:t>los Directores Responsables de</w:t>
      </w:r>
      <w:r>
        <w:rPr>
          <w:spacing w:val="-1"/>
          <w:sz w:val="20"/>
        </w:rPr>
        <w:t> </w:t>
      </w:r>
      <w:r>
        <w:rPr>
          <w:sz w:val="20"/>
        </w:rPr>
        <w:t>Obra y Corresponsables durante</w:t>
      </w:r>
      <w:r>
        <w:rPr>
          <w:spacing w:val="-1"/>
          <w:sz w:val="20"/>
        </w:rPr>
        <w:t> </w:t>
      </w:r>
      <w:r>
        <w:rPr>
          <w:sz w:val="20"/>
        </w:rPr>
        <w:t>el</w:t>
      </w:r>
      <w:r>
        <w:rPr>
          <w:spacing w:val="-1"/>
          <w:sz w:val="20"/>
        </w:rPr>
        <w:t> </w:t>
      </w:r>
      <w:r>
        <w:rPr>
          <w:sz w:val="20"/>
        </w:rPr>
        <w:t>proceso</w:t>
      </w:r>
      <w:r>
        <w:rPr>
          <w:spacing w:val="-1"/>
          <w:sz w:val="20"/>
        </w:rPr>
        <w:t> </w:t>
      </w:r>
      <w:r>
        <w:rPr>
          <w:sz w:val="20"/>
        </w:rPr>
        <w:t>de</w:t>
      </w:r>
      <w:r>
        <w:rPr>
          <w:spacing w:val="-1"/>
          <w:sz w:val="20"/>
        </w:rPr>
        <w:t> </w:t>
      </w:r>
      <w:r>
        <w:rPr>
          <w:sz w:val="20"/>
        </w:rPr>
        <w:t>ejecución</w:t>
      </w:r>
      <w:r>
        <w:rPr>
          <w:spacing w:val="-1"/>
          <w:sz w:val="20"/>
        </w:rPr>
        <w:t> </w:t>
      </w:r>
      <w:r>
        <w:rPr>
          <w:sz w:val="20"/>
        </w:rPr>
        <w:t>de</w:t>
      </w:r>
      <w:r>
        <w:rPr>
          <w:spacing w:val="-1"/>
          <w:sz w:val="20"/>
        </w:rPr>
        <w:t> </w:t>
      </w:r>
      <w:r>
        <w:rPr>
          <w:sz w:val="20"/>
        </w:rPr>
        <w:t>las obras para las cuales hayan extendido su responsiva y que hayan sido acreditados por la CADROC para su registro como Directores Responsables de Obra y Corresponsables;</w:t>
      </w:r>
    </w:p>
    <w:p>
      <w:pPr>
        <w:pStyle w:val="BodyText"/>
      </w:pPr>
    </w:p>
    <w:p>
      <w:pPr>
        <w:pStyle w:val="ListParagraph"/>
        <w:numPr>
          <w:ilvl w:val="0"/>
          <w:numId w:val="91"/>
        </w:numPr>
        <w:tabs>
          <w:tab w:pos="597" w:val="left" w:leader="none"/>
        </w:tabs>
        <w:spacing w:line="240" w:lineRule="auto" w:before="0" w:after="0"/>
        <w:ind w:left="262" w:right="286" w:firstLine="0"/>
        <w:jc w:val="both"/>
        <w:rPr>
          <w:sz w:val="20"/>
        </w:rPr>
      </w:pPr>
      <w:r>
        <w:rPr>
          <w:sz w:val="20"/>
        </w:rPr>
        <w:t>Emitir recomendaciones a la dirección municipal correspondiente, sobre organización, sistematización y aspectos técnicos de sus respectivos registros de Directores Responsables de Obra y Corresponsables;</w:t>
      </w:r>
    </w:p>
    <w:p>
      <w:pPr>
        <w:pStyle w:val="BodyText"/>
        <w:spacing w:before="2"/>
      </w:pPr>
    </w:p>
    <w:p>
      <w:pPr>
        <w:pStyle w:val="ListParagraph"/>
        <w:numPr>
          <w:ilvl w:val="0"/>
          <w:numId w:val="91"/>
        </w:numPr>
        <w:tabs>
          <w:tab w:pos="688" w:val="left" w:leader="none"/>
        </w:tabs>
        <w:spacing w:line="240" w:lineRule="auto" w:before="0" w:after="0"/>
        <w:ind w:left="262" w:right="276" w:firstLine="0"/>
        <w:jc w:val="both"/>
        <w:rPr>
          <w:sz w:val="20"/>
        </w:rPr>
      </w:pPr>
      <w:r>
        <w:rPr>
          <w:sz w:val="20"/>
        </w:rPr>
        <w:t>Proponer y autorizar la Plataforma Digital, los instrumentos tecnológicos de control y aplicaciones necesarias para implementar el Padrón de Directores Responsables de Obra y Corresponsables; dicha plataforma e instrumentos tecnológicos deberán tener acceso mediante claves o contraseña para cada Colegio de Profesionistas que integran la CADROC, así como los municipios que la soliciten; al efecto gestionará los recursos necesarios para su implementación;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91"/>
        </w:numPr>
        <w:tabs>
          <w:tab w:pos="744" w:val="left" w:leader="none"/>
        </w:tabs>
        <w:spacing w:line="240" w:lineRule="auto" w:before="0" w:after="0"/>
        <w:ind w:left="262" w:right="280" w:firstLine="0"/>
        <w:jc w:val="both"/>
        <w:rPr>
          <w:sz w:val="20"/>
        </w:rPr>
      </w:pPr>
      <w:r>
        <w:rPr>
          <w:sz w:val="20"/>
        </w:rPr>
        <w:t>Proponer y promover el desarrollo institucional, sistemas de información e instrumentos de fomento</w:t>
      </w:r>
      <w:r>
        <w:rPr>
          <w:spacing w:val="-14"/>
          <w:sz w:val="20"/>
        </w:rPr>
        <w:t> </w:t>
      </w:r>
      <w:r>
        <w:rPr>
          <w:sz w:val="20"/>
        </w:rPr>
        <w:t>a</w:t>
      </w:r>
      <w:r>
        <w:rPr>
          <w:spacing w:val="-11"/>
          <w:sz w:val="20"/>
        </w:rPr>
        <w:t> </w:t>
      </w:r>
      <w:r>
        <w:rPr>
          <w:sz w:val="20"/>
        </w:rPr>
        <w:t>la</w:t>
      </w:r>
      <w:r>
        <w:rPr>
          <w:spacing w:val="-14"/>
          <w:sz w:val="20"/>
        </w:rPr>
        <w:t> </w:t>
      </w:r>
      <w:r>
        <w:rPr>
          <w:sz w:val="20"/>
        </w:rPr>
        <w:t>gestión</w:t>
      </w:r>
      <w:r>
        <w:rPr>
          <w:spacing w:val="-14"/>
          <w:sz w:val="20"/>
        </w:rPr>
        <w:t> </w:t>
      </w:r>
      <w:r>
        <w:rPr>
          <w:sz w:val="20"/>
        </w:rPr>
        <w:t>urbana,</w:t>
      </w:r>
      <w:r>
        <w:rPr>
          <w:spacing w:val="-14"/>
          <w:sz w:val="20"/>
        </w:rPr>
        <w:t> </w:t>
      </w:r>
      <w:r>
        <w:rPr>
          <w:sz w:val="20"/>
        </w:rPr>
        <w:t>mediante</w:t>
      </w:r>
      <w:r>
        <w:rPr>
          <w:spacing w:val="-14"/>
          <w:sz w:val="20"/>
        </w:rPr>
        <w:t> </w:t>
      </w:r>
      <w:r>
        <w:rPr>
          <w:sz w:val="20"/>
        </w:rPr>
        <w:t>la</w:t>
      </w:r>
      <w:r>
        <w:rPr>
          <w:spacing w:val="-14"/>
          <w:sz w:val="20"/>
        </w:rPr>
        <w:t> </w:t>
      </w:r>
      <w:r>
        <w:rPr>
          <w:sz w:val="20"/>
        </w:rPr>
        <w:t>operación</w:t>
      </w:r>
      <w:r>
        <w:rPr>
          <w:spacing w:val="-14"/>
          <w:sz w:val="20"/>
        </w:rPr>
        <w:t> </w:t>
      </w:r>
      <w:r>
        <w:rPr>
          <w:sz w:val="20"/>
        </w:rPr>
        <w:t>y</w:t>
      </w:r>
      <w:r>
        <w:rPr>
          <w:spacing w:val="-12"/>
          <w:sz w:val="20"/>
        </w:rPr>
        <w:t> </w:t>
      </w:r>
      <w:r>
        <w:rPr>
          <w:sz w:val="20"/>
        </w:rPr>
        <w:t>seguimiento</w:t>
      </w:r>
      <w:r>
        <w:rPr>
          <w:spacing w:val="-12"/>
          <w:sz w:val="20"/>
        </w:rPr>
        <w:t> </w:t>
      </w:r>
      <w:r>
        <w:rPr>
          <w:sz w:val="20"/>
        </w:rPr>
        <w:t>de</w:t>
      </w:r>
      <w:r>
        <w:rPr>
          <w:spacing w:val="-14"/>
          <w:sz w:val="20"/>
        </w:rPr>
        <w:t> </w:t>
      </w:r>
      <w:r>
        <w:rPr>
          <w:sz w:val="20"/>
        </w:rPr>
        <w:t>una</w:t>
      </w:r>
      <w:r>
        <w:rPr>
          <w:spacing w:val="-14"/>
          <w:sz w:val="20"/>
        </w:rPr>
        <w:t> </w:t>
      </w:r>
      <w:r>
        <w:rPr>
          <w:sz w:val="20"/>
        </w:rPr>
        <w:t>plataforma</w:t>
      </w:r>
      <w:r>
        <w:rPr>
          <w:spacing w:val="-14"/>
          <w:sz w:val="20"/>
        </w:rPr>
        <w:t> </w:t>
      </w:r>
      <w:r>
        <w:rPr>
          <w:sz w:val="20"/>
        </w:rPr>
        <w:t>digital,</w:t>
      </w:r>
      <w:r>
        <w:rPr>
          <w:spacing w:val="-14"/>
          <w:sz w:val="20"/>
        </w:rPr>
        <w:t> </w:t>
      </w:r>
      <w:r>
        <w:rPr>
          <w:sz w:val="20"/>
        </w:rPr>
        <w:t>software o</w:t>
      </w:r>
      <w:r>
        <w:rPr>
          <w:spacing w:val="-14"/>
          <w:sz w:val="20"/>
        </w:rPr>
        <w:t> </w:t>
      </w:r>
      <w:r>
        <w:rPr>
          <w:sz w:val="20"/>
        </w:rPr>
        <w:t>sistema</w:t>
      </w:r>
      <w:r>
        <w:rPr>
          <w:spacing w:val="-14"/>
          <w:sz w:val="20"/>
        </w:rPr>
        <w:t> </w:t>
      </w:r>
      <w:r>
        <w:rPr>
          <w:sz w:val="20"/>
        </w:rPr>
        <w:t>electrónico,</w:t>
      </w:r>
      <w:r>
        <w:rPr>
          <w:spacing w:val="-14"/>
          <w:sz w:val="20"/>
        </w:rPr>
        <w:t> </w:t>
      </w:r>
      <w:r>
        <w:rPr>
          <w:sz w:val="20"/>
        </w:rPr>
        <w:t>así</w:t>
      </w:r>
      <w:r>
        <w:rPr>
          <w:spacing w:val="-14"/>
          <w:sz w:val="20"/>
        </w:rPr>
        <w:t> </w:t>
      </w:r>
      <w:r>
        <w:rPr>
          <w:sz w:val="20"/>
        </w:rPr>
        <w:t>como</w:t>
      </w:r>
      <w:r>
        <w:rPr>
          <w:spacing w:val="-14"/>
          <w:sz w:val="20"/>
        </w:rPr>
        <w:t> </w:t>
      </w:r>
      <w:r>
        <w:rPr>
          <w:sz w:val="20"/>
        </w:rPr>
        <w:t>los</w:t>
      </w:r>
      <w:r>
        <w:rPr>
          <w:spacing w:val="-14"/>
          <w:sz w:val="20"/>
        </w:rPr>
        <w:t> </w:t>
      </w:r>
      <w:r>
        <w:rPr>
          <w:sz w:val="20"/>
        </w:rPr>
        <w:t>instrumentos</w:t>
      </w:r>
      <w:r>
        <w:rPr>
          <w:spacing w:val="-14"/>
          <w:sz w:val="20"/>
        </w:rPr>
        <w:t> </w:t>
      </w:r>
      <w:r>
        <w:rPr>
          <w:sz w:val="20"/>
        </w:rPr>
        <w:t>tecnológicos</w:t>
      </w:r>
      <w:r>
        <w:rPr>
          <w:spacing w:val="-14"/>
          <w:sz w:val="20"/>
        </w:rPr>
        <w:t> </w:t>
      </w:r>
      <w:r>
        <w:rPr>
          <w:sz w:val="20"/>
        </w:rPr>
        <w:t>de</w:t>
      </w:r>
      <w:r>
        <w:rPr>
          <w:spacing w:val="-14"/>
          <w:sz w:val="20"/>
        </w:rPr>
        <w:t> </w:t>
      </w:r>
      <w:r>
        <w:rPr>
          <w:sz w:val="20"/>
        </w:rPr>
        <w:t>control</w:t>
      </w:r>
      <w:r>
        <w:rPr>
          <w:spacing w:val="-13"/>
          <w:sz w:val="20"/>
        </w:rPr>
        <w:t> </w:t>
      </w:r>
      <w:r>
        <w:rPr>
          <w:sz w:val="20"/>
        </w:rPr>
        <w:t>como</w:t>
      </w:r>
      <w:r>
        <w:rPr>
          <w:spacing w:val="-14"/>
          <w:sz w:val="20"/>
        </w:rPr>
        <w:t> </w:t>
      </w:r>
      <w:r>
        <w:rPr>
          <w:sz w:val="20"/>
        </w:rPr>
        <w:t>la</w:t>
      </w:r>
      <w:r>
        <w:rPr>
          <w:spacing w:val="-14"/>
          <w:sz w:val="20"/>
        </w:rPr>
        <w:t> </w:t>
      </w:r>
      <w:r>
        <w:rPr>
          <w:sz w:val="20"/>
        </w:rPr>
        <w:t>bitácora</w:t>
      </w:r>
      <w:r>
        <w:rPr>
          <w:spacing w:val="-14"/>
          <w:sz w:val="20"/>
        </w:rPr>
        <w:t> </w:t>
      </w:r>
      <w:r>
        <w:rPr>
          <w:sz w:val="20"/>
        </w:rPr>
        <w:t>electrónica y</w:t>
      </w:r>
      <w:r>
        <w:rPr>
          <w:spacing w:val="-5"/>
          <w:sz w:val="20"/>
        </w:rPr>
        <w:t> </w:t>
      </w:r>
      <w:r>
        <w:rPr>
          <w:sz w:val="20"/>
        </w:rPr>
        <w:t>otras</w:t>
      </w:r>
      <w:r>
        <w:rPr>
          <w:spacing w:val="-5"/>
          <w:sz w:val="20"/>
        </w:rPr>
        <w:t> </w:t>
      </w:r>
      <w:r>
        <w:rPr>
          <w:sz w:val="20"/>
        </w:rPr>
        <w:t>aplicaciones</w:t>
      </w:r>
      <w:r>
        <w:rPr>
          <w:spacing w:val="-5"/>
          <w:sz w:val="20"/>
        </w:rPr>
        <w:t> </w:t>
      </w:r>
      <w:r>
        <w:rPr>
          <w:sz w:val="20"/>
        </w:rPr>
        <w:t>digitales</w:t>
      </w:r>
      <w:r>
        <w:rPr>
          <w:spacing w:val="-5"/>
          <w:sz w:val="20"/>
        </w:rPr>
        <w:t> </w:t>
      </w:r>
      <w:r>
        <w:rPr>
          <w:sz w:val="20"/>
        </w:rPr>
        <w:t>necesarias</w:t>
      </w:r>
      <w:r>
        <w:rPr>
          <w:spacing w:val="-5"/>
          <w:sz w:val="20"/>
        </w:rPr>
        <w:t> </w:t>
      </w:r>
      <w:r>
        <w:rPr>
          <w:sz w:val="20"/>
        </w:rPr>
        <w:t>para</w:t>
      </w:r>
      <w:r>
        <w:rPr>
          <w:spacing w:val="-7"/>
          <w:sz w:val="20"/>
        </w:rPr>
        <w:t> </w:t>
      </w:r>
      <w:r>
        <w:rPr>
          <w:sz w:val="20"/>
        </w:rPr>
        <w:t>llevar</w:t>
      </w:r>
      <w:r>
        <w:rPr>
          <w:spacing w:val="-6"/>
          <w:sz w:val="20"/>
        </w:rPr>
        <w:t> </w:t>
      </w:r>
      <w:r>
        <w:rPr>
          <w:sz w:val="20"/>
        </w:rPr>
        <w:t>a</w:t>
      </w:r>
      <w:r>
        <w:rPr>
          <w:spacing w:val="-7"/>
          <w:sz w:val="20"/>
        </w:rPr>
        <w:t> </w:t>
      </w:r>
      <w:r>
        <w:rPr>
          <w:sz w:val="20"/>
        </w:rPr>
        <w:t>cabo</w:t>
      </w:r>
      <w:r>
        <w:rPr>
          <w:spacing w:val="-7"/>
          <w:sz w:val="20"/>
        </w:rPr>
        <w:t> </w:t>
      </w:r>
      <w:r>
        <w:rPr>
          <w:sz w:val="20"/>
        </w:rPr>
        <w:t>el</w:t>
      </w:r>
      <w:r>
        <w:rPr>
          <w:spacing w:val="-7"/>
          <w:sz w:val="20"/>
        </w:rPr>
        <w:t> </w:t>
      </w:r>
      <w:r>
        <w:rPr>
          <w:sz w:val="20"/>
        </w:rPr>
        <w:t>registro</w:t>
      </w:r>
      <w:r>
        <w:rPr>
          <w:spacing w:val="-7"/>
          <w:sz w:val="20"/>
        </w:rPr>
        <w:t> </w:t>
      </w:r>
      <w:r>
        <w:rPr>
          <w:sz w:val="20"/>
        </w:rPr>
        <w:t>y</w:t>
      </w:r>
      <w:r>
        <w:rPr>
          <w:spacing w:val="-5"/>
          <w:sz w:val="20"/>
        </w:rPr>
        <w:t> </w:t>
      </w:r>
      <w:r>
        <w:rPr>
          <w:sz w:val="20"/>
        </w:rPr>
        <w:t>seguimiento</w:t>
      </w:r>
      <w:r>
        <w:rPr>
          <w:spacing w:val="-7"/>
          <w:sz w:val="20"/>
        </w:rPr>
        <w:t> </w:t>
      </w:r>
      <w:r>
        <w:rPr>
          <w:sz w:val="20"/>
        </w:rPr>
        <w:t>de</w:t>
      </w:r>
      <w:r>
        <w:rPr>
          <w:spacing w:val="-7"/>
          <w:sz w:val="20"/>
        </w:rPr>
        <w:t> </w:t>
      </w:r>
      <w:r>
        <w:rPr>
          <w:sz w:val="20"/>
        </w:rPr>
        <w:t>permisos</w:t>
      </w:r>
      <w:r>
        <w:rPr>
          <w:spacing w:val="-3"/>
          <w:sz w:val="20"/>
        </w:rPr>
        <w:t> </w:t>
      </w:r>
      <w:r>
        <w:rPr>
          <w:sz w:val="20"/>
        </w:rPr>
        <w:t>de construcción, de uso de suelo y de alineamiento y número oficial por vía electrónica de las obras, edificaciones</w:t>
      </w:r>
      <w:r>
        <w:rPr>
          <w:spacing w:val="-4"/>
          <w:sz w:val="20"/>
        </w:rPr>
        <w:t> </w:t>
      </w:r>
      <w:r>
        <w:rPr>
          <w:sz w:val="20"/>
        </w:rPr>
        <w:t>y</w:t>
      </w:r>
      <w:r>
        <w:rPr>
          <w:spacing w:val="-3"/>
          <w:sz w:val="20"/>
        </w:rPr>
        <w:t> </w:t>
      </w:r>
      <w:r>
        <w:rPr>
          <w:sz w:val="20"/>
        </w:rPr>
        <w:t>construcciones</w:t>
      </w:r>
      <w:r>
        <w:rPr>
          <w:spacing w:val="-4"/>
          <w:sz w:val="20"/>
        </w:rPr>
        <w:t> </w:t>
      </w:r>
      <w:r>
        <w:rPr>
          <w:sz w:val="20"/>
        </w:rPr>
        <w:t>tanto</w:t>
      </w:r>
      <w:r>
        <w:rPr>
          <w:spacing w:val="-5"/>
          <w:sz w:val="20"/>
        </w:rPr>
        <w:t> </w:t>
      </w:r>
      <w:r>
        <w:rPr>
          <w:sz w:val="20"/>
        </w:rPr>
        <w:t>públicas</w:t>
      </w:r>
      <w:r>
        <w:rPr>
          <w:spacing w:val="-4"/>
          <w:sz w:val="20"/>
        </w:rPr>
        <w:t> </w:t>
      </w:r>
      <w:r>
        <w:rPr>
          <w:sz w:val="20"/>
        </w:rPr>
        <w:t>como</w:t>
      </w:r>
      <w:r>
        <w:rPr>
          <w:spacing w:val="-5"/>
          <w:sz w:val="20"/>
        </w:rPr>
        <w:t> </w:t>
      </w:r>
      <w:r>
        <w:rPr>
          <w:sz w:val="20"/>
        </w:rPr>
        <w:t>privadas</w:t>
      </w:r>
      <w:r>
        <w:rPr>
          <w:spacing w:val="-4"/>
          <w:sz w:val="20"/>
        </w:rPr>
        <w:t> </w:t>
      </w:r>
      <w:r>
        <w:rPr>
          <w:sz w:val="20"/>
        </w:rPr>
        <w:t>que</w:t>
      </w:r>
      <w:r>
        <w:rPr>
          <w:spacing w:val="-5"/>
          <w:sz w:val="20"/>
        </w:rPr>
        <w:t> </w:t>
      </w:r>
      <w:r>
        <w:rPr>
          <w:sz w:val="20"/>
        </w:rPr>
        <w:t>se</w:t>
      </w:r>
      <w:r>
        <w:rPr>
          <w:spacing w:val="-3"/>
          <w:sz w:val="20"/>
        </w:rPr>
        <w:t> </w:t>
      </w:r>
      <w:r>
        <w:rPr>
          <w:sz w:val="20"/>
        </w:rPr>
        <w:t>lleven</w:t>
      </w:r>
      <w:r>
        <w:rPr>
          <w:spacing w:val="-5"/>
          <w:sz w:val="20"/>
        </w:rPr>
        <w:t> </w:t>
      </w:r>
      <w:r>
        <w:rPr>
          <w:sz w:val="20"/>
        </w:rPr>
        <w:t>a</w:t>
      </w:r>
      <w:r>
        <w:rPr>
          <w:spacing w:val="-6"/>
          <w:sz w:val="20"/>
        </w:rPr>
        <w:t> </w:t>
      </w:r>
      <w:r>
        <w:rPr>
          <w:sz w:val="20"/>
        </w:rPr>
        <w:t>cabo</w:t>
      </w:r>
      <w:r>
        <w:rPr>
          <w:spacing w:val="-3"/>
          <w:sz w:val="20"/>
        </w:rPr>
        <w:t> </w:t>
      </w:r>
      <w:r>
        <w:rPr>
          <w:sz w:val="20"/>
        </w:rPr>
        <w:t>en</w:t>
      </w:r>
      <w:r>
        <w:rPr>
          <w:spacing w:val="-5"/>
          <w:sz w:val="20"/>
        </w:rPr>
        <w:t> </w:t>
      </w:r>
      <w:r>
        <w:rPr>
          <w:sz w:val="20"/>
        </w:rPr>
        <w:t>los</w:t>
      </w:r>
      <w:r>
        <w:rPr>
          <w:spacing w:val="-4"/>
          <w:sz w:val="20"/>
        </w:rPr>
        <w:t> </w:t>
      </w:r>
      <w:r>
        <w:rPr>
          <w:sz w:val="20"/>
        </w:rPr>
        <w:t>municipios del Estado, integrando a esta Plataforma el Padrón Estatal y los Registros Municipales de los Directores Responsables de Obra y Corresponsables en el Estado;</w:t>
      </w:r>
    </w:p>
    <w:p>
      <w:pPr>
        <w:pStyle w:val="BodyText"/>
        <w:spacing w:before="1"/>
      </w:pPr>
    </w:p>
    <w:p>
      <w:pPr>
        <w:pStyle w:val="ListParagraph"/>
        <w:numPr>
          <w:ilvl w:val="0"/>
          <w:numId w:val="91"/>
        </w:numPr>
        <w:tabs>
          <w:tab w:pos="688" w:val="left" w:leader="none"/>
        </w:tabs>
        <w:spacing w:line="240" w:lineRule="auto" w:before="0" w:after="0"/>
        <w:ind w:left="262" w:right="285" w:firstLine="0"/>
        <w:jc w:val="both"/>
        <w:rPr>
          <w:sz w:val="20"/>
        </w:rPr>
      </w:pPr>
      <w:r>
        <w:rPr>
          <w:sz w:val="20"/>
        </w:rPr>
        <w:t>Desahogar cuantas diligencias se consideren necesarias para el desempeño de sus </w:t>
      </w:r>
      <w:r>
        <w:rPr>
          <w:spacing w:val="-2"/>
          <w:sz w:val="20"/>
        </w:rPr>
        <w:t>atribuciones;</w:t>
      </w:r>
    </w:p>
    <w:p>
      <w:pPr>
        <w:pStyle w:val="BodyText"/>
      </w:pPr>
    </w:p>
    <w:p>
      <w:pPr>
        <w:pStyle w:val="ListParagraph"/>
        <w:numPr>
          <w:ilvl w:val="0"/>
          <w:numId w:val="91"/>
        </w:numPr>
        <w:tabs>
          <w:tab w:pos="688" w:val="left" w:leader="none"/>
        </w:tabs>
        <w:spacing w:line="240" w:lineRule="auto" w:before="0" w:after="0"/>
        <w:ind w:left="688" w:right="0" w:hanging="426"/>
        <w:jc w:val="both"/>
        <w:rPr>
          <w:sz w:val="20"/>
        </w:rPr>
      </w:pPr>
      <w:r>
        <w:rPr>
          <w:sz w:val="20"/>
        </w:rPr>
        <w:t>Designar</w:t>
      </w:r>
      <w:r>
        <w:rPr>
          <w:spacing w:val="-9"/>
          <w:sz w:val="20"/>
        </w:rPr>
        <w:t> </w:t>
      </w:r>
      <w:r>
        <w:rPr>
          <w:sz w:val="20"/>
        </w:rPr>
        <w:t>a</w:t>
      </w:r>
      <w:r>
        <w:rPr>
          <w:spacing w:val="-7"/>
          <w:sz w:val="20"/>
        </w:rPr>
        <w:t> </w:t>
      </w:r>
      <w:r>
        <w:rPr>
          <w:sz w:val="20"/>
        </w:rPr>
        <w:t>quienes</w:t>
      </w:r>
      <w:r>
        <w:rPr>
          <w:spacing w:val="-8"/>
          <w:sz w:val="20"/>
        </w:rPr>
        <w:t> </w:t>
      </w:r>
      <w:r>
        <w:rPr>
          <w:sz w:val="20"/>
        </w:rPr>
        <w:t>conformarán</w:t>
      </w:r>
      <w:r>
        <w:rPr>
          <w:spacing w:val="-7"/>
          <w:sz w:val="20"/>
        </w:rPr>
        <w:t> </w:t>
      </w:r>
      <w:r>
        <w:rPr>
          <w:sz w:val="20"/>
        </w:rPr>
        <w:t>los</w:t>
      </w:r>
      <w:r>
        <w:rPr>
          <w:spacing w:val="-6"/>
          <w:sz w:val="20"/>
        </w:rPr>
        <w:t> </w:t>
      </w:r>
      <w:r>
        <w:rPr>
          <w:sz w:val="20"/>
        </w:rPr>
        <w:t>Subcomités</w:t>
      </w:r>
      <w:r>
        <w:rPr>
          <w:spacing w:val="-8"/>
          <w:sz w:val="20"/>
        </w:rPr>
        <w:t> </w:t>
      </w:r>
      <w:r>
        <w:rPr>
          <w:sz w:val="20"/>
        </w:rPr>
        <w:t>Técnicos,</w:t>
      </w:r>
      <w:r>
        <w:rPr>
          <w:spacing w:val="-9"/>
          <w:sz w:val="20"/>
        </w:rPr>
        <w:t> </w:t>
      </w:r>
      <w:r>
        <w:rPr>
          <w:sz w:val="20"/>
        </w:rPr>
        <w:t>de</w:t>
      </w:r>
      <w:r>
        <w:rPr>
          <w:spacing w:val="-8"/>
          <w:sz w:val="20"/>
        </w:rPr>
        <w:t> </w:t>
      </w:r>
      <w:r>
        <w:rPr>
          <w:sz w:val="20"/>
        </w:rPr>
        <w:t>entre</w:t>
      </w:r>
      <w:r>
        <w:rPr>
          <w:spacing w:val="-9"/>
          <w:sz w:val="20"/>
        </w:rPr>
        <w:t> </w:t>
      </w:r>
      <w:r>
        <w:rPr>
          <w:sz w:val="20"/>
        </w:rPr>
        <w:t>sus</w:t>
      </w:r>
      <w:r>
        <w:rPr>
          <w:spacing w:val="-8"/>
          <w:sz w:val="20"/>
        </w:rPr>
        <w:t> </w:t>
      </w:r>
      <w:r>
        <w:rPr>
          <w:sz w:val="20"/>
        </w:rPr>
        <w:t>propios</w:t>
      </w:r>
      <w:r>
        <w:rPr>
          <w:spacing w:val="-6"/>
          <w:sz w:val="20"/>
        </w:rPr>
        <w:t> </w:t>
      </w:r>
      <w:r>
        <w:rPr>
          <w:sz w:val="20"/>
        </w:rPr>
        <w:t>miembros,</w:t>
      </w:r>
      <w:r>
        <w:rPr>
          <w:spacing w:val="-8"/>
          <w:sz w:val="20"/>
        </w:rPr>
        <w:t> </w:t>
      </w:r>
      <w:r>
        <w:rPr>
          <w:spacing w:val="-10"/>
          <w:sz w:val="20"/>
        </w:rPr>
        <w:t>y</w:t>
      </w:r>
    </w:p>
    <w:p>
      <w:pPr>
        <w:pStyle w:val="BodyText"/>
      </w:pPr>
    </w:p>
    <w:p>
      <w:pPr>
        <w:pStyle w:val="ListParagraph"/>
        <w:numPr>
          <w:ilvl w:val="0"/>
          <w:numId w:val="91"/>
        </w:numPr>
        <w:tabs>
          <w:tab w:pos="688" w:val="left" w:leader="none"/>
        </w:tabs>
        <w:spacing w:line="240" w:lineRule="auto" w:before="1" w:after="0"/>
        <w:ind w:left="688" w:right="0" w:hanging="426"/>
        <w:jc w:val="both"/>
        <w:rPr>
          <w:sz w:val="20"/>
        </w:rPr>
      </w:pPr>
      <w:r>
        <w:rPr>
          <w:sz w:val="20"/>
        </w:rPr>
        <w:t>Las</w:t>
      </w:r>
      <w:r>
        <w:rPr>
          <w:spacing w:val="-6"/>
          <w:sz w:val="20"/>
        </w:rPr>
        <w:t> </w:t>
      </w:r>
      <w:r>
        <w:rPr>
          <w:sz w:val="20"/>
        </w:rPr>
        <w:t>demás</w:t>
      </w:r>
      <w:r>
        <w:rPr>
          <w:spacing w:val="-6"/>
          <w:sz w:val="20"/>
        </w:rPr>
        <w:t> </w:t>
      </w:r>
      <w:r>
        <w:rPr>
          <w:sz w:val="20"/>
        </w:rPr>
        <w:t>que</w:t>
      </w:r>
      <w:r>
        <w:rPr>
          <w:spacing w:val="-8"/>
          <w:sz w:val="20"/>
        </w:rPr>
        <w:t> </w:t>
      </w:r>
      <w:r>
        <w:rPr>
          <w:sz w:val="20"/>
        </w:rPr>
        <w:t>determine</w:t>
      </w:r>
      <w:r>
        <w:rPr>
          <w:spacing w:val="-5"/>
          <w:sz w:val="20"/>
        </w:rPr>
        <w:t> </w:t>
      </w:r>
      <w:r>
        <w:rPr>
          <w:sz w:val="20"/>
        </w:rPr>
        <w:t>su</w:t>
      </w:r>
      <w:r>
        <w:rPr>
          <w:spacing w:val="-7"/>
          <w:sz w:val="20"/>
        </w:rPr>
        <w:t> </w:t>
      </w:r>
      <w:r>
        <w:rPr>
          <w:sz w:val="20"/>
        </w:rPr>
        <w:t>Reglamento</w:t>
      </w:r>
      <w:r>
        <w:rPr>
          <w:spacing w:val="-7"/>
          <w:sz w:val="20"/>
        </w:rPr>
        <w:t> </w:t>
      </w:r>
      <w:r>
        <w:rPr>
          <w:sz w:val="20"/>
        </w:rPr>
        <w:t>Interno,</w:t>
      </w:r>
      <w:r>
        <w:rPr>
          <w:spacing w:val="-5"/>
          <w:sz w:val="20"/>
        </w:rPr>
        <w:t> </w:t>
      </w:r>
      <w:r>
        <w:rPr>
          <w:sz w:val="20"/>
        </w:rPr>
        <w:t>acordes</w:t>
      </w:r>
      <w:r>
        <w:rPr>
          <w:spacing w:val="-6"/>
          <w:sz w:val="20"/>
        </w:rPr>
        <w:t> </w:t>
      </w:r>
      <w:r>
        <w:rPr>
          <w:sz w:val="20"/>
        </w:rPr>
        <w:t>a</w:t>
      </w:r>
      <w:r>
        <w:rPr>
          <w:spacing w:val="-8"/>
          <w:sz w:val="20"/>
        </w:rPr>
        <w:t> </w:t>
      </w:r>
      <w:r>
        <w:rPr>
          <w:sz w:val="20"/>
        </w:rPr>
        <w:t>su</w:t>
      </w:r>
      <w:r>
        <w:rPr>
          <w:spacing w:val="-5"/>
          <w:sz w:val="20"/>
        </w:rPr>
        <w:t> </w:t>
      </w:r>
      <w:r>
        <w:rPr>
          <w:sz w:val="20"/>
        </w:rPr>
        <w:t>naturaleza</w:t>
      </w:r>
      <w:r>
        <w:rPr>
          <w:spacing w:val="-5"/>
          <w:sz w:val="20"/>
        </w:rPr>
        <w:t> </w:t>
      </w:r>
      <w:r>
        <w:rPr>
          <w:sz w:val="20"/>
        </w:rPr>
        <w:t>y</w:t>
      </w:r>
      <w:r>
        <w:rPr>
          <w:spacing w:val="-6"/>
          <w:sz w:val="20"/>
        </w:rPr>
        <w:t> </w:t>
      </w:r>
      <w:r>
        <w:rPr>
          <w:spacing w:val="-2"/>
          <w:sz w:val="20"/>
        </w:rPr>
        <w:t>objeto.</w:t>
      </w:r>
    </w:p>
    <w:p>
      <w:pPr>
        <w:pStyle w:val="BodyText"/>
      </w:pPr>
    </w:p>
    <w:p>
      <w:pPr>
        <w:spacing w:before="0"/>
        <w:ind w:left="26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249.</w:t>
      </w:r>
      <w:r>
        <w:rPr>
          <w:rFonts w:ascii="Arial" w:hAnsi="Arial"/>
          <w:b/>
          <w:spacing w:val="-5"/>
          <w:sz w:val="20"/>
        </w:rPr>
        <w:t> </w:t>
      </w:r>
      <w:r>
        <w:rPr>
          <w:sz w:val="20"/>
        </w:rPr>
        <w:t>Son</w:t>
      </w:r>
      <w:r>
        <w:rPr>
          <w:spacing w:val="-6"/>
          <w:sz w:val="20"/>
        </w:rPr>
        <w:t> </w:t>
      </w:r>
      <w:r>
        <w:rPr>
          <w:sz w:val="20"/>
        </w:rPr>
        <w:t>facultades</w:t>
      </w:r>
      <w:r>
        <w:rPr>
          <w:spacing w:val="-6"/>
          <w:sz w:val="20"/>
        </w:rPr>
        <w:t> </w:t>
      </w:r>
      <w:r>
        <w:rPr>
          <w:sz w:val="20"/>
        </w:rPr>
        <w:t>del</w:t>
      </w:r>
      <w:r>
        <w:rPr>
          <w:spacing w:val="-6"/>
          <w:sz w:val="20"/>
        </w:rPr>
        <w:t> </w:t>
      </w:r>
      <w:r>
        <w:rPr>
          <w:sz w:val="20"/>
        </w:rPr>
        <w:t>Presidente</w:t>
      </w:r>
      <w:r>
        <w:rPr>
          <w:spacing w:val="-7"/>
          <w:sz w:val="20"/>
        </w:rPr>
        <w:t> </w:t>
      </w:r>
      <w:r>
        <w:rPr>
          <w:sz w:val="20"/>
        </w:rPr>
        <w:t>de</w:t>
      </w:r>
      <w:r>
        <w:rPr>
          <w:spacing w:val="-6"/>
          <w:sz w:val="20"/>
        </w:rPr>
        <w:t> </w:t>
      </w:r>
      <w:r>
        <w:rPr>
          <w:sz w:val="20"/>
        </w:rPr>
        <w:t>la</w:t>
      </w:r>
      <w:r>
        <w:rPr>
          <w:spacing w:val="-5"/>
          <w:sz w:val="20"/>
        </w:rPr>
        <w:t> </w:t>
      </w:r>
      <w:r>
        <w:rPr>
          <w:spacing w:val="-2"/>
          <w:sz w:val="20"/>
        </w:rPr>
        <w:t>CADROC:</w:t>
      </w:r>
    </w:p>
    <w:p>
      <w:pPr>
        <w:pStyle w:val="ListParagraph"/>
        <w:numPr>
          <w:ilvl w:val="0"/>
          <w:numId w:val="92"/>
        </w:numPr>
        <w:tabs>
          <w:tab w:pos="543" w:val="left" w:leader="none"/>
        </w:tabs>
        <w:spacing w:line="240" w:lineRule="auto" w:before="229" w:after="0"/>
        <w:ind w:left="262" w:right="285" w:firstLine="0"/>
        <w:jc w:val="both"/>
        <w:rPr>
          <w:sz w:val="20"/>
        </w:rPr>
      </w:pPr>
      <w:r>
        <w:rPr>
          <w:sz w:val="20"/>
        </w:rPr>
        <w:t>Convocar</w:t>
      </w:r>
      <w:r>
        <w:rPr>
          <w:spacing w:val="40"/>
          <w:sz w:val="20"/>
        </w:rPr>
        <w:t> </w:t>
      </w:r>
      <w:r>
        <w:rPr>
          <w:sz w:val="20"/>
        </w:rPr>
        <w:t>a los miembros de la CADROC a las reuniones que celebre, debiendo acompañar a la convocatoria el orden del día, cuando menos con cuarenta y ocho horas de anticipación;</w:t>
      </w:r>
    </w:p>
    <w:p>
      <w:pPr>
        <w:pStyle w:val="BodyText"/>
        <w:spacing w:before="1"/>
      </w:pPr>
    </w:p>
    <w:p>
      <w:pPr>
        <w:pStyle w:val="ListParagraph"/>
        <w:numPr>
          <w:ilvl w:val="0"/>
          <w:numId w:val="92"/>
        </w:numPr>
        <w:tabs>
          <w:tab w:pos="543" w:val="left" w:leader="none"/>
        </w:tabs>
        <w:spacing w:line="240" w:lineRule="auto" w:before="0" w:after="0"/>
        <w:ind w:left="262" w:right="287" w:firstLine="0"/>
        <w:jc w:val="both"/>
        <w:rPr>
          <w:sz w:val="20"/>
        </w:rPr>
      </w:pPr>
      <w:r>
        <w:rPr>
          <w:sz w:val="20"/>
        </w:rPr>
        <w:t>Verificar con apoyo del Secretario Técnico la asistencia de los integrantes de la CADROC a las sesiones y declarar la existencia de quórum legal;</w:t>
      </w:r>
    </w:p>
    <w:p>
      <w:pPr>
        <w:pStyle w:val="ListParagraph"/>
        <w:numPr>
          <w:ilvl w:val="0"/>
          <w:numId w:val="92"/>
        </w:numPr>
        <w:tabs>
          <w:tab w:pos="597" w:val="left" w:leader="none"/>
        </w:tabs>
        <w:spacing w:line="240" w:lineRule="auto" w:before="229" w:after="0"/>
        <w:ind w:left="597" w:right="0" w:hanging="335"/>
        <w:jc w:val="both"/>
        <w:rPr>
          <w:sz w:val="20"/>
        </w:rPr>
      </w:pPr>
      <w:r>
        <w:rPr>
          <w:sz w:val="20"/>
        </w:rPr>
        <w:t>Presidir</w:t>
      </w:r>
      <w:r>
        <w:rPr>
          <w:spacing w:val="-6"/>
          <w:sz w:val="20"/>
        </w:rPr>
        <w:t> </w:t>
      </w:r>
      <w:r>
        <w:rPr>
          <w:sz w:val="20"/>
        </w:rPr>
        <w:t>y</w:t>
      </w:r>
      <w:r>
        <w:rPr>
          <w:spacing w:val="-5"/>
          <w:sz w:val="20"/>
        </w:rPr>
        <w:t> </w:t>
      </w:r>
      <w:r>
        <w:rPr>
          <w:sz w:val="20"/>
        </w:rPr>
        <w:t>conducir</w:t>
      </w:r>
      <w:r>
        <w:rPr>
          <w:spacing w:val="-5"/>
          <w:sz w:val="20"/>
        </w:rPr>
        <w:t> </w:t>
      </w:r>
      <w:r>
        <w:rPr>
          <w:sz w:val="20"/>
        </w:rPr>
        <w:t>las</w:t>
      </w:r>
      <w:r>
        <w:rPr>
          <w:spacing w:val="-5"/>
          <w:sz w:val="20"/>
        </w:rPr>
        <w:t> </w:t>
      </w:r>
      <w:r>
        <w:rPr>
          <w:sz w:val="20"/>
        </w:rPr>
        <w:t>sesiones</w:t>
      </w:r>
      <w:r>
        <w:rPr>
          <w:spacing w:val="-6"/>
          <w:sz w:val="20"/>
        </w:rPr>
        <w:t> </w:t>
      </w:r>
      <w:r>
        <w:rPr>
          <w:sz w:val="20"/>
        </w:rPr>
        <w:t>de</w:t>
      </w:r>
      <w:r>
        <w:rPr>
          <w:spacing w:val="-6"/>
          <w:sz w:val="20"/>
        </w:rPr>
        <w:t> </w:t>
      </w:r>
      <w:r>
        <w:rPr>
          <w:sz w:val="20"/>
        </w:rPr>
        <w:t>la</w:t>
      </w:r>
      <w:r>
        <w:rPr>
          <w:spacing w:val="-6"/>
          <w:sz w:val="20"/>
        </w:rPr>
        <w:t> </w:t>
      </w:r>
      <w:r>
        <w:rPr>
          <w:spacing w:val="-2"/>
          <w:sz w:val="20"/>
        </w:rPr>
        <w:t>CADROC;</w:t>
      </w:r>
    </w:p>
    <w:p>
      <w:pPr>
        <w:pStyle w:val="BodyText"/>
        <w:spacing w:before="1"/>
      </w:pPr>
    </w:p>
    <w:p>
      <w:pPr>
        <w:pStyle w:val="ListParagraph"/>
        <w:numPr>
          <w:ilvl w:val="0"/>
          <w:numId w:val="92"/>
        </w:numPr>
        <w:tabs>
          <w:tab w:pos="545" w:val="left" w:leader="none"/>
        </w:tabs>
        <w:spacing w:line="240" w:lineRule="auto" w:before="0" w:after="0"/>
        <w:ind w:left="545" w:right="0" w:hanging="283"/>
        <w:jc w:val="both"/>
        <w:rPr>
          <w:sz w:val="20"/>
        </w:rPr>
      </w:pPr>
      <w:r>
        <w:rPr>
          <w:sz w:val="20"/>
        </w:rPr>
        <w:t>Levantar</w:t>
      </w:r>
      <w:r>
        <w:rPr>
          <w:spacing w:val="-7"/>
          <w:sz w:val="20"/>
        </w:rPr>
        <w:t> </w:t>
      </w:r>
      <w:r>
        <w:rPr>
          <w:sz w:val="20"/>
        </w:rPr>
        <w:t>con</w:t>
      </w:r>
      <w:r>
        <w:rPr>
          <w:spacing w:val="-8"/>
          <w:sz w:val="20"/>
        </w:rPr>
        <w:t> </w:t>
      </w:r>
      <w:r>
        <w:rPr>
          <w:sz w:val="20"/>
        </w:rPr>
        <w:t>apoyo</w:t>
      </w:r>
      <w:r>
        <w:rPr>
          <w:spacing w:val="-5"/>
          <w:sz w:val="20"/>
        </w:rPr>
        <w:t> </w:t>
      </w:r>
      <w:r>
        <w:rPr>
          <w:sz w:val="20"/>
        </w:rPr>
        <w:t>del</w:t>
      </w:r>
      <w:r>
        <w:rPr>
          <w:spacing w:val="-5"/>
          <w:sz w:val="20"/>
        </w:rPr>
        <w:t> </w:t>
      </w:r>
      <w:r>
        <w:rPr>
          <w:sz w:val="20"/>
        </w:rPr>
        <w:t>Secretario</w:t>
      </w:r>
      <w:r>
        <w:rPr>
          <w:spacing w:val="-7"/>
          <w:sz w:val="20"/>
        </w:rPr>
        <w:t> </w:t>
      </w:r>
      <w:r>
        <w:rPr>
          <w:sz w:val="20"/>
        </w:rPr>
        <w:t>Técnico</w:t>
      </w:r>
      <w:r>
        <w:rPr>
          <w:spacing w:val="-7"/>
          <w:sz w:val="20"/>
        </w:rPr>
        <w:t> </w:t>
      </w:r>
      <w:r>
        <w:rPr>
          <w:sz w:val="20"/>
        </w:rPr>
        <w:t>acta</w:t>
      </w:r>
      <w:r>
        <w:rPr>
          <w:spacing w:val="-6"/>
          <w:sz w:val="20"/>
        </w:rPr>
        <w:t> </w:t>
      </w:r>
      <w:r>
        <w:rPr>
          <w:sz w:val="20"/>
        </w:rPr>
        <w:t>de</w:t>
      </w:r>
      <w:r>
        <w:rPr>
          <w:spacing w:val="-5"/>
          <w:sz w:val="20"/>
        </w:rPr>
        <w:t> </w:t>
      </w:r>
      <w:r>
        <w:rPr>
          <w:sz w:val="20"/>
        </w:rPr>
        <w:t>cada</w:t>
      </w:r>
      <w:r>
        <w:rPr>
          <w:spacing w:val="-8"/>
          <w:sz w:val="20"/>
        </w:rPr>
        <w:t> </w:t>
      </w:r>
      <w:r>
        <w:rPr>
          <w:sz w:val="20"/>
        </w:rPr>
        <w:t>sesión</w:t>
      </w:r>
      <w:r>
        <w:rPr>
          <w:spacing w:val="-7"/>
          <w:sz w:val="20"/>
        </w:rPr>
        <w:t> </w:t>
      </w:r>
      <w:r>
        <w:rPr>
          <w:sz w:val="20"/>
        </w:rPr>
        <w:t>que</w:t>
      </w:r>
      <w:r>
        <w:rPr>
          <w:spacing w:val="-7"/>
          <w:sz w:val="20"/>
        </w:rPr>
        <w:t> </w:t>
      </w:r>
      <w:r>
        <w:rPr>
          <w:sz w:val="20"/>
        </w:rPr>
        <w:t>celebre</w:t>
      </w:r>
      <w:r>
        <w:rPr>
          <w:spacing w:val="-5"/>
          <w:sz w:val="20"/>
        </w:rPr>
        <w:t> </w:t>
      </w:r>
      <w:r>
        <w:rPr>
          <w:sz w:val="20"/>
        </w:rPr>
        <w:t>la</w:t>
      </w:r>
      <w:r>
        <w:rPr>
          <w:spacing w:val="-5"/>
          <w:sz w:val="20"/>
        </w:rPr>
        <w:t> </w:t>
      </w:r>
      <w:r>
        <w:rPr>
          <w:sz w:val="20"/>
        </w:rPr>
        <w:t>CADROC,</w:t>
      </w:r>
      <w:r>
        <w:rPr>
          <w:spacing w:val="-7"/>
          <w:sz w:val="20"/>
        </w:rPr>
        <w:t> </w:t>
      </w:r>
      <w:r>
        <w:rPr>
          <w:spacing w:val="-10"/>
          <w:sz w:val="20"/>
        </w:rPr>
        <w:t>y</w:t>
      </w:r>
    </w:p>
    <w:p>
      <w:pPr>
        <w:pStyle w:val="ListParagraph"/>
        <w:numPr>
          <w:ilvl w:val="0"/>
          <w:numId w:val="92"/>
        </w:numPr>
        <w:tabs>
          <w:tab w:pos="544" w:val="left" w:leader="none"/>
        </w:tabs>
        <w:spacing w:line="240" w:lineRule="auto" w:before="229" w:after="0"/>
        <w:ind w:left="544" w:right="0" w:hanging="282"/>
        <w:jc w:val="both"/>
        <w:rPr>
          <w:sz w:val="20"/>
        </w:rPr>
      </w:pPr>
      <w:r>
        <w:rPr>
          <w:sz w:val="20"/>
        </w:rPr>
        <w:t>Ejercer</w:t>
      </w:r>
      <w:r>
        <w:rPr>
          <w:spacing w:val="-6"/>
          <w:sz w:val="20"/>
        </w:rPr>
        <w:t> </w:t>
      </w:r>
      <w:r>
        <w:rPr>
          <w:sz w:val="20"/>
        </w:rPr>
        <w:t>voto</w:t>
      </w:r>
      <w:r>
        <w:rPr>
          <w:spacing w:val="-7"/>
          <w:sz w:val="20"/>
        </w:rPr>
        <w:t> </w:t>
      </w:r>
      <w:r>
        <w:rPr>
          <w:sz w:val="20"/>
        </w:rPr>
        <w:t>de</w:t>
      </w:r>
      <w:r>
        <w:rPr>
          <w:spacing w:val="-5"/>
          <w:sz w:val="20"/>
        </w:rPr>
        <w:t> </w:t>
      </w:r>
      <w:r>
        <w:rPr>
          <w:sz w:val="20"/>
        </w:rPr>
        <w:t>calidad</w:t>
      </w:r>
      <w:r>
        <w:rPr>
          <w:spacing w:val="-6"/>
          <w:sz w:val="20"/>
        </w:rPr>
        <w:t> </w:t>
      </w:r>
      <w:r>
        <w:rPr>
          <w:sz w:val="20"/>
        </w:rPr>
        <w:t>en</w:t>
      </w:r>
      <w:r>
        <w:rPr>
          <w:spacing w:val="-4"/>
          <w:sz w:val="20"/>
        </w:rPr>
        <w:t> </w:t>
      </w:r>
      <w:r>
        <w:rPr>
          <w:sz w:val="20"/>
        </w:rPr>
        <w:t>caso</w:t>
      </w:r>
      <w:r>
        <w:rPr>
          <w:spacing w:val="-5"/>
          <w:sz w:val="20"/>
        </w:rPr>
        <w:t> </w:t>
      </w:r>
      <w:r>
        <w:rPr>
          <w:sz w:val="20"/>
        </w:rPr>
        <w:t>de</w:t>
      </w:r>
      <w:r>
        <w:rPr>
          <w:spacing w:val="-6"/>
          <w:sz w:val="20"/>
        </w:rPr>
        <w:t> </w:t>
      </w:r>
      <w:r>
        <w:rPr>
          <w:sz w:val="20"/>
        </w:rPr>
        <w:t>empate</w:t>
      </w:r>
      <w:r>
        <w:rPr>
          <w:spacing w:val="-4"/>
          <w:sz w:val="20"/>
        </w:rPr>
        <w:t> </w:t>
      </w:r>
      <w:r>
        <w:rPr>
          <w:sz w:val="20"/>
        </w:rPr>
        <w:t>en</w:t>
      </w:r>
      <w:r>
        <w:rPr>
          <w:spacing w:val="-5"/>
          <w:sz w:val="20"/>
        </w:rPr>
        <w:t> </w:t>
      </w:r>
      <w:r>
        <w:rPr>
          <w:sz w:val="20"/>
        </w:rPr>
        <w:t>las</w:t>
      </w:r>
      <w:r>
        <w:rPr>
          <w:spacing w:val="-5"/>
          <w:sz w:val="20"/>
        </w:rPr>
        <w:t> </w:t>
      </w:r>
      <w:r>
        <w:rPr>
          <w:sz w:val="20"/>
        </w:rPr>
        <w:t>votaciones</w:t>
      </w:r>
      <w:r>
        <w:rPr>
          <w:spacing w:val="-4"/>
          <w:sz w:val="20"/>
        </w:rPr>
        <w:t> </w:t>
      </w:r>
      <w:r>
        <w:rPr>
          <w:sz w:val="20"/>
        </w:rPr>
        <w:t>de</w:t>
      </w:r>
      <w:r>
        <w:rPr>
          <w:spacing w:val="-6"/>
          <w:sz w:val="20"/>
        </w:rPr>
        <w:t> </w:t>
      </w:r>
      <w:r>
        <w:rPr>
          <w:sz w:val="20"/>
        </w:rPr>
        <w:t>los</w:t>
      </w:r>
      <w:r>
        <w:rPr>
          <w:spacing w:val="-5"/>
          <w:sz w:val="20"/>
        </w:rPr>
        <w:t> </w:t>
      </w:r>
      <w:r>
        <w:rPr>
          <w:sz w:val="20"/>
        </w:rPr>
        <w:t>acuerdos</w:t>
      </w:r>
      <w:r>
        <w:rPr>
          <w:spacing w:val="-4"/>
          <w:sz w:val="20"/>
        </w:rPr>
        <w:t> </w:t>
      </w:r>
      <w:r>
        <w:rPr>
          <w:sz w:val="20"/>
        </w:rPr>
        <w:t>de</w:t>
      </w:r>
      <w:r>
        <w:rPr>
          <w:spacing w:val="-5"/>
          <w:sz w:val="20"/>
        </w:rPr>
        <w:t> </w:t>
      </w:r>
      <w:r>
        <w:rPr>
          <w:sz w:val="20"/>
        </w:rPr>
        <w:t>la</w:t>
      </w:r>
      <w:r>
        <w:rPr>
          <w:spacing w:val="-6"/>
          <w:sz w:val="20"/>
        </w:rPr>
        <w:t> </w:t>
      </w:r>
      <w:r>
        <w:rPr>
          <w:spacing w:val="-2"/>
          <w:sz w:val="20"/>
        </w:rPr>
        <w:t>CADROC.</w:t>
      </w:r>
    </w:p>
    <w:p>
      <w:pPr>
        <w:pStyle w:val="BodyText"/>
      </w:pPr>
    </w:p>
    <w:p>
      <w:pPr>
        <w:pStyle w:val="BodyText"/>
        <w:ind w:left="262" w:right="282"/>
      </w:pPr>
      <w:r>
        <w:rPr>
          <w:rFonts w:ascii="Arial" w:hAnsi="Arial"/>
          <w:b/>
        </w:rPr>
        <w:t>ARTÍCULO 250. </w:t>
      </w:r>
      <w:r>
        <w:rPr/>
        <w:t>La CADROC otorgará la acreditación para fungir como Director Responsable de Obra o Corresponsable a quien cumpla con los siguientes requisitos:</w:t>
      </w:r>
    </w:p>
    <w:p>
      <w:pPr>
        <w:pStyle w:val="BodyText"/>
        <w:spacing w:before="2"/>
      </w:pPr>
    </w:p>
    <w:p>
      <w:pPr>
        <w:pStyle w:val="ListParagraph"/>
        <w:numPr>
          <w:ilvl w:val="0"/>
          <w:numId w:val="93"/>
        </w:numPr>
        <w:tabs>
          <w:tab w:pos="688" w:val="left" w:leader="none"/>
        </w:tabs>
        <w:spacing w:line="240" w:lineRule="auto" w:before="0" w:after="0"/>
        <w:ind w:left="688" w:right="0" w:hanging="426"/>
        <w:jc w:val="both"/>
        <w:rPr>
          <w:sz w:val="20"/>
        </w:rPr>
      </w:pPr>
      <w:r>
        <w:rPr>
          <w:sz w:val="20"/>
        </w:rPr>
        <w:t>Ser</w:t>
      </w:r>
      <w:r>
        <w:rPr>
          <w:spacing w:val="-8"/>
          <w:sz w:val="20"/>
        </w:rPr>
        <w:t> </w:t>
      </w:r>
      <w:r>
        <w:rPr>
          <w:sz w:val="20"/>
        </w:rPr>
        <w:t>ciudadano</w:t>
      </w:r>
      <w:r>
        <w:rPr>
          <w:spacing w:val="-5"/>
          <w:sz w:val="20"/>
        </w:rPr>
        <w:t> </w:t>
      </w:r>
      <w:r>
        <w:rPr>
          <w:sz w:val="20"/>
        </w:rPr>
        <w:t>mexicano</w:t>
      </w:r>
      <w:r>
        <w:rPr>
          <w:spacing w:val="-6"/>
          <w:sz w:val="20"/>
        </w:rPr>
        <w:t> </w:t>
      </w:r>
      <w:r>
        <w:rPr>
          <w:sz w:val="20"/>
        </w:rPr>
        <w:t>en</w:t>
      </w:r>
      <w:r>
        <w:rPr>
          <w:spacing w:val="-7"/>
          <w:sz w:val="20"/>
        </w:rPr>
        <w:t> </w:t>
      </w:r>
      <w:r>
        <w:rPr>
          <w:sz w:val="20"/>
        </w:rPr>
        <w:t>pleno</w:t>
      </w:r>
      <w:r>
        <w:rPr>
          <w:spacing w:val="-6"/>
          <w:sz w:val="20"/>
        </w:rPr>
        <w:t> </w:t>
      </w:r>
      <w:r>
        <w:rPr>
          <w:sz w:val="20"/>
        </w:rPr>
        <w:t>ejercicio</w:t>
      </w:r>
      <w:r>
        <w:rPr>
          <w:spacing w:val="-5"/>
          <w:sz w:val="20"/>
        </w:rPr>
        <w:t> </w:t>
      </w:r>
      <w:r>
        <w:rPr>
          <w:sz w:val="20"/>
        </w:rPr>
        <w:t>de</w:t>
      </w:r>
      <w:r>
        <w:rPr>
          <w:spacing w:val="-9"/>
          <w:sz w:val="20"/>
        </w:rPr>
        <w:t> </w:t>
      </w:r>
      <w:r>
        <w:rPr>
          <w:sz w:val="20"/>
        </w:rPr>
        <w:t>sus</w:t>
      </w:r>
      <w:r>
        <w:rPr>
          <w:spacing w:val="-6"/>
          <w:sz w:val="20"/>
        </w:rPr>
        <w:t> </w:t>
      </w:r>
      <w:r>
        <w:rPr>
          <w:spacing w:val="-2"/>
          <w:sz w:val="20"/>
        </w:rPr>
        <w:t>derechos;</w:t>
      </w:r>
    </w:p>
    <w:p>
      <w:pPr>
        <w:pStyle w:val="ListParagraph"/>
        <w:numPr>
          <w:ilvl w:val="0"/>
          <w:numId w:val="93"/>
        </w:numPr>
        <w:tabs>
          <w:tab w:pos="686" w:val="left" w:leader="none"/>
        </w:tabs>
        <w:spacing w:line="240" w:lineRule="auto" w:before="228" w:after="0"/>
        <w:ind w:left="262" w:right="280" w:firstLine="0"/>
        <w:jc w:val="both"/>
        <w:rPr>
          <w:sz w:val="20"/>
        </w:rPr>
      </w:pPr>
      <w:r>
        <w:rPr>
          <w:sz w:val="20"/>
        </w:rPr>
        <w:t>Tener título profesional de ingeniero civil; arquitecto; ingeniero en las ramas afines, o licenciatura en edificación y administración de obras, expedido y registrado por autoridad competente, que lo faculte para ejercer la ciencia o disciplina de que se trate. Se deberá acreditar probada experiencia en el ramo, avalada por un Colegio;</w:t>
      </w:r>
    </w:p>
    <w:p>
      <w:pPr>
        <w:pStyle w:val="BodyText"/>
      </w:pPr>
    </w:p>
    <w:p>
      <w:pPr>
        <w:pStyle w:val="ListParagraph"/>
        <w:numPr>
          <w:ilvl w:val="0"/>
          <w:numId w:val="93"/>
        </w:numPr>
        <w:tabs>
          <w:tab w:pos="741" w:val="left" w:leader="none"/>
        </w:tabs>
        <w:spacing w:line="240" w:lineRule="auto" w:before="0" w:after="0"/>
        <w:ind w:left="262" w:right="285" w:firstLine="0"/>
        <w:jc w:val="both"/>
        <w:rPr>
          <w:sz w:val="20"/>
        </w:rPr>
      </w:pPr>
      <w:r>
        <w:rPr>
          <w:sz w:val="20"/>
        </w:rPr>
        <w:t>Poseer cédula profesional expedida por la Dirección General de Profesiones dependiente de la Secretaría de Educación Pública;</w:t>
      </w:r>
    </w:p>
    <w:p>
      <w:pPr>
        <w:pStyle w:val="BodyText"/>
        <w:spacing w:before="2"/>
      </w:pPr>
    </w:p>
    <w:p>
      <w:pPr>
        <w:pStyle w:val="ListParagraph"/>
        <w:numPr>
          <w:ilvl w:val="0"/>
          <w:numId w:val="93"/>
        </w:numPr>
        <w:tabs>
          <w:tab w:pos="688" w:val="left" w:leader="none"/>
        </w:tabs>
        <w:spacing w:line="240" w:lineRule="auto" w:before="0" w:after="0"/>
        <w:ind w:left="262" w:right="284" w:firstLine="0"/>
        <w:jc w:val="both"/>
        <w:rPr>
          <w:sz w:val="20"/>
        </w:rPr>
      </w:pPr>
      <w:r>
        <w:rPr>
          <w:sz w:val="20"/>
        </w:rPr>
        <w:t>Comprobar el ejercicio actual de su profesión con una antigüedad mínima de cinco años de </w:t>
      </w:r>
      <w:r>
        <w:rPr>
          <w:spacing w:val="-2"/>
          <w:sz w:val="20"/>
        </w:rPr>
        <w:t>práctica;</w:t>
      </w:r>
    </w:p>
    <w:p>
      <w:pPr>
        <w:pStyle w:val="ListParagraph"/>
        <w:numPr>
          <w:ilvl w:val="0"/>
          <w:numId w:val="93"/>
        </w:numPr>
        <w:tabs>
          <w:tab w:pos="688" w:val="left" w:leader="none"/>
        </w:tabs>
        <w:spacing w:line="240" w:lineRule="auto" w:before="229" w:after="0"/>
        <w:ind w:left="688" w:right="0" w:hanging="426"/>
        <w:jc w:val="both"/>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03</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4"/>
          <w:sz w:val="20"/>
        </w:rPr>
        <w:t>2019)</w:t>
      </w:r>
    </w:p>
    <w:p>
      <w:pPr>
        <w:pStyle w:val="BodyText"/>
        <w:rPr>
          <w:rFonts w:ascii="Arial"/>
          <w:i/>
        </w:rPr>
      </w:pPr>
    </w:p>
    <w:p>
      <w:pPr>
        <w:pStyle w:val="ListParagraph"/>
        <w:numPr>
          <w:ilvl w:val="0"/>
          <w:numId w:val="93"/>
        </w:numPr>
        <w:tabs>
          <w:tab w:pos="688" w:val="left" w:leader="none"/>
        </w:tabs>
        <w:spacing w:line="240" w:lineRule="auto" w:before="0" w:after="0"/>
        <w:ind w:left="262" w:right="286" w:firstLine="0"/>
        <w:jc w:val="both"/>
        <w:rPr>
          <w:sz w:val="20"/>
        </w:rPr>
      </w:pPr>
      <w:r>
        <w:rPr>
          <w:sz w:val="20"/>
        </w:rPr>
        <w:t>Tener una residencia efectiva en el Estado no menor de tres años inmediatos anteriores a la fecha de la solicitud,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93"/>
        </w:numPr>
        <w:tabs>
          <w:tab w:pos="688" w:val="left" w:leader="none"/>
        </w:tabs>
        <w:spacing w:line="240" w:lineRule="auto" w:before="0" w:after="0"/>
        <w:ind w:left="262" w:right="275" w:firstLine="0"/>
        <w:jc w:val="both"/>
        <w:rPr>
          <w:sz w:val="20"/>
        </w:rPr>
      </w:pPr>
      <w:r>
        <w:rPr>
          <w:sz w:val="20"/>
        </w:rPr>
        <w:t>Contar con la certificación expedida por la Subcomisión de Certificación de la CADROC, que podrá obtenerse por comprobación de tiempo de capacitación sobre los Programas de Ordenamiento Territorial y Desarrollo Urbano, normatividad aplicable, procesos constructivos, resiliencia urbana, y demás cursos de actualización en la materia, de conformidad con las disposiciones de esta Ley.</w:t>
      </w:r>
    </w:p>
    <w:p>
      <w:pPr>
        <w:pStyle w:val="BodyText"/>
      </w:pPr>
    </w:p>
    <w:p>
      <w:pPr>
        <w:pStyle w:val="BodyText"/>
        <w:ind w:left="262" w:right="278"/>
        <w:jc w:val="both"/>
      </w:pPr>
      <w:r>
        <w:rPr>
          <w:rFonts w:ascii="Arial" w:hAnsi="Arial"/>
          <w:b/>
        </w:rPr>
        <w:t>ARTÍCULO 251</w:t>
      </w:r>
      <w:r>
        <w:rPr/>
        <w:t>. La CADROC otorgará su acreditación de manera automática a aquellos profesionistas que pretendan obtener su acreditación como Corresponsables, si cuentan con Registro de Perito Dictaminador expedido por el Registro Estatal de Peritos en la materia para la cual soliciten registro ante la autoridad municipal.</w:t>
      </w:r>
    </w:p>
    <w:p>
      <w:pPr>
        <w:pStyle w:val="BodyText"/>
        <w:spacing w:before="1"/>
      </w:pPr>
    </w:p>
    <w:p>
      <w:pPr>
        <w:pStyle w:val="BodyText"/>
        <w:ind w:left="262" w:right="275"/>
        <w:jc w:val="both"/>
      </w:pPr>
      <w:r>
        <w:rPr>
          <w:rFonts w:ascii="Arial" w:hAnsi="Arial"/>
          <w:b/>
        </w:rPr>
        <w:t>ARTÍCULO</w:t>
      </w:r>
      <w:r>
        <w:rPr>
          <w:rFonts w:ascii="Arial" w:hAnsi="Arial"/>
          <w:b/>
          <w:spacing w:val="-4"/>
        </w:rPr>
        <w:t> </w:t>
      </w:r>
      <w:r>
        <w:rPr>
          <w:rFonts w:ascii="Arial" w:hAnsi="Arial"/>
          <w:b/>
        </w:rPr>
        <w:t>252.</w:t>
      </w:r>
      <w:r>
        <w:rPr>
          <w:rFonts w:ascii="Arial" w:hAnsi="Arial"/>
          <w:b/>
          <w:spacing w:val="-3"/>
        </w:rPr>
        <w:t> </w:t>
      </w:r>
      <w:r>
        <w:rPr/>
        <w:t>El</w:t>
      </w:r>
      <w:r>
        <w:rPr>
          <w:spacing w:val="-4"/>
        </w:rPr>
        <w:t> </w:t>
      </w:r>
      <w:r>
        <w:rPr/>
        <w:t>Padrón</w:t>
      </w:r>
      <w:r>
        <w:rPr>
          <w:spacing w:val="-3"/>
        </w:rPr>
        <w:t> </w:t>
      </w:r>
      <w:r>
        <w:rPr/>
        <w:t>Estatal</w:t>
      </w:r>
      <w:r>
        <w:rPr>
          <w:spacing w:val="-4"/>
        </w:rPr>
        <w:t> </w:t>
      </w:r>
      <w:r>
        <w:rPr/>
        <w:t>de</w:t>
      </w:r>
      <w:r>
        <w:rPr>
          <w:spacing w:val="-4"/>
        </w:rPr>
        <w:t> </w:t>
      </w:r>
      <w:r>
        <w:rPr/>
        <w:t>Directores</w:t>
      </w:r>
      <w:r>
        <w:rPr>
          <w:spacing w:val="-2"/>
        </w:rPr>
        <w:t> </w:t>
      </w:r>
      <w:r>
        <w:rPr/>
        <w:t>Responsables</w:t>
      </w:r>
      <w:r>
        <w:rPr>
          <w:spacing w:val="-4"/>
        </w:rPr>
        <w:t> </w:t>
      </w:r>
      <w:r>
        <w:rPr/>
        <w:t>de</w:t>
      </w:r>
      <w:r>
        <w:rPr>
          <w:spacing w:val="-5"/>
        </w:rPr>
        <w:t> </w:t>
      </w:r>
      <w:r>
        <w:rPr/>
        <w:t>Obra</w:t>
      </w:r>
      <w:r>
        <w:rPr>
          <w:spacing w:val="-5"/>
        </w:rPr>
        <w:t> </w:t>
      </w:r>
      <w:r>
        <w:rPr/>
        <w:t>y</w:t>
      </w:r>
      <w:r>
        <w:rPr>
          <w:spacing w:val="-2"/>
        </w:rPr>
        <w:t> </w:t>
      </w:r>
      <w:r>
        <w:rPr/>
        <w:t>Corresponsables,</w:t>
      </w:r>
      <w:r>
        <w:rPr>
          <w:spacing w:val="-3"/>
        </w:rPr>
        <w:t> </w:t>
      </w:r>
      <w:r>
        <w:rPr/>
        <w:t>estará a cargo de la CADROC y tendrá por objeto integrar la información de las acreditaciones otorgadas por la misma a los nuevos Directores Responsables de Obra o Corresponsables, para efectos de dar a conocer dicha información en el orden estatal, para su consulta pública a través del sitio web de la Secretaría. La CADROC, emitirá los lineamientos que determinen la información que deba </w:t>
      </w:r>
      <w:r>
        <w:rPr>
          <w:spacing w:val="-2"/>
        </w:rPr>
        <w:t>publicarse.</w:t>
      </w:r>
    </w:p>
    <w:p>
      <w:pPr>
        <w:pStyle w:val="BodyText"/>
      </w:pPr>
    </w:p>
    <w:p>
      <w:pPr>
        <w:pStyle w:val="BodyText"/>
        <w:spacing w:before="1"/>
      </w:pPr>
    </w:p>
    <w:p>
      <w:pPr>
        <w:pStyle w:val="Heading2"/>
      </w:pPr>
      <w:r>
        <w:rPr/>
        <w:t>Sección</w:t>
      </w:r>
      <w:r>
        <w:rPr>
          <w:spacing w:val="-9"/>
        </w:rPr>
        <w:t> </w:t>
      </w:r>
      <w:r>
        <w:rPr>
          <w:spacing w:val="-2"/>
        </w:rPr>
        <w:t>Tercera</w:t>
      </w:r>
    </w:p>
    <w:p>
      <w:pPr>
        <w:spacing w:before="228"/>
        <w:ind w:left="148" w:right="170" w:firstLine="0"/>
        <w:jc w:val="center"/>
        <w:rPr>
          <w:rFonts w:ascii="Arial" w:hAnsi="Arial"/>
          <w:b/>
          <w:sz w:val="20"/>
        </w:rPr>
      </w:pPr>
      <w:r>
        <w:rPr>
          <w:rFonts w:ascii="Arial" w:hAnsi="Arial"/>
          <w:b/>
          <w:sz w:val="20"/>
        </w:rPr>
        <w:t>Inscripción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Directores</w:t>
      </w:r>
      <w:r>
        <w:rPr>
          <w:rFonts w:ascii="Arial" w:hAnsi="Arial"/>
          <w:b/>
          <w:spacing w:val="-4"/>
          <w:sz w:val="20"/>
        </w:rPr>
        <w:t> </w:t>
      </w:r>
      <w:r>
        <w:rPr>
          <w:rFonts w:ascii="Arial" w:hAnsi="Arial"/>
          <w:b/>
          <w:sz w:val="20"/>
        </w:rPr>
        <w:t>Responsables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Obra</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Corresponsables</w:t>
      </w:r>
      <w:r>
        <w:rPr>
          <w:rFonts w:ascii="Arial" w:hAnsi="Arial"/>
          <w:b/>
          <w:spacing w:val="-6"/>
          <w:sz w:val="20"/>
        </w:rPr>
        <w:t> </w:t>
      </w:r>
      <w:r>
        <w:rPr>
          <w:rFonts w:ascii="Arial" w:hAnsi="Arial"/>
          <w:b/>
          <w:sz w:val="20"/>
        </w:rPr>
        <w:t>en</w:t>
      </w:r>
      <w:r>
        <w:rPr>
          <w:rFonts w:ascii="Arial" w:hAnsi="Arial"/>
          <w:b/>
          <w:spacing w:val="-3"/>
          <w:sz w:val="20"/>
        </w:rPr>
        <w:t> </w:t>
      </w:r>
      <w:r>
        <w:rPr>
          <w:rFonts w:ascii="Arial" w:hAnsi="Arial"/>
          <w:b/>
          <w:sz w:val="20"/>
        </w:rPr>
        <w:t>los</w:t>
      </w:r>
      <w:r>
        <w:rPr>
          <w:rFonts w:ascii="Arial" w:hAnsi="Arial"/>
          <w:b/>
          <w:spacing w:val="-4"/>
          <w:sz w:val="20"/>
        </w:rPr>
        <w:t> </w:t>
      </w:r>
      <w:r>
        <w:rPr>
          <w:rFonts w:ascii="Arial" w:hAnsi="Arial"/>
          <w:b/>
          <w:sz w:val="20"/>
        </w:rPr>
        <w:t>Registros </w:t>
      </w:r>
      <w:r>
        <w:rPr>
          <w:rFonts w:ascii="Arial" w:hAnsi="Arial"/>
          <w:b/>
          <w:spacing w:val="-2"/>
          <w:sz w:val="20"/>
        </w:rPr>
        <w:t>Municipales</w:t>
      </w:r>
    </w:p>
    <w:p>
      <w:pPr>
        <w:pStyle w:val="BodyText"/>
        <w:spacing w:before="2"/>
        <w:rPr>
          <w:rFonts w:ascii="Arial"/>
          <w:b/>
        </w:rPr>
      </w:pPr>
    </w:p>
    <w:p>
      <w:pPr>
        <w:pStyle w:val="BodyText"/>
        <w:ind w:left="262" w:right="275"/>
        <w:jc w:val="both"/>
      </w:pPr>
      <w:r>
        <w:rPr>
          <w:rFonts w:ascii="Arial" w:hAnsi="Arial"/>
          <w:b/>
        </w:rPr>
        <w:t>ARTÍCULO 253. </w:t>
      </w:r>
      <w:r>
        <w:rPr/>
        <w:t>La calidad de nuevos Directores Responsables de Obra y en su caso de Corresponsables, se adquiere con la acreditación expedida por la CADROC y la inscripción en el Registro de Directores Responsables de Obra y Corresponsables de cada Municipio, a través del procedimiento y cumplimiento de los requisitos que establece esta Ley, y deberá refrendarse cada año ante el municipio correspondiente.</w:t>
      </w:r>
    </w:p>
    <w:p>
      <w:pPr>
        <w:pStyle w:val="BodyText"/>
      </w:pPr>
    </w:p>
    <w:p>
      <w:pPr>
        <w:pStyle w:val="BodyText"/>
        <w:ind w:left="262" w:right="285"/>
        <w:jc w:val="both"/>
      </w:pPr>
      <w:r>
        <w:rPr>
          <w:rFonts w:ascii="Arial" w:hAnsi="Arial"/>
          <w:b/>
        </w:rPr>
        <w:t>ARTÍCULO 254. </w:t>
      </w:r>
      <w:r>
        <w:rPr/>
        <w:t>Como único requisito para inscribir a quienes soliciten su registro como nuevos Directores</w:t>
      </w:r>
      <w:r>
        <w:rPr>
          <w:spacing w:val="-7"/>
        </w:rPr>
        <w:t> </w:t>
      </w:r>
      <w:r>
        <w:rPr/>
        <w:t>Responsables</w:t>
      </w:r>
      <w:r>
        <w:rPr>
          <w:spacing w:val="-8"/>
        </w:rPr>
        <w:t> </w:t>
      </w:r>
      <w:r>
        <w:rPr/>
        <w:t>de</w:t>
      </w:r>
      <w:r>
        <w:rPr>
          <w:spacing w:val="-8"/>
        </w:rPr>
        <w:t> </w:t>
      </w:r>
      <w:r>
        <w:rPr/>
        <w:t>Obra</w:t>
      </w:r>
      <w:r>
        <w:rPr>
          <w:spacing w:val="-8"/>
        </w:rPr>
        <w:t> </w:t>
      </w:r>
      <w:r>
        <w:rPr/>
        <w:t>o</w:t>
      </w:r>
      <w:r>
        <w:rPr>
          <w:spacing w:val="-8"/>
        </w:rPr>
        <w:t> </w:t>
      </w:r>
      <w:r>
        <w:rPr/>
        <w:t>Corresponsables,</w:t>
      </w:r>
      <w:r>
        <w:rPr>
          <w:spacing w:val="-6"/>
        </w:rPr>
        <w:t> </w:t>
      </w:r>
      <w:r>
        <w:rPr/>
        <w:t>la</w:t>
      </w:r>
      <w:r>
        <w:rPr>
          <w:spacing w:val="-8"/>
        </w:rPr>
        <w:t> </w:t>
      </w:r>
      <w:r>
        <w:rPr/>
        <w:t>Dirección</w:t>
      </w:r>
      <w:r>
        <w:rPr>
          <w:spacing w:val="-7"/>
        </w:rPr>
        <w:t> </w:t>
      </w:r>
      <w:r>
        <w:rPr/>
        <w:t>municipal</w:t>
      </w:r>
      <w:r>
        <w:rPr>
          <w:spacing w:val="-9"/>
        </w:rPr>
        <w:t> </w:t>
      </w:r>
      <w:r>
        <w:rPr/>
        <w:t>respectiva,</w:t>
      </w:r>
      <w:r>
        <w:rPr>
          <w:spacing w:val="-8"/>
        </w:rPr>
        <w:t> </w:t>
      </w:r>
      <w:r>
        <w:rPr/>
        <w:t>requerirá</w:t>
      </w:r>
      <w:r>
        <w:rPr>
          <w:spacing w:val="-4"/>
        </w:rPr>
        <w:t> </w:t>
      </w:r>
      <w:r>
        <w:rPr/>
        <w:t>a los mismos la acreditación expedida por la CADROC.</w:t>
      </w:r>
    </w:p>
    <w:p>
      <w:pPr>
        <w:pStyle w:val="BodyText"/>
        <w:spacing w:before="229"/>
        <w:ind w:left="262" w:right="286"/>
        <w:jc w:val="both"/>
      </w:pPr>
      <w:r>
        <w:rPr/>
        <w:t>En su caso, cuando lo considere necesario, la Dirección municipal podrá solicitar a la CADROC, copia certificada por el Secretario Técnico de dicha Comisión, del expediente de acreditación del solicitante de que se trate.</w:t>
      </w:r>
    </w:p>
    <w:p>
      <w:pPr>
        <w:pStyle w:val="BodyText"/>
        <w:spacing w:before="2"/>
      </w:pPr>
    </w:p>
    <w:p>
      <w:pPr>
        <w:pStyle w:val="BodyText"/>
        <w:ind w:left="262" w:right="288"/>
        <w:jc w:val="both"/>
      </w:pPr>
      <w:r>
        <w:rPr>
          <w:rFonts w:ascii="Arial" w:hAnsi="Arial"/>
          <w:b/>
        </w:rPr>
        <w:t>ARTÍCULO 255. </w:t>
      </w:r>
      <w:r>
        <w:rPr/>
        <w:t>No se concederán licencias o autorizaciones para nuevas obras a los Directores Responsables de</w:t>
      </w:r>
      <w:r>
        <w:rPr>
          <w:spacing w:val="-3"/>
        </w:rPr>
        <w:t> </w:t>
      </w:r>
      <w:r>
        <w:rPr/>
        <w:t>Obra</w:t>
      </w:r>
      <w:r>
        <w:rPr>
          <w:spacing w:val="-2"/>
        </w:rPr>
        <w:t> </w:t>
      </w:r>
      <w:r>
        <w:rPr/>
        <w:t>y</w:t>
      </w:r>
      <w:r>
        <w:rPr>
          <w:spacing w:val="-1"/>
        </w:rPr>
        <w:t> </w:t>
      </w:r>
      <w:r>
        <w:rPr/>
        <w:t>Corresponsables, mientras</w:t>
      </w:r>
      <w:r>
        <w:rPr>
          <w:spacing w:val="-1"/>
        </w:rPr>
        <w:t> </w:t>
      </w:r>
      <w:r>
        <w:rPr/>
        <w:t>no</w:t>
      </w:r>
      <w:r>
        <w:rPr>
          <w:spacing w:val="-2"/>
        </w:rPr>
        <w:t> </w:t>
      </w:r>
      <w:r>
        <w:rPr/>
        <w:t>subsanen las</w:t>
      </w:r>
      <w:r>
        <w:rPr>
          <w:spacing w:val="-1"/>
        </w:rPr>
        <w:t> </w:t>
      </w:r>
      <w:r>
        <w:rPr/>
        <w:t>omisiones</w:t>
      </w:r>
      <w:r>
        <w:rPr>
          <w:spacing w:val="-1"/>
        </w:rPr>
        <w:t> </w:t>
      </w:r>
      <w:r>
        <w:rPr/>
        <w:t>de</w:t>
      </w:r>
      <w:r>
        <w:rPr>
          <w:spacing w:val="-3"/>
        </w:rPr>
        <w:t> </w:t>
      </w:r>
      <w:r>
        <w:rPr/>
        <w:t>que</w:t>
      </w:r>
      <w:r>
        <w:rPr>
          <w:spacing w:val="-3"/>
        </w:rPr>
        <w:t> </w:t>
      </w:r>
      <w:r>
        <w:rPr/>
        <w:t>se trata en los siguientes casos:</w:t>
      </w:r>
    </w:p>
    <w:p>
      <w:pPr>
        <w:pStyle w:val="BodyText"/>
      </w:pPr>
    </w:p>
    <w:p>
      <w:pPr>
        <w:pStyle w:val="ListParagraph"/>
        <w:numPr>
          <w:ilvl w:val="0"/>
          <w:numId w:val="94"/>
        </w:numPr>
        <w:tabs>
          <w:tab w:pos="688" w:val="left" w:leader="none"/>
        </w:tabs>
        <w:spacing w:line="240" w:lineRule="auto" w:before="0" w:after="0"/>
        <w:ind w:left="688" w:right="0" w:hanging="426"/>
        <w:jc w:val="both"/>
        <w:rPr>
          <w:sz w:val="20"/>
        </w:rPr>
      </w:pPr>
      <w:r>
        <w:rPr>
          <w:sz w:val="20"/>
        </w:rPr>
        <w:t>No</w:t>
      </w:r>
      <w:r>
        <w:rPr>
          <w:spacing w:val="-7"/>
          <w:sz w:val="20"/>
        </w:rPr>
        <w:t> </w:t>
      </w:r>
      <w:r>
        <w:rPr>
          <w:sz w:val="20"/>
        </w:rPr>
        <w:t>refrendar</w:t>
      </w:r>
      <w:r>
        <w:rPr>
          <w:spacing w:val="-6"/>
          <w:sz w:val="20"/>
        </w:rPr>
        <w:t> </w:t>
      </w:r>
      <w:r>
        <w:rPr>
          <w:sz w:val="20"/>
        </w:rPr>
        <w:t>su</w:t>
      </w:r>
      <w:r>
        <w:rPr>
          <w:spacing w:val="-7"/>
          <w:sz w:val="20"/>
        </w:rPr>
        <w:t> </w:t>
      </w:r>
      <w:r>
        <w:rPr>
          <w:sz w:val="20"/>
        </w:rPr>
        <w:t>Registro</w:t>
      </w:r>
      <w:r>
        <w:rPr>
          <w:spacing w:val="-7"/>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establecidos</w:t>
      </w:r>
      <w:r>
        <w:rPr>
          <w:spacing w:val="-6"/>
          <w:sz w:val="20"/>
        </w:rPr>
        <w:t> </w:t>
      </w:r>
      <w:r>
        <w:rPr>
          <w:sz w:val="20"/>
        </w:rPr>
        <w:t>en</w:t>
      </w:r>
      <w:r>
        <w:rPr>
          <w:spacing w:val="-8"/>
          <w:sz w:val="20"/>
        </w:rPr>
        <w:t> </w:t>
      </w:r>
      <w:r>
        <w:rPr>
          <w:sz w:val="20"/>
        </w:rPr>
        <w:t>esta</w:t>
      </w:r>
      <w:r>
        <w:rPr>
          <w:spacing w:val="-6"/>
          <w:sz w:val="20"/>
        </w:rPr>
        <w:t> </w:t>
      </w:r>
      <w:r>
        <w:rPr>
          <w:spacing w:val="-4"/>
          <w:sz w:val="20"/>
        </w:rPr>
        <w:t>Ley;</w:t>
      </w:r>
    </w:p>
    <w:p>
      <w:pPr>
        <w:pStyle w:val="ListParagraph"/>
        <w:numPr>
          <w:ilvl w:val="0"/>
          <w:numId w:val="94"/>
        </w:numPr>
        <w:tabs>
          <w:tab w:pos="686" w:val="left" w:leader="none"/>
        </w:tabs>
        <w:spacing w:line="240" w:lineRule="auto" w:before="228" w:after="0"/>
        <w:ind w:left="686" w:right="0" w:hanging="424"/>
        <w:jc w:val="both"/>
        <w:rPr>
          <w:sz w:val="20"/>
        </w:rPr>
      </w:pPr>
      <w:r>
        <w:rPr>
          <w:sz w:val="20"/>
        </w:rPr>
        <w:t>No</w:t>
      </w:r>
      <w:r>
        <w:rPr>
          <w:spacing w:val="-7"/>
          <w:sz w:val="20"/>
        </w:rPr>
        <w:t> </w:t>
      </w:r>
      <w:r>
        <w:rPr>
          <w:sz w:val="20"/>
        </w:rPr>
        <w:t>cumplir</w:t>
      </w:r>
      <w:r>
        <w:rPr>
          <w:spacing w:val="-6"/>
          <w:sz w:val="20"/>
        </w:rPr>
        <w:t> </w:t>
      </w:r>
      <w:r>
        <w:rPr>
          <w:sz w:val="20"/>
        </w:rPr>
        <w:t>con</w:t>
      </w:r>
      <w:r>
        <w:rPr>
          <w:spacing w:val="-8"/>
          <w:sz w:val="20"/>
        </w:rPr>
        <w:t> </w:t>
      </w:r>
      <w:r>
        <w:rPr>
          <w:sz w:val="20"/>
        </w:rPr>
        <w:t>las</w:t>
      </w:r>
      <w:r>
        <w:rPr>
          <w:spacing w:val="-6"/>
          <w:sz w:val="20"/>
        </w:rPr>
        <w:t> </w:t>
      </w:r>
      <w:r>
        <w:rPr>
          <w:sz w:val="20"/>
        </w:rPr>
        <w:t>disposiciones</w:t>
      </w:r>
      <w:r>
        <w:rPr>
          <w:spacing w:val="-6"/>
          <w:sz w:val="20"/>
        </w:rPr>
        <w:t> </w:t>
      </w:r>
      <w:r>
        <w:rPr>
          <w:sz w:val="20"/>
        </w:rPr>
        <w:t>de</w:t>
      </w:r>
      <w:r>
        <w:rPr>
          <w:spacing w:val="-7"/>
          <w:sz w:val="20"/>
        </w:rPr>
        <w:t> </w:t>
      </w:r>
      <w:r>
        <w:rPr>
          <w:sz w:val="20"/>
        </w:rPr>
        <w:t>la</w:t>
      </w:r>
      <w:r>
        <w:rPr>
          <w:spacing w:val="-6"/>
          <w:sz w:val="20"/>
        </w:rPr>
        <w:t> </w:t>
      </w:r>
      <w:r>
        <w:rPr>
          <w:sz w:val="20"/>
        </w:rPr>
        <w:t>Dirección</w:t>
      </w:r>
      <w:r>
        <w:rPr>
          <w:spacing w:val="-7"/>
          <w:sz w:val="20"/>
        </w:rPr>
        <w:t> </w:t>
      </w:r>
      <w:r>
        <w:rPr>
          <w:spacing w:val="-2"/>
          <w:sz w:val="20"/>
        </w:rPr>
        <w:t>Municipal;</w:t>
      </w:r>
    </w:p>
    <w:p>
      <w:pPr>
        <w:pStyle w:val="BodyText"/>
        <w:spacing w:before="1"/>
      </w:pPr>
    </w:p>
    <w:p>
      <w:pPr>
        <w:pStyle w:val="ListParagraph"/>
        <w:numPr>
          <w:ilvl w:val="0"/>
          <w:numId w:val="94"/>
        </w:numPr>
        <w:tabs>
          <w:tab w:pos="741" w:val="left" w:leader="none"/>
        </w:tabs>
        <w:spacing w:line="240" w:lineRule="auto" w:before="0" w:after="0"/>
        <w:ind w:left="262" w:right="285" w:firstLine="0"/>
        <w:jc w:val="both"/>
        <w:rPr>
          <w:sz w:val="20"/>
        </w:rPr>
      </w:pPr>
      <w:r>
        <w:rPr>
          <w:spacing w:val="-2"/>
          <w:sz w:val="20"/>
        </w:rPr>
        <w:t>No</w:t>
      </w:r>
      <w:r>
        <w:rPr>
          <w:spacing w:val="-7"/>
          <w:sz w:val="20"/>
        </w:rPr>
        <w:t> </w:t>
      </w:r>
      <w:r>
        <w:rPr>
          <w:spacing w:val="-2"/>
          <w:sz w:val="20"/>
        </w:rPr>
        <w:t>cumplir</w:t>
      </w:r>
      <w:r>
        <w:rPr>
          <w:spacing w:val="-7"/>
          <w:sz w:val="20"/>
        </w:rPr>
        <w:t> </w:t>
      </w:r>
      <w:r>
        <w:rPr>
          <w:spacing w:val="-2"/>
          <w:sz w:val="20"/>
        </w:rPr>
        <w:t>con</w:t>
      </w:r>
      <w:r>
        <w:rPr>
          <w:spacing w:val="-5"/>
          <w:sz w:val="20"/>
        </w:rPr>
        <w:t> </w:t>
      </w:r>
      <w:r>
        <w:rPr>
          <w:spacing w:val="-2"/>
          <w:sz w:val="20"/>
        </w:rPr>
        <w:t>el</w:t>
      </w:r>
      <w:r>
        <w:rPr>
          <w:spacing w:val="-6"/>
          <w:sz w:val="20"/>
        </w:rPr>
        <w:t> </w:t>
      </w:r>
      <w:r>
        <w:rPr>
          <w:spacing w:val="-2"/>
          <w:sz w:val="20"/>
        </w:rPr>
        <w:t>pago</w:t>
      </w:r>
      <w:r>
        <w:rPr>
          <w:spacing w:val="-6"/>
          <w:sz w:val="20"/>
        </w:rPr>
        <w:t> </w:t>
      </w:r>
      <w:r>
        <w:rPr>
          <w:spacing w:val="-2"/>
          <w:sz w:val="20"/>
        </w:rPr>
        <w:t>de</w:t>
      </w:r>
      <w:r>
        <w:rPr>
          <w:spacing w:val="-6"/>
          <w:sz w:val="20"/>
        </w:rPr>
        <w:t> </w:t>
      </w:r>
      <w:r>
        <w:rPr>
          <w:spacing w:val="-2"/>
          <w:sz w:val="20"/>
        </w:rPr>
        <w:t>las</w:t>
      </w:r>
      <w:r>
        <w:rPr>
          <w:spacing w:val="-7"/>
          <w:sz w:val="20"/>
        </w:rPr>
        <w:t> </w:t>
      </w:r>
      <w:r>
        <w:rPr>
          <w:spacing w:val="-2"/>
          <w:sz w:val="20"/>
        </w:rPr>
        <w:t>sanciones</w:t>
      </w:r>
      <w:r>
        <w:rPr>
          <w:spacing w:val="-3"/>
          <w:sz w:val="20"/>
        </w:rPr>
        <w:t> </w:t>
      </w:r>
      <w:r>
        <w:rPr>
          <w:spacing w:val="-2"/>
          <w:sz w:val="20"/>
        </w:rPr>
        <w:t>económicas</w:t>
      </w:r>
      <w:r>
        <w:rPr>
          <w:spacing w:val="-3"/>
          <w:sz w:val="20"/>
        </w:rPr>
        <w:t> </w:t>
      </w:r>
      <w:r>
        <w:rPr>
          <w:spacing w:val="-2"/>
          <w:sz w:val="20"/>
        </w:rPr>
        <w:t>impuestas</w:t>
      </w:r>
      <w:r>
        <w:rPr>
          <w:spacing w:val="-7"/>
          <w:sz w:val="20"/>
        </w:rPr>
        <w:t> </w:t>
      </w:r>
      <w:r>
        <w:rPr>
          <w:spacing w:val="-2"/>
          <w:sz w:val="20"/>
        </w:rPr>
        <w:t>por</w:t>
      </w:r>
      <w:r>
        <w:rPr>
          <w:spacing w:val="-7"/>
          <w:sz w:val="20"/>
        </w:rPr>
        <w:t> </w:t>
      </w:r>
      <w:r>
        <w:rPr>
          <w:spacing w:val="-2"/>
          <w:sz w:val="20"/>
        </w:rPr>
        <w:t>la</w:t>
      </w:r>
      <w:r>
        <w:rPr>
          <w:spacing w:val="-8"/>
          <w:sz w:val="20"/>
        </w:rPr>
        <w:t> </w:t>
      </w:r>
      <w:r>
        <w:rPr>
          <w:spacing w:val="-2"/>
          <w:sz w:val="20"/>
        </w:rPr>
        <w:t>violación</w:t>
      </w:r>
      <w:r>
        <w:rPr>
          <w:spacing w:val="-6"/>
          <w:sz w:val="20"/>
        </w:rPr>
        <w:t> </w:t>
      </w:r>
      <w:r>
        <w:rPr>
          <w:spacing w:val="-2"/>
          <w:sz w:val="20"/>
        </w:rPr>
        <w:t>del</w:t>
      </w:r>
      <w:r>
        <w:rPr>
          <w:spacing w:val="-6"/>
          <w:sz w:val="20"/>
        </w:rPr>
        <w:t> </w:t>
      </w:r>
      <w:r>
        <w:rPr>
          <w:spacing w:val="-2"/>
          <w:sz w:val="20"/>
        </w:rPr>
        <w:t>Reglamento </w:t>
      </w:r>
      <w:r>
        <w:rPr>
          <w:sz w:val="20"/>
        </w:rPr>
        <w:t>de Construcción Municipal respectivo,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94"/>
        </w:numPr>
        <w:tabs>
          <w:tab w:pos="688" w:val="left" w:leader="none"/>
        </w:tabs>
        <w:spacing w:line="240" w:lineRule="auto" w:before="0" w:after="0"/>
        <w:ind w:left="262" w:right="287" w:firstLine="0"/>
        <w:jc w:val="both"/>
        <w:rPr>
          <w:sz w:val="20"/>
        </w:rPr>
      </w:pPr>
      <w:r>
        <w:rPr>
          <w:sz w:val="20"/>
        </w:rPr>
        <w:t>Cuando por causa fundada o reincidencia lo solicite el Colegio al que pertenezca, previo dictamen de la Comisión y las razones sean consideradas procedentes por la autoridad municipal.</w:t>
      </w:r>
    </w:p>
    <w:p>
      <w:pPr>
        <w:pStyle w:val="BodyText"/>
        <w:spacing w:before="1"/>
      </w:pPr>
    </w:p>
    <w:p>
      <w:pPr>
        <w:pStyle w:val="BodyText"/>
        <w:ind w:left="262" w:right="285"/>
        <w:jc w:val="both"/>
      </w:pPr>
      <w:r>
        <w:rPr>
          <w:rFonts w:ascii="Arial" w:hAnsi="Arial"/>
          <w:b/>
          <w:spacing w:val="-2"/>
        </w:rPr>
        <w:t>ARTÍCULO</w:t>
      </w:r>
      <w:r>
        <w:rPr>
          <w:rFonts w:ascii="Arial" w:hAnsi="Arial"/>
          <w:b/>
          <w:spacing w:val="-4"/>
        </w:rPr>
        <w:t> </w:t>
      </w:r>
      <w:r>
        <w:rPr>
          <w:rFonts w:ascii="Arial" w:hAnsi="Arial"/>
          <w:b/>
          <w:spacing w:val="-2"/>
        </w:rPr>
        <w:t>256.</w:t>
      </w:r>
      <w:r>
        <w:rPr>
          <w:rFonts w:ascii="Arial" w:hAnsi="Arial"/>
          <w:b/>
          <w:spacing w:val="-5"/>
        </w:rPr>
        <w:t> </w:t>
      </w:r>
      <w:r>
        <w:rPr>
          <w:spacing w:val="-2"/>
        </w:rPr>
        <w:t>Los</w:t>
      </w:r>
      <w:r>
        <w:rPr>
          <w:spacing w:val="-7"/>
        </w:rPr>
        <w:t> </w:t>
      </w:r>
      <w:r>
        <w:rPr>
          <w:spacing w:val="-2"/>
        </w:rPr>
        <w:t>ayuntamientos</w:t>
      </w:r>
      <w:r>
        <w:rPr>
          <w:spacing w:val="-4"/>
        </w:rPr>
        <w:t> </w:t>
      </w:r>
      <w:r>
        <w:rPr>
          <w:spacing w:val="-2"/>
        </w:rPr>
        <w:t>a</w:t>
      </w:r>
      <w:r>
        <w:rPr>
          <w:spacing w:val="-5"/>
        </w:rPr>
        <w:t> </w:t>
      </w:r>
      <w:r>
        <w:rPr>
          <w:spacing w:val="-2"/>
        </w:rPr>
        <w:t>través</w:t>
      </w:r>
      <w:r>
        <w:rPr>
          <w:spacing w:val="-4"/>
        </w:rPr>
        <w:t> </w:t>
      </w:r>
      <w:r>
        <w:rPr>
          <w:spacing w:val="-2"/>
        </w:rPr>
        <w:t>de</w:t>
      </w:r>
      <w:r>
        <w:rPr>
          <w:spacing w:val="-6"/>
        </w:rPr>
        <w:t> </w:t>
      </w:r>
      <w:r>
        <w:rPr>
          <w:spacing w:val="-2"/>
        </w:rPr>
        <w:t>Dirección</w:t>
      </w:r>
      <w:r>
        <w:rPr>
          <w:spacing w:val="-6"/>
        </w:rPr>
        <w:t> </w:t>
      </w:r>
      <w:r>
        <w:rPr>
          <w:spacing w:val="-2"/>
        </w:rPr>
        <w:t>Municipal,</w:t>
      </w:r>
      <w:r>
        <w:rPr>
          <w:spacing w:val="-5"/>
        </w:rPr>
        <w:t> </w:t>
      </w:r>
      <w:r>
        <w:rPr>
          <w:spacing w:val="-2"/>
        </w:rPr>
        <w:t>negarán</w:t>
      </w:r>
      <w:r>
        <w:rPr>
          <w:spacing w:val="-5"/>
        </w:rPr>
        <w:t> </w:t>
      </w:r>
      <w:r>
        <w:rPr>
          <w:spacing w:val="-2"/>
        </w:rPr>
        <w:t>el</w:t>
      </w:r>
      <w:r>
        <w:rPr>
          <w:spacing w:val="-6"/>
        </w:rPr>
        <w:t> </w:t>
      </w:r>
      <w:r>
        <w:rPr>
          <w:spacing w:val="-2"/>
        </w:rPr>
        <w:t>registro</w:t>
      </w:r>
      <w:r>
        <w:rPr>
          <w:spacing w:val="-5"/>
        </w:rPr>
        <w:t> </w:t>
      </w:r>
      <w:r>
        <w:rPr>
          <w:spacing w:val="-2"/>
        </w:rPr>
        <w:t>o</w:t>
      </w:r>
      <w:r>
        <w:rPr>
          <w:spacing w:val="-5"/>
        </w:rPr>
        <w:t> </w:t>
      </w:r>
      <w:r>
        <w:rPr>
          <w:spacing w:val="-2"/>
        </w:rPr>
        <w:t>el</w:t>
      </w:r>
      <w:r>
        <w:rPr>
          <w:spacing w:val="-6"/>
        </w:rPr>
        <w:t> </w:t>
      </w:r>
      <w:r>
        <w:rPr>
          <w:spacing w:val="-2"/>
        </w:rPr>
        <w:t>refrendo </w:t>
      </w:r>
      <w:r>
        <w:rPr/>
        <w:t>como Directores Responsables de Obra y Corresponsables, cuando se actualice cualquiera de las siguientes causas:</w:t>
      </w:r>
    </w:p>
    <w:p>
      <w:pPr>
        <w:pStyle w:val="ListParagraph"/>
        <w:numPr>
          <w:ilvl w:val="0"/>
          <w:numId w:val="95"/>
        </w:numPr>
        <w:tabs>
          <w:tab w:pos="688" w:val="left" w:leader="none"/>
        </w:tabs>
        <w:spacing w:line="240" w:lineRule="auto" w:before="229" w:after="0"/>
        <w:ind w:left="262" w:right="285" w:firstLine="0"/>
        <w:jc w:val="both"/>
        <w:rPr>
          <w:sz w:val="20"/>
        </w:rPr>
      </w:pPr>
      <w:r>
        <w:rPr>
          <w:sz w:val="20"/>
        </w:rPr>
        <w:t>Cuando haya obtenido su inscripción proporcionando datos o documentos falsos o cuando dolosamente</w:t>
      </w:r>
      <w:r>
        <w:rPr>
          <w:spacing w:val="-1"/>
          <w:sz w:val="20"/>
        </w:rPr>
        <w:t> </w:t>
      </w:r>
      <w:r>
        <w:rPr>
          <w:sz w:val="20"/>
        </w:rPr>
        <w:t>presente</w:t>
      </w:r>
      <w:r>
        <w:rPr>
          <w:spacing w:val="-2"/>
          <w:sz w:val="20"/>
        </w:rPr>
        <w:t> </w:t>
      </w:r>
      <w:r>
        <w:rPr>
          <w:sz w:val="20"/>
        </w:rPr>
        <w:t>información</w:t>
      </w:r>
      <w:r>
        <w:rPr>
          <w:spacing w:val="-2"/>
          <w:sz w:val="20"/>
        </w:rPr>
        <w:t> </w:t>
      </w:r>
      <w:r>
        <w:rPr>
          <w:sz w:val="20"/>
        </w:rPr>
        <w:t>equivocada</w:t>
      </w:r>
      <w:r>
        <w:rPr>
          <w:spacing w:val="-1"/>
          <w:sz w:val="20"/>
        </w:rPr>
        <w:t> </w:t>
      </w:r>
      <w:r>
        <w:rPr>
          <w:sz w:val="20"/>
        </w:rPr>
        <w:t>o</w:t>
      </w:r>
      <w:r>
        <w:rPr>
          <w:spacing w:val="-2"/>
          <w:sz w:val="20"/>
        </w:rPr>
        <w:t> </w:t>
      </w:r>
      <w:r>
        <w:rPr>
          <w:sz w:val="20"/>
        </w:rPr>
        <w:t>falsa en</w:t>
      </w:r>
      <w:r>
        <w:rPr>
          <w:spacing w:val="-3"/>
          <w:sz w:val="20"/>
        </w:rPr>
        <w:t> </w:t>
      </w:r>
      <w:r>
        <w:rPr>
          <w:sz w:val="20"/>
        </w:rPr>
        <w:t>la</w:t>
      </w:r>
      <w:r>
        <w:rPr>
          <w:spacing w:val="-2"/>
          <w:sz w:val="20"/>
        </w:rPr>
        <w:t> </w:t>
      </w:r>
      <w:r>
        <w:rPr>
          <w:sz w:val="20"/>
        </w:rPr>
        <w:t>solicitud</w:t>
      </w:r>
      <w:r>
        <w:rPr>
          <w:spacing w:val="-3"/>
          <w:sz w:val="20"/>
        </w:rPr>
        <w:t> </w:t>
      </w:r>
      <w:r>
        <w:rPr>
          <w:sz w:val="20"/>
        </w:rPr>
        <w:t>de</w:t>
      </w:r>
      <w:r>
        <w:rPr>
          <w:spacing w:val="-2"/>
          <w:sz w:val="20"/>
        </w:rPr>
        <w:t> </w:t>
      </w:r>
      <w:r>
        <w:rPr>
          <w:sz w:val="20"/>
        </w:rPr>
        <w:t>Licencia</w:t>
      </w:r>
      <w:r>
        <w:rPr>
          <w:spacing w:val="-2"/>
          <w:sz w:val="20"/>
        </w:rPr>
        <w:t> </w:t>
      </w:r>
      <w:r>
        <w:rPr>
          <w:sz w:val="20"/>
        </w:rPr>
        <w:t>o dictamen oficial;</w:t>
      </w:r>
    </w:p>
    <w:p>
      <w:pPr>
        <w:pStyle w:val="BodyText"/>
        <w:spacing w:before="2"/>
      </w:pPr>
    </w:p>
    <w:p>
      <w:pPr>
        <w:pStyle w:val="ListParagraph"/>
        <w:numPr>
          <w:ilvl w:val="0"/>
          <w:numId w:val="95"/>
        </w:numPr>
        <w:tabs>
          <w:tab w:pos="686" w:val="left" w:leader="none"/>
        </w:tabs>
        <w:spacing w:line="240" w:lineRule="auto" w:before="0" w:after="0"/>
        <w:ind w:left="262" w:right="283" w:firstLine="0"/>
        <w:jc w:val="both"/>
        <w:rPr>
          <w:sz w:val="20"/>
        </w:rPr>
      </w:pPr>
      <w:r>
        <w:rPr>
          <w:sz w:val="20"/>
        </w:rPr>
        <w:t>Cuando por inexperiencia, negligencia, dolo o falta de previsión o cuidado, se comprometa la seguridad, estabilidad o higiene de las obras;</w:t>
      </w:r>
    </w:p>
    <w:p>
      <w:pPr>
        <w:pStyle w:val="ListParagraph"/>
        <w:numPr>
          <w:ilvl w:val="0"/>
          <w:numId w:val="95"/>
        </w:numPr>
        <w:tabs>
          <w:tab w:pos="741" w:val="left" w:leader="none"/>
        </w:tabs>
        <w:spacing w:line="240" w:lineRule="auto" w:before="229" w:after="0"/>
        <w:ind w:left="262" w:right="282" w:firstLine="0"/>
        <w:jc w:val="both"/>
        <w:rPr>
          <w:sz w:val="20"/>
        </w:rPr>
      </w:pPr>
      <w:r>
        <w:rPr>
          <w:sz w:val="20"/>
        </w:rPr>
        <w:t>Cuando la Dirección compruebe que ha tramitado la obtención de Licencias o Permisos de obras,</w:t>
      </w:r>
      <w:r>
        <w:rPr>
          <w:spacing w:val="-2"/>
          <w:sz w:val="20"/>
        </w:rPr>
        <w:t> </w:t>
      </w:r>
      <w:r>
        <w:rPr>
          <w:sz w:val="20"/>
        </w:rPr>
        <w:t>en</w:t>
      </w:r>
      <w:r>
        <w:rPr>
          <w:spacing w:val="-3"/>
          <w:sz w:val="20"/>
        </w:rPr>
        <w:t> </w:t>
      </w:r>
      <w:r>
        <w:rPr>
          <w:sz w:val="20"/>
        </w:rPr>
        <w:t>las</w:t>
      </w:r>
      <w:r>
        <w:rPr>
          <w:spacing w:val="-1"/>
          <w:sz w:val="20"/>
        </w:rPr>
        <w:t> </w:t>
      </w:r>
      <w:r>
        <w:rPr>
          <w:sz w:val="20"/>
        </w:rPr>
        <w:t>que</w:t>
      </w:r>
      <w:r>
        <w:rPr>
          <w:spacing w:val="-2"/>
          <w:sz w:val="20"/>
        </w:rPr>
        <w:t> </w:t>
      </w:r>
      <w:r>
        <w:rPr>
          <w:sz w:val="20"/>
        </w:rPr>
        <w:t>no</w:t>
      </w:r>
      <w:r>
        <w:rPr>
          <w:spacing w:val="-3"/>
          <w:sz w:val="20"/>
        </w:rPr>
        <w:t> </w:t>
      </w:r>
      <w:r>
        <w:rPr>
          <w:sz w:val="20"/>
        </w:rPr>
        <w:t>hubiera</w:t>
      </w:r>
      <w:r>
        <w:rPr>
          <w:spacing w:val="-4"/>
          <w:sz w:val="20"/>
        </w:rPr>
        <w:t> </w:t>
      </w:r>
      <w:r>
        <w:rPr>
          <w:sz w:val="20"/>
        </w:rPr>
        <w:t>cumplido</w:t>
      </w:r>
      <w:r>
        <w:rPr>
          <w:spacing w:val="-2"/>
          <w:sz w:val="20"/>
        </w:rPr>
        <w:t> </w:t>
      </w:r>
      <w:r>
        <w:rPr>
          <w:sz w:val="20"/>
        </w:rPr>
        <w:t>sus</w:t>
      </w:r>
      <w:r>
        <w:rPr>
          <w:spacing w:val="-3"/>
          <w:sz w:val="20"/>
        </w:rPr>
        <w:t> </w:t>
      </w:r>
      <w:r>
        <w:rPr>
          <w:sz w:val="20"/>
        </w:rPr>
        <w:t>funciones</w:t>
      </w:r>
      <w:r>
        <w:rPr>
          <w:spacing w:val="-1"/>
          <w:sz w:val="20"/>
        </w:rPr>
        <w:t> </w:t>
      </w:r>
      <w:r>
        <w:rPr>
          <w:sz w:val="20"/>
        </w:rPr>
        <w:t>u</w:t>
      </w:r>
      <w:r>
        <w:rPr>
          <w:spacing w:val="-2"/>
          <w:sz w:val="20"/>
        </w:rPr>
        <w:t> </w:t>
      </w:r>
      <w:r>
        <w:rPr>
          <w:sz w:val="20"/>
        </w:rPr>
        <w:t>obligaciones</w:t>
      </w:r>
      <w:r>
        <w:rPr>
          <w:spacing w:val="-3"/>
          <w:sz w:val="20"/>
        </w:rPr>
        <w:t> </w:t>
      </w:r>
      <w:r>
        <w:rPr>
          <w:sz w:val="20"/>
        </w:rPr>
        <w:t>como</w:t>
      </w:r>
      <w:r>
        <w:rPr>
          <w:spacing w:val="-2"/>
          <w:sz w:val="20"/>
        </w:rPr>
        <w:t> </w:t>
      </w:r>
      <w:r>
        <w:rPr>
          <w:sz w:val="20"/>
        </w:rPr>
        <w:t>Director</w:t>
      </w:r>
      <w:r>
        <w:rPr>
          <w:spacing w:val="-3"/>
          <w:sz w:val="20"/>
        </w:rPr>
        <w:t> </w:t>
      </w:r>
      <w:r>
        <w:rPr>
          <w:sz w:val="20"/>
        </w:rPr>
        <w:t>Responsable</w:t>
      </w:r>
      <w:r>
        <w:rPr>
          <w:spacing w:val="-2"/>
          <w:sz w:val="20"/>
        </w:rPr>
        <w:t> </w:t>
      </w:r>
      <w:r>
        <w:rPr>
          <w:sz w:val="20"/>
        </w:rPr>
        <w:t>de Obra, o no esté participando como tal;</w:t>
      </w:r>
    </w:p>
    <w:p>
      <w:pPr>
        <w:pStyle w:val="ListParagraph"/>
        <w:numPr>
          <w:ilvl w:val="0"/>
          <w:numId w:val="95"/>
        </w:numPr>
        <w:tabs>
          <w:tab w:pos="688" w:val="left" w:leader="none"/>
        </w:tabs>
        <w:spacing w:line="240" w:lineRule="auto" w:before="229" w:after="0"/>
        <w:ind w:left="262" w:right="284" w:firstLine="0"/>
        <w:jc w:val="both"/>
        <w:rPr>
          <w:sz w:val="20"/>
        </w:rPr>
      </w:pPr>
      <w:r>
        <w:rPr>
          <w:sz w:val="20"/>
        </w:rPr>
        <w:t>Cuando</w:t>
      </w:r>
      <w:r>
        <w:rPr>
          <w:spacing w:val="-14"/>
          <w:sz w:val="20"/>
        </w:rPr>
        <w:t> </w:t>
      </w:r>
      <w:r>
        <w:rPr>
          <w:sz w:val="20"/>
        </w:rPr>
        <w:t>se</w:t>
      </w:r>
      <w:r>
        <w:rPr>
          <w:spacing w:val="-14"/>
          <w:sz w:val="20"/>
        </w:rPr>
        <w:t> </w:t>
      </w:r>
      <w:r>
        <w:rPr>
          <w:sz w:val="20"/>
        </w:rPr>
        <w:t>compruebe</w:t>
      </w:r>
      <w:r>
        <w:rPr>
          <w:spacing w:val="-14"/>
          <w:sz w:val="20"/>
        </w:rPr>
        <w:t> </w:t>
      </w:r>
      <w:r>
        <w:rPr>
          <w:sz w:val="20"/>
        </w:rPr>
        <w:t>la</w:t>
      </w:r>
      <w:r>
        <w:rPr>
          <w:spacing w:val="-14"/>
          <w:sz w:val="20"/>
        </w:rPr>
        <w:t> </w:t>
      </w:r>
      <w:r>
        <w:rPr>
          <w:sz w:val="20"/>
        </w:rPr>
        <w:t>violación</w:t>
      </w:r>
      <w:r>
        <w:rPr>
          <w:spacing w:val="-14"/>
          <w:sz w:val="20"/>
        </w:rPr>
        <w:t> </w:t>
      </w:r>
      <w:r>
        <w:rPr>
          <w:sz w:val="20"/>
        </w:rPr>
        <w:t>reincidente</w:t>
      </w:r>
      <w:r>
        <w:rPr>
          <w:spacing w:val="-14"/>
          <w:sz w:val="20"/>
        </w:rPr>
        <w:t> </w:t>
      </w:r>
      <w:r>
        <w:rPr>
          <w:sz w:val="20"/>
        </w:rPr>
        <w:t>de</w:t>
      </w:r>
      <w:r>
        <w:rPr>
          <w:spacing w:val="-14"/>
          <w:sz w:val="20"/>
        </w:rPr>
        <w:t> </w:t>
      </w:r>
      <w:r>
        <w:rPr>
          <w:sz w:val="20"/>
        </w:rPr>
        <w:t>las</w:t>
      </w:r>
      <w:r>
        <w:rPr>
          <w:spacing w:val="-14"/>
          <w:sz w:val="20"/>
        </w:rPr>
        <w:t> </w:t>
      </w:r>
      <w:r>
        <w:rPr>
          <w:sz w:val="20"/>
        </w:rPr>
        <w:t>disposiciones</w:t>
      </w:r>
      <w:r>
        <w:rPr>
          <w:spacing w:val="-14"/>
          <w:sz w:val="20"/>
        </w:rPr>
        <w:t> </w:t>
      </w:r>
      <w:r>
        <w:rPr>
          <w:sz w:val="20"/>
        </w:rPr>
        <w:t>de</w:t>
      </w:r>
      <w:r>
        <w:rPr>
          <w:spacing w:val="-13"/>
          <w:sz w:val="20"/>
        </w:rPr>
        <w:t> </w:t>
      </w:r>
      <w:r>
        <w:rPr>
          <w:sz w:val="20"/>
        </w:rPr>
        <w:t>esta</w:t>
      </w:r>
      <w:r>
        <w:rPr>
          <w:spacing w:val="-14"/>
          <w:sz w:val="20"/>
        </w:rPr>
        <w:t> </w:t>
      </w:r>
      <w:r>
        <w:rPr>
          <w:sz w:val="20"/>
        </w:rPr>
        <w:t>Ley</w:t>
      </w:r>
      <w:r>
        <w:rPr>
          <w:spacing w:val="-13"/>
          <w:sz w:val="20"/>
        </w:rPr>
        <w:t> </w:t>
      </w:r>
      <w:r>
        <w:rPr>
          <w:sz w:val="20"/>
        </w:rPr>
        <w:t>y</w:t>
      </w:r>
      <w:r>
        <w:rPr>
          <w:spacing w:val="-12"/>
          <w:sz w:val="20"/>
        </w:rPr>
        <w:t> </w:t>
      </w:r>
      <w:r>
        <w:rPr>
          <w:sz w:val="20"/>
        </w:rPr>
        <w:t>el</w:t>
      </w:r>
      <w:r>
        <w:rPr>
          <w:spacing w:val="-14"/>
          <w:sz w:val="20"/>
        </w:rPr>
        <w:t> </w:t>
      </w:r>
      <w:r>
        <w:rPr>
          <w:sz w:val="20"/>
        </w:rPr>
        <w:t>Reglamento de Construcción Municipal respectivo;</w:t>
      </w:r>
    </w:p>
    <w:p>
      <w:pPr>
        <w:pStyle w:val="BodyText"/>
        <w:spacing w:before="1"/>
      </w:pPr>
    </w:p>
    <w:p>
      <w:pPr>
        <w:pStyle w:val="ListParagraph"/>
        <w:numPr>
          <w:ilvl w:val="0"/>
          <w:numId w:val="95"/>
        </w:numPr>
        <w:tabs>
          <w:tab w:pos="688" w:val="left" w:leader="none"/>
        </w:tabs>
        <w:spacing w:line="240" w:lineRule="auto" w:before="1" w:after="0"/>
        <w:ind w:left="262" w:right="285" w:firstLine="0"/>
        <w:jc w:val="both"/>
        <w:rPr>
          <w:sz w:val="20"/>
        </w:rPr>
      </w:pPr>
      <w:r>
        <w:rPr>
          <w:sz w:val="20"/>
        </w:rPr>
        <w:t>Cuando</w:t>
      </w:r>
      <w:r>
        <w:rPr>
          <w:spacing w:val="-9"/>
          <w:sz w:val="20"/>
        </w:rPr>
        <w:t> </w:t>
      </w:r>
      <w:r>
        <w:rPr>
          <w:sz w:val="20"/>
        </w:rPr>
        <w:t>en</w:t>
      </w:r>
      <w:r>
        <w:rPr>
          <w:spacing w:val="-9"/>
          <w:sz w:val="20"/>
        </w:rPr>
        <w:t> </w:t>
      </w:r>
      <w:r>
        <w:rPr>
          <w:sz w:val="20"/>
        </w:rPr>
        <w:t>la</w:t>
      </w:r>
      <w:r>
        <w:rPr>
          <w:spacing w:val="-8"/>
          <w:sz w:val="20"/>
        </w:rPr>
        <w:t> </w:t>
      </w:r>
      <w:r>
        <w:rPr>
          <w:sz w:val="20"/>
        </w:rPr>
        <w:t>ejecución</w:t>
      </w:r>
      <w:r>
        <w:rPr>
          <w:spacing w:val="-9"/>
          <w:sz w:val="20"/>
        </w:rPr>
        <w:t> </w:t>
      </w:r>
      <w:r>
        <w:rPr>
          <w:sz w:val="20"/>
        </w:rPr>
        <w:t>de</w:t>
      </w:r>
      <w:r>
        <w:rPr>
          <w:spacing w:val="-8"/>
          <w:sz w:val="20"/>
        </w:rPr>
        <w:t> </w:t>
      </w:r>
      <w:r>
        <w:rPr>
          <w:sz w:val="20"/>
        </w:rPr>
        <w:t>una</w:t>
      </w:r>
      <w:r>
        <w:rPr>
          <w:spacing w:val="-9"/>
          <w:sz w:val="20"/>
        </w:rPr>
        <w:t> </w:t>
      </w:r>
      <w:r>
        <w:rPr>
          <w:sz w:val="20"/>
        </w:rPr>
        <w:t>obra</w:t>
      </w:r>
      <w:r>
        <w:rPr>
          <w:spacing w:val="-9"/>
          <w:sz w:val="20"/>
        </w:rPr>
        <w:t> </w:t>
      </w:r>
      <w:r>
        <w:rPr>
          <w:sz w:val="20"/>
        </w:rPr>
        <w:t>no</w:t>
      </w:r>
      <w:r>
        <w:rPr>
          <w:spacing w:val="-9"/>
          <w:sz w:val="20"/>
        </w:rPr>
        <w:t> </w:t>
      </w:r>
      <w:r>
        <w:rPr>
          <w:sz w:val="20"/>
        </w:rPr>
        <w:t>se</w:t>
      </w:r>
      <w:r>
        <w:rPr>
          <w:spacing w:val="-8"/>
          <w:sz w:val="20"/>
        </w:rPr>
        <w:t> </w:t>
      </w:r>
      <w:r>
        <w:rPr>
          <w:sz w:val="20"/>
        </w:rPr>
        <w:t>observe</w:t>
      </w:r>
      <w:r>
        <w:rPr>
          <w:spacing w:val="-9"/>
          <w:sz w:val="20"/>
        </w:rPr>
        <w:t> </w:t>
      </w:r>
      <w:r>
        <w:rPr>
          <w:sz w:val="20"/>
        </w:rPr>
        <w:t>el</w:t>
      </w:r>
      <w:r>
        <w:rPr>
          <w:spacing w:val="-10"/>
          <w:sz w:val="20"/>
        </w:rPr>
        <w:t> </w:t>
      </w:r>
      <w:r>
        <w:rPr>
          <w:sz w:val="20"/>
        </w:rPr>
        <w:t>cumplimiento</w:t>
      </w:r>
      <w:r>
        <w:rPr>
          <w:spacing w:val="-8"/>
          <w:sz w:val="20"/>
        </w:rPr>
        <w:t> </w:t>
      </w:r>
      <w:r>
        <w:rPr>
          <w:sz w:val="20"/>
        </w:rPr>
        <w:t>de</w:t>
      </w:r>
      <w:r>
        <w:rPr>
          <w:spacing w:val="-9"/>
          <w:sz w:val="20"/>
        </w:rPr>
        <w:t> </w:t>
      </w:r>
      <w:r>
        <w:rPr>
          <w:sz w:val="20"/>
        </w:rPr>
        <w:t>los</w:t>
      </w:r>
      <w:r>
        <w:rPr>
          <w:spacing w:val="-9"/>
          <w:sz w:val="20"/>
        </w:rPr>
        <w:t> </w:t>
      </w:r>
      <w:r>
        <w:rPr>
          <w:sz w:val="20"/>
        </w:rPr>
        <w:t>Proyectos</w:t>
      </w:r>
      <w:r>
        <w:rPr>
          <w:spacing w:val="-9"/>
          <w:sz w:val="20"/>
        </w:rPr>
        <w:t> </w:t>
      </w:r>
      <w:r>
        <w:rPr>
          <w:sz w:val="20"/>
        </w:rPr>
        <w:t>Ejecutivos autorizados en la licencia o autorización;</w:t>
      </w:r>
    </w:p>
    <w:p>
      <w:pPr>
        <w:pStyle w:val="ListParagraph"/>
        <w:numPr>
          <w:ilvl w:val="0"/>
          <w:numId w:val="95"/>
        </w:numPr>
        <w:tabs>
          <w:tab w:pos="688" w:val="left" w:leader="none"/>
        </w:tabs>
        <w:spacing w:line="240" w:lineRule="auto" w:before="229" w:after="0"/>
        <w:ind w:left="688" w:right="0" w:hanging="426"/>
        <w:jc w:val="both"/>
        <w:rPr>
          <w:sz w:val="20"/>
        </w:rPr>
      </w:pPr>
      <w:r>
        <w:rPr>
          <w:sz w:val="20"/>
        </w:rPr>
        <w:t>La</w:t>
      </w:r>
      <w:r>
        <w:rPr>
          <w:spacing w:val="-13"/>
          <w:sz w:val="20"/>
        </w:rPr>
        <w:t> </w:t>
      </w:r>
      <w:r>
        <w:rPr>
          <w:sz w:val="20"/>
        </w:rPr>
        <w:t>negativa</w:t>
      </w:r>
      <w:r>
        <w:rPr>
          <w:spacing w:val="-12"/>
          <w:sz w:val="20"/>
        </w:rPr>
        <w:t> </w:t>
      </w:r>
      <w:r>
        <w:rPr>
          <w:sz w:val="20"/>
        </w:rPr>
        <w:t>reincidente</w:t>
      </w:r>
      <w:r>
        <w:rPr>
          <w:spacing w:val="-10"/>
          <w:sz w:val="20"/>
        </w:rPr>
        <w:t> </w:t>
      </w:r>
      <w:r>
        <w:rPr>
          <w:sz w:val="20"/>
        </w:rPr>
        <w:t>a</w:t>
      </w:r>
      <w:r>
        <w:rPr>
          <w:spacing w:val="-12"/>
          <w:sz w:val="20"/>
        </w:rPr>
        <w:t> </w:t>
      </w:r>
      <w:r>
        <w:rPr>
          <w:sz w:val="20"/>
        </w:rPr>
        <w:t>prestar</w:t>
      </w:r>
      <w:r>
        <w:rPr>
          <w:spacing w:val="-11"/>
          <w:sz w:val="20"/>
        </w:rPr>
        <w:t> </w:t>
      </w:r>
      <w:r>
        <w:rPr>
          <w:sz w:val="20"/>
        </w:rPr>
        <w:t>facilidades</w:t>
      </w:r>
      <w:r>
        <w:rPr>
          <w:spacing w:val="-12"/>
          <w:sz w:val="20"/>
        </w:rPr>
        <w:t> </w:t>
      </w:r>
      <w:r>
        <w:rPr>
          <w:sz w:val="20"/>
        </w:rPr>
        <w:t>para</w:t>
      </w:r>
      <w:r>
        <w:rPr>
          <w:spacing w:val="-11"/>
          <w:sz w:val="20"/>
        </w:rPr>
        <w:t> </w:t>
      </w:r>
      <w:r>
        <w:rPr>
          <w:sz w:val="20"/>
        </w:rPr>
        <w:t>la</w:t>
      </w:r>
      <w:r>
        <w:rPr>
          <w:spacing w:val="-12"/>
          <w:sz w:val="20"/>
        </w:rPr>
        <w:t> </w:t>
      </w:r>
      <w:r>
        <w:rPr>
          <w:sz w:val="20"/>
        </w:rPr>
        <w:t>práctica</w:t>
      </w:r>
      <w:r>
        <w:rPr>
          <w:spacing w:val="-12"/>
          <w:sz w:val="20"/>
        </w:rPr>
        <w:t> </w:t>
      </w:r>
      <w:r>
        <w:rPr>
          <w:sz w:val="20"/>
        </w:rPr>
        <w:t>de</w:t>
      </w:r>
      <w:r>
        <w:rPr>
          <w:spacing w:val="-12"/>
          <w:sz w:val="20"/>
        </w:rPr>
        <w:t> </w:t>
      </w:r>
      <w:r>
        <w:rPr>
          <w:sz w:val="20"/>
        </w:rPr>
        <w:t>visitas</w:t>
      </w:r>
      <w:r>
        <w:rPr>
          <w:spacing w:val="-11"/>
          <w:sz w:val="20"/>
        </w:rPr>
        <w:t> </w:t>
      </w:r>
      <w:r>
        <w:rPr>
          <w:sz w:val="20"/>
        </w:rPr>
        <w:t>de</w:t>
      </w:r>
      <w:r>
        <w:rPr>
          <w:spacing w:val="-11"/>
          <w:sz w:val="20"/>
        </w:rPr>
        <w:t> </w:t>
      </w:r>
      <w:r>
        <w:rPr>
          <w:sz w:val="20"/>
        </w:rPr>
        <w:t>inspección</w:t>
      </w:r>
      <w:r>
        <w:rPr>
          <w:spacing w:val="-12"/>
          <w:sz w:val="20"/>
        </w:rPr>
        <w:t> </w:t>
      </w:r>
      <w:r>
        <w:rPr>
          <w:spacing w:val="-2"/>
          <w:sz w:val="20"/>
        </w:rPr>
        <w:t>municipal;</w:t>
      </w:r>
    </w:p>
    <w:p>
      <w:pPr>
        <w:pStyle w:val="BodyText"/>
        <w:spacing w:before="1"/>
      </w:pPr>
    </w:p>
    <w:p>
      <w:pPr>
        <w:pStyle w:val="ListParagraph"/>
        <w:numPr>
          <w:ilvl w:val="0"/>
          <w:numId w:val="95"/>
        </w:numPr>
        <w:tabs>
          <w:tab w:pos="827" w:val="left" w:leader="none"/>
        </w:tabs>
        <w:spacing w:line="240" w:lineRule="auto" w:before="0" w:after="0"/>
        <w:ind w:left="262" w:right="286" w:firstLine="0"/>
        <w:jc w:val="both"/>
        <w:rPr>
          <w:sz w:val="20"/>
        </w:rPr>
      </w:pPr>
      <w:r>
        <w:rPr>
          <w:sz w:val="20"/>
        </w:rPr>
        <w:t>Cuando por sentencia ejecutoria se condene a un Director Responsable de Obra a cumplir una pena privativa de la libertad por delitos relacionados con el desarrollo urbano;</w:t>
      </w:r>
    </w:p>
    <w:p>
      <w:pPr>
        <w:pStyle w:val="ListParagraph"/>
        <w:numPr>
          <w:ilvl w:val="0"/>
          <w:numId w:val="95"/>
        </w:numPr>
        <w:tabs>
          <w:tab w:pos="827" w:val="left" w:leader="none"/>
        </w:tabs>
        <w:spacing w:line="240" w:lineRule="auto" w:before="229" w:after="0"/>
        <w:ind w:left="262" w:right="280" w:firstLine="0"/>
        <w:jc w:val="both"/>
        <w:rPr>
          <w:sz w:val="20"/>
        </w:rPr>
      </w:pPr>
      <w:r>
        <w:rPr>
          <w:sz w:val="20"/>
        </w:rPr>
        <w:t>Cuando por la violación de esta Ley y el Reglamento de Construcción municipal y demás disposiciones aplicables, se comprometa el equilibrio ecológico, la ejecución de los Programas de Ordenamiento Territorial y Desarrollo Urbano estatal o municipal y los programas que de éstos deriven o las Obras Públicas existentes;</w:t>
      </w:r>
    </w:p>
    <w:p>
      <w:pPr>
        <w:pStyle w:val="BodyText"/>
        <w:spacing w:before="2"/>
      </w:pPr>
    </w:p>
    <w:p>
      <w:pPr>
        <w:pStyle w:val="ListParagraph"/>
        <w:numPr>
          <w:ilvl w:val="0"/>
          <w:numId w:val="95"/>
        </w:numPr>
        <w:tabs>
          <w:tab w:pos="688" w:val="left" w:leader="none"/>
        </w:tabs>
        <w:spacing w:line="240" w:lineRule="auto" w:before="0" w:after="0"/>
        <w:ind w:left="262" w:right="289" w:firstLine="0"/>
        <w:jc w:val="both"/>
        <w:rPr>
          <w:sz w:val="20"/>
        </w:rPr>
      </w:pPr>
      <w:r>
        <w:rPr>
          <w:sz w:val="20"/>
        </w:rPr>
        <w:t>Cuando ejerza un puesto o función de cualquier nivel dentro de la administración pública del municipio de que se trate, y</w:t>
      </w:r>
    </w:p>
    <w:p>
      <w:pPr>
        <w:pStyle w:val="ListParagraph"/>
        <w:numPr>
          <w:ilvl w:val="0"/>
          <w:numId w:val="95"/>
        </w:numPr>
        <w:tabs>
          <w:tab w:pos="544" w:val="left" w:leader="none"/>
        </w:tabs>
        <w:spacing w:line="240" w:lineRule="auto" w:before="229" w:after="0"/>
        <w:ind w:left="262" w:right="288" w:firstLine="0"/>
        <w:jc w:val="both"/>
        <w:rPr>
          <w:sz w:val="20"/>
        </w:rPr>
      </w:pPr>
      <w:r>
        <w:rPr>
          <w:sz w:val="20"/>
        </w:rPr>
        <w:t>Las demás que contravengan las leyes y reglamentos aplicables, causando perjuicios graves a la obra.</w:t>
      </w:r>
    </w:p>
    <w:p>
      <w:pPr>
        <w:pStyle w:val="BodyText"/>
        <w:spacing w:before="1"/>
      </w:pPr>
    </w:p>
    <w:p>
      <w:pPr>
        <w:spacing w:line="229" w:lineRule="exact" w:before="0"/>
        <w:ind w:left="262" w:right="0" w:firstLine="0"/>
        <w:jc w:val="both"/>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6"/>
          <w:sz w:val="20"/>
        </w:rPr>
        <w:t> </w:t>
      </w:r>
      <w:r>
        <w:rPr>
          <w:rFonts w:ascii="Arial"/>
          <w:i/>
          <w:sz w:val="20"/>
        </w:rPr>
        <w:t>NOVIEMBRE</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BodyText"/>
        <w:ind w:left="262" w:right="271"/>
        <w:jc w:val="both"/>
      </w:pPr>
      <w:r>
        <w:rPr>
          <w:color w:val="211F1F"/>
        </w:rPr>
        <w:t>No será causa de negativa de registro o refrendo, la falta de conclusión del trámite para obtener el acta de terminación de obra por parte del propietario de la obra o proyecto.</w:t>
      </w:r>
    </w:p>
    <w:p>
      <w:pPr>
        <w:pStyle w:val="BodyText"/>
      </w:pPr>
    </w:p>
    <w:p>
      <w:pPr>
        <w:pStyle w:val="BodyText"/>
        <w:ind w:left="262" w:right="276"/>
        <w:jc w:val="both"/>
      </w:pPr>
      <w:r>
        <w:rPr>
          <w:rFonts w:ascii="Arial" w:hAnsi="Arial"/>
          <w:b/>
        </w:rPr>
        <w:t>ARTÍCULO 257. </w:t>
      </w:r>
      <w:r>
        <w:rPr/>
        <w:t>Los aspirantes a Directores Responsables de Obra y Corresponsables, que con anterioridad se hayan desempeñado</w:t>
      </w:r>
      <w:r>
        <w:rPr>
          <w:spacing w:val="-1"/>
        </w:rPr>
        <w:t> </w:t>
      </w:r>
      <w:r>
        <w:rPr/>
        <w:t>como servidores públicos municipales, deberán</w:t>
      </w:r>
      <w:r>
        <w:rPr>
          <w:spacing w:val="-1"/>
        </w:rPr>
        <w:t> </w:t>
      </w:r>
      <w:r>
        <w:rPr/>
        <w:t>cumplir como mínimo con un año fuera de su cargo para ingresar su solicitud de registro o refrendo ante la </w:t>
      </w:r>
      <w:r>
        <w:rPr>
          <w:spacing w:val="-2"/>
        </w:rPr>
        <w:t>CADROC.</w:t>
      </w:r>
    </w:p>
    <w:p>
      <w:pPr>
        <w:pStyle w:val="BodyText"/>
      </w:pPr>
    </w:p>
    <w:p>
      <w:pPr>
        <w:pStyle w:val="BodyText"/>
        <w:ind w:left="262" w:right="284"/>
        <w:jc w:val="both"/>
      </w:pPr>
      <w:r>
        <w:rPr>
          <w:rFonts w:ascii="Arial" w:hAnsi="Arial"/>
          <w:b/>
        </w:rPr>
        <w:t>ARTÍCULO 258. </w:t>
      </w:r>
      <w:r>
        <w:rPr/>
        <w:t>En caso de que algún Municipio no cuente con un Registro de Directores Responsables</w:t>
      </w:r>
      <w:r>
        <w:rPr>
          <w:spacing w:val="-13"/>
        </w:rPr>
        <w:t> </w:t>
      </w:r>
      <w:r>
        <w:rPr/>
        <w:t>de</w:t>
      </w:r>
      <w:r>
        <w:rPr>
          <w:spacing w:val="-12"/>
        </w:rPr>
        <w:t> </w:t>
      </w:r>
      <w:r>
        <w:rPr/>
        <w:t>Obra</w:t>
      </w:r>
      <w:r>
        <w:rPr>
          <w:spacing w:val="-14"/>
        </w:rPr>
        <w:t> </w:t>
      </w:r>
      <w:r>
        <w:rPr/>
        <w:t>y</w:t>
      </w:r>
      <w:r>
        <w:rPr>
          <w:spacing w:val="-11"/>
        </w:rPr>
        <w:t> </w:t>
      </w:r>
      <w:r>
        <w:rPr/>
        <w:t>Corresponsables,</w:t>
      </w:r>
      <w:r>
        <w:rPr>
          <w:spacing w:val="-14"/>
        </w:rPr>
        <w:t> </w:t>
      </w:r>
      <w:r>
        <w:rPr/>
        <w:t>se</w:t>
      </w:r>
      <w:r>
        <w:rPr>
          <w:spacing w:val="-13"/>
        </w:rPr>
        <w:t> </w:t>
      </w:r>
      <w:r>
        <w:rPr/>
        <w:t>auxiliará</w:t>
      </w:r>
      <w:r>
        <w:rPr>
          <w:spacing w:val="-14"/>
        </w:rPr>
        <w:t> </w:t>
      </w:r>
      <w:r>
        <w:rPr/>
        <w:t>de</w:t>
      </w:r>
      <w:r>
        <w:rPr>
          <w:spacing w:val="-13"/>
        </w:rPr>
        <w:t> </w:t>
      </w:r>
      <w:r>
        <w:rPr/>
        <w:t>los</w:t>
      </w:r>
      <w:r>
        <w:rPr>
          <w:spacing w:val="-14"/>
        </w:rPr>
        <w:t> </w:t>
      </w:r>
      <w:r>
        <w:rPr/>
        <w:t>servicios</w:t>
      </w:r>
      <w:r>
        <w:rPr>
          <w:spacing w:val="-11"/>
        </w:rPr>
        <w:t> </w:t>
      </w:r>
      <w:r>
        <w:rPr/>
        <w:t>de</w:t>
      </w:r>
      <w:r>
        <w:rPr>
          <w:spacing w:val="-13"/>
        </w:rPr>
        <w:t> </w:t>
      </w:r>
      <w:r>
        <w:rPr/>
        <w:t>profesionales</w:t>
      </w:r>
      <w:r>
        <w:rPr>
          <w:spacing w:val="-14"/>
        </w:rPr>
        <w:t> </w:t>
      </w:r>
      <w:r>
        <w:rPr/>
        <w:t>acreditados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9"/>
        <w:jc w:val="both"/>
      </w:pPr>
      <w:r>
        <w:rPr/>
        <w:t>en el Padrón Estatal, quedando a cargo de cada Municipio la supervisión y vigilancia de las obras </w:t>
      </w:r>
      <w:r>
        <w:rPr>
          <w:spacing w:val="-2"/>
        </w:rPr>
        <w:t>respectivas.</w:t>
      </w:r>
    </w:p>
    <w:p>
      <w:pPr>
        <w:pStyle w:val="BodyText"/>
      </w:pPr>
    </w:p>
    <w:p>
      <w:pPr>
        <w:pStyle w:val="BodyText"/>
        <w:spacing w:before="1"/>
      </w:pPr>
    </w:p>
    <w:p>
      <w:pPr>
        <w:pStyle w:val="Heading2"/>
        <w:spacing w:before="1"/>
        <w:ind w:right="15"/>
      </w:pPr>
      <w:r>
        <w:rPr/>
        <w:t>Sección</w:t>
      </w:r>
      <w:r>
        <w:rPr>
          <w:spacing w:val="-9"/>
        </w:rPr>
        <w:t> </w:t>
      </w:r>
      <w:r>
        <w:rPr>
          <w:spacing w:val="-2"/>
        </w:rPr>
        <w:t>Cuarta</w:t>
      </w:r>
    </w:p>
    <w:p>
      <w:pPr>
        <w:spacing w:before="228"/>
        <w:ind w:left="148" w:right="169" w:firstLine="0"/>
        <w:jc w:val="center"/>
        <w:rPr>
          <w:rFonts w:ascii="Arial"/>
          <w:b/>
          <w:sz w:val="20"/>
        </w:rPr>
      </w:pPr>
      <w:r>
        <w:rPr>
          <w:rFonts w:ascii="Arial"/>
          <w:b/>
          <w:sz w:val="20"/>
        </w:rPr>
        <w:t>Derechos</w:t>
      </w:r>
      <w:r>
        <w:rPr>
          <w:rFonts w:ascii="Arial"/>
          <w:b/>
          <w:spacing w:val="-8"/>
          <w:sz w:val="20"/>
        </w:rPr>
        <w:t> </w:t>
      </w:r>
      <w:r>
        <w:rPr>
          <w:rFonts w:ascii="Arial"/>
          <w:b/>
          <w:sz w:val="20"/>
        </w:rPr>
        <w:t>y</w:t>
      </w:r>
      <w:r>
        <w:rPr>
          <w:rFonts w:ascii="Arial"/>
          <w:b/>
          <w:spacing w:val="-8"/>
          <w:sz w:val="20"/>
        </w:rPr>
        <w:t> </w:t>
      </w:r>
      <w:r>
        <w:rPr>
          <w:rFonts w:ascii="Arial"/>
          <w:b/>
          <w:sz w:val="20"/>
        </w:rPr>
        <w:t>Obligaciones</w:t>
      </w:r>
      <w:r>
        <w:rPr>
          <w:rFonts w:ascii="Arial"/>
          <w:b/>
          <w:spacing w:val="-5"/>
          <w:sz w:val="20"/>
        </w:rPr>
        <w:t> </w:t>
      </w:r>
      <w:r>
        <w:rPr>
          <w:rFonts w:ascii="Arial"/>
          <w:b/>
          <w:sz w:val="20"/>
        </w:rPr>
        <w:t>de</w:t>
      </w:r>
      <w:r>
        <w:rPr>
          <w:rFonts w:ascii="Arial"/>
          <w:b/>
          <w:spacing w:val="-7"/>
          <w:sz w:val="20"/>
        </w:rPr>
        <w:t> </w:t>
      </w:r>
      <w:r>
        <w:rPr>
          <w:rFonts w:ascii="Arial"/>
          <w:b/>
          <w:sz w:val="20"/>
        </w:rPr>
        <w:t>los</w:t>
      </w:r>
      <w:r>
        <w:rPr>
          <w:rFonts w:ascii="Arial"/>
          <w:b/>
          <w:spacing w:val="-7"/>
          <w:sz w:val="20"/>
        </w:rPr>
        <w:t> </w:t>
      </w:r>
      <w:r>
        <w:rPr>
          <w:rFonts w:ascii="Arial"/>
          <w:b/>
          <w:sz w:val="20"/>
        </w:rPr>
        <w:t>Directores</w:t>
      </w:r>
      <w:r>
        <w:rPr>
          <w:rFonts w:ascii="Arial"/>
          <w:b/>
          <w:spacing w:val="-6"/>
          <w:sz w:val="20"/>
        </w:rPr>
        <w:t> </w:t>
      </w:r>
      <w:r>
        <w:rPr>
          <w:rFonts w:ascii="Arial"/>
          <w:b/>
          <w:sz w:val="20"/>
        </w:rPr>
        <w:t>Responsables</w:t>
      </w:r>
      <w:r>
        <w:rPr>
          <w:rFonts w:ascii="Arial"/>
          <w:b/>
          <w:spacing w:val="-6"/>
          <w:sz w:val="20"/>
        </w:rPr>
        <w:t> </w:t>
      </w:r>
      <w:r>
        <w:rPr>
          <w:rFonts w:ascii="Arial"/>
          <w:b/>
          <w:sz w:val="20"/>
        </w:rPr>
        <w:t>de</w:t>
      </w:r>
      <w:r>
        <w:rPr>
          <w:rFonts w:ascii="Arial"/>
          <w:b/>
          <w:spacing w:val="-7"/>
          <w:sz w:val="20"/>
        </w:rPr>
        <w:t> </w:t>
      </w:r>
      <w:r>
        <w:rPr>
          <w:rFonts w:ascii="Arial"/>
          <w:b/>
          <w:sz w:val="20"/>
        </w:rPr>
        <w:t>Obra</w:t>
      </w:r>
      <w:r>
        <w:rPr>
          <w:rFonts w:ascii="Arial"/>
          <w:b/>
          <w:spacing w:val="-7"/>
          <w:sz w:val="20"/>
        </w:rPr>
        <w:t> </w:t>
      </w:r>
      <w:r>
        <w:rPr>
          <w:rFonts w:ascii="Arial"/>
          <w:b/>
          <w:sz w:val="20"/>
        </w:rPr>
        <w:t>y</w:t>
      </w:r>
      <w:r>
        <w:rPr>
          <w:rFonts w:ascii="Arial"/>
          <w:b/>
          <w:spacing w:val="-8"/>
          <w:sz w:val="20"/>
        </w:rPr>
        <w:t> </w:t>
      </w:r>
      <w:r>
        <w:rPr>
          <w:rFonts w:ascii="Arial"/>
          <w:b/>
          <w:spacing w:val="-2"/>
          <w:sz w:val="20"/>
        </w:rPr>
        <w:t>Corresponsables</w:t>
      </w:r>
    </w:p>
    <w:p>
      <w:pPr>
        <w:pStyle w:val="BodyText"/>
        <w:spacing w:before="1"/>
        <w:rPr>
          <w:rFonts w:ascii="Arial"/>
          <w:b/>
        </w:rPr>
      </w:pPr>
    </w:p>
    <w:p>
      <w:pPr>
        <w:pStyle w:val="BodyText"/>
        <w:ind w:left="262" w:right="282"/>
        <w:jc w:val="both"/>
      </w:pPr>
      <w:r>
        <w:rPr>
          <w:rFonts w:ascii="Arial" w:hAnsi="Arial"/>
          <w:b/>
        </w:rPr>
        <w:t>ARTÍCULO 259. </w:t>
      </w:r>
      <w:r>
        <w:rPr/>
        <w:t>Los Directores Responsables de Obra o Corresponsables y demás peritos requeridos según la obra de que se trate, serán responsables solidarios de la ejecución de los proyectos,</w:t>
      </w:r>
      <w:r>
        <w:rPr>
          <w:spacing w:val="-11"/>
        </w:rPr>
        <w:t> </w:t>
      </w:r>
      <w:r>
        <w:rPr/>
        <w:t>memorias</w:t>
      </w:r>
      <w:r>
        <w:rPr>
          <w:spacing w:val="-10"/>
        </w:rPr>
        <w:t> </w:t>
      </w:r>
      <w:r>
        <w:rPr/>
        <w:t>de</w:t>
      </w:r>
      <w:r>
        <w:rPr>
          <w:spacing w:val="-12"/>
        </w:rPr>
        <w:t> </w:t>
      </w:r>
      <w:r>
        <w:rPr/>
        <w:t>cálculo</w:t>
      </w:r>
      <w:r>
        <w:rPr>
          <w:spacing w:val="-11"/>
        </w:rPr>
        <w:t> </w:t>
      </w:r>
      <w:r>
        <w:rPr/>
        <w:t>y</w:t>
      </w:r>
      <w:r>
        <w:rPr>
          <w:spacing w:val="-10"/>
        </w:rPr>
        <w:t> </w:t>
      </w:r>
      <w:r>
        <w:rPr/>
        <w:t>edificación</w:t>
      </w:r>
      <w:r>
        <w:rPr>
          <w:spacing w:val="-11"/>
        </w:rPr>
        <w:t> </w:t>
      </w:r>
      <w:r>
        <w:rPr/>
        <w:t>de</w:t>
      </w:r>
      <w:r>
        <w:rPr>
          <w:spacing w:val="-10"/>
        </w:rPr>
        <w:t> </w:t>
      </w:r>
      <w:r>
        <w:rPr/>
        <w:t>las</w:t>
      </w:r>
      <w:r>
        <w:rPr>
          <w:spacing w:val="-8"/>
        </w:rPr>
        <w:t> </w:t>
      </w:r>
      <w:r>
        <w:rPr/>
        <w:t>obras</w:t>
      </w:r>
      <w:r>
        <w:rPr>
          <w:spacing w:val="-10"/>
        </w:rPr>
        <w:t> </w:t>
      </w:r>
      <w:r>
        <w:rPr/>
        <w:t>en</w:t>
      </w:r>
      <w:r>
        <w:rPr>
          <w:spacing w:val="-9"/>
        </w:rPr>
        <w:t> </w:t>
      </w:r>
      <w:r>
        <w:rPr/>
        <w:t>las</w:t>
      </w:r>
      <w:r>
        <w:rPr>
          <w:spacing w:val="-10"/>
        </w:rPr>
        <w:t> </w:t>
      </w:r>
      <w:r>
        <w:rPr/>
        <w:t>que</w:t>
      </w:r>
      <w:r>
        <w:rPr>
          <w:spacing w:val="-11"/>
        </w:rPr>
        <w:t> </w:t>
      </w:r>
      <w:r>
        <w:rPr/>
        <w:t>hayan</w:t>
      </w:r>
      <w:r>
        <w:rPr>
          <w:spacing w:val="-12"/>
        </w:rPr>
        <w:t> </w:t>
      </w:r>
      <w:r>
        <w:rPr/>
        <w:t>otorgado</w:t>
      </w:r>
      <w:r>
        <w:rPr>
          <w:spacing w:val="-12"/>
        </w:rPr>
        <w:t> </w:t>
      </w:r>
      <w:r>
        <w:rPr/>
        <w:t>responsiva.</w:t>
      </w:r>
      <w:r>
        <w:rPr>
          <w:spacing w:val="-12"/>
        </w:rPr>
        <w:t> </w:t>
      </w:r>
      <w:r>
        <w:rPr/>
        <w:t>No serán</w:t>
      </w:r>
      <w:r>
        <w:rPr>
          <w:spacing w:val="-9"/>
        </w:rPr>
        <w:t> </w:t>
      </w:r>
      <w:r>
        <w:rPr/>
        <w:t>responsables</w:t>
      </w:r>
      <w:r>
        <w:rPr>
          <w:spacing w:val="-8"/>
        </w:rPr>
        <w:t> </w:t>
      </w:r>
      <w:r>
        <w:rPr/>
        <w:t>solidarios</w:t>
      </w:r>
      <w:r>
        <w:rPr>
          <w:spacing w:val="-8"/>
        </w:rPr>
        <w:t> </w:t>
      </w:r>
      <w:r>
        <w:rPr/>
        <w:t>de</w:t>
      </w:r>
      <w:r>
        <w:rPr>
          <w:spacing w:val="-7"/>
        </w:rPr>
        <w:t> </w:t>
      </w:r>
      <w:r>
        <w:rPr/>
        <w:t>los</w:t>
      </w:r>
      <w:r>
        <w:rPr>
          <w:spacing w:val="-8"/>
        </w:rPr>
        <w:t> </w:t>
      </w:r>
      <w:r>
        <w:rPr/>
        <w:t>pagos</w:t>
      </w:r>
      <w:r>
        <w:rPr>
          <w:spacing w:val="-5"/>
        </w:rPr>
        <w:t> </w:t>
      </w:r>
      <w:r>
        <w:rPr/>
        <w:t>de</w:t>
      </w:r>
      <w:r>
        <w:rPr>
          <w:spacing w:val="-7"/>
        </w:rPr>
        <w:t> </w:t>
      </w:r>
      <w:r>
        <w:rPr/>
        <w:t>derechos</w:t>
      </w:r>
      <w:r>
        <w:rPr>
          <w:spacing w:val="-8"/>
        </w:rPr>
        <w:t> </w:t>
      </w:r>
      <w:r>
        <w:rPr/>
        <w:t>o</w:t>
      </w:r>
      <w:r>
        <w:rPr>
          <w:spacing w:val="-9"/>
        </w:rPr>
        <w:t> </w:t>
      </w:r>
      <w:r>
        <w:rPr/>
        <w:t>impuestos,</w:t>
      </w:r>
      <w:r>
        <w:rPr>
          <w:spacing w:val="-6"/>
        </w:rPr>
        <w:t> </w:t>
      </w:r>
      <w:r>
        <w:rPr/>
        <w:t>multas</w:t>
      </w:r>
      <w:r>
        <w:rPr>
          <w:spacing w:val="-6"/>
        </w:rPr>
        <w:t> </w:t>
      </w:r>
      <w:r>
        <w:rPr/>
        <w:t>o</w:t>
      </w:r>
      <w:r>
        <w:rPr>
          <w:spacing w:val="-9"/>
        </w:rPr>
        <w:t> </w:t>
      </w:r>
      <w:r>
        <w:rPr/>
        <w:t>sanciones</w:t>
      </w:r>
      <w:r>
        <w:rPr>
          <w:spacing w:val="-8"/>
        </w:rPr>
        <w:t> </w:t>
      </w:r>
      <w:r>
        <w:rPr/>
        <w:t>derivadas del incumplimiento del proyecto aprobado, que corresponda pagar al propietario.</w:t>
      </w:r>
    </w:p>
    <w:p>
      <w:pPr>
        <w:pStyle w:val="BodyText"/>
      </w:pPr>
    </w:p>
    <w:p>
      <w:pPr>
        <w:pStyle w:val="BodyText"/>
        <w:spacing w:before="1"/>
        <w:ind w:left="262" w:right="275"/>
        <w:jc w:val="both"/>
      </w:pPr>
      <w:r>
        <w:rPr>
          <w:rFonts w:ascii="Arial" w:hAnsi="Arial"/>
          <w:b/>
        </w:rPr>
        <w:t>ARTÍCULO</w:t>
      </w:r>
      <w:r>
        <w:rPr>
          <w:rFonts w:ascii="Arial" w:hAnsi="Arial"/>
          <w:b/>
          <w:spacing w:val="-5"/>
        </w:rPr>
        <w:t> </w:t>
      </w:r>
      <w:r>
        <w:rPr>
          <w:rFonts w:ascii="Arial" w:hAnsi="Arial"/>
          <w:b/>
        </w:rPr>
        <w:t>260.</w:t>
      </w:r>
      <w:r>
        <w:rPr>
          <w:rFonts w:ascii="Arial" w:hAnsi="Arial"/>
          <w:b/>
          <w:spacing w:val="-3"/>
        </w:rPr>
        <w:t> </w:t>
      </w:r>
      <w:r>
        <w:rPr/>
        <w:t>Respecto</w:t>
      </w:r>
      <w:r>
        <w:rPr>
          <w:spacing w:val="-5"/>
        </w:rPr>
        <w:t> </w:t>
      </w:r>
      <w:r>
        <w:rPr/>
        <w:t>de</w:t>
      </w:r>
      <w:r>
        <w:rPr>
          <w:spacing w:val="-5"/>
        </w:rPr>
        <w:t> </w:t>
      </w:r>
      <w:r>
        <w:rPr/>
        <w:t>un</w:t>
      </w:r>
      <w:r>
        <w:rPr>
          <w:spacing w:val="-5"/>
        </w:rPr>
        <w:t> </w:t>
      </w:r>
      <w:r>
        <w:rPr/>
        <w:t>proyecto,</w:t>
      </w:r>
      <w:r>
        <w:rPr>
          <w:spacing w:val="-5"/>
        </w:rPr>
        <w:t> </w:t>
      </w:r>
      <w:r>
        <w:rPr/>
        <w:t>obra</w:t>
      </w:r>
      <w:r>
        <w:rPr>
          <w:spacing w:val="-4"/>
        </w:rPr>
        <w:t> </w:t>
      </w:r>
      <w:r>
        <w:rPr/>
        <w:t>o</w:t>
      </w:r>
      <w:r>
        <w:rPr>
          <w:spacing w:val="-7"/>
        </w:rPr>
        <w:t> </w:t>
      </w:r>
      <w:r>
        <w:rPr/>
        <w:t>peritaje</w:t>
      </w:r>
      <w:r>
        <w:rPr>
          <w:spacing w:val="-7"/>
        </w:rPr>
        <w:t> </w:t>
      </w:r>
      <w:r>
        <w:rPr/>
        <w:t>determinado,</w:t>
      </w:r>
      <w:r>
        <w:rPr>
          <w:spacing w:val="-4"/>
        </w:rPr>
        <w:t> </w:t>
      </w:r>
      <w:r>
        <w:rPr/>
        <w:t>el</w:t>
      </w:r>
      <w:r>
        <w:rPr>
          <w:spacing w:val="-7"/>
        </w:rPr>
        <w:t> </w:t>
      </w:r>
      <w:r>
        <w:rPr/>
        <w:t>Director</w:t>
      </w:r>
      <w:r>
        <w:rPr>
          <w:spacing w:val="-4"/>
        </w:rPr>
        <w:t> </w:t>
      </w:r>
      <w:r>
        <w:rPr/>
        <w:t>Responsable</w:t>
      </w:r>
      <w:r>
        <w:rPr>
          <w:spacing w:val="-5"/>
        </w:rPr>
        <w:t> </w:t>
      </w:r>
      <w:r>
        <w:rPr/>
        <w:t>de Obra o Corresponsable asumirá conforme a su especialidad, las funciones, obligaciones y responsabilidades conducentes, mediante alguno de los actos que a continuación se indican y en los cuales sea competente:</w:t>
      </w:r>
    </w:p>
    <w:p>
      <w:pPr>
        <w:pStyle w:val="ListParagraph"/>
        <w:numPr>
          <w:ilvl w:val="0"/>
          <w:numId w:val="96"/>
        </w:numPr>
        <w:tabs>
          <w:tab w:pos="543" w:val="left" w:leader="none"/>
        </w:tabs>
        <w:spacing w:line="240" w:lineRule="auto" w:before="229" w:after="0"/>
        <w:ind w:left="262" w:right="282" w:firstLine="0"/>
        <w:jc w:val="both"/>
        <w:rPr>
          <w:sz w:val="20"/>
        </w:rPr>
      </w:pPr>
      <w:r>
        <w:rPr>
          <w:sz w:val="20"/>
        </w:rPr>
        <w:t>Contratos de prestación de servicios profesionales o cualquier otro acto, convenio, declaración, certificación o constancia que así lo acredite, otorgado por la persona física o moral que haya encargado</w:t>
      </w:r>
      <w:r>
        <w:rPr>
          <w:spacing w:val="-5"/>
          <w:sz w:val="20"/>
        </w:rPr>
        <w:t> </w:t>
      </w:r>
      <w:r>
        <w:rPr>
          <w:sz w:val="20"/>
        </w:rPr>
        <w:t>la</w:t>
      </w:r>
      <w:r>
        <w:rPr>
          <w:spacing w:val="-5"/>
          <w:sz w:val="20"/>
        </w:rPr>
        <w:t> </w:t>
      </w:r>
      <w:r>
        <w:rPr>
          <w:sz w:val="20"/>
        </w:rPr>
        <w:t>elaboración</w:t>
      </w:r>
      <w:r>
        <w:rPr>
          <w:spacing w:val="-5"/>
          <w:sz w:val="20"/>
        </w:rPr>
        <w:t> </w:t>
      </w:r>
      <w:r>
        <w:rPr>
          <w:sz w:val="20"/>
        </w:rPr>
        <w:t>del</w:t>
      </w:r>
      <w:r>
        <w:rPr>
          <w:spacing w:val="-5"/>
          <w:sz w:val="20"/>
        </w:rPr>
        <w:t> </w:t>
      </w:r>
      <w:r>
        <w:rPr>
          <w:sz w:val="20"/>
        </w:rPr>
        <w:t>proyecto</w:t>
      </w:r>
      <w:r>
        <w:rPr>
          <w:spacing w:val="-7"/>
          <w:sz w:val="20"/>
        </w:rPr>
        <w:t> </w:t>
      </w:r>
      <w:r>
        <w:rPr>
          <w:sz w:val="20"/>
        </w:rPr>
        <w:t>y/o</w:t>
      </w:r>
      <w:r>
        <w:rPr>
          <w:spacing w:val="-5"/>
          <w:sz w:val="20"/>
        </w:rPr>
        <w:t> </w:t>
      </w:r>
      <w:r>
        <w:rPr>
          <w:sz w:val="20"/>
        </w:rPr>
        <w:t>la</w:t>
      </w:r>
      <w:r>
        <w:rPr>
          <w:spacing w:val="-7"/>
          <w:sz w:val="20"/>
        </w:rPr>
        <w:t> </w:t>
      </w:r>
      <w:r>
        <w:rPr>
          <w:sz w:val="20"/>
        </w:rPr>
        <w:t>ejecución</w:t>
      </w:r>
      <w:r>
        <w:rPr>
          <w:spacing w:val="-5"/>
          <w:sz w:val="20"/>
        </w:rPr>
        <w:t> </w:t>
      </w:r>
      <w:r>
        <w:rPr>
          <w:sz w:val="20"/>
        </w:rPr>
        <w:t>de</w:t>
      </w:r>
      <w:r>
        <w:rPr>
          <w:spacing w:val="-5"/>
          <w:sz w:val="20"/>
        </w:rPr>
        <w:t> </w:t>
      </w:r>
      <w:r>
        <w:rPr>
          <w:sz w:val="20"/>
        </w:rPr>
        <w:t>la</w:t>
      </w:r>
      <w:r>
        <w:rPr>
          <w:spacing w:val="-5"/>
          <w:sz w:val="20"/>
        </w:rPr>
        <w:t> </w:t>
      </w:r>
      <w:r>
        <w:rPr>
          <w:sz w:val="20"/>
        </w:rPr>
        <w:t>obra</w:t>
      </w:r>
      <w:r>
        <w:rPr>
          <w:spacing w:val="-7"/>
          <w:sz w:val="20"/>
        </w:rPr>
        <w:t> </w:t>
      </w:r>
      <w:r>
        <w:rPr>
          <w:sz w:val="20"/>
        </w:rPr>
        <w:t>y</w:t>
      </w:r>
      <w:r>
        <w:rPr>
          <w:spacing w:val="-5"/>
          <w:sz w:val="20"/>
        </w:rPr>
        <w:t> </w:t>
      </w:r>
      <w:r>
        <w:rPr>
          <w:sz w:val="20"/>
        </w:rPr>
        <w:t>el</w:t>
      </w:r>
      <w:r>
        <w:rPr>
          <w:spacing w:val="-5"/>
          <w:sz w:val="20"/>
        </w:rPr>
        <w:t> </w:t>
      </w:r>
      <w:r>
        <w:rPr>
          <w:sz w:val="20"/>
        </w:rPr>
        <w:t>director</w:t>
      </w:r>
      <w:r>
        <w:rPr>
          <w:spacing w:val="-4"/>
          <w:sz w:val="20"/>
        </w:rPr>
        <w:t> </w:t>
      </w:r>
      <w:r>
        <w:rPr>
          <w:sz w:val="20"/>
        </w:rPr>
        <w:t>responsable</w:t>
      </w:r>
      <w:r>
        <w:rPr>
          <w:spacing w:val="-5"/>
          <w:sz w:val="20"/>
        </w:rPr>
        <w:t> </w:t>
      </w:r>
      <w:r>
        <w:rPr>
          <w:sz w:val="20"/>
        </w:rPr>
        <w:t>de</w:t>
      </w:r>
      <w:r>
        <w:rPr>
          <w:spacing w:val="40"/>
          <w:sz w:val="20"/>
        </w:rPr>
        <w:t> </w:t>
      </w:r>
      <w:r>
        <w:rPr>
          <w:sz w:val="20"/>
        </w:rPr>
        <w:t>obra;</w:t>
      </w:r>
    </w:p>
    <w:p>
      <w:pPr>
        <w:pStyle w:val="ListParagraph"/>
        <w:numPr>
          <w:ilvl w:val="0"/>
          <w:numId w:val="96"/>
        </w:numPr>
        <w:tabs>
          <w:tab w:pos="543" w:val="left" w:leader="none"/>
        </w:tabs>
        <w:spacing w:line="240" w:lineRule="auto" w:before="230" w:after="0"/>
        <w:ind w:left="262" w:right="289" w:firstLine="0"/>
        <w:jc w:val="both"/>
        <w:rPr>
          <w:sz w:val="20"/>
        </w:rPr>
      </w:pPr>
      <w:r>
        <w:rPr>
          <w:sz w:val="20"/>
        </w:rPr>
        <w:t>La firma de los planos arquitectónicos, de diseño urbano, de instalaciones y estructurales de un proyecto u obra;</w:t>
      </w:r>
    </w:p>
    <w:p>
      <w:pPr>
        <w:pStyle w:val="BodyText"/>
        <w:spacing w:before="1"/>
      </w:pPr>
    </w:p>
    <w:p>
      <w:pPr>
        <w:pStyle w:val="ListParagraph"/>
        <w:numPr>
          <w:ilvl w:val="0"/>
          <w:numId w:val="96"/>
        </w:numPr>
        <w:tabs>
          <w:tab w:pos="597" w:val="left" w:leader="none"/>
        </w:tabs>
        <w:spacing w:line="240" w:lineRule="auto" w:before="0" w:after="0"/>
        <w:ind w:left="262" w:right="287" w:firstLine="0"/>
        <w:jc w:val="both"/>
        <w:rPr>
          <w:sz w:val="20"/>
        </w:rPr>
      </w:pPr>
      <w:r>
        <w:rPr>
          <w:sz w:val="20"/>
        </w:rPr>
        <w:t>La firma del proyecto de fraccionamiento, desarrollo en condominio o desarrollo inmobiliario especial</w:t>
      </w:r>
      <w:r>
        <w:rPr>
          <w:spacing w:val="40"/>
          <w:sz w:val="20"/>
        </w:rPr>
        <w:t> </w:t>
      </w:r>
      <w:r>
        <w:rPr>
          <w:sz w:val="20"/>
        </w:rPr>
        <w:t>y de sus obras de urbanización y edificación;</w:t>
      </w:r>
    </w:p>
    <w:p>
      <w:pPr>
        <w:pStyle w:val="ListParagraph"/>
        <w:numPr>
          <w:ilvl w:val="0"/>
          <w:numId w:val="96"/>
        </w:numPr>
        <w:tabs>
          <w:tab w:pos="688" w:val="left" w:leader="none"/>
        </w:tabs>
        <w:spacing w:line="240" w:lineRule="auto" w:before="229" w:after="0"/>
        <w:ind w:left="688" w:right="0" w:hanging="426"/>
        <w:jc w:val="both"/>
        <w:rPr>
          <w:sz w:val="20"/>
        </w:rPr>
      </w:pPr>
      <w:r>
        <w:rPr>
          <w:sz w:val="20"/>
        </w:rPr>
        <w:t>La</w:t>
      </w:r>
      <w:r>
        <w:rPr>
          <w:spacing w:val="-9"/>
          <w:sz w:val="20"/>
        </w:rPr>
        <w:t> </w:t>
      </w:r>
      <w:r>
        <w:rPr>
          <w:sz w:val="20"/>
        </w:rPr>
        <w:t>suscripción</w:t>
      </w:r>
      <w:r>
        <w:rPr>
          <w:spacing w:val="-7"/>
          <w:sz w:val="20"/>
        </w:rPr>
        <w:t> </w:t>
      </w:r>
      <w:r>
        <w:rPr>
          <w:sz w:val="20"/>
        </w:rPr>
        <w:t>de</w:t>
      </w:r>
      <w:r>
        <w:rPr>
          <w:spacing w:val="-7"/>
          <w:sz w:val="20"/>
        </w:rPr>
        <w:t> </w:t>
      </w:r>
      <w:r>
        <w:rPr>
          <w:sz w:val="20"/>
        </w:rPr>
        <w:t>las</w:t>
      </w:r>
      <w:r>
        <w:rPr>
          <w:spacing w:val="-6"/>
          <w:sz w:val="20"/>
        </w:rPr>
        <w:t> </w:t>
      </w:r>
      <w:r>
        <w:rPr>
          <w:sz w:val="20"/>
        </w:rPr>
        <w:t>solicitudes</w:t>
      </w:r>
      <w:r>
        <w:rPr>
          <w:spacing w:val="-7"/>
          <w:sz w:val="20"/>
        </w:rPr>
        <w:t> </w:t>
      </w:r>
      <w:r>
        <w:rPr>
          <w:sz w:val="20"/>
        </w:rPr>
        <w:t>de</w:t>
      </w:r>
      <w:r>
        <w:rPr>
          <w:spacing w:val="-7"/>
          <w:sz w:val="20"/>
        </w:rPr>
        <w:t> </w:t>
      </w:r>
      <w:r>
        <w:rPr>
          <w:sz w:val="20"/>
        </w:rPr>
        <w:t>licencias</w:t>
      </w:r>
      <w:r>
        <w:rPr>
          <w:spacing w:val="-6"/>
          <w:sz w:val="20"/>
        </w:rPr>
        <w:t> </w:t>
      </w:r>
      <w:r>
        <w:rPr>
          <w:sz w:val="20"/>
        </w:rPr>
        <w:t>municipales</w:t>
      </w:r>
      <w:r>
        <w:rPr>
          <w:spacing w:val="-6"/>
          <w:sz w:val="20"/>
        </w:rPr>
        <w:t> </w:t>
      </w:r>
      <w:r>
        <w:rPr>
          <w:sz w:val="20"/>
        </w:rPr>
        <w:t>de</w:t>
      </w:r>
      <w:r>
        <w:rPr>
          <w:spacing w:val="-9"/>
          <w:sz w:val="20"/>
        </w:rPr>
        <w:t> </w:t>
      </w:r>
      <w:r>
        <w:rPr>
          <w:spacing w:val="-2"/>
          <w:sz w:val="20"/>
        </w:rPr>
        <w:t>construcción;</w:t>
      </w:r>
    </w:p>
    <w:p>
      <w:pPr>
        <w:pStyle w:val="BodyText"/>
        <w:spacing w:before="1"/>
      </w:pPr>
    </w:p>
    <w:p>
      <w:pPr>
        <w:pStyle w:val="ListParagraph"/>
        <w:numPr>
          <w:ilvl w:val="0"/>
          <w:numId w:val="96"/>
        </w:numPr>
        <w:tabs>
          <w:tab w:pos="544" w:val="left" w:leader="none"/>
        </w:tabs>
        <w:spacing w:line="240" w:lineRule="auto" w:before="0" w:after="0"/>
        <w:ind w:left="262" w:right="288" w:firstLine="0"/>
        <w:jc w:val="both"/>
        <w:rPr>
          <w:sz w:val="20"/>
        </w:rPr>
      </w:pPr>
      <w:r>
        <w:rPr>
          <w:sz w:val="20"/>
        </w:rPr>
        <w:t>La suscripción de los dictámenes de estabilidad o seguridad de un inmueble, así como los manuales de operación y mantenimiento de edificios;</w:t>
      </w:r>
    </w:p>
    <w:p>
      <w:pPr>
        <w:pStyle w:val="ListParagraph"/>
        <w:numPr>
          <w:ilvl w:val="0"/>
          <w:numId w:val="96"/>
        </w:numPr>
        <w:tabs>
          <w:tab w:pos="688" w:val="left" w:leader="none"/>
        </w:tabs>
        <w:spacing w:line="240" w:lineRule="auto" w:before="229" w:after="0"/>
        <w:ind w:left="262" w:right="288" w:firstLine="0"/>
        <w:jc w:val="both"/>
        <w:rPr>
          <w:sz w:val="20"/>
        </w:rPr>
      </w:pPr>
      <w:r>
        <w:rPr>
          <w:sz w:val="20"/>
        </w:rPr>
        <w:t>La firma de la solicitud de permiso para la habilitación y funcionamiento de las instalaciones y aparatos</w:t>
      </w:r>
      <w:r>
        <w:rPr>
          <w:spacing w:val="-5"/>
          <w:sz w:val="20"/>
        </w:rPr>
        <w:t> </w:t>
      </w:r>
      <w:r>
        <w:rPr>
          <w:sz w:val="20"/>
        </w:rPr>
        <w:t>mecánicos</w:t>
      </w:r>
      <w:r>
        <w:rPr>
          <w:spacing w:val="-5"/>
          <w:sz w:val="20"/>
        </w:rPr>
        <w:t> </w:t>
      </w:r>
      <w:r>
        <w:rPr>
          <w:sz w:val="20"/>
        </w:rPr>
        <w:t>de</w:t>
      </w:r>
      <w:r>
        <w:rPr>
          <w:spacing w:val="-6"/>
          <w:sz w:val="20"/>
        </w:rPr>
        <w:t> </w:t>
      </w:r>
      <w:r>
        <w:rPr>
          <w:sz w:val="20"/>
        </w:rPr>
        <w:t>ferias,</w:t>
      </w:r>
      <w:r>
        <w:rPr>
          <w:spacing w:val="-6"/>
          <w:sz w:val="20"/>
        </w:rPr>
        <w:t> </w:t>
      </w:r>
      <w:r>
        <w:rPr>
          <w:sz w:val="20"/>
        </w:rPr>
        <w:t>juegos,</w:t>
      </w:r>
      <w:r>
        <w:rPr>
          <w:spacing w:val="-6"/>
          <w:sz w:val="20"/>
        </w:rPr>
        <w:t> </w:t>
      </w:r>
      <w:r>
        <w:rPr>
          <w:sz w:val="20"/>
        </w:rPr>
        <w:t>circos</w:t>
      </w:r>
      <w:r>
        <w:rPr>
          <w:spacing w:val="-5"/>
          <w:sz w:val="20"/>
        </w:rPr>
        <w:t> </w:t>
      </w:r>
      <w:r>
        <w:rPr>
          <w:sz w:val="20"/>
        </w:rPr>
        <w:t>y</w:t>
      </w:r>
      <w:r>
        <w:rPr>
          <w:spacing w:val="-5"/>
          <w:sz w:val="20"/>
        </w:rPr>
        <w:t> </w:t>
      </w:r>
      <w:r>
        <w:rPr>
          <w:sz w:val="20"/>
        </w:rPr>
        <w:t>demás</w:t>
      </w:r>
      <w:r>
        <w:rPr>
          <w:spacing w:val="-3"/>
          <w:sz w:val="20"/>
        </w:rPr>
        <w:t> </w:t>
      </w:r>
      <w:r>
        <w:rPr>
          <w:sz w:val="20"/>
        </w:rPr>
        <w:t>establecimientos</w:t>
      </w:r>
      <w:r>
        <w:rPr>
          <w:spacing w:val="-5"/>
          <w:sz w:val="20"/>
        </w:rPr>
        <w:t> </w:t>
      </w:r>
      <w:r>
        <w:rPr>
          <w:sz w:val="20"/>
        </w:rPr>
        <w:t>o</w:t>
      </w:r>
      <w:r>
        <w:rPr>
          <w:spacing w:val="-4"/>
          <w:sz w:val="20"/>
        </w:rPr>
        <w:t> </w:t>
      </w:r>
      <w:r>
        <w:rPr>
          <w:sz w:val="20"/>
        </w:rPr>
        <w:t>instalaciones</w:t>
      </w:r>
      <w:r>
        <w:rPr>
          <w:spacing w:val="-5"/>
          <w:sz w:val="20"/>
        </w:rPr>
        <w:t> </w:t>
      </w:r>
      <w:r>
        <w:rPr>
          <w:sz w:val="20"/>
        </w:rPr>
        <w:t>semejantes;</w:t>
      </w:r>
    </w:p>
    <w:p>
      <w:pPr>
        <w:pStyle w:val="BodyText"/>
        <w:spacing w:before="1"/>
      </w:pPr>
    </w:p>
    <w:p>
      <w:pPr>
        <w:pStyle w:val="ListParagraph"/>
        <w:numPr>
          <w:ilvl w:val="0"/>
          <w:numId w:val="96"/>
        </w:numPr>
        <w:tabs>
          <w:tab w:pos="688" w:val="left" w:leader="none"/>
        </w:tabs>
        <w:spacing w:line="240" w:lineRule="auto" w:before="0" w:after="0"/>
        <w:ind w:left="262" w:right="287" w:firstLine="0"/>
        <w:jc w:val="both"/>
        <w:rPr>
          <w:sz w:val="20"/>
        </w:rPr>
      </w:pPr>
      <w:r>
        <w:rPr>
          <w:sz w:val="20"/>
        </w:rPr>
        <w:t>La</w:t>
      </w:r>
      <w:r>
        <w:rPr>
          <w:spacing w:val="-4"/>
          <w:sz w:val="20"/>
        </w:rPr>
        <w:t> </w:t>
      </w:r>
      <w:r>
        <w:rPr>
          <w:sz w:val="20"/>
        </w:rPr>
        <w:t>suscripción</w:t>
      </w:r>
      <w:r>
        <w:rPr>
          <w:spacing w:val="-1"/>
          <w:sz w:val="20"/>
        </w:rPr>
        <w:t> </w:t>
      </w:r>
      <w:r>
        <w:rPr>
          <w:sz w:val="20"/>
        </w:rPr>
        <w:t>del</w:t>
      </w:r>
      <w:r>
        <w:rPr>
          <w:spacing w:val="-4"/>
          <w:sz w:val="20"/>
        </w:rPr>
        <w:t> </w:t>
      </w:r>
      <w:r>
        <w:rPr>
          <w:sz w:val="20"/>
        </w:rPr>
        <w:t>respectivo</w:t>
      </w:r>
      <w:r>
        <w:rPr>
          <w:spacing w:val="-3"/>
          <w:sz w:val="20"/>
        </w:rPr>
        <w:t> </w:t>
      </w:r>
      <w:r>
        <w:rPr>
          <w:sz w:val="20"/>
        </w:rPr>
        <w:t>estudio</w:t>
      </w:r>
      <w:r>
        <w:rPr>
          <w:spacing w:val="-3"/>
          <w:sz w:val="20"/>
        </w:rPr>
        <w:t> </w:t>
      </w:r>
      <w:r>
        <w:rPr>
          <w:sz w:val="20"/>
        </w:rPr>
        <w:t>de</w:t>
      </w:r>
      <w:r>
        <w:rPr>
          <w:spacing w:val="-1"/>
          <w:sz w:val="20"/>
        </w:rPr>
        <w:t> </w:t>
      </w:r>
      <w:r>
        <w:rPr>
          <w:sz w:val="20"/>
        </w:rPr>
        <w:t>impacto</w:t>
      </w:r>
      <w:r>
        <w:rPr>
          <w:spacing w:val="-3"/>
          <w:sz w:val="20"/>
        </w:rPr>
        <w:t> </w:t>
      </w:r>
      <w:r>
        <w:rPr>
          <w:sz w:val="20"/>
        </w:rPr>
        <w:t>urbano</w:t>
      </w:r>
      <w:r>
        <w:rPr>
          <w:spacing w:val="-4"/>
          <w:sz w:val="20"/>
        </w:rPr>
        <w:t> </w:t>
      </w:r>
      <w:r>
        <w:rPr>
          <w:sz w:val="20"/>
        </w:rPr>
        <w:t>significativo</w:t>
      </w:r>
      <w:r>
        <w:rPr>
          <w:spacing w:val="-1"/>
          <w:sz w:val="20"/>
        </w:rPr>
        <w:t> </w:t>
      </w:r>
      <w:r>
        <w:rPr>
          <w:sz w:val="20"/>
        </w:rPr>
        <w:t>o</w:t>
      </w:r>
      <w:r>
        <w:rPr>
          <w:spacing w:val="-3"/>
          <w:sz w:val="20"/>
        </w:rPr>
        <w:t> </w:t>
      </w:r>
      <w:r>
        <w:rPr>
          <w:sz w:val="20"/>
        </w:rPr>
        <w:t>cualquier</w:t>
      </w:r>
      <w:r>
        <w:rPr>
          <w:spacing w:val="-2"/>
          <w:sz w:val="20"/>
        </w:rPr>
        <w:t> </w:t>
      </w:r>
      <w:r>
        <w:rPr>
          <w:sz w:val="20"/>
        </w:rPr>
        <w:t>otro</w:t>
      </w:r>
      <w:r>
        <w:rPr>
          <w:spacing w:val="-3"/>
          <w:sz w:val="20"/>
        </w:rPr>
        <w:t> </w:t>
      </w:r>
      <w:r>
        <w:rPr>
          <w:sz w:val="20"/>
        </w:rPr>
        <w:t>relativo</w:t>
      </w:r>
      <w:r>
        <w:rPr>
          <w:spacing w:val="-1"/>
          <w:sz w:val="20"/>
        </w:rPr>
        <w:t> </w:t>
      </w:r>
      <w:r>
        <w:rPr>
          <w:sz w:val="20"/>
        </w:rPr>
        <w:t>a las materias de que trata esta Ley, y</w:t>
      </w:r>
    </w:p>
    <w:p>
      <w:pPr>
        <w:pStyle w:val="ListParagraph"/>
        <w:numPr>
          <w:ilvl w:val="0"/>
          <w:numId w:val="96"/>
        </w:numPr>
        <w:tabs>
          <w:tab w:pos="827" w:val="left" w:leader="none"/>
        </w:tabs>
        <w:spacing w:line="240" w:lineRule="auto" w:before="229" w:after="0"/>
        <w:ind w:left="827" w:right="0" w:hanging="565"/>
        <w:jc w:val="both"/>
        <w:rPr>
          <w:sz w:val="20"/>
        </w:rPr>
      </w:pPr>
      <w:r>
        <w:rPr>
          <w:sz w:val="20"/>
        </w:rPr>
        <w:t>Cumplir</w:t>
      </w:r>
      <w:r>
        <w:rPr>
          <w:spacing w:val="-6"/>
          <w:sz w:val="20"/>
        </w:rPr>
        <w:t> </w:t>
      </w:r>
      <w:r>
        <w:rPr>
          <w:sz w:val="20"/>
        </w:rPr>
        <w:t>con</w:t>
      </w:r>
      <w:r>
        <w:rPr>
          <w:spacing w:val="-7"/>
          <w:sz w:val="20"/>
        </w:rPr>
        <w:t> </w:t>
      </w:r>
      <w:r>
        <w:rPr>
          <w:sz w:val="20"/>
        </w:rPr>
        <w:t>lo</w:t>
      </w:r>
      <w:r>
        <w:rPr>
          <w:spacing w:val="-7"/>
          <w:sz w:val="20"/>
        </w:rPr>
        <w:t> </w:t>
      </w:r>
      <w:r>
        <w:rPr>
          <w:sz w:val="20"/>
        </w:rPr>
        <w:t>establecido</w:t>
      </w:r>
      <w:r>
        <w:rPr>
          <w:spacing w:val="-3"/>
          <w:sz w:val="20"/>
        </w:rPr>
        <w:t> </w:t>
      </w:r>
      <w:r>
        <w:rPr>
          <w:sz w:val="20"/>
        </w:rPr>
        <w:t>en</w:t>
      </w:r>
      <w:r>
        <w:rPr>
          <w:spacing w:val="41"/>
          <w:sz w:val="20"/>
        </w:rPr>
        <w:t> </w:t>
      </w:r>
      <w:r>
        <w:rPr>
          <w:sz w:val="20"/>
        </w:rPr>
        <w:t>esta</w:t>
      </w:r>
      <w:r>
        <w:rPr>
          <w:spacing w:val="-6"/>
          <w:sz w:val="20"/>
        </w:rPr>
        <w:t> </w:t>
      </w:r>
      <w:r>
        <w:rPr>
          <w:sz w:val="20"/>
        </w:rPr>
        <w:t>Ley</w:t>
      </w:r>
      <w:r>
        <w:rPr>
          <w:spacing w:val="-6"/>
          <w:sz w:val="20"/>
        </w:rPr>
        <w:t> </w:t>
      </w:r>
      <w:r>
        <w:rPr>
          <w:sz w:val="20"/>
        </w:rPr>
        <w:t>y</w:t>
      </w:r>
      <w:r>
        <w:rPr>
          <w:spacing w:val="-6"/>
          <w:sz w:val="20"/>
        </w:rPr>
        <w:t> </w:t>
      </w:r>
      <w:r>
        <w:rPr>
          <w:sz w:val="20"/>
        </w:rPr>
        <w:t>demás</w:t>
      </w:r>
      <w:r>
        <w:rPr>
          <w:spacing w:val="-6"/>
          <w:sz w:val="20"/>
        </w:rPr>
        <w:t> </w:t>
      </w:r>
      <w:r>
        <w:rPr>
          <w:sz w:val="20"/>
        </w:rPr>
        <w:t>disposiciones</w:t>
      </w:r>
      <w:r>
        <w:rPr>
          <w:spacing w:val="-6"/>
          <w:sz w:val="20"/>
        </w:rPr>
        <w:t> </w:t>
      </w:r>
      <w:r>
        <w:rPr>
          <w:sz w:val="20"/>
        </w:rPr>
        <w:t>jurídicas</w:t>
      </w:r>
      <w:r>
        <w:rPr>
          <w:spacing w:val="-6"/>
          <w:sz w:val="20"/>
        </w:rPr>
        <w:t> </w:t>
      </w:r>
      <w:r>
        <w:rPr>
          <w:spacing w:val="-2"/>
          <w:sz w:val="20"/>
        </w:rPr>
        <w:t>aplicables.</w:t>
      </w:r>
    </w:p>
    <w:p>
      <w:pPr>
        <w:pStyle w:val="BodyText"/>
        <w:spacing w:before="1"/>
      </w:pPr>
    </w:p>
    <w:p>
      <w:pPr>
        <w:pStyle w:val="BodyText"/>
        <w:ind w:left="262" w:right="286"/>
        <w:jc w:val="both"/>
      </w:pPr>
      <w:r>
        <w:rPr>
          <w:rFonts w:ascii="Arial" w:hAnsi="Arial"/>
          <w:b/>
        </w:rPr>
        <w:t>ARTÍCULO 261. </w:t>
      </w:r>
      <w:r>
        <w:rPr/>
        <w:t>Los directores responsables de obra o corresponsables deberán cumplir con las siguientes obligaciones:</w:t>
      </w:r>
    </w:p>
    <w:p>
      <w:pPr>
        <w:pStyle w:val="BodyText"/>
        <w:spacing w:before="229"/>
        <w:ind w:left="262" w:right="289"/>
        <w:jc w:val="both"/>
      </w:pPr>
      <w:r>
        <w:rPr/>
        <w:t>I Revisar el y autorizar el proyecto y vigilar la ejecución de la obra, con la colaboración y corresponsabilidad de especialistas, si fuere el caso;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ListParagraph"/>
        <w:numPr>
          <w:ilvl w:val="0"/>
          <w:numId w:val="72"/>
        </w:numPr>
        <w:tabs>
          <w:tab w:pos="487" w:val="left" w:leader="none"/>
        </w:tabs>
        <w:spacing w:line="240" w:lineRule="auto" w:before="0" w:after="0"/>
        <w:ind w:left="262" w:right="286" w:firstLine="0"/>
        <w:jc w:val="both"/>
        <w:rPr>
          <w:sz w:val="20"/>
        </w:rPr>
      </w:pPr>
      <w:r>
        <w:rPr>
          <w:sz w:val="20"/>
        </w:rPr>
        <w:t>Revisar la calidad de los materiales empleados en la obra e igualmente la correcta ejecución de ésta,</w:t>
      </w:r>
      <w:r>
        <w:rPr>
          <w:spacing w:val="-14"/>
          <w:sz w:val="20"/>
        </w:rPr>
        <w:t> </w:t>
      </w:r>
      <w:r>
        <w:rPr>
          <w:sz w:val="20"/>
        </w:rPr>
        <w:t>y</w:t>
      </w:r>
      <w:r>
        <w:rPr>
          <w:spacing w:val="-14"/>
          <w:sz w:val="20"/>
        </w:rPr>
        <w:t> </w:t>
      </w:r>
      <w:r>
        <w:rPr>
          <w:sz w:val="20"/>
        </w:rPr>
        <w:t>en</w:t>
      </w:r>
      <w:r>
        <w:rPr>
          <w:spacing w:val="-14"/>
          <w:sz w:val="20"/>
        </w:rPr>
        <w:t> </w:t>
      </w:r>
      <w:r>
        <w:rPr>
          <w:sz w:val="20"/>
        </w:rPr>
        <w:t>su</w:t>
      </w:r>
      <w:r>
        <w:rPr>
          <w:spacing w:val="-14"/>
          <w:sz w:val="20"/>
        </w:rPr>
        <w:t> </w:t>
      </w:r>
      <w:r>
        <w:rPr>
          <w:sz w:val="20"/>
        </w:rPr>
        <w:t>caso</w:t>
      </w:r>
      <w:r>
        <w:rPr>
          <w:spacing w:val="-14"/>
          <w:sz w:val="20"/>
        </w:rPr>
        <w:t> </w:t>
      </w:r>
      <w:r>
        <w:rPr>
          <w:sz w:val="20"/>
        </w:rPr>
        <w:t>anotar</w:t>
      </w:r>
      <w:r>
        <w:rPr>
          <w:spacing w:val="-14"/>
          <w:sz w:val="20"/>
        </w:rPr>
        <w:t> </w:t>
      </w:r>
      <w:r>
        <w:rPr>
          <w:sz w:val="20"/>
        </w:rPr>
        <w:t>en</w:t>
      </w:r>
      <w:r>
        <w:rPr>
          <w:spacing w:val="-14"/>
          <w:sz w:val="20"/>
        </w:rPr>
        <w:t> </w:t>
      </w:r>
      <w:r>
        <w:rPr>
          <w:sz w:val="20"/>
        </w:rPr>
        <w:t>la</w:t>
      </w:r>
      <w:r>
        <w:rPr>
          <w:spacing w:val="-14"/>
          <w:sz w:val="20"/>
        </w:rPr>
        <w:t> </w:t>
      </w:r>
      <w:r>
        <w:rPr>
          <w:sz w:val="20"/>
        </w:rPr>
        <w:t>bitácora</w:t>
      </w:r>
      <w:r>
        <w:rPr>
          <w:spacing w:val="-14"/>
          <w:sz w:val="20"/>
        </w:rPr>
        <w:t> </w:t>
      </w:r>
      <w:r>
        <w:rPr>
          <w:sz w:val="20"/>
        </w:rPr>
        <w:t>de</w:t>
      </w:r>
      <w:r>
        <w:rPr>
          <w:spacing w:val="-13"/>
          <w:sz w:val="20"/>
        </w:rPr>
        <w:t> </w:t>
      </w:r>
      <w:r>
        <w:rPr>
          <w:sz w:val="20"/>
        </w:rPr>
        <w:t>la</w:t>
      </w:r>
      <w:r>
        <w:rPr>
          <w:spacing w:val="-14"/>
          <w:sz w:val="20"/>
        </w:rPr>
        <w:t> </w:t>
      </w:r>
      <w:r>
        <w:rPr>
          <w:sz w:val="20"/>
        </w:rPr>
        <w:t>obra</w:t>
      </w:r>
      <w:r>
        <w:rPr>
          <w:spacing w:val="-14"/>
          <w:sz w:val="20"/>
        </w:rPr>
        <w:t> </w:t>
      </w:r>
      <w:r>
        <w:rPr>
          <w:sz w:val="20"/>
        </w:rPr>
        <w:t>respectiva,</w:t>
      </w:r>
      <w:r>
        <w:rPr>
          <w:spacing w:val="-14"/>
          <w:sz w:val="20"/>
        </w:rPr>
        <w:t> </w:t>
      </w:r>
      <w:r>
        <w:rPr>
          <w:sz w:val="20"/>
        </w:rPr>
        <w:t>cualquier</w:t>
      </w:r>
      <w:r>
        <w:rPr>
          <w:spacing w:val="-14"/>
          <w:sz w:val="20"/>
        </w:rPr>
        <w:t> </w:t>
      </w:r>
      <w:r>
        <w:rPr>
          <w:sz w:val="20"/>
        </w:rPr>
        <w:t>desvío</w:t>
      </w:r>
      <w:r>
        <w:rPr>
          <w:spacing w:val="-14"/>
          <w:sz w:val="20"/>
        </w:rPr>
        <w:t> </w:t>
      </w:r>
      <w:r>
        <w:rPr>
          <w:sz w:val="20"/>
        </w:rPr>
        <w:t>del</w:t>
      </w:r>
      <w:r>
        <w:rPr>
          <w:spacing w:val="-14"/>
          <w:sz w:val="20"/>
        </w:rPr>
        <w:t> </w:t>
      </w:r>
      <w:r>
        <w:rPr>
          <w:sz w:val="20"/>
        </w:rPr>
        <w:t>proyecto</w:t>
      </w:r>
      <w:r>
        <w:rPr>
          <w:spacing w:val="-14"/>
          <w:sz w:val="20"/>
        </w:rPr>
        <w:t> </w:t>
      </w:r>
      <w:r>
        <w:rPr>
          <w:sz w:val="20"/>
        </w:rPr>
        <w:t>aprobado que se haya ejecutado sin su consentimiento;</w:t>
      </w:r>
    </w:p>
    <w:p>
      <w:pPr>
        <w:pStyle w:val="BodyText"/>
        <w:spacing w:before="1"/>
      </w:pPr>
    </w:p>
    <w:p>
      <w:pPr>
        <w:pStyle w:val="ListParagraph"/>
        <w:numPr>
          <w:ilvl w:val="0"/>
          <w:numId w:val="72"/>
        </w:numPr>
        <w:tabs>
          <w:tab w:pos="575" w:val="left" w:leader="none"/>
        </w:tabs>
        <w:spacing w:line="240" w:lineRule="auto" w:before="1" w:after="0"/>
        <w:ind w:left="262" w:right="286" w:firstLine="0"/>
        <w:jc w:val="both"/>
        <w:rPr>
          <w:sz w:val="20"/>
        </w:rPr>
      </w:pPr>
      <w:r>
        <w:rPr>
          <w:sz w:val="20"/>
        </w:rPr>
        <w:t>Supervisar que en los proyectos en los que otorgue su responsiva, se privilegie el uso de materiales</w:t>
      </w:r>
      <w:r>
        <w:rPr>
          <w:spacing w:val="-3"/>
          <w:sz w:val="20"/>
        </w:rPr>
        <w:t> </w:t>
      </w:r>
      <w:r>
        <w:rPr>
          <w:sz w:val="20"/>
        </w:rPr>
        <w:t>y</w:t>
      </w:r>
      <w:r>
        <w:rPr>
          <w:spacing w:val="-3"/>
          <w:sz w:val="20"/>
        </w:rPr>
        <w:t> </w:t>
      </w:r>
      <w:r>
        <w:rPr>
          <w:sz w:val="20"/>
        </w:rPr>
        <w:t>estrategias</w:t>
      </w:r>
      <w:r>
        <w:rPr>
          <w:spacing w:val="-3"/>
          <w:sz w:val="20"/>
        </w:rPr>
        <w:t> </w:t>
      </w:r>
      <w:r>
        <w:rPr>
          <w:sz w:val="20"/>
        </w:rPr>
        <w:t>para</w:t>
      </w:r>
      <w:r>
        <w:rPr>
          <w:spacing w:val="-4"/>
          <w:sz w:val="20"/>
        </w:rPr>
        <w:t> </w:t>
      </w:r>
      <w:r>
        <w:rPr>
          <w:sz w:val="20"/>
        </w:rPr>
        <w:t>aumentar</w:t>
      </w:r>
      <w:r>
        <w:rPr>
          <w:spacing w:val="-4"/>
          <w:sz w:val="20"/>
        </w:rPr>
        <w:t> </w:t>
      </w:r>
      <w:r>
        <w:rPr>
          <w:sz w:val="20"/>
        </w:rPr>
        <w:t>la</w:t>
      </w:r>
      <w:r>
        <w:rPr>
          <w:spacing w:val="-4"/>
          <w:sz w:val="20"/>
        </w:rPr>
        <w:t> </w:t>
      </w:r>
      <w:r>
        <w:rPr>
          <w:sz w:val="20"/>
        </w:rPr>
        <w:t>sostenibilidad</w:t>
      </w:r>
      <w:r>
        <w:rPr>
          <w:spacing w:val="-4"/>
          <w:sz w:val="20"/>
        </w:rPr>
        <w:t> </w:t>
      </w:r>
      <w:r>
        <w:rPr>
          <w:sz w:val="20"/>
        </w:rPr>
        <w:t>y</w:t>
      </w:r>
      <w:r>
        <w:rPr>
          <w:spacing w:val="-3"/>
          <w:sz w:val="20"/>
        </w:rPr>
        <w:t> </w:t>
      </w:r>
      <w:r>
        <w:rPr>
          <w:sz w:val="20"/>
        </w:rPr>
        <w:t>la</w:t>
      </w:r>
      <w:r>
        <w:rPr>
          <w:spacing w:val="-3"/>
          <w:sz w:val="20"/>
        </w:rPr>
        <w:t> </w:t>
      </w:r>
      <w:r>
        <w:rPr>
          <w:sz w:val="20"/>
        </w:rPr>
        <w:t>resiliencia</w:t>
      </w:r>
      <w:r>
        <w:rPr>
          <w:spacing w:val="-3"/>
          <w:sz w:val="20"/>
        </w:rPr>
        <w:t> </w:t>
      </w:r>
      <w:r>
        <w:rPr>
          <w:sz w:val="20"/>
        </w:rPr>
        <w:t>de</w:t>
      </w:r>
      <w:r>
        <w:rPr>
          <w:spacing w:val="-3"/>
          <w:sz w:val="20"/>
        </w:rPr>
        <w:t> </w:t>
      </w:r>
      <w:r>
        <w:rPr>
          <w:sz w:val="20"/>
        </w:rPr>
        <w:t>la</w:t>
      </w:r>
      <w:r>
        <w:rPr>
          <w:spacing w:val="-3"/>
          <w:sz w:val="20"/>
        </w:rPr>
        <w:t> </w:t>
      </w:r>
      <w:r>
        <w:rPr>
          <w:sz w:val="20"/>
        </w:rPr>
        <w:t>obra</w:t>
      </w:r>
      <w:r>
        <w:rPr>
          <w:spacing w:val="-1"/>
          <w:sz w:val="20"/>
        </w:rPr>
        <w:t> </w:t>
      </w:r>
      <w:r>
        <w:rPr>
          <w:sz w:val="20"/>
        </w:rPr>
        <w:t>y</w:t>
      </w:r>
      <w:r>
        <w:rPr>
          <w:spacing w:val="-3"/>
          <w:sz w:val="20"/>
        </w:rPr>
        <w:t> </w:t>
      </w:r>
      <w:r>
        <w:rPr>
          <w:sz w:val="20"/>
        </w:rPr>
        <w:t>optimizar</w:t>
      </w:r>
      <w:r>
        <w:rPr>
          <w:spacing w:val="-2"/>
          <w:sz w:val="20"/>
        </w:rPr>
        <w:t> </w:t>
      </w:r>
      <w:r>
        <w:rPr>
          <w:sz w:val="20"/>
        </w:rPr>
        <w:t>el</w:t>
      </w:r>
      <w:r>
        <w:rPr>
          <w:spacing w:val="-3"/>
          <w:sz w:val="20"/>
        </w:rPr>
        <w:t> </w:t>
      </w:r>
      <w:r>
        <w:rPr>
          <w:sz w:val="20"/>
        </w:rPr>
        <w:t>uso de recursos de energía y agua;</w:t>
      </w:r>
    </w:p>
    <w:p>
      <w:pPr>
        <w:pStyle w:val="BodyText"/>
        <w:spacing w:before="229"/>
        <w:ind w:left="262" w:right="288"/>
        <w:jc w:val="both"/>
      </w:pPr>
      <w:r>
        <w:rPr/>
        <w:t>IV Adoptar las precauciones y medidas que fueren necesarias para proteger la vida y la integridad física de los trabajadores y terceros en general, y del mismo modo la seguridad y estabilidad de la vía pública y propiedades vecinas;</w:t>
      </w:r>
    </w:p>
    <w:p>
      <w:pPr>
        <w:pStyle w:val="BodyText"/>
      </w:pPr>
    </w:p>
    <w:p>
      <w:pPr>
        <w:pStyle w:val="ListParagraph"/>
        <w:numPr>
          <w:ilvl w:val="0"/>
          <w:numId w:val="89"/>
        </w:numPr>
        <w:tabs>
          <w:tab w:pos="515" w:val="left" w:leader="none"/>
        </w:tabs>
        <w:spacing w:line="240" w:lineRule="auto" w:before="0" w:after="0"/>
        <w:ind w:left="262" w:right="287" w:firstLine="0"/>
        <w:jc w:val="both"/>
        <w:rPr>
          <w:sz w:val="20"/>
        </w:rPr>
      </w:pPr>
      <w:r>
        <w:rPr>
          <w:sz w:val="20"/>
        </w:rPr>
        <w:t>Cumplir en las obras a su cargo todas las exigencias, observar las prohibiciones y respetar las limitaciones contempladas en esta Ley y demás disposiciones jurídicas aplicables;</w:t>
      </w:r>
    </w:p>
    <w:p>
      <w:pPr>
        <w:pStyle w:val="BodyText"/>
        <w:spacing w:before="1"/>
      </w:pPr>
    </w:p>
    <w:p>
      <w:pPr>
        <w:spacing w:before="0"/>
        <w:ind w:left="262"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30</w:t>
      </w:r>
      <w:r>
        <w:rPr>
          <w:rFonts w:ascii="Arial"/>
          <w:i/>
          <w:spacing w:val="-8"/>
          <w:sz w:val="20"/>
        </w:rPr>
        <w:t> </w:t>
      </w:r>
      <w:r>
        <w:rPr>
          <w:rFonts w:ascii="Arial"/>
          <w:i/>
          <w:sz w:val="20"/>
        </w:rPr>
        <w:t>DE</w:t>
      </w:r>
      <w:r>
        <w:rPr>
          <w:rFonts w:ascii="Arial"/>
          <w:i/>
          <w:spacing w:val="-7"/>
          <w:sz w:val="20"/>
        </w:rPr>
        <w:t> </w:t>
      </w:r>
      <w:r>
        <w:rPr>
          <w:rFonts w:ascii="Arial"/>
          <w:i/>
          <w:sz w:val="20"/>
        </w:rPr>
        <w:t>NOVIEMBRE</w:t>
      </w:r>
      <w:r>
        <w:rPr>
          <w:rFonts w:ascii="Arial"/>
          <w:i/>
          <w:spacing w:val="-7"/>
          <w:sz w:val="20"/>
        </w:rPr>
        <w:t> </w:t>
      </w:r>
      <w:r>
        <w:rPr>
          <w:rFonts w:ascii="Arial"/>
          <w:i/>
          <w:sz w:val="20"/>
        </w:rPr>
        <w:t>DE</w:t>
      </w:r>
      <w:r>
        <w:rPr>
          <w:rFonts w:ascii="Arial"/>
          <w:i/>
          <w:spacing w:val="-6"/>
          <w:sz w:val="20"/>
        </w:rPr>
        <w:t> </w:t>
      </w:r>
      <w:r>
        <w:rPr>
          <w:rFonts w:ascii="Arial"/>
          <w:i/>
          <w:spacing w:val="-4"/>
          <w:sz w:val="20"/>
        </w:rPr>
        <w:t>2020)</w:t>
      </w:r>
    </w:p>
    <w:p>
      <w:pPr>
        <w:pStyle w:val="ListParagraph"/>
        <w:numPr>
          <w:ilvl w:val="0"/>
          <w:numId w:val="97"/>
        </w:numPr>
        <w:tabs>
          <w:tab w:pos="513" w:val="left" w:leader="none"/>
        </w:tabs>
        <w:spacing w:line="240" w:lineRule="auto" w:before="0" w:after="0"/>
        <w:ind w:left="262" w:right="267" w:firstLine="0"/>
        <w:jc w:val="both"/>
        <w:rPr>
          <w:sz w:val="20"/>
        </w:rPr>
      </w:pPr>
      <w:r>
        <w:rPr>
          <w:color w:val="211F1F"/>
          <w:sz w:val="20"/>
        </w:rPr>
        <w:t>Presentar ante la Dirección Municipal correspondiente, el aviso de terminación de obra, a fin de que,</w:t>
      </w:r>
      <w:r>
        <w:rPr>
          <w:color w:val="211F1F"/>
          <w:spacing w:val="-1"/>
          <w:sz w:val="20"/>
        </w:rPr>
        <w:t> </w:t>
      </w:r>
      <w:r>
        <w:rPr>
          <w:color w:val="211F1F"/>
          <w:sz w:val="20"/>
        </w:rPr>
        <w:t>el</w:t>
      </w:r>
      <w:r>
        <w:rPr>
          <w:color w:val="211F1F"/>
          <w:spacing w:val="-2"/>
          <w:sz w:val="20"/>
        </w:rPr>
        <w:t> </w:t>
      </w:r>
      <w:r>
        <w:rPr>
          <w:color w:val="211F1F"/>
          <w:sz w:val="20"/>
        </w:rPr>
        <w:t>propietario</w:t>
      </w:r>
      <w:r>
        <w:rPr>
          <w:color w:val="211F1F"/>
          <w:spacing w:val="-3"/>
          <w:sz w:val="20"/>
        </w:rPr>
        <w:t> </w:t>
      </w:r>
      <w:r>
        <w:rPr>
          <w:color w:val="211F1F"/>
          <w:sz w:val="20"/>
        </w:rPr>
        <w:t>de</w:t>
      </w:r>
      <w:r>
        <w:rPr>
          <w:color w:val="211F1F"/>
          <w:spacing w:val="-1"/>
          <w:sz w:val="20"/>
        </w:rPr>
        <w:t> </w:t>
      </w:r>
      <w:r>
        <w:rPr>
          <w:color w:val="211F1F"/>
          <w:sz w:val="20"/>
        </w:rPr>
        <w:t>la</w:t>
      </w:r>
      <w:r>
        <w:rPr>
          <w:color w:val="211F1F"/>
          <w:spacing w:val="-1"/>
          <w:sz w:val="20"/>
        </w:rPr>
        <w:t> </w:t>
      </w:r>
      <w:r>
        <w:rPr>
          <w:color w:val="211F1F"/>
          <w:sz w:val="20"/>
        </w:rPr>
        <w:t>misma,</w:t>
      </w:r>
      <w:r>
        <w:rPr>
          <w:color w:val="211F1F"/>
          <w:spacing w:val="-3"/>
          <w:sz w:val="20"/>
        </w:rPr>
        <w:t> </w:t>
      </w:r>
      <w:r>
        <w:rPr>
          <w:color w:val="211F1F"/>
          <w:sz w:val="20"/>
        </w:rPr>
        <w:t>pueda</w:t>
      </w:r>
      <w:r>
        <w:rPr>
          <w:color w:val="211F1F"/>
          <w:spacing w:val="-3"/>
          <w:sz w:val="20"/>
        </w:rPr>
        <w:t> </w:t>
      </w:r>
      <w:r>
        <w:rPr>
          <w:color w:val="211F1F"/>
          <w:sz w:val="20"/>
        </w:rPr>
        <w:t>concluir</w:t>
      </w:r>
      <w:r>
        <w:rPr>
          <w:color w:val="211F1F"/>
          <w:spacing w:val="-2"/>
          <w:sz w:val="20"/>
        </w:rPr>
        <w:t> </w:t>
      </w:r>
      <w:r>
        <w:rPr>
          <w:color w:val="211F1F"/>
          <w:sz w:val="20"/>
        </w:rPr>
        <w:t>el</w:t>
      </w:r>
      <w:r>
        <w:rPr>
          <w:color w:val="211F1F"/>
          <w:spacing w:val="-4"/>
          <w:sz w:val="20"/>
        </w:rPr>
        <w:t> </w:t>
      </w:r>
      <w:r>
        <w:rPr>
          <w:color w:val="211F1F"/>
          <w:sz w:val="20"/>
        </w:rPr>
        <w:t>trámite</w:t>
      </w:r>
      <w:r>
        <w:rPr>
          <w:color w:val="211F1F"/>
          <w:spacing w:val="-1"/>
          <w:sz w:val="20"/>
        </w:rPr>
        <w:t> </w:t>
      </w:r>
      <w:r>
        <w:rPr>
          <w:color w:val="211F1F"/>
          <w:sz w:val="20"/>
        </w:rPr>
        <w:t>y</w:t>
      </w:r>
      <w:r>
        <w:rPr>
          <w:color w:val="211F1F"/>
          <w:spacing w:val="-2"/>
          <w:sz w:val="20"/>
        </w:rPr>
        <w:t> </w:t>
      </w:r>
      <w:r>
        <w:rPr>
          <w:color w:val="211F1F"/>
          <w:sz w:val="20"/>
        </w:rPr>
        <w:t>obtener</w:t>
      </w:r>
      <w:r>
        <w:rPr>
          <w:color w:val="211F1F"/>
          <w:spacing w:val="-3"/>
          <w:sz w:val="20"/>
        </w:rPr>
        <w:t> </w:t>
      </w:r>
      <w:r>
        <w:rPr>
          <w:color w:val="211F1F"/>
          <w:sz w:val="20"/>
        </w:rPr>
        <w:t>el</w:t>
      </w:r>
      <w:r>
        <w:rPr>
          <w:color w:val="211F1F"/>
          <w:spacing w:val="-2"/>
          <w:sz w:val="20"/>
        </w:rPr>
        <w:t> </w:t>
      </w:r>
      <w:r>
        <w:rPr>
          <w:color w:val="211F1F"/>
          <w:sz w:val="20"/>
        </w:rPr>
        <w:t>acta</w:t>
      </w:r>
      <w:r>
        <w:rPr>
          <w:color w:val="211F1F"/>
          <w:spacing w:val="-1"/>
          <w:sz w:val="20"/>
        </w:rPr>
        <w:t> </w:t>
      </w:r>
      <w:r>
        <w:rPr>
          <w:color w:val="211F1F"/>
          <w:sz w:val="20"/>
        </w:rPr>
        <w:t>de</w:t>
      </w:r>
      <w:r>
        <w:rPr>
          <w:color w:val="211F1F"/>
          <w:spacing w:val="-4"/>
          <w:sz w:val="20"/>
        </w:rPr>
        <w:t> </w:t>
      </w:r>
      <w:r>
        <w:rPr>
          <w:color w:val="211F1F"/>
          <w:sz w:val="20"/>
        </w:rPr>
        <w:t>terminación</w:t>
      </w:r>
      <w:r>
        <w:rPr>
          <w:color w:val="211F1F"/>
          <w:spacing w:val="-1"/>
          <w:sz w:val="20"/>
        </w:rPr>
        <w:t> </w:t>
      </w:r>
      <w:r>
        <w:rPr>
          <w:color w:val="211F1F"/>
          <w:sz w:val="20"/>
        </w:rPr>
        <w:t>de</w:t>
      </w:r>
      <w:r>
        <w:rPr>
          <w:color w:val="211F1F"/>
          <w:spacing w:val="-1"/>
          <w:sz w:val="20"/>
        </w:rPr>
        <w:t> </w:t>
      </w:r>
      <w:r>
        <w:rPr>
          <w:color w:val="211F1F"/>
          <w:sz w:val="20"/>
        </w:rPr>
        <w:t>obra</w:t>
      </w:r>
      <w:r>
        <w:rPr>
          <w:color w:val="211F1F"/>
          <w:spacing w:val="-3"/>
          <w:sz w:val="20"/>
        </w:rPr>
        <w:t> </w:t>
      </w:r>
      <w:r>
        <w:rPr>
          <w:color w:val="211F1F"/>
          <w:sz w:val="20"/>
        </w:rPr>
        <w:t>o proyecto respectivo, y</w:t>
      </w:r>
    </w:p>
    <w:p>
      <w:pPr>
        <w:pStyle w:val="BodyText"/>
      </w:pPr>
    </w:p>
    <w:p>
      <w:pPr>
        <w:pStyle w:val="ListParagraph"/>
        <w:numPr>
          <w:ilvl w:val="0"/>
          <w:numId w:val="97"/>
        </w:numPr>
        <w:tabs>
          <w:tab w:pos="573" w:val="left" w:leader="none"/>
        </w:tabs>
        <w:spacing w:line="240" w:lineRule="auto" w:before="0" w:after="0"/>
        <w:ind w:left="262" w:right="282" w:firstLine="0"/>
        <w:jc w:val="both"/>
        <w:rPr>
          <w:sz w:val="20"/>
        </w:rPr>
      </w:pPr>
      <w:r>
        <w:rPr>
          <w:sz w:val="20"/>
        </w:rPr>
        <w:t>Actualizar anualmente sus conocimientos periciales, acreditando la certificación y participación en</w:t>
      </w:r>
      <w:r>
        <w:rPr>
          <w:spacing w:val="-5"/>
          <w:sz w:val="20"/>
        </w:rPr>
        <w:t> </w:t>
      </w:r>
      <w:r>
        <w:rPr>
          <w:sz w:val="20"/>
        </w:rPr>
        <w:t>cursos</w:t>
      </w:r>
      <w:r>
        <w:rPr>
          <w:spacing w:val="-1"/>
          <w:sz w:val="20"/>
        </w:rPr>
        <w:t> </w:t>
      </w:r>
      <w:r>
        <w:rPr>
          <w:sz w:val="20"/>
        </w:rPr>
        <w:t>o</w:t>
      </w:r>
      <w:r>
        <w:rPr>
          <w:spacing w:val="-4"/>
          <w:sz w:val="20"/>
        </w:rPr>
        <w:t> </w:t>
      </w:r>
      <w:r>
        <w:rPr>
          <w:sz w:val="20"/>
        </w:rPr>
        <w:t>seminarios</w:t>
      </w:r>
      <w:r>
        <w:rPr>
          <w:spacing w:val="-3"/>
          <w:sz w:val="20"/>
        </w:rPr>
        <w:t> </w:t>
      </w:r>
      <w:r>
        <w:rPr>
          <w:sz w:val="20"/>
        </w:rPr>
        <w:t>de</w:t>
      </w:r>
      <w:r>
        <w:rPr>
          <w:spacing w:val="-2"/>
          <w:sz w:val="20"/>
        </w:rPr>
        <w:t> </w:t>
      </w:r>
      <w:r>
        <w:rPr>
          <w:sz w:val="20"/>
        </w:rPr>
        <w:t>capacitación</w:t>
      </w:r>
      <w:r>
        <w:rPr>
          <w:spacing w:val="-2"/>
          <w:sz w:val="20"/>
        </w:rPr>
        <w:t> </w:t>
      </w:r>
      <w:r>
        <w:rPr>
          <w:sz w:val="20"/>
        </w:rPr>
        <w:t>y</w:t>
      </w:r>
      <w:r>
        <w:rPr>
          <w:spacing w:val="-1"/>
          <w:sz w:val="20"/>
        </w:rPr>
        <w:t> </w:t>
      </w:r>
      <w:r>
        <w:rPr>
          <w:sz w:val="20"/>
        </w:rPr>
        <w:t>adiestramiento</w:t>
      </w:r>
      <w:r>
        <w:rPr>
          <w:spacing w:val="-3"/>
          <w:sz w:val="20"/>
        </w:rPr>
        <w:t> </w:t>
      </w:r>
      <w:r>
        <w:rPr>
          <w:sz w:val="20"/>
        </w:rPr>
        <w:t>en</w:t>
      </w:r>
      <w:r>
        <w:rPr>
          <w:spacing w:val="-2"/>
          <w:sz w:val="20"/>
        </w:rPr>
        <w:t> </w:t>
      </w:r>
      <w:r>
        <w:rPr>
          <w:sz w:val="20"/>
        </w:rPr>
        <w:t>las</w:t>
      </w:r>
      <w:r>
        <w:rPr>
          <w:spacing w:val="-3"/>
          <w:sz w:val="20"/>
        </w:rPr>
        <w:t> </w:t>
      </w:r>
      <w:r>
        <w:rPr>
          <w:sz w:val="20"/>
        </w:rPr>
        <w:t>especialidades</w:t>
      </w:r>
      <w:r>
        <w:rPr>
          <w:spacing w:val="-3"/>
          <w:sz w:val="20"/>
        </w:rPr>
        <w:t> </w:t>
      </w:r>
      <w:r>
        <w:rPr>
          <w:sz w:val="20"/>
        </w:rPr>
        <w:t>correspondientes,</w:t>
      </w:r>
      <w:r>
        <w:rPr>
          <w:spacing w:val="-2"/>
          <w:sz w:val="20"/>
        </w:rPr>
        <w:t> </w:t>
      </w:r>
      <w:r>
        <w:rPr>
          <w:sz w:val="20"/>
        </w:rPr>
        <w:t>a través de los respectivos Colegios de Profesionistas a que pertenezcan; el incumplimiento de esta obligación impedirá el refrendo de su registro ante la autoridad municipal respectiva.</w:t>
      </w:r>
    </w:p>
    <w:p>
      <w:pPr>
        <w:pStyle w:val="BodyText"/>
      </w:pPr>
    </w:p>
    <w:p>
      <w:pPr>
        <w:spacing w:before="0"/>
        <w:ind w:left="262"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262.</w:t>
      </w:r>
      <w:r>
        <w:rPr>
          <w:rFonts w:ascii="Arial" w:hAnsi="Arial"/>
          <w:b/>
          <w:spacing w:val="-7"/>
          <w:sz w:val="20"/>
        </w:rPr>
        <w:t> </w:t>
      </w:r>
      <w:r>
        <w:rPr>
          <w:sz w:val="20"/>
        </w:rPr>
        <w:t>Son</w:t>
      </w:r>
      <w:r>
        <w:rPr>
          <w:spacing w:val="-6"/>
          <w:sz w:val="20"/>
        </w:rPr>
        <w:t> </w:t>
      </w:r>
      <w:r>
        <w:rPr>
          <w:sz w:val="20"/>
        </w:rPr>
        <w:t>derechos</w:t>
      </w:r>
      <w:r>
        <w:rPr>
          <w:spacing w:val="-7"/>
          <w:sz w:val="20"/>
        </w:rPr>
        <w:t> </w:t>
      </w:r>
      <w:r>
        <w:rPr>
          <w:sz w:val="20"/>
        </w:rPr>
        <w:t>de</w:t>
      </w:r>
      <w:r>
        <w:rPr>
          <w:spacing w:val="-7"/>
          <w:sz w:val="20"/>
        </w:rPr>
        <w:t> </w:t>
      </w:r>
      <w:r>
        <w:rPr>
          <w:sz w:val="20"/>
        </w:rPr>
        <w:t>los</w:t>
      </w:r>
      <w:r>
        <w:rPr>
          <w:spacing w:val="-7"/>
          <w:sz w:val="20"/>
        </w:rPr>
        <w:t> </w:t>
      </w:r>
      <w:r>
        <w:rPr>
          <w:sz w:val="20"/>
        </w:rPr>
        <w:t>Directores</w:t>
      </w:r>
      <w:r>
        <w:rPr>
          <w:spacing w:val="-7"/>
          <w:sz w:val="20"/>
        </w:rPr>
        <w:t> </w:t>
      </w:r>
      <w:r>
        <w:rPr>
          <w:sz w:val="20"/>
        </w:rPr>
        <w:t>Responsables</w:t>
      </w:r>
      <w:r>
        <w:rPr>
          <w:spacing w:val="-7"/>
          <w:sz w:val="20"/>
        </w:rPr>
        <w:t> </w:t>
      </w:r>
      <w:r>
        <w:rPr>
          <w:sz w:val="20"/>
        </w:rPr>
        <w:t>de</w:t>
      </w:r>
      <w:r>
        <w:rPr>
          <w:spacing w:val="-6"/>
          <w:sz w:val="20"/>
        </w:rPr>
        <w:t> </w:t>
      </w:r>
      <w:r>
        <w:rPr>
          <w:spacing w:val="-2"/>
          <w:sz w:val="20"/>
        </w:rPr>
        <w:t>Obra:</w:t>
      </w:r>
    </w:p>
    <w:p>
      <w:pPr>
        <w:pStyle w:val="BodyText"/>
      </w:pPr>
    </w:p>
    <w:p>
      <w:pPr>
        <w:pStyle w:val="ListParagraph"/>
        <w:numPr>
          <w:ilvl w:val="0"/>
          <w:numId w:val="98"/>
        </w:numPr>
        <w:tabs>
          <w:tab w:pos="688" w:val="left" w:leader="none"/>
        </w:tabs>
        <w:spacing w:line="240" w:lineRule="auto" w:before="1" w:after="0"/>
        <w:ind w:left="262" w:right="287" w:firstLine="0"/>
        <w:jc w:val="both"/>
        <w:rPr>
          <w:sz w:val="20"/>
        </w:rPr>
      </w:pPr>
      <w:r>
        <w:rPr>
          <w:sz w:val="20"/>
        </w:rPr>
        <w:t>Previo el cumplimiento de los requisitos establecidos en esta Ley, recibir de la Dirección Municipal el refrendo de su registro como Director Responsable de Obra;</w:t>
      </w:r>
    </w:p>
    <w:p>
      <w:pPr>
        <w:pStyle w:val="ListParagraph"/>
        <w:numPr>
          <w:ilvl w:val="0"/>
          <w:numId w:val="98"/>
        </w:numPr>
        <w:tabs>
          <w:tab w:pos="686" w:val="left" w:leader="none"/>
        </w:tabs>
        <w:spacing w:line="240" w:lineRule="auto" w:before="228" w:after="0"/>
        <w:ind w:left="686" w:right="0" w:hanging="424"/>
        <w:jc w:val="both"/>
        <w:rPr>
          <w:sz w:val="20"/>
        </w:rPr>
      </w:pPr>
      <w:r>
        <w:rPr>
          <w:sz w:val="20"/>
        </w:rPr>
        <w:t>Celebrar</w:t>
      </w:r>
      <w:r>
        <w:rPr>
          <w:spacing w:val="-6"/>
          <w:sz w:val="20"/>
        </w:rPr>
        <w:t> </w:t>
      </w:r>
      <w:r>
        <w:rPr>
          <w:sz w:val="20"/>
        </w:rPr>
        <w:t>un</w:t>
      </w:r>
      <w:r>
        <w:rPr>
          <w:spacing w:val="-5"/>
          <w:sz w:val="20"/>
        </w:rPr>
        <w:t> </w:t>
      </w:r>
      <w:r>
        <w:rPr>
          <w:sz w:val="20"/>
        </w:rPr>
        <w:t>contrato</w:t>
      </w:r>
      <w:r>
        <w:rPr>
          <w:spacing w:val="-6"/>
          <w:sz w:val="20"/>
        </w:rPr>
        <w:t> </w:t>
      </w:r>
      <w:r>
        <w:rPr>
          <w:sz w:val="20"/>
        </w:rPr>
        <w:t>de</w:t>
      </w:r>
      <w:r>
        <w:rPr>
          <w:spacing w:val="-7"/>
          <w:sz w:val="20"/>
        </w:rPr>
        <w:t> </w:t>
      </w:r>
      <w:r>
        <w:rPr>
          <w:sz w:val="20"/>
        </w:rPr>
        <w:t>prestación</w:t>
      </w:r>
      <w:r>
        <w:rPr>
          <w:spacing w:val="-5"/>
          <w:sz w:val="20"/>
        </w:rPr>
        <w:t> </w:t>
      </w:r>
      <w:r>
        <w:rPr>
          <w:sz w:val="20"/>
        </w:rPr>
        <w:t>de</w:t>
      </w:r>
      <w:r>
        <w:rPr>
          <w:spacing w:val="-7"/>
          <w:sz w:val="20"/>
        </w:rPr>
        <w:t> </w:t>
      </w:r>
      <w:r>
        <w:rPr>
          <w:sz w:val="20"/>
        </w:rPr>
        <w:t>servicios</w:t>
      </w:r>
      <w:r>
        <w:rPr>
          <w:spacing w:val="-6"/>
          <w:sz w:val="20"/>
        </w:rPr>
        <w:t> </w:t>
      </w:r>
      <w:r>
        <w:rPr>
          <w:sz w:val="20"/>
        </w:rPr>
        <w:t>con</w:t>
      </w:r>
      <w:r>
        <w:rPr>
          <w:spacing w:val="-7"/>
          <w:sz w:val="20"/>
        </w:rPr>
        <w:t> </w:t>
      </w:r>
      <w:r>
        <w:rPr>
          <w:sz w:val="20"/>
        </w:rPr>
        <w:t>el</w:t>
      </w:r>
      <w:r>
        <w:rPr>
          <w:spacing w:val="-6"/>
          <w:sz w:val="20"/>
        </w:rPr>
        <w:t> </w:t>
      </w:r>
      <w:r>
        <w:rPr>
          <w:spacing w:val="-2"/>
          <w:sz w:val="20"/>
        </w:rPr>
        <w:t>propietario;</w:t>
      </w:r>
    </w:p>
    <w:p>
      <w:pPr>
        <w:pStyle w:val="BodyText"/>
        <w:spacing w:before="1"/>
      </w:pPr>
    </w:p>
    <w:p>
      <w:pPr>
        <w:pStyle w:val="ListParagraph"/>
        <w:numPr>
          <w:ilvl w:val="0"/>
          <w:numId w:val="98"/>
        </w:numPr>
        <w:tabs>
          <w:tab w:pos="741" w:val="left" w:leader="none"/>
        </w:tabs>
        <w:spacing w:line="240" w:lineRule="auto" w:before="0" w:after="0"/>
        <w:ind w:left="262" w:right="281" w:firstLine="0"/>
        <w:jc w:val="both"/>
        <w:rPr>
          <w:sz w:val="20"/>
        </w:rPr>
      </w:pPr>
      <w:r>
        <w:rPr>
          <w:sz w:val="20"/>
        </w:rPr>
        <w:t>Recibir</w:t>
      </w:r>
      <w:r>
        <w:rPr>
          <w:spacing w:val="-14"/>
          <w:sz w:val="20"/>
        </w:rPr>
        <w:t> </w:t>
      </w:r>
      <w:r>
        <w:rPr>
          <w:sz w:val="20"/>
        </w:rPr>
        <w:t>las</w:t>
      </w:r>
      <w:r>
        <w:rPr>
          <w:spacing w:val="-14"/>
          <w:sz w:val="20"/>
        </w:rPr>
        <w:t> </w:t>
      </w:r>
      <w:r>
        <w:rPr>
          <w:sz w:val="20"/>
        </w:rPr>
        <w:t>retribuciones</w:t>
      </w:r>
      <w:r>
        <w:rPr>
          <w:spacing w:val="-14"/>
          <w:sz w:val="20"/>
        </w:rPr>
        <w:t> </w:t>
      </w:r>
      <w:r>
        <w:rPr>
          <w:sz w:val="20"/>
        </w:rPr>
        <w:t>acordadas</w:t>
      </w:r>
      <w:r>
        <w:rPr>
          <w:spacing w:val="-14"/>
          <w:sz w:val="20"/>
        </w:rPr>
        <w:t> </w:t>
      </w:r>
      <w:r>
        <w:rPr>
          <w:sz w:val="20"/>
        </w:rPr>
        <w:t>en</w:t>
      </w:r>
      <w:r>
        <w:rPr>
          <w:spacing w:val="-14"/>
          <w:sz w:val="20"/>
        </w:rPr>
        <w:t> </w:t>
      </w:r>
      <w:r>
        <w:rPr>
          <w:sz w:val="20"/>
        </w:rPr>
        <w:t>el</w:t>
      </w:r>
      <w:r>
        <w:rPr>
          <w:spacing w:val="-14"/>
          <w:sz w:val="20"/>
        </w:rPr>
        <w:t> </w:t>
      </w:r>
      <w:r>
        <w:rPr>
          <w:sz w:val="20"/>
        </w:rPr>
        <w:t>contrato</w:t>
      </w:r>
      <w:r>
        <w:rPr>
          <w:spacing w:val="-14"/>
          <w:sz w:val="20"/>
        </w:rPr>
        <w:t> </w:t>
      </w:r>
      <w:r>
        <w:rPr>
          <w:sz w:val="20"/>
        </w:rPr>
        <w:t>respectivo</w:t>
      </w:r>
      <w:r>
        <w:rPr>
          <w:spacing w:val="-14"/>
          <w:sz w:val="20"/>
        </w:rPr>
        <w:t> </w:t>
      </w:r>
      <w:r>
        <w:rPr>
          <w:sz w:val="20"/>
        </w:rPr>
        <w:t>por</w:t>
      </w:r>
      <w:r>
        <w:rPr>
          <w:spacing w:val="-14"/>
          <w:sz w:val="20"/>
        </w:rPr>
        <w:t> </w:t>
      </w:r>
      <w:r>
        <w:rPr>
          <w:sz w:val="20"/>
        </w:rPr>
        <w:t>el</w:t>
      </w:r>
      <w:r>
        <w:rPr>
          <w:spacing w:val="-13"/>
          <w:sz w:val="20"/>
        </w:rPr>
        <w:t> </w:t>
      </w:r>
      <w:r>
        <w:rPr>
          <w:sz w:val="20"/>
        </w:rPr>
        <w:t>desempeño</w:t>
      </w:r>
      <w:r>
        <w:rPr>
          <w:spacing w:val="-14"/>
          <w:sz w:val="20"/>
        </w:rPr>
        <w:t> </w:t>
      </w:r>
      <w:r>
        <w:rPr>
          <w:sz w:val="20"/>
        </w:rPr>
        <w:t>de</w:t>
      </w:r>
      <w:r>
        <w:rPr>
          <w:spacing w:val="-14"/>
          <w:sz w:val="20"/>
        </w:rPr>
        <w:t> </w:t>
      </w:r>
      <w:r>
        <w:rPr>
          <w:sz w:val="20"/>
        </w:rPr>
        <w:t>sus</w:t>
      </w:r>
      <w:r>
        <w:rPr>
          <w:spacing w:val="-14"/>
          <w:sz w:val="20"/>
        </w:rPr>
        <w:t> </w:t>
      </w:r>
      <w:r>
        <w:rPr>
          <w:sz w:val="20"/>
        </w:rPr>
        <w:t>servicios </w:t>
      </w:r>
      <w:r>
        <w:rPr>
          <w:spacing w:val="-2"/>
          <w:sz w:val="20"/>
        </w:rPr>
        <w:t>profesionales;</w:t>
      </w:r>
    </w:p>
    <w:p>
      <w:pPr>
        <w:pStyle w:val="ListParagraph"/>
        <w:numPr>
          <w:ilvl w:val="0"/>
          <w:numId w:val="98"/>
        </w:numPr>
        <w:tabs>
          <w:tab w:pos="688" w:val="left" w:leader="none"/>
        </w:tabs>
        <w:spacing w:line="240" w:lineRule="auto" w:before="229" w:after="0"/>
        <w:ind w:left="262" w:right="285" w:firstLine="0"/>
        <w:jc w:val="both"/>
        <w:rPr>
          <w:sz w:val="20"/>
        </w:rPr>
      </w:pPr>
      <w:r>
        <w:rPr>
          <w:sz w:val="20"/>
        </w:rPr>
        <w:t>Tener acceso a la obra según lo acordado con el propietario de acuerdo al contrato de prestación de servicios respectivo;</w:t>
      </w:r>
    </w:p>
    <w:p>
      <w:pPr>
        <w:pStyle w:val="BodyText"/>
        <w:spacing w:before="1"/>
      </w:pPr>
    </w:p>
    <w:p>
      <w:pPr>
        <w:pStyle w:val="ListParagraph"/>
        <w:numPr>
          <w:ilvl w:val="0"/>
          <w:numId w:val="98"/>
        </w:numPr>
        <w:tabs>
          <w:tab w:pos="688" w:val="left" w:leader="none"/>
        </w:tabs>
        <w:spacing w:line="240" w:lineRule="auto" w:before="0" w:after="0"/>
        <w:ind w:left="262" w:right="288" w:firstLine="0"/>
        <w:jc w:val="both"/>
        <w:rPr>
          <w:sz w:val="20"/>
        </w:rPr>
      </w:pPr>
      <w:r>
        <w:rPr>
          <w:sz w:val="20"/>
        </w:rPr>
        <w:t>Contar con una copia del proyecto ejecutivo autorizado, acceso a la bitácora y todos los documentos derivados de dicha autorización;</w:t>
      </w:r>
    </w:p>
    <w:p>
      <w:pPr>
        <w:pStyle w:val="BodyText"/>
      </w:pPr>
    </w:p>
    <w:p>
      <w:pPr>
        <w:pStyle w:val="ListParagraph"/>
        <w:numPr>
          <w:ilvl w:val="0"/>
          <w:numId w:val="98"/>
        </w:numPr>
        <w:tabs>
          <w:tab w:pos="688" w:val="left" w:leader="none"/>
        </w:tabs>
        <w:spacing w:line="240" w:lineRule="auto" w:before="0" w:after="0"/>
        <w:ind w:left="262" w:right="280" w:firstLine="0"/>
        <w:jc w:val="both"/>
        <w:rPr>
          <w:sz w:val="20"/>
        </w:rPr>
      </w:pPr>
      <w:r>
        <w:rPr>
          <w:sz w:val="20"/>
        </w:rPr>
        <w:t>Retirar</w:t>
      </w:r>
      <w:r>
        <w:rPr>
          <w:spacing w:val="-2"/>
          <w:sz w:val="20"/>
        </w:rPr>
        <w:t> </w:t>
      </w:r>
      <w:r>
        <w:rPr>
          <w:sz w:val="20"/>
        </w:rPr>
        <w:t>su</w:t>
      </w:r>
      <w:r>
        <w:rPr>
          <w:spacing w:val="-4"/>
          <w:sz w:val="20"/>
        </w:rPr>
        <w:t> </w:t>
      </w:r>
      <w:r>
        <w:rPr>
          <w:sz w:val="20"/>
        </w:rPr>
        <w:t>responsiva</w:t>
      </w:r>
      <w:r>
        <w:rPr>
          <w:spacing w:val="-3"/>
          <w:sz w:val="20"/>
        </w:rPr>
        <w:t> </w:t>
      </w:r>
      <w:r>
        <w:rPr>
          <w:sz w:val="20"/>
        </w:rPr>
        <w:t>profesional</w:t>
      </w:r>
      <w:r>
        <w:rPr>
          <w:spacing w:val="-4"/>
          <w:sz w:val="20"/>
        </w:rPr>
        <w:t> </w:t>
      </w:r>
      <w:r>
        <w:rPr>
          <w:sz w:val="20"/>
        </w:rPr>
        <w:t>de</w:t>
      </w:r>
      <w:r>
        <w:rPr>
          <w:spacing w:val="-4"/>
          <w:sz w:val="20"/>
        </w:rPr>
        <w:t> </w:t>
      </w:r>
      <w:r>
        <w:rPr>
          <w:sz w:val="20"/>
        </w:rPr>
        <w:t>una</w:t>
      </w:r>
      <w:r>
        <w:rPr>
          <w:spacing w:val="-3"/>
          <w:sz w:val="20"/>
        </w:rPr>
        <w:t> </w:t>
      </w:r>
      <w:r>
        <w:rPr>
          <w:sz w:val="20"/>
        </w:rPr>
        <w:t>obra,</w:t>
      </w:r>
      <w:r>
        <w:rPr>
          <w:spacing w:val="-3"/>
          <w:sz w:val="20"/>
        </w:rPr>
        <w:t> </w:t>
      </w:r>
      <w:r>
        <w:rPr>
          <w:sz w:val="20"/>
        </w:rPr>
        <w:t>ante</w:t>
      </w:r>
      <w:r>
        <w:rPr>
          <w:spacing w:val="-3"/>
          <w:sz w:val="20"/>
        </w:rPr>
        <w:t> </w:t>
      </w:r>
      <w:r>
        <w:rPr>
          <w:sz w:val="20"/>
        </w:rPr>
        <w:t>la</w:t>
      </w:r>
      <w:r>
        <w:rPr>
          <w:spacing w:val="-3"/>
          <w:sz w:val="20"/>
        </w:rPr>
        <w:t> </w:t>
      </w:r>
      <w:r>
        <w:rPr>
          <w:sz w:val="20"/>
        </w:rPr>
        <w:t>negativa</w:t>
      </w:r>
      <w:r>
        <w:rPr>
          <w:spacing w:val="-3"/>
          <w:sz w:val="20"/>
        </w:rPr>
        <w:t> </w:t>
      </w:r>
      <w:r>
        <w:rPr>
          <w:sz w:val="20"/>
        </w:rPr>
        <w:t>reincidente</w:t>
      </w:r>
      <w:r>
        <w:rPr>
          <w:spacing w:val="-3"/>
          <w:sz w:val="20"/>
        </w:rPr>
        <w:t> </w:t>
      </w:r>
      <w:r>
        <w:rPr>
          <w:sz w:val="20"/>
        </w:rPr>
        <w:t>del</w:t>
      </w:r>
      <w:r>
        <w:rPr>
          <w:spacing w:val="-4"/>
          <w:sz w:val="20"/>
        </w:rPr>
        <w:t> </w:t>
      </w:r>
      <w:r>
        <w:rPr>
          <w:sz w:val="20"/>
        </w:rPr>
        <w:t>propietario</w:t>
      </w:r>
      <w:r>
        <w:rPr>
          <w:spacing w:val="-3"/>
          <w:sz w:val="20"/>
        </w:rPr>
        <w:t> </w:t>
      </w:r>
      <w:r>
        <w:rPr>
          <w:sz w:val="20"/>
        </w:rPr>
        <w:t>para acatar la regularización de fallas u omisiones en la ejecución de la obra, o cuando el propietario incurra en incumplimiento de alguna de las obligaciones que establece el artículo 269 de esta Ley, que impidan la terminación de la obra por causas no atribuibles al Director Responsable, debiendo notificar dicha circunstancia a la autoridad municipal competente, y</w:t>
      </w:r>
    </w:p>
    <w:p>
      <w:pPr>
        <w:pStyle w:val="BodyText"/>
      </w:pPr>
    </w:p>
    <w:p>
      <w:pPr>
        <w:pStyle w:val="ListParagraph"/>
        <w:numPr>
          <w:ilvl w:val="0"/>
          <w:numId w:val="98"/>
        </w:numPr>
        <w:tabs>
          <w:tab w:pos="688" w:val="left" w:leader="none"/>
        </w:tabs>
        <w:spacing w:line="240" w:lineRule="auto" w:before="0" w:after="0"/>
        <w:ind w:left="688" w:right="0" w:hanging="426"/>
        <w:jc w:val="both"/>
        <w:rPr>
          <w:sz w:val="20"/>
        </w:rPr>
      </w:pPr>
      <w:r>
        <w:rPr>
          <w:sz w:val="20"/>
        </w:rPr>
        <w:t>Las</w:t>
      </w:r>
      <w:r>
        <w:rPr>
          <w:spacing w:val="-7"/>
          <w:sz w:val="20"/>
        </w:rPr>
        <w:t> </w:t>
      </w:r>
      <w:r>
        <w:rPr>
          <w:sz w:val="20"/>
        </w:rPr>
        <w:t>demás</w:t>
      </w:r>
      <w:r>
        <w:rPr>
          <w:spacing w:val="-6"/>
          <w:sz w:val="20"/>
        </w:rPr>
        <w:t> </w:t>
      </w:r>
      <w:r>
        <w:rPr>
          <w:sz w:val="20"/>
        </w:rPr>
        <w:t>que</w:t>
      </w:r>
      <w:r>
        <w:rPr>
          <w:spacing w:val="-6"/>
          <w:sz w:val="20"/>
        </w:rPr>
        <w:t> </w:t>
      </w:r>
      <w:r>
        <w:rPr>
          <w:sz w:val="20"/>
        </w:rPr>
        <w:t>le</w:t>
      </w:r>
      <w:r>
        <w:rPr>
          <w:spacing w:val="-8"/>
          <w:sz w:val="20"/>
        </w:rPr>
        <w:t> </w:t>
      </w:r>
      <w:r>
        <w:rPr>
          <w:sz w:val="20"/>
        </w:rPr>
        <w:t>confiera</w:t>
      </w:r>
      <w:r>
        <w:rPr>
          <w:spacing w:val="-5"/>
          <w:sz w:val="20"/>
        </w:rPr>
        <w:t> </w:t>
      </w:r>
      <w:r>
        <w:rPr>
          <w:sz w:val="20"/>
        </w:rPr>
        <w:t>esta</w:t>
      </w:r>
      <w:r>
        <w:rPr>
          <w:spacing w:val="-8"/>
          <w:sz w:val="20"/>
        </w:rPr>
        <w:t> </w:t>
      </w:r>
      <w:r>
        <w:rPr>
          <w:sz w:val="20"/>
        </w:rPr>
        <w:t>Ley</w:t>
      </w:r>
      <w:r>
        <w:rPr>
          <w:spacing w:val="-7"/>
          <w:sz w:val="20"/>
        </w:rPr>
        <w:t> </w:t>
      </w:r>
      <w:r>
        <w:rPr>
          <w:sz w:val="20"/>
        </w:rPr>
        <w:t>y</w:t>
      </w:r>
      <w:r>
        <w:rPr>
          <w:spacing w:val="-6"/>
          <w:sz w:val="20"/>
        </w:rPr>
        <w:t> </w:t>
      </w:r>
      <w:r>
        <w:rPr>
          <w:sz w:val="20"/>
        </w:rPr>
        <w:t>demás</w:t>
      </w:r>
      <w:r>
        <w:rPr>
          <w:spacing w:val="-4"/>
          <w:sz w:val="20"/>
        </w:rPr>
        <w:t> </w:t>
      </w:r>
      <w:r>
        <w:rPr>
          <w:sz w:val="20"/>
        </w:rPr>
        <w:t>disposiciones</w:t>
      </w:r>
      <w:r>
        <w:rPr>
          <w:spacing w:val="-7"/>
          <w:sz w:val="20"/>
        </w:rPr>
        <w:t> </w:t>
      </w:r>
      <w:r>
        <w:rPr>
          <w:sz w:val="20"/>
        </w:rPr>
        <w:t>legales</w:t>
      </w:r>
      <w:r>
        <w:rPr>
          <w:spacing w:val="-6"/>
          <w:sz w:val="20"/>
        </w:rPr>
        <w:t> </w:t>
      </w:r>
      <w:r>
        <w:rPr>
          <w:spacing w:val="-2"/>
          <w:sz w:val="20"/>
        </w:rPr>
        <w:t>aplicables.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0"/>
        <w:jc w:val="both"/>
      </w:pPr>
      <w:r>
        <w:rPr>
          <w:rFonts w:ascii="Arial" w:hAnsi="Arial"/>
          <w:b/>
        </w:rPr>
        <w:t>ARTÍCULO</w:t>
      </w:r>
      <w:r>
        <w:rPr>
          <w:rFonts w:ascii="Arial" w:hAnsi="Arial"/>
          <w:b/>
          <w:spacing w:val="-7"/>
        </w:rPr>
        <w:t> </w:t>
      </w:r>
      <w:r>
        <w:rPr>
          <w:rFonts w:ascii="Arial" w:hAnsi="Arial"/>
          <w:b/>
        </w:rPr>
        <w:t>263.</w:t>
      </w:r>
      <w:r>
        <w:rPr>
          <w:rFonts w:ascii="Arial" w:hAnsi="Arial"/>
          <w:b/>
          <w:spacing w:val="-6"/>
        </w:rPr>
        <w:t> </w:t>
      </w:r>
      <w:r>
        <w:rPr/>
        <w:t>Los</w:t>
      </w:r>
      <w:r>
        <w:rPr>
          <w:spacing w:val="-7"/>
        </w:rPr>
        <w:t> </w:t>
      </w:r>
      <w:r>
        <w:rPr/>
        <w:t>Directores</w:t>
      </w:r>
      <w:r>
        <w:rPr>
          <w:spacing w:val="-7"/>
        </w:rPr>
        <w:t> </w:t>
      </w:r>
      <w:r>
        <w:rPr/>
        <w:t>Responsables</w:t>
      </w:r>
      <w:r>
        <w:rPr>
          <w:spacing w:val="-7"/>
        </w:rPr>
        <w:t> </w:t>
      </w:r>
      <w:r>
        <w:rPr/>
        <w:t>de</w:t>
      </w:r>
      <w:r>
        <w:rPr>
          <w:spacing w:val="-8"/>
        </w:rPr>
        <w:t> </w:t>
      </w:r>
      <w:r>
        <w:rPr/>
        <w:t>Obra</w:t>
      </w:r>
      <w:r>
        <w:rPr>
          <w:spacing w:val="-8"/>
        </w:rPr>
        <w:t> </w:t>
      </w:r>
      <w:r>
        <w:rPr/>
        <w:t>y</w:t>
      </w:r>
      <w:r>
        <w:rPr>
          <w:spacing w:val="-7"/>
        </w:rPr>
        <w:t> </w:t>
      </w:r>
      <w:r>
        <w:rPr/>
        <w:t>Corresponsables</w:t>
      </w:r>
      <w:r>
        <w:rPr>
          <w:spacing w:val="-7"/>
        </w:rPr>
        <w:t> </w:t>
      </w:r>
      <w:r>
        <w:rPr/>
        <w:t>mientras</w:t>
      </w:r>
      <w:r>
        <w:rPr>
          <w:spacing w:val="-7"/>
        </w:rPr>
        <w:t> </w:t>
      </w:r>
      <w:r>
        <w:rPr/>
        <w:t>no</w:t>
      </w:r>
      <w:r>
        <w:rPr>
          <w:spacing w:val="-8"/>
        </w:rPr>
        <w:t> </w:t>
      </w:r>
      <w:r>
        <w:rPr/>
        <w:t>presenten</w:t>
      </w:r>
      <w:r>
        <w:rPr>
          <w:spacing w:val="-8"/>
        </w:rPr>
        <w:t> </w:t>
      </w:r>
      <w:r>
        <w:rPr/>
        <w:t>a la</w:t>
      </w:r>
      <w:r>
        <w:rPr>
          <w:spacing w:val="-7"/>
        </w:rPr>
        <w:t> </w:t>
      </w:r>
      <w:r>
        <w:rPr/>
        <w:t>Dirección</w:t>
      </w:r>
      <w:r>
        <w:rPr>
          <w:spacing w:val="-5"/>
        </w:rPr>
        <w:t> </w:t>
      </w:r>
      <w:r>
        <w:rPr/>
        <w:t>Municipal</w:t>
      </w:r>
      <w:r>
        <w:rPr>
          <w:spacing w:val="-5"/>
        </w:rPr>
        <w:t> </w:t>
      </w:r>
      <w:r>
        <w:rPr/>
        <w:t>por</w:t>
      </w:r>
      <w:r>
        <w:rPr>
          <w:spacing w:val="-6"/>
        </w:rPr>
        <w:t> </w:t>
      </w:r>
      <w:r>
        <w:rPr/>
        <w:t>escrito</w:t>
      </w:r>
      <w:r>
        <w:rPr>
          <w:spacing w:val="-7"/>
        </w:rPr>
        <w:t> </w:t>
      </w:r>
      <w:r>
        <w:rPr/>
        <w:t>el</w:t>
      </w:r>
      <w:r>
        <w:rPr>
          <w:spacing w:val="-5"/>
        </w:rPr>
        <w:t> </w:t>
      </w:r>
      <w:r>
        <w:rPr/>
        <w:t>Aviso</w:t>
      </w:r>
      <w:r>
        <w:rPr>
          <w:spacing w:val="-7"/>
        </w:rPr>
        <w:t> </w:t>
      </w:r>
      <w:r>
        <w:rPr/>
        <w:t>de</w:t>
      </w:r>
      <w:r>
        <w:rPr>
          <w:spacing w:val="-7"/>
        </w:rPr>
        <w:t> </w:t>
      </w:r>
      <w:r>
        <w:rPr/>
        <w:t>Terminación</w:t>
      </w:r>
      <w:r>
        <w:rPr>
          <w:spacing w:val="-7"/>
        </w:rPr>
        <w:t> </w:t>
      </w:r>
      <w:r>
        <w:rPr/>
        <w:t>de</w:t>
      </w:r>
      <w:r>
        <w:rPr>
          <w:spacing w:val="-7"/>
        </w:rPr>
        <w:t> </w:t>
      </w:r>
      <w:r>
        <w:rPr/>
        <w:t>Obra,</w:t>
      </w:r>
      <w:r>
        <w:rPr>
          <w:spacing w:val="-6"/>
        </w:rPr>
        <w:t> </w:t>
      </w:r>
      <w:r>
        <w:rPr/>
        <w:t>responderán</w:t>
      </w:r>
      <w:r>
        <w:rPr>
          <w:spacing w:val="-7"/>
        </w:rPr>
        <w:t> </w:t>
      </w:r>
      <w:r>
        <w:rPr/>
        <w:t>por</w:t>
      </w:r>
      <w:r>
        <w:rPr>
          <w:spacing w:val="-6"/>
        </w:rPr>
        <w:t> </w:t>
      </w:r>
      <w:r>
        <w:rPr/>
        <w:t>las</w:t>
      </w:r>
      <w:r>
        <w:rPr>
          <w:spacing w:val="-6"/>
        </w:rPr>
        <w:t> </w:t>
      </w:r>
      <w:r>
        <w:rPr/>
        <w:t>adiciones</w:t>
      </w:r>
      <w:r>
        <w:rPr>
          <w:spacing w:val="-3"/>
        </w:rPr>
        <w:t> </w:t>
      </w:r>
      <w:r>
        <w:rPr/>
        <w:t>o modificaciones a las obras ejecutadas al amparo de su responsiva. Si la ejecución de la obra no corresponde al proyecto autorizado, se ordenará de inmediato su suspensión y se sancionará, sin perjuicio de que éste presente nuevos planos que contemplen los cambios, solicitando su regularización</w:t>
      </w:r>
      <w:r>
        <w:rPr>
          <w:spacing w:val="-2"/>
        </w:rPr>
        <w:t> </w:t>
      </w:r>
      <w:r>
        <w:rPr/>
        <w:t>ante la Dirección Municipal, salvo</w:t>
      </w:r>
      <w:r>
        <w:rPr>
          <w:spacing w:val="-2"/>
        </w:rPr>
        <w:t> </w:t>
      </w:r>
      <w:r>
        <w:rPr/>
        <w:t>cuando</w:t>
      </w:r>
      <w:r>
        <w:rPr>
          <w:spacing w:val="-2"/>
        </w:rPr>
        <w:t> </w:t>
      </w:r>
      <w:r>
        <w:rPr/>
        <w:t>las</w:t>
      </w:r>
      <w:r>
        <w:rPr>
          <w:spacing w:val="-1"/>
        </w:rPr>
        <w:t> </w:t>
      </w:r>
      <w:r>
        <w:rPr/>
        <w:t>variaciones entre el</w:t>
      </w:r>
      <w:r>
        <w:rPr>
          <w:spacing w:val="-1"/>
        </w:rPr>
        <w:t> </w:t>
      </w:r>
      <w:r>
        <w:rPr/>
        <w:t>proyecto</w:t>
      </w:r>
      <w:r>
        <w:rPr>
          <w:spacing w:val="-2"/>
        </w:rPr>
        <w:t> </w:t>
      </w:r>
      <w:r>
        <w:rPr/>
        <w:t>y</w:t>
      </w:r>
      <w:r>
        <w:rPr>
          <w:spacing w:val="-1"/>
        </w:rPr>
        <w:t> </w:t>
      </w:r>
      <w:r>
        <w:rPr/>
        <w:t>la obra, no comprometan las condiciones de estabilidad, destino e higiene.</w:t>
      </w:r>
    </w:p>
    <w:p>
      <w:pPr>
        <w:pStyle w:val="BodyText"/>
        <w:spacing w:before="1"/>
      </w:pPr>
    </w:p>
    <w:p>
      <w:pPr>
        <w:pStyle w:val="BodyText"/>
        <w:ind w:left="262" w:right="278"/>
        <w:jc w:val="both"/>
      </w:pPr>
      <w:r>
        <w:rPr>
          <w:rFonts w:ascii="Arial" w:hAnsi="Arial"/>
          <w:b/>
        </w:rPr>
        <w:t>ARTÍCULO</w:t>
      </w:r>
      <w:r>
        <w:rPr>
          <w:rFonts w:ascii="Arial" w:hAnsi="Arial"/>
          <w:b/>
          <w:spacing w:val="-11"/>
        </w:rPr>
        <w:t> </w:t>
      </w:r>
      <w:r>
        <w:rPr>
          <w:rFonts w:ascii="Arial" w:hAnsi="Arial"/>
          <w:b/>
        </w:rPr>
        <w:t>264.</w:t>
      </w:r>
      <w:r>
        <w:rPr>
          <w:rFonts w:ascii="Arial" w:hAnsi="Arial"/>
          <w:b/>
          <w:spacing w:val="-9"/>
        </w:rPr>
        <w:t> </w:t>
      </w:r>
      <w:r>
        <w:rPr/>
        <w:t>Los</w:t>
      </w:r>
      <w:r>
        <w:rPr>
          <w:spacing w:val="-9"/>
        </w:rPr>
        <w:t> </w:t>
      </w:r>
      <w:r>
        <w:rPr/>
        <w:t>encargados</w:t>
      </w:r>
      <w:r>
        <w:rPr>
          <w:spacing w:val="-9"/>
        </w:rPr>
        <w:t> </w:t>
      </w:r>
      <w:r>
        <w:rPr/>
        <w:t>de</w:t>
      </w:r>
      <w:r>
        <w:rPr>
          <w:spacing w:val="-13"/>
        </w:rPr>
        <w:t> </w:t>
      </w:r>
      <w:r>
        <w:rPr/>
        <w:t>revisar</w:t>
      </w:r>
      <w:r>
        <w:rPr>
          <w:spacing w:val="-11"/>
        </w:rPr>
        <w:t> </w:t>
      </w:r>
      <w:r>
        <w:rPr/>
        <w:t>los</w:t>
      </w:r>
      <w:r>
        <w:rPr>
          <w:spacing w:val="-11"/>
        </w:rPr>
        <w:t> </w:t>
      </w:r>
      <w:r>
        <w:rPr/>
        <w:t>proyectos,</w:t>
      </w:r>
      <w:r>
        <w:rPr>
          <w:spacing w:val="-12"/>
        </w:rPr>
        <w:t> </w:t>
      </w:r>
      <w:r>
        <w:rPr/>
        <w:t>supervisores</w:t>
      </w:r>
      <w:r>
        <w:rPr>
          <w:spacing w:val="-8"/>
        </w:rPr>
        <w:t> </w:t>
      </w:r>
      <w:r>
        <w:rPr/>
        <w:t>municipales,</w:t>
      </w:r>
      <w:r>
        <w:rPr>
          <w:spacing w:val="-12"/>
        </w:rPr>
        <w:t> </w:t>
      </w:r>
      <w:r>
        <w:rPr/>
        <w:t>inspectores</w:t>
      </w:r>
      <w:r>
        <w:rPr>
          <w:spacing w:val="-11"/>
        </w:rPr>
        <w:t> </w:t>
      </w:r>
      <w:r>
        <w:rPr/>
        <w:t>de obra y quienes realicen funciones análogas en los municipios, deberán ser servidores públicos del municipio respectivo, en virtud de que realizan actos de autoridad; y no podrán fungir como Directores de Obra o Corresponsables.</w:t>
      </w:r>
    </w:p>
    <w:p>
      <w:pPr>
        <w:pStyle w:val="BodyText"/>
      </w:pPr>
    </w:p>
    <w:p>
      <w:pPr>
        <w:pStyle w:val="BodyText"/>
        <w:ind w:left="262" w:right="281"/>
        <w:jc w:val="both"/>
      </w:pPr>
      <w:r>
        <w:rPr/>
        <w:t>Los referidos servidores públicos deberán contar con la formación académica de ingeniero civil, arquitecto,</w:t>
      </w:r>
      <w:r>
        <w:rPr>
          <w:spacing w:val="-5"/>
        </w:rPr>
        <w:t> </w:t>
      </w:r>
      <w:r>
        <w:rPr/>
        <w:t>ingeniero</w:t>
      </w:r>
      <w:r>
        <w:rPr>
          <w:spacing w:val="-7"/>
        </w:rPr>
        <w:t> </w:t>
      </w:r>
      <w:r>
        <w:rPr/>
        <w:t>arquitecto,</w:t>
      </w:r>
      <w:r>
        <w:rPr>
          <w:spacing w:val="-4"/>
        </w:rPr>
        <w:t> </w:t>
      </w:r>
      <w:r>
        <w:rPr/>
        <w:t>licenciado</w:t>
      </w:r>
      <w:r>
        <w:rPr>
          <w:spacing w:val="-4"/>
        </w:rPr>
        <w:t> </w:t>
      </w:r>
      <w:r>
        <w:rPr/>
        <w:t>en</w:t>
      </w:r>
      <w:r>
        <w:rPr>
          <w:spacing w:val="-4"/>
        </w:rPr>
        <w:t> </w:t>
      </w:r>
      <w:r>
        <w:rPr/>
        <w:t>administración</w:t>
      </w:r>
      <w:r>
        <w:rPr>
          <w:spacing w:val="-7"/>
        </w:rPr>
        <w:t> </w:t>
      </w:r>
      <w:r>
        <w:rPr/>
        <w:t>y</w:t>
      </w:r>
      <w:r>
        <w:rPr>
          <w:spacing w:val="-3"/>
        </w:rPr>
        <w:t> </w:t>
      </w:r>
      <w:r>
        <w:rPr/>
        <w:t>edificación</w:t>
      </w:r>
      <w:r>
        <w:rPr>
          <w:spacing w:val="-5"/>
        </w:rPr>
        <w:t> </w:t>
      </w:r>
      <w:r>
        <w:rPr/>
        <w:t>de</w:t>
      </w:r>
      <w:r>
        <w:rPr>
          <w:spacing w:val="-7"/>
        </w:rPr>
        <w:t> </w:t>
      </w:r>
      <w:r>
        <w:rPr/>
        <w:t>obras,</w:t>
      </w:r>
      <w:r>
        <w:rPr>
          <w:spacing w:val="-6"/>
        </w:rPr>
        <w:t> </w:t>
      </w:r>
      <w:r>
        <w:rPr/>
        <w:t>que</w:t>
      </w:r>
      <w:r>
        <w:rPr>
          <w:spacing w:val="-5"/>
        </w:rPr>
        <w:t> </w:t>
      </w:r>
      <w:r>
        <w:rPr/>
        <w:t>les</w:t>
      </w:r>
      <w:r>
        <w:rPr>
          <w:spacing w:val="-6"/>
        </w:rPr>
        <w:t> </w:t>
      </w:r>
      <w:r>
        <w:rPr/>
        <w:t>permita realizar</w:t>
      </w:r>
      <w:r>
        <w:rPr>
          <w:spacing w:val="-9"/>
        </w:rPr>
        <w:t> </w:t>
      </w:r>
      <w:r>
        <w:rPr/>
        <w:t>sus</w:t>
      </w:r>
      <w:r>
        <w:rPr>
          <w:spacing w:val="-9"/>
        </w:rPr>
        <w:t> </w:t>
      </w:r>
      <w:r>
        <w:rPr/>
        <w:t>funciones</w:t>
      </w:r>
      <w:r>
        <w:rPr>
          <w:spacing w:val="-9"/>
        </w:rPr>
        <w:t> </w:t>
      </w:r>
      <w:r>
        <w:rPr/>
        <w:t>profesionalmente</w:t>
      </w:r>
      <w:r>
        <w:rPr>
          <w:spacing w:val="-10"/>
        </w:rPr>
        <w:t> </w:t>
      </w:r>
      <w:r>
        <w:rPr/>
        <w:t>y</w:t>
      </w:r>
      <w:r>
        <w:rPr>
          <w:spacing w:val="-5"/>
        </w:rPr>
        <w:t> </w:t>
      </w:r>
      <w:r>
        <w:rPr/>
        <w:t>en</w:t>
      </w:r>
      <w:r>
        <w:rPr>
          <w:spacing w:val="-10"/>
        </w:rPr>
        <w:t> </w:t>
      </w:r>
      <w:r>
        <w:rPr/>
        <w:t>la</w:t>
      </w:r>
      <w:r>
        <w:rPr>
          <w:spacing w:val="-10"/>
        </w:rPr>
        <w:t> </w:t>
      </w:r>
      <w:r>
        <w:rPr/>
        <w:t>rama</w:t>
      </w:r>
      <w:r>
        <w:rPr>
          <w:spacing w:val="-10"/>
        </w:rPr>
        <w:t> </w:t>
      </w:r>
      <w:r>
        <w:rPr/>
        <w:t>de</w:t>
      </w:r>
      <w:r>
        <w:rPr>
          <w:spacing w:val="-10"/>
        </w:rPr>
        <w:t> </w:t>
      </w:r>
      <w:r>
        <w:rPr/>
        <w:t>supervisión</w:t>
      </w:r>
      <w:r>
        <w:rPr>
          <w:spacing w:val="-10"/>
        </w:rPr>
        <w:t> </w:t>
      </w:r>
      <w:r>
        <w:rPr/>
        <w:t>que</w:t>
      </w:r>
      <w:r>
        <w:rPr>
          <w:spacing w:val="-10"/>
        </w:rPr>
        <w:t> </w:t>
      </w:r>
      <w:r>
        <w:rPr/>
        <w:t>les</w:t>
      </w:r>
      <w:r>
        <w:rPr>
          <w:spacing w:val="-9"/>
        </w:rPr>
        <w:t> </w:t>
      </w:r>
      <w:r>
        <w:rPr/>
        <w:t>corresponda,</w:t>
      </w:r>
      <w:r>
        <w:rPr>
          <w:spacing w:val="-10"/>
        </w:rPr>
        <w:t> </w:t>
      </w:r>
      <w:r>
        <w:rPr/>
        <w:t>y</w:t>
      </w:r>
      <w:r>
        <w:rPr>
          <w:spacing w:val="-9"/>
        </w:rPr>
        <w:t> </w:t>
      </w:r>
      <w:r>
        <w:rPr/>
        <w:t>deberán contar con los mismos requisitos que establece la Ley de Peritos del Estado a los peritos </w:t>
      </w:r>
      <w:r>
        <w:rPr>
          <w:spacing w:val="-2"/>
        </w:rPr>
        <w:t>dictaminadores.</w:t>
      </w:r>
    </w:p>
    <w:p>
      <w:pPr>
        <w:pStyle w:val="BodyText"/>
      </w:pPr>
    </w:p>
    <w:p>
      <w:pPr>
        <w:pStyle w:val="BodyText"/>
        <w:ind w:left="262" w:right="285"/>
        <w:jc w:val="both"/>
      </w:pPr>
      <w:r>
        <w:rPr>
          <w:rFonts w:ascii="Arial" w:hAnsi="Arial"/>
          <w:b/>
        </w:rPr>
        <w:t>ARTÍCULO 265. </w:t>
      </w:r>
      <w:r>
        <w:rPr/>
        <w:t>Queda prohibido habilitar a los Directores de Obra o Corresponsables como supervisores municipales de obras de urbanización y peritos en supervisión municipal de obras de </w:t>
      </w:r>
      <w:r>
        <w:rPr>
          <w:spacing w:val="-2"/>
        </w:rPr>
        <w:t>edificación.</w:t>
      </w:r>
    </w:p>
    <w:p>
      <w:pPr>
        <w:pStyle w:val="BodyText"/>
        <w:spacing w:before="230"/>
        <w:ind w:left="262" w:right="278"/>
        <w:jc w:val="both"/>
      </w:pPr>
      <w:r>
        <w:rPr>
          <w:rFonts w:ascii="Arial" w:hAnsi="Arial"/>
          <w:b/>
        </w:rPr>
        <w:t>ARTÍCULO</w:t>
      </w:r>
      <w:r>
        <w:rPr>
          <w:rFonts w:ascii="Arial" w:hAnsi="Arial"/>
          <w:b/>
          <w:spacing w:val="-5"/>
        </w:rPr>
        <w:t> </w:t>
      </w:r>
      <w:r>
        <w:rPr>
          <w:rFonts w:ascii="Arial" w:hAnsi="Arial"/>
          <w:b/>
        </w:rPr>
        <w:t>266.</w:t>
      </w:r>
      <w:r>
        <w:rPr>
          <w:rFonts w:ascii="Arial" w:hAnsi="Arial"/>
          <w:b/>
          <w:spacing w:val="-6"/>
        </w:rPr>
        <w:t> </w:t>
      </w:r>
      <w:r>
        <w:rPr/>
        <w:t>Toda</w:t>
      </w:r>
      <w:r>
        <w:rPr>
          <w:spacing w:val="-7"/>
        </w:rPr>
        <w:t> </w:t>
      </w:r>
      <w:r>
        <w:rPr/>
        <w:t>obra</w:t>
      </w:r>
      <w:r>
        <w:rPr>
          <w:spacing w:val="-5"/>
        </w:rPr>
        <w:t> </w:t>
      </w:r>
      <w:r>
        <w:rPr/>
        <w:t>pública</w:t>
      </w:r>
      <w:r>
        <w:rPr>
          <w:spacing w:val="-7"/>
        </w:rPr>
        <w:t> </w:t>
      </w:r>
      <w:r>
        <w:rPr/>
        <w:t>o</w:t>
      </w:r>
      <w:r>
        <w:rPr>
          <w:spacing w:val="-4"/>
        </w:rPr>
        <w:t> </w:t>
      </w:r>
      <w:r>
        <w:rPr/>
        <w:t>privada</w:t>
      </w:r>
      <w:r>
        <w:rPr>
          <w:spacing w:val="-7"/>
        </w:rPr>
        <w:t> </w:t>
      </w:r>
      <w:r>
        <w:rPr/>
        <w:t>que</w:t>
      </w:r>
      <w:r>
        <w:rPr>
          <w:spacing w:val="-7"/>
        </w:rPr>
        <w:t> </w:t>
      </w:r>
      <w:r>
        <w:rPr/>
        <w:t>autorice</w:t>
      </w:r>
      <w:r>
        <w:rPr>
          <w:spacing w:val="-7"/>
        </w:rPr>
        <w:t> </w:t>
      </w:r>
      <w:r>
        <w:rPr/>
        <w:t>la</w:t>
      </w:r>
      <w:r>
        <w:rPr>
          <w:spacing w:val="-4"/>
        </w:rPr>
        <w:t> </w:t>
      </w:r>
      <w:r>
        <w:rPr/>
        <w:t>dirección</w:t>
      </w:r>
      <w:r>
        <w:rPr>
          <w:spacing w:val="-7"/>
        </w:rPr>
        <w:t> </w:t>
      </w:r>
      <w:r>
        <w:rPr/>
        <w:t>municipal,</w:t>
      </w:r>
      <w:r>
        <w:rPr>
          <w:spacing w:val="-6"/>
        </w:rPr>
        <w:t> </w:t>
      </w:r>
      <w:r>
        <w:rPr/>
        <w:t>deberá</w:t>
      </w:r>
      <w:r>
        <w:rPr>
          <w:spacing w:val="-6"/>
        </w:rPr>
        <w:t> </w:t>
      </w:r>
      <w:r>
        <w:rPr/>
        <w:t>contar</w:t>
      </w:r>
      <w:r>
        <w:rPr>
          <w:spacing w:val="-6"/>
        </w:rPr>
        <w:t> </w:t>
      </w:r>
      <w:r>
        <w:rPr/>
        <w:t>con un</w:t>
      </w:r>
      <w:r>
        <w:rPr>
          <w:spacing w:val="-4"/>
        </w:rPr>
        <w:t> </w:t>
      </w:r>
      <w:r>
        <w:rPr/>
        <w:t>Director</w:t>
      </w:r>
      <w:r>
        <w:rPr>
          <w:spacing w:val="-3"/>
        </w:rPr>
        <w:t> </w:t>
      </w:r>
      <w:r>
        <w:rPr/>
        <w:t>Responsable</w:t>
      </w:r>
      <w:r>
        <w:rPr>
          <w:spacing w:val="-2"/>
        </w:rPr>
        <w:t> </w:t>
      </w:r>
      <w:r>
        <w:rPr/>
        <w:t>de</w:t>
      </w:r>
      <w:r>
        <w:rPr>
          <w:spacing w:val="-3"/>
        </w:rPr>
        <w:t> </w:t>
      </w:r>
      <w:r>
        <w:rPr/>
        <w:t>Obra,</w:t>
      </w:r>
      <w:r>
        <w:rPr>
          <w:spacing w:val="-3"/>
        </w:rPr>
        <w:t> </w:t>
      </w:r>
      <w:r>
        <w:rPr/>
        <w:t>y</w:t>
      </w:r>
      <w:r>
        <w:rPr>
          <w:spacing w:val="-3"/>
        </w:rPr>
        <w:t> </w:t>
      </w:r>
      <w:r>
        <w:rPr/>
        <w:t>en</w:t>
      </w:r>
      <w:r>
        <w:rPr>
          <w:spacing w:val="-2"/>
        </w:rPr>
        <w:t> </w:t>
      </w:r>
      <w:r>
        <w:rPr/>
        <w:t>los</w:t>
      </w:r>
      <w:r>
        <w:rPr>
          <w:spacing w:val="-3"/>
        </w:rPr>
        <w:t> </w:t>
      </w:r>
      <w:r>
        <w:rPr/>
        <w:t>casos</w:t>
      </w:r>
      <w:r>
        <w:rPr>
          <w:spacing w:val="-3"/>
        </w:rPr>
        <w:t> </w:t>
      </w:r>
      <w:r>
        <w:rPr/>
        <w:t>en</w:t>
      </w:r>
      <w:r>
        <w:rPr>
          <w:spacing w:val="-2"/>
        </w:rPr>
        <w:t> </w:t>
      </w:r>
      <w:r>
        <w:rPr/>
        <w:t>que</w:t>
      </w:r>
      <w:r>
        <w:rPr>
          <w:spacing w:val="-4"/>
        </w:rPr>
        <w:t> </w:t>
      </w:r>
      <w:r>
        <w:rPr/>
        <w:t>sea</w:t>
      </w:r>
      <w:r>
        <w:rPr>
          <w:spacing w:val="-2"/>
        </w:rPr>
        <w:t> </w:t>
      </w:r>
      <w:r>
        <w:rPr/>
        <w:t>necesario</w:t>
      </w:r>
      <w:r>
        <w:rPr>
          <w:spacing w:val="-3"/>
        </w:rPr>
        <w:t> </w:t>
      </w:r>
      <w:r>
        <w:rPr/>
        <w:t>de</w:t>
      </w:r>
      <w:r>
        <w:rPr>
          <w:spacing w:val="-2"/>
        </w:rPr>
        <w:t> </w:t>
      </w:r>
      <w:r>
        <w:rPr/>
        <w:t>los</w:t>
      </w:r>
      <w:r>
        <w:rPr>
          <w:spacing w:val="-3"/>
        </w:rPr>
        <w:t> </w:t>
      </w:r>
      <w:r>
        <w:rPr/>
        <w:t>Corresponsables,</w:t>
      </w:r>
      <w:r>
        <w:rPr>
          <w:spacing w:val="-3"/>
        </w:rPr>
        <w:t> </w:t>
      </w:r>
      <w:r>
        <w:rPr/>
        <w:t>de forma que se garantice la calidad, seguridad y cumplimiento de los estándares de calidad de las </w:t>
      </w:r>
      <w:r>
        <w:rPr>
          <w:spacing w:val="-2"/>
        </w:rPr>
        <w:t>mismas.</w:t>
      </w:r>
    </w:p>
    <w:p>
      <w:pPr>
        <w:pStyle w:val="BodyText"/>
        <w:spacing w:before="230"/>
        <w:ind w:left="262" w:right="288"/>
        <w:jc w:val="both"/>
      </w:pPr>
      <w:r>
        <w:rPr>
          <w:rFonts w:ascii="Arial"/>
          <w:b/>
        </w:rPr>
        <w:t>ARTICULO 267</w:t>
      </w:r>
      <w:r>
        <w:rPr/>
        <w:t>. El especialista adquiere su calidad de Corresponsable al suscribir con el Director Responsable de Obra la solicitud de licencia y los planos del proyecto respectivo.</w:t>
      </w:r>
    </w:p>
    <w:p>
      <w:pPr>
        <w:pStyle w:val="BodyText"/>
        <w:spacing w:before="1"/>
      </w:pPr>
    </w:p>
    <w:p>
      <w:pPr>
        <w:pStyle w:val="BodyText"/>
        <w:ind w:left="262"/>
        <w:jc w:val="both"/>
      </w:pPr>
      <w:r>
        <w:rPr/>
        <w:t>Los</w:t>
      </w:r>
      <w:r>
        <w:rPr>
          <w:spacing w:val="-10"/>
        </w:rPr>
        <w:t> </w:t>
      </w:r>
      <w:r>
        <w:rPr/>
        <w:t>Corresponsables</w:t>
      </w:r>
      <w:r>
        <w:rPr>
          <w:spacing w:val="-10"/>
        </w:rPr>
        <w:t> </w:t>
      </w:r>
      <w:r>
        <w:rPr/>
        <w:t>tienen</w:t>
      </w:r>
      <w:r>
        <w:rPr>
          <w:spacing w:val="-11"/>
        </w:rPr>
        <w:t> </w:t>
      </w:r>
      <w:r>
        <w:rPr/>
        <w:t>las</w:t>
      </w:r>
      <w:r>
        <w:rPr>
          <w:spacing w:val="-8"/>
        </w:rPr>
        <w:t> </w:t>
      </w:r>
      <w:r>
        <w:rPr/>
        <w:t>obligaciones</w:t>
      </w:r>
      <w:r>
        <w:rPr>
          <w:spacing w:val="-10"/>
        </w:rPr>
        <w:t> </w:t>
      </w:r>
      <w:r>
        <w:rPr>
          <w:spacing w:val="-2"/>
        </w:rPr>
        <w:t>siguientes:</w:t>
      </w:r>
    </w:p>
    <w:p>
      <w:pPr>
        <w:pStyle w:val="BodyText"/>
        <w:spacing w:before="1"/>
      </w:pPr>
    </w:p>
    <w:p>
      <w:pPr>
        <w:pStyle w:val="ListParagraph"/>
        <w:numPr>
          <w:ilvl w:val="0"/>
          <w:numId w:val="99"/>
        </w:numPr>
        <w:tabs>
          <w:tab w:pos="543" w:val="left" w:leader="none"/>
        </w:tabs>
        <w:spacing w:line="240" w:lineRule="auto" w:before="0" w:after="0"/>
        <w:ind w:left="262" w:right="286" w:firstLine="0"/>
        <w:jc w:val="both"/>
        <w:rPr>
          <w:sz w:val="20"/>
        </w:rPr>
      </w:pPr>
      <w:r>
        <w:rPr>
          <w:sz w:val="20"/>
        </w:rPr>
        <w:t>Revisar el proyecto en los aspectos correspondientes a su especialidad, verificando que hayan sido</w:t>
      </w:r>
      <w:r>
        <w:rPr>
          <w:spacing w:val="-10"/>
          <w:sz w:val="20"/>
        </w:rPr>
        <w:t> </w:t>
      </w:r>
      <w:r>
        <w:rPr>
          <w:sz w:val="20"/>
        </w:rPr>
        <w:t>realizados</w:t>
      </w:r>
      <w:r>
        <w:rPr>
          <w:spacing w:val="-7"/>
          <w:sz w:val="20"/>
        </w:rPr>
        <w:t> </w:t>
      </w:r>
      <w:r>
        <w:rPr>
          <w:sz w:val="20"/>
        </w:rPr>
        <w:t>los</w:t>
      </w:r>
      <w:r>
        <w:rPr>
          <w:spacing w:val="-9"/>
          <w:sz w:val="20"/>
        </w:rPr>
        <w:t> </w:t>
      </w:r>
      <w:r>
        <w:rPr>
          <w:sz w:val="20"/>
        </w:rPr>
        <w:t>estudios</w:t>
      </w:r>
      <w:r>
        <w:rPr>
          <w:spacing w:val="-9"/>
          <w:sz w:val="20"/>
        </w:rPr>
        <w:t> </w:t>
      </w:r>
      <w:r>
        <w:rPr>
          <w:sz w:val="20"/>
        </w:rPr>
        <w:t>y</w:t>
      </w:r>
      <w:r>
        <w:rPr>
          <w:spacing w:val="-9"/>
          <w:sz w:val="20"/>
        </w:rPr>
        <w:t> </w:t>
      </w:r>
      <w:r>
        <w:rPr>
          <w:sz w:val="20"/>
        </w:rPr>
        <w:t>se</w:t>
      </w:r>
      <w:r>
        <w:rPr>
          <w:spacing w:val="-10"/>
          <w:sz w:val="20"/>
        </w:rPr>
        <w:t> </w:t>
      </w:r>
      <w:r>
        <w:rPr>
          <w:sz w:val="20"/>
        </w:rPr>
        <w:t>hayan</w:t>
      </w:r>
      <w:r>
        <w:rPr>
          <w:spacing w:val="-10"/>
          <w:sz w:val="20"/>
        </w:rPr>
        <w:t> </w:t>
      </w:r>
      <w:r>
        <w:rPr>
          <w:sz w:val="20"/>
        </w:rPr>
        <w:t>cumplido</w:t>
      </w:r>
      <w:r>
        <w:rPr>
          <w:spacing w:val="-8"/>
          <w:sz w:val="20"/>
        </w:rPr>
        <w:t> </w:t>
      </w:r>
      <w:r>
        <w:rPr>
          <w:sz w:val="20"/>
        </w:rPr>
        <w:t>las</w:t>
      </w:r>
      <w:r>
        <w:rPr>
          <w:spacing w:val="-7"/>
          <w:sz w:val="20"/>
        </w:rPr>
        <w:t> </w:t>
      </w:r>
      <w:r>
        <w:rPr>
          <w:sz w:val="20"/>
        </w:rPr>
        <w:t>disposiciones</w:t>
      </w:r>
      <w:r>
        <w:rPr>
          <w:spacing w:val="-9"/>
          <w:sz w:val="20"/>
        </w:rPr>
        <w:t> </w:t>
      </w:r>
      <w:r>
        <w:rPr>
          <w:sz w:val="20"/>
        </w:rPr>
        <w:t>establecidas</w:t>
      </w:r>
      <w:r>
        <w:rPr>
          <w:spacing w:val="-6"/>
          <w:sz w:val="20"/>
        </w:rPr>
        <w:t> </w:t>
      </w:r>
      <w:r>
        <w:rPr>
          <w:sz w:val="20"/>
        </w:rPr>
        <w:t>por</w:t>
      </w:r>
      <w:r>
        <w:rPr>
          <w:spacing w:val="-9"/>
          <w:sz w:val="20"/>
        </w:rPr>
        <w:t> </w:t>
      </w:r>
      <w:r>
        <w:rPr>
          <w:sz w:val="20"/>
        </w:rPr>
        <w:t>la</w:t>
      </w:r>
      <w:r>
        <w:rPr>
          <w:spacing w:val="-8"/>
          <w:sz w:val="20"/>
        </w:rPr>
        <w:t> </w:t>
      </w:r>
      <w:r>
        <w:rPr>
          <w:sz w:val="20"/>
        </w:rPr>
        <w:t>presente</w:t>
      </w:r>
      <w:r>
        <w:rPr>
          <w:spacing w:val="-10"/>
          <w:sz w:val="20"/>
        </w:rPr>
        <w:t> </w:t>
      </w:r>
      <w:r>
        <w:rPr>
          <w:sz w:val="20"/>
        </w:rPr>
        <w:t>Ley, reglamentos y normas aplicables de construcción;</w:t>
      </w:r>
    </w:p>
    <w:p>
      <w:pPr>
        <w:pStyle w:val="ListParagraph"/>
        <w:numPr>
          <w:ilvl w:val="0"/>
          <w:numId w:val="99"/>
        </w:numPr>
        <w:tabs>
          <w:tab w:pos="487" w:val="left" w:leader="none"/>
        </w:tabs>
        <w:spacing w:line="240" w:lineRule="auto" w:before="229" w:after="0"/>
        <w:ind w:left="262" w:right="287" w:firstLine="0"/>
        <w:jc w:val="both"/>
        <w:rPr>
          <w:sz w:val="20"/>
        </w:rPr>
      </w:pPr>
      <w:r>
        <w:rPr>
          <w:sz w:val="20"/>
        </w:rPr>
        <w:t>Vigilar que, durante el proceso de obra, ésta se apegue estrictamente al proyecto autorizado en su especialidad, para lo cual deberá visitar regularmente la obra, haciendo las anotaciones correspondientes en la bitácora respectiva;</w:t>
      </w:r>
    </w:p>
    <w:p>
      <w:pPr>
        <w:pStyle w:val="BodyText"/>
      </w:pPr>
    </w:p>
    <w:p>
      <w:pPr>
        <w:pStyle w:val="ListParagraph"/>
        <w:numPr>
          <w:ilvl w:val="0"/>
          <w:numId w:val="99"/>
        </w:numPr>
        <w:tabs>
          <w:tab w:pos="570" w:val="left" w:leader="none"/>
        </w:tabs>
        <w:spacing w:line="240" w:lineRule="auto" w:before="0" w:after="0"/>
        <w:ind w:left="262" w:right="286" w:firstLine="0"/>
        <w:jc w:val="both"/>
        <w:rPr>
          <w:sz w:val="20"/>
        </w:rPr>
      </w:pPr>
      <w:r>
        <w:rPr>
          <w:sz w:val="20"/>
        </w:rPr>
        <w:t>Notificar al Director Responsable de Obra y a la autoridad municipal cualquier irregularidad durante el proceso de la obra, que pueda afectar la ejecución del proyecto, asentándolo así mismo en la bitácora, y</w:t>
      </w:r>
    </w:p>
    <w:p>
      <w:pPr>
        <w:pStyle w:val="ListParagraph"/>
        <w:numPr>
          <w:ilvl w:val="0"/>
          <w:numId w:val="99"/>
        </w:numPr>
        <w:tabs>
          <w:tab w:pos="558" w:val="left" w:leader="none"/>
        </w:tabs>
        <w:spacing w:line="240" w:lineRule="auto" w:before="229" w:after="0"/>
        <w:ind w:left="558" w:right="0" w:hanging="296"/>
        <w:jc w:val="both"/>
        <w:rPr>
          <w:sz w:val="20"/>
        </w:rPr>
      </w:pPr>
      <w:r>
        <w:rPr>
          <w:sz w:val="20"/>
        </w:rPr>
        <w:t>Refrendar</w:t>
      </w:r>
      <w:r>
        <w:rPr>
          <w:spacing w:val="-8"/>
          <w:sz w:val="20"/>
        </w:rPr>
        <w:t> </w:t>
      </w:r>
      <w:r>
        <w:rPr>
          <w:sz w:val="20"/>
        </w:rPr>
        <w:t>su</w:t>
      </w:r>
      <w:r>
        <w:rPr>
          <w:spacing w:val="-9"/>
          <w:sz w:val="20"/>
        </w:rPr>
        <w:t> </w:t>
      </w:r>
      <w:r>
        <w:rPr>
          <w:sz w:val="20"/>
        </w:rPr>
        <w:t>registro</w:t>
      </w:r>
      <w:r>
        <w:rPr>
          <w:spacing w:val="-9"/>
          <w:sz w:val="20"/>
        </w:rPr>
        <w:t> </w:t>
      </w:r>
      <w:r>
        <w:rPr>
          <w:sz w:val="20"/>
        </w:rPr>
        <w:t>y</w:t>
      </w:r>
      <w:r>
        <w:rPr>
          <w:spacing w:val="-6"/>
          <w:sz w:val="20"/>
        </w:rPr>
        <w:t> </w:t>
      </w:r>
      <w:r>
        <w:rPr>
          <w:sz w:val="20"/>
        </w:rPr>
        <w:t>calidad</w:t>
      </w:r>
      <w:r>
        <w:rPr>
          <w:spacing w:val="-7"/>
          <w:sz w:val="20"/>
        </w:rPr>
        <w:t> </w:t>
      </w:r>
      <w:r>
        <w:rPr>
          <w:sz w:val="20"/>
        </w:rPr>
        <w:t>de</w:t>
      </w:r>
      <w:r>
        <w:rPr>
          <w:spacing w:val="-10"/>
          <w:sz w:val="20"/>
        </w:rPr>
        <w:t> </w:t>
      </w:r>
      <w:r>
        <w:rPr>
          <w:sz w:val="20"/>
        </w:rPr>
        <w:t>Corresponsable</w:t>
      </w:r>
      <w:r>
        <w:rPr>
          <w:spacing w:val="-5"/>
          <w:sz w:val="20"/>
        </w:rPr>
        <w:t> </w:t>
      </w:r>
      <w:r>
        <w:rPr>
          <w:sz w:val="20"/>
        </w:rPr>
        <w:t>conforme</w:t>
      </w:r>
      <w:r>
        <w:rPr>
          <w:spacing w:val="-7"/>
          <w:sz w:val="20"/>
        </w:rPr>
        <w:t> </w:t>
      </w:r>
      <w:r>
        <w:rPr>
          <w:sz w:val="20"/>
        </w:rPr>
        <w:t>lo</w:t>
      </w:r>
      <w:r>
        <w:rPr>
          <w:spacing w:val="-7"/>
          <w:sz w:val="20"/>
        </w:rPr>
        <w:t> </w:t>
      </w:r>
      <w:r>
        <w:rPr>
          <w:sz w:val="20"/>
        </w:rPr>
        <w:t>establece</w:t>
      </w:r>
      <w:r>
        <w:rPr>
          <w:spacing w:val="-7"/>
          <w:sz w:val="20"/>
        </w:rPr>
        <w:t> </w:t>
      </w:r>
      <w:r>
        <w:rPr>
          <w:sz w:val="20"/>
        </w:rPr>
        <w:t>la</w:t>
      </w:r>
      <w:r>
        <w:rPr>
          <w:spacing w:val="-7"/>
          <w:sz w:val="20"/>
        </w:rPr>
        <w:t> </w:t>
      </w:r>
      <w:r>
        <w:rPr>
          <w:sz w:val="20"/>
        </w:rPr>
        <w:t>presente</w:t>
      </w:r>
      <w:r>
        <w:rPr>
          <w:spacing w:val="-7"/>
          <w:sz w:val="20"/>
        </w:rPr>
        <w:t> </w:t>
      </w:r>
      <w:r>
        <w:rPr>
          <w:spacing w:val="-4"/>
          <w:sz w:val="20"/>
        </w:rPr>
        <w:t>Ley.</w:t>
      </w:r>
    </w:p>
    <w:p>
      <w:pPr>
        <w:pStyle w:val="BodyText"/>
        <w:spacing w:before="1"/>
      </w:pPr>
    </w:p>
    <w:p>
      <w:pPr>
        <w:spacing w:before="0"/>
        <w:ind w:left="262" w:right="0" w:firstLine="0"/>
        <w:jc w:val="both"/>
        <w:rPr>
          <w:sz w:val="20"/>
        </w:rPr>
      </w:pPr>
      <w:r>
        <w:rPr>
          <w:rFonts w:ascii="Arial"/>
          <w:b/>
          <w:sz w:val="20"/>
        </w:rPr>
        <w:t>ARTICULO</w:t>
      </w:r>
      <w:r>
        <w:rPr>
          <w:rFonts w:ascii="Arial"/>
          <w:b/>
          <w:spacing w:val="-7"/>
          <w:sz w:val="20"/>
        </w:rPr>
        <w:t> </w:t>
      </w:r>
      <w:r>
        <w:rPr>
          <w:rFonts w:ascii="Arial"/>
          <w:b/>
          <w:sz w:val="20"/>
        </w:rPr>
        <w:t>268.</w:t>
      </w:r>
      <w:r>
        <w:rPr>
          <w:rFonts w:ascii="Arial"/>
          <w:b/>
          <w:spacing w:val="-5"/>
          <w:sz w:val="20"/>
        </w:rPr>
        <w:t> </w:t>
      </w:r>
      <w:r>
        <w:rPr>
          <w:sz w:val="20"/>
        </w:rPr>
        <w:t>Son</w:t>
      </w:r>
      <w:r>
        <w:rPr>
          <w:spacing w:val="-6"/>
          <w:sz w:val="20"/>
        </w:rPr>
        <w:t> </w:t>
      </w:r>
      <w:r>
        <w:rPr>
          <w:sz w:val="20"/>
        </w:rPr>
        <w:t>derechos</w:t>
      </w:r>
      <w:r>
        <w:rPr>
          <w:spacing w:val="-7"/>
          <w:sz w:val="20"/>
        </w:rPr>
        <w:t> </w:t>
      </w:r>
      <w:r>
        <w:rPr>
          <w:sz w:val="20"/>
        </w:rPr>
        <w:t>de</w:t>
      </w:r>
      <w:r>
        <w:rPr>
          <w:spacing w:val="-6"/>
          <w:sz w:val="20"/>
        </w:rPr>
        <w:t> </w:t>
      </w:r>
      <w:r>
        <w:rPr>
          <w:sz w:val="20"/>
        </w:rPr>
        <w:t>los</w:t>
      </w:r>
      <w:r>
        <w:rPr>
          <w:spacing w:val="-6"/>
          <w:sz w:val="20"/>
        </w:rPr>
        <w:t> </w:t>
      </w:r>
      <w:r>
        <w:rPr>
          <w:spacing w:val="-2"/>
          <w:sz w:val="20"/>
        </w:rPr>
        <w:t>Corresponsables:</w:t>
      </w:r>
    </w:p>
    <w:p>
      <w:pPr>
        <w:spacing w:after="0"/>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00"/>
        </w:numPr>
        <w:tabs>
          <w:tab w:pos="543" w:val="left" w:leader="none"/>
        </w:tabs>
        <w:spacing w:line="240" w:lineRule="auto" w:before="0" w:after="0"/>
        <w:ind w:left="262" w:right="284" w:firstLine="0"/>
        <w:jc w:val="both"/>
        <w:rPr>
          <w:sz w:val="20"/>
        </w:rPr>
      </w:pPr>
      <w:r>
        <w:rPr>
          <w:sz w:val="20"/>
        </w:rPr>
        <w:t>Refrendar</w:t>
      </w:r>
      <w:r>
        <w:rPr>
          <w:spacing w:val="-10"/>
          <w:sz w:val="20"/>
        </w:rPr>
        <w:t> </w:t>
      </w:r>
      <w:r>
        <w:rPr>
          <w:sz w:val="20"/>
        </w:rPr>
        <w:t>su</w:t>
      </w:r>
      <w:r>
        <w:rPr>
          <w:spacing w:val="-11"/>
          <w:sz w:val="20"/>
        </w:rPr>
        <w:t> </w:t>
      </w:r>
      <w:r>
        <w:rPr>
          <w:sz w:val="20"/>
        </w:rPr>
        <w:t>acreditación</w:t>
      </w:r>
      <w:r>
        <w:rPr>
          <w:spacing w:val="-11"/>
          <w:sz w:val="20"/>
        </w:rPr>
        <w:t> </w:t>
      </w:r>
      <w:r>
        <w:rPr>
          <w:sz w:val="20"/>
        </w:rPr>
        <w:t>como</w:t>
      </w:r>
      <w:r>
        <w:rPr>
          <w:spacing w:val="-11"/>
          <w:sz w:val="20"/>
        </w:rPr>
        <w:t> </w:t>
      </w:r>
      <w:r>
        <w:rPr>
          <w:sz w:val="20"/>
        </w:rPr>
        <w:t>Corresponsables</w:t>
      </w:r>
      <w:r>
        <w:rPr>
          <w:spacing w:val="-10"/>
          <w:sz w:val="20"/>
        </w:rPr>
        <w:t> </w:t>
      </w:r>
      <w:r>
        <w:rPr>
          <w:sz w:val="20"/>
        </w:rPr>
        <w:t>conforme</w:t>
      </w:r>
      <w:r>
        <w:rPr>
          <w:spacing w:val="-11"/>
          <w:sz w:val="20"/>
        </w:rPr>
        <w:t> </w:t>
      </w:r>
      <w:r>
        <w:rPr>
          <w:sz w:val="20"/>
        </w:rPr>
        <w:t>al</w:t>
      </w:r>
      <w:r>
        <w:rPr>
          <w:spacing w:val="-10"/>
          <w:sz w:val="20"/>
        </w:rPr>
        <w:t> </w:t>
      </w:r>
      <w:r>
        <w:rPr>
          <w:sz w:val="20"/>
        </w:rPr>
        <w:t>procedimiento</w:t>
      </w:r>
      <w:r>
        <w:rPr>
          <w:spacing w:val="-11"/>
          <w:sz w:val="20"/>
        </w:rPr>
        <w:t> </w:t>
      </w:r>
      <w:r>
        <w:rPr>
          <w:sz w:val="20"/>
        </w:rPr>
        <w:t>establecido</w:t>
      </w:r>
      <w:r>
        <w:rPr>
          <w:spacing w:val="-11"/>
          <w:sz w:val="20"/>
        </w:rPr>
        <w:t> </w:t>
      </w:r>
      <w:r>
        <w:rPr>
          <w:sz w:val="20"/>
        </w:rPr>
        <w:t>en</w:t>
      </w:r>
      <w:r>
        <w:rPr>
          <w:spacing w:val="-11"/>
          <w:sz w:val="20"/>
        </w:rPr>
        <w:t> </w:t>
      </w:r>
      <w:r>
        <w:rPr>
          <w:sz w:val="20"/>
        </w:rPr>
        <w:t>esta </w:t>
      </w:r>
      <w:r>
        <w:rPr>
          <w:spacing w:val="-4"/>
          <w:sz w:val="20"/>
        </w:rPr>
        <w:t>Ley;</w:t>
      </w:r>
    </w:p>
    <w:p>
      <w:pPr>
        <w:pStyle w:val="BodyText"/>
        <w:spacing w:before="1"/>
      </w:pPr>
    </w:p>
    <w:p>
      <w:pPr>
        <w:pStyle w:val="ListParagraph"/>
        <w:numPr>
          <w:ilvl w:val="0"/>
          <w:numId w:val="100"/>
        </w:numPr>
        <w:tabs>
          <w:tab w:pos="543" w:val="left" w:leader="none"/>
        </w:tabs>
        <w:spacing w:line="240" w:lineRule="auto" w:before="0" w:after="0"/>
        <w:ind w:left="543" w:right="0" w:hanging="281"/>
        <w:jc w:val="both"/>
        <w:rPr>
          <w:sz w:val="20"/>
        </w:rPr>
      </w:pPr>
      <w:r>
        <w:rPr>
          <w:sz w:val="20"/>
        </w:rPr>
        <w:t>Celebrar</w:t>
      </w:r>
      <w:r>
        <w:rPr>
          <w:spacing w:val="-6"/>
          <w:sz w:val="20"/>
        </w:rPr>
        <w:t> </w:t>
      </w:r>
      <w:r>
        <w:rPr>
          <w:sz w:val="20"/>
        </w:rPr>
        <w:t>un</w:t>
      </w:r>
      <w:r>
        <w:rPr>
          <w:spacing w:val="-5"/>
          <w:sz w:val="20"/>
        </w:rPr>
        <w:t> </w:t>
      </w:r>
      <w:r>
        <w:rPr>
          <w:sz w:val="20"/>
        </w:rPr>
        <w:t>contrato</w:t>
      </w:r>
      <w:r>
        <w:rPr>
          <w:spacing w:val="-6"/>
          <w:sz w:val="20"/>
        </w:rPr>
        <w:t> </w:t>
      </w:r>
      <w:r>
        <w:rPr>
          <w:sz w:val="20"/>
        </w:rPr>
        <w:t>de</w:t>
      </w:r>
      <w:r>
        <w:rPr>
          <w:spacing w:val="-7"/>
          <w:sz w:val="20"/>
        </w:rPr>
        <w:t> </w:t>
      </w:r>
      <w:r>
        <w:rPr>
          <w:sz w:val="20"/>
        </w:rPr>
        <w:t>prestación</w:t>
      </w:r>
      <w:r>
        <w:rPr>
          <w:spacing w:val="-5"/>
          <w:sz w:val="20"/>
        </w:rPr>
        <w:t> </w:t>
      </w:r>
      <w:r>
        <w:rPr>
          <w:sz w:val="20"/>
        </w:rPr>
        <w:t>de</w:t>
      </w:r>
      <w:r>
        <w:rPr>
          <w:spacing w:val="-7"/>
          <w:sz w:val="20"/>
        </w:rPr>
        <w:t> </w:t>
      </w:r>
      <w:r>
        <w:rPr>
          <w:sz w:val="20"/>
        </w:rPr>
        <w:t>servicios</w:t>
      </w:r>
      <w:r>
        <w:rPr>
          <w:spacing w:val="-6"/>
          <w:sz w:val="20"/>
        </w:rPr>
        <w:t> </w:t>
      </w:r>
      <w:r>
        <w:rPr>
          <w:sz w:val="20"/>
        </w:rPr>
        <w:t>con</w:t>
      </w:r>
      <w:r>
        <w:rPr>
          <w:spacing w:val="-7"/>
          <w:sz w:val="20"/>
        </w:rPr>
        <w:t> </w:t>
      </w:r>
      <w:r>
        <w:rPr>
          <w:sz w:val="20"/>
        </w:rPr>
        <w:t>el</w:t>
      </w:r>
      <w:r>
        <w:rPr>
          <w:spacing w:val="-6"/>
          <w:sz w:val="20"/>
        </w:rPr>
        <w:t> </w:t>
      </w:r>
      <w:r>
        <w:rPr>
          <w:spacing w:val="-2"/>
          <w:sz w:val="20"/>
        </w:rPr>
        <w:t>propietario;</w:t>
      </w:r>
    </w:p>
    <w:p>
      <w:pPr>
        <w:pStyle w:val="ListParagraph"/>
        <w:numPr>
          <w:ilvl w:val="0"/>
          <w:numId w:val="100"/>
        </w:numPr>
        <w:tabs>
          <w:tab w:pos="597" w:val="left" w:leader="none"/>
        </w:tabs>
        <w:spacing w:line="240" w:lineRule="auto" w:before="229" w:after="0"/>
        <w:ind w:left="262" w:right="287" w:firstLine="0"/>
        <w:jc w:val="both"/>
        <w:rPr>
          <w:sz w:val="20"/>
        </w:rPr>
      </w:pPr>
      <w:r>
        <w:rPr>
          <w:sz w:val="20"/>
        </w:rPr>
        <w:t>Recibir</w:t>
      </w:r>
      <w:r>
        <w:rPr>
          <w:spacing w:val="-1"/>
          <w:sz w:val="20"/>
        </w:rPr>
        <w:t> </w:t>
      </w:r>
      <w:r>
        <w:rPr>
          <w:sz w:val="20"/>
        </w:rPr>
        <w:t>las</w:t>
      </w:r>
      <w:r>
        <w:rPr>
          <w:spacing w:val="-1"/>
          <w:sz w:val="20"/>
        </w:rPr>
        <w:t> </w:t>
      </w:r>
      <w:r>
        <w:rPr>
          <w:sz w:val="20"/>
        </w:rPr>
        <w:t>retribuciones correspondientes,</w:t>
      </w:r>
      <w:r>
        <w:rPr>
          <w:spacing w:val="-1"/>
          <w:sz w:val="20"/>
        </w:rPr>
        <w:t> </w:t>
      </w:r>
      <w:r>
        <w:rPr>
          <w:sz w:val="20"/>
        </w:rPr>
        <w:t>por</w:t>
      </w:r>
      <w:r>
        <w:rPr>
          <w:spacing w:val="-1"/>
          <w:sz w:val="20"/>
        </w:rPr>
        <w:t> </w:t>
      </w:r>
      <w:r>
        <w:rPr>
          <w:sz w:val="20"/>
        </w:rPr>
        <w:t>el</w:t>
      </w:r>
      <w:r>
        <w:rPr>
          <w:spacing w:val="-1"/>
          <w:sz w:val="20"/>
        </w:rPr>
        <w:t> </w:t>
      </w:r>
      <w:r>
        <w:rPr>
          <w:sz w:val="20"/>
        </w:rPr>
        <w:t>desempeño</w:t>
      </w:r>
      <w:r>
        <w:rPr>
          <w:spacing w:val="-1"/>
          <w:sz w:val="20"/>
        </w:rPr>
        <w:t> </w:t>
      </w:r>
      <w:r>
        <w:rPr>
          <w:sz w:val="20"/>
        </w:rPr>
        <w:t>de</w:t>
      </w:r>
      <w:r>
        <w:rPr>
          <w:spacing w:val="-1"/>
          <w:sz w:val="20"/>
        </w:rPr>
        <w:t> </w:t>
      </w:r>
      <w:r>
        <w:rPr>
          <w:sz w:val="20"/>
        </w:rPr>
        <w:t>sus</w:t>
      </w:r>
      <w:r>
        <w:rPr>
          <w:spacing w:val="-1"/>
          <w:sz w:val="20"/>
        </w:rPr>
        <w:t> </w:t>
      </w:r>
      <w:r>
        <w:rPr>
          <w:sz w:val="20"/>
        </w:rPr>
        <w:t>servicios</w:t>
      </w:r>
      <w:r>
        <w:rPr>
          <w:spacing w:val="-1"/>
          <w:sz w:val="20"/>
        </w:rPr>
        <w:t> </w:t>
      </w:r>
      <w:r>
        <w:rPr>
          <w:sz w:val="20"/>
        </w:rPr>
        <w:t>profesionales</w:t>
      </w:r>
      <w:r>
        <w:rPr>
          <w:spacing w:val="-1"/>
          <w:sz w:val="20"/>
        </w:rPr>
        <w:t> </w:t>
      </w:r>
      <w:r>
        <w:rPr>
          <w:sz w:val="20"/>
        </w:rPr>
        <w:t>de conformidad con el contrato celebrado al efecto;</w:t>
      </w:r>
    </w:p>
    <w:p>
      <w:pPr>
        <w:pStyle w:val="BodyText"/>
        <w:spacing w:before="1"/>
      </w:pPr>
    </w:p>
    <w:p>
      <w:pPr>
        <w:pStyle w:val="ListParagraph"/>
        <w:numPr>
          <w:ilvl w:val="0"/>
          <w:numId w:val="100"/>
        </w:numPr>
        <w:tabs>
          <w:tab w:pos="545" w:val="left" w:leader="none"/>
        </w:tabs>
        <w:spacing w:line="240" w:lineRule="auto" w:before="0" w:after="0"/>
        <w:ind w:left="262" w:right="287" w:firstLine="0"/>
        <w:jc w:val="both"/>
        <w:rPr>
          <w:sz w:val="20"/>
        </w:rPr>
      </w:pPr>
      <w:r>
        <w:rPr>
          <w:sz w:val="20"/>
        </w:rPr>
        <w:t>Tener</w:t>
      </w:r>
      <w:r>
        <w:rPr>
          <w:spacing w:val="-8"/>
          <w:sz w:val="20"/>
        </w:rPr>
        <w:t> </w:t>
      </w:r>
      <w:r>
        <w:rPr>
          <w:sz w:val="20"/>
        </w:rPr>
        <w:t>acceso</w:t>
      </w:r>
      <w:r>
        <w:rPr>
          <w:spacing w:val="-11"/>
          <w:sz w:val="20"/>
        </w:rPr>
        <w:t> </w:t>
      </w:r>
      <w:r>
        <w:rPr>
          <w:sz w:val="20"/>
        </w:rPr>
        <w:t>a</w:t>
      </w:r>
      <w:r>
        <w:rPr>
          <w:spacing w:val="-9"/>
          <w:sz w:val="20"/>
        </w:rPr>
        <w:t> </w:t>
      </w:r>
      <w:r>
        <w:rPr>
          <w:sz w:val="20"/>
        </w:rPr>
        <w:t>la</w:t>
      </w:r>
      <w:r>
        <w:rPr>
          <w:spacing w:val="-9"/>
          <w:sz w:val="20"/>
        </w:rPr>
        <w:t> </w:t>
      </w:r>
      <w:r>
        <w:rPr>
          <w:sz w:val="20"/>
        </w:rPr>
        <w:t>obra</w:t>
      </w:r>
      <w:r>
        <w:rPr>
          <w:spacing w:val="-11"/>
          <w:sz w:val="20"/>
        </w:rPr>
        <w:t> </w:t>
      </w:r>
      <w:r>
        <w:rPr>
          <w:sz w:val="20"/>
        </w:rPr>
        <w:t>según</w:t>
      </w:r>
      <w:r>
        <w:rPr>
          <w:spacing w:val="-9"/>
          <w:sz w:val="20"/>
        </w:rPr>
        <w:t> </w:t>
      </w:r>
      <w:r>
        <w:rPr>
          <w:sz w:val="20"/>
        </w:rPr>
        <w:t>lo</w:t>
      </w:r>
      <w:r>
        <w:rPr>
          <w:spacing w:val="-9"/>
          <w:sz w:val="20"/>
        </w:rPr>
        <w:t> </w:t>
      </w:r>
      <w:r>
        <w:rPr>
          <w:sz w:val="20"/>
        </w:rPr>
        <w:t>acordado</w:t>
      </w:r>
      <w:r>
        <w:rPr>
          <w:spacing w:val="-12"/>
          <w:sz w:val="20"/>
        </w:rPr>
        <w:t> </w:t>
      </w:r>
      <w:r>
        <w:rPr>
          <w:sz w:val="20"/>
        </w:rPr>
        <w:t>con</w:t>
      </w:r>
      <w:r>
        <w:rPr>
          <w:spacing w:val="-9"/>
          <w:sz w:val="20"/>
        </w:rPr>
        <w:t> </w:t>
      </w:r>
      <w:r>
        <w:rPr>
          <w:sz w:val="20"/>
        </w:rPr>
        <w:t>el</w:t>
      </w:r>
      <w:r>
        <w:rPr>
          <w:spacing w:val="-10"/>
          <w:sz w:val="20"/>
        </w:rPr>
        <w:t> </w:t>
      </w:r>
      <w:r>
        <w:rPr>
          <w:sz w:val="20"/>
        </w:rPr>
        <w:t>propietario</w:t>
      </w:r>
      <w:r>
        <w:rPr>
          <w:spacing w:val="-9"/>
          <w:sz w:val="20"/>
        </w:rPr>
        <w:t> </w:t>
      </w:r>
      <w:r>
        <w:rPr>
          <w:sz w:val="20"/>
        </w:rPr>
        <w:t>de</w:t>
      </w:r>
      <w:r>
        <w:rPr>
          <w:spacing w:val="-11"/>
          <w:sz w:val="20"/>
        </w:rPr>
        <w:t> </w:t>
      </w:r>
      <w:r>
        <w:rPr>
          <w:sz w:val="20"/>
        </w:rPr>
        <w:t>acuerdo</w:t>
      </w:r>
      <w:r>
        <w:rPr>
          <w:spacing w:val="-9"/>
          <w:sz w:val="20"/>
        </w:rPr>
        <w:t> </w:t>
      </w:r>
      <w:r>
        <w:rPr>
          <w:sz w:val="20"/>
        </w:rPr>
        <w:t>al</w:t>
      </w:r>
      <w:r>
        <w:rPr>
          <w:spacing w:val="-12"/>
          <w:sz w:val="20"/>
        </w:rPr>
        <w:t> </w:t>
      </w:r>
      <w:r>
        <w:rPr>
          <w:sz w:val="20"/>
        </w:rPr>
        <w:t>contrato</w:t>
      </w:r>
      <w:r>
        <w:rPr>
          <w:spacing w:val="-11"/>
          <w:sz w:val="20"/>
        </w:rPr>
        <w:t> </w:t>
      </w:r>
      <w:r>
        <w:rPr>
          <w:sz w:val="20"/>
        </w:rPr>
        <w:t>de</w:t>
      </w:r>
      <w:r>
        <w:rPr>
          <w:spacing w:val="-10"/>
          <w:sz w:val="20"/>
        </w:rPr>
        <w:t> </w:t>
      </w:r>
      <w:r>
        <w:rPr>
          <w:sz w:val="20"/>
        </w:rPr>
        <w:t>prestación de servicios respectivo, y</w:t>
      </w:r>
    </w:p>
    <w:p>
      <w:pPr>
        <w:pStyle w:val="ListParagraph"/>
        <w:numPr>
          <w:ilvl w:val="0"/>
          <w:numId w:val="100"/>
        </w:numPr>
        <w:tabs>
          <w:tab w:pos="688" w:val="left" w:leader="none"/>
        </w:tabs>
        <w:spacing w:line="240" w:lineRule="auto" w:before="229" w:after="0"/>
        <w:ind w:left="262" w:right="285" w:firstLine="0"/>
        <w:jc w:val="both"/>
        <w:rPr>
          <w:sz w:val="20"/>
        </w:rPr>
      </w:pPr>
      <w:r>
        <w:rPr>
          <w:sz w:val="20"/>
        </w:rPr>
        <w:t>Contar con una copia de los documentos del proyecto ejecutivo autorizado donde signo su responsiva y acceso a la bitácora.</w:t>
      </w:r>
    </w:p>
    <w:p>
      <w:pPr>
        <w:pStyle w:val="BodyText"/>
      </w:pPr>
    </w:p>
    <w:p>
      <w:pPr>
        <w:pStyle w:val="BodyText"/>
        <w:spacing w:before="2"/>
      </w:pPr>
    </w:p>
    <w:p>
      <w:pPr>
        <w:pStyle w:val="Heading2"/>
        <w:ind w:right="16"/>
      </w:pPr>
      <w:r>
        <w:rPr/>
        <w:t>Sección</w:t>
      </w:r>
      <w:r>
        <w:rPr>
          <w:spacing w:val="-9"/>
        </w:rPr>
        <w:t> </w:t>
      </w:r>
      <w:r>
        <w:rPr>
          <w:spacing w:val="-2"/>
        </w:rPr>
        <w:t>Quinta</w:t>
      </w:r>
    </w:p>
    <w:p>
      <w:pPr>
        <w:spacing w:before="228"/>
        <w:ind w:left="148" w:right="173" w:firstLine="0"/>
        <w:jc w:val="center"/>
        <w:rPr>
          <w:rFonts w:ascii="Arial"/>
          <w:b/>
          <w:sz w:val="20"/>
        </w:rPr>
      </w:pPr>
      <w:r>
        <w:rPr>
          <w:rFonts w:ascii="Arial"/>
          <w:b/>
          <w:sz w:val="20"/>
        </w:rPr>
        <w:t>Obligaciones</w:t>
      </w:r>
      <w:r>
        <w:rPr>
          <w:rFonts w:ascii="Arial"/>
          <w:b/>
          <w:spacing w:val="-9"/>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z w:val="20"/>
        </w:rPr>
        <w:t>Contratantes</w:t>
      </w:r>
      <w:r>
        <w:rPr>
          <w:rFonts w:ascii="Arial"/>
          <w:b/>
          <w:spacing w:val="-9"/>
          <w:sz w:val="20"/>
        </w:rPr>
        <w:t> </w:t>
      </w:r>
      <w:r>
        <w:rPr>
          <w:rFonts w:ascii="Arial"/>
          <w:b/>
          <w:sz w:val="20"/>
        </w:rPr>
        <w:t>de</w:t>
      </w:r>
      <w:r>
        <w:rPr>
          <w:rFonts w:ascii="Arial"/>
          <w:b/>
          <w:spacing w:val="-7"/>
          <w:sz w:val="20"/>
        </w:rPr>
        <w:t> </w:t>
      </w:r>
      <w:r>
        <w:rPr>
          <w:rFonts w:ascii="Arial"/>
          <w:b/>
          <w:sz w:val="20"/>
        </w:rPr>
        <w:t>Directores</w:t>
      </w:r>
      <w:r>
        <w:rPr>
          <w:rFonts w:ascii="Arial"/>
          <w:b/>
          <w:spacing w:val="-9"/>
          <w:sz w:val="20"/>
        </w:rPr>
        <w:t> </w:t>
      </w:r>
      <w:r>
        <w:rPr>
          <w:rFonts w:ascii="Arial"/>
          <w:b/>
          <w:sz w:val="20"/>
        </w:rPr>
        <w:t>Responsables</w:t>
      </w:r>
      <w:r>
        <w:rPr>
          <w:rFonts w:ascii="Arial"/>
          <w:b/>
          <w:spacing w:val="-7"/>
          <w:sz w:val="20"/>
        </w:rPr>
        <w:t> </w:t>
      </w:r>
      <w:r>
        <w:rPr>
          <w:rFonts w:ascii="Arial"/>
          <w:b/>
          <w:sz w:val="20"/>
        </w:rPr>
        <w:t>de</w:t>
      </w:r>
      <w:r>
        <w:rPr>
          <w:rFonts w:ascii="Arial"/>
          <w:b/>
          <w:spacing w:val="-8"/>
          <w:sz w:val="20"/>
        </w:rPr>
        <w:t> </w:t>
      </w:r>
      <w:r>
        <w:rPr>
          <w:rFonts w:ascii="Arial"/>
          <w:b/>
          <w:sz w:val="20"/>
        </w:rPr>
        <w:t>Obra</w:t>
      </w:r>
      <w:r>
        <w:rPr>
          <w:rFonts w:ascii="Arial"/>
          <w:b/>
          <w:spacing w:val="-7"/>
          <w:sz w:val="20"/>
        </w:rPr>
        <w:t> </w:t>
      </w:r>
      <w:r>
        <w:rPr>
          <w:rFonts w:ascii="Arial"/>
          <w:b/>
          <w:sz w:val="20"/>
        </w:rPr>
        <w:t>y</w:t>
      </w:r>
      <w:r>
        <w:rPr>
          <w:rFonts w:ascii="Arial"/>
          <w:b/>
          <w:spacing w:val="-9"/>
          <w:sz w:val="20"/>
        </w:rPr>
        <w:t> </w:t>
      </w:r>
      <w:r>
        <w:rPr>
          <w:rFonts w:ascii="Arial"/>
          <w:b/>
          <w:spacing w:val="-2"/>
          <w:sz w:val="20"/>
        </w:rPr>
        <w:t>Corresponsables</w:t>
      </w:r>
    </w:p>
    <w:p>
      <w:pPr>
        <w:pStyle w:val="BodyText"/>
        <w:spacing w:before="1"/>
        <w:rPr>
          <w:rFonts w:ascii="Arial"/>
          <w:b/>
        </w:rPr>
      </w:pPr>
    </w:p>
    <w:p>
      <w:pPr>
        <w:pStyle w:val="BodyText"/>
        <w:ind w:left="262"/>
      </w:pPr>
      <w:r>
        <w:rPr>
          <w:rFonts w:ascii="Arial" w:hAnsi="Arial"/>
          <w:b/>
        </w:rPr>
        <w:t>ARTÍCULO 269</w:t>
      </w:r>
      <w:r>
        <w:rPr/>
        <w:t>. Son obligaciones de los propietarios que contraten a un Director Responsable de Obra, y en su caso Corresponsables:</w:t>
      </w:r>
    </w:p>
    <w:p>
      <w:pPr>
        <w:pStyle w:val="ListParagraph"/>
        <w:numPr>
          <w:ilvl w:val="0"/>
          <w:numId w:val="101"/>
        </w:numPr>
        <w:tabs>
          <w:tab w:pos="688" w:val="left" w:leader="none"/>
        </w:tabs>
        <w:spacing w:line="240" w:lineRule="auto" w:before="229" w:after="0"/>
        <w:ind w:left="262" w:right="284" w:firstLine="0"/>
        <w:jc w:val="both"/>
        <w:rPr>
          <w:sz w:val="20"/>
        </w:rPr>
      </w:pPr>
      <w:r>
        <w:rPr>
          <w:sz w:val="20"/>
        </w:rPr>
        <w:t>Celebrar un contrato de prestación de servicios con el Director Responsable de Obra y </w:t>
      </w:r>
      <w:r>
        <w:rPr>
          <w:spacing w:val="-2"/>
          <w:sz w:val="20"/>
        </w:rPr>
        <w:t>Corresponsables;</w:t>
      </w:r>
    </w:p>
    <w:p>
      <w:pPr>
        <w:pStyle w:val="BodyText"/>
        <w:spacing w:before="2"/>
      </w:pPr>
    </w:p>
    <w:p>
      <w:pPr>
        <w:pStyle w:val="ListParagraph"/>
        <w:numPr>
          <w:ilvl w:val="0"/>
          <w:numId w:val="101"/>
        </w:numPr>
        <w:tabs>
          <w:tab w:pos="686" w:val="left" w:leader="none"/>
        </w:tabs>
        <w:spacing w:line="240" w:lineRule="auto" w:before="0" w:after="0"/>
        <w:ind w:left="262" w:right="285" w:firstLine="0"/>
        <w:jc w:val="both"/>
        <w:rPr>
          <w:sz w:val="20"/>
        </w:rPr>
      </w:pPr>
      <w:r>
        <w:rPr>
          <w:sz w:val="20"/>
        </w:rPr>
        <w:t>Pagar las licencias correspondientes y actas de terminación ante la autoridad municipal respectiva,</w:t>
      </w:r>
      <w:r>
        <w:rPr>
          <w:spacing w:val="-13"/>
          <w:sz w:val="20"/>
        </w:rPr>
        <w:t> </w:t>
      </w:r>
      <w:r>
        <w:rPr>
          <w:sz w:val="20"/>
        </w:rPr>
        <w:t>en</w:t>
      </w:r>
      <w:r>
        <w:rPr>
          <w:spacing w:val="-12"/>
          <w:sz w:val="20"/>
        </w:rPr>
        <w:t> </w:t>
      </w:r>
      <w:r>
        <w:rPr>
          <w:sz w:val="20"/>
        </w:rPr>
        <w:t>un</w:t>
      </w:r>
      <w:r>
        <w:rPr>
          <w:spacing w:val="-10"/>
          <w:sz w:val="20"/>
        </w:rPr>
        <w:t> </w:t>
      </w:r>
      <w:r>
        <w:rPr>
          <w:sz w:val="20"/>
        </w:rPr>
        <w:t>término</w:t>
      </w:r>
      <w:r>
        <w:rPr>
          <w:spacing w:val="-10"/>
          <w:sz w:val="20"/>
        </w:rPr>
        <w:t> </w:t>
      </w:r>
      <w:r>
        <w:rPr>
          <w:sz w:val="20"/>
        </w:rPr>
        <w:t>que</w:t>
      </w:r>
      <w:r>
        <w:rPr>
          <w:spacing w:val="-13"/>
          <w:sz w:val="20"/>
        </w:rPr>
        <w:t> </w:t>
      </w:r>
      <w:r>
        <w:rPr>
          <w:sz w:val="20"/>
        </w:rPr>
        <w:t>no</w:t>
      </w:r>
      <w:r>
        <w:rPr>
          <w:spacing w:val="-10"/>
          <w:sz w:val="20"/>
        </w:rPr>
        <w:t> </w:t>
      </w:r>
      <w:r>
        <w:rPr>
          <w:sz w:val="20"/>
        </w:rPr>
        <w:t>exceda</w:t>
      </w:r>
      <w:r>
        <w:rPr>
          <w:spacing w:val="-10"/>
          <w:sz w:val="20"/>
        </w:rPr>
        <w:t> </w:t>
      </w:r>
      <w:r>
        <w:rPr>
          <w:sz w:val="20"/>
        </w:rPr>
        <w:t>de</w:t>
      </w:r>
      <w:r>
        <w:rPr>
          <w:spacing w:val="-13"/>
          <w:sz w:val="20"/>
        </w:rPr>
        <w:t> </w:t>
      </w:r>
      <w:r>
        <w:rPr>
          <w:sz w:val="20"/>
        </w:rPr>
        <w:t>treinta</w:t>
      </w:r>
      <w:r>
        <w:rPr>
          <w:spacing w:val="-12"/>
          <w:sz w:val="20"/>
        </w:rPr>
        <w:t> </w:t>
      </w:r>
      <w:r>
        <w:rPr>
          <w:sz w:val="20"/>
        </w:rPr>
        <w:t>días</w:t>
      </w:r>
      <w:r>
        <w:rPr>
          <w:spacing w:val="-11"/>
          <w:sz w:val="20"/>
        </w:rPr>
        <w:t> </w:t>
      </w:r>
      <w:r>
        <w:rPr>
          <w:sz w:val="20"/>
        </w:rPr>
        <w:t>hábiles</w:t>
      </w:r>
      <w:r>
        <w:rPr>
          <w:spacing w:val="-11"/>
          <w:sz w:val="20"/>
        </w:rPr>
        <w:t> </w:t>
      </w:r>
      <w:r>
        <w:rPr>
          <w:sz w:val="20"/>
        </w:rPr>
        <w:t>posteriores</w:t>
      </w:r>
      <w:r>
        <w:rPr>
          <w:spacing w:val="-11"/>
          <w:sz w:val="20"/>
        </w:rPr>
        <w:t> </w:t>
      </w:r>
      <w:r>
        <w:rPr>
          <w:sz w:val="20"/>
        </w:rPr>
        <w:t>a</w:t>
      </w:r>
      <w:r>
        <w:rPr>
          <w:spacing w:val="-10"/>
          <w:sz w:val="20"/>
        </w:rPr>
        <w:t> </w:t>
      </w:r>
      <w:r>
        <w:rPr>
          <w:sz w:val="20"/>
        </w:rPr>
        <w:t>la</w:t>
      </w:r>
      <w:r>
        <w:rPr>
          <w:spacing w:val="-10"/>
          <w:sz w:val="20"/>
        </w:rPr>
        <w:t> </w:t>
      </w:r>
      <w:r>
        <w:rPr>
          <w:sz w:val="20"/>
        </w:rPr>
        <w:t>notificación</w:t>
      </w:r>
      <w:r>
        <w:rPr>
          <w:spacing w:val="-10"/>
          <w:sz w:val="20"/>
        </w:rPr>
        <w:t> </w:t>
      </w:r>
      <w:r>
        <w:rPr>
          <w:sz w:val="20"/>
        </w:rPr>
        <w:t>de</w:t>
      </w:r>
      <w:r>
        <w:rPr>
          <w:spacing w:val="-13"/>
          <w:sz w:val="20"/>
        </w:rPr>
        <w:t> </w:t>
      </w:r>
      <w:r>
        <w:rPr>
          <w:sz w:val="20"/>
        </w:rPr>
        <w:t>pago;</w:t>
      </w:r>
    </w:p>
    <w:p>
      <w:pPr>
        <w:pStyle w:val="ListParagraph"/>
        <w:numPr>
          <w:ilvl w:val="0"/>
          <w:numId w:val="101"/>
        </w:numPr>
        <w:tabs>
          <w:tab w:pos="741" w:val="left" w:leader="none"/>
        </w:tabs>
        <w:spacing w:line="240" w:lineRule="auto" w:before="229" w:after="0"/>
        <w:ind w:left="262" w:right="275" w:firstLine="0"/>
        <w:jc w:val="both"/>
        <w:rPr>
          <w:sz w:val="20"/>
        </w:rPr>
      </w:pPr>
      <w:r>
        <w:rPr>
          <w:sz w:val="20"/>
        </w:rPr>
        <w:t>Respetar</w:t>
      </w:r>
      <w:r>
        <w:rPr>
          <w:spacing w:val="-5"/>
          <w:sz w:val="20"/>
        </w:rPr>
        <w:t> </w:t>
      </w:r>
      <w:r>
        <w:rPr>
          <w:sz w:val="20"/>
        </w:rPr>
        <w:t>el</w:t>
      </w:r>
      <w:r>
        <w:rPr>
          <w:spacing w:val="-6"/>
          <w:sz w:val="20"/>
        </w:rPr>
        <w:t> </w:t>
      </w:r>
      <w:r>
        <w:rPr>
          <w:sz w:val="20"/>
        </w:rPr>
        <w:t>proyecto</w:t>
      </w:r>
      <w:r>
        <w:rPr>
          <w:spacing w:val="-3"/>
          <w:sz w:val="20"/>
        </w:rPr>
        <w:t> </w:t>
      </w:r>
      <w:r>
        <w:rPr>
          <w:sz w:val="20"/>
        </w:rPr>
        <w:t>autorizado</w:t>
      </w:r>
      <w:r>
        <w:rPr>
          <w:spacing w:val="-5"/>
          <w:sz w:val="20"/>
        </w:rPr>
        <w:t> </w:t>
      </w:r>
      <w:r>
        <w:rPr>
          <w:sz w:val="20"/>
        </w:rPr>
        <w:t>así</w:t>
      </w:r>
      <w:r>
        <w:rPr>
          <w:spacing w:val="-5"/>
          <w:sz w:val="20"/>
        </w:rPr>
        <w:t> </w:t>
      </w:r>
      <w:r>
        <w:rPr>
          <w:sz w:val="20"/>
        </w:rPr>
        <w:t>como</w:t>
      </w:r>
      <w:r>
        <w:rPr>
          <w:spacing w:val="-5"/>
          <w:sz w:val="20"/>
        </w:rPr>
        <w:t> </w:t>
      </w:r>
      <w:r>
        <w:rPr>
          <w:sz w:val="20"/>
        </w:rPr>
        <w:t>el</w:t>
      </w:r>
      <w:r>
        <w:rPr>
          <w:spacing w:val="-6"/>
          <w:sz w:val="20"/>
        </w:rPr>
        <w:t> </w:t>
      </w:r>
      <w:r>
        <w:rPr>
          <w:sz w:val="20"/>
        </w:rPr>
        <w:t>ejercicio</w:t>
      </w:r>
      <w:r>
        <w:rPr>
          <w:spacing w:val="-5"/>
          <w:sz w:val="20"/>
        </w:rPr>
        <w:t> </w:t>
      </w:r>
      <w:r>
        <w:rPr>
          <w:sz w:val="20"/>
        </w:rPr>
        <w:t>y</w:t>
      </w:r>
      <w:r>
        <w:rPr>
          <w:spacing w:val="-2"/>
          <w:sz w:val="20"/>
        </w:rPr>
        <w:t> </w:t>
      </w:r>
      <w:r>
        <w:rPr>
          <w:sz w:val="20"/>
        </w:rPr>
        <w:t>funciones</w:t>
      </w:r>
      <w:r>
        <w:rPr>
          <w:spacing w:val="-4"/>
          <w:sz w:val="20"/>
        </w:rPr>
        <w:t> </w:t>
      </w:r>
      <w:r>
        <w:rPr>
          <w:sz w:val="20"/>
        </w:rPr>
        <w:t>del</w:t>
      </w:r>
      <w:r>
        <w:rPr>
          <w:spacing w:val="-6"/>
          <w:sz w:val="20"/>
        </w:rPr>
        <w:t> </w:t>
      </w:r>
      <w:r>
        <w:rPr>
          <w:sz w:val="20"/>
        </w:rPr>
        <w:t>Director Responsable</w:t>
      </w:r>
      <w:r>
        <w:rPr>
          <w:spacing w:val="-5"/>
          <w:sz w:val="20"/>
        </w:rPr>
        <w:t> </w:t>
      </w:r>
      <w:r>
        <w:rPr>
          <w:sz w:val="20"/>
        </w:rPr>
        <w:t>de Obra y Corresponsables;</w:t>
      </w:r>
    </w:p>
    <w:p>
      <w:pPr>
        <w:pStyle w:val="BodyText"/>
        <w:spacing w:before="1"/>
      </w:pPr>
    </w:p>
    <w:p>
      <w:pPr>
        <w:pStyle w:val="ListParagraph"/>
        <w:numPr>
          <w:ilvl w:val="0"/>
          <w:numId w:val="101"/>
        </w:numPr>
        <w:tabs>
          <w:tab w:pos="688" w:val="left" w:leader="none"/>
        </w:tabs>
        <w:spacing w:line="240" w:lineRule="auto" w:before="0" w:after="0"/>
        <w:ind w:left="262" w:right="284" w:firstLine="0"/>
        <w:jc w:val="both"/>
        <w:rPr>
          <w:sz w:val="20"/>
        </w:rPr>
      </w:pPr>
      <w:r>
        <w:rPr>
          <w:sz w:val="20"/>
        </w:rPr>
        <w:t>Permitir</w:t>
      </w:r>
      <w:r>
        <w:rPr>
          <w:spacing w:val="-11"/>
          <w:sz w:val="20"/>
        </w:rPr>
        <w:t> </w:t>
      </w:r>
      <w:r>
        <w:rPr>
          <w:sz w:val="20"/>
        </w:rPr>
        <w:t>el</w:t>
      </w:r>
      <w:r>
        <w:rPr>
          <w:spacing w:val="-13"/>
          <w:sz w:val="20"/>
        </w:rPr>
        <w:t> </w:t>
      </w:r>
      <w:r>
        <w:rPr>
          <w:sz w:val="20"/>
        </w:rPr>
        <w:t>acceso</w:t>
      </w:r>
      <w:r>
        <w:rPr>
          <w:spacing w:val="-12"/>
          <w:sz w:val="20"/>
        </w:rPr>
        <w:t> </w:t>
      </w:r>
      <w:r>
        <w:rPr>
          <w:sz w:val="20"/>
        </w:rPr>
        <w:t>y</w:t>
      </w:r>
      <w:r>
        <w:rPr>
          <w:spacing w:val="-11"/>
          <w:sz w:val="20"/>
        </w:rPr>
        <w:t> </w:t>
      </w:r>
      <w:r>
        <w:rPr>
          <w:sz w:val="20"/>
        </w:rPr>
        <w:t>supervisión</w:t>
      </w:r>
      <w:r>
        <w:rPr>
          <w:spacing w:val="-13"/>
          <w:sz w:val="20"/>
        </w:rPr>
        <w:t> </w:t>
      </w:r>
      <w:r>
        <w:rPr>
          <w:sz w:val="20"/>
        </w:rPr>
        <w:t>de</w:t>
      </w:r>
      <w:r>
        <w:rPr>
          <w:spacing w:val="-10"/>
          <w:sz w:val="20"/>
        </w:rPr>
        <w:t> </w:t>
      </w:r>
      <w:r>
        <w:rPr>
          <w:sz w:val="20"/>
        </w:rPr>
        <w:t>la</w:t>
      </w:r>
      <w:r>
        <w:rPr>
          <w:spacing w:val="-12"/>
          <w:sz w:val="20"/>
        </w:rPr>
        <w:t> </w:t>
      </w:r>
      <w:r>
        <w:rPr>
          <w:sz w:val="20"/>
        </w:rPr>
        <w:t>obra</w:t>
      </w:r>
      <w:r>
        <w:rPr>
          <w:spacing w:val="-12"/>
          <w:sz w:val="20"/>
        </w:rPr>
        <w:t> </w:t>
      </w:r>
      <w:r>
        <w:rPr>
          <w:sz w:val="20"/>
        </w:rPr>
        <w:t>al</w:t>
      </w:r>
      <w:r>
        <w:rPr>
          <w:spacing w:val="-13"/>
          <w:sz w:val="20"/>
        </w:rPr>
        <w:t> </w:t>
      </w:r>
      <w:r>
        <w:rPr>
          <w:sz w:val="20"/>
        </w:rPr>
        <w:t>Director</w:t>
      </w:r>
      <w:r>
        <w:rPr>
          <w:spacing w:val="-12"/>
          <w:sz w:val="20"/>
        </w:rPr>
        <w:t> </w:t>
      </w:r>
      <w:r>
        <w:rPr>
          <w:sz w:val="20"/>
        </w:rPr>
        <w:t>Responsable</w:t>
      </w:r>
      <w:r>
        <w:rPr>
          <w:spacing w:val="-10"/>
          <w:sz w:val="20"/>
        </w:rPr>
        <w:t> </w:t>
      </w:r>
      <w:r>
        <w:rPr>
          <w:sz w:val="20"/>
        </w:rPr>
        <w:t>de</w:t>
      </w:r>
      <w:r>
        <w:rPr>
          <w:spacing w:val="-13"/>
          <w:sz w:val="20"/>
        </w:rPr>
        <w:t> </w:t>
      </w:r>
      <w:r>
        <w:rPr>
          <w:sz w:val="20"/>
        </w:rPr>
        <w:t>Obra</w:t>
      </w:r>
      <w:r>
        <w:rPr>
          <w:spacing w:val="-12"/>
          <w:sz w:val="20"/>
        </w:rPr>
        <w:t> </w:t>
      </w:r>
      <w:r>
        <w:rPr>
          <w:sz w:val="20"/>
        </w:rPr>
        <w:t>y</w:t>
      </w:r>
      <w:r>
        <w:rPr>
          <w:spacing w:val="-11"/>
          <w:sz w:val="20"/>
        </w:rPr>
        <w:t> </w:t>
      </w:r>
      <w:r>
        <w:rPr>
          <w:sz w:val="20"/>
        </w:rPr>
        <w:t>Corresponsables, así como a los supervisores municipales y demás autoridades competentes;</w:t>
      </w:r>
    </w:p>
    <w:p>
      <w:pPr>
        <w:pStyle w:val="ListParagraph"/>
        <w:numPr>
          <w:ilvl w:val="0"/>
          <w:numId w:val="101"/>
        </w:numPr>
        <w:tabs>
          <w:tab w:pos="688" w:val="left" w:leader="none"/>
        </w:tabs>
        <w:spacing w:line="240" w:lineRule="auto" w:before="229" w:after="0"/>
        <w:ind w:left="262" w:right="281" w:firstLine="0"/>
        <w:jc w:val="both"/>
        <w:rPr>
          <w:sz w:val="20"/>
        </w:rPr>
      </w:pPr>
      <w:r>
        <w:rPr>
          <w:sz w:val="20"/>
        </w:rPr>
        <w:t>Acatar</w:t>
      </w:r>
      <w:r>
        <w:rPr>
          <w:spacing w:val="-9"/>
          <w:sz w:val="20"/>
        </w:rPr>
        <w:t> </w:t>
      </w:r>
      <w:r>
        <w:rPr>
          <w:sz w:val="20"/>
        </w:rPr>
        <w:t>las</w:t>
      </w:r>
      <w:r>
        <w:rPr>
          <w:spacing w:val="-9"/>
          <w:sz w:val="20"/>
        </w:rPr>
        <w:t> </w:t>
      </w:r>
      <w:r>
        <w:rPr>
          <w:sz w:val="20"/>
        </w:rPr>
        <w:t>indicaciones</w:t>
      </w:r>
      <w:r>
        <w:rPr>
          <w:spacing w:val="-11"/>
          <w:sz w:val="20"/>
        </w:rPr>
        <w:t> </w:t>
      </w:r>
      <w:r>
        <w:rPr>
          <w:sz w:val="20"/>
        </w:rPr>
        <w:t>y</w:t>
      </w:r>
      <w:r>
        <w:rPr>
          <w:spacing w:val="-9"/>
          <w:sz w:val="20"/>
        </w:rPr>
        <w:t> </w:t>
      </w:r>
      <w:r>
        <w:rPr>
          <w:sz w:val="20"/>
        </w:rPr>
        <w:t>observaciones</w:t>
      </w:r>
      <w:r>
        <w:rPr>
          <w:spacing w:val="-9"/>
          <w:sz w:val="20"/>
        </w:rPr>
        <w:t> </w:t>
      </w:r>
      <w:r>
        <w:rPr>
          <w:sz w:val="20"/>
        </w:rPr>
        <w:t>del</w:t>
      </w:r>
      <w:r>
        <w:rPr>
          <w:spacing w:val="-13"/>
          <w:sz w:val="20"/>
        </w:rPr>
        <w:t> </w:t>
      </w:r>
      <w:r>
        <w:rPr>
          <w:sz w:val="20"/>
        </w:rPr>
        <w:t>Director</w:t>
      </w:r>
      <w:r>
        <w:rPr>
          <w:spacing w:val="-9"/>
          <w:sz w:val="20"/>
        </w:rPr>
        <w:t> </w:t>
      </w:r>
      <w:r>
        <w:rPr>
          <w:sz w:val="20"/>
        </w:rPr>
        <w:t>Responsable</w:t>
      </w:r>
      <w:r>
        <w:rPr>
          <w:spacing w:val="-10"/>
          <w:sz w:val="20"/>
        </w:rPr>
        <w:t> </w:t>
      </w:r>
      <w:r>
        <w:rPr>
          <w:sz w:val="20"/>
        </w:rPr>
        <w:t>de</w:t>
      </w:r>
      <w:r>
        <w:rPr>
          <w:spacing w:val="-11"/>
          <w:sz w:val="20"/>
        </w:rPr>
        <w:t> </w:t>
      </w:r>
      <w:r>
        <w:rPr>
          <w:sz w:val="20"/>
        </w:rPr>
        <w:t>Obra</w:t>
      </w:r>
      <w:r>
        <w:rPr>
          <w:spacing w:val="-10"/>
          <w:sz w:val="20"/>
        </w:rPr>
        <w:t> </w:t>
      </w:r>
      <w:r>
        <w:rPr>
          <w:sz w:val="20"/>
        </w:rPr>
        <w:t>y</w:t>
      </w:r>
      <w:r>
        <w:rPr>
          <w:spacing w:val="-11"/>
          <w:sz w:val="20"/>
        </w:rPr>
        <w:t> </w:t>
      </w:r>
      <w:r>
        <w:rPr>
          <w:sz w:val="20"/>
        </w:rPr>
        <w:t>Corresponsables,, así</w:t>
      </w:r>
      <w:r>
        <w:rPr>
          <w:spacing w:val="-6"/>
          <w:sz w:val="20"/>
        </w:rPr>
        <w:t> </w:t>
      </w:r>
      <w:r>
        <w:rPr>
          <w:sz w:val="20"/>
        </w:rPr>
        <w:t>como</w:t>
      </w:r>
      <w:r>
        <w:rPr>
          <w:spacing w:val="-7"/>
          <w:sz w:val="20"/>
        </w:rPr>
        <w:t> </w:t>
      </w:r>
      <w:r>
        <w:rPr>
          <w:sz w:val="20"/>
        </w:rPr>
        <w:t>de</w:t>
      </w:r>
      <w:r>
        <w:rPr>
          <w:spacing w:val="-7"/>
          <w:sz w:val="20"/>
        </w:rPr>
        <w:t> </w:t>
      </w:r>
      <w:r>
        <w:rPr>
          <w:sz w:val="20"/>
        </w:rPr>
        <w:t>la</w:t>
      </w:r>
      <w:r>
        <w:rPr>
          <w:spacing w:val="-4"/>
          <w:sz w:val="20"/>
        </w:rPr>
        <w:t> </w:t>
      </w:r>
      <w:r>
        <w:rPr>
          <w:sz w:val="20"/>
        </w:rPr>
        <w:t>autoridad</w:t>
      </w:r>
      <w:r>
        <w:rPr>
          <w:spacing w:val="-7"/>
          <w:sz w:val="20"/>
        </w:rPr>
        <w:t> </w:t>
      </w:r>
      <w:r>
        <w:rPr>
          <w:sz w:val="20"/>
        </w:rPr>
        <w:t>municipal</w:t>
      </w:r>
      <w:r>
        <w:rPr>
          <w:spacing w:val="-7"/>
          <w:sz w:val="20"/>
        </w:rPr>
        <w:t> </w:t>
      </w:r>
      <w:r>
        <w:rPr>
          <w:sz w:val="20"/>
        </w:rPr>
        <w:t>competente</w:t>
      </w:r>
      <w:r>
        <w:rPr>
          <w:spacing w:val="-7"/>
          <w:sz w:val="20"/>
        </w:rPr>
        <w:t> </w:t>
      </w:r>
      <w:r>
        <w:rPr>
          <w:sz w:val="20"/>
        </w:rPr>
        <w:t>conforme</w:t>
      </w:r>
      <w:r>
        <w:rPr>
          <w:spacing w:val="-7"/>
          <w:sz w:val="20"/>
        </w:rPr>
        <w:t> </w:t>
      </w:r>
      <w:r>
        <w:rPr>
          <w:sz w:val="20"/>
        </w:rPr>
        <w:t>a</w:t>
      </w:r>
      <w:r>
        <w:rPr>
          <w:spacing w:val="-7"/>
          <w:sz w:val="20"/>
        </w:rPr>
        <w:t> </w:t>
      </w:r>
      <w:r>
        <w:rPr>
          <w:sz w:val="20"/>
        </w:rPr>
        <w:t>la</w:t>
      </w:r>
      <w:r>
        <w:rPr>
          <w:spacing w:val="-7"/>
          <w:sz w:val="20"/>
        </w:rPr>
        <w:t> </w:t>
      </w:r>
      <w:r>
        <w:rPr>
          <w:sz w:val="20"/>
        </w:rPr>
        <w:t>presente</w:t>
      </w:r>
      <w:r>
        <w:rPr>
          <w:spacing w:val="-7"/>
          <w:sz w:val="20"/>
        </w:rPr>
        <w:t> </w:t>
      </w:r>
      <w:r>
        <w:rPr>
          <w:sz w:val="20"/>
        </w:rPr>
        <w:t>Ley,</w:t>
      </w:r>
      <w:r>
        <w:rPr>
          <w:spacing w:val="-6"/>
          <w:sz w:val="20"/>
        </w:rPr>
        <w:t> </w:t>
      </w:r>
      <w:r>
        <w:rPr>
          <w:sz w:val="20"/>
        </w:rPr>
        <w:t>reglamentos</w:t>
      </w:r>
      <w:r>
        <w:rPr>
          <w:spacing w:val="-6"/>
          <w:sz w:val="20"/>
        </w:rPr>
        <w:t> </w:t>
      </w:r>
      <w:r>
        <w:rPr>
          <w:sz w:val="20"/>
        </w:rPr>
        <w:t>y</w:t>
      </w:r>
      <w:r>
        <w:rPr>
          <w:spacing w:val="-5"/>
          <w:sz w:val="20"/>
        </w:rPr>
        <w:t> </w:t>
      </w:r>
      <w:r>
        <w:rPr>
          <w:sz w:val="20"/>
        </w:rPr>
        <w:t>proyecto autorizado, y</w:t>
      </w:r>
    </w:p>
    <w:p>
      <w:pPr>
        <w:pStyle w:val="BodyText"/>
        <w:spacing w:before="1"/>
      </w:pPr>
    </w:p>
    <w:p>
      <w:pPr>
        <w:pStyle w:val="ListParagraph"/>
        <w:numPr>
          <w:ilvl w:val="0"/>
          <w:numId w:val="101"/>
        </w:numPr>
        <w:tabs>
          <w:tab w:pos="688" w:val="left" w:leader="none"/>
        </w:tabs>
        <w:spacing w:line="240" w:lineRule="auto" w:before="0" w:after="0"/>
        <w:ind w:left="262" w:right="288" w:firstLine="0"/>
        <w:jc w:val="both"/>
        <w:rPr>
          <w:sz w:val="20"/>
        </w:rPr>
      </w:pPr>
      <w:r>
        <w:rPr>
          <w:sz w:val="20"/>
        </w:rPr>
        <w:t>Realizar en su caso el pago de multas o sanciones cuando incurriera en falta administrativa atribuible a su responsabilidad.</w:t>
      </w:r>
    </w:p>
    <w:p>
      <w:pPr>
        <w:pStyle w:val="BodyText"/>
      </w:pPr>
    </w:p>
    <w:p>
      <w:pPr>
        <w:pStyle w:val="BodyText"/>
      </w:pPr>
    </w:p>
    <w:p>
      <w:pPr>
        <w:pStyle w:val="Heading1"/>
      </w:pPr>
      <w:r>
        <w:rPr/>
        <w:t>TITULO</w:t>
      </w:r>
      <w:r>
        <w:rPr>
          <w:spacing w:val="-9"/>
        </w:rPr>
        <w:t> </w:t>
      </w:r>
      <w:r>
        <w:rPr/>
        <w:t>DÉCIMO</w:t>
      </w:r>
      <w:r>
        <w:rPr>
          <w:spacing w:val="-8"/>
        </w:rPr>
        <w:t> </w:t>
      </w:r>
      <w:r>
        <w:rPr>
          <w:spacing w:val="-2"/>
        </w:rPr>
        <w:t>TERCERO</w:t>
      </w:r>
    </w:p>
    <w:p>
      <w:pPr>
        <w:pStyle w:val="BodyText"/>
        <w:spacing w:before="1"/>
        <w:rPr>
          <w:rFonts w:ascii="Arial"/>
          <w:b/>
        </w:rPr>
      </w:pPr>
    </w:p>
    <w:p>
      <w:pPr>
        <w:spacing w:before="0"/>
        <w:ind w:left="148" w:right="168" w:firstLine="0"/>
        <w:jc w:val="center"/>
        <w:rPr>
          <w:rFonts w:ascii="Arial" w:hAnsi="Arial"/>
          <w:b/>
          <w:sz w:val="20"/>
        </w:rPr>
      </w:pPr>
      <w:r>
        <w:rPr>
          <w:rFonts w:ascii="Arial" w:hAnsi="Arial"/>
          <w:b/>
          <w:sz w:val="20"/>
        </w:rPr>
        <w:t>CONTROL</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REGULACIÓN</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z w:val="20"/>
        </w:rPr>
        <w:t>ORDENAMIENTO</w:t>
      </w:r>
      <w:r>
        <w:rPr>
          <w:rFonts w:ascii="Arial" w:hAnsi="Arial"/>
          <w:b/>
          <w:spacing w:val="-4"/>
          <w:sz w:val="20"/>
        </w:rPr>
        <w:t> </w:t>
      </w:r>
      <w:r>
        <w:rPr>
          <w:rFonts w:ascii="Arial" w:hAnsi="Arial"/>
          <w:b/>
          <w:sz w:val="20"/>
        </w:rPr>
        <w:t>TERRITORIAL</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ASENTAMIENTOS HUMANOS Y DEL DESARROLLO URBANO DE LOS CENTROS DE POBLACIÓN</w:t>
      </w:r>
    </w:p>
    <w:p>
      <w:pPr>
        <w:pStyle w:val="BodyText"/>
        <w:spacing w:before="229"/>
        <w:rPr>
          <w:rFonts w:ascii="Arial"/>
          <w:b/>
        </w:rPr>
      </w:pPr>
    </w:p>
    <w:p>
      <w:pPr>
        <w:pStyle w:val="Heading2"/>
      </w:pPr>
      <w:r>
        <w:rPr/>
        <w:t>Capítulo</w:t>
      </w:r>
      <w:r>
        <w:rPr>
          <w:spacing w:val="-8"/>
        </w:rPr>
        <w:t> </w:t>
      </w:r>
      <w:r>
        <w:rPr>
          <w:spacing w:val="-10"/>
        </w:rPr>
        <w:t>I</w:t>
      </w:r>
    </w:p>
    <w:p>
      <w:pPr>
        <w:pStyle w:val="Heading2"/>
        <w:spacing w:after="0"/>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spacing w:line="480" w:lineRule="auto" w:before="0"/>
        <w:ind w:left="3402" w:right="3419" w:firstLine="0"/>
        <w:jc w:val="center"/>
        <w:rPr>
          <w:rFonts w:ascii="Arial" w:hAnsi="Arial"/>
          <w:b/>
          <w:sz w:val="20"/>
        </w:rPr>
      </w:pPr>
      <w:r>
        <w:rPr>
          <w:rFonts w:ascii="Arial" w:hAnsi="Arial"/>
          <w:b/>
          <w:sz w:val="20"/>
        </w:rPr>
        <w:t>Licencia</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Uso</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Suelo Sección Primera Naturaleza y Objeto</w:t>
      </w:r>
    </w:p>
    <w:p>
      <w:pPr>
        <w:pStyle w:val="BodyText"/>
        <w:ind w:left="262" w:right="277"/>
        <w:jc w:val="both"/>
      </w:pPr>
      <w:r>
        <w:rPr>
          <w:rFonts w:ascii="Arial" w:hAnsi="Arial"/>
          <w:b/>
        </w:rPr>
        <w:t>ARTÍCULO 270. </w:t>
      </w:r>
      <w:r>
        <w:rPr/>
        <w:t>La licencia de uso de suelo es el documento expedido por la Dirección Municipal correspondiente, con base en lo dispuesto en esta Ley y demás disposiciones jurídicas aplicables, a solicitud de una persona física o moral, pública o privada,</w:t>
      </w:r>
      <w:r>
        <w:rPr>
          <w:spacing w:val="40"/>
        </w:rPr>
        <w:t> </w:t>
      </w:r>
      <w:r>
        <w:rPr/>
        <w:t>en el cual se certifica que la acción, obra, inversión o</w:t>
      </w:r>
      <w:r>
        <w:rPr>
          <w:spacing w:val="-1"/>
        </w:rPr>
        <w:t> </w:t>
      </w:r>
      <w:r>
        <w:rPr/>
        <w:t>servicio que</w:t>
      </w:r>
      <w:r>
        <w:rPr>
          <w:spacing w:val="-2"/>
        </w:rPr>
        <w:t> </w:t>
      </w:r>
      <w:r>
        <w:rPr/>
        <w:t>se pretenda</w:t>
      </w:r>
      <w:r>
        <w:rPr>
          <w:spacing w:val="-1"/>
        </w:rPr>
        <w:t> </w:t>
      </w:r>
      <w:r>
        <w:rPr/>
        <w:t>realizar es compatible con la legislación</w:t>
      </w:r>
      <w:r>
        <w:rPr>
          <w:spacing w:val="-1"/>
        </w:rPr>
        <w:t> </w:t>
      </w:r>
      <w:r>
        <w:rPr/>
        <w:t>y los programas de ordenamiento territorial y desarrollo urbano, señalando las limitaciones, restricciones, afectaciones,</w:t>
      </w:r>
      <w:r>
        <w:rPr>
          <w:spacing w:val="-9"/>
        </w:rPr>
        <w:t> </w:t>
      </w:r>
      <w:r>
        <w:rPr/>
        <w:t>características</w:t>
      </w:r>
      <w:r>
        <w:rPr>
          <w:spacing w:val="-10"/>
        </w:rPr>
        <w:t> </w:t>
      </w:r>
      <w:r>
        <w:rPr/>
        <w:t>y</w:t>
      </w:r>
      <w:r>
        <w:rPr>
          <w:spacing w:val="-10"/>
        </w:rPr>
        <w:t> </w:t>
      </w:r>
      <w:r>
        <w:rPr/>
        <w:t>aprovechamientos</w:t>
      </w:r>
      <w:r>
        <w:rPr>
          <w:spacing w:val="-9"/>
        </w:rPr>
        <w:t> </w:t>
      </w:r>
      <w:r>
        <w:rPr/>
        <w:t>de</w:t>
      </w:r>
      <w:r>
        <w:rPr>
          <w:spacing w:val="-9"/>
        </w:rPr>
        <w:t> </w:t>
      </w:r>
      <w:r>
        <w:rPr/>
        <w:t>las</w:t>
      </w:r>
      <w:r>
        <w:rPr>
          <w:spacing w:val="-10"/>
        </w:rPr>
        <w:t> </w:t>
      </w:r>
      <w:r>
        <w:rPr/>
        <w:t>áreas</w:t>
      </w:r>
      <w:r>
        <w:rPr>
          <w:spacing w:val="-9"/>
        </w:rPr>
        <w:t> </w:t>
      </w:r>
      <w:r>
        <w:rPr/>
        <w:t>o</w:t>
      </w:r>
      <w:r>
        <w:rPr>
          <w:spacing w:val="-9"/>
        </w:rPr>
        <w:t> </w:t>
      </w:r>
      <w:r>
        <w:rPr/>
        <w:t>predio</w:t>
      </w:r>
      <w:r>
        <w:rPr>
          <w:spacing w:val="-6"/>
        </w:rPr>
        <w:t> </w:t>
      </w:r>
      <w:r>
        <w:rPr/>
        <w:t>materia</w:t>
      </w:r>
      <w:r>
        <w:rPr>
          <w:spacing w:val="-11"/>
        </w:rPr>
        <w:t> </w:t>
      </w:r>
      <w:r>
        <w:rPr/>
        <w:t>de</w:t>
      </w:r>
      <w:r>
        <w:rPr>
          <w:spacing w:val="-9"/>
        </w:rPr>
        <w:t> </w:t>
      </w:r>
      <w:r>
        <w:rPr/>
        <w:t>la</w:t>
      </w:r>
      <w:r>
        <w:rPr>
          <w:spacing w:val="-9"/>
        </w:rPr>
        <w:t> </w:t>
      </w:r>
      <w:r>
        <w:rPr/>
        <w:t>misma,</w:t>
      </w:r>
      <w:r>
        <w:rPr>
          <w:spacing w:val="-9"/>
        </w:rPr>
        <w:t> </w:t>
      </w:r>
      <w:r>
        <w:rPr/>
        <w:t>las</w:t>
      </w:r>
      <w:r>
        <w:rPr>
          <w:spacing w:val="-9"/>
        </w:rPr>
        <w:t> </w:t>
      </w:r>
      <w:r>
        <w:rPr/>
        <w:t>que deberán acatarse por el solicitante.</w:t>
      </w:r>
    </w:p>
    <w:p>
      <w:pPr>
        <w:pStyle w:val="BodyText"/>
        <w:spacing w:before="1"/>
      </w:pPr>
    </w:p>
    <w:p>
      <w:pPr>
        <w:spacing w:before="1"/>
        <w:ind w:left="262"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271.</w:t>
      </w:r>
      <w:r>
        <w:rPr>
          <w:rFonts w:ascii="Arial" w:hAnsi="Arial"/>
          <w:b/>
          <w:spacing w:val="-4"/>
          <w:sz w:val="20"/>
        </w:rPr>
        <w:t> </w:t>
      </w:r>
      <w:r>
        <w:rPr>
          <w:sz w:val="20"/>
        </w:rPr>
        <w:t>El</w:t>
      </w:r>
      <w:r>
        <w:rPr>
          <w:spacing w:val="-5"/>
          <w:sz w:val="20"/>
        </w:rPr>
        <w:t> </w:t>
      </w:r>
      <w:r>
        <w:rPr>
          <w:sz w:val="20"/>
        </w:rPr>
        <w:t>objeto</w:t>
      </w:r>
      <w:r>
        <w:rPr>
          <w:spacing w:val="-3"/>
          <w:sz w:val="20"/>
        </w:rPr>
        <w:t> </w:t>
      </w:r>
      <w:r>
        <w:rPr>
          <w:sz w:val="20"/>
        </w:rPr>
        <w:t>de</w:t>
      </w:r>
      <w:r>
        <w:rPr>
          <w:spacing w:val="-7"/>
          <w:sz w:val="20"/>
        </w:rPr>
        <w:t> </w:t>
      </w:r>
      <w:r>
        <w:rPr>
          <w:sz w:val="20"/>
        </w:rPr>
        <w:t>las</w:t>
      </w:r>
      <w:r>
        <w:rPr>
          <w:spacing w:val="-5"/>
          <w:sz w:val="20"/>
        </w:rPr>
        <w:t> </w:t>
      </w:r>
      <w:r>
        <w:rPr>
          <w:sz w:val="20"/>
        </w:rPr>
        <w:t>licencias</w:t>
      </w:r>
      <w:r>
        <w:rPr>
          <w:spacing w:val="-4"/>
          <w:sz w:val="20"/>
        </w:rPr>
        <w:t> </w:t>
      </w:r>
      <w:r>
        <w:rPr>
          <w:sz w:val="20"/>
        </w:rPr>
        <w:t>de</w:t>
      </w:r>
      <w:r>
        <w:rPr>
          <w:spacing w:val="-5"/>
          <w:sz w:val="20"/>
        </w:rPr>
        <w:t> </w:t>
      </w:r>
      <w:r>
        <w:rPr>
          <w:sz w:val="20"/>
        </w:rPr>
        <w:t>uso</w:t>
      </w:r>
      <w:r>
        <w:rPr>
          <w:spacing w:val="-6"/>
          <w:sz w:val="20"/>
        </w:rPr>
        <w:t> </w:t>
      </w:r>
      <w:r>
        <w:rPr>
          <w:sz w:val="20"/>
        </w:rPr>
        <w:t>de</w:t>
      </w:r>
      <w:r>
        <w:rPr>
          <w:spacing w:val="-5"/>
          <w:sz w:val="20"/>
        </w:rPr>
        <w:t> </w:t>
      </w:r>
      <w:r>
        <w:rPr>
          <w:sz w:val="20"/>
        </w:rPr>
        <w:t>suelo</w:t>
      </w:r>
      <w:r>
        <w:rPr>
          <w:spacing w:val="-6"/>
          <w:sz w:val="20"/>
        </w:rPr>
        <w:t> </w:t>
      </w:r>
      <w:r>
        <w:rPr>
          <w:spacing w:val="-5"/>
          <w:sz w:val="20"/>
        </w:rPr>
        <w:t>es:</w:t>
      </w:r>
    </w:p>
    <w:p>
      <w:pPr>
        <w:pStyle w:val="BodyText"/>
      </w:pPr>
    </w:p>
    <w:p>
      <w:pPr>
        <w:pStyle w:val="ListParagraph"/>
        <w:numPr>
          <w:ilvl w:val="0"/>
          <w:numId w:val="102"/>
        </w:numPr>
        <w:tabs>
          <w:tab w:pos="688" w:val="left" w:leader="none"/>
        </w:tabs>
        <w:spacing w:line="240" w:lineRule="auto" w:before="0" w:after="0"/>
        <w:ind w:left="262" w:right="281" w:firstLine="0"/>
        <w:jc w:val="both"/>
        <w:rPr>
          <w:sz w:val="20"/>
        </w:rPr>
      </w:pPr>
      <w:r>
        <w:rPr>
          <w:sz w:val="20"/>
        </w:rPr>
        <w:t>Dar seguridad jurídica y autorizar el uso y destino de la propiedad con base en los programas de</w:t>
      </w:r>
      <w:r>
        <w:rPr>
          <w:spacing w:val="-9"/>
          <w:sz w:val="20"/>
        </w:rPr>
        <w:t> </w:t>
      </w:r>
      <w:r>
        <w:rPr>
          <w:sz w:val="20"/>
        </w:rPr>
        <w:t>ordenamiento</w:t>
      </w:r>
      <w:r>
        <w:rPr>
          <w:spacing w:val="-9"/>
          <w:sz w:val="20"/>
        </w:rPr>
        <w:t> </w:t>
      </w:r>
      <w:r>
        <w:rPr>
          <w:sz w:val="20"/>
        </w:rPr>
        <w:t>del</w:t>
      </w:r>
      <w:r>
        <w:rPr>
          <w:spacing w:val="-10"/>
          <w:sz w:val="20"/>
        </w:rPr>
        <w:t> </w:t>
      </w:r>
      <w:r>
        <w:rPr>
          <w:sz w:val="20"/>
        </w:rPr>
        <w:t>territorial</w:t>
      </w:r>
      <w:r>
        <w:rPr>
          <w:spacing w:val="-10"/>
          <w:sz w:val="20"/>
        </w:rPr>
        <w:t> </w:t>
      </w:r>
      <w:r>
        <w:rPr>
          <w:sz w:val="20"/>
        </w:rPr>
        <w:t>y</w:t>
      </w:r>
      <w:r>
        <w:rPr>
          <w:spacing w:val="-8"/>
          <w:sz w:val="20"/>
        </w:rPr>
        <w:t> </w:t>
      </w:r>
      <w:r>
        <w:rPr>
          <w:sz w:val="20"/>
        </w:rPr>
        <w:t>desarrollo</w:t>
      </w:r>
      <w:r>
        <w:rPr>
          <w:spacing w:val="-9"/>
          <w:sz w:val="20"/>
        </w:rPr>
        <w:t> </w:t>
      </w:r>
      <w:r>
        <w:rPr>
          <w:sz w:val="20"/>
        </w:rPr>
        <w:t>urbano,</w:t>
      </w:r>
      <w:r>
        <w:rPr>
          <w:spacing w:val="-9"/>
          <w:sz w:val="20"/>
        </w:rPr>
        <w:t> </w:t>
      </w:r>
      <w:r>
        <w:rPr>
          <w:sz w:val="20"/>
        </w:rPr>
        <w:t>en</w:t>
      </w:r>
      <w:r>
        <w:rPr>
          <w:spacing w:val="-7"/>
          <w:sz w:val="20"/>
        </w:rPr>
        <w:t> </w:t>
      </w:r>
      <w:r>
        <w:rPr>
          <w:sz w:val="20"/>
        </w:rPr>
        <w:t>lo</w:t>
      </w:r>
      <w:r>
        <w:rPr>
          <w:spacing w:val="-9"/>
          <w:sz w:val="20"/>
        </w:rPr>
        <w:t> </w:t>
      </w:r>
      <w:r>
        <w:rPr>
          <w:sz w:val="20"/>
        </w:rPr>
        <w:t>que</w:t>
      </w:r>
      <w:r>
        <w:rPr>
          <w:spacing w:val="-9"/>
          <w:sz w:val="20"/>
        </w:rPr>
        <w:t> </w:t>
      </w:r>
      <w:r>
        <w:rPr>
          <w:sz w:val="20"/>
        </w:rPr>
        <w:t>se</w:t>
      </w:r>
      <w:r>
        <w:rPr>
          <w:spacing w:val="-9"/>
          <w:sz w:val="20"/>
        </w:rPr>
        <w:t> </w:t>
      </w:r>
      <w:r>
        <w:rPr>
          <w:sz w:val="20"/>
        </w:rPr>
        <w:t>refiere</w:t>
      </w:r>
      <w:r>
        <w:rPr>
          <w:spacing w:val="-8"/>
          <w:sz w:val="20"/>
        </w:rPr>
        <w:t> </w:t>
      </w:r>
      <w:r>
        <w:rPr>
          <w:sz w:val="20"/>
        </w:rPr>
        <w:t>al</w:t>
      </w:r>
      <w:r>
        <w:rPr>
          <w:spacing w:val="-10"/>
          <w:sz w:val="20"/>
        </w:rPr>
        <w:t> </w:t>
      </w:r>
      <w:r>
        <w:rPr>
          <w:sz w:val="20"/>
        </w:rPr>
        <w:t>aprovechamiento</w:t>
      </w:r>
      <w:r>
        <w:rPr>
          <w:spacing w:val="-7"/>
          <w:sz w:val="20"/>
        </w:rPr>
        <w:t> </w:t>
      </w:r>
      <w:r>
        <w:rPr>
          <w:sz w:val="20"/>
        </w:rPr>
        <w:t>del</w:t>
      </w:r>
      <w:r>
        <w:rPr>
          <w:spacing w:val="-10"/>
          <w:sz w:val="20"/>
        </w:rPr>
        <w:t> </w:t>
      </w:r>
      <w:r>
        <w:rPr>
          <w:sz w:val="20"/>
        </w:rPr>
        <w:t>suelo dentro de su contexto urbano; otorgando la consiguiente protección a sus titulares o poseedores, respecto de la legalidad del asentamiento humano o desarrollo inmobiliario;</w:t>
      </w:r>
    </w:p>
    <w:p>
      <w:pPr>
        <w:pStyle w:val="BodyText"/>
      </w:pPr>
    </w:p>
    <w:p>
      <w:pPr>
        <w:pStyle w:val="ListParagraph"/>
        <w:numPr>
          <w:ilvl w:val="0"/>
          <w:numId w:val="102"/>
        </w:numPr>
        <w:tabs>
          <w:tab w:pos="686" w:val="left" w:leader="none"/>
        </w:tabs>
        <w:spacing w:line="240" w:lineRule="auto" w:before="0" w:after="0"/>
        <w:ind w:left="262" w:right="284" w:firstLine="0"/>
        <w:jc w:val="both"/>
        <w:rPr>
          <w:sz w:val="20"/>
        </w:rPr>
      </w:pPr>
      <w:r>
        <w:rPr>
          <w:sz w:val="20"/>
        </w:rPr>
        <w:t>Conservar y mejorar el patrimonio natural y cultural de los centros de población, conservando la función esencial del ambiente, protegiendo las áreas verdes y de recarga de mantos acuíferos;</w:t>
      </w:r>
    </w:p>
    <w:p>
      <w:pPr>
        <w:pStyle w:val="ListParagraph"/>
        <w:numPr>
          <w:ilvl w:val="0"/>
          <w:numId w:val="102"/>
        </w:numPr>
        <w:tabs>
          <w:tab w:pos="741" w:val="left" w:leader="none"/>
        </w:tabs>
        <w:spacing w:line="240" w:lineRule="auto" w:before="229" w:after="0"/>
        <w:ind w:left="741" w:right="0" w:hanging="479"/>
        <w:jc w:val="both"/>
        <w:rPr>
          <w:sz w:val="20"/>
        </w:rPr>
      </w:pPr>
      <w:r>
        <w:rPr>
          <w:sz w:val="20"/>
        </w:rPr>
        <w:t>Inducir</w:t>
      </w:r>
      <w:r>
        <w:rPr>
          <w:spacing w:val="-9"/>
          <w:sz w:val="20"/>
        </w:rPr>
        <w:t> </w:t>
      </w:r>
      <w:r>
        <w:rPr>
          <w:sz w:val="20"/>
        </w:rPr>
        <w:t>la</w:t>
      </w:r>
      <w:r>
        <w:rPr>
          <w:spacing w:val="-8"/>
          <w:sz w:val="20"/>
        </w:rPr>
        <w:t> </w:t>
      </w:r>
      <w:r>
        <w:rPr>
          <w:sz w:val="20"/>
        </w:rPr>
        <w:t>planeación</w:t>
      </w:r>
      <w:r>
        <w:rPr>
          <w:spacing w:val="-9"/>
          <w:sz w:val="20"/>
        </w:rPr>
        <w:t> </w:t>
      </w:r>
      <w:r>
        <w:rPr>
          <w:sz w:val="20"/>
        </w:rPr>
        <w:t>e</w:t>
      </w:r>
      <w:r>
        <w:rPr>
          <w:spacing w:val="-8"/>
          <w:sz w:val="20"/>
        </w:rPr>
        <w:t> </w:t>
      </w:r>
      <w:r>
        <w:rPr>
          <w:sz w:val="20"/>
        </w:rPr>
        <w:t>introducción</w:t>
      </w:r>
      <w:r>
        <w:rPr>
          <w:spacing w:val="-10"/>
          <w:sz w:val="20"/>
        </w:rPr>
        <w:t> </w:t>
      </w:r>
      <w:r>
        <w:rPr>
          <w:sz w:val="20"/>
        </w:rPr>
        <w:t>de</w:t>
      </w:r>
      <w:r>
        <w:rPr>
          <w:spacing w:val="-7"/>
          <w:sz w:val="20"/>
        </w:rPr>
        <w:t> </w:t>
      </w:r>
      <w:r>
        <w:rPr>
          <w:sz w:val="20"/>
        </w:rPr>
        <w:t>infraestructura,</w:t>
      </w:r>
      <w:r>
        <w:rPr>
          <w:spacing w:val="-9"/>
          <w:sz w:val="20"/>
        </w:rPr>
        <w:t> </w:t>
      </w:r>
      <w:r>
        <w:rPr>
          <w:sz w:val="20"/>
        </w:rPr>
        <w:t>equipamiento</w:t>
      </w:r>
      <w:r>
        <w:rPr>
          <w:spacing w:val="-10"/>
          <w:sz w:val="20"/>
        </w:rPr>
        <w:t> </w:t>
      </w:r>
      <w:r>
        <w:rPr>
          <w:sz w:val="20"/>
        </w:rPr>
        <w:t>y</w:t>
      </w:r>
      <w:r>
        <w:rPr>
          <w:spacing w:val="-8"/>
          <w:sz w:val="20"/>
        </w:rPr>
        <w:t> </w:t>
      </w:r>
      <w:r>
        <w:rPr>
          <w:sz w:val="20"/>
        </w:rPr>
        <w:t>servicios</w:t>
      </w:r>
      <w:r>
        <w:rPr>
          <w:spacing w:val="-7"/>
          <w:sz w:val="20"/>
        </w:rPr>
        <w:t> </w:t>
      </w:r>
      <w:r>
        <w:rPr>
          <w:spacing w:val="-2"/>
          <w:sz w:val="20"/>
        </w:rPr>
        <w:t>urbanos;</w:t>
      </w:r>
    </w:p>
    <w:p>
      <w:pPr>
        <w:pStyle w:val="BodyText"/>
        <w:spacing w:before="1"/>
      </w:pPr>
    </w:p>
    <w:p>
      <w:pPr>
        <w:pStyle w:val="ListParagraph"/>
        <w:numPr>
          <w:ilvl w:val="0"/>
          <w:numId w:val="102"/>
        </w:numPr>
        <w:tabs>
          <w:tab w:pos="688" w:val="left" w:leader="none"/>
        </w:tabs>
        <w:spacing w:line="240" w:lineRule="auto" w:before="0" w:after="0"/>
        <w:ind w:left="262" w:right="284" w:firstLine="0"/>
        <w:jc w:val="both"/>
        <w:rPr>
          <w:sz w:val="20"/>
        </w:rPr>
      </w:pPr>
      <w:r>
        <w:rPr>
          <w:sz w:val="20"/>
        </w:rPr>
        <w:t>Controlar</w:t>
      </w:r>
      <w:r>
        <w:rPr>
          <w:spacing w:val="-2"/>
          <w:sz w:val="20"/>
        </w:rPr>
        <w:t> </w:t>
      </w:r>
      <w:r>
        <w:rPr>
          <w:sz w:val="20"/>
        </w:rPr>
        <w:t>que</w:t>
      </w:r>
      <w:r>
        <w:rPr>
          <w:spacing w:val="-3"/>
          <w:sz w:val="20"/>
        </w:rPr>
        <w:t> </w:t>
      </w:r>
      <w:r>
        <w:rPr>
          <w:sz w:val="20"/>
        </w:rPr>
        <w:t>toda</w:t>
      </w:r>
      <w:r>
        <w:rPr>
          <w:spacing w:val="-3"/>
          <w:sz w:val="20"/>
        </w:rPr>
        <w:t> </w:t>
      </w:r>
      <w:r>
        <w:rPr>
          <w:sz w:val="20"/>
        </w:rPr>
        <w:t>acción,</w:t>
      </w:r>
      <w:r>
        <w:rPr>
          <w:spacing w:val="-3"/>
          <w:sz w:val="20"/>
        </w:rPr>
        <w:t> </w:t>
      </w:r>
      <w:r>
        <w:rPr>
          <w:sz w:val="20"/>
        </w:rPr>
        <w:t>obra,</w:t>
      </w:r>
      <w:r>
        <w:rPr>
          <w:spacing w:val="-5"/>
          <w:sz w:val="20"/>
        </w:rPr>
        <w:t> </w:t>
      </w:r>
      <w:r>
        <w:rPr>
          <w:sz w:val="20"/>
        </w:rPr>
        <w:t>servicio</w:t>
      </w:r>
      <w:r>
        <w:rPr>
          <w:spacing w:val="-3"/>
          <w:sz w:val="20"/>
        </w:rPr>
        <w:t> </w:t>
      </w:r>
      <w:r>
        <w:rPr>
          <w:sz w:val="20"/>
        </w:rPr>
        <w:t>o</w:t>
      </w:r>
      <w:r>
        <w:rPr>
          <w:spacing w:val="-3"/>
          <w:sz w:val="20"/>
        </w:rPr>
        <w:t> </w:t>
      </w:r>
      <w:r>
        <w:rPr>
          <w:sz w:val="20"/>
        </w:rPr>
        <w:t>inversión</w:t>
      </w:r>
      <w:r>
        <w:rPr>
          <w:spacing w:val="-3"/>
          <w:sz w:val="20"/>
        </w:rPr>
        <w:t> </w:t>
      </w:r>
      <w:r>
        <w:rPr>
          <w:sz w:val="20"/>
        </w:rPr>
        <w:t>en</w:t>
      </w:r>
      <w:r>
        <w:rPr>
          <w:spacing w:val="-5"/>
          <w:sz w:val="20"/>
        </w:rPr>
        <w:t> </w:t>
      </w:r>
      <w:r>
        <w:rPr>
          <w:sz w:val="20"/>
        </w:rPr>
        <w:t>materia</w:t>
      </w:r>
      <w:r>
        <w:rPr>
          <w:spacing w:val="-3"/>
          <w:sz w:val="20"/>
        </w:rPr>
        <w:t> </w:t>
      </w:r>
      <w:r>
        <w:rPr>
          <w:sz w:val="20"/>
        </w:rPr>
        <w:t>de</w:t>
      </w:r>
      <w:r>
        <w:rPr>
          <w:spacing w:val="-4"/>
          <w:sz w:val="20"/>
        </w:rPr>
        <w:t> </w:t>
      </w:r>
      <w:r>
        <w:rPr>
          <w:sz w:val="20"/>
        </w:rPr>
        <w:t>ordenamiento</w:t>
      </w:r>
      <w:r>
        <w:rPr>
          <w:spacing w:val="-1"/>
          <w:sz w:val="20"/>
        </w:rPr>
        <w:t> </w:t>
      </w:r>
      <w:r>
        <w:rPr>
          <w:sz w:val="20"/>
        </w:rPr>
        <w:t>del</w:t>
      </w:r>
      <w:r>
        <w:rPr>
          <w:spacing w:val="-4"/>
          <w:sz w:val="20"/>
        </w:rPr>
        <w:t> </w:t>
      </w:r>
      <w:r>
        <w:rPr>
          <w:sz w:val="20"/>
        </w:rPr>
        <w:t>territorial, desarrollo</w:t>
      </w:r>
      <w:r>
        <w:rPr>
          <w:spacing w:val="-2"/>
          <w:sz w:val="20"/>
        </w:rPr>
        <w:t> </w:t>
      </w:r>
      <w:r>
        <w:rPr>
          <w:sz w:val="20"/>
        </w:rPr>
        <w:t>urbano</w:t>
      </w:r>
      <w:r>
        <w:rPr>
          <w:spacing w:val="-2"/>
          <w:sz w:val="20"/>
        </w:rPr>
        <w:t> </w:t>
      </w:r>
      <w:r>
        <w:rPr>
          <w:sz w:val="20"/>
        </w:rPr>
        <w:t>y</w:t>
      </w:r>
      <w:r>
        <w:rPr>
          <w:spacing w:val="-3"/>
          <w:sz w:val="20"/>
        </w:rPr>
        <w:t> </w:t>
      </w:r>
      <w:r>
        <w:rPr>
          <w:sz w:val="20"/>
        </w:rPr>
        <w:t>vivienda,</w:t>
      </w:r>
      <w:r>
        <w:rPr>
          <w:spacing w:val="-4"/>
          <w:sz w:val="20"/>
        </w:rPr>
        <w:t> </w:t>
      </w:r>
      <w:r>
        <w:rPr>
          <w:sz w:val="20"/>
        </w:rPr>
        <w:t>sea</w:t>
      </w:r>
      <w:r>
        <w:rPr>
          <w:spacing w:val="-2"/>
          <w:sz w:val="20"/>
        </w:rPr>
        <w:t> </w:t>
      </w:r>
      <w:r>
        <w:rPr>
          <w:sz w:val="20"/>
        </w:rPr>
        <w:t>compatible</w:t>
      </w:r>
      <w:r>
        <w:rPr>
          <w:spacing w:val="-2"/>
          <w:sz w:val="20"/>
        </w:rPr>
        <w:t> </w:t>
      </w:r>
      <w:r>
        <w:rPr>
          <w:sz w:val="20"/>
        </w:rPr>
        <w:t>con</w:t>
      </w:r>
      <w:r>
        <w:rPr>
          <w:spacing w:val="-2"/>
          <w:sz w:val="20"/>
        </w:rPr>
        <w:t> </w:t>
      </w:r>
      <w:r>
        <w:rPr>
          <w:sz w:val="20"/>
        </w:rPr>
        <w:t>la</w:t>
      </w:r>
      <w:r>
        <w:rPr>
          <w:spacing w:val="-2"/>
          <w:sz w:val="20"/>
        </w:rPr>
        <w:t> </w:t>
      </w:r>
      <w:r>
        <w:rPr>
          <w:sz w:val="20"/>
        </w:rPr>
        <w:t>legislación</w:t>
      </w:r>
      <w:r>
        <w:rPr>
          <w:spacing w:val="-2"/>
          <w:sz w:val="20"/>
        </w:rPr>
        <w:t> </w:t>
      </w:r>
      <w:r>
        <w:rPr>
          <w:sz w:val="20"/>
        </w:rPr>
        <w:t>y</w:t>
      </w:r>
      <w:r>
        <w:rPr>
          <w:spacing w:val="-1"/>
          <w:sz w:val="20"/>
        </w:rPr>
        <w:t> </w:t>
      </w:r>
      <w:r>
        <w:rPr>
          <w:sz w:val="20"/>
        </w:rPr>
        <w:t>programas</w:t>
      </w:r>
      <w:r>
        <w:rPr>
          <w:spacing w:val="-3"/>
          <w:sz w:val="20"/>
        </w:rPr>
        <w:t> </w:t>
      </w:r>
      <w:r>
        <w:rPr>
          <w:sz w:val="20"/>
        </w:rPr>
        <w:t>aplicables,</w:t>
      </w:r>
      <w:r>
        <w:rPr>
          <w:spacing w:val="-4"/>
          <w:sz w:val="20"/>
        </w:rPr>
        <w:t> </w:t>
      </w:r>
      <w:r>
        <w:rPr>
          <w:sz w:val="20"/>
        </w:rPr>
        <w:t>regulando</w:t>
      </w:r>
      <w:r>
        <w:rPr>
          <w:spacing w:val="-4"/>
          <w:sz w:val="20"/>
        </w:rPr>
        <w:t> </w:t>
      </w:r>
      <w:r>
        <w:rPr>
          <w:sz w:val="20"/>
        </w:rPr>
        <w:t>y previendo su impacto urbano;</w:t>
      </w:r>
    </w:p>
    <w:p>
      <w:pPr>
        <w:pStyle w:val="ListParagraph"/>
        <w:numPr>
          <w:ilvl w:val="0"/>
          <w:numId w:val="102"/>
        </w:numPr>
        <w:tabs>
          <w:tab w:pos="688" w:val="left" w:leader="none"/>
        </w:tabs>
        <w:spacing w:line="240" w:lineRule="auto" w:before="229" w:after="0"/>
        <w:ind w:left="262" w:right="287" w:firstLine="0"/>
        <w:jc w:val="both"/>
        <w:rPr>
          <w:sz w:val="20"/>
        </w:rPr>
      </w:pPr>
      <w:r>
        <w:rPr>
          <w:sz w:val="20"/>
        </w:rPr>
        <w:t>Señalar el aprovechamiento y aptitud del suelo de acuerdo con la legislación y programas </w:t>
      </w:r>
      <w:r>
        <w:rPr>
          <w:spacing w:val="-2"/>
          <w:sz w:val="20"/>
        </w:rPr>
        <w:t>aplicables;</w:t>
      </w:r>
    </w:p>
    <w:p>
      <w:pPr>
        <w:pStyle w:val="BodyText"/>
        <w:spacing w:before="2"/>
      </w:pPr>
    </w:p>
    <w:p>
      <w:pPr>
        <w:pStyle w:val="ListParagraph"/>
        <w:numPr>
          <w:ilvl w:val="0"/>
          <w:numId w:val="102"/>
        </w:numPr>
        <w:tabs>
          <w:tab w:pos="688" w:val="left" w:leader="none"/>
        </w:tabs>
        <w:spacing w:line="240" w:lineRule="auto" w:before="0" w:after="0"/>
        <w:ind w:left="688" w:right="0" w:hanging="426"/>
        <w:jc w:val="both"/>
        <w:rPr>
          <w:sz w:val="20"/>
        </w:rPr>
      </w:pPr>
      <w:r>
        <w:rPr>
          <w:sz w:val="20"/>
        </w:rPr>
        <w:t>Regular</w:t>
      </w:r>
      <w:r>
        <w:rPr>
          <w:spacing w:val="-5"/>
          <w:sz w:val="20"/>
        </w:rPr>
        <w:t> </w:t>
      </w:r>
      <w:r>
        <w:rPr>
          <w:sz w:val="20"/>
        </w:rPr>
        <w:t>la</w:t>
      </w:r>
      <w:r>
        <w:rPr>
          <w:spacing w:val="-6"/>
          <w:sz w:val="20"/>
        </w:rPr>
        <w:t> </w:t>
      </w:r>
      <w:r>
        <w:rPr>
          <w:sz w:val="20"/>
        </w:rPr>
        <w:t>traza</w:t>
      </w:r>
      <w:r>
        <w:rPr>
          <w:spacing w:val="-5"/>
          <w:sz w:val="20"/>
        </w:rPr>
        <w:t> </w:t>
      </w:r>
      <w:r>
        <w:rPr>
          <w:sz w:val="20"/>
        </w:rPr>
        <w:t>urbana</w:t>
      </w:r>
      <w:r>
        <w:rPr>
          <w:spacing w:val="-8"/>
          <w:sz w:val="20"/>
        </w:rPr>
        <w:t> </w:t>
      </w:r>
      <w:r>
        <w:rPr>
          <w:sz w:val="20"/>
        </w:rPr>
        <w:t>y</w:t>
      </w:r>
      <w:r>
        <w:rPr>
          <w:spacing w:val="-6"/>
          <w:sz w:val="20"/>
        </w:rPr>
        <w:t> </w:t>
      </w:r>
      <w:r>
        <w:rPr>
          <w:sz w:val="20"/>
        </w:rPr>
        <w:t>el</w:t>
      </w:r>
      <w:r>
        <w:rPr>
          <w:spacing w:val="-7"/>
          <w:sz w:val="20"/>
        </w:rPr>
        <w:t> </w:t>
      </w:r>
      <w:r>
        <w:rPr>
          <w:sz w:val="20"/>
        </w:rPr>
        <w:t>impacto</w:t>
      </w:r>
      <w:r>
        <w:rPr>
          <w:spacing w:val="-5"/>
          <w:sz w:val="20"/>
        </w:rPr>
        <w:t> </w:t>
      </w:r>
      <w:r>
        <w:rPr>
          <w:spacing w:val="-2"/>
          <w:sz w:val="20"/>
        </w:rPr>
        <w:t>urbano;</w:t>
      </w:r>
    </w:p>
    <w:p>
      <w:pPr>
        <w:pStyle w:val="ListParagraph"/>
        <w:numPr>
          <w:ilvl w:val="0"/>
          <w:numId w:val="102"/>
        </w:numPr>
        <w:tabs>
          <w:tab w:pos="688" w:val="left" w:leader="none"/>
        </w:tabs>
        <w:spacing w:line="240" w:lineRule="auto" w:before="228" w:after="0"/>
        <w:ind w:left="262" w:right="286" w:firstLine="0"/>
        <w:jc w:val="both"/>
        <w:rPr>
          <w:sz w:val="20"/>
        </w:rPr>
      </w:pPr>
      <w:r>
        <w:rPr>
          <w:sz w:val="20"/>
        </w:rPr>
        <w:t>Impedir el establecimiento de asentamientos humanos irregulares y fraccionamientos o desarrollos habitacionales al margen de esta Ley;</w:t>
      </w:r>
    </w:p>
    <w:p>
      <w:pPr>
        <w:pStyle w:val="BodyText"/>
        <w:spacing w:before="1"/>
      </w:pPr>
    </w:p>
    <w:p>
      <w:pPr>
        <w:pStyle w:val="ListParagraph"/>
        <w:numPr>
          <w:ilvl w:val="0"/>
          <w:numId w:val="102"/>
        </w:numPr>
        <w:tabs>
          <w:tab w:pos="688" w:val="left" w:leader="none"/>
        </w:tabs>
        <w:spacing w:line="240" w:lineRule="auto" w:before="0" w:after="0"/>
        <w:ind w:left="262" w:right="286" w:firstLine="0"/>
        <w:jc w:val="both"/>
        <w:rPr>
          <w:sz w:val="20"/>
        </w:rPr>
      </w:pPr>
      <w:r>
        <w:rPr>
          <w:sz w:val="20"/>
        </w:rPr>
        <w:t>Señalar</w:t>
      </w:r>
      <w:r>
        <w:rPr>
          <w:spacing w:val="-2"/>
          <w:sz w:val="20"/>
        </w:rPr>
        <w:t> </w:t>
      </w:r>
      <w:r>
        <w:rPr>
          <w:sz w:val="20"/>
        </w:rPr>
        <w:t>las limitaciones,</w:t>
      </w:r>
      <w:r>
        <w:rPr>
          <w:spacing w:val="-3"/>
          <w:sz w:val="20"/>
        </w:rPr>
        <w:t> </w:t>
      </w:r>
      <w:r>
        <w:rPr>
          <w:sz w:val="20"/>
        </w:rPr>
        <w:t>restricciones</w:t>
      </w:r>
      <w:r>
        <w:rPr>
          <w:spacing w:val="-2"/>
          <w:sz w:val="20"/>
        </w:rPr>
        <w:t> </w:t>
      </w:r>
      <w:r>
        <w:rPr>
          <w:sz w:val="20"/>
        </w:rPr>
        <w:t>o</w:t>
      </w:r>
      <w:r>
        <w:rPr>
          <w:spacing w:val="-1"/>
          <w:sz w:val="20"/>
        </w:rPr>
        <w:t> </w:t>
      </w:r>
      <w:r>
        <w:rPr>
          <w:sz w:val="20"/>
        </w:rPr>
        <w:t>alineamientos que</w:t>
      </w:r>
      <w:r>
        <w:rPr>
          <w:spacing w:val="-1"/>
          <w:sz w:val="20"/>
        </w:rPr>
        <w:t> </w:t>
      </w:r>
      <w:r>
        <w:rPr>
          <w:sz w:val="20"/>
        </w:rPr>
        <w:t>a</w:t>
      </w:r>
      <w:r>
        <w:rPr>
          <w:spacing w:val="-3"/>
          <w:sz w:val="20"/>
        </w:rPr>
        <w:t> </w:t>
      </w:r>
      <w:r>
        <w:rPr>
          <w:sz w:val="20"/>
        </w:rPr>
        <w:t>cada</w:t>
      </w:r>
      <w:r>
        <w:rPr>
          <w:spacing w:val="-1"/>
          <w:sz w:val="20"/>
        </w:rPr>
        <w:t> </w:t>
      </w:r>
      <w:r>
        <w:rPr>
          <w:sz w:val="20"/>
        </w:rPr>
        <w:t>área</w:t>
      </w:r>
      <w:r>
        <w:rPr>
          <w:spacing w:val="-1"/>
          <w:sz w:val="20"/>
        </w:rPr>
        <w:t> </w:t>
      </w:r>
      <w:r>
        <w:rPr>
          <w:sz w:val="20"/>
        </w:rPr>
        <w:t>o</w:t>
      </w:r>
      <w:r>
        <w:rPr>
          <w:spacing w:val="-3"/>
          <w:sz w:val="20"/>
        </w:rPr>
        <w:t> </w:t>
      </w:r>
      <w:r>
        <w:rPr>
          <w:sz w:val="20"/>
        </w:rPr>
        <w:t>predio</w:t>
      </w:r>
      <w:r>
        <w:rPr>
          <w:spacing w:val="-3"/>
          <w:sz w:val="20"/>
        </w:rPr>
        <w:t> </w:t>
      </w:r>
      <w:r>
        <w:rPr>
          <w:sz w:val="20"/>
        </w:rPr>
        <w:t>le</w:t>
      </w:r>
      <w:r>
        <w:rPr>
          <w:spacing w:val="-3"/>
          <w:sz w:val="20"/>
        </w:rPr>
        <w:t> </w:t>
      </w:r>
      <w:r>
        <w:rPr>
          <w:sz w:val="20"/>
        </w:rPr>
        <w:t>disponen</w:t>
      </w:r>
      <w:r>
        <w:rPr>
          <w:spacing w:val="-3"/>
          <w:sz w:val="20"/>
        </w:rPr>
        <w:t> </w:t>
      </w:r>
      <w:r>
        <w:rPr>
          <w:sz w:val="20"/>
        </w:rPr>
        <w:t>la legislación o programas de ordenamiento del</w:t>
      </w:r>
      <w:r>
        <w:rPr>
          <w:spacing w:val="40"/>
          <w:sz w:val="20"/>
        </w:rPr>
        <w:t> </w:t>
      </w:r>
      <w:r>
        <w:rPr>
          <w:sz w:val="20"/>
        </w:rPr>
        <w:t>territorial y desarrollo urbano</w:t>
      </w:r>
      <w:r>
        <w:rPr>
          <w:spacing w:val="40"/>
          <w:sz w:val="20"/>
        </w:rPr>
        <w:t> </w:t>
      </w:r>
      <w:r>
        <w:rPr>
          <w:sz w:val="20"/>
        </w:rPr>
        <w:t>aplicables, y</w:t>
      </w:r>
    </w:p>
    <w:p>
      <w:pPr>
        <w:pStyle w:val="BodyText"/>
      </w:pPr>
    </w:p>
    <w:p>
      <w:pPr>
        <w:pStyle w:val="ListParagraph"/>
        <w:numPr>
          <w:ilvl w:val="0"/>
          <w:numId w:val="102"/>
        </w:numPr>
        <w:tabs>
          <w:tab w:pos="688" w:val="left" w:leader="none"/>
        </w:tabs>
        <w:spacing w:line="240" w:lineRule="auto" w:before="0" w:after="0"/>
        <w:ind w:left="262" w:right="289" w:firstLine="0"/>
        <w:jc w:val="both"/>
        <w:rPr>
          <w:sz w:val="20"/>
        </w:rPr>
      </w:pPr>
      <w:r>
        <w:rPr>
          <w:sz w:val="20"/>
        </w:rPr>
        <w:t>La prevención y control de riesgos y contingencias ambientales y urbanas en los centros de </w:t>
      </w:r>
      <w:r>
        <w:rPr>
          <w:spacing w:val="-2"/>
          <w:sz w:val="20"/>
        </w:rPr>
        <w:t>población.</w:t>
      </w:r>
    </w:p>
    <w:p>
      <w:pPr>
        <w:pStyle w:val="BodyText"/>
        <w:spacing w:before="1"/>
      </w:pPr>
    </w:p>
    <w:p>
      <w:pPr>
        <w:pStyle w:val="BodyText"/>
        <w:ind w:left="262" w:right="276"/>
        <w:jc w:val="both"/>
      </w:pPr>
      <w:r>
        <w:rPr>
          <w:rFonts w:ascii="Arial" w:hAnsi="Arial"/>
          <w:b/>
        </w:rPr>
        <w:t>ARTÍCULO</w:t>
      </w:r>
      <w:r>
        <w:rPr>
          <w:rFonts w:ascii="Arial" w:hAnsi="Arial"/>
          <w:b/>
          <w:spacing w:val="-4"/>
        </w:rPr>
        <w:t> </w:t>
      </w:r>
      <w:r>
        <w:rPr>
          <w:rFonts w:ascii="Arial" w:hAnsi="Arial"/>
          <w:b/>
        </w:rPr>
        <w:t>272.</w:t>
      </w:r>
      <w:r>
        <w:rPr>
          <w:rFonts w:ascii="Arial" w:hAnsi="Arial"/>
          <w:b/>
          <w:spacing w:val="-3"/>
        </w:rPr>
        <w:t> </w:t>
      </w:r>
      <w:r>
        <w:rPr/>
        <w:t>La</w:t>
      </w:r>
      <w:r>
        <w:rPr>
          <w:spacing w:val="-3"/>
        </w:rPr>
        <w:t> </w:t>
      </w:r>
      <w:r>
        <w:rPr/>
        <w:t>licencia</w:t>
      </w:r>
      <w:r>
        <w:rPr>
          <w:spacing w:val="-6"/>
        </w:rPr>
        <w:t> </w:t>
      </w:r>
      <w:r>
        <w:rPr/>
        <w:t>de</w:t>
      </w:r>
      <w:r>
        <w:rPr>
          <w:spacing w:val="-6"/>
        </w:rPr>
        <w:t> </w:t>
      </w:r>
      <w:r>
        <w:rPr/>
        <w:t>uso</w:t>
      </w:r>
      <w:r>
        <w:rPr>
          <w:spacing w:val="-6"/>
        </w:rPr>
        <w:t> </w:t>
      </w:r>
      <w:r>
        <w:rPr/>
        <w:t>de</w:t>
      </w:r>
      <w:r>
        <w:rPr>
          <w:spacing w:val="-6"/>
        </w:rPr>
        <w:t> </w:t>
      </w:r>
      <w:r>
        <w:rPr/>
        <w:t>suelo,</w:t>
      </w:r>
      <w:r>
        <w:rPr>
          <w:spacing w:val="-3"/>
        </w:rPr>
        <w:t> </w:t>
      </w:r>
      <w:r>
        <w:rPr/>
        <w:t>condiciona</w:t>
      </w:r>
      <w:r>
        <w:rPr>
          <w:spacing w:val="-4"/>
        </w:rPr>
        <w:t> </w:t>
      </w:r>
      <w:r>
        <w:rPr/>
        <w:t>la</w:t>
      </w:r>
      <w:r>
        <w:rPr>
          <w:spacing w:val="-4"/>
        </w:rPr>
        <w:t> </w:t>
      </w:r>
      <w:r>
        <w:rPr/>
        <w:t>expedición</w:t>
      </w:r>
      <w:r>
        <w:rPr>
          <w:spacing w:val="-4"/>
        </w:rPr>
        <w:t> </w:t>
      </w:r>
      <w:r>
        <w:rPr/>
        <w:t>de</w:t>
      </w:r>
      <w:r>
        <w:rPr>
          <w:spacing w:val="-4"/>
        </w:rPr>
        <w:t> </w:t>
      </w:r>
      <w:r>
        <w:rPr/>
        <w:t>autorizaciones,</w:t>
      </w:r>
      <w:r>
        <w:rPr>
          <w:spacing w:val="-5"/>
        </w:rPr>
        <w:t> </w:t>
      </w:r>
      <w:r>
        <w:rPr/>
        <w:t>permisos, licencias</w:t>
      </w:r>
      <w:r>
        <w:rPr>
          <w:spacing w:val="-10"/>
        </w:rPr>
        <w:t> </w:t>
      </w:r>
      <w:r>
        <w:rPr/>
        <w:t>o</w:t>
      </w:r>
      <w:r>
        <w:rPr>
          <w:spacing w:val="-11"/>
        </w:rPr>
        <w:t> </w:t>
      </w:r>
      <w:r>
        <w:rPr/>
        <w:t>concesiones</w:t>
      </w:r>
      <w:r>
        <w:rPr>
          <w:spacing w:val="-10"/>
        </w:rPr>
        <w:t> </w:t>
      </w:r>
      <w:r>
        <w:rPr/>
        <w:t>que</w:t>
      </w:r>
      <w:r>
        <w:rPr>
          <w:spacing w:val="-11"/>
        </w:rPr>
        <w:t> </w:t>
      </w:r>
      <w:r>
        <w:rPr/>
        <w:t>se</w:t>
      </w:r>
      <w:r>
        <w:rPr>
          <w:spacing w:val="-11"/>
        </w:rPr>
        <w:t> </w:t>
      </w:r>
      <w:r>
        <w:rPr/>
        <w:t>deriven</w:t>
      </w:r>
      <w:r>
        <w:rPr>
          <w:spacing w:val="-11"/>
        </w:rPr>
        <w:t> </w:t>
      </w:r>
      <w:r>
        <w:rPr/>
        <w:t>de</w:t>
      </w:r>
      <w:r>
        <w:rPr>
          <w:spacing w:val="-11"/>
        </w:rPr>
        <w:t> </w:t>
      </w:r>
      <w:r>
        <w:rPr/>
        <w:t>la</w:t>
      </w:r>
      <w:r>
        <w:rPr>
          <w:spacing w:val="-9"/>
        </w:rPr>
        <w:t> </w:t>
      </w:r>
      <w:r>
        <w:rPr/>
        <w:t>legislación</w:t>
      </w:r>
      <w:r>
        <w:rPr>
          <w:spacing w:val="-11"/>
        </w:rPr>
        <w:t> </w:t>
      </w:r>
      <w:r>
        <w:rPr/>
        <w:t>urbana</w:t>
      </w:r>
      <w:r>
        <w:rPr>
          <w:spacing w:val="-12"/>
        </w:rPr>
        <w:t> </w:t>
      </w:r>
      <w:r>
        <w:rPr/>
        <w:t>aplicable;</w:t>
      </w:r>
      <w:r>
        <w:rPr>
          <w:spacing w:val="-12"/>
        </w:rPr>
        <w:t> </w:t>
      </w:r>
      <w:r>
        <w:rPr/>
        <w:t>tales</w:t>
      </w:r>
      <w:r>
        <w:rPr>
          <w:spacing w:val="-10"/>
        </w:rPr>
        <w:t> </w:t>
      </w:r>
      <w:r>
        <w:rPr/>
        <w:t>como,</w:t>
      </w:r>
      <w:r>
        <w:rPr>
          <w:spacing w:val="-11"/>
        </w:rPr>
        <w:t> </w:t>
      </w:r>
      <w:r>
        <w:rPr/>
        <w:t>subdivisiones, fusiones,</w:t>
      </w:r>
      <w:r>
        <w:rPr>
          <w:spacing w:val="-14"/>
        </w:rPr>
        <w:t> </w:t>
      </w:r>
      <w:r>
        <w:rPr/>
        <w:t>relotificaciones,</w:t>
      </w:r>
      <w:r>
        <w:rPr>
          <w:spacing w:val="-14"/>
        </w:rPr>
        <w:t> </w:t>
      </w:r>
      <w:r>
        <w:rPr/>
        <w:t>cambio</w:t>
      </w:r>
      <w:r>
        <w:rPr>
          <w:spacing w:val="-14"/>
        </w:rPr>
        <w:t> </w:t>
      </w:r>
      <w:r>
        <w:rPr/>
        <w:t>de</w:t>
      </w:r>
      <w:r>
        <w:rPr>
          <w:spacing w:val="-14"/>
        </w:rPr>
        <w:t> </w:t>
      </w:r>
      <w:r>
        <w:rPr/>
        <w:t>intensidad</w:t>
      </w:r>
      <w:r>
        <w:rPr>
          <w:spacing w:val="-14"/>
        </w:rPr>
        <w:t> </w:t>
      </w:r>
      <w:r>
        <w:rPr/>
        <w:t>en</w:t>
      </w:r>
      <w:r>
        <w:rPr>
          <w:spacing w:val="-12"/>
        </w:rPr>
        <w:t> </w:t>
      </w:r>
      <w:r>
        <w:rPr/>
        <w:t>el</w:t>
      </w:r>
      <w:r>
        <w:rPr>
          <w:spacing w:val="-12"/>
        </w:rPr>
        <w:t> </w:t>
      </w:r>
      <w:r>
        <w:rPr/>
        <w:t>uso</w:t>
      </w:r>
      <w:r>
        <w:rPr>
          <w:spacing w:val="-14"/>
        </w:rPr>
        <w:t> </w:t>
      </w:r>
      <w:r>
        <w:rPr/>
        <w:t>habitacional</w:t>
      </w:r>
      <w:r>
        <w:rPr>
          <w:spacing w:val="-14"/>
        </w:rPr>
        <w:t> </w:t>
      </w:r>
      <w:r>
        <w:rPr/>
        <w:t>y</w:t>
      </w:r>
      <w:r>
        <w:rPr>
          <w:spacing w:val="-12"/>
        </w:rPr>
        <w:t> </w:t>
      </w:r>
      <w:r>
        <w:rPr/>
        <w:t>de</w:t>
      </w:r>
      <w:r>
        <w:rPr>
          <w:spacing w:val="-14"/>
        </w:rPr>
        <w:t> </w:t>
      </w:r>
      <w:r>
        <w:rPr/>
        <w:t>servicios,</w:t>
      </w:r>
      <w:r>
        <w:rPr>
          <w:spacing w:val="-14"/>
        </w:rPr>
        <w:t> </w:t>
      </w:r>
      <w:r>
        <w:rPr/>
        <w:t>construcciones, adaptaciones</w:t>
      </w:r>
      <w:r>
        <w:rPr>
          <w:spacing w:val="-9"/>
        </w:rPr>
        <w:t> </w:t>
      </w:r>
      <w:r>
        <w:rPr/>
        <w:t>de</w:t>
      </w:r>
      <w:r>
        <w:rPr>
          <w:spacing w:val="-11"/>
        </w:rPr>
        <w:t> </w:t>
      </w:r>
      <w:r>
        <w:rPr/>
        <w:t>obras,</w:t>
      </w:r>
      <w:r>
        <w:rPr>
          <w:spacing w:val="-10"/>
        </w:rPr>
        <w:t> </w:t>
      </w:r>
      <w:r>
        <w:rPr/>
        <w:t>funcionamiento</w:t>
      </w:r>
      <w:r>
        <w:rPr>
          <w:spacing w:val="-10"/>
        </w:rPr>
        <w:t> </w:t>
      </w:r>
      <w:r>
        <w:rPr/>
        <w:t>de</w:t>
      </w:r>
      <w:r>
        <w:rPr>
          <w:spacing w:val="-12"/>
        </w:rPr>
        <w:t> </w:t>
      </w:r>
      <w:r>
        <w:rPr/>
        <w:t>establecimientos</w:t>
      </w:r>
      <w:r>
        <w:rPr>
          <w:spacing w:val="-12"/>
        </w:rPr>
        <w:t> </w:t>
      </w:r>
      <w:r>
        <w:rPr/>
        <w:t>comerciales,</w:t>
      </w:r>
      <w:r>
        <w:rPr>
          <w:spacing w:val="-10"/>
        </w:rPr>
        <w:t> </w:t>
      </w:r>
      <w:r>
        <w:rPr/>
        <w:t>industriales</w:t>
      </w:r>
      <w:r>
        <w:rPr>
          <w:spacing w:val="-11"/>
        </w:rPr>
        <w:t> </w:t>
      </w:r>
      <w:r>
        <w:rPr/>
        <w:t>y</w:t>
      </w:r>
      <w:r>
        <w:rPr>
          <w:spacing w:val="-9"/>
        </w:rPr>
        <w:t> </w:t>
      </w:r>
      <w:r>
        <w:rPr/>
        <w:t>de</w:t>
      </w:r>
      <w:r>
        <w:rPr>
          <w:spacing w:val="-11"/>
        </w:rPr>
        <w:t> </w:t>
      </w:r>
      <w:r>
        <w:rPr/>
        <w:t>servicios, condominios, desarrollos inmobiliarios especiales y urbanizaciones.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4"/>
        <w:jc w:val="both"/>
      </w:pPr>
      <w:r>
        <w:rPr/>
        <w:t>La presentación de dicha licencia será necesaria para iniciar el trámite de las licencias de construcción</w:t>
      </w:r>
      <w:r>
        <w:rPr>
          <w:spacing w:val="-8"/>
        </w:rPr>
        <w:t> </w:t>
      </w:r>
      <w:r>
        <w:rPr/>
        <w:t>y</w:t>
      </w:r>
      <w:r>
        <w:rPr>
          <w:spacing w:val="-5"/>
        </w:rPr>
        <w:t> </w:t>
      </w:r>
      <w:r>
        <w:rPr/>
        <w:t>de</w:t>
      </w:r>
      <w:r>
        <w:rPr>
          <w:spacing w:val="-6"/>
        </w:rPr>
        <w:t> </w:t>
      </w:r>
      <w:r>
        <w:rPr/>
        <w:t>las</w:t>
      </w:r>
      <w:r>
        <w:rPr>
          <w:spacing w:val="-5"/>
        </w:rPr>
        <w:t> </w:t>
      </w:r>
      <w:r>
        <w:rPr/>
        <w:t>licencias</w:t>
      </w:r>
      <w:r>
        <w:rPr>
          <w:spacing w:val="-7"/>
        </w:rPr>
        <w:t> </w:t>
      </w:r>
      <w:r>
        <w:rPr/>
        <w:t>para</w:t>
      </w:r>
      <w:r>
        <w:rPr>
          <w:spacing w:val="-5"/>
        </w:rPr>
        <w:t> </w:t>
      </w:r>
      <w:r>
        <w:rPr/>
        <w:t>el</w:t>
      </w:r>
      <w:r>
        <w:rPr>
          <w:spacing w:val="-7"/>
        </w:rPr>
        <w:t> </w:t>
      </w:r>
      <w:r>
        <w:rPr/>
        <w:t>funcionamiento</w:t>
      </w:r>
      <w:r>
        <w:rPr>
          <w:spacing w:val="-5"/>
        </w:rPr>
        <w:t> </w:t>
      </w:r>
      <w:r>
        <w:rPr/>
        <w:t>de</w:t>
      </w:r>
      <w:r>
        <w:rPr>
          <w:spacing w:val="-8"/>
        </w:rPr>
        <w:t> </w:t>
      </w:r>
      <w:r>
        <w:rPr/>
        <w:t>establecimientos</w:t>
      </w:r>
      <w:r>
        <w:rPr>
          <w:spacing w:val="-6"/>
        </w:rPr>
        <w:t> </w:t>
      </w:r>
      <w:r>
        <w:rPr/>
        <w:t>comerciales,</w:t>
      </w:r>
      <w:r>
        <w:rPr>
          <w:spacing w:val="-5"/>
        </w:rPr>
        <w:t> </w:t>
      </w:r>
      <w:r>
        <w:rPr/>
        <w:t>industriales y de servicios, así como para la autorización de los fraccionamientos.</w:t>
      </w:r>
    </w:p>
    <w:p>
      <w:pPr>
        <w:pStyle w:val="BodyText"/>
        <w:spacing w:before="229"/>
      </w:pPr>
    </w:p>
    <w:p>
      <w:pPr>
        <w:pStyle w:val="Heading2"/>
        <w:spacing w:line="480" w:lineRule="auto" w:before="1"/>
        <w:ind w:left="3166" w:right="3159" w:firstLine="672"/>
        <w:jc w:val="left"/>
      </w:pPr>
      <w:r>
        <w:rPr/>
        <w:t>Sección Segunda Informes</w:t>
      </w:r>
      <w:r>
        <w:rPr>
          <w:spacing w:val="-8"/>
        </w:rPr>
        <w:t> </w:t>
      </w:r>
      <w:r>
        <w:rPr/>
        <w:t>Sobre</w:t>
      </w:r>
      <w:r>
        <w:rPr>
          <w:spacing w:val="-8"/>
        </w:rPr>
        <w:t> </w:t>
      </w:r>
      <w:r>
        <w:rPr/>
        <w:t>el</w:t>
      </w:r>
      <w:r>
        <w:rPr>
          <w:spacing w:val="-10"/>
        </w:rPr>
        <w:t> </w:t>
      </w:r>
      <w:r>
        <w:rPr/>
        <w:t>Uso</w:t>
      </w:r>
      <w:r>
        <w:rPr>
          <w:spacing w:val="-10"/>
        </w:rPr>
        <w:t> </w:t>
      </w:r>
      <w:r>
        <w:rPr/>
        <w:t>de</w:t>
      </w:r>
      <w:r>
        <w:rPr>
          <w:spacing w:val="-8"/>
        </w:rPr>
        <w:t> </w:t>
      </w:r>
      <w:r>
        <w:rPr/>
        <w:t>Suelo</w:t>
      </w:r>
    </w:p>
    <w:p>
      <w:pPr>
        <w:pStyle w:val="BodyText"/>
        <w:spacing w:before="1"/>
        <w:ind w:left="262" w:right="279"/>
        <w:jc w:val="both"/>
      </w:pPr>
      <w:r>
        <w:rPr>
          <w:rFonts w:ascii="Arial" w:hAnsi="Arial"/>
          <w:b/>
        </w:rPr>
        <w:t>ARTÍCULO</w:t>
      </w:r>
      <w:r>
        <w:rPr>
          <w:rFonts w:ascii="Arial" w:hAnsi="Arial"/>
          <w:b/>
          <w:spacing w:val="-1"/>
        </w:rPr>
        <w:t> </w:t>
      </w:r>
      <w:r>
        <w:rPr>
          <w:rFonts w:ascii="Arial" w:hAnsi="Arial"/>
          <w:b/>
        </w:rPr>
        <w:t>273. </w:t>
      </w:r>
      <w:r>
        <w:rPr/>
        <w:t>Los ayuntamientos expedirán informes</w:t>
      </w:r>
      <w:r>
        <w:rPr>
          <w:spacing w:val="-1"/>
        </w:rPr>
        <w:t> </w:t>
      </w:r>
      <w:r>
        <w:rPr/>
        <w:t>sobre el</w:t>
      </w:r>
      <w:r>
        <w:rPr>
          <w:spacing w:val="-1"/>
        </w:rPr>
        <w:t> </w:t>
      </w:r>
      <w:r>
        <w:rPr/>
        <w:t>uso de suelo a la persona</w:t>
      </w:r>
      <w:r>
        <w:rPr>
          <w:spacing w:val="-2"/>
        </w:rPr>
        <w:t> </w:t>
      </w:r>
      <w:r>
        <w:rPr/>
        <w:t>física</w:t>
      </w:r>
      <w:r>
        <w:rPr>
          <w:spacing w:val="-2"/>
        </w:rPr>
        <w:t> </w:t>
      </w:r>
      <w:r>
        <w:rPr/>
        <w:t>o moral,</w:t>
      </w:r>
      <w:r>
        <w:rPr>
          <w:spacing w:val="-11"/>
        </w:rPr>
        <w:t> </w:t>
      </w:r>
      <w:r>
        <w:rPr/>
        <w:t>pública</w:t>
      </w:r>
      <w:r>
        <w:rPr>
          <w:spacing w:val="-11"/>
        </w:rPr>
        <w:t> </w:t>
      </w:r>
      <w:r>
        <w:rPr/>
        <w:t>o</w:t>
      </w:r>
      <w:r>
        <w:rPr>
          <w:spacing w:val="-11"/>
        </w:rPr>
        <w:t> </w:t>
      </w:r>
      <w:r>
        <w:rPr/>
        <w:t>privada,</w:t>
      </w:r>
      <w:r>
        <w:rPr>
          <w:spacing w:val="-11"/>
        </w:rPr>
        <w:t> </w:t>
      </w:r>
      <w:r>
        <w:rPr/>
        <w:t>que</w:t>
      </w:r>
      <w:r>
        <w:rPr>
          <w:spacing w:val="-11"/>
        </w:rPr>
        <w:t> </w:t>
      </w:r>
      <w:r>
        <w:rPr/>
        <w:t>lo</w:t>
      </w:r>
      <w:r>
        <w:rPr>
          <w:spacing w:val="-11"/>
        </w:rPr>
        <w:t> </w:t>
      </w:r>
      <w:r>
        <w:rPr/>
        <w:t>solicite,</w:t>
      </w:r>
      <w:r>
        <w:rPr>
          <w:spacing w:val="-9"/>
        </w:rPr>
        <w:t> </w:t>
      </w:r>
      <w:r>
        <w:rPr/>
        <w:t>previo</w:t>
      </w:r>
      <w:r>
        <w:rPr>
          <w:spacing w:val="-11"/>
        </w:rPr>
        <w:t> </w:t>
      </w:r>
      <w:r>
        <w:rPr/>
        <w:t>a</w:t>
      </w:r>
      <w:r>
        <w:rPr>
          <w:spacing w:val="-11"/>
        </w:rPr>
        <w:t> </w:t>
      </w:r>
      <w:r>
        <w:rPr/>
        <w:t>la</w:t>
      </w:r>
      <w:r>
        <w:rPr>
          <w:spacing w:val="-11"/>
        </w:rPr>
        <w:t> </w:t>
      </w:r>
      <w:r>
        <w:rPr/>
        <w:t>presentación</w:t>
      </w:r>
      <w:r>
        <w:rPr>
          <w:spacing w:val="-12"/>
        </w:rPr>
        <w:t> </w:t>
      </w:r>
      <w:r>
        <w:rPr/>
        <w:t>de</w:t>
      </w:r>
      <w:r>
        <w:rPr>
          <w:spacing w:val="-9"/>
        </w:rPr>
        <w:t> </w:t>
      </w:r>
      <w:r>
        <w:rPr/>
        <w:t>la</w:t>
      </w:r>
      <w:r>
        <w:rPr>
          <w:spacing w:val="-11"/>
        </w:rPr>
        <w:t> </w:t>
      </w:r>
      <w:r>
        <w:rPr/>
        <w:t>solicitud</w:t>
      </w:r>
      <w:r>
        <w:rPr>
          <w:spacing w:val="-11"/>
        </w:rPr>
        <w:t> </w:t>
      </w:r>
      <w:r>
        <w:rPr/>
        <w:t>de</w:t>
      </w:r>
      <w:r>
        <w:rPr>
          <w:spacing w:val="-12"/>
        </w:rPr>
        <w:t> </w:t>
      </w:r>
      <w:r>
        <w:rPr/>
        <w:t>la</w:t>
      </w:r>
      <w:r>
        <w:rPr>
          <w:spacing w:val="-11"/>
        </w:rPr>
        <w:t> </w:t>
      </w:r>
      <w:r>
        <w:rPr/>
        <w:t>misma,</w:t>
      </w:r>
      <w:r>
        <w:rPr>
          <w:spacing w:val="-11"/>
        </w:rPr>
        <w:t> </w:t>
      </w:r>
      <w:r>
        <w:rPr/>
        <w:t>respecto al inmueble o inmuebles que serán objeto de ésta, a fin de dar a conocer las restricciones, características o afectaciones, las vialidades primarias con que debe contar un área, lote o predio, conforme a la legislación y programas de ordenamiento territorial y desarrollo urbano.</w:t>
      </w:r>
    </w:p>
    <w:p>
      <w:pPr>
        <w:pStyle w:val="BodyText"/>
        <w:spacing w:before="1"/>
      </w:pPr>
    </w:p>
    <w:p>
      <w:pPr>
        <w:pStyle w:val="BodyText"/>
        <w:ind w:left="262" w:right="279"/>
        <w:jc w:val="both"/>
      </w:pPr>
      <w:r>
        <w:rPr/>
        <w:t>Los informes que señala el párrafo anterior, tendrán una vigencia de un año contado a partir de la fecha</w:t>
      </w:r>
      <w:r>
        <w:rPr>
          <w:spacing w:val="-8"/>
        </w:rPr>
        <w:t> </w:t>
      </w:r>
      <w:r>
        <w:rPr/>
        <w:t>de</w:t>
      </w:r>
      <w:r>
        <w:rPr>
          <w:spacing w:val="-8"/>
        </w:rPr>
        <w:t> </w:t>
      </w:r>
      <w:r>
        <w:rPr/>
        <w:t>su</w:t>
      </w:r>
      <w:r>
        <w:rPr>
          <w:spacing w:val="-8"/>
        </w:rPr>
        <w:t> </w:t>
      </w:r>
      <w:r>
        <w:rPr/>
        <w:t>expedición,</w:t>
      </w:r>
      <w:r>
        <w:rPr>
          <w:spacing w:val="-5"/>
        </w:rPr>
        <w:t> </w:t>
      </w:r>
      <w:r>
        <w:rPr/>
        <w:t>a</w:t>
      </w:r>
      <w:r>
        <w:rPr>
          <w:spacing w:val="-8"/>
        </w:rPr>
        <w:t> </w:t>
      </w:r>
      <w:r>
        <w:rPr/>
        <w:t>efecto</w:t>
      </w:r>
      <w:r>
        <w:rPr>
          <w:spacing w:val="-8"/>
        </w:rPr>
        <w:t> </w:t>
      </w:r>
      <w:r>
        <w:rPr/>
        <w:t>de</w:t>
      </w:r>
      <w:r>
        <w:rPr>
          <w:spacing w:val="-6"/>
        </w:rPr>
        <w:t> </w:t>
      </w:r>
      <w:r>
        <w:rPr/>
        <w:t>que</w:t>
      </w:r>
      <w:r>
        <w:rPr>
          <w:spacing w:val="-6"/>
        </w:rPr>
        <w:t> </w:t>
      </w:r>
      <w:r>
        <w:rPr/>
        <w:t>en</w:t>
      </w:r>
      <w:r>
        <w:rPr>
          <w:spacing w:val="-8"/>
        </w:rPr>
        <w:t> </w:t>
      </w:r>
      <w:r>
        <w:rPr/>
        <w:t>su</w:t>
      </w:r>
      <w:r>
        <w:rPr>
          <w:spacing w:val="-8"/>
        </w:rPr>
        <w:t> </w:t>
      </w:r>
      <w:r>
        <w:rPr/>
        <w:t>caso,</w:t>
      </w:r>
      <w:r>
        <w:rPr>
          <w:spacing w:val="-8"/>
        </w:rPr>
        <w:t> </w:t>
      </w:r>
      <w:r>
        <w:rPr/>
        <w:t>sea</w:t>
      </w:r>
      <w:r>
        <w:rPr>
          <w:spacing w:val="-8"/>
        </w:rPr>
        <w:t> </w:t>
      </w:r>
      <w:r>
        <w:rPr/>
        <w:t>expedida</w:t>
      </w:r>
      <w:r>
        <w:rPr>
          <w:spacing w:val="-8"/>
        </w:rPr>
        <w:t> </w:t>
      </w:r>
      <w:r>
        <w:rPr/>
        <w:t>la</w:t>
      </w:r>
      <w:r>
        <w:rPr>
          <w:spacing w:val="-8"/>
        </w:rPr>
        <w:t> </w:t>
      </w:r>
      <w:r>
        <w:rPr/>
        <w:t>licencia</w:t>
      </w:r>
      <w:r>
        <w:rPr>
          <w:spacing w:val="-6"/>
        </w:rPr>
        <w:t> </w:t>
      </w:r>
      <w:r>
        <w:rPr/>
        <w:t>de</w:t>
      </w:r>
      <w:r>
        <w:rPr>
          <w:spacing w:val="-8"/>
        </w:rPr>
        <w:t> </w:t>
      </w:r>
      <w:r>
        <w:rPr/>
        <w:t>uso</w:t>
      </w:r>
      <w:r>
        <w:rPr>
          <w:spacing w:val="-8"/>
        </w:rPr>
        <w:t> </w:t>
      </w:r>
      <w:r>
        <w:rPr/>
        <w:t>de</w:t>
      </w:r>
      <w:r>
        <w:rPr>
          <w:spacing w:val="-8"/>
        </w:rPr>
        <w:t> </w:t>
      </w:r>
      <w:r>
        <w:rPr/>
        <w:t>suelo,</w:t>
      </w:r>
      <w:r>
        <w:rPr>
          <w:spacing w:val="-6"/>
        </w:rPr>
        <w:t> </w:t>
      </w:r>
      <w:r>
        <w:rPr/>
        <w:t>previo el cumplimiento de los requisitos que se establecen en esta Ley y demás disposiciones jurídicas aplicables. Los informes darán pauta para realizar trámites de factibilidad de servicios, fraccionamiento, condominio, desarrollos inmobiliarios especiales, relotificación, cambio de intensidad</w:t>
      </w:r>
      <w:r>
        <w:rPr>
          <w:spacing w:val="-2"/>
        </w:rPr>
        <w:t> </w:t>
      </w:r>
      <w:r>
        <w:rPr/>
        <w:t>en</w:t>
      </w:r>
      <w:r>
        <w:rPr>
          <w:spacing w:val="-4"/>
        </w:rPr>
        <w:t> </w:t>
      </w:r>
      <w:r>
        <w:rPr/>
        <w:t>el</w:t>
      </w:r>
      <w:r>
        <w:rPr>
          <w:spacing w:val="-2"/>
        </w:rPr>
        <w:t> </w:t>
      </w:r>
      <w:r>
        <w:rPr/>
        <w:t>uso</w:t>
      </w:r>
      <w:r>
        <w:rPr>
          <w:spacing w:val="-3"/>
        </w:rPr>
        <w:t> </w:t>
      </w:r>
      <w:r>
        <w:rPr/>
        <w:t>habitacional,</w:t>
      </w:r>
      <w:r>
        <w:rPr>
          <w:spacing w:val="-3"/>
        </w:rPr>
        <w:t> </w:t>
      </w:r>
      <w:r>
        <w:rPr/>
        <w:t>fusión</w:t>
      </w:r>
      <w:r>
        <w:rPr>
          <w:spacing w:val="-3"/>
        </w:rPr>
        <w:t> </w:t>
      </w:r>
      <w:r>
        <w:rPr/>
        <w:t>o</w:t>
      </w:r>
      <w:r>
        <w:rPr>
          <w:spacing w:val="-4"/>
        </w:rPr>
        <w:t> </w:t>
      </w:r>
      <w:r>
        <w:rPr/>
        <w:t>subdivisión</w:t>
      </w:r>
      <w:r>
        <w:rPr>
          <w:spacing w:val="-1"/>
        </w:rPr>
        <w:t> </w:t>
      </w:r>
      <w:r>
        <w:rPr/>
        <w:t>de</w:t>
      </w:r>
      <w:r>
        <w:rPr>
          <w:spacing w:val="-4"/>
        </w:rPr>
        <w:t> </w:t>
      </w:r>
      <w:r>
        <w:rPr/>
        <w:t>áreas</w:t>
      </w:r>
      <w:r>
        <w:rPr>
          <w:spacing w:val="-2"/>
        </w:rPr>
        <w:t> </w:t>
      </w:r>
      <w:r>
        <w:rPr/>
        <w:t>y</w:t>
      </w:r>
      <w:r>
        <w:rPr>
          <w:spacing w:val="-2"/>
        </w:rPr>
        <w:t> </w:t>
      </w:r>
      <w:r>
        <w:rPr/>
        <w:t>predios;</w:t>
      </w:r>
      <w:r>
        <w:rPr>
          <w:spacing w:val="-1"/>
        </w:rPr>
        <w:t> </w:t>
      </w:r>
      <w:r>
        <w:rPr/>
        <w:t>así</w:t>
      </w:r>
      <w:r>
        <w:rPr>
          <w:spacing w:val="-3"/>
        </w:rPr>
        <w:t> </w:t>
      </w:r>
      <w:r>
        <w:rPr/>
        <w:t>como,</w:t>
      </w:r>
      <w:r>
        <w:rPr>
          <w:spacing w:val="-3"/>
        </w:rPr>
        <w:t> </w:t>
      </w:r>
      <w:r>
        <w:rPr/>
        <w:t>de</w:t>
      </w:r>
      <w:r>
        <w:rPr>
          <w:spacing w:val="-1"/>
        </w:rPr>
        <w:t> </w:t>
      </w:r>
      <w:r>
        <w:rPr/>
        <w:t>licencias</w:t>
      </w:r>
      <w:r>
        <w:rPr>
          <w:spacing w:val="-2"/>
        </w:rPr>
        <w:t> </w:t>
      </w:r>
      <w:r>
        <w:rPr/>
        <w:t>de construcción, funcionamiento u otras análogas.</w:t>
      </w:r>
    </w:p>
    <w:p>
      <w:pPr>
        <w:pStyle w:val="BodyText"/>
        <w:spacing w:before="229"/>
        <w:ind w:left="262" w:right="285"/>
        <w:jc w:val="both"/>
      </w:pPr>
      <w:r>
        <w:rPr/>
        <w:t>En</w:t>
      </w:r>
      <w:r>
        <w:rPr>
          <w:spacing w:val="-3"/>
        </w:rPr>
        <w:t> </w:t>
      </w:r>
      <w:r>
        <w:rPr/>
        <w:t>los</w:t>
      </w:r>
      <w:r>
        <w:rPr>
          <w:spacing w:val="-4"/>
        </w:rPr>
        <w:t> </w:t>
      </w:r>
      <w:r>
        <w:rPr/>
        <w:t>ayuntamientos</w:t>
      </w:r>
      <w:r>
        <w:rPr>
          <w:spacing w:val="-2"/>
        </w:rPr>
        <w:t> </w:t>
      </w:r>
      <w:r>
        <w:rPr/>
        <w:t>que</w:t>
      </w:r>
      <w:r>
        <w:rPr>
          <w:spacing w:val="-1"/>
        </w:rPr>
        <w:t> </w:t>
      </w:r>
      <w:r>
        <w:rPr/>
        <w:t>cuenten</w:t>
      </w:r>
      <w:r>
        <w:rPr>
          <w:spacing w:val="-5"/>
        </w:rPr>
        <w:t> </w:t>
      </w:r>
      <w:r>
        <w:rPr/>
        <w:t>con</w:t>
      </w:r>
      <w:r>
        <w:rPr>
          <w:spacing w:val="-4"/>
        </w:rPr>
        <w:t> </w:t>
      </w:r>
      <w:r>
        <w:rPr/>
        <w:t>el</w:t>
      </w:r>
      <w:r>
        <w:rPr>
          <w:spacing w:val="-4"/>
        </w:rPr>
        <w:t> </w:t>
      </w:r>
      <w:r>
        <w:rPr/>
        <w:t>SITU</w:t>
      </w:r>
      <w:r>
        <w:rPr>
          <w:spacing w:val="-2"/>
        </w:rPr>
        <w:t> </w:t>
      </w:r>
      <w:r>
        <w:rPr/>
        <w:t>y</w:t>
      </w:r>
      <w:r>
        <w:rPr>
          <w:spacing w:val="-4"/>
        </w:rPr>
        <w:t> </w:t>
      </w:r>
      <w:r>
        <w:rPr/>
        <w:t>firma</w:t>
      </w:r>
      <w:r>
        <w:rPr>
          <w:spacing w:val="-5"/>
        </w:rPr>
        <w:t> </w:t>
      </w:r>
      <w:r>
        <w:rPr/>
        <w:t>electrónica,</w:t>
      </w:r>
      <w:r>
        <w:rPr>
          <w:spacing w:val="-3"/>
        </w:rPr>
        <w:t> </w:t>
      </w:r>
      <w:r>
        <w:rPr/>
        <w:t>los</w:t>
      </w:r>
      <w:r>
        <w:rPr>
          <w:spacing w:val="-4"/>
        </w:rPr>
        <w:t> </w:t>
      </w:r>
      <w:r>
        <w:rPr/>
        <w:t>informes</w:t>
      </w:r>
      <w:r>
        <w:rPr>
          <w:spacing w:val="-2"/>
        </w:rPr>
        <w:t> </w:t>
      </w:r>
      <w:r>
        <w:rPr/>
        <w:t>podrán</w:t>
      </w:r>
      <w:r>
        <w:rPr>
          <w:spacing w:val="-5"/>
        </w:rPr>
        <w:t> </w:t>
      </w:r>
      <w:r>
        <w:rPr/>
        <w:t>solicitarse</w:t>
      </w:r>
      <w:r>
        <w:rPr>
          <w:spacing w:val="-3"/>
        </w:rPr>
        <w:t> </w:t>
      </w:r>
      <w:r>
        <w:rPr/>
        <w:t>y expedirse vía electrónica.</w:t>
      </w:r>
    </w:p>
    <w:p>
      <w:pPr>
        <w:pStyle w:val="BodyText"/>
        <w:spacing w:before="1"/>
      </w:pPr>
    </w:p>
    <w:p>
      <w:pPr>
        <w:pStyle w:val="BodyText"/>
        <w:ind w:left="262" w:right="278"/>
        <w:jc w:val="both"/>
      </w:pPr>
      <w:r>
        <w:rPr>
          <w:rFonts w:ascii="Arial" w:hAnsi="Arial"/>
          <w:b/>
        </w:rPr>
        <w:t>ARTÍCULO 274. </w:t>
      </w:r>
      <w:r>
        <w:rPr/>
        <w:t>Los ayuntamientos por conducto de la Dirección Municipal correspondiente, propiciarán</w:t>
      </w:r>
      <w:r>
        <w:rPr>
          <w:spacing w:val="-5"/>
        </w:rPr>
        <w:t> </w:t>
      </w:r>
      <w:r>
        <w:rPr/>
        <w:t>mecanismos</w:t>
      </w:r>
      <w:r>
        <w:rPr>
          <w:spacing w:val="-6"/>
        </w:rPr>
        <w:t> </w:t>
      </w:r>
      <w:r>
        <w:rPr/>
        <w:t>de</w:t>
      </w:r>
      <w:r>
        <w:rPr>
          <w:spacing w:val="-6"/>
        </w:rPr>
        <w:t> </w:t>
      </w:r>
      <w:r>
        <w:rPr/>
        <w:t>coordinación</w:t>
      </w:r>
      <w:r>
        <w:rPr>
          <w:spacing w:val="-6"/>
        </w:rPr>
        <w:t> </w:t>
      </w:r>
      <w:r>
        <w:rPr/>
        <w:t>entre</w:t>
      </w:r>
      <w:r>
        <w:rPr>
          <w:spacing w:val="-6"/>
        </w:rPr>
        <w:t> </w:t>
      </w:r>
      <w:r>
        <w:rPr/>
        <w:t>las</w:t>
      </w:r>
      <w:r>
        <w:rPr>
          <w:spacing w:val="-6"/>
        </w:rPr>
        <w:t> </w:t>
      </w:r>
      <w:r>
        <w:rPr/>
        <w:t>dependencias</w:t>
      </w:r>
      <w:r>
        <w:rPr>
          <w:spacing w:val="-6"/>
        </w:rPr>
        <w:t> </w:t>
      </w:r>
      <w:r>
        <w:rPr/>
        <w:t>y</w:t>
      </w:r>
      <w:r>
        <w:rPr>
          <w:spacing w:val="-4"/>
        </w:rPr>
        <w:t> </w:t>
      </w:r>
      <w:r>
        <w:rPr/>
        <w:t>entidades</w:t>
      </w:r>
      <w:r>
        <w:rPr>
          <w:spacing w:val="40"/>
        </w:rPr>
        <w:t> </w:t>
      </w:r>
      <w:r>
        <w:rPr/>
        <w:t>federales,</w:t>
      </w:r>
      <w:r>
        <w:rPr>
          <w:spacing w:val="-5"/>
        </w:rPr>
        <w:t> </w:t>
      </w:r>
      <w:r>
        <w:rPr/>
        <w:t>estatales</w:t>
      </w:r>
      <w:r>
        <w:rPr>
          <w:spacing w:val="-6"/>
        </w:rPr>
        <w:t> </w:t>
      </w:r>
      <w:r>
        <w:rPr/>
        <w:t>y municipales a efecto de que las licencias de uso de suelo proporcionen la información oportuna y adecuada, que les permita a los fraccionadores, promotores y solicitantes contar con mayores elementos, criterios o lineamientos urbanos para el diseño, contenido y alcance de sus proyectos.</w:t>
      </w:r>
    </w:p>
    <w:p>
      <w:pPr>
        <w:pStyle w:val="BodyText"/>
      </w:pPr>
    </w:p>
    <w:p>
      <w:pPr>
        <w:pStyle w:val="BodyText"/>
        <w:spacing w:before="1"/>
      </w:pPr>
    </w:p>
    <w:p>
      <w:pPr>
        <w:pStyle w:val="Heading2"/>
      </w:pPr>
      <w:r>
        <w:rPr/>
        <w:t>Sección</w:t>
      </w:r>
      <w:r>
        <w:rPr>
          <w:spacing w:val="-9"/>
        </w:rPr>
        <w:t> </w:t>
      </w:r>
      <w:r>
        <w:rPr>
          <w:spacing w:val="-2"/>
        </w:rPr>
        <w:t>Tercera</w:t>
      </w:r>
    </w:p>
    <w:p>
      <w:pPr>
        <w:spacing w:before="228"/>
        <w:ind w:left="1070" w:right="0" w:firstLine="0"/>
        <w:jc w:val="left"/>
        <w:rPr>
          <w:rFonts w:ascii="Arial"/>
          <w:b/>
          <w:sz w:val="20"/>
        </w:rPr>
      </w:pPr>
      <w:r>
        <w:rPr>
          <w:rFonts w:ascii="Arial"/>
          <w:b/>
          <w:sz w:val="20"/>
        </w:rPr>
        <w:t>Obligados</w:t>
      </w:r>
      <w:r>
        <w:rPr>
          <w:rFonts w:ascii="Arial"/>
          <w:b/>
          <w:spacing w:val="-7"/>
          <w:sz w:val="20"/>
        </w:rPr>
        <w:t> </w:t>
      </w:r>
      <w:r>
        <w:rPr>
          <w:rFonts w:ascii="Arial"/>
          <w:b/>
          <w:sz w:val="20"/>
        </w:rPr>
        <w:t>a</w:t>
      </w:r>
      <w:r>
        <w:rPr>
          <w:rFonts w:ascii="Arial"/>
          <w:b/>
          <w:spacing w:val="-7"/>
          <w:sz w:val="20"/>
        </w:rPr>
        <w:t> </w:t>
      </w:r>
      <w:r>
        <w:rPr>
          <w:rFonts w:ascii="Arial"/>
          <w:b/>
          <w:sz w:val="20"/>
        </w:rPr>
        <w:t>Obtener</w:t>
      </w:r>
      <w:r>
        <w:rPr>
          <w:rFonts w:ascii="Arial"/>
          <w:b/>
          <w:spacing w:val="-7"/>
          <w:sz w:val="20"/>
        </w:rPr>
        <w:t> </w:t>
      </w:r>
      <w:r>
        <w:rPr>
          <w:rFonts w:ascii="Arial"/>
          <w:b/>
          <w:sz w:val="20"/>
        </w:rPr>
        <w:t>Licencia</w:t>
      </w:r>
      <w:r>
        <w:rPr>
          <w:rFonts w:ascii="Arial"/>
          <w:b/>
          <w:spacing w:val="-7"/>
          <w:sz w:val="20"/>
        </w:rPr>
        <w:t> </w:t>
      </w:r>
      <w:r>
        <w:rPr>
          <w:rFonts w:ascii="Arial"/>
          <w:b/>
          <w:sz w:val="20"/>
        </w:rPr>
        <w:t>de</w:t>
      </w:r>
      <w:r>
        <w:rPr>
          <w:rFonts w:ascii="Arial"/>
          <w:b/>
          <w:spacing w:val="-4"/>
          <w:sz w:val="20"/>
        </w:rPr>
        <w:t> </w:t>
      </w:r>
      <w:r>
        <w:rPr>
          <w:rFonts w:ascii="Arial"/>
          <w:b/>
          <w:sz w:val="20"/>
        </w:rPr>
        <w:t>Uso</w:t>
      </w:r>
      <w:r>
        <w:rPr>
          <w:rFonts w:ascii="Arial"/>
          <w:b/>
          <w:spacing w:val="-7"/>
          <w:sz w:val="20"/>
        </w:rPr>
        <w:t> </w:t>
      </w:r>
      <w:r>
        <w:rPr>
          <w:rFonts w:ascii="Arial"/>
          <w:b/>
          <w:sz w:val="20"/>
        </w:rPr>
        <w:t>de</w:t>
      </w:r>
      <w:r>
        <w:rPr>
          <w:rFonts w:ascii="Arial"/>
          <w:b/>
          <w:spacing w:val="-4"/>
          <w:sz w:val="20"/>
        </w:rPr>
        <w:t> </w:t>
      </w:r>
      <w:r>
        <w:rPr>
          <w:rFonts w:ascii="Arial"/>
          <w:b/>
          <w:sz w:val="20"/>
        </w:rPr>
        <w:t>Suelo,</w:t>
      </w:r>
      <w:r>
        <w:rPr>
          <w:rFonts w:ascii="Arial"/>
          <w:b/>
          <w:spacing w:val="-4"/>
          <w:sz w:val="20"/>
        </w:rPr>
        <w:t> </w:t>
      </w:r>
      <w:r>
        <w:rPr>
          <w:rFonts w:ascii="Arial"/>
          <w:b/>
          <w:sz w:val="20"/>
        </w:rPr>
        <w:t>y</w:t>
      </w:r>
      <w:r>
        <w:rPr>
          <w:rFonts w:ascii="Arial"/>
          <w:b/>
          <w:spacing w:val="-7"/>
          <w:sz w:val="20"/>
        </w:rPr>
        <w:t> </w:t>
      </w:r>
      <w:r>
        <w:rPr>
          <w:rFonts w:ascii="Arial"/>
          <w:b/>
          <w:sz w:val="20"/>
        </w:rPr>
        <w:t>Requisitos</w:t>
      </w:r>
      <w:r>
        <w:rPr>
          <w:rFonts w:ascii="Arial"/>
          <w:b/>
          <w:spacing w:val="-7"/>
          <w:sz w:val="20"/>
        </w:rPr>
        <w:t> </w:t>
      </w:r>
      <w:r>
        <w:rPr>
          <w:rFonts w:ascii="Arial"/>
          <w:b/>
          <w:sz w:val="20"/>
        </w:rPr>
        <w:t>para</w:t>
      </w:r>
      <w:r>
        <w:rPr>
          <w:rFonts w:ascii="Arial"/>
          <w:b/>
          <w:spacing w:val="-6"/>
          <w:sz w:val="20"/>
        </w:rPr>
        <w:t> </w:t>
      </w:r>
      <w:r>
        <w:rPr>
          <w:rFonts w:ascii="Arial"/>
          <w:b/>
          <w:spacing w:val="-2"/>
          <w:sz w:val="20"/>
        </w:rPr>
        <w:t>Obtenerla</w:t>
      </w:r>
    </w:p>
    <w:p>
      <w:pPr>
        <w:pStyle w:val="BodyText"/>
        <w:spacing w:before="1"/>
        <w:rPr>
          <w:rFonts w:ascii="Arial"/>
          <w:b/>
        </w:rPr>
      </w:pPr>
    </w:p>
    <w:p>
      <w:pPr>
        <w:pStyle w:val="BodyText"/>
        <w:ind w:left="262" w:right="278"/>
        <w:jc w:val="both"/>
      </w:pPr>
      <w:r>
        <w:rPr>
          <w:rFonts w:ascii="Arial" w:hAnsi="Arial"/>
          <w:b/>
        </w:rPr>
        <w:t>ARTÍCULO 275. </w:t>
      </w:r>
      <w:r>
        <w:rPr/>
        <w:t>Todas las obras, acciones, servicios e inversiones en materia de ordenamiento territorial, desarrollo urbano y vivienda, que se realicen en territorio del Estado, sean públicas o privadas, para su desarrollo deberán contar con la correspondiente licencia de uso de suelo que deberá gestionarse acorde a lo dispuesto en los programas de desarrollo territorial y desarrollo urbano, esta Ley, su reglamentación y demás normatividad aplicable. Sin este requisito, no se otorgará permiso, autorización, licencia o concesión para efectuarlas, prestarlas o realizarlas.</w:t>
      </w:r>
    </w:p>
    <w:p>
      <w:pPr>
        <w:pStyle w:val="BodyText"/>
        <w:spacing w:before="1"/>
      </w:pPr>
    </w:p>
    <w:p>
      <w:pPr>
        <w:pStyle w:val="BodyText"/>
        <w:ind w:left="262" w:right="286"/>
        <w:jc w:val="both"/>
      </w:pPr>
      <w:r>
        <w:rPr>
          <w:rFonts w:ascii="Arial" w:hAnsi="Arial"/>
          <w:b/>
        </w:rPr>
        <w:t>ARTÍCULO 276. </w:t>
      </w:r>
      <w:r>
        <w:rPr/>
        <w:t>El interesado en obtener una licencia de uso de suelo deberá cumplir con los siguientes requisitos, presentando ante la dirección municipal respectiva lo siguiente:</w:t>
      </w:r>
    </w:p>
    <w:p>
      <w:pPr>
        <w:pStyle w:val="ListParagraph"/>
        <w:numPr>
          <w:ilvl w:val="0"/>
          <w:numId w:val="103"/>
        </w:numPr>
        <w:tabs>
          <w:tab w:pos="689" w:val="left" w:leader="none"/>
        </w:tabs>
        <w:spacing w:line="240" w:lineRule="auto" w:before="229" w:after="0"/>
        <w:ind w:left="262" w:right="284" w:firstLine="0"/>
        <w:jc w:val="left"/>
        <w:rPr>
          <w:sz w:val="20"/>
        </w:rPr>
      </w:pPr>
      <w:r>
        <w:rPr>
          <w:sz w:val="20"/>
        </w:rPr>
        <w:t>Solicitud</w:t>
      </w:r>
      <w:r>
        <w:rPr>
          <w:spacing w:val="-5"/>
          <w:sz w:val="20"/>
        </w:rPr>
        <w:t> </w:t>
      </w:r>
      <w:r>
        <w:rPr>
          <w:sz w:val="20"/>
        </w:rPr>
        <w:t>en</w:t>
      </w:r>
      <w:r>
        <w:rPr>
          <w:spacing w:val="-5"/>
          <w:sz w:val="20"/>
        </w:rPr>
        <w:t> </w:t>
      </w:r>
      <w:r>
        <w:rPr>
          <w:sz w:val="20"/>
        </w:rPr>
        <w:t>la</w:t>
      </w:r>
      <w:r>
        <w:rPr>
          <w:spacing w:val="-5"/>
          <w:sz w:val="20"/>
        </w:rPr>
        <w:t> </w:t>
      </w:r>
      <w:r>
        <w:rPr>
          <w:sz w:val="20"/>
        </w:rPr>
        <w:t>que</w:t>
      </w:r>
      <w:r>
        <w:rPr>
          <w:spacing w:val="-6"/>
          <w:sz w:val="20"/>
        </w:rPr>
        <w:t> </w:t>
      </w:r>
      <w:r>
        <w:rPr>
          <w:sz w:val="20"/>
        </w:rPr>
        <w:t>se</w:t>
      </w:r>
      <w:r>
        <w:rPr>
          <w:spacing w:val="-4"/>
          <w:sz w:val="20"/>
        </w:rPr>
        <w:t> </w:t>
      </w:r>
      <w:r>
        <w:rPr>
          <w:sz w:val="20"/>
        </w:rPr>
        <w:t>especifique</w:t>
      </w:r>
      <w:r>
        <w:rPr>
          <w:spacing w:val="-5"/>
          <w:sz w:val="20"/>
        </w:rPr>
        <w:t> </w:t>
      </w:r>
      <w:r>
        <w:rPr>
          <w:sz w:val="20"/>
        </w:rPr>
        <w:t>el</w:t>
      </w:r>
      <w:r>
        <w:rPr>
          <w:spacing w:val="-5"/>
          <w:sz w:val="20"/>
        </w:rPr>
        <w:t> </w:t>
      </w:r>
      <w:r>
        <w:rPr>
          <w:sz w:val="20"/>
        </w:rPr>
        <w:t>uso</w:t>
      </w:r>
      <w:r>
        <w:rPr>
          <w:spacing w:val="-6"/>
          <w:sz w:val="20"/>
        </w:rPr>
        <w:t> </w:t>
      </w:r>
      <w:r>
        <w:rPr>
          <w:sz w:val="20"/>
        </w:rPr>
        <w:t>y</w:t>
      </w:r>
      <w:r>
        <w:rPr>
          <w:spacing w:val="-3"/>
          <w:sz w:val="20"/>
        </w:rPr>
        <w:t> </w:t>
      </w:r>
      <w:r>
        <w:rPr>
          <w:sz w:val="20"/>
        </w:rPr>
        <w:t>destino</w:t>
      </w:r>
      <w:r>
        <w:rPr>
          <w:spacing w:val="-5"/>
          <w:sz w:val="20"/>
        </w:rPr>
        <w:t> </w:t>
      </w:r>
      <w:r>
        <w:rPr>
          <w:sz w:val="20"/>
        </w:rPr>
        <w:t>que</w:t>
      </w:r>
      <w:r>
        <w:rPr>
          <w:spacing w:val="-5"/>
          <w:sz w:val="20"/>
        </w:rPr>
        <w:t> </w:t>
      </w:r>
      <w:r>
        <w:rPr>
          <w:sz w:val="20"/>
        </w:rPr>
        <w:t>se</w:t>
      </w:r>
      <w:r>
        <w:rPr>
          <w:spacing w:val="-6"/>
          <w:sz w:val="20"/>
        </w:rPr>
        <w:t> </w:t>
      </w:r>
      <w:r>
        <w:rPr>
          <w:sz w:val="20"/>
        </w:rPr>
        <w:t>pretende</w:t>
      </w:r>
      <w:r>
        <w:rPr>
          <w:spacing w:val="-6"/>
          <w:sz w:val="20"/>
        </w:rPr>
        <w:t> </w:t>
      </w:r>
      <w:r>
        <w:rPr>
          <w:sz w:val="20"/>
        </w:rPr>
        <w:t>dar</w:t>
      </w:r>
      <w:r>
        <w:rPr>
          <w:spacing w:val="-5"/>
          <w:sz w:val="20"/>
        </w:rPr>
        <w:t> </w:t>
      </w:r>
      <w:r>
        <w:rPr>
          <w:sz w:val="20"/>
        </w:rPr>
        <w:t>al</w:t>
      </w:r>
      <w:r>
        <w:rPr>
          <w:spacing w:val="-5"/>
          <w:sz w:val="20"/>
        </w:rPr>
        <w:t> </w:t>
      </w:r>
      <w:r>
        <w:rPr>
          <w:sz w:val="20"/>
        </w:rPr>
        <w:t>inmueble</w:t>
      </w:r>
      <w:r>
        <w:rPr>
          <w:spacing w:val="-6"/>
          <w:sz w:val="20"/>
        </w:rPr>
        <w:t> </w:t>
      </w:r>
      <w:r>
        <w:rPr>
          <w:sz w:val="20"/>
        </w:rPr>
        <w:t>objeto</w:t>
      </w:r>
      <w:r>
        <w:rPr>
          <w:spacing w:val="-6"/>
          <w:sz w:val="20"/>
        </w:rPr>
        <w:t> </w:t>
      </w:r>
      <w:r>
        <w:rPr>
          <w:sz w:val="20"/>
        </w:rPr>
        <w:t>de</w:t>
      </w:r>
      <w:r>
        <w:rPr>
          <w:spacing w:val="-4"/>
          <w:sz w:val="20"/>
        </w:rPr>
        <w:t> </w:t>
      </w:r>
      <w:r>
        <w:rPr>
          <w:sz w:val="20"/>
        </w:rPr>
        <w:t>la </w:t>
      </w:r>
      <w:r>
        <w:rPr>
          <w:spacing w:val="-2"/>
          <w:sz w:val="20"/>
        </w:rPr>
        <w:t>misma;</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03"/>
        </w:numPr>
        <w:tabs>
          <w:tab w:pos="686" w:val="left" w:leader="none"/>
        </w:tabs>
        <w:spacing w:line="240" w:lineRule="auto" w:before="0" w:after="0"/>
        <w:ind w:left="262" w:right="288" w:firstLine="0"/>
        <w:jc w:val="both"/>
        <w:rPr>
          <w:sz w:val="20"/>
        </w:rPr>
      </w:pPr>
      <w:r>
        <w:rPr>
          <w:sz w:val="20"/>
        </w:rPr>
        <w:t>Superficie</w:t>
      </w:r>
      <w:r>
        <w:rPr>
          <w:spacing w:val="-2"/>
          <w:sz w:val="20"/>
        </w:rPr>
        <w:t> </w:t>
      </w:r>
      <w:r>
        <w:rPr>
          <w:sz w:val="20"/>
        </w:rPr>
        <w:t>construida</w:t>
      </w:r>
      <w:r>
        <w:rPr>
          <w:spacing w:val="-3"/>
          <w:sz w:val="20"/>
        </w:rPr>
        <w:t> </w:t>
      </w:r>
      <w:r>
        <w:rPr>
          <w:sz w:val="20"/>
        </w:rPr>
        <w:t>en</w:t>
      </w:r>
      <w:r>
        <w:rPr>
          <w:spacing w:val="-3"/>
          <w:sz w:val="20"/>
        </w:rPr>
        <w:t> </w:t>
      </w:r>
      <w:r>
        <w:rPr>
          <w:sz w:val="20"/>
        </w:rPr>
        <w:t>caso</w:t>
      </w:r>
      <w:r>
        <w:rPr>
          <w:spacing w:val="-2"/>
          <w:sz w:val="20"/>
        </w:rPr>
        <w:t> </w:t>
      </w:r>
      <w:r>
        <w:rPr>
          <w:sz w:val="20"/>
        </w:rPr>
        <w:t>de</w:t>
      </w:r>
      <w:r>
        <w:rPr>
          <w:spacing w:val="-3"/>
          <w:sz w:val="20"/>
        </w:rPr>
        <w:t> </w:t>
      </w:r>
      <w:r>
        <w:rPr>
          <w:sz w:val="20"/>
        </w:rPr>
        <w:t>edificaciones</w:t>
      </w:r>
      <w:r>
        <w:rPr>
          <w:spacing w:val="-1"/>
          <w:sz w:val="20"/>
        </w:rPr>
        <w:t> </w:t>
      </w:r>
      <w:r>
        <w:rPr>
          <w:sz w:val="20"/>
        </w:rPr>
        <w:t>ya</w:t>
      </w:r>
      <w:r>
        <w:rPr>
          <w:spacing w:val="-2"/>
          <w:sz w:val="20"/>
        </w:rPr>
        <w:t> </w:t>
      </w:r>
      <w:r>
        <w:rPr>
          <w:sz w:val="20"/>
        </w:rPr>
        <w:t>existentes;</w:t>
      </w:r>
      <w:r>
        <w:rPr>
          <w:spacing w:val="-2"/>
          <w:sz w:val="20"/>
        </w:rPr>
        <w:t> </w:t>
      </w:r>
      <w:r>
        <w:rPr>
          <w:sz w:val="20"/>
        </w:rPr>
        <w:t>o</w:t>
      </w:r>
      <w:r>
        <w:rPr>
          <w:spacing w:val="-2"/>
          <w:sz w:val="20"/>
        </w:rPr>
        <w:t> </w:t>
      </w:r>
      <w:r>
        <w:rPr>
          <w:sz w:val="20"/>
        </w:rPr>
        <w:t>superficie</w:t>
      </w:r>
      <w:r>
        <w:rPr>
          <w:spacing w:val="-2"/>
          <w:sz w:val="20"/>
        </w:rPr>
        <w:t> </w:t>
      </w:r>
      <w:r>
        <w:rPr>
          <w:sz w:val="20"/>
        </w:rPr>
        <w:t>estimada</w:t>
      </w:r>
      <w:r>
        <w:rPr>
          <w:spacing w:val="-2"/>
          <w:sz w:val="20"/>
        </w:rPr>
        <w:t> </w:t>
      </w:r>
      <w:r>
        <w:rPr>
          <w:sz w:val="20"/>
        </w:rPr>
        <w:t>en</w:t>
      </w:r>
      <w:r>
        <w:rPr>
          <w:spacing w:val="-3"/>
          <w:sz w:val="20"/>
        </w:rPr>
        <w:t> </w:t>
      </w:r>
      <w:r>
        <w:rPr>
          <w:sz w:val="20"/>
        </w:rPr>
        <w:t>caso</w:t>
      </w:r>
      <w:r>
        <w:rPr>
          <w:spacing w:val="-2"/>
          <w:sz w:val="20"/>
        </w:rPr>
        <w:t> </w:t>
      </w:r>
      <w:r>
        <w:rPr>
          <w:sz w:val="20"/>
        </w:rPr>
        <w:t>de proyectos por desarrollarse;</w:t>
      </w:r>
    </w:p>
    <w:p>
      <w:pPr>
        <w:pStyle w:val="BodyText"/>
        <w:spacing w:before="1"/>
      </w:pPr>
    </w:p>
    <w:p>
      <w:pPr>
        <w:pStyle w:val="ListParagraph"/>
        <w:numPr>
          <w:ilvl w:val="0"/>
          <w:numId w:val="103"/>
        </w:numPr>
        <w:tabs>
          <w:tab w:pos="741" w:val="left" w:leader="none"/>
        </w:tabs>
        <w:spacing w:line="240" w:lineRule="auto" w:before="0" w:after="0"/>
        <w:ind w:left="741" w:right="0" w:hanging="479"/>
        <w:jc w:val="both"/>
        <w:rPr>
          <w:sz w:val="20"/>
        </w:rPr>
      </w:pPr>
      <w:r>
        <w:rPr>
          <w:sz w:val="20"/>
        </w:rPr>
        <w:t>El</w:t>
      </w:r>
      <w:r>
        <w:rPr>
          <w:spacing w:val="-4"/>
          <w:sz w:val="20"/>
        </w:rPr>
        <w:t> </w:t>
      </w:r>
      <w:r>
        <w:rPr>
          <w:sz w:val="20"/>
        </w:rPr>
        <w:t>uso</w:t>
      </w:r>
      <w:r>
        <w:rPr>
          <w:spacing w:val="-4"/>
          <w:sz w:val="20"/>
        </w:rPr>
        <w:t> </w:t>
      </w:r>
      <w:r>
        <w:rPr>
          <w:sz w:val="20"/>
        </w:rPr>
        <w:t>del</w:t>
      </w:r>
      <w:r>
        <w:rPr>
          <w:spacing w:val="-5"/>
          <w:sz w:val="20"/>
        </w:rPr>
        <w:t> </w:t>
      </w:r>
      <w:r>
        <w:rPr>
          <w:sz w:val="20"/>
        </w:rPr>
        <w:t>suelo</w:t>
      </w:r>
      <w:r>
        <w:rPr>
          <w:spacing w:val="-4"/>
          <w:sz w:val="20"/>
        </w:rPr>
        <w:t> </w:t>
      </w:r>
      <w:r>
        <w:rPr>
          <w:sz w:val="20"/>
        </w:rPr>
        <w:t>que</w:t>
      </w:r>
      <w:r>
        <w:rPr>
          <w:spacing w:val="-4"/>
          <w:sz w:val="20"/>
        </w:rPr>
        <w:t> </w:t>
      </w:r>
      <w:r>
        <w:rPr>
          <w:sz w:val="20"/>
        </w:rPr>
        <w:t>se</w:t>
      </w:r>
      <w:r>
        <w:rPr>
          <w:spacing w:val="-4"/>
          <w:sz w:val="20"/>
        </w:rPr>
        <w:t> </w:t>
      </w:r>
      <w:r>
        <w:rPr>
          <w:spacing w:val="-2"/>
          <w:sz w:val="20"/>
        </w:rPr>
        <w:t>propone;</w:t>
      </w:r>
    </w:p>
    <w:p>
      <w:pPr>
        <w:pStyle w:val="ListParagraph"/>
        <w:numPr>
          <w:ilvl w:val="0"/>
          <w:numId w:val="103"/>
        </w:numPr>
        <w:tabs>
          <w:tab w:pos="688" w:val="left" w:leader="none"/>
        </w:tabs>
        <w:spacing w:line="240" w:lineRule="auto" w:before="229" w:after="0"/>
        <w:ind w:left="688" w:right="0" w:hanging="426"/>
        <w:jc w:val="both"/>
        <w:rPr>
          <w:sz w:val="20"/>
        </w:rPr>
      </w:pPr>
      <w:r>
        <w:rPr>
          <w:sz w:val="20"/>
        </w:rPr>
        <w:t>Plano</w:t>
      </w:r>
      <w:r>
        <w:rPr>
          <w:spacing w:val="-9"/>
          <w:sz w:val="20"/>
        </w:rPr>
        <w:t> </w:t>
      </w:r>
      <w:r>
        <w:rPr>
          <w:sz w:val="20"/>
        </w:rPr>
        <w:t>con</w:t>
      </w:r>
      <w:r>
        <w:rPr>
          <w:spacing w:val="-7"/>
          <w:sz w:val="20"/>
        </w:rPr>
        <w:t> </w:t>
      </w:r>
      <w:r>
        <w:rPr>
          <w:sz w:val="20"/>
        </w:rPr>
        <w:t>medidas</w:t>
      </w:r>
      <w:r>
        <w:rPr>
          <w:spacing w:val="-7"/>
          <w:sz w:val="20"/>
        </w:rPr>
        <w:t> </w:t>
      </w:r>
      <w:r>
        <w:rPr>
          <w:sz w:val="20"/>
        </w:rPr>
        <w:t>y</w:t>
      </w:r>
      <w:r>
        <w:rPr>
          <w:spacing w:val="-6"/>
          <w:sz w:val="20"/>
        </w:rPr>
        <w:t> </w:t>
      </w:r>
      <w:r>
        <w:rPr>
          <w:sz w:val="20"/>
        </w:rPr>
        <w:t>colindancias</w:t>
      </w:r>
      <w:r>
        <w:rPr>
          <w:spacing w:val="-7"/>
          <w:sz w:val="20"/>
        </w:rPr>
        <w:t> </w:t>
      </w:r>
      <w:r>
        <w:rPr>
          <w:sz w:val="20"/>
        </w:rPr>
        <w:t>del</w:t>
      </w:r>
      <w:r>
        <w:rPr>
          <w:spacing w:val="-6"/>
          <w:sz w:val="20"/>
        </w:rPr>
        <w:t> </w:t>
      </w:r>
      <w:r>
        <w:rPr>
          <w:spacing w:val="-2"/>
          <w:sz w:val="20"/>
        </w:rPr>
        <w:t>predio;</w:t>
      </w:r>
    </w:p>
    <w:p>
      <w:pPr>
        <w:pStyle w:val="BodyText"/>
      </w:pPr>
    </w:p>
    <w:p>
      <w:pPr>
        <w:pStyle w:val="ListParagraph"/>
        <w:numPr>
          <w:ilvl w:val="0"/>
          <w:numId w:val="103"/>
        </w:numPr>
        <w:tabs>
          <w:tab w:pos="688" w:val="left" w:leader="none"/>
        </w:tabs>
        <w:spacing w:line="240" w:lineRule="auto" w:before="0" w:after="0"/>
        <w:ind w:left="688" w:right="0" w:hanging="426"/>
        <w:jc w:val="both"/>
        <w:rPr>
          <w:sz w:val="20"/>
        </w:rPr>
      </w:pPr>
      <w:r>
        <w:rPr>
          <w:sz w:val="20"/>
        </w:rPr>
        <w:t>Croquis</w:t>
      </w:r>
      <w:r>
        <w:rPr>
          <w:spacing w:val="-8"/>
          <w:sz w:val="20"/>
        </w:rPr>
        <w:t> </w:t>
      </w:r>
      <w:r>
        <w:rPr>
          <w:sz w:val="20"/>
        </w:rPr>
        <w:t>de</w:t>
      </w:r>
      <w:r>
        <w:rPr>
          <w:spacing w:val="-8"/>
          <w:sz w:val="20"/>
        </w:rPr>
        <w:t> </w:t>
      </w:r>
      <w:r>
        <w:rPr>
          <w:sz w:val="20"/>
        </w:rPr>
        <w:t>localización</w:t>
      </w:r>
      <w:r>
        <w:rPr>
          <w:spacing w:val="-8"/>
          <w:sz w:val="20"/>
        </w:rPr>
        <w:t> </w:t>
      </w:r>
      <w:r>
        <w:rPr>
          <w:sz w:val="20"/>
        </w:rPr>
        <w:t>del</w:t>
      </w:r>
      <w:r>
        <w:rPr>
          <w:spacing w:val="-7"/>
          <w:sz w:val="20"/>
        </w:rPr>
        <w:t> </w:t>
      </w:r>
      <w:r>
        <w:rPr>
          <w:spacing w:val="-2"/>
          <w:sz w:val="20"/>
        </w:rPr>
        <w:t>predio;</w:t>
      </w:r>
    </w:p>
    <w:p>
      <w:pPr>
        <w:pStyle w:val="BodyText"/>
        <w:spacing w:before="1"/>
      </w:pPr>
    </w:p>
    <w:p>
      <w:pPr>
        <w:pStyle w:val="ListParagraph"/>
        <w:numPr>
          <w:ilvl w:val="0"/>
          <w:numId w:val="103"/>
        </w:numPr>
        <w:tabs>
          <w:tab w:pos="688" w:val="left" w:leader="none"/>
        </w:tabs>
        <w:spacing w:line="240" w:lineRule="auto" w:before="0" w:after="0"/>
        <w:ind w:left="262" w:right="278" w:firstLine="0"/>
        <w:jc w:val="both"/>
        <w:rPr>
          <w:sz w:val="20"/>
        </w:rPr>
      </w:pPr>
      <w:r>
        <w:rPr>
          <w:sz w:val="20"/>
        </w:rPr>
        <w:t>Copia certificada por fedatario público de la escritura pública que acredite la propiedad del inmueble o en su caso constancia expedida por notario público de que se encuentra en trámite su inscripción,</w:t>
      </w:r>
      <w:r>
        <w:rPr>
          <w:spacing w:val="-9"/>
          <w:sz w:val="20"/>
        </w:rPr>
        <w:t> </w:t>
      </w:r>
      <w:r>
        <w:rPr>
          <w:sz w:val="20"/>
        </w:rPr>
        <w:t>y</w:t>
      </w:r>
      <w:r>
        <w:rPr>
          <w:spacing w:val="-8"/>
          <w:sz w:val="20"/>
        </w:rPr>
        <w:t> </w:t>
      </w:r>
      <w:r>
        <w:rPr>
          <w:sz w:val="20"/>
        </w:rPr>
        <w:t>en</w:t>
      </w:r>
      <w:r>
        <w:rPr>
          <w:spacing w:val="-9"/>
          <w:sz w:val="20"/>
        </w:rPr>
        <w:t> </w:t>
      </w:r>
      <w:r>
        <w:rPr>
          <w:sz w:val="20"/>
        </w:rPr>
        <w:t>caso</w:t>
      </w:r>
      <w:r>
        <w:rPr>
          <w:spacing w:val="-9"/>
          <w:sz w:val="20"/>
        </w:rPr>
        <w:t> </w:t>
      </w:r>
      <w:r>
        <w:rPr>
          <w:sz w:val="20"/>
        </w:rPr>
        <w:t>de</w:t>
      </w:r>
      <w:r>
        <w:rPr>
          <w:spacing w:val="-9"/>
          <w:sz w:val="20"/>
        </w:rPr>
        <w:t> </w:t>
      </w:r>
      <w:r>
        <w:rPr>
          <w:sz w:val="20"/>
        </w:rPr>
        <w:t>no</w:t>
      </w:r>
      <w:r>
        <w:rPr>
          <w:spacing w:val="-7"/>
          <w:sz w:val="20"/>
        </w:rPr>
        <w:t> </w:t>
      </w:r>
      <w:r>
        <w:rPr>
          <w:sz w:val="20"/>
        </w:rPr>
        <w:t>ser</w:t>
      </w:r>
      <w:r>
        <w:rPr>
          <w:spacing w:val="-8"/>
          <w:sz w:val="20"/>
        </w:rPr>
        <w:t> </w:t>
      </w:r>
      <w:r>
        <w:rPr>
          <w:sz w:val="20"/>
        </w:rPr>
        <w:t>propietario,</w:t>
      </w:r>
      <w:r>
        <w:rPr>
          <w:spacing w:val="-9"/>
          <w:sz w:val="20"/>
        </w:rPr>
        <w:t> </w:t>
      </w:r>
      <w:r>
        <w:rPr>
          <w:sz w:val="20"/>
        </w:rPr>
        <w:t>además</w:t>
      </w:r>
      <w:r>
        <w:rPr>
          <w:spacing w:val="-8"/>
          <w:sz w:val="20"/>
        </w:rPr>
        <w:t> </w:t>
      </w:r>
      <w:r>
        <w:rPr>
          <w:sz w:val="20"/>
        </w:rPr>
        <w:t>el</w:t>
      </w:r>
      <w:r>
        <w:rPr>
          <w:spacing w:val="-7"/>
          <w:sz w:val="20"/>
        </w:rPr>
        <w:t> </w:t>
      </w:r>
      <w:r>
        <w:rPr>
          <w:sz w:val="20"/>
        </w:rPr>
        <w:t>documento</w:t>
      </w:r>
      <w:r>
        <w:rPr>
          <w:spacing w:val="-3"/>
          <w:sz w:val="20"/>
        </w:rPr>
        <w:t> </w:t>
      </w:r>
      <w:r>
        <w:rPr>
          <w:sz w:val="20"/>
        </w:rPr>
        <w:t>que</w:t>
      </w:r>
      <w:r>
        <w:rPr>
          <w:spacing w:val="-7"/>
          <w:sz w:val="20"/>
        </w:rPr>
        <w:t> </w:t>
      </w:r>
      <w:r>
        <w:rPr>
          <w:sz w:val="20"/>
        </w:rPr>
        <w:t>acredite</w:t>
      </w:r>
      <w:r>
        <w:rPr>
          <w:spacing w:val="-9"/>
          <w:sz w:val="20"/>
        </w:rPr>
        <w:t> </w:t>
      </w:r>
      <w:r>
        <w:rPr>
          <w:sz w:val="20"/>
        </w:rPr>
        <w:t>la</w:t>
      </w:r>
      <w:r>
        <w:rPr>
          <w:spacing w:val="-7"/>
          <w:sz w:val="20"/>
        </w:rPr>
        <w:t> </w:t>
      </w:r>
      <w:r>
        <w:rPr>
          <w:sz w:val="20"/>
        </w:rPr>
        <w:t>legal</w:t>
      </w:r>
      <w:r>
        <w:rPr>
          <w:spacing w:val="-10"/>
          <w:sz w:val="20"/>
        </w:rPr>
        <w:t> </w:t>
      </w:r>
      <w:r>
        <w:rPr>
          <w:sz w:val="20"/>
        </w:rPr>
        <w:t>posesión</w:t>
      </w:r>
      <w:r>
        <w:rPr>
          <w:spacing w:val="-9"/>
          <w:sz w:val="20"/>
        </w:rPr>
        <w:t> </w:t>
      </w:r>
      <w:r>
        <w:rPr>
          <w:sz w:val="20"/>
        </w:rPr>
        <w:t>del </w:t>
      </w:r>
      <w:r>
        <w:rPr>
          <w:spacing w:val="-2"/>
          <w:sz w:val="20"/>
        </w:rPr>
        <w:t>predio;</w:t>
      </w:r>
    </w:p>
    <w:p>
      <w:pPr>
        <w:pStyle w:val="BodyText"/>
      </w:pPr>
    </w:p>
    <w:p>
      <w:pPr>
        <w:pStyle w:val="ListParagraph"/>
        <w:numPr>
          <w:ilvl w:val="0"/>
          <w:numId w:val="103"/>
        </w:numPr>
        <w:tabs>
          <w:tab w:pos="688" w:val="left" w:leader="none"/>
        </w:tabs>
        <w:spacing w:line="240" w:lineRule="auto" w:before="1" w:after="0"/>
        <w:ind w:left="688" w:right="0" w:hanging="426"/>
        <w:jc w:val="both"/>
        <w:rPr>
          <w:sz w:val="20"/>
        </w:rPr>
      </w:pPr>
      <w:r>
        <w:rPr>
          <w:sz w:val="20"/>
        </w:rPr>
        <w:t>Comprobante</w:t>
      </w:r>
      <w:r>
        <w:rPr>
          <w:spacing w:val="-12"/>
          <w:sz w:val="20"/>
        </w:rPr>
        <w:t> </w:t>
      </w:r>
      <w:r>
        <w:rPr>
          <w:sz w:val="20"/>
        </w:rPr>
        <w:t>de</w:t>
      </w:r>
      <w:r>
        <w:rPr>
          <w:spacing w:val="-10"/>
          <w:sz w:val="20"/>
        </w:rPr>
        <w:t> </w:t>
      </w:r>
      <w:r>
        <w:rPr>
          <w:spacing w:val="-2"/>
          <w:sz w:val="20"/>
        </w:rPr>
        <w:t>domicilio;</w:t>
      </w:r>
    </w:p>
    <w:p>
      <w:pPr>
        <w:pStyle w:val="BodyText"/>
      </w:pPr>
    </w:p>
    <w:p>
      <w:pPr>
        <w:pStyle w:val="ListParagraph"/>
        <w:numPr>
          <w:ilvl w:val="0"/>
          <w:numId w:val="103"/>
        </w:numPr>
        <w:tabs>
          <w:tab w:pos="688" w:val="left" w:leader="none"/>
        </w:tabs>
        <w:spacing w:line="240" w:lineRule="auto" w:before="0" w:after="0"/>
        <w:ind w:left="688" w:right="0" w:hanging="426"/>
        <w:jc w:val="both"/>
        <w:rPr>
          <w:sz w:val="20"/>
        </w:rPr>
      </w:pPr>
      <w:r>
        <w:rPr>
          <w:spacing w:val="-2"/>
          <w:sz w:val="20"/>
        </w:rPr>
        <w:t>Identificación</w:t>
      </w:r>
      <w:r>
        <w:rPr>
          <w:spacing w:val="11"/>
          <w:sz w:val="20"/>
        </w:rPr>
        <w:t> </w:t>
      </w:r>
      <w:r>
        <w:rPr>
          <w:spacing w:val="-2"/>
          <w:sz w:val="20"/>
        </w:rPr>
        <w:t>oficial;</w:t>
      </w:r>
    </w:p>
    <w:p>
      <w:pPr>
        <w:pStyle w:val="ListParagraph"/>
        <w:numPr>
          <w:ilvl w:val="0"/>
          <w:numId w:val="103"/>
        </w:numPr>
        <w:tabs>
          <w:tab w:pos="688" w:val="left" w:leader="none"/>
        </w:tabs>
        <w:spacing w:line="240" w:lineRule="auto" w:before="229" w:after="0"/>
        <w:ind w:left="262" w:right="283" w:firstLine="0"/>
        <w:jc w:val="both"/>
        <w:rPr>
          <w:sz w:val="20"/>
        </w:rPr>
      </w:pPr>
      <w:r>
        <w:rPr>
          <w:sz w:val="20"/>
        </w:rPr>
        <w:t>Anteproyecto arquitectónico, o de diseño urbano de ser el caso, y memoria descriptiva del mismo,</w:t>
      </w:r>
      <w:r>
        <w:rPr>
          <w:spacing w:val="-4"/>
          <w:sz w:val="20"/>
        </w:rPr>
        <w:t> </w:t>
      </w:r>
      <w:r>
        <w:rPr>
          <w:sz w:val="20"/>
        </w:rPr>
        <w:t>cuando</w:t>
      </w:r>
      <w:r>
        <w:rPr>
          <w:spacing w:val="-2"/>
          <w:sz w:val="20"/>
        </w:rPr>
        <w:t> </w:t>
      </w:r>
      <w:r>
        <w:rPr>
          <w:sz w:val="20"/>
        </w:rPr>
        <w:t>se</w:t>
      </w:r>
      <w:r>
        <w:rPr>
          <w:spacing w:val="-2"/>
          <w:sz w:val="20"/>
        </w:rPr>
        <w:t> </w:t>
      </w:r>
      <w:r>
        <w:rPr>
          <w:sz w:val="20"/>
        </w:rPr>
        <w:t>trate</w:t>
      </w:r>
      <w:r>
        <w:rPr>
          <w:spacing w:val="-2"/>
          <w:sz w:val="20"/>
        </w:rPr>
        <w:t> </w:t>
      </w:r>
      <w:r>
        <w:rPr>
          <w:sz w:val="20"/>
        </w:rPr>
        <w:t>de un</w:t>
      </w:r>
      <w:r>
        <w:rPr>
          <w:spacing w:val="-3"/>
          <w:sz w:val="20"/>
        </w:rPr>
        <w:t> </w:t>
      </w:r>
      <w:r>
        <w:rPr>
          <w:sz w:val="20"/>
        </w:rPr>
        <w:t>uso</w:t>
      </w:r>
      <w:r>
        <w:rPr>
          <w:spacing w:val="-4"/>
          <w:sz w:val="20"/>
        </w:rPr>
        <w:t> </w:t>
      </w:r>
      <w:r>
        <w:rPr>
          <w:sz w:val="20"/>
        </w:rPr>
        <w:t>que</w:t>
      </w:r>
      <w:r>
        <w:rPr>
          <w:spacing w:val="-2"/>
          <w:sz w:val="20"/>
        </w:rPr>
        <w:t> </w:t>
      </w:r>
      <w:r>
        <w:rPr>
          <w:sz w:val="20"/>
        </w:rPr>
        <w:t>pueda</w:t>
      </w:r>
      <w:r>
        <w:rPr>
          <w:spacing w:val="-2"/>
          <w:sz w:val="20"/>
        </w:rPr>
        <w:t> </w:t>
      </w:r>
      <w:r>
        <w:rPr>
          <w:sz w:val="20"/>
        </w:rPr>
        <w:t>generar impacto</w:t>
      </w:r>
      <w:r>
        <w:rPr>
          <w:spacing w:val="-2"/>
          <w:sz w:val="20"/>
        </w:rPr>
        <w:t> </w:t>
      </w:r>
      <w:r>
        <w:rPr>
          <w:sz w:val="20"/>
        </w:rPr>
        <w:t>ambiental</w:t>
      </w:r>
      <w:r>
        <w:rPr>
          <w:spacing w:val="-3"/>
          <w:sz w:val="20"/>
        </w:rPr>
        <w:t> </w:t>
      </w:r>
      <w:r>
        <w:rPr>
          <w:sz w:val="20"/>
        </w:rPr>
        <w:t>significativo</w:t>
      </w:r>
      <w:r>
        <w:rPr>
          <w:spacing w:val="-4"/>
          <w:sz w:val="20"/>
        </w:rPr>
        <w:t> </w:t>
      </w:r>
      <w:r>
        <w:rPr>
          <w:sz w:val="20"/>
        </w:rPr>
        <w:t>en</w:t>
      </w:r>
      <w:r>
        <w:rPr>
          <w:spacing w:val="-4"/>
          <w:sz w:val="20"/>
        </w:rPr>
        <w:t> </w:t>
      </w:r>
      <w:r>
        <w:rPr>
          <w:sz w:val="20"/>
        </w:rPr>
        <w:t>su</w:t>
      </w:r>
      <w:r>
        <w:rPr>
          <w:spacing w:val="-2"/>
          <w:sz w:val="20"/>
        </w:rPr>
        <w:t> </w:t>
      </w:r>
      <w:r>
        <w:rPr>
          <w:sz w:val="20"/>
        </w:rPr>
        <w:t>área</w:t>
      </w:r>
      <w:r>
        <w:rPr>
          <w:spacing w:val="-4"/>
          <w:sz w:val="20"/>
        </w:rPr>
        <w:t> </w:t>
      </w:r>
      <w:r>
        <w:rPr>
          <w:sz w:val="20"/>
        </w:rPr>
        <w:t>de </w:t>
      </w:r>
      <w:r>
        <w:rPr>
          <w:spacing w:val="-2"/>
          <w:sz w:val="20"/>
        </w:rPr>
        <w:t>influencia;</w:t>
      </w:r>
    </w:p>
    <w:p>
      <w:pPr>
        <w:pStyle w:val="ListParagraph"/>
        <w:numPr>
          <w:ilvl w:val="0"/>
          <w:numId w:val="103"/>
        </w:numPr>
        <w:tabs>
          <w:tab w:pos="688" w:val="left" w:leader="none"/>
        </w:tabs>
        <w:spacing w:line="240" w:lineRule="auto" w:before="229" w:after="0"/>
        <w:ind w:left="688" w:right="0" w:hanging="426"/>
        <w:jc w:val="both"/>
        <w:rPr>
          <w:sz w:val="20"/>
        </w:rPr>
      </w:pPr>
      <w:r>
        <w:rPr>
          <w:sz w:val="20"/>
        </w:rPr>
        <w:t>Comprobar</w:t>
      </w:r>
      <w:r>
        <w:rPr>
          <w:spacing w:val="-7"/>
          <w:sz w:val="20"/>
        </w:rPr>
        <w:t> </w:t>
      </w:r>
      <w:r>
        <w:rPr>
          <w:sz w:val="20"/>
        </w:rPr>
        <w:t>estar</w:t>
      </w:r>
      <w:r>
        <w:rPr>
          <w:spacing w:val="-8"/>
          <w:sz w:val="20"/>
        </w:rPr>
        <w:t> </w:t>
      </w:r>
      <w:r>
        <w:rPr>
          <w:sz w:val="20"/>
        </w:rPr>
        <w:t>al</w:t>
      </w:r>
      <w:r>
        <w:rPr>
          <w:spacing w:val="-8"/>
          <w:sz w:val="20"/>
        </w:rPr>
        <w:t> </w:t>
      </w:r>
      <w:r>
        <w:rPr>
          <w:sz w:val="20"/>
        </w:rPr>
        <w:t>corriente</w:t>
      </w:r>
      <w:r>
        <w:rPr>
          <w:spacing w:val="-8"/>
          <w:sz w:val="20"/>
        </w:rPr>
        <w:t> </w:t>
      </w:r>
      <w:r>
        <w:rPr>
          <w:sz w:val="20"/>
        </w:rPr>
        <w:t>en</w:t>
      </w:r>
      <w:r>
        <w:rPr>
          <w:spacing w:val="-6"/>
          <w:sz w:val="20"/>
        </w:rPr>
        <w:t> </w:t>
      </w:r>
      <w:r>
        <w:rPr>
          <w:sz w:val="20"/>
        </w:rPr>
        <w:t>el</w:t>
      </w:r>
      <w:r>
        <w:rPr>
          <w:spacing w:val="-6"/>
          <w:sz w:val="20"/>
        </w:rPr>
        <w:t> </w:t>
      </w:r>
      <w:r>
        <w:rPr>
          <w:sz w:val="20"/>
        </w:rPr>
        <w:t>pago</w:t>
      </w:r>
      <w:r>
        <w:rPr>
          <w:spacing w:val="-8"/>
          <w:sz w:val="20"/>
        </w:rPr>
        <w:t> </w:t>
      </w:r>
      <w:r>
        <w:rPr>
          <w:sz w:val="20"/>
        </w:rPr>
        <w:t>del</w:t>
      </w:r>
      <w:r>
        <w:rPr>
          <w:spacing w:val="-6"/>
          <w:sz w:val="20"/>
        </w:rPr>
        <w:t> </w:t>
      </w:r>
      <w:r>
        <w:rPr>
          <w:sz w:val="20"/>
        </w:rPr>
        <w:t>impuesto</w:t>
      </w:r>
      <w:r>
        <w:rPr>
          <w:spacing w:val="-5"/>
          <w:sz w:val="20"/>
        </w:rPr>
        <w:t> </w:t>
      </w:r>
      <w:r>
        <w:rPr>
          <w:sz w:val="20"/>
        </w:rPr>
        <w:t>predial</w:t>
      </w:r>
      <w:r>
        <w:rPr>
          <w:spacing w:val="-6"/>
          <w:sz w:val="20"/>
        </w:rPr>
        <w:t> </w:t>
      </w:r>
      <w:r>
        <w:rPr>
          <w:sz w:val="20"/>
        </w:rPr>
        <w:t>del</w:t>
      </w:r>
      <w:r>
        <w:rPr>
          <w:spacing w:val="-9"/>
          <w:sz w:val="20"/>
        </w:rPr>
        <w:t> </w:t>
      </w:r>
      <w:r>
        <w:rPr>
          <w:sz w:val="20"/>
        </w:rPr>
        <w:t>inmueble</w:t>
      </w:r>
      <w:r>
        <w:rPr>
          <w:spacing w:val="-7"/>
          <w:sz w:val="20"/>
        </w:rPr>
        <w:t> </w:t>
      </w:r>
      <w:r>
        <w:rPr>
          <w:sz w:val="20"/>
        </w:rPr>
        <w:t>respectivo,</w:t>
      </w:r>
      <w:r>
        <w:rPr>
          <w:spacing w:val="-8"/>
          <w:sz w:val="20"/>
        </w:rPr>
        <w:t> </w:t>
      </w:r>
      <w:r>
        <w:rPr>
          <w:spacing w:val="-10"/>
          <w:sz w:val="20"/>
        </w:rPr>
        <w:t>y</w:t>
      </w:r>
    </w:p>
    <w:p>
      <w:pPr>
        <w:pStyle w:val="BodyText"/>
        <w:spacing w:before="1"/>
      </w:pPr>
    </w:p>
    <w:p>
      <w:pPr>
        <w:pStyle w:val="ListParagraph"/>
        <w:numPr>
          <w:ilvl w:val="0"/>
          <w:numId w:val="103"/>
        </w:numPr>
        <w:tabs>
          <w:tab w:pos="688" w:val="left" w:leader="none"/>
        </w:tabs>
        <w:spacing w:line="240" w:lineRule="auto" w:before="0" w:after="0"/>
        <w:ind w:left="262" w:right="284" w:firstLine="0"/>
        <w:jc w:val="both"/>
        <w:rPr>
          <w:sz w:val="20"/>
        </w:rPr>
      </w:pPr>
      <w:r>
        <w:rPr>
          <w:sz w:val="20"/>
        </w:rPr>
        <w:t>Señalar</w:t>
      </w:r>
      <w:r>
        <w:rPr>
          <w:spacing w:val="-14"/>
          <w:sz w:val="20"/>
        </w:rPr>
        <w:t> </w:t>
      </w:r>
      <w:r>
        <w:rPr>
          <w:sz w:val="20"/>
        </w:rPr>
        <w:t>el</w:t>
      </w:r>
      <w:r>
        <w:rPr>
          <w:spacing w:val="-14"/>
          <w:sz w:val="20"/>
        </w:rPr>
        <w:t> </w:t>
      </w:r>
      <w:r>
        <w:rPr>
          <w:sz w:val="20"/>
        </w:rPr>
        <w:t>uso</w:t>
      </w:r>
      <w:r>
        <w:rPr>
          <w:spacing w:val="-14"/>
          <w:sz w:val="20"/>
        </w:rPr>
        <w:t> </w:t>
      </w:r>
      <w:r>
        <w:rPr>
          <w:sz w:val="20"/>
        </w:rPr>
        <w:t>actual</w:t>
      </w:r>
      <w:r>
        <w:rPr>
          <w:spacing w:val="-14"/>
          <w:sz w:val="20"/>
        </w:rPr>
        <w:t> </w:t>
      </w:r>
      <w:r>
        <w:rPr>
          <w:sz w:val="20"/>
        </w:rPr>
        <w:t>del</w:t>
      </w:r>
      <w:r>
        <w:rPr>
          <w:spacing w:val="-14"/>
          <w:sz w:val="20"/>
        </w:rPr>
        <w:t> </w:t>
      </w:r>
      <w:r>
        <w:rPr>
          <w:sz w:val="20"/>
        </w:rPr>
        <w:t>suelo</w:t>
      </w:r>
      <w:r>
        <w:rPr>
          <w:spacing w:val="-14"/>
          <w:sz w:val="20"/>
        </w:rPr>
        <w:t> </w:t>
      </w:r>
      <w:r>
        <w:rPr>
          <w:sz w:val="20"/>
        </w:rPr>
        <w:t>y</w:t>
      </w:r>
      <w:r>
        <w:rPr>
          <w:spacing w:val="-14"/>
          <w:sz w:val="20"/>
        </w:rPr>
        <w:t> </w:t>
      </w:r>
      <w:r>
        <w:rPr>
          <w:sz w:val="20"/>
        </w:rPr>
        <w:t>superficie</w:t>
      </w:r>
      <w:r>
        <w:rPr>
          <w:spacing w:val="-14"/>
          <w:sz w:val="20"/>
        </w:rPr>
        <w:t> </w:t>
      </w:r>
      <w:r>
        <w:rPr>
          <w:sz w:val="20"/>
        </w:rPr>
        <w:t>construido;</w:t>
      </w:r>
      <w:r>
        <w:rPr>
          <w:spacing w:val="-14"/>
          <w:sz w:val="20"/>
        </w:rPr>
        <w:t> </w:t>
      </w:r>
      <w:r>
        <w:rPr>
          <w:sz w:val="20"/>
        </w:rPr>
        <w:t>así</w:t>
      </w:r>
      <w:r>
        <w:rPr>
          <w:spacing w:val="-13"/>
          <w:sz w:val="20"/>
        </w:rPr>
        <w:t> </w:t>
      </w:r>
      <w:r>
        <w:rPr>
          <w:sz w:val="20"/>
        </w:rPr>
        <w:t>como</w:t>
      </w:r>
      <w:r>
        <w:rPr>
          <w:spacing w:val="-14"/>
          <w:sz w:val="20"/>
        </w:rPr>
        <w:t> </w:t>
      </w:r>
      <w:r>
        <w:rPr>
          <w:sz w:val="20"/>
        </w:rPr>
        <w:t>el</w:t>
      </w:r>
      <w:r>
        <w:rPr>
          <w:spacing w:val="-14"/>
          <w:sz w:val="20"/>
        </w:rPr>
        <w:t> </w:t>
      </w:r>
      <w:r>
        <w:rPr>
          <w:sz w:val="20"/>
        </w:rPr>
        <w:t>uso</w:t>
      </w:r>
      <w:r>
        <w:rPr>
          <w:spacing w:val="-14"/>
          <w:sz w:val="20"/>
        </w:rPr>
        <w:t> </w:t>
      </w:r>
      <w:r>
        <w:rPr>
          <w:sz w:val="20"/>
        </w:rPr>
        <w:t>del</w:t>
      </w:r>
      <w:r>
        <w:rPr>
          <w:spacing w:val="-14"/>
          <w:sz w:val="20"/>
        </w:rPr>
        <w:t> </w:t>
      </w:r>
      <w:r>
        <w:rPr>
          <w:sz w:val="20"/>
        </w:rPr>
        <w:t>suelo</w:t>
      </w:r>
      <w:r>
        <w:rPr>
          <w:spacing w:val="-14"/>
          <w:sz w:val="20"/>
        </w:rPr>
        <w:t> </w:t>
      </w:r>
      <w:r>
        <w:rPr>
          <w:sz w:val="20"/>
        </w:rPr>
        <w:t>que</w:t>
      </w:r>
      <w:r>
        <w:rPr>
          <w:spacing w:val="-14"/>
          <w:sz w:val="20"/>
        </w:rPr>
        <w:t> </w:t>
      </w:r>
      <w:r>
        <w:rPr>
          <w:sz w:val="20"/>
        </w:rPr>
        <w:t>se</w:t>
      </w:r>
      <w:r>
        <w:rPr>
          <w:spacing w:val="-13"/>
          <w:sz w:val="20"/>
        </w:rPr>
        <w:t> </w:t>
      </w:r>
      <w:r>
        <w:rPr>
          <w:sz w:val="20"/>
        </w:rPr>
        <w:t>propone y superficie por construir, anexando croquis de localización del predio.</w:t>
      </w:r>
    </w:p>
    <w:p>
      <w:pPr>
        <w:pStyle w:val="BodyText"/>
        <w:spacing w:before="1"/>
      </w:pPr>
    </w:p>
    <w:p>
      <w:pPr>
        <w:pStyle w:val="BodyText"/>
        <w:spacing w:before="1"/>
        <w:ind w:left="262" w:right="284"/>
        <w:jc w:val="both"/>
      </w:pPr>
      <w:r>
        <w:rPr/>
        <w:t>La Dirección municipal correspondiente, deberá proporcionar a los interesados previo a la tramitación de la licencia de uso de suelo, la información que se requiera para contar con los elementos que les permitan reunir adecuadamente los requisitos antes señalados.</w:t>
      </w:r>
    </w:p>
    <w:p>
      <w:pPr>
        <w:pStyle w:val="BodyText"/>
        <w:spacing w:before="229"/>
        <w:ind w:left="262" w:right="287"/>
        <w:jc w:val="both"/>
      </w:pPr>
      <w:r>
        <w:rPr>
          <w:rFonts w:ascii="Arial" w:hAnsi="Arial"/>
          <w:b/>
        </w:rPr>
        <w:t>ARTÍCULO 277. </w:t>
      </w:r>
      <w:r>
        <w:rPr/>
        <w:t>La licencia de uso del suelo no faculta a su titular para iniciar la ejecución de construcción</w:t>
      </w:r>
      <w:r>
        <w:rPr>
          <w:spacing w:val="-6"/>
        </w:rPr>
        <w:t> </w:t>
      </w:r>
      <w:r>
        <w:rPr/>
        <w:t>u</w:t>
      </w:r>
      <w:r>
        <w:rPr>
          <w:spacing w:val="-3"/>
        </w:rPr>
        <w:t> </w:t>
      </w:r>
      <w:r>
        <w:rPr/>
        <w:t>obra</w:t>
      </w:r>
      <w:r>
        <w:rPr>
          <w:spacing w:val="-3"/>
        </w:rPr>
        <w:t> </w:t>
      </w:r>
      <w:r>
        <w:rPr/>
        <w:t>alguna;</w:t>
      </w:r>
      <w:r>
        <w:rPr>
          <w:spacing w:val="-5"/>
        </w:rPr>
        <w:t> </w:t>
      </w:r>
      <w:r>
        <w:rPr/>
        <w:t>dicha</w:t>
      </w:r>
      <w:r>
        <w:rPr>
          <w:spacing w:val="-5"/>
        </w:rPr>
        <w:t> </w:t>
      </w:r>
      <w:r>
        <w:rPr/>
        <w:t>licencia</w:t>
      </w:r>
      <w:r>
        <w:rPr>
          <w:spacing w:val="-5"/>
        </w:rPr>
        <w:t> </w:t>
      </w:r>
      <w:r>
        <w:rPr/>
        <w:t>será</w:t>
      </w:r>
      <w:r>
        <w:rPr>
          <w:spacing w:val="-3"/>
        </w:rPr>
        <w:t> </w:t>
      </w:r>
      <w:r>
        <w:rPr/>
        <w:t>inalienable</w:t>
      </w:r>
      <w:r>
        <w:rPr>
          <w:spacing w:val="-5"/>
        </w:rPr>
        <w:t> </w:t>
      </w:r>
      <w:r>
        <w:rPr/>
        <w:t>e</w:t>
      </w:r>
      <w:r>
        <w:rPr>
          <w:spacing w:val="-4"/>
        </w:rPr>
        <w:t> </w:t>
      </w:r>
      <w:r>
        <w:rPr/>
        <w:t>inembargables</w:t>
      </w:r>
      <w:r>
        <w:rPr>
          <w:spacing w:val="-2"/>
        </w:rPr>
        <w:t> </w:t>
      </w:r>
      <w:r>
        <w:rPr/>
        <w:t>los</w:t>
      </w:r>
      <w:r>
        <w:rPr>
          <w:spacing w:val="-4"/>
        </w:rPr>
        <w:t> </w:t>
      </w:r>
      <w:r>
        <w:rPr/>
        <w:t>derechos</w:t>
      </w:r>
      <w:r>
        <w:rPr>
          <w:spacing w:val="-4"/>
        </w:rPr>
        <w:t> </w:t>
      </w:r>
      <w:r>
        <w:rPr/>
        <w:t>derivados de la misma; y no será objeto de fusión o escisión.</w:t>
      </w:r>
    </w:p>
    <w:p>
      <w:pPr>
        <w:pStyle w:val="BodyText"/>
        <w:spacing w:before="229"/>
        <w:ind w:left="262" w:right="286"/>
        <w:jc w:val="both"/>
      </w:pPr>
      <w:r>
        <w:rPr>
          <w:rFonts w:ascii="Arial" w:hAnsi="Arial"/>
          <w:b/>
        </w:rPr>
        <w:t>ARTÍCULO 278. </w:t>
      </w:r>
      <w:r>
        <w:rPr/>
        <w:t>Las licencias de uso de suelo, no constituyen apeo y deslinde respecto del inmueble, ni acreditan la propiedad o posesión del mismo.</w:t>
      </w:r>
    </w:p>
    <w:p>
      <w:pPr>
        <w:pStyle w:val="BodyText"/>
        <w:spacing w:before="1"/>
      </w:pPr>
    </w:p>
    <w:p>
      <w:pPr>
        <w:pStyle w:val="BodyText"/>
        <w:ind w:left="262" w:right="278"/>
        <w:jc w:val="both"/>
      </w:pPr>
      <w:r>
        <w:rPr>
          <w:rFonts w:ascii="Arial" w:hAnsi="Arial"/>
          <w:b/>
        </w:rPr>
        <w:t>ARTÍCULO 279. </w:t>
      </w:r>
      <w:r>
        <w:rPr/>
        <w:t>Para la apertura y funcionamiento de cualquier establecimiento en el que se pretendan realizar actividades comerciales, industriales y/o de servicios, deberán contar con el equipamiento,</w:t>
      </w:r>
      <w:r>
        <w:rPr>
          <w:spacing w:val="-10"/>
        </w:rPr>
        <w:t> </w:t>
      </w:r>
      <w:r>
        <w:rPr/>
        <w:t>la</w:t>
      </w:r>
      <w:r>
        <w:rPr>
          <w:spacing w:val="-10"/>
        </w:rPr>
        <w:t> </w:t>
      </w:r>
      <w:r>
        <w:rPr/>
        <w:t>infraestructura,</w:t>
      </w:r>
      <w:r>
        <w:rPr>
          <w:spacing w:val="-10"/>
        </w:rPr>
        <w:t> </w:t>
      </w:r>
      <w:r>
        <w:rPr/>
        <w:t>las</w:t>
      </w:r>
      <w:r>
        <w:rPr>
          <w:spacing w:val="-9"/>
        </w:rPr>
        <w:t> </w:t>
      </w:r>
      <w:r>
        <w:rPr/>
        <w:t>áreas</w:t>
      </w:r>
      <w:r>
        <w:rPr>
          <w:spacing w:val="-9"/>
        </w:rPr>
        <w:t> </w:t>
      </w:r>
      <w:r>
        <w:rPr/>
        <w:t>de</w:t>
      </w:r>
      <w:r>
        <w:rPr>
          <w:spacing w:val="-10"/>
        </w:rPr>
        <w:t> </w:t>
      </w:r>
      <w:r>
        <w:rPr/>
        <w:t>estacionamiento</w:t>
      </w:r>
      <w:r>
        <w:rPr>
          <w:spacing w:val="-10"/>
        </w:rPr>
        <w:t> </w:t>
      </w:r>
      <w:r>
        <w:rPr/>
        <w:t>y</w:t>
      </w:r>
      <w:r>
        <w:rPr>
          <w:spacing w:val="-9"/>
        </w:rPr>
        <w:t> </w:t>
      </w:r>
      <w:r>
        <w:rPr/>
        <w:t>los</w:t>
      </w:r>
      <w:r>
        <w:rPr>
          <w:spacing w:val="-9"/>
        </w:rPr>
        <w:t> </w:t>
      </w:r>
      <w:r>
        <w:rPr/>
        <w:t>servicios</w:t>
      </w:r>
      <w:r>
        <w:rPr>
          <w:spacing w:val="-9"/>
        </w:rPr>
        <w:t> </w:t>
      </w:r>
      <w:r>
        <w:rPr/>
        <w:t>necesarios</w:t>
      </w:r>
      <w:r>
        <w:rPr>
          <w:spacing w:val="-9"/>
        </w:rPr>
        <w:t> </w:t>
      </w:r>
      <w:r>
        <w:rPr/>
        <w:t>para</w:t>
      </w:r>
      <w:r>
        <w:rPr>
          <w:spacing w:val="-10"/>
        </w:rPr>
        <w:t> </w:t>
      </w:r>
      <w:r>
        <w:rPr/>
        <w:t>el</w:t>
      </w:r>
      <w:r>
        <w:rPr>
          <w:spacing w:val="-11"/>
        </w:rPr>
        <w:t> </w:t>
      </w:r>
      <w:r>
        <w:rPr/>
        <w:t>giro industrial, comercial o de servicios que permitan su adecuada operación y contar con la superficie, ubicación</w:t>
      </w:r>
      <w:r>
        <w:rPr>
          <w:spacing w:val="-7"/>
        </w:rPr>
        <w:t> </w:t>
      </w:r>
      <w:r>
        <w:rPr/>
        <w:t>y</w:t>
      </w:r>
      <w:r>
        <w:rPr>
          <w:spacing w:val="-3"/>
        </w:rPr>
        <w:t> </w:t>
      </w:r>
      <w:r>
        <w:rPr/>
        <w:t>medidas</w:t>
      </w:r>
      <w:r>
        <w:rPr>
          <w:spacing w:val="-6"/>
        </w:rPr>
        <w:t> </w:t>
      </w:r>
      <w:r>
        <w:rPr/>
        <w:t>de</w:t>
      </w:r>
      <w:r>
        <w:rPr>
          <w:spacing w:val="-5"/>
        </w:rPr>
        <w:t> </w:t>
      </w:r>
      <w:r>
        <w:rPr/>
        <w:t>protección</w:t>
      </w:r>
      <w:r>
        <w:rPr>
          <w:spacing w:val="-7"/>
        </w:rPr>
        <w:t> </w:t>
      </w:r>
      <w:r>
        <w:rPr/>
        <w:t>y</w:t>
      </w:r>
      <w:r>
        <w:rPr>
          <w:spacing w:val="-3"/>
        </w:rPr>
        <w:t> </w:t>
      </w:r>
      <w:r>
        <w:rPr/>
        <w:t>amortiguamiento</w:t>
      </w:r>
      <w:r>
        <w:rPr>
          <w:spacing w:val="-5"/>
        </w:rPr>
        <w:t> </w:t>
      </w:r>
      <w:r>
        <w:rPr/>
        <w:t>de</w:t>
      </w:r>
      <w:r>
        <w:rPr>
          <w:spacing w:val="-7"/>
        </w:rPr>
        <w:t> </w:t>
      </w:r>
      <w:r>
        <w:rPr/>
        <w:t>riesgos,</w:t>
      </w:r>
      <w:r>
        <w:rPr>
          <w:spacing w:val="-6"/>
        </w:rPr>
        <w:t> </w:t>
      </w:r>
      <w:r>
        <w:rPr/>
        <w:t>que</w:t>
      </w:r>
      <w:r>
        <w:rPr>
          <w:spacing w:val="-7"/>
        </w:rPr>
        <w:t> </w:t>
      </w:r>
      <w:r>
        <w:rPr/>
        <w:t>se</w:t>
      </w:r>
      <w:r>
        <w:rPr>
          <w:spacing w:val="-5"/>
        </w:rPr>
        <w:t> </w:t>
      </w:r>
      <w:r>
        <w:rPr/>
        <w:t>requieran</w:t>
      </w:r>
      <w:r>
        <w:rPr>
          <w:spacing w:val="-7"/>
        </w:rPr>
        <w:t> </w:t>
      </w:r>
      <w:r>
        <w:rPr/>
        <w:t>conforme</w:t>
      </w:r>
      <w:r>
        <w:rPr>
          <w:spacing w:val="-4"/>
        </w:rPr>
        <w:t> </w:t>
      </w:r>
      <w:r>
        <w:rPr/>
        <w:t>a</w:t>
      </w:r>
      <w:r>
        <w:rPr>
          <w:spacing w:val="-7"/>
        </w:rPr>
        <w:t> </w:t>
      </w:r>
      <w:r>
        <w:rPr/>
        <w:t>esta Ley, la reglamentación municipal correspondiente, así como en la normatividad ambiental y demás ordenamientos aplicables, según la actividad de que se trate.</w:t>
      </w:r>
    </w:p>
    <w:p>
      <w:pPr>
        <w:pStyle w:val="BodyText"/>
        <w:spacing w:before="230"/>
        <w:ind w:left="262" w:right="280"/>
        <w:jc w:val="both"/>
      </w:pPr>
      <w:r>
        <w:rPr/>
        <w:t>En</w:t>
      </w:r>
      <w:r>
        <w:rPr>
          <w:spacing w:val="-9"/>
        </w:rPr>
        <w:t> </w:t>
      </w:r>
      <w:r>
        <w:rPr/>
        <w:t>caso</w:t>
      </w:r>
      <w:r>
        <w:rPr>
          <w:spacing w:val="-9"/>
        </w:rPr>
        <w:t> </w:t>
      </w:r>
      <w:r>
        <w:rPr/>
        <w:t>de</w:t>
      </w:r>
      <w:r>
        <w:rPr>
          <w:spacing w:val="-7"/>
        </w:rPr>
        <w:t> </w:t>
      </w:r>
      <w:r>
        <w:rPr/>
        <w:t>que</w:t>
      </w:r>
      <w:r>
        <w:rPr>
          <w:spacing w:val="-7"/>
        </w:rPr>
        <w:t> </w:t>
      </w:r>
      <w:r>
        <w:rPr/>
        <w:t>no</w:t>
      </w:r>
      <w:r>
        <w:rPr>
          <w:spacing w:val="-9"/>
        </w:rPr>
        <w:t> </w:t>
      </w:r>
      <w:r>
        <w:rPr/>
        <w:t>se</w:t>
      </w:r>
      <w:r>
        <w:rPr>
          <w:spacing w:val="-9"/>
        </w:rPr>
        <w:t> </w:t>
      </w:r>
      <w:r>
        <w:rPr/>
        <w:t>cuente</w:t>
      </w:r>
      <w:r>
        <w:rPr>
          <w:spacing w:val="-9"/>
        </w:rPr>
        <w:t> </w:t>
      </w:r>
      <w:r>
        <w:rPr/>
        <w:t>con</w:t>
      </w:r>
      <w:r>
        <w:rPr>
          <w:spacing w:val="-9"/>
        </w:rPr>
        <w:t> </w:t>
      </w:r>
      <w:r>
        <w:rPr/>
        <w:t>el</w:t>
      </w:r>
      <w:r>
        <w:rPr>
          <w:spacing w:val="-10"/>
        </w:rPr>
        <w:t> </w:t>
      </w:r>
      <w:r>
        <w:rPr/>
        <w:t>referido</w:t>
      </w:r>
      <w:r>
        <w:rPr>
          <w:spacing w:val="-9"/>
        </w:rPr>
        <w:t> </w:t>
      </w:r>
      <w:r>
        <w:rPr/>
        <w:t>equipamiento,</w:t>
      </w:r>
      <w:r>
        <w:rPr>
          <w:spacing w:val="-9"/>
        </w:rPr>
        <w:t> </w:t>
      </w:r>
      <w:r>
        <w:rPr/>
        <w:t>infraestructura</w:t>
      </w:r>
      <w:r>
        <w:rPr>
          <w:spacing w:val="-9"/>
        </w:rPr>
        <w:t> </w:t>
      </w:r>
      <w:r>
        <w:rPr/>
        <w:t>y</w:t>
      </w:r>
      <w:r>
        <w:rPr>
          <w:spacing w:val="-8"/>
        </w:rPr>
        <w:t> </w:t>
      </w:r>
      <w:r>
        <w:rPr/>
        <w:t>demás</w:t>
      </w:r>
      <w:r>
        <w:rPr>
          <w:spacing w:val="-8"/>
        </w:rPr>
        <w:t> </w:t>
      </w:r>
      <w:r>
        <w:rPr/>
        <w:t>elementos</w:t>
      </w:r>
      <w:r>
        <w:rPr>
          <w:spacing w:val="-8"/>
        </w:rPr>
        <w:t> </w:t>
      </w:r>
      <w:r>
        <w:rPr/>
        <w:t>a</w:t>
      </w:r>
      <w:r>
        <w:rPr>
          <w:spacing w:val="-7"/>
        </w:rPr>
        <w:t> </w:t>
      </w:r>
      <w:r>
        <w:rPr/>
        <w:t>que se refiere el párrafo anterior, el</w:t>
      </w:r>
      <w:r>
        <w:rPr>
          <w:spacing w:val="-1"/>
        </w:rPr>
        <w:t> </w:t>
      </w:r>
      <w:r>
        <w:rPr/>
        <w:t>promotor podrá gestionarlo o implementarlo a su costa, conforme a lo que disponga la autoridad competente y considerando los estudios técnicos de impacto que arrojen la necesidad de medidas de remediación, mitigación o compensación.</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spacing w:before="0"/>
        <w:ind w:left="26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7"/>
          <w:sz w:val="20"/>
        </w:rPr>
        <w:t> </w:t>
      </w:r>
      <w:r>
        <w:rPr>
          <w:rFonts w:ascii="Arial"/>
          <w:i/>
          <w:sz w:val="20"/>
        </w:rPr>
        <w:t>18</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before="1"/>
        <w:ind w:left="262" w:right="268"/>
        <w:jc w:val="both"/>
      </w:pPr>
      <w:r>
        <w:rPr>
          <w:rFonts w:ascii="Arial" w:hAnsi="Arial"/>
          <w:b/>
        </w:rPr>
        <w:t>ARTÍCULO 280. </w:t>
      </w:r>
      <w:r>
        <w:rPr/>
        <w:t>Los estacionamientos de vehículos de los establecimientos comerciales y de servicios serán gratuitos para las personas que adquieran bienes o servicios de dichos </w:t>
      </w:r>
      <w:r>
        <w:rPr>
          <w:spacing w:val="-2"/>
        </w:rPr>
        <w:t>establecimientos.</w:t>
      </w:r>
    </w:p>
    <w:p>
      <w:pPr>
        <w:spacing w:before="229"/>
        <w:ind w:left="262"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18</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2023)</w:t>
      </w:r>
    </w:p>
    <w:p>
      <w:pPr>
        <w:pStyle w:val="BodyText"/>
        <w:ind w:left="262" w:right="262"/>
        <w:jc w:val="both"/>
      </w:pPr>
      <w:r>
        <w:rPr/>
        <w:t>Solo podrá cobrarse por el uso de los estacionamientos de vehículos de los establecimientos comerciales</w:t>
      </w:r>
      <w:r>
        <w:rPr>
          <w:spacing w:val="-7"/>
        </w:rPr>
        <w:t> </w:t>
      </w:r>
      <w:r>
        <w:rPr/>
        <w:t>y</w:t>
      </w:r>
      <w:r>
        <w:rPr>
          <w:spacing w:val="-6"/>
        </w:rPr>
        <w:t> </w:t>
      </w:r>
      <w:r>
        <w:rPr/>
        <w:t>de</w:t>
      </w:r>
      <w:r>
        <w:rPr>
          <w:spacing w:val="-8"/>
        </w:rPr>
        <w:t> </w:t>
      </w:r>
      <w:r>
        <w:rPr/>
        <w:t>servicios,</w:t>
      </w:r>
      <w:r>
        <w:rPr>
          <w:spacing w:val="-5"/>
        </w:rPr>
        <w:t> </w:t>
      </w:r>
      <w:r>
        <w:rPr/>
        <w:t>cuando</w:t>
      </w:r>
      <w:r>
        <w:rPr>
          <w:spacing w:val="-5"/>
        </w:rPr>
        <w:t> </w:t>
      </w:r>
      <w:r>
        <w:rPr/>
        <w:t>las</w:t>
      </w:r>
      <w:r>
        <w:rPr>
          <w:spacing w:val="-7"/>
        </w:rPr>
        <w:t> </w:t>
      </w:r>
      <w:r>
        <w:rPr/>
        <w:t>personas</w:t>
      </w:r>
      <w:r>
        <w:rPr>
          <w:spacing w:val="-7"/>
        </w:rPr>
        <w:t> </w:t>
      </w:r>
      <w:r>
        <w:rPr/>
        <w:t>usuarias</w:t>
      </w:r>
      <w:r>
        <w:rPr>
          <w:spacing w:val="-7"/>
        </w:rPr>
        <w:t> </w:t>
      </w:r>
      <w:r>
        <w:rPr/>
        <w:t>no</w:t>
      </w:r>
      <w:r>
        <w:rPr>
          <w:spacing w:val="-8"/>
        </w:rPr>
        <w:t> </w:t>
      </w:r>
      <w:r>
        <w:rPr/>
        <w:t>adquieran</w:t>
      </w:r>
      <w:r>
        <w:rPr>
          <w:spacing w:val="-7"/>
        </w:rPr>
        <w:t> </w:t>
      </w:r>
      <w:r>
        <w:rPr/>
        <w:t>bienes</w:t>
      </w:r>
      <w:r>
        <w:rPr>
          <w:spacing w:val="-7"/>
        </w:rPr>
        <w:t> </w:t>
      </w:r>
      <w:r>
        <w:rPr/>
        <w:t>o</w:t>
      </w:r>
      <w:r>
        <w:rPr>
          <w:spacing w:val="-8"/>
        </w:rPr>
        <w:t> </w:t>
      </w:r>
      <w:r>
        <w:rPr/>
        <w:t>servicios</w:t>
      </w:r>
      <w:r>
        <w:rPr>
          <w:spacing w:val="-7"/>
        </w:rPr>
        <w:t> </w:t>
      </w:r>
      <w:r>
        <w:rPr/>
        <w:t>de</w:t>
      </w:r>
      <w:r>
        <w:rPr>
          <w:spacing w:val="-8"/>
        </w:rPr>
        <w:t> </w:t>
      </w:r>
      <w:r>
        <w:rPr/>
        <w:t>dichos establecimientos, y siempre y cuando se cuente con la concesión para la prestación del servicio público</w:t>
      </w:r>
      <w:r>
        <w:rPr>
          <w:spacing w:val="-7"/>
        </w:rPr>
        <w:t> </w:t>
      </w:r>
      <w:r>
        <w:rPr/>
        <w:t>de</w:t>
      </w:r>
      <w:r>
        <w:rPr>
          <w:spacing w:val="-7"/>
        </w:rPr>
        <w:t> </w:t>
      </w:r>
      <w:r>
        <w:rPr/>
        <w:t>estacionamiento</w:t>
      </w:r>
      <w:r>
        <w:rPr>
          <w:spacing w:val="-7"/>
        </w:rPr>
        <w:t> </w:t>
      </w:r>
      <w:r>
        <w:rPr/>
        <w:t>de</w:t>
      </w:r>
      <w:r>
        <w:rPr>
          <w:spacing w:val="-7"/>
        </w:rPr>
        <w:t> </w:t>
      </w:r>
      <w:r>
        <w:rPr/>
        <w:t>vehículos</w:t>
      </w:r>
      <w:r>
        <w:rPr>
          <w:spacing w:val="-8"/>
        </w:rPr>
        <w:t> </w:t>
      </w:r>
      <w:r>
        <w:rPr/>
        <w:t>conforme</w:t>
      </w:r>
      <w:r>
        <w:rPr>
          <w:spacing w:val="-9"/>
        </w:rPr>
        <w:t> </w:t>
      </w:r>
      <w:r>
        <w:rPr/>
        <w:t>a</w:t>
      </w:r>
      <w:r>
        <w:rPr>
          <w:spacing w:val="-7"/>
        </w:rPr>
        <w:t> </w:t>
      </w:r>
      <w:r>
        <w:rPr/>
        <w:t>lo</w:t>
      </w:r>
      <w:r>
        <w:rPr>
          <w:spacing w:val="-7"/>
        </w:rPr>
        <w:t> </w:t>
      </w:r>
      <w:r>
        <w:rPr/>
        <w:t>establecido</w:t>
      </w:r>
      <w:r>
        <w:rPr>
          <w:spacing w:val="-7"/>
        </w:rPr>
        <w:t> </w:t>
      </w:r>
      <w:r>
        <w:rPr/>
        <w:t>en</w:t>
      </w:r>
      <w:r>
        <w:rPr>
          <w:spacing w:val="-7"/>
        </w:rPr>
        <w:t> </w:t>
      </w:r>
      <w:r>
        <w:rPr/>
        <w:t>la</w:t>
      </w:r>
      <w:r>
        <w:rPr>
          <w:spacing w:val="-9"/>
        </w:rPr>
        <w:t> </w:t>
      </w:r>
      <w:r>
        <w:rPr/>
        <w:t>Ley</w:t>
      </w:r>
      <w:r>
        <w:rPr>
          <w:spacing w:val="-8"/>
        </w:rPr>
        <w:t> </w:t>
      </w:r>
      <w:r>
        <w:rPr/>
        <w:t>Orgánica</w:t>
      </w:r>
      <w:r>
        <w:rPr>
          <w:spacing w:val="-7"/>
        </w:rPr>
        <w:t> </w:t>
      </w:r>
      <w:r>
        <w:rPr/>
        <w:t>del</w:t>
      </w:r>
      <w:r>
        <w:rPr>
          <w:spacing w:val="-10"/>
        </w:rPr>
        <w:t> </w:t>
      </w:r>
      <w:r>
        <w:rPr/>
        <w:t>Municipio Libre</w:t>
      </w:r>
      <w:r>
        <w:rPr>
          <w:spacing w:val="-1"/>
        </w:rPr>
        <w:t> </w:t>
      </w:r>
      <w:r>
        <w:rPr/>
        <w:t>del</w:t>
      </w:r>
      <w:r>
        <w:rPr>
          <w:spacing w:val="-3"/>
        </w:rPr>
        <w:t> </w:t>
      </w:r>
      <w:r>
        <w:rPr/>
        <w:t>Estado</w:t>
      </w:r>
      <w:r>
        <w:rPr>
          <w:spacing w:val="-2"/>
        </w:rPr>
        <w:t> </w:t>
      </w:r>
      <w:r>
        <w:rPr/>
        <w:t>de San</w:t>
      </w:r>
      <w:r>
        <w:rPr>
          <w:spacing w:val="-2"/>
        </w:rPr>
        <w:t> </w:t>
      </w:r>
      <w:r>
        <w:rPr/>
        <w:t>Luis</w:t>
      </w:r>
      <w:r>
        <w:rPr>
          <w:spacing w:val="-3"/>
        </w:rPr>
        <w:t> </w:t>
      </w:r>
      <w:r>
        <w:rPr/>
        <w:t>Potosí,</w:t>
      </w:r>
      <w:r>
        <w:rPr>
          <w:spacing w:val="-2"/>
        </w:rPr>
        <w:t> </w:t>
      </w:r>
      <w:r>
        <w:rPr/>
        <w:t>lo</w:t>
      </w:r>
      <w:r>
        <w:rPr>
          <w:spacing w:val="-2"/>
        </w:rPr>
        <w:t> </w:t>
      </w:r>
      <w:r>
        <w:rPr/>
        <w:t>que</w:t>
      </w:r>
      <w:r>
        <w:rPr>
          <w:spacing w:val="-2"/>
        </w:rPr>
        <w:t> </w:t>
      </w:r>
      <w:r>
        <w:rPr/>
        <w:t>dará</w:t>
      </w:r>
      <w:r>
        <w:rPr>
          <w:spacing w:val="-2"/>
        </w:rPr>
        <w:t> </w:t>
      </w:r>
      <w:r>
        <w:rPr/>
        <w:t>lugar</w:t>
      </w:r>
      <w:r>
        <w:rPr>
          <w:spacing w:val="-1"/>
        </w:rPr>
        <w:t> </w:t>
      </w:r>
      <w:r>
        <w:rPr/>
        <w:t>a</w:t>
      </w:r>
      <w:r>
        <w:rPr>
          <w:spacing w:val="-4"/>
        </w:rPr>
        <w:t> </w:t>
      </w:r>
      <w:r>
        <w:rPr/>
        <w:t>exigir</w:t>
      </w:r>
      <w:r>
        <w:rPr>
          <w:spacing w:val="-1"/>
        </w:rPr>
        <w:t> </w:t>
      </w:r>
      <w:r>
        <w:rPr/>
        <w:t>el</w:t>
      </w:r>
      <w:r>
        <w:rPr>
          <w:spacing w:val="-3"/>
        </w:rPr>
        <w:t> </w:t>
      </w:r>
      <w:r>
        <w:rPr/>
        <w:t>pago</w:t>
      </w:r>
      <w:r>
        <w:rPr>
          <w:spacing w:val="-4"/>
        </w:rPr>
        <w:t> </w:t>
      </w:r>
      <w:r>
        <w:rPr/>
        <w:t>de</w:t>
      </w:r>
      <w:r>
        <w:rPr>
          <w:spacing w:val="-2"/>
        </w:rPr>
        <w:t> </w:t>
      </w:r>
      <w:r>
        <w:rPr/>
        <w:t>la</w:t>
      </w:r>
      <w:r>
        <w:rPr>
          <w:spacing w:val="-2"/>
        </w:rPr>
        <w:t> </w:t>
      </w:r>
      <w:r>
        <w:rPr/>
        <w:t>tarifa establecida</w:t>
      </w:r>
      <w:r>
        <w:rPr>
          <w:spacing w:val="-2"/>
        </w:rPr>
        <w:t> </w:t>
      </w:r>
      <w:r>
        <w:rPr/>
        <w:t>por</w:t>
      </w:r>
      <w:r>
        <w:rPr>
          <w:spacing w:val="-1"/>
        </w:rPr>
        <w:t> </w:t>
      </w:r>
      <w:r>
        <w:rPr/>
        <w:t>la autoridad competente.</w:t>
      </w:r>
    </w:p>
    <w:p>
      <w:pPr>
        <w:pStyle w:val="BodyText"/>
        <w:spacing w:before="1"/>
      </w:pPr>
    </w:p>
    <w:p>
      <w:pPr>
        <w:spacing w:before="1"/>
        <w:ind w:left="262"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18</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2023)</w:t>
      </w:r>
    </w:p>
    <w:p>
      <w:pPr>
        <w:pStyle w:val="BodyText"/>
        <w:ind w:left="262" w:right="269"/>
        <w:jc w:val="both"/>
      </w:pPr>
      <w:r>
        <w:rPr/>
        <w:t>Los estacionamientos de vehículos de los establecimientos comerciales y de servicios deberán cumplir las disposiciones siguientes:</w:t>
      </w:r>
    </w:p>
    <w:p>
      <w:pPr>
        <w:spacing w:before="229"/>
        <w:ind w:left="262"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18</w:t>
      </w:r>
      <w:r>
        <w:rPr>
          <w:rFonts w:ascii="Arial"/>
          <w:i/>
          <w:spacing w:val="-8"/>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0"/>
          <w:numId w:val="104"/>
        </w:numPr>
        <w:tabs>
          <w:tab w:pos="431" w:val="left" w:leader="none"/>
        </w:tabs>
        <w:spacing w:line="240" w:lineRule="auto" w:before="0" w:after="0"/>
        <w:ind w:left="262" w:right="268" w:firstLine="0"/>
        <w:jc w:val="left"/>
        <w:rPr>
          <w:sz w:val="20"/>
        </w:rPr>
      </w:pPr>
      <w:r>
        <w:rPr>
          <w:sz w:val="20"/>
        </w:rPr>
        <w:t>Otorgar a las personas usuarias, cuando menos, quince</w:t>
      </w:r>
      <w:r>
        <w:rPr>
          <w:spacing w:val="-1"/>
          <w:sz w:val="20"/>
        </w:rPr>
        <w:t> </w:t>
      </w:r>
      <w:r>
        <w:rPr>
          <w:sz w:val="20"/>
        </w:rPr>
        <w:t>minutos de</w:t>
      </w:r>
      <w:r>
        <w:rPr>
          <w:spacing w:val="-1"/>
          <w:sz w:val="20"/>
        </w:rPr>
        <w:t> </w:t>
      </w:r>
      <w:r>
        <w:rPr>
          <w:sz w:val="20"/>
        </w:rPr>
        <w:t>tolerancia para</w:t>
      </w:r>
      <w:r>
        <w:rPr>
          <w:spacing w:val="-1"/>
          <w:sz w:val="20"/>
        </w:rPr>
        <w:t> </w:t>
      </w:r>
      <w:r>
        <w:rPr>
          <w:sz w:val="20"/>
        </w:rPr>
        <w:t>abandonar el estacionamiento</w:t>
      </w:r>
      <w:r>
        <w:rPr>
          <w:spacing w:val="-4"/>
          <w:sz w:val="20"/>
        </w:rPr>
        <w:t> </w:t>
      </w:r>
      <w:r>
        <w:rPr>
          <w:sz w:val="20"/>
        </w:rPr>
        <w:t>antes</w:t>
      </w:r>
      <w:r>
        <w:rPr>
          <w:spacing w:val="-2"/>
          <w:sz w:val="20"/>
        </w:rPr>
        <w:t> </w:t>
      </w:r>
      <w:r>
        <w:rPr>
          <w:sz w:val="20"/>
        </w:rPr>
        <w:t>de</w:t>
      </w:r>
      <w:r>
        <w:rPr>
          <w:spacing w:val="-3"/>
          <w:sz w:val="20"/>
        </w:rPr>
        <w:t> </w:t>
      </w:r>
      <w:r>
        <w:rPr>
          <w:sz w:val="20"/>
        </w:rPr>
        <w:t>hacer</w:t>
      </w:r>
      <w:r>
        <w:rPr>
          <w:spacing w:val="-3"/>
          <w:sz w:val="20"/>
        </w:rPr>
        <w:t> </w:t>
      </w:r>
      <w:r>
        <w:rPr>
          <w:sz w:val="20"/>
        </w:rPr>
        <w:t>efectivo</w:t>
      </w:r>
      <w:r>
        <w:rPr>
          <w:spacing w:val="-1"/>
          <w:sz w:val="20"/>
        </w:rPr>
        <w:t> </w:t>
      </w:r>
      <w:r>
        <w:rPr>
          <w:sz w:val="20"/>
        </w:rPr>
        <w:t>el</w:t>
      </w:r>
      <w:r>
        <w:rPr>
          <w:spacing w:val="-4"/>
          <w:sz w:val="20"/>
        </w:rPr>
        <w:t> </w:t>
      </w:r>
      <w:r>
        <w:rPr>
          <w:sz w:val="20"/>
        </w:rPr>
        <w:t>cobro</w:t>
      </w:r>
      <w:r>
        <w:rPr>
          <w:spacing w:val="-1"/>
          <w:sz w:val="20"/>
        </w:rPr>
        <w:t> </w:t>
      </w:r>
      <w:r>
        <w:rPr>
          <w:sz w:val="20"/>
        </w:rPr>
        <w:t>de</w:t>
      </w:r>
      <w:r>
        <w:rPr>
          <w:spacing w:val="-2"/>
          <w:sz w:val="20"/>
        </w:rPr>
        <w:t> </w:t>
      </w:r>
      <w:r>
        <w:rPr>
          <w:sz w:val="20"/>
        </w:rPr>
        <w:t>la</w:t>
      </w:r>
      <w:r>
        <w:rPr>
          <w:spacing w:val="-1"/>
          <w:sz w:val="20"/>
        </w:rPr>
        <w:t> </w:t>
      </w:r>
      <w:r>
        <w:rPr>
          <w:sz w:val="20"/>
        </w:rPr>
        <w:t>tarifa</w:t>
      </w:r>
      <w:r>
        <w:rPr>
          <w:spacing w:val="-1"/>
          <w:sz w:val="20"/>
        </w:rPr>
        <w:t> </w:t>
      </w:r>
      <w:r>
        <w:rPr>
          <w:sz w:val="20"/>
        </w:rPr>
        <w:t>que</w:t>
      </w:r>
      <w:r>
        <w:rPr>
          <w:spacing w:val="-1"/>
          <w:sz w:val="20"/>
        </w:rPr>
        <w:t> </w:t>
      </w:r>
      <w:r>
        <w:rPr>
          <w:sz w:val="20"/>
        </w:rPr>
        <w:t>corresponda,</w:t>
      </w:r>
      <w:r>
        <w:rPr>
          <w:spacing w:val="-3"/>
          <w:sz w:val="20"/>
        </w:rPr>
        <w:t> </w:t>
      </w:r>
      <w:r>
        <w:rPr>
          <w:sz w:val="20"/>
        </w:rPr>
        <w:t>cuando</w:t>
      </w:r>
      <w:r>
        <w:rPr>
          <w:spacing w:val="-1"/>
          <w:sz w:val="20"/>
        </w:rPr>
        <w:t> </w:t>
      </w:r>
      <w:r>
        <w:rPr>
          <w:sz w:val="20"/>
        </w:rPr>
        <w:t>así</w:t>
      </w:r>
      <w:r>
        <w:rPr>
          <w:spacing w:val="-3"/>
          <w:sz w:val="20"/>
        </w:rPr>
        <w:t> </w:t>
      </w:r>
      <w:r>
        <w:rPr>
          <w:sz w:val="20"/>
        </w:rPr>
        <w:t>proceda;</w:t>
      </w:r>
    </w:p>
    <w:p>
      <w:pPr>
        <w:spacing w:before="229"/>
        <w:ind w:left="262"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pacing w:val="-4"/>
          <w:sz w:val="20"/>
        </w:rPr>
        <w:t>2022)</w:t>
      </w:r>
    </w:p>
    <w:p>
      <w:pPr>
        <w:pStyle w:val="ListParagraph"/>
        <w:numPr>
          <w:ilvl w:val="0"/>
          <w:numId w:val="104"/>
        </w:numPr>
        <w:tabs>
          <w:tab w:pos="480" w:val="left" w:leader="none"/>
        </w:tabs>
        <w:spacing w:line="240" w:lineRule="auto" w:before="1" w:after="0"/>
        <w:ind w:left="480" w:right="0" w:hanging="218"/>
        <w:jc w:val="left"/>
        <w:rPr>
          <w:sz w:val="20"/>
        </w:rPr>
      </w:pPr>
      <w:r>
        <w:rPr>
          <w:sz w:val="20"/>
        </w:rPr>
        <w:t>Colocar</w:t>
      </w:r>
      <w:r>
        <w:rPr>
          <w:spacing w:val="-8"/>
          <w:sz w:val="20"/>
        </w:rPr>
        <w:t> </w:t>
      </w:r>
      <w:r>
        <w:rPr>
          <w:sz w:val="20"/>
        </w:rPr>
        <w:t>sistemas</w:t>
      </w:r>
      <w:r>
        <w:rPr>
          <w:spacing w:val="-6"/>
          <w:sz w:val="20"/>
        </w:rPr>
        <w:t> </w:t>
      </w:r>
      <w:r>
        <w:rPr>
          <w:sz w:val="20"/>
        </w:rPr>
        <w:t>de</w:t>
      </w:r>
      <w:r>
        <w:rPr>
          <w:spacing w:val="-8"/>
          <w:sz w:val="20"/>
        </w:rPr>
        <w:t> </w:t>
      </w:r>
      <w:r>
        <w:rPr>
          <w:sz w:val="20"/>
        </w:rPr>
        <w:t>vigilancia</w:t>
      </w:r>
      <w:r>
        <w:rPr>
          <w:spacing w:val="-7"/>
          <w:sz w:val="20"/>
        </w:rPr>
        <w:t> </w:t>
      </w:r>
      <w:r>
        <w:rPr>
          <w:sz w:val="20"/>
        </w:rPr>
        <w:t>y</w:t>
      </w:r>
      <w:r>
        <w:rPr>
          <w:spacing w:val="-7"/>
          <w:sz w:val="20"/>
        </w:rPr>
        <w:t> </w:t>
      </w:r>
      <w:r>
        <w:rPr>
          <w:sz w:val="20"/>
        </w:rPr>
        <w:t>seguridad</w:t>
      </w:r>
      <w:r>
        <w:rPr>
          <w:spacing w:val="-5"/>
          <w:sz w:val="20"/>
        </w:rPr>
        <w:t> </w:t>
      </w:r>
      <w:r>
        <w:rPr>
          <w:sz w:val="20"/>
        </w:rPr>
        <w:t>en</w:t>
      </w:r>
      <w:r>
        <w:rPr>
          <w:spacing w:val="-7"/>
          <w:sz w:val="20"/>
        </w:rPr>
        <w:t> </w:t>
      </w:r>
      <w:r>
        <w:rPr>
          <w:sz w:val="20"/>
        </w:rPr>
        <w:t>el</w:t>
      </w:r>
      <w:r>
        <w:rPr>
          <w:spacing w:val="-7"/>
          <w:sz w:val="20"/>
        </w:rPr>
        <w:t> </w:t>
      </w:r>
      <w:r>
        <w:rPr>
          <w:sz w:val="20"/>
        </w:rPr>
        <w:t>estacionamiento</w:t>
      </w:r>
      <w:r>
        <w:rPr>
          <w:spacing w:val="-7"/>
          <w:sz w:val="20"/>
        </w:rPr>
        <w:t> </w:t>
      </w:r>
      <w:r>
        <w:rPr>
          <w:sz w:val="20"/>
        </w:rPr>
        <w:t>del</w:t>
      </w:r>
      <w:r>
        <w:rPr>
          <w:spacing w:val="-7"/>
          <w:sz w:val="20"/>
        </w:rPr>
        <w:t> </w:t>
      </w:r>
      <w:r>
        <w:rPr>
          <w:spacing w:val="-2"/>
          <w:sz w:val="20"/>
        </w:rPr>
        <w:t>establecimiento;</w:t>
      </w:r>
    </w:p>
    <w:p>
      <w:pPr>
        <w:pStyle w:val="BodyText"/>
        <w:spacing w:before="1"/>
      </w:pPr>
    </w:p>
    <w:p>
      <w:pPr>
        <w:spacing w:before="0"/>
        <w:ind w:left="262"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pacing w:val="-4"/>
          <w:sz w:val="20"/>
        </w:rPr>
        <w:t>2022)</w:t>
      </w:r>
    </w:p>
    <w:p>
      <w:pPr>
        <w:pStyle w:val="ListParagraph"/>
        <w:numPr>
          <w:ilvl w:val="0"/>
          <w:numId w:val="104"/>
        </w:numPr>
        <w:tabs>
          <w:tab w:pos="578" w:val="left" w:leader="none"/>
        </w:tabs>
        <w:spacing w:line="240" w:lineRule="auto" w:before="0" w:after="0"/>
        <w:ind w:left="262" w:right="266" w:firstLine="0"/>
        <w:jc w:val="left"/>
        <w:rPr>
          <w:sz w:val="20"/>
        </w:rPr>
      </w:pPr>
      <w:r>
        <w:rPr>
          <w:sz w:val="20"/>
        </w:rPr>
        <w:t>Contar</w:t>
      </w:r>
      <w:r>
        <w:rPr>
          <w:spacing w:val="40"/>
          <w:sz w:val="20"/>
        </w:rPr>
        <w:t> </w:t>
      </w:r>
      <w:r>
        <w:rPr>
          <w:sz w:val="20"/>
        </w:rPr>
        <w:t>con</w:t>
      </w:r>
      <w:r>
        <w:rPr>
          <w:spacing w:val="39"/>
          <w:sz w:val="20"/>
        </w:rPr>
        <w:t> </w:t>
      </w:r>
      <w:r>
        <w:rPr>
          <w:sz w:val="20"/>
        </w:rPr>
        <w:t>póliza</w:t>
      </w:r>
      <w:r>
        <w:rPr>
          <w:spacing w:val="40"/>
          <w:sz w:val="20"/>
        </w:rPr>
        <w:t> </w:t>
      </w:r>
      <w:r>
        <w:rPr>
          <w:sz w:val="20"/>
        </w:rPr>
        <w:t>de</w:t>
      </w:r>
      <w:r>
        <w:rPr>
          <w:spacing w:val="40"/>
          <w:sz w:val="20"/>
        </w:rPr>
        <w:t> </w:t>
      </w:r>
      <w:r>
        <w:rPr>
          <w:sz w:val="20"/>
        </w:rPr>
        <w:t>seguro</w:t>
      </w:r>
      <w:r>
        <w:rPr>
          <w:spacing w:val="40"/>
          <w:sz w:val="20"/>
        </w:rPr>
        <w:t> </w:t>
      </w:r>
      <w:r>
        <w:rPr>
          <w:sz w:val="20"/>
        </w:rPr>
        <w:t>que</w:t>
      </w:r>
      <w:r>
        <w:rPr>
          <w:spacing w:val="39"/>
          <w:sz w:val="20"/>
        </w:rPr>
        <w:t> </w:t>
      </w:r>
      <w:r>
        <w:rPr>
          <w:sz w:val="20"/>
        </w:rPr>
        <w:t>ampare</w:t>
      </w:r>
      <w:r>
        <w:rPr>
          <w:spacing w:val="39"/>
          <w:sz w:val="20"/>
        </w:rPr>
        <w:t> </w:t>
      </w:r>
      <w:r>
        <w:rPr>
          <w:sz w:val="20"/>
        </w:rPr>
        <w:t>robo</w:t>
      </w:r>
      <w:r>
        <w:rPr>
          <w:spacing w:val="40"/>
          <w:sz w:val="20"/>
        </w:rPr>
        <w:t> </w:t>
      </w:r>
      <w:r>
        <w:rPr>
          <w:sz w:val="20"/>
        </w:rPr>
        <w:t>total</w:t>
      </w:r>
      <w:r>
        <w:rPr>
          <w:spacing w:val="39"/>
          <w:sz w:val="20"/>
        </w:rPr>
        <w:t> </w:t>
      </w:r>
      <w:r>
        <w:rPr>
          <w:sz w:val="20"/>
        </w:rPr>
        <w:t>de</w:t>
      </w:r>
      <w:r>
        <w:rPr>
          <w:spacing w:val="39"/>
          <w:sz w:val="20"/>
        </w:rPr>
        <w:t> </w:t>
      </w:r>
      <w:r>
        <w:rPr>
          <w:sz w:val="20"/>
        </w:rPr>
        <w:t>los</w:t>
      </w:r>
      <w:r>
        <w:rPr>
          <w:spacing w:val="40"/>
          <w:sz w:val="20"/>
        </w:rPr>
        <w:t> </w:t>
      </w:r>
      <w:r>
        <w:rPr>
          <w:sz w:val="20"/>
        </w:rPr>
        <w:t>vehículos,</w:t>
      </w:r>
      <w:r>
        <w:rPr>
          <w:spacing w:val="39"/>
          <w:sz w:val="20"/>
        </w:rPr>
        <w:t> </w:t>
      </w:r>
      <w:r>
        <w:rPr>
          <w:sz w:val="20"/>
        </w:rPr>
        <w:t>y</w:t>
      </w:r>
      <w:r>
        <w:rPr>
          <w:spacing w:val="40"/>
          <w:sz w:val="20"/>
        </w:rPr>
        <w:t> </w:t>
      </w:r>
      <w:r>
        <w:rPr>
          <w:sz w:val="20"/>
        </w:rPr>
        <w:t>en</w:t>
      </w:r>
      <w:r>
        <w:rPr>
          <w:spacing w:val="39"/>
          <w:sz w:val="20"/>
        </w:rPr>
        <w:t> </w:t>
      </w:r>
      <w:r>
        <w:rPr>
          <w:sz w:val="20"/>
        </w:rPr>
        <w:t>su</w:t>
      </w:r>
      <w:r>
        <w:rPr>
          <w:spacing w:val="39"/>
          <w:sz w:val="20"/>
        </w:rPr>
        <w:t> </w:t>
      </w:r>
      <w:r>
        <w:rPr>
          <w:sz w:val="20"/>
        </w:rPr>
        <w:t>caso</w:t>
      </w:r>
      <w:r>
        <w:rPr>
          <w:spacing w:val="39"/>
          <w:sz w:val="20"/>
        </w:rPr>
        <w:t> </w:t>
      </w:r>
      <w:r>
        <w:rPr>
          <w:sz w:val="20"/>
        </w:rPr>
        <w:t>daños ocasionados por elementos materiales del estacionamiento del establecimiento, y</w:t>
      </w:r>
    </w:p>
    <w:p>
      <w:pPr>
        <w:spacing w:before="229"/>
        <w:ind w:left="262" w:right="0" w:firstLine="0"/>
        <w:jc w:val="left"/>
        <w:rPr>
          <w:rFonts w:ascii="Arial"/>
          <w:i/>
          <w:sz w:val="20"/>
        </w:rPr>
      </w:pPr>
      <w:r>
        <w:rPr>
          <w:rFonts w:ascii="Arial"/>
          <w:i/>
          <w:sz w:val="20"/>
        </w:rPr>
        <w:t>(ADICIONADA,</w:t>
      </w:r>
      <w:r>
        <w:rPr>
          <w:rFonts w:ascii="Arial"/>
          <w:i/>
          <w:spacing w:val="-8"/>
          <w:sz w:val="20"/>
        </w:rPr>
        <w:t> </w:t>
      </w:r>
      <w:r>
        <w:rPr>
          <w:rFonts w:ascii="Arial"/>
          <w:i/>
          <w:sz w:val="20"/>
        </w:rPr>
        <w:t>P.O.</w:t>
      </w:r>
      <w:r>
        <w:rPr>
          <w:rFonts w:ascii="Arial"/>
          <w:i/>
          <w:spacing w:val="-6"/>
          <w:sz w:val="20"/>
        </w:rPr>
        <w:t> </w:t>
      </w:r>
      <w:r>
        <w:rPr>
          <w:rFonts w:ascii="Arial"/>
          <w:i/>
          <w:sz w:val="20"/>
        </w:rPr>
        <w:t>14</w:t>
      </w:r>
      <w:r>
        <w:rPr>
          <w:rFonts w:ascii="Arial"/>
          <w:i/>
          <w:spacing w:val="-8"/>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0"/>
          <w:numId w:val="104"/>
        </w:numPr>
        <w:tabs>
          <w:tab w:pos="590" w:val="left" w:leader="none"/>
        </w:tabs>
        <w:spacing w:line="240" w:lineRule="auto" w:before="0" w:after="0"/>
        <w:ind w:left="262" w:right="271" w:firstLine="0"/>
        <w:jc w:val="left"/>
        <w:rPr>
          <w:sz w:val="20"/>
        </w:rPr>
      </w:pPr>
      <w:r>
        <w:rPr>
          <w:sz w:val="20"/>
        </w:rPr>
        <w:t>Colocar</w:t>
      </w:r>
      <w:r>
        <w:rPr>
          <w:spacing w:val="27"/>
          <w:sz w:val="20"/>
        </w:rPr>
        <w:t> </w:t>
      </w:r>
      <w:r>
        <w:rPr>
          <w:sz w:val="20"/>
        </w:rPr>
        <w:t>en</w:t>
      </w:r>
      <w:r>
        <w:rPr>
          <w:spacing w:val="26"/>
          <w:sz w:val="20"/>
        </w:rPr>
        <w:t> </w:t>
      </w:r>
      <w:r>
        <w:rPr>
          <w:sz w:val="20"/>
        </w:rPr>
        <w:t>lugares</w:t>
      </w:r>
      <w:r>
        <w:rPr>
          <w:spacing w:val="25"/>
          <w:sz w:val="20"/>
        </w:rPr>
        <w:t> </w:t>
      </w:r>
      <w:r>
        <w:rPr>
          <w:sz w:val="20"/>
        </w:rPr>
        <w:t>visibles</w:t>
      </w:r>
      <w:r>
        <w:rPr>
          <w:spacing w:val="27"/>
          <w:sz w:val="20"/>
        </w:rPr>
        <w:t> </w:t>
      </w:r>
      <w:r>
        <w:rPr>
          <w:sz w:val="20"/>
        </w:rPr>
        <w:t>de</w:t>
      </w:r>
      <w:r>
        <w:rPr>
          <w:spacing w:val="26"/>
          <w:sz w:val="20"/>
        </w:rPr>
        <w:t> </w:t>
      </w:r>
      <w:r>
        <w:rPr>
          <w:sz w:val="20"/>
        </w:rPr>
        <w:t>la</w:t>
      </w:r>
      <w:r>
        <w:rPr>
          <w:spacing w:val="26"/>
          <w:sz w:val="20"/>
        </w:rPr>
        <w:t> </w:t>
      </w:r>
      <w:r>
        <w:rPr>
          <w:sz w:val="20"/>
        </w:rPr>
        <w:t>entrada</w:t>
      </w:r>
      <w:r>
        <w:rPr>
          <w:spacing w:val="24"/>
          <w:sz w:val="20"/>
        </w:rPr>
        <w:t> </w:t>
      </w:r>
      <w:r>
        <w:rPr>
          <w:sz w:val="20"/>
        </w:rPr>
        <w:t>y</w:t>
      </w:r>
      <w:r>
        <w:rPr>
          <w:spacing w:val="28"/>
          <w:sz w:val="20"/>
        </w:rPr>
        <w:t> </w:t>
      </w:r>
      <w:r>
        <w:rPr>
          <w:sz w:val="20"/>
        </w:rPr>
        <w:t>salida</w:t>
      </w:r>
      <w:r>
        <w:rPr>
          <w:spacing w:val="24"/>
          <w:sz w:val="20"/>
        </w:rPr>
        <w:t> </w:t>
      </w:r>
      <w:r>
        <w:rPr>
          <w:sz w:val="20"/>
        </w:rPr>
        <w:t>del</w:t>
      </w:r>
      <w:r>
        <w:rPr>
          <w:spacing w:val="25"/>
          <w:sz w:val="20"/>
        </w:rPr>
        <w:t> </w:t>
      </w:r>
      <w:r>
        <w:rPr>
          <w:sz w:val="20"/>
        </w:rPr>
        <w:t>estacionamiento</w:t>
      </w:r>
      <w:r>
        <w:rPr>
          <w:spacing w:val="26"/>
          <w:sz w:val="20"/>
        </w:rPr>
        <w:t> </w:t>
      </w:r>
      <w:r>
        <w:rPr>
          <w:sz w:val="20"/>
        </w:rPr>
        <w:t>los</w:t>
      </w:r>
      <w:r>
        <w:rPr>
          <w:spacing w:val="27"/>
          <w:sz w:val="20"/>
        </w:rPr>
        <w:t> </w:t>
      </w:r>
      <w:r>
        <w:rPr>
          <w:sz w:val="20"/>
        </w:rPr>
        <w:t>avisos</w:t>
      </w:r>
      <w:r>
        <w:rPr>
          <w:spacing w:val="25"/>
          <w:sz w:val="20"/>
        </w:rPr>
        <w:t> </w:t>
      </w:r>
      <w:r>
        <w:rPr>
          <w:sz w:val="20"/>
        </w:rPr>
        <w:t>que</w:t>
      </w:r>
      <w:r>
        <w:rPr>
          <w:spacing w:val="26"/>
          <w:sz w:val="20"/>
        </w:rPr>
        <w:t> </w:t>
      </w:r>
      <w:r>
        <w:rPr>
          <w:sz w:val="20"/>
        </w:rPr>
        <w:t>den</w:t>
      </w:r>
      <w:r>
        <w:rPr>
          <w:spacing w:val="24"/>
          <w:sz w:val="20"/>
        </w:rPr>
        <w:t> </w:t>
      </w:r>
      <w:r>
        <w:rPr>
          <w:sz w:val="20"/>
        </w:rPr>
        <w:t>a conocer las obligaciones establecidas en el presente artículo.</w:t>
      </w:r>
    </w:p>
    <w:p>
      <w:pPr>
        <w:spacing w:before="208"/>
        <w:ind w:left="26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14</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pacing w:val="-4"/>
          <w:sz w:val="20"/>
        </w:rPr>
        <w:t>2022)</w:t>
      </w:r>
    </w:p>
    <w:p>
      <w:pPr>
        <w:pStyle w:val="BodyText"/>
        <w:ind w:left="262" w:right="267"/>
        <w:jc w:val="both"/>
      </w:pPr>
      <w:r>
        <w:rPr/>
        <w:t>El</w:t>
      </w:r>
      <w:r>
        <w:rPr>
          <w:spacing w:val="-4"/>
        </w:rPr>
        <w:t> </w:t>
      </w:r>
      <w:r>
        <w:rPr/>
        <w:t>incumplimiento</w:t>
      </w:r>
      <w:r>
        <w:rPr>
          <w:spacing w:val="-4"/>
        </w:rPr>
        <w:t> </w:t>
      </w:r>
      <w:r>
        <w:rPr/>
        <w:t>de</w:t>
      </w:r>
      <w:r>
        <w:rPr>
          <w:spacing w:val="-4"/>
        </w:rPr>
        <w:t> </w:t>
      </w:r>
      <w:r>
        <w:rPr/>
        <w:t>las</w:t>
      </w:r>
      <w:r>
        <w:rPr>
          <w:spacing w:val="-4"/>
        </w:rPr>
        <w:t> </w:t>
      </w:r>
      <w:r>
        <w:rPr/>
        <w:t>obligaciones</w:t>
      </w:r>
      <w:r>
        <w:rPr>
          <w:spacing w:val="-4"/>
        </w:rPr>
        <w:t> </w:t>
      </w:r>
      <w:r>
        <w:rPr/>
        <w:t>establecidas</w:t>
      </w:r>
      <w:r>
        <w:rPr>
          <w:spacing w:val="-2"/>
        </w:rPr>
        <w:t> </w:t>
      </w:r>
      <w:r>
        <w:rPr/>
        <w:t>en</w:t>
      </w:r>
      <w:r>
        <w:rPr>
          <w:spacing w:val="-4"/>
        </w:rPr>
        <w:t> </w:t>
      </w:r>
      <w:r>
        <w:rPr/>
        <w:t>el</w:t>
      </w:r>
      <w:r>
        <w:rPr>
          <w:spacing w:val="-6"/>
        </w:rPr>
        <w:t> </w:t>
      </w:r>
      <w:r>
        <w:rPr/>
        <w:t>presente</w:t>
      </w:r>
      <w:r>
        <w:rPr>
          <w:spacing w:val="-4"/>
        </w:rPr>
        <w:t> </w:t>
      </w:r>
      <w:r>
        <w:rPr/>
        <w:t>artículo,</w:t>
      </w:r>
      <w:r>
        <w:rPr>
          <w:spacing w:val="-5"/>
        </w:rPr>
        <w:t> </w:t>
      </w:r>
      <w:r>
        <w:rPr/>
        <w:t>será</w:t>
      </w:r>
      <w:r>
        <w:rPr>
          <w:spacing w:val="-5"/>
        </w:rPr>
        <w:t> </w:t>
      </w:r>
      <w:r>
        <w:rPr/>
        <w:t>causa</w:t>
      </w:r>
      <w:r>
        <w:rPr>
          <w:spacing w:val="-5"/>
        </w:rPr>
        <w:t> </w:t>
      </w:r>
      <w:r>
        <w:rPr/>
        <w:t>de</w:t>
      </w:r>
      <w:r>
        <w:rPr>
          <w:spacing w:val="-5"/>
        </w:rPr>
        <w:t> </w:t>
      </w:r>
      <w:r>
        <w:rPr/>
        <w:t>aplicación de multa, y en caso de reincidencia, revocación de la licencia de funcionamiento por parte del ayuntamiento que corresponda.</w:t>
      </w:r>
    </w:p>
    <w:p>
      <w:pPr>
        <w:pStyle w:val="BodyText"/>
      </w:pPr>
    </w:p>
    <w:p>
      <w:pPr>
        <w:pStyle w:val="BodyText"/>
      </w:pPr>
    </w:p>
    <w:p>
      <w:pPr>
        <w:pStyle w:val="Heading2"/>
        <w:ind w:right="15"/>
      </w:pPr>
      <w:r>
        <w:rPr/>
        <w:t>Sección</w:t>
      </w:r>
      <w:r>
        <w:rPr>
          <w:spacing w:val="-9"/>
        </w:rPr>
        <w:t> </w:t>
      </w:r>
      <w:r>
        <w:rPr>
          <w:spacing w:val="-2"/>
        </w:rPr>
        <w:t>Cuarta</w:t>
      </w:r>
    </w:p>
    <w:p>
      <w:pPr>
        <w:pStyle w:val="BodyText"/>
        <w:spacing w:before="1"/>
        <w:rPr>
          <w:rFonts w:ascii="Arial"/>
          <w:b/>
        </w:rPr>
      </w:pPr>
    </w:p>
    <w:p>
      <w:pPr>
        <w:spacing w:before="0"/>
        <w:ind w:left="148" w:right="168" w:firstLine="0"/>
        <w:jc w:val="center"/>
        <w:rPr>
          <w:rFonts w:ascii="Arial"/>
          <w:b/>
          <w:sz w:val="20"/>
        </w:rPr>
      </w:pPr>
      <w:r>
        <w:rPr>
          <w:rFonts w:ascii="Arial"/>
          <w:b/>
          <w:sz w:val="20"/>
        </w:rPr>
        <w:t>Compatibilidad</w:t>
      </w:r>
      <w:r>
        <w:rPr>
          <w:rFonts w:ascii="Arial"/>
          <w:b/>
          <w:spacing w:val="-5"/>
          <w:sz w:val="20"/>
        </w:rPr>
        <w:t> </w:t>
      </w:r>
      <w:r>
        <w:rPr>
          <w:rFonts w:ascii="Arial"/>
          <w:b/>
          <w:sz w:val="20"/>
        </w:rPr>
        <w:t>de</w:t>
      </w:r>
      <w:r>
        <w:rPr>
          <w:rFonts w:ascii="Arial"/>
          <w:b/>
          <w:spacing w:val="-3"/>
          <w:sz w:val="20"/>
        </w:rPr>
        <w:t> </w:t>
      </w:r>
      <w:r>
        <w:rPr>
          <w:rFonts w:ascii="Arial"/>
          <w:b/>
          <w:sz w:val="20"/>
        </w:rPr>
        <w:t>las</w:t>
      </w:r>
      <w:r>
        <w:rPr>
          <w:rFonts w:ascii="Arial"/>
          <w:b/>
          <w:spacing w:val="-6"/>
          <w:sz w:val="20"/>
        </w:rPr>
        <w:t> </w:t>
      </w:r>
      <w:r>
        <w:rPr>
          <w:rFonts w:ascii="Arial"/>
          <w:b/>
          <w:sz w:val="20"/>
        </w:rPr>
        <w:t>Licencias</w:t>
      </w:r>
      <w:r>
        <w:rPr>
          <w:rFonts w:ascii="Arial"/>
          <w:b/>
          <w:spacing w:val="-4"/>
          <w:sz w:val="20"/>
        </w:rPr>
        <w:t> </w:t>
      </w:r>
      <w:r>
        <w:rPr>
          <w:rFonts w:ascii="Arial"/>
          <w:b/>
          <w:sz w:val="20"/>
        </w:rPr>
        <w:t>de</w:t>
      </w:r>
      <w:r>
        <w:rPr>
          <w:rFonts w:ascii="Arial"/>
          <w:b/>
          <w:spacing w:val="-5"/>
          <w:sz w:val="20"/>
        </w:rPr>
        <w:t> </w:t>
      </w:r>
      <w:r>
        <w:rPr>
          <w:rFonts w:ascii="Arial"/>
          <w:b/>
          <w:sz w:val="20"/>
        </w:rPr>
        <w:t>Uso</w:t>
      </w:r>
      <w:r>
        <w:rPr>
          <w:rFonts w:ascii="Arial"/>
          <w:b/>
          <w:spacing w:val="-5"/>
          <w:sz w:val="20"/>
        </w:rPr>
        <w:t> </w:t>
      </w:r>
      <w:r>
        <w:rPr>
          <w:rFonts w:ascii="Arial"/>
          <w:b/>
          <w:sz w:val="20"/>
        </w:rPr>
        <w:t>de</w:t>
      </w:r>
      <w:r>
        <w:rPr>
          <w:rFonts w:ascii="Arial"/>
          <w:b/>
          <w:spacing w:val="-3"/>
          <w:sz w:val="20"/>
        </w:rPr>
        <w:t> </w:t>
      </w:r>
      <w:r>
        <w:rPr>
          <w:rFonts w:ascii="Arial"/>
          <w:b/>
          <w:sz w:val="20"/>
        </w:rPr>
        <w:t>Suelo</w:t>
      </w:r>
      <w:r>
        <w:rPr>
          <w:rFonts w:ascii="Arial"/>
          <w:b/>
          <w:spacing w:val="-5"/>
          <w:sz w:val="20"/>
        </w:rPr>
        <w:t> </w:t>
      </w:r>
      <w:r>
        <w:rPr>
          <w:rFonts w:ascii="Arial"/>
          <w:b/>
          <w:sz w:val="20"/>
        </w:rPr>
        <w:t>con</w:t>
      </w:r>
      <w:r>
        <w:rPr>
          <w:rFonts w:ascii="Arial"/>
          <w:b/>
          <w:spacing w:val="-4"/>
          <w:sz w:val="20"/>
        </w:rPr>
        <w:t> </w:t>
      </w:r>
      <w:r>
        <w:rPr>
          <w:rFonts w:ascii="Arial"/>
          <w:b/>
          <w:sz w:val="20"/>
        </w:rPr>
        <w:t>los</w:t>
      </w:r>
      <w:r>
        <w:rPr>
          <w:rFonts w:ascii="Arial"/>
          <w:b/>
          <w:spacing w:val="-5"/>
          <w:sz w:val="20"/>
        </w:rPr>
        <w:t> </w:t>
      </w:r>
      <w:r>
        <w:rPr>
          <w:rFonts w:ascii="Arial"/>
          <w:b/>
          <w:sz w:val="20"/>
        </w:rPr>
        <w:t>Programas</w:t>
      </w:r>
      <w:r>
        <w:rPr>
          <w:rFonts w:ascii="Arial"/>
          <w:b/>
          <w:spacing w:val="-6"/>
          <w:sz w:val="20"/>
        </w:rPr>
        <w:t> </w:t>
      </w:r>
      <w:r>
        <w:rPr>
          <w:rFonts w:ascii="Arial"/>
          <w:b/>
          <w:sz w:val="20"/>
        </w:rPr>
        <w:t>de</w:t>
      </w:r>
      <w:r>
        <w:rPr>
          <w:rFonts w:ascii="Arial"/>
          <w:b/>
          <w:spacing w:val="-2"/>
          <w:sz w:val="20"/>
        </w:rPr>
        <w:t> </w:t>
      </w:r>
      <w:r>
        <w:rPr>
          <w:rFonts w:ascii="Arial"/>
          <w:b/>
          <w:sz w:val="20"/>
        </w:rPr>
        <w:t>Ordenamiento Territorial y Desarrollo Urbano</w:t>
      </w:r>
    </w:p>
    <w:p>
      <w:pPr>
        <w:pStyle w:val="BodyText"/>
        <w:spacing w:before="229"/>
        <w:ind w:left="262" w:right="280"/>
        <w:jc w:val="both"/>
      </w:pPr>
      <w:r>
        <w:rPr>
          <w:rFonts w:ascii="Arial" w:hAnsi="Arial"/>
          <w:b/>
        </w:rPr>
        <w:t>ARTÍCULO</w:t>
      </w:r>
      <w:r>
        <w:rPr>
          <w:rFonts w:ascii="Arial" w:hAnsi="Arial"/>
          <w:b/>
          <w:spacing w:val="-8"/>
        </w:rPr>
        <w:t> </w:t>
      </w:r>
      <w:r>
        <w:rPr>
          <w:rFonts w:ascii="Arial" w:hAnsi="Arial"/>
          <w:b/>
        </w:rPr>
        <w:t>281</w:t>
      </w:r>
      <w:r>
        <w:rPr>
          <w:rFonts w:ascii="Arial" w:hAnsi="Arial"/>
          <w:b/>
          <w:i/>
        </w:rPr>
        <w:t>.</w:t>
      </w:r>
      <w:r>
        <w:rPr>
          <w:rFonts w:ascii="Arial" w:hAnsi="Arial"/>
          <w:b/>
          <w:i/>
          <w:spacing w:val="-9"/>
        </w:rPr>
        <w:t> </w:t>
      </w:r>
      <w:r>
        <w:rPr/>
        <w:t>La</w:t>
      </w:r>
      <w:r>
        <w:rPr>
          <w:spacing w:val="-9"/>
        </w:rPr>
        <w:t> </w:t>
      </w:r>
      <w:r>
        <w:rPr/>
        <w:t>licencia</w:t>
      </w:r>
      <w:r>
        <w:rPr>
          <w:spacing w:val="-9"/>
        </w:rPr>
        <w:t> </w:t>
      </w:r>
      <w:r>
        <w:rPr/>
        <w:t>de</w:t>
      </w:r>
      <w:r>
        <w:rPr>
          <w:spacing w:val="-7"/>
        </w:rPr>
        <w:t> </w:t>
      </w:r>
      <w:r>
        <w:rPr/>
        <w:t>uso</w:t>
      </w:r>
      <w:r>
        <w:rPr>
          <w:spacing w:val="-9"/>
        </w:rPr>
        <w:t> </w:t>
      </w:r>
      <w:r>
        <w:rPr/>
        <w:t>de</w:t>
      </w:r>
      <w:r>
        <w:rPr>
          <w:spacing w:val="-9"/>
        </w:rPr>
        <w:t> </w:t>
      </w:r>
      <w:r>
        <w:rPr/>
        <w:t>suelo</w:t>
      </w:r>
      <w:r>
        <w:rPr>
          <w:spacing w:val="-6"/>
        </w:rPr>
        <w:t> </w:t>
      </w:r>
      <w:r>
        <w:rPr/>
        <w:t>certifica</w:t>
      </w:r>
      <w:r>
        <w:rPr>
          <w:spacing w:val="-7"/>
        </w:rPr>
        <w:t> </w:t>
      </w:r>
      <w:r>
        <w:rPr/>
        <w:t>que</w:t>
      </w:r>
      <w:r>
        <w:rPr>
          <w:spacing w:val="-7"/>
        </w:rPr>
        <w:t> </w:t>
      </w:r>
      <w:r>
        <w:rPr/>
        <w:t>la</w:t>
      </w:r>
      <w:r>
        <w:rPr>
          <w:spacing w:val="-9"/>
        </w:rPr>
        <w:t> </w:t>
      </w:r>
      <w:r>
        <w:rPr/>
        <w:t>acción,</w:t>
      </w:r>
      <w:r>
        <w:rPr>
          <w:spacing w:val="-9"/>
        </w:rPr>
        <w:t> </w:t>
      </w:r>
      <w:r>
        <w:rPr/>
        <w:t>obra,</w:t>
      </w:r>
      <w:r>
        <w:rPr>
          <w:spacing w:val="-6"/>
        </w:rPr>
        <w:t> </w:t>
      </w:r>
      <w:r>
        <w:rPr/>
        <w:t>inversión</w:t>
      </w:r>
      <w:r>
        <w:rPr>
          <w:spacing w:val="-9"/>
        </w:rPr>
        <w:t> </w:t>
      </w:r>
      <w:r>
        <w:rPr/>
        <w:t>o</w:t>
      </w:r>
      <w:r>
        <w:rPr>
          <w:spacing w:val="-9"/>
        </w:rPr>
        <w:t> </w:t>
      </w:r>
      <w:r>
        <w:rPr/>
        <w:t>servicio</w:t>
      </w:r>
      <w:r>
        <w:rPr>
          <w:spacing w:val="-9"/>
        </w:rPr>
        <w:t> </w:t>
      </w:r>
      <w:r>
        <w:rPr/>
        <w:t>que</w:t>
      </w:r>
      <w:r>
        <w:rPr>
          <w:spacing w:val="-9"/>
        </w:rPr>
        <w:t> </w:t>
      </w:r>
      <w:r>
        <w:rPr/>
        <w:t>se pretenda realizar es compatible con la legislación y los programas de ordenamiento territorial y desarrollo urbano, señalando las limitaciones, restricciones, afectaciones, características y aprovechamientos de las áreas o predio materia de la misma, las que deberán acatarse por el </w:t>
      </w:r>
      <w:r>
        <w:rPr>
          <w:spacing w:val="-2"/>
        </w:rPr>
        <w:t>solicitante.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3"/>
        <w:jc w:val="both"/>
      </w:pPr>
      <w:r>
        <w:rPr>
          <w:rFonts w:ascii="Arial" w:hAnsi="Arial"/>
          <w:b/>
        </w:rPr>
        <w:t>ARTÍCULO 282</w:t>
      </w:r>
      <w:r>
        <w:rPr>
          <w:rFonts w:ascii="Arial" w:hAnsi="Arial"/>
          <w:b/>
          <w:i/>
        </w:rPr>
        <w:t>. </w:t>
      </w:r>
      <w:r>
        <w:rPr/>
        <w:t>Los Programas de Ordenamiento Territorial y Desarrollo Urbano procurarán en materia de uso de suelo:</w:t>
      </w:r>
    </w:p>
    <w:p>
      <w:pPr>
        <w:pStyle w:val="BodyText"/>
        <w:spacing w:before="1"/>
      </w:pPr>
    </w:p>
    <w:p>
      <w:pPr>
        <w:pStyle w:val="ListParagraph"/>
        <w:numPr>
          <w:ilvl w:val="0"/>
          <w:numId w:val="105"/>
        </w:numPr>
        <w:tabs>
          <w:tab w:pos="688" w:val="left" w:leader="none"/>
        </w:tabs>
        <w:spacing w:line="240" w:lineRule="auto" w:before="0" w:after="0"/>
        <w:ind w:left="262" w:right="279" w:firstLine="0"/>
        <w:jc w:val="both"/>
        <w:rPr>
          <w:sz w:val="20"/>
        </w:rPr>
      </w:pPr>
      <w:r>
        <w:rPr>
          <w:sz w:val="20"/>
        </w:rPr>
        <w:t>La asignación de usos del suelo y destinos compatibles, promoviendo la mezcla de usos del suelo mixtos, procurando integrar las zonas residenciales, comerciales y centros de trabajo, impidiendo la expansión física desordenada de los centros de población y la adecuada estructura </w:t>
      </w:r>
      <w:r>
        <w:rPr>
          <w:spacing w:val="-2"/>
          <w:sz w:val="20"/>
        </w:rPr>
        <w:t>vial;</w:t>
      </w:r>
    </w:p>
    <w:p>
      <w:pPr>
        <w:pStyle w:val="BodyText"/>
      </w:pPr>
    </w:p>
    <w:p>
      <w:pPr>
        <w:pStyle w:val="ListParagraph"/>
        <w:numPr>
          <w:ilvl w:val="0"/>
          <w:numId w:val="105"/>
        </w:numPr>
        <w:tabs>
          <w:tab w:pos="686" w:val="left" w:leader="none"/>
        </w:tabs>
        <w:spacing w:line="240" w:lineRule="auto" w:before="0" w:after="0"/>
        <w:ind w:left="262" w:right="283" w:firstLine="0"/>
        <w:jc w:val="both"/>
        <w:rPr>
          <w:sz w:val="20"/>
        </w:rPr>
      </w:pPr>
      <w:r>
        <w:rPr>
          <w:sz w:val="20"/>
        </w:rPr>
        <w:t>La compatibilidad de los servicios públicos y la infraestructura de telecomunicaciones y de radiodifusión, en cualquier uso de suelo, para zonas urbanizables y no urbanizables;</w:t>
      </w:r>
    </w:p>
    <w:p>
      <w:pPr>
        <w:spacing w:before="229"/>
        <w:ind w:left="262" w:right="0" w:firstLine="0"/>
        <w:jc w:val="both"/>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01</w:t>
      </w:r>
      <w:r>
        <w:rPr>
          <w:rFonts w:ascii="Arial"/>
          <w:i/>
          <w:spacing w:val="-6"/>
          <w:sz w:val="20"/>
        </w:rPr>
        <w:t> </w:t>
      </w:r>
      <w:r>
        <w:rPr>
          <w:rFonts w:ascii="Arial"/>
          <w:i/>
          <w:sz w:val="20"/>
        </w:rPr>
        <w:t>MAYO</w:t>
      </w:r>
      <w:r>
        <w:rPr>
          <w:rFonts w:ascii="Arial"/>
          <w:i/>
          <w:spacing w:val="-6"/>
          <w:sz w:val="20"/>
        </w:rPr>
        <w:t> </w:t>
      </w:r>
      <w:r>
        <w:rPr>
          <w:rFonts w:ascii="Arial"/>
          <w:i/>
          <w:sz w:val="20"/>
        </w:rPr>
        <w:t>DE</w:t>
      </w:r>
      <w:r>
        <w:rPr>
          <w:rFonts w:ascii="Arial"/>
          <w:i/>
          <w:spacing w:val="-7"/>
          <w:sz w:val="20"/>
        </w:rPr>
        <w:t> </w:t>
      </w:r>
      <w:r>
        <w:rPr>
          <w:rFonts w:ascii="Arial"/>
          <w:i/>
          <w:spacing w:val="-4"/>
          <w:sz w:val="20"/>
        </w:rPr>
        <w:t>2024)</w:t>
      </w:r>
    </w:p>
    <w:p>
      <w:pPr>
        <w:pStyle w:val="ListParagraph"/>
        <w:numPr>
          <w:ilvl w:val="0"/>
          <w:numId w:val="105"/>
        </w:numPr>
        <w:tabs>
          <w:tab w:pos="741" w:val="left" w:leader="none"/>
        </w:tabs>
        <w:spacing w:line="240" w:lineRule="auto" w:before="1" w:after="0"/>
        <w:ind w:left="262" w:right="277" w:firstLine="0"/>
        <w:jc w:val="both"/>
        <w:rPr>
          <w:sz w:val="20"/>
        </w:rPr>
      </w:pPr>
      <w:r>
        <w:rPr>
          <w:sz w:val="20"/>
        </w:rPr>
        <w:t>El reordenamiento, renovación o densificación de áreas urbanas deterioradas, aprovechando adecuadamente sus componentes sociales y materiales; en caso de la densificación, esta deberá incluir,</w:t>
      </w:r>
      <w:r>
        <w:rPr>
          <w:spacing w:val="-1"/>
          <w:sz w:val="20"/>
        </w:rPr>
        <w:t> </w:t>
      </w:r>
      <w:r>
        <w:rPr>
          <w:sz w:val="20"/>
        </w:rPr>
        <w:t>si</w:t>
      </w:r>
      <w:r>
        <w:rPr>
          <w:spacing w:val="-2"/>
          <w:sz w:val="20"/>
        </w:rPr>
        <w:t> </w:t>
      </w:r>
      <w:r>
        <w:rPr>
          <w:sz w:val="20"/>
        </w:rPr>
        <w:t>fuera viable, la creación</w:t>
      </w:r>
      <w:r>
        <w:rPr>
          <w:spacing w:val="-1"/>
          <w:sz w:val="20"/>
        </w:rPr>
        <w:t> </w:t>
      </w:r>
      <w:r>
        <w:rPr>
          <w:sz w:val="20"/>
        </w:rPr>
        <w:t>de</w:t>
      </w:r>
      <w:r>
        <w:rPr>
          <w:spacing w:val="-1"/>
          <w:sz w:val="20"/>
        </w:rPr>
        <w:t> </w:t>
      </w:r>
      <w:r>
        <w:rPr>
          <w:sz w:val="20"/>
        </w:rPr>
        <w:t>vivienda de interés social bajo los términos de esta ley y otras </w:t>
      </w:r>
      <w:r>
        <w:rPr>
          <w:spacing w:val="-2"/>
          <w:sz w:val="20"/>
        </w:rPr>
        <w:t>aplicables.</w:t>
      </w:r>
    </w:p>
    <w:p>
      <w:pPr>
        <w:pStyle w:val="ListParagraph"/>
        <w:numPr>
          <w:ilvl w:val="0"/>
          <w:numId w:val="105"/>
        </w:numPr>
        <w:tabs>
          <w:tab w:pos="688" w:val="left" w:leader="none"/>
        </w:tabs>
        <w:spacing w:line="240" w:lineRule="auto" w:before="229" w:after="0"/>
        <w:ind w:left="262" w:right="285" w:firstLine="0"/>
        <w:jc w:val="both"/>
        <w:rPr>
          <w:sz w:val="20"/>
        </w:rPr>
      </w:pPr>
      <w:r>
        <w:rPr>
          <w:sz w:val="20"/>
        </w:rPr>
        <w:t>La conservación y protección de zonas con valor histórico y cultural que se encuentren </w:t>
      </w:r>
      <w:r>
        <w:rPr>
          <w:spacing w:val="-2"/>
          <w:sz w:val="20"/>
        </w:rPr>
        <w:t>abandonadas;</w:t>
      </w:r>
    </w:p>
    <w:p>
      <w:pPr>
        <w:pStyle w:val="BodyText"/>
        <w:spacing w:before="2"/>
      </w:pPr>
    </w:p>
    <w:p>
      <w:pPr>
        <w:pStyle w:val="ListParagraph"/>
        <w:numPr>
          <w:ilvl w:val="0"/>
          <w:numId w:val="105"/>
        </w:numPr>
        <w:tabs>
          <w:tab w:pos="688" w:val="left" w:leader="none"/>
        </w:tabs>
        <w:spacing w:line="240" w:lineRule="auto" w:before="0" w:after="0"/>
        <w:ind w:left="262" w:right="280" w:firstLine="0"/>
        <w:jc w:val="both"/>
        <w:rPr>
          <w:sz w:val="20"/>
        </w:rPr>
      </w:pPr>
      <w:r>
        <w:rPr>
          <w:sz w:val="20"/>
        </w:rPr>
        <w:t>La</w:t>
      </w:r>
      <w:r>
        <w:rPr>
          <w:spacing w:val="-8"/>
          <w:sz w:val="20"/>
        </w:rPr>
        <w:t> </w:t>
      </w:r>
      <w:r>
        <w:rPr>
          <w:sz w:val="20"/>
        </w:rPr>
        <w:t>dotación</w:t>
      </w:r>
      <w:r>
        <w:rPr>
          <w:spacing w:val="-6"/>
          <w:sz w:val="20"/>
        </w:rPr>
        <w:t> </w:t>
      </w:r>
      <w:r>
        <w:rPr>
          <w:sz w:val="20"/>
        </w:rPr>
        <w:t>de</w:t>
      </w:r>
      <w:r>
        <w:rPr>
          <w:spacing w:val="-6"/>
          <w:sz w:val="20"/>
        </w:rPr>
        <w:t> </w:t>
      </w:r>
      <w:r>
        <w:rPr>
          <w:sz w:val="20"/>
        </w:rPr>
        <w:t>espacios</w:t>
      </w:r>
      <w:r>
        <w:rPr>
          <w:spacing w:val="-7"/>
          <w:sz w:val="20"/>
        </w:rPr>
        <w:t> </w:t>
      </w:r>
      <w:r>
        <w:rPr>
          <w:sz w:val="20"/>
        </w:rPr>
        <w:t>públicos</w:t>
      </w:r>
      <w:r>
        <w:rPr>
          <w:spacing w:val="-4"/>
          <w:sz w:val="20"/>
        </w:rPr>
        <w:t> </w:t>
      </w:r>
      <w:r>
        <w:rPr>
          <w:sz w:val="20"/>
        </w:rPr>
        <w:t>primarios,</w:t>
      </w:r>
      <w:r>
        <w:rPr>
          <w:spacing w:val="-7"/>
          <w:sz w:val="20"/>
        </w:rPr>
        <w:t> </w:t>
      </w:r>
      <w:r>
        <w:rPr>
          <w:sz w:val="20"/>
        </w:rPr>
        <w:t>servicios,</w:t>
      </w:r>
      <w:r>
        <w:rPr>
          <w:spacing w:val="-5"/>
          <w:sz w:val="20"/>
        </w:rPr>
        <w:t> </w:t>
      </w:r>
      <w:r>
        <w:rPr>
          <w:sz w:val="20"/>
        </w:rPr>
        <w:t>equipamiento</w:t>
      </w:r>
      <w:r>
        <w:rPr>
          <w:spacing w:val="-6"/>
          <w:sz w:val="20"/>
        </w:rPr>
        <w:t> </w:t>
      </w:r>
      <w:r>
        <w:rPr>
          <w:sz w:val="20"/>
        </w:rPr>
        <w:t>o</w:t>
      </w:r>
      <w:r>
        <w:rPr>
          <w:spacing w:val="-5"/>
          <w:sz w:val="20"/>
        </w:rPr>
        <w:t> </w:t>
      </w:r>
      <w:r>
        <w:rPr>
          <w:sz w:val="20"/>
        </w:rPr>
        <w:t>infraestructura,</w:t>
      </w:r>
      <w:r>
        <w:rPr>
          <w:spacing w:val="-7"/>
          <w:sz w:val="20"/>
        </w:rPr>
        <w:t> </w:t>
      </w:r>
      <w:r>
        <w:rPr>
          <w:sz w:val="20"/>
        </w:rPr>
        <w:t>en</w:t>
      </w:r>
      <w:r>
        <w:rPr>
          <w:spacing w:val="-8"/>
          <w:sz w:val="20"/>
        </w:rPr>
        <w:t> </w:t>
      </w:r>
      <w:r>
        <w:rPr>
          <w:sz w:val="20"/>
        </w:rPr>
        <w:t>áreas carentes</w:t>
      </w:r>
      <w:r>
        <w:rPr>
          <w:spacing w:val="-8"/>
          <w:sz w:val="20"/>
        </w:rPr>
        <w:t> </w:t>
      </w:r>
      <w:r>
        <w:rPr>
          <w:sz w:val="20"/>
        </w:rPr>
        <w:t>de</w:t>
      </w:r>
      <w:r>
        <w:rPr>
          <w:spacing w:val="-8"/>
          <w:sz w:val="20"/>
        </w:rPr>
        <w:t> </w:t>
      </w:r>
      <w:r>
        <w:rPr>
          <w:sz w:val="20"/>
        </w:rPr>
        <w:t>ellas,</w:t>
      </w:r>
      <w:r>
        <w:rPr>
          <w:spacing w:val="-7"/>
          <w:sz w:val="20"/>
        </w:rPr>
        <w:t> </w:t>
      </w:r>
      <w:r>
        <w:rPr>
          <w:sz w:val="20"/>
        </w:rPr>
        <w:t>para</w:t>
      </w:r>
      <w:r>
        <w:rPr>
          <w:spacing w:val="-8"/>
          <w:sz w:val="20"/>
        </w:rPr>
        <w:t> </w:t>
      </w:r>
      <w:r>
        <w:rPr>
          <w:sz w:val="20"/>
        </w:rPr>
        <w:t>garantizar</w:t>
      </w:r>
      <w:r>
        <w:rPr>
          <w:spacing w:val="-7"/>
          <w:sz w:val="20"/>
        </w:rPr>
        <w:t> </w:t>
      </w:r>
      <w:r>
        <w:rPr>
          <w:sz w:val="20"/>
        </w:rPr>
        <w:t>en</w:t>
      </w:r>
      <w:r>
        <w:rPr>
          <w:spacing w:val="-8"/>
          <w:sz w:val="20"/>
        </w:rPr>
        <w:t> </w:t>
      </w:r>
      <w:r>
        <w:rPr>
          <w:sz w:val="20"/>
        </w:rPr>
        <w:t>éstos</w:t>
      </w:r>
      <w:r>
        <w:rPr>
          <w:spacing w:val="-7"/>
          <w:sz w:val="20"/>
        </w:rPr>
        <w:t> </w:t>
      </w:r>
      <w:r>
        <w:rPr>
          <w:sz w:val="20"/>
        </w:rPr>
        <w:t>acceso</w:t>
      </w:r>
      <w:r>
        <w:rPr>
          <w:spacing w:val="-9"/>
          <w:sz w:val="20"/>
        </w:rPr>
        <w:t> </w:t>
      </w:r>
      <w:r>
        <w:rPr>
          <w:sz w:val="20"/>
        </w:rPr>
        <w:t>universal</w:t>
      </w:r>
      <w:r>
        <w:rPr>
          <w:spacing w:val="-10"/>
          <w:sz w:val="20"/>
        </w:rPr>
        <w:t> </w:t>
      </w:r>
      <w:r>
        <w:rPr>
          <w:sz w:val="20"/>
        </w:rPr>
        <w:t>a</w:t>
      </w:r>
      <w:r>
        <w:rPr>
          <w:spacing w:val="-8"/>
          <w:sz w:val="20"/>
        </w:rPr>
        <w:t> </w:t>
      </w:r>
      <w:r>
        <w:rPr>
          <w:sz w:val="20"/>
        </w:rPr>
        <w:t>espacios</w:t>
      </w:r>
      <w:r>
        <w:rPr>
          <w:spacing w:val="-8"/>
          <w:sz w:val="20"/>
        </w:rPr>
        <w:t> </w:t>
      </w:r>
      <w:r>
        <w:rPr>
          <w:sz w:val="20"/>
        </w:rPr>
        <w:t>públicos</w:t>
      </w:r>
      <w:r>
        <w:rPr>
          <w:spacing w:val="-7"/>
          <w:sz w:val="20"/>
        </w:rPr>
        <w:t> </w:t>
      </w:r>
      <w:r>
        <w:rPr>
          <w:sz w:val="20"/>
        </w:rPr>
        <w:t>seguros,</w:t>
      </w:r>
      <w:r>
        <w:rPr>
          <w:spacing w:val="-7"/>
          <w:sz w:val="20"/>
        </w:rPr>
        <w:t> </w:t>
      </w:r>
      <w:r>
        <w:rPr>
          <w:sz w:val="20"/>
        </w:rPr>
        <w:t>inclusivos y</w:t>
      </w:r>
      <w:r>
        <w:rPr>
          <w:spacing w:val="-9"/>
          <w:sz w:val="20"/>
        </w:rPr>
        <w:t> </w:t>
      </w:r>
      <w:r>
        <w:rPr>
          <w:sz w:val="20"/>
        </w:rPr>
        <w:t>accesibles,</w:t>
      </w:r>
      <w:r>
        <w:rPr>
          <w:spacing w:val="-7"/>
          <w:sz w:val="20"/>
        </w:rPr>
        <w:t> </w:t>
      </w:r>
      <w:r>
        <w:rPr>
          <w:sz w:val="20"/>
        </w:rPr>
        <w:t>en</w:t>
      </w:r>
      <w:r>
        <w:rPr>
          <w:spacing w:val="-10"/>
          <w:sz w:val="20"/>
        </w:rPr>
        <w:t> </w:t>
      </w:r>
      <w:r>
        <w:rPr>
          <w:sz w:val="20"/>
        </w:rPr>
        <w:t>especial</w:t>
      </w:r>
      <w:r>
        <w:rPr>
          <w:spacing w:val="-11"/>
          <w:sz w:val="20"/>
        </w:rPr>
        <w:t> </w:t>
      </w:r>
      <w:r>
        <w:rPr>
          <w:sz w:val="20"/>
        </w:rPr>
        <w:t>para</w:t>
      </w:r>
      <w:r>
        <w:rPr>
          <w:spacing w:val="-9"/>
          <w:sz w:val="20"/>
        </w:rPr>
        <w:t> </w:t>
      </w:r>
      <w:r>
        <w:rPr>
          <w:sz w:val="20"/>
        </w:rPr>
        <w:t>mujeres,</w:t>
      </w:r>
      <w:r>
        <w:rPr>
          <w:spacing w:val="-7"/>
          <w:sz w:val="20"/>
        </w:rPr>
        <w:t> </w:t>
      </w:r>
      <w:r>
        <w:rPr>
          <w:sz w:val="20"/>
        </w:rPr>
        <w:t>niños,</w:t>
      </w:r>
      <w:r>
        <w:rPr>
          <w:spacing w:val="-10"/>
          <w:sz w:val="20"/>
        </w:rPr>
        <w:t> </w:t>
      </w:r>
      <w:r>
        <w:rPr>
          <w:sz w:val="20"/>
        </w:rPr>
        <w:t>niñas,</w:t>
      </w:r>
      <w:r>
        <w:rPr>
          <w:spacing w:val="-7"/>
          <w:sz w:val="20"/>
        </w:rPr>
        <w:t> </w:t>
      </w:r>
      <w:r>
        <w:rPr>
          <w:sz w:val="20"/>
        </w:rPr>
        <w:t>adultos</w:t>
      </w:r>
      <w:r>
        <w:rPr>
          <w:spacing w:val="-9"/>
          <w:sz w:val="20"/>
        </w:rPr>
        <w:t> </w:t>
      </w:r>
      <w:r>
        <w:rPr>
          <w:sz w:val="20"/>
        </w:rPr>
        <w:t>mayores</w:t>
      </w:r>
      <w:r>
        <w:rPr>
          <w:spacing w:val="-8"/>
          <w:sz w:val="20"/>
        </w:rPr>
        <w:t> </w:t>
      </w:r>
      <w:r>
        <w:rPr>
          <w:sz w:val="20"/>
        </w:rPr>
        <w:t>y</w:t>
      </w:r>
      <w:r>
        <w:rPr>
          <w:spacing w:val="-9"/>
          <w:sz w:val="20"/>
        </w:rPr>
        <w:t> </w:t>
      </w:r>
      <w:r>
        <w:rPr>
          <w:sz w:val="20"/>
        </w:rPr>
        <w:t>personas</w:t>
      </w:r>
      <w:r>
        <w:rPr>
          <w:spacing w:val="-7"/>
          <w:sz w:val="20"/>
        </w:rPr>
        <w:t> </w:t>
      </w:r>
      <w:r>
        <w:rPr>
          <w:sz w:val="20"/>
        </w:rPr>
        <w:t>con</w:t>
      </w:r>
      <w:r>
        <w:rPr>
          <w:spacing w:val="-10"/>
          <w:sz w:val="20"/>
        </w:rPr>
        <w:t> </w:t>
      </w:r>
      <w:r>
        <w:rPr>
          <w:sz w:val="20"/>
        </w:rPr>
        <w:t>discapacidad;</w:t>
      </w:r>
    </w:p>
    <w:p>
      <w:pPr>
        <w:pStyle w:val="ListParagraph"/>
        <w:numPr>
          <w:ilvl w:val="0"/>
          <w:numId w:val="105"/>
        </w:numPr>
        <w:tabs>
          <w:tab w:pos="688" w:val="left" w:leader="none"/>
        </w:tabs>
        <w:spacing w:line="240" w:lineRule="auto" w:before="229" w:after="0"/>
        <w:ind w:left="688" w:right="0" w:hanging="426"/>
        <w:jc w:val="both"/>
        <w:rPr>
          <w:sz w:val="20"/>
        </w:rPr>
      </w:pPr>
      <w:r>
        <w:rPr>
          <w:sz w:val="20"/>
        </w:rPr>
        <w:t>Incluir</w:t>
      </w:r>
      <w:r>
        <w:rPr>
          <w:spacing w:val="-7"/>
          <w:sz w:val="20"/>
        </w:rPr>
        <w:t> </w:t>
      </w:r>
      <w:r>
        <w:rPr>
          <w:sz w:val="20"/>
        </w:rPr>
        <w:t>la</w:t>
      </w:r>
      <w:r>
        <w:rPr>
          <w:spacing w:val="-5"/>
          <w:sz w:val="20"/>
        </w:rPr>
        <w:t> </w:t>
      </w:r>
      <w:r>
        <w:rPr>
          <w:sz w:val="20"/>
        </w:rPr>
        <w:t>estructura</w:t>
      </w:r>
      <w:r>
        <w:rPr>
          <w:spacing w:val="-7"/>
          <w:sz w:val="20"/>
        </w:rPr>
        <w:t> </w:t>
      </w:r>
      <w:r>
        <w:rPr>
          <w:sz w:val="20"/>
        </w:rPr>
        <w:t>vial</w:t>
      </w:r>
      <w:r>
        <w:rPr>
          <w:spacing w:val="-6"/>
          <w:sz w:val="20"/>
        </w:rPr>
        <w:t> </w:t>
      </w:r>
      <w:r>
        <w:rPr>
          <w:sz w:val="20"/>
        </w:rPr>
        <w:t>primaria</w:t>
      </w:r>
      <w:r>
        <w:rPr>
          <w:spacing w:val="-6"/>
          <w:sz w:val="20"/>
        </w:rPr>
        <w:t> </w:t>
      </w:r>
      <w:r>
        <w:rPr>
          <w:sz w:val="20"/>
        </w:rPr>
        <w:t>y</w:t>
      </w:r>
      <w:r>
        <w:rPr>
          <w:spacing w:val="-6"/>
          <w:sz w:val="20"/>
        </w:rPr>
        <w:t> </w:t>
      </w:r>
      <w:r>
        <w:rPr>
          <w:sz w:val="20"/>
        </w:rPr>
        <w:t>la</w:t>
      </w:r>
      <w:r>
        <w:rPr>
          <w:spacing w:val="-5"/>
          <w:sz w:val="20"/>
        </w:rPr>
        <w:t> </w:t>
      </w:r>
      <w:r>
        <w:rPr>
          <w:spacing w:val="-2"/>
          <w:sz w:val="20"/>
        </w:rPr>
        <w:t>movilidad;</w:t>
      </w:r>
    </w:p>
    <w:p>
      <w:pPr>
        <w:pStyle w:val="BodyText"/>
        <w:spacing w:before="1"/>
      </w:pPr>
    </w:p>
    <w:p>
      <w:pPr>
        <w:pStyle w:val="ListParagraph"/>
        <w:numPr>
          <w:ilvl w:val="0"/>
          <w:numId w:val="105"/>
        </w:numPr>
        <w:tabs>
          <w:tab w:pos="688" w:val="left" w:leader="none"/>
        </w:tabs>
        <w:spacing w:line="240" w:lineRule="auto" w:before="0" w:after="0"/>
        <w:ind w:left="262" w:right="286" w:firstLine="0"/>
        <w:jc w:val="both"/>
        <w:rPr>
          <w:sz w:val="20"/>
        </w:rPr>
      </w:pPr>
      <w:r>
        <w:rPr>
          <w:sz w:val="20"/>
        </w:rPr>
        <w:t>La prevención, control y atención de riesgos y contingencias ambientales y urbanos en los Centros de Población, y</w:t>
      </w:r>
    </w:p>
    <w:p>
      <w:pPr>
        <w:pStyle w:val="ListParagraph"/>
        <w:numPr>
          <w:ilvl w:val="0"/>
          <w:numId w:val="105"/>
        </w:numPr>
        <w:tabs>
          <w:tab w:pos="688" w:val="left" w:leader="none"/>
        </w:tabs>
        <w:spacing w:line="240" w:lineRule="auto" w:before="229" w:after="0"/>
        <w:ind w:left="262" w:right="287" w:firstLine="0"/>
        <w:jc w:val="both"/>
        <w:rPr>
          <w:sz w:val="20"/>
        </w:rPr>
      </w:pPr>
      <w:r>
        <w:rPr>
          <w:sz w:val="20"/>
        </w:rPr>
        <w:t>La acción integrada del sector público que articule la regularización de la tenencia de tierra urbana con la dotación de servicios y satisfactores básicos dirigidos a integrar a la comunidad.</w:t>
      </w:r>
    </w:p>
    <w:p>
      <w:pPr>
        <w:pStyle w:val="BodyText"/>
        <w:spacing w:before="1"/>
      </w:pPr>
    </w:p>
    <w:p>
      <w:pPr>
        <w:pStyle w:val="BodyText"/>
        <w:ind w:left="262" w:right="280"/>
        <w:jc w:val="both"/>
        <w:rPr>
          <w:rFonts w:ascii="Arial" w:hAnsi="Arial"/>
          <w:b/>
        </w:rPr>
      </w:pPr>
      <w:r>
        <w:rPr>
          <w:rFonts w:ascii="Arial" w:hAnsi="Arial"/>
          <w:b/>
        </w:rPr>
        <w:t>ARTÍCULO 283. </w:t>
      </w:r>
      <w:r>
        <w:rPr/>
        <w:t>Las licencias de usos de suelo, bajo ninguna circunstancia podrán expedirse en contravención a lo dispuesto en los programas de ordenamiento territorial y desarrollo urbano, que determinan</w:t>
      </w:r>
      <w:r>
        <w:rPr>
          <w:spacing w:val="-14"/>
        </w:rPr>
        <w:t> </w:t>
      </w:r>
      <w:r>
        <w:rPr/>
        <w:t>las</w:t>
      </w:r>
      <w:r>
        <w:rPr>
          <w:spacing w:val="-14"/>
        </w:rPr>
        <w:t> </w:t>
      </w:r>
      <w:r>
        <w:rPr/>
        <w:t>áreas</w:t>
      </w:r>
      <w:r>
        <w:rPr>
          <w:spacing w:val="-14"/>
        </w:rPr>
        <w:t> </w:t>
      </w:r>
      <w:r>
        <w:rPr/>
        <w:t>de</w:t>
      </w:r>
      <w:r>
        <w:rPr>
          <w:spacing w:val="-14"/>
        </w:rPr>
        <w:t> </w:t>
      </w:r>
      <w:r>
        <w:rPr/>
        <w:t>desarrollo</w:t>
      </w:r>
      <w:r>
        <w:rPr>
          <w:spacing w:val="-14"/>
        </w:rPr>
        <w:t> </w:t>
      </w:r>
      <w:r>
        <w:rPr/>
        <w:t>urbano</w:t>
      </w:r>
      <w:r>
        <w:rPr>
          <w:spacing w:val="-14"/>
        </w:rPr>
        <w:t> </w:t>
      </w:r>
      <w:r>
        <w:rPr/>
        <w:t>y</w:t>
      </w:r>
      <w:r>
        <w:rPr>
          <w:spacing w:val="-14"/>
        </w:rPr>
        <w:t> </w:t>
      </w:r>
      <w:r>
        <w:rPr/>
        <w:t>de</w:t>
      </w:r>
      <w:r>
        <w:rPr>
          <w:spacing w:val="-14"/>
        </w:rPr>
        <w:t> </w:t>
      </w:r>
      <w:r>
        <w:rPr/>
        <w:t>preservación</w:t>
      </w:r>
      <w:r>
        <w:rPr>
          <w:spacing w:val="-14"/>
        </w:rPr>
        <w:t> </w:t>
      </w:r>
      <w:r>
        <w:rPr/>
        <w:t>ecológica;</w:t>
      </w:r>
      <w:r>
        <w:rPr>
          <w:spacing w:val="-13"/>
        </w:rPr>
        <w:t> </w:t>
      </w:r>
      <w:r>
        <w:rPr/>
        <w:t>los</w:t>
      </w:r>
      <w:r>
        <w:rPr>
          <w:spacing w:val="-14"/>
        </w:rPr>
        <w:t> </w:t>
      </w:r>
      <w:r>
        <w:rPr/>
        <w:t>usos,</w:t>
      </w:r>
      <w:r>
        <w:rPr>
          <w:spacing w:val="-14"/>
        </w:rPr>
        <w:t> </w:t>
      </w:r>
      <w:r>
        <w:rPr/>
        <w:t>reservas</w:t>
      </w:r>
      <w:r>
        <w:rPr>
          <w:spacing w:val="-14"/>
        </w:rPr>
        <w:t> </w:t>
      </w:r>
      <w:r>
        <w:rPr/>
        <w:t>o</w:t>
      </w:r>
      <w:r>
        <w:rPr>
          <w:spacing w:val="-14"/>
        </w:rPr>
        <w:t> </w:t>
      </w:r>
      <w:r>
        <w:rPr/>
        <w:t>destinos asignados a las zonas en que se clasifique el territorio de los municipios; los límites de los centros de población; la delimitación de las zonas urbanizables y no urbanizables, y las normas de planificación urbana que regulan los predios y construcciones, así como las vialidades primarias y movilidad, las cuales sólo podrán ser modificadas de acuerdo</w:t>
      </w:r>
      <w:r>
        <w:rPr>
          <w:spacing w:val="-2"/>
        </w:rPr>
        <w:t> </w:t>
      </w:r>
      <w:r>
        <w:rPr/>
        <w:t>con los cambios que</w:t>
      </w:r>
      <w:r>
        <w:rPr>
          <w:spacing w:val="-1"/>
        </w:rPr>
        <w:t> </w:t>
      </w:r>
      <w:r>
        <w:rPr/>
        <w:t>se incorporen a dichos programas, con base en esta Ley</w:t>
      </w:r>
      <w:r>
        <w:rPr>
          <w:rFonts w:ascii="Arial" w:hAnsi="Arial"/>
          <w:b/>
        </w:rPr>
        <w:t>.</w:t>
      </w:r>
    </w:p>
    <w:p>
      <w:pPr>
        <w:pStyle w:val="BodyText"/>
        <w:rPr>
          <w:rFonts w:ascii="Arial"/>
          <w:b/>
        </w:rPr>
      </w:pPr>
    </w:p>
    <w:p>
      <w:pPr>
        <w:pStyle w:val="BodyText"/>
        <w:ind w:left="262" w:right="279"/>
        <w:jc w:val="both"/>
      </w:pPr>
      <w:r>
        <w:rPr/>
        <w:t>Las licencias de uso de suelo, que conforme al programa de ordenamiento territorial y desarrollo urbano</w:t>
      </w:r>
      <w:r>
        <w:rPr>
          <w:spacing w:val="-8"/>
        </w:rPr>
        <w:t> </w:t>
      </w:r>
      <w:r>
        <w:rPr/>
        <w:t>municipal</w:t>
      </w:r>
      <w:r>
        <w:rPr>
          <w:spacing w:val="-9"/>
        </w:rPr>
        <w:t> </w:t>
      </w:r>
      <w:r>
        <w:rPr/>
        <w:t>y</w:t>
      </w:r>
      <w:r>
        <w:rPr>
          <w:spacing w:val="-6"/>
        </w:rPr>
        <w:t> </w:t>
      </w:r>
      <w:r>
        <w:rPr/>
        <w:t>demás</w:t>
      </w:r>
      <w:r>
        <w:rPr>
          <w:spacing w:val="-7"/>
        </w:rPr>
        <w:t> </w:t>
      </w:r>
      <w:r>
        <w:rPr/>
        <w:t>programas</w:t>
      </w:r>
      <w:r>
        <w:rPr>
          <w:spacing w:val="-7"/>
        </w:rPr>
        <w:t> </w:t>
      </w:r>
      <w:r>
        <w:rPr/>
        <w:t>que</w:t>
      </w:r>
      <w:r>
        <w:rPr>
          <w:spacing w:val="-8"/>
        </w:rPr>
        <w:t> </w:t>
      </w:r>
      <w:r>
        <w:rPr/>
        <w:t>de</w:t>
      </w:r>
      <w:r>
        <w:rPr>
          <w:spacing w:val="-8"/>
        </w:rPr>
        <w:t> </w:t>
      </w:r>
      <w:r>
        <w:rPr/>
        <w:t>éste</w:t>
      </w:r>
      <w:r>
        <w:rPr>
          <w:spacing w:val="-8"/>
        </w:rPr>
        <w:t> </w:t>
      </w:r>
      <w:r>
        <w:rPr/>
        <w:t>deriven,</w:t>
      </w:r>
      <w:r>
        <w:rPr>
          <w:spacing w:val="-7"/>
        </w:rPr>
        <w:t> </w:t>
      </w:r>
      <w:r>
        <w:rPr/>
        <w:t>establezcan</w:t>
      </w:r>
      <w:r>
        <w:rPr>
          <w:spacing w:val="-8"/>
        </w:rPr>
        <w:t> </w:t>
      </w:r>
      <w:r>
        <w:rPr/>
        <w:t>restricciones</w:t>
      </w:r>
      <w:r>
        <w:rPr>
          <w:spacing w:val="-6"/>
        </w:rPr>
        <w:t> </w:t>
      </w:r>
      <w:r>
        <w:rPr/>
        <w:t>o</w:t>
      </w:r>
      <w:r>
        <w:rPr>
          <w:spacing w:val="-8"/>
        </w:rPr>
        <w:t> </w:t>
      </w:r>
      <w:r>
        <w:rPr/>
        <w:t>afectaciones relativas</w:t>
      </w:r>
      <w:r>
        <w:rPr>
          <w:spacing w:val="-10"/>
        </w:rPr>
        <w:t> </w:t>
      </w:r>
      <w:r>
        <w:rPr/>
        <w:t>a</w:t>
      </w:r>
      <w:r>
        <w:rPr>
          <w:spacing w:val="-9"/>
        </w:rPr>
        <w:t> </w:t>
      </w:r>
      <w:r>
        <w:rPr/>
        <w:t>zonas</w:t>
      </w:r>
      <w:r>
        <w:rPr>
          <w:spacing w:val="-10"/>
        </w:rPr>
        <w:t> </w:t>
      </w:r>
      <w:r>
        <w:rPr/>
        <w:t>con</w:t>
      </w:r>
      <w:r>
        <w:rPr>
          <w:spacing w:val="-11"/>
        </w:rPr>
        <w:t> </w:t>
      </w:r>
      <w:r>
        <w:rPr/>
        <w:t>valor</w:t>
      </w:r>
      <w:r>
        <w:rPr>
          <w:spacing w:val="-8"/>
        </w:rPr>
        <w:t> </w:t>
      </w:r>
      <w:r>
        <w:rPr/>
        <w:t>histórico</w:t>
      </w:r>
      <w:r>
        <w:rPr>
          <w:spacing w:val="-9"/>
        </w:rPr>
        <w:t> </w:t>
      </w:r>
      <w:r>
        <w:rPr/>
        <w:t>y</w:t>
      </w:r>
      <w:r>
        <w:rPr>
          <w:spacing w:val="-10"/>
        </w:rPr>
        <w:t> </w:t>
      </w:r>
      <w:r>
        <w:rPr/>
        <w:t>cultural,</w:t>
      </w:r>
      <w:r>
        <w:rPr>
          <w:spacing w:val="-9"/>
        </w:rPr>
        <w:t> </w:t>
      </w:r>
      <w:r>
        <w:rPr/>
        <w:t>deberán</w:t>
      </w:r>
      <w:r>
        <w:rPr>
          <w:spacing w:val="-9"/>
        </w:rPr>
        <w:t> </w:t>
      </w:r>
      <w:r>
        <w:rPr/>
        <w:t>contar</w:t>
      </w:r>
      <w:r>
        <w:rPr>
          <w:spacing w:val="-8"/>
        </w:rPr>
        <w:t> </w:t>
      </w:r>
      <w:r>
        <w:rPr/>
        <w:t>con</w:t>
      </w:r>
      <w:r>
        <w:rPr>
          <w:spacing w:val="-9"/>
        </w:rPr>
        <w:t> </w:t>
      </w:r>
      <w:r>
        <w:rPr/>
        <w:t>el</w:t>
      </w:r>
      <w:r>
        <w:rPr>
          <w:spacing w:val="-10"/>
        </w:rPr>
        <w:t> </w:t>
      </w:r>
      <w:r>
        <w:rPr/>
        <w:t>dictamen</w:t>
      </w:r>
      <w:r>
        <w:rPr>
          <w:spacing w:val="-9"/>
        </w:rPr>
        <w:t> </w:t>
      </w:r>
      <w:r>
        <w:rPr/>
        <w:t>aprobatorio</w:t>
      </w:r>
      <w:r>
        <w:rPr>
          <w:spacing w:val="-10"/>
        </w:rPr>
        <w:t> </w:t>
      </w:r>
      <w:r>
        <w:rPr/>
        <w:t>del</w:t>
      </w:r>
      <w:r>
        <w:rPr>
          <w:spacing w:val="-12"/>
        </w:rPr>
        <w:t> </w:t>
      </w:r>
      <w:r>
        <w:rPr/>
        <w:t>INAH, así como con la opinión, en su caso, del Consejo de Centro Histórico respectivo.</w:t>
      </w:r>
    </w:p>
    <w:p>
      <w:pPr>
        <w:pStyle w:val="BodyText"/>
        <w:spacing w:before="230"/>
        <w:ind w:left="262" w:right="286"/>
        <w:jc w:val="both"/>
      </w:pPr>
      <w:r>
        <w:rPr/>
        <w:t>Serán nulas de pleno derecho las licencias de uso de suelo que expidan los ayuntamientos en contravención a lo establecido por esta Ley y en los programas de ordenamiento territorial y desarrollo urbano aplicables.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6"/>
        <w:jc w:val="both"/>
      </w:pPr>
      <w:r>
        <w:rPr>
          <w:rFonts w:ascii="Arial" w:hAnsi="Arial"/>
          <w:b/>
        </w:rPr>
        <w:t>ARTÍCULO 284. </w:t>
      </w:r>
      <w:r>
        <w:rPr/>
        <w:t>Los notarios y demás fedatarios públicos, no podrán autorizar escrituras de los actos, contratos o convenios relativos a la propiedad o cualquier otro derecho relacionado con el aprovechamiento</w:t>
      </w:r>
      <w:r>
        <w:rPr>
          <w:spacing w:val="-8"/>
        </w:rPr>
        <w:t> </w:t>
      </w:r>
      <w:r>
        <w:rPr/>
        <w:t>de</w:t>
      </w:r>
      <w:r>
        <w:rPr>
          <w:spacing w:val="-8"/>
        </w:rPr>
        <w:t> </w:t>
      </w:r>
      <w:r>
        <w:rPr/>
        <w:t>áreas</w:t>
      </w:r>
      <w:r>
        <w:rPr>
          <w:spacing w:val="-4"/>
        </w:rPr>
        <w:t> </w:t>
      </w:r>
      <w:r>
        <w:rPr/>
        <w:t>o</w:t>
      </w:r>
      <w:r>
        <w:rPr>
          <w:spacing w:val="-8"/>
        </w:rPr>
        <w:t> </w:t>
      </w:r>
      <w:r>
        <w:rPr/>
        <w:t>predios</w:t>
      </w:r>
      <w:r>
        <w:rPr>
          <w:spacing w:val="-7"/>
        </w:rPr>
        <w:t> </w:t>
      </w:r>
      <w:r>
        <w:rPr/>
        <w:t>que</w:t>
      </w:r>
      <w:r>
        <w:rPr>
          <w:spacing w:val="-8"/>
        </w:rPr>
        <w:t> </w:t>
      </w:r>
      <w:r>
        <w:rPr/>
        <w:t>contravengan</w:t>
      </w:r>
      <w:r>
        <w:rPr>
          <w:spacing w:val="-8"/>
        </w:rPr>
        <w:t> </w:t>
      </w:r>
      <w:r>
        <w:rPr/>
        <w:t>lo</w:t>
      </w:r>
      <w:r>
        <w:rPr>
          <w:spacing w:val="-8"/>
        </w:rPr>
        <w:t> </w:t>
      </w:r>
      <w:r>
        <w:rPr/>
        <w:t>dispuesto</w:t>
      </w:r>
      <w:r>
        <w:rPr>
          <w:spacing w:val="-8"/>
        </w:rPr>
        <w:t> </w:t>
      </w:r>
      <w:r>
        <w:rPr/>
        <w:t>en</w:t>
      </w:r>
      <w:r>
        <w:rPr>
          <w:spacing w:val="-8"/>
        </w:rPr>
        <w:t> </w:t>
      </w:r>
      <w:r>
        <w:rPr/>
        <w:t>esta</w:t>
      </w:r>
      <w:r>
        <w:rPr>
          <w:spacing w:val="-6"/>
        </w:rPr>
        <w:t> </w:t>
      </w:r>
      <w:r>
        <w:rPr/>
        <w:t>Ley, su</w:t>
      </w:r>
      <w:r>
        <w:rPr>
          <w:spacing w:val="-8"/>
        </w:rPr>
        <w:t> </w:t>
      </w:r>
      <w:r>
        <w:rPr/>
        <w:t>reglamentación y en los programas de ordenamiento territorial y desarrollo urbano.</w:t>
      </w:r>
    </w:p>
    <w:p>
      <w:pPr>
        <w:pStyle w:val="BodyText"/>
        <w:spacing w:before="230"/>
        <w:ind w:left="262" w:right="287"/>
        <w:jc w:val="both"/>
      </w:pPr>
      <w:r>
        <w:rPr/>
        <w:t>No se podrá inscribir ningún acto, contrato, convenio o afectación en el Registro Público de la Propiedad, ni en el Catastro, que no se ajuste a lo dispuesto en la legislación y programas de ordenamiento territorial y desarrollo urbano, o que contravenga una licencia de uso de suelo.</w:t>
      </w:r>
    </w:p>
    <w:p>
      <w:pPr>
        <w:pStyle w:val="BodyText"/>
        <w:spacing w:before="1"/>
      </w:pPr>
    </w:p>
    <w:p>
      <w:pPr>
        <w:pStyle w:val="BodyText"/>
        <w:ind w:left="262" w:right="278"/>
        <w:jc w:val="both"/>
      </w:pPr>
      <w:r>
        <w:rPr>
          <w:rFonts w:ascii="Arial" w:hAnsi="Arial"/>
          <w:b/>
        </w:rPr>
        <w:t>ARTÍCULO</w:t>
      </w:r>
      <w:r>
        <w:rPr>
          <w:rFonts w:ascii="Arial" w:hAnsi="Arial"/>
          <w:b/>
          <w:spacing w:val="-8"/>
        </w:rPr>
        <w:t> </w:t>
      </w:r>
      <w:r>
        <w:rPr>
          <w:rFonts w:ascii="Arial" w:hAnsi="Arial"/>
          <w:b/>
        </w:rPr>
        <w:t>285.</w:t>
      </w:r>
      <w:r>
        <w:rPr>
          <w:rFonts w:ascii="Arial" w:hAnsi="Arial"/>
          <w:b/>
          <w:spacing w:val="-6"/>
        </w:rPr>
        <w:t> </w:t>
      </w:r>
      <w:r>
        <w:rPr/>
        <w:t>Para</w:t>
      </w:r>
      <w:r>
        <w:rPr>
          <w:spacing w:val="-6"/>
        </w:rPr>
        <w:t> </w:t>
      </w:r>
      <w:r>
        <w:rPr/>
        <w:t>modificar</w:t>
      </w:r>
      <w:r>
        <w:rPr>
          <w:spacing w:val="-8"/>
        </w:rPr>
        <w:t> </w:t>
      </w:r>
      <w:r>
        <w:rPr/>
        <w:t>el</w:t>
      </w:r>
      <w:r>
        <w:rPr>
          <w:spacing w:val="-7"/>
        </w:rPr>
        <w:t> </w:t>
      </w:r>
      <w:r>
        <w:rPr/>
        <w:t>uso</w:t>
      </w:r>
      <w:r>
        <w:rPr>
          <w:spacing w:val="-7"/>
        </w:rPr>
        <w:t> </w:t>
      </w:r>
      <w:r>
        <w:rPr/>
        <w:t>o</w:t>
      </w:r>
      <w:r>
        <w:rPr>
          <w:spacing w:val="-8"/>
        </w:rPr>
        <w:t> </w:t>
      </w:r>
      <w:r>
        <w:rPr/>
        <w:t>destino</w:t>
      </w:r>
      <w:r>
        <w:rPr>
          <w:spacing w:val="-7"/>
        </w:rPr>
        <w:t> </w:t>
      </w:r>
      <w:r>
        <w:rPr/>
        <w:t>autorizado</w:t>
      </w:r>
      <w:r>
        <w:rPr>
          <w:spacing w:val="-7"/>
        </w:rPr>
        <w:t> </w:t>
      </w:r>
      <w:r>
        <w:rPr/>
        <w:t>en</w:t>
      </w:r>
      <w:r>
        <w:rPr>
          <w:spacing w:val="-7"/>
        </w:rPr>
        <w:t> </w:t>
      </w:r>
      <w:r>
        <w:rPr/>
        <w:t>una</w:t>
      </w:r>
      <w:r>
        <w:rPr>
          <w:spacing w:val="-7"/>
        </w:rPr>
        <w:t> </w:t>
      </w:r>
      <w:r>
        <w:rPr/>
        <w:t>licencia</w:t>
      </w:r>
      <w:r>
        <w:rPr>
          <w:spacing w:val="-7"/>
        </w:rPr>
        <w:t> </w:t>
      </w:r>
      <w:r>
        <w:rPr/>
        <w:t>de</w:t>
      </w:r>
      <w:r>
        <w:rPr>
          <w:spacing w:val="-7"/>
        </w:rPr>
        <w:t> </w:t>
      </w:r>
      <w:r>
        <w:rPr/>
        <w:t>uso</w:t>
      </w:r>
      <w:r>
        <w:rPr>
          <w:spacing w:val="-8"/>
        </w:rPr>
        <w:t> </w:t>
      </w:r>
      <w:r>
        <w:rPr/>
        <w:t>de</w:t>
      </w:r>
      <w:r>
        <w:rPr>
          <w:spacing w:val="-8"/>
        </w:rPr>
        <w:t> </w:t>
      </w:r>
      <w:r>
        <w:rPr/>
        <w:t>suelo</w:t>
      </w:r>
      <w:r>
        <w:rPr>
          <w:spacing w:val="-7"/>
        </w:rPr>
        <w:t> </w:t>
      </w:r>
      <w:r>
        <w:rPr/>
        <w:t>vigente, los propietarios o poseedores del inmueble deberán obtener dicha modificación en su licencia de uso</w:t>
      </w:r>
      <w:r>
        <w:rPr>
          <w:spacing w:val="-14"/>
        </w:rPr>
        <w:t> </w:t>
      </w:r>
      <w:r>
        <w:rPr/>
        <w:t>de</w:t>
      </w:r>
      <w:r>
        <w:rPr>
          <w:spacing w:val="-14"/>
        </w:rPr>
        <w:t> </w:t>
      </w:r>
      <w:r>
        <w:rPr/>
        <w:t>suelo</w:t>
      </w:r>
      <w:r>
        <w:rPr>
          <w:spacing w:val="-14"/>
        </w:rPr>
        <w:t> </w:t>
      </w:r>
      <w:r>
        <w:rPr/>
        <w:t>correspondiente,</w:t>
      </w:r>
      <w:r>
        <w:rPr>
          <w:spacing w:val="-14"/>
        </w:rPr>
        <w:t> </w:t>
      </w:r>
      <w:r>
        <w:rPr/>
        <w:t>la</w:t>
      </w:r>
      <w:r>
        <w:rPr>
          <w:spacing w:val="-14"/>
        </w:rPr>
        <w:t> </w:t>
      </w:r>
      <w:r>
        <w:rPr/>
        <w:t>cual</w:t>
      </w:r>
      <w:r>
        <w:rPr>
          <w:spacing w:val="-14"/>
        </w:rPr>
        <w:t> </w:t>
      </w:r>
      <w:r>
        <w:rPr/>
        <w:t>podrá</w:t>
      </w:r>
      <w:r>
        <w:rPr>
          <w:spacing w:val="-14"/>
        </w:rPr>
        <w:t> </w:t>
      </w:r>
      <w:r>
        <w:rPr/>
        <w:t>otorgarse</w:t>
      </w:r>
      <w:r>
        <w:rPr>
          <w:spacing w:val="-14"/>
        </w:rPr>
        <w:t> </w:t>
      </w:r>
      <w:r>
        <w:rPr/>
        <w:t>únicamente</w:t>
      </w:r>
      <w:r>
        <w:rPr>
          <w:spacing w:val="-14"/>
        </w:rPr>
        <w:t> </w:t>
      </w:r>
      <w:r>
        <w:rPr/>
        <w:t>si</w:t>
      </w:r>
      <w:r>
        <w:rPr>
          <w:spacing w:val="-13"/>
        </w:rPr>
        <w:t> </w:t>
      </w:r>
      <w:r>
        <w:rPr/>
        <w:t>el</w:t>
      </w:r>
      <w:r>
        <w:rPr>
          <w:spacing w:val="-14"/>
        </w:rPr>
        <w:t> </w:t>
      </w:r>
      <w:r>
        <w:rPr/>
        <w:t>nuevo</w:t>
      </w:r>
      <w:r>
        <w:rPr>
          <w:spacing w:val="-14"/>
        </w:rPr>
        <w:t> </w:t>
      </w:r>
      <w:r>
        <w:rPr/>
        <w:t>uso</w:t>
      </w:r>
      <w:r>
        <w:rPr>
          <w:spacing w:val="-14"/>
        </w:rPr>
        <w:t> </w:t>
      </w:r>
      <w:r>
        <w:rPr/>
        <w:t>o</w:t>
      </w:r>
      <w:r>
        <w:rPr>
          <w:spacing w:val="-14"/>
        </w:rPr>
        <w:t> </w:t>
      </w:r>
      <w:r>
        <w:rPr/>
        <w:t>destino</w:t>
      </w:r>
      <w:r>
        <w:rPr>
          <w:spacing w:val="-14"/>
        </w:rPr>
        <w:t> </w:t>
      </w:r>
      <w:r>
        <w:rPr/>
        <w:t>solicitado es compatible con lo previsto en los programas de ordenamiento territorial y desarrollo urbano.</w:t>
      </w:r>
    </w:p>
    <w:p>
      <w:pPr>
        <w:pStyle w:val="BodyText"/>
      </w:pPr>
    </w:p>
    <w:p>
      <w:pPr>
        <w:pStyle w:val="BodyText"/>
        <w:spacing w:before="1"/>
        <w:ind w:left="262" w:right="274"/>
        <w:jc w:val="both"/>
      </w:pPr>
      <w:r>
        <w:rPr>
          <w:rFonts w:ascii="Arial" w:hAnsi="Arial"/>
          <w:b/>
        </w:rPr>
        <w:t>ARTÍCULO 286. </w:t>
      </w:r>
      <w:r>
        <w:rPr/>
        <w:t>En los municipios en que no exista un programa de ordenamiento territorial y desarrollo urbano que establezca una zonificación de uso de suelo, previo al otorgamiento de la licencia que al efecto se expida, deberá recabarse</w:t>
      </w:r>
      <w:r>
        <w:rPr>
          <w:spacing w:val="40"/>
        </w:rPr>
        <w:t> </w:t>
      </w:r>
      <w:r>
        <w:rPr/>
        <w:t>la opinión técnica de la SEDUVOP, de la Dirección General de Protección Civil del Estado, y según el caso particular de que se trate, de la SEGAM conforme a los lineamientos establecidos en la Ley Ambiental del Estado de San Luis Potosí, y en esta Ley.</w:t>
      </w:r>
    </w:p>
    <w:p>
      <w:pPr>
        <w:pStyle w:val="BodyText"/>
        <w:spacing w:before="228"/>
      </w:pPr>
    </w:p>
    <w:p>
      <w:pPr>
        <w:pStyle w:val="Heading2"/>
        <w:spacing w:line="480" w:lineRule="auto"/>
        <w:ind w:left="3944" w:right="3960"/>
      </w:pPr>
      <w:r>
        <w:rPr/>
        <w:t>Sección</w:t>
      </w:r>
      <w:r>
        <w:rPr>
          <w:spacing w:val="-14"/>
        </w:rPr>
        <w:t> </w:t>
      </w:r>
      <w:r>
        <w:rPr/>
        <w:t>Quinta </w:t>
      </w:r>
      <w:r>
        <w:rPr>
          <w:spacing w:val="-2"/>
        </w:rPr>
        <w:t>Vigencia</w:t>
      </w:r>
    </w:p>
    <w:p>
      <w:pPr>
        <w:pStyle w:val="BodyText"/>
        <w:spacing w:before="2"/>
        <w:ind w:left="262" w:right="278"/>
        <w:jc w:val="both"/>
      </w:pPr>
      <w:r>
        <w:rPr>
          <w:rFonts w:ascii="Arial" w:hAnsi="Arial"/>
          <w:b/>
        </w:rPr>
        <w:t>ARTÍCULO 287</w:t>
      </w:r>
      <w:r>
        <w:rPr/>
        <w:t>. Las licencias de uso de suelo una vez expedidas estarán vigentes hasta en tanto no se modifiquen los programas de desarrollo urbano y demás instrumentos de ordenamiento del territorio, pero deberán refrendarse cada tres años para verificar que sigan siendo acordes con la actualización o modificación de la legislación y programas de ordenamiento territorial y desarrollo urbano aplicables. Se exceptúa de esta obligación de refrendo, a los inmuebles destinados a casa </w:t>
      </w:r>
      <w:r>
        <w:rPr>
          <w:spacing w:val="-2"/>
        </w:rPr>
        <w:t>habitación.</w:t>
      </w:r>
    </w:p>
    <w:p>
      <w:pPr>
        <w:pStyle w:val="BodyText"/>
        <w:spacing w:before="1"/>
      </w:pPr>
    </w:p>
    <w:p>
      <w:pPr>
        <w:pStyle w:val="BodyText"/>
        <w:ind w:left="262" w:right="275"/>
        <w:jc w:val="both"/>
      </w:pPr>
      <w:r>
        <w:rPr>
          <w:rFonts w:ascii="Arial" w:hAnsi="Arial"/>
          <w:b/>
        </w:rPr>
        <w:t>ARTÍCULO 288.</w:t>
      </w:r>
      <w:r>
        <w:rPr>
          <w:rFonts w:ascii="Arial" w:hAnsi="Arial"/>
          <w:b/>
          <w:spacing w:val="40"/>
        </w:rPr>
        <w:t> </w:t>
      </w:r>
      <w:r>
        <w:rPr/>
        <w:t>En caso de que la acción, obra, servicio o inversión, no se hubiese realizado durante los tres primeros años de la vigencia de una licencia de uso de suelo, se requerirá la tramitación de una nueva ante la autoridad municipal competente, en virtud de las posibles modificaciones</w:t>
      </w:r>
      <w:r>
        <w:rPr>
          <w:spacing w:val="-5"/>
        </w:rPr>
        <w:t> </w:t>
      </w:r>
      <w:r>
        <w:rPr/>
        <w:t>a</w:t>
      </w:r>
      <w:r>
        <w:rPr>
          <w:spacing w:val="-5"/>
        </w:rPr>
        <w:t> </w:t>
      </w:r>
      <w:r>
        <w:rPr/>
        <w:t>los</w:t>
      </w:r>
      <w:r>
        <w:rPr>
          <w:spacing w:val="-5"/>
        </w:rPr>
        <w:t> </w:t>
      </w:r>
      <w:r>
        <w:rPr/>
        <w:t>programas</w:t>
      </w:r>
      <w:r>
        <w:rPr>
          <w:spacing w:val="-5"/>
        </w:rPr>
        <w:t> </w:t>
      </w:r>
      <w:r>
        <w:rPr/>
        <w:t>de</w:t>
      </w:r>
      <w:r>
        <w:rPr>
          <w:spacing w:val="-4"/>
        </w:rPr>
        <w:t> </w:t>
      </w:r>
      <w:r>
        <w:rPr/>
        <w:t>ordenamiento</w:t>
      </w:r>
      <w:r>
        <w:rPr>
          <w:spacing w:val="-5"/>
        </w:rPr>
        <w:t> </w:t>
      </w:r>
      <w:r>
        <w:rPr/>
        <w:t>territorial</w:t>
      </w:r>
      <w:r>
        <w:rPr>
          <w:spacing w:val="-5"/>
        </w:rPr>
        <w:t> </w:t>
      </w:r>
      <w:r>
        <w:rPr/>
        <w:t>y</w:t>
      </w:r>
      <w:r>
        <w:rPr>
          <w:spacing w:val="-3"/>
        </w:rPr>
        <w:t> </w:t>
      </w:r>
      <w:r>
        <w:rPr/>
        <w:t>de</w:t>
      </w:r>
      <w:r>
        <w:rPr>
          <w:spacing w:val="-5"/>
        </w:rPr>
        <w:t> </w:t>
      </w:r>
      <w:r>
        <w:rPr/>
        <w:t>desarrollo</w:t>
      </w:r>
      <w:r>
        <w:rPr>
          <w:spacing w:val="-4"/>
        </w:rPr>
        <w:t> </w:t>
      </w:r>
      <w:r>
        <w:rPr/>
        <w:t>urbano</w:t>
      </w:r>
      <w:r>
        <w:rPr>
          <w:spacing w:val="-5"/>
        </w:rPr>
        <w:t> </w:t>
      </w:r>
      <w:r>
        <w:rPr/>
        <w:t>aplicables</w:t>
      </w:r>
      <w:r>
        <w:rPr>
          <w:spacing w:val="-5"/>
        </w:rPr>
        <w:t> </w:t>
      </w:r>
      <w:r>
        <w:rPr/>
        <w:t>o</w:t>
      </w:r>
      <w:r>
        <w:rPr>
          <w:spacing w:val="-5"/>
        </w:rPr>
        <w:t> </w:t>
      </w:r>
      <w:r>
        <w:rPr/>
        <w:t>a</w:t>
      </w:r>
      <w:r>
        <w:rPr>
          <w:spacing w:val="-5"/>
        </w:rPr>
        <w:t> </w:t>
      </w:r>
      <w:r>
        <w:rPr/>
        <w:t>las características y situación de las zonas, áreas, lotes o predios objeto de dicha licencia.</w:t>
      </w:r>
    </w:p>
    <w:p>
      <w:pPr>
        <w:pStyle w:val="BodyText"/>
      </w:pPr>
    </w:p>
    <w:p>
      <w:pPr>
        <w:pStyle w:val="BodyText"/>
        <w:ind w:left="262" w:right="281"/>
        <w:jc w:val="both"/>
      </w:pPr>
      <w:r>
        <w:rPr/>
        <w:t>Iniciado el aprovechamiento de uso del suelo que establece la licencia respectiva, dentro del plazo señalado en el párrafo anterior, la misma será indefinida y únicamente quedará sujeta al mantenimiento de las características y cumplimiento de las condiciones de su otorgamiento y a la renovación en su caso, de la licencia municipal de funcionamiento, debiendo refrendarse según corresponda en términos de lo dispuesto en este artículo.</w:t>
      </w:r>
    </w:p>
    <w:p>
      <w:pPr>
        <w:pStyle w:val="BodyText"/>
        <w:spacing w:before="228"/>
      </w:pPr>
    </w:p>
    <w:p>
      <w:pPr>
        <w:pStyle w:val="Heading2"/>
        <w:spacing w:before="1"/>
        <w:ind w:right="15"/>
      </w:pPr>
      <w:r>
        <w:rPr/>
        <w:t>Sección</w:t>
      </w:r>
      <w:r>
        <w:rPr>
          <w:spacing w:val="-9"/>
        </w:rPr>
        <w:t> </w:t>
      </w:r>
      <w:r>
        <w:rPr>
          <w:spacing w:val="-2"/>
        </w:rPr>
        <w:t>Sexta</w:t>
      </w:r>
    </w:p>
    <w:p>
      <w:pPr>
        <w:pStyle w:val="BodyText"/>
        <w:rPr>
          <w:rFonts w:ascii="Arial"/>
          <w:b/>
        </w:rPr>
      </w:pPr>
    </w:p>
    <w:p>
      <w:pPr>
        <w:spacing w:before="0"/>
        <w:ind w:left="0" w:right="20" w:firstLine="0"/>
        <w:jc w:val="center"/>
        <w:rPr>
          <w:rFonts w:ascii="Arial"/>
          <w:b/>
          <w:sz w:val="20"/>
        </w:rPr>
      </w:pPr>
      <w:r>
        <w:rPr>
          <w:rFonts w:ascii="Arial"/>
          <w:b/>
          <w:sz w:val="20"/>
        </w:rPr>
        <w:t>Usos</w:t>
      </w:r>
      <w:r>
        <w:rPr>
          <w:rFonts w:ascii="Arial"/>
          <w:b/>
          <w:spacing w:val="-8"/>
          <w:sz w:val="20"/>
        </w:rPr>
        <w:t> </w:t>
      </w:r>
      <w:r>
        <w:rPr>
          <w:rFonts w:ascii="Arial"/>
          <w:b/>
          <w:sz w:val="20"/>
        </w:rPr>
        <w:t>de</w:t>
      </w:r>
      <w:r>
        <w:rPr>
          <w:rFonts w:ascii="Arial"/>
          <w:b/>
          <w:spacing w:val="-5"/>
          <w:sz w:val="20"/>
        </w:rPr>
        <w:t> </w:t>
      </w:r>
      <w:r>
        <w:rPr>
          <w:rFonts w:ascii="Arial"/>
          <w:b/>
          <w:sz w:val="20"/>
        </w:rPr>
        <w:t>Impacto</w:t>
      </w:r>
      <w:r>
        <w:rPr>
          <w:rFonts w:ascii="Arial"/>
          <w:b/>
          <w:spacing w:val="-7"/>
          <w:sz w:val="20"/>
        </w:rPr>
        <w:t> </w:t>
      </w:r>
      <w:r>
        <w:rPr>
          <w:rFonts w:ascii="Arial"/>
          <w:b/>
          <w:sz w:val="20"/>
        </w:rPr>
        <w:t>Urbano</w:t>
      </w:r>
      <w:r>
        <w:rPr>
          <w:rFonts w:ascii="Arial"/>
          <w:b/>
          <w:spacing w:val="-4"/>
          <w:sz w:val="20"/>
        </w:rPr>
        <w:t> </w:t>
      </w:r>
      <w:r>
        <w:rPr>
          <w:rFonts w:ascii="Arial"/>
          <w:b/>
          <w:sz w:val="20"/>
        </w:rPr>
        <w:t>Significativo</w:t>
      </w:r>
      <w:r>
        <w:rPr>
          <w:rFonts w:ascii="Arial"/>
          <w:b/>
          <w:spacing w:val="-7"/>
          <w:sz w:val="20"/>
        </w:rPr>
        <w:t> </w:t>
      </w:r>
      <w:r>
        <w:rPr>
          <w:rFonts w:ascii="Arial"/>
          <w:b/>
          <w:sz w:val="20"/>
        </w:rPr>
        <w:t>y</w:t>
      </w:r>
      <w:r>
        <w:rPr>
          <w:rFonts w:ascii="Arial"/>
          <w:b/>
          <w:spacing w:val="-8"/>
          <w:sz w:val="20"/>
        </w:rPr>
        <w:t> </w:t>
      </w:r>
      <w:r>
        <w:rPr>
          <w:rFonts w:ascii="Arial"/>
          <w:b/>
          <w:sz w:val="20"/>
        </w:rPr>
        <w:t>de</w:t>
      </w:r>
      <w:r>
        <w:rPr>
          <w:rFonts w:ascii="Arial"/>
          <w:b/>
          <w:spacing w:val="-5"/>
          <w:sz w:val="20"/>
        </w:rPr>
        <w:t> </w:t>
      </w:r>
      <w:r>
        <w:rPr>
          <w:rFonts w:ascii="Arial"/>
          <w:b/>
          <w:sz w:val="20"/>
        </w:rPr>
        <w:t>Impacto</w:t>
      </w:r>
      <w:r>
        <w:rPr>
          <w:rFonts w:ascii="Arial"/>
          <w:b/>
          <w:spacing w:val="-6"/>
          <w:sz w:val="20"/>
        </w:rPr>
        <w:t> </w:t>
      </w:r>
      <w:r>
        <w:rPr>
          <w:rFonts w:ascii="Arial"/>
          <w:b/>
          <w:spacing w:val="-2"/>
          <w:sz w:val="20"/>
        </w:rPr>
        <w:t>Ambiental</w:t>
      </w:r>
    </w:p>
    <w:p>
      <w:pPr>
        <w:spacing w:after="0"/>
        <w:jc w:val="center"/>
        <w:rPr>
          <w:rFonts w:ascii="Arial"/>
          <w:b/>
          <w:sz w:val="20"/>
        </w:rPr>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77"/>
        <w:jc w:val="both"/>
      </w:pPr>
      <w:r>
        <w:rPr>
          <w:rFonts w:ascii="Arial" w:hAnsi="Arial"/>
          <w:b/>
        </w:rPr>
        <w:t>ARTÍCULO</w:t>
      </w:r>
      <w:r>
        <w:rPr>
          <w:rFonts w:ascii="Arial" w:hAnsi="Arial"/>
          <w:b/>
          <w:spacing w:val="-8"/>
        </w:rPr>
        <w:t> </w:t>
      </w:r>
      <w:r>
        <w:rPr>
          <w:rFonts w:ascii="Arial" w:hAnsi="Arial"/>
          <w:b/>
        </w:rPr>
        <w:t>289</w:t>
      </w:r>
      <w:r>
        <w:rPr>
          <w:rFonts w:ascii="Arial" w:hAnsi="Arial"/>
          <w:b/>
          <w:i/>
        </w:rPr>
        <w:t>.</w:t>
      </w:r>
      <w:r>
        <w:rPr>
          <w:rFonts w:ascii="Arial" w:hAnsi="Arial"/>
          <w:b/>
          <w:i/>
          <w:spacing w:val="-4"/>
        </w:rPr>
        <w:t> </w:t>
      </w:r>
      <w:r>
        <w:rPr/>
        <w:t>Para</w:t>
      </w:r>
      <w:r>
        <w:rPr>
          <w:spacing w:val="-6"/>
        </w:rPr>
        <w:t> </w:t>
      </w:r>
      <w:r>
        <w:rPr/>
        <w:t>efecto</w:t>
      </w:r>
      <w:r>
        <w:rPr>
          <w:spacing w:val="-9"/>
        </w:rPr>
        <w:t> </w:t>
      </w:r>
      <w:r>
        <w:rPr/>
        <w:t>de</w:t>
      </w:r>
      <w:r>
        <w:rPr>
          <w:spacing w:val="-7"/>
        </w:rPr>
        <w:t> </w:t>
      </w:r>
      <w:r>
        <w:rPr/>
        <w:t>la</w:t>
      </w:r>
      <w:r>
        <w:rPr>
          <w:spacing w:val="-7"/>
        </w:rPr>
        <w:t> </w:t>
      </w:r>
      <w:r>
        <w:rPr/>
        <w:t>expedición</w:t>
      </w:r>
      <w:r>
        <w:rPr>
          <w:spacing w:val="-7"/>
        </w:rPr>
        <w:t> </w:t>
      </w:r>
      <w:r>
        <w:rPr/>
        <w:t>de</w:t>
      </w:r>
      <w:r>
        <w:rPr>
          <w:spacing w:val="-5"/>
        </w:rPr>
        <w:t> </w:t>
      </w:r>
      <w:r>
        <w:rPr/>
        <w:t>las</w:t>
      </w:r>
      <w:r>
        <w:rPr>
          <w:spacing w:val="-6"/>
        </w:rPr>
        <w:t> </w:t>
      </w:r>
      <w:r>
        <w:rPr/>
        <w:t>licencias</w:t>
      </w:r>
      <w:r>
        <w:rPr>
          <w:spacing w:val="-6"/>
        </w:rPr>
        <w:t> </w:t>
      </w:r>
      <w:r>
        <w:rPr/>
        <w:t>de</w:t>
      </w:r>
      <w:r>
        <w:rPr>
          <w:spacing w:val="-7"/>
        </w:rPr>
        <w:t> </w:t>
      </w:r>
      <w:r>
        <w:rPr/>
        <w:t>uso</w:t>
      </w:r>
      <w:r>
        <w:rPr>
          <w:spacing w:val="-7"/>
        </w:rPr>
        <w:t> </w:t>
      </w:r>
      <w:r>
        <w:rPr/>
        <w:t>de</w:t>
      </w:r>
      <w:r>
        <w:rPr>
          <w:spacing w:val="-7"/>
        </w:rPr>
        <w:t> </w:t>
      </w:r>
      <w:r>
        <w:rPr/>
        <w:t>suelo,</w:t>
      </w:r>
      <w:r>
        <w:rPr>
          <w:spacing w:val="-7"/>
        </w:rPr>
        <w:t> </w:t>
      </w:r>
      <w:r>
        <w:rPr/>
        <w:t>se</w:t>
      </w:r>
      <w:r>
        <w:rPr>
          <w:spacing w:val="-5"/>
        </w:rPr>
        <w:t> </w:t>
      </w:r>
      <w:r>
        <w:rPr/>
        <w:t>considera</w:t>
      </w:r>
      <w:r>
        <w:rPr>
          <w:spacing w:val="-7"/>
        </w:rPr>
        <w:t> </w:t>
      </w:r>
      <w:r>
        <w:rPr/>
        <w:t>que</w:t>
      </w:r>
      <w:r>
        <w:rPr>
          <w:spacing w:val="-7"/>
        </w:rPr>
        <w:t> </w:t>
      </w:r>
      <w:r>
        <w:rPr/>
        <w:t>los usos que generan impacto urbano significativo son los que a continuación se indican para toda la Entidad, y deberán incluirse en la clasificación de usos del suelo que al efecto determinen los programas de desarrollo urbano de centros de población:</w:t>
      </w:r>
    </w:p>
    <w:p>
      <w:pPr>
        <w:pStyle w:val="ListParagraph"/>
        <w:numPr>
          <w:ilvl w:val="0"/>
          <w:numId w:val="106"/>
        </w:numPr>
        <w:tabs>
          <w:tab w:pos="689" w:val="left" w:leader="none"/>
        </w:tabs>
        <w:spacing w:line="240" w:lineRule="auto" w:before="230" w:after="0"/>
        <w:ind w:left="689" w:right="0" w:hanging="427"/>
        <w:jc w:val="left"/>
        <w:rPr>
          <w:sz w:val="20"/>
        </w:rPr>
      </w:pPr>
      <w:r>
        <w:rPr>
          <w:sz w:val="20"/>
        </w:rPr>
        <w:t>Habitación</w:t>
      </w:r>
      <w:r>
        <w:rPr>
          <w:spacing w:val="-10"/>
          <w:sz w:val="20"/>
        </w:rPr>
        <w:t> </w:t>
      </w:r>
      <w:r>
        <w:rPr>
          <w:sz w:val="20"/>
        </w:rPr>
        <w:t>plurifamiliar</w:t>
      </w:r>
      <w:r>
        <w:rPr>
          <w:spacing w:val="-6"/>
          <w:sz w:val="20"/>
        </w:rPr>
        <w:t> </w:t>
      </w:r>
      <w:r>
        <w:rPr>
          <w:sz w:val="20"/>
        </w:rPr>
        <w:t>de</w:t>
      </w:r>
      <w:r>
        <w:rPr>
          <w:spacing w:val="-9"/>
          <w:sz w:val="20"/>
        </w:rPr>
        <w:t> </w:t>
      </w:r>
      <w:r>
        <w:rPr>
          <w:sz w:val="20"/>
        </w:rPr>
        <w:t>más</w:t>
      </w:r>
      <w:r>
        <w:rPr>
          <w:spacing w:val="-8"/>
          <w:sz w:val="20"/>
        </w:rPr>
        <w:t> </w:t>
      </w:r>
      <w:r>
        <w:rPr>
          <w:sz w:val="20"/>
        </w:rPr>
        <w:t>de</w:t>
      </w:r>
      <w:r>
        <w:rPr>
          <w:spacing w:val="-10"/>
          <w:sz w:val="20"/>
        </w:rPr>
        <w:t> </w:t>
      </w:r>
      <w:r>
        <w:rPr>
          <w:sz w:val="20"/>
        </w:rPr>
        <w:t>cincuenta</w:t>
      </w:r>
      <w:r>
        <w:rPr>
          <w:spacing w:val="-10"/>
          <w:sz w:val="20"/>
        </w:rPr>
        <w:t> </w:t>
      </w:r>
      <w:r>
        <w:rPr>
          <w:spacing w:val="-2"/>
          <w:sz w:val="20"/>
        </w:rPr>
        <w:t>viviendas;</w:t>
      </w:r>
    </w:p>
    <w:p>
      <w:pPr>
        <w:pStyle w:val="BodyText"/>
      </w:pPr>
    </w:p>
    <w:p>
      <w:pPr>
        <w:pStyle w:val="ListParagraph"/>
        <w:numPr>
          <w:ilvl w:val="0"/>
          <w:numId w:val="106"/>
        </w:numPr>
        <w:tabs>
          <w:tab w:pos="689" w:val="left" w:leader="none"/>
        </w:tabs>
        <w:spacing w:line="240" w:lineRule="auto" w:before="0" w:after="0"/>
        <w:ind w:left="689" w:right="0" w:hanging="427"/>
        <w:jc w:val="left"/>
        <w:rPr>
          <w:sz w:val="20"/>
        </w:rPr>
      </w:pPr>
      <w:r>
        <w:rPr>
          <w:sz w:val="20"/>
        </w:rPr>
        <w:t>Instalaciones</w:t>
      </w:r>
      <w:r>
        <w:rPr>
          <w:spacing w:val="-7"/>
          <w:sz w:val="20"/>
        </w:rPr>
        <w:t> </w:t>
      </w:r>
      <w:r>
        <w:rPr>
          <w:sz w:val="20"/>
        </w:rPr>
        <w:t>para</w:t>
      </w:r>
      <w:r>
        <w:rPr>
          <w:spacing w:val="-6"/>
          <w:sz w:val="20"/>
        </w:rPr>
        <w:t> </w:t>
      </w:r>
      <w:r>
        <w:rPr>
          <w:sz w:val="20"/>
        </w:rPr>
        <w:t>la</w:t>
      </w:r>
      <w:r>
        <w:rPr>
          <w:spacing w:val="-6"/>
          <w:sz w:val="20"/>
        </w:rPr>
        <w:t> </w:t>
      </w:r>
      <w:r>
        <w:rPr>
          <w:sz w:val="20"/>
        </w:rPr>
        <w:t>recreación</w:t>
      </w:r>
      <w:r>
        <w:rPr>
          <w:spacing w:val="-6"/>
          <w:sz w:val="20"/>
        </w:rPr>
        <w:t> </w:t>
      </w:r>
      <w:r>
        <w:rPr>
          <w:sz w:val="20"/>
        </w:rPr>
        <w:t>de</w:t>
      </w:r>
      <w:r>
        <w:rPr>
          <w:spacing w:val="-7"/>
          <w:sz w:val="20"/>
        </w:rPr>
        <w:t> </w:t>
      </w:r>
      <w:r>
        <w:rPr>
          <w:sz w:val="20"/>
        </w:rPr>
        <w:t>más</w:t>
      </w:r>
      <w:r>
        <w:rPr>
          <w:spacing w:val="-6"/>
          <w:sz w:val="20"/>
        </w:rPr>
        <w:t> </w:t>
      </w:r>
      <w:r>
        <w:rPr>
          <w:sz w:val="20"/>
        </w:rPr>
        <w:t>de</w:t>
      </w:r>
      <w:r>
        <w:rPr>
          <w:spacing w:val="-8"/>
          <w:sz w:val="20"/>
        </w:rPr>
        <w:t> </w:t>
      </w:r>
      <w:r>
        <w:rPr>
          <w:sz w:val="20"/>
        </w:rPr>
        <w:t>cinco</w:t>
      </w:r>
      <w:r>
        <w:rPr>
          <w:spacing w:val="-6"/>
          <w:sz w:val="20"/>
        </w:rPr>
        <w:t> </w:t>
      </w:r>
      <w:r>
        <w:rPr>
          <w:sz w:val="20"/>
        </w:rPr>
        <w:t>mil</w:t>
      </w:r>
      <w:r>
        <w:rPr>
          <w:spacing w:val="-6"/>
          <w:sz w:val="20"/>
        </w:rPr>
        <w:t> </w:t>
      </w:r>
      <w:r>
        <w:rPr>
          <w:sz w:val="20"/>
        </w:rPr>
        <w:t>metros</w:t>
      </w:r>
      <w:r>
        <w:rPr>
          <w:spacing w:val="-7"/>
          <w:sz w:val="20"/>
        </w:rPr>
        <w:t> </w:t>
      </w:r>
      <w:r>
        <w:rPr>
          <w:sz w:val="20"/>
        </w:rPr>
        <w:t>cuadrados</w:t>
      </w:r>
      <w:r>
        <w:rPr>
          <w:spacing w:val="-5"/>
          <w:sz w:val="20"/>
        </w:rPr>
        <w:t> </w:t>
      </w:r>
      <w:r>
        <w:rPr>
          <w:sz w:val="20"/>
        </w:rPr>
        <w:t>de</w:t>
      </w:r>
      <w:r>
        <w:rPr>
          <w:spacing w:val="-8"/>
          <w:sz w:val="20"/>
        </w:rPr>
        <w:t> </w:t>
      </w:r>
      <w:r>
        <w:rPr>
          <w:spacing w:val="-2"/>
          <w:sz w:val="20"/>
        </w:rPr>
        <w:t>terreno;</w:t>
      </w:r>
    </w:p>
    <w:p>
      <w:pPr>
        <w:pStyle w:val="BodyText"/>
        <w:spacing w:before="1"/>
      </w:pPr>
    </w:p>
    <w:p>
      <w:pPr>
        <w:pStyle w:val="ListParagraph"/>
        <w:numPr>
          <w:ilvl w:val="0"/>
          <w:numId w:val="106"/>
        </w:numPr>
        <w:tabs>
          <w:tab w:pos="744" w:val="left" w:leader="none"/>
        </w:tabs>
        <w:spacing w:line="240" w:lineRule="auto" w:before="0" w:after="0"/>
        <w:ind w:left="744" w:right="0" w:hanging="482"/>
        <w:jc w:val="left"/>
        <w:rPr>
          <w:sz w:val="20"/>
        </w:rPr>
      </w:pPr>
      <w:r>
        <w:rPr>
          <w:sz w:val="20"/>
        </w:rPr>
        <w:t>Oficinas</w:t>
      </w:r>
      <w:r>
        <w:rPr>
          <w:spacing w:val="-7"/>
          <w:sz w:val="20"/>
        </w:rPr>
        <w:t> </w:t>
      </w:r>
      <w:r>
        <w:rPr>
          <w:sz w:val="20"/>
        </w:rPr>
        <w:t>de</w:t>
      </w:r>
      <w:r>
        <w:rPr>
          <w:spacing w:val="-6"/>
          <w:sz w:val="20"/>
        </w:rPr>
        <w:t> </w:t>
      </w:r>
      <w:r>
        <w:rPr>
          <w:sz w:val="20"/>
        </w:rPr>
        <w:t>más</w:t>
      </w:r>
      <w:r>
        <w:rPr>
          <w:spacing w:val="-6"/>
          <w:sz w:val="20"/>
        </w:rPr>
        <w:t> </w:t>
      </w:r>
      <w:r>
        <w:rPr>
          <w:sz w:val="20"/>
        </w:rPr>
        <w:t>de</w:t>
      </w:r>
      <w:r>
        <w:rPr>
          <w:spacing w:val="-7"/>
          <w:sz w:val="20"/>
        </w:rPr>
        <w:t> </w:t>
      </w:r>
      <w:r>
        <w:rPr>
          <w:sz w:val="20"/>
        </w:rPr>
        <w:t>mil</w:t>
      </w:r>
      <w:r>
        <w:rPr>
          <w:spacing w:val="-7"/>
          <w:sz w:val="20"/>
        </w:rPr>
        <w:t> </w:t>
      </w:r>
      <w:r>
        <w:rPr>
          <w:sz w:val="20"/>
        </w:rPr>
        <w:t>metros</w:t>
      </w:r>
      <w:r>
        <w:rPr>
          <w:spacing w:val="-6"/>
          <w:sz w:val="20"/>
        </w:rPr>
        <w:t> </w:t>
      </w:r>
      <w:r>
        <w:rPr>
          <w:sz w:val="20"/>
        </w:rPr>
        <w:t>cuadrados</w:t>
      </w:r>
      <w:r>
        <w:rPr>
          <w:spacing w:val="-6"/>
          <w:sz w:val="20"/>
        </w:rPr>
        <w:t> </w:t>
      </w:r>
      <w:r>
        <w:rPr>
          <w:spacing w:val="-2"/>
          <w:sz w:val="20"/>
        </w:rPr>
        <w:t>construidos;</w:t>
      </w:r>
    </w:p>
    <w:p>
      <w:pPr>
        <w:pStyle w:val="ListParagraph"/>
        <w:numPr>
          <w:ilvl w:val="0"/>
          <w:numId w:val="106"/>
        </w:numPr>
        <w:tabs>
          <w:tab w:pos="688" w:val="left" w:leader="none"/>
        </w:tabs>
        <w:spacing w:line="240" w:lineRule="auto" w:before="229" w:after="0"/>
        <w:ind w:left="262" w:right="286" w:firstLine="0"/>
        <w:jc w:val="both"/>
        <w:rPr>
          <w:sz w:val="20"/>
        </w:rPr>
      </w:pPr>
      <w:r>
        <w:rPr>
          <w:sz w:val="20"/>
        </w:rPr>
        <w:t>Comercio para venta, renta, depósito, reparación y servicio de vehículos y maquinaria en general, así como establecimientos con servicios de alimentos con o sin venta de bebidas alcohólicas de más de mil metros cuadrados construidos;</w:t>
      </w:r>
    </w:p>
    <w:p>
      <w:pPr>
        <w:pStyle w:val="BodyText"/>
        <w:spacing w:before="2"/>
      </w:pPr>
    </w:p>
    <w:p>
      <w:pPr>
        <w:pStyle w:val="ListParagraph"/>
        <w:numPr>
          <w:ilvl w:val="0"/>
          <w:numId w:val="106"/>
        </w:numPr>
        <w:tabs>
          <w:tab w:pos="688" w:val="left" w:leader="none"/>
        </w:tabs>
        <w:spacing w:line="240" w:lineRule="auto" w:before="0" w:after="0"/>
        <w:ind w:left="688" w:right="0" w:hanging="426"/>
        <w:jc w:val="both"/>
        <w:rPr>
          <w:sz w:val="20"/>
        </w:rPr>
      </w:pPr>
      <w:r>
        <w:rPr>
          <w:sz w:val="20"/>
        </w:rPr>
        <w:t>Terminales</w:t>
      </w:r>
      <w:r>
        <w:rPr>
          <w:spacing w:val="-7"/>
          <w:sz w:val="20"/>
        </w:rPr>
        <w:t> </w:t>
      </w:r>
      <w:r>
        <w:rPr>
          <w:sz w:val="20"/>
        </w:rPr>
        <w:t>e</w:t>
      </w:r>
      <w:r>
        <w:rPr>
          <w:spacing w:val="-8"/>
          <w:sz w:val="20"/>
        </w:rPr>
        <w:t> </w:t>
      </w:r>
      <w:r>
        <w:rPr>
          <w:sz w:val="20"/>
        </w:rPr>
        <w:t>instalaciones</w:t>
      </w:r>
      <w:r>
        <w:rPr>
          <w:spacing w:val="-5"/>
          <w:sz w:val="20"/>
        </w:rPr>
        <w:t> </w:t>
      </w:r>
      <w:r>
        <w:rPr>
          <w:sz w:val="20"/>
        </w:rPr>
        <w:t>para</w:t>
      </w:r>
      <w:r>
        <w:rPr>
          <w:spacing w:val="-7"/>
          <w:sz w:val="20"/>
        </w:rPr>
        <w:t> </w:t>
      </w:r>
      <w:r>
        <w:rPr>
          <w:sz w:val="20"/>
        </w:rPr>
        <w:t>el</w:t>
      </w:r>
      <w:r>
        <w:rPr>
          <w:spacing w:val="-8"/>
          <w:sz w:val="20"/>
        </w:rPr>
        <w:t> </w:t>
      </w:r>
      <w:r>
        <w:rPr>
          <w:sz w:val="20"/>
        </w:rPr>
        <w:t>transporte</w:t>
      </w:r>
      <w:r>
        <w:rPr>
          <w:spacing w:val="-5"/>
          <w:sz w:val="20"/>
        </w:rPr>
        <w:t> </w:t>
      </w:r>
      <w:r>
        <w:rPr>
          <w:sz w:val="20"/>
        </w:rPr>
        <w:t>de</w:t>
      </w:r>
      <w:r>
        <w:rPr>
          <w:spacing w:val="-7"/>
          <w:sz w:val="20"/>
        </w:rPr>
        <w:t> </w:t>
      </w:r>
      <w:r>
        <w:rPr>
          <w:sz w:val="20"/>
        </w:rPr>
        <w:t>más</w:t>
      </w:r>
      <w:r>
        <w:rPr>
          <w:spacing w:val="-6"/>
          <w:sz w:val="20"/>
        </w:rPr>
        <w:t> </w:t>
      </w:r>
      <w:r>
        <w:rPr>
          <w:sz w:val="20"/>
        </w:rPr>
        <w:t>de</w:t>
      </w:r>
      <w:r>
        <w:rPr>
          <w:spacing w:val="-7"/>
          <w:sz w:val="20"/>
        </w:rPr>
        <w:t> </w:t>
      </w:r>
      <w:r>
        <w:rPr>
          <w:sz w:val="20"/>
        </w:rPr>
        <w:t>mil</w:t>
      </w:r>
      <w:r>
        <w:rPr>
          <w:spacing w:val="-7"/>
          <w:sz w:val="20"/>
        </w:rPr>
        <w:t> </w:t>
      </w:r>
      <w:r>
        <w:rPr>
          <w:sz w:val="20"/>
        </w:rPr>
        <w:t>metros</w:t>
      </w:r>
      <w:r>
        <w:rPr>
          <w:spacing w:val="-6"/>
          <w:sz w:val="20"/>
        </w:rPr>
        <w:t> </w:t>
      </w:r>
      <w:r>
        <w:rPr>
          <w:sz w:val="20"/>
        </w:rPr>
        <w:t>cuadrados</w:t>
      </w:r>
      <w:r>
        <w:rPr>
          <w:spacing w:val="-5"/>
          <w:sz w:val="20"/>
        </w:rPr>
        <w:t> </w:t>
      </w:r>
      <w:r>
        <w:rPr>
          <w:sz w:val="20"/>
        </w:rPr>
        <w:t>de</w:t>
      </w:r>
      <w:r>
        <w:rPr>
          <w:spacing w:val="-6"/>
          <w:sz w:val="20"/>
        </w:rPr>
        <w:t> </w:t>
      </w:r>
      <w:r>
        <w:rPr>
          <w:spacing w:val="-2"/>
          <w:sz w:val="20"/>
        </w:rPr>
        <w:t>terreno;</w:t>
      </w:r>
    </w:p>
    <w:p>
      <w:pPr>
        <w:pStyle w:val="ListParagraph"/>
        <w:numPr>
          <w:ilvl w:val="0"/>
          <w:numId w:val="106"/>
        </w:numPr>
        <w:tabs>
          <w:tab w:pos="688" w:val="left" w:leader="none"/>
        </w:tabs>
        <w:spacing w:line="240" w:lineRule="auto" w:before="228" w:after="0"/>
        <w:ind w:left="688" w:right="0" w:hanging="426"/>
        <w:jc w:val="both"/>
        <w:rPr>
          <w:sz w:val="20"/>
        </w:rPr>
      </w:pPr>
      <w:r>
        <w:rPr>
          <w:sz w:val="20"/>
        </w:rPr>
        <w:t>Comercio</w:t>
      </w:r>
      <w:r>
        <w:rPr>
          <w:spacing w:val="-8"/>
          <w:sz w:val="20"/>
        </w:rPr>
        <w:t> </w:t>
      </w:r>
      <w:r>
        <w:rPr>
          <w:sz w:val="20"/>
        </w:rPr>
        <w:t>de</w:t>
      </w:r>
      <w:r>
        <w:rPr>
          <w:spacing w:val="-5"/>
          <w:sz w:val="20"/>
        </w:rPr>
        <w:t> </w:t>
      </w:r>
      <w:r>
        <w:rPr>
          <w:sz w:val="20"/>
        </w:rPr>
        <w:t>productos</w:t>
      </w:r>
      <w:r>
        <w:rPr>
          <w:spacing w:val="-6"/>
          <w:sz w:val="20"/>
        </w:rPr>
        <w:t> </w:t>
      </w:r>
      <w:r>
        <w:rPr>
          <w:sz w:val="20"/>
        </w:rPr>
        <w:t>y</w:t>
      </w:r>
      <w:r>
        <w:rPr>
          <w:spacing w:val="-6"/>
          <w:sz w:val="20"/>
        </w:rPr>
        <w:t> </w:t>
      </w:r>
      <w:r>
        <w:rPr>
          <w:sz w:val="20"/>
        </w:rPr>
        <w:t>servicios</w:t>
      </w:r>
      <w:r>
        <w:rPr>
          <w:spacing w:val="-7"/>
          <w:sz w:val="20"/>
        </w:rPr>
        <w:t> </w:t>
      </w:r>
      <w:r>
        <w:rPr>
          <w:sz w:val="20"/>
        </w:rPr>
        <w:t>básicos</w:t>
      </w:r>
      <w:r>
        <w:rPr>
          <w:spacing w:val="-6"/>
          <w:sz w:val="20"/>
        </w:rPr>
        <w:t> </w:t>
      </w:r>
      <w:r>
        <w:rPr>
          <w:sz w:val="20"/>
        </w:rPr>
        <w:t>o</w:t>
      </w:r>
      <w:r>
        <w:rPr>
          <w:spacing w:val="-8"/>
          <w:sz w:val="20"/>
        </w:rPr>
        <w:t> </w:t>
      </w:r>
      <w:r>
        <w:rPr>
          <w:spacing w:val="-2"/>
          <w:sz w:val="20"/>
        </w:rPr>
        <w:t>especializados;</w:t>
      </w:r>
    </w:p>
    <w:p>
      <w:pPr>
        <w:pStyle w:val="BodyText"/>
        <w:spacing w:before="1"/>
      </w:pPr>
    </w:p>
    <w:p>
      <w:pPr>
        <w:pStyle w:val="ListParagraph"/>
        <w:numPr>
          <w:ilvl w:val="0"/>
          <w:numId w:val="106"/>
        </w:numPr>
        <w:tabs>
          <w:tab w:pos="688" w:val="left" w:leader="none"/>
        </w:tabs>
        <w:spacing w:line="240" w:lineRule="auto" w:before="0" w:after="0"/>
        <w:ind w:left="688" w:right="0" w:hanging="426"/>
        <w:jc w:val="both"/>
        <w:rPr>
          <w:sz w:val="20"/>
        </w:rPr>
      </w:pPr>
      <w:r>
        <w:rPr>
          <w:sz w:val="20"/>
        </w:rPr>
        <w:t>Talleres</w:t>
      </w:r>
      <w:r>
        <w:rPr>
          <w:spacing w:val="-6"/>
          <w:sz w:val="20"/>
        </w:rPr>
        <w:t> </w:t>
      </w:r>
      <w:r>
        <w:rPr>
          <w:sz w:val="20"/>
        </w:rPr>
        <w:t>de</w:t>
      </w:r>
      <w:r>
        <w:rPr>
          <w:spacing w:val="-9"/>
          <w:sz w:val="20"/>
        </w:rPr>
        <w:t> </w:t>
      </w:r>
      <w:r>
        <w:rPr>
          <w:sz w:val="20"/>
        </w:rPr>
        <w:t>servicio</w:t>
      </w:r>
      <w:r>
        <w:rPr>
          <w:spacing w:val="-7"/>
          <w:sz w:val="20"/>
        </w:rPr>
        <w:t> </w:t>
      </w:r>
      <w:r>
        <w:rPr>
          <w:sz w:val="20"/>
        </w:rPr>
        <w:t>de</w:t>
      </w:r>
      <w:r>
        <w:rPr>
          <w:spacing w:val="-7"/>
          <w:sz w:val="20"/>
        </w:rPr>
        <w:t> </w:t>
      </w:r>
      <w:r>
        <w:rPr>
          <w:sz w:val="20"/>
        </w:rPr>
        <w:t>más</w:t>
      </w:r>
      <w:r>
        <w:rPr>
          <w:spacing w:val="-7"/>
          <w:sz w:val="20"/>
        </w:rPr>
        <w:t> </w:t>
      </w:r>
      <w:r>
        <w:rPr>
          <w:sz w:val="20"/>
        </w:rPr>
        <w:t>de</w:t>
      </w:r>
      <w:r>
        <w:rPr>
          <w:spacing w:val="-8"/>
          <w:sz w:val="20"/>
        </w:rPr>
        <w:t> </w:t>
      </w:r>
      <w:r>
        <w:rPr>
          <w:sz w:val="20"/>
        </w:rPr>
        <w:t>quinientos</w:t>
      </w:r>
      <w:r>
        <w:rPr>
          <w:spacing w:val="-5"/>
          <w:sz w:val="20"/>
        </w:rPr>
        <w:t> </w:t>
      </w:r>
      <w:r>
        <w:rPr>
          <w:sz w:val="20"/>
        </w:rPr>
        <w:t>metros</w:t>
      </w:r>
      <w:r>
        <w:rPr>
          <w:spacing w:val="-7"/>
          <w:sz w:val="20"/>
        </w:rPr>
        <w:t> </w:t>
      </w:r>
      <w:r>
        <w:rPr>
          <w:sz w:val="20"/>
        </w:rPr>
        <w:t>cuadrados</w:t>
      </w:r>
      <w:r>
        <w:rPr>
          <w:spacing w:val="-6"/>
          <w:sz w:val="20"/>
        </w:rPr>
        <w:t> </w:t>
      </w:r>
      <w:r>
        <w:rPr>
          <w:spacing w:val="-2"/>
          <w:sz w:val="20"/>
        </w:rPr>
        <w:t>construidos;</w:t>
      </w:r>
    </w:p>
    <w:p>
      <w:pPr>
        <w:pStyle w:val="BodyText"/>
        <w:spacing w:before="1"/>
      </w:pPr>
    </w:p>
    <w:p>
      <w:pPr>
        <w:pStyle w:val="ListParagraph"/>
        <w:numPr>
          <w:ilvl w:val="0"/>
          <w:numId w:val="106"/>
        </w:numPr>
        <w:tabs>
          <w:tab w:pos="827" w:val="left" w:leader="none"/>
        </w:tabs>
        <w:spacing w:line="240" w:lineRule="auto" w:before="0" w:after="0"/>
        <w:ind w:left="262" w:right="288" w:firstLine="0"/>
        <w:jc w:val="both"/>
        <w:rPr>
          <w:sz w:val="20"/>
        </w:rPr>
      </w:pPr>
      <w:r>
        <w:rPr>
          <w:sz w:val="20"/>
        </w:rPr>
        <w:t>Centros</w:t>
      </w:r>
      <w:r>
        <w:rPr>
          <w:spacing w:val="-2"/>
          <w:sz w:val="20"/>
        </w:rPr>
        <w:t> </w:t>
      </w:r>
      <w:r>
        <w:rPr>
          <w:sz w:val="20"/>
        </w:rPr>
        <w:t>de</w:t>
      </w:r>
      <w:r>
        <w:rPr>
          <w:spacing w:val="-3"/>
          <w:sz w:val="20"/>
        </w:rPr>
        <w:t> </w:t>
      </w:r>
      <w:r>
        <w:rPr>
          <w:sz w:val="20"/>
        </w:rPr>
        <w:t>consultorios</w:t>
      </w:r>
      <w:r>
        <w:rPr>
          <w:spacing w:val="-4"/>
          <w:sz w:val="20"/>
        </w:rPr>
        <w:t> </w:t>
      </w:r>
      <w:r>
        <w:rPr>
          <w:sz w:val="20"/>
        </w:rPr>
        <w:t>sin</w:t>
      </w:r>
      <w:r>
        <w:rPr>
          <w:spacing w:val="-3"/>
          <w:sz w:val="20"/>
        </w:rPr>
        <w:t> </w:t>
      </w:r>
      <w:r>
        <w:rPr>
          <w:sz w:val="20"/>
        </w:rPr>
        <w:t>camas</w:t>
      </w:r>
      <w:r>
        <w:rPr>
          <w:spacing w:val="-2"/>
          <w:sz w:val="20"/>
        </w:rPr>
        <w:t> </w:t>
      </w:r>
      <w:r>
        <w:rPr>
          <w:sz w:val="20"/>
        </w:rPr>
        <w:t>y</w:t>
      </w:r>
      <w:r>
        <w:rPr>
          <w:spacing w:val="-4"/>
          <w:sz w:val="20"/>
        </w:rPr>
        <w:t> </w:t>
      </w:r>
      <w:r>
        <w:rPr>
          <w:sz w:val="20"/>
        </w:rPr>
        <w:t>educación</w:t>
      </w:r>
      <w:r>
        <w:rPr>
          <w:spacing w:val="-4"/>
          <w:sz w:val="20"/>
        </w:rPr>
        <w:t> </w:t>
      </w:r>
      <w:r>
        <w:rPr>
          <w:sz w:val="20"/>
        </w:rPr>
        <w:t>física</w:t>
      </w:r>
      <w:r>
        <w:rPr>
          <w:spacing w:val="-3"/>
          <w:sz w:val="20"/>
        </w:rPr>
        <w:t> </w:t>
      </w:r>
      <w:r>
        <w:rPr>
          <w:sz w:val="20"/>
        </w:rPr>
        <w:t>y</w:t>
      </w:r>
      <w:r>
        <w:rPr>
          <w:spacing w:val="-4"/>
          <w:sz w:val="20"/>
        </w:rPr>
        <w:t> </w:t>
      </w:r>
      <w:r>
        <w:rPr>
          <w:sz w:val="20"/>
        </w:rPr>
        <w:t>artística</w:t>
      </w:r>
      <w:r>
        <w:rPr>
          <w:spacing w:val="-3"/>
          <w:sz w:val="20"/>
        </w:rPr>
        <w:t> </w:t>
      </w:r>
      <w:r>
        <w:rPr>
          <w:sz w:val="20"/>
        </w:rPr>
        <w:t>de</w:t>
      </w:r>
      <w:r>
        <w:rPr>
          <w:spacing w:val="-3"/>
          <w:sz w:val="20"/>
        </w:rPr>
        <w:t> </w:t>
      </w:r>
      <w:r>
        <w:rPr>
          <w:sz w:val="20"/>
        </w:rPr>
        <w:t>más</w:t>
      </w:r>
      <w:r>
        <w:rPr>
          <w:spacing w:val="-2"/>
          <w:sz w:val="20"/>
        </w:rPr>
        <w:t> </w:t>
      </w:r>
      <w:r>
        <w:rPr>
          <w:sz w:val="20"/>
        </w:rPr>
        <w:t>de</w:t>
      </w:r>
      <w:r>
        <w:rPr>
          <w:spacing w:val="-3"/>
          <w:sz w:val="20"/>
        </w:rPr>
        <w:t> </w:t>
      </w:r>
      <w:r>
        <w:rPr>
          <w:sz w:val="20"/>
        </w:rPr>
        <w:t>quinientos</w:t>
      </w:r>
      <w:r>
        <w:rPr>
          <w:spacing w:val="-4"/>
          <w:sz w:val="20"/>
        </w:rPr>
        <w:t> </w:t>
      </w:r>
      <w:r>
        <w:rPr>
          <w:sz w:val="20"/>
        </w:rPr>
        <w:t>metros cuadrados construidos;</w:t>
      </w:r>
    </w:p>
    <w:p>
      <w:pPr>
        <w:pStyle w:val="ListParagraph"/>
        <w:numPr>
          <w:ilvl w:val="0"/>
          <w:numId w:val="106"/>
        </w:numPr>
        <w:tabs>
          <w:tab w:pos="688" w:val="left" w:leader="none"/>
        </w:tabs>
        <w:spacing w:line="240" w:lineRule="auto" w:before="229" w:after="0"/>
        <w:ind w:left="688" w:right="0" w:hanging="426"/>
        <w:jc w:val="both"/>
        <w:rPr>
          <w:sz w:val="20"/>
        </w:rPr>
      </w:pPr>
      <w:r>
        <w:rPr>
          <w:sz w:val="20"/>
        </w:rPr>
        <w:t>Hospitales</w:t>
      </w:r>
      <w:r>
        <w:rPr>
          <w:spacing w:val="-7"/>
          <w:sz w:val="20"/>
        </w:rPr>
        <w:t> </w:t>
      </w:r>
      <w:r>
        <w:rPr>
          <w:sz w:val="20"/>
        </w:rPr>
        <w:t>y</w:t>
      </w:r>
      <w:r>
        <w:rPr>
          <w:spacing w:val="-6"/>
          <w:sz w:val="20"/>
        </w:rPr>
        <w:t> </w:t>
      </w:r>
      <w:r>
        <w:rPr>
          <w:sz w:val="20"/>
        </w:rPr>
        <w:t>sanatorios</w:t>
      </w:r>
      <w:r>
        <w:rPr>
          <w:spacing w:val="-6"/>
          <w:sz w:val="20"/>
        </w:rPr>
        <w:t> </w:t>
      </w:r>
      <w:r>
        <w:rPr>
          <w:sz w:val="20"/>
        </w:rPr>
        <w:t>de</w:t>
      </w:r>
      <w:r>
        <w:rPr>
          <w:spacing w:val="-3"/>
          <w:sz w:val="20"/>
        </w:rPr>
        <w:t> </w:t>
      </w:r>
      <w:r>
        <w:rPr>
          <w:sz w:val="20"/>
        </w:rPr>
        <w:t>más</w:t>
      </w:r>
      <w:r>
        <w:rPr>
          <w:spacing w:val="-7"/>
          <w:sz w:val="20"/>
        </w:rPr>
        <w:t> </w:t>
      </w:r>
      <w:r>
        <w:rPr>
          <w:sz w:val="20"/>
        </w:rPr>
        <w:t>de</w:t>
      </w:r>
      <w:r>
        <w:rPr>
          <w:spacing w:val="-6"/>
          <w:sz w:val="20"/>
        </w:rPr>
        <w:t> </w:t>
      </w:r>
      <w:r>
        <w:rPr>
          <w:sz w:val="20"/>
        </w:rPr>
        <w:t>diez</w:t>
      </w:r>
      <w:r>
        <w:rPr>
          <w:spacing w:val="-6"/>
          <w:sz w:val="20"/>
        </w:rPr>
        <w:t> </w:t>
      </w:r>
      <w:r>
        <w:rPr>
          <w:spacing w:val="-2"/>
          <w:sz w:val="20"/>
        </w:rPr>
        <w:t>camas;</w:t>
      </w:r>
    </w:p>
    <w:p>
      <w:pPr>
        <w:pStyle w:val="BodyText"/>
        <w:spacing w:before="1"/>
      </w:pPr>
    </w:p>
    <w:p>
      <w:pPr>
        <w:pStyle w:val="ListParagraph"/>
        <w:numPr>
          <w:ilvl w:val="0"/>
          <w:numId w:val="106"/>
        </w:numPr>
        <w:tabs>
          <w:tab w:pos="688" w:val="left" w:leader="none"/>
        </w:tabs>
        <w:spacing w:line="240" w:lineRule="auto" w:before="0" w:after="0"/>
        <w:ind w:left="688" w:right="0" w:hanging="426"/>
        <w:jc w:val="both"/>
        <w:rPr>
          <w:sz w:val="20"/>
        </w:rPr>
      </w:pPr>
      <w:r>
        <w:rPr>
          <w:sz w:val="20"/>
        </w:rPr>
        <w:t>Estacionamientos</w:t>
      </w:r>
      <w:r>
        <w:rPr>
          <w:spacing w:val="-7"/>
          <w:sz w:val="20"/>
        </w:rPr>
        <w:t> </w:t>
      </w:r>
      <w:r>
        <w:rPr>
          <w:sz w:val="20"/>
        </w:rPr>
        <w:t>de</w:t>
      </w:r>
      <w:r>
        <w:rPr>
          <w:spacing w:val="-8"/>
          <w:sz w:val="20"/>
        </w:rPr>
        <w:t> </w:t>
      </w:r>
      <w:r>
        <w:rPr>
          <w:sz w:val="20"/>
        </w:rPr>
        <w:t>más</w:t>
      </w:r>
      <w:r>
        <w:rPr>
          <w:spacing w:val="-7"/>
          <w:sz w:val="20"/>
        </w:rPr>
        <w:t> </w:t>
      </w:r>
      <w:r>
        <w:rPr>
          <w:sz w:val="20"/>
        </w:rPr>
        <w:t>de</w:t>
      </w:r>
      <w:r>
        <w:rPr>
          <w:spacing w:val="-8"/>
          <w:sz w:val="20"/>
        </w:rPr>
        <w:t> </w:t>
      </w:r>
      <w:r>
        <w:rPr>
          <w:sz w:val="20"/>
        </w:rPr>
        <w:t>cien</w:t>
      </w:r>
      <w:r>
        <w:rPr>
          <w:spacing w:val="-8"/>
          <w:sz w:val="20"/>
        </w:rPr>
        <w:t> </w:t>
      </w:r>
      <w:r>
        <w:rPr>
          <w:spacing w:val="-2"/>
          <w:sz w:val="20"/>
        </w:rPr>
        <w:t>cajones;</w:t>
      </w:r>
    </w:p>
    <w:p>
      <w:pPr>
        <w:pStyle w:val="ListParagraph"/>
        <w:numPr>
          <w:ilvl w:val="0"/>
          <w:numId w:val="106"/>
        </w:numPr>
        <w:tabs>
          <w:tab w:pos="688" w:val="left" w:leader="none"/>
        </w:tabs>
        <w:spacing w:line="240" w:lineRule="auto" w:before="229" w:after="0"/>
        <w:ind w:left="688" w:right="0" w:hanging="426"/>
        <w:jc w:val="both"/>
        <w:rPr>
          <w:sz w:val="20"/>
        </w:rPr>
      </w:pPr>
      <w:r>
        <w:rPr>
          <w:sz w:val="20"/>
        </w:rPr>
        <w:t>Centros</w:t>
      </w:r>
      <w:r>
        <w:rPr>
          <w:spacing w:val="-7"/>
          <w:sz w:val="20"/>
        </w:rPr>
        <w:t> </w:t>
      </w:r>
      <w:r>
        <w:rPr>
          <w:sz w:val="20"/>
        </w:rPr>
        <w:t>comerciales,</w:t>
      </w:r>
      <w:r>
        <w:rPr>
          <w:spacing w:val="-8"/>
          <w:sz w:val="20"/>
        </w:rPr>
        <w:t> </w:t>
      </w:r>
      <w:r>
        <w:rPr>
          <w:sz w:val="20"/>
        </w:rPr>
        <w:t>mercados,</w:t>
      </w:r>
      <w:r>
        <w:rPr>
          <w:spacing w:val="-7"/>
          <w:sz w:val="20"/>
        </w:rPr>
        <w:t> </w:t>
      </w:r>
      <w:r>
        <w:rPr>
          <w:sz w:val="20"/>
        </w:rPr>
        <w:t>centros</w:t>
      </w:r>
      <w:r>
        <w:rPr>
          <w:spacing w:val="-7"/>
          <w:sz w:val="20"/>
        </w:rPr>
        <w:t> </w:t>
      </w:r>
      <w:r>
        <w:rPr>
          <w:sz w:val="20"/>
        </w:rPr>
        <w:t>de</w:t>
      </w:r>
      <w:r>
        <w:rPr>
          <w:spacing w:val="-6"/>
          <w:sz w:val="20"/>
        </w:rPr>
        <w:t> </w:t>
      </w:r>
      <w:r>
        <w:rPr>
          <w:sz w:val="20"/>
        </w:rPr>
        <w:t>abasto,</w:t>
      </w:r>
      <w:r>
        <w:rPr>
          <w:spacing w:val="-8"/>
          <w:sz w:val="20"/>
        </w:rPr>
        <w:t> </w:t>
      </w:r>
      <w:r>
        <w:rPr>
          <w:sz w:val="20"/>
        </w:rPr>
        <w:t>rastros</w:t>
      </w:r>
      <w:r>
        <w:rPr>
          <w:spacing w:val="-7"/>
          <w:sz w:val="20"/>
        </w:rPr>
        <w:t> </w:t>
      </w:r>
      <w:r>
        <w:rPr>
          <w:sz w:val="20"/>
        </w:rPr>
        <w:t>y</w:t>
      </w:r>
      <w:r>
        <w:rPr>
          <w:spacing w:val="-6"/>
          <w:sz w:val="20"/>
        </w:rPr>
        <w:t> </w:t>
      </w:r>
      <w:r>
        <w:rPr>
          <w:sz w:val="20"/>
        </w:rPr>
        <w:t>depósitos</w:t>
      </w:r>
      <w:r>
        <w:rPr>
          <w:spacing w:val="-7"/>
          <w:sz w:val="20"/>
        </w:rPr>
        <w:t> </w:t>
      </w:r>
      <w:r>
        <w:rPr>
          <w:sz w:val="20"/>
        </w:rPr>
        <w:t>de</w:t>
      </w:r>
      <w:r>
        <w:rPr>
          <w:spacing w:val="-8"/>
          <w:sz w:val="20"/>
        </w:rPr>
        <w:t> </w:t>
      </w:r>
      <w:r>
        <w:rPr>
          <w:spacing w:val="-2"/>
          <w:sz w:val="20"/>
        </w:rPr>
        <w:t>combustibles;</w:t>
      </w:r>
    </w:p>
    <w:p>
      <w:pPr>
        <w:pStyle w:val="BodyText"/>
      </w:pPr>
    </w:p>
    <w:p>
      <w:pPr>
        <w:pStyle w:val="ListParagraph"/>
        <w:numPr>
          <w:ilvl w:val="0"/>
          <w:numId w:val="106"/>
        </w:numPr>
        <w:tabs>
          <w:tab w:pos="688" w:val="left" w:leader="none"/>
        </w:tabs>
        <w:spacing w:line="240" w:lineRule="auto" w:before="0" w:after="0"/>
        <w:ind w:left="688" w:right="0" w:hanging="426"/>
        <w:jc w:val="both"/>
        <w:rPr>
          <w:sz w:val="20"/>
        </w:rPr>
      </w:pPr>
      <w:r>
        <w:rPr>
          <w:spacing w:val="-2"/>
          <w:sz w:val="20"/>
        </w:rPr>
        <w:t>Gasolineras;</w:t>
      </w:r>
    </w:p>
    <w:p>
      <w:pPr>
        <w:pStyle w:val="BodyText"/>
        <w:spacing w:before="1"/>
      </w:pPr>
    </w:p>
    <w:p>
      <w:pPr>
        <w:pStyle w:val="ListParagraph"/>
        <w:numPr>
          <w:ilvl w:val="0"/>
          <w:numId w:val="106"/>
        </w:numPr>
        <w:tabs>
          <w:tab w:pos="968" w:val="left" w:leader="none"/>
        </w:tabs>
        <w:spacing w:line="240" w:lineRule="auto" w:before="0" w:after="0"/>
        <w:ind w:left="262" w:right="289" w:firstLine="0"/>
        <w:jc w:val="both"/>
        <w:rPr>
          <w:sz w:val="20"/>
        </w:rPr>
      </w:pPr>
      <w:r>
        <w:rPr>
          <w:sz w:val="20"/>
        </w:rPr>
        <w:t>Venta y distribución de gas de uso doméstico, gases industriales y de uso médico y </w:t>
      </w:r>
      <w:r>
        <w:rPr>
          <w:spacing w:val="-2"/>
          <w:sz w:val="20"/>
        </w:rPr>
        <w:t>combustibles;</w:t>
      </w:r>
    </w:p>
    <w:p>
      <w:pPr>
        <w:pStyle w:val="ListParagraph"/>
        <w:numPr>
          <w:ilvl w:val="0"/>
          <w:numId w:val="106"/>
        </w:numPr>
        <w:tabs>
          <w:tab w:pos="968" w:val="left" w:leader="none"/>
        </w:tabs>
        <w:spacing w:line="240" w:lineRule="auto" w:before="229" w:after="0"/>
        <w:ind w:left="968" w:right="0" w:hanging="706"/>
        <w:jc w:val="both"/>
        <w:rPr>
          <w:sz w:val="20"/>
        </w:rPr>
      </w:pPr>
      <w:r>
        <w:rPr>
          <w:sz w:val="20"/>
        </w:rPr>
        <w:t>Bodegas</w:t>
      </w:r>
      <w:r>
        <w:rPr>
          <w:spacing w:val="-4"/>
          <w:sz w:val="20"/>
        </w:rPr>
        <w:t> </w:t>
      </w:r>
      <w:r>
        <w:rPr>
          <w:sz w:val="20"/>
        </w:rPr>
        <w:t>de</w:t>
      </w:r>
      <w:r>
        <w:rPr>
          <w:spacing w:val="-8"/>
          <w:sz w:val="20"/>
        </w:rPr>
        <w:t> </w:t>
      </w:r>
      <w:r>
        <w:rPr>
          <w:sz w:val="20"/>
        </w:rPr>
        <w:t>mil</w:t>
      </w:r>
      <w:r>
        <w:rPr>
          <w:spacing w:val="-6"/>
          <w:sz w:val="20"/>
        </w:rPr>
        <w:t> </w:t>
      </w:r>
      <w:r>
        <w:rPr>
          <w:sz w:val="20"/>
        </w:rPr>
        <w:t>metros</w:t>
      </w:r>
      <w:r>
        <w:rPr>
          <w:spacing w:val="-5"/>
          <w:sz w:val="20"/>
        </w:rPr>
        <w:t> </w:t>
      </w:r>
      <w:r>
        <w:rPr>
          <w:sz w:val="20"/>
        </w:rPr>
        <w:t>cuadrados</w:t>
      </w:r>
      <w:r>
        <w:rPr>
          <w:spacing w:val="-6"/>
          <w:sz w:val="20"/>
        </w:rPr>
        <w:t> </w:t>
      </w:r>
      <w:r>
        <w:rPr>
          <w:sz w:val="20"/>
        </w:rPr>
        <w:t>o</w:t>
      </w:r>
      <w:r>
        <w:rPr>
          <w:spacing w:val="-5"/>
          <w:sz w:val="20"/>
        </w:rPr>
        <w:t> </w:t>
      </w:r>
      <w:r>
        <w:rPr>
          <w:sz w:val="20"/>
        </w:rPr>
        <w:t>más</w:t>
      </w:r>
      <w:r>
        <w:rPr>
          <w:spacing w:val="-6"/>
          <w:sz w:val="20"/>
        </w:rPr>
        <w:t> </w:t>
      </w:r>
      <w:r>
        <w:rPr>
          <w:spacing w:val="-2"/>
          <w:sz w:val="20"/>
        </w:rPr>
        <w:t>construidos;</w:t>
      </w:r>
    </w:p>
    <w:p>
      <w:pPr>
        <w:pStyle w:val="BodyText"/>
        <w:spacing w:before="1"/>
      </w:pPr>
    </w:p>
    <w:p>
      <w:pPr>
        <w:pStyle w:val="ListParagraph"/>
        <w:numPr>
          <w:ilvl w:val="0"/>
          <w:numId w:val="106"/>
        </w:numPr>
        <w:tabs>
          <w:tab w:pos="969" w:val="left" w:leader="none"/>
        </w:tabs>
        <w:spacing w:line="240" w:lineRule="auto" w:before="0" w:after="0"/>
        <w:ind w:left="969" w:right="0" w:hanging="707"/>
        <w:jc w:val="both"/>
        <w:rPr>
          <w:sz w:val="20"/>
        </w:rPr>
      </w:pPr>
      <w:r>
        <w:rPr>
          <w:sz w:val="20"/>
        </w:rPr>
        <w:t>Planteles</w:t>
      </w:r>
      <w:r>
        <w:rPr>
          <w:spacing w:val="-8"/>
          <w:sz w:val="20"/>
        </w:rPr>
        <w:t> </w:t>
      </w:r>
      <w:r>
        <w:rPr>
          <w:sz w:val="20"/>
        </w:rPr>
        <w:t>de</w:t>
      </w:r>
      <w:r>
        <w:rPr>
          <w:spacing w:val="-8"/>
          <w:sz w:val="20"/>
        </w:rPr>
        <w:t> </w:t>
      </w:r>
      <w:r>
        <w:rPr>
          <w:sz w:val="20"/>
        </w:rPr>
        <w:t>educación</w:t>
      </w:r>
      <w:r>
        <w:rPr>
          <w:spacing w:val="-8"/>
          <w:sz w:val="20"/>
        </w:rPr>
        <w:t> </w:t>
      </w:r>
      <w:r>
        <w:rPr>
          <w:sz w:val="20"/>
        </w:rPr>
        <w:t>media</w:t>
      </w:r>
      <w:r>
        <w:rPr>
          <w:spacing w:val="-8"/>
          <w:sz w:val="20"/>
        </w:rPr>
        <w:t> </w:t>
      </w:r>
      <w:r>
        <w:rPr>
          <w:sz w:val="20"/>
        </w:rPr>
        <w:t>superior,</w:t>
      </w:r>
      <w:r>
        <w:rPr>
          <w:spacing w:val="-8"/>
          <w:sz w:val="20"/>
        </w:rPr>
        <w:t> </w:t>
      </w:r>
      <w:r>
        <w:rPr>
          <w:sz w:val="20"/>
        </w:rPr>
        <w:t>e</w:t>
      </w:r>
      <w:r>
        <w:rPr>
          <w:spacing w:val="-7"/>
          <w:sz w:val="20"/>
        </w:rPr>
        <w:t> </w:t>
      </w:r>
      <w:r>
        <w:rPr>
          <w:sz w:val="20"/>
        </w:rPr>
        <w:t>instituciones</w:t>
      </w:r>
      <w:r>
        <w:rPr>
          <w:spacing w:val="-5"/>
          <w:sz w:val="20"/>
        </w:rPr>
        <w:t> </w:t>
      </w:r>
      <w:r>
        <w:rPr>
          <w:sz w:val="20"/>
        </w:rPr>
        <w:t>de</w:t>
      </w:r>
      <w:r>
        <w:rPr>
          <w:spacing w:val="-8"/>
          <w:sz w:val="20"/>
        </w:rPr>
        <w:t> </w:t>
      </w:r>
      <w:r>
        <w:rPr>
          <w:spacing w:val="-2"/>
          <w:sz w:val="20"/>
        </w:rPr>
        <w:t>investigación;</w:t>
      </w:r>
    </w:p>
    <w:p>
      <w:pPr>
        <w:pStyle w:val="BodyText"/>
        <w:spacing w:before="1"/>
      </w:pPr>
    </w:p>
    <w:p>
      <w:pPr>
        <w:pStyle w:val="ListParagraph"/>
        <w:numPr>
          <w:ilvl w:val="0"/>
          <w:numId w:val="106"/>
        </w:numPr>
        <w:tabs>
          <w:tab w:pos="882" w:val="left" w:leader="none"/>
        </w:tabs>
        <w:spacing w:line="240" w:lineRule="auto" w:before="0" w:after="0"/>
        <w:ind w:left="882" w:right="0" w:hanging="620"/>
        <w:jc w:val="both"/>
        <w:rPr>
          <w:sz w:val="20"/>
        </w:rPr>
      </w:pPr>
      <w:r>
        <w:rPr>
          <w:sz w:val="20"/>
        </w:rPr>
        <w:t>Centros</w:t>
      </w:r>
      <w:r>
        <w:rPr>
          <w:spacing w:val="-8"/>
          <w:sz w:val="20"/>
        </w:rPr>
        <w:t> </w:t>
      </w:r>
      <w:r>
        <w:rPr>
          <w:sz w:val="20"/>
        </w:rPr>
        <w:t>de</w:t>
      </w:r>
      <w:r>
        <w:rPr>
          <w:spacing w:val="-8"/>
          <w:sz w:val="20"/>
        </w:rPr>
        <w:t> </w:t>
      </w:r>
      <w:r>
        <w:rPr>
          <w:sz w:val="20"/>
        </w:rPr>
        <w:t>espectáculos</w:t>
      </w:r>
      <w:r>
        <w:rPr>
          <w:spacing w:val="-7"/>
          <w:sz w:val="20"/>
        </w:rPr>
        <w:t> </w:t>
      </w:r>
      <w:r>
        <w:rPr>
          <w:sz w:val="20"/>
        </w:rPr>
        <w:t>culturales</w:t>
      </w:r>
      <w:r>
        <w:rPr>
          <w:spacing w:val="-8"/>
          <w:sz w:val="20"/>
        </w:rPr>
        <w:t> </w:t>
      </w:r>
      <w:r>
        <w:rPr>
          <w:sz w:val="20"/>
        </w:rPr>
        <w:t>y</w:t>
      </w:r>
      <w:r>
        <w:rPr>
          <w:spacing w:val="-7"/>
          <w:sz w:val="20"/>
        </w:rPr>
        <w:t> </w:t>
      </w:r>
      <w:r>
        <w:rPr>
          <w:spacing w:val="-2"/>
          <w:sz w:val="20"/>
        </w:rPr>
        <w:t>recreativos;</w:t>
      </w:r>
    </w:p>
    <w:p>
      <w:pPr>
        <w:pStyle w:val="ListParagraph"/>
        <w:numPr>
          <w:ilvl w:val="0"/>
          <w:numId w:val="106"/>
        </w:numPr>
        <w:tabs>
          <w:tab w:pos="1023" w:val="left" w:leader="none"/>
        </w:tabs>
        <w:spacing w:line="240" w:lineRule="auto" w:before="229" w:after="0"/>
        <w:ind w:left="262" w:right="287" w:firstLine="0"/>
        <w:jc w:val="both"/>
        <w:rPr>
          <w:sz w:val="20"/>
        </w:rPr>
      </w:pPr>
      <w:r>
        <w:rPr>
          <w:sz w:val="20"/>
        </w:rPr>
        <w:t>Instalaciones: religiosas, para deportes de exhibición al aire libre, campestre y para seguridad pública y procuración de justicia;</w:t>
      </w:r>
    </w:p>
    <w:p>
      <w:pPr>
        <w:pStyle w:val="BodyText"/>
        <w:spacing w:before="1"/>
      </w:pPr>
    </w:p>
    <w:p>
      <w:pPr>
        <w:pStyle w:val="ListParagraph"/>
        <w:numPr>
          <w:ilvl w:val="0"/>
          <w:numId w:val="106"/>
        </w:numPr>
        <w:tabs>
          <w:tab w:pos="968" w:val="left" w:leader="none"/>
        </w:tabs>
        <w:spacing w:line="240" w:lineRule="auto" w:before="0" w:after="0"/>
        <w:ind w:left="968" w:right="0" w:hanging="706"/>
        <w:jc w:val="both"/>
        <w:rPr>
          <w:sz w:val="20"/>
        </w:rPr>
      </w:pPr>
      <w:r>
        <w:rPr>
          <w:sz w:val="20"/>
        </w:rPr>
        <w:t>Hoteles,</w:t>
      </w:r>
      <w:r>
        <w:rPr>
          <w:spacing w:val="-9"/>
          <w:sz w:val="20"/>
        </w:rPr>
        <w:t> </w:t>
      </w:r>
      <w:r>
        <w:rPr>
          <w:sz w:val="20"/>
        </w:rPr>
        <w:t>moteles</w:t>
      </w:r>
      <w:r>
        <w:rPr>
          <w:spacing w:val="-7"/>
          <w:sz w:val="20"/>
        </w:rPr>
        <w:t> </w:t>
      </w:r>
      <w:r>
        <w:rPr>
          <w:sz w:val="20"/>
        </w:rPr>
        <w:t>y</w:t>
      </w:r>
      <w:r>
        <w:rPr>
          <w:spacing w:val="-7"/>
          <w:sz w:val="20"/>
        </w:rPr>
        <w:t> </w:t>
      </w:r>
      <w:r>
        <w:rPr>
          <w:spacing w:val="-2"/>
          <w:sz w:val="20"/>
        </w:rPr>
        <w:t>albergues;</w:t>
      </w:r>
    </w:p>
    <w:p>
      <w:pPr>
        <w:pStyle w:val="ListParagraph"/>
        <w:numPr>
          <w:ilvl w:val="0"/>
          <w:numId w:val="106"/>
        </w:numPr>
        <w:tabs>
          <w:tab w:pos="968" w:val="left" w:leader="none"/>
        </w:tabs>
        <w:spacing w:line="240" w:lineRule="auto" w:before="228" w:after="0"/>
        <w:ind w:left="968" w:right="0" w:hanging="706"/>
        <w:jc w:val="both"/>
        <w:rPr>
          <w:sz w:val="20"/>
        </w:rPr>
      </w:pPr>
      <w:r>
        <w:rPr>
          <w:spacing w:val="-2"/>
          <w:sz w:val="20"/>
        </w:rPr>
        <w:t>Cementerios;</w:t>
      </w:r>
    </w:p>
    <w:p>
      <w:pPr>
        <w:pStyle w:val="BodyText"/>
        <w:spacing w:before="1"/>
      </w:pPr>
    </w:p>
    <w:p>
      <w:pPr>
        <w:pStyle w:val="ListParagraph"/>
        <w:numPr>
          <w:ilvl w:val="0"/>
          <w:numId w:val="106"/>
        </w:numPr>
        <w:tabs>
          <w:tab w:pos="969" w:val="left" w:leader="none"/>
        </w:tabs>
        <w:spacing w:line="240" w:lineRule="auto" w:before="0" w:after="0"/>
        <w:ind w:left="969" w:right="0" w:hanging="707"/>
        <w:jc w:val="both"/>
        <w:rPr>
          <w:sz w:val="20"/>
        </w:rPr>
      </w:pPr>
      <w:r>
        <w:rPr>
          <w:sz w:val="20"/>
        </w:rPr>
        <w:t>Centrales</w:t>
      </w:r>
      <w:r>
        <w:rPr>
          <w:spacing w:val="-7"/>
          <w:sz w:val="20"/>
        </w:rPr>
        <w:t> </w:t>
      </w:r>
      <w:r>
        <w:rPr>
          <w:sz w:val="20"/>
        </w:rPr>
        <w:t>telefónicas</w:t>
      </w:r>
      <w:r>
        <w:rPr>
          <w:spacing w:val="-7"/>
          <w:sz w:val="20"/>
        </w:rPr>
        <w:t> </w:t>
      </w:r>
      <w:r>
        <w:rPr>
          <w:sz w:val="20"/>
        </w:rPr>
        <w:t>y</w:t>
      </w:r>
      <w:r>
        <w:rPr>
          <w:spacing w:val="-7"/>
          <w:sz w:val="20"/>
        </w:rPr>
        <w:t> </w:t>
      </w:r>
      <w:r>
        <w:rPr>
          <w:sz w:val="20"/>
        </w:rPr>
        <w:t>torres</w:t>
      </w:r>
      <w:r>
        <w:rPr>
          <w:spacing w:val="-6"/>
          <w:sz w:val="20"/>
        </w:rPr>
        <w:t> </w:t>
      </w:r>
      <w:r>
        <w:rPr>
          <w:sz w:val="20"/>
        </w:rPr>
        <w:t>de</w:t>
      </w:r>
      <w:r>
        <w:rPr>
          <w:spacing w:val="-9"/>
          <w:sz w:val="20"/>
        </w:rPr>
        <w:t> </w:t>
      </w:r>
      <w:r>
        <w:rPr>
          <w:spacing w:val="-2"/>
          <w:sz w:val="20"/>
        </w:rPr>
        <w:t>transmisión;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06"/>
        </w:numPr>
        <w:tabs>
          <w:tab w:pos="969" w:val="left" w:leader="none"/>
        </w:tabs>
        <w:spacing w:line="240" w:lineRule="auto" w:before="0" w:after="0"/>
        <w:ind w:left="969" w:right="0" w:hanging="707"/>
        <w:jc w:val="left"/>
        <w:rPr>
          <w:sz w:val="20"/>
        </w:rPr>
      </w:pPr>
      <w:r>
        <w:rPr>
          <w:sz w:val="20"/>
        </w:rPr>
        <w:t>Industrias</w:t>
      </w:r>
      <w:r>
        <w:rPr>
          <w:spacing w:val="-8"/>
          <w:sz w:val="20"/>
        </w:rPr>
        <w:t> </w:t>
      </w:r>
      <w:r>
        <w:rPr>
          <w:sz w:val="20"/>
        </w:rPr>
        <w:t>de</w:t>
      </w:r>
      <w:r>
        <w:rPr>
          <w:spacing w:val="-10"/>
          <w:sz w:val="20"/>
        </w:rPr>
        <w:t> </w:t>
      </w:r>
      <w:r>
        <w:rPr>
          <w:sz w:val="20"/>
        </w:rPr>
        <w:t>cualquier</w:t>
      </w:r>
      <w:r>
        <w:rPr>
          <w:spacing w:val="-9"/>
          <w:sz w:val="20"/>
        </w:rPr>
        <w:t> </w:t>
      </w:r>
      <w:r>
        <w:rPr>
          <w:spacing w:val="-4"/>
          <w:sz w:val="20"/>
        </w:rPr>
        <w:t>tipo;</w:t>
      </w:r>
    </w:p>
    <w:p>
      <w:pPr>
        <w:pStyle w:val="BodyText"/>
        <w:spacing w:before="1"/>
      </w:pPr>
    </w:p>
    <w:p>
      <w:pPr>
        <w:pStyle w:val="ListParagraph"/>
        <w:numPr>
          <w:ilvl w:val="0"/>
          <w:numId w:val="106"/>
        </w:numPr>
        <w:tabs>
          <w:tab w:pos="969" w:val="left" w:leader="none"/>
        </w:tabs>
        <w:spacing w:line="240" w:lineRule="auto" w:before="0" w:after="0"/>
        <w:ind w:left="969" w:right="0" w:hanging="707"/>
        <w:jc w:val="left"/>
        <w:rPr>
          <w:sz w:val="20"/>
        </w:rPr>
      </w:pPr>
      <w:r>
        <w:rPr>
          <w:sz w:val="20"/>
        </w:rPr>
        <w:t>Depósitos</w:t>
      </w:r>
      <w:r>
        <w:rPr>
          <w:spacing w:val="-6"/>
          <w:sz w:val="20"/>
        </w:rPr>
        <w:t> </w:t>
      </w:r>
      <w:r>
        <w:rPr>
          <w:sz w:val="20"/>
        </w:rPr>
        <w:t>y</w:t>
      </w:r>
      <w:r>
        <w:rPr>
          <w:spacing w:val="-6"/>
          <w:sz w:val="20"/>
        </w:rPr>
        <w:t> </w:t>
      </w:r>
      <w:r>
        <w:rPr>
          <w:sz w:val="20"/>
        </w:rPr>
        <w:t>plantas</w:t>
      </w:r>
      <w:r>
        <w:rPr>
          <w:spacing w:val="-6"/>
          <w:sz w:val="20"/>
        </w:rPr>
        <w:t> </w:t>
      </w:r>
      <w:r>
        <w:rPr>
          <w:sz w:val="20"/>
        </w:rPr>
        <w:t>de</w:t>
      </w:r>
      <w:r>
        <w:rPr>
          <w:spacing w:val="-8"/>
          <w:sz w:val="20"/>
        </w:rPr>
        <w:t> </w:t>
      </w:r>
      <w:r>
        <w:rPr>
          <w:sz w:val="20"/>
        </w:rPr>
        <w:t>tratamiento</w:t>
      </w:r>
      <w:r>
        <w:rPr>
          <w:spacing w:val="-5"/>
          <w:sz w:val="20"/>
        </w:rPr>
        <w:t> </w:t>
      </w:r>
      <w:r>
        <w:rPr>
          <w:sz w:val="20"/>
        </w:rPr>
        <w:t>de</w:t>
      </w:r>
      <w:r>
        <w:rPr>
          <w:spacing w:val="-6"/>
          <w:sz w:val="20"/>
        </w:rPr>
        <w:t> </w:t>
      </w:r>
      <w:r>
        <w:rPr>
          <w:spacing w:val="-2"/>
          <w:sz w:val="20"/>
        </w:rPr>
        <w:t>basura;</w:t>
      </w:r>
    </w:p>
    <w:p>
      <w:pPr>
        <w:pStyle w:val="BodyText"/>
      </w:pPr>
    </w:p>
    <w:p>
      <w:pPr>
        <w:pStyle w:val="ListParagraph"/>
        <w:numPr>
          <w:ilvl w:val="0"/>
          <w:numId w:val="106"/>
        </w:numPr>
        <w:tabs>
          <w:tab w:pos="969" w:val="left" w:leader="none"/>
        </w:tabs>
        <w:spacing w:line="240" w:lineRule="auto" w:before="1" w:after="0"/>
        <w:ind w:left="969" w:right="0" w:hanging="707"/>
        <w:jc w:val="left"/>
        <w:rPr>
          <w:sz w:val="20"/>
        </w:rPr>
      </w:pPr>
      <w:r>
        <w:rPr>
          <w:sz w:val="20"/>
        </w:rPr>
        <w:t>Las</w:t>
      </w:r>
      <w:r>
        <w:rPr>
          <w:spacing w:val="-7"/>
          <w:sz w:val="20"/>
        </w:rPr>
        <w:t> </w:t>
      </w:r>
      <w:r>
        <w:rPr>
          <w:sz w:val="20"/>
        </w:rPr>
        <w:t>construcciones</w:t>
      </w:r>
      <w:r>
        <w:rPr>
          <w:spacing w:val="-7"/>
          <w:sz w:val="20"/>
        </w:rPr>
        <w:t> </w:t>
      </w:r>
      <w:r>
        <w:rPr>
          <w:sz w:val="20"/>
        </w:rPr>
        <w:t>que</w:t>
      </w:r>
      <w:r>
        <w:rPr>
          <w:spacing w:val="-7"/>
          <w:sz w:val="20"/>
        </w:rPr>
        <w:t> </w:t>
      </w:r>
      <w:r>
        <w:rPr>
          <w:sz w:val="20"/>
        </w:rPr>
        <w:t>excedan</w:t>
      </w:r>
      <w:r>
        <w:rPr>
          <w:spacing w:val="-7"/>
          <w:sz w:val="20"/>
        </w:rPr>
        <w:t> </w:t>
      </w:r>
      <w:r>
        <w:rPr>
          <w:sz w:val="20"/>
        </w:rPr>
        <w:t>de</w:t>
      </w:r>
      <w:r>
        <w:rPr>
          <w:spacing w:val="-8"/>
          <w:sz w:val="20"/>
        </w:rPr>
        <w:t> </w:t>
      </w:r>
      <w:r>
        <w:rPr>
          <w:sz w:val="20"/>
        </w:rPr>
        <w:t>cinco</w:t>
      </w:r>
      <w:r>
        <w:rPr>
          <w:spacing w:val="-7"/>
          <w:sz w:val="20"/>
        </w:rPr>
        <w:t> </w:t>
      </w:r>
      <w:r>
        <w:rPr>
          <w:sz w:val="20"/>
        </w:rPr>
        <w:t>niveles</w:t>
      </w:r>
      <w:r>
        <w:rPr>
          <w:spacing w:val="-7"/>
          <w:sz w:val="20"/>
        </w:rPr>
        <w:t> </w:t>
      </w:r>
      <w:r>
        <w:rPr>
          <w:sz w:val="20"/>
        </w:rPr>
        <w:t>sobre</w:t>
      </w:r>
      <w:r>
        <w:rPr>
          <w:spacing w:val="-7"/>
          <w:sz w:val="20"/>
        </w:rPr>
        <w:t> </w:t>
      </w:r>
      <w:r>
        <w:rPr>
          <w:sz w:val="20"/>
        </w:rPr>
        <w:t>la</w:t>
      </w:r>
      <w:r>
        <w:rPr>
          <w:spacing w:val="-6"/>
          <w:sz w:val="20"/>
        </w:rPr>
        <w:t> </w:t>
      </w:r>
      <w:r>
        <w:rPr>
          <w:sz w:val="20"/>
        </w:rPr>
        <w:t>banqueta,</w:t>
      </w:r>
      <w:r>
        <w:rPr>
          <w:spacing w:val="-8"/>
          <w:sz w:val="20"/>
        </w:rPr>
        <w:t> </w:t>
      </w:r>
      <w:r>
        <w:rPr>
          <w:spacing w:val="-10"/>
          <w:sz w:val="20"/>
        </w:rPr>
        <w:t>y</w:t>
      </w:r>
    </w:p>
    <w:p>
      <w:pPr>
        <w:pStyle w:val="ListParagraph"/>
        <w:numPr>
          <w:ilvl w:val="0"/>
          <w:numId w:val="106"/>
        </w:numPr>
        <w:tabs>
          <w:tab w:pos="968" w:val="left" w:leader="none"/>
        </w:tabs>
        <w:spacing w:line="240" w:lineRule="auto" w:before="228" w:after="0"/>
        <w:ind w:left="262" w:right="287" w:firstLine="0"/>
        <w:jc w:val="left"/>
        <w:rPr>
          <w:sz w:val="20"/>
        </w:rPr>
      </w:pPr>
      <w:r>
        <w:rPr>
          <w:sz w:val="20"/>
        </w:rPr>
        <w:t>Las demás que establezcan la Ley Ambiental del Estado y demás disposiciones legales</w:t>
      </w:r>
      <w:r>
        <w:rPr>
          <w:spacing w:val="80"/>
          <w:sz w:val="20"/>
        </w:rPr>
        <w:t> </w:t>
      </w:r>
      <w:r>
        <w:rPr>
          <w:spacing w:val="-2"/>
          <w:sz w:val="20"/>
        </w:rPr>
        <w:t>aplicables.</w:t>
      </w:r>
    </w:p>
    <w:p>
      <w:pPr>
        <w:pStyle w:val="BodyText"/>
        <w:spacing w:before="1"/>
      </w:pPr>
    </w:p>
    <w:p>
      <w:pPr>
        <w:pStyle w:val="BodyText"/>
        <w:ind w:left="262" w:right="277"/>
        <w:jc w:val="both"/>
      </w:pPr>
      <w:r>
        <w:rPr/>
        <w:t>Asimismo, son usos que generan impacto significativo únicamente en centros de población los siguientes: bancos, baños públicos, comercio de materiales para construcción, establecimientos para</w:t>
      </w:r>
      <w:r>
        <w:rPr>
          <w:spacing w:val="-9"/>
        </w:rPr>
        <w:t> </w:t>
      </w:r>
      <w:r>
        <w:rPr/>
        <w:t>el</w:t>
      </w:r>
      <w:r>
        <w:rPr>
          <w:spacing w:val="-10"/>
        </w:rPr>
        <w:t> </w:t>
      </w:r>
      <w:r>
        <w:rPr/>
        <w:t>servicio</w:t>
      </w:r>
      <w:r>
        <w:rPr>
          <w:spacing w:val="-7"/>
        </w:rPr>
        <w:t> </w:t>
      </w:r>
      <w:r>
        <w:rPr/>
        <w:t>de</w:t>
      </w:r>
      <w:r>
        <w:rPr>
          <w:spacing w:val="-7"/>
        </w:rPr>
        <w:t> </w:t>
      </w:r>
      <w:r>
        <w:rPr/>
        <w:t>lavado</w:t>
      </w:r>
      <w:r>
        <w:rPr>
          <w:spacing w:val="-9"/>
        </w:rPr>
        <w:t> </w:t>
      </w:r>
      <w:r>
        <w:rPr/>
        <w:t>y</w:t>
      </w:r>
      <w:r>
        <w:rPr>
          <w:spacing w:val="-5"/>
        </w:rPr>
        <w:t> </w:t>
      </w:r>
      <w:r>
        <w:rPr/>
        <w:t>engrasado</w:t>
      </w:r>
      <w:r>
        <w:rPr>
          <w:spacing w:val="-9"/>
        </w:rPr>
        <w:t> </w:t>
      </w:r>
      <w:r>
        <w:rPr/>
        <w:t>de</w:t>
      </w:r>
      <w:r>
        <w:rPr>
          <w:spacing w:val="-9"/>
        </w:rPr>
        <w:t> </w:t>
      </w:r>
      <w:r>
        <w:rPr/>
        <w:t>vehículos</w:t>
      </w:r>
      <w:r>
        <w:rPr>
          <w:spacing w:val="-8"/>
        </w:rPr>
        <w:t> </w:t>
      </w:r>
      <w:r>
        <w:rPr/>
        <w:t>e</w:t>
      </w:r>
      <w:r>
        <w:rPr>
          <w:spacing w:val="-7"/>
        </w:rPr>
        <w:t> </w:t>
      </w:r>
      <w:r>
        <w:rPr/>
        <w:t>instalaciones</w:t>
      </w:r>
      <w:r>
        <w:rPr>
          <w:spacing w:val="-8"/>
        </w:rPr>
        <w:t> </w:t>
      </w:r>
      <w:r>
        <w:rPr/>
        <w:t>agrícolas,</w:t>
      </w:r>
      <w:r>
        <w:rPr>
          <w:spacing w:val="-9"/>
        </w:rPr>
        <w:t> </w:t>
      </w:r>
      <w:r>
        <w:rPr/>
        <w:t>ganaderas,</w:t>
      </w:r>
      <w:r>
        <w:rPr>
          <w:spacing w:val="-9"/>
        </w:rPr>
        <w:t> </w:t>
      </w:r>
      <w:r>
        <w:rPr/>
        <w:t>forestales y piscícolas de cualquier superficie construida o volumen almacenado y los que sean señalados como tales en los respectivos Programas de Desarrollo Urbano de Centro de Población.</w:t>
      </w:r>
    </w:p>
    <w:p>
      <w:pPr>
        <w:pStyle w:val="BodyText"/>
        <w:spacing w:before="1"/>
      </w:pPr>
    </w:p>
    <w:p>
      <w:pPr>
        <w:pStyle w:val="BodyText"/>
        <w:ind w:left="262" w:right="278"/>
        <w:jc w:val="both"/>
      </w:pPr>
      <w:r>
        <w:rPr>
          <w:rFonts w:ascii="Arial" w:hAnsi="Arial"/>
          <w:b/>
        </w:rPr>
        <w:t>ARTÍCULO</w:t>
      </w:r>
      <w:r>
        <w:rPr>
          <w:rFonts w:ascii="Arial" w:hAnsi="Arial"/>
          <w:b/>
          <w:spacing w:val="-6"/>
        </w:rPr>
        <w:t> </w:t>
      </w:r>
      <w:r>
        <w:rPr>
          <w:rFonts w:ascii="Arial" w:hAnsi="Arial"/>
          <w:b/>
        </w:rPr>
        <w:t>290.</w:t>
      </w:r>
      <w:r>
        <w:rPr>
          <w:rFonts w:ascii="Arial" w:hAnsi="Arial"/>
          <w:b/>
          <w:spacing w:val="-5"/>
        </w:rPr>
        <w:t> </w:t>
      </w:r>
      <w:r>
        <w:rPr/>
        <w:t>En</w:t>
      </w:r>
      <w:r>
        <w:rPr>
          <w:spacing w:val="-7"/>
        </w:rPr>
        <w:t> </w:t>
      </w:r>
      <w:r>
        <w:rPr/>
        <w:t>el</w:t>
      </w:r>
      <w:r>
        <w:rPr>
          <w:spacing w:val="-7"/>
        </w:rPr>
        <w:t> </w:t>
      </w:r>
      <w:r>
        <w:rPr/>
        <w:t>caso</w:t>
      </w:r>
      <w:r>
        <w:rPr>
          <w:spacing w:val="-7"/>
        </w:rPr>
        <w:t> </w:t>
      </w:r>
      <w:r>
        <w:rPr/>
        <w:t>de</w:t>
      </w:r>
      <w:r>
        <w:rPr>
          <w:spacing w:val="-7"/>
        </w:rPr>
        <w:t> </w:t>
      </w:r>
      <w:r>
        <w:rPr/>
        <w:t>los</w:t>
      </w:r>
      <w:r>
        <w:rPr>
          <w:spacing w:val="-7"/>
        </w:rPr>
        <w:t> </w:t>
      </w:r>
      <w:r>
        <w:rPr/>
        <w:t>cementerios,</w:t>
      </w:r>
      <w:r>
        <w:rPr>
          <w:spacing w:val="-7"/>
        </w:rPr>
        <w:t> </w:t>
      </w:r>
      <w:r>
        <w:rPr/>
        <w:t>además</w:t>
      </w:r>
      <w:r>
        <w:rPr>
          <w:spacing w:val="-6"/>
        </w:rPr>
        <w:t> </w:t>
      </w:r>
      <w:r>
        <w:rPr/>
        <w:t>de</w:t>
      </w:r>
      <w:r>
        <w:rPr>
          <w:spacing w:val="-7"/>
        </w:rPr>
        <w:t> </w:t>
      </w:r>
      <w:r>
        <w:rPr/>
        <w:t>los</w:t>
      </w:r>
      <w:r>
        <w:rPr>
          <w:spacing w:val="-7"/>
        </w:rPr>
        <w:t> </w:t>
      </w:r>
      <w:r>
        <w:rPr/>
        <w:t>requisitos</w:t>
      </w:r>
      <w:r>
        <w:rPr>
          <w:spacing w:val="-7"/>
        </w:rPr>
        <w:t> </w:t>
      </w:r>
      <w:r>
        <w:rPr/>
        <w:t>que</w:t>
      </w:r>
      <w:r>
        <w:rPr>
          <w:spacing w:val="-5"/>
        </w:rPr>
        <w:t> </w:t>
      </w:r>
      <w:r>
        <w:rPr/>
        <w:t>establece</w:t>
      </w:r>
      <w:r>
        <w:rPr>
          <w:spacing w:val="-7"/>
        </w:rPr>
        <w:t> </w:t>
      </w:r>
      <w:r>
        <w:rPr/>
        <w:t>la</w:t>
      </w:r>
      <w:r>
        <w:rPr>
          <w:spacing w:val="-7"/>
        </w:rPr>
        <w:t> </w:t>
      </w:r>
      <w:r>
        <w:rPr/>
        <w:t>presente Ley y demás disposiciones reglamentarias, cuando se trate de particulares, este servicio deberá contar</w:t>
      </w:r>
      <w:r>
        <w:rPr>
          <w:spacing w:val="-13"/>
        </w:rPr>
        <w:t> </w:t>
      </w:r>
      <w:r>
        <w:rPr/>
        <w:t>con</w:t>
      </w:r>
      <w:r>
        <w:rPr>
          <w:spacing w:val="-11"/>
        </w:rPr>
        <w:t> </w:t>
      </w:r>
      <w:r>
        <w:rPr/>
        <w:t>la</w:t>
      </w:r>
      <w:r>
        <w:rPr>
          <w:spacing w:val="-12"/>
        </w:rPr>
        <w:t> </w:t>
      </w:r>
      <w:r>
        <w:rPr/>
        <w:t>concesión</w:t>
      </w:r>
      <w:r>
        <w:rPr>
          <w:spacing w:val="-12"/>
        </w:rPr>
        <w:t> </w:t>
      </w:r>
      <w:r>
        <w:rPr/>
        <w:t>otorgada</w:t>
      </w:r>
      <w:r>
        <w:rPr>
          <w:spacing w:val="-12"/>
        </w:rPr>
        <w:t> </w:t>
      </w:r>
      <w:r>
        <w:rPr/>
        <w:t>en</w:t>
      </w:r>
      <w:r>
        <w:rPr>
          <w:spacing w:val="-10"/>
        </w:rPr>
        <w:t> </w:t>
      </w:r>
      <w:r>
        <w:rPr/>
        <w:t>los</w:t>
      </w:r>
      <w:r>
        <w:rPr>
          <w:spacing w:val="-13"/>
        </w:rPr>
        <w:t> </w:t>
      </w:r>
      <w:r>
        <w:rPr/>
        <w:t>términos</w:t>
      </w:r>
      <w:r>
        <w:rPr>
          <w:spacing w:val="-10"/>
        </w:rPr>
        <w:t> </w:t>
      </w:r>
      <w:r>
        <w:rPr/>
        <w:t>de</w:t>
      </w:r>
      <w:r>
        <w:rPr>
          <w:spacing w:val="-12"/>
        </w:rPr>
        <w:t> </w:t>
      </w:r>
      <w:r>
        <w:rPr/>
        <w:t>la</w:t>
      </w:r>
      <w:r>
        <w:rPr>
          <w:spacing w:val="-10"/>
        </w:rPr>
        <w:t> </w:t>
      </w:r>
      <w:r>
        <w:rPr/>
        <w:t>legislación</w:t>
      </w:r>
      <w:r>
        <w:rPr>
          <w:spacing w:val="-12"/>
        </w:rPr>
        <w:t> </w:t>
      </w:r>
      <w:r>
        <w:rPr/>
        <w:t>correspondiente</w:t>
      </w:r>
      <w:r>
        <w:rPr>
          <w:spacing w:val="-12"/>
        </w:rPr>
        <w:t> </w:t>
      </w:r>
      <w:r>
        <w:rPr/>
        <w:t>y</w:t>
      </w:r>
      <w:r>
        <w:rPr>
          <w:spacing w:val="-12"/>
        </w:rPr>
        <w:t> </w:t>
      </w:r>
      <w:r>
        <w:rPr/>
        <w:t>deberá</w:t>
      </w:r>
      <w:r>
        <w:rPr>
          <w:spacing w:val="-11"/>
        </w:rPr>
        <w:t> </w:t>
      </w:r>
      <w:r>
        <w:rPr/>
        <w:t>donarse al</w:t>
      </w:r>
      <w:r>
        <w:rPr>
          <w:spacing w:val="-14"/>
        </w:rPr>
        <w:t> </w:t>
      </w:r>
      <w:r>
        <w:rPr/>
        <w:t>Ayuntamiento</w:t>
      </w:r>
      <w:r>
        <w:rPr>
          <w:spacing w:val="-14"/>
        </w:rPr>
        <w:t> </w:t>
      </w:r>
      <w:r>
        <w:rPr/>
        <w:t>respectivo</w:t>
      </w:r>
      <w:r>
        <w:rPr>
          <w:spacing w:val="-14"/>
        </w:rPr>
        <w:t> </w:t>
      </w:r>
      <w:r>
        <w:rPr/>
        <w:t>el</w:t>
      </w:r>
      <w:r>
        <w:rPr>
          <w:spacing w:val="-14"/>
        </w:rPr>
        <w:t> </w:t>
      </w:r>
      <w:r>
        <w:rPr/>
        <w:t>quince</w:t>
      </w:r>
      <w:r>
        <w:rPr>
          <w:spacing w:val="-14"/>
        </w:rPr>
        <w:t> </w:t>
      </w:r>
      <w:r>
        <w:rPr/>
        <w:t>por</w:t>
      </w:r>
      <w:r>
        <w:rPr>
          <w:spacing w:val="-14"/>
        </w:rPr>
        <w:t> </w:t>
      </w:r>
      <w:r>
        <w:rPr/>
        <w:t>ciento</w:t>
      </w:r>
      <w:r>
        <w:rPr>
          <w:spacing w:val="-14"/>
        </w:rPr>
        <w:t> </w:t>
      </w:r>
      <w:r>
        <w:rPr/>
        <w:t>del</w:t>
      </w:r>
      <w:r>
        <w:rPr>
          <w:spacing w:val="-14"/>
        </w:rPr>
        <w:t> </w:t>
      </w:r>
      <w:r>
        <w:rPr/>
        <w:t>área</w:t>
      </w:r>
      <w:r>
        <w:rPr>
          <w:spacing w:val="-14"/>
        </w:rPr>
        <w:t> </w:t>
      </w:r>
      <w:r>
        <w:rPr/>
        <w:t>vendible</w:t>
      </w:r>
      <w:r>
        <w:rPr>
          <w:spacing w:val="-13"/>
        </w:rPr>
        <w:t> </w:t>
      </w:r>
      <w:r>
        <w:rPr/>
        <w:t>del</w:t>
      </w:r>
      <w:r>
        <w:rPr>
          <w:spacing w:val="-14"/>
        </w:rPr>
        <w:t> </w:t>
      </w:r>
      <w:r>
        <w:rPr/>
        <w:t>mismo.</w:t>
      </w:r>
      <w:r>
        <w:rPr>
          <w:spacing w:val="-14"/>
        </w:rPr>
        <w:t> </w:t>
      </w:r>
      <w:r>
        <w:rPr/>
        <w:t>El</w:t>
      </w:r>
      <w:r>
        <w:rPr>
          <w:spacing w:val="-14"/>
        </w:rPr>
        <w:t> </w:t>
      </w:r>
      <w:r>
        <w:rPr/>
        <w:t>Ayuntamiento</w:t>
      </w:r>
      <w:r>
        <w:rPr>
          <w:spacing w:val="-14"/>
        </w:rPr>
        <w:t> </w:t>
      </w:r>
      <w:r>
        <w:rPr/>
        <w:t>deberá utilizar las donaciones para el servicio de personas de escasos recursos económicos.</w:t>
      </w:r>
    </w:p>
    <w:p>
      <w:pPr>
        <w:pStyle w:val="BodyText"/>
      </w:pPr>
    </w:p>
    <w:p>
      <w:pPr>
        <w:pStyle w:val="BodyText"/>
        <w:ind w:left="262" w:right="276"/>
        <w:jc w:val="both"/>
      </w:pPr>
      <w:r>
        <w:rPr>
          <w:rFonts w:ascii="Arial" w:hAnsi="Arial"/>
          <w:b/>
        </w:rPr>
        <w:t>ARTÍCULO 291. </w:t>
      </w:r>
      <w:r>
        <w:rPr/>
        <w:t>Las viviendas contempladas en un fraccionamiento habitacional autorizado por la Dirección</w:t>
      </w:r>
      <w:r>
        <w:rPr>
          <w:spacing w:val="-12"/>
        </w:rPr>
        <w:t> </w:t>
      </w:r>
      <w:r>
        <w:rPr/>
        <w:t>Municipal</w:t>
      </w:r>
      <w:r>
        <w:rPr>
          <w:spacing w:val="-12"/>
        </w:rPr>
        <w:t> </w:t>
      </w:r>
      <w:r>
        <w:rPr/>
        <w:t>correspondiente,</w:t>
      </w:r>
      <w:r>
        <w:rPr>
          <w:spacing w:val="-12"/>
        </w:rPr>
        <w:t> </w:t>
      </w:r>
      <w:r>
        <w:rPr/>
        <w:t>no</w:t>
      </w:r>
      <w:r>
        <w:rPr>
          <w:spacing w:val="-12"/>
        </w:rPr>
        <w:t> </w:t>
      </w:r>
      <w:r>
        <w:rPr/>
        <w:t>requerirán</w:t>
      </w:r>
      <w:r>
        <w:rPr>
          <w:spacing w:val="-12"/>
        </w:rPr>
        <w:t> </w:t>
      </w:r>
      <w:r>
        <w:rPr/>
        <w:t>una</w:t>
      </w:r>
      <w:r>
        <w:rPr>
          <w:spacing w:val="-10"/>
        </w:rPr>
        <w:t> </w:t>
      </w:r>
      <w:r>
        <w:rPr/>
        <w:t>licencia</w:t>
      </w:r>
      <w:r>
        <w:rPr>
          <w:spacing w:val="-11"/>
        </w:rPr>
        <w:t> </w:t>
      </w:r>
      <w:r>
        <w:rPr/>
        <w:t>de</w:t>
      </w:r>
      <w:r>
        <w:rPr>
          <w:spacing w:val="-12"/>
        </w:rPr>
        <w:t> </w:t>
      </w:r>
      <w:r>
        <w:rPr/>
        <w:t>uso</w:t>
      </w:r>
      <w:r>
        <w:rPr>
          <w:spacing w:val="-11"/>
        </w:rPr>
        <w:t> </w:t>
      </w:r>
      <w:r>
        <w:rPr/>
        <w:t>de</w:t>
      </w:r>
      <w:r>
        <w:rPr>
          <w:spacing w:val="-12"/>
        </w:rPr>
        <w:t> </w:t>
      </w:r>
      <w:r>
        <w:rPr/>
        <w:t>suelo</w:t>
      </w:r>
      <w:r>
        <w:rPr>
          <w:spacing w:val="-11"/>
        </w:rPr>
        <w:t> </w:t>
      </w:r>
      <w:r>
        <w:rPr/>
        <w:t>particular</w:t>
      </w:r>
      <w:r>
        <w:rPr>
          <w:spacing w:val="-10"/>
        </w:rPr>
        <w:t> </w:t>
      </w:r>
      <w:r>
        <w:rPr/>
        <w:t>para</w:t>
      </w:r>
      <w:r>
        <w:rPr>
          <w:spacing w:val="-11"/>
        </w:rPr>
        <w:t> </w:t>
      </w:r>
      <w:r>
        <w:rPr/>
        <w:t>cada vivienda para obtener la licencia de construcción respectiva, sino que bastará con la presentación de la licencia de uso del suelo originalmente otorgada al fraccionamiento.</w:t>
      </w:r>
    </w:p>
    <w:p>
      <w:pPr>
        <w:pStyle w:val="BodyText"/>
      </w:pPr>
    </w:p>
    <w:p>
      <w:pPr>
        <w:pStyle w:val="BodyText"/>
        <w:ind w:left="262" w:right="287"/>
        <w:jc w:val="both"/>
      </w:pPr>
      <w:r>
        <w:rPr/>
        <w:t>Solo</w:t>
      </w:r>
      <w:r>
        <w:rPr>
          <w:spacing w:val="-2"/>
        </w:rPr>
        <w:t> </w:t>
      </w:r>
      <w:r>
        <w:rPr/>
        <w:t>se</w:t>
      </w:r>
      <w:r>
        <w:rPr>
          <w:spacing w:val="-2"/>
        </w:rPr>
        <w:t> </w:t>
      </w:r>
      <w:r>
        <w:rPr/>
        <w:t>requerirá</w:t>
      </w:r>
      <w:r>
        <w:rPr>
          <w:spacing w:val="-2"/>
        </w:rPr>
        <w:t> </w:t>
      </w:r>
      <w:r>
        <w:rPr/>
        <w:t>gestionar una licencia particular</w:t>
      </w:r>
      <w:r>
        <w:rPr>
          <w:spacing w:val="-1"/>
        </w:rPr>
        <w:t> </w:t>
      </w:r>
      <w:r>
        <w:rPr/>
        <w:t>cuando</w:t>
      </w:r>
      <w:r>
        <w:rPr>
          <w:spacing w:val="-2"/>
        </w:rPr>
        <w:t> </w:t>
      </w:r>
      <w:r>
        <w:rPr/>
        <w:t>se pretenda dar</w:t>
      </w:r>
      <w:r>
        <w:rPr>
          <w:spacing w:val="-1"/>
        </w:rPr>
        <w:t> </w:t>
      </w:r>
      <w:r>
        <w:rPr/>
        <w:t>a la construcción</w:t>
      </w:r>
      <w:r>
        <w:rPr>
          <w:spacing w:val="-3"/>
        </w:rPr>
        <w:t> </w:t>
      </w:r>
      <w:r>
        <w:rPr/>
        <w:t>de</w:t>
      </w:r>
      <w:r>
        <w:rPr>
          <w:spacing w:val="-2"/>
        </w:rPr>
        <w:t> </w:t>
      </w:r>
      <w:r>
        <w:rPr/>
        <w:t>que se trate un uso o destino diferente al autorizado al fraccionamiento del cual forme parte.</w:t>
      </w:r>
    </w:p>
    <w:p>
      <w:pPr>
        <w:pStyle w:val="BodyText"/>
        <w:spacing w:before="229"/>
        <w:ind w:left="262" w:right="280"/>
        <w:jc w:val="both"/>
      </w:pPr>
      <w:r>
        <w:rPr>
          <w:rFonts w:ascii="Arial" w:hAnsi="Arial"/>
          <w:b/>
        </w:rPr>
        <w:t>ARTÍCULO 292. </w:t>
      </w:r>
      <w:r>
        <w:rPr/>
        <w:t>En el caso de usos de impacto significativo, y en aquellos en que la Tabla de Compatibilidad de Usos de Suelo lo indiquen, para su expedición se requerirán los estudios que disponen los artículos 141, 142 y 143 de esta Ley, de acuerdo a la determinación de usos que generan dicho impacto, que señala la misma.</w:t>
      </w:r>
    </w:p>
    <w:p>
      <w:pPr>
        <w:pStyle w:val="BodyText"/>
      </w:pPr>
    </w:p>
    <w:p>
      <w:pPr>
        <w:pStyle w:val="BodyText"/>
        <w:ind w:left="262" w:right="278"/>
        <w:jc w:val="both"/>
      </w:pPr>
      <w:r>
        <w:rPr>
          <w:rFonts w:ascii="Arial" w:hAnsi="Arial"/>
          <w:b/>
        </w:rPr>
        <w:t>ARTÍCULO 293. </w:t>
      </w:r>
      <w:r>
        <w:rPr/>
        <w:t>En los casos en que el uso o destino del suelo pueda generar impacto ambiental significativo,</w:t>
      </w:r>
      <w:r>
        <w:rPr>
          <w:spacing w:val="-13"/>
        </w:rPr>
        <w:t> </w:t>
      </w:r>
      <w:r>
        <w:rPr/>
        <w:t>de</w:t>
      </w:r>
      <w:r>
        <w:rPr>
          <w:spacing w:val="-13"/>
        </w:rPr>
        <w:t> </w:t>
      </w:r>
      <w:r>
        <w:rPr/>
        <w:t>acuerdo</w:t>
      </w:r>
      <w:r>
        <w:rPr>
          <w:spacing w:val="-13"/>
        </w:rPr>
        <w:t> </w:t>
      </w:r>
      <w:r>
        <w:rPr/>
        <w:t>a</w:t>
      </w:r>
      <w:r>
        <w:rPr>
          <w:spacing w:val="-11"/>
        </w:rPr>
        <w:t> </w:t>
      </w:r>
      <w:r>
        <w:rPr/>
        <w:t>lo</w:t>
      </w:r>
      <w:r>
        <w:rPr>
          <w:spacing w:val="-13"/>
        </w:rPr>
        <w:t> </w:t>
      </w:r>
      <w:r>
        <w:rPr/>
        <w:t>establecido</w:t>
      </w:r>
      <w:r>
        <w:rPr>
          <w:spacing w:val="-11"/>
        </w:rPr>
        <w:t> </w:t>
      </w:r>
      <w:r>
        <w:rPr/>
        <w:t>en</w:t>
      </w:r>
      <w:r>
        <w:rPr>
          <w:spacing w:val="-13"/>
        </w:rPr>
        <w:t> </w:t>
      </w:r>
      <w:r>
        <w:rPr/>
        <w:t>el</w:t>
      </w:r>
      <w:r>
        <w:rPr>
          <w:spacing w:val="-13"/>
        </w:rPr>
        <w:t> </w:t>
      </w:r>
      <w:r>
        <w:rPr/>
        <w:t>artículo</w:t>
      </w:r>
      <w:r>
        <w:rPr>
          <w:spacing w:val="-10"/>
        </w:rPr>
        <w:t> </w:t>
      </w:r>
      <w:r>
        <w:rPr/>
        <w:t>289</w:t>
      </w:r>
      <w:r>
        <w:rPr>
          <w:spacing w:val="-13"/>
        </w:rPr>
        <w:t> </w:t>
      </w:r>
      <w:r>
        <w:rPr/>
        <w:t>de</w:t>
      </w:r>
      <w:r>
        <w:rPr>
          <w:spacing w:val="-13"/>
        </w:rPr>
        <w:t> </w:t>
      </w:r>
      <w:r>
        <w:rPr/>
        <w:t>esta</w:t>
      </w:r>
      <w:r>
        <w:rPr>
          <w:spacing w:val="-11"/>
        </w:rPr>
        <w:t> </w:t>
      </w:r>
      <w:r>
        <w:rPr/>
        <w:t>Ley;</w:t>
      </w:r>
      <w:r>
        <w:rPr>
          <w:spacing w:val="-10"/>
        </w:rPr>
        <w:t> </w:t>
      </w:r>
      <w:r>
        <w:rPr/>
        <w:t>o</w:t>
      </w:r>
      <w:r>
        <w:rPr>
          <w:spacing w:val="-13"/>
        </w:rPr>
        <w:t> </w:t>
      </w:r>
      <w:r>
        <w:rPr/>
        <w:t>en</w:t>
      </w:r>
      <w:r>
        <w:rPr>
          <w:spacing w:val="-11"/>
        </w:rPr>
        <w:t> </w:t>
      </w:r>
      <w:r>
        <w:rPr/>
        <w:t>los</w:t>
      </w:r>
      <w:r>
        <w:rPr>
          <w:spacing w:val="-12"/>
        </w:rPr>
        <w:t> </w:t>
      </w:r>
      <w:r>
        <w:rPr/>
        <w:t>casos</w:t>
      </w:r>
      <w:r>
        <w:rPr>
          <w:spacing w:val="-12"/>
        </w:rPr>
        <w:t> </w:t>
      </w:r>
      <w:r>
        <w:rPr/>
        <w:t>de</w:t>
      </w:r>
      <w:r>
        <w:rPr>
          <w:spacing w:val="-13"/>
        </w:rPr>
        <w:t> </w:t>
      </w:r>
      <w:r>
        <w:rPr/>
        <w:t>actividades </w:t>
      </w:r>
      <w:r>
        <w:rPr>
          <w:spacing w:val="-2"/>
        </w:rPr>
        <w:t>riesgosas</w:t>
      </w:r>
      <w:r>
        <w:rPr>
          <w:spacing w:val="-4"/>
        </w:rPr>
        <w:t> </w:t>
      </w:r>
      <w:r>
        <w:rPr>
          <w:spacing w:val="-2"/>
        </w:rPr>
        <w:t>que</w:t>
      </w:r>
      <w:r>
        <w:rPr>
          <w:spacing w:val="-5"/>
        </w:rPr>
        <w:t> </w:t>
      </w:r>
      <w:r>
        <w:rPr>
          <w:spacing w:val="-2"/>
        </w:rPr>
        <w:t>determina</w:t>
      </w:r>
      <w:r>
        <w:rPr>
          <w:spacing w:val="-7"/>
        </w:rPr>
        <w:t> </w:t>
      </w:r>
      <w:r>
        <w:rPr>
          <w:spacing w:val="-2"/>
        </w:rPr>
        <w:t>la</w:t>
      </w:r>
      <w:r>
        <w:rPr>
          <w:spacing w:val="-5"/>
        </w:rPr>
        <w:t> </w:t>
      </w:r>
      <w:r>
        <w:rPr>
          <w:spacing w:val="-2"/>
        </w:rPr>
        <w:t>clasificación</w:t>
      </w:r>
      <w:r>
        <w:rPr>
          <w:spacing w:val="-7"/>
        </w:rPr>
        <w:t> </w:t>
      </w:r>
      <w:r>
        <w:rPr>
          <w:spacing w:val="-2"/>
        </w:rPr>
        <w:t>a</w:t>
      </w:r>
      <w:r>
        <w:rPr>
          <w:spacing w:val="-5"/>
        </w:rPr>
        <w:t> </w:t>
      </w:r>
      <w:r>
        <w:rPr>
          <w:spacing w:val="-2"/>
        </w:rPr>
        <w:t>que</w:t>
      </w:r>
      <w:r>
        <w:rPr>
          <w:spacing w:val="-9"/>
        </w:rPr>
        <w:t> </w:t>
      </w:r>
      <w:r>
        <w:rPr>
          <w:spacing w:val="-2"/>
        </w:rPr>
        <w:t>se</w:t>
      </w:r>
      <w:r>
        <w:rPr>
          <w:spacing w:val="-5"/>
        </w:rPr>
        <w:t> </w:t>
      </w:r>
      <w:r>
        <w:rPr>
          <w:spacing w:val="-2"/>
        </w:rPr>
        <w:t>refiere</w:t>
      </w:r>
      <w:r>
        <w:rPr>
          <w:spacing w:val="-9"/>
        </w:rPr>
        <w:t> </w:t>
      </w:r>
      <w:r>
        <w:rPr>
          <w:spacing w:val="-2"/>
        </w:rPr>
        <w:t>el</w:t>
      </w:r>
      <w:r>
        <w:rPr>
          <w:spacing w:val="-7"/>
        </w:rPr>
        <w:t> </w:t>
      </w:r>
      <w:r>
        <w:rPr>
          <w:spacing w:val="-2"/>
        </w:rPr>
        <w:t>artículo</w:t>
      </w:r>
      <w:r>
        <w:rPr>
          <w:spacing w:val="-9"/>
        </w:rPr>
        <w:t> </w:t>
      </w:r>
      <w:r>
        <w:rPr>
          <w:spacing w:val="-2"/>
        </w:rPr>
        <w:t>98 de</w:t>
      </w:r>
      <w:r>
        <w:rPr>
          <w:spacing w:val="-7"/>
        </w:rPr>
        <w:t> </w:t>
      </w:r>
      <w:r>
        <w:rPr>
          <w:spacing w:val="-2"/>
        </w:rPr>
        <w:t>la</w:t>
      </w:r>
      <w:r>
        <w:rPr>
          <w:spacing w:val="-5"/>
        </w:rPr>
        <w:t> </w:t>
      </w:r>
      <w:r>
        <w:rPr>
          <w:spacing w:val="-2"/>
        </w:rPr>
        <w:t>Ley</w:t>
      </w:r>
      <w:r>
        <w:rPr>
          <w:spacing w:val="-4"/>
        </w:rPr>
        <w:t> </w:t>
      </w:r>
      <w:r>
        <w:rPr>
          <w:spacing w:val="-2"/>
        </w:rPr>
        <w:t>Ambiental</w:t>
      </w:r>
      <w:r>
        <w:rPr>
          <w:spacing w:val="-9"/>
        </w:rPr>
        <w:t> </w:t>
      </w:r>
      <w:r>
        <w:rPr>
          <w:spacing w:val="-2"/>
        </w:rPr>
        <w:t>del</w:t>
      </w:r>
      <w:r>
        <w:rPr>
          <w:spacing w:val="-7"/>
        </w:rPr>
        <w:t> </w:t>
      </w:r>
      <w:r>
        <w:rPr>
          <w:spacing w:val="-2"/>
        </w:rPr>
        <w:t>Estado, </w:t>
      </w:r>
      <w:r>
        <w:rPr/>
        <w:t>la</w:t>
      </w:r>
      <w:r>
        <w:rPr>
          <w:spacing w:val="-9"/>
        </w:rPr>
        <w:t> </w:t>
      </w:r>
      <w:r>
        <w:rPr/>
        <w:t>Dirección</w:t>
      </w:r>
      <w:r>
        <w:rPr>
          <w:spacing w:val="-7"/>
        </w:rPr>
        <w:t> </w:t>
      </w:r>
      <w:r>
        <w:rPr/>
        <w:t>Municipal</w:t>
      </w:r>
      <w:r>
        <w:rPr>
          <w:spacing w:val="-10"/>
        </w:rPr>
        <w:t> </w:t>
      </w:r>
      <w:r>
        <w:rPr/>
        <w:t>correspondiente,</w:t>
      </w:r>
      <w:r>
        <w:rPr>
          <w:spacing w:val="-7"/>
        </w:rPr>
        <w:t> </w:t>
      </w:r>
      <w:r>
        <w:rPr/>
        <w:t>una</w:t>
      </w:r>
      <w:r>
        <w:rPr>
          <w:spacing w:val="-7"/>
        </w:rPr>
        <w:t> </w:t>
      </w:r>
      <w:r>
        <w:rPr/>
        <w:t>vez</w:t>
      </w:r>
      <w:r>
        <w:rPr>
          <w:spacing w:val="-8"/>
        </w:rPr>
        <w:t> </w:t>
      </w:r>
      <w:r>
        <w:rPr/>
        <w:t>recibida</w:t>
      </w:r>
      <w:r>
        <w:rPr>
          <w:spacing w:val="-9"/>
        </w:rPr>
        <w:t> </w:t>
      </w:r>
      <w:r>
        <w:rPr/>
        <w:t>la</w:t>
      </w:r>
      <w:r>
        <w:rPr>
          <w:spacing w:val="-7"/>
        </w:rPr>
        <w:t> </w:t>
      </w:r>
      <w:r>
        <w:rPr/>
        <w:t>solicitud</w:t>
      </w:r>
      <w:r>
        <w:rPr>
          <w:spacing w:val="-9"/>
        </w:rPr>
        <w:t> </w:t>
      </w:r>
      <w:r>
        <w:rPr/>
        <w:t>para</w:t>
      </w:r>
      <w:r>
        <w:rPr>
          <w:spacing w:val="-6"/>
        </w:rPr>
        <w:t> </w:t>
      </w:r>
      <w:r>
        <w:rPr/>
        <w:t>la</w:t>
      </w:r>
      <w:r>
        <w:rPr>
          <w:spacing w:val="-7"/>
        </w:rPr>
        <w:t> </w:t>
      </w:r>
      <w:r>
        <w:rPr/>
        <w:t>expedición</w:t>
      </w:r>
      <w:r>
        <w:rPr>
          <w:spacing w:val="-9"/>
        </w:rPr>
        <w:t> </w:t>
      </w:r>
      <w:r>
        <w:rPr/>
        <w:t>de</w:t>
      </w:r>
      <w:r>
        <w:rPr>
          <w:spacing w:val="-7"/>
        </w:rPr>
        <w:t> </w:t>
      </w:r>
      <w:r>
        <w:rPr/>
        <w:t>la</w:t>
      </w:r>
      <w:r>
        <w:rPr>
          <w:spacing w:val="-7"/>
        </w:rPr>
        <w:t> </w:t>
      </w:r>
      <w:r>
        <w:rPr/>
        <w:t>licencia de</w:t>
      </w:r>
      <w:r>
        <w:rPr>
          <w:spacing w:val="-7"/>
        </w:rPr>
        <w:t> </w:t>
      </w:r>
      <w:r>
        <w:rPr/>
        <w:t>uso</w:t>
      </w:r>
      <w:r>
        <w:rPr>
          <w:spacing w:val="-7"/>
        </w:rPr>
        <w:t> </w:t>
      </w:r>
      <w:r>
        <w:rPr/>
        <w:t>de</w:t>
      </w:r>
      <w:r>
        <w:rPr>
          <w:spacing w:val="-7"/>
        </w:rPr>
        <w:t> </w:t>
      </w:r>
      <w:r>
        <w:rPr/>
        <w:t>suelo,</w:t>
      </w:r>
      <w:r>
        <w:rPr>
          <w:spacing w:val="-7"/>
        </w:rPr>
        <w:t> </w:t>
      </w:r>
      <w:r>
        <w:rPr/>
        <w:t>remitirá</w:t>
      </w:r>
      <w:r>
        <w:rPr>
          <w:spacing w:val="-7"/>
        </w:rPr>
        <w:t> </w:t>
      </w:r>
      <w:r>
        <w:rPr/>
        <w:t>sin</w:t>
      </w:r>
      <w:r>
        <w:rPr>
          <w:spacing w:val="-7"/>
        </w:rPr>
        <w:t> </w:t>
      </w:r>
      <w:r>
        <w:rPr/>
        <w:t>demora</w:t>
      </w:r>
      <w:r>
        <w:rPr>
          <w:spacing w:val="-6"/>
        </w:rPr>
        <w:t> </w:t>
      </w:r>
      <w:r>
        <w:rPr/>
        <w:t>en</w:t>
      </w:r>
      <w:r>
        <w:rPr>
          <w:spacing w:val="-7"/>
        </w:rPr>
        <w:t> </w:t>
      </w:r>
      <w:r>
        <w:rPr/>
        <w:t>un</w:t>
      </w:r>
      <w:r>
        <w:rPr>
          <w:spacing w:val="-7"/>
        </w:rPr>
        <w:t> </w:t>
      </w:r>
      <w:r>
        <w:rPr/>
        <w:t>plazo</w:t>
      </w:r>
      <w:r>
        <w:rPr>
          <w:spacing w:val="-7"/>
        </w:rPr>
        <w:t> </w:t>
      </w:r>
      <w:r>
        <w:rPr/>
        <w:t>máximo</w:t>
      </w:r>
      <w:r>
        <w:rPr>
          <w:spacing w:val="-7"/>
        </w:rPr>
        <w:t> </w:t>
      </w:r>
      <w:r>
        <w:rPr/>
        <w:t>de</w:t>
      </w:r>
      <w:r>
        <w:rPr>
          <w:spacing w:val="-7"/>
        </w:rPr>
        <w:t> </w:t>
      </w:r>
      <w:r>
        <w:rPr/>
        <w:t>cinco</w:t>
      </w:r>
      <w:r>
        <w:rPr>
          <w:spacing w:val="-7"/>
        </w:rPr>
        <w:t> </w:t>
      </w:r>
      <w:r>
        <w:rPr/>
        <w:t>días</w:t>
      </w:r>
      <w:r>
        <w:rPr>
          <w:spacing w:val="-6"/>
        </w:rPr>
        <w:t> </w:t>
      </w:r>
      <w:r>
        <w:rPr/>
        <w:t>hábiles,</w:t>
      </w:r>
      <w:r>
        <w:rPr>
          <w:spacing w:val="-6"/>
        </w:rPr>
        <w:t> </w:t>
      </w:r>
      <w:r>
        <w:rPr/>
        <w:t>contados</w:t>
      </w:r>
      <w:r>
        <w:rPr>
          <w:spacing w:val="-5"/>
        </w:rPr>
        <w:t> </w:t>
      </w:r>
      <w:r>
        <w:rPr/>
        <w:t>a</w:t>
      </w:r>
      <w:r>
        <w:rPr>
          <w:spacing w:val="-7"/>
        </w:rPr>
        <w:t> </w:t>
      </w:r>
      <w:r>
        <w:rPr/>
        <w:t>partir</w:t>
      </w:r>
      <w:r>
        <w:rPr>
          <w:spacing w:val="-6"/>
        </w:rPr>
        <w:t> </w:t>
      </w:r>
      <w:r>
        <w:rPr/>
        <w:t>de la recepción del documento, la solicitud con sus anexos a la Secretaría de Ecología y Gestión Ambiental,</w:t>
      </w:r>
      <w:r>
        <w:rPr>
          <w:spacing w:val="-2"/>
        </w:rPr>
        <w:t> </w:t>
      </w:r>
      <w:r>
        <w:rPr/>
        <w:t>cuando así</w:t>
      </w:r>
      <w:r>
        <w:rPr>
          <w:spacing w:val="-2"/>
        </w:rPr>
        <w:t> </w:t>
      </w:r>
      <w:r>
        <w:rPr/>
        <w:t>proceda, para</w:t>
      </w:r>
      <w:r>
        <w:rPr>
          <w:spacing w:val="-2"/>
        </w:rPr>
        <w:t> </w:t>
      </w:r>
      <w:r>
        <w:rPr/>
        <w:t>recabar</w:t>
      </w:r>
      <w:r>
        <w:rPr>
          <w:spacing w:val="-1"/>
        </w:rPr>
        <w:t> </w:t>
      </w:r>
      <w:r>
        <w:rPr/>
        <w:t>su dictamen técnico sobre el</w:t>
      </w:r>
      <w:r>
        <w:rPr>
          <w:spacing w:val="-1"/>
        </w:rPr>
        <w:t> </w:t>
      </w:r>
      <w:r>
        <w:rPr/>
        <w:t>uso</w:t>
      </w:r>
      <w:r>
        <w:rPr>
          <w:spacing w:val="-2"/>
        </w:rPr>
        <w:t> </w:t>
      </w:r>
      <w:r>
        <w:rPr/>
        <w:t>o destino</w:t>
      </w:r>
      <w:r>
        <w:rPr>
          <w:spacing w:val="-3"/>
        </w:rPr>
        <w:t> </w:t>
      </w:r>
      <w:r>
        <w:rPr/>
        <w:t>solicitado, debiendo</w:t>
      </w:r>
      <w:r>
        <w:rPr>
          <w:spacing w:val="-8"/>
        </w:rPr>
        <w:t> </w:t>
      </w:r>
      <w:r>
        <w:rPr/>
        <w:t>dicha</w:t>
      </w:r>
      <w:r>
        <w:rPr>
          <w:spacing w:val="-8"/>
        </w:rPr>
        <w:t> </w:t>
      </w:r>
      <w:r>
        <w:rPr/>
        <w:t>autoridad</w:t>
      </w:r>
      <w:r>
        <w:rPr>
          <w:spacing w:val="-8"/>
        </w:rPr>
        <w:t> </w:t>
      </w:r>
      <w:r>
        <w:rPr/>
        <w:t>emitirlo</w:t>
      </w:r>
      <w:r>
        <w:rPr>
          <w:spacing w:val="-8"/>
        </w:rPr>
        <w:t> </w:t>
      </w:r>
      <w:r>
        <w:rPr/>
        <w:t>en</w:t>
      </w:r>
      <w:r>
        <w:rPr>
          <w:spacing w:val="-8"/>
        </w:rPr>
        <w:t> </w:t>
      </w:r>
      <w:r>
        <w:rPr/>
        <w:t>un</w:t>
      </w:r>
      <w:r>
        <w:rPr>
          <w:spacing w:val="-8"/>
        </w:rPr>
        <w:t> </w:t>
      </w:r>
      <w:r>
        <w:rPr/>
        <w:t>término</w:t>
      </w:r>
      <w:r>
        <w:rPr>
          <w:spacing w:val="-8"/>
        </w:rPr>
        <w:t> </w:t>
      </w:r>
      <w:r>
        <w:rPr/>
        <w:t>improrrogable</w:t>
      </w:r>
      <w:r>
        <w:rPr>
          <w:spacing w:val="-8"/>
        </w:rPr>
        <w:t> </w:t>
      </w:r>
      <w:r>
        <w:rPr/>
        <w:t>de</w:t>
      </w:r>
      <w:r>
        <w:rPr>
          <w:spacing w:val="-8"/>
        </w:rPr>
        <w:t> </w:t>
      </w:r>
      <w:r>
        <w:rPr/>
        <w:t>diez</w:t>
      </w:r>
      <w:r>
        <w:rPr>
          <w:spacing w:val="-6"/>
        </w:rPr>
        <w:t> </w:t>
      </w:r>
      <w:r>
        <w:rPr/>
        <w:t>días</w:t>
      </w:r>
      <w:r>
        <w:rPr>
          <w:spacing w:val="-9"/>
        </w:rPr>
        <w:t> </w:t>
      </w:r>
      <w:r>
        <w:rPr/>
        <w:t>hábiles</w:t>
      </w:r>
      <w:r>
        <w:rPr>
          <w:spacing w:val="-9"/>
        </w:rPr>
        <w:t> </w:t>
      </w:r>
      <w:r>
        <w:rPr/>
        <w:t>contados</w:t>
      </w:r>
      <w:r>
        <w:rPr>
          <w:spacing w:val="-7"/>
        </w:rPr>
        <w:t> </w:t>
      </w:r>
      <w:r>
        <w:rPr/>
        <w:t>a</w:t>
      </w:r>
      <w:r>
        <w:rPr>
          <w:spacing w:val="-10"/>
        </w:rPr>
        <w:t> </w:t>
      </w:r>
      <w:r>
        <w:rPr/>
        <w:t>partir de la fecha en que reciban la solicitud correspondiente. Dicha Secretaría podrá pedir la opinión de otras dependencias y organismos respecto de los eventuales efectos del uso o destino</w:t>
      </w:r>
      <w:r>
        <w:rPr>
          <w:spacing w:val="40"/>
        </w:rPr>
        <w:t> </w:t>
      </w:r>
      <w:r>
        <w:rPr/>
        <w:t>solicitado en la prestación de los servicios públicos, aplicándose en tal caso los plazos establecidos en el párrafo anterior.</w:t>
      </w:r>
    </w:p>
    <w:p>
      <w:pPr>
        <w:pStyle w:val="BodyText"/>
        <w:spacing w:before="1"/>
      </w:pPr>
    </w:p>
    <w:p>
      <w:pPr>
        <w:pStyle w:val="BodyText"/>
        <w:ind w:left="262" w:right="281"/>
        <w:jc w:val="both"/>
      </w:pPr>
      <w:r>
        <w:rPr>
          <w:rFonts w:ascii="Arial" w:hAnsi="Arial"/>
          <w:b/>
        </w:rPr>
        <w:t>ARTÍCULO</w:t>
      </w:r>
      <w:r>
        <w:rPr>
          <w:rFonts w:ascii="Arial" w:hAnsi="Arial"/>
          <w:b/>
          <w:spacing w:val="-10"/>
        </w:rPr>
        <w:t> </w:t>
      </w:r>
      <w:r>
        <w:rPr>
          <w:rFonts w:ascii="Arial" w:hAnsi="Arial"/>
          <w:b/>
        </w:rPr>
        <w:t>294.</w:t>
      </w:r>
      <w:r>
        <w:rPr>
          <w:rFonts w:ascii="Arial" w:hAnsi="Arial"/>
          <w:b/>
          <w:spacing w:val="-8"/>
        </w:rPr>
        <w:t> </w:t>
      </w:r>
      <w:r>
        <w:rPr/>
        <w:t>Cuando</w:t>
      </w:r>
      <w:r>
        <w:rPr>
          <w:spacing w:val="-9"/>
        </w:rPr>
        <w:t> </w:t>
      </w:r>
      <w:r>
        <w:rPr/>
        <w:t>la</w:t>
      </w:r>
      <w:r>
        <w:rPr>
          <w:spacing w:val="-9"/>
        </w:rPr>
        <w:t> </w:t>
      </w:r>
      <w:r>
        <w:rPr/>
        <w:t>solicitud</w:t>
      </w:r>
      <w:r>
        <w:rPr>
          <w:spacing w:val="-10"/>
        </w:rPr>
        <w:t> </w:t>
      </w:r>
      <w:r>
        <w:rPr/>
        <w:t>de</w:t>
      </w:r>
      <w:r>
        <w:rPr>
          <w:spacing w:val="-10"/>
        </w:rPr>
        <w:t> </w:t>
      </w:r>
      <w:r>
        <w:rPr/>
        <w:t>licencia</w:t>
      </w:r>
      <w:r>
        <w:rPr>
          <w:spacing w:val="-11"/>
        </w:rPr>
        <w:t> </w:t>
      </w:r>
      <w:r>
        <w:rPr/>
        <w:t>de</w:t>
      </w:r>
      <w:r>
        <w:rPr>
          <w:spacing w:val="-9"/>
        </w:rPr>
        <w:t> </w:t>
      </w:r>
      <w:r>
        <w:rPr/>
        <w:t>uso</w:t>
      </w:r>
      <w:r>
        <w:rPr>
          <w:spacing w:val="-9"/>
        </w:rPr>
        <w:t> </w:t>
      </w:r>
      <w:r>
        <w:rPr/>
        <w:t>de</w:t>
      </w:r>
      <w:r>
        <w:rPr>
          <w:spacing w:val="-12"/>
        </w:rPr>
        <w:t> </w:t>
      </w:r>
      <w:r>
        <w:rPr/>
        <w:t>suelo,</w:t>
      </w:r>
      <w:r>
        <w:rPr>
          <w:spacing w:val="-9"/>
        </w:rPr>
        <w:t> </w:t>
      </w:r>
      <w:r>
        <w:rPr/>
        <w:t>verse</w:t>
      </w:r>
      <w:r>
        <w:rPr>
          <w:spacing w:val="-11"/>
        </w:rPr>
        <w:t> </w:t>
      </w:r>
      <w:r>
        <w:rPr/>
        <w:t>sobre</w:t>
      </w:r>
      <w:r>
        <w:rPr>
          <w:spacing w:val="-9"/>
        </w:rPr>
        <w:t> </w:t>
      </w:r>
      <w:r>
        <w:rPr/>
        <w:t>las</w:t>
      </w:r>
      <w:r>
        <w:rPr>
          <w:spacing w:val="-10"/>
        </w:rPr>
        <w:t> </w:t>
      </w:r>
      <w:r>
        <w:rPr/>
        <w:t>obras</w:t>
      </w:r>
      <w:r>
        <w:rPr>
          <w:spacing w:val="-10"/>
        </w:rPr>
        <w:t> </w:t>
      </w:r>
      <w:r>
        <w:rPr/>
        <w:t>y</w:t>
      </w:r>
      <w:r>
        <w:rPr>
          <w:spacing w:val="-10"/>
        </w:rPr>
        <w:t> </w:t>
      </w:r>
      <w:r>
        <w:rPr/>
        <w:t>actividades que</w:t>
      </w:r>
      <w:r>
        <w:rPr>
          <w:spacing w:val="-2"/>
        </w:rPr>
        <w:t> </w:t>
      </w:r>
      <w:r>
        <w:rPr/>
        <w:t>conforme</w:t>
      </w:r>
      <w:r>
        <w:rPr>
          <w:spacing w:val="-2"/>
        </w:rPr>
        <w:t> </w:t>
      </w:r>
      <w:r>
        <w:rPr/>
        <w:t>a la</w:t>
      </w:r>
      <w:r>
        <w:rPr>
          <w:spacing w:val="-2"/>
        </w:rPr>
        <w:t> </w:t>
      </w:r>
      <w:r>
        <w:rPr/>
        <w:t>Ley</w:t>
      </w:r>
      <w:r>
        <w:rPr>
          <w:spacing w:val="-1"/>
        </w:rPr>
        <w:t> </w:t>
      </w:r>
      <w:r>
        <w:rPr/>
        <w:t>Ambiental</w:t>
      </w:r>
      <w:r>
        <w:rPr>
          <w:spacing w:val="-3"/>
        </w:rPr>
        <w:t> </w:t>
      </w:r>
      <w:r>
        <w:rPr/>
        <w:t>del</w:t>
      </w:r>
      <w:r>
        <w:rPr>
          <w:spacing w:val="-1"/>
        </w:rPr>
        <w:t> </w:t>
      </w:r>
      <w:r>
        <w:rPr/>
        <w:t>Estado</w:t>
      </w:r>
      <w:r>
        <w:rPr>
          <w:spacing w:val="-3"/>
        </w:rPr>
        <w:t> </w:t>
      </w:r>
      <w:r>
        <w:rPr/>
        <w:t>requieran</w:t>
      </w:r>
      <w:r>
        <w:rPr>
          <w:spacing w:val="-2"/>
        </w:rPr>
        <w:t> </w:t>
      </w:r>
      <w:r>
        <w:rPr/>
        <w:t>autorización de impacto ambiental</w:t>
      </w:r>
      <w:r>
        <w:rPr>
          <w:spacing w:val="-1"/>
        </w:rPr>
        <w:t> </w:t>
      </w:r>
      <w:r>
        <w:rPr/>
        <w:t>expedida por</w:t>
      </w:r>
      <w:r>
        <w:rPr>
          <w:spacing w:val="-14"/>
        </w:rPr>
        <w:t> </w:t>
      </w:r>
      <w:r>
        <w:rPr/>
        <w:t>la</w:t>
      </w:r>
      <w:r>
        <w:rPr>
          <w:spacing w:val="-14"/>
        </w:rPr>
        <w:t> </w:t>
      </w:r>
      <w:r>
        <w:rPr/>
        <w:t>Secretaría</w:t>
      </w:r>
      <w:r>
        <w:rPr>
          <w:spacing w:val="-14"/>
        </w:rPr>
        <w:t> </w:t>
      </w:r>
      <w:r>
        <w:rPr/>
        <w:t>de</w:t>
      </w:r>
      <w:r>
        <w:rPr>
          <w:spacing w:val="-14"/>
        </w:rPr>
        <w:t> </w:t>
      </w:r>
      <w:r>
        <w:rPr/>
        <w:t>Ecología</w:t>
      </w:r>
      <w:r>
        <w:rPr>
          <w:spacing w:val="-14"/>
        </w:rPr>
        <w:t> </w:t>
      </w:r>
      <w:r>
        <w:rPr/>
        <w:t>y</w:t>
      </w:r>
      <w:r>
        <w:rPr>
          <w:spacing w:val="-14"/>
        </w:rPr>
        <w:t> </w:t>
      </w:r>
      <w:r>
        <w:rPr/>
        <w:t>Gestión</w:t>
      </w:r>
      <w:r>
        <w:rPr>
          <w:spacing w:val="-14"/>
        </w:rPr>
        <w:t> </w:t>
      </w:r>
      <w:r>
        <w:rPr/>
        <w:t>Ambiental</w:t>
      </w:r>
      <w:r>
        <w:rPr>
          <w:spacing w:val="-14"/>
        </w:rPr>
        <w:t> </w:t>
      </w:r>
      <w:r>
        <w:rPr/>
        <w:t>del</w:t>
      </w:r>
      <w:r>
        <w:rPr>
          <w:spacing w:val="-14"/>
        </w:rPr>
        <w:t> </w:t>
      </w:r>
      <w:r>
        <w:rPr/>
        <w:t>Estado,</w:t>
      </w:r>
      <w:r>
        <w:rPr>
          <w:spacing w:val="-14"/>
        </w:rPr>
        <w:t> </w:t>
      </w:r>
      <w:r>
        <w:rPr/>
        <w:t>la</w:t>
      </w:r>
      <w:r>
        <w:rPr>
          <w:spacing w:val="-14"/>
        </w:rPr>
        <w:t> </w:t>
      </w:r>
      <w:r>
        <w:rPr/>
        <w:t>Dirección</w:t>
      </w:r>
      <w:r>
        <w:rPr>
          <w:spacing w:val="-13"/>
        </w:rPr>
        <w:t> </w:t>
      </w:r>
      <w:r>
        <w:rPr/>
        <w:t>Municipal</w:t>
      </w:r>
      <w:r>
        <w:rPr>
          <w:spacing w:val="-14"/>
        </w:rPr>
        <w:t> </w:t>
      </w:r>
      <w:r>
        <w:rPr/>
        <w:t>correspondiente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9"/>
        <w:jc w:val="both"/>
      </w:pPr>
      <w:r>
        <w:rPr/>
        <w:t>requerirá al solicitante, dentro de los tres días siguientes a la recepción de ésta, el acreditar que la misma se encuentra en trámite. No se requerirá la autorización de impacto ambiental en los casos de exención previstos en el referido ordenamiento.</w:t>
      </w:r>
    </w:p>
    <w:p>
      <w:pPr>
        <w:pStyle w:val="BodyText"/>
        <w:spacing w:before="1"/>
      </w:pPr>
    </w:p>
    <w:p>
      <w:pPr>
        <w:pStyle w:val="BodyText"/>
        <w:spacing w:before="1"/>
        <w:ind w:left="262" w:right="277"/>
        <w:jc w:val="both"/>
      </w:pPr>
      <w:r>
        <w:rPr>
          <w:rFonts w:ascii="Arial" w:hAnsi="Arial"/>
          <w:b/>
        </w:rPr>
        <w:t>ARTÍCULO 295. </w:t>
      </w:r>
      <w:r>
        <w:rPr/>
        <w:t>Cuando por la ubicación del inmueble se advierta conforme a los</w:t>
      </w:r>
      <w:r>
        <w:rPr>
          <w:spacing w:val="40"/>
        </w:rPr>
        <w:t> </w:t>
      </w:r>
      <w:r>
        <w:rPr/>
        <w:t>programas de desarrollo urbano que se encuentra en terrenos forestales, en los términos de las leyes aplicables se requerirá al solicitante que compruebe que cuenta con la autorización de cambio de uso de terrenos</w:t>
      </w:r>
      <w:r>
        <w:rPr>
          <w:spacing w:val="-9"/>
        </w:rPr>
        <w:t> </w:t>
      </w:r>
      <w:r>
        <w:rPr/>
        <w:t>forestal</w:t>
      </w:r>
      <w:r>
        <w:rPr>
          <w:spacing w:val="-11"/>
        </w:rPr>
        <w:t> </w:t>
      </w:r>
      <w:r>
        <w:rPr/>
        <w:t>o</w:t>
      </w:r>
      <w:r>
        <w:rPr>
          <w:spacing w:val="-10"/>
        </w:rPr>
        <w:t> </w:t>
      </w:r>
      <w:r>
        <w:rPr/>
        <w:t>de</w:t>
      </w:r>
      <w:r>
        <w:rPr>
          <w:spacing w:val="-10"/>
        </w:rPr>
        <w:t> </w:t>
      </w:r>
      <w:r>
        <w:rPr/>
        <w:t>aptitud</w:t>
      </w:r>
      <w:r>
        <w:rPr>
          <w:spacing w:val="-10"/>
        </w:rPr>
        <w:t> </w:t>
      </w:r>
      <w:r>
        <w:rPr/>
        <w:t>preferentemente</w:t>
      </w:r>
      <w:r>
        <w:rPr>
          <w:spacing w:val="-10"/>
        </w:rPr>
        <w:t> </w:t>
      </w:r>
      <w:r>
        <w:rPr/>
        <w:t>forestal,</w:t>
      </w:r>
      <w:r>
        <w:rPr>
          <w:spacing w:val="-7"/>
        </w:rPr>
        <w:t> </w:t>
      </w:r>
      <w:r>
        <w:rPr/>
        <w:t>o</w:t>
      </w:r>
      <w:r>
        <w:rPr>
          <w:spacing w:val="-10"/>
        </w:rPr>
        <w:t> </w:t>
      </w:r>
      <w:r>
        <w:rPr/>
        <w:t>aprovechamientos</w:t>
      </w:r>
      <w:r>
        <w:rPr>
          <w:spacing w:val="-9"/>
        </w:rPr>
        <w:t> </w:t>
      </w:r>
      <w:r>
        <w:rPr/>
        <w:t>forestales,</w:t>
      </w:r>
      <w:r>
        <w:rPr>
          <w:spacing w:val="-10"/>
        </w:rPr>
        <w:t> </w:t>
      </w:r>
      <w:r>
        <w:rPr/>
        <w:t>expedida</w:t>
      </w:r>
      <w:r>
        <w:rPr>
          <w:spacing w:val="-10"/>
        </w:rPr>
        <w:t> </w:t>
      </w:r>
      <w:r>
        <w:rPr/>
        <w:t>por la autoridad competente, o bien que éstas se encuentren en trámite ante ella. Igualmente requerirá los estudios técnicos y manifestaciones de impacto ambiental que pudieran causar modificaciones a</w:t>
      </w:r>
      <w:r>
        <w:rPr>
          <w:spacing w:val="-11"/>
        </w:rPr>
        <w:t> </w:t>
      </w:r>
      <w:r>
        <w:rPr/>
        <w:t>la</w:t>
      </w:r>
      <w:r>
        <w:rPr>
          <w:spacing w:val="-9"/>
        </w:rPr>
        <w:t> </w:t>
      </w:r>
      <w:r>
        <w:rPr/>
        <w:t>calidad</w:t>
      </w:r>
      <w:r>
        <w:rPr>
          <w:spacing w:val="-11"/>
        </w:rPr>
        <w:t> </w:t>
      </w:r>
      <w:r>
        <w:rPr/>
        <w:t>de</w:t>
      </w:r>
      <w:r>
        <w:rPr>
          <w:spacing w:val="-11"/>
        </w:rPr>
        <w:t> </w:t>
      </w:r>
      <w:r>
        <w:rPr/>
        <w:t>vida</w:t>
      </w:r>
      <w:r>
        <w:rPr>
          <w:spacing w:val="-11"/>
        </w:rPr>
        <w:t> </w:t>
      </w:r>
      <w:r>
        <w:rPr/>
        <w:t>y</w:t>
      </w:r>
      <w:r>
        <w:rPr>
          <w:spacing w:val="-10"/>
        </w:rPr>
        <w:t> </w:t>
      </w:r>
      <w:r>
        <w:rPr/>
        <w:t>al</w:t>
      </w:r>
      <w:r>
        <w:rPr>
          <w:spacing w:val="-12"/>
        </w:rPr>
        <w:t> </w:t>
      </w:r>
      <w:r>
        <w:rPr/>
        <w:t>ambiente,</w:t>
      </w:r>
      <w:r>
        <w:rPr>
          <w:spacing w:val="-9"/>
        </w:rPr>
        <w:t> </w:t>
      </w:r>
      <w:r>
        <w:rPr/>
        <w:t>que</w:t>
      </w:r>
      <w:r>
        <w:rPr>
          <w:spacing w:val="-9"/>
        </w:rPr>
        <w:t> </w:t>
      </w:r>
      <w:r>
        <w:rPr/>
        <w:t>servirán</w:t>
      </w:r>
      <w:r>
        <w:rPr>
          <w:spacing w:val="-9"/>
        </w:rPr>
        <w:t> </w:t>
      </w:r>
      <w:r>
        <w:rPr/>
        <w:t>de</w:t>
      </w:r>
      <w:r>
        <w:rPr>
          <w:spacing w:val="-9"/>
        </w:rPr>
        <w:t> </w:t>
      </w:r>
      <w:r>
        <w:rPr/>
        <w:t>base</w:t>
      </w:r>
      <w:r>
        <w:rPr>
          <w:spacing w:val="-11"/>
        </w:rPr>
        <w:t> </w:t>
      </w:r>
      <w:r>
        <w:rPr/>
        <w:t>para</w:t>
      </w:r>
      <w:r>
        <w:rPr>
          <w:spacing w:val="-9"/>
        </w:rPr>
        <w:t> </w:t>
      </w:r>
      <w:r>
        <w:rPr/>
        <w:t>la</w:t>
      </w:r>
      <w:r>
        <w:rPr>
          <w:spacing w:val="-9"/>
        </w:rPr>
        <w:t> </w:t>
      </w:r>
      <w:r>
        <w:rPr/>
        <w:t>expedición,</w:t>
      </w:r>
      <w:r>
        <w:rPr>
          <w:spacing w:val="-9"/>
        </w:rPr>
        <w:t> </w:t>
      </w:r>
      <w:r>
        <w:rPr/>
        <w:t>en</w:t>
      </w:r>
      <w:r>
        <w:rPr>
          <w:spacing w:val="-12"/>
        </w:rPr>
        <w:t> </w:t>
      </w:r>
      <w:r>
        <w:rPr/>
        <w:t>su</w:t>
      </w:r>
      <w:r>
        <w:rPr>
          <w:spacing w:val="-7"/>
        </w:rPr>
        <w:t> </w:t>
      </w:r>
      <w:r>
        <w:rPr/>
        <w:t>caso,</w:t>
      </w:r>
      <w:r>
        <w:rPr>
          <w:spacing w:val="-12"/>
        </w:rPr>
        <w:t> </w:t>
      </w:r>
      <w:r>
        <w:rPr/>
        <w:t>de</w:t>
      </w:r>
      <w:r>
        <w:rPr>
          <w:spacing w:val="-9"/>
        </w:rPr>
        <w:t> </w:t>
      </w:r>
      <w:r>
        <w:rPr/>
        <w:t>la</w:t>
      </w:r>
      <w:r>
        <w:rPr>
          <w:spacing w:val="-9"/>
        </w:rPr>
        <w:t> </w:t>
      </w:r>
      <w:r>
        <w:rPr/>
        <w:t>licencia de uso de suelo.</w:t>
      </w:r>
    </w:p>
    <w:p>
      <w:pPr>
        <w:pStyle w:val="BodyText"/>
        <w:spacing w:before="229"/>
        <w:ind w:left="262" w:right="281"/>
        <w:jc w:val="both"/>
      </w:pPr>
      <w:r>
        <w:rPr/>
        <w:t>Cuando</w:t>
      </w:r>
      <w:r>
        <w:rPr>
          <w:spacing w:val="-7"/>
        </w:rPr>
        <w:t> </w:t>
      </w:r>
      <w:r>
        <w:rPr/>
        <w:t>se</w:t>
      </w:r>
      <w:r>
        <w:rPr>
          <w:spacing w:val="-7"/>
        </w:rPr>
        <w:t> </w:t>
      </w:r>
      <w:r>
        <w:rPr/>
        <w:t>trate</w:t>
      </w:r>
      <w:r>
        <w:rPr>
          <w:spacing w:val="-7"/>
        </w:rPr>
        <w:t> </w:t>
      </w:r>
      <w:r>
        <w:rPr/>
        <w:t>de</w:t>
      </w:r>
      <w:r>
        <w:rPr>
          <w:spacing w:val="-7"/>
        </w:rPr>
        <w:t> </w:t>
      </w:r>
      <w:r>
        <w:rPr/>
        <w:t>obras</w:t>
      </w:r>
      <w:r>
        <w:rPr>
          <w:spacing w:val="-5"/>
        </w:rPr>
        <w:t> </w:t>
      </w:r>
      <w:r>
        <w:rPr/>
        <w:t>o</w:t>
      </w:r>
      <w:r>
        <w:rPr>
          <w:spacing w:val="-5"/>
        </w:rPr>
        <w:t> </w:t>
      </w:r>
      <w:r>
        <w:rPr/>
        <w:t>actividades</w:t>
      </w:r>
      <w:r>
        <w:rPr>
          <w:spacing w:val="-6"/>
        </w:rPr>
        <w:t> </w:t>
      </w:r>
      <w:r>
        <w:rPr/>
        <w:t>previstas</w:t>
      </w:r>
      <w:r>
        <w:rPr>
          <w:spacing w:val="-6"/>
        </w:rPr>
        <w:t> </w:t>
      </w:r>
      <w:r>
        <w:rPr/>
        <w:t>en</w:t>
      </w:r>
      <w:r>
        <w:rPr>
          <w:spacing w:val="-7"/>
        </w:rPr>
        <w:t> </w:t>
      </w:r>
      <w:r>
        <w:rPr/>
        <w:t>el</w:t>
      </w:r>
      <w:r>
        <w:rPr>
          <w:spacing w:val="-5"/>
        </w:rPr>
        <w:t> </w:t>
      </w:r>
      <w:r>
        <w:rPr/>
        <w:t>artículo</w:t>
      </w:r>
      <w:r>
        <w:rPr>
          <w:spacing w:val="-4"/>
        </w:rPr>
        <w:t> </w:t>
      </w:r>
      <w:r>
        <w:rPr/>
        <w:t>28</w:t>
      </w:r>
      <w:r>
        <w:rPr>
          <w:spacing w:val="-7"/>
        </w:rPr>
        <w:t> </w:t>
      </w:r>
      <w:r>
        <w:rPr/>
        <w:t>de</w:t>
      </w:r>
      <w:r>
        <w:rPr>
          <w:spacing w:val="-7"/>
        </w:rPr>
        <w:t> </w:t>
      </w:r>
      <w:r>
        <w:rPr/>
        <w:t>la</w:t>
      </w:r>
      <w:r>
        <w:rPr>
          <w:spacing w:val="-4"/>
        </w:rPr>
        <w:t> </w:t>
      </w:r>
      <w:r>
        <w:rPr/>
        <w:t>LGEEPA</w:t>
      </w:r>
      <w:r>
        <w:rPr>
          <w:spacing w:val="-7"/>
        </w:rPr>
        <w:t> </w:t>
      </w:r>
      <w:r>
        <w:rPr/>
        <w:t>o</w:t>
      </w:r>
      <w:r>
        <w:rPr>
          <w:spacing w:val="-5"/>
        </w:rPr>
        <w:t> </w:t>
      </w:r>
      <w:r>
        <w:rPr/>
        <w:t>en</w:t>
      </w:r>
      <w:r>
        <w:rPr>
          <w:spacing w:val="-7"/>
        </w:rPr>
        <w:t> </w:t>
      </w:r>
      <w:r>
        <w:rPr/>
        <w:t>el</w:t>
      </w:r>
      <w:r>
        <w:rPr>
          <w:spacing w:val="-8"/>
        </w:rPr>
        <w:t> </w:t>
      </w:r>
      <w:r>
        <w:rPr/>
        <w:t>reglamento de la misma, en materia de impacto ambiental además de los requisitos señalados en el artículo anterior, cuando así</w:t>
      </w:r>
      <w:r>
        <w:rPr>
          <w:spacing w:val="-1"/>
        </w:rPr>
        <w:t> </w:t>
      </w:r>
      <w:r>
        <w:rPr/>
        <w:t>se</w:t>
      </w:r>
      <w:r>
        <w:rPr>
          <w:spacing w:val="-1"/>
        </w:rPr>
        <w:t> </w:t>
      </w:r>
      <w:r>
        <w:rPr/>
        <w:t>justifique,</w:t>
      </w:r>
      <w:r>
        <w:rPr>
          <w:spacing w:val="-1"/>
        </w:rPr>
        <w:t> </w:t>
      </w:r>
      <w:r>
        <w:rPr/>
        <w:t>se</w:t>
      </w:r>
      <w:r>
        <w:rPr>
          <w:spacing w:val="-1"/>
        </w:rPr>
        <w:t> </w:t>
      </w:r>
      <w:r>
        <w:rPr/>
        <w:t>requerirá</w:t>
      </w:r>
      <w:r>
        <w:rPr>
          <w:spacing w:val="-1"/>
        </w:rPr>
        <w:t> </w:t>
      </w:r>
      <w:r>
        <w:rPr/>
        <w:t>el</w:t>
      </w:r>
      <w:r>
        <w:rPr>
          <w:spacing w:val="-2"/>
        </w:rPr>
        <w:t> </w:t>
      </w:r>
      <w:r>
        <w:rPr/>
        <w:t>estudio</w:t>
      </w:r>
      <w:r>
        <w:rPr>
          <w:spacing w:val="-1"/>
        </w:rPr>
        <w:t> </w:t>
      </w:r>
      <w:r>
        <w:rPr/>
        <w:t>técnico</w:t>
      </w:r>
      <w:r>
        <w:rPr>
          <w:spacing w:val="-1"/>
        </w:rPr>
        <w:t> </w:t>
      </w:r>
      <w:r>
        <w:rPr/>
        <w:t>justificativo para</w:t>
      </w:r>
      <w:r>
        <w:rPr>
          <w:spacing w:val="-1"/>
        </w:rPr>
        <w:t> </w:t>
      </w:r>
      <w:r>
        <w:rPr/>
        <w:t>cambio de</w:t>
      </w:r>
      <w:r>
        <w:rPr>
          <w:spacing w:val="-2"/>
        </w:rPr>
        <w:t> </w:t>
      </w:r>
      <w:r>
        <w:rPr/>
        <w:t>uso de terrenos forestales o de aptitud preferentemente forestal; y la manifestación de impacto ambiental presentada previamente por el promovente ante la SEMARNAT para su evaluación, así como las autorizaciones emitidas por la misma.</w:t>
      </w:r>
    </w:p>
    <w:p>
      <w:pPr>
        <w:pStyle w:val="BodyText"/>
      </w:pPr>
    </w:p>
    <w:p>
      <w:pPr>
        <w:pStyle w:val="BodyText"/>
        <w:spacing w:before="1"/>
      </w:pPr>
    </w:p>
    <w:p>
      <w:pPr>
        <w:pStyle w:val="Heading2"/>
        <w:ind w:right="16"/>
      </w:pPr>
      <w:r>
        <w:rPr/>
        <w:t>Sección</w:t>
      </w:r>
      <w:r>
        <w:rPr>
          <w:spacing w:val="-9"/>
        </w:rPr>
        <w:t> </w:t>
      </w:r>
      <w:r>
        <w:rPr>
          <w:spacing w:val="-2"/>
        </w:rPr>
        <w:t>Séptima</w:t>
      </w:r>
    </w:p>
    <w:p>
      <w:pPr>
        <w:spacing w:line="482" w:lineRule="auto" w:before="229"/>
        <w:ind w:left="262" w:right="1640" w:firstLine="2314"/>
        <w:jc w:val="left"/>
        <w:rPr>
          <w:sz w:val="20"/>
        </w:rPr>
      </w:pPr>
      <w:r>
        <w:rPr>
          <w:rFonts w:ascii="Arial" w:hAnsi="Arial"/>
          <w:b/>
          <w:sz w:val="20"/>
        </w:rPr>
        <w:t>Contenido de las Licencias de Uso de Suelo ARTÍCULO</w:t>
      </w:r>
      <w:r>
        <w:rPr>
          <w:rFonts w:ascii="Arial" w:hAnsi="Arial"/>
          <w:b/>
          <w:spacing w:val="-4"/>
          <w:sz w:val="20"/>
        </w:rPr>
        <w:t> </w:t>
      </w:r>
      <w:r>
        <w:rPr>
          <w:rFonts w:ascii="Arial" w:hAnsi="Arial"/>
          <w:b/>
          <w:sz w:val="20"/>
        </w:rPr>
        <w:t>296.</w:t>
      </w:r>
      <w:r>
        <w:rPr>
          <w:rFonts w:ascii="Arial" w:hAnsi="Arial"/>
          <w:b/>
          <w:spacing w:val="-5"/>
          <w:sz w:val="20"/>
        </w:rPr>
        <w:t> </w:t>
      </w:r>
      <w:r>
        <w:rPr>
          <w:sz w:val="20"/>
        </w:rPr>
        <w:t>Las</w:t>
      </w:r>
      <w:r>
        <w:rPr>
          <w:spacing w:val="-4"/>
          <w:sz w:val="20"/>
        </w:rPr>
        <w:t> </w:t>
      </w:r>
      <w:r>
        <w:rPr>
          <w:sz w:val="20"/>
        </w:rPr>
        <w:t>licencias</w:t>
      </w:r>
      <w:r>
        <w:rPr>
          <w:spacing w:val="-4"/>
          <w:sz w:val="20"/>
        </w:rPr>
        <w:t> </w:t>
      </w:r>
      <w:r>
        <w:rPr>
          <w:sz w:val="20"/>
        </w:rPr>
        <w:t>de</w:t>
      </w:r>
      <w:r>
        <w:rPr>
          <w:spacing w:val="-3"/>
          <w:sz w:val="20"/>
        </w:rPr>
        <w:t> </w:t>
      </w:r>
      <w:r>
        <w:rPr>
          <w:sz w:val="20"/>
        </w:rPr>
        <w:t>uso</w:t>
      </w:r>
      <w:r>
        <w:rPr>
          <w:spacing w:val="-5"/>
          <w:sz w:val="20"/>
        </w:rPr>
        <w:t> </w:t>
      </w:r>
      <w:r>
        <w:rPr>
          <w:sz w:val="20"/>
        </w:rPr>
        <w:t>de</w:t>
      </w:r>
      <w:r>
        <w:rPr>
          <w:spacing w:val="-5"/>
          <w:sz w:val="20"/>
        </w:rPr>
        <w:t> </w:t>
      </w:r>
      <w:r>
        <w:rPr>
          <w:sz w:val="20"/>
        </w:rPr>
        <w:t>suelo,</w:t>
      </w:r>
      <w:r>
        <w:rPr>
          <w:spacing w:val="-5"/>
          <w:sz w:val="20"/>
        </w:rPr>
        <w:t> </w:t>
      </w:r>
      <w:r>
        <w:rPr>
          <w:sz w:val="20"/>
        </w:rPr>
        <w:t>contendrán</w:t>
      </w:r>
      <w:r>
        <w:rPr>
          <w:spacing w:val="-5"/>
          <w:sz w:val="20"/>
        </w:rPr>
        <w:t> </w:t>
      </w:r>
      <w:r>
        <w:rPr>
          <w:sz w:val="20"/>
        </w:rPr>
        <w:t>y</w:t>
      </w:r>
      <w:r>
        <w:rPr>
          <w:spacing w:val="-4"/>
          <w:sz w:val="20"/>
        </w:rPr>
        <w:t> </w:t>
      </w:r>
      <w:r>
        <w:rPr>
          <w:sz w:val="20"/>
        </w:rPr>
        <w:t>proporcionarán:</w:t>
      </w:r>
    </w:p>
    <w:p>
      <w:pPr>
        <w:pStyle w:val="ListParagraph"/>
        <w:numPr>
          <w:ilvl w:val="0"/>
          <w:numId w:val="107"/>
        </w:numPr>
        <w:tabs>
          <w:tab w:pos="543" w:val="left" w:leader="none"/>
        </w:tabs>
        <w:spacing w:line="237" w:lineRule="auto" w:before="0" w:after="0"/>
        <w:ind w:left="262" w:right="286" w:firstLine="0"/>
        <w:jc w:val="left"/>
        <w:rPr>
          <w:sz w:val="20"/>
        </w:rPr>
      </w:pPr>
      <w:r>
        <w:rPr>
          <w:sz w:val="20"/>
        </w:rPr>
        <w:t>La</w:t>
      </w:r>
      <w:r>
        <w:rPr>
          <w:spacing w:val="40"/>
          <w:sz w:val="20"/>
        </w:rPr>
        <w:t> </w:t>
      </w:r>
      <w:r>
        <w:rPr>
          <w:sz w:val="20"/>
        </w:rPr>
        <w:t>ubicación,</w:t>
      </w:r>
      <w:r>
        <w:rPr>
          <w:spacing w:val="40"/>
          <w:sz w:val="20"/>
        </w:rPr>
        <w:t> </w:t>
      </w:r>
      <w:r>
        <w:rPr>
          <w:sz w:val="20"/>
        </w:rPr>
        <w:t>medidas</w:t>
      </w:r>
      <w:r>
        <w:rPr>
          <w:spacing w:val="40"/>
          <w:sz w:val="20"/>
        </w:rPr>
        <w:t> </w:t>
      </w:r>
      <w:r>
        <w:rPr>
          <w:sz w:val="20"/>
        </w:rPr>
        <w:t>y</w:t>
      </w:r>
      <w:r>
        <w:rPr>
          <w:spacing w:val="40"/>
          <w:sz w:val="20"/>
        </w:rPr>
        <w:t> </w:t>
      </w:r>
      <w:r>
        <w:rPr>
          <w:sz w:val="20"/>
        </w:rPr>
        <w:t>colindancias</w:t>
      </w:r>
      <w:r>
        <w:rPr>
          <w:spacing w:val="40"/>
          <w:sz w:val="20"/>
        </w:rPr>
        <w:t> </w:t>
      </w:r>
      <w:r>
        <w:rPr>
          <w:sz w:val="20"/>
        </w:rPr>
        <w:t>del</w:t>
      </w:r>
      <w:r>
        <w:rPr>
          <w:spacing w:val="40"/>
          <w:sz w:val="20"/>
        </w:rPr>
        <w:t> </w:t>
      </w:r>
      <w:r>
        <w:rPr>
          <w:sz w:val="20"/>
        </w:rPr>
        <w:t>área,</w:t>
      </w:r>
      <w:r>
        <w:rPr>
          <w:spacing w:val="40"/>
          <w:sz w:val="20"/>
        </w:rPr>
        <w:t> </w:t>
      </w:r>
      <w:r>
        <w:rPr>
          <w:sz w:val="20"/>
        </w:rPr>
        <w:t>lote</w:t>
      </w:r>
      <w:r>
        <w:rPr>
          <w:spacing w:val="40"/>
          <w:sz w:val="20"/>
        </w:rPr>
        <w:t> </w:t>
      </w:r>
      <w:r>
        <w:rPr>
          <w:sz w:val="20"/>
        </w:rPr>
        <w:t>o</w:t>
      </w:r>
      <w:r>
        <w:rPr>
          <w:spacing w:val="40"/>
          <w:sz w:val="20"/>
        </w:rPr>
        <w:t> </w:t>
      </w:r>
      <w:r>
        <w:rPr>
          <w:sz w:val="20"/>
        </w:rPr>
        <w:t>predio,</w:t>
      </w:r>
      <w:r>
        <w:rPr>
          <w:spacing w:val="40"/>
          <w:sz w:val="20"/>
        </w:rPr>
        <w:t> </w:t>
      </w:r>
      <w:r>
        <w:rPr>
          <w:sz w:val="20"/>
        </w:rPr>
        <w:t>y</w:t>
      </w:r>
      <w:r>
        <w:rPr>
          <w:spacing w:val="40"/>
          <w:sz w:val="20"/>
        </w:rPr>
        <w:t> </w:t>
      </w:r>
      <w:r>
        <w:rPr>
          <w:sz w:val="20"/>
        </w:rPr>
        <w:t>los</w:t>
      </w:r>
      <w:r>
        <w:rPr>
          <w:spacing w:val="40"/>
          <w:sz w:val="20"/>
        </w:rPr>
        <w:t> </w:t>
      </w:r>
      <w:r>
        <w:rPr>
          <w:sz w:val="20"/>
        </w:rPr>
        <w:t>datos</w:t>
      </w:r>
      <w:r>
        <w:rPr>
          <w:spacing w:val="40"/>
          <w:sz w:val="20"/>
        </w:rPr>
        <w:t> </w:t>
      </w:r>
      <w:r>
        <w:rPr>
          <w:sz w:val="20"/>
        </w:rPr>
        <w:t>que</w:t>
      </w:r>
      <w:r>
        <w:rPr>
          <w:spacing w:val="40"/>
          <w:sz w:val="20"/>
        </w:rPr>
        <w:t> </w:t>
      </w:r>
      <w:r>
        <w:rPr>
          <w:sz w:val="20"/>
        </w:rPr>
        <w:t>emanen</w:t>
      </w:r>
      <w:r>
        <w:rPr>
          <w:spacing w:val="40"/>
          <w:sz w:val="20"/>
        </w:rPr>
        <w:t> </w:t>
      </w:r>
      <w:r>
        <w:rPr>
          <w:sz w:val="20"/>
        </w:rPr>
        <w:t>del documento que lo acredite;</w:t>
      </w:r>
    </w:p>
    <w:p>
      <w:pPr>
        <w:pStyle w:val="BodyText"/>
      </w:pPr>
    </w:p>
    <w:p>
      <w:pPr>
        <w:pStyle w:val="ListParagraph"/>
        <w:numPr>
          <w:ilvl w:val="0"/>
          <w:numId w:val="107"/>
        </w:numPr>
        <w:tabs>
          <w:tab w:pos="543" w:val="left" w:leader="none"/>
        </w:tabs>
        <w:spacing w:line="240" w:lineRule="auto" w:before="0" w:after="0"/>
        <w:ind w:left="543" w:right="0" w:hanging="281"/>
        <w:jc w:val="left"/>
        <w:rPr>
          <w:sz w:val="20"/>
        </w:rPr>
      </w:pPr>
      <w:r>
        <w:rPr>
          <w:sz w:val="20"/>
        </w:rPr>
        <w:t>La</w:t>
      </w:r>
      <w:r>
        <w:rPr>
          <w:spacing w:val="-12"/>
          <w:sz w:val="20"/>
        </w:rPr>
        <w:t> </w:t>
      </w:r>
      <w:r>
        <w:rPr>
          <w:sz w:val="20"/>
        </w:rPr>
        <w:t>identificación</w:t>
      </w:r>
      <w:r>
        <w:rPr>
          <w:spacing w:val="-10"/>
          <w:sz w:val="20"/>
        </w:rPr>
        <w:t> </w:t>
      </w:r>
      <w:r>
        <w:rPr>
          <w:spacing w:val="-2"/>
          <w:sz w:val="20"/>
        </w:rPr>
        <w:t>catastral;</w:t>
      </w:r>
    </w:p>
    <w:p>
      <w:pPr>
        <w:pStyle w:val="BodyText"/>
        <w:spacing w:before="1"/>
      </w:pPr>
    </w:p>
    <w:p>
      <w:pPr>
        <w:pStyle w:val="ListParagraph"/>
        <w:numPr>
          <w:ilvl w:val="0"/>
          <w:numId w:val="107"/>
        </w:numPr>
        <w:tabs>
          <w:tab w:pos="597" w:val="left" w:leader="none"/>
        </w:tabs>
        <w:spacing w:line="240" w:lineRule="auto" w:before="0" w:after="0"/>
        <w:ind w:left="597" w:right="0" w:hanging="335"/>
        <w:jc w:val="left"/>
        <w:rPr>
          <w:sz w:val="20"/>
        </w:rPr>
      </w:pPr>
      <w:r>
        <w:rPr>
          <w:sz w:val="20"/>
        </w:rPr>
        <w:t>El</w:t>
      </w:r>
      <w:r>
        <w:rPr>
          <w:spacing w:val="-6"/>
          <w:sz w:val="20"/>
        </w:rPr>
        <w:t> </w:t>
      </w:r>
      <w:r>
        <w:rPr>
          <w:sz w:val="20"/>
        </w:rPr>
        <w:t>número</w:t>
      </w:r>
      <w:r>
        <w:rPr>
          <w:spacing w:val="-7"/>
          <w:sz w:val="20"/>
        </w:rPr>
        <w:t> </w:t>
      </w:r>
      <w:r>
        <w:rPr>
          <w:spacing w:val="-2"/>
          <w:sz w:val="20"/>
        </w:rPr>
        <w:t>oficial;</w:t>
      </w:r>
    </w:p>
    <w:p>
      <w:pPr>
        <w:pStyle w:val="ListParagraph"/>
        <w:numPr>
          <w:ilvl w:val="0"/>
          <w:numId w:val="107"/>
        </w:numPr>
        <w:tabs>
          <w:tab w:pos="545" w:val="left" w:leader="none"/>
        </w:tabs>
        <w:spacing w:line="240" w:lineRule="auto" w:before="229" w:after="0"/>
        <w:ind w:left="545" w:right="0" w:hanging="283"/>
        <w:jc w:val="left"/>
        <w:rPr>
          <w:sz w:val="20"/>
        </w:rPr>
      </w:pPr>
      <w:r>
        <w:rPr>
          <w:sz w:val="20"/>
        </w:rPr>
        <w:t>El</w:t>
      </w:r>
      <w:r>
        <w:rPr>
          <w:spacing w:val="-5"/>
          <w:sz w:val="20"/>
        </w:rPr>
        <w:t> </w:t>
      </w:r>
      <w:r>
        <w:rPr>
          <w:sz w:val="20"/>
        </w:rPr>
        <w:t>uso</w:t>
      </w:r>
      <w:r>
        <w:rPr>
          <w:spacing w:val="-5"/>
          <w:sz w:val="20"/>
        </w:rPr>
        <w:t> </w:t>
      </w:r>
      <w:r>
        <w:rPr>
          <w:sz w:val="20"/>
        </w:rPr>
        <w:t>y</w:t>
      </w:r>
      <w:r>
        <w:rPr>
          <w:spacing w:val="-5"/>
          <w:sz w:val="20"/>
        </w:rPr>
        <w:t> </w:t>
      </w:r>
      <w:r>
        <w:rPr>
          <w:sz w:val="20"/>
        </w:rPr>
        <w:t>destino</w:t>
      </w:r>
      <w:r>
        <w:rPr>
          <w:spacing w:val="-4"/>
          <w:sz w:val="20"/>
        </w:rPr>
        <w:t> </w:t>
      </w:r>
      <w:r>
        <w:rPr>
          <w:sz w:val="20"/>
        </w:rPr>
        <w:t>autorizado</w:t>
      </w:r>
      <w:r>
        <w:rPr>
          <w:spacing w:val="-4"/>
          <w:sz w:val="20"/>
        </w:rPr>
        <w:t> </w:t>
      </w:r>
      <w:r>
        <w:rPr>
          <w:sz w:val="20"/>
        </w:rPr>
        <w:t>del</w:t>
      </w:r>
      <w:r>
        <w:rPr>
          <w:spacing w:val="-4"/>
          <w:sz w:val="20"/>
        </w:rPr>
        <w:t> </w:t>
      </w:r>
      <w:r>
        <w:rPr>
          <w:sz w:val="20"/>
        </w:rPr>
        <w:t>área,</w:t>
      </w:r>
      <w:r>
        <w:rPr>
          <w:spacing w:val="-4"/>
          <w:sz w:val="20"/>
        </w:rPr>
        <w:t> </w:t>
      </w:r>
      <w:r>
        <w:rPr>
          <w:sz w:val="20"/>
        </w:rPr>
        <w:t>lote</w:t>
      </w:r>
      <w:r>
        <w:rPr>
          <w:spacing w:val="-3"/>
          <w:sz w:val="20"/>
        </w:rPr>
        <w:t> </w:t>
      </w:r>
      <w:r>
        <w:rPr>
          <w:sz w:val="20"/>
        </w:rPr>
        <w:t>o</w:t>
      </w:r>
      <w:r>
        <w:rPr>
          <w:spacing w:val="-5"/>
          <w:sz w:val="20"/>
        </w:rPr>
        <w:t> </w:t>
      </w:r>
      <w:r>
        <w:rPr>
          <w:sz w:val="20"/>
        </w:rPr>
        <w:t>predio</w:t>
      </w:r>
      <w:r>
        <w:rPr>
          <w:spacing w:val="-4"/>
          <w:sz w:val="20"/>
        </w:rPr>
        <w:t> </w:t>
      </w:r>
      <w:r>
        <w:rPr>
          <w:sz w:val="20"/>
        </w:rPr>
        <w:t>de</w:t>
      </w:r>
      <w:r>
        <w:rPr>
          <w:spacing w:val="-4"/>
          <w:sz w:val="20"/>
        </w:rPr>
        <w:t> </w:t>
      </w:r>
      <w:r>
        <w:rPr>
          <w:sz w:val="20"/>
        </w:rPr>
        <w:t>que</w:t>
      </w:r>
      <w:r>
        <w:rPr>
          <w:spacing w:val="-7"/>
          <w:sz w:val="20"/>
        </w:rPr>
        <w:t> </w:t>
      </w:r>
      <w:r>
        <w:rPr>
          <w:sz w:val="20"/>
        </w:rPr>
        <w:t>se</w:t>
      </w:r>
      <w:r>
        <w:rPr>
          <w:spacing w:val="-5"/>
          <w:sz w:val="20"/>
        </w:rPr>
        <w:t> </w:t>
      </w:r>
      <w:r>
        <w:rPr>
          <w:spacing w:val="-2"/>
          <w:sz w:val="20"/>
        </w:rPr>
        <w:t>trate;</w:t>
      </w:r>
    </w:p>
    <w:p>
      <w:pPr>
        <w:pStyle w:val="BodyText"/>
      </w:pPr>
    </w:p>
    <w:p>
      <w:pPr>
        <w:pStyle w:val="ListParagraph"/>
        <w:numPr>
          <w:ilvl w:val="0"/>
          <w:numId w:val="107"/>
        </w:numPr>
        <w:tabs>
          <w:tab w:pos="544" w:val="left" w:leader="none"/>
        </w:tabs>
        <w:spacing w:line="240" w:lineRule="auto" w:before="1" w:after="0"/>
        <w:ind w:left="262" w:right="285" w:firstLine="0"/>
        <w:jc w:val="left"/>
        <w:rPr>
          <w:sz w:val="20"/>
        </w:rPr>
      </w:pPr>
      <w:r>
        <w:rPr>
          <w:sz w:val="20"/>
        </w:rPr>
        <w:t>El</w:t>
      </w:r>
      <w:r>
        <w:rPr>
          <w:spacing w:val="-7"/>
          <w:sz w:val="20"/>
        </w:rPr>
        <w:t> </w:t>
      </w:r>
      <w:r>
        <w:rPr>
          <w:sz w:val="20"/>
        </w:rPr>
        <w:t>alineamiento</w:t>
      </w:r>
      <w:r>
        <w:rPr>
          <w:spacing w:val="-9"/>
          <w:sz w:val="20"/>
        </w:rPr>
        <w:t> </w:t>
      </w:r>
      <w:r>
        <w:rPr>
          <w:sz w:val="20"/>
        </w:rPr>
        <w:t>respecto</w:t>
      </w:r>
      <w:r>
        <w:rPr>
          <w:spacing w:val="-7"/>
          <w:sz w:val="20"/>
        </w:rPr>
        <w:t> </w:t>
      </w:r>
      <w:r>
        <w:rPr>
          <w:sz w:val="20"/>
        </w:rPr>
        <w:t>a</w:t>
      </w:r>
      <w:r>
        <w:rPr>
          <w:spacing w:val="-9"/>
          <w:sz w:val="20"/>
        </w:rPr>
        <w:t> </w:t>
      </w:r>
      <w:r>
        <w:rPr>
          <w:sz w:val="20"/>
        </w:rPr>
        <w:t>las</w:t>
      </w:r>
      <w:r>
        <w:rPr>
          <w:spacing w:val="-8"/>
          <w:sz w:val="20"/>
        </w:rPr>
        <w:t> </w:t>
      </w:r>
      <w:r>
        <w:rPr>
          <w:sz w:val="20"/>
        </w:rPr>
        <w:t>vías</w:t>
      </w:r>
      <w:r>
        <w:rPr>
          <w:spacing w:val="-8"/>
          <w:sz w:val="20"/>
        </w:rPr>
        <w:t> </w:t>
      </w:r>
      <w:r>
        <w:rPr>
          <w:sz w:val="20"/>
        </w:rPr>
        <w:t>o</w:t>
      </w:r>
      <w:r>
        <w:rPr>
          <w:spacing w:val="-9"/>
          <w:sz w:val="20"/>
        </w:rPr>
        <w:t> </w:t>
      </w:r>
      <w:r>
        <w:rPr>
          <w:sz w:val="20"/>
        </w:rPr>
        <w:t>espacios</w:t>
      </w:r>
      <w:r>
        <w:rPr>
          <w:spacing w:val="-8"/>
          <w:sz w:val="20"/>
        </w:rPr>
        <w:t> </w:t>
      </w:r>
      <w:r>
        <w:rPr>
          <w:sz w:val="20"/>
        </w:rPr>
        <w:t>públicos</w:t>
      </w:r>
      <w:r>
        <w:rPr>
          <w:spacing w:val="-8"/>
          <w:sz w:val="20"/>
        </w:rPr>
        <w:t> </w:t>
      </w:r>
      <w:r>
        <w:rPr>
          <w:sz w:val="20"/>
        </w:rPr>
        <w:t>de</w:t>
      </w:r>
      <w:r>
        <w:rPr>
          <w:spacing w:val="-9"/>
          <w:sz w:val="20"/>
        </w:rPr>
        <w:t> </w:t>
      </w:r>
      <w:r>
        <w:rPr>
          <w:sz w:val="20"/>
        </w:rPr>
        <w:t>propiedad</w:t>
      </w:r>
      <w:r>
        <w:rPr>
          <w:spacing w:val="-9"/>
          <w:sz w:val="20"/>
        </w:rPr>
        <w:t> </w:t>
      </w:r>
      <w:r>
        <w:rPr>
          <w:sz w:val="20"/>
        </w:rPr>
        <w:t>federal,</w:t>
      </w:r>
      <w:r>
        <w:rPr>
          <w:spacing w:val="-9"/>
          <w:sz w:val="20"/>
        </w:rPr>
        <w:t> </w:t>
      </w:r>
      <w:r>
        <w:rPr>
          <w:sz w:val="20"/>
        </w:rPr>
        <w:t>estatal</w:t>
      </w:r>
      <w:r>
        <w:rPr>
          <w:spacing w:val="-10"/>
          <w:sz w:val="20"/>
        </w:rPr>
        <w:t> </w:t>
      </w:r>
      <w:r>
        <w:rPr>
          <w:sz w:val="20"/>
        </w:rPr>
        <w:t>o</w:t>
      </w:r>
      <w:r>
        <w:rPr>
          <w:spacing w:val="-7"/>
          <w:sz w:val="20"/>
        </w:rPr>
        <w:t> </w:t>
      </w:r>
      <w:r>
        <w:rPr>
          <w:sz w:val="20"/>
        </w:rPr>
        <w:t>municipal, de conformidad con la traza urbana;</w:t>
      </w:r>
    </w:p>
    <w:p>
      <w:pPr>
        <w:pStyle w:val="BodyText"/>
        <w:spacing w:before="1"/>
      </w:pPr>
    </w:p>
    <w:p>
      <w:pPr>
        <w:pStyle w:val="ListParagraph"/>
        <w:numPr>
          <w:ilvl w:val="0"/>
          <w:numId w:val="107"/>
        </w:numPr>
        <w:tabs>
          <w:tab w:pos="544" w:val="left" w:leader="none"/>
        </w:tabs>
        <w:spacing w:line="240" w:lineRule="auto" w:before="0" w:after="0"/>
        <w:ind w:left="262" w:right="287" w:firstLine="0"/>
        <w:jc w:val="left"/>
        <w:rPr>
          <w:sz w:val="20"/>
        </w:rPr>
      </w:pPr>
      <w:r>
        <w:rPr>
          <w:sz w:val="20"/>
        </w:rPr>
        <w:t>La</w:t>
      </w:r>
      <w:r>
        <w:rPr>
          <w:spacing w:val="-9"/>
          <w:sz w:val="20"/>
        </w:rPr>
        <w:t> </w:t>
      </w:r>
      <w:r>
        <w:rPr>
          <w:sz w:val="20"/>
        </w:rPr>
        <w:t>referencia,</w:t>
      </w:r>
      <w:r>
        <w:rPr>
          <w:spacing w:val="-9"/>
          <w:sz w:val="20"/>
        </w:rPr>
        <w:t> </w:t>
      </w:r>
      <w:r>
        <w:rPr>
          <w:sz w:val="20"/>
        </w:rPr>
        <w:t>liga</w:t>
      </w:r>
      <w:r>
        <w:rPr>
          <w:spacing w:val="-9"/>
          <w:sz w:val="20"/>
        </w:rPr>
        <w:t> </w:t>
      </w:r>
      <w:r>
        <w:rPr>
          <w:sz w:val="20"/>
        </w:rPr>
        <w:t>y</w:t>
      </w:r>
      <w:r>
        <w:rPr>
          <w:spacing w:val="-8"/>
          <w:sz w:val="20"/>
        </w:rPr>
        <w:t> </w:t>
      </w:r>
      <w:r>
        <w:rPr>
          <w:sz w:val="20"/>
        </w:rPr>
        <w:t>congruencia</w:t>
      </w:r>
      <w:r>
        <w:rPr>
          <w:spacing w:val="-7"/>
          <w:sz w:val="20"/>
        </w:rPr>
        <w:t> </w:t>
      </w:r>
      <w:r>
        <w:rPr>
          <w:sz w:val="20"/>
        </w:rPr>
        <w:t>de</w:t>
      </w:r>
      <w:r>
        <w:rPr>
          <w:spacing w:val="-7"/>
          <w:sz w:val="20"/>
        </w:rPr>
        <w:t> </w:t>
      </w:r>
      <w:r>
        <w:rPr>
          <w:sz w:val="20"/>
        </w:rPr>
        <w:t>las</w:t>
      </w:r>
      <w:r>
        <w:rPr>
          <w:spacing w:val="-8"/>
          <w:sz w:val="20"/>
        </w:rPr>
        <w:t> </w:t>
      </w:r>
      <w:r>
        <w:rPr>
          <w:sz w:val="20"/>
        </w:rPr>
        <w:t>áreas</w:t>
      </w:r>
      <w:r>
        <w:rPr>
          <w:spacing w:val="-8"/>
          <w:sz w:val="20"/>
        </w:rPr>
        <w:t> </w:t>
      </w:r>
      <w:r>
        <w:rPr>
          <w:sz w:val="20"/>
        </w:rPr>
        <w:t>y</w:t>
      </w:r>
      <w:r>
        <w:rPr>
          <w:spacing w:val="-8"/>
          <w:sz w:val="20"/>
        </w:rPr>
        <w:t> </w:t>
      </w:r>
      <w:r>
        <w:rPr>
          <w:sz w:val="20"/>
        </w:rPr>
        <w:t>vialidades</w:t>
      </w:r>
      <w:r>
        <w:rPr>
          <w:spacing w:val="-8"/>
          <w:sz w:val="20"/>
        </w:rPr>
        <w:t> </w:t>
      </w:r>
      <w:r>
        <w:rPr>
          <w:sz w:val="20"/>
        </w:rPr>
        <w:t>del</w:t>
      </w:r>
      <w:r>
        <w:rPr>
          <w:spacing w:val="-10"/>
          <w:sz w:val="20"/>
        </w:rPr>
        <w:t> </w:t>
      </w:r>
      <w:r>
        <w:rPr>
          <w:sz w:val="20"/>
        </w:rPr>
        <w:t>lote</w:t>
      </w:r>
      <w:r>
        <w:rPr>
          <w:spacing w:val="-7"/>
          <w:sz w:val="20"/>
        </w:rPr>
        <w:t> </w:t>
      </w:r>
      <w:r>
        <w:rPr>
          <w:sz w:val="20"/>
        </w:rPr>
        <w:t>o</w:t>
      </w:r>
      <w:r>
        <w:rPr>
          <w:spacing w:val="-9"/>
          <w:sz w:val="20"/>
        </w:rPr>
        <w:t> </w:t>
      </w:r>
      <w:r>
        <w:rPr>
          <w:sz w:val="20"/>
        </w:rPr>
        <w:t>predio</w:t>
      </w:r>
      <w:r>
        <w:rPr>
          <w:spacing w:val="-9"/>
          <w:sz w:val="20"/>
        </w:rPr>
        <w:t> </w:t>
      </w:r>
      <w:r>
        <w:rPr>
          <w:sz w:val="20"/>
        </w:rPr>
        <w:t>respecto</w:t>
      </w:r>
      <w:r>
        <w:rPr>
          <w:spacing w:val="-9"/>
          <w:sz w:val="20"/>
        </w:rPr>
        <w:t> </w:t>
      </w:r>
      <w:r>
        <w:rPr>
          <w:sz w:val="20"/>
        </w:rPr>
        <w:t>de</w:t>
      </w:r>
      <w:r>
        <w:rPr>
          <w:spacing w:val="-7"/>
          <w:sz w:val="20"/>
        </w:rPr>
        <w:t> </w:t>
      </w:r>
      <w:r>
        <w:rPr>
          <w:sz w:val="20"/>
        </w:rPr>
        <w:t>las</w:t>
      </w:r>
      <w:r>
        <w:rPr>
          <w:spacing w:val="-8"/>
          <w:sz w:val="20"/>
        </w:rPr>
        <w:t> </w:t>
      </w:r>
      <w:r>
        <w:rPr>
          <w:sz w:val="20"/>
        </w:rPr>
        <w:t>zonas urbanas, urbanizables y no urbanizables;</w:t>
      </w:r>
    </w:p>
    <w:p>
      <w:pPr>
        <w:pStyle w:val="ListParagraph"/>
        <w:numPr>
          <w:ilvl w:val="0"/>
          <w:numId w:val="107"/>
        </w:numPr>
        <w:tabs>
          <w:tab w:pos="688" w:val="left" w:leader="none"/>
        </w:tabs>
        <w:spacing w:line="240" w:lineRule="auto" w:before="229" w:after="0"/>
        <w:ind w:left="688" w:right="0" w:hanging="426"/>
        <w:jc w:val="left"/>
        <w:rPr>
          <w:sz w:val="20"/>
        </w:rPr>
      </w:pPr>
      <w:r>
        <w:rPr>
          <w:sz w:val="20"/>
        </w:rPr>
        <w:t>Banco</w:t>
      </w:r>
      <w:r>
        <w:rPr>
          <w:spacing w:val="-7"/>
          <w:sz w:val="20"/>
        </w:rPr>
        <w:t> </w:t>
      </w:r>
      <w:r>
        <w:rPr>
          <w:sz w:val="20"/>
        </w:rPr>
        <w:t>de</w:t>
      </w:r>
      <w:r>
        <w:rPr>
          <w:spacing w:val="-8"/>
          <w:sz w:val="20"/>
        </w:rPr>
        <w:t> </w:t>
      </w:r>
      <w:r>
        <w:rPr>
          <w:sz w:val="20"/>
        </w:rPr>
        <w:t>niveles</w:t>
      </w:r>
      <w:r>
        <w:rPr>
          <w:spacing w:val="-7"/>
          <w:sz w:val="20"/>
        </w:rPr>
        <w:t> </w:t>
      </w:r>
      <w:r>
        <w:rPr>
          <w:sz w:val="20"/>
        </w:rPr>
        <w:t>de</w:t>
      </w:r>
      <w:r>
        <w:rPr>
          <w:spacing w:val="-9"/>
          <w:sz w:val="20"/>
        </w:rPr>
        <w:t> </w:t>
      </w:r>
      <w:r>
        <w:rPr>
          <w:sz w:val="20"/>
        </w:rPr>
        <w:t>referencia</w:t>
      </w:r>
      <w:r>
        <w:rPr>
          <w:spacing w:val="-8"/>
          <w:sz w:val="20"/>
        </w:rPr>
        <w:t> </w:t>
      </w:r>
      <w:r>
        <w:rPr>
          <w:sz w:val="20"/>
        </w:rPr>
        <w:t>establecidos</w:t>
      </w:r>
      <w:r>
        <w:rPr>
          <w:spacing w:val="-7"/>
          <w:sz w:val="20"/>
        </w:rPr>
        <w:t> </w:t>
      </w:r>
      <w:r>
        <w:rPr>
          <w:sz w:val="20"/>
        </w:rPr>
        <w:t>por</w:t>
      </w:r>
      <w:r>
        <w:rPr>
          <w:spacing w:val="-6"/>
          <w:sz w:val="20"/>
        </w:rPr>
        <w:t> </w:t>
      </w:r>
      <w:r>
        <w:rPr>
          <w:sz w:val="20"/>
        </w:rPr>
        <w:t>la</w:t>
      </w:r>
      <w:r>
        <w:rPr>
          <w:spacing w:val="-9"/>
          <w:sz w:val="20"/>
        </w:rPr>
        <w:t> </w:t>
      </w:r>
      <w:r>
        <w:rPr>
          <w:sz w:val="20"/>
        </w:rPr>
        <w:t>Dirección</w:t>
      </w:r>
      <w:r>
        <w:rPr>
          <w:spacing w:val="-9"/>
          <w:sz w:val="20"/>
        </w:rPr>
        <w:t> </w:t>
      </w:r>
      <w:r>
        <w:rPr>
          <w:sz w:val="20"/>
        </w:rPr>
        <w:t>municipal</w:t>
      </w:r>
      <w:r>
        <w:rPr>
          <w:spacing w:val="-9"/>
          <w:sz w:val="20"/>
        </w:rPr>
        <w:t> </w:t>
      </w:r>
      <w:r>
        <w:rPr>
          <w:spacing w:val="-2"/>
          <w:sz w:val="20"/>
        </w:rPr>
        <w:t>correspondiente;</w:t>
      </w:r>
    </w:p>
    <w:p>
      <w:pPr>
        <w:pStyle w:val="BodyText"/>
        <w:spacing w:before="1"/>
      </w:pPr>
    </w:p>
    <w:p>
      <w:pPr>
        <w:pStyle w:val="ListParagraph"/>
        <w:numPr>
          <w:ilvl w:val="0"/>
          <w:numId w:val="107"/>
        </w:numPr>
        <w:tabs>
          <w:tab w:pos="688" w:val="left" w:leader="none"/>
        </w:tabs>
        <w:spacing w:line="240" w:lineRule="auto" w:before="0" w:after="0"/>
        <w:ind w:left="262" w:right="286" w:firstLine="0"/>
        <w:jc w:val="both"/>
        <w:rPr>
          <w:sz w:val="20"/>
        </w:rPr>
      </w:pPr>
      <w:r>
        <w:rPr>
          <w:sz w:val="20"/>
        </w:rPr>
        <w:t>La asignación de usos o destinos permitidos, compatibles, prohibidos o condicionados, de acuerdo</w:t>
      </w:r>
      <w:r>
        <w:rPr>
          <w:spacing w:val="-14"/>
          <w:sz w:val="20"/>
        </w:rPr>
        <w:t> </w:t>
      </w:r>
      <w:r>
        <w:rPr>
          <w:sz w:val="20"/>
        </w:rPr>
        <w:t>con</w:t>
      </w:r>
      <w:r>
        <w:rPr>
          <w:spacing w:val="-11"/>
          <w:sz w:val="20"/>
        </w:rPr>
        <w:t> </w:t>
      </w:r>
      <w:r>
        <w:rPr>
          <w:sz w:val="20"/>
        </w:rPr>
        <w:t>lo</w:t>
      </w:r>
      <w:r>
        <w:rPr>
          <w:spacing w:val="-14"/>
          <w:sz w:val="20"/>
        </w:rPr>
        <w:t> </w:t>
      </w:r>
      <w:r>
        <w:rPr>
          <w:sz w:val="20"/>
        </w:rPr>
        <w:t>previsto</w:t>
      </w:r>
      <w:r>
        <w:rPr>
          <w:spacing w:val="-14"/>
          <w:sz w:val="20"/>
        </w:rPr>
        <w:t> </w:t>
      </w:r>
      <w:r>
        <w:rPr>
          <w:sz w:val="20"/>
        </w:rPr>
        <w:t>en</w:t>
      </w:r>
      <w:r>
        <w:rPr>
          <w:spacing w:val="-11"/>
          <w:sz w:val="20"/>
        </w:rPr>
        <w:t> </w:t>
      </w:r>
      <w:r>
        <w:rPr>
          <w:sz w:val="20"/>
        </w:rPr>
        <w:t>los</w:t>
      </w:r>
      <w:r>
        <w:rPr>
          <w:spacing w:val="-13"/>
          <w:sz w:val="20"/>
        </w:rPr>
        <w:t> </w:t>
      </w:r>
      <w:r>
        <w:rPr>
          <w:sz w:val="20"/>
        </w:rPr>
        <w:t>programas</w:t>
      </w:r>
      <w:r>
        <w:rPr>
          <w:spacing w:val="-12"/>
          <w:sz w:val="20"/>
        </w:rPr>
        <w:t> </w:t>
      </w:r>
      <w:r>
        <w:rPr>
          <w:sz w:val="20"/>
        </w:rPr>
        <w:t>de</w:t>
      </w:r>
      <w:r>
        <w:rPr>
          <w:spacing w:val="-14"/>
          <w:sz w:val="20"/>
        </w:rPr>
        <w:t> </w:t>
      </w:r>
      <w:r>
        <w:rPr>
          <w:sz w:val="20"/>
        </w:rPr>
        <w:t>ordenamiento</w:t>
      </w:r>
      <w:r>
        <w:rPr>
          <w:spacing w:val="-12"/>
          <w:sz w:val="20"/>
        </w:rPr>
        <w:t> </w:t>
      </w:r>
      <w:r>
        <w:rPr>
          <w:sz w:val="20"/>
        </w:rPr>
        <w:t>del</w:t>
      </w:r>
      <w:r>
        <w:rPr>
          <w:spacing w:val="-14"/>
          <w:sz w:val="20"/>
        </w:rPr>
        <w:t> </w:t>
      </w:r>
      <w:r>
        <w:rPr>
          <w:sz w:val="20"/>
        </w:rPr>
        <w:t>territorial</w:t>
      </w:r>
      <w:r>
        <w:rPr>
          <w:spacing w:val="-14"/>
          <w:sz w:val="20"/>
        </w:rPr>
        <w:t> </w:t>
      </w:r>
      <w:r>
        <w:rPr>
          <w:sz w:val="20"/>
        </w:rPr>
        <w:t>y</w:t>
      </w:r>
      <w:r>
        <w:rPr>
          <w:spacing w:val="-10"/>
          <w:sz w:val="20"/>
        </w:rPr>
        <w:t> </w:t>
      </w:r>
      <w:r>
        <w:rPr>
          <w:sz w:val="20"/>
        </w:rPr>
        <w:t>desarrollo</w:t>
      </w:r>
      <w:r>
        <w:rPr>
          <w:spacing w:val="-14"/>
          <w:sz w:val="20"/>
        </w:rPr>
        <w:t> </w:t>
      </w:r>
      <w:r>
        <w:rPr>
          <w:sz w:val="20"/>
        </w:rPr>
        <w:t>urbano</w:t>
      </w:r>
      <w:r>
        <w:rPr>
          <w:spacing w:val="-14"/>
          <w:sz w:val="20"/>
        </w:rPr>
        <w:t> </w:t>
      </w:r>
      <w:r>
        <w:rPr>
          <w:sz w:val="20"/>
        </w:rPr>
        <w:t>y</w:t>
      </w:r>
      <w:r>
        <w:rPr>
          <w:spacing w:val="-12"/>
          <w:sz w:val="20"/>
        </w:rPr>
        <w:t> </w:t>
      </w:r>
      <w:r>
        <w:rPr>
          <w:sz w:val="20"/>
        </w:rPr>
        <w:t>demás disposiciones jurídicas aplicables;</w:t>
      </w:r>
    </w:p>
    <w:p>
      <w:pPr>
        <w:pStyle w:val="ListParagraph"/>
        <w:numPr>
          <w:ilvl w:val="0"/>
          <w:numId w:val="107"/>
        </w:numPr>
        <w:tabs>
          <w:tab w:pos="688" w:val="left" w:leader="none"/>
        </w:tabs>
        <w:spacing w:line="240" w:lineRule="auto" w:before="229" w:after="0"/>
        <w:ind w:left="262" w:right="287" w:firstLine="0"/>
        <w:jc w:val="both"/>
        <w:rPr>
          <w:sz w:val="20"/>
        </w:rPr>
      </w:pPr>
      <w:r>
        <w:rPr>
          <w:sz w:val="20"/>
        </w:rPr>
        <w:t>Las densidades de población, construcción, ocupación del suelo y en su caso la densidad de </w:t>
      </w:r>
      <w:r>
        <w:rPr>
          <w:spacing w:val="-2"/>
          <w:sz w:val="20"/>
        </w:rPr>
        <w:t>vivienda;</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07"/>
        </w:numPr>
        <w:tabs>
          <w:tab w:pos="688" w:val="left" w:leader="none"/>
        </w:tabs>
        <w:spacing w:line="240" w:lineRule="auto" w:before="0" w:after="0"/>
        <w:ind w:left="262" w:right="278" w:firstLine="0"/>
        <w:jc w:val="both"/>
        <w:rPr>
          <w:sz w:val="20"/>
        </w:rPr>
      </w:pPr>
      <w:r>
        <w:rPr>
          <w:sz w:val="20"/>
        </w:rPr>
        <w:t>Las medidas y acciones para ordenar, regular o mitigar, el impacto urbano, vial y de imagen urbana, de las acciones, obras y servicios;</w:t>
      </w:r>
    </w:p>
    <w:p>
      <w:pPr>
        <w:pStyle w:val="BodyText"/>
        <w:spacing w:before="1"/>
      </w:pPr>
    </w:p>
    <w:p>
      <w:pPr>
        <w:pStyle w:val="ListParagraph"/>
        <w:numPr>
          <w:ilvl w:val="0"/>
          <w:numId w:val="107"/>
        </w:numPr>
        <w:tabs>
          <w:tab w:pos="688" w:val="left" w:leader="none"/>
        </w:tabs>
        <w:spacing w:line="240" w:lineRule="auto" w:before="1" w:after="0"/>
        <w:ind w:left="262" w:right="276" w:firstLine="0"/>
        <w:jc w:val="both"/>
        <w:rPr>
          <w:sz w:val="20"/>
        </w:rPr>
      </w:pPr>
      <w:r>
        <w:rPr>
          <w:sz w:val="20"/>
        </w:rPr>
        <w:t>Las previsiones de protección civil, basadas en el reglamento municipal de la materia y en el Dictamen de Análisis de Riesgo respectivo;</w:t>
      </w:r>
    </w:p>
    <w:p>
      <w:pPr>
        <w:pStyle w:val="ListParagraph"/>
        <w:numPr>
          <w:ilvl w:val="0"/>
          <w:numId w:val="107"/>
        </w:numPr>
        <w:tabs>
          <w:tab w:pos="688" w:val="left" w:leader="none"/>
        </w:tabs>
        <w:spacing w:line="240" w:lineRule="auto" w:before="228" w:after="0"/>
        <w:ind w:left="262" w:right="288" w:firstLine="0"/>
        <w:jc w:val="both"/>
        <w:rPr>
          <w:sz w:val="20"/>
        </w:rPr>
      </w:pPr>
      <w:r>
        <w:rPr>
          <w:sz w:val="20"/>
        </w:rPr>
        <w:t>Las</w:t>
      </w:r>
      <w:r>
        <w:rPr>
          <w:spacing w:val="-2"/>
          <w:sz w:val="20"/>
        </w:rPr>
        <w:t> </w:t>
      </w:r>
      <w:r>
        <w:rPr>
          <w:sz w:val="20"/>
        </w:rPr>
        <w:t>restricciones</w:t>
      </w:r>
      <w:r>
        <w:rPr>
          <w:spacing w:val="-2"/>
          <w:sz w:val="20"/>
        </w:rPr>
        <w:t> </w:t>
      </w:r>
      <w:r>
        <w:rPr>
          <w:sz w:val="20"/>
        </w:rPr>
        <w:t>de</w:t>
      </w:r>
      <w:r>
        <w:rPr>
          <w:spacing w:val="-3"/>
          <w:sz w:val="20"/>
        </w:rPr>
        <w:t> </w:t>
      </w:r>
      <w:r>
        <w:rPr>
          <w:sz w:val="20"/>
        </w:rPr>
        <w:t>urbanización</w:t>
      </w:r>
      <w:r>
        <w:rPr>
          <w:spacing w:val="-4"/>
          <w:sz w:val="20"/>
        </w:rPr>
        <w:t> </w:t>
      </w:r>
      <w:r>
        <w:rPr>
          <w:sz w:val="20"/>
        </w:rPr>
        <w:t>y</w:t>
      </w:r>
      <w:r>
        <w:rPr>
          <w:spacing w:val="-2"/>
          <w:sz w:val="20"/>
        </w:rPr>
        <w:t> </w:t>
      </w:r>
      <w:r>
        <w:rPr>
          <w:sz w:val="20"/>
        </w:rPr>
        <w:t>construcción</w:t>
      </w:r>
      <w:r>
        <w:rPr>
          <w:spacing w:val="-4"/>
          <w:sz w:val="20"/>
        </w:rPr>
        <w:t> </w:t>
      </w:r>
      <w:r>
        <w:rPr>
          <w:sz w:val="20"/>
        </w:rPr>
        <w:t>que</w:t>
      </w:r>
      <w:r>
        <w:rPr>
          <w:spacing w:val="-1"/>
          <w:sz w:val="20"/>
        </w:rPr>
        <w:t> </w:t>
      </w:r>
      <w:r>
        <w:rPr>
          <w:sz w:val="20"/>
        </w:rPr>
        <w:t>correspondan</w:t>
      </w:r>
      <w:r>
        <w:rPr>
          <w:spacing w:val="-3"/>
          <w:sz w:val="20"/>
        </w:rPr>
        <w:t> </w:t>
      </w:r>
      <w:r>
        <w:rPr>
          <w:sz w:val="20"/>
        </w:rPr>
        <w:t>de</w:t>
      </w:r>
      <w:r>
        <w:rPr>
          <w:spacing w:val="-4"/>
          <w:sz w:val="20"/>
        </w:rPr>
        <w:t> </w:t>
      </w:r>
      <w:r>
        <w:rPr>
          <w:sz w:val="20"/>
        </w:rPr>
        <w:t>conformidad</w:t>
      </w:r>
      <w:r>
        <w:rPr>
          <w:spacing w:val="-4"/>
          <w:sz w:val="20"/>
        </w:rPr>
        <w:t> </w:t>
      </w:r>
      <w:r>
        <w:rPr>
          <w:sz w:val="20"/>
        </w:rPr>
        <w:t>con</w:t>
      </w:r>
      <w:r>
        <w:rPr>
          <w:spacing w:val="-4"/>
          <w:sz w:val="20"/>
        </w:rPr>
        <w:t> </w:t>
      </w:r>
      <w:r>
        <w:rPr>
          <w:sz w:val="20"/>
        </w:rPr>
        <w:t>el</w:t>
      </w:r>
      <w:r>
        <w:rPr>
          <w:spacing w:val="-4"/>
          <w:sz w:val="20"/>
        </w:rPr>
        <w:t> </w:t>
      </w:r>
      <w:r>
        <w:rPr>
          <w:sz w:val="20"/>
        </w:rPr>
        <w:t>tipo de fraccionamiento, condominio, desarrollo inmobiliario especial,</w:t>
      </w:r>
      <w:r>
        <w:rPr>
          <w:spacing w:val="40"/>
          <w:sz w:val="20"/>
        </w:rPr>
        <w:t> </w:t>
      </w:r>
      <w:r>
        <w:rPr>
          <w:sz w:val="20"/>
        </w:rPr>
        <w:t>barrio, colonia o zona;</w:t>
      </w:r>
    </w:p>
    <w:p>
      <w:pPr>
        <w:pStyle w:val="BodyText"/>
        <w:spacing w:before="2"/>
      </w:pPr>
    </w:p>
    <w:p>
      <w:pPr>
        <w:pStyle w:val="ListParagraph"/>
        <w:numPr>
          <w:ilvl w:val="0"/>
          <w:numId w:val="107"/>
        </w:numPr>
        <w:tabs>
          <w:tab w:pos="827" w:val="left" w:leader="none"/>
        </w:tabs>
        <w:spacing w:line="240" w:lineRule="auto" w:before="0" w:after="0"/>
        <w:ind w:left="827" w:right="0" w:hanging="565"/>
        <w:jc w:val="both"/>
        <w:rPr>
          <w:sz w:val="20"/>
        </w:rPr>
      </w:pPr>
      <w:r>
        <w:rPr>
          <w:sz w:val="20"/>
        </w:rPr>
        <w:t>La</w:t>
      </w:r>
      <w:r>
        <w:rPr>
          <w:spacing w:val="-9"/>
          <w:sz w:val="20"/>
        </w:rPr>
        <w:t> </w:t>
      </w:r>
      <w:r>
        <w:rPr>
          <w:sz w:val="20"/>
        </w:rPr>
        <w:t>valoración</w:t>
      </w:r>
      <w:r>
        <w:rPr>
          <w:spacing w:val="-7"/>
          <w:sz w:val="20"/>
        </w:rPr>
        <w:t> </w:t>
      </w:r>
      <w:r>
        <w:rPr>
          <w:sz w:val="20"/>
        </w:rPr>
        <w:t>de</w:t>
      </w:r>
      <w:r>
        <w:rPr>
          <w:spacing w:val="-7"/>
          <w:sz w:val="20"/>
        </w:rPr>
        <w:t> </w:t>
      </w:r>
      <w:r>
        <w:rPr>
          <w:sz w:val="20"/>
        </w:rPr>
        <w:t>inmuebles</w:t>
      </w:r>
      <w:r>
        <w:rPr>
          <w:spacing w:val="-5"/>
          <w:sz w:val="20"/>
        </w:rPr>
        <w:t> </w:t>
      </w:r>
      <w:r>
        <w:rPr>
          <w:sz w:val="20"/>
        </w:rPr>
        <w:t>del</w:t>
      </w:r>
      <w:r>
        <w:rPr>
          <w:spacing w:val="-7"/>
          <w:sz w:val="20"/>
        </w:rPr>
        <w:t> </w:t>
      </w:r>
      <w:r>
        <w:rPr>
          <w:sz w:val="20"/>
        </w:rPr>
        <w:t>patrimonio</w:t>
      </w:r>
      <w:r>
        <w:rPr>
          <w:spacing w:val="-7"/>
          <w:sz w:val="20"/>
        </w:rPr>
        <w:t> </w:t>
      </w:r>
      <w:r>
        <w:rPr>
          <w:sz w:val="20"/>
        </w:rPr>
        <w:t>natural</w:t>
      </w:r>
      <w:r>
        <w:rPr>
          <w:spacing w:val="-8"/>
          <w:sz w:val="20"/>
        </w:rPr>
        <w:t> </w:t>
      </w:r>
      <w:r>
        <w:rPr>
          <w:sz w:val="20"/>
        </w:rPr>
        <w:t>y</w:t>
      </w:r>
      <w:r>
        <w:rPr>
          <w:spacing w:val="-7"/>
          <w:sz w:val="20"/>
        </w:rPr>
        <w:t> </w:t>
      </w:r>
      <w:r>
        <w:rPr>
          <w:sz w:val="20"/>
        </w:rPr>
        <w:t>cultural,</w:t>
      </w:r>
      <w:r>
        <w:rPr>
          <w:spacing w:val="-5"/>
          <w:sz w:val="20"/>
        </w:rPr>
        <w:t> </w:t>
      </w:r>
      <w:r>
        <w:rPr>
          <w:sz w:val="20"/>
        </w:rPr>
        <w:t>en</w:t>
      </w:r>
      <w:r>
        <w:rPr>
          <w:spacing w:val="-8"/>
          <w:sz w:val="20"/>
        </w:rPr>
        <w:t> </w:t>
      </w:r>
      <w:r>
        <w:rPr>
          <w:sz w:val="20"/>
        </w:rPr>
        <w:t>su</w:t>
      </w:r>
      <w:r>
        <w:rPr>
          <w:spacing w:val="-8"/>
          <w:sz w:val="20"/>
        </w:rPr>
        <w:t> </w:t>
      </w:r>
      <w:r>
        <w:rPr>
          <w:spacing w:val="-2"/>
          <w:sz w:val="20"/>
        </w:rPr>
        <w:t>caso;</w:t>
      </w:r>
    </w:p>
    <w:p>
      <w:pPr>
        <w:pStyle w:val="ListParagraph"/>
        <w:numPr>
          <w:ilvl w:val="0"/>
          <w:numId w:val="107"/>
        </w:numPr>
        <w:tabs>
          <w:tab w:pos="828" w:val="left" w:leader="none"/>
        </w:tabs>
        <w:spacing w:line="240" w:lineRule="auto" w:before="229" w:after="0"/>
        <w:ind w:left="262" w:right="288" w:firstLine="0"/>
        <w:jc w:val="both"/>
        <w:rPr>
          <w:sz w:val="20"/>
        </w:rPr>
      </w:pPr>
      <w:r>
        <w:rPr>
          <w:sz w:val="20"/>
        </w:rPr>
        <w:t>Las afectaciones o restricciones por proyectos de obras en materia de infraestructura, equipamiento y servicios urbanos, y</w:t>
      </w:r>
    </w:p>
    <w:p>
      <w:pPr>
        <w:pStyle w:val="BodyText"/>
        <w:spacing w:before="1"/>
      </w:pPr>
    </w:p>
    <w:p>
      <w:pPr>
        <w:pStyle w:val="ListParagraph"/>
        <w:numPr>
          <w:ilvl w:val="0"/>
          <w:numId w:val="107"/>
        </w:numPr>
        <w:tabs>
          <w:tab w:pos="688" w:val="left" w:leader="none"/>
        </w:tabs>
        <w:spacing w:line="240" w:lineRule="auto" w:before="0" w:after="0"/>
        <w:ind w:left="262" w:right="284" w:firstLine="0"/>
        <w:jc w:val="both"/>
        <w:rPr>
          <w:sz w:val="20"/>
        </w:rPr>
      </w:pPr>
      <w:r>
        <w:rPr>
          <w:sz w:val="20"/>
        </w:rPr>
        <w:t>Los demás datos, elementos, criterios o lineamientos que se deriven de la legislación, programas de desarrollo urbano y ordenamiento del territorio y otras disposiciones jurídicas </w:t>
      </w:r>
      <w:r>
        <w:rPr>
          <w:spacing w:val="-2"/>
          <w:sz w:val="20"/>
        </w:rPr>
        <w:t>aplicables.</w:t>
      </w:r>
    </w:p>
    <w:p>
      <w:pPr>
        <w:pStyle w:val="BodyText"/>
        <w:spacing w:before="229"/>
        <w:ind w:left="262" w:right="282"/>
        <w:jc w:val="both"/>
      </w:pPr>
      <w:r>
        <w:rPr>
          <w:rFonts w:ascii="Arial" w:hAnsi="Arial"/>
          <w:b/>
        </w:rPr>
        <w:t>ARTÍCULO</w:t>
      </w:r>
      <w:r>
        <w:rPr>
          <w:rFonts w:ascii="Arial" w:hAnsi="Arial"/>
          <w:b/>
          <w:spacing w:val="-3"/>
        </w:rPr>
        <w:t> </w:t>
      </w:r>
      <w:r>
        <w:rPr>
          <w:rFonts w:ascii="Arial" w:hAnsi="Arial"/>
          <w:b/>
        </w:rPr>
        <w:t>297.</w:t>
      </w:r>
      <w:r>
        <w:rPr>
          <w:rFonts w:ascii="Arial" w:hAnsi="Arial"/>
          <w:b/>
          <w:spacing w:val="-2"/>
        </w:rPr>
        <w:t> </w:t>
      </w:r>
      <w:r>
        <w:rPr/>
        <w:t>La</w:t>
      </w:r>
      <w:r>
        <w:rPr>
          <w:spacing w:val="-3"/>
        </w:rPr>
        <w:t> </w:t>
      </w:r>
      <w:r>
        <w:rPr/>
        <w:t>licencia</w:t>
      </w:r>
      <w:r>
        <w:rPr>
          <w:spacing w:val="-4"/>
        </w:rPr>
        <w:t> </w:t>
      </w:r>
      <w:r>
        <w:rPr/>
        <w:t>de</w:t>
      </w:r>
      <w:r>
        <w:rPr>
          <w:spacing w:val="-2"/>
        </w:rPr>
        <w:t> </w:t>
      </w:r>
      <w:r>
        <w:rPr/>
        <w:t>uso</w:t>
      </w:r>
      <w:r>
        <w:rPr>
          <w:spacing w:val="-4"/>
        </w:rPr>
        <w:t> </w:t>
      </w:r>
      <w:r>
        <w:rPr/>
        <w:t>de</w:t>
      </w:r>
      <w:r>
        <w:rPr>
          <w:spacing w:val="-4"/>
        </w:rPr>
        <w:t> </w:t>
      </w:r>
      <w:r>
        <w:rPr/>
        <w:t>suelo,</w:t>
      </w:r>
      <w:r>
        <w:rPr>
          <w:spacing w:val="-2"/>
        </w:rPr>
        <w:t> </w:t>
      </w:r>
      <w:r>
        <w:rPr/>
        <w:t>con</w:t>
      </w:r>
      <w:r>
        <w:rPr>
          <w:spacing w:val="-3"/>
        </w:rPr>
        <w:t> </w:t>
      </w:r>
      <w:r>
        <w:rPr/>
        <w:t>base</w:t>
      </w:r>
      <w:r>
        <w:rPr>
          <w:spacing w:val="-4"/>
        </w:rPr>
        <w:t> </w:t>
      </w:r>
      <w:r>
        <w:rPr/>
        <w:t>en</w:t>
      </w:r>
      <w:r>
        <w:rPr>
          <w:spacing w:val="-2"/>
        </w:rPr>
        <w:t> </w:t>
      </w:r>
      <w:r>
        <w:rPr/>
        <w:t>la</w:t>
      </w:r>
      <w:r>
        <w:rPr>
          <w:spacing w:val="-2"/>
        </w:rPr>
        <w:t> </w:t>
      </w:r>
      <w:r>
        <w:rPr/>
        <w:t>zonificación</w:t>
      </w:r>
      <w:r>
        <w:rPr>
          <w:spacing w:val="-3"/>
        </w:rPr>
        <w:t> </w:t>
      </w:r>
      <w:r>
        <w:rPr/>
        <w:t>prevista</w:t>
      </w:r>
      <w:r>
        <w:rPr>
          <w:spacing w:val="-4"/>
        </w:rPr>
        <w:t> </w:t>
      </w:r>
      <w:r>
        <w:rPr/>
        <w:t>en</w:t>
      </w:r>
      <w:r>
        <w:rPr>
          <w:spacing w:val="-2"/>
        </w:rPr>
        <w:t> </w:t>
      </w:r>
      <w:r>
        <w:rPr/>
        <w:t>los</w:t>
      </w:r>
      <w:r>
        <w:rPr>
          <w:spacing w:val="-1"/>
        </w:rPr>
        <w:t> </w:t>
      </w:r>
      <w:r>
        <w:rPr/>
        <w:t>programas </w:t>
      </w:r>
      <w:r>
        <w:rPr>
          <w:spacing w:val="-2"/>
        </w:rPr>
        <w:t>de</w:t>
      </w:r>
      <w:r>
        <w:rPr>
          <w:spacing w:val="-6"/>
        </w:rPr>
        <w:t> </w:t>
      </w:r>
      <w:r>
        <w:rPr>
          <w:spacing w:val="-2"/>
        </w:rPr>
        <w:t>ordenamiento</w:t>
      </w:r>
      <w:r>
        <w:rPr>
          <w:spacing w:val="-6"/>
        </w:rPr>
        <w:t> </w:t>
      </w:r>
      <w:r>
        <w:rPr>
          <w:spacing w:val="-2"/>
        </w:rPr>
        <w:t>del</w:t>
      </w:r>
      <w:r>
        <w:rPr>
          <w:spacing w:val="-6"/>
        </w:rPr>
        <w:t> </w:t>
      </w:r>
      <w:r>
        <w:rPr>
          <w:spacing w:val="-2"/>
        </w:rPr>
        <w:t>territorial</w:t>
      </w:r>
      <w:r>
        <w:rPr>
          <w:spacing w:val="-6"/>
        </w:rPr>
        <w:t> </w:t>
      </w:r>
      <w:r>
        <w:rPr>
          <w:spacing w:val="-2"/>
        </w:rPr>
        <w:t>y</w:t>
      </w:r>
      <w:r>
        <w:rPr>
          <w:spacing w:val="-4"/>
        </w:rPr>
        <w:t> </w:t>
      </w:r>
      <w:r>
        <w:rPr>
          <w:spacing w:val="-2"/>
        </w:rPr>
        <w:t>desarrollo</w:t>
      </w:r>
      <w:r>
        <w:rPr>
          <w:spacing w:val="-5"/>
        </w:rPr>
        <w:t> </w:t>
      </w:r>
      <w:r>
        <w:rPr>
          <w:spacing w:val="-2"/>
        </w:rPr>
        <w:t>urbano, en</w:t>
      </w:r>
      <w:r>
        <w:rPr>
          <w:spacing w:val="-6"/>
        </w:rPr>
        <w:t> </w:t>
      </w:r>
      <w:r>
        <w:rPr>
          <w:spacing w:val="-2"/>
        </w:rPr>
        <w:t>las</w:t>
      </w:r>
      <w:r>
        <w:rPr>
          <w:spacing w:val="-4"/>
        </w:rPr>
        <w:t> </w:t>
      </w:r>
      <w:r>
        <w:rPr>
          <w:spacing w:val="-2"/>
        </w:rPr>
        <w:t>Tablas</w:t>
      </w:r>
      <w:r>
        <w:rPr>
          <w:spacing w:val="-4"/>
        </w:rPr>
        <w:t> </w:t>
      </w:r>
      <w:r>
        <w:rPr>
          <w:spacing w:val="-2"/>
        </w:rPr>
        <w:t>de</w:t>
      </w:r>
      <w:r>
        <w:rPr>
          <w:spacing w:val="-6"/>
        </w:rPr>
        <w:t> </w:t>
      </w:r>
      <w:r>
        <w:rPr>
          <w:spacing w:val="-2"/>
        </w:rPr>
        <w:t>Compatibilidad</w:t>
      </w:r>
      <w:r>
        <w:rPr>
          <w:spacing w:val="-5"/>
        </w:rPr>
        <w:t> </w:t>
      </w:r>
      <w:r>
        <w:rPr>
          <w:spacing w:val="-2"/>
        </w:rPr>
        <w:t>de</w:t>
      </w:r>
      <w:r>
        <w:rPr>
          <w:spacing w:val="-6"/>
        </w:rPr>
        <w:t> </w:t>
      </w:r>
      <w:r>
        <w:rPr>
          <w:spacing w:val="-2"/>
        </w:rPr>
        <w:t>Usos</w:t>
      </w:r>
      <w:r>
        <w:rPr>
          <w:spacing w:val="-4"/>
        </w:rPr>
        <w:t> </w:t>
      </w:r>
      <w:r>
        <w:rPr>
          <w:spacing w:val="-2"/>
        </w:rPr>
        <w:t>de</w:t>
      </w:r>
      <w:r>
        <w:rPr>
          <w:spacing w:val="-6"/>
        </w:rPr>
        <w:t> </w:t>
      </w:r>
      <w:r>
        <w:rPr>
          <w:spacing w:val="-2"/>
        </w:rPr>
        <w:t>Suelo </w:t>
      </w:r>
      <w:r>
        <w:rPr/>
        <w:t>y</w:t>
      </w:r>
      <w:r>
        <w:rPr>
          <w:spacing w:val="-3"/>
        </w:rPr>
        <w:t> </w:t>
      </w:r>
      <w:r>
        <w:rPr/>
        <w:t>en</w:t>
      </w:r>
      <w:r>
        <w:rPr>
          <w:spacing w:val="-5"/>
        </w:rPr>
        <w:t> </w:t>
      </w:r>
      <w:r>
        <w:rPr/>
        <w:t>la</w:t>
      </w:r>
      <w:r>
        <w:rPr>
          <w:spacing w:val="-4"/>
        </w:rPr>
        <w:t> </w:t>
      </w:r>
      <w:r>
        <w:rPr/>
        <w:t>normatividad</w:t>
      </w:r>
      <w:r>
        <w:rPr>
          <w:spacing w:val="-5"/>
        </w:rPr>
        <w:t> </w:t>
      </w:r>
      <w:r>
        <w:rPr/>
        <w:t>urbana</w:t>
      </w:r>
      <w:r>
        <w:rPr>
          <w:spacing w:val="-4"/>
        </w:rPr>
        <w:t> </w:t>
      </w:r>
      <w:r>
        <w:rPr/>
        <w:t>correspondiente,</w:t>
      </w:r>
      <w:r>
        <w:rPr>
          <w:spacing w:val="-2"/>
        </w:rPr>
        <w:t> </w:t>
      </w:r>
      <w:r>
        <w:rPr/>
        <w:t>señalará</w:t>
      </w:r>
      <w:r>
        <w:rPr>
          <w:spacing w:val="-4"/>
        </w:rPr>
        <w:t> </w:t>
      </w:r>
      <w:r>
        <w:rPr/>
        <w:t>los</w:t>
      </w:r>
      <w:r>
        <w:rPr>
          <w:spacing w:val="-3"/>
        </w:rPr>
        <w:t> </w:t>
      </w:r>
      <w:r>
        <w:rPr/>
        <w:t>usos</w:t>
      </w:r>
      <w:r>
        <w:rPr>
          <w:spacing w:val="-3"/>
        </w:rPr>
        <w:t> </w:t>
      </w:r>
      <w:r>
        <w:rPr/>
        <w:t>o</w:t>
      </w:r>
      <w:r>
        <w:rPr>
          <w:spacing w:val="-5"/>
        </w:rPr>
        <w:t> </w:t>
      </w:r>
      <w:r>
        <w:rPr/>
        <w:t>destinos</w:t>
      </w:r>
      <w:r>
        <w:rPr>
          <w:spacing w:val="-3"/>
        </w:rPr>
        <w:t> </w:t>
      </w:r>
      <w:r>
        <w:rPr/>
        <w:t>de</w:t>
      </w:r>
      <w:r>
        <w:rPr>
          <w:spacing w:val="-5"/>
        </w:rPr>
        <w:t> </w:t>
      </w:r>
      <w:r>
        <w:rPr/>
        <w:t>áreas,</w:t>
      </w:r>
      <w:r>
        <w:rPr>
          <w:spacing w:val="-4"/>
        </w:rPr>
        <w:t> </w:t>
      </w:r>
      <w:r>
        <w:rPr/>
        <w:t>lotes</w:t>
      </w:r>
      <w:r>
        <w:rPr>
          <w:spacing w:val="-3"/>
        </w:rPr>
        <w:t> </w:t>
      </w:r>
      <w:r>
        <w:rPr/>
        <w:t>y</w:t>
      </w:r>
      <w:r>
        <w:rPr>
          <w:spacing w:val="-3"/>
        </w:rPr>
        <w:t> </w:t>
      </w:r>
      <w:r>
        <w:rPr/>
        <w:t>predios permitidos, condicionados o prohibidos.</w:t>
      </w:r>
    </w:p>
    <w:p>
      <w:pPr>
        <w:pStyle w:val="BodyText"/>
      </w:pPr>
    </w:p>
    <w:p>
      <w:pPr>
        <w:pStyle w:val="BodyText"/>
        <w:spacing w:before="1"/>
      </w:pPr>
    </w:p>
    <w:p>
      <w:pPr>
        <w:pStyle w:val="Heading2"/>
        <w:spacing w:line="480" w:lineRule="auto"/>
        <w:ind w:left="3927" w:right="3943"/>
      </w:pPr>
      <w:r>
        <w:rPr/>
        <w:t>Sección</w:t>
      </w:r>
      <w:r>
        <w:rPr>
          <w:spacing w:val="-14"/>
        </w:rPr>
        <w:t> </w:t>
      </w:r>
      <w:r>
        <w:rPr/>
        <w:t>Octava </w:t>
      </w:r>
      <w:r>
        <w:rPr>
          <w:spacing w:val="-2"/>
        </w:rPr>
        <w:t>Procedimiento</w:t>
      </w:r>
    </w:p>
    <w:p>
      <w:pPr>
        <w:pStyle w:val="BodyText"/>
        <w:ind w:left="262" w:right="278"/>
        <w:jc w:val="both"/>
      </w:pPr>
      <w:r>
        <w:rPr>
          <w:rFonts w:ascii="Arial" w:hAnsi="Arial"/>
          <w:b/>
        </w:rPr>
        <w:t>ARTÍCULO 298. </w:t>
      </w:r>
      <w:r>
        <w:rPr/>
        <w:t>Una vez que se encuentren satisfechos los requisitos que se establecen en esta Ley y demás disposiciones jurídicas aplicables, la Dirección Municipal correspondiente expedirá la licencia de uso del suelo, dentro de los diez días hábiles siguientes a la recepción del último documento que ésta haya requerido al solicitante.</w:t>
      </w:r>
    </w:p>
    <w:p>
      <w:pPr>
        <w:pStyle w:val="BodyText"/>
        <w:spacing w:before="229"/>
        <w:ind w:left="262" w:right="259"/>
        <w:jc w:val="both"/>
      </w:pPr>
      <w:r>
        <w:rPr>
          <w:rFonts w:ascii="Arial" w:hAnsi="Arial"/>
          <w:b/>
        </w:rPr>
        <w:t>ARTÍCULO 299. </w:t>
      </w:r>
      <w:r>
        <w:rPr/>
        <w:t>Una vez otorgada la licencia de uso de suelo, si se detectara a través del procedimiento de inspección previsto en esta Ley, que el titular de ésta no ha dado cumplimiento a todas</w:t>
      </w:r>
      <w:r>
        <w:rPr>
          <w:spacing w:val="-8"/>
        </w:rPr>
        <w:t> </w:t>
      </w:r>
      <w:r>
        <w:rPr/>
        <w:t>y</w:t>
      </w:r>
      <w:r>
        <w:rPr>
          <w:spacing w:val="-5"/>
        </w:rPr>
        <w:t> </w:t>
      </w:r>
      <w:r>
        <w:rPr/>
        <w:t>cada</w:t>
      </w:r>
      <w:r>
        <w:rPr>
          <w:spacing w:val="-7"/>
        </w:rPr>
        <w:t> </w:t>
      </w:r>
      <w:r>
        <w:rPr/>
        <w:t>una</w:t>
      </w:r>
      <w:r>
        <w:rPr>
          <w:spacing w:val="-7"/>
        </w:rPr>
        <w:t> </w:t>
      </w:r>
      <w:r>
        <w:rPr/>
        <w:t>de</w:t>
      </w:r>
      <w:r>
        <w:rPr>
          <w:spacing w:val="-5"/>
        </w:rPr>
        <w:t> </w:t>
      </w:r>
      <w:r>
        <w:rPr/>
        <w:t>las</w:t>
      </w:r>
      <w:r>
        <w:rPr>
          <w:spacing w:val="-8"/>
        </w:rPr>
        <w:t> </w:t>
      </w:r>
      <w:r>
        <w:rPr/>
        <w:t>especificaciones</w:t>
      </w:r>
      <w:r>
        <w:rPr>
          <w:spacing w:val="-8"/>
        </w:rPr>
        <w:t> </w:t>
      </w:r>
      <w:r>
        <w:rPr/>
        <w:t>establecidas</w:t>
      </w:r>
      <w:r>
        <w:rPr>
          <w:spacing w:val="-8"/>
        </w:rPr>
        <w:t> </w:t>
      </w:r>
      <w:r>
        <w:rPr/>
        <w:t>en</w:t>
      </w:r>
      <w:r>
        <w:rPr>
          <w:spacing w:val="-7"/>
        </w:rPr>
        <w:t> </w:t>
      </w:r>
      <w:r>
        <w:rPr/>
        <w:t>la</w:t>
      </w:r>
      <w:r>
        <w:rPr>
          <w:spacing w:val="-7"/>
        </w:rPr>
        <w:t> </w:t>
      </w:r>
      <w:r>
        <w:rPr/>
        <w:t>misma,</w:t>
      </w:r>
      <w:r>
        <w:rPr>
          <w:spacing w:val="-7"/>
        </w:rPr>
        <w:t> </w:t>
      </w:r>
      <w:r>
        <w:rPr/>
        <w:t>o</w:t>
      </w:r>
      <w:r>
        <w:rPr>
          <w:spacing w:val="-7"/>
        </w:rPr>
        <w:t> </w:t>
      </w:r>
      <w:r>
        <w:rPr/>
        <w:t>no</w:t>
      </w:r>
      <w:r>
        <w:rPr>
          <w:spacing w:val="-7"/>
        </w:rPr>
        <w:t> </w:t>
      </w:r>
      <w:r>
        <w:rPr/>
        <w:t>hubiere</w:t>
      </w:r>
      <w:r>
        <w:rPr>
          <w:spacing w:val="-6"/>
        </w:rPr>
        <w:t> </w:t>
      </w:r>
      <w:r>
        <w:rPr/>
        <w:t>dado</w:t>
      </w:r>
      <w:r>
        <w:rPr>
          <w:spacing w:val="-7"/>
        </w:rPr>
        <w:t> </w:t>
      </w:r>
      <w:r>
        <w:rPr/>
        <w:t>cumplimiento con las restricciones o condicionantes previstas en las licencias respectivas, el Ayuntamiento por conducto de la Dirección Municipal correspondiente, dará un término prudente máximo de treinta días</w:t>
      </w:r>
      <w:r>
        <w:rPr>
          <w:spacing w:val="-10"/>
        </w:rPr>
        <w:t> </w:t>
      </w:r>
      <w:r>
        <w:rPr/>
        <w:t>naturales,</w:t>
      </w:r>
      <w:r>
        <w:rPr>
          <w:spacing w:val="-11"/>
        </w:rPr>
        <w:t> </w:t>
      </w:r>
      <w:r>
        <w:rPr/>
        <w:t>para</w:t>
      </w:r>
      <w:r>
        <w:rPr>
          <w:spacing w:val="-11"/>
        </w:rPr>
        <w:t> </w:t>
      </w:r>
      <w:r>
        <w:rPr/>
        <w:t>que</w:t>
      </w:r>
      <w:r>
        <w:rPr>
          <w:spacing w:val="-9"/>
        </w:rPr>
        <w:t> </w:t>
      </w:r>
      <w:r>
        <w:rPr/>
        <w:t>él</w:t>
      </w:r>
      <w:r>
        <w:rPr>
          <w:spacing w:val="-8"/>
        </w:rPr>
        <w:t> </w:t>
      </w:r>
      <w:r>
        <w:rPr/>
        <w:t>mismo</w:t>
      </w:r>
      <w:r>
        <w:rPr>
          <w:spacing w:val="-9"/>
        </w:rPr>
        <w:t> </w:t>
      </w:r>
      <w:r>
        <w:rPr/>
        <w:t>corrija</w:t>
      </w:r>
      <w:r>
        <w:rPr>
          <w:spacing w:val="-11"/>
        </w:rPr>
        <w:t> </w:t>
      </w:r>
      <w:r>
        <w:rPr/>
        <w:t>las</w:t>
      </w:r>
      <w:r>
        <w:rPr>
          <w:spacing w:val="-10"/>
        </w:rPr>
        <w:t> </w:t>
      </w:r>
      <w:r>
        <w:rPr/>
        <w:t>irregularidades</w:t>
      </w:r>
      <w:r>
        <w:rPr>
          <w:spacing w:val="-10"/>
        </w:rPr>
        <w:t> </w:t>
      </w:r>
      <w:r>
        <w:rPr/>
        <w:t>detectadas</w:t>
      </w:r>
      <w:r>
        <w:rPr>
          <w:spacing w:val="-10"/>
        </w:rPr>
        <w:t> </w:t>
      </w:r>
      <w:r>
        <w:rPr/>
        <w:t>y</w:t>
      </w:r>
      <w:r>
        <w:rPr>
          <w:spacing w:val="-10"/>
        </w:rPr>
        <w:t> </w:t>
      </w:r>
      <w:r>
        <w:rPr/>
        <w:t>si</w:t>
      </w:r>
      <w:r>
        <w:rPr>
          <w:spacing w:val="-10"/>
        </w:rPr>
        <w:t> </w:t>
      </w:r>
      <w:r>
        <w:rPr/>
        <w:t>no</w:t>
      </w:r>
      <w:r>
        <w:rPr>
          <w:spacing w:val="-9"/>
        </w:rPr>
        <w:t> </w:t>
      </w:r>
      <w:r>
        <w:rPr/>
        <w:t>lo</w:t>
      </w:r>
      <w:r>
        <w:rPr>
          <w:spacing w:val="-9"/>
        </w:rPr>
        <w:t> </w:t>
      </w:r>
      <w:r>
        <w:rPr/>
        <w:t>hiciere,</w:t>
      </w:r>
      <w:r>
        <w:rPr>
          <w:spacing w:val="-9"/>
        </w:rPr>
        <w:t> </w:t>
      </w:r>
      <w:r>
        <w:rPr/>
        <w:t>podrá</w:t>
      </w:r>
      <w:r>
        <w:rPr>
          <w:spacing w:val="-11"/>
        </w:rPr>
        <w:t> </w:t>
      </w:r>
      <w:r>
        <w:rPr/>
        <w:t>dejar sin</w:t>
      </w:r>
      <w:r>
        <w:rPr>
          <w:spacing w:val="-12"/>
        </w:rPr>
        <w:t> </w:t>
      </w:r>
      <w:r>
        <w:rPr/>
        <w:t>efectos</w:t>
      </w:r>
      <w:r>
        <w:rPr>
          <w:spacing w:val="-12"/>
        </w:rPr>
        <w:t> </w:t>
      </w:r>
      <w:r>
        <w:rPr/>
        <w:t>la</w:t>
      </w:r>
      <w:r>
        <w:rPr>
          <w:spacing w:val="-12"/>
        </w:rPr>
        <w:t> </w:t>
      </w:r>
      <w:r>
        <w:rPr/>
        <w:t>licencia</w:t>
      </w:r>
      <w:r>
        <w:rPr>
          <w:spacing w:val="-10"/>
        </w:rPr>
        <w:t> </w:t>
      </w:r>
      <w:r>
        <w:rPr/>
        <w:t>otorgada,</w:t>
      </w:r>
      <w:r>
        <w:rPr>
          <w:spacing w:val="-10"/>
        </w:rPr>
        <w:t> </w:t>
      </w:r>
      <w:r>
        <w:rPr/>
        <w:t>previa</w:t>
      </w:r>
      <w:r>
        <w:rPr>
          <w:spacing w:val="-10"/>
        </w:rPr>
        <w:t> </w:t>
      </w:r>
      <w:r>
        <w:rPr/>
        <w:t>aplicación</w:t>
      </w:r>
      <w:r>
        <w:rPr>
          <w:spacing w:val="-11"/>
        </w:rPr>
        <w:t> </w:t>
      </w:r>
      <w:r>
        <w:rPr/>
        <w:t>del</w:t>
      </w:r>
      <w:r>
        <w:rPr>
          <w:spacing w:val="-11"/>
        </w:rPr>
        <w:t> </w:t>
      </w:r>
      <w:r>
        <w:rPr/>
        <w:t>procedimiento</w:t>
      </w:r>
      <w:r>
        <w:rPr>
          <w:spacing w:val="-10"/>
        </w:rPr>
        <w:t> </w:t>
      </w:r>
      <w:r>
        <w:rPr/>
        <w:t>administrativo</w:t>
      </w:r>
      <w:r>
        <w:rPr>
          <w:spacing w:val="-10"/>
        </w:rPr>
        <w:t> </w:t>
      </w:r>
      <w:r>
        <w:rPr/>
        <w:t>en</w:t>
      </w:r>
      <w:r>
        <w:rPr>
          <w:spacing w:val="-10"/>
        </w:rPr>
        <w:t> </w:t>
      </w:r>
      <w:r>
        <w:rPr/>
        <w:t>que</w:t>
      </w:r>
      <w:r>
        <w:rPr>
          <w:spacing w:val="-10"/>
        </w:rPr>
        <w:t> </w:t>
      </w:r>
      <w:r>
        <w:rPr/>
        <w:t>se</w:t>
      </w:r>
      <w:r>
        <w:rPr>
          <w:spacing w:val="-12"/>
        </w:rPr>
        <w:t> </w:t>
      </w:r>
      <w:r>
        <w:rPr/>
        <w:t>otorgue al interesado el derecho de audiencia para que alegue lo conducente, sin perjuicio de la aplicación de las medidas de seguridad y sanciones establecidas en el presente Ordenamiento.</w:t>
      </w:r>
    </w:p>
    <w:p>
      <w:pPr>
        <w:pStyle w:val="BodyText"/>
      </w:pPr>
    </w:p>
    <w:p>
      <w:pPr>
        <w:pStyle w:val="BodyText"/>
      </w:pPr>
    </w:p>
    <w:p>
      <w:pPr>
        <w:pStyle w:val="Heading2"/>
      </w:pPr>
      <w:r>
        <w:rPr/>
        <w:t>Sección</w:t>
      </w:r>
      <w:r>
        <w:rPr>
          <w:spacing w:val="-9"/>
        </w:rPr>
        <w:t> </w:t>
      </w:r>
      <w:r>
        <w:rPr>
          <w:spacing w:val="-2"/>
        </w:rPr>
        <w:t>Novena</w:t>
      </w:r>
    </w:p>
    <w:p>
      <w:pPr>
        <w:pStyle w:val="BodyText"/>
        <w:spacing w:before="1"/>
        <w:rPr>
          <w:rFonts w:ascii="Arial"/>
          <w:b/>
        </w:rPr>
      </w:pPr>
    </w:p>
    <w:p>
      <w:pPr>
        <w:spacing w:before="0"/>
        <w:ind w:left="5" w:right="24" w:firstLine="0"/>
        <w:jc w:val="center"/>
        <w:rPr>
          <w:rFonts w:ascii="Arial" w:hAnsi="Arial"/>
          <w:b/>
          <w:sz w:val="20"/>
        </w:rPr>
      </w:pPr>
      <w:r>
        <w:rPr>
          <w:rFonts w:ascii="Arial" w:hAnsi="Arial"/>
          <w:b/>
          <w:sz w:val="20"/>
        </w:rPr>
        <w:t>Supervisión,</w:t>
      </w:r>
      <w:r>
        <w:rPr>
          <w:rFonts w:ascii="Arial" w:hAnsi="Arial"/>
          <w:b/>
          <w:spacing w:val="-6"/>
          <w:sz w:val="20"/>
        </w:rPr>
        <w:t> </w:t>
      </w:r>
      <w:r>
        <w:rPr>
          <w:rFonts w:ascii="Arial" w:hAnsi="Arial"/>
          <w:b/>
          <w:sz w:val="20"/>
        </w:rPr>
        <w:t>Revocación</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Licencia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Uso</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Suelo</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pacing w:val="-2"/>
          <w:sz w:val="20"/>
        </w:rPr>
        <w:t>Sanciones</w:t>
      </w:r>
    </w:p>
    <w:p>
      <w:pPr>
        <w:spacing w:after="0"/>
        <w:jc w:val="center"/>
        <w:rPr>
          <w:rFonts w:ascii="Arial" w:hAnsi="Arial"/>
          <w:b/>
          <w:sz w:val="20"/>
        </w:rPr>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78"/>
        <w:jc w:val="both"/>
      </w:pPr>
      <w:r>
        <w:rPr>
          <w:rFonts w:ascii="Arial" w:hAnsi="Arial"/>
          <w:b/>
        </w:rPr>
        <w:t>ARTÍCULO 300. </w:t>
      </w:r>
      <w:r>
        <w:rPr/>
        <w:t>Los ayuntamientos supervisarán e inspeccionarán la ejecución de los proyectos y vigilarán</w:t>
      </w:r>
      <w:r>
        <w:rPr>
          <w:spacing w:val="-7"/>
        </w:rPr>
        <w:t> </w:t>
      </w:r>
      <w:r>
        <w:rPr/>
        <w:t>en</w:t>
      </w:r>
      <w:r>
        <w:rPr>
          <w:spacing w:val="-7"/>
        </w:rPr>
        <w:t> </w:t>
      </w:r>
      <w:r>
        <w:rPr/>
        <w:t>todo</w:t>
      </w:r>
      <w:r>
        <w:rPr>
          <w:spacing w:val="-7"/>
        </w:rPr>
        <w:t> </w:t>
      </w:r>
      <w:r>
        <w:rPr/>
        <w:t>tiempo</w:t>
      </w:r>
      <w:r>
        <w:rPr>
          <w:spacing w:val="-9"/>
        </w:rPr>
        <w:t> </w:t>
      </w:r>
      <w:r>
        <w:rPr/>
        <w:t>que</w:t>
      </w:r>
      <w:r>
        <w:rPr>
          <w:spacing w:val="-9"/>
        </w:rPr>
        <w:t> </w:t>
      </w:r>
      <w:r>
        <w:rPr/>
        <w:t>las</w:t>
      </w:r>
      <w:r>
        <w:rPr>
          <w:spacing w:val="-8"/>
        </w:rPr>
        <w:t> </w:t>
      </w:r>
      <w:r>
        <w:rPr/>
        <w:t>obras</w:t>
      </w:r>
      <w:r>
        <w:rPr>
          <w:spacing w:val="-6"/>
        </w:rPr>
        <w:t> </w:t>
      </w:r>
      <w:r>
        <w:rPr/>
        <w:t>públicas,</w:t>
      </w:r>
      <w:r>
        <w:rPr>
          <w:spacing w:val="-9"/>
        </w:rPr>
        <w:t> </w:t>
      </w:r>
      <w:r>
        <w:rPr/>
        <w:t>privadas</w:t>
      </w:r>
      <w:r>
        <w:rPr>
          <w:spacing w:val="-8"/>
        </w:rPr>
        <w:t> </w:t>
      </w:r>
      <w:r>
        <w:rPr/>
        <w:t>y</w:t>
      </w:r>
      <w:r>
        <w:rPr>
          <w:spacing w:val="-8"/>
        </w:rPr>
        <w:t> </w:t>
      </w:r>
      <w:r>
        <w:rPr/>
        <w:t>demás</w:t>
      </w:r>
      <w:r>
        <w:rPr>
          <w:spacing w:val="-8"/>
        </w:rPr>
        <w:t> </w:t>
      </w:r>
      <w:r>
        <w:rPr/>
        <w:t>actividades</w:t>
      </w:r>
      <w:r>
        <w:rPr>
          <w:spacing w:val="-6"/>
        </w:rPr>
        <w:t> </w:t>
      </w:r>
      <w:r>
        <w:rPr/>
        <w:t>estén</w:t>
      </w:r>
      <w:r>
        <w:rPr>
          <w:spacing w:val="-9"/>
        </w:rPr>
        <w:t> </w:t>
      </w:r>
      <w:r>
        <w:rPr/>
        <w:t>de</w:t>
      </w:r>
      <w:r>
        <w:rPr>
          <w:spacing w:val="-9"/>
        </w:rPr>
        <w:t> </w:t>
      </w:r>
      <w:r>
        <w:rPr/>
        <w:t>acuerdo</w:t>
      </w:r>
      <w:r>
        <w:rPr>
          <w:spacing w:val="-7"/>
        </w:rPr>
        <w:t> </w:t>
      </w:r>
      <w:r>
        <w:rPr/>
        <w:t>con los respectivos lineamientos señalados en la legislación correspondiente, en los programas de desarrollo urbano y ordenamiento del territorio</w:t>
      </w:r>
      <w:r>
        <w:rPr>
          <w:spacing w:val="40"/>
        </w:rPr>
        <w:t> </w:t>
      </w:r>
      <w:r>
        <w:rPr/>
        <w:t>y en las licencias de uso de suelo.</w:t>
      </w:r>
    </w:p>
    <w:p>
      <w:pPr>
        <w:spacing w:before="230"/>
        <w:ind w:left="26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7"/>
          <w:sz w:val="20"/>
        </w:rPr>
        <w:t> </w:t>
      </w:r>
      <w:r>
        <w:rPr>
          <w:rFonts w:ascii="Arial"/>
          <w:i/>
          <w:sz w:val="20"/>
        </w:rPr>
        <w:t>20</w:t>
      </w:r>
      <w:r>
        <w:rPr>
          <w:rFonts w:ascii="Arial"/>
          <w:i/>
          <w:spacing w:val="-7"/>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262" w:right="266"/>
        <w:jc w:val="both"/>
      </w:pPr>
      <w:r>
        <w:rPr>
          <w:rFonts w:ascii="Arial" w:hAnsi="Arial"/>
          <w:b/>
        </w:rPr>
        <w:t>ARTÍCULO</w:t>
      </w:r>
      <w:r>
        <w:rPr>
          <w:rFonts w:ascii="Arial" w:hAnsi="Arial"/>
          <w:b/>
          <w:spacing w:val="-4"/>
        </w:rPr>
        <w:t> </w:t>
      </w:r>
      <w:r>
        <w:rPr>
          <w:rFonts w:ascii="Arial" w:hAnsi="Arial"/>
          <w:b/>
        </w:rPr>
        <w:t>301.</w:t>
      </w:r>
      <w:r>
        <w:rPr>
          <w:rFonts w:ascii="Arial" w:hAnsi="Arial"/>
          <w:b/>
          <w:spacing w:val="-4"/>
        </w:rPr>
        <w:t> </w:t>
      </w:r>
      <w:r>
        <w:rPr/>
        <w:t>El</w:t>
      </w:r>
      <w:r>
        <w:rPr>
          <w:spacing w:val="-6"/>
        </w:rPr>
        <w:t> </w:t>
      </w:r>
      <w:r>
        <w:rPr/>
        <w:t>Ayuntamiento</w:t>
      </w:r>
      <w:r>
        <w:rPr>
          <w:spacing w:val="-6"/>
        </w:rPr>
        <w:t> </w:t>
      </w:r>
      <w:r>
        <w:rPr/>
        <w:t>respectivo,</w:t>
      </w:r>
      <w:r>
        <w:rPr>
          <w:spacing w:val="-5"/>
        </w:rPr>
        <w:t> </w:t>
      </w:r>
      <w:r>
        <w:rPr/>
        <w:t>revocará</w:t>
      </w:r>
      <w:r>
        <w:rPr>
          <w:spacing w:val="-2"/>
        </w:rPr>
        <w:t> </w:t>
      </w:r>
      <w:r>
        <w:rPr/>
        <w:t>la</w:t>
      </w:r>
      <w:r>
        <w:rPr>
          <w:spacing w:val="-5"/>
        </w:rPr>
        <w:t> </w:t>
      </w:r>
      <w:r>
        <w:rPr/>
        <w:t>licencia</w:t>
      </w:r>
      <w:r>
        <w:rPr>
          <w:spacing w:val="-3"/>
        </w:rPr>
        <w:t> </w:t>
      </w:r>
      <w:r>
        <w:rPr/>
        <w:t>de</w:t>
      </w:r>
      <w:r>
        <w:rPr>
          <w:spacing w:val="-6"/>
        </w:rPr>
        <w:t> </w:t>
      </w:r>
      <w:r>
        <w:rPr/>
        <w:t>uso</w:t>
      </w:r>
      <w:r>
        <w:rPr>
          <w:spacing w:val="-5"/>
        </w:rPr>
        <w:t> </w:t>
      </w:r>
      <w:r>
        <w:rPr/>
        <w:t>de</w:t>
      </w:r>
      <w:r>
        <w:rPr>
          <w:spacing w:val="-5"/>
        </w:rPr>
        <w:t> </w:t>
      </w:r>
      <w:r>
        <w:rPr/>
        <w:t>suelo,</w:t>
      </w:r>
      <w:r>
        <w:rPr>
          <w:spacing w:val="-3"/>
        </w:rPr>
        <w:t> </w:t>
      </w:r>
      <w:r>
        <w:rPr/>
        <w:t>en</w:t>
      </w:r>
      <w:r>
        <w:rPr>
          <w:spacing w:val="-6"/>
        </w:rPr>
        <w:t> </w:t>
      </w:r>
      <w:r>
        <w:rPr/>
        <w:t>los</w:t>
      </w:r>
      <w:r>
        <w:rPr>
          <w:spacing w:val="-4"/>
        </w:rPr>
        <w:t> </w:t>
      </w:r>
      <w:r>
        <w:rPr/>
        <w:t>siguientes </w:t>
      </w:r>
      <w:r>
        <w:rPr>
          <w:spacing w:val="-2"/>
        </w:rPr>
        <w:t>casos:</w:t>
      </w:r>
    </w:p>
    <w:p>
      <w:pPr>
        <w:pStyle w:val="BodyText"/>
        <w:spacing w:before="1"/>
      </w:pPr>
    </w:p>
    <w:p>
      <w:pPr>
        <w:pStyle w:val="ListParagraph"/>
        <w:numPr>
          <w:ilvl w:val="0"/>
          <w:numId w:val="108"/>
        </w:numPr>
        <w:tabs>
          <w:tab w:pos="440" w:val="left" w:leader="none"/>
        </w:tabs>
        <w:spacing w:line="240" w:lineRule="auto" w:before="0" w:after="0"/>
        <w:ind w:left="262" w:right="271" w:firstLine="0"/>
        <w:jc w:val="both"/>
        <w:rPr>
          <w:sz w:val="20"/>
        </w:rPr>
      </w:pPr>
      <w:r>
        <w:rPr>
          <w:sz w:val="20"/>
        </w:rPr>
        <w:t>Cuando la persona titular de una licencia vigente no hubiese dado aviso al Ayuntamiento de un uso o destino del suelo diferente al autorizado para el respectivo predio;</w:t>
      </w:r>
    </w:p>
    <w:p>
      <w:pPr>
        <w:pStyle w:val="BodyText"/>
      </w:pPr>
    </w:p>
    <w:p>
      <w:pPr>
        <w:pStyle w:val="ListParagraph"/>
        <w:numPr>
          <w:ilvl w:val="0"/>
          <w:numId w:val="108"/>
        </w:numPr>
        <w:tabs>
          <w:tab w:pos="533" w:val="left" w:leader="none"/>
        </w:tabs>
        <w:spacing w:line="240" w:lineRule="auto" w:before="0" w:after="0"/>
        <w:ind w:left="262" w:right="266" w:firstLine="0"/>
        <w:jc w:val="both"/>
        <w:rPr>
          <w:sz w:val="20"/>
        </w:rPr>
      </w:pPr>
      <w:r>
        <w:rPr>
          <w:sz w:val="20"/>
        </w:rPr>
        <w:t>Cuando se hayan modificado las intensidades máximas de población, de ocupación, y de utilización del predio¸ o las restricciones, o limitaciones que consten en la misma, o no se hubieren observado estas últimas por la persona titular de la constancia;</w:t>
      </w:r>
    </w:p>
    <w:p>
      <w:pPr>
        <w:pStyle w:val="BodyText"/>
        <w:spacing w:before="1"/>
      </w:pPr>
    </w:p>
    <w:p>
      <w:pPr>
        <w:pStyle w:val="ListParagraph"/>
        <w:numPr>
          <w:ilvl w:val="0"/>
          <w:numId w:val="108"/>
        </w:numPr>
        <w:tabs>
          <w:tab w:pos="553" w:val="left" w:leader="none"/>
        </w:tabs>
        <w:spacing w:line="240" w:lineRule="auto" w:before="0" w:after="0"/>
        <w:ind w:left="262" w:right="259" w:firstLine="0"/>
        <w:jc w:val="both"/>
        <w:rPr>
          <w:sz w:val="20"/>
        </w:rPr>
      </w:pPr>
      <w:r>
        <w:rPr>
          <w:sz w:val="20"/>
        </w:rPr>
        <w:t>Cuando el Ayuntamiento o la Secretaría de Ecología y Gestión Ambiental, según sea el caso, detecten mediante los procedimientos previstos en esta Ley, o en el ordenamiento que resulte aplicable, que no se dio cumplimiento a cualesquiera de las condicionantes establecidas en la constancia original y dentro de los plazos previstos en la misma;</w:t>
      </w:r>
    </w:p>
    <w:p>
      <w:pPr>
        <w:pStyle w:val="BodyText"/>
      </w:pPr>
    </w:p>
    <w:p>
      <w:pPr>
        <w:pStyle w:val="ListParagraph"/>
        <w:numPr>
          <w:ilvl w:val="0"/>
          <w:numId w:val="108"/>
        </w:numPr>
        <w:tabs>
          <w:tab w:pos="559" w:val="left" w:leader="none"/>
        </w:tabs>
        <w:spacing w:line="240" w:lineRule="auto" w:before="0" w:after="0"/>
        <w:ind w:left="559" w:right="0" w:hanging="297"/>
        <w:jc w:val="both"/>
        <w:rPr>
          <w:sz w:val="20"/>
        </w:rPr>
      </w:pPr>
      <w:r>
        <w:rPr>
          <w:sz w:val="20"/>
        </w:rPr>
        <w:t>Cuando</w:t>
      </w:r>
      <w:r>
        <w:rPr>
          <w:spacing w:val="-8"/>
          <w:sz w:val="20"/>
        </w:rPr>
        <w:t> </w:t>
      </w:r>
      <w:r>
        <w:rPr>
          <w:sz w:val="20"/>
        </w:rPr>
        <w:t>se</w:t>
      </w:r>
      <w:r>
        <w:rPr>
          <w:spacing w:val="-5"/>
          <w:sz w:val="20"/>
        </w:rPr>
        <w:t> </w:t>
      </w:r>
      <w:r>
        <w:rPr>
          <w:sz w:val="20"/>
        </w:rPr>
        <w:t>advierta</w:t>
      </w:r>
      <w:r>
        <w:rPr>
          <w:spacing w:val="-7"/>
          <w:sz w:val="20"/>
        </w:rPr>
        <w:t> </w:t>
      </w:r>
      <w:r>
        <w:rPr>
          <w:sz w:val="20"/>
        </w:rPr>
        <w:t>falsedad</w:t>
      </w:r>
      <w:r>
        <w:rPr>
          <w:spacing w:val="-6"/>
          <w:sz w:val="20"/>
        </w:rPr>
        <w:t> </w:t>
      </w:r>
      <w:r>
        <w:rPr>
          <w:sz w:val="20"/>
        </w:rPr>
        <w:t>de</w:t>
      </w:r>
      <w:r>
        <w:rPr>
          <w:spacing w:val="-6"/>
          <w:sz w:val="20"/>
        </w:rPr>
        <w:t> </w:t>
      </w:r>
      <w:r>
        <w:rPr>
          <w:sz w:val="20"/>
        </w:rPr>
        <w:t>datos</w:t>
      </w:r>
      <w:r>
        <w:rPr>
          <w:spacing w:val="-6"/>
          <w:sz w:val="20"/>
        </w:rPr>
        <w:t> </w:t>
      </w:r>
      <w:r>
        <w:rPr>
          <w:sz w:val="20"/>
        </w:rPr>
        <w:t>en</w:t>
      </w:r>
      <w:r>
        <w:rPr>
          <w:spacing w:val="-6"/>
          <w:sz w:val="20"/>
        </w:rPr>
        <w:t> </w:t>
      </w:r>
      <w:r>
        <w:rPr>
          <w:sz w:val="20"/>
        </w:rPr>
        <w:t>la</w:t>
      </w:r>
      <w:r>
        <w:rPr>
          <w:spacing w:val="-5"/>
          <w:sz w:val="20"/>
        </w:rPr>
        <w:t> </w:t>
      </w:r>
      <w:r>
        <w:rPr>
          <w:sz w:val="20"/>
        </w:rPr>
        <w:t>información</w:t>
      </w:r>
      <w:r>
        <w:rPr>
          <w:spacing w:val="-6"/>
          <w:sz w:val="20"/>
        </w:rPr>
        <w:t> </w:t>
      </w:r>
      <w:r>
        <w:rPr>
          <w:sz w:val="20"/>
        </w:rPr>
        <w:t>presentada</w:t>
      </w:r>
      <w:r>
        <w:rPr>
          <w:spacing w:val="-5"/>
          <w:sz w:val="20"/>
        </w:rPr>
        <w:t> </w:t>
      </w:r>
      <w:r>
        <w:rPr>
          <w:sz w:val="20"/>
        </w:rPr>
        <w:t>ante</w:t>
      </w:r>
      <w:r>
        <w:rPr>
          <w:spacing w:val="-7"/>
          <w:sz w:val="20"/>
        </w:rPr>
        <w:t> </w:t>
      </w:r>
      <w:r>
        <w:rPr>
          <w:sz w:val="20"/>
        </w:rPr>
        <w:t>la</w:t>
      </w:r>
      <w:r>
        <w:rPr>
          <w:spacing w:val="-7"/>
          <w:sz w:val="20"/>
        </w:rPr>
        <w:t> </w:t>
      </w:r>
      <w:r>
        <w:rPr>
          <w:spacing w:val="-2"/>
          <w:sz w:val="20"/>
        </w:rPr>
        <w:t>autoridad;</w:t>
      </w:r>
    </w:p>
    <w:p>
      <w:pPr>
        <w:pStyle w:val="ListParagraph"/>
        <w:numPr>
          <w:ilvl w:val="0"/>
          <w:numId w:val="108"/>
        </w:numPr>
        <w:tabs>
          <w:tab w:pos="503" w:val="left" w:leader="none"/>
        </w:tabs>
        <w:spacing w:line="240" w:lineRule="auto" w:before="229" w:after="0"/>
        <w:ind w:left="503" w:right="0" w:hanging="241"/>
        <w:jc w:val="both"/>
        <w:rPr>
          <w:sz w:val="20"/>
        </w:rPr>
      </w:pPr>
      <w:r>
        <w:rPr>
          <w:sz w:val="20"/>
        </w:rPr>
        <w:t>Cuando</w:t>
      </w:r>
      <w:r>
        <w:rPr>
          <w:spacing w:val="-7"/>
          <w:sz w:val="20"/>
        </w:rPr>
        <w:t> </w:t>
      </w:r>
      <w:r>
        <w:rPr>
          <w:sz w:val="20"/>
        </w:rPr>
        <w:t>se</w:t>
      </w:r>
      <w:r>
        <w:rPr>
          <w:spacing w:val="-6"/>
          <w:sz w:val="20"/>
        </w:rPr>
        <w:t> </w:t>
      </w:r>
      <w:r>
        <w:rPr>
          <w:sz w:val="20"/>
        </w:rPr>
        <w:t>contravengan</w:t>
      </w:r>
      <w:r>
        <w:rPr>
          <w:spacing w:val="-7"/>
          <w:sz w:val="20"/>
        </w:rPr>
        <w:t> </w:t>
      </w:r>
      <w:r>
        <w:rPr>
          <w:sz w:val="20"/>
        </w:rPr>
        <w:t>los</w:t>
      </w:r>
      <w:r>
        <w:rPr>
          <w:spacing w:val="-5"/>
          <w:sz w:val="20"/>
        </w:rPr>
        <w:t> </w:t>
      </w:r>
      <w:r>
        <w:rPr>
          <w:sz w:val="20"/>
        </w:rPr>
        <w:t>supuestos</w:t>
      </w:r>
      <w:r>
        <w:rPr>
          <w:spacing w:val="-4"/>
          <w:sz w:val="20"/>
        </w:rPr>
        <w:t> </w:t>
      </w:r>
      <w:r>
        <w:rPr>
          <w:sz w:val="20"/>
        </w:rPr>
        <w:t>establecidos</w:t>
      </w:r>
      <w:r>
        <w:rPr>
          <w:spacing w:val="-5"/>
          <w:sz w:val="20"/>
        </w:rPr>
        <w:t> </w:t>
      </w:r>
      <w:r>
        <w:rPr>
          <w:sz w:val="20"/>
        </w:rPr>
        <w:t>en</w:t>
      </w:r>
      <w:r>
        <w:rPr>
          <w:spacing w:val="-8"/>
          <w:sz w:val="20"/>
        </w:rPr>
        <w:t> </w:t>
      </w:r>
      <w:r>
        <w:rPr>
          <w:sz w:val="20"/>
        </w:rPr>
        <w:t>el</w:t>
      </w:r>
      <w:r>
        <w:rPr>
          <w:spacing w:val="-7"/>
          <w:sz w:val="20"/>
        </w:rPr>
        <w:t> </w:t>
      </w:r>
      <w:r>
        <w:rPr>
          <w:sz w:val="20"/>
        </w:rPr>
        <w:t>artículo</w:t>
      </w:r>
      <w:r>
        <w:rPr>
          <w:spacing w:val="-5"/>
          <w:sz w:val="20"/>
        </w:rPr>
        <w:t> </w:t>
      </w:r>
      <w:r>
        <w:rPr>
          <w:sz w:val="20"/>
        </w:rPr>
        <w:t>271</w:t>
      </w:r>
      <w:r>
        <w:rPr>
          <w:spacing w:val="-6"/>
          <w:sz w:val="20"/>
        </w:rPr>
        <w:t> </w:t>
      </w:r>
      <w:r>
        <w:rPr>
          <w:sz w:val="20"/>
        </w:rPr>
        <w:t>de</w:t>
      </w:r>
      <w:r>
        <w:rPr>
          <w:spacing w:val="-5"/>
          <w:sz w:val="20"/>
        </w:rPr>
        <w:t> </w:t>
      </w:r>
      <w:r>
        <w:rPr>
          <w:sz w:val="20"/>
        </w:rPr>
        <w:t>esta</w:t>
      </w:r>
      <w:r>
        <w:rPr>
          <w:spacing w:val="-6"/>
          <w:sz w:val="20"/>
        </w:rPr>
        <w:t> </w:t>
      </w:r>
      <w:r>
        <w:rPr>
          <w:spacing w:val="-4"/>
          <w:sz w:val="20"/>
        </w:rPr>
        <w:t>Ley;</w:t>
      </w:r>
    </w:p>
    <w:p>
      <w:pPr>
        <w:pStyle w:val="BodyText"/>
        <w:spacing w:before="1"/>
      </w:pPr>
    </w:p>
    <w:p>
      <w:pPr>
        <w:pStyle w:val="ListParagraph"/>
        <w:numPr>
          <w:ilvl w:val="0"/>
          <w:numId w:val="108"/>
        </w:numPr>
        <w:tabs>
          <w:tab w:pos="552" w:val="left" w:leader="none"/>
        </w:tabs>
        <w:spacing w:line="240" w:lineRule="auto" w:before="0" w:after="0"/>
        <w:ind w:left="262" w:right="266" w:firstLine="0"/>
        <w:jc w:val="both"/>
        <w:rPr>
          <w:sz w:val="20"/>
        </w:rPr>
      </w:pPr>
      <w:r>
        <w:rPr>
          <w:sz w:val="20"/>
        </w:rPr>
        <w:t>Cuando</w:t>
      </w:r>
      <w:r>
        <w:rPr>
          <w:spacing w:val="-13"/>
          <w:sz w:val="20"/>
        </w:rPr>
        <w:t> </w:t>
      </w:r>
      <w:r>
        <w:rPr>
          <w:sz w:val="20"/>
        </w:rPr>
        <w:t>aquellos</w:t>
      </w:r>
      <w:r>
        <w:rPr>
          <w:spacing w:val="-14"/>
          <w:sz w:val="20"/>
        </w:rPr>
        <w:t> </w:t>
      </w:r>
      <w:r>
        <w:rPr>
          <w:sz w:val="20"/>
        </w:rPr>
        <w:t>establecimientos</w:t>
      </w:r>
      <w:r>
        <w:rPr>
          <w:spacing w:val="-14"/>
          <w:sz w:val="20"/>
        </w:rPr>
        <w:t> </w:t>
      </w:r>
      <w:r>
        <w:rPr>
          <w:sz w:val="20"/>
        </w:rPr>
        <w:t>o</w:t>
      </w:r>
      <w:r>
        <w:rPr>
          <w:spacing w:val="-12"/>
          <w:sz w:val="20"/>
        </w:rPr>
        <w:t> </w:t>
      </w:r>
      <w:r>
        <w:rPr>
          <w:sz w:val="20"/>
        </w:rPr>
        <w:t>negocios</w:t>
      </w:r>
      <w:r>
        <w:rPr>
          <w:spacing w:val="-14"/>
          <w:sz w:val="20"/>
        </w:rPr>
        <w:t> </w:t>
      </w:r>
      <w:r>
        <w:rPr>
          <w:sz w:val="20"/>
        </w:rPr>
        <w:t>que</w:t>
      </w:r>
      <w:r>
        <w:rPr>
          <w:spacing w:val="-11"/>
          <w:sz w:val="20"/>
        </w:rPr>
        <w:t> </w:t>
      </w:r>
      <w:r>
        <w:rPr>
          <w:sz w:val="20"/>
        </w:rPr>
        <w:t>dentro</w:t>
      </w:r>
      <w:r>
        <w:rPr>
          <w:spacing w:val="-12"/>
          <w:sz w:val="20"/>
        </w:rPr>
        <w:t> </w:t>
      </w:r>
      <w:r>
        <w:rPr>
          <w:sz w:val="20"/>
        </w:rPr>
        <w:t>de</w:t>
      </w:r>
      <w:r>
        <w:rPr>
          <w:spacing w:val="-14"/>
          <w:sz w:val="20"/>
        </w:rPr>
        <w:t> </w:t>
      </w:r>
      <w:r>
        <w:rPr>
          <w:sz w:val="20"/>
        </w:rPr>
        <w:t>sus</w:t>
      </w:r>
      <w:r>
        <w:rPr>
          <w:spacing w:val="-11"/>
          <w:sz w:val="20"/>
        </w:rPr>
        <w:t> </w:t>
      </w:r>
      <w:r>
        <w:rPr>
          <w:sz w:val="20"/>
        </w:rPr>
        <w:t>giros</w:t>
      </w:r>
      <w:r>
        <w:rPr>
          <w:spacing w:val="-11"/>
          <w:sz w:val="20"/>
        </w:rPr>
        <w:t> </w:t>
      </w:r>
      <w:r>
        <w:rPr>
          <w:sz w:val="20"/>
        </w:rPr>
        <w:t>compren,</w:t>
      </w:r>
      <w:r>
        <w:rPr>
          <w:spacing w:val="-14"/>
          <w:sz w:val="20"/>
        </w:rPr>
        <w:t> </w:t>
      </w:r>
      <w:r>
        <w:rPr>
          <w:sz w:val="20"/>
        </w:rPr>
        <w:t>vendan,</w:t>
      </w:r>
      <w:r>
        <w:rPr>
          <w:spacing w:val="-14"/>
          <w:sz w:val="20"/>
        </w:rPr>
        <w:t> </w:t>
      </w:r>
      <w:r>
        <w:rPr>
          <w:sz w:val="20"/>
        </w:rPr>
        <w:t>trabajen y/o</w:t>
      </w:r>
      <w:r>
        <w:rPr>
          <w:spacing w:val="-6"/>
          <w:sz w:val="20"/>
        </w:rPr>
        <w:t> </w:t>
      </w:r>
      <w:r>
        <w:rPr>
          <w:sz w:val="20"/>
        </w:rPr>
        <w:t>utilicen</w:t>
      </w:r>
      <w:r>
        <w:rPr>
          <w:spacing w:val="-6"/>
          <w:sz w:val="20"/>
        </w:rPr>
        <w:t> </w:t>
      </w:r>
      <w:r>
        <w:rPr>
          <w:sz w:val="20"/>
        </w:rPr>
        <w:t>con</w:t>
      </w:r>
      <w:r>
        <w:rPr>
          <w:spacing w:val="-5"/>
          <w:sz w:val="20"/>
        </w:rPr>
        <w:t> </w:t>
      </w:r>
      <w:r>
        <w:rPr>
          <w:sz w:val="20"/>
        </w:rPr>
        <w:t>conocimiento</w:t>
      </w:r>
      <w:r>
        <w:rPr>
          <w:spacing w:val="-5"/>
          <w:sz w:val="20"/>
        </w:rPr>
        <w:t> </w:t>
      </w:r>
      <w:r>
        <w:rPr>
          <w:sz w:val="20"/>
        </w:rPr>
        <w:t>de</w:t>
      </w:r>
      <w:r>
        <w:rPr>
          <w:spacing w:val="-5"/>
          <w:sz w:val="20"/>
        </w:rPr>
        <w:t> </w:t>
      </w:r>
      <w:r>
        <w:rPr>
          <w:sz w:val="20"/>
        </w:rPr>
        <w:t>causa,</w:t>
      </w:r>
      <w:r>
        <w:rPr>
          <w:spacing w:val="-5"/>
          <w:sz w:val="20"/>
        </w:rPr>
        <w:t> </w:t>
      </w:r>
      <w:r>
        <w:rPr>
          <w:sz w:val="20"/>
        </w:rPr>
        <w:t>equipamiento</w:t>
      </w:r>
      <w:r>
        <w:rPr>
          <w:spacing w:val="-3"/>
          <w:sz w:val="20"/>
        </w:rPr>
        <w:t> </w:t>
      </w:r>
      <w:r>
        <w:rPr>
          <w:sz w:val="20"/>
        </w:rPr>
        <w:t>o</w:t>
      </w:r>
      <w:r>
        <w:rPr>
          <w:spacing w:val="-3"/>
          <w:sz w:val="20"/>
        </w:rPr>
        <w:t> </w:t>
      </w:r>
      <w:r>
        <w:rPr>
          <w:sz w:val="20"/>
        </w:rPr>
        <w:t>mobiliario</w:t>
      </w:r>
      <w:r>
        <w:rPr>
          <w:spacing w:val="-4"/>
          <w:sz w:val="20"/>
        </w:rPr>
        <w:t> </w:t>
      </w:r>
      <w:r>
        <w:rPr>
          <w:sz w:val="20"/>
        </w:rPr>
        <w:t>urbano</w:t>
      </w:r>
      <w:r>
        <w:rPr>
          <w:spacing w:val="-5"/>
          <w:sz w:val="20"/>
        </w:rPr>
        <w:t> </w:t>
      </w:r>
      <w:r>
        <w:rPr>
          <w:sz w:val="20"/>
        </w:rPr>
        <w:t>que</w:t>
      </w:r>
      <w:r>
        <w:rPr>
          <w:spacing w:val="-5"/>
          <w:sz w:val="20"/>
        </w:rPr>
        <w:t> </w:t>
      </w:r>
      <w:r>
        <w:rPr>
          <w:sz w:val="20"/>
        </w:rPr>
        <w:t>provenga</w:t>
      </w:r>
      <w:r>
        <w:rPr>
          <w:spacing w:val="-4"/>
          <w:sz w:val="20"/>
        </w:rPr>
        <w:t> </w:t>
      </w:r>
      <w:r>
        <w:rPr>
          <w:sz w:val="20"/>
        </w:rPr>
        <w:t>o</w:t>
      </w:r>
      <w:r>
        <w:rPr>
          <w:spacing w:val="-5"/>
          <w:sz w:val="20"/>
        </w:rPr>
        <w:t> </w:t>
      </w:r>
      <w:r>
        <w:rPr>
          <w:sz w:val="20"/>
        </w:rPr>
        <w:t>haya</w:t>
      </w:r>
      <w:r>
        <w:rPr>
          <w:spacing w:val="-5"/>
          <w:sz w:val="20"/>
        </w:rPr>
        <w:t> </w:t>
      </w:r>
      <w:r>
        <w:rPr>
          <w:sz w:val="20"/>
        </w:rPr>
        <w:t>sido adquirido derivado de un hecho ilícito, y</w:t>
      </w:r>
    </w:p>
    <w:p>
      <w:pPr>
        <w:pStyle w:val="ListParagraph"/>
        <w:numPr>
          <w:ilvl w:val="0"/>
          <w:numId w:val="108"/>
        </w:numPr>
        <w:tabs>
          <w:tab w:pos="616" w:val="left" w:leader="none"/>
        </w:tabs>
        <w:spacing w:line="240" w:lineRule="auto" w:before="229" w:after="0"/>
        <w:ind w:left="616" w:right="0" w:hanging="354"/>
        <w:jc w:val="both"/>
        <w:rPr>
          <w:sz w:val="20"/>
        </w:rPr>
      </w:pPr>
      <w:r>
        <w:rPr>
          <w:sz w:val="20"/>
        </w:rPr>
        <w:t>Las</w:t>
      </w:r>
      <w:r>
        <w:rPr>
          <w:spacing w:val="-7"/>
          <w:sz w:val="20"/>
        </w:rPr>
        <w:t> </w:t>
      </w:r>
      <w:r>
        <w:rPr>
          <w:sz w:val="20"/>
        </w:rPr>
        <w:t>demás</w:t>
      </w:r>
      <w:r>
        <w:rPr>
          <w:spacing w:val="-6"/>
          <w:sz w:val="20"/>
        </w:rPr>
        <w:t> </w:t>
      </w:r>
      <w:r>
        <w:rPr>
          <w:sz w:val="20"/>
        </w:rPr>
        <w:t>aplicables</w:t>
      </w:r>
      <w:r>
        <w:rPr>
          <w:spacing w:val="-6"/>
          <w:sz w:val="20"/>
        </w:rPr>
        <w:t> </w:t>
      </w:r>
      <w:r>
        <w:rPr>
          <w:sz w:val="20"/>
        </w:rPr>
        <w:t>en</w:t>
      </w:r>
      <w:r>
        <w:rPr>
          <w:spacing w:val="-8"/>
          <w:sz w:val="20"/>
        </w:rPr>
        <w:t> </w:t>
      </w:r>
      <w:r>
        <w:rPr>
          <w:sz w:val="20"/>
        </w:rPr>
        <w:t>las</w:t>
      </w:r>
      <w:r>
        <w:rPr>
          <w:spacing w:val="-4"/>
          <w:sz w:val="20"/>
        </w:rPr>
        <w:t> </w:t>
      </w:r>
      <w:r>
        <w:rPr>
          <w:sz w:val="20"/>
        </w:rPr>
        <w:t>leyes</w:t>
      </w:r>
      <w:r>
        <w:rPr>
          <w:spacing w:val="-6"/>
          <w:sz w:val="20"/>
        </w:rPr>
        <w:t> </w:t>
      </w:r>
      <w:r>
        <w:rPr>
          <w:sz w:val="20"/>
        </w:rPr>
        <w:t>y</w:t>
      </w:r>
      <w:r>
        <w:rPr>
          <w:spacing w:val="-7"/>
          <w:sz w:val="20"/>
        </w:rPr>
        <w:t> </w:t>
      </w:r>
      <w:r>
        <w:rPr>
          <w:sz w:val="20"/>
        </w:rPr>
        <w:t>reglamentos</w:t>
      </w:r>
      <w:r>
        <w:rPr>
          <w:spacing w:val="-6"/>
          <w:sz w:val="20"/>
        </w:rPr>
        <w:t> </w:t>
      </w:r>
      <w:r>
        <w:rPr>
          <w:spacing w:val="-2"/>
          <w:sz w:val="20"/>
        </w:rPr>
        <w:t>vigentes.</w:t>
      </w:r>
    </w:p>
    <w:p>
      <w:pPr>
        <w:pStyle w:val="BodyText"/>
        <w:spacing w:before="1"/>
      </w:pPr>
    </w:p>
    <w:p>
      <w:pPr>
        <w:pStyle w:val="BodyText"/>
        <w:ind w:left="262" w:right="268"/>
        <w:jc w:val="both"/>
      </w:pPr>
      <w:r>
        <w:rPr/>
        <w:t>En el caso de la fracción IV, la revocación se llevará a cabo sin perjuicio del ejercicio de la acción penal que pudiera derivarse de la actividad emprendida. Para los efectos de la fracción IV se requerirá la denuncia del Ayuntamiento respectivo.</w:t>
      </w:r>
    </w:p>
    <w:p>
      <w:pPr>
        <w:pStyle w:val="BodyText"/>
        <w:spacing w:before="229"/>
        <w:ind w:left="262" w:right="270"/>
        <w:jc w:val="both"/>
      </w:pPr>
      <w:r>
        <w:rPr/>
        <w:t>En el supuesto de la fracción VI, y después de ser confirmado previo informe el resultado de las visitas e inspecciones por parte del Municipio, se dará cuenta a la autoridad competente para proceder conforme el Código Penal del Estado y demás ordenamientos en la materia.</w:t>
      </w:r>
    </w:p>
    <w:p>
      <w:pPr>
        <w:pStyle w:val="BodyText"/>
        <w:spacing w:before="2"/>
      </w:pPr>
    </w:p>
    <w:p>
      <w:pPr>
        <w:pStyle w:val="BodyText"/>
        <w:ind w:left="262" w:right="276"/>
        <w:jc w:val="both"/>
      </w:pPr>
      <w:r>
        <w:rPr>
          <w:rFonts w:ascii="Arial" w:hAnsi="Arial"/>
          <w:b/>
        </w:rPr>
        <w:t>ARTÍCULO 302. </w:t>
      </w:r>
      <w:r>
        <w:rPr/>
        <w:t>Quienes realicen obras, construcciones, ampliaciones o modificaciones que se hagan sin autorización, permiso o licencia, o en contravención a lo dispuesto en la legislación y programas</w:t>
      </w:r>
      <w:r>
        <w:rPr>
          <w:spacing w:val="-13"/>
        </w:rPr>
        <w:t> </w:t>
      </w:r>
      <w:r>
        <w:rPr/>
        <w:t>de</w:t>
      </w:r>
      <w:r>
        <w:rPr>
          <w:spacing w:val="-14"/>
        </w:rPr>
        <w:t> </w:t>
      </w:r>
      <w:r>
        <w:rPr/>
        <w:t>ordenamiento</w:t>
      </w:r>
      <w:r>
        <w:rPr>
          <w:spacing w:val="-13"/>
        </w:rPr>
        <w:t> </w:t>
      </w:r>
      <w:r>
        <w:rPr/>
        <w:t>territorial</w:t>
      </w:r>
      <w:r>
        <w:rPr>
          <w:spacing w:val="-14"/>
        </w:rPr>
        <w:t> </w:t>
      </w:r>
      <w:r>
        <w:rPr/>
        <w:t>y</w:t>
      </w:r>
      <w:r>
        <w:rPr>
          <w:spacing w:val="-12"/>
        </w:rPr>
        <w:t> </w:t>
      </w:r>
      <w:r>
        <w:rPr/>
        <w:t>desarrollo</w:t>
      </w:r>
      <w:r>
        <w:rPr>
          <w:spacing w:val="-14"/>
        </w:rPr>
        <w:t> </w:t>
      </w:r>
      <w:r>
        <w:rPr/>
        <w:t>urbano,</w:t>
      </w:r>
      <w:r>
        <w:rPr>
          <w:spacing w:val="-13"/>
        </w:rPr>
        <w:t> </w:t>
      </w:r>
      <w:r>
        <w:rPr/>
        <w:t>así</w:t>
      </w:r>
      <w:r>
        <w:rPr>
          <w:spacing w:val="-14"/>
        </w:rPr>
        <w:t> </w:t>
      </w:r>
      <w:r>
        <w:rPr/>
        <w:t>como</w:t>
      </w:r>
      <w:r>
        <w:rPr>
          <w:spacing w:val="-13"/>
        </w:rPr>
        <w:t> </w:t>
      </w:r>
      <w:r>
        <w:rPr/>
        <w:t>en</w:t>
      </w:r>
      <w:r>
        <w:rPr>
          <w:spacing w:val="-12"/>
        </w:rPr>
        <w:t> </w:t>
      </w:r>
      <w:r>
        <w:rPr/>
        <w:t>las</w:t>
      </w:r>
      <w:r>
        <w:rPr>
          <w:spacing w:val="-13"/>
        </w:rPr>
        <w:t> </w:t>
      </w:r>
      <w:r>
        <w:rPr/>
        <w:t>licencias</w:t>
      </w:r>
      <w:r>
        <w:rPr>
          <w:spacing w:val="-12"/>
        </w:rPr>
        <w:t> </w:t>
      </w:r>
      <w:r>
        <w:rPr/>
        <w:t>de</w:t>
      </w:r>
      <w:r>
        <w:rPr>
          <w:spacing w:val="-14"/>
        </w:rPr>
        <w:t> </w:t>
      </w:r>
      <w:r>
        <w:rPr/>
        <w:t>uso</w:t>
      </w:r>
      <w:r>
        <w:rPr>
          <w:spacing w:val="-13"/>
        </w:rPr>
        <w:t> </w:t>
      </w:r>
      <w:r>
        <w:rPr/>
        <w:t>de</w:t>
      </w:r>
      <w:r>
        <w:rPr>
          <w:spacing w:val="-14"/>
        </w:rPr>
        <w:t> </w:t>
      </w:r>
      <w:r>
        <w:rPr/>
        <w:t>suelo, se harán acreedores a las medidas de seguridad y sanciones que establece esta Ley; la autoridad municipal</w:t>
      </w:r>
      <w:r>
        <w:rPr>
          <w:spacing w:val="-7"/>
        </w:rPr>
        <w:t> </w:t>
      </w:r>
      <w:r>
        <w:rPr/>
        <w:t>concederá</w:t>
      </w:r>
      <w:r>
        <w:rPr>
          <w:spacing w:val="-3"/>
        </w:rPr>
        <w:t> </w:t>
      </w:r>
      <w:r>
        <w:rPr/>
        <w:t>un</w:t>
      </w:r>
      <w:r>
        <w:rPr>
          <w:spacing w:val="-4"/>
        </w:rPr>
        <w:t> </w:t>
      </w:r>
      <w:r>
        <w:rPr/>
        <w:t>término</w:t>
      </w:r>
      <w:r>
        <w:rPr>
          <w:spacing w:val="-6"/>
        </w:rPr>
        <w:t> </w:t>
      </w:r>
      <w:r>
        <w:rPr/>
        <w:t>máximo</w:t>
      </w:r>
      <w:r>
        <w:rPr>
          <w:spacing w:val="-6"/>
        </w:rPr>
        <w:t> </w:t>
      </w:r>
      <w:r>
        <w:rPr/>
        <w:t>de</w:t>
      </w:r>
      <w:r>
        <w:rPr>
          <w:spacing w:val="-6"/>
        </w:rPr>
        <w:t> </w:t>
      </w:r>
      <w:r>
        <w:rPr/>
        <w:t>treinta</w:t>
      </w:r>
      <w:r>
        <w:rPr>
          <w:spacing w:val="-4"/>
        </w:rPr>
        <w:t> </w:t>
      </w:r>
      <w:r>
        <w:rPr/>
        <w:t>días</w:t>
      </w:r>
      <w:r>
        <w:rPr>
          <w:spacing w:val="-4"/>
        </w:rPr>
        <w:t> </w:t>
      </w:r>
      <w:r>
        <w:rPr/>
        <w:t>naturales</w:t>
      </w:r>
      <w:r>
        <w:rPr>
          <w:spacing w:val="-5"/>
        </w:rPr>
        <w:t> </w:t>
      </w:r>
      <w:r>
        <w:rPr/>
        <w:t>para</w:t>
      </w:r>
      <w:r>
        <w:rPr>
          <w:spacing w:val="-5"/>
        </w:rPr>
        <w:t> </w:t>
      </w:r>
      <w:r>
        <w:rPr/>
        <w:t>su</w:t>
      </w:r>
      <w:r>
        <w:rPr>
          <w:spacing w:val="-6"/>
        </w:rPr>
        <w:t> </w:t>
      </w:r>
      <w:r>
        <w:rPr/>
        <w:t>regularización</w:t>
      </w:r>
      <w:r>
        <w:rPr>
          <w:spacing w:val="-4"/>
        </w:rPr>
        <w:t> </w:t>
      </w:r>
      <w:r>
        <w:rPr/>
        <w:t>en</w:t>
      </w:r>
      <w:r>
        <w:rPr>
          <w:spacing w:val="-6"/>
        </w:rPr>
        <w:t> </w:t>
      </w:r>
      <w:r>
        <w:rPr/>
        <w:t>caso</w:t>
      </w:r>
      <w:r>
        <w:rPr>
          <w:spacing w:val="-3"/>
        </w:rPr>
        <w:t> </w:t>
      </w:r>
      <w:r>
        <w:rPr/>
        <w:t>de ser procedente. Si el interesado no lo hiciere dentro del término concedido, podrán ser demolidas total o parcialmente por las autoridades competentes; quienes no tendrán obligación de pagar indemnización alguna, requiriendo a los responsables a cubrir el costo de los trabajos efectuados.</w:t>
      </w:r>
    </w:p>
    <w:p>
      <w:pPr>
        <w:pStyle w:val="BodyText"/>
      </w:pPr>
    </w:p>
    <w:p>
      <w:pPr>
        <w:pStyle w:val="BodyText"/>
      </w:pPr>
    </w:p>
    <w:p>
      <w:pPr>
        <w:pStyle w:val="Heading2"/>
        <w:ind w:right="15"/>
      </w:pPr>
      <w:r>
        <w:rPr/>
        <w:t>Capítulo</w:t>
      </w:r>
      <w:r>
        <w:rPr>
          <w:spacing w:val="-8"/>
        </w:rPr>
        <w:t> </w:t>
      </w:r>
      <w:r>
        <w:rPr>
          <w:spacing w:val="-5"/>
        </w:rPr>
        <w:t>II</w:t>
      </w:r>
    </w:p>
    <w:p>
      <w:pPr>
        <w:pStyle w:val="Heading2"/>
        <w:spacing w:after="0"/>
        <w:sectPr>
          <w:pgSz w:w="12240" w:h="15840"/>
          <w:pgMar w:header="720" w:footer="697" w:top="2100" w:bottom="880" w:left="1440" w:right="1440"/>
        </w:sectPr>
      </w:pPr>
    </w:p>
    <w:p>
      <w:pPr>
        <w:pStyle w:val="BodyText"/>
        <w:rPr>
          <w:rFonts w:ascii="Arial"/>
          <w:b/>
        </w:rPr>
      </w:pPr>
    </w:p>
    <w:p>
      <w:pPr>
        <w:pStyle w:val="BodyText"/>
        <w:rPr>
          <w:rFonts w:ascii="Arial"/>
          <w:b/>
        </w:rPr>
      </w:pPr>
    </w:p>
    <w:p>
      <w:pPr>
        <w:pStyle w:val="BodyText"/>
        <w:spacing w:before="71"/>
        <w:rPr>
          <w:rFonts w:ascii="Arial"/>
          <w:b/>
        </w:rPr>
      </w:pPr>
    </w:p>
    <w:p>
      <w:pPr>
        <w:spacing w:before="0"/>
        <w:ind w:left="0" w:right="20" w:firstLine="0"/>
        <w:jc w:val="center"/>
        <w:rPr>
          <w:rFonts w:ascii="Arial" w:hAnsi="Arial"/>
          <w:b/>
          <w:sz w:val="20"/>
        </w:rPr>
      </w:pPr>
      <w:r>
        <w:rPr>
          <w:rFonts w:ascii="Arial" w:hAnsi="Arial"/>
          <w:b/>
          <w:sz w:val="20"/>
        </w:rPr>
        <w:t>Licencia</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pacing w:val="-2"/>
          <w:sz w:val="20"/>
        </w:rPr>
        <w:t>Construcción</w:t>
      </w:r>
    </w:p>
    <w:p>
      <w:pPr>
        <w:pStyle w:val="BodyText"/>
        <w:spacing w:before="1"/>
        <w:rPr>
          <w:rFonts w:ascii="Arial"/>
          <w:b/>
        </w:rPr>
      </w:pPr>
    </w:p>
    <w:p>
      <w:pPr>
        <w:pStyle w:val="BodyText"/>
        <w:ind w:left="262" w:right="286"/>
        <w:jc w:val="both"/>
      </w:pPr>
      <w:r>
        <w:rPr>
          <w:rFonts w:ascii="Arial" w:hAnsi="Arial"/>
          <w:b/>
        </w:rPr>
        <w:t>ARTÍCULO 303. </w:t>
      </w:r>
      <w:r>
        <w:rPr/>
        <w:t>Los ayuntamientos no emitirán licencias municipales de construcción o de funcionamiento de establecimientos comerciales, industriales y de servicios, con infracción a lo contemplado en la respectiva licencia de uso de suelo.</w:t>
      </w:r>
    </w:p>
    <w:p>
      <w:pPr>
        <w:pStyle w:val="BodyText"/>
        <w:spacing w:before="229"/>
        <w:ind w:left="262" w:right="285"/>
        <w:jc w:val="both"/>
      </w:pPr>
      <w:r>
        <w:rPr/>
        <w:t>Serán nulas de pleno derecho y no surtirán ningún efecto jurídico las licencias que se expidan en contravención a los programas de ordenamiento territorial y desarrollo urbano, las licencias de uso de suelo y demás disposiciones jurídicas aplicables.</w:t>
      </w:r>
    </w:p>
    <w:p>
      <w:pPr>
        <w:pStyle w:val="BodyText"/>
      </w:pPr>
    </w:p>
    <w:p>
      <w:pPr>
        <w:pStyle w:val="BodyText"/>
        <w:ind w:left="262" w:right="278"/>
        <w:jc w:val="both"/>
      </w:pPr>
      <w:r>
        <w:rPr>
          <w:rFonts w:ascii="Arial" w:hAnsi="Arial"/>
          <w:b/>
        </w:rPr>
        <w:t>ARTÍCULO</w:t>
      </w:r>
      <w:r>
        <w:rPr>
          <w:rFonts w:ascii="Arial" w:hAnsi="Arial"/>
          <w:b/>
          <w:spacing w:val="-14"/>
        </w:rPr>
        <w:t> </w:t>
      </w:r>
      <w:r>
        <w:rPr>
          <w:rFonts w:ascii="Arial" w:hAnsi="Arial"/>
          <w:b/>
        </w:rPr>
        <w:t>304.</w:t>
      </w:r>
      <w:r>
        <w:rPr>
          <w:rFonts w:ascii="Arial" w:hAnsi="Arial"/>
          <w:b/>
          <w:spacing w:val="-14"/>
        </w:rPr>
        <w:t> </w:t>
      </w:r>
      <w:r>
        <w:rPr/>
        <w:t>La</w:t>
      </w:r>
      <w:r>
        <w:rPr>
          <w:spacing w:val="-14"/>
        </w:rPr>
        <w:t> </w:t>
      </w:r>
      <w:r>
        <w:rPr/>
        <w:t>licencia</w:t>
      </w:r>
      <w:r>
        <w:rPr>
          <w:spacing w:val="-14"/>
        </w:rPr>
        <w:t> </w:t>
      </w:r>
      <w:r>
        <w:rPr/>
        <w:t>municipal</w:t>
      </w:r>
      <w:r>
        <w:rPr>
          <w:spacing w:val="-14"/>
        </w:rPr>
        <w:t> </w:t>
      </w:r>
      <w:r>
        <w:rPr/>
        <w:t>de</w:t>
      </w:r>
      <w:r>
        <w:rPr>
          <w:spacing w:val="-14"/>
        </w:rPr>
        <w:t> </w:t>
      </w:r>
      <w:r>
        <w:rPr/>
        <w:t>construcción</w:t>
      </w:r>
      <w:r>
        <w:rPr>
          <w:spacing w:val="-14"/>
        </w:rPr>
        <w:t> </w:t>
      </w:r>
      <w:r>
        <w:rPr/>
        <w:t>se</w:t>
      </w:r>
      <w:r>
        <w:rPr>
          <w:spacing w:val="-14"/>
        </w:rPr>
        <w:t> </w:t>
      </w:r>
      <w:r>
        <w:rPr/>
        <w:t>requerirá</w:t>
      </w:r>
      <w:r>
        <w:rPr>
          <w:spacing w:val="-14"/>
        </w:rPr>
        <w:t> </w:t>
      </w:r>
      <w:r>
        <w:rPr/>
        <w:t>para</w:t>
      </w:r>
      <w:r>
        <w:rPr>
          <w:spacing w:val="-13"/>
        </w:rPr>
        <w:t> </w:t>
      </w:r>
      <w:r>
        <w:rPr/>
        <w:t>la</w:t>
      </w:r>
      <w:r>
        <w:rPr>
          <w:spacing w:val="-14"/>
        </w:rPr>
        <w:t> </w:t>
      </w:r>
      <w:r>
        <w:rPr/>
        <w:t>ejecución</w:t>
      </w:r>
      <w:r>
        <w:rPr>
          <w:spacing w:val="-14"/>
        </w:rPr>
        <w:t> </w:t>
      </w:r>
      <w:r>
        <w:rPr/>
        <w:t>de</w:t>
      </w:r>
      <w:r>
        <w:rPr>
          <w:spacing w:val="-14"/>
        </w:rPr>
        <w:t> </w:t>
      </w:r>
      <w:r>
        <w:rPr/>
        <w:t>construcción nueva, ampliación, modificación o reparación de la existente, excavación y demolición, así como para</w:t>
      </w:r>
      <w:r>
        <w:rPr>
          <w:spacing w:val="-14"/>
        </w:rPr>
        <w:t> </w:t>
      </w:r>
      <w:r>
        <w:rPr/>
        <w:t>modificaciones</w:t>
      </w:r>
      <w:r>
        <w:rPr>
          <w:spacing w:val="-13"/>
        </w:rPr>
        <w:t> </w:t>
      </w:r>
      <w:r>
        <w:rPr/>
        <w:t>estructurales</w:t>
      </w:r>
      <w:r>
        <w:rPr>
          <w:spacing w:val="-10"/>
        </w:rPr>
        <w:t> </w:t>
      </w:r>
      <w:r>
        <w:rPr/>
        <w:t>a</w:t>
      </w:r>
      <w:r>
        <w:rPr>
          <w:spacing w:val="-14"/>
        </w:rPr>
        <w:t> </w:t>
      </w:r>
      <w:r>
        <w:rPr/>
        <w:t>la</w:t>
      </w:r>
      <w:r>
        <w:rPr>
          <w:spacing w:val="-13"/>
        </w:rPr>
        <w:t> </w:t>
      </w:r>
      <w:r>
        <w:rPr/>
        <w:t>misma</w:t>
      </w:r>
      <w:r>
        <w:rPr>
          <w:spacing w:val="-12"/>
        </w:rPr>
        <w:t> </w:t>
      </w:r>
      <w:r>
        <w:rPr/>
        <w:t>o</w:t>
      </w:r>
      <w:r>
        <w:rPr>
          <w:spacing w:val="-14"/>
        </w:rPr>
        <w:t> </w:t>
      </w:r>
      <w:r>
        <w:rPr/>
        <w:t>el</w:t>
      </w:r>
      <w:r>
        <w:rPr>
          <w:spacing w:val="-13"/>
        </w:rPr>
        <w:t> </w:t>
      </w:r>
      <w:r>
        <w:rPr/>
        <w:t>cambio</w:t>
      </w:r>
      <w:r>
        <w:rPr>
          <w:spacing w:val="-14"/>
        </w:rPr>
        <w:t> </w:t>
      </w:r>
      <w:r>
        <w:rPr/>
        <w:t>de</w:t>
      </w:r>
      <w:r>
        <w:rPr>
          <w:spacing w:val="-11"/>
        </w:rPr>
        <w:t> </w:t>
      </w:r>
      <w:r>
        <w:rPr/>
        <w:t>la</w:t>
      </w:r>
      <w:r>
        <w:rPr>
          <w:spacing w:val="-14"/>
        </w:rPr>
        <w:t> </w:t>
      </w:r>
      <w:r>
        <w:rPr/>
        <w:t>construcción</w:t>
      </w:r>
      <w:r>
        <w:rPr>
          <w:spacing w:val="-11"/>
        </w:rPr>
        <w:t> </w:t>
      </w:r>
      <w:r>
        <w:rPr/>
        <w:t>al</w:t>
      </w:r>
      <w:r>
        <w:rPr>
          <w:spacing w:val="-14"/>
        </w:rPr>
        <w:t> </w:t>
      </w:r>
      <w:r>
        <w:rPr/>
        <w:t>régimen</w:t>
      </w:r>
      <w:r>
        <w:rPr>
          <w:spacing w:val="-11"/>
        </w:rPr>
        <w:t> </w:t>
      </w:r>
      <w:r>
        <w:rPr/>
        <w:t>de</w:t>
      </w:r>
      <w:r>
        <w:rPr>
          <w:spacing w:val="-12"/>
        </w:rPr>
        <w:t> </w:t>
      </w:r>
      <w:r>
        <w:rPr/>
        <w:t>propiedad en condominio.</w:t>
      </w:r>
    </w:p>
    <w:p>
      <w:pPr>
        <w:pStyle w:val="BodyText"/>
        <w:spacing w:before="2"/>
      </w:pPr>
    </w:p>
    <w:p>
      <w:pPr>
        <w:pStyle w:val="BodyText"/>
        <w:ind w:left="262" w:right="286"/>
        <w:jc w:val="both"/>
      </w:pPr>
      <w:r>
        <w:rPr/>
        <w:t>La licencia municipal de construcción en los casos de obra nueva, podrá también comprender el permiso de ocupación de la vía pública, demolición y conexiones de agua potable y drenaje, de conformidad con la licencia de uso de suelo respectiva.</w:t>
      </w:r>
    </w:p>
    <w:p>
      <w:pPr>
        <w:pStyle w:val="BodyText"/>
      </w:pPr>
    </w:p>
    <w:p>
      <w:pPr>
        <w:pStyle w:val="BodyText"/>
        <w:ind w:left="262" w:right="285"/>
        <w:jc w:val="both"/>
      </w:pPr>
      <w:r>
        <w:rPr>
          <w:rFonts w:ascii="Arial" w:hAnsi="Arial"/>
          <w:b/>
        </w:rPr>
        <w:t>ARTÍCULO</w:t>
      </w:r>
      <w:r>
        <w:rPr>
          <w:rFonts w:ascii="Arial" w:hAnsi="Arial"/>
          <w:b/>
          <w:spacing w:val="-11"/>
        </w:rPr>
        <w:t> </w:t>
      </w:r>
      <w:r>
        <w:rPr>
          <w:rFonts w:ascii="Arial" w:hAnsi="Arial"/>
          <w:b/>
        </w:rPr>
        <w:t>305.</w:t>
      </w:r>
      <w:r>
        <w:rPr>
          <w:rFonts w:ascii="Arial" w:hAnsi="Arial"/>
          <w:b/>
          <w:spacing w:val="-10"/>
        </w:rPr>
        <w:t> </w:t>
      </w:r>
      <w:r>
        <w:rPr/>
        <w:t>A</w:t>
      </w:r>
      <w:r>
        <w:rPr>
          <w:spacing w:val="-13"/>
        </w:rPr>
        <w:t> </w:t>
      </w:r>
      <w:r>
        <w:rPr/>
        <w:t>la</w:t>
      </w:r>
      <w:r>
        <w:rPr>
          <w:spacing w:val="-13"/>
        </w:rPr>
        <w:t> </w:t>
      </w:r>
      <w:r>
        <w:rPr/>
        <w:t>solicitud</w:t>
      </w:r>
      <w:r>
        <w:rPr>
          <w:spacing w:val="-13"/>
        </w:rPr>
        <w:t> </w:t>
      </w:r>
      <w:r>
        <w:rPr/>
        <w:t>de</w:t>
      </w:r>
      <w:r>
        <w:rPr>
          <w:spacing w:val="-13"/>
        </w:rPr>
        <w:t> </w:t>
      </w:r>
      <w:r>
        <w:rPr/>
        <w:t>la</w:t>
      </w:r>
      <w:r>
        <w:rPr>
          <w:spacing w:val="-12"/>
        </w:rPr>
        <w:t> </w:t>
      </w:r>
      <w:r>
        <w:rPr/>
        <w:t>licencia</w:t>
      </w:r>
      <w:r>
        <w:rPr>
          <w:spacing w:val="-13"/>
        </w:rPr>
        <w:t> </w:t>
      </w:r>
      <w:r>
        <w:rPr/>
        <w:t>municipal</w:t>
      </w:r>
      <w:r>
        <w:rPr>
          <w:spacing w:val="-13"/>
        </w:rPr>
        <w:t> </w:t>
      </w:r>
      <w:r>
        <w:rPr/>
        <w:t>de</w:t>
      </w:r>
      <w:r>
        <w:rPr>
          <w:spacing w:val="-14"/>
        </w:rPr>
        <w:t> </w:t>
      </w:r>
      <w:r>
        <w:rPr/>
        <w:t>construcción,</w:t>
      </w:r>
      <w:r>
        <w:rPr>
          <w:spacing w:val="-12"/>
        </w:rPr>
        <w:t> </w:t>
      </w:r>
      <w:r>
        <w:rPr/>
        <w:t>se</w:t>
      </w:r>
      <w:r>
        <w:rPr>
          <w:spacing w:val="-13"/>
        </w:rPr>
        <w:t> </w:t>
      </w:r>
      <w:r>
        <w:rPr/>
        <w:t>deberán</w:t>
      </w:r>
      <w:r>
        <w:rPr>
          <w:spacing w:val="-14"/>
        </w:rPr>
        <w:t> </w:t>
      </w:r>
      <w:r>
        <w:rPr/>
        <w:t>acompañar</w:t>
      </w:r>
      <w:r>
        <w:rPr>
          <w:spacing w:val="-11"/>
        </w:rPr>
        <w:t> </w:t>
      </w:r>
      <w:r>
        <w:rPr/>
        <w:t>como mínimo los documentos que a continuación se indican, según el tipo de obra por ejecutar:</w:t>
      </w:r>
    </w:p>
    <w:p>
      <w:pPr>
        <w:pStyle w:val="ListParagraph"/>
        <w:numPr>
          <w:ilvl w:val="0"/>
          <w:numId w:val="109"/>
        </w:numPr>
        <w:tabs>
          <w:tab w:pos="543" w:val="left" w:leader="none"/>
        </w:tabs>
        <w:spacing w:line="240" w:lineRule="auto" w:before="229" w:after="0"/>
        <w:ind w:left="543" w:right="0" w:hanging="281"/>
        <w:jc w:val="both"/>
        <w:rPr>
          <w:sz w:val="20"/>
        </w:rPr>
      </w:pPr>
      <w:r>
        <w:rPr>
          <w:sz w:val="20"/>
        </w:rPr>
        <w:t>Para</w:t>
      </w:r>
      <w:r>
        <w:rPr>
          <w:spacing w:val="-6"/>
          <w:sz w:val="20"/>
        </w:rPr>
        <w:t> </w:t>
      </w:r>
      <w:r>
        <w:rPr>
          <w:sz w:val="20"/>
        </w:rPr>
        <w:t>obra</w:t>
      </w:r>
      <w:r>
        <w:rPr>
          <w:spacing w:val="-8"/>
          <w:sz w:val="20"/>
        </w:rPr>
        <w:t> </w:t>
      </w:r>
      <w:r>
        <w:rPr>
          <w:spacing w:val="-2"/>
          <w:sz w:val="20"/>
        </w:rPr>
        <w:t>nueva:</w:t>
      </w:r>
    </w:p>
    <w:p>
      <w:pPr>
        <w:pStyle w:val="BodyText"/>
        <w:spacing w:before="1"/>
      </w:pPr>
    </w:p>
    <w:p>
      <w:pPr>
        <w:pStyle w:val="ListParagraph"/>
        <w:numPr>
          <w:ilvl w:val="1"/>
          <w:numId w:val="109"/>
        </w:numPr>
        <w:tabs>
          <w:tab w:pos="544" w:val="left" w:leader="none"/>
        </w:tabs>
        <w:spacing w:line="240" w:lineRule="auto" w:before="0" w:after="0"/>
        <w:ind w:left="262" w:right="284" w:firstLine="0"/>
        <w:jc w:val="both"/>
        <w:rPr>
          <w:sz w:val="20"/>
        </w:rPr>
      </w:pPr>
      <w:r>
        <w:rPr>
          <w:sz w:val="20"/>
        </w:rPr>
        <w:t>Licencia</w:t>
      </w:r>
      <w:r>
        <w:rPr>
          <w:spacing w:val="-10"/>
          <w:sz w:val="20"/>
        </w:rPr>
        <w:t> </w:t>
      </w:r>
      <w:r>
        <w:rPr>
          <w:sz w:val="20"/>
        </w:rPr>
        <w:t>de</w:t>
      </w:r>
      <w:r>
        <w:rPr>
          <w:spacing w:val="-10"/>
          <w:sz w:val="20"/>
        </w:rPr>
        <w:t> </w:t>
      </w:r>
      <w:r>
        <w:rPr>
          <w:sz w:val="20"/>
        </w:rPr>
        <w:t>uso</w:t>
      </w:r>
      <w:r>
        <w:rPr>
          <w:spacing w:val="-10"/>
          <w:sz w:val="20"/>
        </w:rPr>
        <w:t> </w:t>
      </w:r>
      <w:r>
        <w:rPr>
          <w:sz w:val="20"/>
        </w:rPr>
        <w:t>de</w:t>
      </w:r>
      <w:r>
        <w:rPr>
          <w:spacing w:val="-10"/>
          <w:sz w:val="20"/>
        </w:rPr>
        <w:t> </w:t>
      </w:r>
      <w:r>
        <w:rPr>
          <w:sz w:val="20"/>
        </w:rPr>
        <w:t>suelo</w:t>
      </w:r>
      <w:r>
        <w:rPr>
          <w:spacing w:val="-10"/>
          <w:sz w:val="20"/>
        </w:rPr>
        <w:t> </w:t>
      </w:r>
      <w:r>
        <w:rPr>
          <w:sz w:val="20"/>
        </w:rPr>
        <w:t>vigente,</w:t>
      </w:r>
      <w:r>
        <w:rPr>
          <w:spacing w:val="-10"/>
          <w:sz w:val="20"/>
        </w:rPr>
        <w:t> </w:t>
      </w:r>
      <w:r>
        <w:rPr>
          <w:sz w:val="20"/>
        </w:rPr>
        <w:t>tratándose</w:t>
      </w:r>
      <w:r>
        <w:rPr>
          <w:spacing w:val="-10"/>
          <w:sz w:val="20"/>
        </w:rPr>
        <w:t> </w:t>
      </w:r>
      <w:r>
        <w:rPr>
          <w:sz w:val="20"/>
        </w:rPr>
        <w:t>de</w:t>
      </w:r>
      <w:r>
        <w:rPr>
          <w:spacing w:val="-10"/>
          <w:sz w:val="20"/>
        </w:rPr>
        <w:t> </w:t>
      </w:r>
      <w:r>
        <w:rPr>
          <w:sz w:val="20"/>
        </w:rPr>
        <w:t>vivienda</w:t>
      </w:r>
      <w:r>
        <w:rPr>
          <w:spacing w:val="-10"/>
          <w:sz w:val="20"/>
        </w:rPr>
        <w:t> </w:t>
      </w:r>
      <w:r>
        <w:rPr>
          <w:sz w:val="20"/>
        </w:rPr>
        <w:t>en</w:t>
      </w:r>
      <w:r>
        <w:rPr>
          <w:spacing w:val="-10"/>
          <w:sz w:val="20"/>
        </w:rPr>
        <w:t> </w:t>
      </w:r>
      <w:r>
        <w:rPr>
          <w:sz w:val="20"/>
        </w:rPr>
        <w:t>fraccionamientos,</w:t>
      </w:r>
      <w:r>
        <w:rPr>
          <w:spacing w:val="-10"/>
          <w:sz w:val="20"/>
        </w:rPr>
        <w:t> </w:t>
      </w:r>
      <w:r>
        <w:rPr>
          <w:sz w:val="20"/>
        </w:rPr>
        <w:t>podrá</w:t>
      </w:r>
      <w:r>
        <w:rPr>
          <w:spacing w:val="-9"/>
          <w:sz w:val="20"/>
        </w:rPr>
        <w:t> </w:t>
      </w:r>
      <w:r>
        <w:rPr>
          <w:sz w:val="20"/>
        </w:rPr>
        <w:t>presentarse la licencia que ampare la totalidad del polígono del fraccionamiento autorizado.</w:t>
      </w:r>
    </w:p>
    <w:p>
      <w:pPr>
        <w:pStyle w:val="ListParagraph"/>
        <w:numPr>
          <w:ilvl w:val="1"/>
          <w:numId w:val="109"/>
        </w:numPr>
        <w:tabs>
          <w:tab w:pos="544" w:val="left" w:leader="none"/>
        </w:tabs>
        <w:spacing w:line="240" w:lineRule="auto" w:before="229" w:after="0"/>
        <w:ind w:left="262" w:right="285" w:firstLine="0"/>
        <w:jc w:val="both"/>
        <w:rPr>
          <w:sz w:val="20"/>
        </w:rPr>
      </w:pPr>
      <w:r>
        <w:rPr>
          <w:sz w:val="20"/>
        </w:rPr>
        <w:t>Autorización de impacto ambiental, de la Secretaría de Ecología y Gestión Ambiental o en su caso</w:t>
      </w:r>
      <w:r>
        <w:rPr>
          <w:spacing w:val="-4"/>
          <w:sz w:val="20"/>
        </w:rPr>
        <w:t> </w:t>
      </w:r>
      <w:r>
        <w:rPr>
          <w:sz w:val="20"/>
        </w:rPr>
        <w:t>del</w:t>
      </w:r>
      <w:r>
        <w:rPr>
          <w:spacing w:val="-3"/>
          <w:sz w:val="20"/>
        </w:rPr>
        <w:t> </w:t>
      </w:r>
      <w:r>
        <w:rPr>
          <w:sz w:val="20"/>
        </w:rPr>
        <w:t>Ayuntamiento</w:t>
      </w:r>
      <w:r>
        <w:rPr>
          <w:spacing w:val="-2"/>
          <w:sz w:val="20"/>
        </w:rPr>
        <w:t> </w:t>
      </w:r>
      <w:r>
        <w:rPr>
          <w:sz w:val="20"/>
        </w:rPr>
        <w:t>respectivo,</w:t>
      </w:r>
      <w:r>
        <w:rPr>
          <w:spacing w:val="-2"/>
          <w:sz w:val="20"/>
        </w:rPr>
        <w:t> </w:t>
      </w:r>
      <w:r>
        <w:rPr>
          <w:sz w:val="20"/>
        </w:rPr>
        <w:t>en</w:t>
      </w:r>
      <w:r>
        <w:rPr>
          <w:spacing w:val="-3"/>
          <w:sz w:val="20"/>
        </w:rPr>
        <w:t> </w:t>
      </w:r>
      <w:r>
        <w:rPr>
          <w:sz w:val="20"/>
        </w:rPr>
        <w:t>los</w:t>
      </w:r>
      <w:r>
        <w:rPr>
          <w:spacing w:val="-3"/>
          <w:sz w:val="20"/>
        </w:rPr>
        <w:t> </w:t>
      </w:r>
      <w:r>
        <w:rPr>
          <w:sz w:val="20"/>
        </w:rPr>
        <w:t>casos</w:t>
      </w:r>
      <w:r>
        <w:rPr>
          <w:spacing w:val="-3"/>
          <w:sz w:val="20"/>
        </w:rPr>
        <w:t> </w:t>
      </w:r>
      <w:r>
        <w:rPr>
          <w:sz w:val="20"/>
        </w:rPr>
        <w:t>de</w:t>
      </w:r>
      <w:r>
        <w:rPr>
          <w:spacing w:val="-4"/>
          <w:sz w:val="20"/>
        </w:rPr>
        <w:t> </w:t>
      </w:r>
      <w:r>
        <w:rPr>
          <w:sz w:val="20"/>
        </w:rPr>
        <w:t>obras</w:t>
      </w:r>
      <w:r>
        <w:rPr>
          <w:spacing w:val="-3"/>
          <w:sz w:val="20"/>
        </w:rPr>
        <w:t> </w:t>
      </w:r>
      <w:r>
        <w:rPr>
          <w:sz w:val="20"/>
        </w:rPr>
        <w:t>y</w:t>
      </w:r>
      <w:r>
        <w:rPr>
          <w:spacing w:val="-3"/>
          <w:sz w:val="20"/>
        </w:rPr>
        <w:t> </w:t>
      </w:r>
      <w:r>
        <w:rPr>
          <w:sz w:val="20"/>
        </w:rPr>
        <w:t>actividades</w:t>
      </w:r>
      <w:r>
        <w:rPr>
          <w:spacing w:val="-3"/>
          <w:sz w:val="20"/>
        </w:rPr>
        <w:t> </w:t>
      </w:r>
      <w:r>
        <w:rPr>
          <w:sz w:val="20"/>
        </w:rPr>
        <w:t>señaladas</w:t>
      </w:r>
      <w:r>
        <w:rPr>
          <w:spacing w:val="-3"/>
          <w:sz w:val="20"/>
        </w:rPr>
        <w:t> </w:t>
      </w:r>
      <w:r>
        <w:rPr>
          <w:sz w:val="20"/>
        </w:rPr>
        <w:t>en</w:t>
      </w:r>
      <w:r>
        <w:rPr>
          <w:spacing w:val="-5"/>
          <w:sz w:val="20"/>
        </w:rPr>
        <w:t> </w:t>
      </w:r>
      <w:r>
        <w:rPr>
          <w:sz w:val="20"/>
        </w:rPr>
        <w:t>el</w:t>
      </w:r>
      <w:r>
        <w:rPr>
          <w:spacing w:val="-5"/>
          <w:sz w:val="20"/>
        </w:rPr>
        <w:t> </w:t>
      </w:r>
      <w:r>
        <w:rPr>
          <w:sz w:val="20"/>
        </w:rPr>
        <w:t>artículo</w:t>
      </w:r>
      <w:r>
        <w:rPr>
          <w:spacing w:val="-2"/>
          <w:sz w:val="20"/>
        </w:rPr>
        <w:t> </w:t>
      </w:r>
      <w:r>
        <w:rPr>
          <w:sz w:val="20"/>
        </w:rPr>
        <w:t>118 de la Ley Ambiental del Estado.</w:t>
      </w:r>
    </w:p>
    <w:p>
      <w:pPr>
        <w:pStyle w:val="BodyText"/>
        <w:spacing w:before="1"/>
      </w:pPr>
    </w:p>
    <w:p>
      <w:pPr>
        <w:pStyle w:val="ListParagraph"/>
        <w:numPr>
          <w:ilvl w:val="1"/>
          <w:numId w:val="109"/>
        </w:numPr>
        <w:tabs>
          <w:tab w:pos="544" w:val="left" w:leader="none"/>
        </w:tabs>
        <w:spacing w:line="240" w:lineRule="auto" w:before="0" w:after="0"/>
        <w:ind w:left="262" w:right="279" w:firstLine="0"/>
        <w:jc w:val="both"/>
        <w:rPr>
          <w:sz w:val="20"/>
        </w:rPr>
      </w:pPr>
      <w:r>
        <w:rPr>
          <w:sz w:val="20"/>
        </w:rPr>
        <w:t>En</w:t>
      </w:r>
      <w:r>
        <w:rPr>
          <w:spacing w:val="-4"/>
          <w:sz w:val="20"/>
        </w:rPr>
        <w:t> </w:t>
      </w:r>
      <w:r>
        <w:rPr>
          <w:sz w:val="20"/>
        </w:rPr>
        <w:t>su</w:t>
      </w:r>
      <w:r>
        <w:rPr>
          <w:spacing w:val="-4"/>
          <w:sz w:val="20"/>
        </w:rPr>
        <w:t> </w:t>
      </w:r>
      <w:r>
        <w:rPr>
          <w:sz w:val="20"/>
        </w:rPr>
        <w:t>caso,</w:t>
      </w:r>
      <w:r>
        <w:rPr>
          <w:spacing w:val="-4"/>
          <w:sz w:val="20"/>
        </w:rPr>
        <w:t> </w:t>
      </w:r>
      <w:r>
        <w:rPr>
          <w:sz w:val="20"/>
        </w:rPr>
        <w:t>autorización</w:t>
      </w:r>
      <w:r>
        <w:rPr>
          <w:spacing w:val="-4"/>
          <w:sz w:val="20"/>
        </w:rPr>
        <w:t> </w:t>
      </w:r>
      <w:r>
        <w:rPr>
          <w:sz w:val="20"/>
        </w:rPr>
        <w:t>de</w:t>
      </w:r>
      <w:r>
        <w:rPr>
          <w:spacing w:val="-2"/>
          <w:sz w:val="20"/>
        </w:rPr>
        <w:t> </w:t>
      </w:r>
      <w:r>
        <w:rPr>
          <w:sz w:val="20"/>
        </w:rPr>
        <w:t>la</w:t>
      </w:r>
      <w:r>
        <w:rPr>
          <w:spacing w:val="-4"/>
          <w:sz w:val="20"/>
        </w:rPr>
        <w:t> </w:t>
      </w:r>
      <w:r>
        <w:rPr>
          <w:sz w:val="20"/>
        </w:rPr>
        <w:t>autoridad</w:t>
      </w:r>
      <w:r>
        <w:rPr>
          <w:spacing w:val="-5"/>
          <w:sz w:val="20"/>
        </w:rPr>
        <w:t> </w:t>
      </w:r>
      <w:r>
        <w:rPr>
          <w:sz w:val="20"/>
        </w:rPr>
        <w:t>competente</w:t>
      </w:r>
      <w:r>
        <w:rPr>
          <w:spacing w:val="-5"/>
          <w:sz w:val="20"/>
        </w:rPr>
        <w:t> </w:t>
      </w:r>
      <w:r>
        <w:rPr>
          <w:sz w:val="20"/>
        </w:rPr>
        <w:t>de</w:t>
      </w:r>
      <w:r>
        <w:rPr>
          <w:spacing w:val="-4"/>
          <w:sz w:val="20"/>
        </w:rPr>
        <w:t> </w:t>
      </w:r>
      <w:r>
        <w:rPr>
          <w:sz w:val="20"/>
        </w:rPr>
        <w:t>cambios</w:t>
      </w:r>
      <w:r>
        <w:rPr>
          <w:spacing w:val="-3"/>
          <w:sz w:val="20"/>
        </w:rPr>
        <w:t> </w:t>
      </w:r>
      <w:r>
        <w:rPr>
          <w:sz w:val="20"/>
        </w:rPr>
        <w:t>de</w:t>
      </w:r>
      <w:r>
        <w:rPr>
          <w:spacing w:val="-5"/>
          <w:sz w:val="20"/>
        </w:rPr>
        <w:t> </w:t>
      </w:r>
      <w:r>
        <w:rPr>
          <w:sz w:val="20"/>
        </w:rPr>
        <w:t>uso</w:t>
      </w:r>
      <w:r>
        <w:rPr>
          <w:spacing w:val="-4"/>
          <w:sz w:val="20"/>
        </w:rPr>
        <w:t> </w:t>
      </w:r>
      <w:r>
        <w:rPr>
          <w:sz w:val="20"/>
        </w:rPr>
        <w:t>de</w:t>
      </w:r>
      <w:r>
        <w:rPr>
          <w:spacing w:val="-4"/>
          <w:sz w:val="20"/>
        </w:rPr>
        <w:t> </w:t>
      </w:r>
      <w:r>
        <w:rPr>
          <w:sz w:val="20"/>
        </w:rPr>
        <w:t>terrenos</w:t>
      </w:r>
      <w:r>
        <w:rPr>
          <w:spacing w:val="-3"/>
          <w:sz w:val="20"/>
        </w:rPr>
        <w:t> </w:t>
      </w:r>
      <w:r>
        <w:rPr>
          <w:sz w:val="20"/>
        </w:rPr>
        <w:t>forestales</w:t>
      </w:r>
      <w:r>
        <w:rPr>
          <w:spacing w:val="-1"/>
          <w:sz w:val="20"/>
        </w:rPr>
        <w:t> </w:t>
      </w:r>
      <w:r>
        <w:rPr>
          <w:sz w:val="20"/>
        </w:rPr>
        <w:t>o de aptitud preferentemente forestal, aprovechamientos forestales o cambios de uso del suelo y aprovechamiento</w:t>
      </w:r>
      <w:r>
        <w:rPr>
          <w:spacing w:val="-7"/>
          <w:sz w:val="20"/>
        </w:rPr>
        <w:t> </w:t>
      </w:r>
      <w:r>
        <w:rPr>
          <w:sz w:val="20"/>
        </w:rPr>
        <w:t>del</w:t>
      </w:r>
      <w:r>
        <w:rPr>
          <w:spacing w:val="-5"/>
          <w:sz w:val="20"/>
        </w:rPr>
        <w:t> </w:t>
      </w:r>
      <w:r>
        <w:rPr>
          <w:sz w:val="20"/>
        </w:rPr>
        <w:t>mismo,</w:t>
      </w:r>
      <w:r>
        <w:rPr>
          <w:spacing w:val="-7"/>
          <w:sz w:val="20"/>
        </w:rPr>
        <w:t> </w:t>
      </w:r>
      <w:r>
        <w:rPr>
          <w:sz w:val="20"/>
        </w:rPr>
        <w:t>de</w:t>
      </w:r>
      <w:r>
        <w:rPr>
          <w:spacing w:val="-7"/>
          <w:sz w:val="20"/>
        </w:rPr>
        <w:t> </w:t>
      </w:r>
      <w:r>
        <w:rPr>
          <w:sz w:val="20"/>
        </w:rPr>
        <w:t>acuerdo</w:t>
      </w:r>
      <w:r>
        <w:rPr>
          <w:spacing w:val="-7"/>
          <w:sz w:val="20"/>
        </w:rPr>
        <w:t> </w:t>
      </w:r>
      <w:r>
        <w:rPr>
          <w:sz w:val="20"/>
        </w:rPr>
        <w:t>a</w:t>
      </w:r>
      <w:r>
        <w:rPr>
          <w:spacing w:val="-7"/>
          <w:sz w:val="20"/>
        </w:rPr>
        <w:t> </w:t>
      </w:r>
      <w:r>
        <w:rPr>
          <w:sz w:val="20"/>
        </w:rPr>
        <w:t>lo</w:t>
      </w:r>
      <w:r>
        <w:rPr>
          <w:spacing w:val="-7"/>
          <w:sz w:val="20"/>
        </w:rPr>
        <w:t> </w:t>
      </w:r>
      <w:r>
        <w:rPr>
          <w:sz w:val="20"/>
        </w:rPr>
        <w:t>previsto</w:t>
      </w:r>
      <w:r>
        <w:rPr>
          <w:spacing w:val="-5"/>
          <w:sz w:val="20"/>
        </w:rPr>
        <w:t> </w:t>
      </w:r>
      <w:r>
        <w:rPr>
          <w:sz w:val="20"/>
        </w:rPr>
        <w:t>en</w:t>
      </w:r>
      <w:r>
        <w:rPr>
          <w:spacing w:val="-7"/>
          <w:sz w:val="20"/>
        </w:rPr>
        <w:t> </w:t>
      </w:r>
      <w:r>
        <w:rPr>
          <w:sz w:val="20"/>
        </w:rPr>
        <w:t>la</w:t>
      </w:r>
      <w:r>
        <w:rPr>
          <w:spacing w:val="-7"/>
          <w:sz w:val="20"/>
        </w:rPr>
        <w:t> </w:t>
      </w:r>
      <w:r>
        <w:rPr>
          <w:sz w:val="20"/>
        </w:rPr>
        <w:t>Ley</w:t>
      </w:r>
      <w:r>
        <w:rPr>
          <w:spacing w:val="-6"/>
          <w:sz w:val="20"/>
        </w:rPr>
        <w:t> </w:t>
      </w:r>
      <w:r>
        <w:rPr>
          <w:sz w:val="20"/>
        </w:rPr>
        <w:t>General</w:t>
      </w:r>
      <w:r>
        <w:rPr>
          <w:spacing w:val="-7"/>
          <w:sz w:val="20"/>
        </w:rPr>
        <w:t> </w:t>
      </w:r>
      <w:r>
        <w:rPr>
          <w:sz w:val="20"/>
        </w:rPr>
        <w:t>del</w:t>
      </w:r>
      <w:r>
        <w:rPr>
          <w:spacing w:val="-7"/>
          <w:sz w:val="20"/>
        </w:rPr>
        <w:t> </w:t>
      </w:r>
      <w:r>
        <w:rPr>
          <w:sz w:val="20"/>
        </w:rPr>
        <w:t>Equilibrio</w:t>
      </w:r>
      <w:r>
        <w:rPr>
          <w:spacing w:val="-7"/>
          <w:sz w:val="20"/>
        </w:rPr>
        <w:t> </w:t>
      </w:r>
      <w:r>
        <w:rPr>
          <w:sz w:val="20"/>
        </w:rPr>
        <w:t>Ecológico</w:t>
      </w:r>
      <w:r>
        <w:rPr>
          <w:spacing w:val="-7"/>
          <w:sz w:val="20"/>
        </w:rPr>
        <w:t> </w:t>
      </w:r>
      <w:r>
        <w:rPr>
          <w:sz w:val="20"/>
        </w:rPr>
        <w:t>y</w:t>
      </w:r>
      <w:r>
        <w:rPr>
          <w:spacing w:val="-5"/>
          <w:sz w:val="20"/>
        </w:rPr>
        <w:t> </w:t>
      </w:r>
      <w:r>
        <w:rPr>
          <w:sz w:val="20"/>
        </w:rPr>
        <w:t>la Protección al Ambiente y de la Ley General de Desarrollo Forestal Sustentable.</w:t>
      </w:r>
    </w:p>
    <w:p>
      <w:pPr>
        <w:pStyle w:val="BodyText"/>
      </w:pPr>
    </w:p>
    <w:p>
      <w:pPr>
        <w:pStyle w:val="ListParagraph"/>
        <w:numPr>
          <w:ilvl w:val="1"/>
          <w:numId w:val="109"/>
        </w:numPr>
        <w:tabs>
          <w:tab w:pos="544" w:val="left" w:leader="none"/>
        </w:tabs>
        <w:spacing w:line="240" w:lineRule="auto" w:before="0" w:after="0"/>
        <w:ind w:left="262" w:right="281" w:firstLine="0"/>
        <w:jc w:val="both"/>
        <w:rPr>
          <w:sz w:val="20"/>
        </w:rPr>
      </w:pPr>
      <w:r>
        <w:rPr>
          <w:sz w:val="20"/>
        </w:rPr>
        <w:t>Constancia de no adeudo del impuesto predial del inmueble o inmuebles; Tratándose de fraccionamientos, podrá presentarse el pago del impuesto predial que ampare la totalidad del polígono del fraccionamiento autorizado, si el mismo se encuentra lotificado y el lote o lotes sobre los que se solicita la licencia, aún no se transmiten o individualizan a favor de terceros distintos al promotor del mismo.</w:t>
      </w:r>
    </w:p>
    <w:p>
      <w:pPr>
        <w:pStyle w:val="BodyText"/>
        <w:spacing w:before="1"/>
      </w:pPr>
    </w:p>
    <w:p>
      <w:pPr>
        <w:pStyle w:val="ListParagraph"/>
        <w:numPr>
          <w:ilvl w:val="1"/>
          <w:numId w:val="109"/>
        </w:numPr>
        <w:tabs>
          <w:tab w:pos="544" w:val="left" w:leader="none"/>
        </w:tabs>
        <w:spacing w:line="240" w:lineRule="auto" w:before="0" w:after="0"/>
        <w:ind w:left="262" w:right="286" w:firstLine="0"/>
        <w:jc w:val="both"/>
        <w:rPr>
          <w:sz w:val="20"/>
        </w:rPr>
      </w:pPr>
      <w:r>
        <w:rPr>
          <w:sz w:val="20"/>
        </w:rPr>
        <w:t>Proyecto arquitectónico, estructural y de instalaciones, con las memorias de cálculo </w:t>
      </w:r>
      <w:r>
        <w:rPr>
          <w:spacing w:val="-2"/>
          <w:sz w:val="20"/>
        </w:rPr>
        <w:t>correspondientes.</w:t>
      </w:r>
    </w:p>
    <w:p>
      <w:pPr>
        <w:pStyle w:val="ListParagraph"/>
        <w:numPr>
          <w:ilvl w:val="1"/>
          <w:numId w:val="109"/>
        </w:numPr>
        <w:tabs>
          <w:tab w:pos="543" w:val="left" w:leader="none"/>
        </w:tabs>
        <w:spacing w:line="240" w:lineRule="auto" w:before="229" w:after="0"/>
        <w:ind w:left="262" w:right="287" w:firstLine="0"/>
        <w:jc w:val="both"/>
        <w:rPr>
          <w:sz w:val="20"/>
        </w:rPr>
      </w:pPr>
      <w:r>
        <w:rPr>
          <w:sz w:val="20"/>
        </w:rPr>
        <w:t>Los demás que establezcan esta Ley, su reglamentación y otras disposiciones jurídicas aplicables, según sea el caso;</w:t>
      </w:r>
    </w:p>
    <w:p>
      <w:pPr>
        <w:pStyle w:val="BodyText"/>
        <w:spacing w:before="1"/>
      </w:pPr>
    </w:p>
    <w:p>
      <w:pPr>
        <w:pStyle w:val="ListParagraph"/>
        <w:numPr>
          <w:ilvl w:val="0"/>
          <w:numId w:val="109"/>
        </w:numPr>
        <w:tabs>
          <w:tab w:pos="543" w:val="left" w:leader="none"/>
        </w:tabs>
        <w:spacing w:line="240" w:lineRule="auto" w:before="0" w:after="0"/>
        <w:ind w:left="543" w:right="0" w:hanging="281"/>
        <w:jc w:val="both"/>
        <w:rPr>
          <w:sz w:val="20"/>
        </w:rPr>
      </w:pPr>
      <w:r>
        <w:rPr>
          <w:sz w:val="20"/>
        </w:rPr>
        <w:t>Para</w:t>
      </w:r>
      <w:r>
        <w:rPr>
          <w:spacing w:val="-7"/>
          <w:sz w:val="20"/>
        </w:rPr>
        <w:t> </w:t>
      </w:r>
      <w:r>
        <w:rPr>
          <w:sz w:val="20"/>
        </w:rPr>
        <w:t>ampliación</w:t>
      </w:r>
      <w:r>
        <w:rPr>
          <w:spacing w:val="-8"/>
          <w:sz w:val="20"/>
        </w:rPr>
        <w:t> </w:t>
      </w:r>
      <w:r>
        <w:rPr>
          <w:sz w:val="20"/>
        </w:rPr>
        <w:t>y/o</w:t>
      </w:r>
      <w:r>
        <w:rPr>
          <w:spacing w:val="-10"/>
          <w:sz w:val="20"/>
        </w:rPr>
        <w:t> </w:t>
      </w:r>
      <w:r>
        <w:rPr>
          <w:sz w:val="20"/>
        </w:rPr>
        <w:t>modificación,</w:t>
      </w:r>
      <w:r>
        <w:rPr>
          <w:spacing w:val="-6"/>
          <w:sz w:val="20"/>
        </w:rPr>
        <w:t> </w:t>
      </w:r>
      <w:r>
        <w:rPr>
          <w:sz w:val="20"/>
        </w:rPr>
        <w:t>o</w:t>
      </w:r>
      <w:r>
        <w:rPr>
          <w:spacing w:val="-9"/>
          <w:sz w:val="20"/>
        </w:rPr>
        <w:t> </w:t>
      </w:r>
      <w:r>
        <w:rPr>
          <w:sz w:val="20"/>
        </w:rPr>
        <w:t>reparación</w:t>
      </w:r>
      <w:r>
        <w:rPr>
          <w:spacing w:val="-9"/>
          <w:sz w:val="20"/>
        </w:rPr>
        <w:t> </w:t>
      </w:r>
      <w:r>
        <w:rPr>
          <w:sz w:val="20"/>
        </w:rPr>
        <w:t>de</w:t>
      </w:r>
      <w:r>
        <w:rPr>
          <w:spacing w:val="-8"/>
          <w:sz w:val="20"/>
        </w:rPr>
        <w:t> </w:t>
      </w:r>
      <w:r>
        <w:rPr>
          <w:sz w:val="20"/>
        </w:rPr>
        <w:t>obras,</w:t>
      </w:r>
      <w:r>
        <w:rPr>
          <w:spacing w:val="-9"/>
          <w:sz w:val="20"/>
        </w:rPr>
        <w:t> </w:t>
      </w:r>
      <w:r>
        <w:rPr>
          <w:sz w:val="20"/>
        </w:rPr>
        <w:t>instalaciones</w:t>
      </w:r>
      <w:r>
        <w:rPr>
          <w:spacing w:val="-7"/>
          <w:sz w:val="20"/>
        </w:rPr>
        <w:t> </w:t>
      </w:r>
      <w:r>
        <w:rPr>
          <w:sz w:val="20"/>
        </w:rPr>
        <w:t>o</w:t>
      </w:r>
      <w:r>
        <w:rPr>
          <w:spacing w:val="-7"/>
          <w:sz w:val="20"/>
        </w:rPr>
        <w:t> </w:t>
      </w:r>
      <w:r>
        <w:rPr>
          <w:spacing w:val="-2"/>
          <w:sz w:val="20"/>
        </w:rPr>
        <w:t>estructuras: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109"/>
        </w:numPr>
        <w:tabs>
          <w:tab w:pos="544" w:val="left" w:leader="none"/>
        </w:tabs>
        <w:spacing w:line="240" w:lineRule="auto" w:before="0" w:after="0"/>
        <w:ind w:left="544" w:right="0" w:hanging="282"/>
        <w:jc w:val="left"/>
        <w:rPr>
          <w:sz w:val="20"/>
        </w:rPr>
      </w:pPr>
      <w:r>
        <w:rPr>
          <w:sz w:val="20"/>
        </w:rPr>
        <w:t>Licencia</w:t>
      </w:r>
      <w:r>
        <w:rPr>
          <w:spacing w:val="-6"/>
          <w:sz w:val="20"/>
        </w:rPr>
        <w:t> </w:t>
      </w:r>
      <w:r>
        <w:rPr>
          <w:sz w:val="20"/>
        </w:rPr>
        <w:t>de</w:t>
      </w:r>
      <w:r>
        <w:rPr>
          <w:spacing w:val="-6"/>
          <w:sz w:val="20"/>
        </w:rPr>
        <w:t> </w:t>
      </w:r>
      <w:r>
        <w:rPr>
          <w:sz w:val="20"/>
        </w:rPr>
        <w:t>uso</w:t>
      </w:r>
      <w:r>
        <w:rPr>
          <w:spacing w:val="-4"/>
          <w:sz w:val="20"/>
        </w:rPr>
        <w:t> </w:t>
      </w:r>
      <w:r>
        <w:rPr>
          <w:sz w:val="20"/>
        </w:rPr>
        <w:t>de</w:t>
      </w:r>
      <w:r>
        <w:rPr>
          <w:spacing w:val="-6"/>
          <w:sz w:val="20"/>
        </w:rPr>
        <w:t> </w:t>
      </w:r>
      <w:r>
        <w:rPr>
          <w:sz w:val="20"/>
        </w:rPr>
        <w:t>suelo</w:t>
      </w:r>
      <w:r>
        <w:rPr>
          <w:spacing w:val="-4"/>
          <w:sz w:val="20"/>
        </w:rPr>
        <w:t> </w:t>
      </w:r>
      <w:r>
        <w:rPr>
          <w:spacing w:val="-2"/>
          <w:sz w:val="20"/>
        </w:rPr>
        <w:t>vigente.</w:t>
      </w:r>
    </w:p>
    <w:p>
      <w:pPr>
        <w:pStyle w:val="BodyText"/>
        <w:spacing w:before="1"/>
      </w:pPr>
    </w:p>
    <w:p>
      <w:pPr>
        <w:pStyle w:val="ListParagraph"/>
        <w:numPr>
          <w:ilvl w:val="1"/>
          <w:numId w:val="109"/>
        </w:numPr>
        <w:tabs>
          <w:tab w:pos="544" w:val="left" w:leader="none"/>
        </w:tabs>
        <w:spacing w:line="240" w:lineRule="auto" w:before="0" w:after="0"/>
        <w:ind w:left="544" w:right="0" w:hanging="282"/>
        <w:jc w:val="left"/>
        <w:rPr>
          <w:sz w:val="20"/>
        </w:rPr>
      </w:pPr>
      <w:r>
        <w:rPr>
          <w:sz w:val="20"/>
        </w:rPr>
        <w:t>Proyecto</w:t>
      </w:r>
      <w:r>
        <w:rPr>
          <w:spacing w:val="-12"/>
          <w:sz w:val="20"/>
        </w:rPr>
        <w:t> </w:t>
      </w:r>
      <w:r>
        <w:rPr>
          <w:spacing w:val="-2"/>
          <w:sz w:val="20"/>
        </w:rPr>
        <w:t>estructural.</w:t>
      </w:r>
    </w:p>
    <w:p>
      <w:pPr>
        <w:pStyle w:val="ListParagraph"/>
        <w:numPr>
          <w:ilvl w:val="1"/>
          <w:numId w:val="109"/>
        </w:numPr>
        <w:tabs>
          <w:tab w:pos="544" w:val="left" w:leader="none"/>
        </w:tabs>
        <w:spacing w:line="240" w:lineRule="auto" w:before="229" w:after="0"/>
        <w:ind w:left="544" w:right="0" w:hanging="282"/>
        <w:jc w:val="left"/>
        <w:rPr>
          <w:sz w:val="20"/>
        </w:rPr>
      </w:pPr>
      <w:r>
        <w:rPr>
          <w:sz w:val="20"/>
        </w:rPr>
        <w:t>Memoria</w:t>
      </w:r>
      <w:r>
        <w:rPr>
          <w:spacing w:val="-10"/>
          <w:sz w:val="20"/>
        </w:rPr>
        <w:t> </w:t>
      </w:r>
      <w:r>
        <w:rPr>
          <w:sz w:val="20"/>
        </w:rPr>
        <w:t>de</w:t>
      </w:r>
      <w:r>
        <w:rPr>
          <w:spacing w:val="-9"/>
          <w:sz w:val="20"/>
        </w:rPr>
        <w:t> </w:t>
      </w:r>
      <w:r>
        <w:rPr>
          <w:spacing w:val="-2"/>
          <w:sz w:val="20"/>
        </w:rPr>
        <w:t>cálculo.</w:t>
      </w:r>
    </w:p>
    <w:p>
      <w:pPr>
        <w:pStyle w:val="BodyText"/>
      </w:pPr>
    </w:p>
    <w:p>
      <w:pPr>
        <w:pStyle w:val="ListParagraph"/>
        <w:numPr>
          <w:ilvl w:val="1"/>
          <w:numId w:val="109"/>
        </w:numPr>
        <w:tabs>
          <w:tab w:pos="544" w:val="left" w:leader="none"/>
        </w:tabs>
        <w:spacing w:line="240" w:lineRule="auto" w:before="0" w:after="0"/>
        <w:ind w:left="544" w:right="0" w:hanging="282"/>
        <w:jc w:val="left"/>
        <w:rPr>
          <w:sz w:val="20"/>
        </w:rPr>
      </w:pPr>
      <w:r>
        <w:rPr>
          <w:sz w:val="20"/>
        </w:rPr>
        <w:t>Constancia</w:t>
      </w:r>
      <w:r>
        <w:rPr>
          <w:spacing w:val="-8"/>
          <w:sz w:val="20"/>
        </w:rPr>
        <w:t> </w:t>
      </w:r>
      <w:r>
        <w:rPr>
          <w:sz w:val="20"/>
        </w:rPr>
        <w:t>de</w:t>
      </w:r>
      <w:r>
        <w:rPr>
          <w:spacing w:val="-7"/>
          <w:sz w:val="20"/>
        </w:rPr>
        <w:t> </w:t>
      </w:r>
      <w:r>
        <w:rPr>
          <w:sz w:val="20"/>
        </w:rPr>
        <w:t>no</w:t>
      </w:r>
      <w:r>
        <w:rPr>
          <w:spacing w:val="-7"/>
          <w:sz w:val="20"/>
        </w:rPr>
        <w:t> </w:t>
      </w:r>
      <w:r>
        <w:rPr>
          <w:sz w:val="20"/>
        </w:rPr>
        <w:t>adeudo</w:t>
      </w:r>
      <w:r>
        <w:rPr>
          <w:spacing w:val="-8"/>
          <w:sz w:val="20"/>
        </w:rPr>
        <w:t> </w:t>
      </w:r>
      <w:r>
        <w:rPr>
          <w:sz w:val="20"/>
        </w:rPr>
        <w:t>del</w:t>
      </w:r>
      <w:r>
        <w:rPr>
          <w:spacing w:val="-6"/>
          <w:sz w:val="20"/>
        </w:rPr>
        <w:t> </w:t>
      </w:r>
      <w:r>
        <w:rPr>
          <w:sz w:val="20"/>
        </w:rPr>
        <w:t>impuesto</w:t>
      </w:r>
      <w:r>
        <w:rPr>
          <w:spacing w:val="-6"/>
          <w:sz w:val="20"/>
        </w:rPr>
        <w:t> </w:t>
      </w:r>
      <w:r>
        <w:rPr>
          <w:sz w:val="20"/>
        </w:rPr>
        <w:t>predial</w:t>
      </w:r>
      <w:r>
        <w:rPr>
          <w:spacing w:val="-8"/>
          <w:sz w:val="20"/>
        </w:rPr>
        <w:t> </w:t>
      </w:r>
      <w:r>
        <w:rPr>
          <w:sz w:val="20"/>
        </w:rPr>
        <w:t>del</w:t>
      </w:r>
      <w:r>
        <w:rPr>
          <w:spacing w:val="-6"/>
          <w:sz w:val="20"/>
        </w:rPr>
        <w:t> </w:t>
      </w:r>
      <w:r>
        <w:rPr>
          <w:sz w:val="20"/>
        </w:rPr>
        <w:t>inmueble</w:t>
      </w:r>
      <w:r>
        <w:rPr>
          <w:spacing w:val="-7"/>
          <w:sz w:val="20"/>
        </w:rPr>
        <w:t> </w:t>
      </w:r>
      <w:r>
        <w:rPr>
          <w:sz w:val="20"/>
        </w:rPr>
        <w:t>o</w:t>
      </w:r>
      <w:r>
        <w:rPr>
          <w:spacing w:val="-5"/>
          <w:sz w:val="20"/>
        </w:rPr>
        <w:t> </w:t>
      </w:r>
      <w:r>
        <w:rPr>
          <w:spacing w:val="-2"/>
          <w:sz w:val="20"/>
        </w:rPr>
        <w:t>inmuebles.</w:t>
      </w:r>
    </w:p>
    <w:p>
      <w:pPr>
        <w:pStyle w:val="BodyText"/>
        <w:spacing w:before="1"/>
      </w:pPr>
    </w:p>
    <w:p>
      <w:pPr>
        <w:pStyle w:val="ListParagraph"/>
        <w:numPr>
          <w:ilvl w:val="1"/>
          <w:numId w:val="109"/>
        </w:numPr>
        <w:tabs>
          <w:tab w:pos="544" w:val="left" w:leader="none"/>
        </w:tabs>
        <w:spacing w:line="240" w:lineRule="auto" w:before="0" w:after="0"/>
        <w:ind w:left="544" w:right="0" w:hanging="282"/>
        <w:jc w:val="left"/>
        <w:rPr>
          <w:sz w:val="20"/>
        </w:rPr>
      </w:pPr>
      <w:r>
        <w:rPr>
          <w:sz w:val="20"/>
        </w:rPr>
        <w:t>Los</w:t>
      </w:r>
      <w:r>
        <w:rPr>
          <w:spacing w:val="-7"/>
          <w:sz w:val="20"/>
        </w:rPr>
        <w:t> </w:t>
      </w:r>
      <w:r>
        <w:rPr>
          <w:sz w:val="20"/>
        </w:rPr>
        <w:t>planos</w:t>
      </w:r>
      <w:r>
        <w:rPr>
          <w:spacing w:val="-4"/>
          <w:sz w:val="20"/>
        </w:rPr>
        <w:t> </w:t>
      </w:r>
      <w:r>
        <w:rPr>
          <w:sz w:val="20"/>
        </w:rPr>
        <w:t>autorizados</w:t>
      </w:r>
      <w:r>
        <w:rPr>
          <w:spacing w:val="-7"/>
          <w:sz w:val="20"/>
        </w:rPr>
        <w:t> </w:t>
      </w:r>
      <w:r>
        <w:rPr>
          <w:sz w:val="20"/>
        </w:rPr>
        <w:t>y</w:t>
      </w:r>
      <w:r>
        <w:rPr>
          <w:spacing w:val="-4"/>
          <w:sz w:val="20"/>
        </w:rPr>
        <w:t> </w:t>
      </w:r>
      <w:r>
        <w:rPr>
          <w:sz w:val="20"/>
        </w:rPr>
        <w:t>los</w:t>
      </w:r>
      <w:r>
        <w:rPr>
          <w:spacing w:val="-7"/>
          <w:sz w:val="20"/>
        </w:rPr>
        <w:t> </w:t>
      </w:r>
      <w:r>
        <w:rPr>
          <w:sz w:val="20"/>
        </w:rPr>
        <w:t>planos</w:t>
      </w:r>
      <w:r>
        <w:rPr>
          <w:spacing w:val="-6"/>
          <w:sz w:val="20"/>
        </w:rPr>
        <w:t> </w:t>
      </w:r>
      <w:r>
        <w:rPr>
          <w:sz w:val="20"/>
        </w:rPr>
        <w:t>de</w:t>
      </w:r>
      <w:r>
        <w:rPr>
          <w:spacing w:val="-6"/>
          <w:sz w:val="20"/>
        </w:rPr>
        <w:t> </w:t>
      </w:r>
      <w:r>
        <w:rPr>
          <w:sz w:val="20"/>
        </w:rPr>
        <w:t>la</w:t>
      </w:r>
      <w:r>
        <w:rPr>
          <w:spacing w:val="-6"/>
          <w:sz w:val="20"/>
        </w:rPr>
        <w:t> </w:t>
      </w:r>
      <w:r>
        <w:rPr>
          <w:sz w:val="20"/>
        </w:rPr>
        <w:t>ampliación</w:t>
      </w:r>
      <w:r>
        <w:rPr>
          <w:spacing w:val="-7"/>
          <w:sz w:val="20"/>
        </w:rPr>
        <w:t> </w:t>
      </w:r>
      <w:r>
        <w:rPr>
          <w:sz w:val="20"/>
        </w:rPr>
        <w:t>o</w:t>
      </w:r>
      <w:r>
        <w:rPr>
          <w:spacing w:val="-5"/>
          <w:sz w:val="20"/>
        </w:rPr>
        <w:t> </w:t>
      </w:r>
      <w:r>
        <w:rPr>
          <w:sz w:val="20"/>
        </w:rPr>
        <w:t>modificación</w:t>
      </w:r>
      <w:r>
        <w:rPr>
          <w:spacing w:val="-6"/>
          <w:sz w:val="20"/>
        </w:rPr>
        <w:t> </w:t>
      </w:r>
      <w:r>
        <w:rPr>
          <w:sz w:val="20"/>
        </w:rPr>
        <w:t>de</w:t>
      </w:r>
      <w:r>
        <w:rPr>
          <w:spacing w:val="-6"/>
          <w:sz w:val="20"/>
        </w:rPr>
        <w:t> </w:t>
      </w:r>
      <w:r>
        <w:rPr>
          <w:sz w:val="20"/>
        </w:rPr>
        <w:t>que</w:t>
      </w:r>
      <w:r>
        <w:rPr>
          <w:spacing w:val="-5"/>
          <w:sz w:val="20"/>
        </w:rPr>
        <w:t> </w:t>
      </w:r>
      <w:r>
        <w:rPr>
          <w:sz w:val="20"/>
        </w:rPr>
        <w:t>se</w:t>
      </w:r>
      <w:r>
        <w:rPr>
          <w:spacing w:val="-8"/>
          <w:sz w:val="20"/>
        </w:rPr>
        <w:t> </w:t>
      </w:r>
      <w:r>
        <w:rPr>
          <w:spacing w:val="-2"/>
          <w:sz w:val="20"/>
        </w:rPr>
        <w:t>trate.</w:t>
      </w:r>
    </w:p>
    <w:p>
      <w:pPr>
        <w:pStyle w:val="ListParagraph"/>
        <w:numPr>
          <w:ilvl w:val="1"/>
          <w:numId w:val="109"/>
        </w:numPr>
        <w:tabs>
          <w:tab w:pos="543" w:val="left" w:leader="none"/>
        </w:tabs>
        <w:spacing w:line="240" w:lineRule="auto" w:before="229" w:after="0"/>
        <w:ind w:left="262" w:right="287" w:firstLine="0"/>
        <w:jc w:val="left"/>
        <w:rPr>
          <w:sz w:val="20"/>
        </w:rPr>
      </w:pPr>
      <w:r>
        <w:rPr>
          <w:sz w:val="20"/>
        </w:rPr>
        <w:t>Los</w:t>
      </w:r>
      <w:r>
        <w:rPr>
          <w:spacing w:val="40"/>
          <w:sz w:val="20"/>
        </w:rPr>
        <w:t> </w:t>
      </w:r>
      <w:r>
        <w:rPr>
          <w:sz w:val="20"/>
        </w:rPr>
        <w:t>demás</w:t>
      </w:r>
      <w:r>
        <w:rPr>
          <w:spacing w:val="68"/>
          <w:sz w:val="20"/>
        </w:rPr>
        <w:t> </w:t>
      </w:r>
      <w:r>
        <w:rPr>
          <w:sz w:val="20"/>
        </w:rPr>
        <w:t>que</w:t>
      </w:r>
      <w:r>
        <w:rPr>
          <w:spacing w:val="40"/>
          <w:sz w:val="20"/>
        </w:rPr>
        <w:t> </w:t>
      </w:r>
      <w:r>
        <w:rPr>
          <w:sz w:val="20"/>
        </w:rPr>
        <w:t>establezcan</w:t>
      </w:r>
      <w:r>
        <w:rPr>
          <w:spacing w:val="40"/>
          <w:sz w:val="20"/>
        </w:rPr>
        <w:t> </w:t>
      </w:r>
      <w:r>
        <w:rPr>
          <w:sz w:val="20"/>
        </w:rPr>
        <w:t>esta</w:t>
      </w:r>
      <w:r>
        <w:rPr>
          <w:spacing w:val="67"/>
          <w:sz w:val="20"/>
        </w:rPr>
        <w:t> </w:t>
      </w:r>
      <w:r>
        <w:rPr>
          <w:sz w:val="20"/>
        </w:rPr>
        <w:t>Ley,</w:t>
      </w:r>
      <w:r>
        <w:rPr>
          <w:spacing w:val="40"/>
          <w:sz w:val="20"/>
        </w:rPr>
        <w:t> </w:t>
      </w:r>
      <w:r>
        <w:rPr>
          <w:sz w:val="20"/>
        </w:rPr>
        <w:t>su</w:t>
      </w:r>
      <w:r>
        <w:rPr>
          <w:spacing w:val="67"/>
          <w:sz w:val="20"/>
        </w:rPr>
        <w:t> </w:t>
      </w:r>
      <w:r>
        <w:rPr>
          <w:sz w:val="20"/>
        </w:rPr>
        <w:t>reglamentación</w:t>
      </w:r>
      <w:r>
        <w:rPr>
          <w:spacing w:val="40"/>
          <w:sz w:val="20"/>
        </w:rPr>
        <w:t> </w:t>
      </w:r>
      <w:r>
        <w:rPr>
          <w:sz w:val="20"/>
        </w:rPr>
        <w:t>y</w:t>
      </w:r>
      <w:r>
        <w:rPr>
          <w:spacing w:val="40"/>
          <w:sz w:val="20"/>
        </w:rPr>
        <w:t> </w:t>
      </w:r>
      <w:r>
        <w:rPr>
          <w:sz w:val="20"/>
        </w:rPr>
        <w:t>otras</w:t>
      </w:r>
      <w:r>
        <w:rPr>
          <w:spacing w:val="68"/>
          <w:sz w:val="20"/>
        </w:rPr>
        <w:t> </w:t>
      </w:r>
      <w:r>
        <w:rPr>
          <w:sz w:val="20"/>
        </w:rPr>
        <w:t>disposiciones</w:t>
      </w:r>
      <w:r>
        <w:rPr>
          <w:spacing w:val="40"/>
          <w:sz w:val="20"/>
        </w:rPr>
        <w:t> </w:t>
      </w:r>
      <w:r>
        <w:rPr>
          <w:sz w:val="20"/>
        </w:rPr>
        <w:t>jurídicas aplicables, según sea el caso;</w:t>
      </w:r>
    </w:p>
    <w:p>
      <w:pPr>
        <w:pStyle w:val="BodyText"/>
        <w:spacing w:before="1"/>
      </w:pPr>
    </w:p>
    <w:p>
      <w:pPr>
        <w:pStyle w:val="ListParagraph"/>
        <w:numPr>
          <w:ilvl w:val="0"/>
          <w:numId w:val="109"/>
        </w:numPr>
        <w:tabs>
          <w:tab w:pos="597" w:val="left" w:leader="none"/>
        </w:tabs>
        <w:spacing w:line="240" w:lineRule="auto" w:before="1" w:after="0"/>
        <w:ind w:left="597" w:right="0" w:hanging="335"/>
        <w:jc w:val="left"/>
        <w:rPr>
          <w:sz w:val="20"/>
        </w:rPr>
      </w:pPr>
      <w:r>
        <w:rPr>
          <w:sz w:val="20"/>
        </w:rPr>
        <w:t>Para</w:t>
      </w:r>
      <w:r>
        <w:rPr>
          <w:spacing w:val="-6"/>
          <w:sz w:val="20"/>
        </w:rPr>
        <w:t> </w:t>
      </w:r>
      <w:r>
        <w:rPr>
          <w:sz w:val="20"/>
        </w:rPr>
        <w:t>excavación</w:t>
      </w:r>
      <w:r>
        <w:rPr>
          <w:spacing w:val="-9"/>
          <w:sz w:val="20"/>
        </w:rPr>
        <w:t> </w:t>
      </w:r>
      <w:r>
        <w:rPr>
          <w:sz w:val="20"/>
        </w:rPr>
        <w:t>y/o</w:t>
      </w:r>
      <w:r>
        <w:rPr>
          <w:spacing w:val="-7"/>
          <w:sz w:val="20"/>
        </w:rPr>
        <w:t> </w:t>
      </w:r>
      <w:r>
        <w:rPr>
          <w:spacing w:val="-2"/>
          <w:sz w:val="20"/>
        </w:rPr>
        <w:t>demolición:</w:t>
      </w:r>
    </w:p>
    <w:p>
      <w:pPr>
        <w:pStyle w:val="BodyText"/>
      </w:pPr>
    </w:p>
    <w:p>
      <w:pPr>
        <w:pStyle w:val="ListParagraph"/>
        <w:numPr>
          <w:ilvl w:val="1"/>
          <w:numId w:val="109"/>
        </w:numPr>
        <w:tabs>
          <w:tab w:pos="544" w:val="left" w:leader="none"/>
        </w:tabs>
        <w:spacing w:line="240" w:lineRule="auto" w:before="0" w:after="0"/>
        <w:ind w:left="544" w:right="0" w:hanging="282"/>
        <w:jc w:val="left"/>
        <w:rPr>
          <w:sz w:val="20"/>
        </w:rPr>
      </w:pPr>
      <w:r>
        <w:rPr>
          <w:sz w:val="20"/>
        </w:rPr>
        <w:t>Licencia</w:t>
      </w:r>
      <w:r>
        <w:rPr>
          <w:spacing w:val="-6"/>
          <w:sz w:val="20"/>
        </w:rPr>
        <w:t> </w:t>
      </w:r>
      <w:r>
        <w:rPr>
          <w:sz w:val="20"/>
        </w:rPr>
        <w:t>de</w:t>
      </w:r>
      <w:r>
        <w:rPr>
          <w:spacing w:val="-6"/>
          <w:sz w:val="20"/>
        </w:rPr>
        <w:t> </w:t>
      </w:r>
      <w:r>
        <w:rPr>
          <w:sz w:val="20"/>
        </w:rPr>
        <w:t>uso</w:t>
      </w:r>
      <w:r>
        <w:rPr>
          <w:spacing w:val="-4"/>
          <w:sz w:val="20"/>
        </w:rPr>
        <w:t> </w:t>
      </w:r>
      <w:r>
        <w:rPr>
          <w:sz w:val="20"/>
        </w:rPr>
        <w:t>de</w:t>
      </w:r>
      <w:r>
        <w:rPr>
          <w:spacing w:val="-6"/>
          <w:sz w:val="20"/>
        </w:rPr>
        <w:t> </w:t>
      </w:r>
      <w:r>
        <w:rPr>
          <w:sz w:val="20"/>
        </w:rPr>
        <w:t>suelo</w:t>
      </w:r>
      <w:r>
        <w:rPr>
          <w:spacing w:val="-4"/>
          <w:sz w:val="20"/>
        </w:rPr>
        <w:t> </w:t>
      </w:r>
      <w:r>
        <w:rPr>
          <w:spacing w:val="-2"/>
          <w:sz w:val="20"/>
        </w:rPr>
        <w:t>vigente.</w:t>
      </w:r>
    </w:p>
    <w:p>
      <w:pPr>
        <w:pStyle w:val="ListParagraph"/>
        <w:numPr>
          <w:ilvl w:val="1"/>
          <w:numId w:val="109"/>
        </w:numPr>
        <w:tabs>
          <w:tab w:pos="544" w:val="left" w:leader="none"/>
        </w:tabs>
        <w:spacing w:line="240" w:lineRule="auto" w:before="229" w:after="0"/>
        <w:ind w:left="544" w:right="0" w:hanging="282"/>
        <w:jc w:val="left"/>
        <w:rPr>
          <w:sz w:val="20"/>
        </w:rPr>
      </w:pPr>
      <w:r>
        <w:rPr>
          <w:sz w:val="20"/>
        </w:rPr>
        <w:t>Programa</w:t>
      </w:r>
      <w:r>
        <w:rPr>
          <w:spacing w:val="-7"/>
          <w:sz w:val="20"/>
        </w:rPr>
        <w:t> </w:t>
      </w:r>
      <w:r>
        <w:rPr>
          <w:sz w:val="20"/>
        </w:rPr>
        <w:t>de</w:t>
      </w:r>
      <w:r>
        <w:rPr>
          <w:spacing w:val="-7"/>
          <w:sz w:val="20"/>
        </w:rPr>
        <w:t> </w:t>
      </w:r>
      <w:r>
        <w:rPr>
          <w:sz w:val="20"/>
        </w:rPr>
        <w:t>excavación</w:t>
      </w:r>
      <w:r>
        <w:rPr>
          <w:spacing w:val="-7"/>
          <w:sz w:val="20"/>
        </w:rPr>
        <w:t> </w:t>
      </w:r>
      <w:r>
        <w:rPr>
          <w:sz w:val="20"/>
        </w:rPr>
        <w:t>o</w:t>
      </w:r>
      <w:r>
        <w:rPr>
          <w:spacing w:val="-4"/>
          <w:sz w:val="20"/>
        </w:rPr>
        <w:t> </w:t>
      </w:r>
      <w:r>
        <w:rPr>
          <w:spacing w:val="-2"/>
          <w:sz w:val="20"/>
        </w:rPr>
        <w:t>demolición.</w:t>
      </w:r>
    </w:p>
    <w:p>
      <w:pPr>
        <w:pStyle w:val="BodyText"/>
      </w:pPr>
    </w:p>
    <w:p>
      <w:pPr>
        <w:pStyle w:val="ListParagraph"/>
        <w:numPr>
          <w:ilvl w:val="1"/>
          <w:numId w:val="109"/>
        </w:numPr>
        <w:tabs>
          <w:tab w:pos="544" w:val="left" w:leader="none"/>
        </w:tabs>
        <w:spacing w:line="240" w:lineRule="auto" w:before="1" w:after="0"/>
        <w:ind w:left="262" w:right="287" w:firstLine="0"/>
        <w:jc w:val="left"/>
        <w:rPr>
          <w:sz w:val="20"/>
        </w:rPr>
      </w:pPr>
      <w:r>
        <w:rPr>
          <w:sz w:val="20"/>
        </w:rPr>
        <w:t>Memoria</w:t>
      </w:r>
      <w:r>
        <w:rPr>
          <w:spacing w:val="40"/>
          <w:sz w:val="20"/>
        </w:rPr>
        <w:t> </w:t>
      </w:r>
      <w:r>
        <w:rPr>
          <w:sz w:val="20"/>
        </w:rPr>
        <w:t>descriptiva</w:t>
      </w:r>
      <w:r>
        <w:rPr>
          <w:spacing w:val="40"/>
          <w:sz w:val="20"/>
        </w:rPr>
        <w:t> </w:t>
      </w:r>
      <w:r>
        <w:rPr>
          <w:sz w:val="20"/>
        </w:rPr>
        <w:t>del</w:t>
      </w:r>
      <w:r>
        <w:rPr>
          <w:spacing w:val="40"/>
          <w:sz w:val="20"/>
        </w:rPr>
        <w:t> </w:t>
      </w:r>
      <w:r>
        <w:rPr>
          <w:sz w:val="20"/>
        </w:rPr>
        <w:t>procedimiento</w:t>
      </w:r>
      <w:r>
        <w:rPr>
          <w:spacing w:val="40"/>
          <w:sz w:val="20"/>
        </w:rPr>
        <w:t> </w:t>
      </w:r>
      <w:r>
        <w:rPr>
          <w:sz w:val="20"/>
        </w:rPr>
        <w:t>con</w:t>
      </w:r>
      <w:r>
        <w:rPr>
          <w:spacing w:val="40"/>
          <w:sz w:val="20"/>
        </w:rPr>
        <w:t> </w:t>
      </w:r>
      <w:r>
        <w:rPr>
          <w:sz w:val="20"/>
        </w:rPr>
        <w:t>las</w:t>
      </w:r>
      <w:r>
        <w:rPr>
          <w:spacing w:val="40"/>
          <w:sz w:val="20"/>
        </w:rPr>
        <w:t> </w:t>
      </w:r>
      <w:r>
        <w:rPr>
          <w:sz w:val="20"/>
        </w:rPr>
        <w:t>medidas</w:t>
      </w:r>
      <w:r>
        <w:rPr>
          <w:spacing w:val="40"/>
          <w:sz w:val="20"/>
        </w:rPr>
        <w:t> </w:t>
      </w:r>
      <w:r>
        <w:rPr>
          <w:sz w:val="20"/>
        </w:rPr>
        <w:t>de</w:t>
      </w:r>
      <w:r>
        <w:rPr>
          <w:spacing w:val="40"/>
          <w:sz w:val="20"/>
        </w:rPr>
        <w:t> </w:t>
      </w:r>
      <w:r>
        <w:rPr>
          <w:sz w:val="20"/>
        </w:rPr>
        <w:t>protección</w:t>
      </w:r>
      <w:r>
        <w:rPr>
          <w:spacing w:val="40"/>
          <w:sz w:val="20"/>
        </w:rPr>
        <w:t> </w:t>
      </w:r>
      <w:r>
        <w:rPr>
          <w:sz w:val="20"/>
        </w:rPr>
        <w:t>y</w:t>
      </w:r>
      <w:r>
        <w:rPr>
          <w:spacing w:val="40"/>
          <w:sz w:val="20"/>
        </w:rPr>
        <w:t> </w:t>
      </w:r>
      <w:r>
        <w:rPr>
          <w:sz w:val="20"/>
        </w:rPr>
        <w:t>seguridad</w:t>
      </w:r>
      <w:r>
        <w:rPr>
          <w:spacing w:val="40"/>
          <w:sz w:val="20"/>
        </w:rPr>
        <w:t> </w:t>
      </w:r>
      <w:r>
        <w:rPr>
          <w:sz w:val="20"/>
        </w:rPr>
        <w:t>que</w:t>
      </w:r>
      <w:r>
        <w:rPr>
          <w:spacing w:val="40"/>
          <w:sz w:val="20"/>
        </w:rPr>
        <w:t> </w:t>
      </w:r>
      <w:r>
        <w:rPr>
          <w:sz w:val="20"/>
        </w:rPr>
        <w:t>se </w:t>
      </w:r>
      <w:r>
        <w:rPr>
          <w:spacing w:val="-2"/>
          <w:sz w:val="20"/>
        </w:rPr>
        <w:t>adoptarán.</w:t>
      </w:r>
    </w:p>
    <w:p>
      <w:pPr>
        <w:pStyle w:val="ListParagraph"/>
        <w:numPr>
          <w:ilvl w:val="1"/>
          <w:numId w:val="109"/>
        </w:numPr>
        <w:tabs>
          <w:tab w:pos="544" w:val="left" w:leader="none"/>
        </w:tabs>
        <w:spacing w:line="240" w:lineRule="auto" w:before="229" w:after="0"/>
        <w:ind w:left="544" w:right="0" w:hanging="282"/>
        <w:jc w:val="left"/>
        <w:rPr>
          <w:sz w:val="20"/>
        </w:rPr>
      </w:pPr>
      <w:r>
        <w:rPr>
          <w:sz w:val="20"/>
        </w:rPr>
        <w:t>Croquis</w:t>
      </w:r>
      <w:r>
        <w:rPr>
          <w:spacing w:val="-5"/>
          <w:sz w:val="20"/>
        </w:rPr>
        <w:t> </w:t>
      </w:r>
      <w:r>
        <w:rPr>
          <w:sz w:val="20"/>
        </w:rPr>
        <w:t>y</w:t>
      </w:r>
      <w:r>
        <w:rPr>
          <w:spacing w:val="-5"/>
          <w:sz w:val="20"/>
        </w:rPr>
        <w:t> </w:t>
      </w:r>
      <w:r>
        <w:rPr>
          <w:sz w:val="20"/>
        </w:rPr>
        <w:t>alineamiento</w:t>
      </w:r>
      <w:r>
        <w:rPr>
          <w:spacing w:val="-6"/>
          <w:sz w:val="20"/>
        </w:rPr>
        <w:t> </w:t>
      </w:r>
      <w:r>
        <w:rPr>
          <w:sz w:val="20"/>
        </w:rPr>
        <w:t>oficial</w:t>
      </w:r>
      <w:r>
        <w:rPr>
          <w:spacing w:val="-7"/>
          <w:sz w:val="20"/>
        </w:rPr>
        <w:t> </w:t>
      </w:r>
      <w:r>
        <w:rPr>
          <w:sz w:val="20"/>
        </w:rPr>
        <w:t>en</w:t>
      </w:r>
      <w:r>
        <w:rPr>
          <w:spacing w:val="-6"/>
          <w:sz w:val="20"/>
        </w:rPr>
        <w:t> </w:t>
      </w:r>
      <w:r>
        <w:rPr>
          <w:sz w:val="20"/>
        </w:rPr>
        <w:t>el</w:t>
      </w:r>
      <w:r>
        <w:rPr>
          <w:spacing w:val="-6"/>
          <w:sz w:val="20"/>
        </w:rPr>
        <w:t> </w:t>
      </w:r>
      <w:r>
        <w:rPr>
          <w:sz w:val="20"/>
        </w:rPr>
        <w:t>caso</w:t>
      </w:r>
      <w:r>
        <w:rPr>
          <w:spacing w:val="-6"/>
          <w:sz w:val="20"/>
        </w:rPr>
        <w:t> </w:t>
      </w:r>
      <w:r>
        <w:rPr>
          <w:sz w:val="20"/>
        </w:rPr>
        <w:t>de</w:t>
      </w:r>
      <w:r>
        <w:rPr>
          <w:spacing w:val="-6"/>
          <w:sz w:val="20"/>
        </w:rPr>
        <w:t> </w:t>
      </w:r>
      <w:r>
        <w:rPr>
          <w:spacing w:val="-2"/>
          <w:sz w:val="20"/>
        </w:rPr>
        <w:t>excavación.</w:t>
      </w:r>
    </w:p>
    <w:p>
      <w:pPr>
        <w:pStyle w:val="BodyText"/>
        <w:spacing w:before="1"/>
      </w:pPr>
    </w:p>
    <w:p>
      <w:pPr>
        <w:pStyle w:val="ListParagraph"/>
        <w:numPr>
          <w:ilvl w:val="1"/>
          <w:numId w:val="109"/>
        </w:numPr>
        <w:tabs>
          <w:tab w:pos="544" w:val="left" w:leader="none"/>
        </w:tabs>
        <w:spacing w:line="240" w:lineRule="auto" w:before="0" w:after="0"/>
        <w:ind w:left="544" w:right="0" w:hanging="282"/>
        <w:jc w:val="left"/>
        <w:rPr>
          <w:sz w:val="20"/>
        </w:rPr>
      </w:pPr>
      <w:r>
        <w:rPr>
          <w:sz w:val="20"/>
        </w:rPr>
        <w:t>Constancia</w:t>
      </w:r>
      <w:r>
        <w:rPr>
          <w:spacing w:val="-8"/>
          <w:sz w:val="20"/>
        </w:rPr>
        <w:t> </w:t>
      </w:r>
      <w:r>
        <w:rPr>
          <w:sz w:val="20"/>
        </w:rPr>
        <w:t>de</w:t>
      </w:r>
      <w:r>
        <w:rPr>
          <w:spacing w:val="-7"/>
          <w:sz w:val="20"/>
        </w:rPr>
        <w:t> </w:t>
      </w:r>
      <w:r>
        <w:rPr>
          <w:sz w:val="20"/>
        </w:rPr>
        <w:t>no</w:t>
      </w:r>
      <w:r>
        <w:rPr>
          <w:spacing w:val="-7"/>
          <w:sz w:val="20"/>
        </w:rPr>
        <w:t> </w:t>
      </w:r>
      <w:r>
        <w:rPr>
          <w:sz w:val="20"/>
        </w:rPr>
        <w:t>adeudo</w:t>
      </w:r>
      <w:r>
        <w:rPr>
          <w:spacing w:val="-8"/>
          <w:sz w:val="20"/>
        </w:rPr>
        <w:t> </w:t>
      </w:r>
      <w:r>
        <w:rPr>
          <w:sz w:val="20"/>
        </w:rPr>
        <w:t>del</w:t>
      </w:r>
      <w:r>
        <w:rPr>
          <w:spacing w:val="-6"/>
          <w:sz w:val="20"/>
        </w:rPr>
        <w:t> </w:t>
      </w:r>
      <w:r>
        <w:rPr>
          <w:sz w:val="20"/>
        </w:rPr>
        <w:t>impuesto</w:t>
      </w:r>
      <w:r>
        <w:rPr>
          <w:spacing w:val="-6"/>
          <w:sz w:val="20"/>
        </w:rPr>
        <w:t> </w:t>
      </w:r>
      <w:r>
        <w:rPr>
          <w:sz w:val="20"/>
        </w:rPr>
        <w:t>predial</w:t>
      </w:r>
      <w:r>
        <w:rPr>
          <w:spacing w:val="-8"/>
          <w:sz w:val="20"/>
        </w:rPr>
        <w:t> </w:t>
      </w:r>
      <w:r>
        <w:rPr>
          <w:sz w:val="20"/>
        </w:rPr>
        <w:t>del</w:t>
      </w:r>
      <w:r>
        <w:rPr>
          <w:spacing w:val="-6"/>
          <w:sz w:val="20"/>
        </w:rPr>
        <w:t> </w:t>
      </w:r>
      <w:r>
        <w:rPr>
          <w:sz w:val="20"/>
        </w:rPr>
        <w:t>inmueble</w:t>
      </w:r>
      <w:r>
        <w:rPr>
          <w:spacing w:val="-7"/>
          <w:sz w:val="20"/>
        </w:rPr>
        <w:t> </w:t>
      </w:r>
      <w:r>
        <w:rPr>
          <w:sz w:val="20"/>
        </w:rPr>
        <w:t>o</w:t>
      </w:r>
      <w:r>
        <w:rPr>
          <w:spacing w:val="-5"/>
          <w:sz w:val="20"/>
        </w:rPr>
        <w:t> </w:t>
      </w:r>
      <w:r>
        <w:rPr>
          <w:spacing w:val="-2"/>
          <w:sz w:val="20"/>
        </w:rPr>
        <w:t>inmuebles.</w:t>
      </w:r>
    </w:p>
    <w:p>
      <w:pPr>
        <w:pStyle w:val="BodyText"/>
      </w:pPr>
    </w:p>
    <w:p>
      <w:pPr>
        <w:pStyle w:val="ListParagraph"/>
        <w:numPr>
          <w:ilvl w:val="1"/>
          <w:numId w:val="109"/>
        </w:numPr>
        <w:tabs>
          <w:tab w:pos="543" w:val="left" w:leader="none"/>
        </w:tabs>
        <w:spacing w:line="240" w:lineRule="auto" w:before="1" w:after="0"/>
        <w:ind w:left="262" w:right="287" w:firstLine="0"/>
        <w:jc w:val="left"/>
        <w:rPr>
          <w:sz w:val="20"/>
        </w:rPr>
      </w:pPr>
      <w:r>
        <w:rPr>
          <w:sz w:val="20"/>
        </w:rPr>
        <w:t>Los</w:t>
      </w:r>
      <w:r>
        <w:rPr>
          <w:spacing w:val="40"/>
          <w:sz w:val="20"/>
        </w:rPr>
        <w:t> </w:t>
      </w:r>
      <w:r>
        <w:rPr>
          <w:sz w:val="20"/>
        </w:rPr>
        <w:t>demás</w:t>
      </w:r>
      <w:r>
        <w:rPr>
          <w:spacing w:val="68"/>
          <w:sz w:val="20"/>
        </w:rPr>
        <w:t> </w:t>
      </w:r>
      <w:r>
        <w:rPr>
          <w:sz w:val="20"/>
        </w:rPr>
        <w:t>que</w:t>
      </w:r>
      <w:r>
        <w:rPr>
          <w:spacing w:val="40"/>
          <w:sz w:val="20"/>
        </w:rPr>
        <w:t> </w:t>
      </w:r>
      <w:r>
        <w:rPr>
          <w:sz w:val="20"/>
        </w:rPr>
        <w:t>establezcan</w:t>
      </w:r>
      <w:r>
        <w:rPr>
          <w:spacing w:val="40"/>
          <w:sz w:val="20"/>
        </w:rPr>
        <w:t> </w:t>
      </w:r>
      <w:r>
        <w:rPr>
          <w:sz w:val="20"/>
        </w:rPr>
        <w:t>esta</w:t>
      </w:r>
      <w:r>
        <w:rPr>
          <w:spacing w:val="67"/>
          <w:sz w:val="20"/>
        </w:rPr>
        <w:t> </w:t>
      </w:r>
      <w:r>
        <w:rPr>
          <w:sz w:val="20"/>
        </w:rPr>
        <w:t>Ley,</w:t>
      </w:r>
      <w:r>
        <w:rPr>
          <w:spacing w:val="40"/>
          <w:sz w:val="20"/>
        </w:rPr>
        <w:t> </w:t>
      </w:r>
      <w:r>
        <w:rPr>
          <w:sz w:val="20"/>
        </w:rPr>
        <w:t>su</w:t>
      </w:r>
      <w:r>
        <w:rPr>
          <w:spacing w:val="67"/>
          <w:sz w:val="20"/>
        </w:rPr>
        <w:t> </w:t>
      </w:r>
      <w:r>
        <w:rPr>
          <w:sz w:val="20"/>
        </w:rPr>
        <w:t>reglamentación</w:t>
      </w:r>
      <w:r>
        <w:rPr>
          <w:spacing w:val="40"/>
          <w:sz w:val="20"/>
        </w:rPr>
        <w:t> </w:t>
      </w:r>
      <w:r>
        <w:rPr>
          <w:sz w:val="20"/>
        </w:rPr>
        <w:t>y</w:t>
      </w:r>
      <w:r>
        <w:rPr>
          <w:spacing w:val="40"/>
          <w:sz w:val="20"/>
        </w:rPr>
        <w:t> </w:t>
      </w:r>
      <w:r>
        <w:rPr>
          <w:sz w:val="20"/>
        </w:rPr>
        <w:t>otras</w:t>
      </w:r>
      <w:r>
        <w:rPr>
          <w:spacing w:val="68"/>
          <w:sz w:val="20"/>
        </w:rPr>
        <w:t> </w:t>
      </w:r>
      <w:r>
        <w:rPr>
          <w:sz w:val="20"/>
        </w:rPr>
        <w:t>disposiciones</w:t>
      </w:r>
      <w:r>
        <w:rPr>
          <w:spacing w:val="40"/>
          <w:sz w:val="20"/>
        </w:rPr>
        <w:t> </w:t>
      </w:r>
      <w:r>
        <w:rPr>
          <w:sz w:val="20"/>
        </w:rPr>
        <w:t>jurídicas aplicables, según sea el caso;</w:t>
      </w:r>
    </w:p>
    <w:p>
      <w:pPr>
        <w:pStyle w:val="ListParagraph"/>
        <w:numPr>
          <w:ilvl w:val="0"/>
          <w:numId w:val="109"/>
        </w:numPr>
        <w:tabs>
          <w:tab w:pos="545" w:val="left" w:leader="none"/>
        </w:tabs>
        <w:spacing w:line="240" w:lineRule="auto" w:before="228" w:after="0"/>
        <w:ind w:left="545" w:right="0" w:hanging="283"/>
        <w:jc w:val="left"/>
        <w:rPr>
          <w:sz w:val="20"/>
        </w:rPr>
      </w:pPr>
      <w:r>
        <w:rPr>
          <w:sz w:val="20"/>
        </w:rPr>
        <w:t>Para</w:t>
      </w:r>
      <w:r>
        <w:rPr>
          <w:spacing w:val="-9"/>
          <w:sz w:val="20"/>
        </w:rPr>
        <w:t> </w:t>
      </w:r>
      <w:r>
        <w:rPr>
          <w:sz w:val="20"/>
        </w:rPr>
        <w:t>cambios</w:t>
      </w:r>
      <w:r>
        <w:rPr>
          <w:spacing w:val="-7"/>
          <w:sz w:val="20"/>
        </w:rPr>
        <w:t> </w:t>
      </w:r>
      <w:r>
        <w:rPr>
          <w:spacing w:val="-2"/>
          <w:sz w:val="20"/>
        </w:rPr>
        <w:t>estructurales:</w:t>
      </w:r>
    </w:p>
    <w:p>
      <w:pPr>
        <w:pStyle w:val="BodyText"/>
        <w:spacing w:before="1"/>
      </w:pPr>
    </w:p>
    <w:p>
      <w:pPr>
        <w:pStyle w:val="ListParagraph"/>
        <w:numPr>
          <w:ilvl w:val="1"/>
          <w:numId w:val="109"/>
        </w:numPr>
        <w:tabs>
          <w:tab w:pos="544" w:val="left" w:leader="none"/>
        </w:tabs>
        <w:spacing w:line="240" w:lineRule="auto" w:before="0" w:after="0"/>
        <w:ind w:left="544" w:right="0" w:hanging="282"/>
        <w:jc w:val="left"/>
        <w:rPr>
          <w:sz w:val="20"/>
        </w:rPr>
      </w:pPr>
      <w:r>
        <w:rPr>
          <w:sz w:val="20"/>
        </w:rPr>
        <w:t>Licencia</w:t>
      </w:r>
      <w:r>
        <w:rPr>
          <w:spacing w:val="-6"/>
          <w:sz w:val="20"/>
        </w:rPr>
        <w:t> </w:t>
      </w:r>
      <w:r>
        <w:rPr>
          <w:sz w:val="20"/>
        </w:rPr>
        <w:t>de</w:t>
      </w:r>
      <w:r>
        <w:rPr>
          <w:spacing w:val="-6"/>
          <w:sz w:val="20"/>
        </w:rPr>
        <w:t> </w:t>
      </w:r>
      <w:r>
        <w:rPr>
          <w:sz w:val="20"/>
        </w:rPr>
        <w:t>uso</w:t>
      </w:r>
      <w:r>
        <w:rPr>
          <w:spacing w:val="-4"/>
          <w:sz w:val="20"/>
        </w:rPr>
        <w:t> </w:t>
      </w:r>
      <w:r>
        <w:rPr>
          <w:sz w:val="20"/>
        </w:rPr>
        <w:t>de</w:t>
      </w:r>
      <w:r>
        <w:rPr>
          <w:spacing w:val="-6"/>
          <w:sz w:val="20"/>
        </w:rPr>
        <w:t> </w:t>
      </w:r>
      <w:r>
        <w:rPr>
          <w:sz w:val="20"/>
        </w:rPr>
        <w:t>suelo</w:t>
      </w:r>
      <w:r>
        <w:rPr>
          <w:spacing w:val="-4"/>
          <w:sz w:val="20"/>
        </w:rPr>
        <w:t> </w:t>
      </w:r>
      <w:r>
        <w:rPr>
          <w:spacing w:val="-2"/>
          <w:sz w:val="20"/>
        </w:rPr>
        <w:t>vigente.</w:t>
      </w:r>
    </w:p>
    <w:p>
      <w:pPr>
        <w:pStyle w:val="ListParagraph"/>
        <w:numPr>
          <w:ilvl w:val="1"/>
          <w:numId w:val="109"/>
        </w:numPr>
        <w:tabs>
          <w:tab w:pos="544" w:val="left" w:leader="none"/>
        </w:tabs>
        <w:spacing w:line="240" w:lineRule="auto" w:before="229" w:after="0"/>
        <w:ind w:left="262" w:right="285" w:firstLine="0"/>
        <w:jc w:val="both"/>
        <w:rPr>
          <w:sz w:val="20"/>
        </w:rPr>
      </w:pPr>
      <w:r>
        <w:rPr>
          <w:sz w:val="20"/>
        </w:rPr>
        <w:t>En</w:t>
      </w:r>
      <w:r>
        <w:rPr>
          <w:spacing w:val="-7"/>
          <w:sz w:val="20"/>
        </w:rPr>
        <w:t> </w:t>
      </w:r>
      <w:r>
        <w:rPr>
          <w:sz w:val="20"/>
        </w:rPr>
        <w:t>los</w:t>
      </w:r>
      <w:r>
        <w:rPr>
          <w:spacing w:val="-8"/>
          <w:sz w:val="20"/>
        </w:rPr>
        <w:t> </w:t>
      </w:r>
      <w:r>
        <w:rPr>
          <w:sz w:val="20"/>
        </w:rPr>
        <w:t>casos</w:t>
      </w:r>
      <w:r>
        <w:rPr>
          <w:spacing w:val="-6"/>
          <w:sz w:val="20"/>
        </w:rPr>
        <w:t> </w:t>
      </w:r>
      <w:r>
        <w:rPr>
          <w:sz w:val="20"/>
        </w:rPr>
        <w:t>de</w:t>
      </w:r>
      <w:r>
        <w:rPr>
          <w:spacing w:val="-7"/>
          <w:sz w:val="20"/>
        </w:rPr>
        <w:t> </w:t>
      </w:r>
      <w:r>
        <w:rPr>
          <w:sz w:val="20"/>
        </w:rPr>
        <w:t>obras</w:t>
      </w:r>
      <w:r>
        <w:rPr>
          <w:spacing w:val="-6"/>
          <w:sz w:val="20"/>
        </w:rPr>
        <w:t> </w:t>
      </w:r>
      <w:r>
        <w:rPr>
          <w:sz w:val="20"/>
        </w:rPr>
        <w:t>y</w:t>
      </w:r>
      <w:r>
        <w:rPr>
          <w:spacing w:val="-8"/>
          <w:sz w:val="20"/>
        </w:rPr>
        <w:t> </w:t>
      </w:r>
      <w:r>
        <w:rPr>
          <w:sz w:val="20"/>
        </w:rPr>
        <w:t>actividades</w:t>
      </w:r>
      <w:r>
        <w:rPr>
          <w:spacing w:val="-8"/>
          <w:sz w:val="20"/>
        </w:rPr>
        <w:t> </w:t>
      </w:r>
      <w:r>
        <w:rPr>
          <w:sz w:val="20"/>
        </w:rPr>
        <w:t>señaladas</w:t>
      </w:r>
      <w:r>
        <w:rPr>
          <w:spacing w:val="-6"/>
          <w:sz w:val="20"/>
        </w:rPr>
        <w:t> </w:t>
      </w:r>
      <w:r>
        <w:rPr>
          <w:sz w:val="20"/>
        </w:rPr>
        <w:t>en</w:t>
      </w:r>
      <w:r>
        <w:rPr>
          <w:spacing w:val="-7"/>
          <w:sz w:val="20"/>
        </w:rPr>
        <w:t> </w:t>
      </w:r>
      <w:r>
        <w:rPr>
          <w:sz w:val="20"/>
        </w:rPr>
        <w:t>el</w:t>
      </w:r>
      <w:r>
        <w:rPr>
          <w:spacing w:val="-10"/>
          <w:sz w:val="20"/>
        </w:rPr>
        <w:t> </w:t>
      </w:r>
      <w:r>
        <w:rPr>
          <w:sz w:val="20"/>
        </w:rPr>
        <w:t>artículo</w:t>
      </w:r>
      <w:r>
        <w:rPr>
          <w:spacing w:val="-7"/>
          <w:sz w:val="20"/>
        </w:rPr>
        <w:t> </w:t>
      </w:r>
      <w:r>
        <w:rPr>
          <w:sz w:val="20"/>
        </w:rPr>
        <w:t>118</w:t>
      </w:r>
      <w:r>
        <w:rPr>
          <w:spacing w:val="-9"/>
          <w:sz w:val="20"/>
        </w:rPr>
        <w:t> </w:t>
      </w:r>
      <w:r>
        <w:rPr>
          <w:sz w:val="20"/>
        </w:rPr>
        <w:t>de</w:t>
      </w:r>
      <w:r>
        <w:rPr>
          <w:spacing w:val="-7"/>
          <w:sz w:val="20"/>
        </w:rPr>
        <w:t> </w:t>
      </w:r>
      <w:r>
        <w:rPr>
          <w:sz w:val="20"/>
        </w:rPr>
        <w:t>la</w:t>
      </w:r>
      <w:r>
        <w:rPr>
          <w:spacing w:val="-7"/>
          <w:sz w:val="20"/>
        </w:rPr>
        <w:t> </w:t>
      </w:r>
      <w:r>
        <w:rPr>
          <w:sz w:val="20"/>
        </w:rPr>
        <w:t>Ley</w:t>
      </w:r>
      <w:r>
        <w:rPr>
          <w:spacing w:val="-5"/>
          <w:sz w:val="20"/>
        </w:rPr>
        <w:t> </w:t>
      </w:r>
      <w:r>
        <w:rPr>
          <w:sz w:val="20"/>
        </w:rPr>
        <w:t>Ambiental</w:t>
      </w:r>
      <w:r>
        <w:rPr>
          <w:spacing w:val="-8"/>
          <w:sz w:val="20"/>
        </w:rPr>
        <w:t> </w:t>
      </w:r>
      <w:r>
        <w:rPr>
          <w:sz w:val="20"/>
        </w:rPr>
        <w:t>del</w:t>
      </w:r>
      <w:r>
        <w:rPr>
          <w:spacing w:val="-7"/>
          <w:sz w:val="20"/>
        </w:rPr>
        <w:t> </w:t>
      </w:r>
      <w:r>
        <w:rPr>
          <w:sz w:val="20"/>
        </w:rPr>
        <w:t>Estado, autorización de impacto ambiental, de la Secretaría de Ecología y Gestión Ambiental o en su caso del Ayuntamiento respectivo.</w:t>
      </w:r>
    </w:p>
    <w:p>
      <w:pPr>
        <w:pStyle w:val="BodyText"/>
        <w:spacing w:before="1"/>
      </w:pPr>
    </w:p>
    <w:p>
      <w:pPr>
        <w:pStyle w:val="ListParagraph"/>
        <w:numPr>
          <w:ilvl w:val="1"/>
          <w:numId w:val="109"/>
        </w:numPr>
        <w:tabs>
          <w:tab w:pos="544" w:val="left" w:leader="none"/>
        </w:tabs>
        <w:spacing w:line="240" w:lineRule="auto" w:before="0" w:after="0"/>
        <w:ind w:left="544" w:right="0" w:hanging="282"/>
        <w:jc w:val="both"/>
        <w:rPr>
          <w:sz w:val="20"/>
        </w:rPr>
      </w:pPr>
      <w:r>
        <w:rPr>
          <w:sz w:val="20"/>
        </w:rPr>
        <w:t>Constancia</w:t>
      </w:r>
      <w:r>
        <w:rPr>
          <w:spacing w:val="-8"/>
          <w:sz w:val="20"/>
        </w:rPr>
        <w:t> </w:t>
      </w:r>
      <w:r>
        <w:rPr>
          <w:sz w:val="20"/>
        </w:rPr>
        <w:t>de</w:t>
      </w:r>
      <w:r>
        <w:rPr>
          <w:spacing w:val="-7"/>
          <w:sz w:val="20"/>
        </w:rPr>
        <w:t> </w:t>
      </w:r>
      <w:r>
        <w:rPr>
          <w:sz w:val="20"/>
        </w:rPr>
        <w:t>no</w:t>
      </w:r>
      <w:r>
        <w:rPr>
          <w:spacing w:val="-7"/>
          <w:sz w:val="20"/>
        </w:rPr>
        <w:t> </w:t>
      </w:r>
      <w:r>
        <w:rPr>
          <w:sz w:val="20"/>
        </w:rPr>
        <w:t>adeudo</w:t>
      </w:r>
      <w:r>
        <w:rPr>
          <w:spacing w:val="-8"/>
          <w:sz w:val="20"/>
        </w:rPr>
        <w:t> </w:t>
      </w:r>
      <w:r>
        <w:rPr>
          <w:sz w:val="20"/>
        </w:rPr>
        <w:t>del</w:t>
      </w:r>
      <w:r>
        <w:rPr>
          <w:spacing w:val="-6"/>
          <w:sz w:val="20"/>
        </w:rPr>
        <w:t> </w:t>
      </w:r>
      <w:r>
        <w:rPr>
          <w:sz w:val="20"/>
        </w:rPr>
        <w:t>impuesto</w:t>
      </w:r>
      <w:r>
        <w:rPr>
          <w:spacing w:val="-6"/>
          <w:sz w:val="20"/>
        </w:rPr>
        <w:t> </w:t>
      </w:r>
      <w:r>
        <w:rPr>
          <w:sz w:val="20"/>
        </w:rPr>
        <w:t>predial</w:t>
      </w:r>
      <w:r>
        <w:rPr>
          <w:spacing w:val="-8"/>
          <w:sz w:val="20"/>
        </w:rPr>
        <w:t> </w:t>
      </w:r>
      <w:r>
        <w:rPr>
          <w:sz w:val="20"/>
        </w:rPr>
        <w:t>del</w:t>
      </w:r>
      <w:r>
        <w:rPr>
          <w:spacing w:val="-6"/>
          <w:sz w:val="20"/>
        </w:rPr>
        <w:t> </w:t>
      </w:r>
      <w:r>
        <w:rPr>
          <w:sz w:val="20"/>
        </w:rPr>
        <w:t>inmueble</w:t>
      </w:r>
      <w:r>
        <w:rPr>
          <w:spacing w:val="-7"/>
          <w:sz w:val="20"/>
        </w:rPr>
        <w:t> </w:t>
      </w:r>
      <w:r>
        <w:rPr>
          <w:sz w:val="20"/>
        </w:rPr>
        <w:t>o</w:t>
      </w:r>
      <w:r>
        <w:rPr>
          <w:spacing w:val="-5"/>
          <w:sz w:val="20"/>
        </w:rPr>
        <w:t> </w:t>
      </w:r>
      <w:r>
        <w:rPr>
          <w:spacing w:val="-2"/>
          <w:sz w:val="20"/>
        </w:rPr>
        <w:t>inmuebles.</w:t>
      </w:r>
    </w:p>
    <w:p>
      <w:pPr>
        <w:pStyle w:val="ListParagraph"/>
        <w:numPr>
          <w:ilvl w:val="1"/>
          <w:numId w:val="109"/>
        </w:numPr>
        <w:tabs>
          <w:tab w:pos="544" w:val="left" w:leader="none"/>
        </w:tabs>
        <w:spacing w:line="240" w:lineRule="auto" w:before="229" w:after="0"/>
        <w:ind w:left="544" w:right="0" w:hanging="282"/>
        <w:jc w:val="both"/>
        <w:rPr>
          <w:sz w:val="20"/>
        </w:rPr>
      </w:pPr>
      <w:r>
        <w:rPr>
          <w:sz w:val="20"/>
        </w:rPr>
        <w:t>Licencia</w:t>
      </w:r>
      <w:r>
        <w:rPr>
          <w:spacing w:val="-8"/>
          <w:sz w:val="20"/>
        </w:rPr>
        <w:t> </w:t>
      </w:r>
      <w:r>
        <w:rPr>
          <w:sz w:val="20"/>
        </w:rPr>
        <w:t>y</w:t>
      </w:r>
      <w:r>
        <w:rPr>
          <w:spacing w:val="-7"/>
          <w:sz w:val="20"/>
        </w:rPr>
        <w:t> </w:t>
      </w:r>
      <w:r>
        <w:rPr>
          <w:sz w:val="20"/>
        </w:rPr>
        <w:t>planos</w:t>
      </w:r>
      <w:r>
        <w:rPr>
          <w:spacing w:val="-6"/>
          <w:sz w:val="20"/>
        </w:rPr>
        <w:t> </w:t>
      </w:r>
      <w:r>
        <w:rPr>
          <w:sz w:val="20"/>
        </w:rPr>
        <w:t>autorizados</w:t>
      </w:r>
      <w:r>
        <w:rPr>
          <w:spacing w:val="-7"/>
          <w:sz w:val="20"/>
        </w:rPr>
        <w:t> </w:t>
      </w:r>
      <w:r>
        <w:rPr>
          <w:sz w:val="20"/>
        </w:rPr>
        <w:t>de</w:t>
      </w:r>
      <w:r>
        <w:rPr>
          <w:spacing w:val="-6"/>
          <w:sz w:val="20"/>
        </w:rPr>
        <w:t> </w:t>
      </w:r>
      <w:r>
        <w:rPr>
          <w:sz w:val="20"/>
        </w:rPr>
        <w:t>la</w:t>
      </w:r>
      <w:r>
        <w:rPr>
          <w:spacing w:val="-8"/>
          <w:sz w:val="20"/>
        </w:rPr>
        <w:t> </w:t>
      </w:r>
      <w:r>
        <w:rPr>
          <w:sz w:val="20"/>
        </w:rPr>
        <w:t>construcción</w:t>
      </w:r>
      <w:r>
        <w:rPr>
          <w:spacing w:val="-8"/>
          <w:sz w:val="20"/>
        </w:rPr>
        <w:t> </w:t>
      </w:r>
      <w:r>
        <w:rPr>
          <w:spacing w:val="-2"/>
          <w:sz w:val="20"/>
        </w:rPr>
        <w:t>existente.</w:t>
      </w:r>
    </w:p>
    <w:p>
      <w:pPr>
        <w:pStyle w:val="BodyText"/>
        <w:spacing w:before="1"/>
      </w:pPr>
    </w:p>
    <w:p>
      <w:pPr>
        <w:pStyle w:val="ListParagraph"/>
        <w:numPr>
          <w:ilvl w:val="1"/>
          <w:numId w:val="109"/>
        </w:numPr>
        <w:tabs>
          <w:tab w:pos="544" w:val="left" w:leader="none"/>
        </w:tabs>
        <w:spacing w:line="240" w:lineRule="auto" w:before="0" w:after="0"/>
        <w:ind w:left="262" w:right="286" w:firstLine="0"/>
        <w:jc w:val="both"/>
        <w:rPr>
          <w:sz w:val="20"/>
        </w:rPr>
      </w:pPr>
      <w:r>
        <w:rPr>
          <w:sz w:val="20"/>
        </w:rPr>
        <w:t>Los demás que establezcan esta Ley su reglamentación y otras disposiciones jurídicas aplicables, según sea el caso;</w:t>
      </w:r>
    </w:p>
    <w:p>
      <w:pPr>
        <w:pStyle w:val="ListParagraph"/>
        <w:numPr>
          <w:ilvl w:val="0"/>
          <w:numId w:val="109"/>
        </w:numPr>
        <w:tabs>
          <w:tab w:pos="544" w:val="left" w:leader="none"/>
        </w:tabs>
        <w:spacing w:line="240" w:lineRule="auto" w:before="229" w:after="0"/>
        <w:ind w:left="544" w:right="0" w:hanging="282"/>
        <w:jc w:val="both"/>
        <w:rPr>
          <w:sz w:val="20"/>
        </w:rPr>
      </w:pPr>
      <w:r>
        <w:rPr>
          <w:sz w:val="20"/>
        </w:rPr>
        <w:t>Para</w:t>
      </w:r>
      <w:r>
        <w:rPr>
          <w:spacing w:val="-7"/>
          <w:sz w:val="20"/>
        </w:rPr>
        <w:t> </w:t>
      </w:r>
      <w:r>
        <w:rPr>
          <w:sz w:val="20"/>
        </w:rPr>
        <w:t>cambio</w:t>
      </w:r>
      <w:r>
        <w:rPr>
          <w:spacing w:val="-7"/>
          <w:sz w:val="20"/>
        </w:rPr>
        <w:t> </w:t>
      </w:r>
      <w:r>
        <w:rPr>
          <w:sz w:val="20"/>
        </w:rPr>
        <w:t>a</w:t>
      </w:r>
      <w:r>
        <w:rPr>
          <w:spacing w:val="-5"/>
          <w:sz w:val="20"/>
        </w:rPr>
        <w:t> </w:t>
      </w:r>
      <w:r>
        <w:rPr>
          <w:sz w:val="20"/>
        </w:rPr>
        <w:t>régimen</w:t>
      </w:r>
      <w:r>
        <w:rPr>
          <w:spacing w:val="-7"/>
          <w:sz w:val="20"/>
        </w:rPr>
        <w:t> </w:t>
      </w:r>
      <w:r>
        <w:rPr>
          <w:sz w:val="20"/>
        </w:rPr>
        <w:t>de</w:t>
      </w:r>
      <w:r>
        <w:rPr>
          <w:spacing w:val="-3"/>
          <w:sz w:val="20"/>
        </w:rPr>
        <w:t> </w:t>
      </w:r>
      <w:r>
        <w:rPr>
          <w:sz w:val="20"/>
        </w:rPr>
        <w:t>propiedad</w:t>
      </w:r>
      <w:r>
        <w:rPr>
          <w:spacing w:val="-7"/>
          <w:sz w:val="20"/>
        </w:rPr>
        <w:t> </w:t>
      </w:r>
      <w:r>
        <w:rPr>
          <w:sz w:val="20"/>
        </w:rPr>
        <w:t>en</w:t>
      </w:r>
      <w:r>
        <w:rPr>
          <w:spacing w:val="-7"/>
          <w:sz w:val="20"/>
        </w:rPr>
        <w:t> </w:t>
      </w:r>
      <w:r>
        <w:rPr>
          <w:spacing w:val="-2"/>
          <w:sz w:val="20"/>
        </w:rPr>
        <w:t>condominio:</w:t>
      </w:r>
    </w:p>
    <w:p>
      <w:pPr>
        <w:pStyle w:val="BodyText"/>
        <w:spacing w:before="1"/>
      </w:pPr>
    </w:p>
    <w:p>
      <w:pPr>
        <w:pStyle w:val="ListParagraph"/>
        <w:numPr>
          <w:ilvl w:val="1"/>
          <w:numId w:val="109"/>
        </w:numPr>
        <w:tabs>
          <w:tab w:pos="544" w:val="left" w:leader="none"/>
        </w:tabs>
        <w:spacing w:line="240" w:lineRule="auto" w:before="0" w:after="0"/>
        <w:ind w:left="262" w:right="286" w:firstLine="0"/>
        <w:jc w:val="both"/>
        <w:rPr>
          <w:sz w:val="20"/>
        </w:rPr>
      </w:pPr>
      <w:r>
        <w:rPr>
          <w:sz w:val="20"/>
        </w:rPr>
        <w:t>Planos</w:t>
      </w:r>
      <w:r>
        <w:rPr>
          <w:spacing w:val="-6"/>
          <w:sz w:val="20"/>
        </w:rPr>
        <w:t> </w:t>
      </w:r>
      <w:r>
        <w:rPr>
          <w:sz w:val="20"/>
        </w:rPr>
        <w:t>de</w:t>
      </w:r>
      <w:r>
        <w:rPr>
          <w:spacing w:val="-8"/>
          <w:sz w:val="20"/>
        </w:rPr>
        <w:t> </w:t>
      </w:r>
      <w:r>
        <w:rPr>
          <w:sz w:val="20"/>
        </w:rPr>
        <w:t>áreas</w:t>
      </w:r>
      <w:r>
        <w:rPr>
          <w:spacing w:val="-9"/>
          <w:sz w:val="20"/>
        </w:rPr>
        <w:t> </w:t>
      </w:r>
      <w:r>
        <w:rPr>
          <w:sz w:val="20"/>
        </w:rPr>
        <w:t>privativas</w:t>
      </w:r>
      <w:r>
        <w:rPr>
          <w:spacing w:val="-7"/>
          <w:sz w:val="20"/>
        </w:rPr>
        <w:t> </w:t>
      </w:r>
      <w:r>
        <w:rPr>
          <w:sz w:val="20"/>
        </w:rPr>
        <w:t>y</w:t>
      </w:r>
      <w:r>
        <w:rPr>
          <w:spacing w:val="-9"/>
          <w:sz w:val="20"/>
        </w:rPr>
        <w:t> </w:t>
      </w:r>
      <w:r>
        <w:rPr>
          <w:sz w:val="20"/>
        </w:rPr>
        <w:t>comunes</w:t>
      </w:r>
      <w:r>
        <w:rPr>
          <w:spacing w:val="-7"/>
          <w:sz w:val="20"/>
        </w:rPr>
        <w:t> </w:t>
      </w:r>
      <w:r>
        <w:rPr>
          <w:sz w:val="20"/>
        </w:rPr>
        <w:t>e</w:t>
      </w:r>
      <w:r>
        <w:rPr>
          <w:spacing w:val="-8"/>
          <w:sz w:val="20"/>
        </w:rPr>
        <w:t> </w:t>
      </w:r>
      <w:r>
        <w:rPr>
          <w:sz w:val="20"/>
        </w:rPr>
        <w:t>indivisos</w:t>
      </w:r>
      <w:r>
        <w:rPr>
          <w:spacing w:val="-9"/>
          <w:sz w:val="20"/>
        </w:rPr>
        <w:t> </w:t>
      </w:r>
      <w:r>
        <w:rPr>
          <w:sz w:val="20"/>
        </w:rPr>
        <w:t>de</w:t>
      </w:r>
      <w:r>
        <w:rPr>
          <w:spacing w:val="-8"/>
          <w:sz w:val="20"/>
        </w:rPr>
        <w:t> </w:t>
      </w:r>
      <w:r>
        <w:rPr>
          <w:sz w:val="20"/>
        </w:rPr>
        <w:t>la</w:t>
      </w:r>
      <w:r>
        <w:rPr>
          <w:spacing w:val="-8"/>
          <w:sz w:val="20"/>
        </w:rPr>
        <w:t> </w:t>
      </w:r>
      <w:r>
        <w:rPr>
          <w:sz w:val="20"/>
        </w:rPr>
        <w:t>construcción</w:t>
      </w:r>
      <w:r>
        <w:rPr>
          <w:spacing w:val="-8"/>
          <w:sz w:val="20"/>
        </w:rPr>
        <w:t> </w:t>
      </w:r>
      <w:r>
        <w:rPr>
          <w:sz w:val="20"/>
        </w:rPr>
        <w:t>en</w:t>
      </w:r>
      <w:r>
        <w:rPr>
          <w:spacing w:val="-8"/>
          <w:sz w:val="20"/>
        </w:rPr>
        <w:t> </w:t>
      </w:r>
      <w:r>
        <w:rPr>
          <w:sz w:val="20"/>
        </w:rPr>
        <w:t>que</w:t>
      </w:r>
      <w:r>
        <w:rPr>
          <w:spacing w:val="-9"/>
          <w:sz w:val="20"/>
        </w:rPr>
        <w:t> </w:t>
      </w:r>
      <w:r>
        <w:rPr>
          <w:sz w:val="20"/>
        </w:rPr>
        <w:t>se</w:t>
      </w:r>
      <w:r>
        <w:rPr>
          <w:spacing w:val="-10"/>
          <w:sz w:val="20"/>
        </w:rPr>
        <w:t> </w:t>
      </w:r>
      <w:r>
        <w:rPr>
          <w:sz w:val="20"/>
        </w:rPr>
        <w:t>señalen,</w:t>
      </w:r>
      <w:r>
        <w:rPr>
          <w:spacing w:val="-7"/>
          <w:sz w:val="20"/>
        </w:rPr>
        <w:t> </w:t>
      </w:r>
      <w:r>
        <w:rPr>
          <w:sz w:val="20"/>
        </w:rPr>
        <w:t>los</w:t>
      </w:r>
      <w:r>
        <w:rPr>
          <w:spacing w:val="-7"/>
          <w:sz w:val="20"/>
        </w:rPr>
        <w:t> </w:t>
      </w:r>
      <w:r>
        <w:rPr>
          <w:sz w:val="20"/>
        </w:rPr>
        <w:t>pisos si</w:t>
      </w:r>
      <w:r>
        <w:rPr>
          <w:spacing w:val="-3"/>
          <w:sz w:val="20"/>
        </w:rPr>
        <w:t> </w:t>
      </w:r>
      <w:r>
        <w:rPr>
          <w:sz w:val="20"/>
        </w:rPr>
        <w:t>se</w:t>
      </w:r>
      <w:r>
        <w:rPr>
          <w:spacing w:val="-2"/>
          <w:sz w:val="20"/>
        </w:rPr>
        <w:t> </w:t>
      </w:r>
      <w:r>
        <w:rPr>
          <w:sz w:val="20"/>
        </w:rPr>
        <w:t>trata de condominio</w:t>
      </w:r>
      <w:r>
        <w:rPr>
          <w:spacing w:val="-2"/>
          <w:sz w:val="20"/>
        </w:rPr>
        <w:t> </w:t>
      </w:r>
      <w:r>
        <w:rPr>
          <w:sz w:val="20"/>
        </w:rPr>
        <w:t>vertical; así</w:t>
      </w:r>
      <w:r>
        <w:rPr>
          <w:spacing w:val="-2"/>
          <w:sz w:val="20"/>
        </w:rPr>
        <w:t> </w:t>
      </w:r>
      <w:r>
        <w:rPr>
          <w:sz w:val="20"/>
        </w:rPr>
        <w:t>como departamentos,</w:t>
      </w:r>
      <w:r>
        <w:rPr>
          <w:spacing w:val="-2"/>
          <w:sz w:val="20"/>
        </w:rPr>
        <w:t> </w:t>
      </w:r>
      <w:r>
        <w:rPr>
          <w:sz w:val="20"/>
        </w:rPr>
        <w:t>viviendas, locales,</w:t>
      </w:r>
      <w:r>
        <w:rPr>
          <w:spacing w:val="-2"/>
          <w:sz w:val="20"/>
        </w:rPr>
        <w:t> </w:t>
      </w:r>
      <w:r>
        <w:rPr>
          <w:sz w:val="20"/>
        </w:rPr>
        <w:t>predios o</w:t>
      </w:r>
      <w:r>
        <w:rPr>
          <w:spacing w:val="-2"/>
          <w:sz w:val="20"/>
        </w:rPr>
        <w:t> </w:t>
      </w:r>
      <w:r>
        <w:rPr>
          <w:sz w:val="20"/>
        </w:rPr>
        <w:t>áreas</w:t>
      </w:r>
      <w:r>
        <w:rPr>
          <w:spacing w:val="-1"/>
          <w:sz w:val="20"/>
        </w:rPr>
        <w:t> </w:t>
      </w:r>
      <w:r>
        <w:rPr>
          <w:sz w:val="20"/>
        </w:rPr>
        <w:t>que serán de dominio exclusivo de los condóminos.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109"/>
        </w:numPr>
        <w:tabs>
          <w:tab w:pos="544" w:val="left" w:leader="none"/>
        </w:tabs>
        <w:spacing w:line="240" w:lineRule="auto" w:before="0" w:after="0"/>
        <w:ind w:left="544" w:right="0" w:hanging="282"/>
        <w:jc w:val="both"/>
        <w:rPr>
          <w:sz w:val="20"/>
        </w:rPr>
      </w:pPr>
      <w:r>
        <w:rPr>
          <w:sz w:val="20"/>
        </w:rPr>
        <w:t>Los</w:t>
      </w:r>
      <w:r>
        <w:rPr>
          <w:spacing w:val="-5"/>
          <w:sz w:val="20"/>
        </w:rPr>
        <w:t> </w:t>
      </w:r>
      <w:r>
        <w:rPr>
          <w:sz w:val="20"/>
        </w:rPr>
        <w:t>elementos</w:t>
      </w:r>
      <w:r>
        <w:rPr>
          <w:spacing w:val="-5"/>
          <w:sz w:val="20"/>
        </w:rPr>
        <w:t> </w:t>
      </w:r>
      <w:r>
        <w:rPr>
          <w:sz w:val="20"/>
        </w:rPr>
        <w:t>comunes</w:t>
      </w:r>
      <w:r>
        <w:rPr>
          <w:spacing w:val="-4"/>
          <w:sz w:val="20"/>
        </w:rPr>
        <w:t> </w:t>
      </w:r>
      <w:r>
        <w:rPr>
          <w:sz w:val="20"/>
        </w:rPr>
        <w:t>de</w:t>
      </w:r>
      <w:r>
        <w:rPr>
          <w:spacing w:val="-4"/>
          <w:sz w:val="20"/>
        </w:rPr>
        <w:t> </w:t>
      </w:r>
      <w:r>
        <w:rPr>
          <w:sz w:val="20"/>
        </w:rPr>
        <w:t>la</w:t>
      </w:r>
      <w:r>
        <w:rPr>
          <w:spacing w:val="-4"/>
          <w:sz w:val="20"/>
        </w:rPr>
        <w:t> </w:t>
      </w:r>
      <w:r>
        <w:rPr>
          <w:sz w:val="20"/>
        </w:rPr>
        <w:t>misma</w:t>
      </w:r>
      <w:r>
        <w:rPr>
          <w:spacing w:val="-5"/>
          <w:sz w:val="20"/>
        </w:rPr>
        <w:t> </w:t>
      </w:r>
      <w:r>
        <w:rPr>
          <w:sz w:val="20"/>
        </w:rPr>
        <w:t>y</w:t>
      </w:r>
      <w:r>
        <w:rPr>
          <w:spacing w:val="-5"/>
          <w:sz w:val="20"/>
        </w:rPr>
        <w:t> </w:t>
      </w:r>
      <w:r>
        <w:rPr>
          <w:sz w:val="20"/>
        </w:rPr>
        <w:t>las</w:t>
      </w:r>
      <w:r>
        <w:rPr>
          <w:spacing w:val="-3"/>
          <w:sz w:val="20"/>
        </w:rPr>
        <w:t> </w:t>
      </w:r>
      <w:r>
        <w:rPr>
          <w:sz w:val="20"/>
        </w:rPr>
        <w:t>áreas</w:t>
      </w:r>
      <w:r>
        <w:rPr>
          <w:spacing w:val="-4"/>
          <w:sz w:val="20"/>
        </w:rPr>
        <w:t> </w:t>
      </w:r>
      <w:r>
        <w:rPr>
          <w:sz w:val="20"/>
        </w:rPr>
        <w:t>de</w:t>
      </w:r>
      <w:r>
        <w:rPr>
          <w:spacing w:val="-6"/>
          <w:sz w:val="20"/>
        </w:rPr>
        <w:t> </w:t>
      </w:r>
      <w:r>
        <w:rPr>
          <w:sz w:val="20"/>
        </w:rPr>
        <w:t>uso</w:t>
      </w:r>
      <w:r>
        <w:rPr>
          <w:spacing w:val="-5"/>
          <w:sz w:val="20"/>
        </w:rPr>
        <w:t> </w:t>
      </w:r>
      <w:r>
        <w:rPr>
          <w:sz w:val="20"/>
        </w:rPr>
        <w:t>común</w:t>
      </w:r>
      <w:r>
        <w:rPr>
          <w:spacing w:val="-6"/>
          <w:sz w:val="20"/>
        </w:rPr>
        <w:t> </w:t>
      </w:r>
      <w:r>
        <w:rPr>
          <w:sz w:val="20"/>
        </w:rPr>
        <w:t>del</w:t>
      </w:r>
      <w:r>
        <w:rPr>
          <w:spacing w:val="-4"/>
          <w:sz w:val="20"/>
        </w:rPr>
        <w:t> </w:t>
      </w:r>
      <w:r>
        <w:rPr>
          <w:spacing w:val="-2"/>
          <w:sz w:val="20"/>
        </w:rPr>
        <w:t>predio.</w:t>
      </w:r>
    </w:p>
    <w:p>
      <w:pPr>
        <w:pStyle w:val="BodyText"/>
        <w:spacing w:before="1"/>
      </w:pPr>
    </w:p>
    <w:p>
      <w:pPr>
        <w:pStyle w:val="ListParagraph"/>
        <w:numPr>
          <w:ilvl w:val="1"/>
          <w:numId w:val="109"/>
        </w:numPr>
        <w:tabs>
          <w:tab w:pos="544" w:val="left" w:leader="none"/>
        </w:tabs>
        <w:spacing w:line="240" w:lineRule="auto" w:before="0" w:after="0"/>
        <w:ind w:left="262" w:right="284" w:firstLine="0"/>
        <w:jc w:val="both"/>
        <w:rPr>
          <w:sz w:val="20"/>
        </w:rPr>
      </w:pPr>
      <w:r>
        <w:rPr>
          <w:sz w:val="20"/>
        </w:rPr>
        <w:t>La</w:t>
      </w:r>
      <w:r>
        <w:rPr>
          <w:spacing w:val="-14"/>
          <w:sz w:val="20"/>
        </w:rPr>
        <w:t> </w:t>
      </w:r>
      <w:r>
        <w:rPr>
          <w:sz w:val="20"/>
        </w:rPr>
        <w:t>autorización</w:t>
      </w:r>
      <w:r>
        <w:rPr>
          <w:spacing w:val="-14"/>
          <w:sz w:val="20"/>
        </w:rPr>
        <w:t> </w:t>
      </w:r>
      <w:r>
        <w:rPr>
          <w:sz w:val="20"/>
        </w:rPr>
        <w:t>municipal</w:t>
      </w:r>
      <w:r>
        <w:rPr>
          <w:spacing w:val="-14"/>
          <w:sz w:val="20"/>
        </w:rPr>
        <w:t> </w:t>
      </w:r>
      <w:r>
        <w:rPr>
          <w:sz w:val="20"/>
        </w:rPr>
        <w:t>de</w:t>
      </w:r>
      <w:r>
        <w:rPr>
          <w:spacing w:val="-14"/>
          <w:sz w:val="20"/>
        </w:rPr>
        <w:t> </w:t>
      </w:r>
      <w:r>
        <w:rPr>
          <w:sz w:val="20"/>
        </w:rPr>
        <w:t>constitución</w:t>
      </w:r>
      <w:r>
        <w:rPr>
          <w:spacing w:val="-14"/>
          <w:sz w:val="20"/>
        </w:rPr>
        <w:t> </w:t>
      </w:r>
      <w:r>
        <w:rPr>
          <w:sz w:val="20"/>
        </w:rPr>
        <w:t>o</w:t>
      </w:r>
      <w:r>
        <w:rPr>
          <w:spacing w:val="-14"/>
          <w:sz w:val="20"/>
        </w:rPr>
        <w:t> </w:t>
      </w:r>
      <w:r>
        <w:rPr>
          <w:sz w:val="20"/>
        </w:rPr>
        <w:t>modificación</w:t>
      </w:r>
      <w:r>
        <w:rPr>
          <w:spacing w:val="-14"/>
          <w:sz w:val="20"/>
        </w:rPr>
        <w:t> </w:t>
      </w:r>
      <w:r>
        <w:rPr>
          <w:sz w:val="20"/>
        </w:rPr>
        <w:t>del</w:t>
      </w:r>
      <w:r>
        <w:rPr>
          <w:spacing w:val="-14"/>
          <w:sz w:val="20"/>
        </w:rPr>
        <w:t> </w:t>
      </w:r>
      <w:r>
        <w:rPr>
          <w:sz w:val="20"/>
        </w:rPr>
        <w:t>régimen</w:t>
      </w:r>
      <w:r>
        <w:rPr>
          <w:spacing w:val="-14"/>
          <w:sz w:val="20"/>
        </w:rPr>
        <w:t> </w:t>
      </w:r>
      <w:r>
        <w:rPr>
          <w:sz w:val="20"/>
        </w:rPr>
        <w:t>de</w:t>
      </w:r>
      <w:r>
        <w:rPr>
          <w:spacing w:val="-13"/>
          <w:sz w:val="20"/>
        </w:rPr>
        <w:t> </w:t>
      </w:r>
      <w:r>
        <w:rPr>
          <w:sz w:val="20"/>
        </w:rPr>
        <w:t>propiedad</w:t>
      </w:r>
      <w:r>
        <w:rPr>
          <w:spacing w:val="-14"/>
          <w:sz w:val="20"/>
        </w:rPr>
        <w:t> </w:t>
      </w:r>
      <w:r>
        <w:rPr>
          <w:sz w:val="20"/>
        </w:rPr>
        <w:t>en</w:t>
      </w:r>
      <w:r>
        <w:rPr>
          <w:spacing w:val="-14"/>
          <w:sz w:val="20"/>
        </w:rPr>
        <w:t> </w:t>
      </w:r>
      <w:r>
        <w:rPr>
          <w:sz w:val="20"/>
        </w:rPr>
        <w:t>condominio expedida conforme a lo dispuesto en esta Ley, y demás disposiciones legales y reglamentarias aplicables, y</w:t>
      </w:r>
    </w:p>
    <w:p>
      <w:pPr>
        <w:pStyle w:val="ListParagraph"/>
        <w:numPr>
          <w:ilvl w:val="0"/>
          <w:numId w:val="109"/>
        </w:numPr>
        <w:tabs>
          <w:tab w:pos="544" w:val="left" w:leader="none"/>
        </w:tabs>
        <w:spacing w:line="240" w:lineRule="auto" w:before="229" w:after="0"/>
        <w:ind w:left="544" w:right="0" w:hanging="282"/>
        <w:jc w:val="both"/>
        <w:rPr>
          <w:sz w:val="20"/>
        </w:rPr>
      </w:pPr>
      <w:r>
        <w:rPr>
          <w:sz w:val="20"/>
        </w:rPr>
        <w:t>Para</w:t>
      </w:r>
      <w:r>
        <w:rPr>
          <w:spacing w:val="-11"/>
          <w:sz w:val="20"/>
        </w:rPr>
        <w:t> </w:t>
      </w:r>
      <w:r>
        <w:rPr>
          <w:sz w:val="20"/>
        </w:rPr>
        <w:t>urbanización</w:t>
      </w:r>
      <w:r>
        <w:rPr>
          <w:spacing w:val="-11"/>
          <w:sz w:val="20"/>
        </w:rPr>
        <w:t> </w:t>
      </w:r>
      <w:r>
        <w:rPr>
          <w:sz w:val="20"/>
        </w:rPr>
        <w:t>de</w:t>
      </w:r>
      <w:r>
        <w:rPr>
          <w:spacing w:val="-12"/>
          <w:sz w:val="20"/>
        </w:rPr>
        <w:t> </w:t>
      </w:r>
      <w:r>
        <w:rPr>
          <w:sz w:val="20"/>
        </w:rPr>
        <w:t>fraccionamientos,</w:t>
      </w:r>
      <w:r>
        <w:rPr>
          <w:spacing w:val="-12"/>
          <w:sz w:val="20"/>
        </w:rPr>
        <w:t> </w:t>
      </w:r>
      <w:r>
        <w:rPr>
          <w:sz w:val="20"/>
        </w:rPr>
        <w:t>condominios</w:t>
      </w:r>
      <w:r>
        <w:rPr>
          <w:spacing w:val="-11"/>
          <w:sz w:val="20"/>
        </w:rPr>
        <w:t> </w:t>
      </w:r>
      <w:r>
        <w:rPr>
          <w:sz w:val="20"/>
        </w:rPr>
        <w:t>y</w:t>
      </w:r>
      <w:r>
        <w:rPr>
          <w:spacing w:val="-9"/>
          <w:sz w:val="20"/>
        </w:rPr>
        <w:t> </w:t>
      </w:r>
      <w:r>
        <w:rPr>
          <w:sz w:val="20"/>
        </w:rPr>
        <w:t>desarrollos</w:t>
      </w:r>
      <w:r>
        <w:rPr>
          <w:spacing w:val="-11"/>
          <w:sz w:val="20"/>
        </w:rPr>
        <w:t> </w:t>
      </w:r>
      <w:r>
        <w:rPr>
          <w:sz w:val="20"/>
        </w:rPr>
        <w:t>inmobiliarios</w:t>
      </w:r>
      <w:r>
        <w:rPr>
          <w:spacing w:val="-9"/>
          <w:sz w:val="20"/>
        </w:rPr>
        <w:t> </w:t>
      </w:r>
      <w:r>
        <w:rPr>
          <w:spacing w:val="-2"/>
          <w:sz w:val="20"/>
        </w:rPr>
        <w:t>especiales:</w:t>
      </w:r>
    </w:p>
    <w:p>
      <w:pPr>
        <w:pStyle w:val="BodyText"/>
        <w:spacing w:before="1"/>
      </w:pPr>
    </w:p>
    <w:p>
      <w:pPr>
        <w:pStyle w:val="ListParagraph"/>
        <w:numPr>
          <w:ilvl w:val="1"/>
          <w:numId w:val="109"/>
        </w:numPr>
        <w:tabs>
          <w:tab w:pos="544" w:val="left" w:leader="none"/>
        </w:tabs>
        <w:spacing w:line="240" w:lineRule="auto" w:before="0" w:after="0"/>
        <w:ind w:left="544" w:right="0" w:hanging="282"/>
        <w:jc w:val="both"/>
        <w:rPr>
          <w:sz w:val="20"/>
        </w:rPr>
      </w:pPr>
      <w:r>
        <w:rPr>
          <w:sz w:val="20"/>
        </w:rPr>
        <w:t>La</w:t>
      </w:r>
      <w:r>
        <w:rPr>
          <w:spacing w:val="-9"/>
          <w:sz w:val="20"/>
        </w:rPr>
        <w:t> </w:t>
      </w:r>
      <w:r>
        <w:rPr>
          <w:sz w:val="20"/>
        </w:rPr>
        <w:t>autorización</w:t>
      </w:r>
      <w:r>
        <w:rPr>
          <w:spacing w:val="-7"/>
          <w:sz w:val="20"/>
        </w:rPr>
        <w:t> </w:t>
      </w:r>
      <w:r>
        <w:rPr>
          <w:sz w:val="20"/>
        </w:rPr>
        <w:t>del</w:t>
      </w:r>
      <w:r>
        <w:rPr>
          <w:spacing w:val="-9"/>
          <w:sz w:val="20"/>
        </w:rPr>
        <w:t> </w:t>
      </w:r>
      <w:r>
        <w:rPr>
          <w:spacing w:val="-2"/>
          <w:sz w:val="20"/>
        </w:rPr>
        <w:t>fraccionamiento.</w:t>
      </w:r>
    </w:p>
    <w:p>
      <w:pPr>
        <w:spacing w:before="229"/>
        <w:ind w:left="262" w:right="0" w:firstLine="0"/>
        <w:jc w:val="both"/>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05</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6"/>
          <w:sz w:val="20"/>
        </w:rPr>
        <w:t> </w:t>
      </w:r>
      <w:r>
        <w:rPr>
          <w:rFonts w:ascii="Arial"/>
          <w:i/>
          <w:sz w:val="20"/>
        </w:rPr>
        <w:t>DE</w:t>
      </w:r>
      <w:r>
        <w:rPr>
          <w:rFonts w:ascii="Arial"/>
          <w:i/>
          <w:spacing w:val="-6"/>
          <w:sz w:val="20"/>
        </w:rPr>
        <w:t> </w:t>
      </w:r>
      <w:r>
        <w:rPr>
          <w:rFonts w:ascii="Arial"/>
          <w:i/>
          <w:spacing w:val="-4"/>
          <w:sz w:val="20"/>
        </w:rPr>
        <w:t>2019)</w:t>
      </w:r>
    </w:p>
    <w:p>
      <w:pPr>
        <w:pStyle w:val="ListParagraph"/>
        <w:numPr>
          <w:ilvl w:val="1"/>
          <w:numId w:val="109"/>
        </w:numPr>
        <w:tabs>
          <w:tab w:pos="603" w:val="left" w:leader="none"/>
        </w:tabs>
        <w:spacing w:line="240" w:lineRule="auto" w:before="1" w:after="0"/>
        <w:ind w:left="262" w:right="289" w:firstLine="0"/>
        <w:jc w:val="both"/>
        <w:rPr>
          <w:sz w:val="20"/>
        </w:rPr>
      </w:pPr>
      <w:r>
        <w:rPr>
          <w:sz w:val="20"/>
        </w:rPr>
        <w:t>Las escrituras de donación a favor del Municipio de las áreas correspondientes a áreas verdes y equipamiento, debidamente inscritas ante el Instituto Registral y Catastral del Estado.</w:t>
      </w:r>
    </w:p>
    <w:p>
      <w:pPr>
        <w:pStyle w:val="BodyText"/>
        <w:spacing w:before="1"/>
      </w:pPr>
    </w:p>
    <w:p>
      <w:pPr>
        <w:pStyle w:val="ListParagraph"/>
        <w:numPr>
          <w:ilvl w:val="1"/>
          <w:numId w:val="109"/>
        </w:numPr>
        <w:tabs>
          <w:tab w:pos="544" w:val="left" w:leader="none"/>
        </w:tabs>
        <w:spacing w:line="240" w:lineRule="auto" w:before="0" w:after="0"/>
        <w:ind w:left="262" w:right="287" w:firstLine="0"/>
        <w:jc w:val="both"/>
        <w:rPr>
          <w:sz w:val="20"/>
        </w:rPr>
      </w:pPr>
      <w:r>
        <w:rPr>
          <w:sz w:val="20"/>
        </w:rPr>
        <w:t>Los documentos que comprueben la entrega de garantías a que se encuentre obligado de conformidad con la autorización del fraccionamiento respectivo.</w:t>
      </w:r>
    </w:p>
    <w:p>
      <w:pPr>
        <w:pStyle w:val="ListParagraph"/>
        <w:numPr>
          <w:ilvl w:val="1"/>
          <w:numId w:val="109"/>
        </w:numPr>
        <w:tabs>
          <w:tab w:pos="544" w:val="left" w:leader="none"/>
        </w:tabs>
        <w:spacing w:line="240" w:lineRule="auto" w:before="229" w:after="0"/>
        <w:ind w:left="262" w:right="277" w:firstLine="0"/>
        <w:jc w:val="both"/>
        <w:rPr>
          <w:sz w:val="20"/>
        </w:rPr>
      </w:pPr>
      <w:r>
        <w:rPr>
          <w:sz w:val="20"/>
        </w:rPr>
        <w:t>La</w:t>
      </w:r>
      <w:r>
        <w:rPr>
          <w:spacing w:val="-5"/>
          <w:sz w:val="20"/>
        </w:rPr>
        <w:t> </w:t>
      </w:r>
      <w:r>
        <w:rPr>
          <w:sz w:val="20"/>
        </w:rPr>
        <w:t>manifestación</w:t>
      </w:r>
      <w:r>
        <w:rPr>
          <w:spacing w:val="-5"/>
          <w:sz w:val="20"/>
        </w:rPr>
        <w:t> </w:t>
      </w:r>
      <w:r>
        <w:rPr>
          <w:sz w:val="20"/>
        </w:rPr>
        <w:t>bajo</w:t>
      </w:r>
      <w:r>
        <w:rPr>
          <w:spacing w:val="-4"/>
          <w:sz w:val="20"/>
        </w:rPr>
        <w:t> </w:t>
      </w:r>
      <w:r>
        <w:rPr>
          <w:sz w:val="20"/>
        </w:rPr>
        <w:t>protesta</w:t>
      </w:r>
      <w:r>
        <w:rPr>
          <w:spacing w:val="-5"/>
          <w:sz w:val="20"/>
        </w:rPr>
        <w:t> </w:t>
      </w:r>
      <w:r>
        <w:rPr>
          <w:sz w:val="20"/>
        </w:rPr>
        <w:t>de</w:t>
      </w:r>
      <w:r>
        <w:rPr>
          <w:spacing w:val="-3"/>
          <w:sz w:val="20"/>
        </w:rPr>
        <w:t> </w:t>
      </w:r>
      <w:r>
        <w:rPr>
          <w:sz w:val="20"/>
        </w:rPr>
        <w:t>decir</w:t>
      </w:r>
      <w:r>
        <w:rPr>
          <w:spacing w:val="-3"/>
          <w:sz w:val="20"/>
        </w:rPr>
        <w:t> </w:t>
      </w:r>
      <w:r>
        <w:rPr>
          <w:sz w:val="20"/>
        </w:rPr>
        <w:t>verdad,</w:t>
      </w:r>
      <w:r>
        <w:rPr>
          <w:spacing w:val="-4"/>
          <w:sz w:val="20"/>
        </w:rPr>
        <w:t> </w:t>
      </w:r>
      <w:r>
        <w:rPr>
          <w:sz w:val="20"/>
        </w:rPr>
        <w:t>de</w:t>
      </w:r>
      <w:r>
        <w:rPr>
          <w:spacing w:val="-4"/>
          <w:sz w:val="20"/>
        </w:rPr>
        <w:t> </w:t>
      </w:r>
      <w:r>
        <w:rPr>
          <w:sz w:val="20"/>
        </w:rPr>
        <w:t>haber</w:t>
      </w:r>
      <w:r>
        <w:rPr>
          <w:spacing w:val="-3"/>
          <w:sz w:val="20"/>
        </w:rPr>
        <w:t> </w:t>
      </w:r>
      <w:r>
        <w:rPr>
          <w:sz w:val="20"/>
        </w:rPr>
        <w:t>dado</w:t>
      </w:r>
      <w:r>
        <w:rPr>
          <w:spacing w:val="-5"/>
          <w:sz w:val="20"/>
        </w:rPr>
        <w:t> </w:t>
      </w:r>
      <w:r>
        <w:rPr>
          <w:sz w:val="20"/>
        </w:rPr>
        <w:t>cumplimiento</w:t>
      </w:r>
      <w:r>
        <w:rPr>
          <w:spacing w:val="-5"/>
          <w:sz w:val="20"/>
        </w:rPr>
        <w:t> </w:t>
      </w:r>
      <w:r>
        <w:rPr>
          <w:sz w:val="20"/>
        </w:rPr>
        <w:t>a</w:t>
      </w:r>
      <w:r>
        <w:rPr>
          <w:spacing w:val="-2"/>
          <w:sz w:val="20"/>
        </w:rPr>
        <w:t> </w:t>
      </w:r>
      <w:r>
        <w:rPr>
          <w:sz w:val="20"/>
        </w:rPr>
        <w:t>las</w:t>
      </w:r>
      <w:r>
        <w:rPr>
          <w:spacing w:val="-3"/>
          <w:sz w:val="20"/>
        </w:rPr>
        <w:t> </w:t>
      </w:r>
      <w:r>
        <w:rPr>
          <w:sz w:val="20"/>
        </w:rPr>
        <w:t>limitaciones</w:t>
      </w:r>
      <w:r>
        <w:rPr>
          <w:spacing w:val="-1"/>
          <w:sz w:val="20"/>
        </w:rPr>
        <w:t> </w:t>
      </w:r>
      <w:r>
        <w:rPr>
          <w:sz w:val="20"/>
        </w:rPr>
        <w:t>o restricciones que en su caso se hayan determinado en la autorización del fraccionamiento; esta manifestación estará sujeta a la verificación por parte de las autoridades municipales y su incumplimiento dará lugar a la aplicación de las sanciones que establece la presente Ley.</w:t>
      </w:r>
    </w:p>
    <w:p>
      <w:pPr>
        <w:pStyle w:val="BodyText"/>
        <w:spacing w:before="230"/>
        <w:ind w:left="262"/>
        <w:jc w:val="both"/>
      </w:pPr>
      <w:r>
        <w:rPr/>
        <w:t>En</w:t>
      </w:r>
      <w:r>
        <w:rPr>
          <w:spacing w:val="-6"/>
        </w:rPr>
        <w:t> </w:t>
      </w:r>
      <w:r>
        <w:rPr/>
        <w:t>este</w:t>
      </w:r>
      <w:r>
        <w:rPr>
          <w:spacing w:val="-6"/>
        </w:rPr>
        <w:t> </w:t>
      </w:r>
      <w:r>
        <w:rPr/>
        <w:t>caso</w:t>
      </w:r>
      <w:r>
        <w:rPr>
          <w:spacing w:val="-6"/>
        </w:rPr>
        <w:t> </w:t>
      </w:r>
      <w:r>
        <w:rPr/>
        <w:t>la</w:t>
      </w:r>
      <w:r>
        <w:rPr>
          <w:spacing w:val="-6"/>
        </w:rPr>
        <w:t> </w:t>
      </w:r>
      <w:r>
        <w:rPr/>
        <w:t>licencia</w:t>
      </w:r>
      <w:r>
        <w:rPr>
          <w:spacing w:val="-6"/>
        </w:rPr>
        <w:t> </w:t>
      </w:r>
      <w:r>
        <w:rPr/>
        <w:t>se</w:t>
      </w:r>
      <w:r>
        <w:rPr>
          <w:spacing w:val="-4"/>
        </w:rPr>
        <w:t> </w:t>
      </w:r>
      <w:r>
        <w:rPr/>
        <w:t>otorgará</w:t>
      </w:r>
      <w:r>
        <w:rPr>
          <w:spacing w:val="-3"/>
        </w:rPr>
        <w:t> </w:t>
      </w:r>
      <w:r>
        <w:rPr/>
        <w:t>de</w:t>
      </w:r>
      <w:r>
        <w:rPr>
          <w:spacing w:val="-7"/>
        </w:rPr>
        <w:t> </w:t>
      </w:r>
      <w:r>
        <w:rPr/>
        <w:t>conformidad</w:t>
      </w:r>
      <w:r>
        <w:rPr>
          <w:spacing w:val="-7"/>
        </w:rPr>
        <w:t> </w:t>
      </w:r>
      <w:r>
        <w:rPr/>
        <w:t>con</w:t>
      </w:r>
      <w:r>
        <w:rPr>
          <w:spacing w:val="-6"/>
        </w:rPr>
        <w:t> </w:t>
      </w:r>
      <w:r>
        <w:rPr/>
        <w:t>lo</w:t>
      </w:r>
      <w:r>
        <w:rPr>
          <w:spacing w:val="-4"/>
        </w:rPr>
        <w:t> </w:t>
      </w:r>
      <w:r>
        <w:rPr/>
        <w:t>señalado</w:t>
      </w:r>
      <w:r>
        <w:rPr>
          <w:spacing w:val="-6"/>
        </w:rPr>
        <w:t> </w:t>
      </w:r>
      <w:r>
        <w:rPr/>
        <w:t>en</w:t>
      </w:r>
      <w:r>
        <w:rPr>
          <w:spacing w:val="-5"/>
        </w:rPr>
        <w:t> </w:t>
      </w:r>
      <w:r>
        <w:rPr/>
        <w:t>el</w:t>
      </w:r>
      <w:r>
        <w:rPr>
          <w:spacing w:val="-7"/>
        </w:rPr>
        <w:t> </w:t>
      </w:r>
      <w:r>
        <w:rPr/>
        <w:t>artículo</w:t>
      </w:r>
      <w:r>
        <w:rPr>
          <w:spacing w:val="-4"/>
        </w:rPr>
        <w:t> </w:t>
      </w:r>
      <w:r>
        <w:rPr/>
        <w:t>291</w:t>
      </w:r>
      <w:r>
        <w:rPr>
          <w:spacing w:val="-4"/>
        </w:rPr>
        <w:t> </w:t>
      </w:r>
      <w:r>
        <w:rPr/>
        <w:t>de</w:t>
      </w:r>
      <w:r>
        <w:rPr>
          <w:spacing w:val="-7"/>
        </w:rPr>
        <w:t> </w:t>
      </w:r>
      <w:r>
        <w:rPr/>
        <w:t>esta</w:t>
      </w:r>
      <w:r>
        <w:rPr>
          <w:spacing w:val="-6"/>
        </w:rPr>
        <w:t> </w:t>
      </w:r>
      <w:r>
        <w:rPr>
          <w:spacing w:val="-4"/>
        </w:rPr>
        <w:t>Ley;</w:t>
      </w:r>
    </w:p>
    <w:p>
      <w:pPr>
        <w:pStyle w:val="BodyText"/>
        <w:spacing w:before="1"/>
      </w:pPr>
    </w:p>
    <w:p>
      <w:pPr>
        <w:pStyle w:val="BodyText"/>
        <w:ind w:left="262" w:right="280"/>
        <w:jc w:val="both"/>
      </w:pPr>
      <w:r>
        <w:rPr>
          <w:rFonts w:ascii="Arial" w:hAnsi="Arial"/>
          <w:b/>
        </w:rPr>
        <w:t>ARTÍCULO</w:t>
      </w:r>
      <w:r>
        <w:rPr>
          <w:rFonts w:ascii="Arial" w:hAnsi="Arial"/>
          <w:b/>
          <w:spacing w:val="-14"/>
        </w:rPr>
        <w:t> </w:t>
      </w:r>
      <w:r>
        <w:rPr>
          <w:rFonts w:ascii="Arial" w:hAnsi="Arial"/>
          <w:b/>
        </w:rPr>
        <w:t>306.</w:t>
      </w:r>
      <w:r>
        <w:rPr>
          <w:rFonts w:ascii="Arial" w:hAnsi="Arial"/>
          <w:b/>
          <w:spacing w:val="-14"/>
        </w:rPr>
        <w:t> </w:t>
      </w:r>
      <w:r>
        <w:rPr/>
        <w:t>Para</w:t>
      </w:r>
      <w:r>
        <w:rPr>
          <w:spacing w:val="-14"/>
        </w:rPr>
        <w:t> </w:t>
      </w:r>
      <w:r>
        <w:rPr/>
        <w:t>las</w:t>
      </w:r>
      <w:r>
        <w:rPr>
          <w:spacing w:val="-14"/>
        </w:rPr>
        <w:t> </w:t>
      </w:r>
      <w:r>
        <w:rPr/>
        <w:t>construcciones</w:t>
      </w:r>
      <w:r>
        <w:rPr>
          <w:spacing w:val="-14"/>
        </w:rPr>
        <w:t> </w:t>
      </w:r>
      <w:r>
        <w:rPr/>
        <w:t>y</w:t>
      </w:r>
      <w:r>
        <w:rPr>
          <w:spacing w:val="-14"/>
        </w:rPr>
        <w:t> </w:t>
      </w:r>
      <w:r>
        <w:rPr/>
        <w:t>obras</w:t>
      </w:r>
      <w:r>
        <w:rPr>
          <w:spacing w:val="-14"/>
        </w:rPr>
        <w:t> </w:t>
      </w:r>
      <w:r>
        <w:rPr/>
        <w:t>localizadas</w:t>
      </w:r>
      <w:r>
        <w:rPr>
          <w:spacing w:val="-14"/>
        </w:rPr>
        <w:t> </w:t>
      </w:r>
      <w:r>
        <w:rPr/>
        <w:t>en</w:t>
      </w:r>
      <w:r>
        <w:rPr>
          <w:spacing w:val="-14"/>
        </w:rPr>
        <w:t> </w:t>
      </w:r>
      <w:r>
        <w:rPr/>
        <w:t>zonas</w:t>
      </w:r>
      <w:r>
        <w:rPr>
          <w:spacing w:val="-13"/>
        </w:rPr>
        <w:t> </w:t>
      </w:r>
      <w:r>
        <w:rPr/>
        <w:t>y</w:t>
      </w:r>
      <w:r>
        <w:rPr>
          <w:spacing w:val="-14"/>
        </w:rPr>
        <w:t> </w:t>
      </w:r>
      <w:r>
        <w:rPr/>
        <w:t>monumentos</w:t>
      </w:r>
      <w:r>
        <w:rPr>
          <w:spacing w:val="-14"/>
        </w:rPr>
        <w:t> </w:t>
      </w:r>
      <w:r>
        <w:rPr/>
        <w:t>del</w:t>
      </w:r>
      <w:r>
        <w:rPr>
          <w:spacing w:val="-14"/>
        </w:rPr>
        <w:t> </w:t>
      </w:r>
      <w:r>
        <w:rPr/>
        <w:t>patrimonio histórico, artístico y cultural e igualmente en sus predios colindantes, se deberá además agregar la autorización, licencia o permiso del Instituto Nacional de Antropología e Historia o del Instituto Nacional de Bellas Artes a que se refiere la Ley Federal de Monumentos y Zonas Arqueológicos, Artísticos</w:t>
      </w:r>
      <w:r>
        <w:rPr>
          <w:spacing w:val="-6"/>
        </w:rPr>
        <w:t> </w:t>
      </w:r>
      <w:r>
        <w:rPr/>
        <w:t>e</w:t>
      </w:r>
      <w:r>
        <w:rPr>
          <w:spacing w:val="-7"/>
        </w:rPr>
        <w:t> </w:t>
      </w:r>
      <w:r>
        <w:rPr/>
        <w:t>Históricos</w:t>
      </w:r>
      <w:r>
        <w:rPr>
          <w:spacing w:val="-6"/>
        </w:rPr>
        <w:t> </w:t>
      </w:r>
      <w:r>
        <w:rPr/>
        <w:t>y</w:t>
      </w:r>
      <w:r>
        <w:rPr>
          <w:spacing w:val="-5"/>
        </w:rPr>
        <w:t> </w:t>
      </w:r>
      <w:r>
        <w:rPr/>
        <w:t>las</w:t>
      </w:r>
      <w:r>
        <w:rPr>
          <w:spacing w:val="-3"/>
        </w:rPr>
        <w:t> </w:t>
      </w:r>
      <w:r>
        <w:rPr/>
        <w:t>demás</w:t>
      </w:r>
      <w:r>
        <w:rPr>
          <w:spacing w:val="-3"/>
        </w:rPr>
        <w:t> </w:t>
      </w:r>
      <w:r>
        <w:rPr/>
        <w:t>derivadas</w:t>
      </w:r>
      <w:r>
        <w:rPr>
          <w:spacing w:val="-5"/>
        </w:rPr>
        <w:t> </w:t>
      </w:r>
      <w:r>
        <w:rPr/>
        <w:t>de</w:t>
      </w:r>
      <w:r>
        <w:rPr>
          <w:spacing w:val="-5"/>
        </w:rPr>
        <w:t> </w:t>
      </w:r>
      <w:r>
        <w:rPr/>
        <w:t>la</w:t>
      </w:r>
      <w:r>
        <w:rPr>
          <w:spacing w:val="-4"/>
        </w:rPr>
        <w:t> </w:t>
      </w:r>
      <w:r>
        <w:rPr/>
        <w:t>Ley</w:t>
      </w:r>
      <w:r>
        <w:rPr>
          <w:spacing w:val="-3"/>
        </w:rPr>
        <w:t> </w:t>
      </w:r>
      <w:r>
        <w:rPr/>
        <w:t>de</w:t>
      </w:r>
      <w:r>
        <w:rPr>
          <w:spacing w:val="-7"/>
        </w:rPr>
        <w:t> </w:t>
      </w:r>
      <w:r>
        <w:rPr/>
        <w:t>Protección</w:t>
      </w:r>
      <w:r>
        <w:rPr>
          <w:spacing w:val="-7"/>
        </w:rPr>
        <w:t> </w:t>
      </w:r>
      <w:r>
        <w:rPr/>
        <w:t>del</w:t>
      </w:r>
      <w:r>
        <w:rPr>
          <w:spacing w:val="-5"/>
        </w:rPr>
        <w:t> </w:t>
      </w:r>
      <w:r>
        <w:rPr/>
        <w:t>Patrimonio</w:t>
      </w:r>
      <w:r>
        <w:rPr>
          <w:spacing w:val="-7"/>
        </w:rPr>
        <w:t> </w:t>
      </w:r>
      <w:r>
        <w:rPr/>
        <w:t>Cultural</w:t>
      </w:r>
      <w:r>
        <w:rPr>
          <w:spacing w:val="-7"/>
        </w:rPr>
        <w:t> </w:t>
      </w:r>
      <w:r>
        <w:rPr/>
        <w:t>para</w:t>
      </w:r>
      <w:r>
        <w:rPr>
          <w:spacing w:val="-7"/>
        </w:rPr>
        <w:t> </w:t>
      </w:r>
      <w:r>
        <w:rPr/>
        <w:t>el </w:t>
      </w:r>
      <w:r>
        <w:rPr>
          <w:spacing w:val="-2"/>
        </w:rPr>
        <w:t>Estado.</w:t>
      </w:r>
    </w:p>
    <w:p>
      <w:pPr>
        <w:pStyle w:val="BodyText"/>
      </w:pPr>
    </w:p>
    <w:p>
      <w:pPr>
        <w:pStyle w:val="BodyText"/>
        <w:ind w:left="262" w:right="278"/>
        <w:jc w:val="both"/>
      </w:pPr>
      <w:r>
        <w:rPr>
          <w:rFonts w:ascii="Arial" w:hAnsi="Arial"/>
          <w:b/>
        </w:rPr>
        <w:t>ARTÍCULO 307. </w:t>
      </w:r>
      <w:r>
        <w:rPr/>
        <w:t>La solicitud de licencia municipal de construcción y la documentación que debe acompañarla,</w:t>
      </w:r>
      <w:r>
        <w:rPr>
          <w:spacing w:val="-3"/>
        </w:rPr>
        <w:t> </w:t>
      </w:r>
      <w:r>
        <w:rPr/>
        <w:t>llevará</w:t>
      </w:r>
      <w:r>
        <w:rPr>
          <w:spacing w:val="-3"/>
        </w:rPr>
        <w:t> </w:t>
      </w:r>
      <w:r>
        <w:rPr/>
        <w:t>la</w:t>
      </w:r>
      <w:r>
        <w:rPr>
          <w:spacing w:val="-6"/>
        </w:rPr>
        <w:t> </w:t>
      </w:r>
      <w:r>
        <w:rPr/>
        <w:t>responsiva</w:t>
      </w:r>
      <w:r>
        <w:rPr>
          <w:spacing w:val="-4"/>
        </w:rPr>
        <w:t> </w:t>
      </w:r>
      <w:r>
        <w:rPr/>
        <w:t>del</w:t>
      </w:r>
      <w:r>
        <w:rPr>
          <w:spacing w:val="-6"/>
        </w:rPr>
        <w:t> </w:t>
      </w:r>
      <w:r>
        <w:rPr/>
        <w:t>Director</w:t>
      </w:r>
      <w:r>
        <w:rPr>
          <w:spacing w:val="-5"/>
        </w:rPr>
        <w:t> </w:t>
      </w:r>
      <w:r>
        <w:rPr/>
        <w:t>Responsable</w:t>
      </w:r>
      <w:r>
        <w:rPr>
          <w:spacing w:val="-6"/>
        </w:rPr>
        <w:t> </w:t>
      </w:r>
      <w:r>
        <w:rPr/>
        <w:t>de</w:t>
      </w:r>
      <w:r>
        <w:rPr>
          <w:spacing w:val="-6"/>
        </w:rPr>
        <w:t> </w:t>
      </w:r>
      <w:r>
        <w:rPr/>
        <w:t>Obra</w:t>
      </w:r>
      <w:r>
        <w:rPr>
          <w:spacing w:val="-3"/>
        </w:rPr>
        <w:t> </w:t>
      </w:r>
      <w:r>
        <w:rPr/>
        <w:t>a</w:t>
      </w:r>
      <w:r>
        <w:rPr>
          <w:spacing w:val="-6"/>
        </w:rPr>
        <w:t> </w:t>
      </w:r>
      <w:r>
        <w:rPr/>
        <w:t>cargo</w:t>
      </w:r>
      <w:r>
        <w:rPr>
          <w:spacing w:val="-6"/>
        </w:rPr>
        <w:t> </w:t>
      </w:r>
      <w:r>
        <w:rPr/>
        <w:t>del</w:t>
      </w:r>
      <w:r>
        <w:rPr>
          <w:spacing w:val="-4"/>
        </w:rPr>
        <w:t> </w:t>
      </w:r>
      <w:r>
        <w:rPr/>
        <w:t>proyecto</w:t>
      </w:r>
      <w:r>
        <w:rPr>
          <w:spacing w:val="-6"/>
        </w:rPr>
        <w:t> </w:t>
      </w:r>
      <w:r>
        <w:rPr/>
        <w:t>y/o</w:t>
      </w:r>
      <w:r>
        <w:rPr>
          <w:spacing w:val="-4"/>
        </w:rPr>
        <w:t> </w:t>
      </w:r>
      <w:r>
        <w:rPr/>
        <w:t>de</w:t>
      </w:r>
      <w:r>
        <w:rPr>
          <w:spacing w:val="-4"/>
        </w:rPr>
        <w:t> </w:t>
      </w:r>
      <w:r>
        <w:rPr/>
        <w:t>la obra; así como la de los especialistas corresponsables, en su caso, salvo las excepciones que establecen esta Ley y el Reglamento municipal correspondiente tratándose de obras menores.</w:t>
      </w:r>
    </w:p>
    <w:p>
      <w:pPr>
        <w:pStyle w:val="BodyText"/>
      </w:pPr>
    </w:p>
    <w:p>
      <w:pPr>
        <w:pStyle w:val="BodyText"/>
        <w:ind w:left="262" w:right="288"/>
        <w:jc w:val="both"/>
      </w:pPr>
      <w:r>
        <w:rPr/>
        <w:t>Esta responsiva será la base para la autorización de la licencia de construcción, debiendo la autoridad municipal únicamente verificar que se cumpla con la entrega de los requisitos que establece la presente Ley y el Reglamento municipal respectivo.</w:t>
      </w:r>
    </w:p>
    <w:p>
      <w:pPr>
        <w:pStyle w:val="BodyText"/>
      </w:pPr>
    </w:p>
    <w:p>
      <w:pPr>
        <w:pStyle w:val="BodyText"/>
        <w:ind w:left="262" w:right="279"/>
        <w:jc w:val="both"/>
      </w:pPr>
      <w:r>
        <w:rPr>
          <w:rFonts w:ascii="Arial" w:hAnsi="Arial"/>
          <w:b/>
        </w:rPr>
        <w:t>ARTÍCULO 308. </w:t>
      </w:r>
      <w:r>
        <w:rPr/>
        <w:t>Cuando se trate de la construcción de vivienda de interés social o vivienda económica,</w:t>
      </w:r>
      <w:r>
        <w:rPr>
          <w:spacing w:val="-14"/>
        </w:rPr>
        <w:t> </w:t>
      </w:r>
      <w:r>
        <w:rPr/>
        <w:t>no</w:t>
      </w:r>
      <w:r>
        <w:rPr>
          <w:spacing w:val="-14"/>
        </w:rPr>
        <w:t> </w:t>
      </w:r>
      <w:r>
        <w:rPr/>
        <w:t>efectuada</w:t>
      </w:r>
      <w:r>
        <w:rPr>
          <w:spacing w:val="-14"/>
        </w:rPr>
        <w:t> </w:t>
      </w:r>
      <w:r>
        <w:rPr/>
        <w:t>por</w:t>
      </w:r>
      <w:r>
        <w:rPr>
          <w:spacing w:val="-13"/>
        </w:rPr>
        <w:t> </w:t>
      </w:r>
      <w:r>
        <w:rPr/>
        <w:t>fraccionadores</w:t>
      </w:r>
      <w:r>
        <w:rPr>
          <w:spacing w:val="-13"/>
        </w:rPr>
        <w:t> </w:t>
      </w:r>
      <w:r>
        <w:rPr/>
        <w:t>o</w:t>
      </w:r>
      <w:r>
        <w:rPr>
          <w:spacing w:val="-14"/>
        </w:rPr>
        <w:t> </w:t>
      </w:r>
      <w:r>
        <w:rPr/>
        <w:t>promotores,</w:t>
      </w:r>
      <w:r>
        <w:rPr>
          <w:spacing w:val="-14"/>
        </w:rPr>
        <w:t> </w:t>
      </w:r>
      <w:r>
        <w:rPr/>
        <w:t>que</w:t>
      </w:r>
      <w:r>
        <w:rPr>
          <w:spacing w:val="-14"/>
        </w:rPr>
        <w:t> </w:t>
      </w:r>
      <w:r>
        <w:rPr/>
        <w:t>no</w:t>
      </w:r>
      <w:r>
        <w:rPr>
          <w:spacing w:val="-14"/>
        </w:rPr>
        <w:t> </w:t>
      </w:r>
      <w:r>
        <w:rPr/>
        <w:t>exceda</w:t>
      </w:r>
      <w:r>
        <w:rPr>
          <w:spacing w:val="-11"/>
        </w:rPr>
        <w:t> </w:t>
      </w:r>
      <w:r>
        <w:rPr/>
        <w:t>de</w:t>
      </w:r>
      <w:r>
        <w:rPr>
          <w:spacing w:val="-14"/>
        </w:rPr>
        <w:t> </w:t>
      </w:r>
      <w:r>
        <w:rPr/>
        <w:t>cuarenta</w:t>
      </w:r>
      <w:r>
        <w:rPr>
          <w:spacing w:val="-14"/>
        </w:rPr>
        <w:t> </w:t>
      </w:r>
      <w:r>
        <w:rPr/>
        <w:t>y</w:t>
      </w:r>
      <w:r>
        <w:rPr>
          <w:spacing w:val="-12"/>
        </w:rPr>
        <w:t> </w:t>
      </w:r>
      <w:r>
        <w:rPr/>
        <w:t>dos</w:t>
      </w:r>
      <w:r>
        <w:rPr>
          <w:spacing w:val="30"/>
        </w:rPr>
        <w:t> </w:t>
      </w:r>
      <w:r>
        <w:rPr/>
        <w:t>metros cuadrados</w:t>
      </w:r>
      <w:r>
        <w:rPr>
          <w:spacing w:val="-8"/>
        </w:rPr>
        <w:t> </w:t>
      </w:r>
      <w:r>
        <w:rPr/>
        <w:t>edificados</w:t>
      </w:r>
      <w:r>
        <w:rPr>
          <w:spacing w:val="-6"/>
        </w:rPr>
        <w:t> </w:t>
      </w:r>
      <w:r>
        <w:rPr/>
        <w:t>en</w:t>
      </w:r>
      <w:r>
        <w:rPr>
          <w:spacing w:val="-7"/>
        </w:rPr>
        <w:t> </w:t>
      </w:r>
      <w:r>
        <w:rPr/>
        <w:t>su</w:t>
      </w:r>
      <w:r>
        <w:rPr>
          <w:spacing w:val="-7"/>
        </w:rPr>
        <w:t> </w:t>
      </w:r>
      <w:r>
        <w:rPr/>
        <w:t>primera</w:t>
      </w:r>
      <w:r>
        <w:rPr>
          <w:spacing w:val="-7"/>
        </w:rPr>
        <w:t> </w:t>
      </w:r>
      <w:r>
        <w:rPr/>
        <w:t>etapa,</w:t>
      </w:r>
      <w:r>
        <w:rPr>
          <w:spacing w:val="-7"/>
        </w:rPr>
        <w:t> </w:t>
      </w:r>
      <w:r>
        <w:rPr/>
        <w:t>ni</w:t>
      </w:r>
      <w:r>
        <w:rPr>
          <w:spacing w:val="-7"/>
        </w:rPr>
        <w:t> </w:t>
      </w:r>
      <w:r>
        <w:rPr/>
        <w:t>de</w:t>
      </w:r>
      <w:r>
        <w:rPr>
          <w:spacing w:val="-7"/>
        </w:rPr>
        <w:t> </w:t>
      </w:r>
      <w:r>
        <w:rPr/>
        <w:t>dos</w:t>
      </w:r>
      <w:r>
        <w:rPr>
          <w:spacing w:val="-5"/>
        </w:rPr>
        <w:t> </w:t>
      </w:r>
      <w:r>
        <w:rPr/>
        <w:t>pisos</w:t>
      </w:r>
      <w:r>
        <w:rPr>
          <w:spacing w:val="-8"/>
        </w:rPr>
        <w:t> </w:t>
      </w:r>
      <w:r>
        <w:rPr/>
        <w:t>de</w:t>
      </w:r>
      <w:r>
        <w:rPr>
          <w:spacing w:val="-7"/>
        </w:rPr>
        <w:t> </w:t>
      </w:r>
      <w:r>
        <w:rPr/>
        <w:t>altura,</w:t>
      </w:r>
      <w:r>
        <w:rPr>
          <w:spacing w:val="-7"/>
        </w:rPr>
        <w:t> </w:t>
      </w:r>
      <w:r>
        <w:rPr/>
        <w:t>y</w:t>
      </w:r>
      <w:r>
        <w:rPr>
          <w:spacing w:val="-5"/>
        </w:rPr>
        <w:t> </w:t>
      </w:r>
      <w:r>
        <w:rPr/>
        <w:t>los</w:t>
      </w:r>
      <w:r>
        <w:rPr>
          <w:spacing w:val="-8"/>
        </w:rPr>
        <w:t> </w:t>
      </w:r>
      <w:r>
        <w:rPr/>
        <w:t>claros de</w:t>
      </w:r>
      <w:r>
        <w:rPr>
          <w:spacing w:val="-9"/>
        </w:rPr>
        <w:t> </w:t>
      </w:r>
      <w:r>
        <w:rPr/>
        <w:t>las</w:t>
      </w:r>
      <w:r>
        <w:rPr>
          <w:spacing w:val="-8"/>
        </w:rPr>
        <w:t> </w:t>
      </w:r>
      <w:r>
        <w:rPr/>
        <w:t>habitaciones tengan</w:t>
      </w:r>
      <w:r>
        <w:rPr>
          <w:spacing w:val="-12"/>
        </w:rPr>
        <w:t> </w:t>
      </w:r>
      <w:r>
        <w:rPr/>
        <w:t>como</w:t>
      </w:r>
      <w:r>
        <w:rPr>
          <w:spacing w:val="-9"/>
        </w:rPr>
        <w:t> </w:t>
      </w:r>
      <w:r>
        <w:rPr/>
        <w:t>máximo</w:t>
      </w:r>
      <w:r>
        <w:rPr>
          <w:spacing w:val="-9"/>
        </w:rPr>
        <w:t> </w:t>
      </w:r>
      <w:r>
        <w:rPr/>
        <w:t>de</w:t>
      </w:r>
      <w:r>
        <w:rPr>
          <w:spacing w:val="-11"/>
        </w:rPr>
        <w:t> </w:t>
      </w:r>
      <w:r>
        <w:rPr/>
        <w:t>tres</w:t>
      </w:r>
      <w:r>
        <w:rPr>
          <w:spacing w:val="-10"/>
        </w:rPr>
        <w:t> </w:t>
      </w:r>
      <w:r>
        <w:rPr/>
        <w:t>metros</w:t>
      </w:r>
      <w:r>
        <w:rPr>
          <w:spacing w:val="-8"/>
        </w:rPr>
        <w:t> </w:t>
      </w:r>
      <w:r>
        <w:rPr/>
        <w:t>de</w:t>
      </w:r>
      <w:r>
        <w:rPr>
          <w:spacing w:val="-9"/>
        </w:rPr>
        <w:t> </w:t>
      </w:r>
      <w:r>
        <w:rPr/>
        <w:t>ancho,</w:t>
      </w:r>
      <w:r>
        <w:rPr>
          <w:spacing w:val="-9"/>
        </w:rPr>
        <w:t> </w:t>
      </w:r>
      <w:r>
        <w:rPr/>
        <w:t>la</w:t>
      </w:r>
      <w:r>
        <w:rPr>
          <w:spacing w:val="-9"/>
        </w:rPr>
        <w:t> </w:t>
      </w:r>
      <w:r>
        <w:rPr/>
        <w:t>licencia</w:t>
      </w:r>
      <w:r>
        <w:rPr>
          <w:spacing w:val="-9"/>
        </w:rPr>
        <w:t> </w:t>
      </w:r>
      <w:r>
        <w:rPr/>
        <w:t>municipal</w:t>
      </w:r>
      <w:r>
        <w:rPr>
          <w:spacing w:val="-10"/>
        </w:rPr>
        <w:t> </w:t>
      </w:r>
      <w:r>
        <w:rPr/>
        <w:t>de</w:t>
      </w:r>
      <w:r>
        <w:rPr>
          <w:spacing w:val="-11"/>
        </w:rPr>
        <w:t> </w:t>
      </w:r>
      <w:r>
        <w:rPr/>
        <w:t>construcción</w:t>
      </w:r>
      <w:r>
        <w:rPr>
          <w:spacing w:val="-11"/>
        </w:rPr>
        <w:t> </w:t>
      </w:r>
      <w:r>
        <w:rPr/>
        <w:t>se</w:t>
      </w:r>
      <w:r>
        <w:rPr>
          <w:spacing w:val="-9"/>
        </w:rPr>
        <w:t> </w:t>
      </w:r>
      <w:r>
        <w:rPr/>
        <w:t>otorgará</w:t>
      </w:r>
      <w:r>
        <w:rPr>
          <w:spacing w:val="-11"/>
        </w:rPr>
        <w:t> </w:t>
      </w:r>
      <w:r>
        <w:rPr/>
        <w:t>con el sólo cumplimiento de los requisitos siguientes:</w:t>
      </w:r>
    </w:p>
    <w:p>
      <w:pPr>
        <w:pStyle w:val="BodyText"/>
      </w:pPr>
    </w:p>
    <w:p>
      <w:pPr>
        <w:pStyle w:val="ListParagraph"/>
        <w:numPr>
          <w:ilvl w:val="2"/>
          <w:numId w:val="109"/>
        </w:numPr>
        <w:tabs>
          <w:tab w:pos="688" w:val="left" w:leader="none"/>
        </w:tabs>
        <w:spacing w:line="240" w:lineRule="auto" w:before="0" w:after="0"/>
        <w:ind w:left="262" w:right="283" w:firstLine="0"/>
        <w:jc w:val="both"/>
        <w:rPr>
          <w:sz w:val="20"/>
        </w:rPr>
      </w:pPr>
      <w:r>
        <w:rPr>
          <w:sz w:val="20"/>
        </w:rPr>
        <w:t>Título de propiedad del inmueble a nombre del peticionario, que incluya constancia de no adeudo</w:t>
      </w:r>
      <w:r>
        <w:rPr>
          <w:spacing w:val="-7"/>
          <w:sz w:val="20"/>
        </w:rPr>
        <w:t> </w:t>
      </w:r>
      <w:r>
        <w:rPr>
          <w:sz w:val="20"/>
        </w:rPr>
        <w:t>del</w:t>
      </w:r>
      <w:r>
        <w:rPr>
          <w:spacing w:val="-10"/>
          <w:sz w:val="20"/>
        </w:rPr>
        <w:t> </w:t>
      </w:r>
      <w:r>
        <w:rPr>
          <w:sz w:val="20"/>
        </w:rPr>
        <w:t>impuesto</w:t>
      </w:r>
      <w:r>
        <w:rPr>
          <w:spacing w:val="-7"/>
          <w:sz w:val="20"/>
        </w:rPr>
        <w:t> </w:t>
      </w:r>
      <w:r>
        <w:rPr>
          <w:sz w:val="20"/>
        </w:rPr>
        <w:t>predial</w:t>
      </w:r>
      <w:r>
        <w:rPr>
          <w:spacing w:val="-10"/>
          <w:sz w:val="20"/>
        </w:rPr>
        <w:t> </w:t>
      </w:r>
      <w:r>
        <w:rPr>
          <w:sz w:val="20"/>
        </w:rPr>
        <w:t>o</w:t>
      </w:r>
      <w:r>
        <w:rPr>
          <w:spacing w:val="-7"/>
          <w:sz w:val="20"/>
        </w:rPr>
        <w:t> </w:t>
      </w:r>
      <w:r>
        <w:rPr>
          <w:sz w:val="20"/>
        </w:rPr>
        <w:t>la</w:t>
      </w:r>
      <w:r>
        <w:rPr>
          <w:spacing w:val="-9"/>
          <w:sz w:val="20"/>
        </w:rPr>
        <w:t> </w:t>
      </w:r>
      <w:r>
        <w:rPr>
          <w:sz w:val="20"/>
        </w:rPr>
        <w:t>constancia</w:t>
      </w:r>
      <w:r>
        <w:rPr>
          <w:spacing w:val="-9"/>
          <w:sz w:val="20"/>
        </w:rPr>
        <w:t> </w:t>
      </w:r>
      <w:r>
        <w:rPr>
          <w:sz w:val="20"/>
        </w:rPr>
        <w:t>de</w:t>
      </w:r>
      <w:r>
        <w:rPr>
          <w:spacing w:val="-7"/>
          <w:sz w:val="20"/>
        </w:rPr>
        <w:t> </w:t>
      </w:r>
      <w:r>
        <w:rPr>
          <w:sz w:val="20"/>
        </w:rPr>
        <w:t>la</w:t>
      </w:r>
      <w:r>
        <w:rPr>
          <w:spacing w:val="-9"/>
          <w:sz w:val="20"/>
        </w:rPr>
        <w:t> </w:t>
      </w:r>
      <w:r>
        <w:rPr>
          <w:sz w:val="20"/>
        </w:rPr>
        <w:t>autoridad</w:t>
      </w:r>
      <w:r>
        <w:rPr>
          <w:spacing w:val="-9"/>
          <w:sz w:val="20"/>
        </w:rPr>
        <w:t> </w:t>
      </w:r>
      <w:r>
        <w:rPr>
          <w:sz w:val="20"/>
        </w:rPr>
        <w:t>correspondiente</w:t>
      </w:r>
      <w:r>
        <w:rPr>
          <w:spacing w:val="-7"/>
          <w:sz w:val="20"/>
        </w:rPr>
        <w:t> </w:t>
      </w:r>
      <w:r>
        <w:rPr>
          <w:sz w:val="20"/>
        </w:rPr>
        <w:t>de</w:t>
      </w:r>
      <w:r>
        <w:rPr>
          <w:spacing w:val="-9"/>
          <w:sz w:val="20"/>
        </w:rPr>
        <w:t> </w:t>
      </w:r>
      <w:r>
        <w:rPr>
          <w:sz w:val="20"/>
        </w:rPr>
        <w:t>hallarse</w:t>
      </w:r>
      <w:r>
        <w:rPr>
          <w:spacing w:val="-9"/>
          <w:sz w:val="20"/>
        </w:rPr>
        <w:t> </w:t>
      </w:r>
      <w:r>
        <w:rPr>
          <w:sz w:val="20"/>
        </w:rPr>
        <w:t>su</w:t>
      </w:r>
      <w:r>
        <w:rPr>
          <w:spacing w:val="-9"/>
          <w:sz w:val="20"/>
        </w:rPr>
        <w:t> </w:t>
      </w:r>
      <w:r>
        <w:rPr>
          <w:sz w:val="20"/>
        </w:rPr>
        <w:t>tenencia en proceso de regularización;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2"/>
          <w:numId w:val="109"/>
        </w:numPr>
        <w:tabs>
          <w:tab w:pos="689" w:val="left" w:leader="none"/>
        </w:tabs>
        <w:spacing w:line="240" w:lineRule="auto" w:before="0" w:after="0"/>
        <w:ind w:left="262" w:right="286" w:firstLine="0"/>
        <w:jc w:val="left"/>
        <w:rPr>
          <w:sz w:val="20"/>
        </w:rPr>
      </w:pPr>
      <w:r>
        <w:rPr>
          <w:sz w:val="20"/>
        </w:rPr>
        <w:t>Proyecto</w:t>
      </w:r>
      <w:r>
        <w:rPr>
          <w:spacing w:val="39"/>
          <w:sz w:val="20"/>
        </w:rPr>
        <w:t> </w:t>
      </w:r>
      <w:r>
        <w:rPr>
          <w:sz w:val="20"/>
        </w:rPr>
        <w:t>ejecutivo</w:t>
      </w:r>
      <w:r>
        <w:rPr>
          <w:spacing w:val="40"/>
          <w:sz w:val="20"/>
        </w:rPr>
        <w:t> </w:t>
      </w:r>
      <w:r>
        <w:rPr>
          <w:sz w:val="20"/>
        </w:rPr>
        <w:t>debidamente</w:t>
      </w:r>
      <w:r>
        <w:rPr>
          <w:spacing w:val="40"/>
          <w:sz w:val="20"/>
        </w:rPr>
        <w:t> </w:t>
      </w:r>
      <w:r>
        <w:rPr>
          <w:sz w:val="20"/>
        </w:rPr>
        <w:t>acotado,</w:t>
      </w:r>
      <w:r>
        <w:rPr>
          <w:spacing w:val="40"/>
          <w:sz w:val="20"/>
        </w:rPr>
        <w:t> </w:t>
      </w:r>
      <w:r>
        <w:rPr>
          <w:sz w:val="20"/>
        </w:rPr>
        <w:t>o</w:t>
      </w:r>
      <w:r>
        <w:rPr>
          <w:spacing w:val="40"/>
          <w:sz w:val="20"/>
        </w:rPr>
        <w:t> </w:t>
      </w:r>
      <w:r>
        <w:rPr>
          <w:sz w:val="20"/>
        </w:rPr>
        <w:t>del</w:t>
      </w:r>
      <w:r>
        <w:rPr>
          <w:spacing w:val="40"/>
          <w:sz w:val="20"/>
        </w:rPr>
        <w:t> </w:t>
      </w:r>
      <w:r>
        <w:rPr>
          <w:sz w:val="20"/>
        </w:rPr>
        <w:t>prototipo</w:t>
      </w:r>
      <w:r>
        <w:rPr>
          <w:spacing w:val="40"/>
          <w:sz w:val="20"/>
        </w:rPr>
        <w:t> </w:t>
      </w:r>
      <w:r>
        <w:rPr>
          <w:sz w:val="20"/>
        </w:rPr>
        <w:t>aprobado</w:t>
      </w:r>
      <w:r>
        <w:rPr>
          <w:spacing w:val="39"/>
          <w:sz w:val="20"/>
        </w:rPr>
        <w:t> </w:t>
      </w:r>
      <w:r>
        <w:rPr>
          <w:sz w:val="20"/>
        </w:rPr>
        <w:t>por</w:t>
      </w:r>
      <w:r>
        <w:rPr>
          <w:spacing w:val="40"/>
          <w:sz w:val="20"/>
        </w:rPr>
        <w:t> </w:t>
      </w:r>
      <w:r>
        <w:rPr>
          <w:sz w:val="20"/>
        </w:rPr>
        <w:t>la</w:t>
      </w:r>
      <w:r>
        <w:rPr>
          <w:spacing w:val="40"/>
          <w:sz w:val="20"/>
        </w:rPr>
        <w:t> </w:t>
      </w:r>
      <w:r>
        <w:rPr>
          <w:sz w:val="20"/>
        </w:rPr>
        <w:t>correspondiente autoridad u organismo estatal o municipal y validado por el Director Responsable de Obra, y</w:t>
      </w:r>
    </w:p>
    <w:p>
      <w:pPr>
        <w:pStyle w:val="BodyText"/>
        <w:spacing w:before="1"/>
      </w:pPr>
    </w:p>
    <w:p>
      <w:pPr>
        <w:pStyle w:val="ListParagraph"/>
        <w:numPr>
          <w:ilvl w:val="2"/>
          <w:numId w:val="109"/>
        </w:numPr>
        <w:tabs>
          <w:tab w:pos="744" w:val="left" w:leader="none"/>
        </w:tabs>
        <w:spacing w:line="240" w:lineRule="auto" w:before="1" w:after="0"/>
        <w:ind w:left="744" w:right="0" w:hanging="482"/>
        <w:jc w:val="left"/>
        <w:rPr>
          <w:sz w:val="20"/>
        </w:rPr>
      </w:pPr>
      <w:r>
        <w:rPr>
          <w:sz w:val="20"/>
        </w:rPr>
        <w:t>Licencia</w:t>
      </w:r>
      <w:r>
        <w:rPr>
          <w:spacing w:val="-6"/>
          <w:sz w:val="20"/>
        </w:rPr>
        <w:t> </w:t>
      </w:r>
      <w:r>
        <w:rPr>
          <w:sz w:val="20"/>
        </w:rPr>
        <w:t>de</w:t>
      </w:r>
      <w:r>
        <w:rPr>
          <w:spacing w:val="-6"/>
          <w:sz w:val="20"/>
        </w:rPr>
        <w:t> </w:t>
      </w:r>
      <w:r>
        <w:rPr>
          <w:sz w:val="20"/>
        </w:rPr>
        <w:t>uso</w:t>
      </w:r>
      <w:r>
        <w:rPr>
          <w:spacing w:val="-3"/>
          <w:sz w:val="20"/>
        </w:rPr>
        <w:t> </w:t>
      </w:r>
      <w:r>
        <w:rPr>
          <w:sz w:val="20"/>
        </w:rPr>
        <w:t>de</w:t>
      </w:r>
      <w:r>
        <w:rPr>
          <w:spacing w:val="-7"/>
          <w:sz w:val="20"/>
        </w:rPr>
        <w:t> </w:t>
      </w:r>
      <w:r>
        <w:rPr>
          <w:sz w:val="20"/>
        </w:rPr>
        <w:t>suelo</w:t>
      </w:r>
      <w:r>
        <w:rPr>
          <w:spacing w:val="-5"/>
          <w:sz w:val="20"/>
        </w:rPr>
        <w:t> </w:t>
      </w:r>
      <w:r>
        <w:rPr>
          <w:spacing w:val="-2"/>
          <w:sz w:val="20"/>
        </w:rPr>
        <w:t>vigente.</w:t>
      </w:r>
    </w:p>
    <w:p>
      <w:pPr>
        <w:pStyle w:val="BodyText"/>
        <w:spacing w:before="228"/>
        <w:ind w:left="262" w:right="279"/>
        <w:jc w:val="both"/>
      </w:pPr>
      <w:r>
        <w:rPr>
          <w:rFonts w:ascii="Arial" w:hAnsi="Arial"/>
          <w:b/>
        </w:rPr>
        <w:t>ARTÍCULO</w:t>
      </w:r>
      <w:r>
        <w:rPr>
          <w:rFonts w:ascii="Arial" w:hAnsi="Arial"/>
          <w:b/>
          <w:spacing w:val="-2"/>
        </w:rPr>
        <w:t> </w:t>
      </w:r>
      <w:r>
        <w:rPr>
          <w:rFonts w:ascii="Arial" w:hAnsi="Arial"/>
          <w:b/>
        </w:rPr>
        <w:t>309.</w:t>
      </w:r>
      <w:r>
        <w:rPr>
          <w:rFonts w:ascii="Arial" w:hAnsi="Arial"/>
          <w:b/>
          <w:spacing w:val="-1"/>
        </w:rPr>
        <w:t> </w:t>
      </w:r>
      <w:r>
        <w:rPr/>
        <w:t>Previo</w:t>
      </w:r>
      <w:r>
        <w:rPr>
          <w:spacing w:val="-2"/>
        </w:rPr>
        <w:t> </w:t>
      </w:r>
      <w:r>
        <w:rPr/>
        <w:t>a</w:t>
      </w:r>
      <w:r>
        <w:rPr>
          <w:spacing w:val="-2"/>
        </w:rPr>
        <w:t> </w:t>
      </w:r>
      <w:r>
        <w:rPr/>
        <w:t>que</w:t>
      </w:r>
      <w:r>
        <w:rPr>
          <w:spacing w:val="-4"/>
        </w:rPr>
        <w:t> </w:t>
      </w:r>
      <w:r>
        <w:rPr/>
        <w:t>sea</w:t>
      </w:r>
      <w:r>
        <w:rPr>
          <w:spacing w:val="-3"/>
        </w:rPr>
        <w:t> </w:t>
      </w:r>
      <w:r>
        <w:rPr/>
        <w:t>recibida</w:t>
      </w:r>
      <w:r>
        <w:rPr>
          <w:spacing w:val="-2"/>
        </w:rPr>
        <w:t> </w:t>
      </w:r>
      <w:r>
        <w:rPr/>
        <w:t>una</w:t>
      </w:r>
      <w:r>
        <w:rPr>
          <w:spacing w:val="-3"/>
        </w:rPr>
        <w:t> </w:t>
      </w:r>
      <w:r>
        <w:rPr/>
        <w:t>solicitud</w:t>
      </w:r>
      <w:r>
        <w:rPr>
          <w:spacing w:val="-3"/>
        </w:rPr>
        <w:t> </w:t>
      </w:r>
      <w:r>
        <w:rPr/>
        <w:t>de</w:t>
      </w:r>
      <w:r>
        <w:rPr>
          <w:spacing w:val="-2"/>
        </w:rPr>
        <w:t> </w:t>
      </w:r>
      <w:r>
        <w:rPr/>
        <w:t>licencia</w:t>
      </w:r>
      <w:r>
        <w:rPr>
          <w:spacing w:val="-2"/>
        </w:rPr>
        <w:t> </w:t>
      </w:r>
      <w:r>
        <w:rPr/>
        <w:t>de</w:t>
      </w:r>
      <w:r>
        <w:rPr>
          <w:spacing w:val="-2"/>
        </w:rPr>
        <w:t> </w:t>
      </w:r>
      <w:r>
        <w:rPr/>
        <w:t>construcción</w:t>
      </w:r>
      <w:r>
        <w:rPr>
          <w:spacing w:val="-2"/>
        </w:rPr>
        <w:t> </w:t>
      </w:r>
      <w:r>
        <w:rPr/>
        <w:t>de</w:t>
      </w:r>
      <w:r>
        <w:rPr>
          <w:spacing w:val="-2"/>
        </w:rPr>
        <w:t> </w:t>
      </w:r>
      <w:r>
        <w:rPr/>
        <w:t>obra</w:t>
      </w:r>
      <w:r>
        <w:rPr>
          <w:spacing w:val="-2"/>
        </w:rPr>
        <w:t> </w:t>
      </w:r>
      <w:r>
        <w:rPr/>
        <w:t>nueva, ampliación y/o modificación; para reparación o modificación de obras, instalaciones o</w:t>
      </w:r>
      <w:r>
        <w:rPr>
          <w:spacing w:val="40"/>
        </w:rPr>
        <w:t> </w:t>
      </w:r>
      <w:r>
        <w:rPr/>
        <w:t>estructuras; para excavación y/o demolición; para cambios estructurales en la</w:t>
      </w:r>
      <w:r>
        <w:rPr>
          <w:spacing w:val="40"/>
        </w:rPr>
        <w:t> </w:t>
      </w:r>
      <w:r>
        <w:rPr/>
        <w:t>construcción existente o</w:t>
      </w:r>
      <w:r>
        <w:rPr>
          <w:spacing w:val="40"/>
        </w:rPr>
        <w:t> </w:t>
      </w:r>
      <w:r>
        <w:rPr/>
        <w:t>para cambio</w:t>
      </w:r>
      <w:r>
        <w:rPr>
          <w:spacing w:val="-14"/>
        </w:rPr>
        <w:t> </w:t>
      </w:r>
      <w:r>
        <w:rPr/>
        <w:t>a</w:t>
      </w:r>
      <w:r>
        <w:rPr>
          <w:spacing w:val="-13"/>
        </w:rPr>
        <w:t> </w:t>
      </w:r>
      <w:r>
        <w:rPr/>
        <w:t>régimen</w:t>
      </w:r>
      <w:r>
        <w:rPr>
          <w:spacing w:val="-13"/>
        </w:rPr>
        <w:t> </w:t>
      </w:r>
      <w:r>
        <w:rPr/>
        <w:t>de</w:t>
      </w:r>
      <w:r>
        <w:rPr>
          <w:spacing w:val="-13"/>
        </w:rPr>
        <w:t> </w:t>
      </w:r>
      <w:r>
        <w:rPr/>
        <w:t>propiedad</w:t>
      </w:r>
      <w:r>
        <w:rPr>
          <w:spacing w:val="-12"/>
        </w:rPr>
        <w:t> </w:t>
      </w:r>
      <w:r>
        <w:rPr/>
        <w:t>en</w:t>
      </w:r>
      <w:r>
        <w:rPr>
          <w:spacing w:val="-13"/>
        </w:rPr>
        <w:t> </w:t>
      </w:r>
      <w:r>
        <w:rPr/>
        <w:t>condominio,</w:t>
      </w:r>
      <w:r>
        <w:rPr>
          <w:spacing w:val="-13"/>
        </w:rPr>
        <w:t> </w:t>
      </w:r>
      <w:r>
        <w:rPr/>
        <w:t>la</w:t>
      </w:r>
      <w:r>
        <w:rPr>
          <w:spacing w:val="-13"/>
        </w:rPr>
        <w:t> </w:t>
      </w:r>
      <w:r>
        <w:rPr/>
        <w:t>Dirección</w:t>
      </w:r>
      <w:r>
        <w:rPr>
          <w:spacing w:val="-13"/>
        </w:rPr>
        <w:t> </w:t>
      </w:r>
      <w:r>
        <w:rPr/>
        <w:t>Municipal</w:t>
      </w:r>
      <w:r>
        <w:rPr>
          <w:spacing w:val="-14"/>
        </w:rPr>
        <w:t> </w:t>
      </w:r>
      <w:r>
        <w:rPr/>
        <w:t>correspondiente,</w:t>
      </w:r>
      <w:r>
        <w:rPr>
          <w:spacing w:val="-13"/>
        </w:rPr>
        <w:t> </w:t>
      </w:r>
      <w:r>
        <w:rPr/>
        <w:t>revisará</w:t>
      </w:r>
      <w:r>
        <w:rPr>
          <w:spacing w:val="-12"/>
        </w:rPr>
        <w:t> </w:t>
      </w:r>
      <w:r>
        <w:rPr/>
        <w:t>que el solicitante cuente con toda la documentación relativa; la cual no será ingresada hasta que se encuentren presentados todos los documentos que se requieren.</w:t>
      </w:r>
    </w:p>
    <w:p>
      <w:pPr>
        <w:pStyle w:val="BodyText"/>
        <w:spacing w:before="1"/>
      </w:pPr>
    </w:p>
    <w:p>
      <w:pPr>
        <w:pStyle w:val="BodyText"/>
        <w:ind w:left="262" w:right="277"/>
        <w:jc w:val="both"/>
      </w:pPr>
      <w:r>
        <w:rPr>
          <w:rFonts w:ascii="Arial" w:hAnsi="Arial"/>
          <w:b/>
        </w:rPr>
        <w:t>ARTÍCULO 310. </w:t>
      </w:r>
      <w:r>
        <w:rPr/>
        <w:t>El Ayuntamiento a través de la Dirección Municipal</w:t>
      </w:r>
      <w:r>
        <w:rPr>
          <w:spacing w:val="-1"/>
        </w:rPr>
        <w:t> </w:t>
      </w:r>
      <w:r>
        <w:rPr/>
        <w:t>cuando así se justifique podrá solicitar y recabar las opiniones técnicas y/o jurídicas necesarias de las dependencias y entidades públicas, antes de expedir cualquier licencia de construcción, con objeto de garantizar el cumplimiento de las especificaciones técnicas y la seguridad de</w:t>
      </w:r>
      <w:r>
        <w:rPr>
          <w:spacing w:val="40"/>
        </w:rPr>
        <w:t> </w:t>
      </w:r>
      <w:r>
        <w:rPr/>
        <w:t>la edificación y urbanización, la calidad en los servicios e instalaciones e impedir riesgos o impactos urbanos negativos en la ejecución, aprovechamiento y ocupación de las obras que el solicitante pretende realizar, adaptar, modificar, utilizar o demoler.</w:t>
      </w:r>
    </w:p>
    <w:p>
      <w:pPr>
        <w:pStyle w:val="BodyText"/>
        <w:spacing w:before="1"/>
      </w:pPr>
    </w:p>
    <w:p>
      <w:pPr>
        <w:pStyle w:val="BodyText"/>
        <w:ind w:left="262" w:right="280"/>
        <w:jc w:val="both"/>
      </w:pPr>
      <w:r>
        <w:rPr/>
        <w:t>Las</w:t>
      </w:r>
      <w:r>
        <w:rPr>
          <w:spacing w:val="-3"/>
        </w:rPr>
        <w:t> </w:t>
      </w:r>
      <w:r>
        <w:rPr/>
        <w:t>dependencias</w:t>
      </w:r>
      <w:r>
        <w:rPr>
          <w:spacing w:val="-3"/>
        </w:rPr>
        <w:t> </w:t>
      </w:r>
      <w:r>
        <w:rPr/>
        <w:t>y</w:t>
      </w:r>
      <w:r>
        <w:rPr>
          <w:spacing w:val="-3"/>
        </w:rPr>
        <w:t> </w:t>
      </w:r>
      <w:r>
        <w:rPr/>
        <w:t>entidades</w:t>
      </w:r>
      <w:r>
        <w:rPr>
          <w:spacing w:val="-3"/>
        </w:rPr>
        <w:t> </w:t>
      </w:r>
      <w:r>
        <w:rPr/>
        <w:t>tendrán</w:t>
      </w:r>
      <w:r>
        <w:rPr>
          <w:spacing w:val="-2"/>
        </w:rPr>
        <w:t> </w:t>
      </w:r>
      <w:r>
        <w:rPr/>
        <w:t>un</w:t>
      </w:r>
      <w:r>
        <w:rPr>
          <w:spacing w:val="-3"/>
        </w:rPr>
        <w:t> </w:t>
      </w:r>
      <w:r>
        <w:rPr/>
        <w:t>plazo</w:t>
      </w:r>
      <w:r>
        <w:rPr>
          <w:spacing w:val="-4"/>
        </w:rPr>
        <w:t> </w:t>
      </w:r>
      <w:r>
        <w:rPr/>
        <w:t>máximo</w:t>
      </w:r>
      <w:r>
        <w:rPr>
          <w:spacing w:val="-4"/>
        </w:rPr>
        <w:t> </w:t>
      </w:r>
      <w:r>
        <w:rPr/>
        <w:t>de</w:t>
      </w:r>
      <w:r>
        <w:rPr>
          <w:spacing w:val="-4"/>
        </w:rPr>
        <w:t> </w:t>
      </w:r>
      <w:r>
        <w:rPr/>
        <w:t>siete</w:t>
      </w:r>
      <w:r>
        <w:rPr>
          <w:spacing w:val="-5"/>
        </w:rPr>
        <w:t> </w:t>
      </w:r>
      <w:r>
        <w:rPr/>
        <w:t>días</w:t>
      </w:r>
      <w:r>
        <w:rPr>
          <w:spacing w:val="-3"/>
        </w:rPr>
        <w:t> </w:t>
      </w:r>
      <w:r>
        <w:rPr/>
        <w:t>hábiles</w:t>
      </w:r>
      <w:r>
        <w:rPr>
          <w:spacing w:val="-1"/>
        </w:rPr>
        <w:t> </w:t>
      </w:r>
      <w:r>
        <w:rPr/>
        <w:t>para</w:t>
      </w:r>
      <w:r>
        <w:rPr>
          <w:spacing w:val="-4"/>
        </w:rPr>
        <w:t> </w:t>
      </w:r>
      <w:r>
        <w:rPr/>
        <w:t>dar</w:t>
      </w:r>
      <w:r>
        <w:rPr>
          <w:spacing w:val="-4"/>
        </w:rPr>
        <w:t> </w:t>
      </w:r>
      <w:r>
        <w:rPr/>
        <w:t>su</w:t>
      </w:r>
      <w:r>
        <w:rPr>
          <w:spacing w:val="-2"/>
        </w:rPr>
        <w:t> </w:t>
      </w:r>
      <w:r>
        <w:rPr/>
        <w:t>opinión</w:t>
      </w:r>
      <w:r>
        <w:rPr>
          <w:spacing w:val="-3"/>
        </w:rPr>
        <w:t> </w:t>
      </w:r>
      <w:r>
        <w:rPr/>
        <w:t>u observaciones a la Dirección Municipal correspondiente, contados a partir de la fecha en que les haya</w:t>
      </w:r>
      <w:r>
        <w:rPr>
          <w:spacing w:val="-1"/>
        </w:rPr>
        <w:t> </w:t>
      </w:r>
      <w:r>
        <w:rPr/>
        <w:t>sido solicitada; en caso</w:t>
      </w:r>
      <w:r>
        <w:rPr>
          <w:spacing w:val="-1"/>
        </w:rPr>
        <w:t> </w:t>
      </w:r>
      <w:r>
        <w:rPr/>
        <w:t>de no hacerlo en ese plazo,</w:t>
      </w:r>
      <w:r>
        <w:rPr>
          <w:spacing w:val="-1"/>
        </w:rPr>
        <w:t> </w:t>
      </w:r>
      <w:r>
        <w:rPr/>
        <w:t>se entenderá que está de acuerdo</w:t>
      </w:r>
      <w:r>
        <w:rPr>
          <w:spacing w:val="-1"/>
        </w:rPr>
        <w:t> </w:t>
      </w:r>
      <w:r>
        <w:rPr/>
        <w:t>con el otorgamiento de la licencia de construcción respectiva.</w:t>
      </w:r>
    </w:p>
    <w:p>
      <w:pPr>
        <w:pStyle w:val="BodyText"/>
      </w:pPr>
    </w:p>
    <w:p>
      <w:pPr>
        <w:pStyle w:val="BodyText"/>
        <w:ind w:left="262" w:right="276"/>
        <w:jc w:val="both"/>
      </w:pPr>
      <w:r>
        <w:rPr>
          <w:rFonts w:ascii="Arial" w:hAnsi="Arial"/>
          <w:b/>
        </w:rPr>
        <w:t>ARTÍCULO 311. </w:t>
      </w:r>
      <w:r>
        <w:rPr/>
        <w:t>Una vez que se encuentren satisfechos los requisitos que se establecen en esta Ley y demás disposiciones jurídicas aplicables, el Ayuntamiento otorgará o negará la licencia de construcción, por conducto de la Dirección Municipal correspondiente, dentro de los siete días hábiles siguientes a la recepción del expediente completo y cuando haya recibido, en su caso, las opiniones oficiales a que se refiere el artículo anterior.</w:t>
      </w:r>
    </w:p>
    <w:p>
      <w:pPr>
        <w:pStyle w:val="BodyText"/>
      </w:pPr>
    </w:p>
    <w:p>
      <w:pPr>
        <w:pStyle w:val="BodyText"/>
        <w:ind w:left="262" w:right="278"/>
        <w:jc w:val="both"/>
      </w:pPr>
      <w:r>
        <w:rPr>
          <w:rFonts w:ascii="Arial" w:hAnsi="Arial"/>
          <w:b/>
        </w:rPr>
        <w:t>ARTÍCULO</w:t>
      </w:r>
      <w:r>
        <w:rPr>
          <w:rFonts w:ascii="Arial" w:hAnsi="Arial"/>
          <w:b/>
          <w:spacing w:val="-3"/>
        </w:rPr>
        <w:t> </w:t>
      </w:r>
      <w:r>
        <w:rPr>
          <w:rFonts w:ascii="Arial" w:hAnsi="Arial"/>
          <w:b/>
        </w:rPr>
        <w:t>312.</w:t>
      </w:r>
      <w:r>
        <w:rPr>
          <w:rFonts w:ascii="Arial" w:hAnsi="Arial"/>
          <w:b/>
          <w:spacing w:val="-4"/>
        </w:rPr>
        <w:t> </w:t>
      </w:r>
      <w:r>
        <w:rPr/>
        <w:t>La</w:t>
      </w:r>
      <w:r>
        <w:rPr>
          <w:spacing w:val="-5"/>
        </w:rPr>
        <w:t> </w:t>
      </w:r>
      <w:r>
        <w:rPr/>
        <w:t>solicitud</w:t>
      </w:r>
      <w:r>
        <w:rPr>
          <w:spacing w:val="-4"/>
        </w:rPr>
        <w:t> </w:t>
      </w:r>
      <w:r>
        <w:rPr/>
        <w:t>para</w:t>
      </w:r>
      <w:r>
        <w:rPr>
          <w:spacing w:val="-4"/>
        </w:rPr>
        <w:t> </w:t>
      </w:r>
      <w:r>
        <w:rPr/>
        <w:t>autorizar</w:t>
      </w:r>
      <w:r>
        <w:rPr>
          <w:spacing w:val="-1"/>
        </w:rPr>
        <w:t> </w:t>
      </w:r>
      <w:r>
        <w:rPr/>
        <w:t>la</w:t>
      </w:r>
      <w:r>
        <w:rPr>
          <w:spacing w:val="-4"/>
        </w:rPr>
        <w:t> </w:t>
      </w:r>
      <w:r>
        <w:rPr/>
        <w:t>instalación,</w:t>
      </w:r>
      <w:r>
        <w:rPr>
          <w:spacing w:val="-4"/>
        </w:rPr>
        <w:t> </w:t>
      </w:r>
      <w:r>
        <w:rPr/>
        <w:t>construcción</w:t>
      </w:r>
      <w:r>
        <w:rPr>
          <w:spacing w:val="-4"/>
        </w:rPr>
        <w:t> </w:t>
      </w:r>
      <w:r>
        <w:rPr/>
        <w:t>o</w:t>
      </w:r>
      <w:r>
        <w:rPr>
          <w:spacing w:val="-5"/>
        </w:rPr>
        <w:t> </w:t>
      </w:r>
      <w:r>
        <w:rPr/>
        <w:t>modificación,</w:t>
      </w:r>
      <w:r>
        <w:rPr>
          <w:spacing w:val="-4"/>
        </w:rPr>
        <w:t> </w:t>
      </w:r>
      <w:r>
        <w:rPr/>
        <w:t>en</w:t>
      </w:r>
      <w:r>
        <w:rPr>
          <w:spacing w:val="-4"/>
        </w:rPr>
        <w:t> </w:t>
      </w:r>
      <w:r>
        <w:rPr/>
        <w:t>todo</w:t>
      </w:r>
      <w:r>
        <w:rPr>
          <w:spacing w:val="-4"/>
        </w:rPr>
        <w:t> </w:t>
      </w:r>
      <w:r>
        <w:rPr/>
        <w:t>o</w:t>
      </w:r>
      <w:r>
        <w:rPr>
          <w:spacing w:val="-5"/>
        </w:rPr>
        <w:t> </w:t>
      </w:r>
      <w:r>
        <w:rPr/>
        <w:t>en parte, de la infraestructura de los sistemas de alumbrado público, drenajes, agua, gas natural, telefonía y demás servicios, y en general al equipamiento urbano, en cualquier espacio público de fraccionamientos ya municipalizados, deberá presentarse por escrito ante la Dirección Municipal </w:t>
      </w:r>
      <w:r>
        <w:rPr>
          <w:spacing w:val="-2"/>
        </w:rPr>
        <w:t>correspondiente.</w:t>
      </w:r>
    </w:p>
    <w:p>
      <w:pPr>
        <w:pStyle w:val="BodyText"/>
      </w:pPr>
    </w:p>
    <w:p>
      <w:pPr>
        <w:pStyle w:val="BodyText"/>
        <w:ind w:left="262" w:right="284"/>
        <w:jc w:val="both"/>
      </w:pPr>
      <w:r>
        <w:rPr>
          <w:rFonts w:ascii="Arial" w:hAnsi="Arial"/>
          <w:b/>
        </w:rPr>
        <w:t>ARTÍCULO</w:t>
      </w:r>
      <w:r>
        <w:rPr>
          <w:rFonts w:ascii="Arial" w:hAnsi="Arial"/>
          <w:b/>
          <w:spacing w:val="-5"/>
        </w:rPr>
        <w:t> </w:t>
      </w:r>
      <w:r>
        <w:rPr>
          <w:rFonts w:ascii="Arial" w:hAnsi="Arial"/>
          <w:b/>
        </w:rPr>
        <w:t>313.</w:t>
      </w:r>
      <w:r>
        <w:rPr>
          <w:rFonts w:ascii="Arial" w:hAnsi="Arial"/>
          <w:b/>
          <w:spacing w:val="-3"/>
        </w:rPr>
        <w:t> </w:t>
      </w:r>
      <w:r>
        <w:rPr/>
        <w:t>La</w:t>
      </w:r>
      <w:r>
        <w:rPr>
          <w:spacing w:val="-7"/>
        </w:rPr>
        <w:t> </w:t>
      </w:r>
      <w:r>
        <w:rPr/>
        <w:t>solicitud</w:t>
      </w:r>
      <w:r>
        <w:rPr>
          <w:spacing w:val="-7"/>
        </w:rPr>
        <w:t> </w:t>
      </w:r>
      <w:r>
        <w:rPr/>
        <w:t>a</w:t>
      </w:r>
      <w:r>
        <w:rPr>
          <w:spacing w:val="-5"/>
        </w:rPr>
        <w:t> </w:t>
      </w:r>
      <w:r>
        <w:rPr/>
        <w:t>que</w:t>
      </w:r>
      <w:r>
        <w:rPr>
          <w:spacing w:val="-5"/>
        </w:rPr>
        <w:t> </w:t>
      </w:r>
      <w:r>
        <w:rPr/>
        <w:t>se</w:t>
      </w:r>
      <w:r>
        <w:rPr>
          <w:spacing w:val="-7"/>
        </w:rPr>
        <w:t> </w:t>
      </w:r>
      <w:r>
        <w:rPr/>
        <w:t>refiere</w:t>
      </w:r>
      <w:r>
        <w:rPr>
          <w:spacing w:val="-4"/>
        </w:rPr>
        <w:t> </w:t>
      </w:r>
      <w:r>
        <w:rPr/>
        <w:t>el</w:t>
      </w:r>
      <w:r>
        <w:rPr>
          <w:spacing w:val="-5"/>
        </w:rPr>
        <w:t> </w:t>
      </w:r>
      <w:r>
        <w:rPr/>
        <w:t>artículo</w:t>
      </w:r>
      <w:r>
        <w:rPr>
          <w:spacing w:val="-7"/>
        </w:rPr>
        <w:t> </w:t>
      </w:r>
      <w:r>
        <w:rPr/>
        <w:t>inmediato</w:t>
      </w:r>
      <w:r>
        <w:rPr>
          <w:spacing w:val="-5"/>
        </w:rPr>
        <w:t> </w:t>
      </w:r>
      <w:r>
        <w:rPr/>
        <w:t>anterior,</w:t>
      </w:r>
      <w:r>
        <w:rPr>
          <w:spacing w:val="-4"/>
        </w:rPr>
        <w:t> </w:t>
      </w:r>
      <w:r>
        <w:rPr/>
        <w:t>deberá</w:t>
      </w:r>
      <w:r>
        <w:rPr>
          <w:spacing w:val="-6"/>
        </w:rPr>
        <w:t> </w:t>
      </w:r>
      <w:r>
        <w:rPr/>
        <w:t>ser</w:t>
      </w:r>
      <w:r>
        <w:rPr>
          <w:spacing w:val="-4"/>
        </w:rPr>
        <w:t> </w:t>
      </w:r>
      <w:r>
        <w:rPr/>
        <w:t>acompañada de los siguientes documentos:</w:t>
      </w:r>
    </w:p>
    <w:p>
      <w:pPr>
        <w:pStyle w:val="BodyText"/>
      </w:pPr>
    </w:p>
    <w:p>
      <w:pPr>
        <w:pStyle w:val="ListParagraph"/>
        <w:numPr>
          <w:ilvl w:val="0"/>
          <w:numId w:val="110"/>
        </w:numPr>
        <w:tabs>
          <w:tab w:pos="543" w:val="left" w:leader="none"/>
        </w:tabs>
        <w:spacing w:line="240" w:lineRule="auto" w:before="0" w:after="0"/>
        <w:ind w:left="262" w:right="291" w:firstLine="0"/>
        <w:jc w:val="left"/>
        <w:rPr>
          <w:sz w:val="20"/>
        </w:rPr>
      </w:pPr>
      <w:r>
        <w:rPr>
          <w:sz w:val="20"/>
        </w:rPr>
        <w:t>Plano de conjunto de la zona de influencia, señalándose la extensión y ubicación de la obra de infraestructura o equipamiento urbano;</w:t>
      </w:r>
    </w:p>
    <w:p>
      <w:pPr>
        <w:pStyle w:val="BodyText"/>
        <w:spacing w:before="1"/>
      </w:pPr>
    </w:p>
    <w:p>
      <w:pPr>
        <w:pStyle w:val="ListParagraph"/>
        <w:numPr>
          <w:ilvl w:val="0"/>
          <w:numId w:val="110"/>
        </w:numPr>
        <w:tabs>
          <w:tab w:pos="543" w:val="left" w:leader="none"/>
        </w:tabs>
        <w:spacing w:line="240" w:lineRule="auto" w:before="0" w:after="0"/>
        <w:ind w:left="262" w:right="286" w:firstLine="0"/>
        <w:jc w:val="left"/>
        <w:rPr>
          <w:sz w:val="20"/>
        </w:rPr>
      </w:pPr>
      <w:r>
        <w:rPr>
          <w:sz w:val="20"/>
        </w:rPr>
        <w:t>Descripción</w:t>
      </w:r>
      <w:r>
        <w:rPr>
          <w:spacing w:val="-7"/>
          <w:sz w:val="20"/>
        </w:rPr>
        <w:t> </w:t>
      </w:r>
      <w:r>
        <w:rPr>
          <w:sz w:val="20"/>
        </w:rPr>
        <w:t>clara</w:t>
      </w:r>
      <w:r>
        <w:rPr>
          <w:spacing w:val="-9"/>
          <w:sz w:val="20"/>
        </w:rPr>
        <w:t> </w:t>
      </w:r>
      <w:r>
        <w:rPr>
          <w:sz w:val="20"/>
        </w:rPr>
        <w:t>y</w:t>
      </w:r>
      <w:r>
        <w:rPr>
          <w:spacing w:val="-8"/>
          <w:sz w:val="20"/>
        </w:rPr>
        <w:t> </w:t>
      </w:r>
      <w:r>
        <w:rPr>
          <w:sz w:val="20"/>
        </w:rPr>
        <w:t>concisa</w:t>
      </w:r>
      <w:r>
        <w:rPr>
          <w:spacing w:val="-7"/>
          <w:sz w:val="20"/>
        </w:rPr>
        <w:t> </w:t>
      </w:r>
      <w:r>
        <w:rPr>
          <w:sz w:val="20"/>
        </w:rPr>
        <w:t>del</w:t>
      </w:r>
      <w:r>
        <w:rPr>
          <w:spacing w:val="-7"/>
          <w:sz w:val="20"/>
        </w:rPr>
        <w:t> </w:t>
      </w:r>
      <w:r>
        <w:rPr>
          <w:sz w:val="20"/>
        </w:rPr>
        <w:t>proyecto</w:t>
      </w:r>
      <w:r>
        <w:rPr>
          <w:spacing w:val="-7"/>
          <w:sz w:val="20"/>
        </w:rPr>
        <w:t> </w:t>
      </w:r>
      <w:r>
        <w:rPr>
          <w:sz w:val="20"/>
        </w:rPr>
        <w:t>a</w:t>
      </w:r>
      <w:r>
        <w:rPr>
          <w:spacing w:val="-7"/>
          <w:sz w:val="20"/>
        </w:rPr>
        <w:t> </w:t>
      </w:r>
      <w:r>
        <w:rPr>
          <w:sz w:val="20"/>
        </w:rPr>
        <w:t>ejecutar,</w:t>
      </w:r>
      <w:r>
        <w:rPr>
          <w:spacing w:val="-6"/>
          <w:sz w:val="20"/>
        </w:rPr>
        <w:t> </w:t>
      </w:r>
      <w:r>
        <w:rPr>
          <w:sz w:val="20"/>
        </w:rPr>
        <w:t>acompañada</w:t>
      </w:r>
      <w:r>
        <w:rPr>
          <w:spacing w:val="-7"/>
          <w:sz w:val="20"/>
        </w:rPr>
        <w:t> </w:t>
      </w:r>
      <w:r>
        <w:rPr>
          <w:sz w:val="20"/>
        </w:rPr>
        <w:t>de</w:t>
      </w:r>
      <w:r>
        <w:rPr>
          <w:spacing w:val="-7"/>
          <w:sz w:val="20"/>
        </w:rPr>
        <w:t> </w:t>
      </w:r>
      <w:r>
        <w:rPr>
          <w:sz w:val="20"/>
        </w:rPr>
        <w:t>croquis</w:t>
      </w:r>
      <w:r>
        <w:rPr>
          <w:spacing w:val="-8"/>
          <w:sz w:val="20"/>
        </w:rPr>
        <w:t> </w:t>
      </w:r>
      <w:r>
        <w:rPr>
          <w:sz w:val="20"/>
        </w:rPr>
        <w:t>o</w:t>
      </w:r>
      <w:r>
        <w:rPr>
          <w:spacing w:val="-7"/>
          <w:sz w:val="20"/>
        </w:rPr>
        <w:t> </w:t>
      </w:r>
      <w:r>
        <w:rPr>
          <w:sz w:val="20"/>
        </w:rPr>
        <w:t>plano,</w:t>
      </w:r>
      <w:r>
        <w:rPr>
          <w:spacing w:val="-6"/>
          <w:sz w:val="20"/>
        </w:rPr>
        <w:t> </w:t>
      </w:r>
      <w:r>
        <w:rPr>
          <w:sz w:val="20"/>
        </w:rPr>
        <w:t>en</w:t>
      </w:r>
      <w:r>
        <w:rPr>
          <w:spacing w:val="-7"/>
          <w:sz w:val="20"/>
        </w:rPr>
        <w:t> </w:t>
      </w:r>
      <w:r>
        <w:rPr>
          <w:sz w:val="20"/>
        </w:rPr>
        <w:t>su</w:t>
      </w:r>
      <w:r>
        <w:rPr>
          <w:spacing w:val="-9"/>
          <w:sz w:val="20"/>
        </w:rPr>
        <w:t> </w:t>
      </w:r>
      <w:r>
        <w:rPr>
          <w:sz w:val="20"/>
        </w:rPr>
        <w:t>caso, de localización, señalándose la extensión de la obra de infraestructura o equipamiento urbano;</w:t>
      </w:r>
    </w:p>
    <w:p>
      <w:pPr>
        <w:pStyle w:val="ListParagraph"/>
        <w:numPr>
          <w:ilvl w:val="0"/>
          <w:numId w:val="110"/>
        </w:numPr>
        <w:tabs>
          <w:tab w:pos="597" w:val="left" w:leader="none"/>
        </w:tabs>
        <w:spacing w:line="240" w:lineRule="auto" w:before="229" w:after="0"/>
        <w:ind w:left="597" w:right="0" w:hanging="335"/>
        <w:jc w:val="left"/>
        <w:rPr>
          <w:sz w:val="20"/>
        </w:rPr>
      </w:pPr>
      <w:r>
        <w:rPr>
          <w:sz w:val="20"/>
        </w:rPr>
        <w:t>El</w:t>
      </w:r>
      <w:r>
        <w:rPr>
          <w:spacing w:val="-8"/>
          <w:sz w:val="20"/>
        </w:rPr>
        <w:t> </w:t>
      </w:r>
      <w:r>
        <w:rPr>
          <w:sz w:val="20"/>
        </w:rPr>
        <w:t>estudio</w:t>
      </w:r>
      <w:r>
        <w:rPr>
          <w:spacing w:val="-7"/>
          <w:sz w:val="20"/>
        </w:rPr>
        <w:t> </w:t>
      </w:r>
      <w:r>
        <w:rPr>
          <w:sz w:val="20"/>
        </w:rPr>
        <w:t>de</w:t>
      </w:r>
      <w:r>
        <w:rPr>
          <w:spacing w:val="-7"/>
          <w:sz w:val="20"/>
        </w:rPr>
        <w:t> </w:t>
      </w:r>
      <w:r>
        <w:rPr>
          <w:sz w:val="20"/>
        </w:rPr>
        <w:t>impacto</w:t>
      </w:r>
      <w:r>
        <w:rPr>
          <w:spacing w:val="-9"/>
          <w:sz w:val="20"/>
        </w:rPr>
        <w:t> </w:t>
      </w:r>
      <w:r>
        <w:rPr>
          <w:sz w:val="20"/>
        </w:rPr>
        <w:t>urbano</w:t>
      </w:r>
      <w:r>
        <w:rPr>
          <w:spacing w:val="-10"/>
          <w:sz w:val="20"/>
        </w:rPr>
        <w:t> </w:t>
      </w:r>
      <w:r>
        <w:rPr>
          <w:sz w:val="20"/>
        </w:rPr>
        <w:t>significativo,</w:t>
      </w:r>
      <w:r>
        <w:rPr>
          <w:spacing w:val="-8"/>
          <w:sz w:val="20"/>
        </w:rPr>
        <w:t> </w:t>
      </w:r>
      <w:r>
        <w:rPr>
          <w:sz w:val="20"/>
        </w:rPr>
        <w:t>realizado</w:t>
      </w:r>
      <w:r>
        <w:rPr>
          <w:spacing w:val="-8"/>
          <w:sz w:val="20"/>
        </w:rPr>
        <w:t> </w:t>
      </w:r>
      <w:r>
        <w:rPr>
          <w:sz w:val="20"/>
        </w:rPr>
        <w:t>por</w:t>
      </w:r>
      <w:r>
        <w:rPr>
          <w:spacing w:val="-8"/>
          <w:sz w:val="20"/>
        </w:rPr>
        <w:t> </w:t>
      </w:r>
      <w:r>
        <w:rPr>
          <w:sz w:val="20"/>
        </w:rPr>
        <w:t>perito</w:t>
      </w:r>
      <w:r>
        <w:rPr>
          <w:spacing w:val="-8"/>
          <w:sz w:val="20"/>
        </w:rPr>
        <w:t> </w:t>
      </w:r>
      <w:r>
        <w:rPr>
          <w:sz w:val="20"/>
        </w:rPr>
        <w:t>debidamente</w:t>
      </w:r>
      <w:r>
        <w:rPr>
          <w:spacing w:val="-9"/>
          <w:sz w:val="20"/>
        </w:rPr>
        <w:t> </w:t>
      </w:r>
      <w:r>
        <w:rPr>
          <w:spacing w:val="-2"/>
          <w:sz w:val="20"/>
        </w:rPr>
        <w:t>registrado;</w:t>
      </w:r>
    </w:p>
    <w:p>
      <w:pPr>
        <w:pStyle w:val="BodyText"/>
        <w:spacing w:before="1"/>
      </w:pPr>
    </w:p>
    <w:p>
      <w:pPr>
        <w:pStyle w:val="ListParagraph"/>
        <w:numPr>
          <w:ilvl w:val="0"/>
          <w:numId w:val="110"/>
        </w:numPr>
        <w:tabs>
          <w:tab w:pos="545" w:val="left" w:leader="none"/>
        </w:tabs>
        <w:spacing w:line="240" w:lineRule="auto" w:before="0" w:after="0"/>
        <w:ind w:left="545" w:right="0" w:hanging="283"/>
        <w:jc w:val="left"/>
        <w:rPr>
          <w:sz w:val="20"/>
        </w:rPr>
      </w:pPr>
      <w:r>
        <w:rPr>
          <w:sz w:val="20"/>
        </w:rPr>
        <w:t>El</w:t>
      </w:r>
      <w:r>
        <w:rPr>
          <w:spacing w:val="-8"/>
          <w:sz w:val="20"/>
        </w:rPr>
        <w:t> </w:t>
      </w:r>
      <w:r>
        <w:rPr>
          <w:sz w:val="20"/>
        </w:rPr>
        <w:t>régimen</w:t>
      </w:r>
      <w:r>
        <w:rPr>
          <w:spacing w:val="-5"/>
          <w:sz w:val="20"/>
        </w:rPr>
        <w:t> </w:t>
      </w:r>
      <w:r>
        <w:rPr>
          <w:sz w:val="20"/>
        </w:rPr>
        <w:t>financiero</w:t>
      </w:r>
      <w:r>
        <w:rPr>
          <w:spacing w:val="-7"/>
          <w:sz w:val="20"/>
        </w:rPr>
        <w:t> </w:t>
      </w:r>
      <w:r>
        <w:rPr>
          <w:sz w:val="20"/>
        </w:rPr>
        <w:t>para</w:t>
      </w:r>
      <w:r>
        <w:rPr>
          <w:spacing w:val="-7"/>
          <w:sz w:val="20"/>
        </w:rPr>
        <w:t> </w:t>
      </w:r>
      <w:r>
        <w:rPr>
          <w:sz w:val="20"/>
        </w:rPr>
        <w:t>la</w:t>
      </w:r>
      <w:r>
        <w:rPr>
          <w:spacing w:val="-6"/>
          <w:sz w:val="20"/>
        </w:rPr>
        <w:t> </w:t>
      </w:r>
      <w:r>
        <w:rPr>
          <w:sz w:val="20"/>
        </w:rPr>
        <w:t>ejecución</w:t>
      </w:r>
      <w:r>
        <w:rPr>
          <w:spacing w:val="-7"/>
          <w:sz w:val="20"/>
        </w:rPr>
        <w:t> </w:t>
      </w:r>
      <w:r>
        <w:rPr>
          <w:sz w:val="20"/>
        </w:rPr>
        <w:t>de</w:t>
      </w:r>
      <w:r>
        <w:rPr>
          <w:spacing w:val="-5"/>
          <w:sz w:val="20"/>
        </w:rPr>
        <w:t> </w:t>
      </w:r>
      <w:r>
        <w:rPr>
          <w:sz w:val="20"/>
        </w:rPr>
        <w:t>la</w:t>
      </w:r>
      <w:r>
        <w:rPr>
          <w:spacing w:val="-5"/>
          <w:sz w:val="20"/>
        </w:rPr>
        <w:t> </w:t>
      </w:r>
      <w:r>
        <w:rPr>
          <w:spacing w:val="-4"/>
          <w:sz w:val="20"/>
        </w:rPr>
        <w:t>obra;</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10"/>
        </w:numPr>
        <w:tabs>
          <w:tab w:pos="544" w:val="left" w:leader="none"/>
        </w:tabs>
        <w:spacing w:line="240" w:lineRule="auto" w:before="0" w:after="0"/>
        <w:ind w:left="544" w:right="0" w:hanging="282"/>
        <w:jc w:val="left"/>
        <w:rPr>
          <w:sz w:val="20"/>
        </w:rPr>
      </w:pPr>
      <w:r>
        <w:rPr>
          <w:sz w:val="20"/>
        </w:rPr>
        <w:t>Las</w:t>
      </w:r>
      <w:r>
        <w:rPr>
          <w:spacing w:val="-7"/>
          <w:sz w:val="20"/>
        </w:rPr>
        <w:t> </w:t>
      </w:r>
      <w:r>
        <w:rPr>
          <w:sz w:val="20"/>
        </w:rPr>
        <w:t>obligaciones</w:t>
      </w:r>
      <w:r>
        <w:rPr>
          <w:spacing w:val="-7"/>
          <w:sz w:val="20"/>
        </w:rPr>
        <w:t> </w:t>
      </w:r>
      <w:r>
        <w:rPr>
          <w:sz w:val="20"/>
        </w:rPr>
        <w:t>a</w:t>
      </w:r>
      <w:r>
        <w:rPr>
          <w:spacing w:val="-6"/>
          <w:sz w:val="20"/>
        </w:rPr>
        <w:t> </w:t>
      </w:r>
      <w:r>
        <w:rPr>
          <w:sz w:val="20"/>
        </w:rPr>
        <w:t>cargo</w:t>
      </w:r>
      <w:r>
        <w:rPr>
          <w:spacing w:val="-7"/>
          <w:sz w:val="20"/>
        </w:rPr>
        <w:t> </w:t>
      </w:r>
      <w:r>
        <w:rPr>
          <w:sz w:val="20"/>
        </w:rPr>
        <w:t>del</w:t>
      </w:r>
      <w:r>
        <w:rPr>
          <w:spacing w:val="-9"/>
          <w:sz w:val="20"/>
        </w:rPr>
        <w:t> </w:t>
      </w:r>
      <w:r>
        <w:rPr>
          <w:spacing w:val="-2"/>
          <w:sz w:val="20"/>
        </w:rPr>
        <w:t>solicitante;</w:t>
      </w:r>
    </w:p>
    <w:p>
      <w:pPr>
        <w:pStyle w:val="BodyText"/>
        <w:spacing w:before="1"/>
      </w:pPr>
    </w:p>
    <w:p>
      <w:pPr>
        <w:pStyle w:val="ListParagraph"/>
        <w:numPr>
          <w:ilvl w:val="0"/>
          <w:numId w:val="110"/>
        </w:numPr>
        <w:tabs>
          <w:tab w:pos="544" w:val="left" w:leader="none"/>
        </w:tabs>
        <w:spacing w:line="240" w:lineRule="auto" w:before="0" w:after="0"/>
        <w:ind w:left="262" w:right="288" w:firstLine="0"/>
        <w:jc w:val="left"/>
        <w:rPr>
          <w:sz w:val="20"/>
        </w:rPr>
      </w:pPr>
      <w:r>
        <w:rPr>
          <w:sz w:val="20"/>
        </w:rPr>
        <w:t>Las</w:t>
      </w:r>
      <w:r>
        <w:rPr>
          <w:spacing w:val="40"/>
          <w:sz w:val="20"/>
        </w:rPr>
        <w:t> </w:t>
      </w:r>
      <w:r>
        <w:rPr>
          <w:sz w:val="20"/>
        </w:rPr>
        <w:t>obligaciones</w:t>
      </w:r>
      <w:r>
        <w:rPr>
          <w:spacing w:val="40"/>
          <w:sz w:val="20"/>
        </w:rPr>
        <w:t> </w:t>
      </w:r>
      <w:r>
        <w:rPr>
          <w:sz w:val="20"/>
        </w:rPr>
        <w:t>a</w:t>
      </w:r>
      <w:r>
        <w:rPr>
          <w:spacing w:val="40"/>
          <w:sz w:val="20"/>
        </w:rPr>
        <w:t> </w:t>
      </w:r>
      <w:r>
        <w:rPr>
          <w:sz w:val="20"/>
        </w:rPr>
        <w:t>cargo</w:t>
      </w:r>
      <w:r>
        <w:rPr>
          <w:spacing w:val="40"/>
          <w:sz w:val="20"/>
        </w:rPr>
        <w:t> </w:t>
      </w:r>
      <w:r>
        <w:rPr>
          <w:sz w:val="20"/>
        </w:rPr>
        <w:t>del</w:t>
      </w:r>
      <w:r>
        <w:rPr>
          <w:spacing w:val="40"/>
          <w:sz w:val="20"/>
        </w:rPr>
        <w:t> </w:t>
      </w:r>
      <w:r>
        <w:rPr>
          <w:sz w:val="20"/>
        </w:rPr>
        <w:t>Gobierno</w:t>
      </w:r>
      <w:r>
        <w:rPr>
          <w:spacing w:val="40"/>
          <w:sz w:val="20"/>
        </w:rPr>
        <w:t> </w:t>
      </w:r>
      <w:r>
        <w:rPr>
          <w:sz w:val="20"/>
        </w:rPr>
        <w:t>del</w:t>
      </w:r>
      <w:r>
        <w:rPr>
          <w:spacing w:val="40"/>
          <w:sz w:val="20"/>
        </w:rPr>
        <w:t> </w:t>
      </w:r>
      <w:r>
        <w:rPr>
          <w:sz w:val="20"/>
        </w:rPr>
        <w:t>Estado</w:t>
      </w:r>
      <w:r>
        <w:rPr>
          <w:spacing w:val="40"/>
          <w:sz w:val="20"/>
        </w:rPr>
        <w:t> </w:t>
      </w:r>
      <w:r>
        <w:rPr>
          <w:sz w:val="20"/>
        </w:rPr>
        <w:t>o</w:t>
      </w:r>
      <w:r>
        <w:rPr>
          <w:spacing w:val="40"/>
          <w:sz w:val="20"/>
        </w:rPr>
        <w:t> </w:t>
      </w:r>
      <w:r>
        <w:rPr>
          <w:sz w:val="20"/>
        </w:rPr>
        <w:t>del</w:t>
      </w:r>
      <w:r>
        <w:rPr>
          <w:spacing w:val="40"/>
          <w:sz w:val="20"/>
        </w:rPr>
        <w:t> </w:t>
      </w:r>
      <w:r>
        <w:rPr>
          <w:sz w:val="20"/>
        </w:rPr>
        <w:t>Ayuntamiento</w:t>
      </w:r>
      <w:r>
        <w:rPr>
          <w:spacing w:val="40"/>
          <w:sz w:val="20"/>
        </w:rPr>
        <w:t> </w:t>
      </w:r>
      <w:r>
        <w:rPr>
          <w:sz w:val="20"/>
        </w:rPr>
        <w:t>respectivo</w:t>
      </w:r>
      <w:r>
        <w:rPr>
          <w:spacing w:val="40"/>
          <w:sz w:val="20"/>
        </w:rPr>
        <w:t> </w:t>
      </w:r>
      <w:r>
        <w:rPr>
          <w:sz w:val="20"/>
        </w:rPr>
        <w:t>y</w:t>
      </w:r>
      <w:r>
        <w:rPr>
          <w:spacing w:val="40"/>
          <w:sz w:val="20"/>
        </w:rPr>
        <w:t> </w:t>
      </w:r>
      <w:r>
        <w:rPr>
          <w:sz w:val="20"/>
        </w:rPr>
        <w:t>de</w:t>
      </w:r>
      <w:r>
        <w:rPr>
          <w:spacing w:val="40"/>
          <w:sz w:val="20"/>
        </w:rPr>
        <w:t> </w:t>
      </w:r>
      <w:r>
        <w:rPr>
          <w:sz w:val="20"/>
        </w:rPr>
        <w:t>los </w:t>
      </w:r>
      <w:r>
        <w:rPr>
          <w:spacing w:val="-2"/>
          <w:sz w:val="20"/>
        </w:rPr>
        <w:t>usuarios;</w:t>
      </w:r>
    </w:p>
    <w:p>
      <w:pPr>
        <w:pStyle w:val="ListParagraph"/>
        <w:numPr>
          <w:ilvl w:val="0"/>
          <w:numId w:val="110"/>
        </w:numPr>
        <w:tabs>
          <w:tab w:pos="828" w:val="left" w:leader="none"/>
        </w:tabs>
        <w:spacing w:line="240" w:lineRule="auto" w:before="229" w:after="0"/>
        <w:ind w:left="828" w:right="0" w:hanging="566"/>
        <w:jc w:val="left"/>
        <w:rPr>
          <w:sz w:val="20"/>
        </w:rPr>
      </w:pPr>
      <w:r>
        <w:rPr>
          <w:sz w:val="20"/>
        </w:rPr>
        <w:t>Los</w:t>
      </w:r>
      <w:r>
        <w:rPr>
          <w:spacing w:val="-7"/>
          <w:sz w:val="20"/>
        </w:rPr>
        <w:t> </w:t>
      </w:r>
      <w:r>
        <w:rPr>
          <w:sz w:val="20"/>
        </w:rPr>
        <w:t>plazos</w:t>
      </w:r>
      <w:r>
        <w:rPr>
          <w:spacing w:val="-6"/>
          <w:sz w:val="20"/>
        </w:rPr>
        <w:t> </w:t>
      </w:r>
      <w:r>
        <w:rPr>
          <w:sz w:val="20"/>
        </w:rPr>
        <w:t>de</w:t>
      </w:r>
      <w:r>
        <w:rPr>
          <w:spacing w:val="-7"/>
          <w:sz w:val="20"/>
        </w:rPr>
        <w:t> </w:t>
      </w:r>
      <w:r>
        <w:rPr>
          <w:sz w:val="20"/>
        </w:rPr>
        <w:t>iniciación,</w:t>
      </w:r>
      <w:r>
        <w:rPr>
          <w:spacing w:val="-5"/>
          <w:sz w:val="20"/>
        </w:rPr>
        <w:t> </w:t>
      </w:r>
      <w:r>
        <w:rPr>
          <w:sz w:val="20"/>
        </w:rPr>
        <w:t>revisión</w:t>
      </w:r>
      <w:r>
        <w:rPr>
          <w:spacing w:val="-8"/>
          <w:sz w:val="20"/>
        </w:rPr>
        <w:t> </w:t>
      </w:r>
      <w:r>
        <w:rPr>
          <w:sz w:val="20"/>
        </w:rPr>
        <w:t>y</w:t>
      </w:r>
      <w:r>
        <w:rPr>
          <w:spacing w:val="-6"/>
          <w:sz w:val="20"/>
        </w:rPr>
        <w:t> </w:t>
      </w:r>
      <w:r>
        <w:rPr>
          <w:sz w:val="20"/>
        </w:rPr>
        <w:t>terminación</w:t>
      </w:r>
      <w:r>
        <w:rPr>
          <w:spacing w:val="-8"/>
          <w:sz w:val="20"/>
        </w:rPr>
        <w:t> </w:t>
      </w:r>
      <w:r>
        <w:rPr>
          <w:sz w:val="20"/>
        </w:rPr>
        <w:t>de</w:t>
      </w:r>
      <w:r>
        <w:rPr>
          <w:spacing w:val="-7"/>
          <w:sz w:val="20"/>
        </w:rPr>
        <w:t> </w:t>
      </w:r>
      <w:r>
        <w:rPr>
          <w:sz w:val="20"/>
        </w:rPr>
        <w:t>las</w:t>
      </w:r>
      <w:r>
        <w:rPr>
          <w:spacing w:val="-5"/>
          <w:sz w:val="20"/>
        </w:rPr>
        <w:t> </w:t>
      </w:r>
      <w:r>
        <w:rPr>
          <w:spacing w:val="-2"/>
          <w:sz w:val="20"/>
        </w:rPr>
        <w:t>obras;</w:t>
      </w:r>
    </w:p>
    <w:p>
      <w:pPr>
        <w:pStyle w:val="BodyText"/>
        <w:spacing w:before="1"/>
      </w:pPr>
    </w:p>
    <w:p>
      <w:pPr>
        <w:pStyle w:val="ListParagraph"/>
        <w:numPr>
          <w:ilvl w:val="0"/>
          <w:numId w:val="110"/>
        </w:numPr>
        <w:tabs>
          <w:tab w:pos="828" w:val="left" w:leader="none"/>
        </w:tabs>
        <w:spacing w:line="240" w:lineRule="auto" w:before="0" w:after="0"/>
        <w:ind w:left="262" w:right="288" w:firstLine="0"/>
        <w:jc w:val="left"/>
        <w:rPr>
          <w:sz w:val="20"/>
        </w:rPr>
      </w:pPr>
      <w:r>
        <w:rPr>
          <w:sz w:val="20"/>
        </w:rPr>
        <w:t>Las</w:t>
      </w:r>
      <w:r>
        <w:rPr>
          <w:spacing w:val="37"/>
          <w:sz w:val="20"/>
        </w:rPr>
        <w:t> </w:t>
      </w:r>
      <w:r>
        <w:rPr>
          <w:sz w:val="20"/>
        </w:rPr>
        <w:t>autorizaciones</w:t>
      </w:r>
      <w:r>
        <w:rPr>
          <w:spacing w:val="37"/>
          <w:sz w:val="20"/>
        </w:rPr>
        <w:t> </w:t>
      </w:r>
      <w:r>
        <w:rPr>
          <w:sz w:val="20"/>
        </w:rPr>
        <w:t>de</w:t>
      </w:r>
      <w:r>
        <w:rPr>
          <w:spacing w:val="36"/>
          <w:sz w:val="20"/>
        </w:rPr>
        <w:t> </w:t>
      </w:r>
      <w:r>
        <w:rPr>
          <w:sz w:val="20"/>
        </w:rPr>
        <w:t>impacto</w:t>
      </w:r>
      <w:r>
        <w:rPr>
          <w:spacing w:val="36"/>
          <w:sz w:val="20"/>
        </w:rPr>
        <w:t> </w:t>
      </w:r>
      <w:r>
        <w:rPr>
          <w:sz w:val="20"/>
        </w:rPr>
        <w:t>ambiental</w:t>
      </w:r>
      <w:r>
        <w:rPr>
          <w:spacing w:val="35"/>
          <w:sz w:val="20"/>
        </w:rPr>
        <w:t> </w:t>
      </w:r>
      <w:r>
        <w:rPr>
          <w:sz w:val="20"/>
        </w:rPr>
        <w:t>que</w:t>
      </w:r>
      <w:r>
        <w:rPr>
          <w:spacing w:val="35"/>
          <w:sz w:val="20"/>
        </w:rPr>
        <w:t> </w:t>
      </w:r>
      <w:r>
        <w:rPr>
          <w:sz w:val="20"/>
        </w:rPr>
        <w:t>se</w:t>
      </w:r>
      <w:r>
        <w:rPr>
          <w:spacing w:val="36"/>
          <w:sz w:val="20"/>
        </w:rPr>
        <w:t> </w:t>
      </w:r>
      <w:r>
        <w:rPr>
          <w:sz w:val="20"/>
        </w:rPr>
        <w:t>requieran</w:t>
      </w:r>
      <w:r>
        <w:rPr>
          <w:spacing w:val="36"/>
          <w:sz w:val="20"/>
        </w:rPr>
        <w:t> </w:t>
      </w:r>
      <w:r>
        <w:rPr>
          <w:sz w:val="20"/>
        </w:rPr>
        <w:t>conforme</w:t>
      </w:r>
      <w:r>
        <w:rPr>
          <w:spacing w:val="36"/>
          <w:sz w:val="20"/>
        </w:rPr>
        <w:t> </w:t>
      </w:r>
      <w:r>
        <w:rPr>
          <w:sz w:val="20"/>
        </w:rPr>
        <w:t>a</w:t>
      </w:r>
      <w:r>
        <w:rPr>
          <w:spacing w:val="37"/>
          <w:sz w:val="20"/>
        </w:rPr>
        <w:t> </w:t>
      </w:r>
      <w:r>
        <w:rPr>
          <w:sz w:val="20"/>
        </w:rPr>
        <w:t>las</w:t>
      </w:r>
      <w:r>
        <w:rPr>
          <w:spacing w:val="37"/>
          <w:sz w:val="20"/>
        </w:rPr>
        <w:t> </w:t>
      </w:r>
      <w:r>
        <w:rPr>
          <w:sz w:val="20"/>
        </w:rPr>
        <w:t>disposiciones jurídicas aplicables, y</w:t>
      </w:r>
    </w:p>
    <w:p>
      <w:pPr>
        <w:pStyle w:val="ListParagraph"/>
        <w:numPr>
          <w:ilvl w:val="0"/>
          <w:numId w:val="110"/>
        </w:numPr>
        <w:tabs>
          <w:tab w:pos="828" w:val="left" w:leader="none"/>
        </w:tabs>
        <w:spacing w:line="240" w:lineRule="auto" w:before="229" w:after="0"/>
        <w:ind w:left="828" w:right="0" w:hanging="566"/>
        <w:jc w:val="left"/>
        <w:rPr>
          <w:sz w:val="20"/>
        </w:rPr>
      </w:pPr>
      <w:r>
        <w:rPr>
          <w:sz w:val="20"/>
        </w:rPr>
        <w:t>Los</w:t>
      </w:r>
      <w:r>
        <w:rPr>
          <w:spacing w:val="-7"/>
          <w:sz w:val="20"/>
        </w:rPr>
        <w:t> </w:t>
      </w:r>
      <w:r>
        <w:rPr>
          <w:sz w:val="20"/>
        </w:rPr>
        <w:t>demás</w:t>
      </w:r>
      <w:r>
        <w:rPr>
          <w:spacing w:val="-7"/>
          <w:sz w:val="20"/>
        </w:rPr>
        <w:t> </w:t>
      </w:r>
      <w:r>
        <w:rPr>
          <w:sz w:val="20"/>
        </w:rPr>
        <w:t>que</w:t>
      </w:r>
      <w:r>
        <w:rPr>
          <w:spacing w:val="-8"/>
          <w:sz w:val="20"/>
        </w:rPr>
        <w:t> </w:t>
      </w:r>
      <w:r>
        <w:rPr>
          <w:sz w:val="20"/>
        </w:rPr>
        <w:t>establezcan</w:t>
      </w:r>
      <w:r>
        <w:rPr>
          <w:spacing w:val="-8"/>
          <w:sz w:val="20"/>
        </w:rPr>
        <w:t> </w:t>
      </w:r>
      <w:r>
        <w:rPr>
          <w:sz w:val="20"/>
        </w:rPr>
        <w:t>esta</w:t>
      </w:r>
      <w:r>
        <w:rPr>
          <w:spacing w:val="-6"/>
          <w:sz w:val="20"/>
        </w:rPr>
        <w:t> </w:t>
      </w:r>
      <w:r>
        <w:rPr>
          <w:sz w:val="20"/>
        </w:rPr>
        <w:t>Ley</w:t>
      </w:r>
      <w:r>
        <w:rPr>
          <w:spacing w:val="-6"/>
          <w:sz w:val="20"/>
        </w:rPr>
        <w:t> </w:t>
      </w:r>
      <w:r>
        <w:rPr>
          <w:sz w:val="20"/>
        </w:rPr>
        <w:t>y</w:t>
      </w:r>
      <w:r>
        <w:rPr>
          <w:spacing w:val="-7"/>
          <w:sz w:val="20"/>
        </w:rPr>
        <w:t> </w:t>
      </w:r>
      <w:r>
        <w:rPr>
          <w:sz w:val="20"/>
        </w:rPr>
        <w:t>otras</w:t>
      </w:r>
      <w:r>
        <w:rPr>
          <w:spacing w:val="-7"/>
          <w:sz w:val="20"/>
        </w:rPr>
        <w:t> </w:t>
      </w:r>
      <w:r>
        <w:rPr>
          <w:sz w:val="20"/>
        </w:rPr>
        <w:t>disposiciones</w:t>
      </w:r>
      <w:r>
        <w:rPr>
          <w:spacing w:val="-6"/>
          <w:sz w:val="20"/>
        </w:rPr>
        <w:t> </w:t>
      </w:r>
      <w:r>
        <w:rPr>
          <w:sz w:val="20"/>
        </w:rPr>
        <w:t>jurídicas</w:t>
      </w:r>
      <w:r>
        <w:rPr>
          <w:spacing w:val="-7"/>
          <w:sz w:val="20"/>
        </w:rPr>
        <w:t> </w:t>
      </w:r>
      <w:r>
        <w:rPr>
          <w:spacing w:val="-2"/>
          <w:sz w:val="20"/>
        </w:rPr>
        <w:t>aplicables.</w:t>
      </w:r>
    </w:p>
    <w:p>
      <w:pPr>
        <w:pStyle w:val="BodyText"/>
        <w:spacing w:before="1"/>
      </w:pPr>
    </w:p>
    <w:p>
      <w:pPr>
        <w:pStyle w:val="BodyText"/>
        <w:ind w:left="262"/>
      </w:pPr>
      <w:r>
        <w:rPr>
          <w:rFonts w:ascii="Arial" w:hAnsi="Arial"/>
          <w:b/>
        </w:rPr>
        <w:t>ARTÍCULO 314. </w:t>
      </w:r>
      <w:r>
        <w:rPr/>
        <w:t>Para el análisis y resolución de la solicitud a que se refiere el artículo anterior, la Dirección Municipal correspondiente tomará en consideración los siguientes aspectos:</w:t>
      </w:r>
    </w:p>
    <w:p>
      <w:pPr>
        <w:pStyle w:val="BodyText"/>
        <w:spacing w:before="1"/>
      </w:pPr>
    </w:p>
    <w:p>
      <w:pPr>
        <w:pStyle w:val="ListParagraph"/>
        <w:numPr>
          <w:ilvl w:val="0"/>
          <w:numId w:val="111"/>
        </w:numPr>
        <w:tabs>
          <w:tab w:pos="689" w:val="left" w:leader="none"/>
        </w:tabs>
        <w:spacing w:line="240" w:lineRule="auto" w:before="0" w:after="0"/>
        <w:ind w:left="689" w:right="0" w:hanging="427"/>
        <w:jc w:val="left"/>
        <w:rPr>
          <w:sz w:val="20"/>
        </w:rPr>
      </w:pPr>
      <w:r>
        <w:rPr>
          <w:sz w:val="20"/>
        </w:rPr>
        <w:t>Distribución</w:t>
      </w:r>
      <w:r>
        <w:rPr>
          <w:spacing w:val="-6"/>
          <w:sz w:val="20"/>
        </w:rPr>
        <w:t> </w:t>
      </w:r>
      <w:r>
        <w:rPr>
          <w:sz w:val="20"/>
        </w:rPr>
        <w:t>y</w:t>
      </w:r>
      <w:r>
        <w:rPr>
          <w:spacing w:val="-7"/>
          <w:sz w:val="20"/>
        </w:rPr>
        <w:t> </w:t>
      </w:r>
      <w:r>
        <w:rPr>
          <w:sz w:val="20"/>
        </w:rPr>
        <w:t>densidad</w:t>
      </w:r>
      <w:r>
        <w:rPr>
          <w:spacing w:val="-8"/>
          <w:sz w:val="20"/>
        </w:rPr>
        <w:t> </w:t>
      </w:r>
      <w:r>
        <w:rPr>
          <w:sz w:val="20"/>
        </w:rPr>
        <w:t>de</w:t>
      </w:r>
      <w:r>
        <w:rPr>
          <w:spacing w:val="-4"/>
          <w:sz w:val="20"/>
        </w:rPr>
        <w:t> </w:t>
      </w:r>
      <w:r>
        <w:rPr>
          <w:sz w:val="20"/>
        </w:rPr>
        <w:t>población,</w:t>
      </w:r>
      <w:r>
        <w:rPr>
          <w:spacing w:val="-8"/>
          <w:sz w:val="20"/>
        </w:rPr>
        <w:t> </w:t>
      </w:r>
      <w:r>
        <w:rPr>
          <w:sz w:val="20"/>
        </w:rPr>
        <w:t>construcción</w:t>
      </w:r>
      <w:r>
        <w:rPr>
          <w:spacing w:val="-9"/>
          <w:sz w:val="20"/>
        </w:rPr>
        <w:t> </w:t>
      </w:r>
      <w:r>
        <w:rPr>
          <w:sz w:val="20"/>
        </w:rPr>
        <w:t>y</w:t>
      </w:r>
      <w:r>
        <w:rPr>
          <w:spacing w:val="-7"/>
          <w:sz w:val="20"/>
        </w:rPr>
        <w:t> </w:t>
      </w:r>
      <w:r>
        <w:rPr>
          <w:sz w:val="20"/>
        </w:rPr>
        <w:t>utilización</w:t>
      </w:r>
      <w:r>
        <w:rPr>
          <w:spacing w:val="-7"/>
          <w:sz w:val="20"/>
        </w:rPr>
        <w:t> </w:t>
      </w:r>
      <w:r>
        <w:rPr>
          <w:sz w:val="20"/>
        </w:rPr>
        <w:t>del</w:t>
      </w:r>
      <w:r>
        <w:rPr>
          <w:spacing w:val="-9"/>
          <w:sz w:val="20"/>
        </w:rPr>
        <w:t> </w:t>
      </w:r>
      <w:r>
        <w:rPr>
          <w:sz w:val="20"/>
        </w:rPr>
        <w:t>suelo</w:t>
      </w:r>
      <w:r>
        <w:rPr>
          <w:spacing w:val="-6"/>
          <w:sz w:val="20"/>
        </w:rPr>
        <w:t> </w:t>
      </w:r>
      <w:r>
        <w:rPr>
          <w:sz w:val="20"/>
        </w:rPr>
        <w:t>en</w:t>
      </w:r>
      <w:r>
        <w:rPr>
          <w:spacing w:val="-7"/>
          <w:sz w:val="20"/>
        </w:rPr>
        <w:t> </w:t>
      </w:r>
      <w:r>
        <w:rPr>
          <w:sz w:val="20"/>
        </w:rPr>
        <w:t>la</w:t>
      </w:r>
      <w:r>
        <w:rPr>
          <w:spacing w:val="-8"/>
          <w:sz w:val="20"/>
        </w:rPr>
        <w:t> </w:t>
      </w:r>
      <w:r>
        <w:rPr>
          <w:spacing w:val="-2"/>
          <w:sz w:val="20"/>
        </w:rPr>
        <w:t>zona;</w:t>
      </w:r>
    </w:p>
    <w:p>
      <w:pPr>
        <w:pStyle w:val="ListParagraph"/>
        <w:numPr>
          <w:ilvl w:val="0"/>
          <w:numId w:val="111"/>
        </w:numPr>
        <w:tabs>
          <w:tab w:pos="689" w:val="left" w:leader="none"/>
        </w:tabs>
        <w:spacing w:line="240" w:lineRule="auto" w:before="229" w:after="0"/>
        <w:ind w:left="689" w:right="0" w:hanging="427"/>
        <w:jc w:val="left"/>
        <w:rPr>
          <w:sz w:val="20"/>
        </w:rPr>
      </w:pPr>
      <w:r>
        <w:rPr>
          <w:sz w:val="20"/>
        </w:rPr>
        <w:t>Vinculación</w:t>
      </w:r>
      <w:r>
        <w:rPr>
          <w:spacing w:val="-6"/>
          <w:sz w:val="20"/>
        </w:rPr>
        <w:t> </w:t>
      </w:r>
      <w:r>
        <w:rPr>
          <w:sz w:val="20"/>
        </w:rPr>
        <w:t>a</w:t>
      </w:r>
      <w:r>
        <w:rPr>
          <w:spacing w:val="-7"/>
          <w:sz w:val="20"/>
        </w:rPr>
        <w:t> </w:t>
      </w:r>
      <w:r>
        <w:rPr>
          <w:sz w:val="20"/>
        </w:rPr>
        <w:t>la</w:t>
      </w:r>
      <w:r>
        <w:rPr>
          <w:spacing w:val="-7"/>
          <w:sz w:val="20"/>
        </w:rPr>
        <w:t> </w:t>
      </w:r>
      <w:r>
        <w:rPr>
          <w:sz w:val="20"/>
        </w:rPr>
        <w:t>traza</w:t>
      </w:r>
      <w:r>
        <w:rPr>
          <w:spacing w:val="-5"/>
          <w:sz w:val="20"/>
        </w:rPr>
        <w:t> </w:t>
      </w:r>
      <w:r>
        <w:rPr>
          <w:spacing w:val="-2"/>
          <w:sz w:val="20"/>
        </w:rPr>
        <w:t>urbana;</w:t>
      </w:r>
    </w:p>
    <w:p>
      <w:pPr>
        <w:pStyle w:val="BodyText"/>
      </w:pPr>
    </w:p>
    <w:p>
      <w:pPr>
        <w:pStyle w:val="ListParagraph"/>
        <w:numPr>
          <w:ilvl w:val="0"/>
          <w:numId w:val="111"/>
        </w:numPr>
        <w:tabs>
          <w:tab w:pos="689" w:val="left" w:leader="none"/>
        </w:tabs>
        <w:spacing w:line="240" w:lineRule="auto" w:before="1" w:after="0"/>
        <w:ind w:left="689" w:right="0" w:hanging="427"/>
        <w:jc w:val="left"/>
        <w:rPr>
          <w:sz w:val="20"/>
        </w:rPr>
      </w:pPr>
      <w:r>
        <w:rPr>
          <w:sz w:val="20"/>
        </w:rPr>
        <w:t>Distribución</w:t>
      </w:r>
      <w:r>
        <w:rPr>
          <w:spacing w:val="-6"/>
          <w:sz w:val="20"/>
        </w:rPr>
        <w:t> </w:t>
      </w:r>
      <w:r>
        <w:rPr>
          <w:sz w:val="20"/>
        </w:rPr>
        <w:t>de</w:t>
      </w:r>
      <w:r>
        <w:rPr>
          <w:spacing w:val="-7"/>
          <w:sz w:val="20"/>
        </w:rPr>
        <w:t> </w:t>
      </w:r>
      <w:r>
        <w:rPr>
          <w:sz w:val="20"/>
        </w:rPr>
        <w:t>la</w:t>
      </w:r>
      <w:r>
        <w:rPr>
          <w:spacing w:val="-5"/>
          <w:sz w:val="20"/>
        </w:rPr>
        <w:t> </w:t>
      </w:r>
      <w:r>
        <w:rPr>
          <w:sz w:val="20"/>
        </w:rPr>
        <w:t>demanda</w:t>
      </w:r>
      <w:r>
        <w:rPr>
          <w:spacing w:val="-6"/>
          <w:sz w:val="20"/>
        </w:rPr>
        <w:t> </w:t>
      </w:r>
      <w:r>
        <w:rPr>
          <w:sz w:val="20"/>
        </w:rPr>
        <w:t>de</w:t>
      </w:r>
      <w:r>
        <w:rPr>
          <w:spacing w:val="-8"/>
          <w:sz w:val="20"/>
        </w:rPr>
        <w:t> </w:t>
      </w:r>
      <w:r>
        <w:rPr>
          <w:sz w:val="20"/>
        </w:rPr>
        <w:t>bienes</w:t>
      </w:r>
      <w:r>
        <w:rPr>
          <w:spacing w:val="-6"/>
          <w:sz w:val="20"/>
        </w:rPr>
        <w:t> </w:t>
      </w:r>
      <w:r>
        <w:rPr>
          <w:sz w:val="20"/>
        </w:rPr>
        <w:t>y</w:t>
      </w:r>
      <w:r>
        <w:rPr>
          <w:spacing w:val="-7"/>
          <w:sz w:val="20"/>
        </w:rPr>
        <w:t> </w:t>
      </w:r>
      <w:r>
        <w:rPr>
          <w:sz w:val="20"/>
        </w:rPr>
        <w:t>servicios,</w:t>
      </w:r>
      <w:r>
        <w:rPr>
          <w:spacing w:val="-7"/>
          <w:sz w:val="20"/>
        </w:rPr>
        <w:t> </w:t>
      </w:r>
      <w:r>
        <w:rPr>
          <w:sz w:val="20"/>
        </w:rPr>
        <w:t>especificando</w:t>
      </w:r>
      <w:r>
        <w:rPr>
          <w:spacing w:val="-6"/>
          <w:sz w:val="20"/>
        </w:rPr>
        <w:t> </w:t>
      </w:r>
      <w:r>
        <w:rPr>
          <w:sz w:val="20"/>
        </w:rPr>
        <w:t>la</w:t>
      </w:r>
      <w:r>
        <w:rPr>
          <w:spacing w:val="-7"/>
          <w:sz w:val="20"/>
        </w:rPr>
        <w:t> </w:t>
      </w:r>
      <w:r>
        <w:rPr>
          <w:sz w:val="20"/>
        </w:rPr>
        <w:t>zona</w:t>
      </w:r>
      <w:r>
        <w:rPr>
          <w:spacing w:val="-7"/>
          <w:sz w:val="20"/>
        </w:rPr>
        <w:t> </w:t>
      </w:r>
      <w:r>
        <w:rPr>
          <w:sz w:val="20"/>
        </w:rPr>
        <w:t>que</w:t>
      </w:r>
      <w:r>
        <w:rPr>
          <w:spacing w:val="-5"/>
          <w:sz w:val="20"/>
        </w:rPr>
        <w:t> </w:t>
      </w:r>
      <w:r>
        <w:rPr>
          <w:sz w:val="20"/>
        </w:rPr>
        <w:t>no</w:t>
      </w:r>
      <w:r>
        <w:rPr>
          <w:spacing w:val="-7"/>
          <w:sz w:val="20"/>
        </w:rPr>
        <w:t> </w:t>
      </w:r>
      <w:r>
        <w:rPr>
          <w:sz w:val="20"/>
        </w:rPr>
        <w:t>esté</w:t>
      </w:r>
      <w:r>
        <w:rPr>
          <w:spacing w:val="-8"/>
          <w:sz w:val="20"/>
        </w:rPr>
        <w:t> </w:t>
      </w:r>
      <w:r>
        <w:rPr>
          <w:spacing w:val="-2"/>
          <w:sz w:val="20"/>
        </w:rPr>
        <w:t>cubierta;</w:t>
      </w:r>
    </w:p>
    <w:p>
      <w:pPr>
        <w:pStyle w:val="ListParagraph"/>
        <w:numPr>
          <w:ilvl w:val="0"/>
          <w:numId w:val="111"/>
        </w:numPr>
        <w:tabs>
          <w:tab w:pos="688" w:val="left" w:leader="none"/>
        </w:tabs>
        <w:spacing w:line="240" w:lineRule="auto" w:before="228" w:after="0"/>
        <w:ind w:left="262" w:right="284" w:firstLine="0"/>
        <w:jc w:val="left"/>
        <w:rPr>
          <w:sz w:val="20"/>
        </w:rPr>
      </w:pPr>
      <w:r>
        <w:rPr>
          <w:sz w:val="20"/>
        </w:rPr>
        <w:t>Distribución equitativa de los bienes y servicios en relación con los habitantes del centro de</w:t>
      </w:r>
      <w:r>
        <w:rPr>
          <w:spacing w:val="40"/>
          <w:sz w:val="20"/>
        </w:rPr>
        <w:t> </w:t>
      </w:r>
      <w:r>
        <w:rPr>
          <w:spacing w:val="-2"/>
          <w:sz w:val="20"/>
        </w:rPr>
        <w:t>población;</w:t>
      </w:r>
    </w:p>
    <w:p>
      <w:pPr>
        <w:pStyle w:val="BodyText"/>
        <w:spacing w:before="2"/>
      </w:pPr>
    </w:p>
    <w:p>
      <w:pPr>
        <w:pStyle w:val="ListParagraph"/>
        <w:numPr>
          <w:ilvl w:val="0"/>
          <w:numId w:val="111"/>
        </w:numPr>
        <w:tabs>
          <w:tab w:pos="689" w:val="left" w:leader="none"/>
        </w:tabs>
        <w:spacing w:line="240" w:lineRule="auto" w:before="0" w:after="0"/>
        <w:ind w:left="689" w:right="0" w:hanging="427"/>
        <w:jc w:val="left"/>
        <w:rPr>
          <w:sz w:val="20"/>
        </w:rPr>
      </w:pPr>
      <w:r>
        <w:rPr>
          <w:sz w:val="20"/>
        </w:rPr>
        <w:t>Determinación</w:t>
      </w:r>
      <w:r>
        <w:rPr>
          <w:spacing w:val="-11"/>
          <w:sz w:val="20"/>
        </w:rPr>
        <w:t> </w:t>
      </w:r>
      <w:r>
        <w:rPr>
          <w:sz w:val="20"/>
        </w:rPr>
        <w:t>de</w:t>
      </w:r>
      <w:r>
        <w:rPr>
          <w:spacing w:val="-12"/>
          <w:sz w:val="20"/>
        </w:rPr>
        <w:t> </w:t>
      </w:r>
      <w:r>
        <w:rPr>
          <w:sz w:val="20"/>
        </w:rPr>
        <w:t>corredores</w:t>
      </w:r>
      <w:r>
        <w:rPr>
          <w:spacing w:val="-10"/>
          <w:sz w:val="20"/>
        </w:rPr>
        <w:t> </w:t>
      </w:r>
      <w:r>
        <w:rPr>
          <w:spacing w:val="-2"/>
          <w:sz w:val="20"/>
        </w:rPr>
        <w:t>urbanos;</w:t>
      </w:r>
    </w:p>
    <w:p>
      <w:pPr>
        <w:pStyle w:val="BodyText"/>
      </w:pPr>
    </w:p>
    <w:p>
      <w:pPr>
        <w:pStyle w:val="ListParagraph"/>
        <w:numPr>
          <w:ilvl w:val="0"/>
          <w:numId w:val="111"/>
        </w:numPr>
        <w:tabs>
          <w:tab w:pos="688" w:val="left" w:leader="none"/>
        </w:tabs>
        <w:spacing w:line="240" w:lineRule="auto" w:before="1" w:after="0"/>
        <w:ind w:left="688" w:right="0" w:hanging="426"/>
        <w:jc w:val="left"/>
        <w:rPr>
          <w:sz w:val="20"/>
        </w:rPr>
      </w:pPr>
      <w:r>
        <w:rPr>
          <w:sz w:val="20"/>
        </w:rPr>
        <w:t>Procedimiento</w:t>
      </w:r>
      <w:r>
        <w:rPr>
          <w:spacing w:val="-9"/>
          <w:sz w:val="20"/>
        </w:rPr>
        <w:t> </w:t>
      </w:r>
      <w:r>
        <w:rPr>
          <w:sz w:val="20"/>
        </w:rPr>
        <w:t>para</w:t>
      </w:r>
      <w:r>
        <w:rPr>
          <w:spacing w:val="-9"/>
          <w:sz w:val="20"/>
        </w:rPr>
        <w:t> </w:t>
      </w:r>
      <w:r>
        <w:rPr>
          <w:sz w:val="20"/>
        </w:rPr>
        <w:t>su</w:t>
      </w:r>
      <w:r>
        <w:rPr>
          <w:spacing w:val="-8"/>
          <w:sz w:val="20"/>
        </w:rPr>
        <w:t> </w:t>
      </w:r>
      <w:r>
        <w:rPr>
          <w:spacing w:val="-2"/>
          <w:sz w:val="20"/>
        </w:rPr>
        <w:t>realización;</w:t>
      </w:r>
    </w:p>
    <w:p>
      <w:pPr>
        <w:pStyle w:val="ListParagraph"/>
        <w:numPr>
          <w:ilvl w:val="0"/>
          <w:numId w:val="111"/>
        </w:numPr>
        <w:tabs>
          <w:tab w:pos="688" w:val="left" w:leader="none"/>
        </w:tabs>
        <w:spacing w:line="240" w:lineRule="auto" w:before="228" w:after="0"/>
        <w:ind w:left="688" w:right="0" w:hanging="426"/>
        <w:jc w:val="left"/>
        <w:rPr>
          <w:sz w:val="20"/>
        </w:rPr>
      </w:pPr>
      <w:r>
        <w:rPr>
          <w:sz w:val="20"/>
        </w:rPr>
        <w:t>Medios</w:t>
      </w:r>
      <w:r>
        <w:rPr>
          <w:spacing w:val="-6"/>
          <w:sz w:val="20"/>
        </w:rPr>
        <w:t> </w:t>
      </w:r>
      <w:r>
        <w:rPr>
          <w:sz w:val="20"/>
        </w:rPr>
        <w:t>para</w:t>
      </w:r>
      <w:r>
        <w:rPr>
          <w:spacing w:val="-7"/>
          <w:sz w:val="20"/>
        </w:rPr>
        <w:t> </w:t>
      </w:r>
      <w:r>
        <w:rPr>
          <w:sz w:val="20"/>
        </w:rPr>
        <w:t>la</w:t>
      </w:r>
      <w:r>
        <w:rPr>
          <w:spacing w:val="-7"/>
          <w:sz w:val="20"/>
        </w:rPr>
        <w:t> </w:t>
      </w:r>
      <w:r>
        <w:rPr>
          <w:sz w:val="20"/>
        </w:rPr>
        <w:t>satisfacción</w:t>
      </w:r>
      <w:r>
        <w:rPr>
          <w:spacing w:val="-5"/>
          <w:sz w:val="20"/>
        </w:rPr>
        <w:t> </w:t>
      </w:r>
      <w:r>
        <w:rPr>
          <w:sz w:val="20"/>
        </w:rPr>
        <w:t>de</w:t>
      </w:r>
      <w:r>
        <w:rPr>
          <w:spacing w:val="-6"/>
          <w:sz w:val="20"/>
        </w:rPr>
        <w:t> </w:t>
      </w:r>
      <w:r>
        <w:rPr>
          <w:sz w:val="20"/>
        </w:rPr>
        <w:t>la</w:t>
      </w:r>
      <w:r>
        <w:rPr>
          <w:spacing w:val="-7"/>
          <w:sz w:val="20"/>
        </w:rPr>
        <w:t> </w:t>
      </w:r>
      <w:r>
        <w:rPr>
          <w:spacing w:val="-2"/>
          <w:sz w:val="20"/>
        </w:rPr>
        <w:t>demanda;</w:t>
      </w:r>
    </w:p>
    <w:p>
      <w:pPr>
        <w:pStyle w:val="BodyText"/>
        <w:spacing w:before="1"/>
      </w:pPr>
    </w:p>
    <w:p>
      <w:pPr>
        <w:pStyle w:val="ListParagraph"/>
        <w:numPr>
          <w:ilvl w:val="0"/>
          <w:numId w:val="111"/>
        </w:numPr>
        <w:tabs>
          <w:tab w:pos="688" w:val="left" w:leader="none"/>
        </w:tabs>
        <w:spacing w:line="240" w:lineRule="auto" w:before="0" w:after="0"/>
        <w:ind w:left="688" w:right="0" w:hanging="426"/>
        <w:jc w:val="left"/>
        <w:rPr>
          <w:sz w:val="20"/>
        </w:rPr>
      </w:pPr>
      <w:r>
        <w:rPr>
          <w:sz w:val="20"/>
        </w:rPr>
        <w:t>Régimen</w:t>
      </w:r>
      <w:r>
        <w:rPr>
          <w:spacing w:val="-9"/>
          <w:sz w:val="20"/>
        </w:rPr>
        <w:t> </w:t>
      </w:r>
      <w:r>
        <w:rPr>
          <w:sz w:val="20"/>
        </w:rPr>
        <w:t>financiero</w:t>
      </w:r>
      <w:r>
        <w:rPr>
          <w:spacing w:val="-6"/>
          <w:sz w:val="20"/>
        </w:rPr>
        <w:t> </w:t>
      </w:r>
      <w:r>
        <w:rPr>
          <w:sz w:val="20"/>
        </w:rPr>
        <w:t>para</w:t>
      </w:r>
      <w:r>
        <w:rPr>
          <w:spacing w:val="-7"/>
          <w:sz w:val="20"/>
        </w:rPr>
        <w:t> </w:t>
      </w:r>
      <w:r>
        <w:rPr>
          <w:sz w:val="20"/>
        </w:rPr>
        <w:t>la</w:t>
      </w:r>
      <w:r>
        <w:rPr>
          <w:spacing w:val="-7"/>
          <w:sz w:val="20"/>
        </w:rPr>
        <w:t> </w:t>
      </w:r>
      <w:r>
        <w:rPr>
          <w:sz w:val="20"/>
        </w:rPr>
        <w:t>ejecución</w:t>
      </w:r>
      <w:r>
        <w:rPr>
          <w:spacing w:val="-7"/>
          <w:sz w:val="20"/>
        </w:rPr>
        <w:t> </w:t>
      </w:r>
      <w:r>
        <w:rPr>
          <w:sz w:val="20"/>
        </w:rPr>
        <w:t>de</w:t>
      </w:r>
      <w:r>
        <w:rPr>
          <w:spacing w:val="-8"/>
          <w:sz w:val="20"/>
        </w:rPr>
        <w:t> </w:t>
      </w:r>
      <w:r>
        <w:rPr>
          <w:sz w:val="20"/>
        </w:rPr>
        <w:t>la</w:t>
      </w:r>
      <w:r>
        <w:rPr>
          <w:spacing w:val="-8"/>
          <w:sz w:val="20"/>
        </w:rPr>
        <w:t> </w:t>
      </w:r>
      <w:r>
        <w:rPr>
          <w:spacing w:val="-2"/>
          <w:sz w:val="20"/>
        </w:rPr>
        <w:t>obra;</w:t>
      </w:r>
    </w:p>
    <w:p>
      <w:pPr>
        <w:pStyle w:val="BodyText"/>
        <w:spacing w:before="1"/>
      </w:pPr>
    </w:p>
    <w:p>
      <w:pPr>
        <w:pStyle w:val="ListParagraph"/>
        <w:numPr>
          <w:ilvl w:val="0"/>
          <w:numId w:val="111"/>
        </w:numPr>
        <w:tabs>
          <w:tab w:pos="688" w:val="left" w:leader="none"/>
        </w:tabs>
        <w:spacing w:line="240" w:lineRule="auto" w:before="0" w:after="0"/>
        <w:ind w:left="688" w:right="0" w:hanging="426"/>
        <w:jc w:val="left"/>
        <w:rPr>
          <w:sz w:val="20"/>
        </w:rPr>
      </w:pPr>
      <w:r>
        <w:rPr>
          <w:sz w:val="20"/>
        </w:rPr>
        <w:t>El</w:t>
      </w:r>
      <w:r>
        <w:rPr>
          <w:spacing w:val="-7"/>
          <w:sz w:val="20"/>
        </w:rPr>
        <w:t> </w:t>
      </w:r>
      <w:r>
        <w:rPr>
          <w:sz w:val="20"/>
        </w:rPr>
        <w:t>impacto</w:t>
      </w:r>
      <w:r>
        <w:rPr>
          <w:spacing w:val="-6"/>
          <w:sz w:val="20"/>
        </w:rPr>
        <w:t> </w:t>
      </w:r>
      <w:r>
        <w:rPr>
          <w:sz w:val="20"/>
        </w:rPr>
        <w:t>ambiental</w:t>
      </w:r>
      <w:r>
        <w:rPr>
          <w:spacing w:val="-8"/>
          <w:sz w:val="20"/>
        </w:rPr>
        <w:t> </w:t>
      </w:r>
      <w:r>
        <w:rPr>
          <w:sz w:val="20"/>
        </w:rPr>
        <w:t>y</w:t>
      </w:r>
      <w:r>
        <w:rPr>
          <w:spacing w:val="-7"/>
          <w:sz w:val="20"/>
        </w:rPr>
        <w:t> </w:t>
      </w:r>
      <w:r>
        <w:rPr>
          <w:sz w:val="20"/>
        </w:rPr>
        <w:t>urbano,</w:t>
      </w:r>
      <w:r>
        <w:rPr>
          <w:spacing w:val="-8"/>
          <w:sz w:val="20"/>
        </w:rPr>
        <w:t> </w:t>
      </w:r>
      <w:r>
        <w:rPr>
          <w:spacing w:val="-10"/>
          <w:sz w:val="20"/>
        </w:rPr>
        <w:t>y</w:t>
      </w:r>
    </w:p>
    <w:p>
      <w:pPr>
        <w:pStyle w:val="ListParagraph"/>
        <w:numPr>
          <w:ilvl w:val="0"/>
          <w:numId w:val="111"/>
        </w:numPr>
        <w:tabs>
          <w:tab w:pos="689" w:val="left" w:leader="none"/>
        </w:tabs>
        <w:spacing w:line="240" w:lineRule="auto" w:before="228" w:after="0"/>
        <w:ind w:left="262" w:right="289" w:firstLine="0"/>
        <w:jc w:val="left"/>
        <w:rPr>
          <w:sz w:val="20"/>
        </w:rPr>
      </w:pPr>
      <w:r>
        <w:rPr>
          <w:sz w:val="20"/>
        </w:rPr>
        <w:t>La estructura vial, el sistema de transporte y estacionamientos; así como las otras redes tales como las de electricidad, telefonía, gas, agua potable y drenaje sanitario y pluvial.</w:t>
      </w:r>
    </w:p>
    <w:p>
      <w:pPr>
        <w:pStyle w:val="BodyText"/>
      </w:pPr>
    </w:p>
    <w:p>
      <w:pPr>
        <w:pStyle w:val="BodyText"/>
        <w:spacing w:before="2"/>
      </w:pPr>
    </w:p>
    <w:p>
      <w:pPr>
        <w:pStyle w:val="Heading2"/>
        <w:ind w:right="17"/>
      </w:pPr>
      <w:r>
        <w:rPr/>
        <w:t>Capítulo</w:t>
      </w:r>
      <w:r>
        <w:rPr>
          <w:spacing w:val="-8"/>
        </w:rPr>
        <w:t> </w:t>
      </w:r>
      <w:r>
        <w:rPr>
          <w:spacing w:val="-5"/>
        </w:rPr>
        <w:t>III</w:t>
      </w:r>
    </w:p>
    <w:p>
      <w:pPr>
        <w:spacing w:line="480" w:lineRule="auto" w:before="229"/>
        <w:ind w:left="262" w:right="282" w:firstLine="703"/>
        <w:jc w:val="left"/>
        <w:rPr>
          <w:sz w:val="20"/>
        </w:rPr>
      </w:pPr>
      <w:r>
        <w:rPr>
          <w:rFonts w:ascii="Arial" w:hAnsi="Arial"/>
          <w:b/>
          <w:sz w:val="20"/>
        </w:rPr>
        <w:t>Normas</w:t>
      </w:r>
      <w:r>
        <w:rPr>
          <w:rFonts w:ascii="Arial" w:hAnsi="Arial"/>
          <w:b/>
          <w:spacing w:val="-8"/>
          <w:sz w:val="20"/>
        </w:rPr>
        <w:t> </w:t>
      </w:r>
      <w:r>
        <w:rPr>
          <w:rFonts w:ascii="Arial" w:hAnsi="Arial"/>
          <w:b/>
          <w:sz w:val="20"/>
        </w:rPr>
        <w:t>Generales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Construcción,</w:t>
      </w:r>
      <w:r>
        <w:rPr>
          <w:rFonts w:ascii="Arial" w:hAnsi="Arial"/>
          <w:b/>
          <w:spacing w:val="-6"/>
          <w:sz w:val="20"/>
        </w:rPr>
        <w:t> </w:t>
      </w:r>
      <w:r>
        <w:rPr>
          <w:rFonts w:ascii="Arial" w:hAnsi="Arial"/>
          <w:b/>
          <w:sz w:val="20"/>
        </w:rPr>
        <w:t>Diseño,</w:t>
      </w:r>
      <w:r>
        <w:rPr>
          <w:rFonts w:ascii="Arial" w:hAnsi="Arial"/>
          <w:b/>
          <w:spacing w:val="-6"/>
          <w:sz w:val="20"/>
        </w:rPr>
        <w:t> </w:t>
      </w:r>
      <w:r>
        <w:rPr>
          <w:rFonts w:ascii="Arial" w:hAnsi="Arial"/>
          <w:b/>
          <w:sz w:val="20"/>
        </w:rPr>
        <w:t>Infraestructura</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Sustentabilidad ARTÍCULO 315. </w:t>
      </w:r>
      <w:r>
        <w:rPr>
          <w:sz w:val="20"/>
        </w:rPr>
        <w:t>Las construcciones deberán ajustarse a las normas generales siguientes:</w:t>
      </w:r>
    </w:p>
    <w:p>
      <w:pPr>
        <w:pStyle w:val="ListParagraph"/>
        <w:numPr>
          <w:ilvl w:val="0"/>
          <w:numId w:val="112"/>
        </w:numPr>
        <w:tabs>
          <w:tab w:pos="543" w:val="left" w:leader="none"/>
        </w:tabs>
        <w:spacing w:line="229" w:lineRule="exact" w:before="0" w:after="0"/>
        <w:ind w:left="543" w:right="0" w:hanging="281"/>
        <w:jc w:val="left"/>
        <w:rPr>
          <w:sz w:val="20"/>
        </w:rPr>
      </w:pPr>
      <w:r>
        <w:rPr>
          <w:sz w:val="20"/>
        </w:rPr>
        <w:t>De</w:t>
      </w:r>
      <w:r>
        <w:rPr>
          <w:spacing w:val="-5"/>
          <w:sz w:val="20"/>
        </w:rPr>
        <w:t> </w:t>
      </w:r>
      <w:r>
        <w:rPr>
          <w:spacing w:val="-2"/>
          <w:sz w:val="20"/>
        </w:rPr>
        <w:t>construcción:</w:t>
      </w:r>
    </w:p>
    <w:p>
      <w:pPr>
        <w:pStyle w:val="BodyText"/>
      </w:pPr>
    </w:p>
    <w:p>
      <w:pPr>
        <w:pStyle w:val="ListParagraph"/>
        <w:numPr>
          <w:ilvl w:val="1"/>
          <w:numId w:val="112"/>
        </w:numPr>
        <w:tabs>
          <w:tab w:pos="544" w:val="left" w:leader="none"/>
        </w:tabs>
        <w:spacing w:line="240" w:lineRule="auto" w:before="1" w:after="0"/>
        <w:ind w:left="262" w:right="287" w:firstLine="0"/>
        <w:jc w:val="left"/>
        <w:rPr>
          <w:rFonts w:ascii="Arial" w:hAnsi="Arial"/>
          <w:b/>
          <w:sz w:val="20"/>
        </w:rPr>
      </w:pPr>
      <w:r>
        <w:rPr>
          <w:sz w:val="20"/>
        </w:rPr>
        <w:t>Toda</w:t>
      </w:r>
      <w:r>
        <w:rPr>
          <w:spacing w:val="-8"/>
          <w:sz w:val="20"/>
        </w:rPr>
        <w:t> </w:t>
      </w:r>
      <w:r>
        <w:rPr>
          <w:sz w:val="20"/>
        </w:rPr>
        <w:t>edificación</w:t>
      </w:r>
      <w:r>
        <w:rPr>
          <w:spacing w:val="-8"/>
          <w:sz w:val="20"/>
        </w:rPr>
        <w:t> </w:t>
      </w:r>
      <w:r>
        <w:rPr>
          <w:sz w:val="20"/>
        </w:rPr>
        <w:t>requerirá</w:t>
      </w:r>
      <w:r>
        <w:rPr>
          <w:spacing w:val="-8"/>
          <w:sz w:val="20"/>
        </w:rPr>
        <w:t> </w:t>
      </w:r>
      <w:r>
        <w:rPr>
          <w:sz w:val="20"/>
        </w:rPr>
        <w:t>de</w:t>
      </w:r>
      <w:r>
        <w:rPr>
          <w:spacing w:val="-8"/>
          <w:sz w:val="20"/>
        </w:rPr>
        <w:t> </w:t>
      </w:r>
      <w:r>
        <w:rPr>
          <w:sz w:val="20"/>
        </w:rPr>
        <w:t>la</w:t>
      </w:r>
      <w:r>
        <w:rPr>
          <w:spacing w:val="-8"/>
          <w:sz w:val="20"/>
        </w:rPr>
        <w:t> </w:t>
      </w:r>
      <w:r>
        <w:rPr>
          <w:sz w:val="20"/>
        </w:rPr>
        <w:t>licencia</w:t>
      </w:r>
      <w:r>
        <w:rPr>
          <w:spacing w:val="-8"/>
          <w:sz w:val="20"/>
        </w:rPr>
        <w:t> </w:t>
      </w:r>
      <w:r>
        <w:rPr>
          <w:sz w:val="20"/>
        </w:rPr>
        <w:t>municipal</w:t>
      </w:r>
      <w:r>
        <w:rPr>
          <w:spacing w:val="-8"/>
          <w:sz w:val="20"/>
        </w:rPr>
        <w:t> </w:t>
      </w:r>
      <w:r>
        <w:rPr>
          <w:sz w:val="20"/>
        </w:rPr>
        <w:t>de</w:t>
      </w:r>
      <w:r>
        <w:rPr>
          <w:spacing w:val="-8"/>
          <w:sz w:val="20"/>
        </w:rPr>
        <w:t> </w:t>
      </w:r>
      <w:r>
        <w:rPr>
          <w:sz w:val="20"/>
        </w:rPr>
        <w:t>construcción,</w:t>
      </w:r>
      <w:r>
        <w:rPr>
          <w:spacing w:val="-8"/>
          <w:sz w:val="20"/>
        </w:rPr>
        <w:t> </w:t>
      </w:r>
      <w:r>
        <w:rPr>
          <w:sz w:val="20"/>
        </w:rPr>
        <w:t>salvo</w:t>
      </w:r>
      <w:r>
        <w:rPr>
          <w:spacing w:val="-8"/>
          <w:sz w:val="20"/>
        </w:rPr>
        <w:t> </w:t>
      </w:r>
      <w:r>
        <w:rPr>
          <w:sz w:val="20"/>
        </w:rPr>
        <w:t>los</w:t>
      </w:r>
      <w:r>
        <w:rPr>
          <w:spacing w:val="-8"/>
          <w:sz w:val="20"/>
        </w:rPr>
        <w:t> </w:t>
      </w:r>
      <w:r>
        <w:rPr>
          <w:sz w:val="20"/>
        </w:rPr>
        <w:t>casos</w:t>
      </w:r>
      <w:r>
        <w:rPr>
          <w:spacing w:val="-8"/>
          <w:sz w:val="20"/>
        </w:rPr>
        <w:t> </w:t>
      </w:r>
      <w:r>
        <w:rPr>
          <w:sz w:val="20"/>
        </w:rPr>
        <w:t>de</w:t>
      </w:r>
      <w:r>
        <w:rPr>
          <w:spacing w:val="-8"/>
          <w:sz w:val="20"/>
        </w:rPr>
        <w:t> </w:t>
      </w:r>
      <w:r>
        <w:rPr>
          <w:sz w:val="20"/>
        </w:rPr>
        <w:t>excepción que señale esta Ley y demás disposiciones jurídicas aplicables.</w:t>
      </w:r>
    </w:p>
    <w:p>
      <w:pPr>
        <w:pStyle w:val="ListParagraph"/>
        <w:spacing w:after="0" w:line="240" w:lineRule="auto"/>
        <w:jc w:val="left"/>
        <w:rPr>
          <w:rFonts w:ascii="Arial" w:hAnsi="Arial"/>
          <w:b/>
          <w:sz w:val="20"/>
        </w:rPr>
        <w:sectPr>
          <w:pgSz w:w="12240" w:h="15840"/>
          <w:pgMar w:header="720" w:footer="697" w:top="2100" w:bottom="880" w:left="1440" w:right="1440"/>
        </w:sectPr>
      </w:pPr>
    </w:p>
    <w:p>
      <w:pPr>
        <w:pStyle w:val="BodyText"/>
      </w:pPr>
    </w:p>
    <w:p>
      <w:pPr>
        <w:pStyle w:val="BodyText"/>
        <w:spacing w:before="71"/>
      </w:pPr>
    </w:p>
    <w:p>
      <w:pPr>
        <w:pStyle w:val="ListParagraph"/>
        <w:numPr>
          <w:ilvl w:val="1"/>
          <w:numId w:val="112"/>
        </w:numPr>
        <w:tabs>
          <w:tab w:pos="544" w:val="left" w:leader="none"/>
        </w:tabs>
        <w:spacing w:line="240" w:lineRule="auto" w:before="0" w:after="0"/>
        <w:ind w:left="262" w:right="287" w:firstLine="0"/>
        <w:jc w:val="both"/>
        <w:rPr>
          <w:rFonts w:ascii="Arial" w:hAnsi="Arial"/>
          <w:b/>
          <w:sz w:val="20"/>
        </w:rPr>
      </w:pPr>
      <w:r>
        <w:rPr>
          <w:sz w:val="20"/>
        </w:rPr>
        <w:t>Cumplirán</w:t>
      </w:r>
      <w:r>
        <w:rPr>
          <w:spacing w:val="-5"/>
          <w:sz w:val="20"/>
        </w:rPr>
        <w:t> </w:t>
      </w:r>
      <w:r>
        <w:rPr>
          <w:sz w:val="20"/>
        </w:rPr>
        <w:t>los</w:t>
      </w:r>
      <w:r>
        <w:rPr>
          <w:spacing w:val="-4"/>
          <w:sz w:val="20"/>
        </w:rPr>
        <w:t> </w:t>
      </w:r>
      <w:r>
        <w:rPr>
          <w:sz w:val="20"/>
        </w:rPr>
        <w:t>requisitos</w:t>
      </w:r>
      <w:r>
        <w:rPr>
          <w:spacing w:val="-2"/>
          <w:sz w:val="20"/>
        </w:rPr>
        <w:t> </w:t>
      </w:r>
      <w:r>
        <w:rPr>
          <w:sz w:val="20"/>
        </w:rPr>
        <w:t>de</w:t>
      </w:r>
      <w:r>
        <w:rPr>
          <w:spacing w:val="-3"/>
          <w:sz w:val="20"/>
        </w:rPr>
        <w:t> </w:t>
      </w:r>
      <w:r>
        <w:rPr>
          <w:sz w:val="20"/>
        </w:rPr>
        <w:t>seguridad</w:t>
      </w:r>
      <w:r>
        <w:rPr>
          <w:spacing w:val="-4"/>
          <w:sz w:val="20"/>
        </w:rPr>
        <w:t> </w:t>
      </w:r>
      <w:r>
        <w:rPr>
          <w:sz w:val="20"/>
        </w:rPr>
        <w:t>estructural</w:t>
      </w:r>
      <w:r>
        <w:rPr>
          <w:spacing w:val="-4"/>
          <w:sz w:val="20"/>
        </w:rPr>
        <w:t> </w:t>
      </w:r>
      <w:r>
        <w:rPr>
          <w:sz w:val="20"/>
        </w:rPr>
        <w:t>que</w:t>
      </w:r>
      <w:r>
        <w:rPr>
          <w:spacing w:val="-3"/>
          <w:sz w:val="20"/>
        </w:rPr>
        <w:t> </w:t>
      </w:r>
      <w:r>
        <w:rPr>
          <w:sz w:val="20"/>
        </w:rPr>
        <w:t>les</w:t>
      </w:r>
      <w:r>
        <w:rPr>
          <w:spacing w:val="-4"/>
          <w:sz w:val="20"/>
        </w:rPr>
        <w:t> </w:t>
      </w:r>
      <w:r>
        <w:rPr>
          <w:sz w:val="20"/>
        </w:rPr>
        <w:t>permitan</w:t>
      </w:r>
      <w:r>
        <w:rPr>
          <w:spacing w:val="-6"/>
          <w:sz w:val="20"/>
        </w:rPr>
        <w:t> </w:t>
      </w:r>
      <w:r>
        <w:rPr>
          <w:sz w:val="20"/>
        </w:rPr>
        <w:t>satisfacer</w:t>
      </w:r>
      <w:r>
        <w:rPr>
          <w:spacing w:val="-2"/>
          <w:sz w:val="20"/>
        </w:rPr>
        <w:t> </w:t>
      </w:r>
      <w:r>
        <w:rPr>
          <w:sz w:val="20"/>
        </w:rPr>
        <w:t>los</w:t>
      </w:r>
      <w:r>
        <w:rPr>
          <w:spacing w:val="-4"/>
          <w:sz w:val="20"/>
        </w:rPr>
        <w:t> </w:t>
      </w:r>
      <w:r>
        <w:rPr>
          <w:sz w:val="20"/>
        </w:rPr>
        <w:t>usos</w:t>
      </w:r>
      <w:r>
        <w:rPr>
          <w:spacing w:val="-4"/>
          <w:sz w:val="20"/>
        </w:rPr>
        <w:t> </w:t>
      </w:r>
      <w:r>
        <w:rPr>
          <w:sz w:val="20"/>
        </w:rPr>
        <w:t>o</w:t>
      </w:r>
      <w:r>
        <w:rPr>
          <w:spacing w:val="-6"/>
          <w:sz w:val="20"/>
        </w:rPr>
        <w:t> </w:t>
      </w:r>
      <w:r>
        <w:rPr>
          <w:sz w:val="20"/>
        </w:rPr>
        <w:t>destinos para los cuales fueron proyectados.</w:t>
      </w:r>
    </w:p>
    <w:p>
      <w:pPr>
        <w:pStyle w:val="BodyText"/>
        <w:spacing w:before="1"/>
      </w:pPr>
    </w:p>
    <w:p>
      <w:pPr>
        <w:pStyle w:val="ListParagraph"/>
        <w:numPr>
          <w:ilvl w:val="1"/>
          <w:numId w:val="112"/>
        </w:numPr>
        <w:tabs>
          <w:tab w:pos="544" w:val="left" w:leader="none"/>
        </w:tabs>
        <w:spacing w:line="240" w:lineRule="auto" w:before="0" w:after="0"/>
        <w:ind w:left="262" w:right="288" w:firstLine="0"/>
        <w:jc w:val="both"/>
        <w:rPr>
          <w:rFonts w:ascii="Arial" w:hAnsi="Arial"/>
          <w:b/>
          <w:sz w:val="20"/>
        </w:rPr>
      </w:pPr>
      <w:r>
        <w:rPr>
          <w:sz w:val="20"/>
        </w:rPr>
        <w:t>La</w:t>
      </w:r>
      <w:r>
        <w:rPr>
          <w:spacing w:val="-4"/>
          <w:sz w:val="20"/>
        </w:rPr>
        <w:t> </w:t>
      </w:r>
      <w:r>
        <w:rPr>
          <w:sz w:val="20"/>
        </w:rPr>
        <w:t>vivienda</w:t>
      </w:r>
      <w:r>
        <w:rPr>
          <w:spacing w:val="-3"/>
          <w:sz w:val="20"/>
        </w:rPr>
        <w:t> </w:t>
      </w:r>
      <w:r>
        <w:rPr>
          <w:sz w:val="20"/>
        </w:rPr>
        <w:t>unifamiliar</w:t>
      </w:r>
      <w:r>
        <w:rPr>
          <w:spacing w:val="-2"/>
          <w:sz w:val="20"/>
        </w:rPr>
        <w:t> </w:t>
      </w:r>
      <w:r>
        <w:rPr>
          <w:sz w:val="20"/>
        </w:rPr>
        <w:t>tendrán</w:t>
      </w:r>
      <w:r>
        <w:rPr>
          <w:spacing w:val="-4"/>
          <w:sz w:val="20"/>
        </w:rPr>
        <w:t> </w:t>
      </w:r>
      <w:r>
        <w:rPr>
          <w:sz w:val="20"/>
        </w:rPr>
        <w:t>la</w:t>
      </w:r>
      <w:r>
        <w:rPr>
          <w:spacing w:val="-3"/>
          <w:sz w:val="20"/>
        </w:rPr>
        <w:t> </w:t>
      </w:r>
      <w:r>
        <w:rPr>
          <w:sz w:val="20"/>
        </w:rPr>
        <w:t>superficie</w:t>
      </w:r>
      <w:r>
        <w:rPr>
          <w:spacing w:val="-3"/>
          <w:sz w:val="20"/>
        </w:rPr>
        <w:t> </w:t>
      </w:r>
      <w:r>
        <w:rPr>
          <w:sz w:val="20"/>
        </w:rPr>
        <w:t>que</w:t>
      </w:r>
      <w:r>
        <w:rPr>
          <w:spacing w:val="-1"/>
          <w:sz w:val="20"/>
        </w:rPr>
        <w:t> </w:t>
      </w:r>
      <w:r>
        <w:rPr>
          <w:sz w:val="20"/>
        </w:rPr>
        <w:t>determinen</w:t>
      </w:r>
      <w:r>
        <w:rPr>
          <w:spacing w:val="-1"/>
          <w:sz w:val="20"/>
        </w:rPr>
        <w:t> </w:t>
      </w:r>
      <w:r>
        <w:rPr>
          <w:sz w:val="20"/>
        </w:rPr>
        <w:t>los programas</w:t>
      </w:r>
      <w:r>
        <w:rPr>
          <w:spacing w:val="-2"/>
          <w:sz w:val="20"/>
        </w:rPr>
        <w:t> </w:t>
      </w:r>
      <w:r>
        <w:rPr>
          <w:sz w:val="20"/>
        </w:rPr>
        <w:t>sociales</w:t>
      </w:r>
      <w:r>
        <w:rPr>
          <w:spacing w:val="-2"/>
          <w:sz w:val="20"/>
        </w:rPr>
        <w:t> </w:t>
      </w:r>
      <w:r>
        <w:rPr>
          <w:sz w:val="20"/>
        </w:rPr>
        <w:t>respectivos, y los espacios con las dimensiones que fueren necesarias para el cumplimiento de las funciones previstas para cada tipo de vivienda.</w:t>
      </w:r>
    </w:p>
    <w:p>
      <w:pPr>
        <w:pStyle w:val="ListParagraph"/>
        <w:numPr>
          <w:ilvl w:val="1"/>
          <w:numId w:val="112"/>
        </w:numPr>
        <w:tabs>
          <w:tab w:pos="544" w:val="left" w:leader="none"/>
        </w:tabs>
        <w:spacing w:line="240" w:lineRule="auto" w:before="229" w:after="0"/>
        <w:ind w:left="262" w:right="286" w:firstLine="0"/>
        <w:jc w:val="both"/>
        <w:rPr>
          <w:rFonts w:ascii="Arial" w:hAnsi="Arial"/>
          <w:b/>
          <w:sz w:val="20"/>
        </w:rPr>
      </w:pPr>
      <w:r>
        <w:rPr>
          <w:sz w:val="20"/>
        </w:rPr>
        <w:t>Se</w:t>
      </w:r>
      <w:r>
        <w:rPr>
          <w:spacing w:val="-4"/>
          <w:sz w:val="20"/>
        </w:rPr>
        <w:t> </w:t>
      </w:r>
      <w:r>
        <w:rPr>
          <w:sz w:val="20"/>
        </w:rPr>
        <w:t>procurará</w:t>
      </w:r>
      <w:r>
        <w:rPr>
          <w:spacing w:val="-4"/>
          <w:sz w:val="20"/>
        </w:rPr>
        <w:t> </w:t>
      </w:r>
      <w:r>
        <w:rPr>
          <w:sz w:val="20"/>
        </w:rPr>
        <w:t>que</w:t>
      </w:r>
      <w:r>
        <w:rPr>
          <w:spacing w:val="-4"/>
          <w:sz w:val="20"/>
        </w:rPr>
        <w:t> </w:t>
      </w:r>
      <w:r>
        <w:rPr>
          <w:sz w:val="20"/>
        </w:rPr>
        <w:t>se</w:t>
      </w:r>
      <w:r>
        <w:rPr>
          <w:spacing w:val="-4"/>
          <w:sz w:val="20"/>
        </w:rPr>
        <w:t> </w:t>
      </w:r>
      <w:r>
        <w:rPr>
          <w:sz w:val="20"/>
        </w:rPr>
        <w:t>construyan</w:t>
      </w:r>
      <w:r>
        <w:rPr>
          <w:spacing w:val="-5"/>
          <w:sz w:val="20"/>
        </w:rPr>
        <w:t> </w:t>
      </w:r>
      <w:r>
        <w:rPr>
          <w:sz w:val="20"/>
        </w:rPr>
        <w:t>con</w:t>
      </w:r>
      <w:r>
        <w:rPr>
          <w:spacing w:val="-3"/>
          <w:sz w:val="20"/>
        </w:rPr>
        <w:t> </w:t>
      </w:r>
      <w:r>
        <w:rPr>
          <w:sz w:val="20"/>
        </w:rPr>
        <w:t>materiales,</w:t>
      </w:r>
      <w:r>
        <w:rPr>
          <w:spacing w:val="-4"/>
          <w:sz w:val="20"/>
        </w:rPr>
        <w:t> </w:t>
      </w:r>
      <w:r>
        <w:rPr>
          <w:sz w:val="20"/>
        </w:rPr>
        <w:t>instalaciones</w:t>
      </w:r>
      <w:r>
        <w:rPr>
          <w:spacing w:val="-3"/>
          <w:sz w:val="20"/>
        </w:rPr>
        <w:t> </w:t>
      </w:r>
      <w:r>
        <w:rPr>
          <w:sz w:val="20"/>
        </w:rPr>
        <w:t>y</w:t>
      </w:r>
      <w:r>
        <w:rPr>
          <w:spacing w:val="-3"/>
          <w:sz w:val="20"/>
        </w:rPr>
        <w:t> </w:t>
      </w:r>
      <w:r>
        <w:rPr>
          <w:sz w:val="20"/>
        </w:rPr>
        <w:t>equipos</w:t>
      </w:r>
      <w:r>
        <w:rPr>
          <w:spacing w:val="-3"/>
          <w:sz w:val="20"/>
        </w:rPr>
        <w:t> </w:t>
      </w:r>
      <w:r>
        <w:rPr>
          <w:sz w:val="20"/>
        </w:rPr>
        <w:t>que</w:t>
      </w:r>
      <w:r>
        <w:rPr>
          <w:spacing w:val="-5"/>
          <w:sz w:val="20"/>
        </w:rPr>
        <w:t> </w:t>
      </w:r>
      <w:r>
        <w:rPr>
          <w:sz w:val="20"/>
        </w:rPr>
        <w:t>permitan</w:t>
      </w:r>
      <w:r>
        <w:rPr>
          <w:spacing w:val="-4"/>
          <w:sz w:val="20"/>
        </w:rPr>
        <w:t> </w:t>
      </w:r>
      <w:r>
        <w:rPr>
          <w:sz w:val="20"/>
        </w:rPr>
        <w:t>prevenir</w:t>
      </w:r>
      <w:r>
        <w:rPr>
          <w:spacing w:val="-3"/>
          <w:sz w:val="20"/>
        </w:rPr>
        <w:t> </w:t>
      </w:r>
      <w:r>
        <w:rPr>
          <w:sz w:val="20"/>
        </w:rPr>
        <w:t>y combatir los riesgos de incendio.</w:t>
      </w:r>
    </w:p>
    <w:p>
      <w:pPr>
        <w:pStyle w:val="BodyText"/>
        <w:spacing w:before="2"/>
      </w:pPr>
    </w:p>
    <w:p>
      <w:pPr>
        <w:pStyle w:val="ListParagraph"/>
        <w:numPr>
          <w:ilvl w:val="1"/>
          <w:numId w:val="112"/>
        </w:numPr>
        <w:tabs>
          <w:tab w:pos="544" w:val="left" w:leader="none"/>
        </w:tabs>
        <w:spacing w:line="240" w:lineRule="auto" w:before="0" w:after="0"/>
        <w:ind w:left="262" w:right="287" w:firstLine="0"/>
        <w:jc w:val="both"/>
        <w:rPr>
          <w:rFonts w:ascii="Arial" w:hAnsi="Arial"/>
          <w:b/>
          <w:sz w:val="20"/>
        </w:rPr>
      </w:pPr>
      <w:r>
        <w:rPr>
          <w:sz w:val="20"/>
        </w:rPr>
        <w:t>Se procurará que se construyan con materiales, instalaciones y equipos que permitan la sostenibilidad de la obra.</w:t>
      </w:r>
    </w:p>
    <w:p>
      <w:pPr>
        <w:pStyle w:val="ListParagraph"/>
        <w:numPr>
          <w:ilvl w:val="1"/>
          <w:numId w:val="112"/>
        </w:numPr>
        <w:tabs>
          <w:tab w:pos="543" w:val="left" w:leader="none"/>
        </w:tabs>
        <w:spacing w:line="240" w:lineRule="auto" w:before="229" w:after="0"/>
        <w:ind w:left="543" w:right="0" w:hanging="281"/>
        <w:jc w:val="both"/>
        <w:rPr>
          <w:rFonts w:ascii="Arial" w:hAnsi="Arial"/>
          <w:b/>
          <w:sz w:val="20"/>
        </w:rPr>
      </w:pPr>
      <w:r>
        <w:rPr>
          <w:sz w:val="20"/>
        </w:rPr>
        <w:t>Toda</w:t>
      </w:r>
      <w:r>
        <w:rPr>
          <w:spacing w:val="-8"/>
          <w:sz w:val="20"/>
        </w:rPr>
        <w:t> </w:t>
      </w:r>
      <w:r>
        <w:rPr>
          <w:sz w:val="20"/>
        </w:rPr>
        <w:t>construcción</w:t>
      </w:r>
      <w:r>
        <w:rPr>
          <w:spacing w:val="-8"/>
          <w:sz w:val="20"/>
        </w:rPr>
        <w:t> </w:t>
      </w:r>
      <w:r>
        <w:rPr>
          <w:sz w:val="20"/>
        </w:rPr>
        <w:t>que</w:t>
      </w:r>
      <w:r>
        <w:rPr>
          <w:spacing w:val="-7"/>
          <w:sz w:val="20"/>
        </w:rPr>
        <w:t> </w:t>
      </w:r>
      <w:r>
        <w:rPr>
          <w:sz w:val="20"/>
        </w:rPr>
        <w:t>se</w:t>
      </w:r>
      <w:r>
        <w:rPr>
          <w:spacing w:val="-8"/>
          <w:sz w:val="20"/>
        </w:rPr>
        <w:t> </w:t>
      </w:r>
      <w:r>
        <w:rPr>
          <w:sz w:val="20"/>
        </w:rPr>
        <w:t>concluya</w:t>
      </w:r>
      <w:r>
        <w:rPr>
          <w:spacing w:val="-7"/>
          <w:sz w:val="20"/>
        </w:rPr>
        <w:t> </w:t>
      </w:r>
      <w:r>
        <w:rPr>
          <w:sz w:val="20"/>
        </w:rPr>
        <w:t>requerirá</w:t>
      </w:r>
      <w:r>
        <w:rPr>
          <w:spacing w:val="-7"/>
          <w:sz w:val="20"/>
        </w:rPr>
        <w:t> </w:t>
      </w:r>
      <w:r>
        <w:rPr>
          <w:sz w:val="20"/>
        </w:rPr>
        <w:t>de</w:t>
      </w:r>
      <w:r>
        <w:rPr>
          <w:spacing w:val="-7"/>
          <w:sz w:val="20"/>
        </w:rPr>
        <w:t> </w:t>
      </w:r>
      <w:r>
        <w:rPr>
          <w:sz w:val="20"/>
        </w:rPr>
        <w:t>constancia</w:t>
      </w:r>
      <w:r>
        <w:rPr>
          <w:spacing w:val="-5"/>
          <w:sz w:val="20"/>
        </w:rPr>
        <w:t> </w:t>
      </w:r>
      <w:r>
        <w:rPr>
          <w:sz w:val="20"/>
        </w:rPr>
        <w:t>o</w:t>
      </w:r>
      <w:r>
        <w:rPr>
          <w:spacing w:val="-7"/>
          <w:sz w:val="20"/>
        </w:rPr>
        <w:t> </w:t>
      </w:r>
      <w:r>
        <w:rPr>
          <w:sz w:val="20"/>
        </w:rPr>
        <w:t>aviso</w:t>
      </w:r>
      <w:r>
        <w:rPr>
          <w:spacing w:val="-5"/>
          <w:sz w:val="20"/>
        </w:rPr>
        <w:t> </w:t>
      </w:r>
      <w:r>
        <w:rPr>
          <w:sz w:val="20"/>
        </w:rPr>
        <w:t>de</w:t>
      </w:r>
      <w:r>
        <w:rPr>
          <w:spacing w:val="-7"/>
          <w:sz w:val="20"/>
        </w:rPr>
        <w:t> </w:t>
      </w:r>
      <w:r>
        <w:rPr>
          <w:sz w:val="20"/>
        </w:rPr>
        <w:t>terminación</w:t>
      </w:r>
      <w:r>
        <w:rPr>
          <w:spacing w:val="-7"/>
          <w:sz w:val="20"/>
        </w:rPr>
        <w:t> </w:t>
      </w:r>
      <w:r>
        <w:rPr>
          <w:sz w:val="20"/>
        </w:rPr>
        <w:t>de</w:t>
      </w:r>
      <w:r>
        <w:rPr>
          <w:spacing w:val="-5"/>
          <w:sz w:val="20"/>
        </w:rPr>
        <w:t> </w:t>
      </w:r>
      <w:r>
        <w:rPr>
          <w:spacing w:val="-2"/>
          <w:sz w:val="20"/>
        </w:rPr>
        <w:t>obra.</w:t>
      </w:r>
    </w:p>
    <w:p>
      <w:pPr>
        <w:pStyle w:val="BodyText"/>
        <w:spacing w:before="1"/>
      </w:pPr>
    </w:p>
    <w:p>
      <w:pPr>
        <w:pStyle w:val="ListParagraph"/>
        <w:numPr>
          <w:ilvl w:val="1"/>
          <w:numId w:val="112"/>
        </w:numPr>
        <w:tabs>
          <w:tab w:pos="544" w:val="left" w:leader="none"/>
        </w:tabs>
        <w:spacing w:line="240" w:lineRule="auto" w:before="0" w:after="0"/>
        <w:ind w:left="262" w:right="286" w:firstLine="0"/>
        <w:jc w:val="both"/>
        <w:rPr>
          <w:rFonts w:ascii="Arial" w:hAnsi="Arial"/>
          <w:b/>
          <w:sz w:val="20"/>
        </w:rPr>
      </w:pPr>
      <w:r>
        <w:rPr>
          <w:sz w:val="20"/>
        </w:rPr>
        <w:t>Los locales comerciales y de servicios tendrán las dimensiones mínimas que fueren necesarias para el cumplimiento de las funciones previstas para cada tipo de local, según las disposiciones jurídicas aplicables;</w:t>
      </w:r>
    </w:p>
    <w:p>
      <w:pPr>
        <w:pStyle w:val="ListParagraph"/>
        <w:numPr>
          <w:ilvl w:val="0"/>
          <w:numId w:val="112"/>
        </w:numPr>
        <w:tabs>
          <w:tab w:pos="543" w:val="left" w:leader="none"/>
        </w:tabs>
        <w:spacing w:line="240" w:lineRule="auto" w:before="229" w:after="0"/>
        <w:ind w:left="543" w:right="0" w:hanging="281"/>
        <w:jc w:val="both"/>
        <w:rPr>
          <w:sz w:val="20"/>
        </w:rPr>
      </w:pPr>
      <w:r>
        <w:rPr>
          <w:sz w:val="20"/>
        </w:rPr>
        <w:t>De</w:t>
      </w:r>
      <w:r>
        <w:rPr>
          <w:spacing w:val="-5"/>
          <w:sz w:val="20"/>
        </w:rPr>
        <w:t> </w:t>
      </w:r>
      <w:r>
        <w:rPr>
          <w:spacing w:val="-2"/>
          <w:sz w:val="20"/>
        </w:rPr>
        <w:t>diseño:</w:t>
      </w:r>
    </w:p>
    <w:p>
      <w:pPr>
        <w:pStyle w:val="BodyText"/>
        <w:spacing w:before="1"/>
      </w:pPr>
    </w:p>
    <w:p>
      <w:pPr>
        <w:pStyle w:val="ListParagraph"/>
        <w:numPr>
          <w:ilvl w:val="1"/>
          <w:numId w:val="112"/>
        </w:numPr>
        <w:tabs>
          <w:tab w:pos="544" w:val="left" w:leader="none"/>
        </w:tabs>
        <w:spacing w:line="240" w:lineRule="auto" w:before="0" w:after="0"/>
        <w:ind w:left="262" w:right="286" w:firstLine="0"/>
        <w:jc w:val="both"/>
        <w:rPr>
          <w:rFonts w:ascii="Arial" w:hAnsi="Arial"/>
          <w:b/>
          <w:sz w:val="20"/>
        </w:rPr>
      </w:pPr>
      <w:r>
        <w:rPr>
          <w:sz w:val="20"/>
        </w:rPr>
        <w:t>Se sujetarán a las superficies edificables, áreas libres y número de pisos permitidos en la zona, de conformidad con las densidades de población y construcción previstas en los programas de ordenamiento territorial y desarrollo urbano aplicables.</w:t>
      </w:r>
    </w:p>
    <w:p>
      <w:pPr>
        <w:pStyle w:val="BodyText"/>
      </w:pPr>
    </w:p>
    <w:p>
      <w:pPr>
        <w:pStyle w:val="ListParagraph"/>
        <w:numPr>
          <w:ilvl w:val="1"/>
          <w:numId w:val="112"/>
        </w:numPr>
        <w:tabs>
          <w:tab w:pos="544" w:val="left" w:leader="none"/>
        </w:tabs>
        <w:spacing w:line="240" w:lineRule="auto" w:before="0" w:after="0"/>
        <w:ind w:left="544" w:right="0" w:hanging="282"/>
        <w:jc w:val="both"/>
        <w:rPr>
          <w:rFonts w:ascii="Arial" w:hAnsi="Arial"/>
          <w:b/>
          <w:sz w:val="20"/>
        </w:rPr>
      </w:pPr>
      <w:r>
        <w:rPr>
          <w:sz w:val="20"/>
        </w:rPr>
        <w:t>Las</w:t>
      </w:r>
      <w:r>
        <w:rPr>
          <w:spacing w:val="-10"/>
          <w:sz w:val="20"/>
        </w:rPr>
        <w:t> </w:t>
      </w:r>
      <w:r>
        <w:rPr>
          <w:sz w:val="20"/>
        </w:rPr>
        <w:t>edificaciones</w:t>
      </w:r>
      <w:r>
        <w:rPr>
          <w:spacing w:val="-9"/>
          <w:sz w:val="20"/>
        </w:rPr>
        <w:t> </w:t>
      </w:r>
      <w:r>
        <w:rPr>
          <w:sz w:val="20"/>
        </w:rPr>
        <w:t>que</w:t>
      </w:r>
      <w:r>
        <w:rPr>
          <w:spacing w:val="-10"/>
          <w:sz w:val="20"/>
        </w:rPr>
        <w:t> </w:t>
      </w:r>
      <w:r>
        <w:rPr>
          <w:sz w:val="20"/>
        </w:rPr>
        <w:t>rebasen</w:t>
      </w:r>
      <w:r>
        <w:rPr>
          <w:spacing w:val="-10"/>
          <w:sz w:val="20"/>
        </w:rPr>
        <w:t> </w:t>
      </w:r>
      <w:r>
        <w:rPr>
          <w:sz w:val="20"/>
        </w:rPr>
        <w:t>cuatro</w:t>
      </w:r>
      <w:r>
        <w:rPr>
          <w:spacing w:val="-9"/>
          <w:sz w:val="20"/>
        </w:rPr>
        <w:t> </w:t>
      </w:r>
      <w:r>
        <w:rPr>
          <w:sz w:val="20"/>
        </w:rPr>
        <w:t>niveles</w:t>
      </w:r>
      <w:r>
        <w:rPr>
          <w:spacing w:val="-9"/>
          <w:sz w:val="20"/>
        </w:rPr>
        <w:t> </w:t>
      </w:r>
      <w:r>
        <w:rPr>
          <w:sz w:val="20"/>
        </w:rPr>
        <w:t>deberán</w:t>
      </w:r>
      <w:r>
        <w:rPr>
          <w:spacing w:val="-8"/>
          <w:sz w:val="20"/>
        </w:rPr>
        <w:t> </w:t>
      </w:r>
      <w:r>
        <w:rPr>
          <w:sz w:val="20"/>
        </w:rPr>
        <w:t>contar</w:t>
      </w:r>
      <w:r>
        <w:rPr>
          <w:spacing w:val="-10"/>
          <w:sz w:val="20"/>
        </w:rPr>
        <w:t> </w:t>
      </w:r>
      <w:r>
        <w:rPr>
          <w:sz w:val="20"/>
        </w:rPr>
        <w:t>obligatoriamente</w:t>
      </w:r>
      <w:r>
        <w:rPr>
          <w:spacing w:val="-11"/>
          <w:sz w:val="20"/>
        </w:rPr>
        <w:t> </w:t>
      </w:r>
      <w:r>
        <w:rPr>
          <w:sz w:val="20"/>
        </w:rPr>
        <w:t>con</w:t>
      </w:r>
      <w:r>
        <w:rPr>
          <w:spacing w:val="-10"/>
          <w:sz w:val="20"/>
        </w:rPr>
        <w:t> </w:t>
      </w:r>
      <w:r>
        <w:rPr>
          <w:spacing w:val="-2"/>
          <w:sz w:val="20"/>
        </w:rPr>
        <w:t>elevador.</w:t>
      </w:r>
    </w:p>
    <w:p>
      <w:pPr>
        <w:pStyle w:val="BodyText"/>
      </w:pPr>
    </w:p>
    <w:p>
      <w:pPr>
        <w:pStyle w:val="ListParagraph"/>
        <w:numPr>
          <w:ilvl w:val="1"/>
          <w:numId w:val="112"/>
        </w:numPr>
        <w:tabs>
          <w:tab w:pos="544" w:val="left" w:leader="none"/>
        </w:tabs>
        <w:spacing w:line="240" w:lineRule="auto" w:before="1" w:after="0"/>
        <w:ind w:left="262" w:right="277" w:firstLine="0"/>
        <w:jc w:val="both"/>
        <w:rPr>
          <w:rFonts w:ascii="Arial" w:hAnsi="Arial"/>
          <w:b/>
          <w:sz w:val="20"/>
        </w:rPr>
      </w:pPr>
      <w:r>
        <w:rPr>
          <w:sz w:val="20"/>
        </w:rPr>
        <w:t>Se ajustarán a las restricciones correspondientes, debiendo el titular de la licencia de construcción respetar el alineamiento, la traza urbana y demás características o limitaciones previstas en la licencia</w:t>
      </w:r>
      <w:r>
        <w:rPr>
          <w:spacing w:val="-1"/>
          <w:sz w:val="20"/>
        </w:rPr>
        <w:t> </w:t>
      </w:r>
      <w:r>
        <w:rPr>
          <w:sz w:val="20"/>
        </w:rPr>
        <w:t>de uso</w:t>
      </w:r>
      <w:r>
        <w:rPr>
          <w:spacing w:val="-1"/>
          <w:sz w:val="20"/>
        </w:rPr>
        <w:t> </w:t>
      </w:r>
      <w:r>
        <w:rPr>
          <w:sz w:val="20"/>
        </w:rPr>
        <w:t>de</w:t>
      </w:r>
      <w:r>
        <w:rPr>
          <w:spacing w:val="-2"/>
          <w:sz w:val="20"/>
        </w:rPr>
        <w:t> </w:t>
      </w:r>
      <w:r>
        <w:rPr>
          <w:sz w:val="20"/>
        </w:rPr>
        <w:t>suelo,</w:t>
      </w:r>
      <w:r>
        <w:rPr>
          <w:spacing w:val="-1"/>
          <w:sz w:val="20"/>
        </w:rPr>
        <w:t> </w:t>
      </w:r>
      <w:r>
        <w:rPr>
          <w:sz w:val="20"/>
        </w:rPr>
        <w:t>la</w:t>
      </w:r>
      <w:r>
        <w:rPr>
          <w:spacing w:val="-1"/>
          <w:sz w:val="20"/>
        </w:rPr>
        <w:t> </w:t>
      </w:r>
      <w:r>
        <w:rPr>
          <w:sz w:val="20"/>
        </w:rPr>
        <w:t>cual deberá</w:t>
      </w:r>
      <w:r>
        <w:rPr>
          <w:spacing w:val="-1"/>
          <w:sz w:val="20"/>
        </w:rPr>
        <w:t> </w:t>
      </w:r>
      <w:r>
        <w:rPr>
          <w:sz w:val="20"/>
        </w:rPr>
        <w:t>acompañarse</w:t>
      </w:r>
      <w:r>
        <w:rPr>
          <w:spacing w:val="-1"/>
          <w:sz w:val="20"/>
        </w:rPr>
        <w:t> </w:t>
      </w:r>
      <w:r>
        <w:rPr>
          <w:sz w:val="20"/>
        </w:rPr>
        <w:t>a</w:t>
      </w:r>
      <w:r>
        <w:rPr>
          <w:spacing w:val="-1"/>
          <w:sz w:val="20"/>
        </w:rPr>
        <w:t> </w:t>
      </w:r>
      <w:r>
        <w:rPr>
          <w:sz w:val="20"/>
        </w:rPr>
        <w:t>toda</w:t>
      </w:r>
      <w:r>
        <w:rPr>
          <w:spacing w:val="-2"/>
          <w:sz w:val="20"/>
        </w:rPr>
        <w:t> </w:t>
      </w:r>
      <w:r>
        <w:rPr>
          <w:sz w:val="20"/>
        </w:rPr>
        <w:t>solicitud de licencia</w:t>
      </w:r>
      <w:r>
        <w:rPr>
          <w:spacing w:val="-1"/>
          <w:sz w:val="20"/>
        </w:rPr>
        <w:t> </w:t>
      </w:r>
      <w:r>
        <w:rPr>
          <w:sz w:val="20"/>
        </w:rPr>
        <w:t>de </w:t>
      </w:r>
      <w:r>
        <w:rPr>
          <w:spacing w:val="-2"/>
          <w:sz w:val="20"/>
        </w:rPr>
        <w:t>construcción.</w:t>
      </w:r>
    </w:p>
    <w:p>
      <w:pPr>
        <w:pStyle w:val="ListParagraph"/>
        <w:numPr>
          <w:ilvl w:val="1"/>
          <w:numId w:val="112"/>
        </w:numPr>
        <w:tabs>
          <w:tab w:pos="544" w:val="left" w:leader="none"/>
        </w:tabs>
        <w:spacing w:line="240" w:lineRule="auto" w:before="229" w:after="0"/>
        <w:ind w:left="262" w:right="285" w:firstLine="0"/>
        <w:jc w:val="both"/>
        <w:rPr>
          <w:rFonts w:ascii="Arial" w:hAnsi="Arial"/>
          <w:b/>
          <w:sz w:val="20"/>
        </w:rPr>
      </w:pPr>
      <w:r>
        <w:rPr>
          <w:sz w:val="20"/>
        </w:rPr>
        <w:t>Dispondrán de lugares de estacionamiento de vehículos preferentemente dentro del propio predio, en la cantidad que señalen tanto los programas de desarrollo urbano, esta Ley y demás disposiciones jurídicas aplicables, atendiendo a lo dispuesto en el Artículo 280 de esta Ley.</w:t>
      </w:r>
    </w:p>
    <w:p>
      <w:pPr>
        <w:pStyle w:val="ListParagraph"/>
        <w:numPr>
          <w:ilvl w:val="1"/>
          <w:numId w:val="112"/>
        </w:numPr>
        <w:tabs>
          <w:tab w:pos="544" w:val="left" w:leader="none"/>
        </w:tabs>
        <w:spacing w:line="240" w:lineRule="auto" w:before="230" w:after="0"/>
        <w:ind w:left="262" w:right="279" w:firstLine="0"/>
        <w:jc w:val="both"/>
        <w:rPr>
          <w:rFonts w:ascii="Arial" w:hAnsi="Arial"/>
          <w:b/>
          <w:sz w:val="20"/>
        </w:rPr>
      </w:pPr>
      <w:r>
        <w:rPr>
          <w:sz w:val="20"/>
        </w:rPr>
        <w:t>Las</w:t>
      </w:r>
      <w:r>
        <w:rPr>
          <w:spacing w:val="-8"/>
          <w:sz w:val="20"/>
        </w:rPr>
        <w:t> </w:t>
      </w:r>
      <w:r>
        <w:rPr>
          <w:sz w:val="20"/>
        </w:rPr>
        <w:t>edificaciones</w:t>
      </w:r>
      <w:r>
        <w:rPr>
          <w:spacing w:val="-5"/>
          <w:sz w:val="20"/>
        </w:rPr>
        <w:t> </w:t>
      </w:r>
      <w:r>
        <w:rPr>
          <w:sz w:val="20"/>
        </w:rPr>
        <w:t>deberán</w:t>
      </w:r>
      <w:r>
        <w:rPr>
          <w:spacing w:val="-7"/>
          <w:sz w:val="20"/>
        </w:rPr>
        <w:t> </w:t>
      </w:r>
      <w:r>
        <w:rPr>
          <w:sz w:val="20"/>
        </w:rPr>
        <w:t>tener</w:t>
      </w:r>
      <w:r>
        <w:rPr>
          <w:spacing w:val="-6"/>
          <w:sz w:val="20"/>
        </w:rPr>
        <w:t> </w:t>
      </w:r>
      <w:r>
        <w:rPr>
          <w:sz w:val="20"/>
        </w:rPr>
        <w:t>iluminación</w:t>
      </w:r>
      <w:r>
        <w:rPr>
          <w:spacing w:val="-7"/>
          <w:sz w:val="20"/>
        </w:rPr>
        <w:t> </w:t>
      </w:r>
      <w:r>
        <w:rPr>
          <w:sz w:val="20"/>
        </w:rPr>
        <w:t>y</w:t>
      </w:r>
      <w:r>
        <w:rPr>
          <w:spacing w:val="-8"/>
          <w:sz w:val="20"/>
        </w:rPr>
        <w:t> </w:t>
      </w:r>
      <w:r>
        <w:rPr>
          <w:sz w:val="20"/>
        </w:rPr>
        <w:t>ventilación</w:t>
      </w:r>
      <w:r>
        <w:rPr>
          <w:spacing w:val="-7"/>
          <w:sz w:val="20"/>
        </w:rPr>
        <w:t> </w:t>
      </w:r>
      <w:r>
        <w:rPr>
          <w:sz w:val="20"/>
        </w:rPr>
        <w:t>natural</w:t>
      </w:r>
      <w:r>
        <w:rPr>
          <w:spacing w:val="-7"/>
          <w:sz w:val="20"/>
        </w:rPr>
        <w:t> </w:t>
      </w:r>
      <w:r>
        <w:rPr>
          <w:sz w:val="20"/>
        </w:rPr>
        <w:t>por</w:t>
      </w:r>
      <w:r>
        <w:rPr>
          <w:spacing w:val="-6"/>
          <w:sz w:val="20"/>
        </w:rPr>
        <w:t> </w:t>
      </w:r>
      <w:r>
        <w:rPr>
          <w:sz w:val="20"/>
        </w:rPr>
        <w:t>medio</w:t>
      </w:r>
      <w:r>
        <w:rPr>
          <w:spacing w:val="-7"/>
          <w:sz w:val="20"/>
        </w:rPr>
        <w:t> </w:t>
      </w:r>
      <w:r>
        <w:rPr>
          <w:sz w:val="20"/>
        </w:rPr>
        <w:t>de</w:t>
      </w:r>
      <w:r>
        <w:rPr>
          <w:spacing w:val="-7"/>
          <w:sz w:val="20"/>
        </w:rPr>
        <w:t> </w:t>
      </w:r>
      <w:r>
        <w:rPr>
          <w:sz w:val="20"/>
        </w:rPr>
        <w:t>ventanas</w:t>
      </w:r>
      <w:r>
        <w:rPr>
          <w:spacing w:val="-8"/>
          <w:sz w:val="20"/>
        </w:rPr>
        <w:t> </w:t>
      </w:r>
      <w:r>
        <w:rPr>
          <w:sz w:val="20"/>
        </w:rPr>
        <w:t>que</w:t>
      </w:r>
      <w:r>
        <w:rPr>
          <w:spacing w:val="-7"/>
          <w:sz w:val="20"/>
        </w:rPr>
        <w:t> </w:t>
      </w:r>
      <w:r>
        <w:rPr>
          <w:sz w:val="20"/>
        </w:rPr>
        <w:t>den directamente a la vía pública, patios interiores o espacios abiertos; en los no habitables </w:t>
      </w:r>
      <w:r>
        <w:rPr>
          <w:spacing w:val="-2"/>
          <w:sz w:val="20"/>
        </w:rPr>
        <w:t>permanentemente,</w:t>
      </w:r>
      <w:r>
        <w:rPr>
          <w:spacing w:val="-5"/>
          <w:sz w:val="20"/>
        </w:rPr>
        <w:t> </w:t>
      </w:r>
      <w:r>
        <w:rPr>
          <w:spacing w:val="-2"/>
          <w:sz w:val="20"/>
        </w:rPr>
        <w:t>podrán</w:t>
      </w:r>
      <w:r>
        <w:rPr>
          <w:spacing w:val="-1"/>
          <w:sz w:val="20"/>
        </w:rPr>
        <w:t> </w:t>
      </w:r>
      <w:r>
        <w:rPr>
          <w:spacing w:val="-2"/>
          <w:sz w:val="20"/>
        </w:rPr>
        <w:t>utilizarse</w:t>
      </w:r>
      <w:r>
        <w:rPr>
          <w:spacing w:val="-4"/>
          <w:sz w:val="20"/>
        </w:rPr>
        <w:t> </w:t>
      </w:r>
      <w:r>
        <w:rPr>
          <w:spacing w:val="-2"/>
          <w:sz w:val="20"/>
        </w:rPr>
        <w:t>en</w:t>
      </w:r>
      <w:r>
        <w:rPr>
          <w:spacing w:val="-5"/>
          <w:sz w:val="20"/>
        </w:rPr>
        <w:t> </w:t>
      </w:r>
      <w:r>
        <w:rPr>
          <w:spacing w:val="-2"/>
          <w:sz w:val="20"/>
        </w:rPr>
        <w:t>su</w:t>
      </w:r>
      <w:r>
        <w:rPr>
          <w:spacing w:val="-4"/>
          <w:sz w:val="20"/>
        </w:rPr>
        <w:t> </w:t>
      </w:r>
      <w:r>
        <w:rPr>
          <w:spacing w:val="-2"/>
          <w:sz w:val="20"/>
        </w:rPr>
        <w:t>caso, ductos</w:t>
      </w:r>
      <w:r>
        <w:rPr>
          <w:spacing w:val="-3"/>
          <w:sz w:val="20"/>
        </w:rPr>
        <w:t> </w:t>
      </w:r>
      <w:r>
        <w:rPr>
          <w:spacing w:val="-2"/>
          <w:sz w:val="20"/>
        </w:rPr>
        <w:t>con</w:t>
      </w:r>
      <w:r>
        <w:rPr>
          <w:spacing w:val="-4"/>
          <w:sz w:val="20"/>
        </w:rPr>
        <w:t> </w:t>
      </w:r>
      <w:r>
        <w:rPr>
          <w:spacing w:val="-2"/>
          <w:sz w:val="20"/>
        </w:rPr>
        <w:t>elementos electromecánicos</w:t>
      </w:r>
      <w:r>
        <w:rPr>
          <w:spacing w:val="-3"/>
          <w:sz w:val="20"/>
        </w:rPr>
        <w:t> </w:t>
      </w:r>
      <w:r>
        <w:rPr>
          <w:spacing w:val="-2"/>
          <w:sz w:val="20"/>
        </w:rPr>
        <w:t>completos.</w:t>
      </w:r>
    </w:p>
    <w:p>
      <w:pPr>
        <w:pStyle w:val="ListParagraph"/>
        <w:numPr>
          <w:ilvl w:val="1"/>
          <w:numId w:val="112"/>
        </w:numPr>
        <w:tabs>
          <w:tab w:pos="543" w:val="left" w:leader="none"/>
        </w:tabs>
        <w:spacing w:line="240" w:lineRule="auto" w:before="229" w:after="0"/>
        <w:ind w:left="262" w:right="286" w:firstLine="0"/>
        <w:jc w:val="both"/>
        <w:rPr>
          <w:rFonts w:ascii="Arial" w:hAnsi="Arial"/>
          <w:b/>
          <w:sz w:val="20"/>
        </w:rPr>
      </w:pPr>
      <w:r>
        <w:rPr>
          <w:sz w:val="20"/>
        </w:rPr>
        <w:t>Las que concentren alto número de usuarios, así como de igual manera las que se dediquen a actividades riesgosas, tendrán circulaciones y salidas de emergencia de fácil evacuación, previa opinión en su caso, de la dependencia municipal de protección civil.</w:t>
      </w:r>
    </w:p>
    <w:p>
      <w:pPr>
        <w:pStyle w:val="BodyText"/>
        <w:spacing w:before="2"/>
      </w:pPr>
    </w:p>
    <w:p>
      <w:pPr>
        <w:pStyle w:val="ListParagraph"/>
        <w:numPr>
          <w:ilvl w:val="1"/>
          <w:numId w:val="112"/>
        </w:numPr>
        <w:tabs>
          <w:tab w:pos="544" w:val="left" w:leader="none"/>
        </w:tabs>
        <w:spacing w:line="240" w:lineRule="auto" w:before="0" w:after="0"/>
        <w:ind w:left="262" w:right="281" w:firstLine="0"/>
        <w:jc w:val="both"/>
        <w:rPr>
          <w:rFonts w:ascii="Arial" w:hAnsi="Arial"/>
          <w:b/>
          <w:sz w:val="20"/>
        </w:rPr>
      </w:pPr>
      <w:r>
        <w:rPr>
          <w:sz w:val="20"/>
        </w:rPr>
        <w:t>Las</w:t>
      </w:r>
      <w:r>
        <w:rPr>
          <w:spacing w:val="-10"/>
          <w:sz w:val="20"/>
        </w:rPr>
        <w:t> </w:t>
      </w:r>
      <w:r>
        <w:rPr>
          <w:sz w:val="20"/>
        </w:rPr>
        <w:t>que</w:t>
      </w:r>
      <w:r>
        <w:rPr>
          <w:spacing w:val="-11"/>
          <w:sz w:val="20"/>
        </w:rPr>
        <w:t> </w:t>
      </w:r>
      <w:r>
        <w:rPr>
          <w:sz w:val="20"/>
        </w:rPr>
        <w:t>se</w:t>
      </w:r>
      <w:r>
        <w:rPr>
          <w:spacing w:val="-11"/>
          <w:sz w:val="20"/>
        </w:rPr>
        <w:t> </w:t>
      </w:r>
      <w:r>
        <w:rPr>
          <w:sz w:val="20"/>
        </w:rPr>
        <w:t>ubiquen</w:t>
      </w:r>
      <w:r>
        <w:rPr>
          <w:spacing w:val="-11"/>
          <w:sz w:val="20"/>
        </w:rPr>
        <w:t> </w:t>
      </w:r>
      <w:r>
        <w:rPr>
          <w:sz w:val="20"/>
        </w:rPr>
        <w:t>en</w:t>
      </w:r>
      <w:r>
        <w:rPr>
          <w:spacing w:val="-11"/>
          <w:sz w:val="20"/>
        </w:rPr>
        <w:t> </w:t>
      </w:r>
      <w:r>
        <w:rPr>
          <w:sz w:val="20"/>
        </w:rPr>
        <w:t>zonas</w:t>
      </w:r>
      <w:r>
        <w:rPr>
          <w:spacing w:val="-10"/>
          <w:sz w:val="20"/>
        </w:rPr>
        <w:t> </w:t>
      </w:r>
      <w:r>
        <w:rPr>
          <w:sz w:val="20"/>
        </w:rPr>
        <w:t>del</w:t>
      </w:r>
      <w:r>
        <w:rPr>
          <w:spacing w:val="-10"/>
          <w:sz w:val="20"/>
        </w:rPr>
        <w:t> </w:t>
      </w:r>
      <w:r>
        <w:rPr>
          <w:sz w:val="20"/>
        </w:rPr>
        <w:t>patrimonio</w:t>
      </w:r>
      <w:r>
        <w:rPr>
          <w:spacing w:val="-11"/>
          <w:sz w:val="20"/>
        </w:rPr>
        <w:t> </w:t>
      </w:r>
      <w:r>
        <w:rPr>
          <w:sz w:val="20"/>
        </w:rPr>
        <w:t>arqueológico,</w:t>
      </w:r>
      <w:r>
        <w:rPr>
          <w:spacing w:val="-12"/>
          <w:sz w:val="20"/>
        </w:rPr>
        <w:t> </w:t>
      </w:r>
      <w:r>
        <w:rPr>
          <w:sz w:val="20"/>
        </w:rPr>
        <w:t>histórico,</w:t>
      </w:r>
      <w:r>
        <w:rPr>
          <w:spacing w:val="-9"/>
          <w:sz w:val="20"/>
        </w:rPr>
        <w:t> </w:t>
      </w:r>
      <w:r>
        <w:rPr>
          <w:sz w:val="20"/>
        </w:rPr>
        <w:t>artístico</w:t>
      </w:r>
      <w:r>
        <w:rPr>
          <w:spacing w:val="-9"/>
          <w:sz w:val="20"/>
        </w:rPr>
        <w:t> </w:t>
      </w:r>
      <w:r>
        <w:rPr>
          <w:sz w:val="20"/>
        </w:rPr>
        <w:t>y</w:t>
      </w:r>
      <w:r>
        <w:rPr>
          <w:spacing w:val="-10"/>
          <w:sz w:val="20"/>
        </w:rPr>
        <w:t> </w:t>
      </w:r>
      <w:r>
        <w:rPr>
          <w:sz w:val="20"/>
        </w:rPr>
        <w:t>cultural,</w:t>
      </w:r>
      <w:r>
        <w:rPr>
          <w:spacing w:val="-11"/>
          <w:sz w:val="20"/>
        </w:rPr>
        <w:t> </w:t>
      </w:r>
      <w:r>
        <w:rPr>
          <w:sz w:val="20"/>
        </w:rPr>
        <w:t>cumplirán las normas de altura, materiales, acabados, colores, aberturas y todas las demás que señale el Instituto</w:t>
      </w:r>
      <w:r>
        <w:rPr>
          <w:spacing w:val="-2"/>
          <w:sz w:val="20"/>
        </w:rPr>
        <w:t> </w:t>
      </w:r>
      <w:r>
        <w:rPr>
          <w:sz w:val="20"/>
        </w:rPr>
        <w:t>Nacional</w:t>
      </w:r>
      <w:r>
        <w:rPr>
          <w:spacing w:val="-3"/>
          <w:sz w:val="20"/>
        </w:rPr>
        <w:t> </w:t>
      </w:r>
      <w:r>
        <w:rPr>
          <w:sz w:val="20"/>
        </w:rPr>
        <w:t>de Antropología e</w:t>
      </w:r>
      <w:r>
        <w:rPr>
          <w:spacing w:val="-2"/>
          <w:sz w:val="20"/>
        </w:rPr>
        <w:t> </w:t>
      </w:r>
      <w:r>
        <w:rPr>
          <w:sz w:val="20"/>
        </w:rPr>
        <w:t>Historia</w:t>
      </w:r>
      <w:r>
        <w:rPr>
          <w:spacing w:val="-2"/>
          <w:sz w:val="20"/>
        </w:rPr>
        <w:t> </w:t>
      </w:r>
      <w:r>
        <w:rPr>
          <w:sz w:val="20"/>
        </w:rPr>
        <w:t>o</w:t>
      </w:r>
      <w:r>
        <w:rPr>
          <w:spacing w:val="-2"/>
          <w:sz w:val="20"/>
        </w:rPr>
        <w:t> </w:t>
      </w:r>
      <w:r>
        <w:rPr>
          <w:sz w:val="20"/>
        </w:rPr>
        <w:t>el</w:t>
      </w:r>
      <w:r>
        <w:rPr>
          <w:spacing w:val="-3"/>
          <w:sz w:val="20"/>
        </w:rPr>
        <w:t> </w:t>
      </w:r>
      <w:r>
        <w:rPr>
          <w:sz w:val="20"/>
        </w:rPr>
        <w:t>Instituto Nacional</w:t>
      </w:r>
      <w:r>
        <w:rPr>
          <w:spacing w:val="-3"/>
          <w:sz w:val="20"/>
        </w:rPr>
        <w:t> </w:t>
      </w:r>
      <w:r>
        <w:rPr>
          <w:sz w:val="20"/>
        </w:rPr>
        <w:t>de Bellas</w:t>
      </w:r>
      <w:r>
        <w:rPr>
          <w:spacing w:val="-1"/>
          <w:sz w:val="20"/>
        </w:rPr>
        <w:t> </w:t>
      </w:r>
      <w:r>
        <w:rPr>
          <w:sz w:val="20"/>
        </w:rPr>
        <w:t>Artes,</w:t>
      </w:r>
      <w:r>
        <w:rPr>
          <w:spacing w:val="-2"/>
          <w:sz w:val="20"/>
        </w:rPr>
        <w:t> </w:t>
      </w:r>
      <w:r>
        <w:rPr>
          <w:sz w:val="20"/>
        </w:rPr>
        <w:t>o</w:t>
      </w:r>
      <w:r>
        <w:rPr>
          <w:spacing w:val="-2"/>
          <w:sz w:val="20"/>
        </w:rPr>
        <w:t> </w:t>
      </w:r>
      <w:r>
        <w:rPr>
          <w:sz w:val="20"/>
        </w:rPr>
        <w:t>se</w:t>
      </w:r>
      <w:r>
        <w:rPr>
          <w:spacing w:val="-2"/>
          <w:sz w:val="20"/>
        </w:rPr>
        <w:t> </w:t>
      </w:r>
      <w:r>
        <w:rPr>
          <w:sz w:val="20"/>
        </w:rPr>
        <w:t>deriven</w:t>
      </w:r>
      <w:r>
        <w:rPr>
          <w:spacing w:val="-3"/>
          <w:sz w:val="20"/>
        </w:rPr>
        <w:t> </w:t>
      </w:r>
      <w:r>
        <w:rPr>
          <w:sz w:val="20"/>
        </w:rPr>
        <w:t>del programa parcial de conservación y mejoramiento del centro histórico respectivo y de los demás programas</w:t>
      </w:r>
      <w:r>
        <w:rPr>
          <w:spacing w:val="64"/>
          <w:sz w:val="20"/>
        </w:rPr>
        <w:t> </w:t>
      </w:r>
      <w:r>
        <w:rPr>
          <w:sz w:val="20"/>
        </w:rPr>
        <w:t>de</w:t>
      </w:r>
      <w:r>
        <w:rPr>
          <w:spacing w:val="65"/>
          <w:sz w:val="20"/>
        </w:rPr>
        <w:t> </w:t>
      </w:r>
      <w:r>
        <w:rPr>
          <w:sz w:val="20"/>
        </w:rPr>
        <w:t>ordenamiento</w:t>
      </w:r>
      <w:r>
        <w:rPr>
          <w:spacing w:val="63"/>
          <w:sz w:val="20"/>
        </w:rPr>
        <w:t> </w:t>
      </w:r>
      <w:r>
        <w:rPr>
          <w:sz w:val="20"/>
        </w:rPr>
        <w:t>territorial</w:t>
      </w:r>
      <w:r>
        <w:rPr>
          <w:spacing w:val="64"/>
          <w:sz w:val="20"/>
        </w:rPr>
        <w:t> </w:t>
      </w:r>
      <w:r>
        <w:rPr>
          <w:sz w:val="20"/>
        </w:rPr>
        <w:t>y</w:t>
      </w:r>
      <w:r>
        <w:rPr>
          <w:spacing w:val="64"/>
          <w:sz w:val="20"/>
        </w:rPr>
        <w:t> </w:t>
      </w:r>
      <w:r>
        <w:rPr>
          <w:sz w:val="20"/>
        </w:rPr>
        <w:t>desarrollo</w:t>
      </w:r>
      <w:r>
        <w:rPr>
          <w:spacing w:val="65"/>
          <w:sz w:val="20"/>
        </w:rPr>
        <w:t> </w:t>
      </w:r>
      <w:r>
        <w:rPr>
          <w:sz w:val="20"/>
        </w:rPr>
        <w:t>urbano</w:t>
      </w:r>
      <w:r>
        <w:rPr>
          <w:spacing w:val="65"/>
          <w:sz w:val="20"/>
        </w:rPr>
        <w:t> </w:t>
      </w:r>
      <w:r>
        <w:rPr>
          <w:sz w:val="20"/>
        </w:rPr>
        <w:t>aplicables;</w:t>
      </w:r>
      <w:r>
        <w:rPr>
          <w:spacing w:val="66"/>
          <w:sz w:val="20"/>
        </w:rPr>
        <w:t> </w:t>
      </w:r>
      <w:r>
        <w:rPr>
          <w:sz w:val="20"/>
        </w:rPr>
        <w:t>así</w:t>
      </w:r>
      <w:r>
        <w:rPr>
          <w:spacing w:val="64"/>
          <w:sz w:val="20"/>
        </w:rPr>
        <w:t> </w:t>
      </w:r>
      <w:r>
        <w:rPr>
          <w:sz w:val="20"/>
        </w:rPr>
        <w:t>como,</w:t>
      </w:r>
      <w:r>
        <w:rPr>
          <w:spacing w:val="65"/>
          <w:sz w:val="20"/>
        </w:rPr>
        <w:t> </w:t>
      </w:r>
      <w:r>
        <w:rPr>
          <w:sz w:val="20"/>
        </w:rPr>
        <w:t>las</w:t>
      </w:r>
      <w:r>
        <w:rPr>
          <w:spacing w:val="64"/>
          <w:sz w:val="20"/>
        </w:rPr>
        <w:t> </w:t>
      </w:r>
      <w:r>
        <w:rPr>
          <w:sz w:val="20"/>
        </w:rPr>
        <w:t>que</w:t>
      </w:r>
      <w:r>
        <w:rPr>
          <w:spacing w:val="63"/>
          <w:sz w:val="20"/>
        </w:rPr>
        <w:t> </w:t>
      </w:r>
      <w:r>
        <w:rPr>
          <w:sz w:val="20"/>
        </w:rPr>
        <w:t>se</w:t>
      </w:r>
    </w:p>
    <w:p>
      <w:pPr>
        <w:pStyle w:val="ListParagraph"/>
        <w:spacing w:after="0" w:line="240" w:lineRule="auto"/>
        <w:jc w:val="both"/>
        <w:rPr>
          <w:rFonts w:ascii="Arial" w:hAnsi="Arial"/>
          <w:b/>
          <w:sz w:val="20"/>
        </w:rPr>
        <w:sectPr>
          <w:pgSz w:w="12240" w:h="15840"/>
          <w:pgMar w:header="720" w:footer="697" w:top="2100" w:bottom="880" w:left="1440" w:right="1440"/>
        </w:sectPr>
      </w:pPr>
    </w:p>
    <w:p>
      <w:pPr>
        <w:pStyle w:val="BodyText"/>
      </w:pPr>
    </w:p>
    <w:p>
      <w:pPr>
        <w:pStyle w:val="BodyText"/>
        <w:spacing w:before="71"/>
      </w:pPr>
    </w:p>
    <w:p>
      <w:pPr>
        <w:pStyle w:val="BodyText"/>
        <w:ind w:left="262"/>
      </w:pPr>
      <w:r>
        <w:rPr/>
        <w:t>establecen en la Ley de Protección del Patrimonio Cultural para el Estado y demás normatividad </w:t>
      </w:r>
      <w:r>
        <w:rPr>
          <w:spacing w:val="-2"/>
        </w:rPr>
        <w:t>aplicable.</w:t>
      </w:r>
    </w:p>
    <w:p>
      <w:pPr>
        <w:pStyle w:val="BodyText"/>
        <w:spacing w:before="1"/>
      </w:pPr>
    </w:p>
    <w:p>
      <w:pPr>
        <w:pStyle w:val="ListParagraph"/>
        <w:numPr>
          <w:ilvl w:val="1"/>
          <w:numId w:val="112"/>
        </w:numPr>
        <w:tabs>
          <w:tab w:pos="544" w:val="left" w:leader="none"/>
        </w:tabs>
        <w:spacing w:line="240" w:lineRule="auto" w:before="0" w:after="0"/>
        <w:ind w:left="544" w:right="0" w:hanging="282"/>
        <w:jc w:val="both"/>
        <w:rPr>
          <w:rFonts w:ascii="Arial" w:hAnsi="Arial"/>
          <w:b/>
          <w:sz w:val="20"/>
        </w:rPr>
      </w:pPr>
      <w:r>
        <w:rPr>
          <w:sz w:val="20"/>
        </w:rPr>
        <w:t>Los</w:t>
      </w:r>
      <w:r>
        <w:rPr>
          <w:spacing w:val="-7"/>
          <w:sz w:val="20"/>
        </w:rPr>
        <w:t> </w:t>
      </w:r>
      <w:r>
        <w:rPr>
          <w:sz w:val="20"/>
        </w:rPr>
        <w:t>edificios</w:t>
      </w:r>
      <w:r>
        <w:rPr>
          <w:spacing w:val="-7"/>
          <w:sz w:val="20"/>
        </w:rPr>
        <w:t> </w:t>
      </w:r>
      <w:r>
        <w:rPr>
          <w:sz w:val="20"/>
        </w:rPr>
        <w:t>de</w:t>
      </w:r>
      <w:r>
        <w:rPr>
          <w:spacing w:val="-5"/>
          <w:sz w:val="20"/>
        </w:rPr>
        <w:t> </w:t>
      </w:r>
      <w:r>
        <w:rPr>
          <w:sz w:val="20"/>
        </w:rPr>
        <w:t>uso</w:t>
      </w:r>
      <w:r>
        <w:rPr>
          <w:spacing w:val="-8"/>
          <w:sz w:val="20"/>
        </w:rPr>
        <w:t> </w:t>
      </w:r>
      <w:r>
        <w:rPr>
          <w:sz w:val="20"/>
        </w:rPr>
        <w:t>público</w:t>
      </w:r>
      <w:r>
        <w:rPr>
          <w:spacing w:val="-6"/>
          <w:sz w:val="20"/>
        </w:rPr>
        <w:t> </w:t>
      </w:r>
      <w:r>
        <w:rPr>
          <w:sz w:val="20"/>
        </w:rPr>
        <w:t>deberán</w:t>
      </w:r>
      <w:r>
        <w:rPr>
          <w:spacing w:val="-7"/>
          <w:sz w:val="20"/>
        </w:rPr>
        <w:t> </w:t>
      </w:r>
      <w:r>
        <w:rPr>
          <w:sz w:val="20"/>
        </w:rPr>
        <w:t>contar</w:t>
      </w:r>
      <w:r>
        <w:rPr>
          <w:spacing w:val="-7"/>
          <w:sz w:val="20"/>
        </w:rPr>
        <w:t> </w:t>
      </w:r>
      <w:r>
        <w:rPr>
          <w:sz w:val="20"/>
        </w:rPr>
        <w:t>con</w:t>
      </w:r>
      <w:r>
        <w:rPr>
          <w:spacing w:val="-6"/>
          <w:sz w:val="20"/>
        </w:rPr>
        <w:t> </w:t>
      </w:r>
      <w:r>
        <w:rPr>
          <w:sz w:val="20"/>
        </w:rPr>
        <w:t>accesos</w:t>
      </w:r>
      <w:r>
        <w:rPr>
          <w:spacing w:val="-7"/>
          <w:sz w:val="20"/>
        </w:rPr>
        <w:t> </w:t>
      </w:r>
      <w:r>
        <w:rPr>
          <w:sz w:val="20"/>
        </w:rPr>
        <w:t>para</w:t>
      </w:r>
      <w:r>
        <w:rPr>
          <w:spacing w:val="-7"/>
          <w:sz w:val="20"/>
        </w:rPr>
        <w:t> </w:t>
      </w:r>
      <w:r>
        <w:rPr>
          <w:sz w:val="20"/>
        </w:rPr>
        <w:t>personas</w:t>
      </w:r>
      <w:r>
        <w:rPr>
          <w:spacing w:val="-7"/>
          <w:sz w:val="20"/>
        </w:rPr>
        <w:t> </w:t>
      </w:r>
      <w:r>
        <w:rPr>
          <w:sz w:val="20"/>
        </w:rPr>
        <w:t>con</w:t>
      </w:r>
      <w:r>
        <w:rPr>
          <w:spacing w:val="-6"/>
          <w:sz w:val="20"/>
        </w:rPr>
        <w:t> </w:t>
      </w:r>
      <w:r>
        <w:rPr>
          <w:spacing w:val="-2"/>
          <w:sz w:val="20"/>
        </w:rPr>
        <w:t>discapacidad.</w:t>
      </w:r>
    </w:p>
    <w:p>
      <w:pPr>
        <w:pStyle w:val="ListParagraph"/>
        <w:numPr>
          <w:ilvl w:val="1"/>
          <w:numId w:val="112"/>
        </w:numPr>
        <w:tabs>
          <w:tab w:pos="969" w:val="left" w:leader="none"/>
        </w:tabs>
        <w:spacing w:line="240" w:lineRule="auto" w:before="229" w:after="0"/>
        <w:ind w:left="262" w:right="279" w:firstLine="0"/>
        <w:jc w:val="both"/>
        <w:rPr>
          <w:rFonts w:ascii="Arial" w:hAnsi="Arial"/>
          <w:b/>
          <w:sz w:val="20"/>
        </w:rPr>
      </w:pPr>
      <w:r>
        <w:rPr>
          <w:sz w:val="20"/>
        </w:rPr>
        <w:t>Las construcciones de equipamiento turístico, gasolineras, industriales, comerciales y de servicios</w:t>
      </w:r>
      <w:r>
        <w:rPr>
          <w:spacing w:val="-8"/>
          <w:sz w:val="20"/>
        </w:rPr>
        <w:t> </w:t>
      </w:r>
      <w:r>
        <w:rPr>
          <w:sz w:val="20"/>
        </w:rPr>
        <w:t>que</w:t>
      </w:r>
      <w:r>
        <w:rPr>
          <w:spacing w:val="-7"/>
          <w:sz w:val="20"/>
        </w:rPr>
        <w:t> </w:t>
      </w:r>
      <w:r>
        <w:rPr>
          <w:sz w:val="20"/>
        </w:rPr>
        <w:t>se</w:t>
      </w:r>
      <w:r>
        <w:rPr>
          <w:spacing w:val="-9"/>
          <w:sz w:val="20"/>
        </w:rPr>
        <w:t> </w:t>
      </w:r>
      <w:r>
        <w:rPr>
          <w:sz w:val="20"/>
        </w:rPr>
        <w:t>permitan</w:t>
      </w:r>
      <w:r>
        <w:rPr>
          <w:spacing w:val="-7"/>
          <w:sz w:val="20"/>
        </w:rPr>
        <w:t> </w:t>
      </w:r>
      <w:r>
        <w:rPr>
          <w:sz w:val="20"/>
        </w:rPr>
        <w:t>aledañas</w:t>
      </w:r>
      <w:r>
        <w:rPr>
          <w:spacing w:val="-6"/>
          <w:sz w:val="20"/>
        </w:rPr>
        <w:t> </w:t>
      </w:r>
      <w:r>
        <w:rPr>
          <w:sz w:val="20"/>
        </w:rPr>
        <w:t>al</w:t>
      </w:r>
      <w:r>
        <w:rPr>
          <w:spacing w:val="-8"/>
          <w:sz w:val="20"/>
        </w:rPr>
        <w:t> </w:t>
      </w:r>
      <w:r>
        <w:rPr>
          <w:sz w:val="20"/>
        </w:rPr>
        <w:t>derecho</w:t>
      </w:r>
      <w:r>
        <w:rPr>
          <w:spacing w:val="-7"/>
          <w:sz w:val="20"/>
        </w:rPr>
        <w:t> </w:t>
      </w:r>
      <w:r>
        <w:rPr>
          <w:sz w:val="20"/>
        </w:rPr>
        <w:t>de</w:t>
      </w:r>
      <w:r>
        <w:rPr>
          <w:spacing w:val="-7"/>
          <w:sz w:val="20"/>
        </w:rPr>
        <w:t> </w:t>
      </w:r>
      <w:r>
        <w:rPr>
          <w:sz w:val="20"/>
        </w:rPr>
        <w:t>vía</w:t>
      </w:r>
      <w:r>
        <w:rPr>
          <w:spacing w:val="-9"/>
          <w:sz w:val="20"/>
        </w:rPr>
        <w:t> </w:t>
      </w:r>
      <w:r>
        <w:rPr>
          <w:sz w:val="20"/>
        </w:rPr>
        <w:t>de</w:t>
      </w:r>
      <w:r>
        <w:rPr>
          <w:spacing w:val="-9"/>
          <w:sz w:val="20"/>
        </w:rPr>
        <w:t> </w:t>
      </w:r>
      <w:r>
        <w:rPr>
          <w:sz w:val="20"/>
        </w:rPr>
        <w:t>carreteras</w:t>
      </w:r>
      <w:r>
        <w:rPr>
          <w:spacing w:val="-8"/>
          <w:sz w:val="20"/>
        </w:rPr>
        <w:t> </w:t>
      </w:r>
      <w:r>
        <w:rPr>
          <w:sz w:val="20"/>
        </w:rPr>
        <w:t>federales</w:t>
      </w:r>
      <w:r>
        <w:rPr>
          <w:spacing w:val="-8"/>
          <w:sz w:val="20"/>
        </w:rPr>
        <w:t> </w:t>
      </w:r>
      <w:r>
        <w:rPr>
          <w:sz w:val="20"/>
        </w:rPr>
        <w:t>o</w:t>
      </w:r>
      <w:r>
        <w:rPr>
          <w:spacing w:val="-7"/>
          <w:sz w:val="20"/>
        </w:rPr>
        <w:t> </w:t>
      </w:r>
      <w:r>
        <w:rPr>
          <w:sz w:val="20"/>
        </w:rPr>
        <w:t>estatales,</w:t>
      </w:r>
      <w:r>
        <w:rPr>
          <w:spacing w:val="-9"/>
          <w:sz w:val="20"/>
        </w:rPr>
        <w:t> </w:t>
      </w:r>
      <w:r>
        <w:rPr>
          <w:sz w:val="20"/>
        </w:rPr>
        <w:t>requerirán de un acceso adecuado, con base en las especificaciones técnicas que determine la autoridad competente, de conformidad con las disposiciones jurídicas aplicables;</w:t>
      </w:r>
    </w:p>
    <w:p>
      <w:pPr>
        <w:pStyle w:val="BodyText"/>
        <w:spacing w:before="2"/>
      </w:pPr>
    </w:p>
    <w:p>
      <w:pPr>
        <w:pStyle w:val="ListParagraph"/>
        <w:numPr>
          <w:ilvl w:val="0"/>
          <w:numId w:val="112"/>
        </w:numPr>
        <w:tabs>
          <w:tab w:pos="597" w:val="left" w:leader="none"/>
        </w:tabs>
        <w:spacing w:line="240" w:lineRule="auto" w:before="0" w:after="0"/>
        <w:ind w:left="597" w:right="0" w:hanging="335"/>
        <w:jc w:val="both"/>
        <w:rPr>
          <w:sz w:val="20"/>
        </w:rPr>
      </w:pPr>
      <w:r>
        <w:rPr>
          <w:sz w:val="20"/>
        </w:rPr>
        <w:t>De</w:t>
      </w:r>
      <w:r>
        <w:rPr>
          <w:spacing w:val="-5"/>
          <w:sz w:val="20"/>
        </w:rPr>
        <w:t> </w:t>
      </w:r>
      <w:r>
        <w:rPr>
          <w:spacing w:val="-2"/>
          <w:sz w:val="20"/>
        </w:rPr>
        <w:t>infraestructura:</w:t>
      </w:r>
    </w:p>
    <w:p>
      <w:pPr>
        <w:pStyle w:val="ListParagraph"/>
        <w:numPr>
          <w:ilvl w:val="1"/>
          <w:numId w:val="112"/>
        </w:numPr>
        <w:tabs>
          <w:tab w:pos="544" w:val="left" w:leader="none"/>
        </w:tabs>
        <w:spacing w:line="240" w:lineRule="auto" w:before="229" w:after="0"/>
        <w:ind w:left="262" w:right="288" w:firstLine="0"/>
        <w:jc w:val="both"/>
        <w:rPr>
          <w:rFonts w:ascii="Arial" w:hAnsi="Arial"/>
          <w:b/>
          <w:sz w:val="20"/>
        </w:rPr>
      </w:pPr>
      <w:r>
        <w:rPr>
          <w:sz w:val="20"/>
        </w:rPr>
        <w:t>Estarán</w:t>
      </w:r>
      <w:r>
        <w:rPr>
          <w:spacing w:val="-4"/>
          <w:sz w:val="20"/>
        </w:rPr>
        <w:t> </w:t>
      </w:r>
      <w:r>
        <w:rPr>
          <w:sz w:val="20"/>
        </w:rPr>
        <w:t>provistas</w:t>
      </w:r>
      <w:r>
        <w:rPr>
          <w:spacing w:val="-6"/>
          <w:sz w:val="20"/>
        </w:rPr>
        <w:t> </w:t>
      </w:r>
      <w:r>
        <w:rPr>
          <w:sz w:val="20"/>
        </w:rPr>
        <w:t>del</w:t>
      </w:r>
      <w:r>
        <w:rPr>
          <w:spacing w:val="-6"/>
          <w:sz w:val="20"/>
        </w:rPr>
        <w:t> </w:t>
      </w:r>
      <w:r>
        <w:rPr>
          <w:sz w:val="20"/>
        </w:rPr>
        <w:t>servicio</w:t>
      </w:r>
      <w:r>
        <w:rPr>
          <w:spacing w:val="-7"/>
          <w:sz w:val="20"/>
        </w:rPr>
        <w:t> </w:t>
      </w:r>
      <w:r>
        <w:rPr>
          <w:sz w:val="20"/>
        </w:rPr>
        <w:t>de</w:t>
      </w:r>
      <w:r>
        <w:rPr>
          <w:spacing w:val="-7"/>
          <w:sz w:val="20"/>
        </w:rPr>
        <w:t> </w:t>
      </w:r>
      <w:r>
        <w:rPr>
          <w:sz w:val="20"/>
        </w:rPr>
        <w:t>agua</w:t>
      </w:r>
      <w:r>
        <w:rPr>
          <w:spacing w:val="-5"/>
          <w:sz w:val="20"/>
        </w:rPr>
        <w:t> </w:t>
      </w:r>
      <w:r>
        <w:rPr>
          <w:sz w:val="20"/>
        </w:rPr>
        <w:t>potable</w:t>
      </w:r>
      <w:r>
        <w:rPr>
          <w:spacing w:val="-7"/>
          <w:sz w:val="20"/>
        </w:rPr>
        <w:t> </w:t>
      </w:r>
      <w:r>
        <w:rPr>
          <w:sz w:val="20"/>
        </w:rPr>
        <w:t>y</w:t>
      </w:r>
      <w:r>
        <w:rPr>
          <w:spacing w:val="-5"/>
          <w:sz w:val="20"/>
        </w:rPr>
        <w:t> </w:t>
      </w:r>
      <w:r>
        <w:rPr>
          <w:sz w:val="20"/>
        </w:rPr>
        <w:t>de</w:t>
      </w:r>
      <w:r>
        <w:rPr>
          <w:spacing w:val="-7"/>
          <w:sz w:val="20"/>
        </w:rPr>
        <w:t> </w:t>
      </w:r>
      <w:r>
        <w:rPr>
          <w:sz w:val="20"/>
        </w:rPr>
        <w:t>drenaje</w:t>
      </w:r>
      <w:r>
        <w:rPr>
          <w:spacing w:val="-7"/>
          <w:sz w:val="20"/>
        </w:rPr>
        <w:t> </w:t>
      </w:r>
      <w:r>
        <w:rPr>
          <w:sz w:val="20"/>
        </w:rPr>
        <w:t>sanitario</w:t>
      </w:r>
      <w:r>
        <w:rPr>
          <w:spacing w:val="-7"/>
          <w:sz w:val="20"/>
        </w:rPr>
        <w:t> </w:t>
      </w:r>
      <w:r>
        <w:rPr>
          <w:sz w:val="20"/>
        </w:rPr>
        <w:t>y</w:t>
      </w:r>
      <w:r>
        <w:rPr>
          <w:spacing w:val="-5"/>
          <w:sz w:val="20"/>
        </w:rPr>
        <w:t> </w:t>
      </w:r>
      <w:r>
        <w:rPr>
          <w:sz w:val="20"/>
        </w:rPr>
        <w:t>pluvial</w:t>
      </w:r>
      <w:r>
        <w:rPr>
          <w:spacing w:val="-8"/>
          <w:sz w:val="20"/>
        </w:rPr>
        <w:t> </w:t>
      </w:r>
      <w:r>
        <w:rPr>
          <w:sz w:val="20"/>
        </w:rPr>
        <w:t>capaz</w:t>
      </w:r>
      <w:r>
        <w:rPr>
          <w:spacing w:val="-5"/>
          <w:sz w:val="20"/>
        </w:rPr>
        <w:t> </w:t>
      </w:r>
      <w:r>
        <w:rPr>
          <w:sz w:val="20"/>
        </w:rPr>
        <w:t>de</w:t>
      </w:r>
      <w:r>
        <w:rPr>
          <w:spacing w:val="-7"/>
          <w:sz w:val="20"/>
        </w:rPr>
        <w:t> </w:t>
      </w:r>
      <w:r>
        <w:rPr>
          <w:sz w:val="20"/>
        </w:rPr>
        <w:t>cubrir</w:t>
      </w:r>
      <w:r>
        <w:rPr>
          <w:spacing w:val="-3"/>
          <w:sz w:val="20"/>
        </w:rPr>
        <w:t> </w:t>
      </w:r>
      <w:r>
        <w:rPr>
          <w:sz w:val="20"/>
        </w:rPr>
        <w:t>las demandas mínimas de las actividades que se vayan a desempeñar en ellas.</w:t>
      </w:r>
    </w:p>
    <w:p>
      <w:pPr>
        <w:pStyle w:val="BodyText"/>
        <w:spacing w:before="1"/>
      </w:pPr>
    </w:p>
    <w:p>
      <w:pPr>
        <w:pStyle w:val="ListParagraph"/>
        <w:numPr>
          <w:ilvl w:val="1"/>
          <w:numId w:val="112"/>
        </w:numPr>
        <w:tabs>
          <w:tab w:pos="544" w:val="left" w:leader="none"/>
        </w:tabs>
        <w:spacing w:line="240" w:lineRule="auto" w:before="0" w:after="0"/>
        <w:ind w:left="262" w:right="286" w:firstLine="0"/>
        <w:jc w:val="both"/>
        <w:rPr>
          <w:rFonts w:ascii="Arial" w:hAnsi="Arial"/>
          <w:b/>
          <w:sz w:val="20"/>
        </w:rPr>
      </w:pPr>
      <w:r>
        <w:rPr>
          <w:sz w:val="20"/>
        </w:rPr>
        <w:t>Dispondrán</w:t>
      </w:r>
      <w:r>
        <w:rPr>
          <w:spacing w:val="-4"/>
          <w:sz w:val="20"/>
        </w:rPr>
        <w:t> </w:t>
      </w:r>
      <w:r>
        <w:rPr>
          <w:sz w:val="20"/>
        </w:rPr>
        <w:t>de</w:t>
      </w:r>
      <w:r>
        <w:rPr>
          <w:spacing w:val="-5"/>
          <w:sz w:val="20"/>
        </w:rPr>
        <w:t> </w:t>
      </w:r>
      <w:r>
        <w:rPr>
          <w:sz w:val="20"/>
        </w:rPr>
        <w:t>los</w:t>
      </w:r>
      <w:r>
        <w:rPr>
          <w:spacing w:val="-6"/>
          <w:sz w:val="20"/>
        </w:rPr>
        <w:t> </w:t>
      </w:r>
      <w:r>
        <w:rPr>
          <w:sz w:val="20"/>
        </w:rPr>
        <w:t>espacios</w:t>
      </w:r>
      <w:r>
        <w:rPr>
          <w:spacing w:val="-3"/>
          <w:sz w:val="20"/>
        </w:rPr>
        <w:t> </w:t>
      </w:r>
      <w:r>
        <w:rPr>
          <w:sz w:val="20"/>
        </w:rPr>
        <w:t>y</w:t>
      </w:r>
      <w:r>
        <w:rPr>
          <w:spacing w:val="-5"/>
          <w:sz w:val="20"/>
        </w:rPr>
        <w:t> </w:t>
      </w:r>
      <w:r>
        <w:rPr>
          <w:sz w:val="20"/>
        </w:rPr>
        <w:t>muebles</w:t>
      </w:r>
      <w:r>
        <w:rPr>
          <w:spacing w:val="-6"/>
          <w:sz w:val="20"/>
        </w:rPr>
        <w:t> </w:t>
      </w:r>
      <w:r>
        <w:rPr>
          <w:sz w:val="20"/>
        </w:rPr>
        <w:t>sanitarios</w:t>
      </w:r>
      <w:r>
        <w:rPr>
          <w:spacing w:val="-6"/>
          <w:sz w:val="20"/>
        </w:rPr>
        <w:t> </w:t>
      </w:r>
      <w:r>
        <w:rPr>
          <w:sz w:val="20"/>
        </w:rPr>
        <w:t>en</w:t>
      </w:r>
      <w:r>
        <w:rPr>
          <w:spacing w:val="-7"/>
          <w:sz w:val="20"/>
        </w:rPr>
        <w:t> </w:t>
      </w:r>
      <w:r>
        <w:rPr>
          <w:sz w:val="20"/>
        </w:rPr>
        <w:t>número</w:t>
      </w:r>
      <w:r>
        <w:rPr>
          <w:spacing w:val="-7"/>
          <w:sz w:val="20"/>
        </w:rPr>
        <w:t> </w:t>
      </w:r>
      <w:r>
        <w:rPr>
          <w:sz w:val="20"/>
        </w:rPr>
        <w:t>suficiente</w:t>
      </w:r>
      <w:r>
        <w:rPr>
          <w:spacing w:val="-5"/>
          <w:sz w:val="20"/>
        </w:rPr>
        <w:t> </w:t>
      </w:r>
      <w:r>
        <w:rPr>
          <w:sz w:val="20"/>
        </w:rPr>
        <w:t>para</w:t>
      </w:r>
      <w:r>
        <w:rPr>
          <w:spacing w:val="-7"/>
          <w:sz w:val="20"/>
        </w:rPr>
        <w:t> </w:t>
      </w:r>
      <w:r>
        <w:rPr>
          <w:sz w:val="20"/>
        </w:rPr>
        <w:t>su</w:t>
      </w:r>
      <w:r>
        <w:rPr>
          <w:spacing w:val="-4"/>
          <w:sz w:val="20"/>
        </w:rPr>
        <w:t> </w:t>
      </w:r>
      <w:r>
        <w:rPr>
          <w:sz w:val="20"/>
        </w:rPr>
        <w:t>utilización</w:t>
      </w:r>
      <w:r>
        <w:rPr>
          <w:spacing w:val="-5"/>
          <w:sz w:val="20"/>
        </w:rPr>
        <w:t> </w:t>
      </w:r>
      <w:r>
        <w:rPr>
          <w:sz w:val="20"/>
        </w:rPr>
        <w:t>por</w:t>
      </w:r>
      <w:r>
        <w:rPr>
          <w:spacing w:val="-3"/>
          <w:sz w:val="20"/>
        </w:rPr>
        <w:t> </w:t>
      </w:r>
      <w:r>
        <w:rPr>
          <w:sz w:val="20"/>
        </w:rPr>
        <w:t>los </w:t>
      </w:r>
      <w:r>
        <w:rPr>
          <w:spacing w:val="-2"/>
          <w:sz w:val="20"/>
        </w:rPr>
        <w:t>usuarios.</w:t>
      </w:r>
    </w:p>
    <w:p>
      <w:pPr>
        <w:pStyle w:val="ListParagraph"/>
        <w:numPr>
          <w:ilvl w:val="1"/>
          <w:numId w:val="112"/>
        </w:numPr>
        <w:tabs>
          <w:tab w:pos="544" w:val="left" w:leader="none"/>
        </w:tabs>
        <w:spacing w:line="240" w:lineRule="auto" w:before="229" w:after="0"/>
        <w:ind w:left="262" w:right="287" w:firstLine="0"/>
        <w:jc w:val="both"/>
        <w:rPr>
          <w:rFonts w:ascii="Arial" w:hAnsi="Arial"/>
          <w:b/>
          <w:sz w:val="20"/>
        </w:rPr>
      </w:pPr>
      <w:r>
        <w:rPr>
          <w:sz w:val="20"/>
        </w:rPr>
        <w:t>Contarán</w:t>
      </w:r>
      <w:r>
        <w:rPr>
          <w:spacing w:val="-1"/>
          <w:sz w:val="20"/>
        </w:rPr>
        <w:t> </w:t>
      </w:r>
      <w:r>
        <w:rPr>
          <w:sz w:val="20"/>
        </w:rPr>
        <w:t>con</w:t>
      </w:r>
      <w:r>
        <w:rPr>
          <w:spacing w:val="-1"/>
          <w:sz w:val="20"/>
        </w:rPr>
        <w:t> </w:t>
      </w:r>
      <w:r>
        <w:rPr>
          <w:sz w:val="20"/>
        </w:rPr>
        <w:t>sistema</w:t>
      </w:r>
      <w:r>
        <w:rPr>
          <w:spacing w:val="-1"/>
          <w:sz w:val="20"/>
        </w:rPr>
        <w:t> </w:t>
      </w:r>
      <w:r>
        <w:rPr>
          <w:sz w:val="20"/>
        </w:rPr>
        <w:t>de</w:t>
      </w:r>
      <w:r>
        <w:rPr>
          <w:spacing w:val="-1"/>
          <w:sz w:val="20"/>
        </w:rPr>
        <w:t> </w:t>
      </w:r>
      <w:r>
        <w:rPr>
          <w:sz w:val="20"/>
        </w:rPr>
        <w:t>transporte</w:t>
      </w:r>
      <w:r>
        <w:rPr>
          <w:spacing w:val="-1"/>
          <w:sz w:val="20"/>
        </w:rPr>
        <w:t> </w:t>
      </w:r>
      <w:r>
        <w:rPr>
          <w:sz w:val="20"/>
        </w:rPr>
        <w:t>y almacenamiento</w:t>
      </w:r>
      <w:r>
        <w:rPr>
          <w:spacing w:val="-1"/>
          <w:sz w:val="20"/>
        </w:rPr>
        <w:t> </w:t>
      </w:r>
      <w:r>
        <w:rPr>
          <w:sz w:val="20"/>
        </w:rPr>
        <w:t>de</w:t>
      </w:r>
      <w:r>
        <w:rPr>
          <w:spacing w:val="-1"/>
          <w:sz w:val="20"/>
        </w:rPr>
        <w:t> </w:t>
      </w:r>
      <w:r>
        <w:rPr>
          <w:sz w:val="20"/>
        </w:rPr>
        <w:t>basura, en</w:t>
      </w:r>
      <w:r>
        <w:rPr>
          <w:spacing w:val="-1"/>
          <w:sz w:val="20"/>
        </w:rPr>
        <w:t> </w:t>
      </w:r>
      <w:r>
        <w:rPr>
          <w:sz w:val="20"/>
        </w:rPr>
        <w:t>los casos que</w:t>
      </w:r>
      <w:r>
        <w:rPr>
          <w:spacing w:val="-1"/>
          <w:sz w:val="20"/>
        </w:rPr>
        <w:t> </w:t>
      </w:r>
      <w:r>
        <w:rPr>
          <w:sz w:val="20"/>
        </w:rPr>
        <w:t>señalen</w:t>
      </w:r>
      <w:r>
        <w:rPr>
          <w:spacing w:val="-1"/>
          <w:sz w:val="20"/>
        </w:rPr>
        <w:t> </w:t>
      </w:r>
      <w:r>
        <w:rPr>
          <w:sz w:val="20"/>
        </w:rPr>
        <w:t>las normas técnicas que expida la autoridad correspondiente.</w:t>
      </w:r>
    </w:p>
    <w:p>
      <w:pPr>
        <w:pStyle w:val="BodyText"/>
        <w:spacing w:before="1"/>
      </w:pPr>
    </w:p>
    <w:p>
      <w:pPr>
        <w:pStyle w:val="ListParagraph"/>
        <w:numPr>
          <w:ilvl w:val="1"/>
          <w:numId w:val="112"/>
        </w:numPr>
        <w:tabs>
          <w:tab w:pos="544" w:val="left" w:leader="none"/>
        </w:tabs>
        <w:spacing w:line="240" w:lineRule="auto" w:before="0" w:after="0"/>
        <w:ind w:left="262" w:right="288" w:firstLine="0"/>
        <w:jc w:val="both"/>
        <w:rPr>
          <w:rFonts w:ascii="Arial" w:hAnsi="Arial"/>
          <w:b/>
          <w:sz w:val="20"/>
        </w:rPr>
      </w:pPr>
      <w:r>
        <w:rPr>
          <w:sz w:val="20"/>
        </w:rPr>
        <w:t>Estarán dotadas de los dispositivos y mecanismos que sean indispensables para tratar sus desechos contaminantes y proteger de sus ruidos y olores, y</w:t>
      </w:r>
    </w:p>
    <w:p>
      <w:pPr>
        <w:pStyle w:val="ListParagraph"/>
        <w:numPr>
          <w:ilvl w:val="0"/>
          <w:numId w:val="112"/>
        </w:numPr>
        <w:tabs>
          <w:tab w:pos="545" w:val="left" w:leader="none"/>
        </w:tabs>
        <w:spacing w:line="240" w:lineRule="auto" w:before="229" w:after="0"/>
        <w:ind w:left="545" w:right="0" w:hanging="283"/>
        <w:jc w:val="both"/>
        <w:rPr>
          <w:sz w:val="20"/>
        </w:rPr>
      </w:pPr>
      <w:r>
        <w:rPr>
          <w:sz w:val="20"/>
        </w:rPr>
        <w:t>De</w:t>
      </w:r>
      <w:r>
        <w:rPr>
          <w:spacing w:val="-7"/>
          <w:sz w:val="20"/>
        </w:rPr>
        <w:t> </w:t>
      </w:r>
      <w:r>
        <w:rPr>
          <w:sz w:val="20"/>
        </w:rPr>
        <w:t>sustentabilidad,</w:t>
      </w:r>
      <w:r>
        <w:rPr>
          <w:spacing w:val="-7"/>
          <w:sz w:val="20"/>
        </w:rPr>
        <w:t> </w:t>
      </w:r>
      <w:r>
        <w:rPr>
          <w:sz w:val="20"/>
        </w:rPr>
        <w:t>en</w:t>
      </w:r>
      <w:r>
        <w:rPr>
          <w:spacing w:val="-8"/>
          <w:sz w:val="20"/>
        </w:rPr>
        <w:t> </w:t>
      </w:r>
      <w:r>
        <w:rPr>
          <w:sz w:val="20"/>
        </w:rPr>
        <w:t>las</w:t>
      </w:r>
      <w:r>
        <w:rPr>
          <w:spacing w:val="-4"/>
          <w:sz w:val="20"/>
        </w:rPr>
        <w:t> </w:t>
      </w:r>
      <w:r>
        <w:rPr>
          <w:sz w:val="20"/>
        </w:rPr>
        <w:t>que</w:t>
      </w:r>
      <w:r>
        <w:rPr>
          <w:spacing w:val="-5"/>
          <w:sz w:val="20"/>
        </w:rPr>
        <w:t> </w:t>
      </w:r>
      <w:r>
        <w:rPr>
          <w:spacing w:val="-2"/>
          <w:sz w:val="20"/>
        </w:rPr>
        <w:t>preferentemente:</w:t>
      </w:r>
    </w:p>
    <w:p>
      <w:pPr>
        <w:pStyle w:val="BodyText"/>
        <w:spacing w:before="1"/>
      </w:pPr>
    </w:p>
    <w:p>
      <w:pPr>
        <w:pStyle w:val="ListParagraph"/>
        <w:numPr>
          <w:ilvl w:val="1"/>
          <w:numId w:val="112"/>
        </w:numPr>
        <w:tabs>
          <w:tab w:pos="544" w:val="left" w:leader="none"/>
        </w:tabs>
        <w:spacing w:line="240" w:lineRule="auto" w:before="0" w:after="0"/>
        <w:ind w:left="262" w:right="286" w:firstLine="0"/>
        <w:jc w:val="both"/>
        <w:rPr>
          <w:rFonts w:ascii="Arial" w:hAnsi="Arial"/>
          <w:b/>
          <w:sz w:val="20"/>
        </w:rPr>
      </w:pPr>
      <w:r>
        <w:rPr>
          <w:sz w:val="20"/>
        </w:rPr>
        <w:t>Se diseñarán y orientarán de manera que se optimice la temperatura interior para evitar el uso excesivo de ventilación o calefacción eléctrica.</w:t>
      </w:r>
    </w:p>
    <w:p>
      <w:pPr>
        <w:pStyle w:val="ListParagraph"/>
        <w:numPr>
          <w:ilvl w:val="1"/>
          <w:numId w:val="112"/>
        </w:numPr>
        <w:tabs>
          <w:tab w:pos="544" w:val="left" w:leader="none"/>
        </w:tabs>
        <w:spacing w:line="240" w:lineRule="auto" w:before="229" w:after="0"/>
        <w:ind w:left="544" w:right="0" w:hanging="282"/>
        <w:jc w:val="both"/>
        <w:rPr>
          <w:rFonts w:ascii="Arial" w:hAnsi="Arial"/>
          <w:b/>
          <w:sz w:val="20"/>
        </w:rPr>
      </w:pPr>
      <w:r>
        <w:rPr>
          <w:sz w:val="20"/>
        </w:rPr>
        <w:t>Se</w:t>
      </w:r>
      <w:r>
        <w:rPr>
          <w:spacing w:val="-7"/>
          <w:sz w:val="20"/>
        </w:rPr>
        <w:t> </w:t>
      </w:r>
      <w:r>
        <w:rPr>
          <w:sz w:val="20"/>
        </w:rPr>
        <w:t>utilizarán</w:t>
      </w:r>
      <w:r>
        <w:rPr>
          <w:spacing w:val="-7"/>
          <w:sz w:val="20"/>
        </w:rPr>
        <w:t> </w:t>
      </w:r>
      <w:r>
        <w:rPr>
          <w:sz w:val="20"/>
        </w:rPr>
        <w:t>energías</w:t>
      </w:r>
      <w:r>
        <w:rPr>
          <w:spacing w:val="-5"/>
          <w:sz w:val="20"/>
        </w:rPr>
        <w:t> </w:t>
      </w:r>
      <w:r>
        <w:rPr>
          <w:sz w:val="20"/>
        </w:rPr>
        <w:t>renovables</w:t>
      </w:r>
      <w:r>
        <w:rPr>
          <w:spacing w:val="-6"/>
          <w:sz w:val="20"/>
        </w:rPr>
        <w:t> </w:t>
      </w:r>
      <w:r>
        <w:rPr>
          <w:sz w:val="20"/>
        </w:rPr>
        <w:t>o</w:t>
      </w:r>
      <w:r>
        <w:rPr>
          <w:spacing w:val="-5"/>
          <w:sz w:val="20"/>
        </w:rPr>
        <w:t> </w:t>
      </w:r>
      <w:r>
        <w:rPr>
          <w:sz w:val="20"/>
        </w:rPr>
        <w:t>alternas</w:t>
      </w:r>
      <w:r>
        <w:rPr>
          <w:spacing w:val="-4"/>
          <w:sz w:val="20"/>
        </w:rPr>
        <w:t> </w:t>
      </w:r>
      <w:r>
        <w:rPr>
          <w:sz w:val="20"/>
        </w:rPr>
        <w:t>en</w:t>
      </w:r>
      <w:r>
        <w:rPr>
          <w:spacing w:val="-8"/>
          <w:sz w:val="20"/>
        </w:rPr>
        <w:t> </w:t>
      </w:r>
      <w:r>
        <w:rPr>
          <w:sz w:val="20"/>
        </w:rPr>
        <w:t>el</w:t>
      </w:r>
      <w:r>
        <w:rPr>
          <w:spacing w:val="-7"/>
          <w:sz w:val="20"/>
        </w:rPr>
        <w:t> </w:t>
      </w:r>
      <w:r>
        <w:rPr>
          <w:sz w:val="20"/>
        </w:rPr>
        <w:t>sistema</w:t>
      </w:r>
      <w:r>
        <w:rPr>
          <w:spacing w:val="-5"/>
          <w:sz w:val="20"/>
        </w:rPr>
        <w:t> </w:t>
      </w:r>
      <w:r>
        <w:rPr>
          <w:sz w:val="20"/>
        </w:rPr>
        <w:t>de</w:t>
      </w:r>
      <w:r>
        <w:rPr>
          <w:spacing w:val="-6"/>
          <w:sz w:val="20"/>
        </w:rPr>
        <w:t> </w:t>
      </w:r>
      <w:r>
        <w:rPr>
          <w:spacing w:val="-2"/>
          <w:sz w:val="20"/>
        </w:rPr>
        <w:t>infraestructura.</w:t>
      </w:r>
    </w:p>
    <w:p>
      <w:pPr>
        <w:pStyle w:val="BodyText"/>
        <w:spacing w:before="1"/>
      </w:pPr>
    </w:p>
    <w:p>
      <w:pPr>
        <w:pStyle w:val="ListParagraph"/>
        <w:numPr>
          <w:ilvl w:val="1"/>
          <w:numId w:val="112"/>
        </w:numPr>
        <w:tabs>
          <w:tab w:pos="544" w:val="left" w:leader="none"/>
        </w:tabs>
        <w:spacing w:line="240" w:lineRule="auto" w:before="0" w:after="0"/>
        <w:ind w:left="544" w:right="0" w:hanging="282"/>
        <w:jc w:val="both"/>
        <w:rPr>
          <w:rFonts w:ascii="Arial" w:hAnsi="Arial"/>
          <w:b/>
          <w:sz w:val="20"/>
        </w:rPr>
      </w:pPr>
      <w:r>
        <w:rPr>
          <w:sz w:val="20"/>
        </w:rPr>
        <w:t>Se</w:t>
      </w:r>
      <w:r>
        <w:rPr>
          <w:spacing w:val="-7"/>
          <w:sz w:val="20"/>
        </w:rPr>
        <w:t> </w:t>
      </w:r>
      <w:r>
        <w:rPr>
          <w:sz w:val="20"/>
        </w:rPr>
        <w:t>implementarán</w:t>
      </w:r>
      <w:r>
        <w:rPr>
          <w:spacing w:val="-9"/>
          <w:sz w:val="20"/>
        </w:rPr>
        <w:t> </w:t>
      </w:r>
      <w:r>
        <w:rPr>
          <w:sz w:val="20"/>
        </w:rPr>
        <w:t>sistemas</w:t>
      </w:r>
      <w:r>
        <w:rPr>
          <w:spacing w:val="-7"/>
          <w:sz w:val="20"/>
        </w:rPr>
        <w:t> </w:t>
      </w:r>
      <w:r>
        <w:rPr>
          <w:sz w:val="20"/>
        </w:rPr>
        <w:t>de</w:t>
      </w:r>
      <w:r>
        <w:rPr>
          <w:spacing w:val="-10"/>
          <w:sz w:val="20"/>
        </w:rPr>
        <w:t> </w:t>
      </w:r>
      <w:r>
        <w:rPr>
          <w:sz w:val="20"/>
        </w:rPr>
        <w:t>reutilización</w:t>
      </w:r>
      <w:r>
        <w:rPr>
          <w:spacing w:val="-8"/>
          <w:sz w:val="20"/>
        </w:rPr>
        <w:t> </w:t>
      </w:r>
      <w:r>
        <w:rPr>
          <w:sz w:val="20"/>
        </w:rPr>
        <w:t>del</w:t>
      </w:r>
      <w:r>
        <w:rPr>
          <w:spacing w:val="-8"/>
          <w:sz w:val="20"/>
        </w:rPr>
        <w:t> </w:t>
      </w:r>
      <w:r>
        <w:rPr>
          <w:sz w:val="20"/>
        </w:rPr>
        <w:t>agua</w:t>
      </w:r>
      <w:r>
        <w:rPr>
          <w:spacing w:val="-6"/>
          <w:sz w:val="20"/>
        </w:rPr>
        <w:t> </w:t>
      </w:r>
      <w:r>
        <w:rPr>
          <w:sz w:val="20"/>
        </w:rPr>
        <w:t>y</w:t>
      </w:r>
      <w:r>
        <w:rPr>
          <w:spacing w:val="-8"/>
          <w:sz w:val="20"/>
        </w:rPr>
        <w:t> </w:t>
      </w:r>
      <w:r>
        <w:rPr>
          <w:sz w:val="20"/>
        </w:rPr>
        <w:t>aprovechamiento</w:t>
      </w:r>
      <w:r>
        <w:rPr>
          <w:spacing w:val="-8"/>
          <w:sz w:val="20"/>
        </w:rPr>
        <w:t> </w:t>
      </w:r>
      <w:r>
        <w:rPr>
          <w:sz w:val="20"/>
        </w:rPr>
        <w:t>del</w:t>
      </w:r>
      <w:r>
        <w:rPr>
          <w:spacing w:val="-9"/>
          <w:sz w:val="20"/>
        </w:rPr>
        <w:t> </w:t>
      </w:r>
      <w:r>
        <w:rPr>
          <w:sz w:val="20"/>
        </w:rPr>
        <w:t>agua</w:t>
      </w:r>
      <w:r>
        <w:rPr>
          <w:spacing w:val="-8"/>
          <w:sz w:val="20"/>
        </w:rPr>
        <w:t> </w:t>
      </w:r>
      <w:r>
        <w:rPr>
          <w:spacing w:val="-2"/>
          <w:sz w:val="20"/>
        </w:rPr>
        <w:t>pluvial.</w:t>
      </w:r>
    </w:p>
    <w:p>
      <w:pPr>
        <w:pStyle w:val="BodyText"/>
        <w:spacing w:before="1"/>
      </w:pPr>
    </w:p>
    <w:p>
      <w:pPr>
        <w:pStyle w:val="ListParagraph"/>
        <w:numPr>
          <w:ilvl w:val="1"/>
          <w:numId w:val="112"/>
        </w:numPr>
        <w:tabs>
          <w:tab w:pos="544" w:val="left" w:leader="none"/>
        </w:tabs>
        <w:spacing w:line="240" w:lineRule="auto" w:before="0" w:after="0"/>
        <w:ind w:left="262" w:right="286" w:firstLine="0"/>
        <w:jc w:val="both"/>
        <w:rPr>
          <w:rFonts w:ascii="Arial" w:hAnsi="Arial"/>
          <w:b/>
          <w:sz w:val="20"/>
        </w:rPr>
      </w:pPr>
      <w:r>
        <w:rPr>
          <w:sz w:val="20"/>
        </w:rPr>
        <w:t>Cuando el tipo de suelo lo permita, se procurará la utilización pavimentos que favorezcan la permeabilidad del agua</w:t>
      </w:r>
      <w:r>
        <w:rPr>
          <w:spacing w:val="40"/>
          <w:sz w:val="20"/>
        </w:rPr>
        <w:t> </w:t>
      </w:r>
      <w:r>
        <w:rPr>
          <w:sz w:val="20"/>
        </w:rPr>
        <w:t>a fin de optimizar la captación de la misma por los mantos freáticos y </w:t>
      </w:r>
      <w:r>
        <w:rPr>
          <w:spacing w:val="-2"/>
          <w:sz w:val="20"/>
        </w:rPr>
        <w:t>acuíferos.</w:t>
      </w:r>
    </w:p>
    <w:p>
      <w:pPr>
        <w:pStyle w:val="ListParagraph"/>
        <w:numPr>
          <w:ilvl w:val="1"/>
          <w:numId w:val="112"/>
        </w:numPr>
        <w:tabs>
          <w:tab w:pos="544" w:val="left" w:leader="none"/>
        </w:tabs>
        <w:spacing w:line="240" w:lineRule="auto" w:before="229" w:after="0"/>
        <w:ind w:left="262" w:right="288" w:firstLine="0"/>
        <w:jc w:val="both"/>
        <w:rPr>
          <w:rFonts w:ascii="Arial" w:hAnsi="Arial"/>
          <w:b/>
          <w:sz w:val="20"/>
        </w:rPr>
      </w:pPr>
      <w:r>
        <w:rPr>
          <w:sz w:val="20"/>
        </w:rPr>
        <w:t>Se utilizarán sistemas constructivos con materiales de la región que consideren el clima de la zona en la que se ubiquen para favorecer el confort interior.</w:t>
      </w:r>
    </w:p>
    <w:p>
      <w:pPr>
        <w:pStyle w:val="ListParagraph"/>
        <w:numPr>
          <w:ilvl w:val="1"/>
          <w:numId w:val="112"/>
        </w:numPr>
        <w:tabs>
          <w:tab w:pos="543" w:val="left" w:leader="none"/>
        </w:tabs>
        <w:spacing w:line="240" w:lineRule="auto" w:before="229" w:after="0"/>
        <w:ind w:left="262" w:right="288" w:firstLine="0"/>
        <w:jc w:val="both"/>
        <w:rPr>
          <w:rFonts w:ascii="Arial" w:hAnsi="Arial"/>
          <w:b/>
          <w:sz w:val="20"/>
        </w:rPr>
      </w:pPr>
      <w:r>
        <w:rPr>
          <w:sz w:val="20"/>
        </w:rPr>
        <w:t>Siempre que</w:t>
      </w:r>
      <w:r>
        <w:rPr>
          <w:spacing w:val="-1"/>
          <w:sz w:val="20"/>
        </w:rPr>
        <w:t> </w:t>
      </w:r>
      <w:r>
        <w:rPr>
          <w:sz w:val="20"/>
        </w:rPr>
        <w:t>sea posible, se</w:t>
      </w:r>
      <w:r>
        <w:rPr>
          <w:spacing w:val="-1"/>
          <w:sz w:val="20"/>
        </w:rPr>
        <w:t> </w:t>
      </w:r>
      <w:r>
        <w:rPr>
          <w:sz w:val="20"/>
        </w:rPr>
        <w:t>construirán con los requerimientos necesarios para que los techos puedan implementarse como azoteas verdes.</w:t>
      </w:r>
    </w:p>
    <w:p>
      <w:pPr>
        <w:pStyle w:val="BodyText"/>
        <w:spacing w:before="1"/>
      </w:pPr>
    </w:p>
    <w:p>
      <w:pPr>
        <w:pStyle w:val="BodyText"/>
        <w:spacing w:before="1"/>
        <w:ind w:left="262" w:right="282"/>
      </w:pPr>
      <w:r>
        <w:rPr/>
        <w:t>Los</w:t>
      </w:r>
      <w:r>
        <w:rPr>
          <w:spacing w:val="-14"/>
        </w:rPr>
        <w:t> </w:t>
      </w:r>
      <w:r>
        <w:rPr/>
        <w:t>ayuntamientos</w:t>
      </w:r>
      <w:r>
        <w:rPr>
          <w:spacing w:val="-14"/>
        </w:rPr>
        <w:t> </w:t>
      </w:r>
      <w:r>
        <w:rPr/>
        <w:t>darán</w:t>
      </w:r>
      <w:r>
        <w:rPr>
          <w:spacing w:val="-14"/>
        </w:rPr>
        <w:t> </w:t>
      </w:r>
      <w:r>
        <w:rPr/>
        <w:t>prioridad</w:t>
      </w:r>
      <w:r>
        <w:rPr>
          <w:spacing w:val="-14"/>
        </w:rPr>
        <w:t> </w:t>
      </w:r>
      <w:r>
        <w:rPr/>
        <w:t>a</w:t>
      </w:r>
      <w:r>
        <w:rPr>
          <w:spacing w:val="-14"/>
        </w:rPr>
        <w:t> </w:t>
      </w:r>
      <w:r>
        <w:rPr/>
        <w:t>la</w:t>
      </w:r>
      <w:r>
        <w:rPr>
          <w:spacing w:val="-14"/>
        </w:rPr>
        <w:t> </w:t>
      </w:r>
      <w:r>
        <w:rPr/>
        <w:t>autorización</w:t>
      </w:r>
      <w:r>
        <w:rPr>
          <w:spacing w:val="-14"/>
        </w:rPr>
        <w:t> </w:t>
      </w:r>
      <w:r>
        <w:rPr/>
        <w:t>de</w:t>
      </w:r>
      <w:r>
        <w:rPr>
          <w:spacing w:val="-14"/>
        </w:rPr>
        <w:t> </w:t>
      </w:r>
      <w:r>
        <w:rPr/>
        <w:t>edificaciones</w:t>
      </w:r>
      <w:r>
        <w:rPr>
          <w:spacing w:val="-14"/>
        </w:rPr>
        <w:t> </w:t>
      </w:r>
      <w:r>
        <w:rPr/>
        <w:t>que</w:t>
      </w:r>
      <w:r>
        <w:rPr>
          <w:spacing w:val="-14"/>
        </w:rPr>
        <w:t> </w:t>
      </w:r>
      <w:r>
        <w:rPr/>
        <w:t>voluntariamente</w:t>
      </w:r>
      <w:r>
        <w:rPr>
          <w:spacing w:val="-14"/>
        </w:rPr>
        <w:t> </w:t>
      </w:r>
      <w:r>
        <w:rPr/>
        <w:t>incorporen los elementos que establece la presente fracción.</w:t>
      </w:r>
    </w:p>
    <w:p>
      <w:pPr>
        <w:spacing w:before="228"/>
        <w:ind w:left="26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6"/>
          <w:sz w:val="20"/>
        </w:rPr>
        <w:t> </w:t>
      </w:r>
      <w:r>
        <w:rPr>
          <w:rFonts w:ascii="Arial"/>
          <w:i/>
          <w:sz w:val="20"/>
        </w:rPr>
        <w:t>NOVIEMBRE</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ListParagraph"/>
        <w:numPr>
          <w:ilvl w:val="1"/>
          <w:numId w:val="112"/>
        </w:numPr>
        <w:tabs>
          <w:tab w:pos="498" w:val="left" w:leader="none"/>
        </w:tabs>
        <w:spacing w:line="240" w:lineRule="auto" w:before="1" w:after="0"/>
        <w:ind w:left="262" w:right="258" w:firstLine="0"/>
        <w:jc w:val="both"/>
        <w:rPr>
          <w:rFonts w:ascii="Arial" w:hAnsi="Arial"/>
          <w:b/>
          <w:color w:val="211F1F"/>
          <w:sz w:val="20"/>
        </w:rPr>
      </w:pPr>
      <w:r>
        <w:rPr>
          <w:color w:val="211F1F"/>
          <w:sz w:val="20"/>
        </w:rPr>
        <w:t>Se sembrará cuando menos un árbol en cada nueva construcción, de preferencia se hará en la acera frontal respetando que no interfiera con el libre paso de peatones, para tal efecto deberá seleccionar especies preferentemente nativas de la región natural y de raíz vertical que no causen</w:t>
      </w:r>
    </w:p>
    <w:p>
      <w:pPr>
        <w:pStyle w:val="ListParagraph"/>
        <w:spacing w:after="0" w:line="240" w:lineRule="auto"/>
        <w:jc w:val="both"/>
        <w:rPr>
          <w:rFonts w:ascii="Arial" w:hAnsi="Arial"/>
          <w:b/>
          <w:sz w:val="20"/>
        </w:rPr>
        <w:sectPr>
          <w:pgSz w:w="12240" w:h="15840"/>
          <w:pgMar w:header="720" w:footer="697" w:top="2100" w:bottom="880" w:left="1440" w:right="1440"/>
        </w:sectPr>
      </w:pPr>
    </w:p>
    <w:p>
      <w:pPr>
        <w:pStyle w:val="BodyText"/>
      </w:pPr>
    </w:p>
    <w:p>
      <w:pPr>
        <w:pStyle w:val="BodyText"/>
        <w:spacing w:before="71"/>
      </w:pPr>
    </w:p>
    <w:p>
      <w:pPr>
        <w:pStyle w:val="BodyText"/>
        <w:ind w:left="262" w:right="268"/>
        <w:jc w:val="both"/>
      </w:pPr>
      <w:r>
        <w:rPr>
          <w:color w:val="211F1F"/>
        </w:rPr>
        <w:t>un daño o desperfecto a la infraestructura de la vía pública, atendiendo en todo momento las disposiciones de la Dirección o área de Ecología del Municipio respectivo.</w:t>
      </w:r>
    </w:p>
    <w:p>
      <w:pPr>
        <w:pStyle w:val="BodyText"/>
        <w:spacing w:before="1"/>
      </w:pPr>
    </w:p>
    <w:p>
      <w:pPr>
        <w:pStyle w:val="BodyText"/>
        <w:ind w:left="262" w:right="287"/>
        <w:jc w:val="both"/>
      </w:pPr>
      <w:r>
        <w:rPr>
          <w:rFonts w:ascii="Arial" w:hAnsi="Arial"/>
          <w:b/>
        </w:rPr>
        <w:t>ARTÍCULO</w:t>
      </w:r>
      <w:r>
        <w:rPr>
          <w:rFonts w:ascii="Arial" w:hAnsi="Arial"/>
          <w:b/>
          <w:spacing w:val="-9"/>
        </w:rPr>
        <w:t> </w:t>
      </w:r>
      <w:r>
        <w:rPr>
          <w:rFonts w:ascii="Arial" w:hAnsi="Arial"/>
          <w:b/>
        </w:rPr>
        <w:t>316.</w:t>
      </w:r>
      <w:r>
        <w:rPr>
          <w:rFonts w:ascii="Arial" w:hAnsi="Arial"/>
          <w:b/>
          <w:spacing w:val="-10"/>
        </w:rPr>
        <w:t> </w:t>
      </w:r>
      <w:r>
        <w:rPr/>
        <w:t>Queda</w:t>
      </w:r>
      <w:r>
        <w:rPr>
          <w:spacing w:val="-8"/>
        </w:rPr>
        <w:t> </w:t>
      </w:r>
      <w:r>
        <w:rPr/>
        <w:t>prohibida</w:t>
      </w:r>
      <w:r>
        <w:rPr>
          <w:spacing w:val="-10"/>
        </w:rPr>
        <w:t> </w:t>
      </w:r>
      <w:r>
        <w:rPr/>
        <w:t>la</w:t>
      </w:r>
      <w:r>
        <w:rPr>
          <w:spacing w:val="-10"/>
        </w:rPr>
        <w:t> </w:t>
      </w:r>
      <w:r>
        <w:rPr/>
        <w:t>realización</w:t>
      </w:r>
      <w:r>
        <w:rPr>
          <w:spacing w:val="-10"/>
        </w:rPr>
        <w:t> </w:t>
      </w:r>
      <w:r>
        <w:rPr/>
        <w:t>de</w:t>
      </w:r>
      <w:r>
        <w:rPr>
          <w:spacing w:val="-10"/>
        </w:rPr>
        <w:t> </w:t>
      </w:r>
      <w:r>
        <w:rPr/>
        <w:t>cualquier</w:t>
      </w:r>
      <w:r>
        <w:rPr>
          <w:spacing w:val="-9"/>
        </w:rPr>
        <w:t> </w:t>
      </w:r>
      <w:r>
        <w:rPr/>
        <w:t>obra</w:t>
      </w:r>
      <w:r>
        <w:rPr>
          <w:spacing w:val="-9"/>
        </w:rPr>
        <w:t> </w:t>
      </w:r>
      <w:r>
        <w:rPr/>
        <w:t>destinada</w:t>
      </w:r>
      <w:r>
        <w:rPr>
          <w:spacing w:val="-10"/>
        </w:rPr>
        <w:t> </w:t>
      </w:r>
      <w:r>
        <w:rPr/>
        <w:t>a</w:t>
      </w:r>
      <w:r>
        <w:rPr>
          <w:spacing w:val="-10"/>
        </w:rPr>
        <w:t> </w:t>
      </w:r>
      <w:r>
        <w:rPr/>
        <w:t>la</w:t>
      </w:r>
      <w:r>
        <w:rPr>
          <w:spacing w:val="-10"/>
        </w:rPr>
        <w:t> </w:t>
      </w:r>
      <w:r>
        <w:rPr/>
        <w:t>actividad</w:t>
      </w:r>
      <w:r>
        <w:rPr>
          <w:spacing w:val="-10"/>
        </w:rPr>
        <w:t> </w:t>
      </w:r>
      <w:r>
        <w:rPr/>
        <w:t>industrial, comercial, de servicios o vivienda, mientras el Ayuntamiento no expida la licencia de construcción </w:t>
      </w:r>
      <w:r>
        <w:rPr>
          <w:spacing w:val="-2"/>
        </w:rPr>
        <w:t>correspondiente.</w:t>
      </w:r>
    </w:p>
    <w:p>
      <w:pPr>
        <w:pStyle w:val="BodyText"/>
        <w:spacing w:before="229"/>
        <w:ind w:left="262" w:right="285"/>
        <w:jc w:val="both"/>
      </w:pPr>
      <w:r>
        <w:rPr/>
        <w:t>Los ayuntamientos al expedir y aplicar sus reglamentos de construcción o sus equivalentes, considerarán las condiciones propias de sus municipios, así como las características y tendencias de su desarrollo urbano y el ordenamiento del territorio.</w:t>
      </w:r>
    </w:p>
    <w:p>
      <w:pPr>
        <w:pStyle w:val="BodyText"/>
      </w:pPr>
    </w:p>
    <w:p>
      <w:pPr>
        <w:pStyle w:val="BodyText"/>
        <w:ind w:left="262" w:right="286"/>
        <w:jc w:val="both"/>
      </w:pPr>
      <w:r>
        <w:rPr>
          <w:spacing w:val="-2"/>
        </w:rPr>
        <w:t>Las normas de</w:t>
      </w:r>
      <w:r>
        <w:rPr>
          <w:spacing w:val="-3"/>
        </w:rPr>
        <w:t> </w:t>
      </w:r>
      <w:r>
        <w:rPr>
          <w:spacing w:val="-2"/>
        </w:rPr>
        <w:t>diseño</w:t>
      </w:r>
      <w:r>
        <w:rPr>
          <w:spacing w:val="-4"/>
        </w:rPr>
        <w:t> </w:t>
      </w:r>
      <w:r>
        <w:rPr>
          <w:spacing w:val="-2"/>
        </w:rPr>
        <w:t>contenidas en</w:t>
      </w:r>
      <w:r>
        <w:rPr>
          <w:spacing w:val="-4"/>
        </w:rPr>
        <w:t> </w:t>
      </w:r>
      <w:r>
        <w:rPr>
          <w:spacing w:val="-2"/>
        </w:rPr>
        <w:t>esos reglamentos,</w:t>
      </w:r>
      <w:r>
        <w:rPr>
          <w:spacing w:val="-3"/>
        </w:rPr>
        <w:t> </w:t>
      </w:r>
      <w:r>
        <w:rPr>
          <w:spacing w:val="-2"/>
        </w:rPr>
        <w:t>deberán</w:t>
      </w:r>
      <w:r>
        <w:rPr>
          <w:spacing w:val="-3"/>
        </w:rPr>
        <w:t> </w:t>
      </w:r>
      <w:r>
        <w:rPr>
          <w:spacing w:val="-2"/>
        </w:rPr>
        <w:t>incluir especificaciones que</w:t>
      </w:r>
      <w:r>
        <w:rPr>
          <w:spacing w:val="-3"/>
        </w:rPr>
        <w:t> </w:t>
      </w:r>
      <w:r>
        <w:rPr>
          <w:spacing w:val="-2"/>
        </w:rPr>
        <w:t>faciliten </w:t>
      </w:r>
      <w:r>
        <w:rPr/>
        <w:t>el desplazamiento y el acceso a las personas con discapacidad y en particular, en edificios y espacios abiertos para actividades públicas, generales o restringidas.</w:t>
      </w:r>
    </w:p>
    <w:p>
      <w:pPr>
        <w:pStyle w:val="BodyText"/>
      </w:pPr>
    </w:p>
    <w:p>
      <w:pPr>
        <w:pStyle w:val="BodyText"/>
        <w:spacing w:before="2"/>
      </w:pPr>
    </w:p>
    <w:p>
      <w:pPr>
        <w:pStyle w:val="Heading1"/>
        <w:spacing w:line="477" w:lineRule="auto"/>
        <w:ind w:left="3404" w:right="3419"/>
      </w:pPr>
      <w:r>
        <w:rPr/>
        <w:t>TÍTULO</w:t>
      </w:r>
      <w:r>
        <w:rPr>
          <w:spacing w:val="-14"/>
        </w:rPr>
        <w:t> </w:t>
      </w:r>
      <w:r>
        <w:rPr/>
        <w:t>DÉCIMO</w:t>
      </w:r>
      <w:r>
        <w:rPr>
          <w:spacing w:val="-14"/>
        </w:rPr>
        <w:t> </w:t>
      </w:r>
      <w:r>
        <w:rPr/>
        <w:t>CUARTO </w:t>
      </w:r>
      <w:r>
        <w:rPr>
          <w:spacing w:val="-2"/>
        </w:rPr>
        <w:t>FRACCIONAMIENTOS</w:t>
      </w:r>
    </w:p>
    <w:p>
      <w:pPr>
        <w:pStyle w:val="BodyText"/>
        <w:spacing w:before="5"/>
        <w:rPr>
          <w:rFonts w:ascii="Arial"/>
          <w:b/>
        </w:rPr>
      </w:pPr>
    </w:p>
    <w:p>
      <w:pPr>
        <w:pStyle w:val="Heading2"/>
        <w:spacing w:line="477" w:lineRule="auto"/>
        <w:ind w:left="3865" w:right="3876" w:firstLine="350"/>
        <w:jc w:val="left"/>
      </w:pPr>
      <w:r>
        <w:rPr/>
        <w:t>Capítulo I Bases</w:t>
      </w:r>
      <w:r>
        <w:rPr>
          <w:spacing w:val="-14"/>
        </w:rPr>
        <w:t> </w:t>
      </w:r>
      <w:r>
        <w:rPr/>
        <w:t>Generales</w:t>
      </w:r>
    </w:p>
    <w:p>
      <w:pPr>
        <w:pStyle w:val="BodyText"/>
        <w:spacing w:before="4"/>
        <w:ind w:left="262" w:right="285"/>
        <w:jc w:val="both"/>
      </w:pPr>
      <w:r>
        <w:rPr>
          <w:rFonts w:ascii="Arial" w:hAnsi="Arial"/>
          <w:b/>
        </w:rPr>
        <w:t>ARTÍCULO 317. </w:t>
      </w:r>
      <w:r>
        <w:rPr/>
        <w:t>Los fraccionamientos, subdivisiones, fusiones, relotificaciones, modificaciones y desarrollos</w:t>
      </w:r>
      <w:r>
        <w:rPr>
          <w:spacing w:val="-6"/>
        </w:rPr>
        <w:t> </w:t>
      </w:r>
      <w:r>
        <w:rPr/>
        <w:t>en</w:t>
      </w:r>
      <w:r>
        <w:rPr>
          <w:spacing w:val="-7"/>
        </w:rPr>
        <w:t> </w:t>
      </w:r>
      <w:r>
        <w:rPr/>
        <w:t>régimen</w:t>
      </w:r>
      <w:r>
        <w:rPr>
          <w:spacing w:val="-4"/>
        </w:rPr>
        <w:t> </w:t>
      </w:r>
      <w:r>
        <w:rPr/>
        <w:t>de</w:t>
      </w:r>
      <w:r>
        <w:rPr>
          <w:spacing w:val="-4"/>
        </w:rPr>
        <w:t> </w:t>
      </w:r>
      <w:r>
        <w:rPr/>
        <w:t>propiedad</w:t>
      </w:r>
      <w:r>
        <w:rPr>
          <w:spacing w:val="-7"/>
        </w:rPr>
        <w:t> </w:t>
      </w:r>
      <w:r>
        <w:rPr/>
        <w:t>en</w:t>
      </w:r>
      <w:r>
        <w:rPr>
          <w:spacing w:val="-7"/>
        </w:rPr>
        <w:t> </w:t>
      </w:r>
      <w:r>
        <w:rPr/>
        <w:t>condominio,</w:t>
      </w:r>
      <w:r>
        <w:rPr>
          <w:spacing w:val="-4"/>
        </w:rPr>
        <w:t> </w:t>
      </w:r>
      <w:r>
        <w:rPr/>
        <w:t>a</w:t>
      </w:r>
      <w:r>
        <w:rPr>
          <w:spacing w:val="-7"/>
        </w:rPr>
        <w:t> </w:t>
      </w:r>
      <w:r>
        <w:rPr/>
        <w:t>que</w:t>
      </w:r>
      <w:r>
        <w:rPr>
          <w:spacing w:val="-7"/>
        </w:rPr>
        <w:t> </w:t>
      </w:r>
      <w:r>
        <w:rPr/>
        <w:t>se</w:t>
      </w:r>
      <w:r>
        <w:rPr>
          <w:spacing w:val="-7"/>
        </w:rPr>
        <w:t> </w:t>
      </w:r>
      <w:r>
        <w:rPr/>
        <w:t>refiere</w:t>
      </w:r>
      <w:r>
        <w:rPr>
          <w:spacing w:val="-7"/>
        </w:rPr>
        <w:t> </w:t>
      </w:r>
      <w:r>
        <w:rPr/>
        <w:t>esta</w:t>
      </w:r>
      <w:r>
        <w:rPr>
          <w:spacing w:val="-7"/>
        </w:rPr>
        <w:t> </w:t>
      </w:r>
      <w:r>
        <w:rPr/>
        <w:t>Ley</w:t>
      </w:r>
      <w:r>
        <w:rPr>
          <w:spacing w:val="-6"/>
        </w:rPr>
        <w:t> </w:t>
      </w:r>
      <w:r>
        <w:rPr/>
        <w:t>deberán</w:t>
      </w:r>
      <w:r>
        <w:rPr>
          <w:spacing w:val="-7"/>
        </w:rPr>
        <w:t> </w:t>
      </w:r>
      <w:r>
        <w:rPr/>
        <w:t>sujetarse,</w:t>
      </w:r>
      <w:r>
        <w:rPr>
          <w:spacing w:val="-7"/>
        </w:rPr>
        <w:t> </w:t>
      </w:r>
      <w:r>
        <w:rPr/>
        <w:t>a:</w:t>
      </w:r>
    </w:p>
    <w:p>
      <w:pPr>
        <w:pStyle w:val="ListParagraph"/>
        <w:numPr>
          <w:ilvl w:val="2"/>
          <w:numId w:val="112"/>
        </w:numPr>
        <w:tabs>
          <w:tab w:pos="688" w:val="left" w:leader="none"/>
        </w:tabs>
        <w:spacing w:line="240" w:lineRule="auto" w:before="229" w:after="0"/>
        <w:ind w:left="262" w:right="284" w:firstLine="0"/>
        <w:jc w:val="both"/>
        <w:rPr>
          <w:sz w:val="20"/>
        </w:rPr>
      </w:pPr>
      <w:r>
        <w:rPr>
          <w:sz w:val="20"/>
        </w:rPr>
        <w:t>Las disposiciones de la presente Ley y demás leyes, programas, reglamentos y normas de ordenamiento</w:t>
      </w:r>
      <w:r>
        <w:rPr>
          <w:spacing w:val="40"/>
          <w:sz w:val="20"/>
        </w:rPr>
        <w:t> </w:t>
      </w:r>
      <w:r>
        <w:rPr>
          <w:sz w:val="20"/>
        </w:rPr>
        <w:t>territorial</w:t>
      </w:r>
      <w:r>
        <w:rPr>
          <w:spacing w:val="-3"/>
          <w:sz w:val="20"/>
        </w:rPr>
        <w:t> </w:t>
      </w:r>
      <w:r>
        <w:rPr>
          <w:sz w:val="20"/>
        </w:rPr>
        <w:t>y</w:t>
      </w:r>
      <w:r>
        <w:rPr>
          <w:spacing w:val="-3"/>
          <w:sz w:val="20"/>
        </w:rPr>
        <w:t> </w:t>
      </w:r>
      <w:r>
        <w:rPr>
          <w:sz w:val="20"/>
        </w:rPr>
        <w:t>desarrollo</w:t>
      </w:r>
      <w:r>
        <w:rPr>
          <w:spacing w:val="-4"/>
          <w:sz w:val="20"/>
        </w:rPr>
        <w:t> </w:t>
      </w:r>
      <w:r>
        <w:rPr>
          <w:sz w:val="20"/>
        </w:rPr>
        <w:t>urbano</w:t>
      </w:r>
      <w:r>
        <w:rPr>
          <w:spacing w:val="-2"/>
          <w:sz w:val="20"/>
        </w:rPr>
        <w:t> </w:t>
      </w:r>
      <w:r>
        <w:rPr>
          <w:sz w:val="20"/>
        </w:rPr>
        <w:t>y</w:t>
      </w:r>
      <w:r>
        <w:rPr>
          <w:spacing w:val="-3"/>
          <w:sz w:val="20"/>
        </w:rPr>
        <w:t> </w:t>
      </w:r>
      <w:r>
        <w:rPr>
          <w:sz w:val="20"/>
        </w:rPr>
        <w:t>ambiental</w:t>
      </w:r>
      <w:r>
        <w:rPr>
          <w:spacing w:val="-5"/>
          <w:sz w:val="20"/>
        </w:rPr>
        <w:t> </w:t>
      </w:r>
      <w:r>
        <w:rPr>
          <w:sz w:val="20"/>
        </w:rPr>
        <w:t>vigentes,</w:t>
      </w:r>
      <w:r>
        <w:rPr>
          <w:spacing w:val="-4"/>
          <w:sz w:val="20"/>
        </w:rPr>
        <w:t> </w:t>
      </w:r>
      <w:r>
        <w:rPr>
          <w:sz w:val="20"/>
        </w:rPr>
        <w:t>en</w:t>
      </w:r>
      <w:r>
        <w:rPr>
          <w:spacing w:val="-4"/>
          <w:sz w:val="20"/>
        </w:rPr>
        <w:t> </w:t>
      </w:r>
      <w:r>
        <w:rPr>
          <w:sz w:val="20"/>
        </w:rPr>
        <w:t>los</w:t>
      </w:r>
      <w:r>
        <w:rPr>
          <w:spacing w:val="-3"/>
          <w:sz w:val="20"/>
        </w:rPr>
        <w:t> </w:t>
      </w:r>
      <w:r>
        <w:rPr>
          <w:sz w:val="20"/>
        </w:rPr>
        <w:t>ámbitos</w:t>
      </w:r>
      <w:r>
        <w:rPr>
          <w:spacing w:val="-1"/>
          <w:sz w:val="20"/>
        </w:rPr>
        <w:t> </w:t>
      </w:r>
      <w:r>
        <w:rPr>
          <w:sz w:val="20"/>
        </w:rPr>
        <w:t>nacional,</w:t>
      </w:r>
      <w:r>
        <w:rPr>
          <w:spacing w:val="-4"/>
          <w:sz w:val="20"/>
        </w:rPr>
        <w:t> </w:t>
      </w:r>
      <w:r>
        <w:rPr>
          <w:sz w:val="20"/>
        </w:rPr>
        <w:t>estatal</w:t>
      </w:r>
      <w:r>
        <w:rPr>
          <w:spacing w:val="-3"/>
          <w:sz w:val="20"/>
        </w:rPr>
        <w:t> </w:t>
      </w:r>
      <w:r>
        <w:rPr>
          <w:sz w:val="20"/>
        </w:rPr>
        <w:t>y municipal, así como a las demás disposiciones jurídicas aplicables en la materia;</w:t>
      </w:r>
    </w:p>
    <w:p>
      <w:pPr>
        <w:pStyle w:val="BodyText"/>
        <w:spacing w:before="1"/>
      </w:pPr>
    </w:p>
    <w:p>
      <w:pPr>
        <w:pStyle w:val="ListParagraph"/>
        <w:numPr>
          <w:ilvl w:val="2"/>
          <w:numId w:val="112"/>
        </w:numPr>
        <w:tabs>
          <w:tab w:pos="686" w:val="left" w:leader="none"/>
        </w:tabs>
        <w:spacing w:line="240" w:lineRule="auto" w:before="1" w:after="0"/>
        <w:ind w:left="686" w:right="0" w:hanging="424"/>
        <w:jc w:val="both"/>
        <w:rPr>
          <w:sz w:val="20"/>
        </w:rPr>
      </w:pPr>
      <w:r>
        <w:rPr>
          <w:sz w:val="20"/>
        </w:rPr>
        <w:t>La</w:t>
      </w:r>
      <w:r>
        <w:rPr>
          <w:spacing w:val="-6"/>
          <w:sz w:val="20"/>
        </w:rPr>
        <w:t> </w:t>
      </w:r>
      <w:r>
        <w:rPr>
          <w:sz w:val="20"/>
        </w:rPr>
        <w:t>licencia</w:t>
      </w:r>
      <w:r>
        <w:rPr>
          <w:spacing w:val="-5"/>
          <w:sz w:val="20"/>
        </w:rPr>
        <w:t> </w:t>
      </w:r>
      <w:r>
        <w:rPr>
          <w:sz w:val="20"/>
        </w:rPr>
        <w:t>de</w:t>
      </w:r>
      <w:r>
        <w:rPr>
          <w:spacing w:val="-5"/>
          <w:sz w:val="20"/>
        </w:rPr>
        <w:t> </w:t>
      </w:r>
      <w:r>
        <w:rPr>
          <w:sz w:val="20"/>
        </w:rPr>
        <w:t>uso</w:t>
      </w:r>
      <w:r>
        <w:rPr>
          <w:spacing w:val="-2"/>
          <w:sz w:val="20"/>
        </w:rPr>
        <w:t> </w:t>
      </w:r>
      <w:r>
        <w:rPr>
          <w:sz w:val="20"/>
        </w:rPr>
        <w:t>de</w:t>
      </w:r>
      <w:r>
        <w:rPr>
          <w:spacing w:val="-6"/>
          <w:sz w:val="20"/>
        </w:rPr>
        <w:t> </w:t>
      </w:r>
      <w:r>
        <w:rPr>
          <w:spacing w:val="-2"/>
          <w:sz w:val="20"/>
        </w:rPr>
        <w:t>suelo;</w:t>
      </w:r>
    </w:p>
    <w:p>
      <w:pPr>
        <w:pStyle w:val="ListParagraph"/>
        <w:numPr>
          <w:ilvl w:val="2"/>
          <w:numId w:val="112"/>
        </w:numPr>
        <w:tabs>
          <w:tab w:pos="741" w:val="left" w:leader="none"/>
        </w:tabs>
        <w:spacing w:line="240" w:lineRule="auto" w:before="228" w:after="0"/>
        <w:ind w:left="741" w:right="0" w:hanging="479"/>
        <w:jc w:val="both"/>
        <w:rPr>
          <w:sz w:val="20"/>
        </w:rPr>
      </w:pPr>
      <w:r>
        <w:rPr>
          <w:sz w:val="20"/>
        </w:rPr>
        <w:t>Los</w:t>
      </w:r>
      <w:r>
        <w:rPr>
          <w:spacing w:val="-7"/>
          <w:sz w:val="20"/>
        </w:rPr>
        <w:t> </w:t>
      </w:r>
      <w:r>
        <w:rPr>
          <w:sz w:val="20"/>
        </w:rPr>
        <w:t>dictámenes</w:t>
      </w:r>
      <w:r>
        <w:rPr>
          <w:spacing w:val="-7"/>
          <w:sz w:val="20"/>
        </w:rPr>
        <w:t> </w:t>
      </w:r>
      <w:r>
        <w:rPr>
          <w:sz w:val="20"/>
        </w:rPr>
        <w:t>de</w:t>
      </w:r>
      <w:r>
        <w:rPr>
          <w:spacing w:val="-8"/>
          <w:sz w:val="20"/>
        </w:rPr>
        <w:t> </w:t>
      </w:r>
      <w:r>
        <w:rPr>
          <w:sz w:val="20"/>
        </w:rPr>
        <w:t>factibilidad</w:t>
      </w:r>
      <w:r>
        <w:rPr>
          <w:spacing w:val="-5"/>
          <w:sz w:val="20"/>
        </w:rPr>
        <w:t> </w:t>
      </w:r>
      <w:r>
        <w:rPr>
          <w:sz w:val="20"/>
        </w:rPr>
        <w:t>de</w:t>
      </w:r>
      <w:r>
        <w:rPr>
          <w:spacing w:val="-9"/>
          <w:sz w:val="20"/>
        </w:rPr>
        <w:t> </w:t>
      </w:r>
      <w:r>
        <w:rPr>
          <w:sz w:val="20"/>
        </w:rPr>
        <w:t>servicios</w:t>
      </w:r>
      <w:r>
        <w:rPr>
          <w:spacing w:val="-7"/>
          <w:sz w:val="20"/>
        </w:rPr>
        <w:t> </w:t>
      </w:r>
      <w:r>
        <w:rPr>
          <w:spacing w:val="-2"/>
          <w:sz w:val="20"/>
        </w:rPr>
        <w:t>públicos;</w:t>
      </w:r>
    </w:p>
    <w:p>
      <w:pPr>
        <w:pStyle w:val="BodyText"/>
        <w:spacing w:before="1"/>
      </w:pPr>
    </w:p>
    <w:p>
      <w:pPr>
        <w:pStyle w:val="ListParagraph"/>
        <w:numPr>
          <w:ilvl w:val="2"/>
          <w:numId w:val="112"/>
        </w:numPr>
        <w:tabs>
          <w:tab w:pos="688" w:val="left" w:leader="none"/>
        </w:tabs>
        <w:spacing w:line="240" w:lineRule="auto" w:before="0" w:after="0"/>
        <w:ind w:left="262" w:right="281" w:firstLine="0"/>
        <w:jc w:val="both"/>
        <w:rPr>
          <w:sz w:val="20"/>
        </w:rPr>
      </w:pPr>
      <w:r>
        <w:rPr>
          <w:sz w:val="20"/>
        </w:rPr>
        <w:t>El</w:t>
      </w:r>
      <w:r>
        <w:rPr>
          <w:spacing w:val="-14"/>
          <w:sz w:val="20"/>
        </w:rPr>
        <w:t> </w:t>
      </w:r>
      <w:r>
        <w:rPr>
          <w:sz w:val="20"/>
        </w:rPr>
        <w:t>dictamen</w:t>
      </w:r>
      <w:r>
        <w:rPr>
          <w:spacing w:val="-14"/>
          <w:sz w:val="20"/>
        </w:rPr>
        <w:t> </w:t>
      </w:r>
      <w:r>
        <w:rPr>
          <w:sz w:val="20"/>
        </w:rPr>
        <w:t>de</w:t>
      </w:r>
      <w:r>
        <w:rPr>
          <w:spacing w:val="-14"/>
          <w:sz w:val="20"/>
        </w:rPr>
        <w:t> </w:t>
      </w:r>
      <w:r>
        <w:rPr>
          <w:sz w:val="20"/>
        </w:rPr>
        <w:t>factibilidad</w:t>
      </w:r>
      <w:r>
        <w:rPr>
          <w:spacing w:val="-14"/>
          <w:sz w:val="20"/>
        </w:rPr>
        <w:t> </w:t>
      </w:r>
      <w:r>
        <w:rPr>
          <w:sz w:val="20"/>
        </w:rPr>
        <w:t>y</w:t>
      </w:r>
      <w:r>
        <w:rPr>
          <w:spacing w:val="-14"/>
          <w:sz w:val="20"/>
        </w:rPr>
        <w:t> </w:t>
      </w:r>
      <w:r>
        <w:rPr>
          <w:sz w:val="20"/>
        </w:rPr>
        <w:t>compatibilidad</w:t>
      </w:r>
      <w:r>
        <w:rPr>
          <w:spacing w:val="12"/>
          <w:sz w:val="20"/>
        </w:rPr>
        <w:t> </w:t>
      </w:r>
      <w:r>
        <w:rPr>
          <w:sz w:val="20"/>
        </w:rPr>
        <w:t>emitido</w:t>
      </w:r>
      <w:r>
        <w:rPr>
          <w:spacing w:val="-14"/>
          <w:sz w:val="20"/>
        </w:rPr>
        <w:t> </w:t>
      </w:r>
      <w:r>
        <w:rPr>
          <w:sz w:val="20"/>
        </w:rPr>
        <w:t>por</w:t>
      </w:r>
      <w:r>
        <w:rPr>
          <w:spacing w:val="-13"/>
          <w:sz w:val="20"/>
        </w:rPr>
        <w:t> </w:t>
      </w:r>
      <w:r>
        <w:rPr>
          <w:sz w:val="20"/>
        </w:rPr>
        <w:t>la</w:t>
      </w:r>
      <w:r>
        <w:rPr>
          <w:spacing w:val="-14"/>
          <w:sz w:val="20"/>
        </w:rPr>
        <w:t> </w:t>
      </w:r>
      <w:r>
        <w:rPr>
          <w:sz w:val="20"/>
        </w:rPr>
        <w:t>autoridad</w:t>
      </w:r>
      <w:r>
        <w:rPr>
          <w:spacing w:val="-14"/>
          <w:sz w:val="20"/>
        </w:rPr>
        <w:t> </w:t>
      </w:r>
      <w:r>
        <w:rPr>
          <w:sz w:val="20"/>
        </w:rPr>
        <w:t>de</w:t>
      </w:r>
      <w:r>
        <w:rPr>
          <w:spacing w:val="-14"/>
          <w:sz w:val="20"/>
        </w:rPr>
        <w:t> </w:t>
      </w:r>
      <w:r>
        <w:rPr>
          <w:sz w:val="20"/>
        </w:rPr>
        <w:t>protección</w:t>
      </w:r>
      <w:r>
        <w:rPr>
          <w:spacing w:val="-14"/>
          <w:sz w:val="20"/>
        </w:rPr>
        <w:t> </w:t>
      </w:r>
      <w:r>
        <w:rPr>
          <w:sz w:val="20"/>
        </w:rPr>
        <w:t>civil</w:t>
      </w:r>
      <w:r>
        <w:rPr>
          <w:spacing w:val="-14"/>
          <w:sz w:val="20"/>
        </w:rPr>
        <w:t> </w:t>
      </w:r>
      <w:r>
        <w:rPr>
          <w:sz w:val="20"/>
        </w:rPr>
        <w:t>municipal con base en el análisis de riesgo, en circunstancias específicas de vulnerabilidad determinadas en los Atlas de Riesgos respectivos, y</w:t>
      </w:r>
    </w:p>
    <w:p>
      <w:pPr>
        <w:pStyle w:val="ListParagraph"/>
        <w:numPr>
          <w:ilvl w:val="2"/>
          <w:numId w:val="112"/>
        </w:numPr>
        <w:tabs>
          <w:tab w:pos="599" w:val="left" w:leader="none"/>
        </w:tabs>
        <w:spacing w:line="240" w:lineRule="auto" w:before="230" w:after="0"/>
        <w:ind w:left="599" w:right="0" w:hanging="337"/>
        <w:jc w:val="both"/>
        <w:rPr>
          <w:sz w:val="20"/>
        </w:rPr>
      </w:pPr>
      <w:r>
        <w:rPr>
          <w:sz w:val="20"/>
        </w:rPr>
        <w:t>La</w:t>
      </w:r>
      <w:r>
        <w:rPr>
          <w:spacing w:val="-8"/>
          <w:sz w:val="20"/>
        </w:rPr>
        <w:t> </w:t>
      </w:r>
      <w:r>
        <w:rPr>
          <w:sz w:val="20"/>
        </w:rPr>
        <w:t>estructura</w:t>
      </w:r>
      <w:r>
        <w:rPr>
          <w:spacing w:val="-6"/>
          <w:sz w:val="20"/>
        </w:rPr>
        <w:t> </w:t>
      </w:r>
      <w:r>
        <w:rPr>
          <w:sz w:val="20"/>
        </w:rPr>
        <w:t>y</w:t>
      </w:r>
      <w:r>
        <w:rPr>
          <w:spacing w:val="-6"/>
          <w:sz w:val="20"/>
        </w:rPr>
        <w:t> </w:t>
      </w:r>
      <w:r>
        <w:rPr>
          <w:sz w:val="20"/>
        </w:rPr>
        <w:t>planeación</w:t>
      </w:r>
      <w:r>
        <w:rPr>
          <w:spacing w:val="-5"/>
          <w:sz w:val="20"/>
        </w:rPr>
        <w:t> </w:t>
      </w:r>
      <w:r>
        <w:rPr>
          <w:sz w:val="20"/>
        </w:rPr>
        <w:t>vial</w:t>
      </w:r>
      <w:r>
        <w:rPr>
          <w:spacing w:val="-5"/>
          <w:sz w:val="20"/>
        </w:rPr>
        <w:t> </w:t>
      </w:r>
      <w:r>
        <w:rPr>
          <w:sz w:val="20"/>
        </w:rPr>
        <w:t>del</w:t>
      </w:r>
      <w:r>
        <w:rPr>
          <w:spacing w:val="-8"/>
          <w:sz w:val="20"/>
        </w:rPr>
        <w:t> </w:t>
      </w:r>
      <w:r>
        <w:rPr>
          <w:sz w:val="20"/>
        </w:rPr>
        <w:t>sistema</w:t>
      </w:r>
      <w:r>
        <w:rPr>
          <w:spacing w:val="-6"/>
          <w:sz w:val="20"/>
        </w:rPr>
        <w:t> </w:t>
      </w:r>
      <w:r>
        <w:rPr>
          <w:sz w:val="20"/>
        </w:rPr>
        <w:t>de</w:t>
      </w:r>
      <w:r>
        <w:rPr>
          <w:spacing w:val="-7"/>
          <w:sz w:val="20"/>
        </w:rPr>
        <w:t> </w:t>
      </w:r>
      <w:r>
        <w:rPr>
          <w:sz w:val="20"/>
        </w:rPr>
        <w:t>movilidad</w:t>
      </w:r>
      <w:r>
        <w:rPr>
          <w:spacing w:val="-7"/>
          <w:sz w:val="20"/>
        </w:rPr>
        <w:t> </w:t>
      </w:r>
      <w:r>
        <w:rPr>
          <w:sz w:val="20"/>
        </w:rPr>
        <w:t>urbana</w:t>
      </w:r>
      <w:r>
        <w:rPr>
          <w:spacing w:val="-5"/>
          <w:sz w:val="20"/>
        </w:rPr>
        <w:t> </w:t>
      </w:r>
      <w:r>
        <w:rPr>
          <w:sz w:val="20"/>
        </w:rPr>
        <w:t>de</w:t>
      </w:r>
      <w:r>
        <w:rPr>
          <w:spacing w:val="-5"/>
          <w:sz w:val="20"/>
        </w:rPr>
        <w:t> </w:t>
      </w:r>
      <w:r>
        <w:rPr>
          <w:sz w:val="20"/>
        </w:rPr>
        <w:t>que</w:t>
      </w:r>
      <w:r>
        <w:rPr>
          <w:spacing w:val="-5"/>
          <w:sz w:val="20"/>
        </w:rPr>
        <w:t> </w:t>
      </w:r>
      <w:r>
        <w:rPr>
          <w:sz w:val="20"/>
        </w:rPr>
        <w:t>se</w:t>
      </w:r>
      <w:r>
        <w:rPr>
          <w:spacing w:val="-6"/>
          <w:sz w:val="20"/>
        </w:rPr>
        <w:t> </w:t>
      </w:r>
      <w:r>
        <w:rPr>
          <w:spacing w:val="-2"/>
          <w:sz w:val="20"/>
        </w:rPr>
        <w:t>trate.</w:t>
      </w:r>
    </w:p>
    <w:p>
      <w:pPr>
        <w:pStyle w:val="BodyText"/>
      </w:pPr>
    </w:p>
    <w:p>
      <w:pPr>
        <w:pStyle w:val="BodyText"/>
        <w:ind w:left="262" w:right="285"/>
        <w:jc w:val="both"/>
      </w:pPr>
      <w:r>
        <w:rPr>
          <w:rFonts w:ascii="Arial" w:hAnsi="Arial"/>
          <w:b/>
        </w:rPr>
        <w:t>ARTÍCULO 318. </w:t>
      </w:r>
      <w:r>
        <w:rPr/>
        <w:t>La autorización de fraccionamientos, relotificaciones, cambios de</w:t>
      </w:r>
      <w:r>
        <w:rPr>
          <w:spacing w:val="-1"/>
        </w:rPr>
        <w:t> </w:t>
      </w:r>
      <w:r>
        <w:rPr/>
        <w:t>intensidad</w:t>
      </w:r>
      <w:r>
        <w:rPr>
          <w:spacing w:val="-1"/>
        </w:rPr>
        <w:t> </w:t>
      </w:r>
      <w:r>
        <w:rPr/>
        <w:t>en el uso</w:t>
      </w:r>
      <w:r>
        <w:rPr>
          <w:spacing w:val="-7"/>
        </w:rPr>
        <w:t> </w:t>
      </w:r>
      <w:r>
        <w:rPr/>
        <w:t>habitacional,</w:t>
      </w:r>
      <w:r>
        <w:rPr>
          <w:spacing w:val="-4"/>
        </w:rPr>
        <w:t> </w:t>
      </w:r>
      <w:r>
        <w:rPr/>
        <w:t>fusiones</w:t>
      </w:r>
      <w:r>
        <w:rPr>
          <w:spacing w:val="-3"/>
        </w:rPr>
        <w:t> </w:t>
      </w:r>
      <w:r>
        <w:rPr/>
        <w:t>y</w:t>
      </w:r>
      <w:r>
        <w:rPr>
          <w:spacing w:val="-5"/>
        </w:rPr>
        <w:t> </w:t>
      </w:r>
      <w:r>
        <w:rPr/>
        <w:t>subdivisiones</w:t>
      </w:r>
      <w:r>
        <w:rPr>
          <w:spacing w:val="-3"/>
        </w:rPr>
        <w:t> </w:t>
      </w:r>
      <w:r>
        <w:rPr/>
        <w:t>de</w:t>
      </w:r>
      <w:r>
        <w:rPr>
          <w:spacing w:val="-5"/>
        </w:rPr>
        <w:t> </w:t>
      </w:r>
      <w:r>
        <w:rPr/>
        <w:t>terrenos</w:t>
      </w:r>
      <w:r>
        <w:rPr>
          <w:spacing w:val="-3"/>
        </w:rPr>
        <w:t> </w:t>
      </w:r>
      <w:r>
        <w:rPr/>
        <w:t>urbanos</w:t>
      </w:r>
      <w:r>
        <w:rPr>
          <w:spacing w:val="-6"/>
        </w:rPr>
        <w:t> </w:t>
      </w:r>
      <w:r>
        <w:rPr/>
        <w:t>o</w:t>
      </w:r>
      <w:r>
        <w:rPr>
          <w:spacing w:val="-5"/>
        </w:rPr>
        <w:t> </w:t>
      </w:r>
      <w:r>
        <w:rPr/>
        <w:t>rústicos</w:t>
      </w:r>
      <w:r>
        <w:rPr>
          <w:spacing w:val="-3"/>
        </w:rPr>
        <w:t> </w:t>
      </w:r>
      <w:r>
        <w:rPr/>
        <w:t>en</w:t>
      </w:r>
      <w:r>
        <w:rPr>
          <w:spacing w:val="-5"/>
        </w:rPr>
        <w:t> </w:t>
      </w:r>
      <w:r>
        <w:rPr/>
        <w:t>el</w:t>
      </w:r>
      <w:r>
        <w:rPr>
          <w:spacing w:val="-5"/>
        </w:rPr>
        <w:t> </w:t>
      </w:r>
      <w:r>
        <w:rPr/>
        <w:t>Estado,</w:t>
      </w:r>
      <w:r>
        <w:rPr>
          <w:spacing w:val="-5"/>
        </w:rPr>
        <w:t> </w:t>
      </w:r>
      <w:r>
        <w:rPr/>
        <w:t>así</w:t>
      </w:r>
      <w:r>
        <w:rPr>
          <w:spacing w:val="-4"/>
        </w:rPr>
        <w:t> </w:t>
      </w:r>
      <w:r>
        <w:rPr/>
        <w:t>como</w:t>
      </w:r>
      <w:r>
        <w:rPr>
          <w:spacing w:val="-4"/>
        </w:rPr>
        <w:t> </w:t>
      </w:r>
      <w:r>
        <w:rPr/>
        <w:t>de desarrollos inmobiliarios especiales, se otorgará siempre y cuando no se afecten o se instalen en:</w:t>
      </w:r>
    </w:p>
    <w:p>
      <w:pPr>
        <w:pStyle w:val="BodyText"/>
      </w:pPr>
    </w:p>
    <w:p>
      <w:pPr>
        <w:pStyle w:val="ListParagraph"/>
        <w:numPr>
          <w:ilvl w:val="0"/>
          <w:numId w:val="113"/>
        </w:numPr>
        <w:tabs>
          <w:tab w:pos="688" w:val="left" w:leader="none"/>
        </w:tabs>
        <w:spacing w:line="240" w:lineRule="auto" w:before="0" w:after="0"/>
        <w:ind w:left="262" w:right="283" w:firstLine="0"/>
        <w:jc w:val="both"/>
        <w:rPr>
          <w:sz w:val="20"/>
        </w:rPr>
      </w:pPr>
      <w:r>
        <w:rPr>
          <w:sz w:val="20"/>
        </w:rPr>
        <w:t>Las</w:t>
      </w:r>
      <w:r>
        <w:rPr>
          <w:spacing w:val="-5"/>
          <w:sz w:val="20"/>
        </w:rPr>
        <w:t> </w:t>
      </w:r>
      <w:r>
        <w:rPr>
          <w:sz w:val="20"/>
        </w:rPr>
        <w:t>áreas</w:t>
      </w:r>
      <w:r>
        <w:rPr>
          <w:spacing w:val="-5"/>
          <w:sz w:val="20"/>
        </w:rPr>
        <w:t> </w:t>
      </w:r>
      <w:r>
        <w:rPr>
          <w:sz w:val="20"/>
        </w:rPr>
        <w:t>naturales</w:t>
      </w:r>
      <w:r>
        <w:rPr>
          <w:spacing w:val="-5"/>
          <w:sz w:val="20"/>
        </w:rPr>
        <w:t> </w:t>
      </w:r>
      <w:r>
        <w:rPr>
          <w:sz w:val="20"/>
        </w:rPr>
        <w:t>protegidas,</w:t>
      </w:r>
      <w:r>
        <w:rPr>
          <w:spacing w:val="-6"/>
          <w:sz w:val="20"/>
        </w:rPr>
        <w:t> </w:t>
      </w:r>
      <w:r>
        <w:rPr>
          <w:sz w:val="20"/>
        </w:rPr>
        <w:t>declaradas</w:t>
      </w:r>
      <w:r>
        <w:rPr>
          <w:spacing w:val="-5"/>
          <w:sz w:val="20"/>
        </w:rPr>
        <w:t> </w:t>
      </w:r>
      <w:r>
        <w:rPr>
          <w:sz w:val="20"/>
        </w:rPr>
        <w:t>en</w:t>
      </w:r>
      <w:r>
        <w:rPr>
          <w:spacing w:val="-5"/>
          <w:sz w:val="20"/>
        </w:rPr>
        <w:t> </w:t>
      </w:r>
      <w:r>
        <w:rPr>
          <w:sz w:val="20"/>
        </w:rPr>
        <w:t>los</w:t>
      </w:r>
      <w:r>
        <w:rPr>
          <w:spacing w:val="-5"/>
          <w:sz w:val="20"/>
        </w:rPr>
        <w:t> </w:t>
      </w:r>
      <w:r>
        <w:rPr>
          <w:sz w:val="20"/>
        </w:rPr>
        <w:t>decretos</w:t>
      </w:r>
      <w:r>
        <w:rPr>
          <w:spacing w:val="-5"/>
          <w:sz w:val="20"/>
        </w:rPr>
        <w:t> </w:t>
      </w:r>
      <w:r>
        <w:rPr>
          <w:sz w:val="20"/>
        </w:rPr>
        <w:t>respectivos,</w:t>
      </w:r>
      <w:r>
        <w:rPr>
          <w:spacing w:val="-6"/>
          <w:sz w:val="20"/>
        </w:rPr>
        <w:t> </w:t>
      </w:r>
      <w:r>
        <w:rPr>
          <w:sz w:val="20"/>
        </w:rPr>
        <w:t>así</w:t>
      </w:r>
      <w:r>
        <w:rPr>
          <w:spacing w:val="-6"/>
          <w:sz w:val="20"/>
        </w:rPr>
        <w:t> </w:t>
      </w:r>
      <w:r>
        <w:rPr>
          <w:sz w:val="20"/>
        </w:rPr>
        <w:t>como</w:t>
      </w:r>
      <w:r>
        <w:rPr>
          <w:spacing w:val="-4"/>
          <w:sz w:val="20"/>
        </w:rPr>
        <w:t> </w:t>
      </w:r>
      <w:r>
        <w:rPr>
          <w:sz w:val="20"/>
        </w:rPr>
        <w:t>las</w:t>
      </w:r>
      <w:r>
        <w:rPr>
          <w:spacing w:val="-5"/>
          <w:sz w:val="20"/>
        </w:rPr>
        <w:t> </w:t>
      </w:r>
      <w:r>
        <w:rPr>
          <w:sz w:val="20"/>
        </w:rPr>
        <w:t>definidas por la ley;</w:t>
      </w:r>
    </w:p>
    <w:p>
      <w:pPr>
        <w:pStyle w:val="BodyText"/>
        <w:spacing w:before="1"/>
      </w:pPr>
    </w:p>
    <w:p>
      <w:pPr>
        <w:pStyle w:val="ListParagraph"/>
        <w:numPr>
          <w:ilvl w:val="0"/>
          <w:numId w:val="113"/>
        </w:numPr>
        <w:tabs>
          <w:tab w:pos="686" w:val="left" w:leader="none"/>
        </w:tabs>
        <w:spacing w:line="240" w:lineRule="auto" w:before="0" w:after="0"/>
        <w:ind w:left="686" w:right="0" w:hanging="424"/>
        <w:jc w:val="both"/>
        <w:rPr>
          <w:sz w:val="20"/>
        </w:rPr>
      </w:pPr>
      <w:r>
        <w:rPr>
          <w:sz w:val="20"/>
        </w:rPr>
        <w:t>Zonas</w:t>
      </w:r>
      <w:r>
        <w:rPr>
          <w:spacing w:val="-6"/>
          <w:sz w:val="20"/>
        </w:rPr>
        <w:t> </w:t>
      </w:r>
      <w:r>
        <w:rPr>
          <w:sz w:val="20"/>
        </w:rPr>
        <w:t>de</w:t>
      </w:r>
      <w:r>
        <w:rPr>
          <w:spacing w:val="-4"/>
          <w:sz w:val="20"/>
        </w:rPr>
        <w:t> </w:t>
      </w:r>
      <w:r>
        <w:rPr>
          <w:spacing w:val="-2"/>
          <w:sz w:val="20"/>
        </w:rPr>
        <w:t>riesgo;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13"/>
        </w:numPr>
        <w:tabs>
          <w:tab w:pos="744" w:val="left" w:leader="none"/>
        </w:tabs>
        <w:spacing w:line="240" w:lineRule="auto" w:before="0" w:after="0"/>
        <w:ind w:left="744" w:right="0" w:hanging="482"/>
        <w:jc w:val="left"/>
        <w:rPr>
          <w:sz w:val="20"/>
        </w:rPr>
      </w:pPr>
      <w:r>
        <w:rPr>
          <w:sz w:val="20"/>
        </w:rPr>
        <w:t>Zonas</w:t>
      </w:r>
      <w:r>
        <w:rPr>
          <w:spacing w:val="-6"/>
          <w:sz w:val="20"/>
        </w:rPr>
        <w:t> </w:t>
      </w:r>
      <w:r>
        <w:rPr>
          <w:sz w:val="20"/>
        </w:rPr>
        <w:t>de</w:t>
      </w:r>
      <w:r>
        <w:rPr>
          <w:spacing w:val="-7"/>
          <w:sz w:val="20"/>
        </w:rPr>
        <w:t> </w:t>
      </w:r>
      <w:r>
        <w:rPr>
          <w:sz w:val="20"/>
        </w:rPr>
        <w:t>alto</w:t>
      </w:r>
      <w:r>
        <w:rPr>
          <w:spacing w:val="-4"/>
          <w:sz w:val="20"/>
        </w:rPr>
        <w:t> </w:t>
      </w:r>
      <w:r>
        <w:rPr>
          <w:sz w:val="20"/>
        </w:rPr>
        <w:t>potencial</w:t>
      </w:r>
      <w:r>
        <w:rPr>
          <w:spacing w:val="-8"/>
          <w:sz w:val="20"/>
        </w:rPr>
        <w:t> </w:t>
      </w:r>
      <w:r>
        <w:rPr>
          <w:sz w:val="20"/>
        </w:rPr>
        <w:t>agrícola</w:t>
      </w:r>
      <w:r>
        <w:rPr>
          <w:spacing w:val="-6"/>
          <w:sz w:val="20"/>
        </w:rPr>
        <w:t> </w:t>
      </w:r>
      <w:r>
        <w:rPr>
          <w:sz w:val="20"/>
        </w:rPr>
        <w:t>o</w:t>
      </w:r>
      <w:r>
        <w:rPr>
          <w:spacing w:val="-6"/>
          <w:sz w:val="20"/>
        </w:rPr>
        <w:t> </w:t>
      </w:r>
      <w:r>
        <w:rPr>
          <w:spacing w:val="-2"/>
          <w:sz w:val="20"/>
        </w:rPr>
        <w:t>forestal;</w:t>
      </w:r>
    </w:p>
    <w:p>
      <w:pPr>
        <w:pStyle w:val="BodyText"/>
        <w:spacing w:before="1"/>
      </w:pPr>
    </w:p>
    <w:p>
      <w:pPr>
        <w:pStyle w:val="ListParagraph"/>
        <w:numPr>
          <w:ilvl w:val="0"/>
          <w:numId w:val="113"/>
        </w:numPr>
        <w:tabs>
          <w:tab w:pos="688" w:val="left" w:leader="none"/>
        </w:tabs>
        <w:spacing w:line="240" w:lineRule="auto" w:before="0" w:after="0"/>
        <w:ind w:left="688" w:right="0" w:hanging="426"/>
        <w:jc w:val="left"/>
        <w:rPr>
          <w:sz w:val="20"/>
        </w:rPr>
      </w:pPr>
      <w:r>
        <w:rPr>
          <w:sz w:val="20"/>
        </w:rPr>
        <w:t>Zonas</w:t>
      </w:r>
      <w:r>
        <w:rPr>
          <w:spacing w:val="-7"/>
          <w:sz w:val="20"/>
        </w:rPr>
        <w:t> </w:t>
      </w:r>
      <w:r>
        <w:rPr>
          <w:sz w:val="20"/>
        </w:rPr>
        <w:t>arboladas</w:t>
      </w:r>
      <w:r>
        <w:rPr>
          <w:spacing w:val="-6"/>
          <w:sz w:val="20"/>
        </w:rPr>
        <w:t> </w:t>
      </w:r>
      <w:r>
        <w:rPr>
          <w:sz w:val="20"/>
        </w:rPr>
        <w:t>que</w:t>
      </w:r>
      <w:r>
        <w:rPr>
          <w:spacing w:val="-9"/>
          <w:sz w:val="20"/>
        </w:rPr>
        <w:t> </w:t>
      </w:r>
      <w:r>
        <w:rPr>
          <w:sz w:val="20"/>
        </w:rPr>
        <w:t>constituyan</w:t>
      </w:r>
      <w:r>
        <w:rPr>
          <w:spacing w:val="-5"/>
          <w:sz w:val="20"/>
        </w:rPr>
        <w:t> </w:t>
      </w:r>
      <w:r>
        <w:rPr>
          <w:sz w:val="20"/>
        </w:rPr>
        <w:t>un</w:t>
      </w:r>
      <w:r>
        <w:rPr>
          <w:spacing w:val="-7"/>
          <w:sz w:val="20"/>
        </w:rPr>
        <w:t> </w:t>
      </w:r>
      <w:r>
        <w:rPr>
          <w:sz w:val="20"/>
        </w:rPr>
        <w:t>pulmón</w:t>
      </w:r>
      <w:r>
        <w:rPr>
          <w:spacing w:val="-7"/>
          <w:sz w:val="20"/>
        </w:rPr>
        <w:t> </w:t>
      </w:r>
      <w:r>
        <w:rPr>
          <w:sz w:val="20"/>
        </w:rPr>
        <w:t>para</w:t>
      </w:r>
      <w:r>
        <w:rPr>
          <w:spacing w:val="-7"/>
          <w:sz w:val="20"/>
        </w:rPr>
        <w:t> </w:t>
      </w:r>
      <w:r>
        <w:rPr>
          <w:sz w:val="20"/>
        </w:rPr>
        <w:t>la</w:t>
      </w:r>
      <w:r>
        <w:rPr>
          <w:spacing w:val="-8"/>
          <w:sz w:val="20"/>
        </w:rPr>
        <w:t> </w:t>
      </w:r>
      <w:r>
        <w:rPr>
          <w:sz w:val="20"/>
        </w:rPr>
        <w:t>zona</w:t>
      </w:r>
      <w:r>
        <w:rPr>
          <w:spacing w:val="-7"/>
          <w:sz w:val="20"/>
        </w:rPr>
        <w:t> </w:t>
      </w:r>
      <w:r>
        <w:rPr>
          <w:sz w:val="20"/>
        </w:rPr>
        <w:t>y</w:t>
      </w:r>
      <w:r>
        <w:rPr>
          <w:spacing w:val="-6"/>
          <w:sz w:val="20"/>
        </w:rPr>
        <w:t> </w:t>
      </w:r>
      <w:r>
        <w:rPr>
          <w:sz w:val="20"/>
        </w:rPr>
        <w:t>áreas</w:t>
      </w:r>
      <w:r>
        <w:rPr>
          <w:spacing w:val="-7"/>
          <w:sz w:val="20"/>
        </w:rPr>
        <w:t> </w:t>
      </w:r>
      <w:r>
        <w:rPr>
          <w:sz w:val="20"/>
        </w:rPr>
        <w:t>de</w:t>
      </w:r>
      <w:r>
        <w:rPr>
          <w:spacing w:val="-5"/>
          <w:sz w:val="20"/>
        </w:rPr>
        <w:t> </w:t>
      </w:r>
      <w:r>
        <w:rPr>
          <w:sz w:val="20"/>
        </w:rPr>
        <w:t>valores</w:t>
      </w:r>
      <w:r>
        <w:rPr>
          <w:spacing w:val="-4"/>
          <w:sz w:val="20"/>
        </w:rPr>
        <w:t> </w:t>
      </w:r>
      <w:r>
        <w:rPr>
          <w:sz w:val="20"/>
        </w:rPr>
        <w:t>naturales,</w:t>
      </w:r>
      <w:r>
        <w:rPr>
          <w:spacing w:val="-7"/>
          <w:sz w:val="20"/>
        </w:rPr>
        <w:t> </w:t>
      </w:r>
      <w:r>
        <w:rPr>
          <w:spacing w:val="-10"/>
          <w:sz w:val="20"/>
        </w:rPr>
        <w:t>y</w:t>
      </w:r>
    </w:p>
    <w:p>
      <w:pPr>
        <w:pStyle w:val="ListParagraph"/>
        <w:numPr>
          <w:ilvl w:val="0"/>
          <w:numId w:val="113"/>
        </w:numPr>
        <w:tabs>
          <w:tab w:pos="689" w:val="left" w:leader="none"/>
        </w:tabs>
        <w:spacing w:line="240" w:lineRule="auto" w:before="229" w:after="0"/>
        <w:ind w:left="689" w:right="0" w:hanging="427"/>
        <w:jc w:val="left"/>
        <w:rPr>
          <w:sz w:val="20"/>
        </w:rPr>
      </w:pPr>
      <w:r>
        <w:rPr>
          <w:sz w:val="20"/>
        </w:rPr>
        <w:t>Zonas</w:t>
      </w:r>
      <w:r>
        <w:rPr>
          <w:spacing w:val="-8"/>
          <w:sz w:val="20"/>
        </w:rPr>
        <w:t> </w:t>
      </w:r>
      <w:r>
        <w:rPr>
          <w:sz w:val="20"/>
        </w:rPr>
        <w:t>y</w:t>
      </w:r>
      <w:r>
        <w:rPr>
          <w:spacing w:val="-7"/>
          <w:sz w:val="20"/>
        </w:rPr>
        <w:t> </w:t>
      </w:r>
      <w:r>
        <w:rPr>
          <w:sz w:val="20"/>
        </w:rPr>
        <w:t>monumentos</w:t>
      </w:r>
      <w:r>
        <w:rPr>
          <w:spacing w:val="-7"/>
          <w:sz w:val="20"/>
        </w:rPr>
        <w:t> </w:t>
      </w:r>
      <w:r>
        <w:rPr>
          <w:sz w:val="20"/>
        </w:rPr>
        <w:t>del</w:t>
      </w:r>
      <w:r>
        <w:rPr>
          <w:spacing w:val="-9"/>
          <w:sz w:val="20"/>
        </w:rPr>
        <w:t> </w:t>
      </w:r>
      <w:r>
        <w:rPr>
          <w:sz w:val="20"/>
        </w:rPr>
        <w:t>patrimonio</w:t>
      </w:r>
      <w:r>
        <w:rPr>
          <w:spacing w:val="-9"/>
          <w:sz w:val="20"/>
        </w:rPr>
        <w:t> </w:t>
      </w:r>
      <w:r>
        <w:rPr>
          <w:spacing w:val="-2"/>
          <w:sz w:val="20"/>
        </w:rPr>
        <w:t>cultural.</w:t>
      </w:r>
    </w:p>
    <w:p>
      <w:pPr>
        <w:pStyle w:val="BodyText"/>
      </w:pPr>
    </w:p>
    <w:p>
      <w:pPr>
        <w:pStyle w:val="BodyText"/>
        <w:ind w:left="262" w:right="277"/>
        <w:jc w:val="both"/>
      </w:pPr>
      <w:r>
        <w:rPr/>
        <w:t>Para la autorización de fraccionamientos se deberán atender las superficies del lote o predio tipo autorizado y las características del fraccionamiento o desarrollo inmobiliario; la densidad de población</w:t>
      </w:r>
      <w:r>
        <w:rPr>
          <w:spacing w:val="-4"/>
        </w:rPr>
        <w:t> </w:t>
      </w:r>
      <w:r>
        <w:rPr/>
        <w:t>y</w:t>
      </w:r>
      <w:r>
        <w:rPr>
          <w:spacing w:val="-1"/>
        </w:rPr>
        <w:t> </w:t>
      </w:r>
      <w:r>
        <w:rPr/>
        <w:t>de</w:t>
      </w:r>
      <w:r>
        <w:rPr>
          <w:spacing w:val="-2"/>
        </w:rPr>
        <w:t> </w:t>
      </w:r>
      <w:r>
        <w:rPr/>
        <w:t>los</w:t>
      </w:r>
      <w:r>
        <w:rPr>
          <w:spacing w:val="-3"/>
        </w:rPr>
        <w:t> </w:t>
      </w:r>
      <w:r>
        <w:rPr/>
        <w:t>coeficientes</w:t>
      </w:r>
      <w:r>
        <w:rPr>
          <w:spacing w:val="-3"/>
        </w:rPr>
        <w:t> </w:t>
      </w:r>
      <w:r>
        <w:rPr/>
        <w:t>de</w:t>
      </w:r>
      <w:r>
        <w:rPr>
          <w:spacing w:val="-2"/>
        </w:rPr>
        <w:t> </w:t>
      </w:r>
      <w:r>
        <w:rPr/>
        <w:t>construcción</w:t>
      </w:r>
      <w:r>
        <w:rPr>
          <w:spacing w:val="-4"/>
        </w:rPr>
        <w:t> </w:t>
      </w:r>
      <w:r>
        <w:rPr/>
        <w:t>y</w:t>
      </w:r>
      <w:r>
        <w:rPr>
          <w:spacing w:val="-1"/>
        </w:rPr>
        <w:t> </w:t>
      </w:r>
      <w:r>
        <w:rPr/>
        <w:t>ocupación</w:t>
      </w:r>
      <w:r>
        <w:rPr>
          <w:spacing w:val="-2"/>
        </w:rPr>
        <w:t> </w:t>
      </w:r>
      <w:r>
        <w:rPr/>
        <w:t>de los</w:t>
      </w:r>
      <w:r>
        <w:rPr>
          <w:spacing w:val="-3"/>
        </w:rPr>
        <w:t> </w:t>
      </w:r>
      <w:r>
        <w:rPr/>
        <w:t>predios,</w:t>
      </w:r>
      <w:r>
        <w:rPr>
          <w:spacing w:val="-4"/>
        </w:rPr>
        <w:t> </w:t>
      </w:r>
      <w:r>
        <w:rPr/>
        <w:t>así</w:t>
      </w:r>
      <w:r>
        <w:rPr>
          <w:spacing w:val="-2"/>
        </w:rPr>
        <w:t> </w:t>
      </w:r>
      <w:r>
        <w:rPr/>
        <w:t>como</w:t>
      </w:r>
      <w:r>
        <w:rPr>
          <w:spacing w:val="-2"/>
        </w:rPr>
        <w:t> </w:t>
      </w:r>
      <w:r>
        <w:rPr/>
        <w:t>la</w:t>
      </w:r>
      <w:r>
        <w:rPr>
          <w:spacing w:val="-2"/>
        </w:rPr>
        <w:t> </w:t>
      </w:r>
      <w:r>
        <w:rPr/>
        <w:t>imagen</w:t>
      </w:r>
      <w:r>
        <w:rPr>
          <w:spacing w:val="-5"/>
        </w:rPr>
        <w:t> </w:t>
      </w:r>
      <w:r>
        <w:rPr/>
        <w:t>y la traza urbanas autorizadas para cada zona en los programas de desarrollo urbano y las normas aplicables en cada caso.</w:t>
      </w:r>
    </w:p>
    <w:p>
      <w:pPr>
        <w:pStyle w:val="BodyText"/>
        <w:spacing w:before="1"/>
      </w:pPr>
    </w:p>
    <w:p>
      <w:pPr>
        <w:pStyle w:val="BodyText"/>
        <w:ind w:left="262" w:right="275"/>
        <w:jc w:val="both"/>
      </w:pPr>
      <w:r>
        <w:rPr>
          <w:rFonts w:ascii="Arial" w:hAnsi="Arial"/>
          <w:b/>
        </w:rPr>
        <w:t>ARTÍCULO 319. </w:t>
      </w:r>
      <w:r>
        <w:rPr/>
        <w:t>Los estudios, dictámenes o acuerdos para autorizar los correspondientes fraccionamientos, cambios de intensidad en el uso habitacional, relotificaciones, fusiones y subdivisiones de áreas y predios, así como los desarrollos inmobiliarios especiales, deberán ser compatibles con lo dispuesto en los diversos programas de ordenamiento territorial y desarrollo urbano aplicables.</w:t>
      </w:r>
    </w:p>
    <w:p>
      <w:pPr>
        <w:pStyle w:val="BodyText"/>
      </w:pPr>
    </w:p>
    <w:p>
      <w:pPr>
        <w:pStyle w:val="BodyText"/>
        <w:ind w:left="262" w:right="278"/>
        <w:jc w:val="both"/>
      </w:pPr>
      <w:r>
        <w:rPr>
          <w:rFonts w:ascii="Arial" w:hAnsi="Arial"/>
          <w:b/>
        </w:rPr>
        <w:t>ARTÍCULO 320. </w:t>
      </w:r>
      <w:r>
        <w:rPr/>
        <w:t>El establecimiento de zonas de urbanización ejidal, la determinación</w:t>
      </w:r>
      <w:r>
        <w:rPr>
          <w:spacing w:val="40"/>
        </w:rPr>
        <w:t> </w:t>
      </w:r>
      <w:r>
        <w:rPr/>
        <w:t>de su zona de reserva y la regularización de la tenencia de la tierra de bienes ejidales o comunales deberán adecuarse en lo</w:t>
      </w:r>
      <w:r>
        <w:rPr>
          <w:spacing w:val="-2"/>
        </w:rPr>
        <w:t> </w:t>
      </w:r>
      <w:r>
        <w:rPr/>
        <w:t>conducente</w:t>
      </w:r>
      <w:r>
        <w:rPr>
          <w:spacing w:val="-2"/>
        </w:rPr>
        <w:t> </w:t>
      </w:r>
      <w:r>
        <w:rPr/>
        <w:t>a la Ley Agraria, a la Ley General de Asentamientos Humanos, a esta Ley y a las demás disposiciones jurídicas aplicables.</w:t>
      </w:r>
    </w:p>
    <w:p>
      <w:pPr>
        <w:pStyle w:val="BodyText"/>
      </w:pPr>
    </w:p>
    <w:p>
      <w:pPr>
        <w:pStyle w:val="BodyText"/>
        <w:ind w:left="262" w:right="282"/>
        <w:jc w:val="both"/>
      </w:pPr>
      <w:r>
        <w:rPr/>
        <w:t>Cuando el fraccionamiento o subdivisión de terrenos ejidales tengan por objeto incorporarse al desarrollo</w:t>
      </w:r>
      <w:r>
        <w:rPr>
          <w:spacing w:val="-12"/>
        </w:rPr>
        <w:t> </w:t>
      </w:r>
      <w:r>
        <w:rPr/>
        <w:t>urbano</w:t>
      </w:r>
      <w:r>
        <w:rPr>
          <w:spacing w:val="-13"/>
        </w:rPr>
        <w:t> </w:t>
      </w:r>
      <w:r>
        <w:rPr/>
        <w:t>de</w:t>
      </w:r>
      <w:r>
        <w:rPr>
          <w:spacing w:val="-12"/>
        </w:rPr>
        <w:t> </w:t>
      </w:r>
      <w:r>
        <w:rPr/>
        <w:t>algún</w:t>
      </w:r>
      <w:r>
        <w:rPr>
          <w:spacing w:val="-10"/>
        </w:rPr>
        <w:t> </w:t>
      </w:r>
      <w:r>
        <w:rPr/>
        <w:t>centro</w:t>
      </w:r>
      <w:r>
        <w:rPr>
          <w:spacing w:val="-12"/>
        </w:rPr>
        <w:t> </w:t>
      </w:r>
      <w:r>
        <w:rPr/>
        <w:t>de</w:t>
      </w:r>
      <w:r>
        <w:rPr>
          <w:spacing w:val="-13"/>
        </w:rPr>
        <w:t> </w:t>
      </w:r>
      <w:r>
        <w:rPr/>
        <w:t>población</w:t>
      </w:r>
      <w:r>
        <w:rPr>
          <w:spacing w:val="-12"/>
        </w:rPr>
        <w:t> </w:t>
      </w:r>
      <w:r>
        <w:rPr/>
        <w:t>o</w:t>
      </w:r>
      <w:r>
        <w:rPr>
          <w:spacing w:val="-12"/>
        </w:rPr>
        <w:t> </w:t>
      </w:r>
      <w:r>
        <w:rPr/>
        <w:t>se</w:t>
      </w:r>
      <w:r>
        <w:rPr>
          <w:spacing w:val="-12"/>
        </w:rPr>
        <w:t> </w:t>
      </w:r>
      <w:r>
        <w:rPr/>
        <w:t>ubiquen</w:t>
      </w:r>
      <w:r>
        <w:rPr>
          <w:spacing w:val="-13"/>
        </w:rPr>
        <w:t> </w:t>
      </w:r>
      <w:r>
        <w:rPr/>
        <w:t>dichos</w:t>
      </w:r>
      <w:r>
        <w:rPr>
          <w:spacing w:val="-11"/>
        </w:rPr>
        <w:t> </w:t>
      </w:r>
      <w:r>
        <w:rPr/>
        <w:t>terrenos</w:t>
      </w:r>
      <w:r>
        <w:rPr>
          <w:spacing w:val="-11"/>
        </w:rPr>
        <w:t> </w:t>
      </w:r>
      <w:r>
        <w:rPr/>
        <w:t>en</w:t>
      </w:r>
      <w:r>
        <w:rPr>
          <w:spacing w:val="-10"/>
        </w:rPr>
        <w:t> </w:t>
      </w:r>
      <w:r>
        <w:rPr/>
        <w:t>las</w:t>
      </w:r>
      <w:r>
        <w:rPr>
          <w:spacing w:val="-11"/>
        </w:rPr>
        <w:t> </w:t>
      </w:r>
      <w:r>
        <w:rPr/>
        <w:t>áreas</w:t>
      </w:r>
      <w:r>
        <w:rPr>
          <w:spacing w:val="-11"/>
        </w:rPr>
        <w:t> </w:t>
      </w:r>
      <w:r>
        <w:rPr/>
        <w:t>de</w:t>
      </w:r>
      <w:r>
        <w:rPr>
          <w:spacing w:val="-13"/>
        </w:rPr>
        <w:t> </w:t>
      </w:r>
      <w:r>
        <w:rPr/>
        <w:t>reserva del mismo, se aplicarán las disposiciones de esta Ley.</w:t>
      </w:r>
    </w:p>
    <w:p>
      <w:pPr>
        <w:pStyle w:val="BodyText"/>
      </w:pPr>
    </w:p>
    <w:p>
      <w:pPr>
        <w:pStyle w:val="BodyText"/>
      </w:pPr>
    </w:p>
    <w:p>
      <w:pPr>
        <w:pStyle w:val="Heading2"/>
        <w:spacing w:line="480" w:lineRule="auto"/>
        <w:ind w:left="3677" w:right="3694" w:firstLine="1"/>
      </w:pPr>
      <w:r>
        <w:rPr/>
        <w:t>Capítulo II Clasificación</w:t>
      </w:r>
      <w:r>
        <w:rPr>
          <w:spacing w:val="-14"/>
        </w:rPr>
        <w:t> </w:t>
      </w:r>
      <w:r>
        <w:rPr/>
        <w:t>y</w:t>
      </w:r>
      <w:r>
        <w:rPr>
          <w:spacing w:val="-14"/>
        </w:rPr>
        <w:t> </w:t>
      </w:r>
      <w:r>
        <w:rPr/>
        <w:t>Tipos</w:t>
      </w:r>
    </w:p>
    <w:p>
      <w:pPr>
        <w:pStyle w:val="BodyText"/>
        <w:spacing w:before="2"/>
        <w:ind w:left="262" w:right="283"/>
        <w:jc w:val="both"/>
      </w:pPr>
      <w:r>
        <w:rPr>
          <w:rFonts w:ascii="Arial" w:hAnsi="Arial"/>
          <w:b/>
        </w:rPr>
        <w:t>ARTÍCULO</w:t>
      </w:r>
      <w:r>
        <w:rPr>
          <w:rFonts w:ascii="Arial" w:hAnsi="Arial"/>
          <w:b/>
          <w:spacing w:val="-4"/>
        </w:rPr>
        <w:t> </w:t>
      </w:r>
      <w:r>
        <w:rPr>
          <w:rFonts w:ascii="Arial" w:hAnsi="Arial"/>
          <w:b/>
        </w:rPr>
        <w:t>321</w:t>
      </w:r>
      <w:r>
        <w:rPr/>
        <w:t>.</w:t>
      </w:r>
      <w:r>
        <w:rPr>
          <w:spacing w:val="-5"/>
        </w:rPr>
        <w:t> </w:t>
      </w:r>
      <w:r>
        <w:rPr/>
        <w:t>Los</w:t>
      </w:r>
      <w:r>
        <w:rPr>
          <w:spacing w:val="-4"/>
        </w:rPr>
        <w:t> </w:t>
      </w:r>
      <w:r>
        <w:rPr/>
        <w:t>fraccionamientos</w:t>
      </w:r>
      <w:r>
        <w:rPr>
          <w:spacing w:val="-4"/>
        </w:rPr>
        <w:t> </w:t>
      </w:r>
      <w:r>
        <w:rPr/>
        <w:t>en</w:t>
      </w:r>
      <w:r>
        <w:rPr>
          <w:spacing w:val="-4"/>
        </w:rPr>
        <w:t> </w:t>
      </w:r>
      <w:r>
        <w:rPr/>
        <w:t>los</w:t>
      </w:r>
      <w:r>
        <w:rPr>
          <w:spacing w:val="-4"/>
        </w:rPr>
        <w:t> </w:t>
      </w:r>
      <w:r>
        <w:rPr/>
        <w:t>centros</w:t>
      </w:r>
      <w:r>
        <w:rPr>
          <w:spacing w:val="-4"/>
        </w:rPr>
        <w:t> </w:t>
      </w:r>
      <w:r>
        <w:rPr/>
        <w:t>de</w:t>
      </w:r>
      <w:r>
        <w:rPr>
          <w:spacing w:val="-6"/>
        </w:rPr>
        <w:t> </w:t>
      </w:r>
      <w:r>
        <w:rPr/>
        <w:t>población</w:t>
      </w:r>
      <w:r>
        <w:rPr>
          <w:spacing w:val="-4"/>
        </w:rPr>
        <w:t> </w:t>
      </w:r>
      <w:r>
        <w:rPr/>
        <w:t>de</w:t>
      </w:r>
      <w:r>
        <w:rPr>
          <w:spacing w:val="-6"/>
        </w:rPr>
        <w:t> </w:t>
      </w:r>
      <w:r>
        <w:rPr/>
        <w:t>los</w:t>
      </w:r>
      <w:r>
        <w:rPr>
          <w:spacing w:val="-4"/>
        </w:rPr>
        <w:t> </w:t>
      </w:r>
      <w:r>
        <w:rPr/>
        <w:t>municipios</w:t>
      </w:r>
      <w:r>
        <w:rPr>
          <w:spacing w:val="-4"/>
        </w:rPr>
        <w:t> </w:t>
      </w:r>
      <w:r>
        <w:rPr/>
        <w:t>del</w:t>
      </w:r>
      <w:r>
        <w:rPr>
          <w:spacing w:val="-4"/>
        </w:rPr>
        <w:t> </w:t>
      </w:r>
      <w:r>
        <w:rPr/>
        <w:t>Estado,</w:t>
      </w:r>
      <w:r>
        <w:rPr>
          <w:spacing w:val="-5"/>
        </w:rPr>
        <w:t> </w:t>
      </w:r>
      <w:r>
        <w:rPr/>
        <w:t>se sujetarán a la clasificación, las normas, densidades, nomenclaturas y demás previsiones que establece su respectivo Programa de Desarrollo Urbano de Centro de Población vigente.</w:t>
      </w:r>
    </w:p>
    <w:p>
      <w:pPr>
        <w:pStyle w:val="BodyText"/>
        <w:spacing w:before="229"/>
        <w:ind w:left="262" w:right="285"/>
        <w:jc w:val="both"/>
      </w:pPr>
      <w:r>
        <w:rPr>
          <w:rFonts w:ascii="Arial" w:hAnsi="Arial"/>
          <w:b/>
        </w:rPr>
        <w:t>ARTICULO 322. </w:t>
      </w:r>
      <w:r>
        <w:rPr/>
        <w:t>Las disposiciones de este Capítulo son de cumplimiento obligatorio para aquellos municipios que no cuenten con sus respectivos programas de ordenamiento territorial y desarrollo urbano y con los que de éstos deriven, acorde a las disposiciones de esta Ley.</w:t>
      </w:r>
    </w:p>
    <w:p>
      <w:pPr>
        <w:pStyle w:val="BodyText"/>
      </w:pPr>
    </w:p>
    <w:p>
      <w:pPr>
        <w:pStyle w:val="BodyText"/>
        <w:ind w:left="262"/>
        <w:jc w:val="both"/>
      </w:pPr>
      <w:r>
        <w:rPr>
          <w:rFonts w:ascii="Arial" w:hAnsi="Arial"/>
          <w:b/>
        </w:rPr>
        <w:t>ARTÍCULO</w:t>
      </w:r>
      <w:r>
        <w:rPr>
          <w:rFonts w:ascii="Arial" w:hAnsi="Arial"/>
          <w:b/>
          <w:spacing w:val="-7"/>
        </w:rPr>
        <w:t> </w:t>
      </w:r>
      <w:r>
        <w:rPr>
          <w:rFonts w:ascii="Arial" w:hAnsi="Arial"/>
          <w:b/>
        </w:rPr>
        <w:t>323.</w:t>
      </w:r>
      <w:r>
        <w:rPr>
          <w:rFonts w:ascii="Arial" w:hAnsi="Arial"/>
          <w:b/>
          <w:spacing w:val="-8"/>
        </w:rPr>
        <w:t> </w:t>
      </w:r>
      <w:r>
        <w:rPr/>
        <w:t>Los</w:t>
      </w:r>
      <w:r>
        <w:rPr>
          <w:spacing w:val="-6"/>
        </w:rPr>
        <w:t> </w:t>
      </w:r>
      <w:r>
        <w:rPr/>
        <w:t>fraccionamientos</w:t>
      </w:r>
      <w:r>
        <w:rPr>
          <w:spacing w:val="-7"/>
        </w:rPr>
        <w:t> </w:t>
      </w:r>
      <w:r>
        <w:rPr/>
        <w:t>se</w:t>
      </w:r>
      <w:r>
        <w:rPr>
          <w:spacing w:val="-6"/>
        </w:rPr>
        <w:t> </w:t>
      </w:r>
      <w:r>
        <w:rPr/>
        <w:t>clasifican</w:t>
      </w:r>
      <w:r>
        <w:rPr>
          <w:spacing w:val="-8"/>
        </w:rPr>
        <w:t> </w:t>
      </w:r>
      <w:r>
        <w:rPr/>
        <w:t>en</w:t>
      </w:r>
      <w:r>
        <w:rPr>
          <w:spacing w:val="-8"/>
        </w:rPr>
        <w:t> </w:t>
      </w:r>
      <w:r>
        <w:rPr/>
        <w:t>los</w:t>
      </w:r>
      <w:r>
        <w:rPr>
          <w:spacing w:val="-7"/>
        </w:rPr>
        <w:t> </w:t>
      </w:r>
      <w:r>
        <w:rPr/>
        <w:t>siguientes</w:t>
      </w:r>
      <w:r>
        <w:rPr>
          <w:spacing w:val="-6"/>
        </w:rPr>
        <w:t> </w:t>
      </w:r>
      <w:r>
        <w:rPr>
          <w:spacing w:val="-2"/>
        </w:rPr>
        <w:t>tipos:</w:t>
      </w:r>
    </w:p>
    <w:p>
      <w:pPr>
        <w:pStyle w:val="BodyText"/>
        <w:spacing w:before="1"/>
      </w:pPr>
    </w:p>
    <w:p>
      <w:pPr>
        <w:pStyle w:val="Heading2"/>
        <w:numPr>
          <w:ilvl w:val="0"/>
          <w:numId w:val="114"/>
        </w:numPr>
        <w:tabs>
          <w:tab w:pos="427" w:val="left" w:leader="none"/>
        </w:tabs>
        <w:spacing w:line="240" w:lineRule="auto" w:before="0" w:after="0"/>
        <w:ind w:left="427" w:right="0" w:hanging="165"/>
        <w:jc w:val="left"/>
      </w:pPr>
      <w:r>
        <w:rPr>
          <w:spacing w:val="-2"/>
        </w:rPr>
        <w:t>Habitacional:</w:t>
      </w:r>
    </w:p>
    <w:p>
      <w:pPr>
        <w:pStyle w:val="ListParagraph"/>
        <w:numPr>
          <w:ilvl w:val="1"/>
          <w:numId w:val="114"/>
        </w:numPr>
        <w:tabs>
          <w:tab w:pos="544" w:val="left" w:leader="none"/>
        </w:tabs>
        <w:spacing w:line="240" w:lineRule="auto" w:before="228" w:after="0"/>
        <w:ind w:left="544" w:right="0" w:hanging="282"/>
        <w:jc w:val="left"/>
        <w:rPr>
          <w:sz w:val="20"/>
        </w:rPr>
      </w:pPr>
      <w:r>
        <w:rPr>
          <w:spacing w:val="-2"/>
          <w:sz w:val="20"/>
        </w:rPr>
        <w:t>Habitacional</w:t>
      </w:r>
      <w:r>
        <w:rPr>
          <w:spacing w:val="5"/>
          <w:sz w:val="20"/>
        </w:rPr>
        <w:t> </w:t>
      </w:r>
      <w:r>
        <w:rPr>
          <w:spacing w:val="-2"/>
          <w:sz w:val="20"/>
        </w:rPr>
        <w:t>urbano:</w:t>
      </w:r>
    </w:p>
    <w:p>
      <w:pPr>
        <w:pStyle w:val="BodyText"/>
        <w:spacing w:before="1"/>
      </w:pPr>
    </w:p>
    <w:p>
      <w:pPr>
        <w:pStyle w:val="ListParagraph"/>
        <w:numPr>
          <w:ilvl w:val="2"/>
          <w:numId w:val="114"/>
        </w:numPr>
        <w:tabs>
          <w:tab w:pos="544" w:val="left" w:leader="none"/>
        </w:tabs>
        <w:spacing w:line="240" w:lineRule="auto" w:before="0" w:after="0"/>
        <w:ind w:left="544" w:right="0" w:hanging="282"/>
        <w:jc w:val="left"/>
        <w:rPr>
          <w:sz w:val="20"/>
        </w:rPr>
      </w:pPr>
      <w:r>
        <w:rPr>
          <w:spacing w:val="-2"/>
          <w:sz w:val="20"/>
        </w:rPr>
        <w:t>Residencial.</w:t>
      </w:r>
    </w:p>
    <w:p>
      <w:pPr>
        <w:pStyle w:val="BodyText"/>
        <w:spacing w:before="1"/>
      </w:pPr>
    </w:p>
    <w:p>
      <w:pPr>
        <w:pStyle w:val="ListParagraph"/>
        <w:numPr>
          <w:ilvl w:val="2"/>
          <w:numId w:val="114"/>
        </w:numPr>
        <w:tabs>
          <w:tab w:pos="544" w:val="left" w:leader="none"/>
        </w:tabs>
        <w:spacing w:line="240" w:lineRule="auto" w:before="0" w:after="0"/>
        <w:ind w:left="544" w:right="0" w:hanging="282"/>
        <w:jc w:val="left"/>
        <w:rPr>
          <w:sz w:val="20"/>
        </w:rPr>
      </w:pPr>
      <w:r>
        <w:rPr>
          <w:sz w:val="20"/>
        </w:rPr>
        <w:t>Tipo</w:t>
      </w:r>
      <w:r>
        <w:rPr>
          <w:spacing w:val="-7"/>
          <w:sz w:val="20"/>
        </w:rPr>
        <w:t> </w:t>
      </w:r>
      <w:r>
        <w:rPr>
          <w:spacing w:val="-2"/>
          <w:sz w:val="20"/>
        </w:rPr>
        <w:t>medio.</w:t>
      </w:r>
    </w:p>
    <w:p>
      <w:pPr>
        <w:pStyle w:val="ListParagraph"/>
        <w:spacing w:after="0" w:line="240" w:lineRule="auto"/>
        <w:jc w:val="left"/>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2"/>
          <w:numId w:val="114"/>
        </w:numPr>
        <w:tabs>
          <w:tab w:pos="544" w:val="left" w:leader="none"/>
        </w:tabs>
        <w:spacing w:line="240" w:lineRule="auto" w:before="0" w:after="0"/>
        <w:ind w:left="544" w:right="0" w:hanging="282"/>
        <w:jc w:val="left"/>
        <w:rPr>
          <w:sz w:val="20"/>
        </w:rPr>
      </w:pPr>
      <w:r>
        <w:rPr>
          <w:sz w:val="20"/>
        </w:rPr>
        <w:t>Interés</w:t>
      </w:r>
      <w:r>
        <w:rPr>
          <w:spacing w:val="-7"/>
          <w:sz w:val="20"/>
        </w:rPr>
        <w:t> </w:t>
      </w:r>
      <w:r>
        <w:rPr>
          <w:spacing w:val="-2"/>
          <w:sz w:val="20"/>
        </w:rPr>
        <w:t>popular.</w:t>
      </w:r>
    </w:p>
    <w:p>
      <w:pPr>
        <w:pStyle w:val="BodyText"/>
        <w:spacing w:before="1"/>
      </w:pPr>
    </w:p>
    <w:p>
      <w:pPr>
        <w:pStyle w:val="ListParagraph"/>
        <w:numPr>
          <w:ilvl w:val="2"/>
          <w:numId w:val="114"/>
        </w:numPr>
        <w:tabs>
          <w:tab w:pos="544" w:val="left" w:leader="none"/>
        </w:tabs>
        <w:spacing w:line="240" w:lineRule="auto" w:before="0" w:after="0"/>
        <w:ind w:left="544" w:right="0" w:hanging="282"/>
        <w:jc w:val="left"/>
        <w:rPr>
          <w:sz w:val="20"/>
        </w:rPr>
      </w:pPr>
      <w:r>
        <w:rPr>
          <w:sz w:val="20"/>
        </w:rPr>
        <w:t>Vivienda</w:t>
      </w:r>
      <w:r>
        <w:rPr>
          <w:spacing w:val="-11"/>
          <w:sz w:val="20"/>
        </w:rPr>
        <w:t> </w:t>
      </w:r>
      <w:r>
        <w:rPr>
          <w:spacing w:val="-2"/>
          <w:sz w:val="20"/>
        </w:rPr>
        <w:t>Económica.</w:t>
      </w:r>
    </w:p>
    <w:p>
      <w:pPr>
        <w:pStyle w:val="ListParagraph"/>
        <w:numPr>
          <w:ilvl w:val="1"/>
          <w:numId w:val="114"/>
        </w:numPr>
        <w:tabs>
          <w:tab w:pos="544" w:val="left" w:leader="none"/>
        </w:tabs>
        <w:spacing w:line="240" w:lineRule="auto" w:before="229" w:after="0"/>
        <w:ind w:left="544" w:right="0" w:hanging="282"/>
        <w:jc w:val="left"/>
        <w:rPr>
          <w:sz w:val="20"/>
        </w:rPr>
      </w:pPr>
      <w:r>
        <w:rPr>
          <w:sz w:val="20"/>
        </w:rPr>
        <w:t>Habitacional</w:t>
      </w:r>
      <w:r>
        <w:rPr>
          <w:spacing w:val="-12"/>
          <w:sz w:val="20"/>
        </w:rPr>
        <w:t> </w:t>
      </w:r>
      <w:r>
        <w:rPr>
          <w:sz w:val="20"/>
        </w:rPr>
        <w:t>suburbano</w:t>
      </w:r>
      <w:r>
        <w:rPr>
          <w:spacing w:val="-11"/>
          <w:sz w:val="20"/>
        </w:rPr>
        <w:t> </w:t>
      </w:r>
      <w:r>
        <w:rPr>
          <w:sz w:val="20"/>
        </w:rPr>
        <w:t>o</w:t>
      </w:r>
      <w:r>
        <w:rPr>
          <w:spacing w:val="-11"/>
          <w:sz w:val="20"/>
        </w:rPr>
        <w:t> </w:t>
      </w:r>
      <w:r>
        <w:rPr>
          <w:spacing w:val="-2"/>
          <w:sz w:val="20"/>
        </w:rPr>
        <w:t>rural:</w:t>
      </w:r>
    </w:p>
    <w:p>
      <w:pPr>
        <w:pStyle w:val="BodyText"/>
      </w:pPr>
    </w:p>
    <w:p>
      <w:pPr>
        <w:pStyle w:val="ListParagraph"/>
        <w:numPr>
          <w:ilvl w:val="2"/>
          <w:numId w:val="114"/>
        </w:numPr>
        <w:tabs>
          <w:tab w:pos="544" w:val="left" w:leader="none"/>
        </w:tabs>
        <w:spacing w:line="240" w:lineRule="auto" w:before="0" w:after="0"/>
        <w:ind w:left="544" w:right="0" w:hanging="282"/>
        <w:jc w:val="left"/>
        <w:rPr>
          <w:sz w:val="20"/>
        </w:rPr>
      </w:pPr>
      <w:r>
        <w:rPr>
          <w:spacing w:val="-2"/>
          <w:sz w:val="20"/>
        </w:rPr>
        <w:t>Residencial</w:t>
      </w:r>
      <w:r>
        <w:rPr>
          <w:spacing w:val="6"/>
          <w:sz w:val="20"/>
        </w:rPr>
        <w:t> </w:t>
      </w:r>
      <w:r>
        <w:rPr>
          <w:spacing w:val="-2"/>
          <w:sz w:val="20"/>
        </w:rPr>
        <w:t>Campestre.</w:t>
      </w:r>
    </w:p>
    <w:p>
      <w:pPr>
        <w:pStyle w:val="BodyText"/>
        <w:spacing w:before="1"/>
      </w:pPr>
    </w:p>
    <w:p>
      <w:pPr>
        <w:pStyle w:val="ListParagraph"/>
        <w:numPr>
          <w:ilvl w:val="2"/>
          <w:numId w:val="114"/>
        </w:numPr>
        <w:tabs>
          <w:tab w:pos="544" w:val="left" w:leader="none"/>
        </w:tabs>
        <w:spacing w:line="240" w:lineRule="auto" w:before="0" w:after="0"/>
        <w:ind w:left="544" w:right="0" w:hanging="282"/>
        <w:jc w:val="left"/>
        <w:rPr>
          <w:sz w:val="20"/>
        </w:rPr>
      </w:pPr>
      <w:r>
        <w:rPr>
          <w:spacing w:val="-2"/>
          <w:sz w:val="20"/>
        </w:rPr>
        <w:t>Restauración</w:t>
      </w:r>
      <w:r>
        <w:rPr>
          <w:spacing w:val="9"/>
          <w:sz w:val="20"/>
        </w:rPr>
        <w:t> </w:t>
      </w:r>
      <w:r>
        <w:rPr>
          <w:spacing w:val="-2"/>
          <w:sz w:val="20"/>
        </w:rPr>
        <w:t>ecológica;</w:t>
      </w:r>
    </w:p>
    <w:p>
      <w:pPr>
        <w:pStyle w:val="Heading2"/>
        <w:numPr>
          <w:ilvl w:val="0"/>
          <w:numId w:val="114"/>
        </w:numPr>
        <w:tabs>
          <w:tab w:pos="543" w:val="left" w:leader="none"/>
        </w:tabs>
        <w:spacing w:line="240" w:lineRule="auto" w:before="229" w:after="0"/>
        <w:ind w:left="543" w:right="0" w:hanging="281"/>
        <w:jc w:val="left"/>
      </w:pPr>
      <w:r>
        <w:rPr>
          <w:spacing w:val="-2"/>
        </w:rPr>
        <w:t>Especiales:</w:t>
      </w:r>
    </w:p>
    <w:p>
      <w:pPr>
        <w:pStyle w:val="BodyText"/>
        <w:spacing w:before="1"/>
        <w:rPr>
          <w:rFonts w:ascii="Arial"/>
          <w:b/>
        </w:rPr>
      </w:pPr>
    </w:p>
    <w:p>
      <w:pPr>
        <w:pStyle w:val="ListParagraph"/>
        <w:numPr>
          <w:ilvl w:val="1"/>
          <w:numId w:val="114"/>
        </w:numPr>
        <w:tabs>
          <w:tab w:pos="544" w:val="left" w:leader="none"/>
        </w:tabs>
        <w:spacing w:line="240" w:lineRule="auto" w:before="0" w:after="0"/>
        <w:ind w:left="544" w:right="0" w:hanging="282"/>
        <w:jc w:val="left"/>
        <w:rPr>
          <w:sz w:val="20"/>
        </w:rPr>
      </w:pPr>
      <w:r>
        <w:rPr>
          <w:sz w:val="20"/>
        </w:rPr>
        <w:t>Comerciales</w:t>
      </w:r>
      <w:r>
        <w:rPr>
          <w:spacing w:val="-7"/>
          <w:sz w:val="20"/>
        </w:rPr>
        <w:t> </w:t>
      </w:r>
      <w:r>
        <w:rPr>
          <w:sz w:val="20"/>
        </w:rPr>
        <w:t>y</w:t>
      </w:r>
      <w:r>
        <w:rPr>
          <w:spacing w:val="-6"/>
          <w:sz w:val="20"/>
        </w:rPr>
        <w:t> </w:t>
      </w:r>
      <w:r>
        <w:rPr>
          <w:sz w:val="20"/>
        </w:rPr>
        <w:t>de</w:t>
      </w:r>
      <w:r>
        <w:rPr>
          <w:spacing w:val="-7"/>
          <w:sz w:val="20"/>
        </w:rPr>
        <w:t> </w:t>
      </w:r>
      <w:r>
        <w:rPr>
          <w:spacing w:val="-2"/>
          <w:sz w:val="20"/>
        </w:rPr>
        <w:t>servicios.</w:t>
      </w:r>
    </w:p>
    <w:p>
      <w:pPr>
        <w:pStyle w:val="BodyText"/>
        <w:spacing w:before="1"/>
      </w:pPr>
    </w:p>
    <w:p>
      <w:pPr>
        <w:pStyle w:val="ListParagraph"/>
        <w:numPr>
          <w:ilvl w:val="1"/>
          <w:numId w:val="114"/>
        </w:numPr>
        <w:tabs>
          <w:tab w:pos="544" w:val="left" w:leader="none"/>
        </w:tabs>
        <w:spacing w:line="240" w:lineRule="auto" w:before="0" w:after="0"/>
        <w:ind w:left="544" w:right="0" w:hanging="282"/>
        <w:jc w:val="left"/>
        <w:rPr>
          <w:sz w:val="20"/>
        </w:rPr>
      </w:pPr>
      <w:r>
        <w:rPr>
          <w:sz w:val="20"/>
        </w:rPr>
        <w:t>Comerciales</w:t>
      </w:r>
      <w:r>
        <w:rPr>
          <w:spacing w:val="-6"/>
          <w:sz w:val="20"/>
        </w:rPr>
        <w:t> </w:t>
      </w:r>
      <w:r>
        <w:rPr>
          <w:sz w:val="20"/>
        </w:rPr>
        <w:t>de</w:t>
      </w:r>
      <w:r>
        <w:rPr>
          <w:spacing w:val="-8"/>
          <w:sz w:val="20"/>
        </w:rPr>
        <w:t> </w:t>
      </w:r>
      <w:r>
        <w:rPr>
          <w:sz w:val="20"/>
        </w:rPr>
        <w:t>venta</w:t>
      </w:r>
      <w:r>
        <w:rPr>
          <w:spacing w:val="-7"/>
          <w:sz w:val="20"/>
        </w:rPr>
        <w:t> </w:t>
      </w:r>
      <w:r>
        <w:rPr>
          <w:sz w:val="20"/>
        </w:rPr>
        <w:t>al</w:t>
      </w:r>
      <w:r>
        <w:rPr>
          <w:spacing w:val="-7"/>
          <w:sz w:val="20"/>
        </w:rPr>
        <w:t> </w:t>
      </w:r>
      <w:r>
        <w:rPr>
          <w:spacing w:val="-2"/>
          <w:sz w:val="20"/>
        </w:rPr>
        <w:t>detalle.</w:t>
      </w:r>
    </w:p>
    <w:p>
      <w:pPr>
        <w:pStyle w:val="ListParagraph"/>
        <w:numPr>
          <w:ilvl w:val="1"/>
          <w:numId w:val="114"/>
        </w:numPr>
        <w:tabs>
          <w:tab w:pos="544" w:val="left" w:leader="none"/>
        </w:tabs>
        <w:spacing w:line="240" w:lineRule="auto" w:before="228" w:after="0"/>
        <w:ind w:left="544" w:right="0" w:hanging="282"/>
        <w:jc w:val="left"/>
        <w:rPr>
          <w:sz w:val="20"/>
        </w:rPr>
      </w:pPr>
      <w:r>
        <w:rPr>
          <w:sz w:val="20"/>
        </w:rPr>
        <w:t>Comerciales</w:t>
      </w:r>
      <w:r>
        <w:rPr>
          <w:spacing w:val="-5"/>
          <w:sz w:val="20"/>
        </w:rPr>
        <w:t> </w:t>
      </w:r>
      <w:r>
        <w:rPr>
          <w:sz w:val="20"/>
        </w:rPr>
        <w:t>de</w:t>
      </w:r>
      <w:r>
        <w:rPr>
          <w:spacing w:val="-7"/>
          <w:sz w:val="20"/>
        </w:rPr>
        <w:t> </w:t>
      </w:r>
      <w:r>
        <w:rPr>
          <w:sz w:val="20"/>
        </w:rPr>
        <w:t>venta</w:t>
      </w:r>
      <w:r>
        <w:rPr>
          <w:spacing w:val="-6"/>
          <w:sz w:val="20"/>
        </w:rPr>
        <w:t> </w:t>
      </w:r>
      <w:r>
        <w:rPr>
          <w:sz w:val="20"/>
        </w:rPr>
        <w:t>al</w:t>
      </w:r>
      <w:r>
        <w:rPr>
          <w:spacing w:val="-6"/>
          <w:sz w:val="20"/>
        </w:rPr>
        <w:t> </w:t>
      </w:r>
      <w:r>
        <w:rPr>
          <w:sz w:val="20"/>
        </w:rPr>
        <w:t>mayoreo</w:t>
      </w:r>
      <w:r>
        <w:rPr>
          <w:spacing w:val="-7"/>
          <w:sz w:val="20"/>
        </w:rPr>
        <w:t> </w:t>
      </w:r>
      <w:r>
        <w:rPr>
          <w:sz w:val="20"/>
        </w:rPr>
        <w:t>y</w:t>
      </w:r>
      <w:r>
        <w:rPr>
          <w:spacing w:val="-6"/>
          <w:sz w:val="20"/>
        </w:rPr>
        <w:t> </w:t>
      </w:r>
      <w:r>
        <w:rPr>
          <w:sz w:val="20"/>
        </w:rPr>
        <w:t>/o</w:t>
      </w:r>
      <w:r>
        <w:rPr>
          <w:spacing w:val="-6"/>
          <w:sz w:val="20"/>
        </w:rPr>
        <w:t> </w:t>
      </w:r>
      <w:r>
        <w:rPr>
          <w:spacing w:val="-2"/>
          <w:sz w:val="20"/>
        </w:rPr>
        <w:t>bodegas.</w:t>
      </w:r>
    </w:p>
    <w:p>
      <w:pPr>
        <w:pStyle w:val="BodyText"/>
        <w:spacing w:before="1"/>
      </w:pPr>
    </w:p>
    <w:p>
      <w:pPr>
        <w:pStyle w:val="ListParagraph"/>
        <w:numPr>
          <w:ilvl w:val="1"/>
          <w:numId w:val="114"/>
        </w:numPr>
        <w:tabs>
          <w:tab w:pos="544" w:val="left" w:leader="none"/>
        </w:tabs>
        <w:spacing w:line="240" w:lineRule="auto" w:before="0" w:after="0"/>
        <w:ind w:left="544" w:right="0" w:hanging="282"/>
        <w:jc w:val="left"/>
        <w:rPr>
          <w:sz w:val="20"/>
        </w:rPr>
      </w:pPr>
      <w:r>
        <w:rPr>
          <w:sz w:val="20"/>
        </w:rPr>
        <w:t>De</w:t>
      </w:r>
      <w:r>
        <w:rPr>
          <w:spacing w:val="-5"/>
          <w:sz w:val="20"/>
        </w:rPr>
        <w:t> </w:t>
      </w:r>
      <w:r>
        <w:rPr>
          <w:spacing w:val="-2"/>
          <w:sz w:val="20"/>
        </w:rPr>
        <w:t>servicios.</w:t>
      </w:r>
    </w:p>
    <w:p>
      <w:pPr>
        <w:pStyle w:val="BodyText"/>
        <w:spacing w:before="1"/>
      </w:pPr>
    </w:p>
    <w:p>
      <w:pPr>
        <w:pStyle w:val="ListParagraph"/>
        <w:numPr>
          <w:ilvl w:val="1"/>
          <w:numId w:val="114"/>
        </w:numPr>
        <w:tabs>
          <w:tab w:pos="544" w:val="left" w:leader="none"/>
        </w:tabs>
        <w:spacing w:line="240" w:lineRule="auto" w:before="0" w:after="0"/>
        <w:ind w:left="544" w:right="0" w:hanging="282"/>
        <w:jc w:val="left"/>
        <w:rPr>
          <w:sz w:val="20"/>
        </w:rPr>
      </w:pPr>
      <w:r>
        <w:rPr>
          <w:spacing w:val="-2"/>
          <w:sz w:val="20"/>
        </w:rPr>
        <w:t>Mixtos.</w:t>
      </w:r>
    </w:p>
    <w:p>
      <w:pPr>
        <w:pStyle w:val="ListParagraph"/>
        <w:numPr>
          <w:ilvl w:val="1"/>
          <w:numId w:val="114"/>
        </w:numPr>
        <w:tabs>
          <w:tab w:pos="543" w:val="left" w:leader="none"/>
        </w:tabs>
        <w:spacing w:line="240" w:lineRule="auto" w:before="229" w:after="0"/>
        <w:ind w:left="543" w:right="0" w:hanging="281"/>
        <w:jc w:val="left"/>
        <w:rPr>
          <w:sz w:val="20"/>
        </w:rPr>
      </w:pPr>
      <w:r>
        <w:rPr>
          <w:spacing w:val="-2"/>
          <w:sz w:val="20"/>
        </w:rPr>
        <w:t>Industriales.</w:t>
      </w:r>
    </w:p>
    <w:p>
      <w:pPr>
        <w:pStyle w:val="BodyText"/>
        <w:spacing w:before="1"/>
      </w:pPr>
    </w:p>
    <w:p>
      <w:pPr>
        <w:pStyle w:val="ListParagraph"/>
        <w:numPr>
          <w:ilvl w:val="1"/>
          <w:numId w:val="114"/>
        </w:numPr>
        <w:tabs>
          <w:tab w:pos="544" w:val="left" w:leader="none"/>
        </w:tabs>
        <w:spacing w:line="240" w:lineRule="auto" w:before="0" w:after="0"/>
        <w:ind w:left="544" w:right="0" w:hanging="282"/>
        <w:jc w:val="left"/>
        <w:rPr>
          <w:sz w:val="20"/>
        </w:rPr>
      </w:pPr>
      <w:r>
        <w:rPr>
          <w:sz w:val="20"/>
        </w:rPr>
        <w:t>De</w:t>
      </w:r>
      <w:r>
        <w:rPr>
          <w:spacing w:val="-9"/>
          <w:sz w:val="20"/>
        </w:rPr>
        <w:t> </w:t>
      </w:r>
      <w:r>
        <w:rPr>
          <w:sz w:val="20"/>
        </w:rPr>
        <w:t>cementerios</w:t>
      </w:r>
      <w:r>
        <w:rPr>
          <w:spacing w:val="-8"/>
          <w:sz w:val="20"/>
        </w:rPr>
        <w:t> </w:t>
      </w:r>
      <w:r>
        <w:rPr>
          <w:sz w:val="20"/>
        </w:rPr>
        <w:t>o</w:t>
      </w:r>
      <w:r>
        <w:rPr>
          <w:spacing w:val="-7"/>
          <w:sz w:val="20"/>
        </w:rPr>
        <w:t> </w:t>
      </w:r>
      <w:r>
        <w:rPr>
          <w:sz w:val="20"/>
        </w:rPr>
        <w:t>parques</w:t>
      </w:r>
      <w:r>
        <w:rPr>
          <w:spacing w:val="-6"/>
          <w:sz w:val="20"/>
        </w:rPr>
        <w:t> </w:t>
      </w:r>
      <w:r>
        <w:rPr>
          <w:sz w:val="20"/>
        </w:rPr>
        <w:t>funerarios,</w:t>
      </w:r>
      <w:r>
        <w:rPr>
          <w:spacing w:val="-9"/>
          <w:sz w:val="20"/>
        </w:rPr>
        <w:t> </w:t>
      </w:r>
      <w:r>
        <w:rPr>
          <w:spacing w:val="-10"/>
          <w:sz w:val="20"/>
        </w:rPr>
        <w:t>y</w:t>
      </w:r>
    </w:p>
    <w:p>
      <w:pPr>
        <w:pStyle w:val="BodyText"/>
      </w:pPr>
    </w:p>
    <w:p>
      <w:pPr>
        <w:pStyle w:val="ListParagraph"/>
        <w:numPr>
          <w:ilvl w:val="0"/>
          <w:numId w:val="114"/>
        </w:numPr>
        <w:tabs>
          <w:tab w:pos="689" w:val="left" w:leader="none"/>
        </w:tabs>
        <w:spacing w:line="240" w:lineRule="auto" w:before="1" w:after="0"/>
        <w:ind w:left="262" w:right="284" w:firstLine="0"/>
        <w:jc w:val="left"/>
        <w:rPr>
          <w:sz w:val="20"/>
        </w:rPr>
      </w:pPr>
      <w:r>
        <w:rPr>
          <w:rFonts w:ascii="Arial"/>
          <w:b/>
          <w:sz w:val="20"/>
        </w:rPr>
        <w:t>Mixtos:</w:t>
      </w:r>
      <w:r>
        <w:rPr>
          <w:rFonts w:ascii="Arial"/>
          <w:b/>
          <w:spacing w:val="-4"/>
          <w:sz w:val="20"/>
        </w:rPr>
        <w:t> </w:t>
      </w:r>
      <w:r>
        <w:rPr>
          <w:sz w:val="20"/>
        </w:rPr>
        <w:t>En</w:t>
      </w:r>
      <w:r>
        <w:rPr>
          <w:spacing w:val="-6"/>
          <w:sz w:val="20"/>
        </w:rPr>
        <w:t> </w:t>
      </w:r>
      <w:r>
        <w:rPr>
          <w:sz w:val="20"/>
        </w:rPr>
        <w:t>los</w:t>
      </w:r>
      <w:r>
        <w:rPr>
          <w:spacing w:val="-4"/>
          <w:sz w:val="20"/>
        </w:rPr>
        <w:t> </w:t>
      </w:r>
      <w:r>
        <w:rPr>
          <w:sz w:val="20"/>
        </w:rPr>
        <w:t>que</w:t>
      </w:r>
      <w:r>
        <w:rPr>
          <w:spacing w:val="-7"/>
          <w:sz w:val="20"/>
        </w:rPr>
        <w:t> </w:t>
      </w:r>
      <w:r>
        <w:rPr>
          <w:sz w:val="20"/>
        </w:rPr>
        <w:t>pueden</w:t>
      </w:r>
      <w:r>
        <w:rPr>
          <w:spacing w:val="-6"/>
          <w:sz w:val="20"/>
        </w:rPr>
        <w:t> </w:t>
      </w:r>
      <w:r>
        <w:rPr>
          <w:sz w:val="20"/>
        </w:rPr>
        <w:t>combinarse</w:t>
      </w:r>
      <w:r>
        <w:rPr>
          <w:spacing w:val="-6"/>
          <w:sz w:val="20"/>
        </w:rPr>
        <w:t> </w:t>
      </w:r>
      <w:r>
        <w:rPr>
          <w:sz w:val="20"/>
        </w:rPr>
        <w:t>los</w:t>
      </w:r>
      <w:r>
        <w:rPr>
          <w:spacing w:val="-7"/>
          <w:sz w:val="20"/>
        </w:rPr>
        <w:t> </w:t>
      </w:r>
      <w:r>
        <w:rPr>
          <w:sz w:val="20"/>
        </w:rPr>
        <w:t>anteriores</w:t>
      </w:r>
      <w:r>
        <w:rPr>
          <w:spacing w:val="-3"/>
          <w:sz w:val="20"/>
        </w:rPr>
        <w:t> </w:t>
      </w:r>
      <w:r>
        <w:rPr>
          <w:sz w:val="20"/>
        </w:rPr>
        <w:t>de</w:t>
      </w:r>
      <w:r>
        <w:rPr>
          <w:spacing w:val="-7"/>
          <w:sz w:val="20"/>
        </w:rPr>
        <w:t> </w:t>
      </w:r>
      <w:r>
        <w:rPr>
          <w:sz w:val="20"/>
        </w:rPr>
        <w:t>conformidad</w:t>
      </w:r>
      <w:r>
        <w:rPr>
          <w:spacing w:val="-7"/>
          <w:sz w:val="20"/>
        </w:rPr>
        <w:t> </w:t>
      </w:r>
      <w:r>
        <w:rPr>
          <w:sz w:val="20"/>
        </w:rPr>
        <w:t>con</w:t>
      </w:r>
      <w:r>
        <w:rPr>
          <w:spacing w:val="-5"/>
          <w:sz w:val="20"/>
        </w:rPr>
        <w:t> </w:t>
      </w:r>
      <w:r>
        <w:rPr>
          <w:sz w:val="20"/>
        </w:rPr>
        <w:t>lo</w:t>
      </w:r>
      <w:r>
        <w:rPr>
          <w:spacing w:val="-5"/>
          <w:sz w:val="20"/>
        </w:rPr>
        <w:t> </w:t>
      </w:r>
      <w:r>
        <w:rPr>
          <w:sz w:val="20"/>
        </w:rPr>
        <w:t>dispuesto</w:t>
      </w:r>
      <w:r>
        <w:rPr>
          <w:spacing w:val="-6"/>
          <w:sz w:val="20"/>
        </w:rPr>
        <w:t> </w:t>
      </w:r>
      <w:r>
        <w:rPr>
          <w:sz w:val="20"/>
        </w:rPr>
        <w:t>en</w:t>
      </w:r>
      <w:r>
        <w:rPr>
          <w:spacing w:val="-6"/>
          <w:sz w:val="20"/>
        </w:rPr>
        <w:t> </w:t>
      </w:r>
      <w:r>
        <w:rPr>
          <w:sz w:val="20"/>
        </w:rPr>
        <w:t>esta </w:t>
      </w:r>
      <w:r>
        <w:rPr>
          <w:spacing w:val="-4"/>
          <w:sz w:val="20"/>
        </w:rPr>
        <w:t>Ley.</w:t>
      </w:r>
    </w:p>
    <w:p>
      <w:pPr>
        <w:pStyle w:val="BodyText"/>
        <w:spacing w:before="228"/>
        <w:ind w:left="262" w:right="285"/>
        <w:jc w:val="both"/>
      </w:pPr>
      <w:r>
        <w:rPr>
          <w:rFonts w:ascii="Arial" w:hAnsi="Arial"/>
          <w:b/>
        </w:rPr>
        <w:t>ARTÍCULO 324. </w:t>
      </w:r>
      <w:r>
        <w:rPr/>
        <w:t>De acuerdo a lo señalado en el artículo 321 de esta Ley, los fraccionamientos deberán desarrollarse considerando una densidad de 200 viviendas por hectárea.</w:t>
      </w:r>
    </w:p>
    <w:p>
      <w:pPr>
        <w:pStyle w:val="BodyText"/>
        <w:spacing w:before="2"/>
      </w:pPr>
    </w:p>
    <w:p>
      <w:pPr>
        <w:pStyle w:val="BodyText"/>
        <w:ind w:left="262" w:right="289"/>
        <w:jc w:val="both"/>
      </w:pPr>
      <w:r>
        <w:rPr/>
        <w:t>Atenderán igualmente a las condiciones geográficas y climatológicas de la región, así como a las características sociales y culturales de la localidad específica en que éstos vayan a desarrollarse, procurando la sustentabilidad y aprovechamiento de infraestructura y servicios.</w:t>
      </w:r>
    </w:p>
    <w:p>
      <w:pPr>
        <w:pStyle w:val="BodyText"/>
        <w:spacing w:before="229"/>
        <w:ind w:left="262" w:right="278"/>
        <w:jc w:val="both"/>
      </w:pPr>
      <w:r>
        <w:rPr/>
        <w:t>La</w:t>
      </w:r>
      <w:r>
        <w:rPr>
          <w:spacing w:val="-7"/>
        </w:rPr>
        <w:t> </w:t>
      </w:r>
      <w:r>
        <w:rPr/>
        <w:t>densidad</w:t>
      </w:r>
      <w:r>
        <w:rPr>
          <w:spacing w:val="-6"/>
        </w:rPr>
        <w:t> </w:t>
      </w:r>
      <w:r>
        <w:rPr/>
        <w:t>que</w:t>
      </w:r>
      <w:r>
        <w:rPr>
          <w:spacing w:val="-6"/>
        </w:rPr>
        <w:t> </w:t>
      </w:r>
      <w:r>
        <w:rPr/>
        <w:t>establece</w:t>
      </w:r>
      <w:r>
        <w:rPr>
          <w:spacing w:val="-5"/>
        </w:rPr>
        <w:t> </w:t>
      </w:r>
      <w:r>
        <w:rPr/>
        <w:t>este</w:t>
      </w:r>
      <w:r>
        <w:rPr>
          <w:spacing w:val="-7"/>
        </w:rPr>
        <w:t> </w:t>
      </w:r>
      <w:r>
        <w:rPr/>
        <w:t>artículo,</w:t>
      </w:r>
      <w:r>
        <w:rPr>
          <w:spacing w:val="-5"/>
        </w:rPr>
        <w:t> </w:t>
      </w:r>
      <w:r>
        <w:rPr/>
        <w:t>podrá</w:t>
      </w:r>
      <w:r>
        <w:rPr>
          <w:spacing w:val="-5"/>
        </w:rPr>
        <w:t> </w:t>
      </w:r>
      <w:r>
        <w:rPr/>
        <w:t>disminuirse</w:t>
      </w:r>
      <w:r>
        <w:rPr>
          <w:spacing w:val="-7"/>
        </w:rPr>
        <w:t> </w:t>
      </w:r>
      <w:r>
        <w:rPr/>
        <w:t>o</w:t>
      </w:r>
      <w:r>
        <w:rPr>
          <w:spacing w:val="-7"/>
        </w:rPr>
        <w:t> </w:t>
      </w:r>
      <w:r>
        <w:rPr/>
        <w:t>aumentarse</w:t>
      </w:r>
      <w:r>
        <w:rPr>
          <w:spacing w:val="-5"/>
        </w:rPr>
        <w:t> </w:t>
      </w:r>
      <w:r>
        <w:rPr/>
        <w:t>en</w:t>
      </w:r>
      <w:r>
        <w:rPr>
          <w:spacing w:val="-7"/>
        </w:rPr>
        <w:t> </w:t>
      </w:r>
      <w:r>
        <w:rPr/>
        <w:t>casos</w:t>
      </w:r>
      <w:r>
        <w:rPr>
          <w:spacing w:val="-4"/>
        </w:rPr>
        <w:t> </w:t>
      </w:r>
      <w:r>
        <w:rPr/>
        <w:t>específicos,</w:t>
      </w:r>
      <w:r>
        <w:rPr>
          <w:spacing w:val="-6"/>
        </w:rPr>
        <w:t> </w:t>
      </w:r>
      <w:r>
        <w:rPr/>
        <w:t>con base en los programas de desarrollo urbano y el uso de suelo autorizado, cuando las condiciones de</w:t>
      </w:r>
      <w:r>
        <w:rPr>
          <w:spacing w:val="-14"/>
        </w:rPr>
        <w:t> </w:t>
      </w:r>
      <w:r>
        <w:rPr/>
        <w:t>infraestructura,</w:t>
      </w:r>
      <w:r>
        <w:rPr>
          <w:spacing w:val="-14"/>
        </w:rPr>
        <w:t> </w:t>
      </w:r>
      <w:r>
        <w:rPr/>
        <w:t>servicios</w:t>
      </w:r>
      <w:r>
        <w:rPr>
          <w:spacing w:val="-14"/>
        </w:rPr>
        <w:t> </w:t>
      </w:r>
      <w:r>
        <w:rPr/>
        <w:t>y</w:t>
      </w:r>
      <w:r>
        <w:rPr>
          <w:spacing w:val="-14"/>
        </w:rPr>
        <w:t> </w:t>
      </w:r>
      <w:r>
        <w:rPr/>
        <w:t>equipamiento</w:t>
      </w:r>
      <w:r>
        <w:rPr>
          <w:spacing w:val="-14"/>
        </w:rPr>
        <w:t> </w:t>
      </w:r>
      <w:r>
        <w:rPr/>
        <w:t>urbano</w:t>
      </w:r>
      <w:r>
        <w:rPr>
          <w:spacing w:val="-14"/>
        </w:rPr>
        <w:t> </w:t>
      </w:r>
      <w:r>
        <w:rPr/>
        <w:t>así</w:t>
      </w:r>
      <w:r>
        <w:rPr>
          <w:spacing w:val="-14"/>
        </w:rPr>
        <w:t> </w:t>
      </w:r>
      <w:r>
        <w:rPr/>
        <w:t>lo</w:t>
      </w:r>
      <w:r>
        <w:rPr>
          <w:spacing w:val="-14"/>
        </w:rPr>
        <w:t> </w:t>
      </w:r>
      <w:r>
        <w:rPr/>
        <w:t>permitan,</w:t>
      </w:r>
      <w:r>
        <w:rPr>
          <w:spacing w:val="-14"/>
        </w:rPr>
        <w:t> </w:t>
      </w:r>
      <w:r>
        <w:rPr/>
        <w:t>y</w:t>
      </w:r>
      <w:r>
        <w:rPr>
          <w:spacing w:val="-13"/>
        </w:rPr>
        <w:t> </w:t>
      </w:r>
      <w:r>
        <w:rPr/>
        <w:t>siempre</w:t>
      </w:r>
      <w:r>
        <w:rPr>
          <w:spacing w:val="-14"/>
        </w:rPr>
        <w:t> </w:t>
      </w:r>
      <w:r>
        <w:rPr/>
        <w:t>y</w:t>
      </w:r>
      <w:r>
        <w:rPr>
          <w:spacing w:val="-14"/>
        </w:rPr>
        <w:t> </w:t>
      </w:r>
      <w:r>
        <w:rPr/>
        <w:t>cuando</w:t>
      </w:r>
      <w:r>
        <w:rPr>
          <w:spacing w:val="-14"/>
        </w:rPr>
        <w:t> </w:t>
      </w:r>
      <w:r>
        <w:rPr/>
        <w:t>no</w:t>
      </w:r>
      <w:r>
        <w:rPr>
          <w:spacing w:val="-14"/>
        </w:rPr>
        <w:t> </w:t>
      </w:r>
      <w:r>
        <w:rPr/>
        <w:t>se</w:t>
      </w:r>
      <w:r>
        <w:rPr>
          <w:spacing w:val="-14"/>
        </w:rPr>
        <w:t> </w:t>
      </w:r>
      <w:r>
        <w:rPr/>
        <w:t>pongan en riesgo la seguridad, la movilidad, la imagen urbana y los espacios públicos, previo dictamen técnico que deberá atender los criterios que establece el artículo 327 de esta Ley.</w:t>
      </w:r>
    </w:p>
    <w:p>
      <w:pPr>
        <w:pStyle w:val="BodyText"/>
      </w:pPr>
    </w:p>
    <w:p>
      <w:pPr>
        <w:pStyle w:val="BodyText"/>
        <w:spacing w:before="1"/>
        <w:ind w:left="262" w:right="279"/>
        <w:jc w:val="both"/>
      </w:pPr>
      <w:r>
        <w:rPr/>
        <w:t>Los interesados en densificar deberán asumir el costo que el incremento represente. La autoridad competente establecerá los mecanismos necesarios para aplicar dicho costo, el cual será utilizado en mejorar la capacidad de infraestructuras y equipamientos que permita una adecuada densificación y mezcla de usos.</w:t>
      </w:r>
    </w:p>
    <w:p>
      <w:pPr>
        <w:pStyle w:val="BodyText"/>
        <w:spacing w:before="229"/>
        <w:ind w:left="262" w:right="283"/>
        <w:jc w:val="both"/>
      </w:pPr>
      <w:r>
        <w:rPr>
          <w:spacing w:val="-2"/>
        </w:rPr>
        <w:t>En</w:t>
      </w:r>
      <w:r>
        <w:rPr>
          <w:spacing w:val="-12"/>
        </w:rPr>
        <w:t> </w:t>
      </w:r>
      <w:r>
        <w:rPr>
          <w:spacing w:val="-2"/>
        </w:rPr>
        <w:t>todos</w:t>
      </w:r>
      <w:r>
        <w:rPr>
          <w:spacing w:val="-12"/>
        </w:rPr>
        <w:t> </w:t>
      </w:r>
      <w:r>
        <w:rPr>
          <w:spacing w:val="-2"/>
        </w:rPr>
        <w:t>los</w:t>
      </w:r>
      <w:r>
        <w:rPr>
          <w:spacing w:val="-12"/>
        </w:rPr>
        <w:t> </w:t>
      </w:r>
      <w:r>
        <w:rPr>
          <w:spacing w:val="-2"/>
        </w:rPr>
        <w:t>casos</w:t>
      </w:r>
      <w:r>
        <w:rPr>
          <w:spacing w:val="-12"/>
        </w:rPr>
        <w:t> </w:t>
      </w:r>
      <w:r>
        <w:rPr>
          <w:spacing w:val="-2"/>
        </w:rPr>
        <w:t>se</w:t>
      </w:r>
      <w:r>
        <w:rPr>
          <w:spacing w:val="-12"/>
        </w:rPr>
        <w:t> </w:t>
      </w:r>
      <w:r>
        <w:rPr>
          <w:spacing w:val="-2"/>
        </w:rPr>
        <w:t>garantizará</w:t>
      </w:r>
      <w:r>
        <w:rPr>
          <w:spacing w:val="-12"/>
        </w:rPr>
        <w:t> </w:t>
      </w:r>
      <w:r>
        <w:rPr>
          <w:spacing w:val="-2"/>
        </w:rPr>
        <w:t>que</w:t>
      </w:r>
      <w:r>
        <w:rPr>
          <w:spacing w:val="-12"/>
        </w:rPr>
        <w:t> </w:t>
      </w:r>
      <w:r>
        <w:rPr>
          <w:spacing w:val="-2"/>
        </w:rPr>
        <w:t>se</w:t>
      </w:r>
      <w:r>
        <w:rPr>
          <w:spacing w:val="-12"/>
        </w:rPr>
        <w:t> </w:t>
      </w:r>
      <w:r>
        <w:rPr>
          <w:spacing w:val="-2"/>
        </w:rPr>
        <w:t>consolide</w:t>
      </w:r>
      <w:r>
        <w:rPr>
          <w:spacing w:val="-12"/>
        </w:rPr>
        <w:t> </w:t>
      </w:r>
      <w:r>
        <w:rPr>
          <w:spacing w:val="-2"/>
        </w:rPr>
        <w:t>una</w:t>
      </w:r>
      <w:r>
        <w:rPr>
          <w:spacing w:val="-11"/>
        </w:rPr>
        <w:t> </w:t>
      </w:r>
      <w:r>
        <w:rPr>
          <w:spacing w:val="-2"/>
        </w:rPr>
        <w:t>red</w:t>
      </w:r>
      <w:r>
        <w:rPr>
          <w:spacing w:val="-12"/>
        </w:rPr>
        <w:t> </w:t>
      </w:r>
      <w:r>
        <w:rPr>
          <w:spacing w:val="-2"/>
        </w:rPr>
        <w:t>de</w:t>
      </w:r>
      <w:r>
        <w:rPr>
          <w:spacing w:val="-12"/>
        </w:rPr>
        <w:t> </w:t>
      </w:r>
      <w:r>
        <w:rPr>
          <w:spacing w:val="-2"/>
        </w:rPr>
        <w:t>vialidades</w:t>
      </w:r>
      <w:r>
        <w:rPr>
          <w:spacing w:val="-12"/>
        </w:rPr>
        <w:t> </w:t>
      </w:r>
      <w:r>
        <w:rPr>
          <w:spacing w:val="-2"/>
        </w:rPr>
        <w:t>operativa</w:t>
      </w:r>
      <w:r>
        <w:rPr>
          <w:spacing w:val="-12"/>
        </w:rPr>
        <w:t> </w:t>
      </w:r>
      <w:r>
        <w:rPr>
          <w:spacing w:val="-2"/>
        </w:rPr>
        <w:t>y</w:t>
      </w:r>
      <w:r>
        <w:rPr>
          <w:spacing w:val="-12"/>
        </w:rPr>
        <w:t> </w:t>
      </w:r>
      <w:r>
        <w:rPr>
          <w:spacing w:val="-2"/>
        </w:rPr>
        <w:t>funcional</w:t>
      </w:r>
      <w:r>
        <w:rPr>
          <w:spacing w:val="-12"/>
        </w:rPr>
        <w:t> </w:t>
      </w:r>
      <w:r>
        <w:rPr>
          <w:spacing w:val="-2"/>
        </w:rPr>
        <w:t>y</w:t>
      </w:r>
      <w:r>
        <w:rPr>
          <w:spacing w:val="-12"/>
        </w:rPr>
        <w:t> </w:t>
      </w:r>
      <w:r>
        <w:rPr>
          <w:spacing w:val="-2"/>
        </w:rPr>
        <w:t>una </w:t>
      </w:r>
      <w:r>
        <w:rPr/>
        <w:t>dotación de espacios públicos y equipamientos suficientes y de calidad.</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74"/>
        <w:jc w:val="both"/>
      </w:pPr>
      <w:r>
        <w:rPr>
          <w:rFonts w:ascii="Arial" w:hAnsi="Arial"/>
          <w:b/>
        </w:rPr>
        <w:t>ARTÍCULO 325. </w:t>
      </w:r>
      <w:r>
        <w:rPr/>
        <w:t>Los municipios del Estado que no cuenten con programas desarrollo urbano de centros de población, atenderán a la clasificación de fraccionamientos que se establece en la siguiente tabla y deberán respetar los lineamientos de densidad máxima, coeficiente de ocupación de suelo y superficie mínima por lote, que se detallan en la misma.</w:t>
      </w:r>
    </w:p>
    <w:p>
      <w:pPr>
        <w:pStyle w:val="BodyText"/>
        <w:rPr>
          <w:sz w:val="18"/>
        </w:rPr>
      </w:pPr>
      <w:r>
        <w:rPr>
          <w:sz w:val="18"/>
        </w:rPr>
        <w:drawing>
          <wp:anchor distT="0" distB="0" distL="0" distR="0" allowOverlap="1" layoutInCell="1" locked="0" behindDoc="1" simplePos="0" relativeHeight="487589376">
            <wp:simplePos x="0" y="0"/>
            <wp:positionH relativeFrom="page">
              <wp:posOffset>1089342</wp:posOffset>
            </wp:positionH>
            <wp:positionV relativeFrom="paragraph">
              <wp:posOffset>147027</wp:posOffset>
            </wp:positionV>
            <wp:extent cx="5630186" cy="2430779"/>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3" cstate="print"/>
                    <a:stretch>
                      <a:fillRect/>
                    </a:stretch>
                  </pic:blipFill>
                  <pic:spPr>
                    <a:xfrm>
                      <a:off x="0" y="0"/>
                      <a:ext cx="5630186" cy="2430779"/>
                    </a:xfrm>
                    <a:prstGeom prst="rect">
                      <a:avLst/>
                    </a:prstGeom>
                  </pic:spPr>
                </pic:pic>
              </a:graphicData>
            </a:graphic>
          </wp:anchor>
        </w:drawing>
      </w:r>
    </w:p>
    <w:p>
      <w:pPr>
        <w:pStyle w:val="BodyText"/>
        <w:spacing w:before="196"/>
        <w:ind w:left="262" w:right="288"/>
        <w:jc w:val="both"/>
      </w:pPr>
      <w:r>
        <w:rPr/>
        <w:t>VERTICAL O MIXTO: incluye la distribución de la vivienda en condominio vertical, así como su mezcla con la vivienda horizontal (fraccionamiento o condominio)</w:t>
      </w:r>
    </w:p>
    <w:p>
      <w:pPr>
        <w:pStyle w:val="BodyText"/>
        <w:spacing w:before="1"/>
        <w:ind w:left="262"/>
        <w:jc w:val="both"/>
      </w:pPr>
      <w:r>
        <w:rPr/>
        <w:t>1*</w:t>
      </w:r>
      <w:r>
        <w:rPr>
          <w:spacing w:val="-10"/>
        </w:rPr>
        <w:t> </w:t>
      </w:r>
      <w:r>
        <w:rPr/>
        <w:t>obligatorio</w:t>
      </w:r>
      <w:r>
        <w:rPr>
          <w:spacing w:val="-7"/>
        </w:rPr>
        <w:t> </w:t>
      </w:r>
      <w:r>
        <w:rPr/>
        <w:t>únicamente</w:t>
      </w:r>
      <w:r>
        <w:rPr>
          <w:spacing w:val="-9"/>
        </w:rPr>
        <w:t> </w:t>
      </w:r>
      <w:r>
        <w:rPr/>
        <w:t>para</w:t>
      </w:r>
      <w:r>
        <w:rPr>
          <w:spacing w:val="-9"/>
        </w:rPr>
        <w:t> </w:t>
      </w:r>
      <w:r>
        <w:rPr/>
        <w:t>vivienda</w:t>
      </w:r>
      <w:r>
        <w:rPr>
          <w:spacing w:val="-7"/>
        </w:rPr>
        <w:t> </w:t>
      </w:r>
      <w:r>
        <w:rPr/>
        <w:t>en</w:t>
      </w:r>
      <w:r>
        <w:rPr>
          <w:spacing w:val="-10"/>
        </w:rPr>
        <w:t> </w:t>
      </w:r>
      <w:r>
        <w:rPr>
          <w:spacing w:val="-2"/>
        </w:rPr>
        <w:t>condominio.</w:t>
      </w:r>
    </w:p>
    <w:p>
      <w:pPr>
        <w:pStyle w:val="BodyText"/>
        <w:spacing w:before="1"/>
      </w:pPr>
    </w:p>
    <w:p>
      <w:pPr>
        <w:pStyle w:val="BodyText"/>
        <w:ind w:left="262" w:right="279"/>
        <w:jc w:val="both"/>
      </w:pPr>
      <w:r>
        <w:rPr/>
        <w:t>Se promoverá las mezclas de usos de suelo en los fraccionamientos de acuerdo a las normas de compatibilidad de la zonificación secundaria del Programa de Desarrollo Urbano de Centro de Población aplicable, para lo cual se preverán los lotes de dimensiones adecuadas en la lotificación del mismo.</w:t>
      </w:r>
    </w:p>
    <w:p>
      <w:pPr>
        <w:pStyle w:val="BodyText"/>
        <w:spacing w:before="230"/>
        <w:ind w:left="262" w:right="281"/>
        <w:jc w:val="both"/>
      </w:pPr>
      <w:r>
        <w:rPr/>
        <w:t>La</w:t>
      </w:r>
      <w:r>
        <w:rPr>
          <w:spacing w:val="-14"/>
        </w:rPr>
        <w:t> </w:t>
      </w:r>
      <w:r>
        <w:rPr/>
        <w:t>verticalidad</w:t>
      </w:r>
      <w:r>
        <w:rPr>
          <w:spacing w:val="-14"/>
        </w:rPr>
        <w:t> </w:t>
      </w:r>
      <w:r>
        <w:rPr/>
        <w:t>podrá</w:t>
      </w:r>
      <w:r>
        <w:rPr>
          <w:spacing w:val="-14"/>
        </w:rPr>
        <w:t> </w:t>
      </w:r>
      <w:r>
        <w:rPr/>
        <w:t>aumentarse</w:t>
      </w:r>
      <w:r>
        <w:rPr>
          <w:spacing w:val="-14"/>
        </w:rPr>
        <w:t> </w:t>
      </w:r>
      <w:r>
        <w:rPr/>
        <w:t>en</w:t>
      </w:r>
      <w:r>
        <w:rPr>
          <w:spacing w:val="-14"/>
        </w:rPr>
        <w:t> </w:t>
      </w:r>
      <w:r>
        <w:rPr/>
        <w:t>aquellos</w:t>
      </w:r>
      <w:r>
        <w:rPr>
          <w:spacing w:val="-14"/>
        </w:rPr>
        <w:t> </w:t>
      </w:r>
      <w:r>
        <w:rPr/>
        <w:t>casos</w:t>
      </w:r>
      <w:r>
        <w:rPr>
          <w:spacing w:val="-14"/>
        </w:rPr>
        <w:t> </w:t>
      </w:r>
      <w:r>
        <w:rPr/>
        <w:t>en</w:t>
      </w:r>
      <w:r>
        <w:rPr>
          <w:spacing w:val="-14"/>
        </w:rPr>
        <w:t> </w:t>
      </w:r>
      <w:r>
        <w:rPr/>
        <w:t>que</w:t>
      </w:r>
      <w:r>
        <w:rPr>
          <w:spacing w:val="-14"/>
        </w:rPr>
        <w:t> </w:t>
      </w:r>
      <w:r>
        <w:rPr/>
        <w:t>se</w:t>
      </w:r>
      <w:r>
        <w:rPr>
          <w:spacing w:val="-13"/>
        </w:rPr>
        <w:t> </w:t>
      </w:r>
      <w:r>
        <w:rPr/>
        <w:t>disminuya</w:t>
      </w:r>
      <w:r>
        <w:rPr>
          <w:spacing w:val="-14"/>
        </w:rPr>
        <w:t> </w:t>
      </w:r>
      <w:r>
        <w:rPr/>
        <w:t>el</w:t>
      </w:r>
      <w:r>
        <w:rPr>
          <w:spacing w:val="-14"/>
        </w:rPr>
        <w:t> </w:t>
      </w:r>
      <w:r>
        <w:rPr/>
        <w:t>coeficiente</w:t>
      </w:r>
      <w:r>
        <w:rPr>
          <w:spacing w:val="-14"/>
        </w:rPr>
        <w:t> </w:t>
      </w:r>
      <w:r>
        <w:rPr/>
        <w:t>de</w:t>
      </w:r>
      <w:r>
        <w:rPr>
          <w:spacing w:val="-14"/>
        </w:rPr>
        <w:t> </w:t>
      </w:r>
      <w:r>
        <w:rPr/>
        <w:t>ocupación de</w:t>
      </w:r>
      <w:r>
        <w:rPr>
          <w:spacing w:val="-12"/>
        </w:rPr>
        <w:t> </w:t>
      </w:r>
      <w:r>
        <w:rPr/>
        <w:t>suelo,</w:t>
      </w:r>
      <w:r>
        <w:rPr>
          <w:spacing w:val="-12"/>
        </w:rPr>
        <w:t> </w:t>
      </w:r>
      <w:r>
        <w:rPr/>
        <w:t>aplicando</w:t>
      </w:r>
      <w:r>
        <w:rPr>
          <w:spacing w:val="-11"/>
        </w:rPr>
        <w:t> </w:t>
      </w:r>
      <w:r>
        <w:rPr/>
        <w:t>la</w:t>
      </w:r>
      <w:r>
        <w:rPr>
          <w:spacing w:val="-11"/>
        </w:rPr>
        <w:t> </w:t>
      </w:r>
      <w:r>
        <w:rPr/>
        <w:t>fórmula</w:t>
      </w:r>
      <w:r>
        <w:rPr>
          <w:spacing w:val="-11"/>
        </w:rPr>
        <w:t> </w:t>
      </w:r>
      <w:r>
        <w:rPr/>
        <w:t>de</w:t>
      </w:r>
      <w:r>
        <w:rPr>
          <w:spacing w:val="-11"/>
        </w:rPr>
        <w:t> </w:t>
      </w:r>
      <w:r>
        <w:rPr/>
        <w:t>dividir</w:t>
      </w:r>
      <w:r>
        <w:rPr>
          <w:spacing w:val="-10"/>
        </w:rPr>
        <w:t> </w:t>
      </w:r>
      <w:r>
        <w:rPr/>
        <w:t>el</w:t>
      </w:r>
      <w:r>
        <w:rPr>
          <w:spacing w:val="-12"/>
        </w:rPr>
        <w:t> </w:t>
      </w:r>
      <w:r>
        <w:rPr/>
        <w:t>CUS</w:t>
      </w:r>
      <w:r>
        <w:rPr>
          <w:spacing w:val="-12"/>
        </w:rPr>
        <w:t> </w:t>
      </w:r>
      <w:r>
        <w:rPr/>
        <w:t>permitido</w:t>
      </w:r>
      <w:r>
        <w:rPr>
          <w:spacing w:val="-12"/>
        </w:rPr>
        <w:t> </w:t>
      </w:r>
      <w:r>
        <w:rPr/>
        <w:t>entre</w:t>
      </w:r>
      <w:r>
        <w:rPr>
          <w:spacing w:val="-11"/>
        </w:rPr>
        <w:t> </w:t>
      </w:r>
      <w:r>
        <w:rPr/>
        <w:t>el</w:t>
      </w:r>
      <w:r>
        <w:rPr>
          <w:spacing w:val="-12"/>
        </w:rPr>
        <w:t> </w:t>
      </w:r>
      <w:r>
        <w:rPr/>
        <w:t>COS</w:t>
      </w:r>
      <w:r>
        <w:rPr>
          <w:spacing w:val="-12"/>
        </w:rPr>
        <w:t> </w:t>
      </w:r>
      <w:r>
        <w:rPr/>
        <w:t>utilizado,</w:t>
      </w:r>
      <w:r>
        <w:rPr>
          <w:spacing w:val="-9"/>
        </w:rPr>
        <w:t> </w:t>
      </w:r>
      <w:r>
        <w:rPr/>
        <w:t>destinando</w:t>
      </w:r>
      <w:r>
        <w:rPr>
          <w:spacing w:val="-11"/>
        </w:rPr>
        <w:t> </w:t>
      </w:r>
      <w:r>
        <w:rPr/>
        <w:t>siempre el COS no utilizado como área verde o en su caso la construcción con materiales que permitan la absorción de agua al subsuelo.</w:t>
      </w:r>
    </w:p>
    <w:p>
      <w:pPr>
        <w:pStyle w:val="BodyText"/>
        <w:spacing w:before="229"/>
        <w:ind w:left="262" w:right="283"/>
        <w:jc w:val="both"/>
      </w:pPr>
      <w:r>
        <w:rPr>
          <w:rFonts w:ascii="Arial" w:hAnsi="Arial"/>
          <w:b/>
        </w:rPr>
        <w:t>ARTÍCULO</w:t>
      </w:r>
      <w:r>
        <w:rPr>
          <w:rFonts w:ascii="Arial" w:hAnsi="Arial"/>
          <w:b/>
          <w:spacing w:val="-12"/>
        </w:rPr>
        <w:t> </w:t>
      </w:r>
      <w:r>
        <w:rPr>
          <w:rFonts w:ascii="Arial" w:hAnsi="Arial"/>
          <w:b/>
        </w:rPr>
        <w:t>326.</w:t>
      </w:r>
      <w:r>
        <w:rPr>
          <w:rFonts w:ascii="Arial" w:hAnsi="Arial"/>
          <w:b/>
          <w:spacing w:val="-12"/>
        </w:rPr>
        <w:t> </w:t>
      </w:r>
      <w:r>
        <w:rPr/>
        <w:t>Los</w:t>
      </w:r>
      <w:r>
        <w:rPr>
          <w:spacing w:val="-12"/>
        </w:rPr>
        <w:t> </w:t>
      </w:r>
      <w:r>
        <w:rPr/>
        <w:t>desarrollos</w:t>
      </w:r>
      <w:r>
        <w:rPr>
          <w:spacing w:val="-12"/>
        </w:rPr>
        <w:t> </w:t>
      </w:r>
      <w:r>
        <w:rPr/>
        <w:t>habitacionales</w:t>
      </w:r>
      <w:r>
        <w:rPr>
          <w:spacing w:val="-12"/>
        </w:rPr>
        <w:t> </w:t>
      </w:r>
      <w:r>
        <w:rPr/>
        <w:t>correspondientes</w:t>
      </w:r>
      <w:r>
        <w:rPr>
          <w:spacing w:val="-12"/>
        </w:rPr>
        <w:t> </w:t>
      </w:r>
      <w:r>
        <w:rPr/>
        <w:t>a</w:t>
      </w:r>
      <w:r>
        <w:rPr>
          <w:spacing w:val="-13"/>
        </w:rPr>
        <w:t> </w:t>
      </w:r>
      <w:r>
        <w:rPr/>
        <w:t>la</w:t>
      </w:r>
      <w:r>
        <w:rPr>
          <w:spacing w:val="-13"/>
        </w:rPr>
        <w:t> </w:t>
      </w:r>
      <w:r>
        <w:rPr/>
        <w:t>clasificación</w:t>
      </w:r>
      <w:r>
        <w:rPr>
          <w:spacing w:val="-11"/>
        </w:rPr>
        <w:t> </w:t>
      </w:r>
      <w:r>
        <w:rPr/>
        <w:t>de</w:t>
      </w:r>
      <w:r>
        <w:rPr>
          <w:spacing w:val="-14"/>
        </w:rPr>
        <w:t> </w:t>
      </w:r>
      <w:r>
        <w:rPr/>
        <w:t>densidad</w:t>
      </w:r>
      <w:r>
        <w:rPr>
          <w:spacing w:val="-14"/>
        </w:rPr>
        <w:t> </w:t>
      </w:r>
      <w:r>
        <w:rPr/>
        <w:t>muy alta, tienen como objetivo:</w:t>
      </w:r>
    </w:p>
    <w:p>
      <w:pPr>
        <w:pStyle w:val="BodyText"/>
      </w:pPr>
    </w:p>
    <w:p>
      <w:pPr>
        <w:pStyle w:val="ListParagraph"/>
        <w:numPr>
          <w:ilvl w:val="0"/>
          <w:numId w:val="115"/>
        </w:numPr>
        <w:tabs>
          <w:tab w:pos="688" w:val="left" w:leader="none"/>
        </w:tabs>
        <w:spacing w:line="240" w:lineRule="auto" w:before="0" w:after="0"/>
        <w:ind w:left="262" w:right="283" w:firstLine="0"/>
        <w:jc w:val="both"/>
        <w:rPr>
          <w:sz w:val="20"/>
        </w:rPr>
      </w:pPr>
      <w:r>
        <w:rPr>
          <w:sz w:val="20"/>
        </w:rPr>
        <w:t>Optimizar el aprovechamiento de las áreas urbanizables de los centros de población clasificadas con usos habitacionales, así como la disponibilidad del suelo urbano, infraestructura, vialidad y equipamiento urbano;</w:t>
      </w:r>
    </w:p>
    <w:p>
      <w:pPr>
        <w:pStyle w:val="BodyText"/>
        <w:spacing w:before="1"/>
      </w:pPr>
    </w:p>
    <w:p>
      <w:pPr>
        <w:pStyle w:val="ListParagraph"/>
        <w:numPr>
          <w:ilvl w:val="0"/>
          <w:numId w:val="115"/>
        </w:numPr>
        <w:tabs>
          <w:tab w:pos="686" w:val="left" w:leader="none"/>
        </w:tabs>
        <w:spacing w:line="240" w:lineRule="auto" w:before="0" w:after="0"/>
        <w:ind w:left="686" w:right="0" w:hanging="424"/>
        <w:jc w:val="both"/>
        <w:rPr>
          <w:sz w:val="20"/>
        </w:rPr>
      </w:pPr>
      <w:r>
        <w:rPr>
          <w:sz w:val="20"/>
        </w:rPr>
        <w:t>Contribuir</w:t>
      </w:r>
      <w:r>
        <w:rPr>
          <w:spacing w:val="-6"/>
          <w:sz w:val="20"/>
        </w:rPr>
        <w:t> </w:t>
      </w:r>
      <w:r>
        <w:rPr>
          <w:sz w:val="20"/>
        </w:rPr>
        <w:t>a</w:t>
      </w:r>
      <w:r>
        <w:rPr>
          <w:spacing w:val="-8"/>
          <w:sz w:val="20"/>
        </w:rPr>
        <w:t> </w:t>
      </w:r>
      <w:r>
        <w:rPr>
          <w:sz w:val="20"/>
        </w:rPr>
        <w:t>reducir</w:t>
      </w:r>
      <w:r>
        <w:rPr>
          <w:spacing w:val="-6"/>
          <w:sz w:val="20"/>
        </w:rPr>
        <w:t> </w:t>
      </w:r>
      <w:r>
        <w:rPr>
          <w:sz w:val="20"/>
        </w:rPr>
        <w:t>la</w:t>
      </w:r>
      <w:r>
        <w:rPr>
          <w:spacing w:val="-7"/>
          <w:sz w:val="20"/>
        </w:rPr>
        <w:t> </w:t>
      </w:r>
      <w:r>
        <w:rPr>
          <w:sz w:val="20"/>
        </w:rPr>
        <w:t>tendencia</w:t>
      </w:r>
      <w:r>
        <w:rPr>
          <w:spacing w:val="-5"/>
          <w:sz w:val="20"/>
        </w:rPr>
        <w:t> </w:t>
      </w:r>
      <w:r>
        <w:rPr>
          <w:sz w:val="20"/>
        </w:rPr>
        <w:t>expansiva</w:t>
      </w:r>
      <w:r>
        <w:rPr>
          <w:spacing w:val="-7"/>
          <w:sz w:val="20"/>
        </w:rPr>
        <w:t> </w:t>
      </w:r>
      <w:r>
        <w:rPr>
          <w:sz w:val="20"/>
        </w:rPr>
        <w:t>de</w:t>
      </w:r>
      <w:r>
        <w:rPr>
          <w:spacing w:val="-6"/>
          <w:sz w:val="20"/>
        </w:rPr>
        <w:t> </w:t>
      </w:r>
      <w:r>
        <w:rPr>
          <w:sz w:val="20"/>
        </w:rPr>
        <w:t>las</w:t>
      </w:r>
      <w:r>
        <w:rPr>
          <w:spacing w:val="-6"/>
          <w:sz w:val="20"/>
        </w:rPr>
        <w:t> </w:t>
      </w:r>
      <w:r>
        <w:rPr>
          <w:spacing w:val="-2"/>
          <w:sz w:val="20"/>
        </w:rPr>
        <w:t>ciudades;</w:t>
      </w:r>
    </w:p>
    <w:p>
      <w:pPr>
        <w:pStyle w:val="ListParagraph"/>
        <w:numPr>
          <w:ilvl w:val="0"/>
          <w:numId w:val="115"/>
        </w:numPr>
        <w:tabs>
          <w:tab w:pos="741" w:val="left" w:leader="none"/>
        </w:tabs>
        <w:spacing w:line="240" w:lineRule="auto" w:before="229" w:after="0"/>
        <w:ind w:left="741" w:right="0" w:hanging="479"/>
        <w:jc w:val="both"/>
        <w:rPr>
          <w:sz w:val="20"/>
        </w:rPr>
      </w:pPr>
      <w:r>
        <w:rPr>
          <w:sz w:val="20"/>
        </w:rPr>
        <w:t>Disminuir</w:t>
      </w:r>
      <w:r>
        <w:rPr>
          <w:spacing w:val="-7"/>
          <w:sz w:val="20"/>
        </w:rPr>
        <w:t> </w:t>
      </w:r>
      <w:r>
        <w:rPr>
          <w:sz w:val="20"/>
        </w:rPr>
        <w:t>la</w:t>
      </w:r>
      <w:r>
        <w:rPr>
          <w:spacing w:val="-6"/>
          <w:sz w:val="20"/>
        </w:rPr>
        <w:t> </w:t>
      </w:r>
      <w:r>
        <w:rPr>
          <w:sz w:val="20"/>
        </w:rPr>
        <w:t>cantidad</w:t>
      </w:r>
      <w:r>
        <w:rPr>
          <w:spacing w:val="-8"/>
          <w:sz w:val="20"/>
        </w:rPr>
        <w:t> </w:t>
      </w:r>
      <w:r>
        <w:rPr>
          <w:sz w:val="20"/>
        </w:rPr>
        <w:t>y</w:t>
      </w:r>
      <w:r>
        <w:rPr>
          <w:spacing w:val="-6"/>
          <w:sz w:val="20"/>
        </w:rPr>
        <w:t> </w:t>
      </w:r>
      <w:r>
        <w:rPr>
          <w:sz w:val="20"/>
        </w:rPr>
        <w:t>distancia</w:t>
      </w:r>
      <w:r>
        <w:rPr>
          <w:spacing w:val="-6"/>
          <w:sz w:val="20"/>
        </w:rPr>
        <w:t> </w:t>
      </w:r>
      <w:r>
        <w:rPr>
          <w:sz w:val="20"/>
        </w:rPr>
        <w:t>de</w:t>
      </w:r>
      <w:r>
        <w:rPr>
          <w:spacing w:val="-7"/>
          <w:sz w:val="20"/>
        </w:rPr>
        <w:t> </w:t>
      </w:r>
      <w:r>
        <w:rPr>
          <w:sz w:val="20"/>
        </w:rPr>
        <w:t>los</w:t>
      </w:r>
      <w:r>
        <w:rPr>
          <w:spacing w:val="-7"/>
          <w:sz w:val="20"/>
        </w:rPr>
        <w:t> </w:t>
      </w:r>
      <w:r>
        <w:rPr>
          <w:sz w:val="20"/>
        </w:rPr>
        <w:t>viajes</w:t>
      </w:r>
      <w:r>
        <w:rPr>
          <w:spacing w:val="-5"/>
          <w:sz w:val="20"/>
        </w:rPr>
        <w:t> </w:t>
      </w:r>
      <w:r>
        <w:rPr>
          <w:spacing w:val="-2"/>
          <w:sz w:val="20"/>
        </w:rPr>
        <w:t>intraurbanos;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15"/>
        </w:numPr>
        <w:tabs>
          <w:tab w:pos="688" w:val="left" w:leader="none"/>
        </w:tabs>
        <w:spacing w:line="240" w:lineRule="auto" w:before="0" w:after="0"/>
        <w:ind w:left="262" w:right="286" w:firstLine="0"/>
        <w:jc w:val="both"/>
        <w:rPr>
          <w:sz w:val="20"/>
        </w:rPr>
      </w:pPr>
      <w:r>
        <w:rPr>
          <w:sz w:val="20"/>
        </w:rPr>
        <w:t>Promover las condiciones de vida digna en la vivienda mediante los espacios y dimensiones físicas</w:t>
      </w:r>
      <w:r>
        <w:rPr>
          <w:spacing w:val="-14"/>
          <w:sz w:val="20"/>
        </w:rPr>
        <w:t> </w:t>
      </w:r>
      <w:r>
        <w:rPr>
          <w:sz w:val="20"/>
        </w:rPr>
        <w:t>adecuadas</w:t>
      </w:r>
      <w:r>
        <w:rPr>
          <w:spacing w:val="-14"/>
          <w:sz w:val="20"/>
        </w:rPr>
        <w:t> </w:t>
      </w:r>
      <w:r>
        <w:rPr>
          <w:sz w:val="20"/>
        </w:rPr>
        <w:t>que</w:t>
      </w:r>
      <w:r>
        <w:rPr>
          <w:spacing w:val="-14"/>
          <w:sz w:val="20"/>
        </w:rPr>
        <w:t> </w:t>
      </w:r>
      <w:r>
        <w:rPr>
          <w:sz w:val="20"/>
        </w:rPr>
        <w:t>responda</w:t>
      </w:r>
      <w:r>
        <w:rPr>
          <w:spacing w:val="-14"/>
          <w:sz w:val="20"/>
        </w:rPr>
        <w:t> </w:t>
      </w:r>
      <w:r>
        <w:rPr>
          <w:sz w:val="20"/>
        </w:rPr>
        <w:t>a</w:t>
      </w:r>
      <w:r>
        <w:rPr>
          <w:spacing w:val="-14"/>
          <w:sz w:val="20"/>
        </w:rPr>
        <w:t> </w:t>
      </w:r>
      <w:r>
        <w:rPr>
          <w:sz w:val="20"/>
        </w:rPr>
        <w:t>los</w:t>
      </w:r>
      <w:r>
        <w:rPr>
          <w:spacing w:val="-14"/>
          <w:sz w:val="20"/>
        </w:rPr>
        <w:t> </w:t>
      </w:r>
      <w:r>
        <w:rPr>
          <w:sz w:val="20"/>
        </w:rPr>
        <w:t>requerimientos</w:t>
      </w:r>
      <w:r>
        <w:rPr>
          <w:spacing w:val="-14"/>
          <w:sz w:val="20"/>
        </w:rPr>
        <w:t> </w:t>
      </w:r>
      <w:r>
        <w:rPr>
          <w:sz w:val="20"/>
        </w:rPr>
        <w:t>de</w:t>
      </w:r>
      <w:r>
        <w:rPr>
          <w:spacing w:val="-14"/>
          <w:sz w:val="20"/>
        </w:rPr>
        <w:t> </w:t>
      </w:r>
      <w:r>
        <w:rPr>
          <w:sz w:val="20"/>
        </w:rPr>
        <w:t>sus</w:t>
      </w:r>
      <w:r>
        <w:rPr>
          <w:spacing w:val="-14"/>
          <w:sz w:val="20"/>
        </w:rPr>
        <w:t> </w:t>
      </w:r>
      <w:r>
        <w:rPr>
          <w:sz w:val="20"/>
        </w:rPr>
        <w:t>habitantes</w:t>
      </w:r>
      <w:r>
        <w:rPr>
          <w:spacing w:val="-13"/>
          <w:sz w:val="20"/>
        </w:rPr>
        <w:t> </w:t>
      </w:r>
      <w:r>
        <w:rPr>
          <w:sz w:val="20"/>
        </w:rPr>
        <w:t>en</w:t>
      </w:r>
      <w:r>
        <w:rPr>
          <w:spacing w:val="-14"/>
          <w:sz w:val="20"/>
        </w:rPr>
        <w:t> </w:t>
      </w:r>
      <w:r>
        <w:rPr>
          <w:sz w:val="20"/>
        </w:rPr>
        <w:t>beneficio</w:t>
      </w:r>
      <w:r>
        <w:rPr>
          <w:spacing w:val="-14"/>
          <w:sz w:val="20"/>
        </w:rPr>
        <w:t> </w:t>
      </w:r>
      <w:r>
        <w:rPr>
          <w:sz w:val="20"/>
        </w:rPr>
        <w:t>de</w:t>
      </w:r>
      <w:r>
        <w:rPr>
          <w:spacing w:val="-14"/>
          <w:sz w:val="20"/>
        </w:rPr>
        <w:t> </w:t>
      </w:r>
      <w:r>
        <w:rPr>
          <w:sz w:val="20"/>
        </w:rPr>
        <w:t>su</w:t>
      </w:r>
      <w:r>
        <w:rPr>
          <w:spacing w:val="-14"/>
          <w:sz w:val="20"/>
        </w:rPr>
        <w:t> </w:t>
      </w:r>
      <w:r>
        <w:rPr>
          <w:sz w:val="20"/>
        </w:rPr>
        <w:t>desarrollo personal y familiar;</w:t>
      </w:r>
    </w:p>
    <w:p>
      <w:pPr>
        <w:pStyle w:val="BodyText"/>
        <w:spacing w:before="1"/>
      </w:pPr>
    </w:p>
    <w:p>
      <w:pPr>
        <w:pStyle w:val="ListParagraph"/>
        <w:numPr>
          <w:ilvl w:val="0"/>
          <w:numId w:val="115"/>
        </w:numPr>
        <w:tabs>
          <w:tab w:pos="688" w:val="left" w:leader="none"/>
        </w:tabs>
        <w:spacing w:line="240" w:lineRule="auto" w:before="1" w:after="0"/>
        <w:ind w:left="262" w:right="287" w:firstLine="0"/>
        <w:jc w:val="both"/>
        <w:rPr>
          <w:sz w:val="20"/>
        </w:rPr>
      </w:pPr>
      <w:r>
        <w:rPr>
          <w:sz w:val="20"/>
        </w:rPr>
        <w:t>Promover el uso mixto en las zonas habitacionales a través de usos complementarios y compatibles, y</w:t>
      </w:r>
    </w:p>
    <w:p>
      <w:pPr>
        <w:pStyle w:val="ListParagraph"/>
        <w:numPr>
          <w:ilvl w:val="0"/>
          <w:numId w:val="115"/>
        </w:numPr>
        <w:tabs>
          <w:tab w:pos="688" w:val="left" w:leader="none"/>
        </w:tabs>
        <w:spacing w:line="240" w:lineRule="auto" w:before="228" w:after="0"/>
        <w:ind w:left="262" w:right="288" w:firstLine="0"/>
        <w:jc w:val="both"/>
        <w:rPr>
          <w:sz w:val="20"/>
        </w:rPr>
      </w:pPr>
      <w:r>
        <w:rPr>
          <w:sz w:val="20"/>
        </w:rPr>
        <w:t>Traducir el ahorro de suelo en la creación de espacios recreativos, de esparcimiento y de integración de elementos de vegetación.</w:t>
      </w:r>
    </w:p>
    <w:p>
      <w:pPr>
        <w:pStyle w:val="BodyText"/>
        <w:spacing w:before="2"/>
      </w:pPr>
    </w:p>
    <w:p>
      <w:pPr>
        <w:pStyle w:val="BodyText"/>
        <w:ind w:left="262" w:right="280"/>
        <w:jc w:val="both"/>
      </w:pPr>
      <w:r>
        <w:rPr/>
        <w:t>Estos desarrollos incluirán la mezcla de tipologías de vivienda, variedad en volúmenes y la posibilidad de edificar el modo plurifamiliar en vertical, a fin de promover condiciones sociales de igualdad y cohesión, y dando pauta al derecho de elegir entre ofertas diversas de suelo y vivienda de acuerdo con las preferencias, necesidades y posibilidades de las personas.</w:t>
      </w:r>
    </w:p>
    <w:p>
      <w:pPr>
        <w:pStyle w:val="BodyText"/>
      </w:pPr>
    </w:p>
    <w:p>
      <w:pPr>
        <w:pStyle w:val="BodyText"/>
        <w:ind w:left="262" w:right="287"/>
        <w:jc w:val="both"/>
      </w:pPr>
      <w:r>
        <w:rPr/>
        <w:t>El ahorro de suelo generado por la construcción de vivienda plurifamiliar en vertical permitirá la </w:t>
      </w:r>
      <w:r>
        <w:rPr>
          <w:spacing w:val="-2"/>
        </w:rPr>
        <w:t>disponibilidad</w:t>
      </w:r>
      <w:r>
        <w:rPr>
          <w:spacing w:val="-4"/>
        </w:rPr>
        <w:t> </w:t>
      </w:r>
      <w:r>
        <w:rPr>
          <w:spacing w:val="-2"/>
        </w:rPr>
        <w:t>del</w:t>
      </w:r>
      <w:r>
        <w:rPr>
          <w:spacing w:val="-4"/>
        </w:rPr>
        <w:t> </w:t>
      </w:r>
      <w:r>
        <w:rPr>
          <w:spacing w:val="-2"/>
        </w:rPr>
        <w:t>mismo para</w:t>
      </w:r>
      <w:r>
        <w:rPr>
          <w:spacing w:val="-3"/>
        </w:rPr>
        <w:t> </w:t>
      </w:r>
      <w:r>
        <w:rPr>
          <w:spacing w:val="-2"/>
        </w:rPr>
        <w:t>creación</w:t>
      </w:r>
      <w:r>
        <w:rPr>
          <w:spacing w:val="-4"/>
        </w:rPr>
        <w:t> </w:t>
      </w:r>
      <w:r>
        <w:rPr>
          <w:spacing w:val="-2"/>
        </w:rPr>
        <w:t>de</w:t>
      </w:r>
      <w:r>
        <w:rPr>
          <w:spacing w:val="-3"/>
        </w:rPr>
        <w:t> </w:t>
      </w:r>
      <w:r>
        <w:rPr>
          <w:spacing w:val="-2"/>
        </w:rPr>
        <w:t>espacios públicos que</w:t>
      </w:r>
      <w:r>
        <w:rPr>
          <w:spacing w:val="-3"/>
        </w:rPr>
        <w:t> </w:t>
      </w:r>
      <w:r>
        <w:rPr>
          <w:spacing w:val="-2"/>
        </w:rPr>
        <w:t>contribuyan al</w:t>
      </w:r>
      <w:r>
        <w:rPr>
          <w:spacing w:val="-4"/>
        </w:rPr>
        <w:t> </w:t>
      </w:r>
      <w:r>
        <w:rPr>
          <w:spacing w:val="-2"/>
        </w:rPr>
        <w:t>fortalecimiento</w:t>
      </w:r>
      <w:r>
        <w:rPr>
          <w:spacing w:val="-3"/>
        </w:rPr>
        <w:t> </w:t>
      </w:r>
      <w:r>
        <w:rPr>
          <w:spacing w:val="-2"/>
        </w:rPr>
        <w:t>social </w:t>
      </w:r>
      <w:r>
        <w:rPr/>
        <w:t>de la comunidad, así como a la integración sustentable con el medio natural.</w:t>
      </w:r>
    </w:p>
    <w:p>
      <w:pPr>
        <w:pStyle w:val="BodyText"/>
        <w:spacing w:before="229"/>
        <w:ind w:left="262" w:right="285"/>
        <w:jc w:val="both"/>
      </w:pPr>
      <w:r>
        <w:rPr>
          <w:rFonts w:ascii="Arial" w:hAnsi="Arial"/>
          <w:b/>
        </w:rPr>
        <w:t>ARTÍCULO 327.</w:t>
      </w:r>
      <w:r>
        <w:rPr>
          <w:rFonts w:ascii="Arial" w:hAnsi="Arial"/>
          <w:b/>
          <w:spacing w:val="40"/>
        </w:rPr>
        <w:t> </w:t>
      </w:r>
      <w:r>
        <w:rPr/>
        <w:t>Los desarrollos habitacionales de muy alta densidad para lograr su objetivo deberán considerar lo siguiente:</w:t>
      </w:r>
    </w:p>
    <w:p>
      <w:pPr>
        <w:pStyle w:val="ListParagraph"/>
        <w:numPr>
          <w:ilvl w:val="0"/>
          <w:numId w:val="116"/>
        </w:numPr>
        <w:tabs>
          <w:tab w:pos="543" w:val="left" w:leader="none"/>
        </w:tabs>
        <w:spacing w:line="240" w:lineRule="auto" w:before="229" w:after="0"/>
        <w:ind w:left="262" w:right="289" w:firstLine="0"/>
        <w:jc w:val="both"/>
        <w:rPr>
          <w:sz w:val="20"/>
        </w:rPr>
      </w:pPr>
      <w:r>
        <w:rPr>
          <w:sz w:val="20"/>
        </w:rPr>
        <w:t>Se</w:t>
      </w:r>
      <w:r>
        <w:rPr>
          <w:spacing w:val="-3"/>
          <w:sz w:val="20"/>
        </w:rPr>
        <w:t> </w:t>
      </w:r>
      <w:r>
        <w:rPr>
          <w:sz w:val="20"/>
        </w:rPr>
        <w:t>promoverán</w:t>
      </w:r>
      <w:r>
        <w:rPr>
          <w:spacing w:val="-3"/>
          <w:sz w:val="20"/>
        </w:rPr>
        <w:t> </w:t>
      </w:r>
      <w:r>
        <w:rPr>
          <w:sz w:val="20"/>
        </w:rPr>
        <w:t>en</w:t>
      </w:r>
      <w:r>
        <w:rPr>
          <w:spacing w:val="-3"/>
          <w:sz w:val="20"/>
        </w:rPr>
        <w:t> </w:t>
      </w:r>
      <w:r>
        <w:rPr>
          <w:sz w:val="20"/>
        </w:rPr>
        <w:t>los</w:t>
      </w:r>
      <w:r>
        <w:rPr>
          <w:spacing w:val="-2"/>
          <w:sz w:val="20"/>
        </w:rPr>
        <w:t> </w:t>
      </w:r>
      <w:r>
        <w:rPr>
          <w:sz w:val="20"/>
        </w:rPr>
        <w:t>centros</w:t>
      </w:r>
      <w:r>
        <w:rPr>
          <w:spacing w:val="-2"/>
          <w:sz w:val="20"/>
        </w:rPr>
        <w:t> </w:t>
      </w:r>
      <w:r>
        <w:rPr>
          <w:sz w:val="20"/>
        </w:rPr>
        <w:t>de</w:t>
      </w:r>
      <w:r>
        <w:rPr>
          <w:spacing w:val="-4"/>
          <w:sz w:val="20"/>
        </w:rPr>
        <w:t> </w:t>
      </w:r>
      <w:r>
        <w:rPr>
          <w:sz w:val="20"/>
        </w:rPr>
        <w:t>población</w:t>
      </w:r>
      <w:r>
        <w:rPr>
          <w:spacing w:val="-3"/>
          <w:sz w:val="20"/>
        </w:rPr>
        <w:t> </w:t>
      </w:r>
      <w:r>
        <w:rPr>
          <w:sz w:val="20"/>
        </w:rPr>
        <w:t>del</w:t>
      </w:r>
      <w:r>
        <w:rPr>
          <w:spacing w:val="-4"/>
          <w:sz w:val="20"/>
        </w:rPr>
        <w:t> </w:t>
      </w:r>
      <w:r>
        <w:rPr>
          <w:sz w:val="20"/>
        </w:rPr>
        <w:t>Estado</w:t>
      </w:r>
      <w:r>
        <w:rPr>
          <w:spacing w:val="-3"/>
          <w:sz w:val="20"/>
        </w:rPr>
        <w:t> </w:t>
      </w:r>
      <w:r>
        <w:rPr>
          <w:sz w:val="20"/>
        </w:rPr>
        <w:t>que</w:t>
      </w:r>
      <w:r>
        <w:rPr>
          <w:spacing w:val="-3"/>
          <w:sz w:val="20"/>
        </w:rPr>
        <w:t> </w:t>
      </w:r>
      <w:r>
        <w:rPr>
          <w:sz w:val="20"/>
        </w:rPr>
        <w:t>cuenten</w:t>
      </w:r>
      <w:r>
        <w:rPr>
          <w:spacing w:val="-3"/>
          <w:sz w:val="20"/>
        </w:rPr>
        <w:t> </w:t>
      </w:r>
      <w:r>
        <w:rPr>
          <w:sz w:val="20"/>
        </w:rPr>
        <w:t>con</w:t>
      </w:r>
      <w:r>
        <w:rPr>
          <w:spacing w:val="-1"/>
          <w:sz w:val="20"/>
        </w:rPr>
        <w:t> </w:t>
      </w:r>
      <w:r>
        <w:rPr>
          <w:sz w:val="20"/>
        </w:rPr>
        <w:t>programa</w:t>
      </w:r>
      <w:r>
        <w:rPr>
          <w:spacing w:val="-3"/>
          <w:sz w:val="20"/>
        </w:rPr>
        <w:t> </w:t>
      </w:r>
      <w:r>
        <w:rPr>
          <w:sz w:val="20"/>
        </w:rPr>
        <w:t>de</w:t>
      </w:r>
      <w:r>
        <w:rPr>
          <w:spacing w:val="-4"/>
          <w:sz w:val="20"/>
        </w:rPr>
        <w:t> </w:t>
      </w:r>
      <w:r>
        <w:rPr>
          <w:sz w:val="20"/>
        </w:rPr>
        <w:t>desarrollo urbano de centro de población;</w:t>
      </w:r>
    </w:p>
    <w:p>
      <w:pPr>
        <w:pStyle w:val="BodyText"/>
        <w:spacing w:before="2"/>
      </w:pPr>
    </w:p>
    <w:p>
      <w:pPr>
        <w:pStyle w:val="ListParagraph"/>
        <w:numPr>
          <w:ilvl w:val="0"/>
          <w:numId w:val="116"/>
        </w:numPr>
        <w:tabs>
          <w:tab w:pos="543" w:val="left" w:leader="none"/>
        </w:tabs>
        <w:spacing w:line="240" w:lineRule="auto" w:before="0" w:after="0"/>
        <w:ind w:left="262" w:right="282" w:firstLine="0"/>
        <w:jc w:val="both"/>
        <w:rPr>
          <w:sz w:val="20"/>
        </w:rPr>
      </w:pPr>
      <w:r>
        <w:rPr>
          <w:sz w:val="20"/>
        </w:rPr>
        <w:t>El flujo vehicular y de transporte generado por el desarrollo habitacional deberá ser estimado, y con</w:t>
      </w:r>
      <w:r>
        <w:rPr>
          <w:spacing w:val="-7"/>
          <w:sz w:val="20"/>
        </w:rPr>
        <w:t> </w:t>
      </w:r>
      <w:r>
        <w:rPr>
          <w:sz w:val="20"/>
        </w:rPr>
        <w:t>ello</w:t>
      </w:r>
      <w:r>
        <w:rPr>
          <w:spacing w:val="-7"/>
          <w:sz w:val="20"/>
        </w:rPr>
        <w:t> </w:t>
      </w:r>
      <w:r>
        <w:rPr>
          <w:sz w:val="20"/>
        </w:rPr>
        <w:t>establecer</w:t>
      </w:r>
      <w:r>
        <w:rPr>
          <w:spacing w:val="-6"/>
          <w:sz w:val="20"/>
        </w:rPr>
        <w:t> </w:t>
      </w:r>
      <w:r>
        <w:rPr>
          <w:sz w:val="20"/>
        </w:rPr>
        <w:t>la</w:t>
      </w:r>
      <w:r>
        <w:rPr>
          <w:spacing w:val="-7"/>
          <w:sz w:val="20"/>
        </w:rPr>
        <w:t> </w:t>
      </w:r>
      <w:r>
        <w:rPr>
          <w:sz w:val="20"/>
        </w:rPr>
        <w:t>capacidad</w:t>
      </w:r>
      <w:r>
        <w:rPr>
          <w:spacing w:val="-4"/>
          <w:sz w:val="20"/>
        </w:rPr>
        <w:t> </w:t>
      </w:r>
      <w:r>
        <w:rPr>
          <w:sz w:val="20"/>
        </w:rPr>
        <w:t>de</w:t>
      </w:r>
      <w:r>
        <w:rPr>
          <w:spacing w:val="-7"/>
          <w:sz w:val="20"/>
        </w:rPr>
        <w:t> </w:t>
      </w:r>
      <w:r>
        <w:rPr>
          <w:sz w:val="20"/>
        </w:rPr>
        <w:t>sus</w:t>
      </w:r>
      <w:r>
        <w:rPr>
          <w:spacing w:val="-6"/>
          <w:sz w:val="20"/>
        </w:rPr>
        <w:t> </w:t>
      </w:r>
      <w:r>
        <w:rPr>
          <w:sz w:val="20"/>
        </w:rPr>
        <w:t>vías</w:t>
      </w:r>
      <w:r>
        <w:rPr>
          <w:spacing w:val="-6"/>
          <w:sz w:val="20"/>
        </w:rPr>
        <w:t> </w:t>
      </w:r>
      <w:r>
        <w:rPr>
          <w:sz w:val="20"/>
        </w:rPr>
        <w:t>internas,</w:t>
      </w:r>
      <w:r>
        <w:rPr>
          <w:spacing w:val="-4"/>
          <w:sz w:val="20"/>
        </w:rPr>
        <w:t> </w:t>
      </w:r>
      <w:r>
        <w:rPr>
          <w:sz w:val="20"/>
        </w:rPr>
        <w:t>así</w:t>
      </w:r>
      <w:r>
        <w:rPr>
          <w:spacing w:val="-6"/>
          <w:sz w:val="20"/>
        </w:rPr>
        <w:t> </w:t>
      </w:r>
      <w:r>
        <w:rPr>
          <w:sz w:val="20"/>
        </w:rPr>
        <w:t>como</w:t>
      </w:r>
      <w:r>
        <w:rPr>
          <w:spacing w:val="-7"/>
          <w:sz w:val="20"/>
        </w:rPr>
        <w:t> </w:t>
      </w:r>
      <w:r>
        <w:rPr>
          <w:sz w:val="20"/>
        </w:rPr>
        <w:t>prever</w:t>
      </w:r>
      <w:r>
        <w:rPr>
          <w:spacing w:val="-4"/>
          <w:sz w:val="20"/>
        </w:rPr>
        <w:t> </w:t>
      </w:r>
      <w:r>
        <w:rPr>
          <w:sz w:val="20"/>
        </w:rPr>
        <w:t>las</w:t>
      </w:r>
      <w:r>
        <w:rPr>
          <w:spacing w:val="-6"/>
          <w:sz w:val="20"/>
        </w:rPr>
        <w:t> </w:t>
      </w:r>
      <w:r>
        <w:rPr>
          <w:sz w:val="20"/>
        </w:rPr>
        <w:t>acciones</w:t>
      </w:r>
      <w:r>
        <w:rPr>
          <w:spacing w:val="-6"/>
          <w:sz w:val="20"/>
        </w:rPr>
        <w:t> </w:t>
      </w:r>
      <w:r>
        <w:rPr>
          <w:sz w:val="20"/>
        </w:rPr>
        <w:t>necesarias</w:t>
      </w:r>
      <w:r>
        <w:rPr>
          <w:spacing w:val="-5"/>
          <w:sz w:val="20"/>
        </w:rPr>
        <w:t> </w:t>
      </w:r>
      <w:r>
        <w:rPr>
          <w:sz w:val="20"/>
        </w:rPr>
        <w:t>para evitar o mitigar los impactos en la red vial y en el sistema de transporte del centro de población, considerando siempre que sea posible la inclusión de ciclovías y vías peatonales;</w:t>
      </w:r>
    </w:p>
    <w:p>
      <w:pPr>
        <w:pStyle w:val="ListParagraph"/>
        <w:numPr>
          <w:ilvl w:val="0"/>
          <w:numId w:val="116"/>
        </w:numPr>
        <w:tabs>
          <w:tab w:pos="597" w:val="left" w:leader="none"/>
        </w:tabs>
        <w:spacing w:line="240" w:lineRule="auto" w:before="229" w:after="0"/>
        <w:ind w:left="262" w:right="285" w:firstLine="0"/>
        <w:jc w:val="both"/>
        <w:rPr>
          <w:sz w:val="20"/>
        </w:rPr>
      </w:pPr>
      <w:r>
        <w:rPr>
          <w:sz w:val="20"/>
        </w:rPr>
        <w:t>Contribuir</w:t>
      </w:r>
      <w:r>
        <w:rPr>
          <w:spacing w:val="-14"/>
          <w:sz w:val="20"/>
        </w:rPr>
        <w:t> </w:t>
      </w:r>
      <w:r>
        <w:rPr>
          <w:sz w:val="20"/>
        </w:rPr>
        <w:t>a</w:t>
      </w:r>
      <w:r>
        <w:rPr>
          <w:spacing w:val="-14"/>
          <w:sz w:val="20"/>
        </w:rPr>
        <w:t> </w:t>
      </w:r>
      <w:r>
        <w:rPr>
          <w:sz w:val="20"/>
        </w:rPr>
        <w:t>la</w:t>
      </w:r>
      <w:r>
        <w:rPr>
          <w:spacing w:val="-14"/>
          <w:sz w:val="20"/>
        </w:rPr>
        <w:t> </w:t>
      </w:r>
      <w:r>
        <w:rPr>
          <w:sz w:val="20"/>
        </w:rPr>
        <w:t>permeabilidad</w:t>
      </w:r>
      <w:r>
        <w:rPr>
          <w:spacing w:val="-14"/>
          <w:sz w:val="20"/>
        </w:rPr>
        <w:t> </w:t>
      </w:r>
      <w:r>
        <w:rPr>
          <w:sz w:val="20"/>
        </w:rPr>
        <w:t>urbana</w:t>
      </w:r>
      <w:r>
        <w:rPr>
          <w:spacing w:val="-14"/>
          <w:sz w:val="20"/>
        </w:rPr>
        <w:t> </w:t>
      </w:r>
      <w:r>
        <w:rPr>
          <w:sz w:val="20"/>
        </w:rPr>
        <w:t>y</w:t>
      </w:r>
      <w:r>
        <w:rPr>
          <w:spacing w:val="-14"/>
          <w:sz w:val="20"/>
        </w:rPr>
        <w:t> </w:t>
      </w:r>
      <w:r>
        <w:rPr>
          <w:sz w:val="20"/>
        </w:rPr>
        <w:t>a</w:t>
      </w:r>
      <w:r>
        <w:rPr>
          <w:spacing w:val="-14"/>
          <w:sz w:val="20"/>
        </w:rPr>
        <w:t> </w:t>
      </w:r>
      <w:r>
        <w:rPr>
          <w:sz w:val="20"/>
        </w:rPr>
        <w:t>la</w:t>
      </w:r>
      <w:r>
        <w:rPr>
          <w:spacing w:val="-14"/>
          <w:sz w:val="20"/>
        </w:rPr>
        <w:t> </w:t>
      </w:r>
      <w:r>
        <w:rPr>
          <w:sz w:val="20"/>
        </w:rPr>
        <w:t>comunicación</w:t>
      </w:r>
      <w:r>
        <w:rPr>
          <w:spacing w:val="-14"/>
          <w:sz w:val="20"/>
        </w:rPr>
        <w:t> </w:t>
      </w:r>
      <w:r>
        <w:rPr>
          <w:sz w:val="20"/>
        </w:rPr>
        <w:t>peatonal</w:t>
      </w:r>
      <w:r>
        <w:rPr>
          <w:spacing w:val="-13"/>
          <w:sz w:val="20"/>
        </w:rPr>
        <w:t> </w:t>
      </w:r>
      <w:r>
        <w:rPr>
          <w:sz w:val="20"/>
        </w:rPr>
        <w:t>y</w:t>
      </w:r>
      <w:r>
        <w:rPr>
          <w:spacing w:val="-14"/>
          <w:sz w:val="20"/>
        </w:rPr>
        <w:t> </w:t>
      </w:r>
      <w:r>
        <w:rPr>
          <w:sz w:val="20"/>
        </w:rPr>
        <w:t>vehicular</w:t>
      </w:r>
      <w:r>
        <w:rPr>
          <w:spacing w:val="-14"/>
          <w:sz w:val="20"/>
        </w:rPr>
        <w:t> </w:t>
      </w:r>
      <w:r>
        <w:rPr>
          <w:sz w:val="20"/>
        </w:rPr>
        <w:t>mediante</w:t>
      </w:r>
      <w:r>
        <w:rPr>
          <w:spacing w:val="-14"/>
          <w:sz w:val="20"/>
        </w:rPr>
        <w:t> </w:t>
      </w:r>
      <w:r>
        <w:rPr>
          <w:sz w:val="20"/>
        </w:rPr>
        <w:t>una</w:t>
      </w:r>
      <w:r>
        <w:rPr>
          <w:spacing w:val="-14"/>
          <w:sz w:val="20"/>
        </w:rPr>
        <w:t> </w:t>
      </w:r>
      <w:r>
        <w:rPr>
          <w:sz w:val="20"/>
        </w:rPr>
        <w:t>traza pública</w:t>
      </w:r>
      <w:r>
        <w:rPr>
          <w:spacing w:val="-14"/>
          <w:sz w:val="20"/>
        </w:rPr>
        <w:t> </w:t>
      </w:r>
      <w:r>
        <w:rPr>
          <w:sz w:val="20"/>
        </w:rPr>
        <w:t>que</w:t>
      </w:r>
      <w:r>
        <w:rPr>
          <w:spacing w:val="-14"/>
          <w:sz w:val="20"/>
        </w:rPr>
        <w:t> </w:t>
      </w:r>
      <w:r>
        <w:rPr>
          <w:sz w:val="20"/>
        </w:rPr>
        <w:t>cumpla</w:t>
      </w:r>
      <w:r>
        <w:rPr>
          <w:spacing w:val="-14"/>
          <w:sz w:val="20"/>
        </w:rPr>
        <w:t> </w:t>
      </w:r>
      <w:r>
        <w:rPr>
          <w:sz w:val="20"/>
        </w:rPr>
        <w:t>con</w:t>
      </w:r>
      <w:r>
        <w:rPr>
          <w:spacing w:val="-14"/>
          <w:sz w:val="20"/>
        </w:rPr>
        <w:t> </w:t>
      </w:r>
      <w:r>
        <w:rPr>
          <w:sz w:val="20"/>
        </w:rPr>
        <w:t>el</w:t>
      </w:r>
      <w:r>
        <w:rPr>
          <w:spacing w:val="-14"/>
          <w:sz w:val="20"/>
        </w:rPr>
        <w:t> </w:t>
      </w:r>
      <w:r>
        <w:rPr>
          <w:sz w:val="20"/>
        </w:rPr>
        <w:t>espaciamiento</w:t>
      </w:r>
      <w:r>
        <w:rPr>
          <w:spacing w:val="-14"/>
          <w:sz w:val="20"/>
        </w:rPr>
        <w:t> </w:t>
      </w:r>
      <w:r>
        <w:rPr>
          <w:sz w:val="20"/>
        </w:rPr>
        <w:t>establecido</w:t>
      </w:r>
      <w:r>
        <w:rPr>
          <w:spacing w:val="-14"/>
          <w:sz w:val="20"/>
        </w:rPr>
        <w:t> </w:t>
      </w:r>
      <w:r>
        <w:rPr>
          <w:sz w:val="20"/>
        </w:rPr>
        <w:t>en</w:t>
      </w:r>
      <w:r>
        <w:rPr>
          <w:spacing w:val="-14"/>
          <w:sz w:val="20"/>
        </w:rPr>
        <w:t> </w:t>
      </w:r>
      <w:r>
        <w:rPr>
          <w:sz w:val="20"/>
        </w:rPr>
        <w:t>las</w:t>
      </w:r>
      <w:r>
        <w:rPr>
          <w:spacing w:val="-14"/>
          <w:sz w:val="20"/>
        </w:rPr>
        <w:t> </w:t>
      </w:r>
      <w:r>
        <w:rPr>
          <w:sz w:val="20"/>
        </w:rPr>
        <w:t>disposiciones</w:t>
      </w:r>
      <w:r>
        <w:rPr>
          <w:spacing w:val="-14"/>
          <w:sz w:val="20"/>
        </w:rPr>
        <w:t> </w:t>
      </w:r>
      <w:r>
        <w:rPr>
          <w:sz w:val="20"/>
        </w:rPr>
        <w:t>reglamentarias</w:t>
      </w:r>
      <w:r>
        <w:rPr>
          <w:spacing w:val="-14"/>
          <w:sz w:val="20"/>
        </w:rPr>
        <w:t> </w:t>
      </w:r>
      <w:r>
        <w:rPr>
          <w:sz w:val="20"/>
        </w:rPr>
        <w:t>aplicables;</w:t>
      </w:r>
    </w:p>
    <w:p>
      <w:pPr>
        <w:pStyle w:val="BodyText"/>
        <w:spacing w:before="2"/>
      </w:pPr>
    </w:p>
    <w:p>
      <w:pPr>
        <w:spacing w:line="229" w:lineRule="exact" w:before="0"/>
        <w:ind w:left="262" w:right="0" w:firstLine="0"/>
        <w:jc w:val="both"/>
        <w:rPr>
          <w:rFonts w:ascii="Arial"/>
          <w:i/>
          <w:sz w:val="20"/>
        </w:rPr>
      </w:pPr>
      <w:r>
        <w:rPr>
          <w:rFonts w:ascii="Arial"/>
          <w:i/>
          <w:sz w:val="20"/>
        </w:rPr>
        <w:t>(REFORMADO</w:t>
      </w:r>
      <w:r>
        <w:rPr>
          <w:rFonts w:ascii="Arial"/>
          <w:i/>
          <w:spacing w:val="-6"/>
          <w:sz w:val="20"/>
        </w:rPr>
        <w:t> </w:t>
      </w:r>
      <w:r>
        <w:rPr>
          <w:rFonts w:ascii="Arial"/>
          <w:i/>
          <w:sz w:val="20"/>
        </w:rPr>
        <w:t>EN</w:t>
      </w:r>
      <w:r>
        <w:rPr>
          <w:rFonts w:ascii="Arial"/>
          <w:i/>
          <w:spacing w:val="-3"/>
          <w:sz w:val="20"/>
        </w:rPr>
        <w:t> </w:t>
      </w:r>
      <w:r>
        <w:rPr>
          <w:rFonts w:ascii="Arial"/>
          <w:i/>
          <w:sz w:val="20"/>
        </w:rPr>
        <w:t>EL</w:t>
      </w:r>
      <w:r>
        <w:rPr>
          <w:rFonts w:ascii="Arial"/>
          <w:i/>
          <w:spacing w:val="-4"/>
          <w:sz w:val="20"/>
        </w:rPr>
        <w:t> </w:t>
      </w:r>
      <w:r>
        <w:rPr>
          <w:rFonts w:ascii="Arial"/>
          <w:i/>
          <w:sz w:val="20"/>
        </w:rPr>
        <w:t>P.O.</w:t>
      </w:r>
      <w:r>
        <w:rPr>
          <w:rFonts w:ascii="Arial"/>
          <w:i/>
          <w:spacing w:val="-5"/>
          <w:sz w:val="20"/>
        </w:rPr>
        <w:t> </w:t>
      </w:r>
      <w:r>
        <w:rPr>
          <w:rFonts w:ascii="Arial"/>
          <w:i/>
          <w:sz w:val="20"/>
        </w:rPr>
        <w:t>DEL</w:t>
      </w:r>
      <w:r>
        <w:rPr>
          <w:rFonts w:ascii="Arial"/>
          <w:i/>
          <w:spacing w:val="-4"/>
          <w:sz w:val="20"/>
        </w:rPr>
        <w:t> </w:t>
      </w:r>
      <w:r>
        <w:rPr>
          <w:rFonts w:ascii="Arial"/>
          <w:i/>
          <w:sz w:val="20"/>
        </w:rPr>
        <w:t>02</w:t>
      </w:r>
      <w:r>
        <w:rPr>
          <w:rFonts w:ascii="Arial"/>
          <w:i/>
          <w:spacing w:val="-7"/>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pacing w:val="-4"/>
          <w:sz w:val="20"/>
        </w:rPr>
        <w:t>2025)</w:t>
      </w:r>
    </w:p>
    <w:p>
      <w:pPr>
        <w:pStyle w:val="ListParagraph"/>
        <w:numPr>
          <w:ilvl w:val="0"/>
          <w:numId w:val="116"/>
        </w:numPr>
        <w:tabs>
          <w:tab w:pos="688" w:val="left" w:leader="none"/>
        </w:tabs>
        <w:spacing w:line="240" w:lineRule="auto" w:before="0" w:after="0"/>
        <w:ind w:left="262" w:right="276" w:firstLine="0"/>
        <w:jc w:val="both"/>
        <w:rPr>
          <w:sz w:val="20"/>
        </w:rPr>
      </w:pPr>
      <w:r>
        <w:rPr>
          <w:sz w:val="20"/>
        </w:rPr>
        <w:t>El diseño urbano y de edificaciones deberá considerar los elementos que contribuyen a la seguridad de las personas, en especial de grupos de atención prioritaria, como pueden ser la incentivación</w:t>
      </w:r>
      <w:r>
        <w:rPr>
          <w:spacing w:val="-13"/>
          <w:sz w:val="20"/>
        </w:rPr>
        <w:t> </w:t>
      </w:r>
      <w:r>
        <w:rPr>
          <w:sz w:val="20"/>
        </w:rPr>
        <w:t>del</w:t>
      </w:r>
      <w:r>
        <w:rPr>
          <w:spacing w:val="-12"/>
          <w:sz w:val="20"/>
        </w:rPr>
        <w:t> </w:t>
      </w:r>
      <w:r>
        <w:rPr>
          <w:sz w:val="20"/>
        </w:rPr>
        <w:t>uso</w:t>
      </w:r>
      <w:r>
        <w:rPr>
          <w:spacing w:val="-13"/>
          <w:sz w:val="20"/>
        </w:rPr>
        <w:t> </w:t>
      </w:r>
      <w:r>
        <w:rPr>
          <w:sz w:val="20"/>
        </w:rPr>
        <w:t>del</w:t>
      </w:r>
      <w:r>
        <w:rPr>
          <w:spacing w:val="-12"/>
          <w:sz w:val="20"/>
        </w:rPr>
        <w:t> </w:t>
      </w:r>
      <w:r>
        <w:rPr>
          <w:sz w:val="20"/>
        </w:rPr>
        <w:t>espacio</w:t>
      </w:r>
      <w:r>
        <w:rPr>
          <w:spacing w:val="-11"/>
          <w:sz w:val="20"/>
        </w:rPr>
        <w:t> </w:t>
      </w:r>
      <w:r>
        <w:rPr>
          <w:sz w:val="20"/>
        </w:rPr>
        <w:t>público</w:t>
      </w:r>
      <w:r>
        <w:rPr>
          <w:spacing w:val="-13"/>
          <w:sz w:val="20"/>
        </w:rPr>
        <w:t> </w:t>
      </w:r>
      <w:r>
        <w:rPr>
          <w:sz w:val="20"/>
        </w:rPr>
        <w:t>y</w:t>
      </w:r>
      <w:r>
        <w:rPr>
          <w:spacing w:val="-12"/>
          <w:sz w:val="20"/>
        </w:rPr>
        <w:t> </w:t>
      </w:r>
      <w:r>
        <w:rPr>
          <w:sz w:val="20"/>
        </w:rPr>
        <w:t>la</w:t>
      </w:r>
      <w:r>
        <w:rPr>
          <w:spacing w:val="-12"/>
          <w:sz w:val="20"/>
        </w:rPr>
        <w:t> </w:t>
      </w:r>
      <w:r>
        <w:rPr>
          <w:sz w:val="20"/>
        </w:rPr>
        <w:t>vialidad</w:t>
      </w:r>
      <w:r>
        <w:rPr>
          <w:spacing w:val="-11"/>
          <w:sz w:val="20"/>
        </w:rPr>
        <w:t> </w:t>
      </w:r>
      <w:r>
        <w:rPr>
          <w:sz w:val="20"/>
        </w:rPr>
        <w:t>de</w:t>
      </w:r>
      <w:r>
        <w:rPr>
          <w:spacing w:val="-13"/>
          <w:sz w:val="20"/>
        </w:rPr>
        <w:t> </w:t>
      </w:r>
      <w:r>
        <w:rPr>
          <w:sz w:val="20"/>
        </w:rPr>
        <w:t>forma</w:t>
      </w:r>
      <w:r>
        <w:rPr>
          <w:spacing w:val="-13"/>
          <w:sz w:val="20"/>
        </w:rPr>
        <w:t> </w:t>
      </w:r>
      <w:r>
        <w:rPr>
          <w:sz w:val="20"/>
        </w:rPr>
        <w:t>que</w:t>
      </w:r>
      <w:r>
        <w:rPr>
          <w:spacing w:val="-13"/>
          <w:sz w:val="20"/>
        </w:rPr>
        <w:t> </w:t>
      </w:r>
      <w:r>
        <w:rPr>
          <w:sz w:val="20"/>
        </w:rPr>
        <w:t>los</w:t>
      </w:r>
      <w:r>
        <w:rPr>
          <w:spacing w:val="-13"/>
          <w:sz w:val="20"/>
        </w:rPr>
        <w:t> </w:t>
      </w:r>
      <w:r>
        <w:rPr>
          <w:sz w:val="20"/>
        </w:rPr>
        <w:t>mismos</w:t>
      </w:r>
      <w:r>
        <w:rPr>
          <w:spacing w:val="-12"/>
          <w:sz w:val="20"/>
        </w:rPr>
        <w:t> </w:t>
      </w:r>
      <w:r>
        <w:rPr>
          <w:sz w:val="20"/>
        </w:rPr>
        <w:t>habitantes</w:t>
      </w:r>
      <w:r>
        <w:rPr>
          <w:spacing w:val="-12"/>
          <w:sz w:val="20"/>
        </w:rPr>
        <w:t> </w:t>
      </w:r>
      <w:r>
        <w:rPr>
          <w:sz w:val="20"/>
        </w:rPr>
        <w:t>al</w:t>
      </w:r>
      <w:r>
        <w:rPr>
          <w:spacing w:val="-13"/>
          <w:sz w:val="20"/>
        </w:rPr>
        <w:t> </w:t>
      </w:r>
      <w:r>
        <w:rPr>
          <w:sz w:val="20"/>
        </w:rPr>
        <w:t>transitar puedan vigilar; el uso de medios de registro visual; evitar la generación de espacios sin uso y de muros ciegos hacia la vía pública, y alumbrado suficiente;</w:t>
      </w:r>
    </w:p>
    <w:p>
      <w:pPr>
        <w:pStyle w:val="ListParagraph"/>
        <w:numPr>
          <w:ilvl w:val="0"/>
          <w:numId w:val="116"/>
        </w:numPr>
        <w:tabs>
          <w:tab w:pos="688" w:val="left" w:leader="none"/>
        </w:tabs>
        <w:spacing w:line="240" w:lineRule="auto" w:before="229" w:after="0"/>
        <w:ind w:left="262" w:right="286" w:firstLine="0"/>
        <w:jc w:val="both"/>
        <w:rPr>
          <w:sz w:val="20"/>
        </w:rPr>
      </w:pPr>
      <w:r>
        <w:rPr>
          <w:sz w:val="20"/>
        </w:rPr>
        <w:t>Se promoverá el espacio digno de banquetas y andadores que propicien los traslados </w:t>
      </w:r>
      <w:r>
        <w:rPr>
          <w:spacing w:val="-2"/>
          <w:sz w:val="20"/>
        </w:rPr>
        <w:t>peatonales;</w:t>
      </w:r>
    </w:p>
    <w:p>
      <w:pPr>
        <w:pStyle w:val="BodyText"/>
        <w:spacing w:before="1"/>
      </w:pPr>
    </w:p>
    <w:p>
      <w:pPr>
        <w:pStyle w:val="ListParagraph"/>
        <w:numPr>
          <w:ilvl w:val="0"/>
          <w:numId w:val="116"/>
        </w:numPr>
        <w:tabs>
          <w:tab w:pos="688" w:val="left" w:leader="none"/>
        </w:tabs>
        <w:spacing w:line="240" w:lineRule="auto" w:before="1" w:after="0"/>
        <w:ind w:left="262" w:right="277" w:firstLine="0"/>
        <w:jc w:val="both"/>
        <w:rPr>
          <w:sz w:val="20"/>
        </w:rPr>
      </w:pPr>
      <w:r>
        <w:rPr>
          <w:sz w:val="20"/>
        </w:rPr>
        <w:t>Se preverá la disponibilidad de suelo necesario para satisfacer la demanda de equipamiento urbano</w:t>
      </w:r>
      <w:r>
        <w:rPr>
          <w:spacing w:val="-6"/>
          <w:sz w:val="20"/>
        </w:rPr>
        <w:t> </w:t>
      </w:r>
      <w:r>
        <w:rPr>
          <w:sz w:val="20"/>
        </w:rPr>
        <w:t>que</w:t>
      </w:r>
      <w:r>
        <w:rPr>
          <w:spacing w:val="-6"/>
          <w:sz w:val="20"/>
        </w:rPr>
        <w:t> </w:t>
      </w:r>
      <w:r>
        <w:rPr>
          <w:sz w:val="20"/>
        </w:rPr>
        <w:t>genere</w:t>
      </w:r>
      <w:r>
        <w:rPr>
          <w:spacing w:val="-6"/>
          <w:sz w:val="20"/>
        </w:rPr>
        <w:t> </w:t>
      </w:r>
      <w:r>
        <w:rPr>
          <w:sz w:val="20"/>
        </w:rPr>
        <w:t>el</w:t>
      </w:r>
      <w:r>
        <w:rPr>
          <w:spacing w:val="-6"/>
          <w:sz w:val="20"/>
        </w:rPr>
        <w:t> </w:t>
      </w:r>
      <w:r>
        <w:rPr>
          <w:sz w:val="20"/>
        </w:rPr>
        <w:t>desarrollo</w:t>
      </w:r>
      <w:r>
        <w:rPr>
          <w:spacing w:val="-3"/>
          <w:sz w:val="20"/>
        </w:rPr>
        <w:t> </w:t>
      </w:r>
      <w:r>
        <w:rPr>
          <w:sz w:val="20"/>
        </w:rPr>
        <w:t>habitacional</w:t>
      </w:r>
      <w:r>
        <w:rPr>
          <w:spacing w:val="-4"/>
          <w:sz w:val="20"/>
        </w:rPr>
        <w:t> </w:t>
      </w:r>
      <w:r>
        <w:rPr>
          <w:sz w:val="20"/>
        </w:rPr>
        <w:t>de</w:t>
      </w:r>
      <w:r>
        <w:rPr>
          <w:spacing w:val="-6"/>
          <w:sz w:val="20"/>
        </w:rPr>
        <w:t> </w:t>
      </w:r>
      <w:r>
        <w:rPr>
          <w:sz w:val="20"/>
        </w:rPr>
        <w:t>muy</w:t>
      </w:r>
      <w:r>
        <w:rPr>
          <w:spacing w:val="-5"/>
          <w:sz w:val="20"/>
        </w:rPr>
        <w:t> </w:t>
      </w:r>
      <w:r>
        <w:rPr>
          <w:sz w:val="20"/>
        </w:rPr>
        <w:t>alta</w:t>
      </w:r>
      <w:r>
        <w:rPr>
          <w:spacing w:val="-6"/>
          <w:sz w:val="20"/>
        </w:rPr>
        <w:t> </w:t>
      </w:r>
      <w:r>
        <w:rPr>
          <w:sz w:val="20"/>
        </w:rPr>
        <w:t>densidad,</w:t>
      </w:r>
      <w:r>
        <w:rPr>
          <w:spacing w:val="-6"/>
          <w:sz w:val="20"/>
        </w:rPr>
        <w:t> </w:t>
      </w:r>
      <w:r>
        <w:rPr>
          <w:sz w:val="20"/>
        </w:rPr>
        <w:t>evitando</w:t>
      </w:r>
      <w:r>
        <w:rPr>
          <w:spacing w:val="-6"/>
          <w:sz w:val="20"/>
        </w:rPr>
        <w:t> </w:t>
      </w:r>
      <w:r>
        <w:rPr>
          <w:sz w:val="20"/>
        </w:rPr>
        <w:t>en</w:t>
      </w:r>
      <w:r>
        <w:rPr>
          <w:spacing w:val="-6"/>
          <w:sz w:val="20"/>
        </w:rPr>
        <w:t> </w:t>
      </w:r>
      <w:r>
        <w:rPr>
          <w:sz w:val="20"/>
        </w:rPr>
        <w:t>todo</w:t>
      </w:r>
      <w:r>
        <w:rPr>
          <w:spacing w:val="-6"/>
          <w:sz w:val="20"/>
        </w:rPr>
        <w:t> </w:t>
      </w:r>
      <w:r>
        <w:rPr>
          <w:sz w:val="20"/>
        </w:rPr>
        <w:t>caso</w:t>
      </w:r>
      <w:r>
        <w:rPr>
          <w:spacing w:val="-6"/>
          <w:sz w:val="20"/>
        </w:rPr>
        <w:t> </w:t>
      </w:r>
      <w:r>
        <w:rPr>
          <w:sz w:val="20"/>
        </w:rPr>
        <w:t>afectar</w:t>
      </w:r>
      <w:r>
        <w:rPr>
          <w:spacing w:val="-5"/>
          <w:sz w:val="20"/>
        </w:rPr>
        <w:t> </w:t>
      </w:r>
      <w:r>
        <w:rPr>
          <w:sz w:val="20"/>
        </w:rPr>
        <w:t>el nivel de atención del equipamiento existente en su entorno, para ello se verificará el incremento requerido según el número de habitantes estimados y la dotación prevista en las normas federales </w:t>
      </w:r>
      <w:r>
        <w:rPr>
          <w:spacing w:val="-2"/>
          <w:sz w:val="20"/>
        </w:rPr>
        <w:t>aplicables;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16"/>
        </w:numPr>
        <w:tabs>
          <w:tab w:pos="688" w:val="left" w:leader="none"/>
        </w:tabs>
        <w:spacing w:line="240" w:lineRule="auto" w:before="0" w:after="0"/>
        <w:ind w:left="262" w:right="285" w:firstLine="0"/>
        <w:jc w:val="both"/>
        <w:rPr>
          <w:sz w:val="20"/>
        </w:rPr>
      </w:pPr>
      <w:r>
        <w:rPr>
          <w:sz w:val="20"/>
        </w:rPr>
        <w:t>Los</w:t>
      </w:r>
      <w:r>
        <w:rPr>
          <w:spacing w:val="-5"/>
          <w:sz w:val="20"/>
        </w:rPr>
        <w:t> </w:t>
      </w:r>
      <w:r>
        <w:rPr>
          <w:sz w:val="20"/>
        </w:rPr>
        <w:t>usos</w:t>
      </w:r>
      <w:r>
        <w:rPr>
          <w:spacing w:val="-6"/>
          <w:sz w:val="20"/>
        </w:rPr>
        <w:t> </w:t>
      </w:r>
      <w:r>
        <w:rPr>
          <w:sz w:val="20"/>
        </w:rPr>
        <w:t>de</w:t>
      </w:r>
      <w:r>
        <w:rPr>
          <w:spacing w:val="-7"/>
          <w:sz w:val="20"/>
        </w:rPr>
        <w:t> </w:t>
      </w:r>
      <w:r>
        <w:rPr>
          <w:sz w:val="20"/>
        </w:rPr>
        <w:t>suelo</w:t>
      </w:r>
      <w:r>
        <w:rPr>
          <w:spacing w:val="-5"/>
          <w:sz w:val="20"/>
        </w:rPr>
        <w:t> </w:t>
      </w:r>
      <w:r>
        <w:rPr>
          <w:sz w:val="20"/>
        </w:rPr>
        <w:t>complementarios</w:t>
      </w:r>
      <w:r>
        <w:rPr>
          <w:spacing w:val="-4"/>
          <w:sz w:val="20"/>
        </w:rPr>
        <w:t> </w:t>
      </w:r>
      <w:r>
        <w:rPr>
          <w:sz w:val="20"/>
        </w:rPr>
        <w:t>que</w:t>
      </w:r>
      <w:r>
        <w:rPr>
          <w:spacing w:val="-5"/>
          <w:sz w:val="20"/>
        </w:rPr>
        <w:t> </w:t>
      </w:r>
      <w:r>
        <w:rPr>
          <w:sz w:val="20"/>
        </w:rPr>
        <w:t>se</w:t>
      </w:r>
      <w:r>
        <w:rPr>
          <w:spacing w:val="-7"/>
          <w:sz w:val="20"/>
        </w:rPr>
        <w:t> </w:t>
      </w:r>
      <w:r>
        <w:rPr>
          <w:sz w:val="20"/>
        </w:rPr>
        <w:t>propongan</w:t>
      </w:r>
      <w:r>
        <w:rPr>
          <w:spacing w:val="-7"/>
          <w:sz w:val="20"/>
        </w:rPr>
        <w:t> </w:t>
      </w:r>
      <w:r>
        <w:rPr>
          <w:sz w:val="20"/>
        </w:rPr>
        <w:t>dentro</w:t>
      </w:r>
      <w:r>
        <w:rPr>
          <w:spacing w:val="-5"/>
          <w:sz w:val="20"/>
        </w:rPr>
        <w:t> </w:t>
      </w:r>
      <w:r>
        <w:rPr>
          <w:sz w:val="20"/>
        </w:rPr>
        <w:t>del</w:t>
      </w:r>
      <w:r>
        <w:rPr>
          <w:spacing w:val="-7"/>
          <w:sz w:val="20"/>
        </w:rPr>
        <w:t> </w:t>
      </w:r>
      <w:r>
        <w:rPr>
          <w:sz w:val="20"/>
        </w:rPr>
        <w:t>desarrollo</w:t>
      </w:r>
      <w:r>
        <w:rPr>
          <w:spacing w:val="-7"/>
          <w:sz w:val="20"/>
        </w:rPr>
        <w:t> </w:t>
      </w:r>
      <w:r>
        <w:rPr>
          <w:sz w:val="20"/>
        </w:rPr>
        <w:t>serán</w:t>
      </w:r>
      <w:r>
        <w:rPr>
          <w:spacing w:val="-7"/>
          <w:sz w:val="20"/>
        </w:rPr>
        <w:t> </w:t>
      </w:r>
      <w:r>
        <w:rPr>
          <w:sz w:val="20"/>
        </w:rPr>
        <w:t>compatibles con el uso habitacional de conformidad con el Programa de Desarrollo Urbano de Centros de Población aplicable y con los establecido en esta Ley;</w:t>
      </w:r>
    </w:p>
    <w:p>
      <w:pPr>
        <w:pStyle w:val="BodyText"/>
        <w:spacing w:before="1"/>
      </w:pPr>
    </w:p>
    <w:p>
      <w:pPr>
        <w:pStyle w:val="ListParagraph"/>
        <w:numPr>
          <w:ilvl w:val="0"/>
          <w:numId w:val="116"/>
        </w:numPr>
        <w:tabs>
          <w:tab w:pos="827" w:val="left" w:leader="none"/>
        </w:tabs>
        <w:spacing w:line="240" w:lineRule="auto" w:before="1" w:after="0"/>
        <w:ind w:left="262" w:right="286" w:firstLine="0"/>
        <w:jc w:val="both"/>
        <w:rPr>
          <w:sz w:val="20"/>
        </w:rPr>
      </w:pPr>
      <w:r>
        <w:rPr>
          <w:sz w:val="20"/>
        </w:rPr>
        <w:t>No afectarán el adecuado funcionamiento de los sistemas de infraestructura de su entorno, para</w:t>
      </w:r>
      <w:r>
        <w:rPr>
          <w:spacing w:val="-12"/>
          <w:sz w:val="20"/>
        </w:rPr>
        <w:t> </w:t>
      </w:r>
      <w:r>
        <w:rPr>
          <w:sz w:val="20"/>
        </w:rPr>
        <w:t>ello</w:t>
      </w:r>
      <w:r>
        <w:rPr>
          <w:spacing w:val="-13"/>
          <w:sz w:val="20"/>
        </w:rPr>
        <w:t> </w:t>
      </w:r>
      <w:r>
        <w:rPr>
          <w:sz w:val="20"/>
        </w:rPr>
        <w:t>se</w:t>
      </w:r>
      <w:r>
        <w:rPr>
          <w:spacing w:val="-12"/>
          <w:sz w:val="20"/>
        </w:rPr>
        <w:t> </w:t>
      </w:r>
      <w:r>
        <w:rPr>
          <w:sz w:val="20"/>
        </w:rPr>
        <w:t>preverá</w:t>
      </w:r>
      <w:r>
        <w:rPr>
          <w:spacing w:val="-12"/>
          <w:sz w:val="20"/>
        </w:rPr>
        <w:t> </w:t>
      </w:r>
      <w:r>
        <w:rPr>
          <w:sz w:val="20"/>
        </w:rPr>
        <w:t>la</w:t>
      </w:r>
      <w:r>
        <w:rPr>
          <w:spacing w:val="-13"/>
          <w:sz w:val="20"/>
        </w:rPr>
        <w:t> </w:t>
      </w:r>
      <w:r>
        <w:rPr>
          <w:sz w:val="20"/>
        </w:rPr>
        <w:t>construcción</w:t>
      </w:r>
      <w:r>
        <w:rPr>
          <w:spacing w:val="-13"/>
          <w:sz w:val="20"/>
        </w:rPr>
        <w:t> </w:t>
      </w:r>
      <w:r>
        <w:rPr>
          <w:sz w:val="20"/>
        </w:rPr>
        <w:t>de</w:t>
      </w:r>
      <w:r>
        <w:rPr>
          <w:spacing w:val="-13"/>
          <w:sz w:val="20"/>
        </w:rPr>
        <w:t> </w:t>
      </w:r>
      <w:r>
        <w:rPr>
          <w:sz w:val="20"/>
        </w:rPr>
        <w:t>las</w:t>
      </w:r>
      <w:r>
        <w:rPr>
          <w:spacing w:val="-11"/>
          <w:sz w:val="20"/>
        </w:rPr>
        <w:t> </w:t>
      </w:r>
      <w:r>
        <w:rPr>
          <w:sz w:val="20"/>
        </w:rPr>
        <w:t>redes</w:t>
      </w:r>
      <w:r>
        <w:rPr>
          <w:spacing w:val="-11"/>
          <w:sz w:val="20"/>
        </w:rPr>
        <w:t> </w:t>
      </w:r>
      <w:r>
        <w:rPr>
          <w:sz w:val="20"/>
        </w:rPr>
        <w:t>e</w:t>
      </w:r>
      <w:r>
        <w:rPr>
          <w:spacing w:val="-13"/>
          <w:sz w:val="20"/>
        </w:rPr>
        <w:t> </w:t>
      </w:r>
      <w:r>
        <w:rPr>
          <w:sz w:val="20"/>
        </w:rPr>
        <w:t>instalaciones</w:t>
      </w:r>
      <w:r>
        <w:rPr>
          <w:spacing w:val="-11"/>
          <w:sz w:val="20"/>
        </w:rPr>
        <w:t> </w:t>
      </w:r>
      <w:r>
        <w:rPr>
          <w:sz w:val="20"/>
        </w:rPr>
        <w:t>necesarias</w:t>
      </w:r>
      <w:r>
        <w:rPr>
          <w:spacing w:val="-14"/>
          <w:sz w:val="20"/>
        </w:rPr>
        <w:t> </w:t>
      </w:r>
      <w:r>
        <w:rPr>
          <w:sz w:val="20"/>
        </w:rPr>
        <w:t>para</w:t>
      </w:r>
      <w:r>
        <w:rPr>
          <w:spacing w:val="-14"/>
          <w:sz w:val="20"/>
        </w:rPr>
        <w:t> </w:t>
      </w:r>
      <w:r>
        <w:rPr>
          <w:sz w:val="20"/>
        </w:rPr>
        <w:t>satisfacer</w:t>
      </w:r>
      <w:r>
        <w:rPr>
          <w:spacing w:val="-13"/>
          <w:sz w:val="20"/>
        </w:rPr>
        <w:t> </w:t>
      </w:r>
      <w:r>
        <w:rPr>
          <w:sz w:val="20"/>
        </w:rPr>
        <w:t>su</w:t>
      </w:r>
      <w:r>
        <w:rPr>
          <w:spacing w:val="-13"/>
          <w:sz w:val="20"/>
        </w:rPr>
        <w:t> </w:t>
      </w:r>
      <w:r>
        <w:rPr>
          <w:sz w:val="20"/>
        </w:rPr>
        <w:t>propia demanda y para su adecuada integración a las redes de la ciudad;</w:t>
      </w:r>
    </w:p>
    <w:p>
      <w:pPr>
        <w:pStyle w:val="ListParagraph"/>
        <w:numPr>
          <w:ilvl w:val="0"/>
          <w:numId w:val="116"/>
        </w:numPr>
        <w:tabs>
          <w:tab w:pos="827" w:val="left" w:leader="none"/>
        </w:tabs>
        <w:spacing w:line="240" w:lineRule="auto" w:before="229" w:after="0"/>
        <w:ind w:left="262" w:right="287" w:firstLine="0"/>
        <w:jc w:val="both"/>
        <w:rPr>
          <w:sz w:val="20"/>
        </w:rPr>
      </w:pPr>
      <w:r>
        <w:rPr>
          <w:sz w:val="20"/>
        </w:rPr>
        <w:t>Se preverá que las viviendas terminadas o de construcción progresiva estén constituidas físicamente con los espacios individualizados para cocinar, aseo, dormir y convivencia;</w:t>
      </w:r>
    </w:p>
    <w:p>
      <w:pPr>
        <w:pStyle w:val="ListParagraph"/>
        <w:numPr>
          <w:ilvl w:val="0"/>
          <w:numId w:val="116"/>
        </w:numPr>
        <w:tabs>
          <w:tab w:pos="827" w:val="left" w:leader="none"/>
        </w:tabs>
        <w:spacing w:line="240" w:lineRule="auto" w:before="229" w:after="0"/>
        <w:ind w:left="262" w:right="288" w:firstLine="0"/>
        <w:jc w:val="both"/>
        <w:rPr>
          <w:sz w:val="20"/>
        </w:rPr>
      </w:pPr>
      <w:r>
        <w:rPr>
          <w:sz w:val="20"/>
        </w:rPr>
        <w:t>Al exterior de las viviendas y dentro del mismo desarrollo se preverán además los espacios necesarios para las actividades complementarias de recreación, descanso y esparcimiento de sus </w:t>
      </w:r>
      <w:r>
        <w:rPr>
          <w:spacing w:val="-2"/>
          <w:sz w:val="20"/>
        </w:rPr>
        <w:t>habitantes;</w:t>
      </w:r>
    </w:p>
    <w:p>
      <w:pPr>
        <w:pStyle w:val="BodyText"/>
        <w:spacing w:before="2"/>
      </w:pPr>
    </w:p>
    <w:p>
      <w:pPr>
        <w:pStyle w:val="ListParagraph"/>
        <w:numPr>
          <w:ilvl w:val="0"/>
          <w:numId w:val="116"/>
        </w:numPr>
        <w:tabs>
          <w:tab w:pos="827" w:val="left" w:leader="none"/>
        </w:tabs>
        <w:spacing w:line="240" w:lineRule="auto" w:before="0" w:after="0"/>
        <w:ind w:left="262" w:right="291" w:firstLine="0"/>
        <w:jc w:val="both"/>
        <w:rPr>
          <w:sz w:val="20"/>
        </w:rPr>
      </w:pPr>
      <w:r>
        <w:rPr>
          <w:sz w:val="20"/>
        </w:rPr>
        <w:t>La</w:t>
      </w:r>
      <w:r>
        <w:rPr>
          <w:spacing w:val="-3"/>
          <w:sz w:val="20"/>
        </w:rPr>
        <w:t> </w:t>
      </w:r>
      <w:r>
        <w:rPr>
          <w:sz w:val="20"/>
        </w:rPr>
        <w:t>construcción</w:t>
      </w:r>
      <w:r>
        <w:rPr>
          <w:spacing w:val="-2"/>
          <w:sz w:val="20"/>
        </w:rPr>
        <w:t> </w:t>
      </w:r>
      <w:r>
        <w:rPr>
          <w:sz w:val="20"/>
        </w:rPr>
        <w:t>de</w:t>
      </w:r>
      <w:r>
        <w:rPr>
          <w:spacing w:val="-2"/>
          <w:sz w:val="20"/>
        </w:rPr>
        <w:t> </w:t>
      </w:r>
      <w:r>
        <w:rPr>
          <w:sz w:val="20"/>
        </w:rPr>
        <w:t>las</w:t>
      </w:r>
      <w:r>
        <w:rPr>
          <w:spacing w:val="-1"/>
          <w:sz w:val="20"/>
        </w:rPr>
        <w:t> </w:t>
      </w:r>
      <w:r>
        <w:rPr>
          <w:sz w:val="20"/>
        </w:rPr>
        <w:t>viviendas</w:t>
      </w:r>
      <w:r>
        <w:rPr>
          <w:spacing w:val="-1"/>
          <w:sz w:val="20"/>
        </w:rPr>
        <w:t> </w:t>
      </w:r>
      <w:r>
        <w:rPr>
          <w:sz w:val="20"/>
        </w:rPr>
        <w:t>considerará el</w:t>
      </w:r>
      <w:r>
        <w:rPr>
          <w:spacing w:val="-3"/>
          <w:sz w:val="20"/>
        </w:rPr>
        <w:t> </w:t>
      </w:r>
      <w:r>
        <w:rPr>
          <w:sz w:val="20"/>
        </w:rPr>
        <w:t>uso de iluminación</w:t>
      </w:r>
      <w:r>
        <w:rPr>
          <w:spacing w:val="-3"/>
          <w:sz w:val="20"/>
        </w:rPr>
        <w:t> </w:t>
      </w:r>
      <w:r>
        <w:rPr>
          <w:sz w:val="20"/>
        </w:rPr>
        <w:t>y</w:t>
      </w:r>
      <w:r>
        <w:rPr>
          <w:spacing w:val="-1"/>
          <w:sz w:val="20"/>
        </w:rPr>
        <w:t> </w:t>
      </w:r>
      <w:r>
        <w:rPr>
          <w:sz w:val="20"/>
        </w:rPr>
        <w:t>ventilación natural,</w:t>
      </w:r>
      <w:r>
        <w:rPr>
          <w:spacing w:val="-2"/>
          <w:sz w:val="20"/>
        </w:rPr>
        <w:t> </w:t>
      </w:r>
      <w:r>
        <w:rPr>
          <w:sz w:val="20"/>
        </w:rPr>
        <w:t>y</w:t>
      </w:r>
      <w:r>
        <w:rPr>
          <w:spacing w:val="-1"/>
          <w:sz w:val="20"/>
        </w:rPr>
        <w:t> </w:t>
      </w:r>
      <w:r>
        <w:rPr>
          <w:sz w:val="20"/>
        </w:rPr>
        <w:t>de forma preferente en los usos de suelo complementarios;</w:t>
      </w:r>
    </w:p>
    <w:p>
      <w:pPr>
        <w:pStyle w:val="ListParagraph"/>
        <w:numPr>
          <w:ilvl w:val="0"/>
          <w:numId w:val="116"/>
        </w:numPr>
        <w:tabs>
          <w:tab w:pos="827" w:val="left" w:leader="none"/>
        </w:tabs>
        <w:spacing w:line="240" w:lineRule="auto" w:before="229" w:after="0"/>
        <w:ind w:left="262" w:right="287" w:firstLine="0"/>
        <w:jc w:val="both"/>
        <w:rPr>
          <w:sz w:val="20"/>
        </w:rPr>
      </w:pPr>
      <w:r>
        <w:rPr>
          <w:sz w:val="20"/>
        </w:rPr>
        <w:t>La distribución y orientación de las edificaciones contribuirá al uso eficiente de los recursos </w:t>
      </w:r>
      <w:r>
        <w:rPr>
          <w:spacing w:val="-2"/>
          <w:sz w:val="20"/>
        </w:rPr>
        <w:t>energéticos;</w:t>
      </w:r>
    </w:p>
    <w:p>
      <w:pPr>
        <w:pStyle w:val="BodyText"/>
        <w:spacing w:before="1"/>
      </w:pPr>
    </w:p>
    <w:p>
      <w:pPr>
        <w:pStyle w:val="ListParagraph"/>
        <w:numPr>
          <w:ilvl w:val="0"/>
          <w:numId w:val="116"/>
        </w:numPr>
        <w:tabs>
          <w:tab w:pos="827" w:val="left" w:leader="none"/>
        </w:tabs>
        <w:spacing w:line="240" w:lineRule="auto" w:before="0" w:after="0"/>
        <w:ind w:left="262" w:right="284" w:firstLine="0"/>
        <w:jc w:val="both"/>
        <w:rPr>
          <w:sz w:val="20"/>
        </w:rPr>
      </w:pPr>
      <w:r>
        <w:rPr>
          <w:sz w:val="20"/>
        </w:rPr>
        <w:t>Se</w:t>
      </w:r>
      <w:r>
        <w:rPr>
          <w:spacing w:val="-11"/>
          <w:sz w:val="20"/>
        </w:rPr>
        <w:t> </w:t>
      </w:r>
      <w:r>
        <w:rPr>
          <w:sz w:val="20"/>
        </w:rPr>
        <w:t>considerarán</w:t>
      </w:r>
      <w:r>
        <w:rPr>
          <w:spacing w:val="-9"/>
          <w:sz w:val="20"/>
        </w:rPr>
        <w:t> </w:t>
      </w:r>
      <w:r>
        <w:rPr>
          <w:sz w:val="20"/>
        </w:rPr>
        <w:t>acciones</w:t>
      </w:r>
      <w:r>
        <w:rPr>
          <w:spacing w:val="-10"/>
          <w:sz w:val="20"/>
        </w:rPr>
        <w:t> </w:t>
      </w:r>
      <w:r>
        <w:rPr>
          <w:sz w:val="20"/>
        </w:rPr>
        <w:t>que</w:t>
      </w:r>
      <w:r>
        <w:rPr>
          <w:spacing w:val="-12"/>
          <w:sz w:val="20"/>
        </w:rPr>
        <w:t> </w:t>
      </w:r>
      <w:r>
        <w:rPr>
          <w:sz w:val="20"/>
        </w:rPr>
        <w:t>faciliten</w:t>
      </w:r>
      <w:r>
        <w:rPr>
          <w:spacing w:val="-11"/>
          <w:sz w:val="20"/>
        </w:rPr>
        <w:t> </w:t>
      </w:r>
      <w:r>
        <w:rPr>
          <w:sz w:val="20"/>
        </w:rPr>
        <w:t>la</w:t>
      </w:r>
      <w:r>
        <w:rPr>
          <w:spacing w:val="-11"/>
          <w:sz w:val="20"/>
        </w:rPr>
        <w:t> </w:t>
      </w:r>
      <w:r>
        <w:rPr>
          <w:sz w:val="20"/>
        </w:rPr>
        <w:t>movilidad</w:t>
      </w:r>
      <w:r>
        <w:rPr>
          <w:spacing w:val="-12"/>
          <w:sz w:val="20"/>
        </w:rPr>
        <w:t> </w:t>
      </w:r>
      <w:r>
        <w:rPr>
          <w:sz w:val="20"/>
        </w:rPr>
        <w:t>y</w:t>
      </w:r>
      <w:r>
        <w:rPr>
          <w:spacing w:val="-8"/>
          <w:sz w:val="20"/>
        </w:rPr>
        <w:t> </w:t>
      </w:r>
      <w:r>
        <w:rPr>
          <w:sz w:val="20"/>
        </w:rPr>
        <w:t>los</w:t>
      </w:r>
      <w:r>
        <w:rPr>
          <w:spacing w:val="-10"/>
          <w:sz w:val="20"/>
        </w:rPr>
        <w:t> </w:t>
      </w:r>
      <w:r>
        <w:rPr>
          <w:sz w:val="20"/>
        </w:rPr>
        <w:t>mecanismos</w:t>
      </w:r>
      <w:r>
        <w:rPr>
          <w:spacing w:val="-10"/>
          <w:sz w:val="20"/>
        </w:rPr>
        <w:t> </w:t>
      </w:r>
      <w:r>
        <w:rPr>
          <w:sz w:val="20"/>
        </w:rPr>
        <w:t>que</w:t>
      </w:r>
      <w:r>
        <w:rPr>
          <w:spacing w:val="-9"/>
          <w:sz w:val="20"/>
        </w:rPr>
        <w:t> </w:t>
      </w:r>
      <w:r>
        <w:rPr>
          <w:sz w:val="20"/>
        </w:rPr>
        <w:t>propicien</w:t>
      </w:r>
      <w:r>
        <w:rPr>
          <w:spacing w:val="-11"/>
          <w:sz w:val="20"/>
        </w:rPr>
        <w:t> </w:t>
      </w:r>
      <w:r>
        <w:rPr>
          <w:sz w:val="20"/>
        </w:rPr>
        <w:t>el</w:t>
      </w:r>
      <w:r>
        <w:rPr>
          <w:spacing w:val="-10"/>
          <w:sz w:val="20"/>
        </w:rPr>
        <w:t> </w:t>
      </w:r>
      <w:r>
        <w:rPr>
          <w:sz w:val="20"/>
        </w:rPr>
        <w:t>uso</w:t>
      </w:r>
      <w:r>
        <w:rPr>
          <w:spacing w:val="-9"/>
          <w:sz w:val="20"/>
        </w:rPr>
        <w:t> </w:t>
      </w:r>
      <w:r>
        <w:rPr>
          <w:sz w:val="20"/>
        </w:rPr>
        <w:t>del transporte público;</w:t>
      </w:r>
    </w:p>
    <w:p>
      <w:pPr>
        <w:pStyle w:val="ListParagraph"/>
        <w:numPr>
          <w:ilvl w:val="0"/>
          <w:numId w:val="116"/>
        </w:numPr>
        <w:tabs>
          <w:tab w:pos="828" w:val="left" w:leader="none"/>
        </w:tabs>
        <w:spacing w:line="240" w:lineRule="auto" w:before="229" w:after="0"/>
        <w:ind w:left="262" w:right="285" w:firstLine="0"/>
        <w:jc w:val="both"/>
        <w:rPr>
          <w:sz w:val="20"/>
        </w:rPr>
      </w:pPr>
      <w:r>
        <w:rPr>
          <w:sz w:val="20"/>
        </w:rPr>
        <w:t>Se</w:t>
      </w:r>
      <w:r>
        <w:rPr>
          <w:spacing w:val="-9"/>
          <w:sz w:val="20"/>
        </w:rPr>
        <w:t> </w:t>
      </w:r>
      <w:r>
        <w:rPr>
          <w:sz w:val="20"/>
        </w:rPr>
        <w:t>integrará</w:t>
      </w:r>
      <w:r>
        <w:rPr>
          <w:spacing w:val="-8"/>
          <w:sz w:val="20"/>
        </w:rPr>
        <w:t> </w:t>
      </w:r>
      <w:r>
        <w:rPr>
          <w:sz w:val="20"/>
        </w:rPr>
        <w:t>el</w:t>
      </w:r>
      <w:r>
        <w:rPr>
          <w:spacing w:val="-10"/>
          <w:sz w:val="20"/>
        </w:rPr>
        <w:t> </w:t>
      </w:r>
      <w:r>
        <w:rPr>
          <w:sz w:val="20"/>
        </w:rPr>
        <w:t>uso</w:t>
      </w:r>
      <w:r>
        <w:rPr>
          <w:spacing w:val="-9"/>
          <w:sz w:val="20"/>
        </w:rPr>
        <w:t> </w:t>
      </w:r>
      <w:r>
        <w:rPr>
          <w:sz w:val="20"/>
        </w:rPr>
        <w:t>de</w:t>
      </w:r>
      <w:r>
        <w:rPr>
          <w:spacing w:val="-9"/>
          <w:sz w:val="20"/>
        </w:rPr>
        <w:t> </w:t>
      </w:r>
      <w:r>
        <w:rPr>
          <w:sz w:val="20"/>
        </w:rPr>
        <w:t>tecnologías</w:t>
      </w:r>
      <w:r>
        <w:rPr>
          <w:spacing w:val="-8"/>
          <w:sz w:val="20"/>
        </w:rPr>
        <w:t> </w:t>
      </w:r>
      <w:r>
        <w:rPr>
          <w:sz w:val="20"/>
        </w:rPr>
        <w:t>de</w:t>
      </w:r>
      <w:r>
        <w:rPr>
          <w:spacing w:val="-9"/>
          <w:sz w:val="20"/>
        </w:rPr>
        <w:t> </w:t>
      </w:r>
      <w:r>
        <w:rPr>
          <w:sz w:val="20"/>
        </w:rPr>
        <w:t>bajo</w:t>
      </w:r>
      <w:r>
        <w:rPr>
          <w:spacing w:val="-9"/>
          <w:sz w:val="20"/>
        </w:rPr>
        <w:t> </w:t>
      </w:r>
      <w:r>
        <w:rPr>
          <w:sz w:val="20"/>
        </w:rPr>
        <w:t>consumo</w:t>
      </w:r>
      <w:r>
        <w:rPr>
          <w:spacing w:val="-7"/>
          <w:sz w:val="20"/>
        </w:rPr>
        <w:t> </w:t>
      </w:r>
      <w:r>
        <w:rPr>
          <w:sz w:val="20"/>
        </w:rPr>
        <w:t>de</w:t>
      </w:r>
      <w:r>
        <w:rPr>
          <w:spacing w:val="-9"/>
          <w:sz w:val="20"/>
        </w:rPr>
        <w:t> </w:t>
      </w:r>
      <w:r>
        <w:rPr>
          <w:sz w:val="20"/>
        </w:rPr>
        <w:t>energéticos</w:t>
      </w:r>
      <w:r>
        <w:rPr>
          <w:spacing w:val="-8"/>
          <w:sz w:val="20"/>
        </w:rPr>
        <w:t> </w:t>
      </w:r>
      <w:r>
        <w:rPr>
          <w:sz w:val="20"/>
        </w:rPr>
        <w:t>y</w:t>
      </w:r>
      <w:r>
        <w:rPr>
          <w:spacing w:val="-8"/>
          <w:sz w:val="20"/>
        </w:rPr>
        <w:t> </w:t>
      </w:r>
      <w:r>
        <w:rPr>
          <w:sz w:val="20"/>
        </w:rPr>
        <w:t>de</w:t>
      </w:r>
      <w:r>
        <w:rPr>
          <w:spacing w:val="-9"/>
          <w:sz w:val="20"/>
        </w:rPr>
        <w:t> </w:t>
      </w:r>
      <w:r>
        <w:rPr>
          <w:sz w:val="20"/>
        </w:rPr>
        <w:t>agua,</w:t>
      </w:r>
      <w:r>
        <w:rPr>
          <w:spacing w:val="-9"/>
          <w:sz w:val="20"/>
        </w:rPr>
        <w:t> </w:t>
      </w:r>
      <w:r>
        <w:rPr>
          <w:sz w:val="20"/>
        </w:rPr>
        <w:t>a</w:t>
      </w:r>
      <w:r>
        <w:rPr>
          <w:spacing w:val="-9"/>
          <w:sz w:val="20"/>
        </w:rPr>
        <w:t> </w:t>
      </w:r>
      <w:r>
        <w:rPr>
          <w:sz w:val="20"/>
        </w:rPr>
        <w:t>fin</w:t>
      </w:r>
      <w:r>
        <w:rPr>
          <w:spacing w:val="-9"/>
          <w:sz w:val="20"/>
        </w:rPr>
        <w:t> </w:t>
      </w:r>
      <w:r>
        <w:rPr>
          <w:sz w:val="20"/>
        </w:rPr>
        <w:t>de</w:t>
      </w:r>
      <w:r>
        <w:rPr>
          <w:spacing w:val="-9"/>
          <w:sz w:val="20"/>
        </w:rPr>
        <w:t> </w:t>
      </w:r>
      <w:r>
        <w:rPr>
          <w:sz w:val="20"/>
        </w:rPr>
        <w:t>reducir el impacto del desarrollo habitacional en los sistemas de infraestructura del centro de población;</w:t>
      </w:r>
    </w:p>
    <w:p>
      <w:pPr>
        <w:pStyle w:val="BodyText"/>
        <w:spacing w:before="1"/>
      </w:pPr>
    </w:p>
    <w:p>
      <w:pPr>
        <w:pStyle w:val="ListParagraph"/>
        <w:numPr>
          <w:ilvl w:val="0"/>
          <w:numId w:val="116"/>
        </w:numPr>
        <w:tabs>
          <w:tab w:pos="827" w:val="left" w:leader="none"/>
        </w:tabs>
        <w:spacing w:line="240" w:lineRule="auto" w:before="1" w:after="0"/>
        <w:ind w:left="262" w:right="283" w:firstLine="0"/>
        <w:jc w:val="both"/>
        <w:rPr>
          <w:sz w:val="20"/>
        </w:rPr>
      </w:pPr>
      <w:r>
        <w:rPr>
          <w:sz w:val="20"/>
        </w:rPr>
        <w:t>Integrarán</w:t>
      </w:r>
      <w:r>
        <w:rPr>
          <w:spacing w:val="-12"/>
          <w:sz w:val="20"/>
        </w:rPr>
        <w:t> </w:t>
      </w:r>
      <w:r>
        <w:rPr>
          <w:sz w:val="20"/>
        </w:rPr>
        <w:t>elementos</w:t>
      </w:r>
      <w:r>
        <w:rPr>
          <w:spacing w:val="-12"/>
          <w:sz w:val="20"/>
        </w:rPr>
        <w:t> </w:t>
      </w:r>
      <w:r>
        <w:rPr>
          <w:sz w:val="20"/>
        </w:rPr>
        <w:t>de</w:t>
      </w:r>
      <w:r>
        <w:rPr>
          <w:spacing w:val="-11"/>
          <w:sz w:val="20"/>
        </w:rPr>
        <w:t> </w:t>
      </w:r>
      <w:r>
        <w:rPr>
          <w:sz w:val="20"/>
        </w:rPr>
        <w:t>vegetación</w:t>
      </w:r>
      <w:r>
        <w:rPr>
          <w:spacing w:val="-10"/>
          <w:sz w:val="20"/>
        </w:rPr>
        <w:t> </w:t>
      </w:r>
      <w:r>
        <w:rPr>
          <w:sz w:val="20"/>
        </w:rPr>
        <w:t>en</w:t>
      </w:r>
      <w:r>
        <w:rPr>
          <w:spacing w:val="-12"/>
          <w:sz w:val="20"/>
        </w:rPr>
        <w:t> </w:t>
      </w:r>
      <w:r>
        <w:rPr>
          <w:sz w:val="20"/>
        </w:rPr>
        <w:t>su</w:t>
      </w:r>
      <w:r>
        <w:rPr>
          <w:spacing w:val="-10"/>
          <w:sz w:val="20"/>
        </w:rPr>
        <w:t> </w:t>
      </w:r>
      <w:r>
        <w:rPr>
          <w:sz w:val="20"/>
        </w:rPr>
        <w:t>diseño,</w:t>
      </w:r>
      <w:r>
        <w:rPr>
          <w:spacing w:val="-12"/>
          <w:sz w:val="20"/>
        </w:rPr>
        <w:t> </w:t>
      </w:r>
      <w:r>
        <w:rPr>
          <w:sz w:val="20"/>
        </w:rPr>
        <w:t>además</w:t>
      </w:r>
      <w:r>
        <w:rPr>
          <w:spacing w:val="-11"/>
          <w:sz w:val="20"/>
        </w:rPr>
        <w:t> </w:t>
      </w:r>
      <w:r>
        <w:rPr>
          <w:sz w:val="20"/>
        </w:rPr>
        <w:t>de</w:t>
      </w:r>
      <w:r>
        <w:rPr>
          <w:spacing w:val="-10"/>
          <w:sz w:val="20"/>
        </w:rPr>
        <w:t> </w:t>
      </w:r>
      <w:r>
        <w:rPr>
          <w:sz w:val="20"/>
        </w:rPr>
        <w:t>adecuarse</w:t>
      </w:r>
      <w:r>
        <w:rPr>
          <w:spacing w:val="-12"/>
          <w:sz w:val="20"/>
        </w:rPr>
        <w:t> </w:t>
      </w:r>
      <w:r>
        <w:rPr>
          <w:sz w:val="20"/>
        </w:rPr>
        <w:t>al</w:t>
      </w:r>
      <w:r>
        <w:rPr>
          <w:spacing w:val="-12"/>
          <w:sz w:val="20"/>
        </w:rPr>
        <w:t> </w:t>
      </w:r>
      <w:r>
        <w:rPr>
          <w:sz w:val="20"/>
        </w:rPr>
        <w:t>entorno</w:t>
      </w:r>
      <w:r>
        <w:rPr>
          <w:spacing w:val="-12"/>
          <w:sz w:val="20"/>
        </w:rPr>
        <w:t> </w:t>
      </w:r>
      <w:r>
        <w:rPr>
          <w:sz w:val="20"/>
        </w:rPr>
        <w:t>ambiental del territorio del cual forma parte como escurrimientos pluviales, pendientes topográficas y vegetación preexistente entre otras;</w:t>
      </w:r>
    </w:p>
    <w:p>
      <w:pPr>
        <w:pStyle w:val="ListParagraph"/>
        <w:numPr>
          <w:ilvl w:val="0"/>
          <w:numId w:val="116"/>
        </w:numPr>
        <w:tabs>
          <w:tab w:pos="827" w:val="left" w:leader="none"/>
        </w:tabs>
        <w:spacing w:line="240" w:lineRule="auto" w:before="229" w:after="0"/>
        <w:ind w:left="827" w:right="0" w:hanging="565"/>
        <w:jc w:val="both"/>
        <w:rPr>
          <w:sz w:val="20"/>
        </w:rPr>
      </w:pPr>
      <w:r>
        <w:rPr>
          <w:sz w:val="20"/>
        </w:rPr>
        <w:t>Se</w:t>
      </w:r>
      <w:r>
        <w:rPr>
          <w:spacing w:val="-8"/>
          <w:sz w:val="20"/>
        </w:rPr>
        <w:t> </w:t>
      </w:r>
      <w:r>
        <w:rPr>
          <w:sz w:val="20"/>
        </w:rPr>
        <w:t>construirán</w:t>
      </w:r>
      <w:r>
        <w:rPr>
          <w:spacing w:val="-6"/>
          <w:sz w:val="20"/>
        </w:rPr>
        <w:t> </w:t>
      </w:r>
      <w:r>
        <w:rPr>
          <w:sz w:val="20"/>
        </w:rPr>
        <w:t>únicamente</w:t>
      </w:r>
      <w:r>
        <w:rPr>
          <w:spacing w:val="-4"/>
          <w:sz w:val="20"/>
        </w:rPr>
        <w:t> </w:t>
      </w:r>
      <w:r>
        <w:rPr>
          <w:sz w:val="20"/>
        </w:rPr>
        <w:t>en</w:t>
      </w:r>
      <w:r>
        <w:rPr>
          <w:spacing w:val="-8"/>
          <w:sz w:val="20"/>
        </w:rPr>
        <w:t> </w:t>
      </w:r>
      <w:r>
        <w:rPr>
          <w:sz w:val="20"/>
        </w:rPr>
        <w:t>terrenos</w:t>
      </w:r>
      <w:r>
        <w:rPr>
          <w:spacing w:val="-7"/>
          <w:sz w:val="20"/>
        </w:rPr>
        <w:t> </w:t>
      </w:r>
      <w:r>
        <w:rPr>
          <w:sz w:val="20"/>
        </w:rPr>
        <w:t>con</w:t>
      </w:r>
      <w:r>
        <w:rPr>
          <w:spacing w:val="-7"/>
          <w:sz w:val="20"/>
        </w:rPr>
        <w:t> </w:t>
      </w:r>
      <w:r>
        <w:rPr>
          <w:sz w:val="20"/>
        </w:rPr>
        <w:t>pendientes</w:t>
      </w:r>
      <w:r>
        <w:rPr>
          <w:spacing w:val="-4"/>
          <w:sz w:val="20"/>
        </w:rPr>
        <w:t> </w:t>
      </w:r>
      <w:r>
        <w:rPr>
          <w:sz w:val="20"/>
        </w:rPr>
        <w:t>de</w:t>
      </w:r>
      <w:r>
        <w:rPr>
          <w:spacing w:val="-9"/>
          <w:sz w:val="20"/>
        </w:rPr>
        <w:t> </w:t>
      </w:r>
      <w:r>
        <w:rPr>
          <w:sz w:val="20"/>
        </w:rPr>
        <w:t>quince</w:t>
      </w:r>
      <w:r>
        <w:rPr>
          <w:spacing w:val="-7"/>
          <w:sz w:val="20"/>
        </w:rPr>
        <w:t> </w:t>
      </w:r>
      <w:r>
        <w:rPr>
          <w:sz w:val="20"/>
        </w:rPr>
        <w:t>por</w:t>
      </w:r>
      <w:r>
        <w:rPr>
          <w:spacing w:val="-8"/>
          <w:sz w:val="20"/>
        </w:rPr>
        <w:t> </w:t>
      </w:r>
      <w:r>
        <w:rPr>
          <w:sz w:val="20"/>
        </w:rPr>
        <w:t>ciento</w:t>
      </w:r>
      <w:r>
        <w:rPr>
          <w:spacing w:val="-8"/>
          <w:sz w:val="20"/>
        </w:rPr>
        <w:t> </w:t>
      </w:r>
      <w:r>
        <w:rPr>
          <w:sz w:val="20"/>
        </w:rPr>
        <w:t>o</w:t>
      </w:r>
      <w:r>
        <w:rPr>
          <w:spacing w:val="-6"/>
          <w:sz w:val="20"/>
        </w:rPr>
        <w:t> </w:t>
      </w:r>
      <w:r>
        <w:rPr>
          <w:spacing w:val="-2"/>
          <w:sz w:val="20"/>
        </w:rPr>
        <w:t>menos;</w:t>
      </w:r>
    </w:p>
    <w:p>
      <w:pPr>
        <w:pStyle w:val="BodyText"/>
        <w:spacing w:before="1"/>
      </w:pPr>
    </w:p>
    <w:p>
      <w:pPr>
        <w:pStyle w:val="ListParagraph"/>
        <w:numPr>
          <w:ilvl w:val="0"/>
          <w:numId w:val="116"/>
        </w:numPr>
        <w:tabs>
          <w:tab w:pos="881" w:val="left" w:leader="none"/>
        </w:tabs>
        <w:spacing w:line="240" w:lineRule="auto" w:before="0" w:after="0"/>
        <w:ind w:left="881" w:right="0" w:hanging="619"/>
        <w:jc w:val="both"/>
        <w:rPr>
          <w:sz w:val="20"/>
        </w:rPr>
      </w:pPr>
      <w:r>
        <w:rPr>
          <w:sz w:val="20"/>
        </w:rPr>
        <w:t>En</w:t>
      </w:r>
      <w:r>
        <w:rPr>
          <w:spacing w:val="-3"/>
          <w:sz w:val="20"/>
        </w:rPr>
        <w:t> </w:t>
      </w:r>
      <w:r>
        <w:rPr>
          <w:sz w:val="20"/>
        </w:rPr>
        <w:t>lo</w:t>
      </w:r>
      <w:r>
        <w:rPr>
          <w:spacing w:val="-5"/>
          <w:sz w:val="20"/>
        </w:rPr>
        <w:t> </w:t>
      </w:r>
      <w:r>
        <w:rPr>
          <w:sz w:val="20"/>
        </w:rPr>
        <w:t>relativo</w:t>
      </w:r>
      <w:r>
        <w:rPr>
          <w:spacing w:val="-5"/>
          <w:sz w:val="20"/>
        </w:rPr>
        <w:t> </w:t>
      </w:r>
      <w:r>
        <w:rPr>
          <w:sz w:val="20"/>
        </w:rPr>
        <w:t>a</w:t>
      </w:r>
      <w:r>
        <w:rPr>
          <w:spacing w:val="-3"/>
          <w:sz w:val="20"/>
        </w:rPr>
        <w:t> </w:t>
      </w:r>
      <w:r>
        <w:rPr>
          <w:spacing w:val="-2"/>
          <w:sz w:val="20"/>
        </w:rPr>
        <w:t>infraestructura:</w:t>
      </w:r>
    </w:p>
    <w:p>
      <w:pPr>
        <w:pStyle w:val="ListParagraph"/>
        <w:numPr>
          <w:ilvl w:val="1"/>
          <w:numId w:val="116"/>
        </w:numPr>
        <w:tabs>
          <w:tab w:pos="544" w:val="left" w:leader="none"/>
        </w:tabs>
        <w:spacing w:line="240" w:lineRule="auto" w:before="228" w:after="0"/>
        <w:ind w:left="262" w:right="288" w:firstLine="0"/>
        <w:jc w:val="both"/>
        <w:rPr>
          <w:sz w:val="20"/>
        </w:rPr>
      </w:pPr>
      <w:r>
        <w:rPr>
          <w:sz w:val="20"/>
        </w:rPr>
        <w:t>El</w:t>
      </w:r>
      <w:r>
        <w:rPr>
          <w:spacing w:val="-2"/>
          <w:sz w:val="20"/>
        </w:rPr>
        <w:t> </w:t>
      </w:r>
      <w:r>
        <w:rPr>
          <w:sz w:val="20"/>
        </w:rPr>
        <w:t>sistema</w:t>
      </w:r>
      <w:r>
        <w:rPr>
          <w:spacing w:val="-2"/>
          <w:sz w:val="20"/>
        </w:rPr>
        <w:t> </w:t>
      </w:r>
      <w:r>
        <w:rPr>
          <w:sz w:val="20"/>
        </w:rPr>
        <w:t>de</w:t>
      </w:r>
      <w:r>
        <w:rPr>
          <w:spacing w:val="-2"/>
          <w:sz w:val="20"/>
        </w:rPr>
        <w:t> </w:t>
      </w:r>
      <w:r>
        <w:rPr>
          <w:sz w:val="20"/>
        </w:rPr>
        <w:t>alcantarillado,</w:t>
      </w:r>
      <w:r>
        <w:rPr>
          <w:spacing w:val="-1"/>
          <w:sz w:val="20"/>
        </w:rPr>
        <w:t> </w:t>
      </w:r>
      <w:r>
        <w:rPr>
          <w:sz w:val="20"/>
        </w:rPr>
        <w:t>preferentemente,</w:t>
      </w:r>
      <w:r>
        <w:rPr>
          <w:spacing w:val="-1"/>
          <w:sz w:val="20"/>
        </w:rPr>
        <w:t> </w:t>
      </w:r>
      <w:r>
        <w:rPr>
          <w:sz w:val="20"/>
        </w:rPr>
        <w:t>deberá</w:t>
      </w:r>
      <w:r>
        <w:rPr>
          <w:spacing w:val="-1"/>
          <w:sz w:val="20"/>
        </w:rPr>
        <w:t> </w:t>
      </w:r>
      <w:r>
        <w:rPr>
          <w:sz w:val="20"/>
        </w:rPr>
        <w:t>separar</w:t>
      </w:r>
      <w:r>
        <w:rPr>
          <w:spacing w:val="-1"/>
          <w:sz w:val="20"/>
        </w:rPr>
        <w:t> </w:t>
      </w:r>
      <w:r>
        <w:rPr>
          <w:sz w:val="20"/>
        </w:rPr>
        <w:t>totalmente las</w:t>
      </w:r>
      <w:r>
        <w:rPr>
          <w:spacing w:val="-1"/>
          <w:sz w:val="20"/>
        </w:rPr>
        <w:t> </w:t>
      </w:r>
      <w:r>
        <w:rPr>
          <w:sz w:val="20"/>
        </w:rPr>
        <w:t>aguas</w:t>
      </w:r>
      <w:r>
        <w:rPr>
          <w:spacing w:val="-1"/>
          <w:sz w:val="20"/>
        </w:rPr>
        <w:t> </w:t>
      </w:r>
      <w:r>
        <w:rPr>
          <w:sz w:val="20"/>
        </w:rPr>
        <w:t>pluviales</w:t>
      </w:r>
      <w:r>
        <w:rPr>
          <w:spacing w:val="-1"/>
          <w:sz w:val="20"/>
        </w:rPr>
        <w:t> </w:t>
      </w:r>
      <w:r>
        <w:rPr>
          <w:sz w:val="20"/>
        </w:rPr>
        <w:t>de las jabonosas y negras.</w:t>
      </w:r>
    </w:p>
    <w:p>
      <w:pPr>
        <w:pStyle w:val="BodyText"/>
        <w:spacing w:before="1"/>
      </w:pPr>
    </w:p>
    <w:p>
      <w:pPr>
        <w:pStyle w:val="ListParagraph"/>
        <w:numPr>
          <w:ilvl w:val="1"/>
          <w:numId w:val="116"/>
        </w:numPr>
        <w:tabs>
          <w:tab w:pos="544" w:val="left" w:leader="none"/>
        </w:tabs>
        <w:spacing w:line="240" w:lineRule="auto" w:before="0" w:after="0"/>
        <w:ind w:left="262" w:right="288" w:firstLine="0"/>
        <w:jc w:val="both"/>
        <w:rPr>
          <w:sz w:val="20"/>
        </w:rPr>
      </w:pPr>
      <w:r>
        <w:rPr>
          <w:sz w:val="20"/>
        </w:rPr>
        <w:t>Se</w:t>
      </w:r>
      <w:r>
        <w:rPr>
          <w:spacing w:val="-2"/>
          <w:sz w:val="20"/>
        </w:rPr>
        <w:t> </w:t>
      </w:r>
      <w:r>
        <w:rPr>
          <w:sz w:val="20"/>
        </w:rPr>
        <w:t>deberá</w:t>
      </w:r>
      <w:r>
        <w:rPr>
          <w:spacing w:val="-2"/>
          <w:sz w:val="20"/>
        </w:rPr>
        <w:t> </w:t>
      </w:r>
      <w:r>
        <w:rPr>
          <w:sz w:val="20"/>
        </w:rPr>
        <w:t>contar</w:t>
      </w:r>
      <w:r>
        <w:rPr>
          <w:spacing w:val="-1"/>
          <w:sz w:val="20"/>
        </w:rPr>
        <w:t> </w:t>
      </w:r>
      <w:r>
        <w:rPr>
          <w:sz w:val="20"/>
        </w:rPr>
        <w:t>con la</w:t>
      </w:r>
      <w:r>
        <w:rPr>
          <w:spacing w:val="-2"/>
          <w:sz w:val="20"/>
        </w:rPr>
        <w:t> </w:t>
      </w:r>
      <w:r>
        <w:rPr>
          <w:sz w:val="20"/>
        </w:rPr>
        <w:t>factibilidad de</w:t>
      </w:r>
      <w:r>
        <w:rPr>
          <w:spacing w:val="-3"/>
          <w:sz w:val="20"/>
        </w:rPr>
        <w:t> </w:t>
      </w:r>
      <w:r>
        <w:rPr>
          <w:sz w:val="20"/>
        </w:rPr>
        <w:t>capacidad de carga</w:t>
      </w:r>
      <w:r>
        <w:rPr>
          <w:spacing w:val="-2"/>
          <w:sz w:val="20"/>
        </w:rPr>
        <w:t> </w:t>
      </w:r>
      <w:r>
        <w:rPr>
          <w:sz w:val="20"/>
        </w:rPr>
        <w:t>de agua potable</w:t>
      </w:r>
      <w:r>
        <w:rPr>
          <w:spacing w:val="-2"/>
          <w:sz w:val="20"/>
        </w:rPr>
        <w:t> </w:t>
      </w:r>
      <w:r>
        <w:rPr>
          <w:sz w:val="20"/>
        </w:rPr>
        <w:t>al</w:t>
      </w:r>
      <w:r>
        <w:rPr>
          <w:spacing w:val="-3"/>
          <w:sz w:val="20"/>
        </w:rPr>
        <w:t> </w:t>
      </w:r>
      <w:r>
        <w:rPr>
          <w:sz w:val="20"/>
        </w:rPr>
        <w:t>que</w:t>
      </w:r>
      <w:r>
        <w:rPr>
          <w:spacing w:val="-3"/>
          <w:sz w:val="20"/>
        </w:rPr>
        <w:t> </w:t>
      </w:r>
      <w:r>
        <w:rPr>
          <w:sz w:val="20"/>
        </w:rPr>
        <w:t>se</w:t>
      </w:r>
      <w:r>
        <w:rPr>
          <w:spacing w:val="-2"/>
          <w:sz w:val="20"/>
        </w:rPr>
        <w:t> </w:t>
      </w:r>
      <w:r>
        <w:rPr>
          <w:sz w:val="20"/>
        </w:rPr>
        <w:t>conectará el desarrollo habitacional, expedida por las autoridades correspondientes.</w:t>
      </w:r>
    </w:p>
    <w:p>
      <w:pPr>
        <w:pStyle w:val="BodyText"/>
      </w:pPr>
    </w:p>
    <w:p>
      <w:pPr>
        <w:pStyle w:val="ListParagraph"/>
        <w:numPr>
          <w:ilvl w:val="1"/>
          <w:numId w:val="116"/>
        </w:numPr>
        <w:tabs>
          <w:tab w:pos="544" w:val="left" w:leader="none"/>
        </w:tabs>
        <w:spacing w:line="240" w:lineRule="auto" w:before="0" w:after="0"/>
        <w:ind w:left="262" w:right="286" w:firstLine="0"/>
        <w:jc w:val="both"/>
        <w:rPr>
          <w:sz w:val="20"/>
        </w:rPr>
      </w:pPr>
      <w:r>
        <w:rPr>
          <w:sz w:val="20"/>
        </w:rPr>
        <w:t>Se deberán llevar a cabo las acciones necesarias para mitigar el impacto del desarrollo habitacional y densidad demográfica sobre los sistemas de infraestructura y equipamiento urbano, a fin de garantizar el adecuado funcionamiento.</w:t>
      </w:r>
    </w:p>
    <w:p>
      <w:pPr>
        <w:pStyle w:val="ListParagraph"/>
        <w:numPr>
          <w:ilvl w:val="1"/>
          <w:numId w:val="116"/>
        </w:numPr>
        <w:tabs>
          <w:tab w:pos="544" w:val="left" w:leader="none"/>
        </w:tabs>
        <w:spacing w:line="240" w:lineRule="auto" w:before="229" w:after="0"/>
        <w:ind w:left="262" w:right="290" w:firstLine="0"/>
        <w:jc w:val="both"/>
        <w:rPr>
          <w:sz w:val="20"/>
        </w:rPr>
      </w:pPr>
      <w:r>
        <w:rPr>
          <w:sz w:val="20"/>
        </w:rPr>
        <w:t>En los casos en que sea posible se construirá con los requerimientos necesarios para que los techos puedan utilizarse como azoteas verdes;</w:t>
      </w:r>
    </w:p>
    <w:p>
      <w:pPr>
        <w:pStyle w:val="BodyText"/>
        <w:spacing w:before="1"/>
      </w:pPr>
    </w:p>
    <w:p>
      <w:pPr>
        <w:pStyle w:val="ListParagraph"/>
        <w:numPr>
          <w:ilvl w:val="0"/>
          <w:numId w:val="116"/>
        </w:numPr>
        <w:tabs>
          <w:tab w:pos="968" w:val="left" w:leader="none"/>
        </w:tabs>
        <w:spacing w:line="240" w:lineRule="auto" w:before="0" w:after="0"/>
        <w:ind w:left="262" w:right="287" w:firstLine="0"/>
        <w:jc w:val="both"/>
        <w:rPr>
          <w:sz w:val="20"/>
        </w:rPr>
      </w:pPr>
      <w:r>
        <w:rPr>
          <w:sz w:val="20"/>
        </w:rPr>
        <w:t>En</w:t>
      </w:r>
      <w:r>
        <w:rPr>
          <w:spacing w:val="-9"/>
          <w:sz w:val="20"/>
        </w:rPr>
        <w:t> </w:t>
      </w:r>
      <w:r>
        <w:rPr>
          <w:sz w:val="20"/>
        </w:rPr>
        <w:t>casos</w:t>
      </w:r>
      <w:r>
        <w:rPr>
          <w:spacing w:val="-8"/>
          <w:sz w:val="20"/>
        </w:rPr>
        <w:t> </w:t>
      </w:r>
      <w:r>
        <w:rPr>
          <w:sz w:val="20"/>
        </w:rPr>
        <w:t>clasificados</w:t>
      </w:r>
      <w:r>
        <w:rPr>
          <w:spacing w:val="-8"/>
          <w:sz w:val="20"/>
        </w:rPr>
        <w:t> </w:t>
      </w:r>
      <w:r>
        <w:rPr>
          <w:sz w:val="20"/>
        </w:rPr>
        <w:t>de</w:t>
      </w:r>
      <w:r>
        <w:rPr>
          <w:spacing w:val="-7"/>
          <w:sz w:val="20"/>
        </w:rPr>
        <w:t> </w:t>
      </w:r>
      <w:r>
        <w:rPr>
          <w:sz w:val="20"/>
        </w:rPr>
        <w:t>impacto</w:t>
      </w:r>
      <w:r>
        <w:rPr>
          <w:spacing w:val="-9"/>
          <w:sz w:val="20"/>
        </w:rPr>
        <w:t> </w:t>
      </w:r>
      <w:r>
        <w:rPr>
          <w:sz w:val="20"/>
        </w:rPr>
        <w:t>significativo,</w:t>
      </w:r>
      <w:r>
        <w:rPr>
          <w:spacing w:val="-7"/>
          <w:sz w:val="20"/>
        </w:rPr>
        <w:t> </w:t>
      </w:r>
      <w:r>
        <w:rPr>
          <w:sz w:val="20"/>
        </w:rPr>
        <w:t>se</w:t>
      </w:r>
      <w:r>
        <w:rPr>
          <w:spacing w:val="-7"/>
          <w:sz w:val="20"/>
        </w:rPr>
        <w:t> </w:t>
      </w:r>
      <w:r>
        <w:rPr>
          <w:sz w:val="20"/>
        </w:rPr>
        <w:t>deberá</w:t>
      </w:r>
      <w:r>
        <w:rPr>
          <w:spacing w:val="-9"/>
          <w:sz w:val="20"/>
        </w:rPr>
        <w:t> </w:t>
      </w:r>
      <w:r>
        <w:rPr>
          <w:sz w:val="20"/>
        </w:rPr>
        <w:t>de</w:t>
      </w:r>
      <w:r>
        <w:rPr>
          <w:spacing w:val="-7"/>
          <w:sz w:val="20"/>
        </w:rPr>
        <w:t> </w:t>
      </w:r>
      <w:r>
        <w:rPr>
          <w:sz w:val="20"/>
        </w:rPr>
        <w:t>elaborar</w:t>
      </w:r>
      <w:r>
        <w:rPr>
          <w:spacing w:val="-5"/>
          <w:sz w:val="20"/>
        </w:rPr>
        <w:t> </w:t>
      </w:r>
      <w:r>
        <w:rPr>
          <w:sz w:val="20"/>
        </w:rPr>
        <w:t>un</w:t>
      </w:r>
      <w:r>
        <w:rPr>
          <w:spacing w:val="-7"/>
          <w:sz w:val="20"/>
        </w:rPr>
        <w:t> </w:t>
      </w:r>
      <w:r>
        <w:rPr>
          <w:sz w:val="20"/>
        </w:rPr>
        <w:t>Estudio</w:t>
      </w:r>
      <w:r>
        <w:rPr>
          <w:spacing w:val="-7"/>
          <w:sz w:val="20"/>
        </w:rPr>
        <w:t> </w:t>
      </w:r>
      <w:r>
        <w:rPr>
          <w:sz w:val="20"/>
        </w:rPr>
        <w:t>de</w:t>
      </w:r>
      <w:r>
        <w:rPr>
          <w:spacing w:val="-9"/>
          <w:sz w:val="20"/>
        </w:rPr>
        <w:t> </w:t>
      </w:r>
      <w:r>
        <w:rPr>
          <w:sz w:val="20"/>
        </w:rPr>
        <w:t>Riesgos de</w:t>
      </w:r>
      <w:r>
        <w:rPr>
          <w:spacing w:val="17"/>
          <w:sz w:val="20"/>
        </w:rPr>
        <w:t> </w:t>
      </w:r>
      <w:r>
        <w:rPr>
          <w:sz w:val="20"/>
        </w:rPr>
        <w:t>la</w:t>
      </w:r>
      <w:r>
        <w:rPr>
          <w:spacing w:val="17"/>
          <w:sz w:val="20"/>
        </w:rPr>
        <w:t> </w:t>
      </w:r>
      <w:r>
        <w:rPr>
          <w:sz w:val="20"/>
        </w:rPr>
        <w:t>zona</w:t>
      </w:r>
      <w:r>
        <w:rPr>
          <w:spacing w:val="17"/>
          <w:sz w:val="20"/>
        </w:rPr>
        <w:t> </w:t>
      </w:r>
      <w:r>
        <w:rPr>
          <w:sz w:val="20"/>
        </w:rPr>
        <w:t>que</w:t>
      </w:r>
      <w:r>
        <w:rPr>
          <w:spacing w:val="17"/>
          <w:sz w:val="20"/>
        </w:rPr>
        <w:t> </w:t>
      </w:r>
      <w:r>
        <w:rPr>
          <w:sz w:val="20"/>
        </w:rPr>
        <w:t>incluya</w:t>
      </w:r>
      <w:r>
        <w:rPr>
          <w:spacing w:val="15"/>
          <w:sz w:val="20"/>
        </w:rPr>
        <w:t> </w:t>
      </w:r>
      <w:r>
        <w:rPr>
          <w:sz w:val="20"/>
        </w:rPr>
        <w:t>riesgos</w:t>
      </w:r>
      <w:r>
        <w:rPr>
          <w:spacing w:val="16"/>
          <w:sz w:val="20"/>
        </w:rPr>
        <w:t> </w:t>
      </w:r>
      <w:r>
        <w:rPr>
          <w:sz w:val="20"/>
        </w:rPr>
        <w:t>de</w:t>
      </w:r>
      <w:r>
        <w:rPr>
          <w:spacing w:val="16"/>
          <w:sz w:val="20"/>
        </w:rPr>
        <w:t> </w:t>
      </w:r>
      <w:r>
        <w:rPr>
          <w:sz w:val="20"/>
        </w:rPr>
        <w:t>origen</w:t>
      </w:r>
      <w:r>
        <w:rPr>
          <w:spacing w:val="17"/>
          <w:sz w:val="20"/>
        </w:rPr>
        <w:t> </w:t>
      </w:r>
      <w:r>
        <w:rPr>
          <w:sz w:val="20"/>
        </w:rPr>
        <w:t>hidrometeorológico,</w:t>
      </w:r>
      <w:r>
        <w:rPr>
          <w:spacing w:val="17"/>
          <w:sz w:val="20"/>
        </w:rPr>
        <w:t> </w:t>
      </w:r>
      <w:r>
        <w:rPr>
          <w:sz w:val="20"/>
        </w:rPr>
        <w:t>geológico</w:t>
      </w:r>
      <w:r>
        <w:rPr>
          <w:spacing w:val="17"/>
          <w:sz w:val="20"/>
        </w:rPr>
        <w:t> </w:t>
      </w:r>
      <w:r>
        <w:rPr>
          <w:sz w:val="20"/>
        </w:rPr>
        <w:t>y</w:t>
      </w:r>
      <w:r>
        <w:rPr>
          <w:spacing w:val="16"/>
          <w:sz w:val="20"/>
        </w:rPr>
        <w:t> </w:t>
      </w:r>
      <w:r>
        <w:rPr>
          <w:sz w:val="20"/>
        </w:rPr>
        <w:t>antropogénico,</w:t>
      </w:r>
      <w:r>
        <w:rPr>
          <w:spacing w:val="17"/>
          <w:sz w:val="20"/>
        </w:rPr>
        <w:t> </w:t>
      </w:r>
      <w:r>
        <w:rPr>
          <w:sz w:val="20"/>
        </w:rPr>
        <w:t>y</w:t>
      </w:r>
      <w:r>
        <w:rPr>
          <w:spacing w:val="16"/>
          <w:sz w:val="20"/>
        </w:rPr>
        <w:t> </w:t>
      </w:r>
      <w:r>
        <w:rPr>
          <w:sz w:val="20"/>
        </w:rPr>
        <w:t>en</w:t>
      </w:r>
      <w:r>
        <w:rPr>
          <w:spacing w:val="15"/>
          <w:sz w:val="20"/>
        </w:rPr>
        <w:t> </w:t>
      </w:r>
      <w:r>
        <w:rPr>
          <w:sz w:val="20"/>
        </w:rPr>
        <w:t>su</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90"/>
        <w:jc w:val="both"/>
      </w:pPr>
      <w:r>
        <w:rPr/>
        <w:t>caso se deberán instrumentar las acciones para hacer frente a los riesgos mitigables identificados en dicho estudio, y</w:t>
      </w:r>
    </w:p>
    <w:p>
      <w:pPr>
        <w:pStyle w:val="BodyText"/>
        <w:spacing w:before="1"/>
      </w:pPr>
    </w:p>
    <w:p>
      <w:pPr>
        <w:pStyle w:val="ListParagraph"/>
        <w:numPr>
          <w:ilvl w:val="0"/>
          <w:numId w:val="116"/>
        </w:numPr>
        <w:tabs>
          <w:tab w:pos="968" w:val="left" w:leader="none"/>
        </w:tabs>
        <w:spacing w:line="240" w:lineRule="auto" w:before="0" w:after="0"/>
        <w:ind w:left="262" w:right="287" w:firstLine="0"/>
        <w:jc w:val="both"/>
        <w:rPr>
          <w:sz w:val="20"/>
        </w:rPr>
      </w:pPr>
      <w:r>
        <w:rPr>
          <w:sz w:val="20"/>
        </w:rPr>
        <w:t>Las acciones de vialidad e infraestructura necesarias para la integración del desarrollo habitacional al área urbanizada, serán a cuenta del fraccionador o promotor.</w:t>
      </w:r>
    </w:p>
    <w:p>
      <w:pPr>
        <w:pStyle w:val="BodyText"/>
        <w:spacing w:before="229"/>
        <w:ind w:left="262" w:right="274"/>
        <w:jc w:val="both"/>
      </w:pPr>
      <w:r>
        <w:rPr>
          <w:rFonts w:ascii="Arial" w:hAnsi="Arial"/>
          <w:b/>
        </w:rPr>
        <w:t>ARTÍCULO 328. </w:t>
      </w:r>
      <w:r>
        <w:rPr/>
        <w:t>Los ayuntamientos autorizarán en primer término aquellos fraccionamientos que en su diseño cumplan con las disposiciones en materia de equipamiento, infraestructura y vinculación con el entorno que determina el artículo 73 de la Ley de Vivienda Federal; así mismo darán prioridad y estímulos legales a la aprobación de fraccionamientos que propongan el uso de nuevas tecnologías ecológicas y sustentables, que favorezcan el aprovechamiento de las aguas pluviales, el ahorro de energía y la forestación de las áreas verdes.</w:t>
      </w:r>
    </w:p>
    <w:p>
      <w:pPr>
        <w:pStyle w:val="BodyText"/>
      </w:pPr>
    </w:p>
    <w:p>
      <w:pPr>
        <w:pStyle w:val="BodyText"/>
        <w:spacing w:before="1"/>
      </w:pPr>
    </w:p>
    <w:p>
      <w:pPr>
        <w:pStyle w:val="Heading2"/>
        <w:spacing w:line="480" w:lineRule="auto" w:before="1"/>
        <w:ind w:left="3082" w:right="3093" w:firstLine="1077"/>
        <w:jc w:val="left"/>
      </w:pPr>
      <w:r>
        <w:rPr/>
        <w:t>Capítulo III Fraccionamientos</w:t>
      </w:r>
      <w:r>
        <w:rPr>
          <w:spacing w:val="-14"/>
        </w:rPr>
        <w:t> </w:t>
      </w:r>
      <w:r>
        <w:rPr/>
        <w:t>Habitacionales</w:t>
      </w:r>
    </w:p>
    <w:p>
      <w:pPr>
        <w:spacing w:line="480" w:lineRule="auto" w:before="229"/>
        <w:ind w:left="3699" w:right="3710" w:firstLine="189"/>
        <w:jc w:val="left"/>
        <w:rPr>
          <w:rFonts w:ascii="Arial" w:hAnsi="Arial"/>
          <w:b/>
          <w:sz w:val="20"/>
        </w:rPr>
      </w:pPr>
      <w:r>
        <w:rPr>
          <w:rFonts w:ascii="Arial" w:hAnsi="Arial"/>
          <w:b/>
          <w:sz w:val="20"/>
        </w:rPr>
        <w:t>Sección Primera Habitacional</w:t>
      </w:r>
      <w:r>
        <w:rPr>
          <w:rFonts w:ascii="Arial" w:hAnsi="Arial"/>
          <w:b/>
          <w:spacing w:val="-14"/>
          <w:sz w:val="20"/>
        </w:rPr>
        <w:t> </w:t>
      </w:r>
      <w:r>
        <w:rPr>
          <w:rFonts w:ascii="Arial" w:hAnsi="Arial"/>
          <w:b/>
          <w:sz w:val="20"/>
        </w:rPr>
        <w:t>Urbano</w:t>
      </w:r>
    </w:p>
    <w:p>
      <w:pPr>
        <w:pStyle w:val="BodyText"/>
        <w:ind w:left="262" w:right="276"/>
        <w:jc w:val="both"/>
      </w:pPr>
      <w:r>
        <w:rPr>
          <w:rFonts w:ascii="Arial" w:hAnsi="Arial"/>
          <w:b/>
        </w:rPr>
        <w:t>ARTÍCULO 329. </w:t>
      </w:r>
      <w:r>
        <w:rPr/>
        <w:t>Los fraccionamientos habitacionales urbanos, deberán realizarse en terrenos que se</w:t>
      </w:r>
      <w:r>
        <w:rPr>
          <w:spacing w:val="-3"/>
        </w:rPr>
        <w:t> </w:t>
      </w:r>
      <w:r>
        <w:rPr/>
        <w:t>encuentren</w:t>
      </w:r>
      <w:r>
        <w:rPr>
          <w:spacing w:val="-3"/>
        </w:rPr>
        <w:t> </w:t>
      </w:r>
      <w:r>
        <w:rPr/>
        <w:t>dentro</w:t>
      </w:r>
      <w:r>
        <w:rPr>
          <w:spacing w:val="-1"/>
        </w:rPr>
        <w:t> </w:t>
      </w:r>
      <w:r>
        <w:rPr/>
        <w:t>de</w:t>
      </w:r>
      <w:r>
        <w:rPr>
          <w:spacing w:val="-1"/>
        </w:rPr>
        <w:t> </w:t>
      </w:r>
      <w:r>
        <w:rPr/>
        <w:t>las</w:t>
      </w:r>
      <w:r>
        <w:rPr>
          <w:spacing w:val="-2"/>
        </w:rPr>
        <w:t> </w:t>
      </w:r>
      <w:r>
        <w:rPr/>
        <w:t>áreas</w:t>
      </w:r>
      <w:r>
        <w:rPr>
          <w:spacing w:val="-2"/>
        </w:rPr>
        <w:t> </w:t>
      </w:r>
      <w:r>
        <w:rPr/>
        <w:t>urbanizables o</w:t>
      </w:r>
      <w:r>
        <w:rPr>
          <w:spacing w:val="-3"/>
        </w:rPr>
        <w:t> </w:t>
      </w:r>
      <w:r>
        <w:rPr/>
        <w:t>de</w:t>
      </w:r>
      <w:r>
        <w:rPr>
          <w:spacing w:val="-3"/>
        </w:rPr>
        <w:t> </w:t>
      </w:r>
      <w:r>
        <w:rPr/>
        <w:t>crecimiento</w:t>
      </w:r>
      <w:r>
        <w:rPr>
          <w:spacing w:val="-1"/>
        </w:rPr>
        <w:t> </w:t>
      </w:r>
      <w:r>
        <w:rPr/>
        <w:t>del</w:t>
      </w:r>
      <w:r>
        <w:rPr>
          <w:spacing w:val="-2"/>
        </w:rPr>
        <w:t> </w:t>
      </w:r>
      <w:r>
        <w:rPr/>
        <w:t>centro</w:t>
      </w:r>
      <w:r>
        <w:rPr>
          <w:spacing w:val="-1"/>
        </w:rPr>
        <w:t> </w:t>
      </w:r>
      <w:r>
        <w:rPr/>
        <w:t>de</w:t>
      </w:r>
      <w:r>
        <w:rPr>
          <w:spacing w:val="-1"/>
        </w:rPr>
        <w:t> </w:t>
      </w:r>
      <w:r>
        <w:rPr/>
        <w:t>población</w:t>
      </w:r>
      <w:r>
        <w:rPr>
          <w:spacing w:val="-1"/>
        </w:rPr>
        <w:t> </w:t>
      </w:r>
      <w:r>
        <w:rPr/>
        <w:t>de</w:t>
      </w:r>
      <w:r>
        <w:rPr>
          <w:spacing w:val="-1"/>
        </w:rPr>
        <w:t> </w:t>
      </w:r>
      <w:r>
        <w:rPr/>
        <w:t>que</w:t>
      </w:r>
      <w:r>
        <w:rPr>
          <w:spacing w:val="-3"/>
        </w:rPr>
        <w:t> </w:t>
      </w:r>
      <w:r>
        <w:rPr/>
        <w:t>se trate; se destinaran de manera predominante a la construcción de viviendas y sus servicios complementarios, pueden ser unifamiliares, multifamiliares o de uso mixto de conformidad con las densidades, alturas o características dispuestas en los programas de desarrollo urbano de los centros de población.</w:t>
      </w:r>
    </w:p>
    <w:p>
      <w:pPr>
        <w:pStyle w:val="BodyText"/>
      </w:pPr>
    </w:p>
    <w:p>
      <w:pPr>
        <w:pStyle w:val="BodyText"/>
        <w:ind w:left="262" w:right="284"/>
        <w:jc w:val="both"/>
      </w:pPr>
      <w:r>
        <w:rPr>
          <w:rFonts w:ascii="Arial" w:hAnsi="Arial"/>
          <w:b/>
        </w:rPr>
        <w:t>ARTÍCULO 330. </w:t>
      </w:r>
      <w:r>
        <w:rPr/>
        <w:t>Los fraccionamientos habitacionales deberán contar con las características de infraestructura, y obras de urbanización siguientes:</w:t>
      </w:r>
    </w:p>
    <w:p>
      <w:pPr>
        <w:pStyle w:val="BodyText"/>
        <w:spacing w:before="2"/>
      </w:pPr>
    </w:p>
    <w:p>
      <w:pPr>
        <w:pStyle w:val="ListParagraph"/>
        <w:numPr>
          <w:ilvl w:val="0"/>
          <w:numId w:val="117"/>
        </w:numPr>
        <w:tabs>
          <w:tab w:pos="543" w:val="left" w:leader="none"/>
        </w:tabs>
        <w:spacing w:line="240" w:lineRule="auto" w:before="0" w:after="0"/>
        <w:ind w:left="543" w:right="0" w:hanging="281"/>
        <w:jc w:val="both"/>
        <w:rPr>
          <w:sz w:val="20"/>
        </w:rPr>
      </w:pPr>
      <w:r>
        <w:rPr>
          <w:sz w:val="20"/>
        </w:rPr>
        <w:t>Sistema</w:t>
      </w:r>
      <w:r>
        <w:rPr>
          <w:spacing w:val="-6"/>
          <w:sz w:val="20"/>
        </w:rPr>
        <w:t> </w:t>
      </w:r>
      <w:r>
        <w:rPr>
          <w:sz w:val="20"/>
        </w:rPr>
        <w:t>de</w:t>
      </w:r>
      <w:r>
        <w:rPr>
          <w:spacing w:val="-8"/>
          <w:sz w:val="20"/>
        </w:rPr>
        <w:t> </w:t>
      </w:r>
      <w:r>
        <w:rPr>
          <w:sz w:val="20"/>
        </w:rPr>
        <w:t>abastecimiento</w:t>
      </w:r>
      <w:r>
        <w:rPr>
          <w:spacing w:val="-5"/>
          <w:sz w:val="20"/>
        </w:rPr>
        <w:t> </w:t>
      </w:r>
      <w:r>
        <w:rPr>
          <w:sz w:val="20"/>
        </w:rPr>
        <w:t>de</w:t>
      </w:r>
      <w:r>
        <w:rPr>
          <w:spacing w:val="-8"/>
          <w:sz w:val="20"/>
        </w:rPr>
        <w:t> </w:t>
      </w:r>
      <w:r>
        <w:rPr>
          <w:sz w:val="20"/>
        </w:rPr>
        <w:t>agua</w:t>
      </w:r>
      <w:r>
        <w:rPr>
          <w:spacing w:val="-5"/>
          <w:sz w:val="20"/>
        </w:rPr>
        <w:t> </w:t>
      </w:r>
      <w:r>
        <w:rPr>
          <w:sz w:val="20"/>
        </w:rPr>
        <w:t>potable,</w:t>
      </w:r>
      <w:r>
        <w:rPr>
          <w:spacing w:val="-7"/>
          <w:sz w:val="20"/>
        </w:rPr>
        <w:t> </w:t>
      </w:r>
      <w:r>
        <w:rPr>
          <w:sz w:val="20"/>
        </w:rPr>
        <w:t>red</w:t>
      </w:r>
      <w:r>
        <w:rPr>
          <w:spacing w:val="-7"/>
          <w:sz w:val="20"/>
        </w:rPr>
        <w:t> </w:t>
      </w:r>
      <w:r>
        <w:rPr>
          <w:sz w:val="20"/>
        </w:rPr>
        <w:t>de</w:t>
      </w:r>
      <w:r>
        <w:rPr>
          <w:spacing w:val="-7"/>
          <w:sz w:val="20"/>
        </w:rPr>
        <w:t> </w:t>
      </w:r>
      <w:r>
        <w:rPr>
          <w:sz w:val="20"/>
        </w:rPr>
        <w:t>distribución</w:t>
      </w:r>
      <w:r>
        <w:rPr>
          <w:spacing w:val="-8"/>
          <w:sz w:val="20"/>
        </w:rPr>
        <w:t> </w:t>
      </w:r>
      <w:r>
        <w:rPr>
          <w:sz w:val="20"/>
        </w:rPr>
        <w:t>y</w:t>
      </w:r>
      <w:r>
        <w:rPr>
          <w:spacing w:val="-6"/>
          <w:sz w:val="20"/>
        </w:rPr>
        <w:t> </w:t>
      </w:r>
      <w:r>
        <w:rPr>
          <w:sz w:val="20"/>
        </w:rPr>
        <w:t>tomas</w:t>
      </w:r>
      <w:r>
        <w:rPr>
          <w:spacing w:val="-6"/>
          <w:sz w:val="20"/>
        </w:rPr>
        <w:t> </w:t>
      </w:r>
      <w:r>
        <w:rPr>
          <w:spacing w:val="-2"/>
          <w:sz w:val="20"/>
        </w:rPr>
        <w:t>domiciliarias;</w:t>
      </w:r>
    </w:p>
    <w:p>
      <w:pPr>
        <w:pStyle w:val="ListParagraph"/>
        <w:numPr>
          <w:ilvl w:val="0"/>
          <w:numId w:val="117"/>
        </w:numPr>
        <w:tabs>
          <w:tab w:pos="543" w:val="left" w:leader="none"/>
        </w:tabs>
        <w:spacing w:line="240" w:lineRule="auto" w:before="228" w:after="0"/>
        <w:ind w:left="262" w:right="287" w:firstLine="0"/>
        <w:jc w:val="both"/>
        <w:rPr>
          <w:sz w:val="20"/>
        </w:rPr>
      </w:pPr>
      <w:r>
        <w:rPr>
          <w:sz w:val="20"/>
        </w:rPr>
        <w:t>Sistema de alcantarillado con salidas domiciliarias de albañal o con las especificaciones que determine la normatividad aplicable;</w:t>
      </w:r>
    </w:p>
    <w:p>
      <w:pPr>
        <w:pStyle w:val="BodyText"/>
        <w:spacing w:before="1"/>
      </w:pPr>
    </w:p>
    <w:p>
      <w:pPr>
        <w:pStyle w:val="ListParagraph"/>
        <w:numPr>
          <w:ilvl w:val="0"/>
          <w:numId w:val="117"/>
        </w:numPr>
        <w:tabs>
          <w:tab w:pos="685" w:val="left" w:leader="none"/>
        </w:tabs>
        <w:spacing w:line="240" w:lineRule="auto" w:before="0" w:after="0"/>
        <w:ind w:left="262" w:right="285" w:firstLine="0"/>
        <w:jc w:val="both"/>
        <w:rPr>
          <w:sz w:val="20"/>
        </w:rPr>
      </w:pPr>
      <w:r>
        <w:rPr>
          <w:sz w:val="20"/>
        </w:rPr>
        <w:t>Sistema pluvial en los municipios en que el Ayuntamiento así lo determine, conforme a la normatividad aplicable;</w:t>
      </w:r>
    </w:p>
    <w:p>
      <w:pPr>
        <w:pStyle w:val="BodyText"/>
      </w:pPr>
    </w:p>
    <w:p>
      <w:pPr>
        <w:pStyle w:val="ListParagraph"/>
        <w:numPr>
          <w:ilvl w:val="0"/>
          <w:numId w:val="117"/>
        </w:numPr>
        <w:tabs>
          <w:tab w:pos="688" w:val="left" w:leader="none"/>
        </w:tabs>
        <w:spacing w:line="240" w:lineRule="auto" w:before="0" w:after="0"/>
        <w:ind w:left="262" w:right="287" w:firstLine="0"/>
        <w:jc w:val="both"/>
        <w:rPr>
          <w:sz w:val="20"/>
        </w:rPr>
      </w:pPr>
      <w:r>
        <w:rPr>
          <w:sz w:val="20"/>
        </w:rPr>
        <w:t>Red de distribución de energía eléctrica para uso doméstico, conforme a las especificaciones técnicas que determine la</w:t>
      </w:r>
      <w:r>
        <w:rPr>
          <w:spacing w:val="40"/>
          <w:sz w:val="20"/>
        </w:rPr>
        <w:t> </w:t>
      </w:r>
      <w:r>
        <w:rPr>
          <w:sz w:val="20"/>
        </w:rPr>
        <w:t>Comisión Federal de Electricidad, debiendo privilegiarse el uso de cableado subterráneo;</w:t>
      </w:r>
    </w:p>
    <w:p>
      <w:pPr>
        <w:pStyle w:val="ListParagraph"/>
        <w:numPr>
          <w:ilvl w:val="0"/>
          <w:numId w:val="117"/>
        </w:numPr>
        <w:tabs>
          <w:tab w:pos="688" w:val="left" w:leader="none"/>
        </w:tabs>
        <w:spacing w:line="240" w:lineRule="auto" w:before="229" w:after="0"/>
        <w:ind w:left="262" w:right="287" w:firstLine="0"/>
        <w:jc w:val="both"/>
        <w:rPr>
          <w:sz w:val="20"/>
        </w:rPr>
      </w:pPr>
      <w:r>
        <w:rPr>
          <w:sz w:val="20"/>
        </w:rPr>
        <w:t>Alumbrado público con las especificaciones técnicas que determine el proyecto ejecutivo conforme a la norma de Comisión Federal de Electricidad, revisado por la Dirección de Alumbrado público municipal o su equivalente;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17"/>
        </w:numPr>
        <w:tabs>
          <w:tab w:pos="688" w:val="left" w:leader="none"/>
        </w:tabs>
        <w:spacing w:line="240" w:lineRule="auto" w:before="0" w:after="0"/>
        <w:ind w:left="262" w:right="282" w:firstLine="0"/>
        <w:jc w:val="both"/>
        <w:rPr>
          <w:sz w:val="20"/>
        </w:rPr>
      </w:pPr>
      <w:r>
        <w:rPr>
          <w:sz w:val="20"/>
        </w:rPr>
        <w:t>Cuando en el proyecto así se determine, redes telefónicas con ductos subterráneos así como para otros medios de comunicación o de transmisión electrónica de datos;</w:t>
      </w:r>
    </w:p>
    <w:p>
      <w:pPr>
        <w:pStyle w:val="BodyText"/>
        <w:spacing w:before="1"/>
      </w:pPr>
    </w:p>
    <w:p>
      <w:pPr>
        <w:pStyle w:val="ListParagraph"/>
        <w:numPr>
          <w:ilvl w:val="0"/>
          <w:numId w:val="117"/>
        </w:numPr>
        <w:tabs>
          <w:tab w:pos="688" w:val="left" w:leader="none"/>
        </w:tabs>
        <w:spacing w:line="240" w:lineRule="auto" w:before="0" w:after="0"/>
        <w:ind w:left="262" w:right="288" w:firstLine="0"/>
        <w:jc w:val="both"/>
        <w:rPr>
          <w:sz w:val="20"/>
        </w:rPr>
      </w:pPr>
      <w:r>
        <w:rPr>
          <w:sz w:val="20"/>
        </w:rPr>
        <w:t>Guarniciones y banquetas con accesos para personas con discapacidad, con los materiales autorizados conforme al Reglamento de Construcción Municipal;</w:t>
      </w:r>
    </w:p>
    <w:p>
      <w:pPr>
        <w:pStyle w:val="ListParagraph"/>
        <w:numPr>
          <w:ilvl w:val="0"/>
          <w:numId w:val="117"/>
        </w:numPr>
        <w:tabs>
          <w:tab w:pos="688" w:val="left" w:leader="none"/>
        </w:tabs>
        <w:spacing w:line="240" w:lineRule="auto" w:before="229" w:after="0"/>
        <w:ind w:left="262" w:right="286" w:firstLine="0"/>
        <w:jc w:val="both"/>
        <w:rPr>
          <w:sz w:val="20"/>
        </w:rPr>
      </w:pPr>
      <w:r>
        <w:rPr>
          <w:sz w:val="20"/>
        </w:rPr>
        <w:t>Pavimento de calles con los materiales autorizados conforme al Reglamento de Construcción </w:t>
      </w:r>
      <w:r>
        <w:rPr>
          <w:spacing w:val="-2"/>
          <w:sz w:val="20"/>
        </w:rPr>
        <w:t>Municipal;</w:t>
      </w:r>
    </w:p>
    <w:p>
      <w:pPr>
        <w:pStyle w:val="BodyText"/>
        <w:spacing w:before="1"/>
      </w:pPr>
    </w:p>
    <w:p>
      <w:pPr>
        <w:pStyle w:val="ListParagraph"/>
        <w:numPr>
          <w:ilvl w:val="0"/>
          <w:numId w:val="117"/>
        </w:numPr>
        <w:tabs>
          <w:tab w:pos="688" w:val="left" w:leader="none"/>
        </w:tabs>
        <w:spacing w:line="240" w:lineRule="auto" w:before="0" w:after="0"/>
        <w:ind w:left="262" w:right="281" w:firstLine="0"/>
        <w:jc w:val="both"/>
        <w:rPr>
          <w:sz w:val="20"/>
        </w:rPr>
      </w:pPr>
      <w:r>
        <w:rPr>
          <w:sz w:val="20"/>
        </w:rPr>
        <w:t>Arbolado y jardinería en las áreas destinadas a ese fin. El tipo de árboles y las características de la jardinería atenderán al tipo de vegetación de la región, evitando la siembra de árboles que dañen la infraestructura, o en su caso a las disposiciones de la Dirección o área de Ecología del </w:t>
      </w:r>
      <w:r>
        <w:rPr>
          <w:spacing w:val="-2"/>
          <w:sz w:val="20"/>
        </w:rPr>
        <w:t>Municipio;</w:t>
      </w:r>
    </w:p>
    <w:p>
      <w:pPr>
        <w:pStyle w:val="BodyText"/>
      </w:pPr>
    </w:p>
    <w:p>
      <w:pPr>
        <w:spacing w:before="1"/>
        <w:ind w:left="262"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16</w:t>
      </w:r>
      <w:r>
        <w:rPr>
          <w:rFonts w:ascii="Arial"/>
          <w:i/>
          <w:spacing w:val="-7"/>
          <w:sz w:val="20"/>
        </w:rPr>
        <w:t> </w:t>
      </w:r>
      <w:r>
        <w:rPr>
          <w:rFonts w:ascii="Arial"/>
          <w:i/>
          <w:sz w:val="20"/>
        </w:rPr>
        <w:t>DE</w:t>
      </w:r>
      <w:r>
        <w:rPr>
          <w:rFonts w:ascii="Arial"/>
          <w:i/>
          <w:spacing w:val="-6"/>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4"/>
          <w:sz w:val="20"/>
        </w:rPr>
        <w:t>2020)</w:t>
      </w:r>
    </w:p>
    <w:p>
      <w:pPr>
        <w:pStyle w:val="ListParagraph"/>
        <w:numPr>
          <w:ilvl w:val="0"/>
          <w:numId w:val="117"/>
        </w:numPr>
        <w:tabs>
          <w:tab w:pos="688" w:val="left" w:leader="none"/>
        </w:tabs>
        <w:spacing w:line="240" w:lineRule="auto" w:before="0" w:after="0"/>
        <w:ind w:left="262" w:right="278" w:firstLine="0"/>
        <w:jc w:val="both"/>
        <w:rPr>
          <w:sz w:val="20"/>
        </w:rPr>
      </w:pPr>
      <w:r>
        <w:rPr>
          <w:sz w:val="20"/>
        </w:rPr>
        <w:t>Placas</w:t>
      </w:r>
      <w:r>
        <w:rPr>
          <w:spacing w:val="-9"/>
          <w:sz w:val="20"/>
        </w:rPr>
        <w:t> </w:t>
      </w:r>
      <w:r>
        <w:rPr>
          <w:sz w:val="20"/>
        </w:rPr>
        <w:t>de</w:t>
      </w:r>
      <w:r>
        <w:rPr>
          <w:spacing w:val="-10"/>
          <w:sz w:val="20"/>
        </w:rPr>
        <w:t> </w:t>
      </w:r>
      <w:r>
        <w:rPr>
          <w:sz w:val="20"/>
        </w:rPr>
        <w:t>nomenclatura,</w:t>
      </w:r>
      <w:r>
        <w:rPr>
          <w:spacing w:val="-12"/>
          <w:sz w:val="20"/>
        </w:rPr>
        <w:t> </w:t>
      </w:r>
      <w:r>
        <w:rPr>
          <w:sz w:val="20"/>
        </w:rPr>
        <w:t>señalamientos</w:t>
      </w:r>
      <w:r>
        <w:rPr>
          <w:spacing w:val="-11"/>
          <w:sz w:val="20"/>
        </w:rPr>
        <w:t> </w:t>
      </w:r>
      <w:r>
        <w:rPr>
          <w:sz w:val="20"/>
        </w:rPr>
        <w:t>viales</w:t>
      </w:r>
      <w:r>
        <w:rPr>
          <w:spacing w:val="-11"/>
          <w:sz w:val="20"/>
        </w:rPr>
        <w:t> </w:t>
      </w:r>
      <w:r>
        <w:rPr>
          <w:sz w:val="20"/>
        </w:rPr>
        <w:t>en</w:t>
      </w:r>
      <w:r>
        <w:rPr>
          <w:spacing w:val="-11"/>
          <w:sz w:val="20"/>
        </w:rPr>
        <w:t> </w:t>
      </w:r>
      <w:r>
        <w:rPr>
          <w:sz w:val="20"/>
        </w:rPr>
        <w:t>los</w:t>
      </w:r>
      <w:r>
        <w:rPr>
          <w:spacing w:val="-11"/>
          <w:sz w:val="20"/>
        </w:rPr>
        <w:t> </w:t>
      </w:r>
      <w:r>
        <w:rPr>
          <w:sz w:val="20"/>
        </w:rPr>
        <w:t>cruces</w:t>
      </w:r>
      <w:r>
        <w:rPr>
          <w:spacing w:val="-8"/>
          <w:sz w:val="20"/>
        </w:rPr>
        <w:t> </w:t>
      </w:r>
      <w:r>
        <w:rPr>
          <w:sz w:val="20"/>
        </w:rPr>
        <w:t>de</w:t>
      </w:r>
      <w:r>
        <w:rPr>
          <w:spacing w:val="34"/>
          <w:sz w:val="20"/>
        </w:rPr>
        <w:t> </w:t>
      </w:r>
      <w:r>
        <w:rPr>
          <w:sz w:val="20"/>
        </w:rPr>
        <w:t>las</w:t>
      </w:r>
      <w:r>
        <w:rPr>
          <w:spacing w:val="-11"/>
          <w:sz w:val="20"/>
        </w:rPr>
        <w:t> </w:t>
      </w:r>
      <w:r>
        <w:rPr>
          <w:sz w:val="20"/>
        </w:rPr>
        <w:t>calles,</w:t>
      </w:r>
      <w:r>
        <w:rPr>
          <w:spacing w:val="-11"/>
          <w:sz w:val="20"/>
        </w:rPr>
        <w:t> </w:t>
      </w:r>
      <w:r>
        <w:rPr>
          <w:sz w:val="20"/>
        </w:rPr>
        <w:t>y</w:t>
      </w:r>
      <w:r>
        <w:rPr>
          <w:spacing w:val="-9"/>
          <w:sz w:val="20"/>
        </w:rPr>
        <w:t> </w:t>
      </w:r>
      <w:r>
        <w:rPr>
          <w:sz w:val="20"/>
        </w:rPr>
        <w:t>numeración</w:t>
      </w:r>
      <w:r>
        <w:rPr>
          <w:spacing w:val="-10"/>
          <w:sz w:val="20"/>
        </w:rPr>
        <w:t> </w:t>
      </w:r>
      <w:r>
        <w:rPr>
          <w:sz w:val="20"/>
        </w:rPr>
        <w:t>oficial, conforme lo determine la autoridad municipal y la normatividad aplicable, y</w:t>
      </w:r>
    </w:p>
    <w:p>
      <w:pPr>
        <w:pStyle w:val="ListParagraph"/>
        <w:numPr>
          <w:ilvl w:val="0"/>
          <w:numId w:val="117"/>
        </w:numPr>
        <w:tabs>
          <w:tab w:pos="688" w:val="left" w:leader="none"/>
        </w:tabs>
        <w:spacing w:line="240" w:lineRule="auto" w:before="229" w:after="0"/>
        <w:ind w:left="688" w:right="0" w:hanging="426"/>
        <w:jc w:val="both"/>
        <w:rPr>
          <w:sz w:val="20"/>
        </w:rPr>
      </w:pPr>
      <w:r>
        <w:rPr>
          <w:sz w:val="20"/>
        </w:rPr>
        <w:t>Hidrantes</w:t>
      </w:r>
      <w:r>
        <w:rPr>
          <w:spacing w:val="-8"/>
          <w:sz w:val="20"/>
        </w:rPr>
        <w:t> </w:t>
      </w:r>
      <w:r>
        <w:rPr>
          <w:sz w:val="20"/>
        </w:rPr>
        <w:t>contra</w:t>
      </w:r>
      <w:r>
        <w:rPr>
          <w:spacing w:val="-7"/>
          <w:sz w:val="20"/>
        </w:rPr>
        <w:t> </w:t>
      </w:r>
      <w:r>
        <w:rPr>
          <w:sz w:val="20"/>
        </w:rPr>
        <w:t>incendios,</w:t>
      </w:r>
      <w:r>
        <w:rPr>
          <w:spacing w:val="-7"/>
          <w:sz w:val="20"/>
        </w:rPr>
        <w:t> </w:t>
      </w:r>
      <w:r>
        <w:rPr>
          <w:sz w:val="20"/>
        </w:rPr>
        <w:t>cuando</w:t>
      </w:r>
      <w:r>
        <w:rPr>
          <w:spacing w:val="-8"/>
          <w:sz w:val="20"/>
        </w:rPr>
        <w:t> </w:t>
      </w:r>
      <w:r>
        <w:rPr>
          <w:sz w:val="20"/>
        </w:rPr>
        <w:t>la</w:t>
      </w:r>
      <w:r>
        <w:rPr>
          <w:spacing w:val="-9"/>
          <w:sz w:val="20"/>
        </w:rPr>
        <w:t> </w:t>
      </w:r>
      <w:r>
        <w:rPr>
          <w:sz w:val="20"/>
        </w:rPr>
        <w:t>red</w:t>
      </w:r>
      <w:r>
        <w:rPr>
          <w:spacing w:val="-6"/>
          <w:sz w:val="20"/>
        </w:rPr>
        <w:t> </w:t>
      </w:r>
      <w:r>
        <w:rPr>
          <w:sz w:val="20"/>
        </w:rPr>
        <w:t>hidráulica</w:t>
      </w:r>
      <w:r>
        <w:rPr>
          <w:spacing w:val="-7"/>
          <w:sz w:val="20"/>
        </w:rPr>
        <w:t> </w:t>
      </w:r>
      <w:r>
        <w:rPr>
          <w:sz w:val="20"/>
        </w:rPr>
        <w:t>así</w:t>
      </w:r>
      <w:r>
        <w:rPr>
          <w:spacing w:val="-9"/>
          <w:sz w:val="20"/>
        </w:rPr>
        <w:t> </w:t>
      </w:r>
      <w:r>
        <w:rPr>
          <w:sz w:val="20"/>
        </w:rPr>
        <w:t>lo</w:t>
      </w:r>
      <w:r>
        <w:rPr>
          <w:spacing w:val="-6"/>
          <w:sz w:val="20"/>
        </w:rPr>
        <w:t> </w:t>
      </w:r>
      <w:r>
        <w:rPr>
          <w:spacing w:val="-2"/>
          <w:sz w:val="20"/>
        </w:rPr>
        <w:t>permita.</w:t>
      </w:r>
    </w:p>
    <w:p>
      <w:pPr>
        <w:pStyle w:val="BodyText"/>
        <w:spacing w:before="1"/>
      </w:pPr>
    </w:p>
    <w:p>
      <w:pPr>
        <w:pStyle w:val="BodyText"/>
        <w:ind w:left="262" w:right="285"/>
        <w:jc w:val="both"/>
      </w:pPr>
      <w:r>
        <w:rPr/>
        <w:t>Para la autorización de calles, banquetas y equipamientos se estará a lo dispuesto en los Reglamentos de Construcción Municipal.</w:t>
      </w:r>
    </w:p>
    <w:p>
      <w:pPr>
        <w:pStyle w:val="BodyText"/>
        <w:spacing w:before="229"/>
        <w:ind w:left="262" w:right="277"/>
        <w:jc w:val="both"/>
      </w:pPr>
      <w:r>
        <w:rPr>
          <w:rFonts w:ascii="Arial" w:hAnsi="Arial"/>
          <w:b/>
        </w:rPr>
        <w:t>ARTÍCULO</w:t>
      </w:r>
      <w:r>
        <w:rPr>
          <w:rFonts w:ascii="Arial" w:hAnsi="Arial"/>
          <w:b/>
          <w:spacing w:val="-11"/>
        </w:rPr>
        <w:t> </w:t>
      </w:r>
      <w:r>
        <w:rPr>
          <w:rFonts w:ascii="Arial" w:hAnsi="Arial"/>
          <w:b/>
        </w:rPr>
        <w:t>331.</w:t>
      </w:r>
      <w:r>
        <w:rPr>
          <w:rFonts w:ascii="Arial" w:hAnsi="Arial"/>
          <w:b/>
          <w:spacing w:val="-11"/>
        </w:rPr>
        <w:t> </w:t>
      </w:r>
      <w:r>
        <w:rPr/>
        <w:t>Los</w:t>
      </w:r>
      <w:r>
        <w:rPr>
          <w:spacing w:val="-11"/>
        </w:rPr>
        <w:t> </w:t>
      </w:r>
      <w:r>
        <w:rPr/>
        <w:t>fraccionamientos</w:t>
      </w:r>
      <w:r>
        <w:rPr>
          <w:spacing w:val="-11"/>
        </w:rPr>
        <w:t> </w:t>
      </w:r>
      <w:r>
        <w:rPr/>
        <w:t>destinados</w:t>
      </w:r>
      <w:r>
        <w:rPr>
          <w:spacing w:val="-11"/>
        </w:rPr>
        <w:t> </w:t>
      </w:r>
      <w:r>
        <w:rPr/>
        <w:t>a</w:t>
      </w:r>
      <w:r>
        <w:rPr>
          <w:spacing w:val="-12"/>
        </w:rPr>
        <w:t> </w:t>
      </w:r>
      <w:r>
        <w:rPr/>
        <w:t>personas</w:t>
      </w:r>
      <w:r>
        <w:rPr>
          <w:spacing w:val="-11"/>
        </w:rPr>
        <w:t> </w:t>
      </w:r>
      <w:r>
        <w:rPr/>
        <w:t>con</w:t>
      </w:r>
      <w:r>
        <w:rPr>
          <w:spacing w:val="-13"/>
        </w:rPr>
        <w:t> </w:t>
      </w:r>
      <w:r>
        <w:rPr/>
        <w:t>un</w:t>
      </w:r>
      <w:r>
        <w:rPr>
          <w:spacing w:val="-13"/>
        </w:rPr>
        <w:t> </w:t>
      </w:r>
      <w:r>
        <w:rPr/>
        <w:t>ingreso</w:t>
      </w:r>
      <w:r>
        <w:rPr>
          <w:spacing w:val="-12"/>
        </w:rPr>
        <w:t> </w:t>
      </w:r>
      <w:r>
        <w:rPr/>
        <w:t>económico</w:t>
      </w:r>
      <w:r>
        <w:rPr>
          <w:spacing w:val="-12"/>
        </w:rPr>
        <w:t> </w:t>
      </w:r>
      <w:r>
        <w:rPr/>
        <w:t>máximo</w:t>
      </w:r>
      <w:r>
        <w:rPr>
          <w:spacing w:val="-13"/>
        </w:rPr>
        <w:t> </w:t>
      </w:r>
      <w:r>
        <w:rPr/>
        <w:t>de hasta</w:t>
      </w:r>
      <w:r>
        <w:rPr>
          <w:spacing w:val="-14"/>
        </w:rPr>
        <w:t> </w:t>
      </w:r>
      <w:r>
        <w:rPr/>
        <w:t>dos</w:t>
      </w:r>
      <w:r>
        <w:rPr>
          <w:spacing w:val="-14"/>
        </w:rPr>
        <w:t> </w:t>
      </w:r>
      <w:r>
        <w:rPr/>
        <w:t>y</w:t>
      </w:r>
      <w:r>
        <w:rPr>
          <w:spacing w:val="-14"/>
        </w:rPr>
        <w:t> </w:t>
      </w:r>
      <w:r>
        <w:rPr/>
        <w:t>medio</w:t>
      </w:r>
      <w:r>
        <w:rPr>
          <w:spacing w:val="-14"/>
        </w:rPr>
        <w:t> </w:t>
      </w:r>
      <w:r>
        <w:rPr/>
        <w:t>unidad</w:t>
      </w:r>
      <w:r>
        <w:rPr>
          <w:spacing w:val="-14"/>
        </w:rPr>
        <w:t> </w:t>
      </w:r>
      <w:r>
        <w:rPr/>
        <w:t>de</w:t>
      </w:r>
      <w:r>
        <w:rPr>
          <w:spacing w:val="-14"/>
        </w:rPr>
        <w:t> </w:t>
      </w:r>
      <w:r>
        <w:rPr/>
        <w:t>medida</w:t>
      </w:r>
      <w:r>
        <w:rPr>
          <w:spacing w:val="-14"/>
        </w:rPr>
        <w:t> </w:t>
      </w:r>
      <w:r>
        <w:rPr/>
        <w:t>de</w:t>
      </w:r>
      <w:r>
        <w:rPr>
          <w:spacing w:val="-14"/>
        </w:rPr>
        <w:t> </w:t>
      </w:r>
      <w:r>
        <w:rPr/>
        <w:t>actualización,</w:t>
      </w:r>
      <w:r>
        <w:rPr>
          <w:spacing w:val="-12"/>
        </w:rPr>
        <w:t> </w:t>
      </w:r>
      <w:r>
        <w:rPr/>
        <w:t>con</w:t>
      </w:r>
      <w:r>
        <w:rPr>
          <w:spacing w:val="-14"/>
        </w:rPr>
        <w:t> </w:t>
      </w:r>
      <w:r>
        <w:rPr/>
        <w:t>urgencia</w:t>
      </w:r>
      <w:r>
        <w:rPr>
          <w:spacing w:val="-14"/>
        </w:rPr>
        <w:t> </w:t>
      </w:r>
      <w:r>
        <w:rPr/>
        <w:t>inmediata</w:t>
      </w:r>
      <w:r>
        <w:rPr>
          <w:spacing w:val="-14"/>
        </w:rPr>
        <w:t> </w:t>
      </w:r>
      <w:r>
        <w:rPr/>
        <w:t>de</w:t>
      </w:r>
      <w:r>
        <w:rPr>
          <w:spacing w:val="-13"/>
        </w:rPr>
        <w:t> </w:t>
      </w:r>
      <w:r>
        <w:rPr/>
        <w:t>resolver</w:t>
      </w:r>
      <w:r>
        <w:rPr>
          <w:spacing w:val="-13"/>
        </w:rPr>
        <w:t> </w:t>
      </w:r>
      <w:r>
        <w:rPr/>
        <w:t>problemas de</w:t>
      </w:r>
      <w:r>
        <w:rPr>
          <w:spacing w:val="-2"/>
        </w:rPr>
        <w:t> </w:t>
      </w:r>
      <w:r>
        <w:rPr/>
        <w:t>vivienda, por las</w:t>
      </w:r>
      <w:r>
        <w:rPr>
          <w:spacing w:val="-1"/>
        </w:rPr>
        <w:t> </w:t>
      </w:r>
      <w:r>
        <w:rPr/>
        <w:t>condiciones especiales de la zona en que</w:t>
      </w:r>
      <w:r>
        <w:rPr>
          <w:spacing w:val="-1"/>
        </w:rPr>
        <w:t> </w:t>
      </w:r>
      <w:r>
        <w:rPr/>
        <w:t>se ubicarán, pueden</w:t>
      </w:r>
      <w:r>
        <w:rPr>
          <w:spacing w:val="-1"/>
        </w:rPr>
        <w:t> </w:t>
      </w:r>
      <w:r>
        <w:rPr/>
        <w:t>ser</w:t>
      </w:r>
      <w:r>
        <w:rPr>
          <w:spacing w:val="-1"/>
        </w:rPr>
        <w:t> </w:t>
      </w:r>
      <w:r>
        <w:rPr/>
        <w:t>autorizados por el Ayuntamiento por conducto de la Dirección Municipal para su urbanización en forma progresiva, con los requisitos mínimos de urbanización, que se establezcan en el proyecto de dictamen que elabore la mesa colegiada, ajustándose a los lineamientos determinados en los programas de desarrollo urbano aplicables.</w:t>
      </w:r>
    </w:p>
    <w:p>
      <w:pPr>
        <w:pStyle w:val="BodyText"/>
        <w:spacing w:before="1"/>
      </w:pPr>
    </w:p>
    <w:p>
      <w:pPr>
        <w:pStyle w:val="BodyText"/>
        <w:ind w:left="262" w:right="287"/>
        <w:jc w:val="both"/>
      </w:pPr>
      <w:r>
        <w:rPr/>
        <w:t>En</w:t>
      </w:r>
      <w:r>
        <w:rPr>
          <w:spacing w:val="-10"/>
        </w:rPr>
        <w:t> </w:t>
      </w:r>
      <w:r>
        <w:rPr/>
        <w:t>la</w:t>
      </w:r>
      <w:r>
        <w:rPr>
          <w:spacing w:val="-10"/>
        </w:rPr>
        <w:t> </w:t>
      </w:r>
      <w:r>
        <w:rPr/>
        <w:t>autorización</w:t>
      </w:r>
      <w:r>
        <w:rPr>
          <w:spacing w:val="-10"/>
        </w:rPr>
        <w:t> </w:t>
      </w:r>
      <w:r>
        <w:rPr/>
        <w:t>del</w:t>
      </w:r>
      <w:r>
        <w:rPr>
          <w:spacing w:val="-11"/>
        </w:rPr>
        <w:t> </w:t>
      </w:r>
      <w:r>
        <w:rPr/>
        <w:t>fraccionamiento</w:t>
      </w:r>
      <w:r>
        <w:rPr>
          <w:spacing w:val="-10"/>
        </w:rPr>
        <w:t> </w:t>
      </w:r>
      <w:r>
        <w:rPr/>
        <w:t>respectivo,</w:t>
      </w:r>
      <w:r>
        <w:rPr>
          <w:spacing w:val="-10"/>
        </w:rPr>
        <w:t> </w:t>
      </w:r>
      <w:r>
        <w:rPr/>
        <w:t>deberá</w:t>
      </w:r>
      <w:r>
        <w:rPr>
          <w:spacing w:val="-10"/>
        </w:rPr>
        <w:t> </w:t>
      </w:r>
      <w:r>
        <w:rPr/>
        <w:t>especificarse</w:t>
      </w:r>
      <w:r>
        <w:rPr>
          <w:spacing w:val="-10"/>
        </w:rPr>
        <w:t> </w:t>
      </w:r>
      <w:r>
        <w:rPr/>
        <w:t>que</w:t>
      </w:r>
      <w:r>
        <w:rPr>
          <w:spacing w:val="-10"/>
        </w:rPr>
        <w:t> </w:t>
      </w:r>
      <w:r>
        <w:rPr/>
        <w:t>se</w:t>
      </w:r>
      <w:r>
        <w:rPr>
          <w:spacing w:val="-10"/>
        </w:rPr>
        <w:t> </w:t>
      </w:r>
      <w:r>
        <w:rPr/>
        <w:t>trata</w:t>
      </w:r>
      <w:r>
        <w:rPr>
          <w:spacing w:val="-10"/>
        </w:rPr>
        <w:t> </w:t>
      </w:r>
      <w:r>
        <w:rPr/>
        <w:t>de</w:t>
      </w:r>
      <w:r>
        <w:rPr>
          <w:spacing w:val="-10"/>
        </w:rPr>
        <w:t> </w:t>
      </w:r>
      <w:r>
        <w:rPr/>
        <w:t>urbanización </w:t>
      </w:r>
      <w:r>
        <w:rPr>
          <w:spacing w:val="-2"/>
        </w:rPr>
        <w:t>progresiva.</w:t>
      </w:r>
    </w:p>
    <w:p>
      <w:pPr>
        <w:pStyle w:val="BodyText"/>
        <w:spacing w:before="229"/>
        <w:ind w:left="262" w:right="283"/>
        <w:jc w:val="both"/>
      </w:pPr>
      <w:r>
        <w:rPr/>
        <w:t>Sólo tendrán la facultad de promover éste tipo de fraccionamientos las dependencias de los tres órdenes</w:t>
      </w:r>
      <w:r>
        <w:rPr>
          <w:spacing w:val="-11"/>
        </w:rPr>
        <w:t> </w:t>
      </w:r>
      <w:r>
        <w:rPr/>
        <w:t>de</w:t>
      </w:r>
      <w:r>
        <w:rPr>
          <w:spacing w:val="-13"/>
        </w:rPr>
        <w:t> </w:t>
      </w:r>
      <w:r>
        <w:rPr/>
        <w:t>gobierno</w:t>
      </w:r>
      <w:r>
        <w:rPr>
          <w:spacing w:val="-12"/>
        </w:rPr>
        <w:t> </w:t>
      </w:r>
      <w:r>
        <w:rPr/>
        <w:t>dotadas</w:t>
      </w:r>
      <w:r>
        <w:rPr>
          <w:spacing w:val="-11"/>
        </w:rPr>
        <w:t> </w:t>
      </w:r>
      <w:r>
        <w:rPr/>
        <w:t>de</w:t>
      </w:r>
      <w:r>
        <w:rPr>
          <w:spacing w:val="-13"/>
        </w:rPr>
        <w:t> </w:t>
      </w:r>
      <w:r>
        <w:rPr/>
        <w:t>facultades</w:t>
      </w:r>
      <w:r>
        <w:rPr>
          <w:spacing w:val="-11"/>
        </w:rPr>
        <w:t> </w:t>
      </w:r>
      <w:r>
        <w:rPr/>
        <w:t>suficientes,</w:t>
      </w:r>
      <w:r>
        <w:rPr>
          <w:spacing w:val="-12"/>
        </w:rPr>
        <w:t> </w:t>
      </w:r>
      <w:r>
        <w:rPr/>
        <w:t>en</w:t>
      </w:r>
      <w:r>
        <w:rPr>
          <w:spacing w:val="-13"/>
        </w:rPr>
        <w:t> </w:t>
      </w:r>
      <w:r>
        <w:rPr/>
        <w:t>coordinación</w:t>
      </w:r>
      <w:r>
        <w:rPr>
          <w:spacing w:val="-12"/>
        </w:rPr>
        <w:t> </w:t>
      </w:r>
      <w:r>
        <w:rPr/>
        <w:t>con</w:t>
      </w:r>
      <w:r>
        <w:rPr>
          <w:spacing w:val="-10"/>
        </w:rPr>
        <w:t> </w:t>
      </w:r>
      <w:r>
        <w:rPr/>
        <w:t>organismos</w:t>
      </w:r>
      <w:r>
        <w:rPr>
          <w:spacing w:val="-11"/>
        </w:rPr>
        <w:t> </w:t>
      </w:r>
      <w:r>
        <w:rPr/>
        <w:t>públicos</w:t>
      </w:r>
      <w:r>
        <w:rPr>
          <w:spacing w:val="-11"/>
        </w:rPr>
        <w:t> </w:t>
      </w:r>
      <w:r>
        <w:rPr/>
        <w:t>de vivienda o con organizaciones sociales legamente constituidas, o en acciones concertadas entre </w:t>
      </w:r>
      <w:r>
        <w:rPr>
          <w:spacing w:val="-2"/>
        </w:rPr>
        <w:t>éstos.</w:t>
      </w:r>
    </w:p>
    <w:p>
      <w:pPr>
        <w:pStyle w:val="BodyText"/>
        <w:spacing w:before="2"/>
      </w:pPr>
    </w:p>
    <w:p>
      <w:pPr>
        <w:pStyle w:val="BodyText"/>
        <w:ind w:left="262" w:right="278"/>
        <w:jc w:val="both"/>
      </w:pPr>
      <w:r>
        <w:rPr/>
        <w:t>Cuando</w:t>
      </w:r>
      <w:r>
        <w:rPr>
          <w:spacing w:val="-14"/>
        </w:rPr>
        <w:t> </w:t>
      </w:r>
      <w:r>
        <w:rPr/>
        <w:t>confluyan</w:t>
      </w:r>
      <w:r>
        <w:rPr>
          <w:spacing w:val="-14"/>
        </w:rPr>
        <w:t> </w:t>
      </w:r>
      <w:r>
        <w:rPr/>
        <w:t>recursos</w:t>
      </w:r>
      <w:r>
        <w:rPr>
          <w:spacing w:val="-13"/>
        </w:rPr>
        <w:t> </w:t>
      </w:r>
      <w:r>
        <w:rPr/>
        <w:t>de</w:t>
      </w:r>
      <w:r>
        <w:rPr>
          <w:spacing w:val="-12"/>
        </w:rPr>
        <w:t> </w:t>
      </w:r>
      <w:r>
        <w:rPr/>
        <w:t>programas</w:t>
      </w:r>
      <w:r>
        <w:rPr>
          <w:spacing w:val="-12"/>
        </w:rPr>
        <w:t> </w:t>
      </w:r>
      <w:r>
        <w:rPr/>
        <w:t>tales</w:t>
      </w:r>
      <w:r>
        <w:rPr>
          <w:spacing w:val="-13"/>
        </w:rPr>
        <w:t> </w:t>
      </w:r>
      <w:r>
        <w:rPr/>
        <w:t>como</w:t>
      </w:r>
      <w:r>
        <w:rPr>
          <w:spacing w:val="-12"/>
        </w:rPr>
        <w:t> </w:t>
      </w:r>
      <w:r>
        <w:rPr/>
        <w:t>los</w:t>
      </w:r>
      <w:r>
        <w:rPr>
          <w:spacing w:val="-13"/>
        </w:rPr>
        <w:t> </w:t>
      </w:r>
      <w:r>
        <w:rPr/>
        <w:t>de</w:t>
      </w:r>
      <w:r>
        <w:rPr>
          <w:spacing w:val="-12"/>
        </w:rPr>
        <w:t> </w:t>
      </w:r>
      <w:r>
        <w:rPr/>
        <w:t>reubicación</w:t>
      </w:r>
      <w:r>
        <w:rPr>
          <w:spacing w:val="-14"/>
        </w:rPr>
        <w:t> </w:t>
      </w:r>
      <w:r>
        <w:rPr/>
        <w:t>de</w:t>
      </w:r>
      <w:r>
        <w:rPr>
          <w:spacing w:val="-11"/>
        </w:rPr>
        <w:t> </w:t>
      </w:r>
      <w:r>
        <w:rPr/>
        <w:t>asentamientos</w:t>
      </w:r>
      <w:r>
        <w:rPr>
          <w:spacing w:val="-11"/>
        </w:rPr>
        <w:t> </w:t>
      </w:r>
      <w:r>
        <w:rPr/>
        <w:t>humanos en zonas de riesgo, o para otorgar facilidades a quienes resulten damnificados por una catástrofe natural y no cuenten con asiento propio para su familia, entre otros, podrán participar las organizaciones o empresas de los sectores social y privado.</w:t>
      </w:r>
    </w:p>
    <w:p>
      <w:pPr>
        <w:pStyle w:val="BodyText"/>
      </w:pPr>
    </w:p>
    <w:p>
      <w:pPr>
        <w:pStyle w:val="BodyText"/>
        <w:ind w:left="262" w:right="284"/>
        <w:jc w:val="both"/>
      </w:pPr>
      <w:r>
        <w:rPr>
          <w:rFonts w:ascii="Arial" w:hAnsi="Arial"/>
          <w:b/>
        </w:rPr>
        <w:t>ARTÍCULO 332. </w:t>
      </w:r>
      <w:r>
        <w:rPr/>
        <w:t>Los fraccionamientos de tipo popular podrán ejecutarse de conformidad con lo dispuesto en el artículo anterior, como obras por cooperación y de urbanización progresiva, en los casos que determine la Dirección Municipal.</w:t>
      </w:r>
    </w:p>
    <w:p>
      <w:pPr>
        <w:pStyle w:val="ListParagraph"/>
        <w:numPr>
          <w:ilvl w:val="0"/>
          <w:numId w:val="118"/>
        </w:numPr>
        <w:tabs>
          <w:tab w:pos="598" w:val="left" w:leader="none"/>
        </w:tabs>
        <w:spacing w:line="240" w:lineRule="auto" w:before="229" w:after="0"/>
        <w:ind w:left="262" w:right="288" w:firstLine="0"/>
        <w:jc w:val="both"/>
        <w:rPr>
          <w:sz w:val="20"/>
        </w:rPr>
      </w:pPr>
      <w:r>
        <w:rPr>
          <w:sz w:val="20"/>
        </w:rPr>
        <w:t>Los</w:t>
      </w:r>
      <w:r>
        <w:rPr>
          <w:spacing w:val="-12"/>
          <w:sz w:val="20"/>
        </w:rPr>
        <w:t> </w:t>
      </w:r>
      <w:r>
        <w:rPr>
          <w:sz w:val="20"/>
        </w:rPr>
        <w:t>requisitos</w:t>
      </w:r>
      <w:r>
        <w:rPr>
          <w:spacing w:val="-13"/>
          <w:sz w:val="20"/>
        </w:rPr>
        <w:t> </w:t>
      </w:r>
      <w:r>
        <w:rPr>
          <w:sz w:val="20"/>
        </w:rPr>
        <w:t>mínimos</w:t>
      </w:r>
      <w:r>
        <w:rPr>
          <w:spacing w:val="-13"/>
          <w:sz w:val="20"/>
        </w:rPr>
        <w:t> </w:t>
      </w:r>
      <w:r>
        <w:rPr>
          <w:sz w:val="20"/>
        </w:rPr>
        <w:t>de</w:t>
      </w:r>
      <w:r>
        <w:rPr>
          <w:spacing w:val="-12"/>
          <w:sz w:val="20"/>
        </w:rPr>
        <w:t> </w:t>
      </w:r>
      <w:r>
        <w:rPr>
          <w:sz w:val="20"/>
        </w:rPr>
        <w:t>urbanización</w:t>
      </w:r>
      <w:r>
        <w:rPr>
          <w:spacing w:val="-14"/>
          <w:sz w:val="20"/>
        </w:rPr>
        <w:t> </w:t>
      </w:r>
      <w:r>
        <w:rPr>
          <w:sz w:val="20"/>
        </w:rPr>
        <w:t>para</w:t>
      </w:r>
      <w:r>
        <w:rPr>
          <w:spacing w:val="-14"/>
          <w:sz w:val="20"/>
        </w:rPr>
        <w:t> </w:t>
      </w:r>
      <w:r>
        <w:rPr>
          <w:sz w:val="20"/>
        </w:rPr>
        <w:t>la</w:t>
      </w:r>
      <w:r>
        <w:rPr>
          <w:spacing w:val="-14"/>
          <w:sz w:val="20"/>
        </w:rPr>
        <w:t> </w:t>
      </w:r>
      <w:r>
        <w:rPr>
          <w:sz w:val="20"/>
        </w:rPr>
        <w:t>ocupación</w:t>
      </w:r>
      <w:r>
        <w:rPr>
          <w:spacing w:val="-14"/>
          <w:sz w:val="20"/>
        </w:rPr>
        <w:t> </w:t>
      </w:r>
      <w:r>
        <w:rPr>
          <w:sz w:val="20"/>
        </w:rPr>
        <w:t>física</w:t>
      </w:r>
      <w:r>
        <w:rPr>
          <w:spacing w:val="-14"/>
          <w:sz w:val="20"/>
        </w:rPr>
        <w:t> </w:t>
      </w:r>
      <w:r>
        <w:rPr>
          <w:sz w:val="20"/>
        </w:rPr>
        <w:t>de</w:t>
      </w:r>
      <w:r>
        <w:rPr>
          <w:spacing w:val="-12"/>
          <w:sz w:val="20"/>
        </w:rPr>
        <w:t> </w:t>
      </w:r>
      <w:r>
        <w:rPr>
          <w:sz w:val="20"/>
        </w:rPr>
        <w:t>este</w:t>
      </w:r>
      <w:r>
        <w:rPr>
          <w:spacing w:val="-14"/>
          <w:sz w:val="20"/>
        </w:rPr>
        <w:t> </w:t>
      </w:r>
      <w:r>
        <w:rPr>
          <w:sz w:val="20"/>
        </w:rPr>
        <w:t>tipo</w:t>
      </w:r>
      <w:r>
        <w:rPr>
          <w:spacing w:val="-14"/>
          <w:sz w:val="20"/>
        </w:rPr>
        <w:t> </w:t>
      </w:r>
      <w:r>
        <w:rPr>
          <w:sz w:val="20"/>
        </w:rPr>
        <w:t>de</w:t>
      </w:r>
      <w:r>
        <w:rPr>
          <w:spacing w:val="-12"/>
          <w:sz w:val="20"/>
        </w:rPr>
        <w:t> </w:t>
      </w:r>
      <w:r>
        <w:rPr>
          <w:sz w:val="20"/>
        </w:rPr>
        <w:t>fraccionamientos </w:t>
      </w:r>
      <w:r>
        <w:rPr>
          <w:spacing w:val="-4"/>
          <w:sz w:val="20"/>
        </w:rPr>
        <w:t>son: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118"/>
        </w:numPr>
        <w:tabs>
          <w:tab w:pos="544" w:val="left" w:leader="none"/>
        </w:tabs>
        <w:spacing w:line="240" w:lineRule="auto" w:before="0" w:after="0"/>
        <w:ind w:left="544" w:right="0" w:hanging="282"/>
        <w:jc w:val="left"/>
        <w:rPr>
          <w:sz w:val="20"/>
        </w:rPr>
      </w:pPr>
      <w:r>
        <w:rPr>
          <w:sz w:val="20"/>
        </w:rPr>
        <w:t>Trazo</w:t>
      </w:r>
      <w:r>
        <w:rPr>
          <w:spacing w:val="-6"/>
          <w:sz w:val="20"/>
        </w:rPr>
        <w:t> </w:t>
      </w:r>
      <w:r>
        <w:rPr>
          <w:sz w:val="20"/>
        </w:rPr>
        <w:t>de</w:t>
      </w:r>
      <w:r>
        <w:rPr>
          <w:spacing w:val="-5"/>
          <w:sz w:val="20"/>
        </w:rPr>
        <w:t> </w:t>
      </w:r>
      <w:r>
        <w:rPr>
          <w:sz w:val="20"/>
        </w:rPr>
        <w:t>calles</w:t>
      </w:r>
      <w:r>
        <w:rPr>
          <w:spacing w:val="-4"/>
          <w:sz w:val="20"/>
        </w:rPr>
        <w:t> </w:t>
      </w:r>
      <w:r>
        <w:rPr>
          <w:sz w:val="20"/>
        </w:rPr>
        <w:t>y</w:t>
      </w:r>
      <w:r>
        <w:rPr>
          <w:spacing w:val="-3"/>
          <w:sz w:val="20"/>
        </w:rPr>
        <w:t> </w:t>
      </w:r>
      <w:r>
        <w:rPr>
          <w:spacing w:val="-2"/>
          <w:sz w:val="20"/>
        </w:rPr>
        <w:t>lotes.</w:t>
      </w:r>
    </w:p>
    <w:p>
      <w:pPr>
        <w:pStyle w:val="BodyText"/>
        <w:spacing w:before="1"/>
      </w:pPr>
    </w:p>
    <w:p>
      <w:pPr>
        <w:pStyle w:val="ListParagraph"/>
        <w:numPr>
          <w:ilvl w:val="1"/>
          <w:numId w:val="118"/>
        </w:numPr>
        <w:tabs>
          <w:tab w:pos="544" w:val="left" w:leader="none"/>
        </w:tabs>
        <w:spacing w:line="240" w:lineRule="auto" w:before="0" w:after="0"/>
        <w:ind w:left="544" w:right="0" w:hanging="282"/>
        <w:jc w:val="left"/>
        <w:rPr>
          <w:sz w:val="20"/>
        </w:rPr>
      </w:pPr>
      <w:r>
        <w:rPr>
          <w:sz w:val="20"/>
        </w:rPr>
        <w:t>Vías</w:t>
      </w:r>
      <w:r>
        <w:rPr>
          <w:spacing w:val="-5"/>
          <w:sz w:val="20"/>
        </w:rPr>
        <w:t> </w:t>
      </w:r>
      <w:r>
        <w:rPr>
          <w:sz w:val="20"/>
        </w:rPr>
        <w:t>públicas</w:t>
      </w:r>
      <w:r>
        <w:rPr>
          <w:spacing w:val="-5"/>
          <w:sz w:val="20"/>
        </w:rPr>
        <w:t> </w:t>
      </w:r>
      <w:r>
        <w:rPr>
          <w:sz w:val="20"/>
        </w:rPr>
        <w:t>de</w:t>
      </w:r>
      <w:r>
        <w:rPr>
          <w:spacing w:val="-6"/>
          <w:sz w:val="20"/>
        </w:rPr>
        <w:t> </w:t>
      </w:r>
      <w:r>
        <w:rPr>
          <w:sz w:val="20"/>
        </w:rPr>
        <w:t>acceso</w:t>
      </w:r>
      <w:r>
        <w:rPr>
          <w:spacing w:val="-6"/>
          <w:sz w:val="20"/>
        </w:rPr>
        <w:t> </w:t>
      </w:r>
      <w:r>
        <w:rPr>
          <w:sz w:val="20"/>
        </w:rPr>
        <w:t>que</w:t>
      </w:r>
      <w:r>
        <w:rPr>
          <w:spacing w:val="-6"/>
          <w:sz w:val="20"/>
        </w:rPr>
        <w:t> </w:t>
      </w:r>
      <w:r>
        <w:rPr>
          <w:sz w:val="20"/>
        </w:rPr>
        <w:t>garanticen</w:t>
      </w:r>
      <w:r>
        <w:rPr>
          <w:spacing w:val="-6"/>
          <w:sz w:val="20"/>
        </w:rPr>
        <w:t> </w:t>
      </w:r>
      <w:r>
        <w:rPr>
          <w:sz w:val="20"/>
        </w:rPr>
        <w:t>el</w:t>
      </w:r>
      <w:r>
        <w:rPr>
          <w:spacing w:val="-6"/>
          <w:sz w:val="20"/>
        </w:rPr>
        <w:t> </w:t>
      </w:r>
      <w:r>
        <w:rPr>
          <w:sz w:val="20"/>
        </w:rPr>
        <w:t>tránsito</w:t>
      </w:r>
      <w:r>
        <w:rPr>
          <w:spacing w:val="-4"/>
          <w:sz w:val="20"/>
        </w:rPr>
        <w:t> </w:t>
      </w:r>
      <w:r>
        <w:rPr>
          <w:sz w:val="20"/>
        </w:rPr>
        <w:t>de</w:t>
      </w:r>
      <w:r>
        <w:rPr>
          <w:spacing w:val="-5"/>
          <w:sz w:val="20"/>
        </w:rPr>
        <w:t> </w:t>
      </w:r>
      <w:r>
        <w:rPr>
          <w:spacing w:val="-2"/>
          <w:sz w:val="20"/>
        </w:rPr>
        <w:t>vehículos.</w:t>
      </w:r>
    </w:p>
    <w:p>
      <w:pPr>
        <w:pStyle w:val="ListParagraph"/>
        <w:numPr>
          <w:ilvl w:val="1"/>
          <w:numId w:val="118"/>
        </w:numPr>
        <w:tabs>
          <w:tab w:pos="544" w:val="left" w:leader="none"/>
        </w:tabs>
        <w:spacing w:line="240" w:lineRule="auto" w:before="229" w:after="0"/>
        <w:ind w:left="544" w:right="0" w:hanging="282"/>
        <w:jc w:val="left"/>
        <w:rPr>
          <w:sz w:val="20"/>
        </w:rPr>
      </w:pPr>
      <w:r>
        <w:rPr>
          <w:sz w:val="20"/>
        </w:rPr>
        <w:t>Evacuación</w:t>
      </w:r>
      <w:r>
        <w:rPr>
          <w:spacing w:val="-7"/>
          <w:sz w:val="20"/>
        </w:rPr>
        <w:t> </w:t>
      </w:r>
      <w:r>
        <w:rPr>
          <w:sz w:val="20"/>
        </w:rPr>
        <w:t>local</w:t>
      </w:r>
      <w:r>
        <w:rPr>
          <w:spacing w:val="-7"/>
          <w:sz w:val="20"/>
        </w:rPr>
        <w:t> </w:t>
      </w:r>
      <w:r>
        <w:rPr>
          <w:sz w:val="20"/>
        </w:rPr>
        <w:t>de</w:t>
      </w:r>
      <w:r>
        <w:rPr>
          <w:spacing w:val="-7"/>
          <w:sz w:val="20"/>
        </w:rPr>
        <w:t> </w:t>
      </w:r>
      <w:r>
        <w:rPr>
          <w:sz w:val="20"/>
        </w:rPr>
        <w:t>aguas</w:t>
      </w:r>
      <w:r>
        <w:rPr>
          <w:spacing w:val="-6"/>
          <w:sz w:val="20"/>
        </w:rPr>
        <w:t> </w:t>
      </w:r>
      <w:r>
        <w:rPr>
          <w:spacing w:val="-2"/>
          <w:sz w:val="20"/>
        </w:rPr>
        <w:t>pluviales.</w:t>
      </w:r>
    </w:p>
    <w:p>
      <w:pPr>
        <w:pStyle w:val="BodyText"/>
      </w:pPr>
    </w:p>
    <w:p>
      <w:pPr>
        <w:pStyle w:val="ListParagraph"/>
        <w:numPr>
          <w:ilvl w:val="1"/>
          <w:numId w:val="118"/>
        </w:numPr>
        <w:tabs>
          <w:tab w:pos="544" w:val="left" w:leader="none"/>
        </w:tabs>
        <w:spacing w:line="240" w:lineRule="auto" w:before="0" w:after="0"/>
        <w:ind w:left="544" w:right="0" w:hanging="282"/>
        <w:jc w:val="left"/>
        <w:rPr>
          <w:sz w:val="20"/>
        </w:rPr>
      </w:pPr>
      <w:r>
        <w:rPr>
          <w:sz w:val="20"/>
        </w:rPr>
        <w:t>Tomas</w:t>
      </w:r>
      <w:r>
        <w:rPr>
          <w:spacing w:val="-6"/>
          <w:sz w:val="20"/>
        </w:rPr>
        <w:t> </w:t>
      </w:r>
      <w:r>
        <w:rPr>
          <w:sz w:val="20"/>
        </w:rPr>
        <w:t>de</w:t>
      </w:r>
      <w:r>
        <w:rPr>
          <w:spacing w:val="-6"/>
          <w:sz w:val="20"/>
        </w:rPr>
        <w:t> </w:t>
      </w:r>
      <w:r>
        <w:rPr>
          <w:sz w:val="20"/>
        </w:rPr>
        <w:t>agua</w:t>
      </w:r>
      <w:r>
        <w:rPr>
          <w:spacing w:val="-6"/>
          <w:sz w:val="20"/>
        </w:rPr>
        <w:t> </w:t>
      </w:r>
      <w:r>
        <w:rPr>
          <w:sz w:val="20"/>
        </w:rPr>
        <w:t>potable</w:t>
      </w:r>
      <w:r>
        <w:rPr>
          <w:spacing w:val="-6"/>
          <w:sz w:val="20"/>
        </w:rPr>
        <w:t> </w:t>
      </w:r>
      <w:r>
        <w:rPr>
          <w:sz w:val="20"/>
        </w:rPr>
        <w:t>dentro</w:t>
      </w:r>
      <w:r>
        <w:rPr>
          <w:spacing w:val="-7"/>
          <w:sz w:val="20"/>
        </w:rPr>
        <w:t> </w:t>
      </w:r>
      <w:r>
        <w:rPr>
          <w:sz w:val="20"/>
        </w:rPr>
        <w:t>de</w:t>
      </w:r>
      <w:r>
        <w:rPr>
          <w:spacing w:val="-5"/>
          <w:sz w:val="20"/>
        </w:rPr>
        <w:t> </w:t>
      </w:r>
      <w:r>
        <w:rPr>
          <w:sz w:val="20"/>
        </w:rPr>
        <w:t>los</w:t>
      </w:r>
      <w:r>
        <w:rPr>
          <w:spacing w:val="-4"/>
          <w:sz w:val="20"/>
        </w:rPr>
        <w:t> </w:t>
      </w:r>
      <w:r>
        <w:rPr>
          <w:sz w:val="20"/>
        </w:rPr>
        <w:t>predios</w:t>
      </w:r>
      <w:r>
        <w:rPr>
          <w:spacing w:val="-5"/>
          <w:sz w:val="20"/>
        </w:rPr>
        <w:t> </w:t>
      </w:r>
      <w:r>
        <w:rPr>
          <w:sz w:val="20"/>
        </w:rPr>
        <w:t>o</w:t>
      </w:r>
      <w:r>
        <w:rPr>
          <w:spacing w:val="-5"/>
          <w:sz w:val="20"/>
        </w:rPr>
        <w:t> </w:t>
      </w:r>
      <w:r>
        <w:rPr>
          <w:spacing w:val="-2"/>
          <w:sz w:val="20"/>
        </w:rPr>
        <w:t>lotes.</w:t>
      </w:r>
    </w:p>
    <w:p>
      <w:pPr>
        <w:pStyle w:val="BodyText"/>
        <w:spacing w:before="1"/>
      </w:pPr>
    </w:p>
    <w:p>
      <w:pPr>
        <w:pStyle w:val="ListParagraph"/>
        <w:numPr>
          <w:ilvl w:val="1"/>
          <w:numId w:val="118"/>
        </w:numPr>
        <w:tabs>
          <w:tab w:pos="544" w:val="left" w:leader="none"/>
        </w:tabs>
        <w:spacing w:line="240" w:lineRule="auto" w:before="0" w:after="0"/>
        <w:ind w:left="544" w:right="0" w:hanging="282"/>
        <w:jc w:val="left"/>
        <w:rPr>
          <w:sz w:val="20"/>
        </w:rPr>
      </w:pPr>
      <w:r>
        <w:rPr>
          <w:sz w:val="20"/>
        </w:rPr>
        <w:t>Líneas</w:t>
      </w:r>
      <w:r>
        <w:rPr>
          <w:spacing w:val="-8"/>
          <w:sz w:val="20"/>
        </w:rPr>
        <w:t> </w:t>
      </w:r>
      <w:r>
        <w:rPr>
          <w:sz w:val="20"/>
        </w:rPr>
        <w:t>de</w:t>
      </w:r>
      <w:r>
        <w:rPr>
          <w:spacing w:val="-7"/>
          <w:sz w:val="20"/>
        </w:rPr>
        <w:t> </w:t>
      </w:r>
      <w:r>
        <w:rPr>
          <w:sz w:val="20"/>
        </w:rPr>
        <w:t>energía</w:t>
      </w:r>
      <w:r>
        <w:rPr>
          <w:spacing w:val="-9"/>
          <w:sz w:val="20"/>
        </w:rPr>
        <w:t> </w:t>
      </w:r>
      <w:r>
        <w:rPr>
          <w:spacing w:val="-2"/>
          <w:sz w:val="20"/>
        </w:rPr>
        <w:t>eléctrica;</w:t>
      </w:r>
    </w:p>
    <w:p>
      <w:pPr>
        <w:pStyle w:val="ListParagraph"/>
        <w:numPr>
          <w:ilvl w:val="0"/>
          <w:numId w:val="118"/>
        </w:numPr>
        <w:tabs>
          <w:tab w:pos="686" w:val="left" w:leader="none"/>
        </w:tabs>
        <w:spacing w:line="240" w:lineRule="auto" w:before="229" w:after="0"/>
        <w:ind w:left="262" w:right="279" w:firstLine="0"/>
        <w:jc w:val="both"/>
        <w:rPr>
          <w:sz w:val="20"/>
        </w:rPr>
      </w:pPr>
      <w:r>
        <w:rPr>
          <w:sz w:val="20"/>
        </w:rPr>
        <w:t>El Ayuntamiento solicitará que se acompañe la solicitud de un estudio económico que contemple las inversiones previstas para las obras de urbanización y equipamiento faltantes, la forma en que aquellas se financiarán y los desembolsos que tendrían que efectuar los futuros adquirientes de los lotes;</w:t>
      </w:r>
    </w:p>
    <w:p>
      <w:pPr>
        <w:pStyle w:val="BodyText"/>
        <w:spacing w:before="2"/>
      </w:pPr>
    </w:p>
    <w:p>
      <w:pPr>
        <w:pStyle w:val="ListParagraph"/>
        <w:numPr>
          <w:ilvl w:val="0"/>
          <w:numId w:val="118"/>
        </w:numPr>
        <w:tabs>
          <w:tab w:pos="741" w:val="left" w:leader="none"/>
        </w:tabs>
        <w:spacing w:line="240" w:lineRule="auto" w:before="0" w:after="0"/>
        <w:ind w:left="741" w:right="0" w:hanging="479"/>
        <w:jc w:val="both"/>
        <w:rPr>
          <w:sz w:val="20"/>
        </w:rPr>
      </w:pPr>
      <w:r>
        <w:rPr>
          <w:sz w:val="20"/>
        </w:rPr>
        <w:t>A</w:t>
      </w:r>
      <w:r>
        <w:rPr>
          <w:spacing w:val="-11"/>
          <w:sz w:val="20"/>
        </w:rPr>
        <w:t> </w:t>
      </w:r>
      <w:r>
        <w:rPr>
          <w:sz w:val="20"/>
        </w:rPr>
        <w:t>las</w:t>
      </w:r>
      <w:r>
        <w:rPr>
          <w:spacing w:val="-10"/>
          <w:sz w:val="20"/>
        </w:rPr>
        <w:t> </w:t>
      </w:r>
      <w:r>
        <w:rPr>
          <w:sz w:val="20"/>
        </w:rPr>
        <w:t>dependencias</w:t>
      </w:r>
      <w:r>
        <w:rPr>
          <w:spacing w:val="-11"/>
          <w:sz w:val="20"/>
        </w:rPr>
        <w:t> </w:t>
      </w:r>
      <w:r>
        <w:rPr>
          <w:sz w:val="20"/>
        </w:rPr>
        <w:t>gubernamentales</w:t>
      </w:r>
      <w:r>
        <w:rPr>
          <w:spacing w:val="-10"/>
          <w:sz w:val="20"/>
        </w:rPr>
        <w:t> </w:t>
      </w:r>
      <w:r>
        <w:rPr>
          <w:sz w:val="20"/>
        </w:rPr>
        <w:t>competentes</w:t>
      </w:r>
      <w:r>
        <w:rPr>
          <w:spacing w:val="-10"/>
          <w:sz w:val="20"/>
        </w:rPr>
        <w:t> </w:t>
      </w:r>
      <w:r>
        <w:rPr>
          <w:spacing w:val="-2"/>
          <w:sz w:val="20"/>
        </w:rPr>
        <w:t>corresponderá:</w:t>
      </w:r>
    </w:p>
    <w:p>
      <w:pPr>
        <w:pStyle w:val="ListParagraph"/>
        <w:numPr>
          <w:ilvl w:val="1"/>
          <w:numId w:val="118"/>
        </w:numPr>
        <w:tabs>
          <w:tab w:pos="544" w:val="left" w:leader="none"/>
        </w:tabs>
        <w:spacing w:line="240" w:lineRule="auto" w:before="229" w:after="0"/>
        <w:ind w:left="262" w:right="286" w:firstLine="0"/>
        <w:jc w:val="both"/>
        <w:rPr>
          <w:sz w:val="20"/>
        </w:rPr>
      </w:pPr>
      <w:r>
        <w:rPr>
          <w:sz w:val="20"/>
        </w:rPr>
        <w:t>Dar asesoramiento para la elaboración del proyecto del fraccionamiento, obtención de la autorización,</w:t>
      </w:r>
      <w:r>
        <w:rPr>
          <w:spacing w:val="-4"/>
          <w:sz w:val="20"/>
        </w:rPr>
        <w:t> </w:t>
      </w:r>
      <w:r>
        <w:rPr>
          <w:sz w:val="20"/>
        </w:rPr>
        <w:t>ejecución</w:t>
      </w:r>
      <w:r>
        <w:rPr>
          <w:spacing w:val="-2"/>
          <w:sz w:val="20"/>
        </w:rPr>
        <w:t> </w:t>
      </w:r>
      <w:r>
        <w:rPr>
          <w:sz w:val="20"/>
        </w:rPr>
        <w:t>por</w:t>
      </w:r>
      <w:r>
        <w:rPr>
          <w:spacing w:val="-1"/>
          <w:sz w:val="20"/>
        </w:rPr>
        <w:t> </w:t>
      </w:r>
      <w:r>
        <w:rPr>
          <w:sz w:val="20"/>
        </w:rPr>
        <w:t>etapas</w:t>
      </w:r>
      <w:r>
        <w:rPr>
          <w:spacing w:val="-3"/>
          <w:sz w:val="20"/>
        </w:rPr>
        <w:t> </w:t>
      </w:r>
      <w:r>
        <w:rPr>
          <w:sz w:val="20"/>
        </w:rPr>
        <w:t>de</w:t>
      </w:r>
      <w:r>
        <w:rPr>
          <w:spacing w:val="-2"/>
          <w:sz w:val="20"/>
        </w:rPr>
        <w:t> </w:t>
      </w:r>
      <w:r>
        <w:rPr>
          <w:sz w:val="20"/>
        </w:rPr>
        <w:t>la</w:t>
      </w:r>
      <w:r>
        <w:rPr>
          <w:spacing w:val="-2"/>
          <w:sz w:val="20"/>
        </w:rPr>
        <w:t> </w:t>
      </w:r>
      <w:r>
        <w:rPr>
          <w:sz w:val="20"/>
        </w:rPr>
        <w:t>urbanización</w:t>
      </w:r>
      <w:r>
        <w:rPr>
          <w:spacing w:val="-2"/>
          <w:sz w:val="20"/>
        </w:rPr>
        <w:t> </w:t>
      </w:r>
      <w:r>
        <w:rPr>
          <w:sz w:val="20"/>
        </w:rPr>
        <w:t>y</w:t>
      </w:r>
      <w:r>
        <w:rPr>
          <w:spacing w:val="-3"/>
          <w:sz w:val="20"/>
        </w:rPr>
        <w:t> </w:t>
      </w:r>
      <w:r>
        <w:rPr>
          <w:sz w:val="20"/>
        </w:rPr>
        <w:t>del</w:t>
      </w:r>
      <w:r>
        <w:rPr>
          <w:spacing w:val="-3"/>
          <w:sz w:val="20"/>
        </w:rPr>
        <w:t> </w:t>
      </w:r>
      <w:r>
        <w:rPr>
          <w:sz w:val="20"/>
        </w:rPr>
        <w:t>equipamiento,</w:t>
      </w:r>
      <w:r>
        <w:rPr>
          <w:spacing w:val="-2"/>
          <w:sz w:val="20"/>
        </w:rPr>
        <w:t> </w:t>
      </w:r>
      <w:r>
        <w:rPr>
          <w:sz w:val="20"/>
        </w:rPr>
        <w:t>así</w:t>
      </w:r>
      <w:r>
        <w:rPr>
          <w:spacing w:val="-4"/>
          <w:sz w:val="20"/>
        </w:rPr>
        <w:t> </w:t>
      </w:r>
      <w:r>
        <w:rPr>
          <w:sz w:val="20"/>
        </w:rPr>
        <w:t>como</w:t>
      </w:r>
      <w:r>
        <w:rPr>
          <w:spacing w:val="-4"/>
          <w:sz w:val="20"/>
        </w:rPr>
        <w:t> </w:t>
      </w:r>
      <w:r>
        <w:rPr>
          <w:sz w:val="20"/>
        </w:rPr>
        <w:t>el</w:t>
      </w:r>
      <w:r>
        <w:rPr>
          <w:spacing w:val="-3"/>
          <w:sz w:val="20"/>
        </w:rPr>
        <w:t> </w:t>
      </w:r>
      <w:r>
        <w:rPr>
          <w:sz w:val="20"/>
        </w:rPr>
        <w:t>otorgamiento en su momento del título de propiedad.</w:t>
      </w:r>
    </w:p>
    <w:p>
      <w:pPr>
        <w:pStyle w:val="ListParagraph"/>
        <w:numPr>
          <w:ilvl w:val="1"/>
          <w:numId w:val="118"/>
        </w:numPr>
        <w:tabs>
          <w:tab w:pos="544" w:val="left" w:leader="none"/>
        </w:tabs>
        <w:spacing w:line="240" w:lineRule="auto" w:before="229" w:after="0"/>
        <w:ind w:left="262" w:right="279" w:firstLine="0"/>
        <w:jc w:val="both"/>
        <w:rPr>
          <w:sz w:val="20"/>
        </w:rPr>
      </w:pPr>
      <w:r>
        <w:rPr>
          <w:sz w:val="20"/>
        </w:rPr>
        <w:t>Dar apoyo, orientación e incluso asumir la representación de la organización social, si fuere necesario, en todas las gestiones directa o indirectamente relacionadas con la ejecución del fraccionamiento de urbanización progresiva, con la obtención de créditos institucionales para la edificación de viviendas.</w:t>
      </w:r>
    </w:p>
    <w:p>
      <w:pPr>
        <w:pStyle w:val="BodyText"/>
        <w:spacing w:before="2"/>
      </w:pPr>
    </w:p>
    <w:p>
      <w:pPr>
        <w:pStyle w:val="ListParagraph"/>
        <w:numPr>
          <w:ilvl w:val="1"/>
          <w:numId w:val="118"/>
        </w:numPr>
        <w:tabs>
          <w:tab w:pos="544" w:val="left" w:leader="none"/>
        </w:tabs>
        <w:spacing w:line="240" w:lineRule="auto" w:before="1" w:after="0"/>
        <w:ind w:left="262" w:right="280" w:firstLine="0"/>
        <w:jc w:val="both"/>
        <w:rPr>
          <w:sz w:val="20"/>
        </w:rPr>
      </w:pPr>
      <w:r>
        <w:rPr>
          <w:sz w:val="20"/>
        </w:rPr>
        <w:t>En su caso, suministrar planos de prototipos para la construcción de viviendas y proporcionar asistencia técnica relativa a la obtención de licencias de construcción, la capacitación de los integrantes de la organización social para la autoconstrucción de habitaciones y la adquisición de materiales, y</w:t>
      </w:r>
    </w:p>
    <w:p>
      <w:pPr>
        <w:pStyle w:val="ListParagraph"/>
        <w:numPr>
          <w:ilvl w:val="0"/>
          <w:numId w:val="118"/>
        </w:numPr>
        <w:tabs>
          <w:tab w:pos="688" w:val="left" w:leader="none"/>
        </w:tabs>
        <w:spacing w:line="240" w:lineRule="auto" w:before="229" w:after="0"/>
        <w:ind w:left="262" w:right="280" w:firstLine="0"/>
        <w:jc w:val="both"/>
        <w:rPr>
          <w:sz w:val="20"/>
        </w:rPr>
      </w:pPr>
      <w:r>
        <w:rPr>
          <w:sz w:val="20"/>
        </w:rPr>
        <w:t>La organización social deberá asumir el cumplimiento de las obligaciones de urbanización y equipamiento</w:t>
      </w:r>
      <w:r>
        <w:rPr>
          <w:spacing w:val="-9"/>
          <w:sz w:val="20"/>
        </w:rPr>
        <w:t> </w:t>
      </w:r>
      <w:r>
        <w:rPr>
          <w:sz w:val="20"/>
        </w:rPr>
        <w:t>en</w:t>
      </w:r>
      <w:r>
        <w:rPr>
          <w:spacing w:val="-9"/>
          <w:sz w:val="20"/>
        </w:rPr>
        <w:t> </w:t>
      </w:r>
      <w:r>
        <w:rPr>
          <w:sz w:val="20"/>
        </w:rPr>
        <w:t>la</w:t>
      </w:r>
      <w:r>
        <w:rPr>
          <w:spacing w:val="-9"/>
          <w:sz w:val="20"/>
        </w:rPr>
        <w:t> </w:t>
      </w:r>
      <w:r>
        <w:rPr>
          <w:sz w:val="20"/>
        </w:rPr>
        <w:t>forma</w:t>
      </w:r>
      <w:r>
        <w:rPr>
          <w:spacing w:val="-11"/>
          <w:sz w:val="20"/>
        </w:rPr>
        <w:t> </w:t>
      </w:r>
      <w:r>
        <w:rPr>
          <w:sz w:val="20"/>
        </w:rPr>
        <w:t>que</w:t>
      </w:r>
      <w:r>
        <w:rPr>
          <w:spacing w:val="-12"/>
          <w:sz w:val="20"/>
        </w:rPr>
        <w:t> </w:t>
      </w:r>
      <w:r>
        <w:rPr>
          <w:sz w:val="20"/>
        </w:rPr>
        <w:t>corresponda</w:t>
      </w:r>
      <w:r>
        <w:rPr>
          <w:spacing w:val="-11"/>
          <w:sz w:val="20"/>
        </w:rPr>
        <w:t> </w:t>
      </w:r>
      <w:r>
        <w:rPr>
          <w:sz w:val="20"/>
        </w:rPr>
        <w:t>a</w:t>
      </w:r>
      <w:r>
        <w:rPr>
          <w:spacing w:val="-9"/>
          <w:sz w:val="20"/>
        </w:rPr>
        <w:t> </w:t>
      </w:r>
      <w:r>
        <w:rPr>
          <w:sz w:val="20"/>
        </w:rPr>
        <w:t>las</w:t>
      </w:r>
      <w:r>
        <w:rPr>
          <w:spacing w:val="-10"/>
          <w:sz w:val="20"/>
        </w:rPr>
        <w:t> </w:t>
      </w:r>
      <w:r>
        <w:rPr>
          <w:sz w:val="20"/>
        </w:rPr>
        <w:t>peculiaridades</w:t>
      </w:r>
      <w:r>
        <w:rPr>
          <w:spacing w:val="-8"/>
          <w:sz w:val="20"/>
        </w:rPr>
        <w:t> </w:t>
      </w:r>
      <w:r>
        <w:rPr>
          <w:sz w:val="20"/>
        </w:rPr>
        <w:t>del</w:t>
      </w:r>
      <w:r>
        <w:rPr>
          <w:spacing w:val="-10"/>
          <w:sz w:val="20"/>
        </w:rPr>
        <w:t> </w:t>
      </w:r>
      <w:r>
        <w:rPr>
          <w:sz w:val="20"/>
        </w:rPr>
        <w:t>fraccionamiento</w:t>
      </w:r>
      <w:r>
        <w:rPr>
          <w:spacing w:val="-11"/>
          <w:sz w:val="20"/>
        </w:rPr>
        <w:t> </w:t>
      </w:r>
      <w:r>
        <w:rPr>
          <w:sz w:val="20"/>
        </w:rPr>
        <w:t>de</w:t>
      </w:r>
      <w:r>
        <w:rPr>
          <w:spacing w:val="-11"/>
          <w:sz w:val="20"/>
        </w:rPr>
        <w:t> </w:t>
      </w:r>
      <w:r>
        <w:rPr>
          <w:sz w:val="20"/>
        </w:rPr>
        <w:t>urbanización progresiva, así como las contempladas en esta</w:t>
      </w:r>
      <w:r>
        <w:rPr>
          <w:spacing w:val="40"/>
          <w:sz w:val="20"/>
        </w:rPr>
        <w:t> </w:t>
      </w:r>
      <w:r>
        <w:rPr>
          <w:sz w:val="20"/>
        </w:rPr>
        <w:t>Ley y en el acuerdo o contrato que al respecto se elabore entre la dependencia gubernamental y la organización social.</w:t>
      </w:r>
    </w:p>
    <w:p>
      <w:pPr>
        <w:pStyle w:val="BodyText"/>
      </w:pPr>
    </w:p>
    <w:p>
      <w:pPr>
        <w:pStyle w:val="BodyText"/>
        <w:ind w:left="262" w:right="281"/>
        <w:jc w:val="both"/>
      </w:pPr>
      <w:r>
        <w:rPr>
          <w:rFonts w:ascii="Arial" w:hAnsi="Arial"/>
          <w:b/>
        </w:rPr>
        <w:t>ARTÍCULO</w:t>
      </w:r>
      <w:r>
        <w:rPr>
          <w:rFonts w:ascii="Arial" w:hAnsi="Arial"/>
          <w:b/>
          <w:spacing w:val="-13"/>
        </w:rPr>
        <w:t> </w:t>
      </w:r>
      <w:r>
        <w:rPr>
          <w:rFonts w:ascii="Arial" w:hAnsi="Arial"/>
          <w:b/>
        </w:rPr>
        <w:t>333.</w:t>
      </w:r>
      <w:r>
        <w:rPr>
          <w:rFonts w:ascii="Arial" w:hAnsi="Arial"/>
          <w:b/>
          <w:spacing w:val="-13"/>
        </w:rPr>
        <w:t> </w:t>
      </w:r>
      <w:r>
        <w:rPr/>
        <w:t>Los</w:t>
      </w:r>
      <w:r>
        <w:rPr>
          <w:spacing w:val="-12"/>
        </w:rPr>
        <w:t> </w:t>
      </w:r>
      <w:r>
        <w:rPr/>
        <w:t>fraccionamientos</w:t>
      </w:r>
      <w:r>
        <w:rPr>
          <w:spacing w:val="-12"/>
        </w:rPr>
        <w:t> </w:t>
      </w:r>
      <w:r>
        <w:rPr/>
        <w:t>de</w:t>
      </w:r>
      <w:r>
        <w:rPr>
          <w:spacing w:val="-14"/>
        </w:rPr>
        <w:t> </w:t>
      </w:r>
      <w:r>
        <w:rPr/>
        <w:t>tipo</w:t>
      </w:r>
      <w:r>
        <w:rPr>
          <w:spacing w:val="-14"/>
        </w:rPr>
        <w:t> </w:t>
      </w:r>
      <w:r>
        <w:rPr/>
        <w:t>mixto</w:t>
      </w:r>
      <w:r>
        <w:rPr>
          <w:spacing w:val="-14"/>
        </w:rPr>
        <w:t> </w:t>
      </w:r>
      <w:r>
        <w:rPr/>
        <w:t>son</w:t>
      </w:r>
      <w:r>
        <w:rPr>
          <w:spacing w:val="-14"/>
        </w:rPr>
        <w:t> </w:t>
      </w:r>
      <w:r>
        <w:rPr/>
        <w:t>aquellos</w:t>
      </w:r>
      <w:r>
        <w:rPr>
          <w:spacing w:val="-13"/>
        </w:rPr>
        <w:t> </w:t>
      </w:r>
      <w:r>
        <w:rPr/>
        <w:t>en</w:t>
      </w:r>
      <w:r>
        <w:rPr>
          <w:spacing w:val="-12"/>
        </w:rPr>
        <w:t> </w:t>
      </w:r>
      <w:r>
        <w:rPr/>
        <w:t>los</w:t>
      </w:r>
      <w:r>
        <w:rPr>
          <w:spacing w:val="-13"/>
        </w:rPr>
        <w:t> </w:t>
      </w:r>
      <w:r>
        <w:rPr/>
        <w:t>que</w:t>
      </w:r>
      <w:r>
        <w:rPr>
          <w:spacing w:val="-14"/>
        </w:rPr>
        <w:t> </w:t>
      </w:r>
      <w:r>
        <w:rPr/>
        <w:t>el</w:t>
      </w:r>
      <w:r>
        <w:rPr>
          <w:spacing w:val="-14"/>
        </w:rPr>
        <w:t> </w:t>
      </w:r>
      <w:r>
        <w:rPr/>
        <w:t>fraccionador</w:t>
      </w:r>
      <w:r>
        <w:rPr>
          <w:spacing w:val="-13"/>
        </w:rPr>
        <w:t> </w:t>
      </w:r>
      <w:r>
        <w:rPr/>
        <w:t>dedicará el</w:t>
      </w:r>
      <w:r>
        <w:rPr>
          <w:spacing w:val="-10"/>
        </w:rPr>
        <w:t> </w:t>
      </w:r>
      <w:r>
        <w:rPr/>
        <w:t>proyecto</w:t>
      </w:r>
      <w:r>
        <w:rPr>
          <w:spacing w:val="-8"/>
        </w:rPr>
        <w:t> </w:t>
      </w:r>
      <w:r>
        <w:rPr/>
        <w:t>preferentemente</w:t>
      </w:r>
      <w:r>
        <w:rPr>
          <w:spacing w:val="-9"/>
        </w:rPr>
        <w:t> </w:t>
      </w:r>
      <w:r>
        <w:rPr/>
        <w:t>a</w:t>
      </w:r>
      <w:r>
        <w:rPr>
          <w:spacing w:val="-9"/>
        </w:rPr>
        <w:t> </w:t>
      </w:r>
      <w:r>
        <w:rPr/>
        <w:t>vivienda,</w:t>
      </w:r>
      <w:r>
        <w:rPr>
          <w:spacing w:val="-9"/>
        </w:rPr>
        <w:t> </w:t>
      </w:r>
      <w:r>
        <w:rPr/>
        <w:t>combinando</w:t>
      </w:r>
      <w:r>
        <w:rPr>
          <w:spacing w:val="-8"/>
        </w:rPr>
        <w:t> </w:t>
      </w:r>
      <w:r>
        <w:rPr/>
        <w:t>algunas</w:t>
      </w:r>
      <w:r>
        <w:rPr>
          <w:spacing w:val="-8"/>
        </w:rPr>
        <w:t> </w:t>
      </w:r>
      <w:r>
        <w:rPr/>
        <w:t>zonas</w:t>
      </w:r>
      <w:r>
        <w:rPr>
          <w:spacing w:val="-8"/>
        </w:rPr>
        <w:t> </w:t>
      </w:r>
      <w:r>
        <w:rPr/>
        <w:t>del</w:t>
      </w:r>
      <w:r>
        <w:rPr>
          <w:spacing w:val="-10"/>
        </w:rPr>
        <w:t> </w:t>
      </w:r>
      <w:r>
        <w:rPr/>
        <w:t>terreno</w:t>
      </w:r>
      <w:r>
        <w:rPr>
          <w:spacing w:val="-9"/>
        </w:rPr>
        <w:t> </w:t>
      </w:r>
      <w:r>
        <w:rPr/>
        <w:t>o</w:t>
      </w:r>
      <w:r>
        <w:rPr>
          <w:spacing w:val="-8"/>
        </w:rPr>
        <w:t> </w:t>
      </w:r>
      <w:r>
        <w:rPr/>
        <w:t>áreas</w:t>
      </w:r>
      <w:r>
        <w:rPr>
          <w:spacing w:val="39"/>
        </w:rPr>
        <w:t> </w:t>
      </w:r>
      <w:r>
        <w:rPr/>
        <w:t>a</w:t>
      </w:r>
      <w:r>
        <w:rPr>
          <w:spacing w:val="-9"/>
        </w:rPr>
        <w:t> </w:t>
      </w:r>
      <w:r>
        <w:rPr/>
        <w:t>diferentes aprovechamientos</w:t>
      </w:r>
      <w:r>
        <w:rPr>
          <w:spacing w:val="-10"/>
        </w:rPr>
        <w:t> </w:t>
      </w:r>
      <w:r>
        <w:rPr/>
        <w:t>especiales</w:t>
      </w:r>
      <w:r>
        <w:rPr>
          <w:spacing w:val="-13"/>
        </w:rPr>
        <w:t> </w:t>
      </w:r>
      <w:r>
        <w:rPr/>
        <w:t>de</w:t>
      </w:r>
      <w:r>
        <w:rPr>
          <w:spacing w:val="-12"/>
        </w:rPr>
        <w:t> </w:t>
      </w:r>
      <w:r>
        <w:rPr/>
        <w:t>tipo</w:t>
      </w:r>
      <w:r>
        <w:rPr>
          <w:spacing w:val="-14"/>
        </w:rPr>
        <w:t> </w:t>
      </w:r>
      <w:r>
        <w:rPr/>
        <w:t>comercial,</w:t>
      </w:r>
      <w:r>
        <w:rPr>
          <w:spacing w:val="-11"/>
        </w:rPr>
        <w:t> </w:t>
      </w:r>
      <w:r>
        <w:rPr/>
        <w:t>de</w:t>
      </w:r>
      <w:r>
        <w:rPr>
          <w:spacing w:val="-14"/>
        </w:rPr>
        <w:t> </w:t>
      </w:r>
      <w:r>
        <w:rPr/>
        <w:t>servicios</w:t>
      </w:r>
      <w:r>
        <w:rPr>
          <w:spacing w:val="29"/>
        </w:rPr>
        <w:t> </w:t>
      </w:r>
      <w:r>
        <w:rPr/>
        <w:t>y/o</w:t>
      </w:r>
      <w:r>
        <w:rPr>
          <w:spacing w:val="30"/>
        </w:rPr>
        <w:t> </w:t>
      </w:r>
      <w:r>
        <w:rPr/>
        <w:t>industriales</w:t>
      </w:r>
      <w:r>
        <w:rPr>
          <w:spacing w:val="-12"/>
        </w:rPr>
        <w:t> </w:t>
      </w:r>
      <w:r>
        <w:rPr/>
        <w:t>micro</w:t>
      </w:r>
      <w:r>
        <w:rPr>
          <w:spacing w:val="-14"/>
        </w:rPr>
        <w:t> </w:t>
      </w:r>
      <w:r>
        <w:rPr/>
        <w:t>productivos,</w:t>
      </w:r>
      <w:r>
        <w:rPr>
          <w:spacing w:val="-11"/>
        </w:rPr>
        <w:t> </w:t>
      </w:r>
      <w:r>
        <w:rPr/>
        <w:t>que no realicen actividades productivas pecuarias, porcinas o avícolas u otras similares, en un máximo del</w:t>
      </w:r>
      <w:r>
        <w:rPr>
          <w:spacing w:val="40"/>
        </w:rPr>
        <w:t> </w:t>
      </w:r>
      <w:r>
        <w:rPr/>
        <w:t>cincuenta</w:t>
      </w:r>
      <w:r>
        <w:rPr>
          <w:spacing w:val="-7"/>
        </w:rPr>
        <w:t> </w:t>
      </w:r>
      <w:r>
        <w:rPr/>
        <w:t>por</w:t>
      </w:r>
      <w:r>
        <w:rPr>
          <w:spacing w:val="-8"/>
        </w:rPr>
        <w:t> </w:t>
      </w:r>
      <w:r>
        <w:rPr/>
        <w:t>ciento</w:t>
      </w:r>
      <w:r>
        <w:rPr>
          <w:spacing w:val="-7"/>
        </w:rPr>
        <w:t> </w:t>
      </w:r>
      <w:r>
        <w:rPr/>
        <w:t>de</w:t>
      </w:r>
      <w:r>
        <w:rPr>
          <w:spacing w:val="-7"/>
        </w:rPr>
        <w:t> </w:t>
      </w:r>
      <w:r>
        <w:rPr/>
        <w:t>la</w:t>
      </w:r>
      <w:r>
        <w:rPr>
          <w:spacing w:val="-9"/>
        </w:rPr>
        <w:t> </w:t>
      </w:r>
      <w:r>
        <w:rPr/>
        <w:t>superficie</w:t>
      </w:r>
      <w:r>
        <w:rPr>
          <w:spacing w:val="-9"/>
        </w:rPr>
        <w:t> </w:t>
      </w:r>
      <w:r>
        <w:rPr/>
        <w:t>vendible,</w:t>
      </w:r>
      <w:r>
        <w:rPr>
          <w:spacing w:val="-9"/>
        </w:rPr>
        <w:t> </w:t>
      </w:r>
      <w:r>
        <w:rPr/>
        <w:t>conforme</w:t>
      </w:r>
      <w:r>
        <w:rPr>
          <w:spacing w:val="-9"/>
        </w:rPr>
        <w:t> </w:t>
      </w:r>
      <w:r>
        <w:rPr/>
        <w:t>a</w:t>
      </w:r>
      <w:r>
        <w:rPr>
          <w:spacing w:val="-7"/>
        </w:rPr>
        <w:t> </w:t>
      </w:r>
      <w:r>
        <w:rPr/>
        <w:t>lo</w:t>
      </w:r>
      <w:r>
        <w:rPr>
          <w:spacing w:val="-7"/>
        </w:rPr>
        <w:t> </w:t>
      </w:r>
      <w:r>
        <w:rPr/>
        <w:t>dispuesto</w:t>
      </w:r>
      <w:r>
        <w:rPr>
          <w:spacing w:val="-7"/>
        </w:rPr>
        <w:t> </w:t>
      </w:r>
      <w:r>
        <w:rPr/>
        <w:t>en</w:t>
      </w:r>
      <w:r>
        <w:rPr>
          <w:spacing w:val="-7"/>
        </w:rPr>
        <w:t> </w:t>
      </w:r>
      <w:r>
        <w:rPr/>
        <w:t>el</w:t>
      </w:r>
      <w:r>
        <w:rPr>
          <w:spacing w:val="-8"/>
        </w:rPr>
        <w:t> </w:t>
      </w:r>
      <w:r>
        <w:rPr/>
        <w:t>artículo</w:t>
      </w:r>
      <w:r>
        <w:rPr>
          <w:spacing w:val="-7"/>
        </w:rPr>
        <w:t> </w:t>
      </w:r>
      <w:r>
        <w:rPr/>
        <w:t>324</w:t>
      </w:r>
      <w:r>
        <w:rPr>
          <w:spacing w:val="-7"/>
        </w:rPr>
        <w:t> </w:t>
      </w:r>
      <w:r>
        <w:rPr/>
        <w:t>de</w:t>
      </w:r>
      <w:r>
        <w:rPr>
          <w:spacing w:val="-7"/>
        </w:rPr>
        <w:t> </w:t>
      </w:r>
      <w:r>
        <w:rPr/>
        <w:t>esta </w:t>
      </w:r>
      <w:r>
        <w:rPr>
          <w:spacing w:val="-4"/>
        </w:rPr>
        <w:t>Ley.</w:t>
      </w:r>
    </w:p>
    <w:p>
      <w:pPr>
        <w:pStyle w:val="BodyText"/>
        <w:spacing w:before="1"/>
      </w:pPr>
    </w:p>
    <w:p>
      <w:pPr>
        <w:pStyle w:val="BodyText"/>
        <w:ind w:left="262" w:right="284"/>
        <w:jc w:val="both"/>
      </w:pPr>
      <w:r>
        <w:rPr>
          <w:rFonts w:ascii="Arial" w:hAnsi="Arial"/>
          <w:b/>
          <w:spacing w:val="-2"/>
        </w:rPr>
        <w:t>ARTÍCULO 334. </w:t>
      </w:r>
      <w:r>
        <w:rPr>
          <w:spacing w:val="-2"/>
        </w:rPr>
        <w:t>Los proyectos de</w:t>
      </w:r>
      <w:r>
        <w:rPr>
          <w:spacing w:val="-5"/>
        </w:rPr>
        <w:t> </w:t>
      </w:r>
      <w:r>
        <w:rPr>
          <w:spacing w:val="-2"/>
        </w:rPr>
        <w:t>fraccionamientos especiales se</w:t>
      </w:r>
      <w:r>
        <w:rPr>
          <w:spacing w:val="-3"/>
        </w:rPr>
        <w:t> </w:t>
      </w:r>
      <w:r>
        <w:rPr>
          <w:spacing w:val="-2"/>
        </w:rPr>
        <w:t>orientarán</w:t>
      </w:r>
      <w:r>
        <w:rPr>
          <w:spacing w:val="-3"/>
        </w:rPr>
        <w:t> </w:t>
      </w:r>
      <w:r>
        <w:rPr>
          <w:spacing w:val="-2"/>
        </w:rPr>
        <w:t>conforme</w:t>
      </w:r>
      <w:r>
        <w:rPr>
          <w:spacing w:val="-3"/>
        </w:rPr>
        <w:t> </w:t>
      </w:r>
      <w:r>
        <w:rPr>
          <w:spacing w:val="-2"/>
        </w:rPr>
        <w:t>a</w:t>
      </w:r>
      <w:r>
        <w:rPr>
          <w:spacing w:val="-3"/>
        </w:rPr>
        <w:t> </w:t>
      </w:r>
      <w:r>
        <w:rPr>
          <w:spacing w:val="-2"/>
        </w:rPr>
        <w:t>la</w:t>
      </w:r>
      <w:r>
        <w:rPr>
          <w:spacing w:val="-3"/>
        </w:rPr>
        <w:t> </w:t>
      </w:r>
      <w:r>
        <w:rPr>
          <w:spacing w:val="-2"/>
        </w:rPr>
        <w:t>siguiente tabla:</w:t>
      </w:r>
    </w:p>
    <w:p>
      <w:pPr>
        <w:pStyle w:val="BodyText"/>
        <w:spacing w:after="0"/>
        <w:jc w:val="both"/>
        <w:sectPr>
          <w:pgSz w:w="12240" w:h="15840"/>
          <w:pgMar w:header="720" w:footer="697" w:top="2100" w:bottom="880" w:left="1440" w:right="1440"/>
        </w:sectPr>
      </w:pPr>
    </w:p>
    <w:p>
      <w:pPr>
        <w:pStyle w:val="BodyText"/>
      </w:pPr>
    </w:p>
    <w:p>
      <w:pPr>
        <w:pStyle w:val="BodyText"/>
        <w:spacing w:before="74"/>
      </w:pPr>
    </w:p>
    <w:tbl>
      <w:tblPr>
        <w:tblW w:w="0" w:type="auto"/>
        <w:jc w:val="left"/>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1"/>
        <w:gridCol w:w="972"/>
        <w:gridCol w:w="1099"/>
        <w:gridCol w:w="1522"/>
        <w:gridCol w:w="1550"/>
        <w:gridCol w:w="1567"/>
      </w:tblGrid>
      <w:tr>
        <w:trPr>
          <w:trHeight w:val="1149" w:hRule="atLeast"/>
        </w:trPr>
        <w:tc>
          <w:tcPr>
            <w:tcW w:w="1351" w:type="dxa"/>
          </w:tcPr>
          <w:p>
            <w:pPr>
              <w:pStyle w:val="TableParagraph"/>
              <w:spacing w:line="229" w:lineRule="exact"/>
              <w:ind w:left="107"/>
              <w:rPr>
                <w:rFonts w:ascii="Arial MT"/>
                <w:sz w:val="20"/>
              </w:rPr>
            </w:pPr>
            <w:r>
              <w:rPr>
                <w:rFonts w:ascii="Arial MT"/>
                <w:spacing w:val="-2"/>
                <w:w w:val="75"/>
                <w:sz w:val="20"/>
              </w:rPr>
              <w:t>ESPECIALES</w:t>
            </w:r>
          </w:p>
        </w:tc>
        <w:tc>
          <w:tcPr>
            <w:tcW w:w="972" w:type="dxa"/>
          </w:tcPr>
          <w:p>
            <w:pPr>
              <w:pStyle w:val="TableParagraph"/>
              <w:spacing w:line="228" w:lineRule="exact"/>
              <w:ind w:left="110"/>
              <w:rPr>
                <w:rFonts w:ascii="Arial"/>
                <w:b/>
                <w:sz w:val="20"/>
              </w:rPr>
            </w:pPr>
            <w:r>
              <w:rPr>
                <w:rFonts w:ascii="Arial"/>
                <w:b/>
                <w:spacing w:val="-2"/>
                <w:w w:val="80"/>
                <w:sz w:val="20"/>
              </w:rPr>
              <w:t>DENSIDAD</w:t>
            </w:r>
          </w:p>
          <w:p>
            <w:pPr>
              <w:pStyle w:val="TableParagraph"/>
              <w:ind w:left="180" w:right="123" w:hanging="60"/>
              <w:rPr>
                <w:rFonts w:ascii="Arial" w:hAnsi="Arial"/>
                <w:b/>
                <w:sz w:val="20"/>
              </w:rPr>
            </w:pPr>
            <w:r>
              <w:rPr>
                <w:rFonts w:ascii="Arial" w:hAnsi="Arial"/>
                <w:b/>
                <w:spacing w:val="-2"/>
                <w:w w:val="70"/>
                <w:sz w:val="20"/>
              </w:rPr>
              <w:t>Máxima</w:t>
            </w:r>
            <w:r>
              <w:rPr>
                <w:rFonts w:ascii="Arial" w:hAnsi="Arial"/>
                <w:b/>
                <w:spacing w:val="-18"/>
                <w:sz w:val="20"/>
              </w:rPr>
              <w:t> </w:t>
            </w:r>
            <w:r>
              <w:rPr>
                <w:rFonts w:ascii="Arial" w:hAnsi="Arial"/>
                <w:b/>
                <w:spacing w:val="-2"/>
                <w:w w:val="70"/>
                <w:sz w:val="20"/>
              </w:rPr>
              <w:t>de</w:t>
            </w:r>
            <w:r>
              <w:rPr>
                <w:rFonts w:ascii="Arial" w:hAnsi="Arial"/>
                <w:b/>
                <w:w w:val="75"/>
                <w:sz w:val="20"/>
              </w:rPr>
              <w:t> lotes</w:t>
            </w:r>
            <w:r>
              <w:rPr>
                <w:rFonts w:ascii="Arial" w:hAnsi="Arial"/>
                <w:b/>
                <w:spacing w:val="-5"/>
                <w:w w:val="75"/>
                <w:sz w:val="20"/>
              </w:rPr>
              <w:t> </w:t>
            </w:r>
            <w:r>
              <w:rPr>
                <w:rFonts w:ascii="Arial" w:hAnsi="Arial"/>
                <w:b/>
                <w:w w:val="75"/>
                <w:sz w:val="20"/>
              </w:rPr>
              <w:t>por </w:t>
            </w:r>
            <w:r>
              <w:rPr>
                <w:rFonts w:ascii="Arial" w:hAnsi="Arial"/>
                <w:b/>
                <w:spacing w:val="-2"/>
                <w:w w:val="75"/>
                <w:sz w:val="20"/>
              </w:rPr>
              <w:t>hectárea</w:t>
            </w:r>
          </w:p>
        </w:tc>
        <w:tc>
          <w:tcPr>
            <w:tcW w:w="1099" w:type="dxa"/>
          </w:tcPr>
          <w:p>
            <w:pPr>
              <w:pStyle w:val="TableParagraph"/>
              <w:ind w:left="113" w:right="119" w:hanging="1"/>
              <w:jc w:val="center"/>
              <w:rPr>
                <w:rFonts w:ascii="Arial"/>
                <w:b/>
                <w:sz w:val="20"/>
              </w:rPr>
            </w:pPr>
            <w:r>
              <w:rPr>
                <w:rFonts w:ascii="Arial"/>
                <w:b/>
                <w:spacing w:val="-2"/>
                <w:w w:val="70"/>
                <w:sz w:val="20"/>
              </w:rPr>
              <w:t>SUPERFICIE</w:t>
            </w:r>
            <w:r>
              <w:rPr>
                <w:rFonts w:ascii="Arial"/>
                <w:b/>
                <w:sz w:val="20"/>
              </w:rPr>
              <w:t> </w:t>
            </w:r>
            <w:r>
              <w:rPr>
                <w:rFonts w:ascii="Arial"/>
                <w:b/>
                <w:spacing w:val="-2"/>
                <w:w w:val="70"/>
                <w:sz w:val="20"/>
              </w:rPr>
              <w:t>MINIMA</w:t>
            </w:r>
            <w:r>
              <w:rPr>
                <w:rFonts w:ascii="Arial"/>
                <w:b/>
                <w:spacing w:val="-17"/>
                <w:sz w:val="20"/>
              </w:rPr>
              <w:t> </w:t>
            </w:r>
            <w:r>
              <w:rPr>
                <w:rFonts w:ascii="Arial"/>
                <w:b/>
                <w:spacing w:val="-2"/>
                <w:w w:val="70"/>
                <w:sz w:val="20"/>
              </w:rPr>
              <w:t>POR</w:t>
            </w:r>
            <w:r>
              <w:rPr>
                <w:rFonts w:ascii="Arial"/>
                <w:b/>
                <w:spacing w:val="-2"/>
                <w:w w:val="80"/>
                <w:sz w:val="20"/>
              </w:rPr>
              <w:t> </w:t>
            </w:r>
            <w:r>
              <w:rPr>
                <w:rFonts w:ascii="Arial"/>
                <w:b/>
                <w:spacing w:val="-4"/>
                <w:w w:val="80"/>
                <w:sz w:val="20"/>
              </w:rPr>
              <w:t>LOTE</w:t>
            </w:r>
          </w:p>
          <w:p>
            <w:pPr>
              <w:pStyle w:val="TableParagraph"/>
              <w:spacing w:line="230" w:lineRule="exact"/>
              <w:ind w:left="185" w:right="195" w:firstLine="4"/>
              <w:jc w:val="center"/>
              <w:rPr>
                <w:rFonts w:ascii="Arial"/>
                <w:b/>
                <w:sz w:val="20"/>
              </w:rPr>
            </w:pPr>
            <w:r>
              <w:rPr>
                <w:rFonts w:ascii="Arial"/>
                <w:b/>
                <w:spacing w:val="-2"/>
                <w:w w:val="80"/>
                <w:sz w:val="20"/>
              </w:rPr>
              <w:t>Metros </w:t>
            </w:r>
            <w:r>
              <w:rPr>
                <w:rFonts w:ascii="Arial"/>
                <w:b/>
                <w:spacing w:val="-2"/>
                <w:w w:val="70"/>
                <w:sz w:val="20"/>
              </w:rPr>
              <w:t>cuadrados</w:t>
            </w:r>
          </w:p>
        </w:tc>
        <w:tc>
          <w:tcPr>
            <w:tcW w:w="1522" w:type="dxa"/>
          </w:tcPr>
          <w:p>
            <w:pPr>
              <w:pStyle w:val="TableParagraph"/>
              <w:spacing w:line="229" w:lineRule="exact"/>
              <w:ind w:left="202"/>
              <w:rPr>
                <w:rFonts w:ascii="Arial"/>
                <w:b/>
                <w:sz w:val="20"/>
              </w:rPr>
            </w:pPr>
            <w:r>
              <w:rPr>
                <w:rFonts w:ascii="Arial"/>
                <w:b/>
                <w:w w:val="65"/>
                <w:sz w:val="20"/>
              </w:rPr>
              <w:t>USO</w:t>
            </w:r>
            <w:r>
              <w:rPr>
                <w:rFonts w:ascii="Arial"/>
                <w:b/>
                <w:spacing w:val="-4"/>
                <w:sz w:val="20"/>
              </w:rPr>
              <w:t> </w:t>
            </w:r>
            <w:r>
              <w:rPr>
                <w:rFonts w:ascii="Arial"/>
                <w:b/>
                <w:w w:val="65"/>
                <w:sz w:val="20"/>
              </w:rPr>
              <w:t>Y</w:t>
            </w:r>
            <w:r>
              <w:rPr>
                <w:rFonts w:ascii="Arial"/>
                <w:b/>
                <w:spacing w:val="-6"/>
                <w:sz w:val="20"/>
              </w:rPr>
              <w:t> </w:t>
            </w:r>
            <w:r>
              <w:rPr>
                <w:rFonts w:ascii="Arial"/>
                <w:b/>
                <w:spacing w:val="-2"/>
                <w:w w:val="65"/>
                <w:sz w:val="20"/>
              </w:rPr>
              <w:t>DESTINO</w:t>
            </w:r>
          </w:p>
        </w:tc>
        <w:tc>
          <w:tcPr>
            <w:tcW w:w="1550" w:type="dxa"/>
          </w:tcPr>
          <w:p>
            <w:pPr>
              <w:pStyle w:val="TableParagraph"/>
              <w:ind w:left="134" w:right="144"/>
              <w:jc w:val="center"/>
              <w:rPr>
                <w:rFonts w:ascii="Arial" w:hAnsi="Arial"/>
                <w:b/>
                <w:sz w:val="20"/>
              </w:rPr>
            </w:pPr>
            <w:r>
              <w:rPr>
                <w:rFonts w:ascii="Arial" w:hAnsi="Arial"/>
                <w:b/>
                <w:w w:val="70"/>
                <w:sz w:val="20"/>
              </w:rPr>
              <w:t>Área de donación</w:t>
            </w:r>
            <w:r>
              <w:rPr>
                <w:rFonts w:ascii="Arial" w:hAnsi="Arial"/>
                <w:b/>
                <w:sz w:val="20"/>
              </w:rPr>
              <w:t> </w:t>
            </w:r>
            <w:r>
              <w:rPr>
                <w:rFonts w:ascii="Arial" w:hAnsi="Arial"/>
                <w:b/>
                <w:spacing w:val="-2"/>
                <w:w w:val="70"/>
                <w:sz w:val="20"/>
              </w:rPr>
              <w:t>para</w:t>
            </w:r>
            <w:r>
              <w:rPr>
                <w:rFonts w:ascii="Arial" w:hAnsi="Arial"/>
                <w:b/>
                <w:spacing w:val="-18"/>
                <w:sz w:val="20"/>
              </w:rPr>
              <w:t> </w:t>
            </w:r>
            <w:r>
              <w:rPr>
                <w:rFonts w:ascii="Arial" w:hAnsi="Arial"/>
                <w:b/>
                <w:spacing w:val="-2"/>
                <w:w w:val="70"/>
                <w:sz w:val="20"/>
              </w:rPr>
              <w:t>equipamiento</w:t>
            </w:r>
            <w:r>
              <w:rPr>
                <w:rFonts w:ascii="Arial" w:hAnsi="Arial"/>
                <w:b/>
                <w:spacing w:val="-2"/>
                <w:w w:val="80"/>
                <w:sz w:val="20"/>
              </w:rPr>
              <w:t> </w:t>
            </w:r>
            <w:r>
              <w:rPr>
                <w:rFonts w:ascii="Arial" w:hAnsi="Arial"/>
                <w:b/>
                <w:w w:val="80"/>
                <w:sz w:val="20"/>
              </w:rPr>
              <w:t>y áreas verdes</w:t>
            </w:r>
          </w:p>
        </w:tc>
        <w:tc>
          <w:tcPr>
            <w:tcW w:w="1567" w:type="dxa"/>
          </w:tcPr>
          <w:p>
            <w:pPr>
              <w:pStyle w:val="TableParagraph"/>
              <w:ind w:left="123" w:right="127" w:firstLine="1"/>
              <w:jc w:val="center"/>
              <w:rPr>
                <w:rFonts w:ascii="Arial" w:hAnsi="Arial"/>
                <w:b/>
                <w:sz w:val="20"/>
              </w:rPr>
            </w:pPr>
            <w:r>
              <w:rPr>
                <w:rFonts w:ascii="Arial" w:hAnsi="Arial"/>
                <w:b/>
                <w:w w:val="80"/>
                <w:sz w:val="20"/>
              </w:rPr>
              <w:t>Coeficiente</w:t>
            </w:r>
            <w:r>
              <w:rPr>
                <w:rFonts w:ascii="Arial" w:hAnsi="Arial"/>
                <w:b/>
                <w:spacing w:val="-7"/>
                <w:w w:val="80"/>
                <w:sz w:val="20"/>
              </w:rPr>
              <w:t> </w:t>
            </w:r>
            <w:r>
              <w:rPr>
                <w:rFonts w:ascii="Arial" w:hAnsi="Arial"/>
                <w:b/>
                <w:w w:val="80"/>
                <w:sz w:val="20"/>
              </w:rPr>
              <w:t>de </w:t>
            </w:r>
            <w:r>
              <w:rPr>
                <w:rFonts w:ascii="Arial" w:hAnsi="Arial"/>
                <w:b/>
                <w:spacing w:val="-2"/>
                <w:w w:val="70"/>
                <w:sz w:val="20"/>
              </w:rPr>
              <w:t>ocupación</w:t>
            </w:r>
            <w:r>
              <w:rPr>
                <w:rFonts w:ascii="Arial" w:hAnsi="Arial"/>
                <w:b/>
                <w:spacing w:val="-18"/>
                <w:sz w:val="20"/>
              </w:rPr>
              <w:t> </w:t>
            </w:r>
            <w:r>
              <w:rPr>
                <w:rFonts w:ascii="Arial" w:hAnsi="Arial"/>
                <w:b/>
                <w:spacing w:val="-2"/>
                <w:w w:val="70"/>
                <w:sz w:val="20"/>
              </w:rPr>
              <w:t>de</w:t>
            </w:r>
            <w:r>
              <w:rPr>
                <w:rFonts w:ascii="Arial" w:hAnsi="Arial"/>
                <w:b/>
                <w:spacing w:val="-18"/>
                <w:sz w:val="20"/>
              </w:rPr>
              <w:t> </w:t>
            </w:r>
            <w:r>
              <w:rPr>
                <w:rFonts w:ascii="Arial" w:hAnsi="Arial"/>
                <w:b/>
                <w:spacing w:val="-2"/>
                <w:w w:val="70"/>
                <w:sz w:val="20"/>
              </w:rPr>
              <w:t>suelo</w:t>
            </w:r>
            <w:r>
              <w:rPr>
                <w:rFonts w:ascii="Arial" w:hAnsi="Arial"/>
                <w:b/>
                <w:spacing w:val="-2"/>
                <w:w w:val="80"/>
                <w:sz w:val="20"/>
              </w:rPr>
              <w:t> (COS)</w:t>
            </w:r>
          </w:p>
        </w:tc>
      </w:tr>
      <w:tr>
        <w:trPr>
          <w:trHeight w:val="1148" w:hRule="atLeast"/>
        </w:trPr>
        <w:tc>
          <w:tcPr>
            <w:tcW w:w="1351" w:type="dxa"/>
          </w:tcPr>
          <w:p>
            <w:pPr>
              <w:pStyle w:val="TableParagraph"/>
              <w:spacing w:before="229"/>
              <w:ind w:left="107"/>
              <w:rPr>
                <w:rFonts w:ascii="Arial MT"/>
                <w:sz w:val="20"/>
              </w:rPr>
            </w:pPr>
            <w:r>
              <w:rPr>
                <w:rFonts w:ascii="Arial MT"/>
                <w:spacing w:val="-2"/>
                <w:w w:val="75"/>
                <w:sz w:val="20"/>
              </w:rPr>
              <w:t>COMERCIALES</w:t>
            </w:r>
          </w:p>
        </w:tc>
        <w:tc>
          <w:tcPr>
            <w:tcW w:w="972" w:type="dxa"/>
          </w:tcPr>
          <w:p>
            <w:pPr>
              <w:pStyle w:val="TableParagraph"/>
              <w:spacing w:before="229"/>
              <w:ind w:left="2" w:right="11"/>
              <w:jc w:val="center"/>
              <w:rPr>
                <w:rFonts w:ascii="Arial MT"/>
                <w:sz w:val="20"/>
              </w:rPr>
            </w:pPr>
            <w:r>
              <w:rPr>
                <w:rFonts w:ascii="Arial MT"/>
                <w:spacing w:val="-5"/>
                <w:w w:val="75"/>
                <w:sz w:val="20"/>
              </w:rPr>
              <w:t>50</w:t>
            </w:r>
          </w:p>
        </w:tc>
        <w:tc>
          <w:tcPr>
            <w:tcW w:w="1099" w:type="dxa"/>
          </w:tcPr>
          <w:p>
            <w:pPr>
              <w:pStyle w:val="TableParagraph"/>
              <w:spacing w:before="229"/>
              <w:ind w:right="10"/>
              <w:jc w:val="center"/>
              <w:rPr>
                <w:rFonts w:ascii="Arial MT"/>
                <w:sz w:val="20"/>
              </w:rPr>
            </w:pPr>
            <w:r>
              <w:rPr>
                <w:rFonts w:ascii="Arial MT"/>
                <w:spacing w:val="-5"/>
                <w:w w:val="75"/>
                <w:sz w:val="20"/>
              </w:rPr>
              <w:t>120</w:t>
            </w:r>
          </w:p>
        </w:tc>
        <w:tc>
          <w:tcPr>
            <w:tcW w:w="1522" w:type="dxa"/>
          </w:tcPr>
          <w:p>
            <w:pPr>
              <w:pStyle w:val="TableParagraph"/>
              <w:tabs>
                <w:tab w:pos="952" w:val="left" w:leader="none"/>
                <w:tab w:pos="1240" w:val="left" w:leader="none"/>
              </w:tabs>
              <w:spacing w:before="229"/>
              <w:ind w:left="108" w:right="118"/>
              <w:rPr>
                <w:rFonts w:ascii="Arial MT"/>
                <w:sz w:val="20"/>
              </w:rPr>
            </w:pPr>
            <w:r>
              <w:rPr>
                <w:rFonts w:ascii="Arial MT"/>
                <w:spacing w:val="-2"/>
                <w:w w:val="75"/>
                <w:sz w:val="20"/>
              </w:rPr>
              <w:t>Comercial</w:t>
            </w:r>
            <w:r>
              <w:rPr>
                <w:rFonts w:ascii="Arial MT"/>
                <w:sz w:val="20"/>
              </w:rPr>
              <w:tab/>
            </w:r>
            <w:r>
              <w:rPr>
                <w:rFonts w:ascii="Arial MT"/>
                <w:spacing w:val="-10"/>
                <w:w w:val="75"/>
                <w:sz w:val="20"/>
              </w:rPr>
              <w:t>y</w:t>
            </w:r>
            <w:r>
              <w:rPr>
                <w:rFonts w:ascii="Arial MT"/>
                <w:sz w:val="20"/>
              </w:rPr>
              <w:tab/>
            </w:r>
            <w:r>
              <w:rPr>
                <w:rFonts w:ascii="Arial MT"/>
                <w:spacing w:val="-12"/>
                <w:w w:val="75"/>
                <w:sz w:val="20"/>
              </w:rPr>
              <w:t>de</w:t>
            </w:r>
            <w:r>
              <w:rPr>
                <w:rFonts w:ascii="Arial MT"/>
                <w:sz w:val="20"/>
              </w:rPr>
              <w:t> </w:t>
            </w:r>
            <w:r>
              <w:rPr>
                <w:rFonts w:ascii="Arial MT"/>
                <w:spacing w:val="-2"/>
                <w:w w:val="75"/>
                <w:sz w:val="20"/>
              </w:rPr>
              <w:t>servicios</w:t>
            </w:r>
          </w:p>
        </w:tc>
        <w:tc>
          <w:tcPr>
            <w:tcW w:w="1550" w:type="dxa"/>
          </w:tcPr>
          <w:p>
            <w:pPr>
              <w:pStyle w:val="TableParagraph"/>
              <w:tabs>
                <w:tab w:pos="1144" w:val="left" w:leader="none"/>
              </w:tabs>
              <w:ind w:left="108" w:right="116"/>
              <w:jc w:val="both"/>
              <w:rPr>
                <w:rFonts w:ascii="Arial MT" w:hAnsi="Arial MT"/>
                <w:sz w:val="20"/>
              </w:rPr>
            </w:pPr>
            <w:r>
              <w:rPr>
                <w:rFonts w:ascii="Arial MT" w:hAnsi="Arial MT"/>
                <w:w w:val="70"/>
                <w:sz w:val="20"/>
              </w:rPr>
              <w:t>5%</w:t>
            </w:r>
            <w:r>
              <w:rPr>
                <w:rFonts w:ascii="Arial MT" w:hAnsi="Arial MT"/>
                <w:spacing w:val="-14"/>
                <w:sz w:val="20"/>
              </w:rPr>
              <w:t> </w:t>
            </w:r>
            <w:r>
              <w:rPr>
                <w:rFonts w:ascii="Arial MT" w:hAnsi="Arial MT"/>
                <w:w w:val="70"/>
                <w:sz w:val="20"/>
              </w:rPr>
              <w:t>del</w:t>
            </w:r>
            <w:r>
              <w:rPr>
                <w:rFonts w:ascii="Arial MT" w:hAnsi="Arial MT"/>
                <w:spacing w:val="-14"/>
                <w:sz w:val="20"/>
              </w:rPr>
              <w:t> </w:t>
            </w:r>
            <w:r>
              <w:rPr>
                <w:rFonts w:ascii="Arial MT" w:hAnsi="Arial MT"/>
                <w:w w:val="70"/>
                <w:sz w:val="20"/>
              </w:rPr>
              <w:t>área</w:t>
            </w:r>
            <w:r>
              <w:rPr>
                <w:rFonts w:ascii="Arial MT" w:hAnsi="Arial MT"/>
                <w:spacing w:val="-14"/>
                <w:sz w:val="20"/>
              </w:rPr>
              <w:t> </w:t>
            </w:r>
            <w:r>
              <w:rPr>
                <w:rFonts w:ascii="Arial MT" w:hAnsi="Arial MT"/>
                <w:w w:val="70"/>
                <w:sz w:val="20"/>
              </w:rPr>
              <w:t>total</w:t>
            </w:r>
            <w:r>
              <w:rPr>
                <w:rFonts w:ascii="Arial MT" w:hAnsi="Arial MT"/>
                <w:spacing w:val="-14"/>
                <w:sz w:val="20"/>
              </w:rPr>
              <w:t> </w:t>
            </w:r>
            <w:r>
              <w:rPr>
                <w:rFonts w:ascii="Arial MT" w:hAnsi="Arial MT"/>
                <w:w w:val="70"/>
                <w:sz w:val="20"/>
              </w:rPr>
              <w:t>del</w:t>
            </w:r>
            <w:r>
              <w:rPr>
                <w:rFonts w:ascii="Arial MT" w:hAnsi="Arial MT"/>
                <w:w w:val="75"/>
                <w:sz w:val="20"/>
              </w:rPr>
              <w:t> predio</w:t>
            </w:r>
            <w:r>
              <w:rPr>
                <w:rFonts w:ascii="Arial MT" w:hAnsi="Arial MT"/>
                <w:sz w:val="20"/>
              </w:rPr>
              <w:t> </w:t>
            </w:r>
            <w:r>
              <w:rPr>
                <w:rFonts w:ascii="Arial MT" w:hAnsi="Arial MT"/>
                <w:w w:val="75"/>
                <w:sz w:val="20"/>
              </w:rPr>
              <w:t>con</w:t>
            </w:r>
            <w:r>
              <w:rPr>
                <w:rFonts w:ascii="Arial MT" w:hAnsi="Arial MT"/>
                <w:sz w:val="20"/>
              </w:rPr>
              <w:t> </w:t>
            </w:r>
            <w:r>
              <w:rPr>
                <w:rFonts w:ascii="Arial MT" w:hAnsi="Arial MT"/>
                <w:w w:val="75"/>
                <w:sz w:val="20"/>
              </w:rPr>
              <w:t>el</w:t>
            </w:r>
            <w:r>
              <w:rPr>
                <w:rFonts w:ascii="Arial MT" w:hAnsi="Arial MT"/>
                <w:w w:val="75"/>
                <w:sz w:val="20"/>
              </w:rPr>
              <w:t> 80% </w:t>
            </w:r>
            <w:r>
              <w:rPr>
                <w:rFonts w:ascii="Arial MT" w:hAnsi="Arial MT"/>
                <w:w w:val="70"/>
                <w:sz w:val="20"/>
              </w:rPr>
              <w:t>para</w:t>
            </w:r>
            <w:r>
              <w:rPr>
                <w:rFonts w:ascii="Arial MT" w:hAnsi="Arial MT"/>
                <w:spacing w:val="-4"/>
                <w:sz w:val="20"/>
              </w:rPr>
              <w:t> </w:t>
            </w:r>
            <w:r>
              <w:rPr>
                <w:rFonts w:ascii="Arial MT" w:hAnsi="Arial MT"/>
                <w:w w:val="70"/>
                <w:sz w:val="20"/>
              </w:rPr>
              <w:t>áreas</w:t>
            </w:r>
            <w:r>
              <w:rPr>
                <w:rFonts w:ascii="Arial MT" w:hAnsi="Arial MT"/>
                <w:spacing w:val="-4"/>
                <w:sz w:val="20"/>
              </w:rPr>
              <w:t> </w:t>
            </w:r>
            <w:r>
              <w:rPr>
                <w:rFonts w:ascii="Arial MT" w:hAnsi="Arial MT"/>
                <w:w w:val="70"/>
                <w:sz w:val="20"/>
              </w:rPr>
              <w:t>verdes</w:t>
            </w:r>
            <w:r>
              <w:rPr>
                <w:rFonts w:ascii="Arial MT" w:hAnsi="Arial MT"/>
                <w:spacing w:val="-4"/>
                <w:sz w:val="20"/>
              </w:rPr>
              <w:t> </w:t>
            </w:r>
            <w:r>
              <w:rPr>
                <w:rFonts w:ascii="Arial MT" w:hAnsi="Arial MT"/>
                <w:w w:val="70"/>
                <w:sz w:val="20"/>
              </w:rPr>
              <w:t>y</w:t>
            </w:r>
            <w:r>
              <w:rPr>
                <w:rFonts w:ascii="Arial MT" w:hAnsi="Arial MT"/>
                <w:w w:val="75"/>
                <w:sz w:val="20"/>
              </w:rPr>
              <w:t> </w:t>
            </w:r>
            <w:r>
              <w:rPr>
                <w:rFonts w:ascii="Arial MT" w:hAnsi="Arial MT"/>
                <w:spacing w:val="-5"/>
                <w:w w:val="75"/>
                <w:sz w:val="20"/>
              </w:rPr>
              <w:t>20%</w:t>
            </w:r>
            <w:r>
              <w:rPr>
                <w:rFonts w:ascii="Arial MT" w:hAnsi="Arial MT"/>
                <w:sz w:val="20"/>
              </w:rPr>
              <w:tab/>
            </w:r>
            <w:r>
              <w:rPr>
                <w:rFonts w:ascii="Arial MT" w:hAnsi="Arial MT"/>
                <w:spacing w:val="-4"/>
                <w:w w:val="70"/>
                <w:sz w:val="20"/>
              </w:rPr>
              <w:t>para</w:t>
            </w:r>
          </w:p>
          <w:p>
            <w:pPr>
              <w:pStyle w:val="TableParagraph"/>
              <w:spacing w:line="210" w:lineRule="exact"/>
              <w:ind w:left="108"/>
              <w:rPr>
                <w:rFonts w:ascii="Arial MT"/>
                <w:sz w:val="20"/>
              </w:rPr>
            </w:pPr>
            <w:r>
              <w:rPr>
                <w:rFonts w:ascii="Arial MT"/>
                <w:spacing w:val="-2"/>
                <w:w w:val="75"/>
                <w:sz w:val="20"/>
              </w:rPr>
              <w:t>equipamiento.</w:t>
            </w:r>
          </w:p>
        </w:tc>
        <w:tc>
          <w:tcPr>
            <w:tcW w:w="1567" w:type="dxa"/>
          </w:tcPr>
          <w:p>
            <w:pPr>
              <w:pStyle w:val="TableParagraph"/>
              <w:spacing w:before="229"/>
              <w:ind w:left="111" w:right="115"/>
              <w:jc w:val="both"/>
              <w:rPr>
                <w:rFonts w:ascii="Arial MT" w:hAnsi="Arial MT"/>
                <w:sz w:val="20"/>
              </w:rPr>
            </w:pPr>
            <w:r>
              <w:rPr>
                <w:rFonts w:ascii="Arial MT" w:hAnsi="Arial MT"/>
                <w:w w:val="75"/>
                <w:sz w:val="20"/>
              </w:rPr>
              <w:t>60%</w:t>
            </w:r>
            <w:r>
              <w:rPr>
                <w:rFonts w:ascii="Arial MT" w:hAnsi="Arial MT"/>
                <w:spacing w:val="-6"/>
                <w:sz w:val="20"/>
              </w:rPr>
              <w:t> </w:t>
            </w:r>
            <w:r>
              <w:rPr>
                <w:rFonts w:ascii="Arial MT" w:hAnsi="Arial MT"/>
                <w:w w:val="75"/>
                <w:sz w:val="20"/>
              </w:rPr>
              <w:t>como</w:t>
            </w:r>
            <w:r>
              <w:rPr>
                <w:rFonts w:ascii="Arial MT" w:hAnsi="Arial MT"/>
                <w:w w:val="75"/>
                <w:sz w:val="20"/>
              </w:rPr>
              <w:t> máximo </w:t>
            </w:r>
            <w:r>
              <w:rPr>
                <w:rFonts w:ascii="Arial MT" w:hAnsi="Arial MT"/>
                <w:w w:val="70"/>
                <w:sz w:val="20"/>
              </w:rPr>
              <w:t>de</w:t>
            </w:r>
            <w:r>
              <w:rPr>
                <w:rFonts w:ascii="Arial MT" w:hAnsi="Arial MT"/>
                <w:spacing w:val="-1"/>
                <w:sz w:val="20"/>
              </w:rPr>
              <w:t> </w:t>
            </w:r>
            <w:r>
              <w:rPr>
                <w:rFonts w:ascii="Arial MT" w:hAnsi="Arial MT"/>
                <w:w w:val="70"/>
                <w:sz w:val="20"/>
              </w:rPr>
              <w:t>la</w:t>
            </w:r>
            <w:r>
              <w:rPr>
                <w:rFonts w:ascii="Arial MT" w:hAnsi="Arial MT"/>
                <w:spacing w:val="-1"/>
                <w:sz w:val="20"/>
              </w:rPr>
              <w:t> </w:t>
            </w:r>
            <w:r>
              <w:rPr>
                <w:rFonts w:ascii="Arial MT" w:hAnsi="Arial MT"/>
                <w:w w:val="70"/>
                <w:sz w:val="20"/>
              </w:rPr>
              <w:t>superficie</w:t>
            </w:r>
            <w:r>
              <w:rPr>
                <w:rFonts w:ascii="Arial MT" w:hAnsi="Arial MT"/>
                <w:spacing w:val="-3"/>
                <w:sz w:val="20"/>
              </w:rPr>
              <w:t> </w:t>
            </w:r>
            <w:r>
              <w:rPr>
                <w:rFonts w:ascii="Arial MT" w:hAnsi="Arial MT"/>
                <w:w w:val="70"/>
                <w:sz w:val="20"/>
              </w:rPr>
              <w:t>total</w:t>
            </w:r>
            <w:r>
              <w:rPr>
                <w:rFonts w:ascii="Arial MT" w:hAnsi="Arial MT"/>
                <w:w w:val="75"/>
                <w:sz w:val="20"/>
              </w:rPr>
              <w:t> del mismo</w:t>
            </w:r>
          </w:p>
        </w:tc>
      </w:tr>
      <w:tr>
        <w:trPr>
          <w:trHeight w:val="921" w:hRule="atLeast"/>
        </w:trPr>
        <w:tc>
          <w:tcPr>
            <w:tcW w:w="1351" w:type="dxa"/>
          </w:tcPr>
          <w:p>
            <w:pPr>
              <w:pStyle w:val="TableParagraph"/>
              <w:rPr>
                <w:rFonts w:ascii="Arial MT"/>
                <w:sz w:val="20"/>
              </w:rPr>
            </w:pPr>
          </w:p>
          <w:p>
            <w:pPr>
              <w:pStyle w:val="TableParagraph"/>
              <w:ind w:left="107"/>
              <w:rPr>
                <w:rFonts w:ascii="Arial MT"/>
                <w:sz w:val="20"/>
              </w:rPr>
            </w:pPr>
            <w:r>
              <w:rPr>
                <w:rFonts w:ascii="Arial MT"/>
                <w:spacing w:val="-2"/>
                <w:w w:val="75"/>
                <w:sz w:val="20"/>
              </w:rPr>
              <w:t>INDUSTRIALES</w:t>
            </w:r>
          </w:p>
        </w:tc>
        <w:tc>
          <w:tcPr>
            <w:tcW w:w="972" w:type="dxa"/>
          </w:tcPr>
          <w:p>
            <w:pPr>
              <w:pStyle w:val="TableParagraph"/>
              <w:rPr>
                <w:rFonts w:ascii="Arial MT"/>
                <w:sz w:val="20"/>
              </w:rPr>
            </w:pPr>
          </w:p>
          <w:p>
            <w:pPr>
              <w:pStyle w:val="TableParagraph"/>
              <w:ind w:right="11"/>
              <w:jc w:val="center"/>
              <w:rPr>
                <w:rFonts w:ascii="Arial MT"/>
                <w:sz w:val="20"/>
              </w:rPr>
            </w:pPr>
            <w:r>
              <w:rPr>
                <w:rFonts w:ascii="Arial MT"/>
                <w:spacing w:val="-10"/>
                <w:w w:val="75"/>
                <w:sz w:val="20"/>
              </w:rPr>
              <w:t>8</w:t>
            </w:r>
          </w:p>
        </w:tc>
        <w:tc>
          <w:tcPr>
            <w:tcW w:w="1099" w:type="dxa"/>
          </w:tcPr>
          <w:p>
            <w:pPr>
              <w:pStyle w:val="TableParagraph"/>
              <w:rPr>
                <w:rFonts w:ascii="Arial MT"/>
                <w:sz w:val="20"/>
              </w:rPr>
            </w:pPr>
          </w:p>
          <w:p>
            <w:pPr>
              <w:pStyle w:val="TableParagraph"/>
              <w:ind w:right="10"/>
              <w:jc w:val="center"/>
              <w:rPr>
                <w:rFonts w:ascii="Arial MT"/>
                <w:sz w:val="20"/>
              </w:rPr>
            </w:pPr>
            <w:r>
              <w:rPr>
                <w:rFonts w:ascii="Arial MT"/>
                <w:spacing w:val="-5"/>
                <w:w w:val="75"/>
                <w:sz w:val="20"/>
              </w:rPr>
              <w:t>600</w:t>
            </w:r>
          </w:p>
        </w:tc>
        <w:tc>
          <w:tcPr>
            <w:tcW w:w="1522" w:type="dxa"/>
          </w:tcPr>
          <w:p>
            <w:pPr>
              <w:pStyle w:val="TableParagraph"/>
              <w:rPr>
                <w:rFonts w:ascii="Arial MT"/>
                <w:sz w:val="20"/>
              </w:rPr>
            </w:pPr>
          </w:p>
          <w:p>
            <w:pPr>
              <w:pStyle w:val="TableParagraph"/>
              <w:ind w:left="108"/>
              <w:rPr>
                <w:rFonts w:ascii="Arial MT"/>
                <w:sz w:val="20"/>
              </w:rPr>
            </w:pPr>
            <w:r>
              <w:rPr>
                <w:rFonts w:ascii="Arial MT"/>
                <w:spacing w:val="-2"/>
                <w:w w:val="65"/>
                <w:sz w:val="20"/>
              </w:rPr>
              <w:t>Exclusivamente</w:t>
            </w:r>
            <w:r>
              <w:rPr>
                <w:rFonts w:ascii="Arial MT"/>
                <w:sz w:val="20"/>
              </w:rPr>
              <w:t> </w:t>
            </w:r>
            <w:r>
              <w:rPr>
                <w:rFonts w:ascii="Arial MT"/>
                <w:spacing w:val="-2"/>
                <w:w w:val="75"/>
                <w:sz w:val="20"/>
              </w:rPr>
              <w:t>Industrial</w:t>
            </w:r>
          </w:p>
        </w:tc>
        <w:tc>
          <w:tcPr>
            <w:tcW w:w="1550" w:type="dxa"/>
          </w:tcPr>
          <w:p>
            <w:pPr>
              <w:pStyle w:val="TableParagraph"/>
              <w:ind w:left="108" w:right="117"/>
              <w:jc w:val="both"/>
              <w:rPr>
                <w:rFonts w:ascii="Arial MT" w:hAnsi="Arial MT"/>
                <w:sz w:val="20"/>
              </w:rPr>
            </w:pPr>
            <w:r>
              <w:rPr>
                <w:rFonts w:ascii="Arial MT" w:hAnsi="Arial MT"/>
                <w:w w:val="65"/>
                <w:sz w:val="20"/>
              </w:rPr>
              <w:t>10%</w:t>
            </w:r>
            <w:r>
              <w:rPr>
                <w:rFonts w:ascii="Arial MT" w:hAnsi="Arial MT"/>
                <w:spacing w:val="-14"/>
                <w:sz w:val="20"/>
              </w:rPr>
              <w:t> </w:t>
            </w:r>
            <w:r>
              <w:rPr>
                <w:rFonts w:ascii="Arial MT" w:hAnsi="Arial MT"/>
                <w:w w:val="65"/>
                <w:sz w:val="20"/>
              </w:rPr>
              <w:t>del</w:t>
            </w:r>
            <w:r>
              <w:rPr>
                <w:rFonts w:ascii="Arial MT" w:hAnsi="Arial MT"/>
                <w:spacing w:val="-14"/>
                <w:sz w:val="20"/>
              </w:rPr>
              <w:t> </w:t>
            </w:r>
            <w:r>
              <w:rPr>
                <w:rFonts w:ascii="Arial MT" w:hAnsi="Arial MT"/>
                <w:w w:val="65"/>
                <w:sz w:val="20"/>
              </w:rPr>
              <w:t>área</w:t>
            </w:r>
            <w:r>
              <w:rPr>
                <w:rFonts w:ascii="Arial MT" w:hAnsi="Arial MT"/>
                <w:spacing w:val="-14"/>
                <w:sz w:val="20"/>
              </w:rPr>
              <w:t> </w:t>
            </w:r>
            <w:r>
              <w:rPr>
                <w:rFonts w:ascii="Arial MT" w:hAnsi="Arial MT"/>
                <w:w w:val="65"/>
                <w:sz w:val="20"/>
              </w:rPr>
              <w:t>total</w:t>
            </w:r>
            <w:r>
              <w:rPr>
                <w:rFonts w:ascii="Arial MT" w:hAnsi="Arial MT"/>
                <w:spacing w:val="-14"/>
                <w:sz w:val="20"/>
              </w:rPr>
              <w:t> </w:t>
            </w:r>
            <w:r>
              <w:rPr>
                <w:rFonts w:ascii="Arial MT" w:hAnsi="Arial MT"/>
                <w:w w:val="65"/>
                <w:sz w:val="20"/>
              </w:rPr>
              <w:t>del</w:t>
            </w:r>
            <w:r>
              <w:rPr>
                <w:rFonts w:ascii="Arial MT" w:hAnsi="Arial MT"/>
                <w:w w:val="75"/>
                <w:sz w:val="20"/>
              </w:rPr>
              <w:t> predio</w:t>
            </w:r>
            <w:r>
              <w:rPr>
                <w:rFonts w:ascii="Arial MT" w:hAnsi="Arial MT"/>
                <w:w w:val="75"/>
                <w:sz w:val="20"/>
              </w:rPr>
              <w:t> para</w:t>
            </w:r>
            <w:r>
              <w:rPr>
                <w:rFonts w:ascii="Arial MT" w:hAnsi="Arial MT"/>
                <w:w w:val="75"/>
                <w:sz w:val="20"/>
              </w:rPr>
              <w:t> áreas </w:t>
            </w:r>
            <w:r>
              <w:rPr>
                <w:rFonts w:ascii="Arial MT" w:hAnsi="Arial MT"/>
                <w:spacing w:val="-2"/>
                <w:w w:val="75"/>
                <w:sz w:val="20"/>
              </w:rPr>
              <w:t>verdes</w:t>
            </w:r>
          </w:p>
        </w:tc>
        <w:tc>
          <w:tcPr>
            <w:tcW w:w="1567" w:type="dxa"/>
          </w:tcPr>
          <w:p>
            <w:pPr>
              <w:pStyle w:val="TableParagraph"/>
              <w:spacing w:line="230" w:lineRule="atLeast" w:before="211"/>
              <w:ind w:left="111" w:right="115"/>
              <w:jc w:val="both"/>
              <w:rPr>
                <w:rFonts w:ascii="Arial MT" w:hAnsi="Arial MT"/>
                <w:sz w:val="20"/>
              </w:rPr>
            </w:pPr>
            <w:r>
              <w:rPr>
                <w:rFonts w:ascii="Arial MT" w:hAnsi="Arial MT"/>
                <w:w w:val="75"/>
                <w:sz w:val="20"/>
              </w:rPr>
              <w:t>70%</w:t>
            </w:r>
            <w:r>
              <w:rPr>
                <w:rFonts w:ascii="Arial MT" w:hAnsi="Arial MT"/>
                <w:spacing w:val="-6"/>
                <w:sz w:val="20"/>
              </w:rPr>
              <w:t> </w:t>
            </w:r>
            <w:r>
              <w:rPr>
                <w:rFonts w:ascii="Arial MT" w:hAnsi="Arial MT"/>
                <w:w w:val="75"/>
                <w:sz w:val="20"/>
              </w:rPr>
              <w:t>como</w:t>
            </w:r>
            <w:r>
              <w:rPr>
                <w:rFonts w:ascii="Arial MT" w:hAnsi="Arial MT"/>
                <w:w w:val="75"/>
                <w:sz w:val="20"/>
              </w:rPr>
              <w:t> máximo </w:t>
            </w:r>
            <w:r>
              <w:rPr>
                <w:rFonts w:ascii="Arial MT" w:hAnsi="Arial MT"/>
                <w:w w:val="70"/>
                <w:sz w:val="20"/>
              </w:rPr>
              <w:t>de</w:t>
            </w:r>
            <w:r>
              <w:rPr>
                <w:rFonts w:ascii="Arial MT" w:hAnsi="Arial MT"/>
                <w:spacing w:val="-1"/>
                <w:sz w:val="20"/>
              </w:rPr>
              <w:t> </w:t>
            </w:r>
            <w:r>
              <w:rPr>
                <w:rFonts w:ascii="Arial MT" w:hAnsi="Arial MT"/>
                <w:w w:val="70"/>
                <w:sz w:val="20"/>
              </w:rPr>
              <w:t>la</w:t>
            </w:r>
            <w:r>
              <w:rPr>
                <w:rFonts w:ascii="Arial MT" w:hAnsi="Arial MT"/>
                <w:spacing w:val="-1"/>
                <w:sz w:val="20"/>
              </w:rPr>
              <w:t> </w:t>
            </w:r>
            <w:r>
              <w:rPr>
                <w:rFonts w:ascii="Arial MT" w:hAnsi="Arial MT"/>
                <w:w w:val="70"/>
                <w:sz w:val="20"/>
              </w:rPr>
              <w:t>superficie</w:t>
            </w:r>
            <w:r>
              <w:rPr>
                <w:rFonts w:ascii="Arial MT" w:hAnsi="Arial MT"/>
                <w:spacing w:val="-3"/>
                <w:sz w:val="20"/>
              </w:rPr>
              <w:t> </w:t>
            </w:r>
            <w:r>
              <w:rPr>
                <w:rFonts w:ascii="Arial MT" w:hAnsi="Arial MT"/>
                <w:w w:val="70"/>
                <w:sz w:val="20"/>
              </w:rPr>
              <w:t>total</w:t>
            </w:r>
            <w:r>
              <w:rPr>
                <w:rFonts w:ascii="Arial MT" w:hAnsi="Arial MT"/>
                <w:w w:val="75"/>
                <w:sz w:val="20"/>
              </w:rPr>
              <w:t> del mismo</w:t>
            </w:r>
          </w:p>
        </w:tc>
      </w:tr>
      <w:tr>
        <w:trPr>
          <w:trHeight w:val="688" w:hRule="atLeast"/>
        </w:trPr>
        <w:tc>
          <w:tcPr>
            <w:tcW w:w="1351" w:type="dxa"/>
          </w:tcPr>
          <w:p>
            <w:pPr>
              <w:pStyle w:val="TableParagraph"/>
              <w:spacing w:line="230" w:lineRule="atLeast" w:before="208"/>
              <w:ind w:left="107"/>
              <w:rPr>
                <w:rFonts w:ascii="Arial MT"/>
                <w:sz w:val="20"/>
              </w:rPr>
            </w:pPr>
            <w:r>
              <w:rPr>
                <w:rFonts w:ascii="Arial MT"/>
                <w:spacing w:val="-2"/>
                <w:w w:val="75"/>
                <w:sz w:val="20"/>
              </w:rPr>
              <w:t>MICRO</w:t>
            </w:r>
            <w:r>
              <w:rPr>
                <w:rFonts w:ascii="Arial MT"/>
                <w:sz w:val="20"/>
              </w:rPr>
              <w:t> </w:t>
            </w:r>
            <w:r>
              <w:rPr>
                <w:rFonts w:ascii="Arial MT"/>
                <w:spacing w:val="-2"/>
                <w:w w:val="65"/>
                <w:sz w:val="20"/>
              </w:rPr>
              <w:t>PRODUCTIVOS</w:t>
            </w:r>
          </w:p>
        </w:tc>
        <w:tc>
          <w:tcPr>
            <w:tcW w:w="972" w:type="dxa"/>
          </w:tcPr>
          <w:p>
            <w:pPr>
              <w:pStyle w:val="TableParagraph"/>
              <w:spacing w:before="227"/>
              <w:ind w:left="2" w:right="11"/>
              <w:jc w:val="center"/>
              <w:rPr>
                <w:rFonts w:ascii="Arial MT"/>
                <w:sz w:val="20"/>
              </w:rPr>
            </w:pPr>
            <w:r>
              <w:rPr>
                <w:rFonts w:ascii="Arial MT"/>
                <w:spacing w:val="-5"/>
                <w:w w:val="75"/>
                <w:sz w:val="20"/>
              </w:rPr>
              <w:t>30</w:t>
            </w:r>
          </w:p>
        </w:tc>
        <w:tc>
          <w:tcPr>
            <w:tcW w:w="1099" w:type="dxa"/>
          </w:tcPr>
          <w:p>
            <w:pPr>
              <w:pStyle w:val="TableParagraph"/>
              <w:spacing w:before="227"/>
              <w:ind w:right="10"/>
              <w:jc w:val="center"/>
              <w:rPr>
                <w:rFonts w:ascii="Arial MT"/>
                <w:sz w:val="20"/>
              </w:rPr>
            </w:pPr>
            <w:r>
              <w:rPr>
                <w:rFonts w:ascii="Arial MT"/>
                <w:spacing w:val="-5"/>
                <w:w w:val="75"/>
                <w:sz w:val="20"/>
              </w:rPr>
              <w:t>200</w:t>
            </w:r>
          </w:p>
        </w:tc>
        <w:tc>
          <w:tcPr>
            <w:tcW w:w="1522" w:type="dxa"/>
          </w:tcPr>
          <w:p>
            <w:pPr>
              <w:pStyle w:val="TableParagraph"/>
              <w:tabs>
                <w:tab w:pos="1323" w:val="left" w:leader="none"/>
              </w:tabs>
              <w:ind w:left="108" w:right="118"/>
              <w:rPr>
                <w:rFonts w:ascii="Arial MT"/>
                <w:sz w:val="20"/>
              </w:rPr>
            </w:pPr>
            <w:r>
              <w:rPr>
                <w:rFonts w:ascii="Arial MT"/>
                <w:spacing w:val="-2"/>
                <w:w w:val="75"/>
                <w:sz w:val="20"/>
              </w:rPr>
              <w:t>Microproductivo</w:t>
            </w:r>
            <w:r>
              <w:rPr>
                <w:rFonts w:ascii="Arial MT"/>
                <w:sz w:val="20"/>
              </w:rPr>
              <w:tab/>
            </w:r>
            <w:r>
              <w:rPr>
                <w:rFonts w:ascii="Arial MT"/>
                <w:spacing w:val="-16"/>
                <w:w w:val="75"/>
                <w:sz w:val="20"/>
              </w:rPr>
              <w:t>y</w:t>
            </w:r>
            <w:r>
              <w:rPr>
                <w:rFonts w:ascii="Arial MT"/>
                <w:w w:val="75"/>
                <w:sz w:val="20"/>
              </w:rPr>
              <w:t> </w:t>
            </w:r>
            <w:r>
              <w:rPr>
                <w:rFonts w:ascii="Arial MT"/>
                <w:w w:val="70"/>
                <w:sz w:val="20"/>
              </w:rPr>
              <w:t>hasta</w:t>
            </w:r>
            <w:r>
              <w:rPr>
                <w:rFonts w:ascii="Arial MT"/>
                <w:spacing w:val="16"/>
                <w:sz w:val="20"/>
              </w:rPr>
              <w:t> </w:t>
            </w:r>
            <w:r>
              <w:rPr>
                <w:rFonts w:ascii="Arial MT"/>
                <w:w w:val="70"/>
                <w:sz w:val="20"/>
              </w:rPr>
              <w:t>un</w:t>
            </w:r>
            <w:r>
              <w:rPr>
                <w:rFonts w:ascii="Arial MT"/>
                <w:spacing w:val="18"/>
                <w:sz w:val="20"/>
              </w:rPr>
              <w:t> </w:t>
            </w:r>
            <w:r>
              <w:rPr>
                <w:rFonts w:ascii="Arial MT"/>
                <w:w w:val="70"/>
                <w:sz w:val="20"/>
              </w:rPr>
              <w:t>20%</w:t>
            </w:r>
            <w:r>
              <w:rPr>
                <w:rFonts w:ascii="Arial MT"/>
                <w:spacing w:val="18"/>
                <w:sz w:val="20"/>
              </w:rPr>
              <w:t> </w:t>
            </w:r>
            <w:r>
              <w:rPr>
                <w:rFonts w:ascii="Arial MT"/>
                <w:spacing w:val="-4"/>
                <w:w w:val="70"/>
                <w:sz w:val="20"/>
              </w:rPr>
              <w:t>para</w:t>
            </w:r>
          </w:p>
          <w:p>
            <w:pPr>
              <w:pStyle w:val="TableParagraph"/>
              <w:spacing w:line="209" w:lineRule="exact"/>
              <w:ind w:left="108"/>
              <w:rPr>
                <w:rFonts w:ascii="Arial MT"/>
                <w:sz w:val="20"/>
              </w:rPr>
            </w:pPr>
            <w:r>
              <w:rPr>
                <w:rFonts w:ascii="Arial MT"/>
                <w:w w:val="65"/>
                <w:sz w:val="20"/>
              </w:rPr>
              <w:t>comercio</w:t>
            </w:r>
            <w:r>
              <w:rPr>
                <w:rFonts w:ascii="Arial MT"/>
                <w:spacing w:val="-3"/>
                <w:sz w:val="20"/>
              </w:rPr>
              <w:t> </w:t>
            </w:r>
            <w:r>
              <w:rPr>
                <w:rFonts w:ascii="Arial MT"/>
                <w:w w:val="65"/>
                <w:sz w:val="20"/>
              </w:rPr>
              <w:t>y</w:t>
            </w:r>
            <w:r>
              <w:rPr>
                <w:rFonts w:ascii="Arial MT"/>
                <w:spacing w:val="-5"/>
                <w:sz w:val="20"/>
              </w:rPr>
              <w:t> </w:t>
            </w:r>
            <w:r>
              <w:rPr>
                <w:rFonts w:ascii="Arial MT"/>
                <w:spacing w:val="-2"/>
                <w:w w:val="65"/>
                <w:sz w:val="20"/>
              </w:rPr>
              <w:t>servicios.</w:t>
            </w:r>
          </w:p>
        </w:tc>
        <w:tc>
          <w:tcPr>
            <w:tcW w:w="1550" w:type="dxa"/>
          </w:tcPr>
          <w:p>
            <w:pPr>
              <w:pStyle w:val="TableParagraph"/>
              <w:ind w:left="108" w:right="114"/>
              <w:rPr>
                <w:rFonts w:ascii="Arial MT" w:hAnsi="Arial MT"/>
                <w:sz w:val="20"/>
              </w:rPr>
            </w:pPr>
            <w:r>
              <w:rPr>
                <w:rFonts w:ascii="Arial MT" w:hAnsi="Arial MT"/>
                <w:w w:val="65"/>
                <w:sz w:val="20"/>
              </w:rPr>
              <w:t>10% del área total del</w:t>
            </w:r>
            <w:r>
              <w:rPr>
                <w:rFonts w:ascii="Arial MT" w:hAnsi="Arial MT"/>
                <w:w w:val="75"/>
                <w:sz w:val="20"/>
              </w:rPr>
              <w:t> predio</w:t>
            </w:r>
            <w:r>
              <w:rPr>
                <w:rFonts w:ascii="Arial MT" w:hAnsi="Arial MT"/>
                <w:spacing w:val="64"/>
                <w:sz w:val="20"/>
              </w:rPr>
              <w:t> </w:t>
            </w:r>
            <w:r>
              <w:rPr>
                <w:rFonts w:ascii="Arial MT" w:hAnsi="Arial MT"/>
                <w:w w:val="75"/>
                <w:sz w:val="20"/>
              </w:rPr>
              <w:t>para</w:t>
            </w:r>
            <w:r>
              <w:rPr>
                <w:rFonts w:ascii="Arial MT" w:hAnsi="Arial MT"/>
                <w:spacing w:val="65"/>
                <w:sz w:val="20"/>
              </w:rPr>
              <w:t> </w:t>
            </w:r>
            <w:r>
              <w:rPr>
                <w:rFonts w:ascii="Arial MT" w:hAnsi="Arial MT"/>
                <w:spacing w:val="-2"/>
                <w:w w:val="70"/>
                <w:sz w:val="20"/>
              </w:rPr>
              <w:t>áreas</w:t>
            </w:r>
          </w:p>
          <w:p>
            <w:pPr>
              <w:pStyle w:val="TableParagraph"/>
              <w:spacing w:line="209" w:lineRule="exact"/>
              <w:ind w:left="108"/>
              <w:rPr>
                <w:rFonts w:ascii="Arial MT"/>
                <w:sz w:val="20"/>
              </w:rPr>
            </w:pPr>
            <w:r>
              <w:rPr>
                <w:rFonts w:ascii="Arial MT"/>
                <w:spacing w:val="-2"/>
                <w:w w:val="75"/>
                <w:sz w:val="20"/>
              </w:rPr>
              <w:t>verdes</w:t>
            </w:r>
          </w:p>
        </w:tc>
        <w:tc>
          <w:tcPr>
            <w:tcW w:w="1567" w:type="dxa"/>
          </w:tcPr>
          <w:p>
            <w:pPr>
              <w:pStyle w:val="TableParagraph"/>
              <w:ind w:left="111" w:right="20"/>
              <w:rPr>
                <w:rFonts w:ascii="Arial MT" w:hAnsi="Arial MT"/>
                <w:sz w:val="20"/>
              </w:rPr>
            </w:pPr>
            <w:r>
              <w:rPr>
                <w:rFonts w:ascii="Arial MT" w:hAnsi="Arial MT"/>
                <w:w w:val="70"/>
                <w:sz w:val="20"/>
              </w:rPr>
              <w:t>70%</w:t>
            </w:r>
            <w:r>
              <w:rPr>
                <w:rFonts w:ascii="Arial MT" w:hAnsi="Arial MT"/>
                <w:spacing w:val="33"/>
                <w:sz w:val="20"/>
              </w:rPr>
              <w:t> </w:t>
            </w:r>
            <w:r>
              <w:rPr>
                <w:rFonts w:ascii="Arial MT" w:hAnsi="Arial MT"/>
                <w:w w:val="70"/>
                <w:sz w:val="20"/>
              </w:rPr>
              <w:t>como</w:t>
            </w:r>
            <w:r>
              <w:rPr>
                <w:rFonts w:ascii="Arial MT" w:hAnsi="Arial MT"/>
                <w:spacing w:val="33"/>
                <w:sz w:val="20"/>
              </w:rPr>
              <w:t> </w:t>
            </w:r>
            <w:r>
              <w:rPr>
                <w:rFonts w:ascii="Arial MT" w:hAnsi="Arial MT"/>
                <w:w w:val="70"/>
                <w:sz w:val="20"/>
              </w:rPr>
              <w:t>máximo</w:t>
            </w:r>
            <w:r>
              <w:rPr>
                <w:rFonts w:ascii="Arial MT" w:hAnsi="Arial MT"/>
                <w:sz w:val="20"/>
              </w:rPr>
              <w:t> </w:t>
            </w:r>
            <w:r>
              <w:rPr>
                <w:rFonts w:ascii="Arial MT" w:hAnsi="Arial MT"/>
                <w:w w:val="70"/>
                <w:sz w:val="20"/>
              </w:rPr>
              <w:t>de</w:t>
            </w:r>
            <w:r>
              <w:rPr>
                <w:rFonts w:ascii="Arial MT" w:hAnsi="Arial MT"/>
                <w:spacing w:val="8"/>
                <w:sz w:val="20"/>
              </w:rPr>
              <w:t> </w:t>
            </w:r>
            <w:r>
              <w:rPr>
                <w:rFonts w:ascii="Arial MT" w:hAnsi="Arial MT"/>
                <w:w w:val="70"/>
                <w:sz w:val="20"/>
              </w:rPr>
              <w:t>la</w:t>
            </w:r>
            <w:r>
              <w:rPr>
                <w:rFonts w:ascii="Arial MT" w:hAnsi="Arial MT"/>
                <w:spacing w:val="8"/>
                <w:sz w:val="20"/>
              </w:rPr>
              <w:t> </w:t>
            </w:r>
            <w:r>
              <w:rPr>
                <w:rFonts w:ascii="Arial MT" w:hAnsi="Arial MT"/>
                <w:w w:val="70"/>
                <w:sz w:val="20"/>
              </w:rPr>
              <w:t>superficie</w:t>
            </w:r>
            <w:r>
              <w:rPr>
                <w:rFonts w:ascii="Arial MT" w:hAnsi="Arial MT"/>
                <w:spacing w:val="6"/>
                <w:sz w:val="20"/>
              </w:rPr>
              <w:t> </w:t>
            </w:r>
            <w:r>
              <w:rPr>
                <w:rFonts w:ascii="Arial MT" w:hAnsi="Arial MT"/>
                <w:spacing w:val="-2"/>
                <w:w w:val="70"/>
                <w:sz w:val="20"/>
              </w:rPr>
              <w:t>total</w:t>
            </w:r>
          </w:p>
          <w:p>
            <w:pPr>
              <w:pStyle w:val="TableParagraph"/>
              <w:spacing w:line="209" w:lineRule="exact"/>
              <w:ind w:left="111"/>
              <w:rPr>
                <w:rFonts w:ascii="Arial MT"/>
                <w:sz w:val="20"/>
              </w:rPr>
            </w:pPr>
            <w:r>
              <w:rPr>
                <w:rFonts w:ascii="Arial MT"/>
                <w:w w:val="65"/>
                <w:sz w:val="20"/>
              </w:rPr>
              <w:t>del</w:t>
            </w:r>
            <w:r>
              <w:rPr>
                <w:rFonts w:ascii="Arial MT"/>
                <w:spacing w:val="-7"/>
                <w:sz w:val="20"/>
              </w:rPr>
              <w:t> </w:t>
            </w:r>
            <w:r>
              <w:rPr>
                <w:rFonts w:ascii="Arial MT"/>
                <w:spacing w:val="-4"/>
                <w:w w:val="75"/>
                <w:sz w:val="20"/>
              </w:rPr>
              <w:t>mismo</w:t>
            </w:r>
          </w:p>
        </w:tc>
      </w:tr>
      <w:tr>
        <w:trPr>
          <w:trHeight w:val="1149" w:hRule="atLeast"/>
        </w:trPr>
        <w:tc>
          <w:tcPr>
            <w:tcW w:w="1351" w:type="dxa"/>
          </w:tcPr>
          <w:p>
            <w:pPr>
              <w:pStyle w:val="TableParagraph"/>
              <w:spacing w:before="230"/>
              <w:ind w:left="107"/>
              <w:rPr>
                <w:rFonts w:ascii="Arial MT"/>
                <w:sz w:val="20"/>
              </w:rPr>
            </w:pPr>
            <w:r>
              <w:rPr>
                <w:rFonts w:ascii="Arial MT"/>
                <w:spacing w:val="-2"/>
                <w:w w:val="65"/>
                <w:sz w:val="20"/>
              </w:rPr>
              <w:t>ESPECIALES</w:t>
            </w:r>
            <w:r>
              <w:rPr>
                <w:rFonts w:ascii="Arial MT"/>
                <w:sz w:val="20"/>
              </w:rPr>
              <w:t> </w:t>
            </w:r>
            <w:r>
              <w:rPr>
                <w:rFonts w:ascii="Arial MT"/>
                <w:spacing w:val="-2"/>
                <w:w w:val="75"/>
                <w:sz w:val="20"/>
              </w:rPr>
              <w:t>MIXTOS</w:t>
            </w:r>
          </w:p>
        </w:tc>
        <w:tc>
          <w:tcPr>
            <w:tcW w:w="972" w:type="dxa"/>
          </w:tcPr>
          <w:p>
            <w:pPr>
              <w:pStyle w:val="TableParagraph"/>
              <w:spacing w:before="230"/>
              <w:ind w:left="2" w:right="11"/>
              <w:jc w:val="center"/>
              <w:rPr>
                <w:rFonts w:ascii="Arial MT"/>
                <w:sz w:val="20"/>
              </w:rPr>
            </w:pPr>
            <w:r>
              <w:rPr>
                <w:rFonts w:ascii="Arial MT"/>
                <w:spacing w:val="-5"/>
                <w:w w:val="75"/>
                <w:sz w:val="20"/>
              </w:rPr>
              <w:t>50</w:t>
            </w:r>
          </w:p>
        </w:tc>
        <w:tc>
          <w:tcPr>
            <w:tcW w:w="1099" w:type="dxa"/>
          </w:tcPr>
          <w:p>
            <w:pPr>
              <w:pStyle w:val="TableParagraph"/>
              <w:spacing w:before="230"/>
              <w:ind w:right="10"/>
              <w:jc w:val="center"/>
              <w:rPr>
                <w:rFonts w:ascii="Arial MT"/>
                <w:sz w:val="20"/>
              </w:rPr>
            </w:pPr>
            <w:r>
              <w:rPr>
                <w:rFonts w:ascii="Arial MT"/>
                <w:spacing w:val="-5"/>
                <w:w w:val="75"/>
                <w:sz w:val="20"/>
              </w:rPr>
              <w:t>120</w:t>
            </w:r>
          </w:p>
        </w:tc>
        <w:tc>
          <w:tcPr>
            <w:tcW w:w="1522" w:type="dxa"/>
          </w:tcPr>
          <w:p>
            <w:pPr>
              <w:pStyle w:val="TableParagraph"/>
              <w:spacing w:before="230"/>
              <w:ind w:left="108"/>
              <w:rPr>
                <w:rFonts w:ascii="Arial MT"/>
                <w:sz w:val="20"/>
              </w:rPr>
            </w:pPr>
            <w:r>
              <w:rPr>
                <w:rFonts w:ascii="Arial MT"/>
                <w:spacing w:val="-2"/>
                <w:w w:val="75"/>
                <w:sz w:val="20"/>
              </w:rPr>
              <w:t>Mixto</w:t>
            </w:r>
          </w:p>
        </w:tc>
        <w:tc>
          <w:tcPr>
            <w:tcW w:w="1550" w:type="dxa"/>
          </w:tcPr>
          <w:p>
            <w:pPr>
              <w:pStyle w:val="TableParagraph"/>
              <w:ind w:left="108" w:right="117"/>
              <w:jc w:val="both"/>
              <w:rPr>
                <w:rFonts w:ascii="Arial MT" w:hAnsi="Arial MT"/>
                <w:sz w:val="20"/>
              </w:rPr>
            </w:pPr>
            <w:r>
              <w:rPr>
                <w:rFonts w:ascii="Arial MT" w:hAnsi="Arial MT"/>
                <w:w w:val="65"/>
                <w:sz w:val="20"/>
              </w:rPr>
              <w:t>10%</w:t>
            </w:r>
            <w:r>
              <w:rPr>
                <w:rFonts w:ascii="Arial MT" w:hAnsi="Arial MT"/>
                <w:spacing w:val="-14"/>
                <w:sz w:val="20"/>
              </w:rPr>
              <w:t> </w:t>
            </w:r>
            <w:r>
              <w:rPr>
                <w:rFonts w:ascii="Arial MT" w:hAnsi="Arial MT"/>
                <w:w w:val="65"/>
                <w:sz w:val="20"/>
              </w:rPr>
              <w:t>del</w:t>
            </w:r>
            <w:r>
              <w:rPr>
                <w:rFonts w:ascii="Arial MT" w:hAnsi="Arial MT"/>
                <w:spacing w:val="-14"/>
                <w:sz w:val="20"/>
              </w:rPr>
              <w:t> </w:t>
            </w:r>
            <w:r>
              <w:rPr>
                <w:rFonts w:ascii="Arial MT" w:hAnsi="Arial MT"/>
                <w:w w:val="65"/>
                <w:sz w:val="20"/>
              </w:rPr>
              <w:t>área</w:t>
            </w:r>
            <w:r>
              <w:rPr>
                <w:rFonts w:ascii="Arial MT" w:hAnsi="Arial MT"/>
                <w:spacing w:val="-14"/>
                <w:sz w:val="20"/>
              </w:rPr>
              <w:t> </w:t>
            </w:r>
            <w:r>
              <w:rPr>
                <w:rFonts w:ascii="Arial MT" w:hAnsi="Arial MT"/>
                <w:w w:val="65"/>
                <w:sz w:val="20"/>
              </w:rPr>
              <w:t>total</w:t>
            </w:r>
            <w:r>
              <w:rPr>
                <w:rFonts w:ascii="Arial MT" w:hAnsi="Arial MT"/>
                <w:spacing w:val="-14"/>
                <w:sz w:val="20"/>
              </w:rPr>
              <w:t> </w:t>
            </w:r>
            <w:r>
              <w:rPr>
                <w:rFonts w:ascii="Arial MT" w:hAnsi="Arial MT"/>
                <w:w w:val="65"/>
                <w:sz w:val="20"/>
              </w:rPr>
              <w:t>del</w:t>
            </w:r>
            <w:r>
              <w:rPr>
                <w:rFonts w:ascii="Arial MT" w:hAnsi="Arial MT"/>
                <w:w w:val="75"/>
                <w:sz w:val="20"/>
              </w:rPr>
              <w:t> predio</w:t>
            </w:r>
            <w:r>
              <w:rPr>
                <w:rFonts w:ascii="Arial MT" w:hAnsi="Arial MT"/>
                <w:sz w:val="20"/>
              </w:rPr>
              <w:t> </w:t>
            </w:r>
            <w:r>
              <w:rPr>
                <w:rFonts w:ascii="Arial MT" w:hAnsi="Arial MT"/>
                <w:w w:val="75"/>
                <w:sz w:val="20"/>
              </w:rPr>
              <w:t>con</w:t>
            </w:r>
            <w:r>
              <w:rPr>
                <w:rFonts w:ascii="Arial MT" w:hAnsi="Arial MT"/>
                <w:sz w:val="20"/>
              </w:rPr>
              <w:t> </w:t>
            </w:r>
            <w:r>
              <w:rPr>
                <w:rFonts w:ascii="Arial MT" w:hAnsi="Arial MT"/>
                <w:w w:val="75"/>
                <w:sz w:val="20"/>
              </w:rPr>
              <w:t>el</w:t>
            </w:r>
            <w:r>
              <w:rPr>
                <w:rFonts w:ascii="Arial MT" w:hAnsi="Arial MT"/>
                <w:w w:val="75"/>
                <w:sz w:val="20"/>
              </w:rPr>
              <w:t> 50% </w:t>
            </w:r>
            <w:r>
              <w:rPr>
                <w:rFonts w:ascii="Arial MT" w:hAnsi="Arial MT"/>
                <w:w w:val="70"/>
                <w:sz w:val="20"/>
              </w:rPr>
              <w:t>para</w:t>
            </w:r>
            <w:r>
              <w:rPr>
                <w:rFonts w:ascii="Arial MT" w:hAnsi="Arial MT"/>
                <w:spacing w:val="4"/>
                <w:sz w:val="20"/>
              </w:rPr>
              <w:t> </w:t>
            </w:r>
            <w:r>
              <w:rPr>
                <w:rFonts w:ascii="Arial MT" w:hAnsi="Arial MT"/>
                <w:w w:val="70"/>
                <w:sz w:val="20"/>
              </w:rPr>
              <w:t>áreas</w:t>
            </w:r>
            <w:r>
              <w:rPr>
                <w:rFonts w:ascii="Arial MT" w:hAnsi="Arial MT"/>
                <w:spacing w:val="4"/>
                <w:sz w:val="20"/>
              </w:rPr>
              <w:t> </w:t>
            </w:r>
            <w:r>
              <w:rPr>
                <w:rFonts w:ascii="Arial MT" w:hAnsi="Arial MT"/>
                <w:w w:val="70"/>
                <w:sz w:val="20"/>
              </w:rPr>
              <w:t>verdes</w:t>
            </w:r>
            <w:r>
              <w:rPr>
                <w:rFonts w:ascii="Arial MT" w:hAnsi="Arial MT"/>
                <w:spacing w:val="4"/>
                <w:sz w:val="20"/>
              </w:rPr>
              <w:t> </w:t>
            </w:r>
            <w:r>
              <w:rPr>
                <w:rFonts w:ascii="Arial MT" w:hAnsi="Arial MT"/>
                <w:spacing w:val="-10"/>
                <w:w w:val="70"/>
                <w:sz w:val="20"/>
              </w:rPr>
              <w:t>y</w:t>
            </w:r>
          </w:p>
          <w:p>
            <w:pPr>
              <w:pStyle w:val="TableParagraph"/>
              <w:spacing w:line="228" w:lineRule="exact"/>
              <w:ind w:left="108" w:right="117"/>
              <w:jc w:val="both"/>
              <w:rPr>
                <w:rFonts w:ascii="Arial MT"/>
                <w:sz w:val="20"/>
              </w:rPr>
            </w:pPr>
            <w:r>
              <w:rPr>
                <w:rFonts w:ascii="Arial MT"/>
                <w:w w:val="75"/>
                <w:sz w:val="20"/>
              </w:rPr>
              <w:t>el</w:t>
            </w:r>
            <w:r>
              <w:rPr>
                <w:rFonts w:ascii="Arial MT"/>
                <w:w w:val="75"/>
                <w:sz w:val="20"/>
              </w:rPr>
              <w:t> 50%</w:t>
            </w:r>
            <w:r>
              <w:rPr>
                <w:rFonts w:ascii="Arial MT"/>
                <w:sz w:val="20"/>
              </w:rPr>
              <w:t> </w:t>
            </w:r>
            <w:r>
              <w:rPr>
                <w:rFonts w:ascii="Arial MT"/>
                <w:w w:val="75"/>
                <w:sz w:val="20"/>
              </w:rPr>
              <w:t>para </w:t>
            </w:r>
            <w:r>
              <w:rPr>
                <w:rFonts w:ascii="Arial MT"/>
                <w:spacing w:val="-2"/>
                <w:w w:val="75"/>
                <w:sz w:val="20"/>
              </w:rPr>
              <w:t>equipamiento.</w:t>
            </w:r>
          </w:p>
        </w:tc>
        <w:tc>
          <w:tcPr>
            <w:tcW w:w="1567" w:type="dxa"/>
          </w:tcPr>
          <w:p>
            <w:pPr>
              <w:pStyle w:val="TableParagraph"/>
              <w:spacing w:before="230"/>
              <w:ind w:left="111" w:right="115"/>
              <w:jc w:val="both"/>
              <w:rPr>
                <w:rFonts w:ascii="Arial MT" w:hAnsi="Arial MT"/>
                <w:sz w:val="20"/>
              </w:rPr>
            </w:pPr>
            <w:r>
              <w:rPr>
                <w:rFonts w:ascii="Arial MT" w:hAnsi="Arial MT"/>
                <w:w w:val="75"/>
                <w:sz w:val="20"/>
              </w:rPr>
              <w:t>como máximo de la superficie</w:t>
            </w:r>
            <w:r>
              <w:rPr>
                <w:rFonts w:ascii="Arial MT" w:hAnsi="Arial MT"/>
                <w:w w:val="75"/>
                <w:sz w:val="20"/>
              </w:rPr>
              <w:t> total</w:t>
            </w:r>
            <w:r>
              <w:rPr>
                <w:rFonts w:ascii="Arial MT" w:hAnsi="Arial MT"/>
                <w:sz w:val="20"/>
              </w:rPr>
              <w:t> </w:t>
            </w:r>
            <w:r>
              <w:rPr>
                <w:rFonts w:ascii="Arial MT" w:hAnsi="Arial MT"/>
                <w:w w:val="75"/>
                <w:sz w:val="20"/>
              </w:rPr>
              <w:t>del </w:t>
            </w:r>
            <w:r>
              <w:rPr>
                <w:rFonts w:ascii="Arial MT" w:hAnsi="Arial MT"/>
                <w:spacing w:val="-2"/>
                <w:w w:val="75"/>
                <w:sz w:val="20"/>
              </w:rPr>
              <w:t>mismo</w:t>
            </w:r>
          </w:p>
        </w:tc>
      </w:tr>
      <w:tr>
        <w:trPr>
          <w:trHeight w:val="1152" w:hRule="atLeast"/>
        </w:trPr>
        <w:tc>
          <w:tcPr>
            <w:tcW w:w="1351" w:type="dxa"/>
          </w:tcPr>
          <w:p>
            <w:pPr>
              <w:pStyle w:val="TableParagraph"/>
              <w:spacing w:before="230"/>
              <w:ind w:left="107"/>
              <w:rPr>
                <w:rFonts w:ascii="Arial MT" w:hAnsi="Arial MT"/>
                <w:sz w:val="20"/>
              </w:rPr>
            </w:pPr>
            <w:r>
              <w:rPr>
                <w:rFonts w:ascii="Arial MT" w:hAnsi="Arial MT"/>
                <w:w w:val="75"/>
                <w:sz w:val="20"/>
              </w:rPr>
              <w:t>GRANJAS DE </w:t>
            </w:r>
            <w:r>
              <w:rPr>
                <w:rFonts w:ascii="Arial MT" w:hAnsi="Arial MT"/>
                <w:spacing w:val="-2"/>
                <w:w w:val="70"/>
                <w:sz w:val="20"/>
              </w:rPr>
              <w:t>EXPLOTACIÓN</w:t>
            </w:r>
            <w:r>
              <w:rPr>
                <w:rFonts w:ascii="Arial MT" w:hAnsi="Arial MT"/>
                <w:sz w:val="20"/>
              </w:rPr>
              <w:t> </w:t>
            </w:r>
            <w:r>
              <w:rPr>
                <w:rFonts w:ascii="Arial MT" w:hAnsi="Arial MT"/>
                <w:spacing w:val="-2"/>
                <w:w w:val="65"/>
                <w:sz w:val="20"/>
              </w:rPr>
              <w:t>AGROPECUARI</w:t>
            </w:r>
          </w:p>
          <w:p>
            <w:pPr>
              <w:pStyle w:val="TableParagraph"/>
              <w:spacing w:line="211" w:lineRule="exact" w:before="1"/>
              <w:ind w:left="107"/>
              <w:rPr>
                <w:rFonts w:ascii="Arial MT"/>
                <w:sz w:val="20"/>
              </w:rPr>
            </w:pPr>
            <w:r>
              <w:rPr>
                <w:rFonts w:ascii="Arial MT"/>
                <w:spacing w:val="-10"/>
                <w:w w:val="75"/>
                <w:sz w:val="20"/>
              </w:rPr>
              <w:t>A</w:t>
            </w:r>
          </w:p>
        </w:tc>
        <w:tc>
          <w:tcPr>
            <w:tcW w:w="972" w:type="dxa"/>
          </w:tcPr>
          <w:p>
            <w:pPr>
              <w:pStyle w:val="TableParagraph"/>
              <w:spacing w:before="230"/>
              <w:ind w:right="11"/>
              <w:jc w:val="center"/>
              <w:rPr>
                <w:rFonts w:ascii="Arial MT"/>
                <w:sz w:val="20"/>
              </w:rPr>
            </w:pPr>
            <w:r>
              <w:rPr>
                <w:rFonts w:ascii="Arial MT"/>
                <w:spacing w:val="-10"/>
                <w:w w:val="75"/>
                <w:sz w:val="20"/>
              </w:rPr>
              <w:t>3</w:t>
            </w:r>
          </w:p>
        </w:tc>
        <w:tc>
          <w:tcPr>
            <w:tcW w:w="1099" w:type="dxa"/>
          </w:tcPr>
          <w:p>
            <w:pPr>
              <w:pStyle w:val="TableParagraph"/>
              <w:spacing w:before="230"/>
              <w:ind w:right="10"/>
              <w:jc w:val="center"/>
              <w:rPr>
                <w:rFonts w:ascii="Arial MT"/>
                <w:sz w:val="20"/>
              </w:rPr>
            </w:pPr>
            <w:r>
              <w:rPr>
                <w:rFonts w:ascii="Arial MT"/>
                <w:spacing w:val="-4"/>
                <w:w w:val="75"/>
                <w:sz w:val="20"/>
              </w:rPr>
              <w:t>3000</w:t>
            </w:r>
          </w:p>
        </w:tc>
        <w:tc>
          <w:tcPr>
            <w:tcW w:w="1522" w:type="dxa"/>
          </w:tcPr>
          <w:p>
            <w:pPr>
              <w:pStyle w:val="TableParagraph"/>
              <w:spacing w:before="230"/>
              <w:ind w:left="108" w:right="65"/>
              <w:rPr>
                <w:rFonts w:ascii="Arial MT" w:hAnsi="Arial MT"/>
                <w:sz w:val="20"/>
              </w:rPr>
            </w:pPr>
            <w:r>
              <w:rPr>
                <w:rFonts w:ascii="Arial MT" w:hAnsi="Arial MT"/>
                <w:spacing w:val="-2"/>
                <w:w w:val="75"/>
                <w:sz w:val="20"/>
              </w:rPr>
              <w:t>Explotación</w:t>
            </w:r>
            <w:r>
              <w:rPr>
                <w:rFonts w:ascii="Arial MT" w:hAnsi="Arial MT"/>
                <w:w w:val="75"/>
                <w:sz w:val="20"/>
              </w:rPr>
              <w:t> </w:t>
            </w:r>
            <w:r>
              <w:rPr>
                <w:rFonts w:ascii="Arial MT" w:hAnsi="Arial MT"/>
                <w:w w:val="65"/>
                <w:sz w:val="20"/>
              </w:rPr>
              <w:t>agropecuaria y hasta</w:t>
            </w:r>
            <w:r>
              <w:rPr>
                <w:rFonts w:ascii="Arial MT" w:hAnsi="Arial MT"/>
                <w:sz w:val="20"/>
              </w:rPr>
              <w:t> </w:t>
            </w:r>
            <w:r>
              <w:rPr>
                <w:rFonts w:ascii="Arial MT" w:hAnsi="Arial MT"/>
                <w:w w:val="65"/>
                <w:sz w:val="20"/>
              </w:rPr>
              <w:t>un</w:t>
            </w:r>
            <w:r>
              <w:rPr>
                <w:rFonts w:ascii="Arial MT" w:hAnsi="Arial MT"/>
                <w:spacing w:val="-5"/>
                <w:sz w:val="20"/>
              </w:rPr>
              <w:t> </w:t>
            </w:r>
            <w:r>
              <w:rPr>
                <w:rFonts w:ascii="Arial MT" w:hAnsi="Arial MT"/>
                <w:w w:val="65"/>
                <w:sz w:val="20"/>
              </w:rPr>
              <w:t>30%</w:t>
            </w:r>
            <w:r>
              <w:rPr>
                <w:rFonts w:ascii="Arial MT" w:hAnsi="Arial MT"/>
                <w:spacing w:val="-4"/>
                <w:sz w:val="20"/>
              </w:rPr>
              <w:t> </w:t>
            </w:r>
            <w:r>
              <w:rPr>
                <w:rFonts w:ascii="Arial MT" w:hAnsi="Arial MT"/>
                <w:spacing w:val="-2"/>
                <w:w w:val="65"/>
                <w:sz w:val="20"/>
              </w:rPr>
              <w:t>habitacional</w:t>
            </w:r>
          </w:p>
        </w:tc>
        <w:tc>
          <w:tcPr>
            <w:tcW w:w="1550" w:type="dxa"/>
          </w:tcPr>
          <w:p>
            <w:pPr>
              <w:pStyle w:val="TableParagraph"/>
              <w:ind w:left="108" w:right="116"/>
              <w:jc w:val="both"/>
              <w:rPr>
                <w:rFonts w:ascii="Arial MT" w:hAnsi="Arial MT"/>
                <w:sz w:val="20"/>
              </w:rPr>
            </w:pPr>
            <w:r>
              <w:rPr>
                <w:rFonts w:ascii="Arial MT" w:hAnsi="Arial MT"/>
                <w:w w:val="65"/>
                <w:sz w:val="20"/>
              </w:rPr>
              <w:t>10%</w:t>
            </w:r>
            <w:r>
              <w:rPr>
                <w:rFonts w:ascii="Arial MT" w:hAnsi="Arial MT"/>
                <w:spacing w:val="-14"/>
                <w:sz w:val="20"/>
              </w:rPr>
              <w:t> </w:t>
            </w:r>
            <w:r>
              <w:rPr>
                <w:rFonts w:ascii="Arial MT" w:hAnsi="Arial MT"/>
                <w:w w:val="65"/>
                <w:sz w:val="20"/>
              </w:rPr>
              <w:t>del</w:t>
            </w:r>
            <w:r>
              <w:rPr>
                <w:rFonts w:ascii="Arial MT" w:hAnsi="Arial MT"/>
                <w:spacing w:val="-14"/>
                <w:sz w:val="20"/>
              </w:rPr>
              <w:t> </w:t>
            </w:r>
            <w:r>
              <w:rPr>
                <w:rFonts w:ascii="Arial MT" w:hAnsi="Arial MT"/>
                <w:w w:val="65"/>
                <w:sz w:val="20"/>
              </w:rPr>
              <w:t>área</w:t>
            </w:r>
            <w:r>
              <w:rPr>
                <w:rFonts w:ascii="Arial MT" w:hAnsi="Arial MT"/>
                <w:spacing w:val="-14"/>
                <w:sz w:val="20"/>
              </w:rPr>
              <w:t> </w:t>
            </w:r>
            <w:r>
              <w:rPr>
                <w:rFonts w:ascii="Arial MT" w:hAnsi="Arial MT"/>
                <w:w w:val="65"/>
                <w:sz w:val="20"/>
              </w:rPr>
              <w:t>total</w:t>
            </w:r>
            <w:r>
              <w:rPr>
                <w:rFonts w:ascii="Arial MT" w:hAnsi="Arial MT"/>
                <w:spacing w:val="-14"/>
                <w:sz w:val="20"/>
              </w:rPr>
              <w:t> </w:t>
            </w:r>
            <w:r>
              <w:rPr>
                <w:rFonts w:ascii="Arial MT" w:hAnsi="Arial MT"/>
                <w:w w:val="65"/>
                <w:sz w:val="20"/>
              </w:rPr>
              <w:t>del</w:t>
            </w:r>
            <w:r>
              <w:rPr>
                <w:rFonts w:ascii="Arial MT" w:hAnsi="Arial MT"/>
                <w:w w:val="75"/>
                <w:sz w:val="20"/>
              </w:rPr>
              <w:t> predio</w:t>
            </w:r>
            <w:r>
              <w:rPr>
                <w:rFonts w:ascii="Arial MT" w:hAnsi="Arial MT"/>
                <w:sz w:val="20"/>
              </w:rPr>
              <w:t> </w:t>
            </w:r>
            <w:r>
              <w:rPr>
                <w:rFonts w:ascii="Arial MT" w:hAnsi="Arial MT"/>
                <w:w w:val="75"/>
                <w:sz w:val="20"/>
              </w:rPr>
              <w:t>con</w:t>
            </w:r>
            <w:r>
              <w:rPr>
                <w:rFonts w:ascii="Arial MT" w:hAnsi="Arial MT"/>
                <w:sz w:val="20"/>
              </w:rPr>
              <w:t> </w:t>
            </w:r>
            <w:r>
              <w:rPr>
                <w:rFonts w:ascii="Arial MT" w:hAnsi="Arial MT"/>
                <w:w w:val="75"/>
                <w:sz w:val="20"/>
              </w:rPr>
              <w:t>el</w:t>
            </w:r>
            <w:r>
              <w:rPr>
                <w:rFonts w:ascii="Arial MT" w:hAnsi="Arial MT"/>
                <w:w w:val="75"/>
                <w:sz w:val="20"/>
              </w:rPr>
              <w:t> 50% </w:t>
            </w:r>
            <w:r>
              <w:rPr>
                <w:rFonts w:ascii="Arial MT" w:hAnsi="Arial MT"/>
                <w:w w:val="70"/>
                <w:sz w:val="20"/>
              </w:rPr>
              <w:t>para</w:t>
            </w:r>
            <w:r>
              <w:rPr>
                <w:rFonts w:ascii="Arial MT" w:hAnsi="Arial MT"/>
                <w:spacing w:val="-4"/>
                <w:sz w:val="20"/>
              </w:rPr>
              <w:t> </w:t>
            </w:r>
            <w:r>
              <w:rPr>
                <w:rFonts w:ascii="Arial MT" w:hAnsi="Arial MT"/>
                <w:w w:val="70"/>
                <w:sz w:val="20"/>
              </w:rPr>
              <w:t>áreas</w:t>
            </w:r>
            <w:r>
              <w:rPr>
                <w:rFonts w:ascii="Arial MT" w:hAnsi="Arial MT"/>
                <w:spacing w:val="-4"/>
                <w:sz w:val="20"/>
              </w:rPr>
              <w:t> </w:t>
            </w:r>
            <w:r>
              <w:rPr>
                <w:rFonts w:ascii="Arial MT" w:hAnsi="Arial MT"/>
                <w:w w:val="70"/>
                <w:sz w:val="20"/>
              </w:rPr>
              <w:t>verdes</w:t>
            </w:r>
            <w:r>
              <w:rPr>
                <w:rFonts w:ascii="Arial MT" w:hAnsi="Arial MT"/>
                <w:spacing w:val="-4"/>
                <w:sz w:val="20"/>
              </w:rPr>
              <w:t> </w:t>
            </w:r>
            <w:r>
              <w:rPr>
                <w:rFonts w:ascii="Arial MT" w:hAnsi="Arial MT"/>
                <w:w w:val="70"/>
                <w:sz w:val="20"/>
              </w:rPr>
              <w:t>y</w:t>
            </w:r>
            <w:r>
              <w:rPr>
                <w:rFonts w:ascii="Arial MT" w:hAnsi="Arial MT"/>
                <w:w w:val="75"/>
                <w:sz w:val="20"/>
              </w:rPr>
              <w:t> el</w:t>
            </w:r>
            <w:r>
              <w:rPr>
                <w:rFonts w:ascii="Arial MT" w:hAnsi="Arial MT"/>
                <w:spacing w:val="45"/>
                <w:sz w:val="20"/>
              </w:rPr>
              <w:t>  </w:t>
            </w:r>
            <w:r>
              <w:rPr>
                <w:rFonts w:ascii="Arial MT" w:hAnsi="Arial MT"/>
                <w:w w:val="75"/>
                <w:sz w:val="20"/>
              </w:rPr>
              <w:t>50</w:t>
            </w:r>
            <w:r>
              <w:rPr>
                <w:rFonts w:ascii="Arial MT" w:hAnsi="Arial MT"/>
                <w:spacing w:val="46"/>
                <w:sz w:val="20"/>
              </w:rPr>
              <w:t>  </w:t>
            </w:r>
            <w:r>
              <w:rPr>
                <w:rFonts w:ascii="Arial MT" w:hAnsi="Arial MT"/>
                <w:w w:val="75"/>
                <w:sz w:val="20"/>
              </w:rPr>
              <w:t>%</w:t>
            </w:r>
            <w:r>
              <w:rPr>
                <w:rFonts w:ascii="Arial MT" w:hAnsi="Arial MT"/>
                <w:spacing w:val="47"/>
                <w:sz w:val="20"/>
              </w:rPr>
              <w:t>  </w:t>
            </w:r>
            <w:r>
              <w:rPr>
                <w:rFonts w:ascii="Arial MT" w:hAnsi="Arial MT"/>
                <w:spacing w:val="-4"/>
                <w:w w:val="70"/>
                <w:sz w:val="20"/>
              </w:rPr>
              <w:t>para</w:t>
            </w:r>
          </w:p>
          <w:p>
            <w:pPr>
              <w:pStyle w:val="TableParagraph"/>
              <w:spacing w:line="211" w:lineRule="exact" w:before="1"/>
              <w:ind w:left="108"/>
              <w:rPr>
                <w:rFonts w:ascii="Arial MT"/>
                <w:sz w:val="20"/>
              </w:rPr>
            </w:pPr>
            <w:r>
              <w:rPr>
                <w:rFonts w:ascii="Arial MT"/>
                <w:spacing w:val="-2"/>
                <w:w w:val="75"/>
                <w:sz w:val="20"/>
              </w:rPr>
              <w:t>equipamiento.</w:t>
            </w:r>
          </w:p>
        </w:tc>
        <w:tc>
          <w:tcPr>
            <w:tcW w:w="1567" w:type="dxa"/>
          </w:tcPr>
          <w:p>
            <w:pPr>
              <w:pStyle w:val="TableParagraph"/>
              <w:spacing w:before="230"/>
              <w:ind w:left="111" w:right="115"/>
              <w:jc w:val="both"/>
              <w:rPr>
                <w:rFonts w:ascii="Arial MT" w:hAnsi="Arial MT"/>
                <w:sz w:val="20"/>
              </w:rPr>
            </w:pPr>
            <w:r>
              <w:rPr>
                <w:rFonts w:ascii="Arial MT" w:hAnsi="Arial MT"/>
                <w:w w:val="75"/>
                <w:sz w:val="20"/>
              </w:rPr>
              <w:t>15%</w:t>
            </w:r>
            <w:r>
              <w:rPr>
                <w:rFonts w:ascii="Arial MT" w:hAnsi="Arial MT"/>
                <w:spacing w:val="-6"/>
                <w:sz w:val="20"/>
              </w:rPr>
              <w:t> </w:t>
            </w:r>
            <w:r>
              <w:rPr>
                <w:rFonts w:ascii="Arial MT" w:hAnsi="Arial MT"/>
                <w:w w:val="75"/>
                <w:sz w:val="20"/>
              </w:rPr>
              <w:t>como</w:t>
            </w:r>
            <w:r>
              <w:rPr>
                <w:rFonts w:ascii="Arial MT" w:hAnsi="Arial MT"/>
                <w:w w:val="75"/>
                <w:sz w:val="20"/>
              </w:rPr>
              <w:t> máximo </w:t>
            </w:r>
            <w:r>
              <w:rPr>
                <w:rFonts w:ascii="Arial MT" w:hAnsi="Arial MT"/>
                <w:w w:val="70"/>
                <w:sz w:val="20"/>
              </w:rPr>
              <w:t>de</w:t>
            </w:r>
            <w:r>
              <w:rPr>
                <w:rFonts w:ascii="Arial MT" w:hAnsi="Arial MT"/>
                <w:spacing w:val="-1"/>
                <w:sz w:val="20"/>
              </w:rPr>
              <w:t> </w:t>
            </w:r>
            <w:r>
              <w:rPr>
                <w:rFonts w:ascii="Arial MT" w:hAnsi="Arial MT"/>
                <w:w w:val="70"/>
                <w:sz w:val="20"/>
              </w:rPr>
              <w:t>la</w:t>
            </w:r>
            <w:r>
              <w:rPr>
                <w:rFonts w:ascii="Arial MT" w:hAnsi="Arial MT"/>
                <w:spacing w:val="-1"/>
                <w:sz w:val="20"/>
              </w:rPr>
              <w:t> </w:t>
            </w:r>
            <w:r>
              <w:rPr>
                <w:rFonts w:ascii="Arial MT" w:hAnsi="Arial MT"/>
                <w:w w:val="70"/>
                <w:sz w:val="20"/>
              </w:rPr>
              <w:t>superficie</w:t>
            </w:r>
            <w:r>
              <w:rPr>
                <w:rFonts w:ascii="Arial MT" w:hAnsi="Arial MT"/>
                <w:spacing w:val="-3"/>
                <w:sz w:val="20"/>
              </w:rPr>
              <w:t> </w:t>
            </w:r>
            <w:r>
              <w:rPr>
                <w:rFonts w:ascii="Arial MT" w:hAnsi="Arial MT"/>
                <w:w w:val="70"/>
                <w:sz w:val="20"/>
              </w:rPr>
              <w:t>total</w:t>
            </w:r>
            <w:r>
              <w:rPr>
                <w:rFonts w:ascii="Arial MT" w:hAnsi="Arial MT"/>
                <w:w w:val="75"/>
                <w:sz w:val="20"/>
              </w:rPr>
              <w:t> del mismo</w:t>
            </w:r>
          </w:p>
        </w:tc>
      </w:tr>
    </w:tbl>
    <w:p>
      <w:pPr>
        <w:pStyle w:val="BodyText"/>
        <w:spacing w:before="229"/>
      </w:pPr>
    </w:p>
    <w:p>
      <w:pPr>
        <w:pStyle w:val="Heading2"/>
        <w:ind w:left="3743" w:right="3759"/>
      </w:pPr>
      <w:r>
        <w:rPr/>
        <w:t>Sección</w:t>
      </w:r>
      <w:r>
        <w:rPr>
          <w:spacing w:val="-14"/>
        </w:rPr>
        <w:t> </w:t>
      </w:r>
      <w:r>
        <w:rPr/>
        <w:t>Segunda </w:t>
      </w:r>
      <w:r>
        <w:rPr>
          <w:spacing w:val="-6"/>
        </w:rPr>
        <w:t>Ha</w:t>
      </w:r>
    </w:p>
    <w:p>
      <w:pPr>
        <w:pStyle w:val="BodyText"/>
        <w:rPr>
          <w:rFonts w:ascii="Arial"/>
          <w:b/>
        </w:rPr>
      </w:pPr>
    </w:p>
    <w:p>
      <w:pPr>
        <w:pStyle w:val="BodyText"/>
        <w:spacing w:before="2"/>
        <w:rPr>
          <w:rFonts w:ascii="Arial"/>
          <w:b/>
        </w:rPr>
      </w:pPr>
    </w:p>
    <w:p>
      <w:pPr>
        <w:spacing w:line="477" w:lineRule="auto" w:before="0"/>
        <w:ind w:left="3149" w:right="3159" w:firstLine="688"/>
        <w:jc w:val="left"/>
        <w:rPr>
          <w:rFonts w:ascii="Arial" w:hAnsi="Arial"/>
          <w:b/>
          <w:sz w:val="20"/>
        </w:rPr>
      </w:pPr>
      <w:r>
        <w:rPr>
          <w:rFonts w:ascii="Arial" w:hAnsi="Arial"/>
          <w:b/>
          <w:sz w:val="20"/>
        </w:rPr>
        <w:t>Sección Segunda Habitacional</w:t>
      </w:r>
      <w:r>
        <w:rPr>
          <w:rFonts w:ascii="Arial" w:hAnsi="Arial"/>
          <w:b/>
          <w:spacing w:val="-14"/>
          <w:sz w:val="20"/>
        </w:rPr>
        <w:t> </w:t>
      </w:r>
      <w:r>
        <w:rPr>
          <w:rFonts w:ascii="Arial" w:hAnsi="Arial"/>
          <w:b/>
          <w:sz w:val="20"/>
        </w:rPr>
        <w:t>Suburbano</w:t>
      </w:r>
      <w:r>
        <w:rPr>
          <w:rFonts w:ascii="Arial" w:hAnsi="Arial"/>
          <w:b/>
          <w:spacing w:val="-13"/>
          <w:sz w:val="20"/>
        </w:rPr>
        <w:t> </w:t>
      </w:r>
      <w:r>
        <w:rPr>
          <w:rFonts w:ascii="Arial" w:hAnsi="Arial"/>
          <w:b/>
          <w:sz w:val="20"/>
        </w:rPr>
        <w:t>o</w:t>
      </w:r>
      <w:r>
        <w:rPr>
          <w:rFonts w:ascii="Arial" w:hAnsi="Arial"/>
          <w:b/>
          <w:spacing w:val="-14"/>
          <w:sz w:val="20"/>
        </w:rPr>
        <w:t> </w:t>
      </w:r>
      <w:r>
        <w:rPr>
          <w:rFonts w:ascii="Arial" w:hAnsi="Arial"/>
          <w:b/>
          <w:sz w:val="20"/>
        </w:rPr>
        <w:t>Rural</w:t>
      </w:r>
    </w:p>
    <w:p>
      <w:pPr>
        <w:pStyle w:val="BodyText"/>
        <w:spacing w:before="4"/>
        <w:ind w:left="262" w:right="276"/>
        <w:jc w:val="both"/>
      </w:pPr>
      <w:r>
        <w:rPr>
          <w:rFonts w:ascii="Arial" w:hAnsi="Arial"/>
          <w:b/>
        </w:rPr>
        <w:t>ARTÍCULO 335. </w:t>
      </w:r>
      <w:r>
        <w:rPr/>
        <w:t>Los fraccionamientos habitacionales suburbanos o rurales se ubicarán en o fuera de los límites urbanos de los centros de población, según lo determinen los Planes Estatal y Municipal de Ordenamiento Territorial y Desarrollo Urbano, y atenderán para su autorización a las especificaciones que se señalan en el artículo 325 de esta Ley según se trate de Residencial Campestre cuyo aprovechamiento predominante será el de vivienda rústica y locales para la experimentación de</w:t>
      </w:r>
      <w:r>
        <w:rPr>
          <w:spacing w:val="-3"/>
        </w:rPr>
        <w:t> </w:t>
      </w:r>
      <w:r>
        <w:rPr/>
        <w:t>servicios</w:t>
      </w:r>
      <w:r>
        <w:rPr>
          <w:spacing w:val="-1"/>
        </w:rPr>
        <w:t> </w:t>
      </w:r>
      <w:r>
        <w:rPr/>
        <w:t>recreativos,</w:t>
      </w:r>
      <w:r>
        <w:rPr>
          <w:spacing w:val="-2"/>
        </w:rPr>
        <w:t> </w:t>
      </w:r>
      <w:r>
        <w:rPr/>
        <w:t>producción ecológica</w:t>
      </w:r>
      <w:r>
        <w:rPr>
          <w:spacing w:val="-2"/>
        </w:rPr>
        <w:t> </w:t>
      </w:r>
      <w:r>
        <w:rPr/>
        <w:t>y</w:t>
      </w:r>
      <w:r>
        <w:rPr>
          <w:spacing w:val="-1"/>
        </w:rPr>
        <w:t> </w:t>
      </w:r>
      <w:r>
        <w:rPr/>
        <w:t>comerciales,</w:t>
      </w:r>
      <w:r>
        <w:rPr>
          <w:spacing w:val="40"/>
        </w:rPr>
        <w:t> </w:t>
      </w:r>
      <w:r>
        <w:rPr/>
        <w:t>o</w:t>
      </w:r>
      <w:r>
        <w:rPr>
          <w:spacing w:val="40"/>
        </w:rPr>
        <w:t> </w:t>
      </w:r>
      <w:r>
        <w:rPr/>
        <w:t>bien</w:t>
      </w:r>
      <w:r>
        <w:rPr>
          <w:spacing w:val="-2"/>
        </w:rPr>
        <w:t> </w:t>
      </w:r>
      <w:r>
        <w:rPr/>
        <w:t>de</w:t>
      </w:r>
      <w:r>
        <w:rPr>
          <w:spacing w:val="-3"/>
        </w:rPr>
        <w:t> </w:t>
      </w:r>
      <w:r>
        <w:rPr/>
        <w:t>densidad mínima,</w:t>
      </w:r>
      <w:r>
        <w:rPr>
          <w:spacing w:val="-4"/>
        </w:rPr>
        <w:t> </w:t>
      </w:r>
      <w:r>
        <w:rPr/>
        <w:t>destinados</w:t>
      </w:r>
      <w:r>
        <w:rPr>
          <w:spacing w:val="-4"/>
        </w:rPr>
        <w:t> </w:t>
      </w:r>
      <w:r>
        <w:rPr/>
        <w:t>predominantemente</w:t>
      </w:r>
      <w:r>
        <w:rPr>
          <w:spacing w:val="-5"/>
        </w:rPr>
        <w:t> </w:t>
      </w:r>
      <w:r>
        <w:rPr/>
        <w:t>para</w:t>
      </w:r>
      <w:r>
        <w:rPr>
          <w:spacing w:val="-5"/>
        </w:rPr>
        <w:t> </w:t>
      </w:r>
      <w:r>
        <w:rPr/>
        <w:t>la</w:t>
      </w:r>
      <w:r>
        <w:rPr>
          <w:spacing w:val="-7"/>
        </w:rPr>
        <w:t> </w:t>
      </w:r>
      <w:r>
        <w:rPr/>
        <w:t>construcción</w:t>
      </w:r>
      <w:r>
        <w:rPr>
          <w:spacing w:val="-5"/>
        </w:rPr>
        <w:t> </w:t>
      </w:r>
      <w:r>
        <w:rPr/>
        <w:t>de</w:t>
      </w:r>
      <w:r>
        <w:rPr>
          <w:spacing w:val="-7"/>
        </w:rPr>
        <w:t> </w:t>
      </w:r>
      <w:r>
        <w:rPr/>
        <w:t>vivienda</w:t>
      </w:r>
      <w:r>
        <w:rPr>
          <w:spacing w:val="-5"/>
        </w:rPr>
        <w:t> </w:t>
      </w:r>
      <w:r>
        <w:rPr/>
        <w:t>unifamiliar,</w:t>
      </w:r>
      <w:r>
        <w:rPr>
          <w:spacing w:val="-4"/>
        </w:rPr>
        <w:t> </w:t>
      </w:r>
      <w:r>
        <w:rPr/>
        <w:t>en</w:t>
      </w:r>
      <w:r>
        <w:rPr>
          <w:spacing w:val="-7"/>
        </w:rPr>
        <w:t> </w:t>
      </w:r>
      <w:r>
        <w:rPr/>
        <w:t>régimen</w:t>
      </w:r>
      <w:r>
        <w:rPr>
          <w:spacing w:val="-5"/>
        </w:rPr>
        <w:t> </w:t>
      </w:r>
      <w:r>
        <w:rPr/>
        <w:t>de propiedad en condominio.</w:t>
      </w:r>
    </w:p>
    <w:p>
      <w:pPr>
        <w:pStyle w:val="BodyText"/>
        <w:spacing w:before="229"/>
      </w:pPr>
    </w:p>
    <w:p>
      <w:pPr>
        <w:pStyle w:val="Heading2"/>
        <w:spacing w:before="1"/>
        <w:ind w:right="15"/>
      </w:pPr>
      <w:r>
        <w:rPr/>
        <w:t>Capítulo</w:t>
      </w:r>
      <w:r>
        <w:rPr>
          <w:spacing w:val="-8"/>
        </w:rPr>
        <w:t> </w:t>
      </w:r>
      <w:r>
        <w:rPr>
          <w:spacing w:val="-5"/>
        </w:rPr>
        <w:t>IV</w:t>
      </w:r>
    </w:p>
    <w:p>
      <w:pPr>
        <w:pStyle w:val="Heading2"/>
        <w:spacing w:after="0"/>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spacing w:line="480" w:lineRule="auto" w:before="0"/>
        <w:ind w:left="3232" w:right="3248" w:firstLine="0"/>
        <w:jc w:val="center"/>
        <w:rPr>
          <w:rFonts w:ascii="Arial" w:hAnsi="Arial"/>
          <w:b/>
          <w:sz w:val="20"/>
        </w:rPr>
      </w:pPr>
      <w:r>
        <w:rPr>
          <w:rFonts w:ascii="Arial" w:hAnsi="Arial"/>
          <w:b/>
          <w:sz w:val="20"/>
        </w:rPr>
        <w:t>Fraccionamientos</w:t>
      </w:r>
      <w:r>
        <w:rPr>
          <w:rFonts w:ascii="Arial" w:hAnsi="Arial"/>
          <w:b/>
          <w:spacing w:val="-14"/>
          <w:sz w:val="20"/>
        </w:rPr>
        <w:t> </w:t>
      </w:r>
      <w:r>
        <w:rPr>
          <w:rFonts w:ascii="Arial" w:hAnsi="Arial"/>
          <w:b/>
          <w:sz w:val="20"/>
        </w:rPr>
        <w:t>Especiales Sección Primera </w:t>
      </w:r>
      <w:r>
        <w:rPr>
          <w:rFonts w:ascii="Arial" w:hAnsi="Arial"/>
          <w:b/>
          <w:spacing w:val="-2"/>
          <w:sz w:val="20"/>
        </w:rPr>
        <w:t>Generalidades</w:t>
      </w:r>
    </w:p>
    <w:p>
      <w:pPr>
        <w:pStyle w:val="BodyText"/>
        <w:ind w:left="262" w:right="280"/>
        <w:jc w:val="both"/>
      </w:pPr>
      <w:r>
        <w:rPr>
          <w:rFonts w:ascii="Arial" w:hAnsi="Arial"/>
          <w:b/>
        </w:rPr>
        <w:t>ARTÍCULO</w:t>
      </w:r>
      <w:r>
        <w:rPr>
          <w:rFonts w:ascii="Arial" w:hAnsi="Arial"/>
          <w:b/>
          <w:spacing w:val="-6"/>
        </w:rPr>
        <w:t> </w:t>
      </w:r>
      <w:r>
        <w:rPr>
          <w:rFonts w:ascii="Arial" w:hAnsi="Arial"/>
          <w:b/>
        </w:rPr>
        <w:t>336.</w:t>
      </w:r>
      <w:r>
        <w:rPr>
          <w:rFonts w:ascii="Arial" w:hAnsi="Arial"/>
          <w:b/>
          <w:spacing w:val="-5"/>
        </w:rPr>
        <w:t> </w:t>
      </w:r>
      <w:r>
        <w:rPr/>
        <w:t>Los</w:t>
      </w:r>
      <w:r>
        <w:rPr>
          <w:spacing w:val="-6"/>
        </w:rPr>
        <w:t> </w:t>
      </w:r>
      <w:r>
        <w:rPr/>
        <w:t>fraccionamientos</w:t>
      </w:r>
      <w:r>
        <w:rPr>
          <w:spacing w:val="-6"/>
        </w:rPr>
        <w:t> </w:t>
      </w:r>
      <w:r>
        <w:rPr/>
        <w:t>especiales</w:t>
      </w:r>
      <w:r>
        <w:rPr>
          <w:spacing w:val="-7"/>
        </w:rPr>
        <w:t> </w:t>
      </w:r>
      <w:r>
        <w:rPr/>
        <w:t>son</w:t>
      </w:r>
      <w:r>
        <w:rPr>
          <w:spacing w:val="-8"/>
        </w:rPr>
        <w:t> </w:t>
      </w:r>
      <w:r>
        <w:rPr/>
        <w:t>aquellos</w:t>
      </w:r>
      <w:r>
        <w:rPr>
          <w:spacing w:val="-7"/>
        </w:rPr>
        <w:t> </w:t>
      </w:r>
      <w:r>
        <w:rPr/>
        <w:t>de</w:t>
      </w:r>
      <w:r>
        <w:rPr>
          <w:spacing w:val="-8"/>
        </w:rPr>
        <w:t> </w:t>
      </w:r>
      <w:r>
        <w:rPr/>
        <w:t>un</w:t>
      </w:r>
      <w:r>
        <w:rPr>
          <w:spacing w:val="-8"/>
        </w:rPr>
        <w:t> </w:t>
      </w:r>
      <w:r>
        <w:rPr/>
        <w:t>uso</w:t>
      </w:r>
      <w:r>
        <w:rPr>
          <w:spacing w:val="-8"/>
        </w:rPr>
        <w:t> </w:t>
      </w:r>
      <w:r>
        <w:rPr/>
        <w:t>predominante</w:t>
      </w:r>
      <w:r>
        <w:rPr>
          <w:spacing w:val="-8"/>
        </w:rPr>
        <w:t> </w:t>
      </w:r>
      <w:r>
        <w:rPr/>
        <w:t>diferente</w:t>
      </w:r>
      <w:r>
        <w:rPr>
          <w:spacing w:val="-8"/>
        </w:rPr>
        <w:t> </w:t>
      </w:r>
      <w:r>
        <w:rPr/>
        <w:t>al habitacional,</w:t>
      </w:r>
      <w:r>
        <w:rPr>
          <w:spacing w:val="-14"/>
        </w:rPr>
        <w:t> </w:t>
      </w:r>
      <w:r>
        <w:rPr/>
        <w:t>cuyos</w:t>
      </w:r>
      <w:r>
        <w:rPr>
          <w:spacing w:val="-12"/>
        </w:rPr>
        <w:t> </w:t>
      </w:r>
      <w:r>
        <w:rPr/>
        <w:t>lotes</w:t>
      </w:r>
      <w:r>
        <w:rPr>
          <w:spacing w:val="-14"/>
        </w:rPr>
        <w:t> </w:t>
      </w:r>
      <w:r>
        <w:rPr/>
        <w:t>se</w:t>
      </w:r>
      <w:r>
        <w:rPr>
          <w:spacing w:val="-13"/>
        </w:rPr>
        <w:t> </w:t>
      </w:r>
      <w:r>
        <w:rPr/>
        <w:t>aprovecharán</w:t>
      </w:r>
      <w:r>
        <w:rPr>
          <w:spacing w:val="-12"/>
        </w:rPr>
        <w:t> </w:t>
      </w:r>
      <w:r>
        <w:rPr/>
        <w:t>para</w:t>
      </w:r>
      <w:r>
        <w:rPr>
          <w:spacing w:val="-13"/>
        </w:rPr>
        <w:t> </w:t>
      </w:r>
      <w:r>
        <w:rPr/>
        <w:t>recreación,</w:t>
      </w:r>
      <w:r>
        <w:rPr>
          <w:spacing w:val="-12"/>
        </w:rPr>
        <w:t> </w:t>
      </w:r>
      <w:r>
        <w:rPr/>
        <w:t>industria,</w:t>
      </w:r>
      <w:r>
        <w:rPr>
          <w:spacing w:val="-13"/>
        </w:rPr>
        <w:t> </w:t>
      </w:r>
      <w:r>
        <w:rPr/>
        <w:t>granjas</w:t>
      </w:r>
      <w:r>
        <w:rPr>
          <w:spacing w:val="-14"/>
        </w:rPr>
        <w:t> </w:t>
      </w:r>
      <w:r>
        <w:rPr/>
        <w:t>campestres</w:t>
      </w:r>
      <w:r>
        <w:rPr>
          <w:spacing w:val="-14"/>
        </w:rPr>
        <w:t> </w:t>
      </w:r>
      <w:r>
        <w:rPr/>
        <w:t>o</w:t>
      </w:r>
      <w:r>
        <w:rPr>
          <w:spacing w:val="-12"/>
        </w:rPr>
        <w:t> </w:t>
      </w:r>
      <w:r>
        <w:rPr/>
        <w:t>beneficio de</w:t>
      </w:r>
      <w:r>
        <w:rPr>
          <w:spacing w:val="-2"/>
        </w:rPr>
        <w:t> </w:t>
      </w:r>
      <w:r>
        <w:rPr/>
        <w:t>pequeños</w:t>
      </w:r>
      <w:r>
        <w:rPr>
          <w:spacing w:val="-3"/>
        </w:rPr>
        <w:t> </w:t>
      </w:r>
      <w:r>
        <w:rPr/>
        <w:t>cultivos</w:t>
      </w:r>
      <w:r>
        <w:rPr>
          <w:spacing w:val="-3"/>
        </w:rPr>
        <w:t> </w:t>
      </w:r>
      <w:r>
        <w:rPr/>
        <w:t>vegetales,</w:t>
      </w:r>
      <w:r>
        <w:rPr>
          <w:spacing w:val="-2"/>
        </w:rPr>
        <w:t> </w:t>
      </w:r>
      <w:r>
        <w:rPr/>
        <w:t>plantas</w:t>
      </w:r>
      <w:r>
        <w:rPr>
          <w:spacing w:val="-3"/>
        </w:rPr>
        <w:t> </w:t>
      </w:r>
      <w:r>
        <w:rPr/>
        <w:t>avícolas,</w:t>
      </w:r>
      <w:r>
        <w:rPr>
          <w:spacing w:val="-1"/>
        </w:rPr>
        <w:t> </w:t>
      </w:r>
      <w:r>
        <w:rPr/>
        <w:t>porcinas o</w:t>
      </w:r>
      <w:r>
        <w:rPr>
          <w:spacing w:val="-2"/>
        </w:rPr>
        <w:t> </w:t>
      </w:r>
      <w:r>
        <w:rPr/>
        <w:t>de</w:t>
      </w:r>
      <w:r>
        <w:rPr>
          <w:spacing w:val="-2"/>
        </w:rPr>
        <w:t> </w:t>
      </w:r>
      <w:r>
        <w:rPr/>
        <w:t>ganadería. Estos</w:t>
      </w:r>
      <w:r>
        <w:rPr>
          <w:spacing w:val="-1"/>
        </w:rPr>
        <w:t> </w:t>
      </w:r>
      <w:r>
        <w:rPr/>
        <w:t>fraccionamientos atenderán a lo establecido en la siguiente tabla:</w:t>
      </w:r>
    </w:p>
    <w:p>
      <w:pPr>
        <w:pStyle w:val="BodyText"/>
      </w:pPr>
    </w:p>
    <w:p>
      <w:pPr>
        <w:pStyle w:val="BodyText"/>
        <w:ind w:left="262" w:right="276"/>
        <w:jc w:val="both"/>
      </w:pPr>
      <w:r>
        <w:rPr>
          <w:rFonts w:ascii="Arial" w:hAnsi="Arial"/>
          <w:b/>
        </w:rPr>
        <w:t>ARTÍCULO 337. </w:t>
      </w:r>
      <w:r>
        <w:rPr/>
        <w:t>Los fraccionamientos especiales cuyos lotes se aprovecharán para fomentar actividades comerciales o industriales solo podrán ubicarse dentro de los límites de los centros de población establecidos en la zonificación secundaria derivada de los programas de ordenamiento territorial y desarrollo urbano.</w:t>
      </w:r>
    </w:p>
    <w:p>
      <w:pPr>
        <w:pStyle w:val="BodyText"/>
        <w:spacing w:before="2"/>
      </w:pPr>
    </w:p>
    <w:p>
      <w:pPr>
        <w:pStyle w:val="BodyText"/>
        <w:ind w:left="262" w:right="278"/>
        <w:jc w:val="both"/>
      </w:pPr>
      <w:r>
        <w:rPr>
          <w:rFonts w:ascii="Arial" w:hAnsi="Arial"/>
          <w:b/>
        </w:rPr>
        <w:t>ARTÍCULO 338. </w:t>
      </w:r>
      <w:r>
        <w:rPr/>
        <w:t>Los fraccionamientos especiales de granjas de explotación agropecuaria podrán ubicarse</w:t>
      </w:r>
      <w:r>
        <w:rPr>
          <w:spacing w:val="-7"/>
        </w:rPr>
        <w:t> </w:t>
      </w:r>
      <w:r>
        <w:rPr/>
        <w:t>en</w:t>
      </w:r>
      <w:r>
        <w:rPr>
          <w:spacing w:val="-7"/>
        </w:rPr>
        <w:t> </w:t>
      </w:r>
      <w:r>
        <w:rPr/>
        <w:t>las</w:t>
      </w:r>
      <w:r>
        <w:rPr>
          <w:spacing w:val="-8"/>
        </w:rPr>
        <w:t> </w:t>
      </w:r>
      <w:r>
        <w:rPr/>
        <w:t>zonas</w:t>
      </w:r>
      <w:r>
        <w:rPr>
          <w:spacing w:val="-8"/>
        </w:rPr>
        <w:t> </w:t>
      </w:r>
      <w:r>
        <w:rPr/>
        <w:t>no</w:t>
      </w:r>
      <w:r>
        <w:rPr>
          <w:spacing w:val="-9"/>
        </w:rPr>
        <w:t> </w:t>
      </w:r>
      <w:r>
        <w:rPr/>
        <w:t>urbanizables</w:t>
      </w:r>
      <w:r>
        <w:rPr>
          <w:spacing w:val="-8"/>
        </w:rPr>
        <w:t> </w:t>
      </w:r>
      <w:r>
        <w:rPr/>
        <w:t>de</w:t>
      </w:r>
      <w:r>
        <w:rPr>
          <w:spacing w:val="-7"/>
        </w:rPr>
        <w:t> </w:t>
      </w:r>
      <w:r>
        <w:rPr/>
        <w:t>un</w:t>
      </w:r>
      <w:r>
        <w:rPr>
          <w:spacing w:val="-7"/>
        </w:rPr>
        <w:t> </w:t>
      </w:r>
      <w:r>
        <w:rPr/>
        <w:t>centro</w:t>
      </w:r>
      <w:r>
        <w:rPr>
          <w:spacing w:val="-7"/>
        </w:rPr>
        <w:t> </w:t>
      </w:r>
      <w:r>
        <w:rPr/>
        <w:t>de</w:t>
      </w:r>
      <w:r>
        <w:rPr>
          <w:spacing w:val="-5"/>
        </w:rPr>
        <w:t> </w:t>
      </w:r>
      <w:r>
        <w:rPr/>
        <w:t>población</w:t>
      </w:r>
      <w:r>
        <w:rPr>
          <w:spacing w:val="-9"/>
        </w:rPr>
        <w:t> </w:t>
      </w:r>
      <w:r>
        <w:rPr/>
        <w:t>cuando</w:t>
      </w:r>
      <w:r>
        <w:rPr>
          <w:spacing w:val="-9"/>
        </w:rPr>
        <w:t> </w:t>
      </w:r>
      <w:r>
        <w:rPr/>
        <w:t>su</w:t>
      </w:r>
      <w:r>
        <w:rPr>
          <w:spacing w:val="-7"/>
        </w:rPr>
        <w:t> </w:t>
      </w:r>
      <w:r>
        <w:rPr/>
        <w:t>zonificación</w:t>
      </w:r>
      <w:r>
        <w:rPr>
          <w:spacing w:val="-7"/>
        </w:rPr>
        <w:t> </w:t>
      </w:r>
      <w:r>
        <w:rPr/>
        <w:t>secundaria así</w:t>
      </w:r>
      <w:r>
        <w:rPr>
          <w:spacing w:val="-11"/>
        </w:rPr>
        <w:t> </w:t>
      </w:r>
      <w:r>
        <w:rPr/>
        <w:t>lo</w:t>
      </w:r>
      <w:r>
        <w:rPr>
          <w:spacing w:val="-9"/>
        </w:rPr>
        <w:t> </w:t>
      </w:r>
      <w:r>
        <w:rPr/>
        <w:t>establece,</w:t>
      </w:r>
      <w:r>
        <w:rPr>
          <w:spacing w:val="-11"/>
        </w:rPr>
        <w:t> </w:t>
      </w:r>
      <w:r>
        <w:rPr/>
        <w:t>o</w:t>
      </w:r>
      <w:r>
        <w:rPr>
          <w:spacing w:val="-9"/>
        </w:rPr>
        <w:t> </w:t>
      </w:r>
      <w:r>
        <w:rPr/>
        <w:t>en</w:t>
      </w:r>
      <w:r>
        <w:rPr>
          <w:spacing w:val="-10"/>
        </w:rPr>
        <w:t> </w:t>
      </w:r>
      <w:r>
        <w:rPr/>
        <w:t>las</w:t>
      </w:r>
      <w:r>
        <w:rPr>
          <w:spacing w:val="-10"/>
        </w:rPr>
        <w:t> </w:t>
      </w:r>
      <w:r>
        <w:rPr/>
        <w:t>zonas</w:t>
      </w:r>
      <w:r>
        <w:rPr>
          <w:spacing w:val="-10"/>
        </w:rPr>
        <w:t> </w:t>
      </w:r>
      <w:r>
        <w:rPr/>
        <w:t>de</w:t>
      </w:r>
      <w:r>
        <w:rPr>
          <w:spacing w:val="-10"/>
        </w:rPr>
        <w:t> </w:t>
      </w:r>
      <w:r>
        <w:rPr/>
        <w:t>aprovechamiento</w:t>
      </w:r>
      <w:r>
        <w:rPr>
          <w:spacing w:val="-9"/>
        </w:rPr>
        <w:t> </w:t>
      </w:r>
      <w:r>
        <w:rPr/>
        <w:t>agrícola</w:t>
      </w:r>
      <w:r>
        <w:rPr>
          <w:spacing w:val="-11"/>
        </w:rPr>
        <w:t> </w:t>
      </w:r>
      <w:r>
        <w:rPr/>
        <w:t>o</w:t>
      </w:r>
      <w:r>
        <w:rPr>
          <w:spacing w:val="-9"/>
        </w:rPr>
        <w:t> </w:t>
      </w:r>
      <w:r>
        <w:rPr/>
        <w:t>pecuario</w:t>
      </w:r>
      <w:r>
        <w:rPr>
          <w:spacing w:val="-10"/>
        </w:rPr>
        <w:t> </w:t>
      </w:r>
      <w:r>
        <w:rPr/>
        <w:t>de</w:t>
      </w:r>
      <w:r>
        <w:rPr>
          <w:spacing w:val="-10"/>
        </w:rPr>
        <w:t> </w:t>
      </w:r>
      <w:r>
        <w:rPr/>
        <w:t>la</w:t>
      </w:r>
      <w:r>
        <w:rPr>
          <w:spacing w:val="-11"/>
        </w:rPr>
        <w:t> </w:t>
      </w:r>
      <w:r>
        <w:rPr/>
        <w:t>cuando</w:t>
      </w:r>
      <w:r>
        <w:rPr>
          <w:spacing w:val="-9"/>
        </w:rPr>
        <w:t> </w:t>
      </w:r>
      <w:r>
        <w:rPr/>
        <w:t>la</w:t>
      </w:r>
      <w:r>
        <w:rPr>
          <w:spacing w:val="-11"/>
        </w:rPr>
        <w:t> </w:t>
      </w:r>
      <w:r>
        <w:rPr/>
        <w:t>zonificación general del territorio lo indique.</w:t>
      </w:r>
    </w:p>
    <w:p>
      <w:pPr>
        <w:pStyle w:val="BodyText"/>
      </w:pPr>
    </w:p>
    <w:p>
      <w:pPr>
        <w:pStyle w:val="BodyText"/>
        <w:ind w:left="262" w:right="278"/>
        <w:jc w:val="both"/>
      </w:pPr>
      <w:r>
        <w:rPr/>
        <w:t>En poblaciones mayores a cien mil habitantes, incluyendo sus zonas conurbadas, sólo se podrán autorizar fraccionamientos especiales de granjas de explotación agropecuaria, en los términos del dictamen</w:t>
      </w:r>
      <w:r>
        <w:rPr>
          <w:spacing w:val="-7"/>
        </w:rPr>
        <w:t> </w:t>
      </w:r>
      <w:r>
        <w:rPr/>
        <w:t>que</w:t>
      </w:r>
      <w:r>
        <w:rPr>
          <w:spacing w:val="-5"/>
        </w:rPr>
        <w:t> </w:t>
      </w:r>
      <w:r>
        <w:rPr/>
        <w:t>emita</w:t>
      </w:r>
      <w:r>
        <w:rPr>
          <w:spacing w:val="-7"/>
        </w:rPr>
        <w:t> </w:t>
      </w:r>
      <w:r>
        <w:rPr/>
        <w:t>la</w:t>
      </w:r>
      <w:r>
        <w:rPr>
          <w:spacing w:val="-7"/>
        </w:rPr>
        <w:t> </w:t>
      </w:r>
      <w:r>
        <w:rPr/>
        <w:t>autoridad</w:t>
      </w:r>
      <w:r>
        <w:rPr>
          <w:spacing w:val="-7"/>
        </w:rPr>
        <w:t> </w:t>
      </w:r>
      <w:r>
        <w:rPr/>
        <w:t>competente,</w:t>
      </w:r>
      <w:r>
        <w:rPr>
          <w:spacing w:val="-7"/>
        </w:rPr>
        <w:t> </w:t>
      </w:r>
      <w:r>
        <w:rPr/>
        <w:t>dentro</w:t>
      </w:r>
      <w:r>
        <w:rPr>
          <w:spacing w:val="-4"/>
        </w:rPr>
        <w:t> </w:t>
      </w:r>
      <w:r>
        <w:rPr/>
        <w:t>del</w:t>
      </w:r>
      <w:r>
        <w:rPr>
          <w:spacing w:val="-8"/>
        </w:rPr>
        <w:t> </w:t>
      </w:r>
      <w:r>
        <w:rPr/>
        <w:t>límite</w:t>
      </w:r>
      <w:r>
        <w:rPr>
          <w:spacing w:val="-7"/>
        </w:rPr>
        <w:t> </w:t>
      </w:r>
      <w:r>
        <w:rPr/>
        <w:t>del</w:t>
      </w:r>
      <w:r>
        <w:rPr>
          <w:spacing w:val="-7"/>
        </w:rPr>
        <w:t> </w:t>
      </w:r>
      <w:r>
        <w:rPr/>
        <w:t>centro</w:t>
      </w:r>
      <w:r>
        <w:rPr>
          <w:spacing w:val="-6"/>
        </w:rPr>
        <w:t> </w:t>
      </w:r>
      <w:r>
        <w:rPr/>
        <w:t>de</w:t>
      </w:r>
      <w:r>
        <w:rPr>
          <w:spacing w:val="-5"/>
        </w:rPr>
        <w:t> </w:t>
      </w:r>
      <w:r>
        <w:rPr/>
        <w:t>población,</w:t>
      </w:r>
      <w:r>
        <w:rPr>
          <w:spacing w:val="-6"/>
        </w:rPr>
        <w:t> </w:t>
      </w:r>
      <w:r>
        <w:rPr/>
        <w:t>o</w:t>
      </w:r>
      <w:r>
        <w:rPr>
          <w:spacing w:val="-7"/>
        </w:rPr>
        <w:t> </w:t>
      </w:r>
      <w:r>
        <w:rPr/>
        <w:t>se</w:t>
      </w:r>
      <w:r>
        <w:rPr>
          <w:spacing w:val="-4"/>
        </w:rPr>
        <w:t> </w:t>
      </w:r>
      <w:r>
        <w:rPr/>
        <w:t>ubiquen en zonas de desarrollo controlado o especiales.</w:t>
      </w:r>
    </w:p>
    <w:p>
      <w:pPr>
        <w:pStyle w:val="BodyText"/>
      </w:pPr>
    </w:p>
    <w:p>
      <w:pPr>
        <w:pStyle w:val="BodyText"/>
        <w:ind w:left="262" w:right="275"/>
        <w:jc w:val="both"/>
      </w:pPr>
      <w:r>
        <w:rPr>
          <w:rFonts w:ascii="Arial" w:hAnsi="Arial"/>
          <w:b/>
        </w:rPr>
        <w:t>ARTÍCULO 339. </w:t>
      </w:r>
      <w:r>
        <w:rPr/>
        <w:t>Los fraccionamientos especiales deberán ajustar su ubicación y diseño, a lo dispuesto</w:t>
      </w:r>
      <w:r>
        <w:rPr>
          <w:spacing w:val="-7"/>
        </w:rPr>
        <w:t> </w:t>
      </w:r>
      <w:r>
        <w:rPr/>
        <w:t>en</w:t>
      </w:r>
      <w:r>
        <w:rPr>
          <w:spacing w:val="-7"/>
        </w:rPr>
        <w:t> </w:t>
      </w:r>
      <w:r>
        <w:rPr/>
        <w:t>las</w:t>
      </w:r>
      <w:r>
        <w:rPr>
          <w:spacing w:val="-6"/>
        </w:rPr>
        <w:t> </w:t>
      </w:r>
      <w:r>
        <w:rPr/>
        <w:t>normas</w:t>
      </w:r>
      <w:r>
        <w:rPr>
          <w:spacing w:val="-5"/>
        </w:rPr>
        <w:t> </w:t>
      </w:r>
      <w:r>
        <w:rPr/>
        <w:t>sanitarias,</w:t>
      </w:r>
      <w:r>
        <w:rPr>
          <w:spacing w:val="-6"/>
        </w:rPr>
        <w:t> </w:t>
      </w:r>
      <w:r>
        <w:rPr/>
        <w:t>de</w:t>
      </w:r>
      <w:r>
        <w:rPr>
          <w:spacing w:val="-7"/>
        </w:rPr>
        <w:t> </w:t>
      </w:r>
      <w:r>
        <w:rPr/>
        <w:t>control</w:t>
      </w:r>
      <w:r>
        <w:rPr>
          <w:spacing w:val="-8"/>
        </w:rPr>
        <w:t> </w:t>
      </w:r>
      <w:r>
        <w:rPr/>
        <w:t>de</w:t>
      </w:r>
      <w:r>
        <w:rPr>
          <w:spacing w:val="-5"/>
        </w:rPr>
        <w:t> </w:t>
      </w:r>
      <w:r>
        <w:rPr/>
        <w:t>la</w:t>
      </w:r>
      <w:r>
        <w:rPr>
          <w:spacing w:val="-7"/>
        </w:rPr>
        <w:t> </w:t>
      </w:r>
      <w:r>
        <w:rPr/>
        <w:t>contaminación</w:t>
      </w:r>
      <w:r>
        <w:rPr>
          <w:spacing w:val="-7"/>
        </w:rPr>
        <w:t> </w:t>
      </w:r>
      <w:r>
        <w:rPr/>
        <w:t>y</w:t>
      </w:r>
      <w:r>
        <w:rPr>
          <w:spacing w:val="-5"/>
        </w:rPr>
        <w:t> </w:t>
      </w:r>
      <w:r>
        <w:rPr/>
        <w:t>de</w:t>
      </w:r>
      <w:r>
        <w:rPr>
          <w:spacing w:val="-7"/>
        </w:rPr>
        <w:t> </w:t>
      </w:r>
      <w:r>
        <w:rPr/>
        <w:t>desarrollo</w:t>
      </w:r>
      <w:r>
        <w:rPr>
          <w:spacing w:val="-5"/>
        </w:rPr>
        <w:t> </w:t>
      </w:r>
      <w:r>
        <w:rPr/>
        <w:t>urbano,</w:t>
      </w:r>
      <w:r>
        <w:rPr>
          <w:spacing w:val="-6"/>
        </w:rPr>
        <w:t> </w:t>
      </w:r>
      <w:r>
        <w:rPr/>
        <w:t>así</w:t>
      </w:r>
      <w:r>
        <w:rPr>
          <w:spacing w:val="-6"/>
        </w:rPr>
        <w:t> </w:t>
      </w:r>
      <w:r>
        <w:rPr/>
        <w:t>como a las demás disposiciones que regulen la concesión y operación de actividades agropecuarias, comerciales, industriales o el establecimiento de cementerios.</w:t>
      </w:r>
    </w:p>
    <w:p>
      <w:pPr>
        <w:pStyle w:val="BodyText"/>
      </w:pPr>
    </w:p>
    <w:p>
      <w:pPr>
        <w:pStyle w:val="BodyText"/>
        <w:ind w:left="262" w:right="282"/>
        <w:jc w:val="both"/>
      </w:pPr>
      <w:r>
        <w:rPr>
          <w:rFonts w:ascii="Arial" w:hAnsi="Arial"/>
          <w:b/>
        </w:rPr>
        <w:t>ARTÍCULO</w:t>
      </w:r>
      <w:r>
        <w:rPr>
          <w:rFonts w:ascii="Arial" w:hAnsi="Arial"/>
          <w:b/>
          <w:spacing w:val="-7"/>
        </w:rPr>
        <w:t> </w:t>
      </w:r>
      <w:r>
        <w:rPr>
          <w:rFonts w:ascii="Arial" w:hAnsi="Arial"/>
          <w:b/>
        </w:rPr>
        <w:t>340.</w:t>
      </w:r>
      <w:r>
        <w:rPr>
          <w:rFonts w:ascii="Arial" w:hAnsi="Arial"/>
          <w:b/>
          <w:spacing w:val="-5"/>
        </w:rPr>
        <w:t> </w:t>
      </w:r>
      <w:r>
        <w:rPr/>
        <w:t>Los</w:t>
      </w:r>
      <w:r>
        <w:rPr>
          <w:spacing w:val="-5"/>
        </w:rPr>
        <w:t> </w:t>
      </w:r>
      <w:r>
        <w:rPr/>
        <w:t>fraccionamientos</w:t>
      </w:r>
      <w:r>
        <w:rPr>
          <w:spacing w:val="-5"/>
        </w:rPr>
        <w:t> </w:t>
      </w:r>
      <w:r>
        <w:rPr/>
        <w:t>especiales</w:t>
      </w:r>
      <w:r>
        <w:rPr>
          <w:spacing w:val="-5"/>
        </w:rPr>
        <w:t> </w:t>
      </w:r>
      <w:r>
        <w:rPr/>
        <w:t>deberán</w:t>
      </w:r>
      <w:r>
        <w:rPr>
          <w:spacing w:val="-8"/>
        </w:rPr>
        <w:t> </w:t>
      </w:r>
      <w:r>
        <w:rPr/>
        <w:t>contar,</w:t>
      </w:r>
      <w:r>
        <w:rPr>
          <w:spacing w:val="-8"/>
        </w:rPr>
        <w:t> </w:t>
      </w:r>
      <w:r>
        <w:rPr/>
        <w:t>como</w:t>
      </w:r>
      <w:r>
        <w:rPr>
          <w:spacing w:val="-7"/>
        </w:rPr>
        <w:t> </w:t>
      </w:r>
      <w:r>
        <w:rPr/>
        <w:t>mínimo,</w:t>
      </w:r>
      <w:r>
        <w:rPr>
          <w:spacing w:val="-4"/>
        </w:rPr>
        <w:t> </w:t>
      </w:r>
      <w:r>
        <w:rPr/>
        <w:t>con</w:t>
      </w:r>
      <w:r>
        <w:rPr>
          <w:spacing w:val="-8"/>
        </w:rPr>
        <w:t> </w:t>
      </w:r>
      <w:r>
        <w:rPr/>
        <w:t>las</w:t>
      </w:r>
      <w:r>
        <w:rPr>
          <w:spacing w:val="-8"/>
        </w:rPr>
        <w:t> </w:t>
      </w:r>
      <w:r>
        <w:rPr/>
        <w:t>siguientes obras de urbanización:</w:t>
      </w:r>
    </w:p>
    <w:p>
      <w:pPr>
        <w:pStyle w:val="ListParagraph"/>
        <w:numPr>
          <w:ilvl w:val="0"/>
          <w:numId w:val="119"/>
        </w:numPr>
        <w:tabs>
          <w:tab w:pos="689" w:val="left" w:leader="none"/>
        </w:tabs>
        <w:spacing w:line="240" w:lineRule="auto" w:before="229" w:after="0"/>
        <w:ind w:left="689" w:right="0" w:hanging="427"/>
        <w:jc w:val="left"/>
        <w:rPr>
          <w:sz w:val="20"/>
        </w:rPr>
      </w:pPr>
      <w:r>
        <w:rPr>
          <w:sz w:val="20"/>
        </w:rPr>
        <w:t>Sistema</w:t>
      </w:r>
      <w:r>
        <w:rPr>
          <w:spacing w:val="-6"/>
          <w:sz w:val="20"/>
        </w:rPr>
        <w:t> </w:t>
      </w:r>
      <w:r>
        <w:rPr>
          <w:sz w:val="20"/>
        </w:rPr>
        <w:t>de</w:t>
      </w:r>
      <w:r>
        <w:rPr>
          <w:spacing w:val="-8"/>
          <w:sz w:val="20"/>
        </w:rPr>
        <w:t> </w:t>
      </w:r>
      <w:r>
        <w:rPr>
          <w:sz w:val="20"/>
        </w:rPr>
        <w:t>abastecimiento</w:t>
      </w:r>
      <w:r>
        <w:rPr>
          <w:spacing w:val="-5"/>
          <w:sz w:val="20"/>
        </w:rPr>
        <w:t> </w:t>
      </w:r>
      <w:r>
        <w:rPr>
          <w:sz w:val="20"/>
        </w:rPr>
        <w:t>de</w:t>
      </w:r>
      <w:r>
        <w:rPr>
          <w:spacing w:val="-8"/>
          <w:sz w:val="20"/>
        </w:rPr>
        <w:t> </w:t>
      </w:r>
      <w:r>
        <w:rPr>
          <w:sz w:val="20"/>
        </w:rPr>
        <w:t>agua</w:t>
      </w:r>
      <w:r>
        <w:rPr>
          <w:spacing w:val="-5"/>
          <w:sz w:val="20"/>
        </w:rPr>
        <w:t> </w:t>
      </w:r>
      <w:r>
        <w:rPr>
          <w:sz w:val="20"/>
        </w:rPr>
        <w:t>potable,</w:t>
      </w:r>
      <w:r>
        <w:rPr>
          <w:spacing w:val="-7"/>
          <w:sz w:val="20"/>
        </w:rPr>
        <w:t> </w:t>
      </w:r>
      <w:r>
        <w:rPr>
          <w:sz w:val="20"/>
        </w:rPr>
        <w:t>red</w:t>
      </w:r>
      <w:r>
        <w:rPr>
          <w:spacing w:val="-7"/>
          <w:sz w:val="20"/>
        </w:rPr>
        <w:t> </w:t>
      </w:r>
      <w:r>
        <w:rPr>
          <w:sz w:val="20"/>
        </w:rPr>
        <w:t>de</w:t>
      </w:r>
      <w:r>
        <w:rPr>
          <w:spacing w:val="-7"/>
          <w:sz w:val="20"/>
        </w:rPr>
        <w:t> </w:t>
      </w:r>
      <w:r>
        <w:rPr>
          <w:sz w:val="20"/>
        </w:rPr>
        <w:t>distribución</w:t>
      </w:r>
      <w:r>
        <w:rPr>
          <w:spacing w:val="-8"/>
          <w:sz w:val="20"/>
        </w:rPr>
        <w:t> </w:t>
      </w:r>
      <w:r>
        <w:rPr>
          <w:sz w:val="20"/>
        </w:rPr>
        <w:t>y</w:t>
      </w:r>
      <w:r>
        <w:rPr>
          <w:spacing w:val="-6"/>
          <w:sz w:val="20"/>
        </w:rPr>
        <w:t> </w:t>
      </w:r>
      <w:r>
        <w:rPr>
          <w:sz w:val="20"/>
        </w:rPr>
        <w:t>tomas</w:t>
      </w:r>
      <w:r>
        <w:rPr>
          <w:spacing w:val="-6"/>
          <w:sz w:val="20"/>
        </w:rPr>
        <w:t> </w:t>
      </w:r>
      <w:r>
        <w:rPr>
          <w:spacing w:val="-2"/>
          <w:sz w:val="20"/>
        </w:rPr>
        <w:t>domiciliarias;</w:t>
      </w:r>
    </w:p>
    <w:p>
      <w:pPr>
        <w:pStyle w:val="BodyText"/>
      </w:pPr>
    </w:p>
    <w:p>
      <w:pPr>
        <w:pStyle w:val="ListParagraph"/>
        <w:numPr>
          <w:ilvl w:val="0"/>
          <w:numId w:val="119"/>
        </w:numPr>
        <w:tabs>
          <w:tab w:pos="689" w:val="left" w:leader="none"/>
        </w:tabs>
        <w:spacing w:line="240" w:lineRule="auto" w:before="1" w:after="0"/>
        <w:ind w:left="689" w:right="0" w:hanging="427"/>
        <w:jc w:val="left"/>
        <w:rPr>
          <w:sz w:val="20"/>
        </w:rPr>
      </w:pPr>
      <w:r>
        <w:rPr>
          <w:sz w:val="20"/>
        </w:rPr>
        <w:t>Red</w:t>
      </w:r>
      <w:r>
        <w:rPr>
          <w:spacing w:val="-8"/>
          <w:sz w:val="20"/>
        </w:rPr>
        <w:t> </w:t>
      </w:r>
      <w:r>
        <w:rPr>
          <w:sz w:val="20"/>
        </w:rPr>
        <w:t>de</w:t>
      </w:r>
      <w:r>
        <w:rPr>
          <w:spacing w:val="-8"/>
          <w:sz w:val="20"/>
        </w:rPr>
        <w:t> </w:t>
      </w:r>
      <w:r>
        <w:rPr>
          <w:sz w:val="20"/>
        </w:rPr>
        <w:t>distribución</w:t>
      </w:r>
      <w:r>
        <w:rPr>
          <w:spacing w:val="-5"/>
          <w:sz w:val="20"/>
        </w:rPr>
        <w:t> </w:t>
      </w:r>
      <w:r>
        <w:rPr>
          <w:sz w:val="20"/>
        </w:rPr>
        <w:t>de</w:t>
      </w:r>
      <w:r>
        <w:rPr>
          <w:spacing w:val="-6"/>
          <w:sz w:val="20"/>
        </w:rPr>
        <w:t> </w:t>
      </w:r>
      <w:r>
        <w:rPr>
          <w:sz w:val="20"/>
        </w:rPr>
        <w:t>energía</w:t>
      </w:r>
      <w:r>
        <w:rPr>
          <w:spacing w:val="-8"/>
          <w:sz w:val="20"/>
        </w:rPr>
        <w:t> </w:t>
      </w:r>
      <w:r>
        <w:rPr>
          <w:sz w:val="20"/>
        </w:rPr>
        <w:t>eléctrica</w:t>
      </w:r>
      <w:r>
        <w:rPr>
          <w:spacing w:val="-5"/>
          <w:sz w:val="20"/>
        </w:rPr>
        <w:t> </w:t>
      </w:r>
      <w:r>
        <w:rPr>
          <w:sz w:val="20"/>
        </w:rPr>
        <w:t>para</w:t>
      </w:r>
      <w:r>
        <w:rPr>
          <w:spacing w:val="-6"/>
          <w:sz w:val="20"/>
        </w:rPr>
        <w:t> </w:t>
      </w:r>
      <w:r>
        <w:rPr>
          <w:sz w:val="20"/>
        </w:rPr>
        <w:t>uso</w:t>
      </w:r>
      <w:r>
        <w:rPr>
          <w:spacing w:val="-7"/>
          <w:sz w:val="20"/>
        </w:rPr>
        <w:t> </w:t>
      </w:r>
      <w:r>
        <w:rPr>
          <w:sz w:val="20"/>
        </w:rPr>
        <w:t>comercial</w:t>
      </w:r>
      <w:r>
        <w:rPr>
          <w:spacing w:val="-6"/>
          <w:sz w:val="20"/>
        </w:rPr>
        <w:t> </w:t>
      </w:r>
      <w:r>
        <w:rPr>
          <w:sz w:val="20"/>
        </w:rPr>
        <w:t>o</w:t>
      </w:r>
      <w:r>
        <w:rPr>
          <w:spacing w:val="-7"/>
          <w:sz w:val="20"/>
        </w:rPr>
        <w:t> </w:t>
      </w:r>
      <w:r>
        <w:rPr>
          <w:sz w:val="20"/>
        </w:rPr>
        <w:t>industrial,</w:t>
      </w:r>
      <w:r>
        <w:rPr>
          <w:spacing w:val="-5"/>
          <w:sz w:val="20"/>
        </w:rPr>
        <w:t> </w:t>
      </w:r>
      <w:r>
        <w:rPr>
          <w:sz w:val="20"/>
        </w:rPr>
        <w:t>según</w:t>
      </w:r>
      <w:r>
        <w:rPr>
          <w:spacing w:val="-7"/>
          <w:sz w:val="20"/>
        </w:rPr>
        <w:t> </w:t>
      </w:r>
      <w:r>
        <w:rPr>
          <w:sz w:val="20"/>
        </w:rPr>
        <w:t>sea</w:t>
      </w:r>
      <w:r>
        <w:rPr>
          <w:spacing w:val="-7"/>
          <w:sz w:val="20"/>
        </w:rPr>
        <w:t> </w:t>
      </w:r>
      <w:r>
        <w:rPr>
          <w:sz w:val="20"/>
        </w:rPr>
        <w:t>el</w:t>
      </w:r>
      <w:r>
        <w:rPr>
          <w:spacing w:val="-7"/>
          <w:sz w:val="20"/>
        </w:rPr>
        <w:t> </w:t>
      </w:r>
      <w:r>
        <w:rPr>
          <w:spacing w:val="-2"/>
          <w:sz w:val="20"/>
        </w:rPr>
        <w:t>caso;</w:t>
      </w:r>
    </w:p>
    <w:p>
      <w:pPr>
        <w:pStyle w:val="BodyText"/>
      </w:pPr>
    </w:p>
    <w:p>
      <w:pPr>
        <w:pStyle w:val="ListParagraph"/>
        <w:numPr>
          <w:ilvl w:val="0"/>
          <w:numId w:val="119"/>
        </w:numPr>
        <w:tabs>
          <w:tab w:pos="741" w:val="left" w:leader="none"/>
        </w:tabs>
        <w:spacing w:line="240" w:lineRule="auto" w:before="0" w:after="0"/>
        <w:ind w:left="262" w:right="288" w:firstLine="0"/>
        <w:jc w:val="both"/>
        <w:rPr>
          <w:sz w:val="20"/>
        </w:rPr>
      </w:pPr>
      <w:r>
        <w:rPr>
          <w:sz w:val="20"/>
        </w:rPr>
        <w:t>Alumbrado público con las especificaciones técnicas que determine el proyecto ejecutivo conforme a la norma de Comisión Federal de Electricidad, revisado por la Dirección de Alumbrado público municipal o su equivalente;</w:t>
      </w:r>
    </w:p>
    <w:p>
      <w:pPr>
        <w:pStyle w:val="BodyText"/>
      </w:pPr>
    </w:p>
    <w:p>
      <w:pPr>
        <w:pStyle w:val="ListParagraph"/>
        <w:numPr>
          <w:ilvl w:val="0"/>
          <w:numId w:val="119"/>
        </w:numPr>
        <w:tabs>
          <w:tab w:pos="688" w:val="left" w:leader="none"/>
        </w:tabs>
        <w:spacing w:line="240" w:lineRule="auto" w:before="0" w:after="0"/>
        <w:ind w:left="262" w:right="288" w:firstLine="0"/>
        <w:jc w:val="both"/>
        <w:rPr>
          <w:sz w:val="20"/>
        </w:rPr>
      </w:pPr>
      <w:r>
        <w:rPr>
          <w:sz w:val="20"/>
        </w:rPr>
        <w:t>Guarniciones y banquetas con accesos para personas con discapacidad, con los materiales autorizados conforme al Reglamento de Construcción Municipal;</w:t>
      </w:r>
    </w:p>
    <w:p>
      <w:pPr>
        <w:pStyle w:val="ListParagraph"/>
        <w:numPr>
          <w:ilvl w:val="0"/>
          <w:numId w:val="119"/>
        </w:numPr>
        <w:tabs>
          <w:tab w:pos="688" w:val="left" w:leader="none"/>
        </w:tabs>
        <w:spacing w:line="240" w:lineRule="auto" w:before="229" w:after="0"/>
        <w:ind w:left="262" w:right="286" w:firstLine="0"/>
        <w:jc w:val="both"/>
        <w:rPr>
          <w:sz w:val="20"/>
        </w:rPr>
      </w:pPr>
      <w:r>
        <w:rPr>
          <w:sz w:val="20"/>
        </w:rPr>
        <w:t>Pavimento de calles con los materiales autorizados conforme al Reglamento de Construcción </w:t>
      </w:r>
      <w:r>
        <w:rPr>
          <w:spacing w:val="-2"/>
          <w:sz w:val="20"/>
        </w:rPr>
        <w:t>Municipal;</w:t>
      </w:r>
    </w:p>
    <w:p>
      <w:pPr>
        <w:pStyle w:val="BodyText"/>
        <w:spacing w:before="1"/>
      </w:pPr>
    </w:p>
    <w:p>
      <w:pPr>
        <w:pStyle w:val="ListParagraph"/>
        <w:numPr>
          <w:ilvl w:val="0"/>
          <w:numId w:val="119"/>
        </w:numPr>
        <w:tabs>
          <w:tab w:pos="688" w:val="left" w:leader="none"/>
        </w:tabs>
        <w:spacing w:line="240" w:lineRule="auto" w:before="0" w:after="0"/>
        <w:ind w:left="262" w:right="288" w:firstLine="0"/>
        <w:jc w:val="both"/>
        <w:rPr>
          <w:sz w:val="20"/>
        </w:rPr>
      </w:pPr>
      <w:r>
        <w:rPr>
          <w:sz w:val="20"/>
        </w:rPr>
        <w:t>Arbolado y jardinería en las áreas destinadas a ese fin. El tipo de árboles y las características de</w:t>
      </w:r>
      <w:r>
        <w:rPr>
          <w:spacing w:val="17"/>
          <w:sz w:val="20"/>
        </w:rPr>
        <w:t> </w:t>
      </w:r>
      <w:r>
        <w:rPr>
          <w:sz w:val="20"/>
        </w:rPr>
        <w:t>la</w:t>
      </w:r>
      <w:r>
        <w:rPr>
          <w:spacing w:val="17"/>
          <w:sz w:val="20"/>
        </w:rPr>
        <w:t> </w:t>
      </w:r>
      <w:r>
        <w:rPr>
          <w:sz w:val="20"/>
        </w:rPr>
        <w:t>jardinería</w:t>
      </w:r>
      <w:r>
        <w:rPr>
          <w:spacing w:val="17"/>
          <w:sz w:val="20"/>
        </w:rPr>
        <w:t> </w:t>
      </w:r>
      <w:r>
        <w:rPr>
          <w:sz w:val="20"/>
        </w:rPr>
        <w:t>atenderán</w:t>
      </w:r>
      <w:r>
        <w:rPr>
          <w:spacing w:val="20"/>
          <w:sz w:val="20"/>
        </w:rPr>
        <w:t> </w:t>
      </w:r>
      <w:r>
        <w:rPr>
          <w:sz w:val="20"/>
        </w:rPr>
        <w:t>al</w:t>
      </w:r>
      <w:r>
        <w:rPr>
          <w:spacing w:val="16"/>
          <w:sz w:val="20"/>
        </w:rPr>
        <w:t> </w:t>
      </w:r>
      <w:r>
        <w:rPr>
          <w:sz w:val="20"/>
        </w:rPr>
        <w:t>tipo</w:t>
      </w:r>
      <w:r>
        <w:rPr>
          <w:spacing w:val="17"/>
          <w:sz w:val="20"/>
        </w:rPr>
        <w:t> </w:t>
      </w:r>
      <w:r>
        <w:rPr>
          <w:sz w:val="20"/>
        </w:rPr>
        <w:t>de</w:t>
      </w:r>
      <w:r>
        <w:rPr>
          <w:spacing w:val="16"/>
          <w:sz w:val="20"/>
        </w:rPr>
        <w:t> </w:t>
      </w:r>
      <w:r>
        <w:rPr>
          <w:sz w:val="20"/>
        </w:rPr>
        <w:t>vegetación</w:t>
      </w:r>
      <w:r>
        <w:rPr>
          <w:spacing w:val="17"/>
          <w:sz w:val="20"/>
        </w:rPr>
        <w:t> </w:t>
      </w:r>
      <w:r>
        <w:rPr>
          <w:sz w:val="20"/>
        </w:rPr>
        <w:t>de</w:t>
      </w:r>
      <w:r>
        <w:rPr>
          <w:spacing w:val="16"/>
          <w:sz w:val="20"/>
        </w:rPr>
        <w:t> </w:t>
      </w:r>
      <w:r>
        <w:rPr>
          <w:sz w:val="20"/>
        </w:rPr>
        <w:t>la</w:t>
      </w:r>
      <w:r>
        <w:rPr>
          <w:spacing w:val="17"/>
          <w:sz w:val="20"/>
        </w:rPr>
        <w:t> </w:t>
      </w:r>
      <w:r>
        <w:rPr>
          <w:sz w:val="20"/>
        </w:rPr>
        <w:t>región,</w:t>
      </w:r>
      <w:r>
        <w:rPr>
          <w:spacing w:val="17"/>
          <w:sz w:val="20"/>
        </w:rPr>
        <w:t> </w:t>
      </w:r>
      <w:r>
        <w:rPr>
          <w:sz w:val="20"/>
        </w:rPr>
        <w:t>evitando</w:t>
      </w:r>
      <w:r>
        <w:rPr>
          <w:spacing w:val="16"/>
          <w:sz w:val="20"/>
        </w:rPr>
        <w:t> </w:t>
      </w:r>
      <w:r>
        <w:rPr>
          <w:sz w:val="20"/>
        </w:rPr>
        <w:t>la</w:t>
      </w:r>
      <w:r>
        <w:rPr>
          <w:spacing w:val="15"/>
          <w:sz w:val="20"/>
        </w:rPr>
        <w:t> </w:t>
      </w:r>
      <w:r>
        <w:rPr>
          <w:sz w:val="20"/>
        </w:rPr>
        <w:t>siembra</w:t>
      </w:r>
      <w:r>
        <w:rPr>
          <w:spacing w:val="15"/>
          <w:sz w:val="20"/>
        </w:rPr>
        <w:t> </w:t>
      </w:r>
      <w:r>
        <w:rPr>
          <w:sz w:val="20"/>
        </w:rPr>
        <w:t>de</w:t>
      </w:r>
      <w:r>
        <w:rPr>
          <w:spacing w:val="17"/>
          <w:sz w:val="20"/>
        </w:rPr>
        <w:t> </w:t>
      </w:r>
      <w:r>
        <w:rPr>
          <w:sz w:val="20"/>
        </w:rPr>
        <w:t>árboles</w:t>
      </w:r>
      <w:r>
        <w:rPr>
          <w:spacing w:val="18"/>
          <w:sz w:val="20"/>
        </w:rPr>
        <w:t> </w:t>
      </w:r>
      <w:r>
        <w:rPr>
          <w:sz w:val="20"/>
        </w:rPr>
        <w:t>que</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9"/>
        <w:jc w:val="both"/>
      </w:pPr>
      <w:r>
        <w:rPr/>
        <w:t>dañen la infraestructura, o en su caso a lo señalado en las disposiciones de la Dirección o área de Ecología del Municipio;</w:t>
      </w:r>
    </w:p>
    <w:p>
      <w:pPr>
        <w:pStyle w:val="BodyText"/>
        <w:spacing w:before="1"/>
      </w:pPr>
    </w:p>
    <w:p>
      <w:pPr>
        <w:pStyle w:val="ListParagraph"/>
        <w:numPr>
          <w:ilvl w:val="0"/>
          <w:numId w:val="119"/>
        </w:numPr>
        <w:tabs>
          <w:tab w:pos="828" w:val="left" w:leader="none"/>
        </w:tabs>
        <w:spacing w:line="240" w:lineRule="auto" w:before="0" w:after="0"/>
        <w:ind w:left="828" w:right="0" w:hanging="566"/>
        <w:jc w:val="left"/>
        <w:rPr>
          <w:sz w:val="20"/>
        </w:rPr>
      </w:pPr>
      <w:r>
        <w:rPr>
          <w:sz w:val="20"/>
        </w:rPr>
        <w:t>Hidrantes</w:t>
      </w:r>
      <w:r>
        <w:rPr>
          <w:spacing w:val="-11"/>
          <w:sz w:val="20"/>
        </w:rPr>
        <w:t> </w:t>
      </w:r>
      <w:r>
        <w:rPr>
          <w:sz w:val="20"/>
        </w:rPr>
        <w:t>contra</w:t>
      </w:r>
      <w:r>
        <w:rPr>
          <w:spacing w:val="-10"/>
          <w:sz w:val="20"/>
        </w:rPr>
        <w:t> </w:t>
      </w:r>
      <w:r>
        <w:rPr>
          <w:spacing w:val="-2"/>
          <w:sz w:val="20"/>
        </w:rPr>
        <w:t>incendios;</w:t>
      </w:r>
    </w:p>
    <w:p>
      <w:pPr>
        <w:pStyle w:val="ListParagraph"/>
        <w:numPr>
          <w:ilvl w:val="0"/>
          <w:numId w:val="119"/>
        </w:numPr>
        <w:tabs>
          <w:tab w:pos="828" w:val="left" w:leader="none"/>
        </w:tabs>
        <w:spacing w:line="240" w:lineRule="auto" w:before="229" w:after="0"/>
        <w:ind w:left="262" w:right="284" w:firstLine="0"/>
        <w:jc w:val="left"/>
        <w:rPr>
          <w:sz w:val="20"/>
        </w:rPr>
      </w:pPr>
      <w:r>
        <w:rPr>
          <w:sz w:val="20"/>
        </w:rPr>
        <w:t>Sistema</w:t>
      </w:r>
      <w:r>
        <w:rPr>
          <w:spacing w:val="-13"/>
          <w:sz w:val="20"/>
        </w:rPr>
        <w:t> </w:t>
      </w:r>
      <w:r>
        <w:rPr>
          <w:sz w:val="20"/>
        </w:rPr>
        <w:t>de</w:t>
      </w:r>
      <w:r>
        <w:rPr>
          <w:spacing w:val="-12"/>
          <w:sz w:val="20"/>
        </w:rPr>
        <w:t> </w:t>
      </w:r>
      <w:r>
        <w:rPr>
          <w:sz w:val="20"/>
        </w:rPr>
        <w:t>alcantarillado</w:t>
      </w:r>
      <w:r>
        <w:rPr>
          <w:spacing w:val="-12"/>
          <w:sz w:val="20"/>
        </w:rPr>
        <w:t> </w:t>
      </w:r>
      <w:r>
        <w:rPr>
          <w:sz w:val="20"/>
        </w:rPr>
        <w:t>separado,</w:t>
      </w:r>
      <w:r>
        <w:rPr>
          <w:spacing w:val="-12"/>
          <w:sz w:val="20"/>
        </w:rPr>
        <w:t> </w:t>
      </w:r>
      <w:r>
        <w:rPr>
          <w:sz w:val="20"/>
        </w:rPr>
        <w:t>pluvial</w:t>
      </w:r>
      <w:r>
        <w:rPr>
          <w:spacing w:val="-13"/>
          <w:sz w:val="20"/>
        </w:rPr>
        <w:t> </w:t>
      </w:r>
      <w:r>
        <w:rPr>
          <w:sz w:val="20"/>
        </w:rPr>
        <w:t>y</w:t>
      </w:r>
      <w:r>
        <w:rPr>
          <w:spacing w:val="-12"/>
          <w:sz w:val="20"/>
        </w:rPr>
        <w:t> </w:t>
      </w:r>
      <w:r>
        <w:rPr>
          <w:sz w:val="20"/>
        </w:rPr>
        <w:t>de</w:t>
      </w:r>
      <w:r>
        <w:rPr>
          <w:spacing w:val="-13"/>
          <w:sz w:val="20"/>
        </w:rPr>
        <w:t> </w:t>
      </w:r>
      <w:r>
        <w:rPr>
          <w:sz w:val="20"/>
        </w:rPr>
        <w:t>aguas</w:t>
      </w:r>
      <w:r>
        <w:rPr>
          <w:spacing w:val="-10"/>
          <w:sz w:val="20"/>
        </w:rPr>
        <w:t> </w:t>
      </w:r>
      <w:r>
        <w:rPr>
          <w:sz w:val="20"/>
        </w:rPr>
        <w:t>residuales,</w:t>
      </w:r>
      <w:r>
        <w:rPr>
          <w:spacing w:val="-12"/>
          <w:sz w:val="20"/>
        </w:rPr>
        <w:t> </w:t>
      </w:r>
      <w:r>
        <w:rPr>
          <w:sz w:val="20"/>
        </w:rPr>
        <w:t>con</w:t>
      </w:r>
      <w:r>
        <w:rPr>
          <w:spacing w:val="-13"/>
          <w:sz w:val="20"/>
        </w:rPr>
        <w:t> </w:t>
      </w:r>
      <w:r>
        <w:rPr>
          <w:sz w:val="20"/>
        </w:rPr>
        <w:t>salidas</w:t>
      </w:r>
      <w:r>
        <w:rPr>
          <w:spacing w:val="-12"/>
          <w:sz w:val="20"/>
        </w:rPr>
        <w:t> </w:t>
      </w:r>
      <w:r>
        <w:rPr>
          <w:sz w:val="20"/>
        </w:rPr>
        <w:t>domiciliarias</w:t>
      </w:r>
      <w:r>
        <w:rPr>
          <w:spacing w:val="-12"/>
          <w:sz w:val="20"/>
        </w:rPr>
        <w:t> </w:t>
      </w:r>
      <w:r>
        <w:rPr>
          <w:sz w:val="20"/>
        </w:rPr>
        <w:t>de albañal y dispositivo de protección ecológica en las descargas;</w:t>
      </w:r>
    </w:p>
    <w:p>
      <w:pPr>
        <w:pStyle w:val="BodyText"/>
        <w:spacing w:before="1"/>
      </w:pPr>
    </w:p>
    <w:p>
      <w:pPr>
        <w:pStyle w:val="ListParagraph"/>
        <w:numPr>
          <w:ilvl w:val="0"/>
          <w:numId w:val="119"/>
        </w:numPr>
        <w:tabs>
          <w:tab w:pos="828" w:val="left" w:leader="none"/>
        </w:tabs>
        <w:spacing w:line="240" w:lineRule="auto" w:before="0" w:after="0"/>
        <w:ind w:left="828" w:right="0" w:hanging="566"/>
        <w:jc w:val="left"/>
        <w:rPr>
          <w:sz w:val="20"/>
        </w:rPr>
      </w:pPr>
      <w:r>
        <w:rPr>
          <w:sz w:val="20"/>
        </w:rPr>
        <w:t>Espacios</w:t>
      </w:r>
      <w:r>
        <w:rPr>
          <w:spacing w:val="-6"/>
          <w:sz w:val="20"/>
        </w:rPr>
        <w:t> </w:t>
      </w:r>
      <w:r>
        <w:rPr>
          <w:sz w:val="20"/>
        </w:rPr>
        <w:t>libres</w:t>
      </w:r>
      <w:r>
        <w:rPr>
          <w:spacing w:val="-4"/>
          <w:sz w:val="20"/>
        </w:rPr>
        <w:t> </w:t>
      </w:r>
      <w:r>
        <w:rPr>
          <w:sz w:val="20"/>
        </w:rPr>
        <w:t>y</w:t>
      </w:r>
      <w:r>
        <w:rPr>
          <w:spacing w:val="-5"/>
          <w:sz w:val="20"/>
        </w:rPr>
        <w:t> </w:t>
      </w:r>
      <w:r>
        <w:rPr>
          <w:sz w:val="20"/>
        </w:rPr>
        <w:t>su</w:t>
      </w:r>
      <w:r>
        <w:rPr>
          <w:spacing w:val="-5"/>
          <w:sz w:val="20"/>
        </w:rPr>
        <w:t> </w:t>
      </w:r>
      <w:r>
        <w:rPr>
          <w:spacing w:val="-2"/>
          <w:sz w:val="20"/>
        </w:rPr>
        <w:t>aprovechamiento;</w:t>
      </w:r>
    </w:p>
    <w:p>
      <w:pPr>
        <w:pStyle w:val="BodyText"/>
        <w:spacing w:before="1"/>
      </w:pPr>
    </w:p>
    <w:p>
      <w:pPr>
        <w:pStyle w:val="ListParagraph"/>
        <w:numPr>
          <w:ilvl w:val="0"/>
          <w:numId w:val="119"/>
        </w:numPr>
        <w:tabs>
          <w:tab w:pos="828" w:val="left" w:leader="none"/>
        </w:tabs>
        <w:spacing w:line="240" w:lineRule="auto" w:before="0" w:after="0"/>
        <w:ind w:left="828" w:right="0" w:hanging="566"/>
        <w:jc w:val="left"/>
        <w:rPr>
          <w:sz w:val="20"/>
        </w:rPr>
      </w:pPr>
      <w:r>
        <w:rPr>
          <w:sz w:val="20"/>
        </w:rPr>
        <w:t>Ductos</w:t>
      </w:r>
      <w:r>
        <w:rPr>
          <w:spacing w:val="-6"/>
          <w:sz w:val="20"/>
        </w:rPr>
        <w:t> </w:t>
      </w:r>
      <w:r>
        <w:rPr>
          <w:sz w:val="20"/>
        </w:rPr>
        <w:t>para</w:t>
      </w:r>
      <w:r>
        <w:rPr>
          <w:spacing w:val="-7"/>
          <w:sz w:val="20"/>
        </w:rPr>
        <w:t> </w:t>
      </w:r>
      <w:r>
        <w:rPr>
          <w:sz w:val="20"/>
        </w:rPr>
        <w:t>redes</w:t>
      </w:r>
      <w:r>
        <w:rPr>
          <w:spacing w:val="-6"/>
          <w:sz w:val="20"/>
        </w:rPr>
        <w:t> </w:t>
      </w:r>
      <w:r>
        <w:rPr>
          <w:spacing w:val="-2"/>
          <w:sz w:val="20"/>
        </w:rPr>
        <w:t>telefónicas;</w:t>
      </w:r>
    </w:p>
    <w:p>
      <w:pPr>
        <w:pStyle w:val="ListParagraph"/>
        <w:numPr>
          <w:ilvl w:val="0"/>
          <w:numId w:val="119"/>
        </w:numPr>
        <w:tabs>
          <w:tab w:pos="828" w:val="left" w:leader="none"/>
        </w:tabs>
        <w:spacing w:line="240" w:lineRule="auto" w:before="229" w:after="0"/>
        <w:ind w:left="828" w:right="0" w:hanging="566"/>
        <w:jc w:val="left"/>
        <w:rPr>
          <w:sz w:val="20"/>
        </w:rPr>
      </w:pPr>
      <w:r>
        <w:rPr>
          <w:sz w:val="20"/>
        </w:rPr>
        <w:t>Áreas</w:t>
      </w:r>
      <w:r>
        <w:rPr>
          <w:spacing w:val="-8"/>
          <w:sz w:val="20"/>
        </w:rPr>
        <w:t> </w:t>
      </w:r>
      <w:r>
        <w:rPr>
          <w:sz w:val="20"/>
        </w:rPr>
        <w:t>para</w:t>
      </w:r>
      <w:r>
        <w:rPr>
          <w:spacing w:val="-9"/>
          <w:sz w:val="20"/>
        </w:rPr>
        <w:t> </w:t>
      </w:r>
      <w:r>
        <w:rPr>
          <w:sz w:val="20"/>
        </w:rPr>
        <w:t>estacionamiento</w:t>
      </w:r>
      <w:r>
        <w:rPr>
          <w:spacing w:val="-8"/>
          <w:sz w:val="20"/>
        </w:rPr>
        <w:t> </w:t>
      </w:r>
      <w:r>
        <w:rPr>
          <w:sz w:val="20"/>
        </w:rPr>
        <w:t>de</w:t>
      </w:r>
      <w:r>
        <w:rPr>
          <w:spacing w:val="-9"/>
          <w:sz w:val="20"/>
        </w:rPr>
        <w:t> </w:t>
      </w:r>
      <w:r>
        <w:rPr>
          <w:sz w:val="20"/>
        </w:rPr>
        <w:t>vehículos,</w:t>
      </w:r>
      <w:r>
        <w:rPr>
          <w:spacing w:val="-9"/>
          <w:sz w:val="20"/>
        </w:rPr>
        <w:t> </w:t>
      </w:r>
      <w:r>
        <w:rPr>
          <w:sz w:val="20"/>
        </w:rPr>
        <w:t>correspondientes</w:t>
      </w:r>
      <w:r>
        <w:rPr>
          <w:spacing w:val="-7"/>
          <w:sz w:val="20"/>
        </w:rPr>
        <w:t> </w:t>
      </w:r>
      <w:r>
        <w:rPr>
          <w:sz w:val="20"/>
        </w:rPr>
        <w:t>a</w:t>
      </w:r>
      <w:r>
        <w:rPr>
          <w:spacing w:val="-7"/>
          <w:sz w:val="20"/>
        </w:rPr>
        <w:t> </w:t>
      </w:r>
      <w:r>
        <w:rPr>
          <w:sz w:val="20"/>
        </w:rPr>
        <w:t>conjuntos,</w:t>
      </w:r>
      <w:r>
        <w:rPr>
          <w:spacing w:val="-9"/>
          <w:sz w:val="20"/>
        </w:rPr>
        <w:t> </w:t>
      </w:r>
      <w:r>
        <w:rPr>
          <w:sz w:val="20"/>
        </w:rPr>
        <w:t>lotes</w:t>
      </w:r>
      <w:r>
        <w:rPr>
          <w:spacing w:val="-8"/>
          <w:sz w:val="20"/>
        </w:rPr>
        <w:t> </w:t>
      </w:r>
      <w:r>
        <w:rPr>
          <w:sz w:val="20"/>
        </w:rPr>
        <w:t>o</w:t>
      </w:r>
      <w:r>
        <w:rPr>
          <w:spacing w:val="-6"/>
          <w:sz w:val="20"/>
        </w:rPr>
        <w:t> </w:t>
      </w:r>
      <w:r>
        <w:rPr>
          <w:spacing w:val="-2"/>
          <w:sz w:val="20"/>
        </w:rPr>
        <w:t>locales;</w:t>
      </w:r>
    </w:p>
    <w:p>
      <w:pPr>
        <w:pStyle w:val="BodyText"/>
      </w:pPr>
    </w:p>
    <w:p>
      <w:pPr>
        <w:pStyle w:val="ListParagraph"/>
        <w:numPr>
          <w:ilvl w:val="0"/>
          <w:numId w:val="119"/>
        </w:numPr>
        <w:tabs>
          <w:tab w:pos="828" w:val="left" w:leader="none"/>
        </w:tabs>
        <w:spacing w:line="240" w:lineRule="auto" w:before="1" w:after="0"/>
        <w:ind w:left="828" w:right="0" w:hanging="566"/>
        <w:jc w:val="left"/>
        <w:rPr>
          <w:sz w:val="20"/>
        </w:rPr>
      </w:pPr>
      <w:r>
        <w:rPr>
          <w:sz w:val="20"/>
        </w:rPr>
        <w:t>Equipamiento</w:t>
      </w:r>
      <w:r>
        <w:rPr>
          <w:spacing w:val="-10"/>
          <w:sz w:val="20"/>
        </w:rPr>
        <w:t> </w:t>
      </w:r>
      <w:r>
        <w:rPr>
          <w:sz w:val="20"/>
        </w:rPr>
        <w:t>de</w:t>
      </w:r>
      <w:r>
        <w:rPr>
          <w:spacing w:val="-7"/>
          <w:sz w:val="20"/>
        </w:rPr>
        <w:t> </w:t>
      </w:r>
      <w:r>
        <w:rPr>
          <w:sz w:val="20"/>
        </w:rPr>
        <w:t>seguridad</w:t>
      </w:r>
      <w:r>
        <w:rPr>
          <w:spacing w:val="-8"/>
          <w:sz w:val="20"/>
        </w:rPr>
        <w:t> </w:t>
      </w:r>
      <w:r>
        <w:rPr>
          <w:sz w:val="20"/>
        </w:rPr>
        <w:t>pública,</w:t>
      </w:r>
      <w:r>
        <w:rPr>
          <w:spacing w:val="-7"/>
          <w:sz w:val="20"/>
        </w:rPr>
        <w:t> </w:t>
      </w:r>
      <w:r>
        <w:rPr>
          <w:sz w:val="20"/>
        </w:rPr>
        <w:t>conforme</w:t>
      </w:r>
      <w:r>
        <w:rPr>
          <w:spacing w:val="-9"/>
          <w:sz w:val="20"/>
        </w:rPr>
        <w:t> </w:t>
      </w:r>
      <w:r>
        <w:rPr>
          <w:sz w:val="20"/>
        </w:rPr>
        <w:t>a</w:t>
      </w:r>
      <w:r>
        <w:rPr>
          <w:spacing w:val="-8"/>
          <w:sz w:val="20"/>
        </w:rPr>
        <w:t> </w:t>
      </w:r>
      <w:r>
        <w:rPr>
          <w:sz w:val="20"/>
        </w:rPr>
        <w:t>las</w:t>
      </w:r>
      <w:r>
        <w:rPr>
          <w:spacing w:val="-6"/>
          <w:sz w:val="20"/>
        </w:rPr>
        <w:t> </w:t>
      </w:r>
      <w:r>
        <w:rPr>
          <w:sz w:val="20"/>
        </w:rPr>
        <w:t>normas</w:t>
      </w:r>
      <w:r>
        <w:rPr>
          <w:spacing w:val="-8"/>
          <w:sz w:val="20"/>
        </w:rPr>
        <w:t> </w:t>
      </w:r>
      <w:r>
        <w:rPr>
          <w:sz w:val="20"/>
        </w:rPr>
        <w:t>jurídicas</w:t>
      </w:r>
      <w:r>
        <w:rPr>
          <w:spacing w:val="-9"/>
          <w:sz w:val="20"/>
        </w:rPr>
        <w:t> </w:t>
      </w:r>
      <w:r>
        <w:rPr>
          <w:spacing w:val="-2"/>
          <w:sz w:val="20"/>
        </w:rPr>
        <w:t>aplicables;</w:t>
      </w:r>
    </w:p>
    <w:p>
      <w:pPr>
        <w:pStyle w:val="BodyText"/>
      </w:pPr>
    </w:p>
    <w:p>
      <w:pPr>
        <w:pStyle w:val="ListParagraph"/>
        <w:numPr>
          <w:ilvl w:val="0"/>
          <w:numId w:val="119"/>
        </w:numPr>
        <w:tabs>
          <w:tab w:pos="828" w:val="left" w:leader="none"/>
        </w:tabs>
        <w:spacing w:line="240" w:lineRule="auto" w:before="0" w:after="0"/>
        <w:ind w:left="828" w:right="0" w:hanging="566"/>
        <w:jc w:val="left"/>
        <w:rPr>
          <w:sz w:val="20"/>
        </w:rPr>
      </w:pPr>
      <w:r>
        <w:rPr>
          <w:sz w:val="20"/>
        </w:rPr>
        <w:t>Placas</w:t>
      </w:r>
      <w:r>
        <w:rPr>
          <w:spacing w:val="-5"/>
          <w:sz w:val="20"/>
        </w:rPr>
        <w:t> </w:t>
      </w:r>
      <w:r>
        <w:rPr>
          <w:sz w:val="20"/>
        </w:rPr>
        <w:t>de</w:t>
      </w:r>
      <w:r>
        <w:rPr>
          <w:spacing w:val="-8"/>
          <w:sz w:val="20"/>
        </w:rPr>
        <w:t> </w:t>
      </w:r>
      <w:r>
        <w:rPr>
          <w:sz w:val="20"/>
        </w:rPr>
        <w:t>nomenclatura</w:t>
      </w:r>
      <w:r>
        <w:rPr>
          <w:spacing w:val="-5"/>
          <w:sz w:val="20"/>
        </w:rPr>
        <w:t> </w:t>
      </w:r>
      <w:r>
        <w:rPr>
          <w:sz w:val="20"/>
        </w:rPr>
        <w:t>en</w:t>
      </w:r>
      <w:r>
        <w:rPr>
          <w:spacing w:val="-5"/>
          <w:sz w:val="20"/>
        </w:rPr>
        <w:t> </w:t>
      </w:r>
      <w:r>
        <w:rPr>
          <w:sz w:val="20"/>
        </w:rPr>
        <w:t>los</w:t>
      </w:r>
      <w:r>
        <w:rPr>
          <w:spacing w:val="-6"/>
          <w:sz w:val="20"/>
        </w:rPr>
        <w:t> </w:t>
      </w:r>
      <w:r>
        <w:rPr>
          <w:sz w:val="20"/>
        </w:rPr>
        <w:t>cruces</w:t>
      </w:r>
      <w:r>
        <w:rPr>
          <w:spacing w:val="-7"/>
          <w:sz w:val="20"/>
        </w:rPr>
        <w:t> </w:t>
      </w:r>
      <w:r>
        <w:rPr>
          <w:sz w:val="20"/>
        </w:rPr>
        <w:t>de</w:t>
      </w:r>
      <w:r>
        <w:rPr>
          <w:spacing w:val="-6"/>
          <w:sz w:val="20"/>
        </w:rPr>
        <w:t> </w:t>
      </w:r>
      <w:r>
        <w:rPr>
          <w:sz w:val="20"/>
        </w:rPr>
        <w:t>las</w:t>
      </w:r>
      <w:r>
        <w:rPr>
          <w:spacing w:val="-6"/>
          <w:sz w:val="20"/>
        </w:rPr>
        <w:t> </w:t>
      </w:r>
      <w:r>
        <w:rPr>
          <w:sz w:val="20"/>
        </w:rPr>
        <w:t>calles,</w:t>
      </w:r>
      <w:r>
        <w:rPr>
          <w:spacing w:val="-7"/>
          <w:sz w:val="20"/>
        </w:rPr>
        <w:t> </w:t>
      </w:r>
      <w:r>
        <w:rPr>
          <w:spacing w:val="-10"/>
          <w:sz w:val="20"/>
        </w:rPr>
        <w:t>y</w:t>
      </w:r>
    </w:p>
    <w:p>
      <w:pPr>
        <w:pStyle w:val="ListParagraph"/>
        <w:numPr>
          <w:ilvl w:val="0"/>
          <w:numId w:val="119"/>
        </w:numPr>
        <w:tabs>
          <w:tab w:pos="828" w:val="left" w:leader="none"/>
        </w:tabs>
        <w:spacing w:line="240" w:lineRule="auto" w:before="229" w:after="0"/>
        <w:ind w:left="262" w:right="286" w:firstLine="0"/>
        <w:jc w:val="left"/>
        <w:rPr>
          <w:sz w:val="20"/>
        </w:rPr>
      </w:pPr>
      <w:r>
        <w:rPr>
          <w:sz w:val="20"/>
        </w:rPr>
        <w:t>Equipamiento</w:t>
      </w:r>
      <w:r>
        <w:rPr>
          <w:spacing w:val="34"/>
          <w:sz w:val="20"/>
        </w:rPr>
        <w:t> </w:t>
      </w:r>
      <w:r>
        <w:rPr>
          <w:sz w:val="20"/>
        </w:rPr>
        <w:t>de</w:t>
      </w:r>
      <w:r>
        <w:rPr>
          <w:spacing w:val="37"/>
          <w:sz w:val="20"/>
        </w:rPr>
        <w:t> </w:t>
      </w:r>
      <w:r>
        <w:rPr>
          <w:sz w:val="20"/>
        </w:rPr>
        <w:t>limpia</w:t>
      </w:r>
      <w:r>
        <w:rPr>
          <w:spacing w:val="37"/>
          <w:sz w:val="20"/>
        </w:rPr>
        <w:t> </w:t>
      </w:r>
      <w:r>
        <w:rPr>
          <w:sz w:val="20"/>
        </w:rPr>
        <w:t>en</w:t>
      </w:r>
      <w:r>
        <w:rPr>
          <w:spacing w:val="34"/>
          <w:sz w:val="20"/>
        </w:rPr>
        <w:t> </w:t>
      </w:r>
      <w:r>
        <w:rPr>
          <w:sz w:val="20"/>
        </w:rPr>
        <w:t>caso</w:t>
      </w:r>
      <w:r>
        <w:rPr>
          <w:spacing w:val="37"/>
          <w:sz w:val="20"/>
        </w:rPr>
        <w:t> </w:t>
      </w:r>
      <w:r>
        <w:rPr>
          <w:sz w:val="20"/>
        </w:rPr>
        <w:t>de</w:t>
      </w:r>
      <w:r>
        <w:rPr>
          <w:spacing w:val="36"/>
          <w:sz w:val="20"/>
        </w:rPr>
        <w:t> </w:t>
      </w:r>
      <w:r>
        <w:rPr>
          <w:sz w:val="20"/>
        </w:rPr>
        <w:t>que</w:t>
      </w:r>
      <w:r>
        <w:rPr>
          <w:spacing w:val="37"/>
          <w:sz w:val="20"/>
        </w:rPr>
        <w:t> </w:t>
      </w:r>
      <w:r>
        <w:rPr>
          <w:sz w:val="20"/>
        </w:rPr>
        <w:t>se</w:t>
      </w:r>
      <w:r>
        <w:rPr>
          <w:spacing w:val="34"/>
          <w:sz w:val="20"/>
        </w:rPr>
        <w:t> </w:t>
      </w:r>
      <w:r>
        <w:rPr>
          <w:sz w:val="20"/>
        </w:rPr>
        <w:t>requiera,</w:t>
      </w:r>
      <w:r>
        <w:rPr>
          <w:spacing w:val="34"/>
          <w:sz w:val="20"/>
        </w:rPr>
        <w:t> </w:t>
      </w:r>
      <w:r>
        <w:rPr>
          <w:sz w:val="20"/>
        </w:rPr>
        <w:t>previo</w:t>
      </w:r>
      <w:r>
        <w:rPr>
          <w:spacing w:val="37"/>
          <w:sz w:val="20"/>
        </w:rPr>
        <w:t> </w:t>
      </w:r>
      <w:r>
        <w:rPr>
          <w:sz w:val="20"/>
        </w:rPr>
        <w:t>dictamen</w:t>
      </w:r>
      <w:r>
        <w:rPr>
          <w:spacing w:val="34"/>
          <w:sz w:val="20"/>
        </w:rPr>
        <w:t> </w:t>
      </w:r>
      <w:r>
        <w:rPr>
          <w:sz w:val="20"/>
        </w:rPr>
        <w:t>de</w:t>
      </w:r>
      <w:r>
        <w:rPr>
          <w:spacing w:val="37"/>
          <w:sz w:val="20"/>
        </w:rPr>
        <w:t> </w:t>
      </w:r>
      <w:r>
        <w:rPr>
          <w:sz w:val="20"/>
        </w:rPr>
        <w:t>la</w:t>
      </w:r>
      <w:r>
        <w:rPr>
          <w:spacing w:val="37"/>
          <w:sz w:val="20"/>
        </w:rPr>
        <w:t> </w:t>
      </w:r>
      <w:r>
        <w:rPr>
          <w:sz w:val="20"/>
        </w:rPr>
        <w:t>dirección</w:t>
      </w:r>
      <w:r>
        <w:rPr>
          <w:spacing w:val="34"/>
          <w:sz w:val="20"/>
        </w:rPr>
        <w:t> </w:t>
      </w:r>
      <w:r>
        <w:rPr>
          <w:sz w:val="20"/>
        </w:rPr>
        <w:t>de Ecología o su equivalente y con las especificaciones que ésta determine.</w:t>
      </w:r>
    </w:p>
    <w:p>
      <w:pPr>
        <w:pStyle w:val="BodyText"/>
        <w:spacing w:before="1"/>
      </w:pPr>
    </w:p>
    <w:p>
      <w:pPr>
        <w:pStyle w:val="BodyText"/>
        <w:ind w:left="262" w:right="275"/>
        <w:jc w:val="both"/>
      </w:pPr>
      <w:r>
        <w:rPr>
          <w:rFonts w:ascii="Arial" w:hAnsi="Arial"/>
          <w:b/>
        </w:rPr>
        <w:t>ARTÍCULO 341. </w:t>
      </w:r>
      <w:r>
        <w:rPr/>
        <w:t>Se podrán autorizar fraccionamientos especiales de tipo mixto siempre y cuando se cumpla con las disposiciones contenidas en esta Ley, los usos y destinos permitidos en los programas de ordenamiento territorial y desarrollo urbano aplicables y en su caso la normatividad ambiental y sanitaria.</w:t>
      </w:r>
    </w:p>
    <w:p>
      <w:pPr>
        <w:pStyle w:val="BodyText"/>
      </w:pPr>
    </w:p>
    <w:p>
      <w:pPr>
        <w:pStyle w:val="BodyText"/>
      </w:pPr>
    </w:p>
    <w:p>
      <w:pPr>
        <w:pStyle w:val="Heading2"/>
        <w:spacing w:line="477" w:lineRule="auto" w:before="1"/>
        <w:ind w:left="3377" w:right="3391" w:hanging="3"/>
      </w:pPr>
      <w:r>
        <w:rPr/>
        <w:t>Sección Segunda Comerciales</w:t>
      </w:r>
      <w:r>
        <w:rPr>
          <w:spacing w:val="-13"/>
        </w:rPr>
        <w:t> </w:t>
      </w:r>
      <w:r>
        <w:rPr/>
        <w:t>y</w:t>
      </w:r>
      <w:r>
        <w:rPr>
          <w:spacing w:val="-14"/>
        </w:rPr>
        <w:t> </w:t>
      </w:r>
      <w:r>
        <w:rPr/>
        <w:t>de</w:t>
      </w:r>
      <w:r>
        <w:rPr>
          <w:spacing w:val="-13"/>
        </w:rPr>
        <w:t> </w:t>
      </w:r>
      <w:r>
        <w:rPr/>
        <w:t>Servicios</w:t>
      </w:r>
    </w:p>
    <w:p>
      <w:pPr>
        <w:pStyle w:val="BodyText"/>
        <w:spacing w:before="3"/>
        <w:ind w:left="262" w:right="278"/>
        <w:jc w:val="both"/>
      </w:pPr>
      <w:r>
        <w:rPr>
          <w:rFonts w:ascii="Arial" w:hAnsi="Arial"/>
          <w:b/>
        </w:rPr>
        <w:t>ARTÍCULO 342. </w:t>
      </w:r>
      <w:r>
        <w:rPr/>
        <w:t>Los fraccionamientos comerciales y de servicios, se destinarán exclusivamente a la construcción de inmuebles en los que se efectúen operaciones mercantiles de compraventa y almacenamiento de productos, así como para la prestación de servicios públicos o privados permitidos por la ley.</w:t>
      </w:r>
    </w:p>
    <w:p>
      <w:pPr>
        <w:pStyle w:val="BodyText"/>
      </w:pPr>
    </w:p>
    <w:p>
      <w:pPr>
        <w:pStyle w:val="BodyText"/>
        <w:ind w:left="262" w:right="289"/>
        <w:jc w:val="both"/>
      </w:pPr>
      <w:r>
        <w:rPr/>
        <w:t>Para</w:t>
      </w:r>
      <w:r>
        <w:rPr>
          <w:spacing w:val="-2"/>
        </w:rPr>
        <w:t> </w:t>
      </w:r>
      <w:r>
        <w:rPr/>
        <w:t>la</w:t>
      </w:r>
      <w:r>
        <w:rPr>
          <w:spacing w:val="-2"/>
        </w:rPr>
        <w:t> </w:t>
      </w:r>
      <w:r>
        <w:rPr/>
        <w:t>determinación</w:t>
      </w:r>
      <w:r>
        <w:rPr>
          <w:spacing w:val="-3"/>
        </w:rPr>
        <w:t> </w:t>
      </w:r>
      <w:r>
        <w:rPr/>
        <w:t>de</w:t>
      </w:r>
      <w:r>
        <w:rPr>
          <w:spacing w:val="-2"/>
        </w:rPr>
        <w:t> </w:t>
      </w:r>
      <w:r>
        <w:rPr/>
        <w:t>su</w:t>
      </w:r>
      <w:r>
        <w:rPr>
          <w:spacing w:val="-2"/>
        </w:rPr>
        <w:t> </w:t>
      </w:r>
      <w:r>
        <w:rPr/>
        <w:t>ubicación</w:t>
      </w:r>
      <w:r>
        <w:rPr>
          <w:spacing w:val="-3"/>
        </w:rPr>
        <w:t> </w:t>
      </w:r>
      <w:r>
        <w:rPr/>
        <w:t>y</w:t>
      </w:r>
      <w:r>
        <w:rPr>
          <w:spacing w:val="-1"/>
        </w:rPr>
        <w:t> </w:t>
      </w:r>
      <w:r>
        <w:rPr/>
        <w:t>características,</w:t>
      </w:r>
      <w:r>
        <w:rPr>
          <w:spacing w:val="-2"/>
        </w:rPr>
        <w:t> </w:t>
      </w:r>
      <w:r>
        <w:rPr/>
        <w:t>se</w:t>
      </w:r>
      <w:r>
        <w:rPr>
          <w:spacing w:val="-2"/>
        </w:rPr>
        <w:t> </w:t>
      </w:r>
      <w:r>
        <w:rPr/>
        <w:t>estará</w:t>
      </w:r>
      <w:r>
        <w:rPr>
          <w:spacing w:val="-2"/>
        </w:rPr>
        <w:t> </w:t>
      </w:r>
      <w:r>
        <w:rPr/>
        <w:t>a</w:t>
      </w:r>
      <w:r>
        <w:rPr>
          <w:spacing w:val="-2"/>
        </w:rPr>
        <w:t> </w:t>
      </w:r>
      <w:r>
        <w:rPr/>
        <w:t>lo</w:t>
      </w:r>
      <w:r>
        <w:rPr>
          <w:spacing w:val="-2"/>
        </w:rPr>
        <w:t> </w:t>
      </w:r>
      <w:r>
        <w:rPr/>
        <w:t>dispuesto</w:t>
      </w:r>
      <w:r>
        <w:rPr>
          <w:spacing w:val="-2"/>
        </w:rPr>
        <w:t> </w:t>
      </w:r>
      <w:r>
        <w:rPr/>
        <w:t>en</w:t>
      </w:r>
      <w:r>
        <w:rPr>
          <w:spacing w:val="-3"/>
        </w:rPr>
        <w:t> </w:t>
      </w:r>
      <w:r>
        <w:rPr/>
        <w:t>el</w:t>
      </w:r>
      <w:r>
        <w:rPr>
          <w:spacing w:val="-1"/>
        </w:rPr>
        <w:t> </w:t>
      </w:r>
      <w:r>
        <w:rPr/>
        <w:t>programa</w:t>
      </w:r>
      <w:r>
        <w:rPr>
          <w:spacing w:val="-2"/>
        </w:rPr>
        <w:t> </w:t>
      </w:r>
      <w:r>
        <w:rPr/>
        <w:t>de desarrollo urbano respectivo; en su caso se atenderá a lo dispuesto en el artículo 334 de esta</w:t>
      </w:r>
      <w:r>
        <w:rPr>
          <w:spacing w:val="-1"/>
        </w:rPr>
        <w:t> </w:t>
      </w:r>
      <w:r>
        <w:rPr/>
        <w:t>Ley.</w:t>
      </w:r>
    </w:p>
    <w:p>
      <w:pPr>
        <w:pStyle w:val="BodyText"/>
      </w:pPr>
    </w:p>
    <w:p>
      <w:pPr>
        <w:pStyle w:val="BodyText"/>
      </w:pPr>
    </w:p>
    <w:p>
      <w:pPr>
        <w:pStyle w:val="Heading2"/>
        <w:spacing w:line="480" w:lineRule="auto"/>
        <w:ind w:left="3547" w:right="3565"/>
      </w:pPr>
      <w:r>
        <w:rPr/>
        <w:t>Sección</w:t>
      </w:r>
      <w:r>
        <w:rPr>
          <w:spacing w:val="-14"/>
        </w:rPr>
        <w:t> </w:t>
      </w:r>
      <w:r>
        <w:rPr/>
        <w:t>Tercera </w:t>
      </w:r>
      <w:r>
        <w:rPr>
          <w:spacing w:val="-2"/>
        </w:rPr>
        <w:t>Industrial</w:t>
      </w:r>
      <w:r>
        <w:rPr>
          <w:i/>
          <w:spacing w:val="-2"/>
        </w:rPr>
        <w:t>e</w:t>
      </w:r>
      <w:r>
        <w:rPr>
          <w:spacing w:val="-2"/>
        </w:rPr>
        <w:t>s</w:t>
      </w:r>
    </w:p>
    <w:p>
      <w:pPr>
        <w:pStyle w:val="BodyText"/>
        <w:spacing w:before="2"/>
        <w:ind w:left="262" w:right="277"/>
        <w:jc w:val="both"/>
      </w:pPr>
      <w:r>
        <w:rPr>
          <w:rFonts w:ascii="Arial" w:hAnsi="Arial"/>
          <w:b/>
        </w:rPr>
        <w:t>ARTÍCULO 343. </w:t>
      </w:r>
      <w:r>
        <w:rPr/>
        <w:t>Los fraccionamientos industriales se destinarán exclusivamente a la construcción de inmuebles en los que se efectúen actividades de manufactura y transformación, se ubicarán de conformidad</w:t>
      </w:r>
      <w:r>
        <w:rPr>
          <w:spacing w:val="-8"/>
        </w:rPr>
        <w:t> </w:t>
      </w:r>
      <w:r>
        <w:rPr/>
        <w:t>con</w:t>
      </w:r>
      <w:r>
        <w:rPr>
          <w:spacing w:val="-8"/>
        </w:rPr>
        <w:t> </w:t>
      </w:r>
      <w:r>
        <w:rPr/>
        <w:t>lo</w:t>
      </w:r>
      <w:r>
        <w:rPr>
          <w:spacing w:val="-8"/>
        </w:rPr>
        <w:t> </w:t>
      </w:r>
      <w:r>
        <w:rPr/>
        <w:t>que</w:t>
      </w:r>
      <w:r>
        <w:rPr>
          <w:spacing w:val="-8"/>
        </w:rPr>
        <w:t> </w:t>
      </w:r>
      <w:r>
        <w:rPr/>
        <w:t>establezcan</w:t>
      </w:r>
      <w:r>
        <w:rPr>
          <w:spacing w:val="-8"/>
        </w:rPr>
        <w:t> </w:t>
      </w:r>
      <w:r>
        <w:rPr/>
        <w:t>los</w:t>
      </w:r>
      <w:r>
        <w:rPr>
          <w:spacing w:val="-7"/>
        </w:rPr>
        <w:t> </w:t>
      </w:r>
      <w:r>
        <w:rPr/>
        <w:t>programas</w:t>
      </w:r>
      <w:r>
        <w:rPr>
          <w:spacing w:val="-7"/>
        </w:rPr>
        <w:t> </w:t>
      </w:r>
      <w:r>
        <w:rPr/>
        <w:t>de</w:t>
      </w:r>
      <w:r>
        <w:rPr>
          <w:spacing w:val="-6"/>
        </w:rPr>
        <w:t> </w:t>
      </w:r>
      <w:r>
        <w:rPr/>
        <w:t>Ordenamiento</w:t>
      </w:r>
      <w:r>
        <w:rPr>
          <w:spacing w:val="-8"/>
        </w:rPr>
        <w:t> </w:t>
      </w:r>
      <w:r>
        <w:rPr/>
        <w:t>Territorial</w:t>
      </w:r>
      <w:r>
        <w:rPr>
          <w:spacing w:val="-8"/>
        </w:rPr>
        <w:t> </w:t>
      </w:r>
      <w:r>
        <w:rPr/>
        <w:t>y</w:t>
      </w:r>
      <w:r>
        <w:rPr>
          <w:spacing w:val="-1"/>
        </w:rPr>
        <w:t> </w:t>
      </w:r>
      <w:r>
        <w:rPr/>
        <w:t>Desarrollo</w:t>
      </w:r>
      <w:r>
        <w:rPr>
          <w:spacing w:val="-8"/>
        </w:rPr>
        <w:t> </w:t>
      </w:r>
      <w:r>
        <w:rPr/>
        <w:t>Urbano y los que de ellos deriven, según corresponda, y en su caso atenderán a las disposiciones de los artículos 139 fracción IV y 334 de esta Ley y a la Norma Oficial Mexicana aplicable.</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Heading2"/>
        <w:spacing w:line="480" w:lineRule="auto"/>
        <w:ind w:left="3010" w:right="2769" w:firstLine="933"/>
        <w:jc w:val="left"/>
      </w:pPr>
      <w:r>
        <w:rPr/>
        <w:t>Sección Cuarta Cementerios</w:t>
      </w:r>
      <w:r>
        <w:rPr>
          <w:spacing w:val="-14"/>
        </w:rPr>
        <w:t> </w:t>
      </w:r>
      <w:r>
        <w:rPr/>
        <w:t>o</w:t>
      </w:r>
      <w:r>
        <w:rPr>
          <w:spacing w:val="-14"/>
        </w:rPr>
        <w:t> </w:t>
      </w:r>
      <w:r>
        <w:rPr/>
        <w:t>Parques</w:t>
      </w:r>
      <w:r>
        <w:rPr>
          <w:spacing w:val="-14"/>
        </w:rPr>
        <w:t> </w:t>
      </w:r>
      <w:r>
        <w:rPr/>
        <w:t>Funerarios</w:t>
      </w:r>
    </w:p>
    <w:p>
      <w:pPr>
        <w:pStyle w:val="BodyText"/>
        <w:ind w:left="262" w:right="279"/>
        <w:jc w:val="both"/>
      </w:pPr>
      <w:r>
        <w:rPr>
          <w:rFonts w:ascii="Arial" w:hAnsi="Arial"/>
          <w:b/>
        </w:rPr>
        <w:t>ARTÍCULO 344. </w:t>
      </w:r>
      <w:r>
        <w:rPr/>
        <w:t>Los fraccionamientos de cementerios o parques funerarios se destinarán exclusivamente</w:t>
      </w:r>
      <w:r>
        <w:rPr>
          <w:spacing w:val="-8"/>
        </w:rPr>
        <w:t> </w:t>
      </w:r>
      <w:r>
        <w:rPr/>
        <w:t>al</w:t>
      </w:r>
      <w:r>
        <w:rPr>
          <w:spacing w:val="-8"/>
        </w:rPr>
        <w:t> </w:t>
      </w:r>
      <w:r>
        <w:rPr/>
        <w:t>depósito</w:t>
      </w:r>
      <w:r>
        <w:rPr>
          <w:spacing w:val="-6"/>
        </w:rPr>
        <w:t> </w:t>
      </w:r>
      <w:r>
        <w:rPr/>
        <w:t>de</w:t>
      </w:r>
      <w:r>
        <w:rPr>
          <w:spacing w:val="-10"/>
        </w:rPr>
        <w:t> </w:t>
      </w:r>
      <w:r>
        <w:rPr/>
        <w:t>cadáveres</w:t>
      </w:r>
      <w:r>
        <w:rPr>
          <w:spacing w:val="-8"/>
        </w:rPr>
        <w:t> </w:t>
      </w:r>
      <w:r>
        <w:rPr/>
        <w:t>y</w:t>
      </w:r>
      <w:r>
        <w:rPr>
          <w:spacing w:val="-6"/>
        </w:rPr>
        <w:t> </w:t>
      </w:r>
      <w:r>
        <w:rPr/>
        <w:t>osarios;</w:t>
      </w:r>
      <w:r>
        <w:rPr>
          <w:spacing w:val="-8"/>
        </w:rPr>
        <w:t> </w:t>
      </w:r>
      <w:r>
        <w:rPr/>
        <w:t>la</w:t>
      </w:r>
      <w:r>
        <w:rPr>
          <w:spacing w:val="-6"/>
        </w:rPr>
        <w:t> </w:t>
      </w:r>
      <w:r>
        <w:rPr/>
        <w:t>autorización</w:t>
      </w:r>
      <w:r>
        <w:rPr>
          <w:spacing w:val="-8"/>
        </w:rPr>
        <w:t> </w:t>
      </w:r>
      <w:r>
        <w:rPr/>
        <w:t>de</w:t>
      </w:r>
      <w:r>
        <w:rPr>
          <w:spacing w:val="-8"/>
        </w:rPr>
        <w:t> </w:t>
      </w:r>
      <w:r>
        <w:rPr/>
        <w:t>la</w:t>
      </w:r>
      <w:r>
        <w:rPr>
          <w:spacing w:val="-8"/>
        </w:rPr>
        <w:t> </w:t>
      </w:r>
      <w:r>
        <w:rPr/>
        <w:t>Dirección</w:t>
      </w:r>
      <w:r>
        <w:rPr>
          <w:spacing w:val="-8"/>
        </w:rPr>
        <w:t> </w:t>
      </w:r>
      <w:r>
        <w:rPr/>
        <w:t>municipal</w:t>
      </w:r>
      <w:r>
        <w:rPr>
          <w:spacing w:val="-11"/>
        </w:rPr>
        <w:t> </w:t>
      </w:r>
      <w:r>
        <w:rPr/>
        <w:t>deberá ajustarse</w:t>
      </w:r>
      <w:r>
        <w:rPr>
          <w:spacing w:val="-14"/>
        </w:rPr>
        <w:t> </w:t>
      </w:r>
      <w:r>
        <w:rPr/>
        <w:t>a</w:t>
      </w:r>
      <w:r>
        <w:rPr>
          <w:spacing w:val="-14"/>
        </w:rPr>
        <w:t> </w:t>
      </w:r>
      <w:r>
        <w:rPr/>
        <w:t>las</w:t>
      </w:r>
      <w:r>
        <w:rPr>
          <w:spacing w:val="-14"/>
        </w:rPr>
        <w:t> </w:t>
      </w:r>
      <w:r>
        <w:rPr/>
        <w:t>normas</w:t>
      </w:r>
      <w:r>
        <w:rPr>
          <w:spacing w:val="-14"/>
        </w:rPr>
        <w:t> </w:t>
      </w:r>
      <w:r>
        <w:rPr/>
        <w:t>y</w:t>
      </w:r>
      <w:r>
        <w:rPr>
          <w:spacing w:val="-14"/>
        </w:rPr>
        <w:t> </w:t>
      </w:r>
      <w:r>
        <w:rPr/>
        <w:t>dictámenes</w:t>
      </w:r>
      <w:r>
        <w:rPr>
          <w:spacing w:val="-14"/>
        </w:rPr>
        <w:t> </w:t>
      </w:r>
      <w:r>
        <w:rPr/>
        <w:t>de</w:t>
      </w:r>
      <w:r>
        <w:rPr>
          <w:spacing w:val="-14"/>
        </w:rPr>
        <w:t> </w:t>
      </w:r>
      <w:r>
        <w:rPr/>
        <w:t>las</w:t>
      </w:r>
      <w:r>
        <w:rPr>
          <w:spacing w:val="-14"/>
        </w:rPr>
        <w:t> </w:t>
      </w:r>
      <w:r>
        <w:rPr/>
        <w:t>autoridades</w:t>
      </w:r>
      <w:r>
        <w:rPr>
          <w:spacing w:val="-14"/>
        </w:rPr>
        <w:t> </w:t>
      </w:r>
      <w:r>
        <w:rPr/>
        <w:t>en</w:t>
      </w:r>
      <w:r>
        <w:rPr>
          <w:spacing w:val="-13"/>
        </w:rPr>
        <w:t> </w:t>
      </w:r>
      <w:r>
        <w:rPr/>
        <w:t>materia</w:t>
      </w:r>
      <w:r>
        <w:rPr>
          <w:spacing w:val="-14"/>
        </w:rPr>
        <w:t> </w:t>
      </w:r>
      <w:r>
        <w:rPr/>
        <w:t>de</w:t>
      </w:r>
      <w:r>
        <w:rPr>
          <w:spacing w:val="-14"/>
        </w:rPr>
        <w:t> </w:t>
      </w:r>
      <w:r>
        <w:rPr/>
        <w:t>salud,</w:t>
      </w:r>
      <w:r>
        <w:rPr>
          <w:spacing w:val="-14"/>
        </w:rPr>
        <w:t> </w:t>
      </w:r>
      <w:r>
        <w:rPr/>
        <w:t>y</w:t>
      </w:r>
      <w:r>
        <w:rPr>
          <w:spacing w:val="22"/>
        </w:rPr>
        <w:t> </w:t>
      </w:r>
      <w:r>
        <w:rPr/>
        <w:t>a</w:t>
      </w:r>
      <w:r>
        <w:rPr>
          <w:spacing w:val="-14"/>
        </w:rPr>
        <w:t> </w:t>
      </w:r>
      <w:r>
        <w:rPr/>
        <w:t>las</w:t>
      </w:r>
      <w:r>
        <w:rPr>
          <w:spacing w:val="-9"/>
        </w:rPr>
        <w:t> </w:t>
      </w:r>
      <w:r>
        <w:rPr/>
        <w:t>especificaciones y ubicación que determinen los programas de desarrollo urbano de centro de población.</w:t>
      </w:r>
    </w:p>
    <w:p>
      <w:pPr>
        <w:pStyle w:val="BodyText"/>
      </w:pPr>
    </w:p>
    <w:p>
      <w:pPr>
        <w:pStyle w:val="BodyText"/>
      </w:pPr>
    </w:p>
    <w:p>
      <w:pPr>
        <w:pStyle w:val="Heading1"/>
      </w:pPr>
      <w:r>
        <w:rPr/>
        <w:t>TÍTULO</w:t>
      </w:r>
      <w:r>
        <w:rPr>
          <w:spacing w:val="-9"/>
        </w:rPr>
        <w:t> </w:t>
      </w:r>
      <w:r>
        <w:rPr/>
        <w:t>DÉCIMO</w:t>
      </w:r>
      <w:r>
        <w:rPr>
          <w:spacing w:val="-8"/>
        </w:rPr>
        <w:t> </w:t>
      </w:r>
      <w:r>
        <w:rPr>
          <w:spacing w:val="-2"/>
        </w:rPr>
        <w:t>QUINTO</w:t>
      </w:r>
    </w:p>
    <w:p>
      <w:pPr>
        <w:pStyle w:val="BodyText"/>
        <w:spacing w:before="1"/>
        <w:rPr>
          <w:rFonts w:ascii="Arial"/>
          <w:b/>
        </w:rPr>
      </w:pPr>
    </w:p>
    <w:p>
      <w:pPr>
        <w:spacing w:before="0"/>
        <w:ind w:left="149" w:right="168" w:firstLine="0"/>
        <w:jc w:val="center"/>
        <w:rPr>
          <w:rFonts w:ascii="Arial" w:hAnsi="Arial"/>
          <w:b/>
          <w:sz w:val="20"/>
        </w:rPr>
      </w:pPr>
      <w:r>
        <w:rPr>
          <w:rFonts w:ascii="Arial" w:hAnsi="Arial"/>
          <w:b/>
          <w:sz w:val="20"/>
        </w:rPr>
        <w:t>SUBDIVISIONES,</w:t>
      </w:r>
      <w:r>
        <w:rPr>
          <w:rFonts w:ascii="Arial" w:hAnsi="Arial"/>
          <w:b/>
          <w:spacing w:val="-7"/>
          <w:sz w:val="20"/>
        </w:rPr>
        <w:t> </w:t>
      </w:r>
      <w:r>
        <w:rPr>
          <w:rFonts w:ascii="Arial" w:hAnsi="Arial"/>
          <w:b/>
          <w:sz w:val="20"/>
        </w:rPr>
        <w:t>FUSIONES,</w:t>
      </w:r>
      <w:r>
        <w:rPr>
          <w:rFonts w:ascii="Arial" w:hAnsi="Arial"/>
          <w:b/>
          <w:spacing w:val="-5"/>
          <w:sz w:val="20"/>
        </w:rPr>
        <w:t> </w:t>
      </w:r>
      <w:r>
        <w:rPr>
          <w:rFonts w:ascii="Arial" w:hAnsi="Arial"/>
          <w:b/>
          <w:sz w:val="20"/>
        </w:rPr>
        <w:t>RELOTIFICACIONES</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CAMBIOS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INTENSIDAD</w:t>
      </w:r>
      <w:r>
        <w:rPr>
          <w:rFonts w:ascii="Arial" w:hAnsi="Arial"/>
          <w:b/>
          <w:spacing w:val="-7"/>
          <w:sz w:val="20"/>
        </w:rPr>
        <w:t> </w:t>
      </w:r>
      <w:r>
        <w:rPr>
          <w:rFonts w:ascii="Arial" w:hAnsi="Arial"/>
          <w:b/>
          <w:sz w:val="20"/>
        </w:rPr>
        <w:t>EN</w:t>
      </w:r>
      <w:r>
        <w:rPr>
          <w:rFonts w:ascii="Arial" w:hAnsi="Arial"/>
          <w:b/>
          <w:spacing w:val="-5"/>
          <w:sz w:val="20"/>
        </w:rPr>
        <w:t> </w:t>
      </w:r>
      <w:r>
        <w:rPr>
          <w:rFonts w:ascii="Arial" w:hAnsi="Arial"/>
          <w:b/>
          <w:sz w:val="20"/>
        </w:rPr>
        <w:t>EL</w:t>
      </w:r>
      <w:r>
        <w:rPr>
          <w:rFonts w:ascii="Arial" w:hAnsi="Arial"/>
          <w:b/>
          <w:spacing w:val="-6"/>
          <w:sz w:val="20"/>
        </w:rPr>
        <w:t> </w:t>
      </w:r>
      <w:r>
        <w:rPr>
          <w:rFonts w:ascii="Arial" w:hAnsi="Arial"/>
          <w:b/>
          <w:sz w:val="20"/>
        </w:rPr>
        <w:t>USO HABITACIONAL DE ÁREAS Y PREDIOS</w:t>
      </w:r>
    </w:p>
    <w:p>
      <w:pPr>
        <w:pStyle w:val="BodyText"/>
        <w:spacing w:before="229"/>
        <w:rPr>
          <w:rFonts w:ascii="Arial"/>
          <w:b/>
        </w:rPr>
      </w:pPr>
    </w:p>
    <w:p>
      <w:pPr>
        <w:pStyle w:val="Heading2"/>
      </w:pPr>
      <w:r>
        <w:rPr/>
        <w:t>Capítulo</w:t>
      </w:r>
      <w:r>
        <w:rPr>
          <w:spacing w:val="-8"/>
        </w:rPr>
        <w:t> </w:t>
      </w:r>
      <w:r>
        <w:rPr>
          <w:spacing w:val="-2"/>
        </w:rPr>
        <w:t>Único</w:t>
      </w:r>
    </w:p>
    <w:p>
      <w:pPr>
        <w:pStyle w:val="BodyText"/>
        <w:spacing w:before="1"/>
        <w:rPr>
          <w:rFonts w:ascii="Arial"/>
          <w:b/>
        </w:rPr>
      </w:pPr>
    </w:p>
    <w:p>
      <w:pPr>
        <w:pStyle w:val="BodyText"/>
        <w:ind w:left="262" w:right="280"/>
        <w:jc w:val="both"/>
      </w:pPr>
      <w:r>
        <w:rPr>
          <w:rFonts w:ascii="Arial" w:hAnsi="Arial"/>
          <w:b/>
        </w:rPr>
        <w:t>ARTÍCULO 345. </w:t>
      </w:r>
      <w:r>
        <w:rPr/>
        <w:t>Para autorizar subdivisiones, fusiones, relotificaciones cualquiera que sea su extensión,</w:t>
      </w:r>
      <w:r>
        <w:rPr>
          <w:spacing w:val="-9"/>
        </w:rPr>
        <w:t> </w:t>
      </w:r>
      <w:r>
        <w:rPr/>
        <w:t>la</w:t>
      </w:r>
      <w:r>
        <w:rPr>
          <w:spacing w:val="-9"/>
        </w:rPr>
        <w:t> </w:t>
      </w:r>
      <w:r>
        <w:rPr/>
        <w:t>autoridad</w:t>
      </w:r>
      <w:r>
        <w:rPr>
          <w:spacing w:val="-9"/>
        </w:rPr>
        <w:t> </w:t>
      </w:r>
      <w:r>
        <w:rPr/>
        <w:t>competente</w:t>
      </w:r>
      <w:r>
        <w:rPr>
          <w:spacing w:val="-9"/>
        </w:rPr>
        <w:t> </w:t>
      </w:r>
      <w:r>
        <w:rPr/>
        <w:t>deberá</w:t>
      </w:r>
      <w:r>
        <w:rPr>
          <w:spacing w:val="-8"/>
        </w:rPr>
        <w:t> </w:t>
      </w:r>
      <w:r>
        <w:rPr/>
        <w:t>considerar</w:t>
      </w:r>
      <w:r>
        <w:rPr>
          <w:spacing w:val="-8"/>
        </w:rPr>
        <w:t> </w:t>
      </w:r>
      <w:r>
        <w:rPr/>
        <w:t>las</w:t>
      </w:r>
      <w:r>
        <w:rPr>
          <w:spacing w:val="-8"/>
        </w:rPr>
        <w:t> </w:t>
      </w:r>
      <w:r>
        <w:rPr/>
        <w:t>disposiciones</w:t>
      </w:r>
      <w:r>
        <w:rPr>
          <w:spacing w:val="-8"/>
        </w:rPr>
        <w:t> </w:t>
      </w:r>
      <w:r>
        <w:rPr/>
        <w:t>de</w:t>
      </w:r>
      <w:r>
        <w:rPr>
          <w:spacing w:val="-9"/>
        </w:rPr>
        <w:t> </w:t>
      </w:r>
      <w:r>
        <w:rPr/>
        <w:t>la</w:t>
      </w:r>
      <w:r>
        <w:rPr>
          <w:spacing w:val="38"/>
        </w:rPr>
        <w:t> </w:t>
      </w:r>
      <w:r>
        <w:rPr/>
        <w:t>presente</w:t>
      </w:r>
      <w:r>
        <w:rPr>
          <w:spacing w:val="-9"/>
        </w:rPr>
        <w:t> </w:t>
      </w:r>
      <w:r>
        <w:rPr/>
        <w:t>Ley,</w:t>
      </w:r>
      <w:r>
        <w:rPr>
          <w:spacing w:val="-9"/>
        </w:rPr>
        <w:t> </w:t>
      </w:r>
      <w:r>
        <w:rPr/>
        <w:t>y</w:t>
      </w:r>
      <w:r>
        <w:rPr>
          <w:spacing w:val="-8"/>
        </w:rPr>
        <w:t> </w:t>
      </w:r>
      <w:r>
        <w:rPr/>
        <w:t>el</w:t>
      </w:r>
      <w:r>
        <w:rPr>
          <w:spacing w:val="-10"/>
        </w:rPr>
        <w:t> </w:t>
      </w:r>
      <w:r>
        <w:rPr/>
        <w:t>uso de suelo permitido en el Programa de Desarrollo Urbano del Centro de Población de que se trate, para establecer los lineamientos a que deberán sujetarse, estimando la dimensión resultante del predio, el uso al que se destinará y los servicios, equipamiento e infraestructura urbana existentes.</w:t>
      </w:r>
    </w:p>
    <w:p>
      <w:pPr>
        <w:pStyle w:val="BodyText"/>
        <w:spacing w:before="1"/>
      </w:pPr>
    </w:p>
    <w:p>
      <w:pPr>
        <w:pStyle w:val="BodyText"/>
        <w:ind w:left="262" w:right="278"/>
        <w:jc w:val="both"/>
      </w:pPr>
      <w:r>
        <w:rPr/>
        <w:t>En los casos de centros de población que no cuenten con un Programa de Desarrollo Urbano, se deberán considerar además de las disposiciones de la presente Ley, las de la Ley Ambiental del Estado o de Protección al Ambiente según se trate, en los casos en que sea necesario.</w:t>
      </w:r>
    </w:p>
    <w:p>
      <w:pPr>
        <w:pStyle w:val="BodyText"/>
        <w:spacing w:before="229"/>
        <w:ind w:left="262" w:right="276"/>
        <w:jc w:val="both"/>
      </w:pPr>
      <w:r>
        <w:rPr>
          <w:rFonts w:ascii="Arial" w:hAnsi="Arial"/>
          <w:b/>
        </w:rPr>
        <w:t>ARTÍCULO 346. </w:t>
      </w:r>
      <w:r>
        <w:rPr/>
        <w:t>Las relotificaciones serán autorizadas por la Dirección municipal, únicamente en los casos en que se respeten las densidades que establecen los Programas de Desarrollo Urbano Municipales, o a falta de éstos los que esta Ley determina para cada tipo de fraccionamiento, así como los usos del suelo y que se demuestre la suficiente cobertura de los servicios, debidamente avalados por los dictámenes de factibilidad correspondientes, expedidos por las autoridades y organismos operadores respectivos.</w:t>
      </w:r>
    </w:p>
    <w:p>
      <w:pPr>
        <w:pStyle w:val="BodyText"/>
      </w:pPr>
    </w:p>
    <w:p>
      <w:pPr>
        <w:pStyle w:val="BodyText"/>
        <w:spacing w:before="1"/>
        <w:ind w:left="262" w:right="286"/>
        <w:jc w:val="both"/>
      </w:pPr>
      <w:r>
        <w:rPr/>
        <w:t>Cualquier solicitud de relotificación que implique la modificación, creación o cancelación de vialidades o el cambio del tipo de fraccionamiento autorizado, tendrá que promoverse ante la Dirección Municipal para que ésta la analice, la dictamine y la autorice en su caso.</w:t>
      </w:r>
    </w:p>
    <w:p>
      <w:pPr>
        <w:pStyle w:val="BodyText"/>
        <w:spacing w:before="229"/>
        <w:ind w:left="262"/>
        <w:jc w:val="both"/>
      </w:pPr>
      <w:r>
        <w:rPr>
          <w:rFonts w:ascii="Arial" w:hAnsi="Arial"/>
          <w:b/>
        </w:rPr>
        <w:t>ARTÍCULO</w:t>
      </w:r>
      <w:r>
        <w:rPr>
          <w:rFonts w:ascii="Arial" w:hAnsi="Arial"/>
          <w:b/>
          <w:spacing w:val="-6"/>
        </w:rPr>
        <w:t> </w:t>
      </w:r>
      <w:r>
        <w:rPr>
          <w:rFonts w:ascii="Arial" w:hAnsi="Arial"/>
          <w:b/>
        </w:rPr>
        <w:t>347.</w:t>
      </w:r>
      <w:r>
        <w:rPr>
          <w:rFonts w:ascii="Arial" w:hAnsi="Arial"/>
          <w:b/>
          <w:spacing w:val="-5"/>
        </w:rPr>
        <w:t> </w:t>
      </w:r>
      <w:r>
        <w:rPr/>
        <w:t>Para</w:t>
      </w:r>
      <w:r>
        <w:rPr>
          <w:spacing w:val="-5"/>
        </w:rPr>
        <w:t> </w:t>
      </w:r>
      <w:r>
        <w:rPr/>
        <w:t>los</w:t>
      </w:r>
      <w:r>
        <w:rPr>
          <w:spacing w:val="-6"/>
        </w:rPr>
        <w:t> </w:t>
      </w:r>
      <w:r>
        <w:rPr/>
        <w:t>efectos</w:t>
      </w:r>
      <w:r>
        <w:rPr>
          <w:spacing w:val="-6"/>
        </w:rPr>
        <w:t> </w:t>
      </w:r>
      <w:r>
        <w:rPr/>
        <w:t>de</w:t>
      </w:r>
      <w:r>
        <w:rPr>
          <w:spacing w:val="-6"/>
        </w:rPr>
        <w:t> </w:t>
      </w:r>
      <w:r>
        <w:rPr/>
        <w:t>la</w:t>
      </w:r>
      <w:r>
        <w:rPr>
          <w:spacing w:val="-5"/>
        </w:rPr>
        <w:t> </w:t>
      </w:r>
      <w:r>
        <w:rPr/>
        <w:t>aplicación</w:t>
      </w:r>
      <w:r>
        <w:rPr>
          <w:spacing w:val="-6"/>
        </w:rPr>
        <w:t> </w:t>
      </w:r>
      <w:r>
        <w:rPr/>
        <w:t>de</w:t>
      </w:r>
      <w:r>
        <w:rPr>
          <w:spacing w:val="-8"/>
        </w:rPr>
        <w:t> </w:t>
      </w:r>
      <w:r>
        <w:rPr/>
        <w:t>éste</w:t>
      </w:r>
      <w:r>
        <w:rPr>
          <w:spacing w:val="-7"/>
        </w:rPr>
        <w:t> </w:t>
      </w:r>
      <w:r>
        <w:rPr/>
        <w:t>Capítulo</w:t>
      </w:r>
      <w:r>
        <w:rPr>
          <w:spacing w:val="-7"/>
        </w:rPr>
        <w:t> </w:t>
      </w:r>
      <w:r>
        <w:rPr>
          <w:spacing w:val="-2"/>
        </w:rPr>
        <w:t>será:</w:t>
      </w:r>
    </w:p>
    <w:p>
      <w:pPr>
        <w:pStyle w:val="BodyText"/>
        <w:spacing w:before="1"/>
      </w:pPr>
    </w:p>
    <w:p>
      <w:pPr>
        <w:pStyle w:val="ListParagraph"/>
        <w:numPr>
          <w:ilvl w:val="0"/>
          <w:numId w:val="120"/>
        </w:numPr>
        <w:tabs>
          <w:tab w:pos="543" w:val="left" w:leader="none"/>
        </w:tabs>
        <w:spacing w:line="240" w:lineRule="auto" w:before="0" w:after="0"/>
        <w:ind w:left="262" w:right="280" w:firstLine="0"/>
        <w:jc w:val="both"/>
        <w:rPr>
          <w:sz w:val="20"/>
        </w:rPr>
      </w:pPr>
      <w:r>
        <w:rPr>
          <w:rFonts w:ascii="Arial" w:hAnsi="Arial"/>
          <w:b/>
          <w:sz w:val="20"/>
        </w:rPr>
        <w:t>Relotificación: </w:t>
      </w:r>
      <w:r>
        <w:rPr>
          <w:sz w:val="20"/>
        </w:rPr>
        <w:t>procedimiento mediante el cual en los fraccionamientos habitacionales autorizados, se incrementa o disminuye el número de viviendas respecto al número de lotes originales, o se modifica su diseño o su traza, pudiendo llevarse a cabo siempre y cuando no sobrepase la densidad de vivienda establecida para la zona de su ubicación en el Programa de Desarrollo Urbano aplicable, o en su caso las que establece esta Ley.</w:t>
      </w:r>
    </w:p>
    <w:p>
      <w:pPr>
        <w:pStyle w:val="BodyText"/>
      </w:pPr>
    </w:p>
    <w:p>
      <w:pPr>
        <w:pStyle w:val="BodyText"/>
        <w:ind w:left="262" w:right="277"/>
        <w:jc w:val="both"/>
      </w:pPr>
      <w:r>
        <w:rPr/>
        <w:t>Cuando</w:t>
      </w:r>
      <w:r>
        <w:rPr>
          <w:spacing w:val="-5"/>
        </w:rPr>
        <w:t> </w:t>
      </w:r>
      <w:r>
        <w:rPr/>
        <w:t>resulte</w:t>
      </w:r>
      <w:r>
        <w:rPr>
          <w:spacing w:val="-5"/>
        </w:rPr>
        <w:t> </w:t>
      </w:r>
      <w:r>
        <w:rPr/>
        <w:t>necesario</w:t>
      </w:r>
      <w:r>
        <w:rPr>
          <w:spacing w:val="-3"/>
        </w:rPr>
        <w:t> </w:t>
      </w:r>
      <w:r>
        <w:rPr/>
        <w:t>deberá</w:t>
      </w:r>
      <w:r>
        <w:rPr>
          <w:spacing w:val="-4"/>
        </w:rPr>
        <w:t> </w:t>
      </w:r>
      <w:r>
        <w:rPr/>
        <w:t>contemplarse</w:t>
      </w:r>
      <w:r>
        <w:rPr>
          <w:spacing w:val="-1"/>
        </w:rPr>
        <w:t> </w:t>
      </w:r>
      <w:r>
        <w:rPr/>
        <w:t>el</w:t>
      </w:r>
      <w:r>
        <w:rPr>
          <w:spacing w:val="-5"/>
        </w:rPr>
        <w:t> </w:t>
      </w:r>
      <w:r>
        <w:rPr/>
        <w:t>trazo</w:t>
      </w:r>
      <w:r>
        <w:rPr>
          <w:spacing w:val="-4"/>
        </w:rPr>
        <w:t> </w:t>
      </w:r>
      <w:r>
        <w:rPr/>
        <w:t>de</w:t>
      </w:r>
      <w:r>
        <w:rPr>
          <w:spacing w:val="-4"/>
        </w:rPr>
        <w:t> </w:t>
      </w:r>
      <w:r>
        <w:rPr/>
        <w:t>nuevas</w:t>
      </w:r>
      <w:r>
        <w:rPr>
          <w:spacing w:val="-3"/>
        </w:rPr>
        <w:t> </w:t>
      </w:r>
      <w:r>
        <w:rPr/>
        <w:t>vías</w:t>
      </w:r>
      <w:r>
        <w:rPr>
          <w:spacing w:val="-4"/>
        </w:rPr>
        <w:t> </w:t>
      </w:r>
      <w:r>
        <w:rPr/>
        <w:t>públicas</w:t>
      </w:r>
      <w:r>
        <w:rPr>
          <w:spacing w:val="-2"/>
        </w:rPr>
        <w:t> </w:t>
      </w:r>
      <w:r>
        <w:rPr/>
        <w:t>o</w:t>
      </w:r>
      <w:r>
        <w:rPr>
          <w:spacing w:val="40"/>
        </w:rPr>
        <w:t> </w:t>
      </w:r>
      <w:r>
        <w:rPr/>
        <w:t>su</w:t>
      </w:r>
      <w:r>
        <w:rPr>
          <w:spacing w:val="-2"/>
        </w:rPr>
        <w:t> </w:t>
      </w:r>
      <w:r>
        <w:rPr/>
        <w:t>modificación, así como obras de urbanización complementarias que se requieran;</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20"/>
        </w:numPr>
        <w:tabs>
          <w:tab w:pos="686" w:val="left" w:leader="none"/>
        </w:tabs>
        <w:spacing w:line="240" w:lineRule="auto" w:before="0" w:after="0"/>
        <w:ind w:left="262" w:right="284" w:firstLine="0"/>
        <w:jc w:val="both"/>
        <w:rPr>
          <w:sz w:val="20"/>
        </w:rPr>
      </w:pPr>
      <w:r>
        <w:rPr>
          <w:rFonts w:ascii="Arial" w:hAnsi="Arial"/>
          <w:b/>
          <w:sz w:val="20"/>
        </w:rPr>
        <w:t>Fusión:</w:t>
      </w:r>
      <w:r>
        <w:rPr>
          <w:rFonts w:ascii="Arial" w:hAnsi="Arial"/>
          <w:b/>
          <w:spacing w:val="-14"/>
          <w:sz w:val="20"/>
        </w:rPr>
        <w:t> </w:t>
      </w:r>
      <w:r>
        <w:rPr>
          <w:sz w:val="20"/>
        </w:rPr>
        <w:t>la</w:t>
      </w:r>
      <w:r>
        <w:rPr>
          <w:spacing w:val="-14"/>
          <w:sz w:val="20"/>
        </w:rPr>
        <w:t> </w:t>
      </w:r>
      <w:r>
        <w:rPr>
          <w:sz w:val="20"/>
        </w:rPr>
        <w:t>unión</w:t>
      </w:r>
      <w:r>
        <w:rPr>
          <w:spacing w:val="-14"/>
          <w:sz w:val="20"/>
        </w:rPr>
        <w:t> </w:t>
      </w:r>
      <w:r>
        <w:rPr>
          <w:sz w:val="20"/>
        </w:rPr>
        <w:t>en</w:t>
      </w:r>
      <w:r>
        <w:rPr>
          <w:spacing w:val="-14"/>
          <w:sz w:val="20"/>
        </w:rPr>
        <w:t> </w:t>
      </w:r>
      <w:r>
        <w:rPr>
          <w:sz w:val="20"/>
        </w:rPr>
        <w:t>un</w:t>
      </w:r>
      <w:r>
        <w:rPr>
          <w:spacing w:val="-14"/>
          <w:sz w:val="20"/>
        </w:rPr>
        <w:t> </w:t>
      </w:r>
      <w:r>
        <w:rPr>
          <w:sz w:val="20"/>
        </w:rPr>
        <w:t>solo</w:t>
      </w:r>
      <w:r>
        <w:rPr>
          <w:spacing w:val="-14"/>
          <w:sz w:val="20"/>
        </w:rPr>
        <w:t> </w:t>
      </w:r>
      <w:r>
        <w:rPr>
          <w:sz w:val="20"/>
        </w:rPr>
        <w:t>predio,</w:t>
      </w:r>
      <w:r>
        <w:rPr>
          <w:spacing w:val="-14"/>
          <w:sz w:val="20"/>
        </w:rPr>
        <w:t> </w:t>
      </w:r>
      <w:r>
        <w:rPr>
          <w:sz w:val="20"/>
        </w:rPr>
        <w:t>de</w:t>
      </w:r>
      <w:r>
        <w:rPr>
          <w:spacing w:val="-14"/>
          <w:sz w:val="20"/>
        </w:rPr>
        <w:t> </w:t>
      </w:r>
      <w:r>
        <w:rPr>
          <w:sz w:val="20"/>
        </w:rPr>
        <w:t>dos</w:t>
      </w:r>
      <w:r>
        <w:rPr>
          <w:spacing w:val="-14"/>
          <w:sz w:val="20"/>
        </w:rPr>
        <w:t> </w:t>
      </w:r>
      <w:r>
        <w:rPr>
          <w:sz w:val="20"/>
        </w:rPr>
        <w:t>o</w:t>
      </w:r>
      <w:r>
        <w:rPr>
          <w:spacing w:val="-13"/>
          <w:sz w:val="20"/>
        </w:rPr>
        <w:t> </w:t>
      </w:r>
      <w:r>
        <w:rPr>
          <w:sz w:val="20"/>
        </w:rPr>
        <w:t>más</w:t>
      </w:r>
      <w:r>
        <w:rPr>
          <w:spacing w:val="-14"/>
          <w:sz w:val="20"/>
        </w:rPr>
        <w:t> </w:t>
      </w:r>
      <w:r>
        <w:rPr>
          <w:sz w:val="20"/>
        </w:rPr>
        <w:t>predios</w:t>
      </w:r>
      <w:r>
        <w:rPr>
          <w:spacing w:val="-14"/>
          <w:sz w:val="20"/>
        </w:rPr>
        <w:t> </w:t>
      </w:r>
      <w:r>
        <w:rPr>
          <w:sz w:val="20"/>
        </w:rPr>
        <w:t>colindantes,</w:t>
      </w:r>
      <w:r>
        <w:rPr>
          <w:spacing w:val="-14"/>
          <w:sz w:val="20"/>
        </w:rPr>
        <w:t> </w:t>
      </w:r>
      <w:r>
        <w:rPr>
          <w:sz w:val="20"/>
        </w:rPr>
        <w:t>para</w:t>
      </w:r>
      <w:r>
        <w:rPr>
          <w:spacing w:val="-14"/>
          <w:sz w:val="20"/>
        </w:rPr>
        <w:t> </w:t>
      </w:r>
      <w:r>
        <w:rPr>
          <w:sz w:val="20"/>
        </w:rPr>
        <w:t>constituir</w:t>
      </w:r>
      <w:r>
        <w:rPr>
          <w:spacing w:val="-13"/>
          <w:sz w:val="20"/>
        </w:rPr>
        <w:t> </w:t>
      </w:r>
      <w:r>
        <w:rPr>
          <w:sz w:val="20"/>
        </w:rPr>
        <w:t>una</w:t>
      </w:r>
      <w:r>
        <w:rPr>
          <w:spacing w:val="-14"/>
          <w:sz w:val="20"/>
        </w:rPr>
        <w:t> </w:t>
      </w:r>
      <w:r>
        <w:rPr>
          <w:sz w:val="20"/>
        </w:rPr>
        <w:t>unidad de mayor extensión, y</w:t>
      </w:r>
    </w:p>
    <w:p>
      <w:pPr>
        <w:pStyle w:val="BodyText"/>
        <w:spacing w:before="1"/>
      </w:pPr>
    </w:p>
    <w:p>
      <w:pPr>
        <w:pStyle w:val="ListParagraph"/>
        <w:numPr>
          <w:ilvl w:val="0"/>
          <w:numId w:val="120"/>
        </w:numPr>
        <w:tabs>
          <w:tab w:pos="741" w:val="left" w:leader="none"/>
        </w:tabs>
        <w:spacing w:line="240" w:lineRule="auto" w:before="1" w:after="0"/>
        <w:ind w:left="262" w:right="281" w:firstLine="0"/>
        <w:jc w:val="both"/>
        <w:rPr>
          <w:sz w:val="20"/>
        </w:rPr>
      </w:pPr>
      <w:r>
        <w:rPr>
          <w:rFonts w:ascii="Arial" w:hAnsi="Arial"/>
          <w:b/>
          <w:sz w:val="20"/>
        </w:rPr>
        <w:t>Subdivisión: </w:t>
      </w:r>
      <w:r>
        <w:rPr>
          <w:sz w:val="20"/>
        </w:rPr>
        <w:t>la partición de un predio hasta en diez fracciones, que no requiera del trazo de vías públicas ni de obras de urbanización. Si de la subdivisión de un solo predio que realice el propietario de éste o su representante legal resulten más de diez lotes o edificaciones, se considerará entonces como fraccionamiento, quedando sujeto a las disposiciones de la presente Ley,</w:t>
      </w:r>
      <w:r>
        <w:rPr>
          <w:spacing w:val="-14"/>
          <w:sz w:val="20"/>
        </w:rPr>
        <w:t> </w:t>
      </w:r>
      <w:r>
        <w:rPr>
          <w:sz w:val="20"/>
        </w:rPr>
        <w:t>excepto</w:t>
      </w:r>
      <w:r>
        <w:rPr>
          <w:spacing w:val="-14"/>
          <w:sz w:val="20"/>
        </w:rPr>
        <w:t> </w:t>
      </w:r>
      <w:r>
        <w:rPr>
          <w:sz w:val="20"/>
        </w:rPr>
        <w:t>cuando</w:t>
      </w:r>
      <w:r>
        <w:rPr>
          <w:spacing w:val="-14"/>
          <w:sz w:val="20"/>
        </w:rPr>
        <w:t> </w:t>
      </w:r>
      <w:r>
        <w:rPr>
          <w:sz w:val="20"/>
        </w:rPr>
        <w:t>las</w:t>
      </w:r>
      <w:r>
        <w:rPr>
          <w:spacing w:val="-14"/>
          <w:sz w:val="20"/>
        </w:rPr>
        <w:t> </w:t>
      </w:r>
      <w:r>
        <w:rPr>
          <w:sz w:val="20"/>
        </w:rPr>
        <w:t>subdivisiones</w:t>
      </w:r>
      <w:r>
        <w:rPr>
          <w:spacing w:val="-14"/>
          <w:sz w:val="20"/>
        </w:rPr>
        <w:t> </w:t>
      </w:r>
      <w:r>
        <w:rPr>
          <w:sz w:val="20"/>
        </w:rPr>
        <w:t>deriven</w:t>
      </w:r>
      <w:r>
        <w:rPr>
          <w:spacing w:val="-14"/>
          <w:sz w:val="20"/>
        </w:rPr>
        <w:t> </w:t>
      </w:r>
      <w:r>
        <w:rPr>
          <w:sz w:val="20"/>
        </w:rPr>
        <w:t>de</w:t>
      </w:r>
      <w:r>
        <w:rPr>
          <w:spacing w:val="-14"/>
          <w:sz w:val="20"/>
        </w:rPr>
        <w:t> </w:t>
      </w:r>
      <w:r>
        <w:rPr>
          <w:sz w:val="20"/>
        </w:rPr>
        <w:t>sentencia</w:t>
      </w:r>
      <w:r>
        <w:rPr>
          <w:spacing w:val="-14"/>
          <w:sz w:val="20"/>
        </w:rPr>
        <w:t> </w:t>
      </w:r>
      <w:r>
        <w:rPr>
          <w:sz w:val="20"/>
        </w:rPr>
        <w:t>judicial</w:t>
      </w:r>
      <w:r>
        <w:rPr>
          <w:spacing w:val="-14"/>
          <w:sz w:val="20"/>
        </w:rPr>
        <w:t> </w:t>
      </w:r>
      <w:r>
        <w:rPr>
          <w:sz w:val="20"/>
        </w:rPr>
        <w:t>en</w:t>
      </w:r>
      <w:r>
        <w:rPr>
          <w:spacing w:val="-14"/>
          <w:sz w:val="20"/>
        </w:rPr>
        <w:t> </w:t>
      </w:r>
      <w:r>
        <w:rPr>
          <w:sz w:val="20"/>
        </w:rPr>
        <w:t>caso</w:t>
      </w:r>
      <w:r>
        <w:rPr>
          <w:spacing w:val="-14"/>
          <w:sz w:val="20"/>
        </w:rPr>
        <w:t> </w:t>
      </w:r>
      <w:r>
        <w:rPr>
          <w:sz w:val="20"/>
        </w:rPr>
        <w:t>de</w:t>
      </w:r>
      <w:r>
        <w:rPr>
          <w:spacing w:val="-13"/>
          <w:sz w:val="20"/>
        </w:rPr>
        <w:t> </w:t>
      </w:r>
      <w:r>
        <w:rPr>
          <w:sz w:val="20"/>
        </w:rPr>
        <w:t>partición</w:t>
      </w:r>
      <w:r>
        <w:rPr>
          <w:spacing w:val="-14"/>
          <w:sz w:val="20"/>
        </w:rPr>
        <w:t> </w:t>
      </w:r>
      <w:r>
        <w:rPr>
          <w:sz w:val="20"/>
        </w:rPr>
        <w:t>de</w:t>
      </w:r>
      <w:r>
        <w:rPr>
          <w:spacing w:val="-14"/>
          <w:sz w:val="20"/>
        </w:rPr>
        <w:t> </w:t>
      </w:r>
      <w:r>
        <w:rPr>
          <w:sz w:val="20"/>
        </w:rPr>
        <w:t>herencia.</w:t>
      </w:r>
    </w:p>
    <w:p>
      <w:pPr>
        <w:pStyle w:val="BodyText"/>
      </w:pPr>
    </w:p>
    <w:p>
      <w:pPr>
        <w:pStyle w:val="BodyText"/>
        <w:ind w:left="262" w:right="287"/>
        <w:jc w:val="both"/>
      </w:pPr>
      <w:r>
        <w:rPr>
          <w:rFonts w:ascii="Arial" w:hAnsi="Arial"/>
          <w:b/>
        </w:rPr>
        <w:t>ARTÍCULO 348. </w:t>
      </w:r>
      <w:r>
        <w:rPr/>
        <w:t>La autoridad competente, otorgará la autorización a que se refiere el presente Capítulo siempre y cuando:</w:t>
      </w:r>
    </w:p>
    <w:p>
      <w:pPr>
        <w:pStyle w:val="ListParagraph"/>
        <w:numPr>
          <w:ilvl w:val="0"/>
          <w:numId w:val="121"/>
        </w:numPr>
        <w:tabs>
          <w:tab w:pos="688" w:val="left" w:leader="none"/>
        </w:tabs>
        <w:spacing w:line="240" w:lineRule="auto" w:before="229" w:after="0"/>
        <w:ind w:left="262" w:right="285" w:firstLine="0"/>
        <w:jc w:val="both"/>
        <w:rPr>
          <w:sz w:val="20"/>
        </w:rPr>
      </w:pPr>
      <w:r>
        <w:rPr>
          <w:spacing w:val="-2"/>
          <w:sz w:val="20"/>
        </w:rPr>
        <w:t>No</w:t>
      </w:r>
      <w:r>
        <w:rPr>
          <w:spacing w:val="-7"/>
          <w:sz w:val="20"/>
        </w:rPr>
        <w:t> </w:t>
      </w:r>
      <w:r>
        <w:rPr>
          <w:spacing w:val="-2"/>
          <w:sz w:val="20"/>
        </w:rPr>
        <w:t>se</w:t>
      </w:r>
      <w:r>
        <w:rPr>
          <w:spacing w:val="-4"/>
          <w:sz w:val="20"/>
        </w:rPr>
        <w:t> </w:t>
      </w:r>
      <w:r>
        <w:rPr>
          <w:spacing w:val="-2"/>
          <w:sz w:val="20"/>
        </w:rPr>
        <w:t>afecte</w:t>
      </w:r>
      <w:r>
        <w:rPr>
          <w:spacing w:val="-4"/>
          <w:sz w:val="20"/>
        </w:rPr>
        <w:t> </w:t>
      </w:r>
      <w:r>
        <w:rPr>
          <w:spacing w:val="-2"/>
          <w:sz w:val="20"/>
        </w:rPr>
        <w:t>la</w:t>
      </w:r>
      <w:r>
        <w:rPr>
          <w:spacing w:val="-8"/>
          <w:sz w:val="20"/>
        </w:rPr>
        <w:t> </w:t>
      </w:r>
      <w:r>
        <w:rPr>
          <w:spacing w:val="-2"/>
          <w:sz w:val="20"/>
        </w:rPr>
        <w:t>capacidad</w:t>
      </w:r>
      <w:r>
        <w:rPr>
          <w:spacing w:val="-4"/>
          <w:sz w:val="20"/>
        </w:rPr>
        <w:t> </w:t>
      </w:r>
      <w:r>
        <w:rPr>
          <w:spacing w:val="-2"/>
          <w:sz w:val="20"/>
        </w:rPr>
        <w:t>de</w:t>
      </w:r>
      <w:r>
        <w:rPr>
          <w:spacing w:val="-8"/>
          <w:sz w:val="20"/>
        </w:rPr>
        <w:t> </w:t>
      </w:r>
      <w:r>
        <w:rPr>
          <w:spacing w:val="-2"/>
          <w:sz w:val="20"/>
        </w:rPr>
        <w:t>las</w:t>
      </w:r>
      <w:r>
        <w:rPr>
          <w:spacing w:val="-7"/>
          <w:sz w:val="20"/>
        </w:rPr>
        <w:t> </w:t>
      </w:r>
      <w:r>
        <w:rPr>
          <w:spacing w:val="-2"/>
          <w:sz w:val="20"/>
        </w:rPr>
        <w:t>redes</w:t>
      </w:r>
      <w:r>
        <w:rPr>
          <w:spacing w:val="-7"/>
          <w:sz w:val="20"/>
        </w:rPr>
        <w:t> </w:t>
      </w:r>
      <w:r>
        <w:rPr>
          <w:spacing w:val="-2"/>
          <w:sz w:val="20"/>
        </w:rPr>
        <w:t>de</w:t>
      </w:r>
      <w:r>
        <w:rPr>
          <w:spacing w:val="-4"/>
          <w:sz w:val="20"/>
        </w:rPr>
        <w:t> </w:t>
      </w:r>
      <w:r>
        <w:rPr>
          <w:spacing w:val="-2"/>
          <w:sz w:val="20"/>
        </w:rPr>
        <w:t>infraestructura</w:t>
      </w:r>
      <w:r>
        <w:rPr>
          <w:spacing w:val="-7"/>
          <w:sz w:val="20"/>
        </w:rPr>
        <w:t> </w:t>
      </w:r>
      <w:r>
        <w:rPr>
          <w:spacing w:val="-2"/>
          <w:sz w:val="20"/>
        </w:rPr>
        <w:t>instaladas</w:t>
      </w:r>
      <w:r>
        <w:rPr>
          <w:spacing w:val="-3"/>
          <w:sz w:val="20"/>
        </w:rPr>
        <w:t> </w:t>
      </w:r>
      <w:r>
        <w:rPr>
          <w:spacing w:val="-2"/>
          <w:sz w:val="20"/>
        </w:rPr>
        <w:t>en</w:t>
      </w:r>
      <w:r>
        <w:rPr>
          <w:spacing w:val="-5"/>
          <w:sz w:val="20"/>
        </w:rPr>
        <w:t> </w:t>
      </w:r>
      <w:r>
        <w:rPr>
          <w:spacing w:val="-2"/>
          <w:sz w:val="20"/>
        </w:rPr>
        <w:t>el</w:t>
      </w:r>
      <w:r>
        <w:rPr>
          <w:spacing w:val="-5"/>
          <w:sz w:val="20"/>
        </w:rPr>
        <w:t> </w:t>
      </w:r>
      <w:r>
        <w:rPr>
          <w:spacing w:val="-2"/>
          <w:sz w:val="20"/>
        </w:rPr>
        <w:t>propio</w:t>
      </w:r>
      <w:r>
        <w:rPr>
          <w:spacing w:val="-4"/>
          <w:sz w:val="20"/>
        </w:rPr>
        <w:t> </w:t>
      </w:r>
      <w:r>
        <w:rPr>
          <w:spacing w:val="-2"/>
          <w:sz w:val="20"/>
        </w:rPr>
        <w:t>fraccionamiento </w:t>
      </w:r>
      <w:r>
        <w:rPr>
          <w:sz w:val="20"/>
        </w:rPr>
        <w:t>y</w:t>
      </w:r>
      <w:r>
        <w:rPr>
          <w:spacing w:val="-2"/>
          <w:sz w:val="20"/>
        </w:rPr>
        <w:t> </w:t>
      </w:r>
      <w:r>
        <w:rPr>
          <w:sz w:val="20"/>
        </w:rPr>
        <w:t>en</w:t>
      </w:r>
      <w:r>
        <w:rPr>
          <w:spacing w:val="-4"/>
          <w:sz w:val="20"/>
        </w:rPr>
        <w:t> </w:t>
      </w:r>
      <w:r>
        <w:rPr>
          <w:sz w:val="20"/>
        </w:rPr>
        <w:t>la</w:t>
      </w:r>
      <w:r>
        <w:rPr>
          <w:spacing w:val="-3"/>
          <w:sz w:val="20"/>
        </w:rPr>
        <w:t> </w:t>
      </w:r>
      <w:r>
        <w:rPr>
          <w:sz w:val="20"/>
        </w:rPr>
        <w:t>zona</w:t>
      </w:r>
      <w:r>
        <w:rPr>
          <w:spacing w:val="-3"/>
          <w:sz w:val="20"/>
        </w:rPr>
        <w:t> </w:t>
      </w:r>
      <w:r>
        <w:rPr>
          <w:sz w:val="20"/>
        </w:rPr>
        <w:t>de</w:t>
      </w:r>
      <w:r>
        <w:rPr>
          <w:spacing w:val="-3"/>
          <w:sz w:val="20"/>
        </w:rPr>
        <w:t> </w:t>
      </w:r>
      <w:r>
        <w:rPr>
          <w:sz w:val="20"/>
        </w:rPr>
        <w:t>su</w:t>
      </w:r>
      <w:r>
        <w:rPr>
          <w:spacing w:val="-3"/>
          <w:sz w:val="20"/>
        </w:rPr>
        <w:t> </w:t>
      </w:r>
      <w:r>
        <w:rPr>
          <w:sz w:val="20"/>
        </w:rPr>
        <w:t>ubicación,</w:t>
      </w:r>
      <w:r>
        <w:rPr>
          <w:spacing w:val="-3"/>
          <w:sz w:val="20"/>
        </w:rPr>
        <w:t> </w:t>
      </w:r>
      <w:r>
        <w:rPr>
          <w:sz w:val="20"/>
        </w:rPr>
        <w:t>o</w:t>
      </w:r>
      <w:r>
        <w:rPr>
          <w:spacing w:val="-1"/>
          <w:sz w:val="20"/>
        </w:rPr>
        <w:t> </w:t>
      </w:r>
      <w:r>
        <w:rPr>
          <w:sz w:val="20"/>
        </w:rPr>
        <w:t>en</w:t>
      </w:r>
      <w:r>
        <w:rPr>
          <w:spacing w:val="-4"/>
          <w:sz w:val="20"/>
        </w:rPr>
        <w:t> </w:t>
      </w:r>
      <w:r>
        <w:rPr>
          <w:sz w:val="20"/>
        </w:rPr>
        <w:t>caso</w:t>
      </w:r>
      <w:r>
        <w:rPr>
          <w:spacing w:val="-1"/>
          <w:sz w:val="20"/>
        </w:rPr>
        <w:t> </w:t>
      </w:r>
      <w:r>
        <w:rPr>
          <w:sz w:val="20"/>
        </w:rPr>
        <w:t>de</w:t>
      </w:r>
      <w:r>
        <w:rPr>
          <w:spacing w:val="-2"/>
          <w:sz w:val="20"/>
        </w:rPr>
        <w:t> </w:t>
      </w:r>
      <w:r>
        <w:rPr>
          <w:sz w:val="20"/>
        </w:rPr>
        <w:t>afectarse</w:t>
      </w:r>
      <w:r>
        <w:rPr>
          <w:spacing w:val="-1"/>
          <w:sz w:val="20"/>
        </w:rPr>
        <w:t> </w:t>
      </w:r>
      <w:r>
        <w:rPr>
          <w:sz w:val="20"/>
        </w:rPr>
        <w:t>el</w:t>
      </w:r>
      <w:r>
        <w:rPr>
          <w:spacing w:val="-4"/>
          <w:sz w:val="20"/>
        </w:rPr>
        <w:t> </w:t>
      </w:r>
      <w:r>
        <w:rPr>
          <w:sz w:val="20"/>
        </w:rPr>
        <w:t>solicitante</w:t>
      </w:r>
      <w:r>
        <w:rPr>
          <w:spacing w:val="-1"/>
          <w:sz w:val="20"/>
        </w:rPr>
        <w:t> </w:t>
      </w:r>
      <w:r>
        <w:rPr>
          <w:sz w:val="20"/>
        </w:rPr>
        <w:t>se</w:t>
      </w:r>
      <w:r>
        <w:rPr>
          <w:spacing w:val="-3"/>
          <w:sz w:val="20"/>
        </w:rPr>
        <w:t> </w:t>
      </w:r>
      <w:r>
        <w:rPr>
          <w:sz w:val="20"/>
        </w:rPr>
        <w:t>comprometa</w:t>
      </w:r>
      <w:r>
        <w:rPr>
          <w:spacing w:val="-1"/>
          <w:sz w:val="20"/>
        </w:rPr>
        <w:t> </w:t>
      </w:r>
      <w:r>
        <w:rPr>
          <w:sz w:val="20"/>
        </w:rPr>
        <w:t>a</w:t>
      </w:r>
      <w:r>
        <w:rPr>
          <w:spacing w:val="-4"/>
          <w:sz w:val="20"/>
        </w:rPr>
        <w:t> </w:t>
      </w:r>
      <w:r>
        <w:rPr>
          <w:sz w:val="20"/>
        </w:rPr>
        <w:t>instalar</w:t>
      </w:r>
      <w:r>
        <w:rPr>
          <w:spacing w:val="-3"/>
          <w:sz w:val="20"/>
        </w:rPr>
        <w:t> </w:t>
      </w:r>
      <w:r>
        <w:rPr>
          <w:sz w:val="20"/>
        </w:rPr>
        <w:t>las</w:t>
      </w:r>
      <w:r>
        <w:rPr>
          <w:spacing w:val="-2"/>
          <w:sz w:val="20"/>
        </w:rPr>
        <w:t> </w:t>
      </w:r>
      <w:r>
        <w:rPr>
          <w:sz w:val="20"/>
        </w:rPr>
        <w:t>que se requiera a su costa;</w:t>
      </w:r>
    </w:p>
    <w:p>
      <w:pPr>
        <w:pStyle w:val="ListParagraph"/>
        <w:numPr>
          <w:ilvl w:val="0"/>
          <w:numId w:val="121"/>
        </w:numPr>
        <w:tabs>
          <w:tab w:pos="686" w:val="left" w:leader="none"/>
        </w:tabs>
        <w:spacing w:line="240" w:lineRule="auto" w:before="229" w:after="0"/>
        <w:ind w:left="262" w:right="286" w:firstLine="0"/>
        <w:jc w:val="both"/>
        <w:rPr>
          <w:sz w:val="20"/>
        </w:rPr>
      </w:pPr>
      <w:r>
        <w:rPr>
          <w:sz w:val="20"/>
        </w:rPr>
        <w:t>No se rebase la densidad de población señalada en los programas de desarrollo urbano, o en su caso las que dispone esta Ley, y</w:t>
      </w:r>
    </w:p>
    <w:p>
      <w:pPr>
        <w:pStyle w:val="BodyText"/>
        <w:spacing w:before="2"/>
      </w:pPr>
    </w:p>
    <w:p>
      <w:pPr>
        <w:pStyle w:val="ListParagraph"/>
        <w:numPr>
          <w:ilvl w:val="0"/>
          <w:numId w:val="121"/>
        </w:numPr>
        <w:tabs>
          <w:tab w:pos="741" w:val="left" w:leader="none"/>
        </w:tabs>
        <w:spacing w:line="240" w:lineRule="auto" w:before="0" w:after="0"/>
        <w:ind w:left="741" w:right="0" w:hanging="479"/>
        <w:jc w:val="both"/>
        <w:rPr>
          <w:sz w:val="20"/>
        </w:rPr>
      </w:pPr>
      <w:r>
        <w:rPr>
          <w:sz w:val="20"/>
        </w:rPr>
        <w:t>No</w:t>
      </w:r>
      <w:r>
        <w:rPr>
          <w:spacing w:val="-4"/>
          <w:sz w:val="20"/>
        </w:rPr>
        <w:t> </w:t>
      </w:r>
      <w:r>
        <w:rPr>
          <w:sz w:val="20"/>
        </w:rPr>
        <w:t>se</w:t>
      </w:r>
      <w:r>
        <w:rPr>
          <w:spacing w:val="-4"/>
          <w:sz w:val="20"/>
        </w:rPr>
        <w:t> </w:t>
      </w:r>
      <w:r>
        <w:rPr>
          <w:spacing w:val="-2"/>
          <w:sz w:val="20"/>
        </w:rPr>
        <w:t>afecten:</w:t>
      </w:r>
    </w:p>
    <w:p>
      <w:pPr>
        <w:pStyle w:val="ListParagraph"/>
        <w:numPr>
          <w:ilvl w:val="1"/>
          <w:numId w:val="121"/>
        </w:numPr>
        <w:tabs>
          <w:tab w:pos="687" w:val="left" w:leader="none"/>
        </w:tabs>
        <w:spacing w:line="240" w:lineRule="auto" w:before="228" w:after="0"/>
        <w:ind w:left="687" w:right="0" w:hanging="425"/>
        <w:jc w:val="both"/>
        <w:rPr>
          <w:sz w:val="20"/>
        </w:rPr>
      </w:pPr>
      <w:r>
        <w:rPr>
          <w:sz w:val="20"/>
        </w:rPr>
        <w:t>Zonas</w:t>
      </w:r>
      <w:r>
        <w:rPr>
          <w:spacing w:val="-9"/>
          <w:sz w:val="20"/>
        </w:rPr>
        <w:t> </w:t>
      </w:r>
      <w:r>
        <w:rPr>
          <w:sz w:val="20"/>
        </w:rPr>
        <w:t>de</w:t>
      </w:r>
      <w:r>
        <w:rPr>
          <w:spacing w:val="-7"/>
          <w:sz w:val="20"/>
        </w:rPr>
        <w:t> </w:t>
      </w:r>
      <w:r>
        <w:rPr>
          <w:sz w:val="20"/>
        </w:rPr>
        <w:t>valores</w:t>
      </w:r>
      <w:r>
        <w:rPr>
          <w:spacing w:val="-7"/>
          <w:sz w:val="20"/>
        </w:rPr>
        <w:t> </w:t>
      </w:r>
      <w:r>
        <w:rPr>
          <w:sz w:val="20"/>
        </w:rPr>
        <w:t>naturales,</w:t>
      </w:r>
      <w:r>
        <w:rPr>
          <w:spacing w:val="-10"/>
          <w:sz w:val="20"/>
        </w:rPr>
        <w:t> </w:t>
      </w:r>
      <w:r>
        <w:rPr>
          <w:sz w:val="20"/>
        </w:rPr>
        <w:t>contenidas</w:t>
      </w:r>
      <w:r>
        <w:rPr>
          <w:spacing w:val="-8"/>
          <w:sz w:val="20"/>
        </w:rPr>
        <w:t> </w:t>
      </w:r>
      <w:r>
        <w:rPr>
          <w:sz w:val="20"/>
        </w:rPr>
        <w:t>en</w:t>
      </w:r>
      <w:r>
        <w:rPr>
          <w:spacing w:val="-8"/>
          <w:sz w:val="20"/>
        </w:rPr>
        <w:t> </w:t>
      </w:r>
      <w:r>
        <w:rPr>
          <w:sz w:val="20"/>
        </w:rPr>
        <w:t>los</w:t>
      </w:r>
      <w:r>
        <w:rPr>
          <w:spacing w:val="-8"/>
          <w:sz w:val="20"/>
        </w:rPr>
        <w:t> </w:t>
      </w:r>
      <w:r>
        <w:rPr>
          <w:sz w:val="20"/>
        </w:rPr>
        <w:t>programas</w:t>
      </w:r>
      <w:r>
        <w:rPr>
          <w:spacing w:val="-9"/>
          <w:sz w:val="20"/>
        </w:rPr>
        <w:t> </w:t>
      </w:r>
      <w:r>
        <w:rPr>
          <w:sz w:val="20"/>
        </w:rPr>
        <w:t>de</w:t>
      </w:r>
      <w:r>
        <w:rPr>
          <w:spacing w:val="-8"/>
          <w:sz w:val="20"/>
        </w:rPr>
        <w:t> </w:t>
      </w:r>
      <w:r>
        <w:rPr>
          <w:sz w:val="20"/>
        </w:rPr>
        <w:t>ordenamiento</w:t>
      </w:r>
      <w:r>
        <w:rPr>
          <w:spacing w:val="-8"/>
          <w:sz w:val="20"/>
        </w:rPr>
        <w:t> </w:t>
      </w:r>
      <w:r>
        <w:rPr>
          <w:spacing w:val="-2"/>
          <w:sz w:val="20"/>
        </w:rPr>
        <w:t>ecológico.</w:t>
      </w:r>
    </w:p>
    <w:p>
      <w:pPr>
        <w:pStyle w:val="BodyText"/>
        <w:spacing w:before="1"/>
      </w:pPr>
    </w:p>
    <w:p>
      <w:pPr>
        <w:pStyle w:val="ListParagraph"/>
        <w:numPr>
          <w:ilvl w:val="1"/>
          <w:numId w:val="121"/>
        </w:numPr>
        <w:tabs>
          <w:tab w:pos="688" w:val="left" w:leader="none"/>
        </w:tabs>
        <w:spacing w:line="240" w:lineRule="auto" w:before="0" w:after="0"/>
        <w:ind w:left="262" w:right="284" w:firstLine="0"/>
        <w:jc w:val="both"/>
        <w:rPr>
          <w:sz w:val="20"/>
        </w:rPr>
      </w:pPr>
      <w:r>
        <w:rPr>
          <w:sz w:val="20"/>
        </w:rPr>
        <w:t>Monumentos y zonas arqueológicas e históricas, en los términos de la legislación aplicable, según corresponda.</w:t>
      </w:r>
    </w:p>
    <w:p>
      <w:pPr>
        <w:pStyle w:val="BodyText"/>
        <w:spacing w:before="1"/>
      </w:pPr>
    </w:p>
    <w:p>
      <w:pPr>
        <w:pStyle w:val="ListParagraph"/>
        <w:numPr>
          <w:ilvl w:val="1"/>
          <w:numId w:val="121"/>
        </w:numPr>
        <w:tabs>
          <w:tab w:pos="544" w:val="left" w:leader="none"/>
        </w:tabs>
        <w:spacing w:line="240" w:lineRule="auto" w:before="1" w:after="0"/>
        <w:ind w:left="544" w:right="0" w:hanging="282"/>
        <w:jc w:val="both"/>
        <w:rPr>
          <w:sz w:val="20"/>
        </w:rPr>
      </w:pPr>
      <w:r>
        <w:rPr>
          <w:sz w:val="20"/>
        </w:rPr>
        <w:t>No</w:t>
      </w:r>
      <w:r>
        <w:rPr>
          <w:spacing w:val="-8"/>
          <w:sz w:val="20"/>
        </w:rPr>
        <w:t> </w:t>
      </w:r>
      <w:r>
        <w:rPr>
          <w:sz w:val="20"/>
        </w:rPr>
        <w:t>se</w:t>
      </w:r>
      <w:r>
        <w:rPr>
          <w:spacing w:val="-7"/>
          <w:sz w:val="20"/>
        </w:rPr>
        <w:t> </w:t>
      </w:r>
      <w:r>
        <w:rPr>
          <w:sz w:val="20"/>
        </w:rPr>
        <w:t>deteriore</w:t>
      </w:r>
      <w:r>
        <w:rPr>
          <w:spacing w:val="-7"/>
          <w:sz w:val="20"/>
        </w:rPr>
        <w:t> </w:t>
      </w:r>
      <w:r>
        <w:rPr>
          <w:sz w:val="20"/>
        </w:rPr>
        <w:t>la</w:t>
      </w:r>
      <w:r>
        <w:rPr>
          <w:spacing w:val="-8"/>
          <w:sz w:val="20"/>
        </w:rPr>
        <w:t> </w:t>
      </w:r>
      <w:r>
        <w:rPr>
          <w:sz w:val="20"/>
        </w:rPr>
        <w:t>imagen</w:t>
      </w:r>
      <w:r>
        <w:rPr>
          <w:spacing w:val="-5"/>
          <w:sz w:val="20"/>
        </w:rPr>
        <w:t> </w:t>
      </w:r>
      <w:r>
        <w:rPr>
          <w:sz w:val="20"/>
        </w:rPr>
        <w:t>urbana,</w:t>
      </w:r>
      <w:r>
        <w:rPr>
          <w:spacing w:val="-7"/>
          <w:sz w:val="20"/>
        </w:rPr>
        <w:t> </w:t>
      </w:r>
      <w:r>
        <w:rPr>
          <w:sz w:val="20"/>
        </w:rPr>
        <w:t>de</w:t>
      </w:r>
      <w:r>
        <w:rPr>
          <w:spacing w:val="-8"/>
          <w:sz w:val="20"/>
        </w:rPr>
        <w:t> </w:t>
      </w:r>
      <w:r>
        <w:rPr>
          <w:sz w:val="20"/>
        </w:rPr>
        <w:t>conformidad</w:t>
      </w:r>
      <w:r>
        <w:rPr>
          <w:spacing w:val="-7"/>
          <w:sz w:val="20"/>
        </w:rPr>
        <w:t> </w:t>
      </w:r>
      <w:r>
        <w:rPr>
          <w:sz w:val="20"/>
        </w:rPr>
        <w:t>con</w:t>
      </w:r>
      <w:r>
        <w:rPr>
          <w:spacing w:val="-7"/>
          <w:sz w:val="20"/>
        </w:rPr>
        <w:t> </w:t>
      </w:r>
      <w:r>
        <w:rPr>
          <w:sz w:val="20"/>
        </w:rPr>
        <w:t>los</w:t>
      </w:r>
      <w:r>
        <w:rPr>
          <w:spacing w:val="-6"/>
          <w:sz w:val="20"/>
        </w:rPr>
        <w:t> </w:t>
      </w:r>
      <w:r>
        <w:rPr>
          <w:sz w:val="20"/>
        </w:rPr>
        <w:t>Reglamentos</w:t>
      </w:r>
      <w:r>
        <w:rPr>
          <w:spacing w:val="-7"/>
          <w:sz w:val="20"/>
        </w:rPr>
        <w:t> </w:t>
      </w:r>
      <w:r>
        <w:rPr>
          <w:spacing w:val="-2"/>
          <w:sz w:val="20"/>
        </w:rPr>
        <w:t>aplicables.</w:t>
      </w:r>
    </w:p>
    <w:p>
      <w:pPr>
        <w:pStyle w:val="BodyText"/>
        <w:spacing w:before="228"/>
        <w:ind w:left="262"/>
        <w:jc w:val="both"/>
      </w:pPr>
      <w:r>
        <w:rPr>
          <w:rFonts w:ascii="Arial" w:hAnsi="Arial"/>
          <w:b/>
        </w:rPr>
        <w:t>ARTÍCULO</w:t>
      </w:r>
      <w:r>
        <w:rPr>
          <w:rFonts w:ascii="Arial" w:hAnsi="Arial"/>
          <w:b/>
          <w:spacing w:val="-9"/>
        </w:rPr>
        <w:t> </w:t>
      </w:r>
      <w:r>
        <w:rPr>
          <w:rFonts w:ascii="Arial" w:hAnsi="Arial"/>
          <w:b/>
        </w:rPr>
        <w:t>349</w:t>
      </w:r>
      <w:r>
        <w:rPr/>
        <w:t>.</w:t>
      </w:r>
      <w:r>
        <w:rPr>
          <w:spacing w:val="-8"/>
        </w:rPr>
        <w:t> </w:t>
      </w:r>
      <w:r>
        <w:rPr/>
        <w:t>Las</w:t>
      </w:r>
      <w:r>
        <w:rPr>
          <w:spacing w:val="-9"/>
        </w:rPr>
        <w:t> </w:t>
      </w:r>
      <w:r>
        <w:rPr/>
        <w:t>relotificaciones,</w:t>
      </w:r>
      <w:r>
        <w:rPr>
          <w:spacing w:val="-7"/>
        </w:rPr>
        <w:t> </w:t>
      </w:r>
      <w:r>
        <w:rPr/>
        <w:t>quedan</w:t>
      </w:r>
      <w:r>
        <w:rPr>
          <w:spacing w:val="-9"/>
        </w:rPr>
        <w:t> </w:t>
      </w:r>
      <w:r>
        <w:rPr/>
        <w:t>sujetas</w:t>
      </w:r>
      <w:r>
        <w:rPr>
          <w:spacing w:val="-8"/>
        </w:rPr>
        <w:t> </w:t>
      </w:r>
      <w:r>
        <w:rPr/>
        <w:t>al</w:t>
      </w:r>
      <w:r>
        <w:rPr>
          <w:spacing w:val="-10"/>
        </w:rPr>
        <w:t> </w:t>
      </w:r>
      <w:r>
        <w:rPr/>
        <w:t>cumplimiento</w:t>
      </w:r>
      <w:r>
        <w:rPr>
          <w:spacing w:val="-8"/>
        </w:rPr>
        <w:t> </w:t>
      </w:r>
      <w:r>
        <w:rPr/>
        <w:t>de</w:t>
      </w:r>
      <w:r>
        <w:rPr>
          <w:spacing w:val="-8"/>
        </w:rPr>
        <w:t> </w:t>
      </w:r>
      <w:r>
        <w:rPr/>
        <w:t>los</w:t>
      </w:r>
      <w:r>
        <w:rPr>
          <w:spacing w:val="-8"/>
        </w:rPr>
        <w:t> </w:t>
      </w:r>
      <w:r>
        <w:rPr/>
        <w:t>siguientes</w:t>
      </w:r>
      <w:r>
        <w:rPr>
          <w:spacing w:val="-8"/>
        </w:rPr>
        <w:t> </w:t>
      </w:r>
      <w:r>
        <w:rPr>
          <w:spacing w:val="-2"/>
        </w:rPr>
        <w:t>requisitos:</w:t>
      </w:r>
    </w:p>
    <w:p>
      <w:pPr>
        <w:pStyle w:val="BodyText"/>
        <w:spacing w:before="1"/>
      </w:pPr>
    </w:p>
    <w:p>
      <w:pPr>
        <w:pStyle w:val="ListParagraph"/>
        <w:numPr>
          <w:ilvl w:val="2"/>
          <w:numId w:val="121"/>
        </w:numPr>
        <w:tabs>
          <w:tab w:pos="543" w:val="left" w:leader="none"/>
        </w:tabs>
        <w:spacing w:line="240" w:lineRule="auto" w:before="0" w:after="0"/>
        <w:ind w:left="543" w:right="0" w:hanging="281"/>
        <w:jc w:val="both"/>
        <w:rPr>
          <w:sz w:val="20"/>
        </w:rPr>
      </w:pPr>
      <w:r>
        <w:rPr>
          <w:sz w:val="20"/>
        </w:rPr>
        <w:t>Que</w:t>
      </w:r>
      <w:r>
        <w:rPr>
          <w:spacing w:val="-7"/>
          <w:sz w:val="20"/>
        </w:rPr>
        <w:t> </w:t>
      </w:r>
      <w:r>
        <w:rPr>
          <w:sz w:val="20"/>
        </w:rPr>
        <w:t>los</w:t>
      </w:r>
      <w:r>
        <w:rPr>
          <w:spacing w:val="-6"/>
          <w:sz w:val="20"/>
        </w:rPr>
        <w:t> </w:t>
      </w:r>
      <w:r>
        <w:rPr>
          <w:sz w:val="20"/>
        </w:rPr>
        <w:t>lotes,</w:t>
      </w:r>
      <w:r>
        <w:rPr>
          <w:spacing w:val="-6"/>
          <w:sz w:val="20"/>
        </w:rPr>
        <w:t> </w:t>
      </w:r>
      <w:r>
        <w:rPr>
          <w:sz w:val="20"/>
        </w:rPr>
        <w:t>áreas</w:t>
      </w:r>
      <w:r>
        <w:rPr>
          <w:spacing w:val="-5"/>
          <w:sz w:val="20"/>
        </w:rPr>
        <w:t> </w:t>
      </w:r>
      <w:r>
        <w:rPr>
          <w:sz w:val="20"/>
        </w:rPr>
        <w:t>o</w:t>
      </w:r>
      <w:r>
        <w:rPr>
          <w:spacing w:val="-7"/>
          <w:sz w:val="20"/>
        </w:rPr>
        <w:t> </w:t>
      </w:r>
      <w:r>
        <w:rPr>
          <w:sz w:val="20"/>
        </w:rPr>
        <w:t>predios,</w:t>
      </w:r>
      <w:r>
        <w:rPr>
          <w:spacing w:val="-6"/>
          <w:sz w:val="20"/>
        </w:rPr>
        <w:t> </w:t>
      </w:r>
      <w:r>
        <w:rPr>
          <w:sz w:val="20"/>
        </w:rPr>
        <w:t>en</w:t>
      </w:r>
      <w:r>
        <w:rPr>
          <w:spacing w:val="-6"/>
          <w:sz w:val="20"/>
        </w:rPr>
        <w:t> </w:t>
      </w:r>
      <w:r>
        <w:rPr>
          <w:sz w:val="20"/>
        </w:rPr>
        <w:t>su</w:t>
      </w:r>
      <w:r>
        <w:rPr>
          <w:spacing w:val="-4"/>
          <w:sz w:val="20"/>
        </w:rPr>
        <w:t> </w:t>
      </w:r>
      <w:r>
        <w:rPr>
          <w:sz w:val="20"/>
        </w:rPr>
        <w:t>totalidad,</w:t>
      </w:r>
      <w:r>
        <w:rPr>
          <w:spacing w:val="-6"/>
          <w:sz w:val="20"/>
        </w:rPr>
        <w:t> </w:t>
      </w:r>
      <w:r>
        <w:rPr>
          <w:sz w:val="20"/>
        </w:rPr>
        <w:t>sean</w:t>
      </w:r>
      <w:r>
        <w:rPr>
          <w:spacing w:val="-4"/>
          <w:sz w:val="20"/>
        </w:rPr>
        <w:t> </w:t>
      </w:r>
      <w:r>
        <w:rPr>
          <w:sz w:val="20"/>
        </w:rPr>
        <w:t>propiedad</w:t>
      </w:r>
      <w:r>
        <w:rPr>
          <w:spacing w:val="-6"/>
          <w:sz w:val="20"/>
        </w:rPr>
        <w:t> </w:t>
      </w:r>
      <w:r>
        <w:rPr>
          <w:sz w:val="20"/>
        </w:rPr>
        <w:t>del</w:t>
      </w:r>
      <w:r>
        <w:rPr>
          <w:spacing w:val="-7"/>
          <w:sz w:val="20"/>
        </w:rPr>
        <w:t> </w:t>
      </w:r>
      <w:r>
        <w:rPr>
          <w:spacing w:val="-2"/>
          <w:sz w:val="20"/>
        </w:rPr>
        <w:t>solicitante;</w:t>
      </w:r>
    </w:p>
    <w:p>
      <w:pPr>
        <w:pStyle w:val="BodyText"/>
        <w:spacing w:before="1"/>
      </w:pPr>
    </w:p>
    <w:p>
      <w:pPr>
        <w:pStyle w:val="ListParagraph"/>
        <w:numPr>
          <w:ilvl w:val="2"/>
          <w:numId w:val="121"/>
        </w:numPr>
        <w:tabs>
          <w:tab w:pos="543" w:val="left" w:leader="none"/>
        </w:tabs>
        <w:spacing w:line="240" w:lineRule="auto" w:before="0" w:after="0"/>
        <w:ind w:left="262" w:right="289" w:firstLine="0"/>
        <w:jc w:val="both"/>
        <w:rPr>
          <w:sz w:val="20"/>
        </w:rPr>
      </w:pPr>
      <w:r>
        <w:rPr>
          <w:sz w:val="20"/>
        </w:rPr>
        <w:t>Tratándose de fraccionamientos, que se soliciten hasta antes de la municipalización de los </w:t>
      </w:r>
      <w:r>
        <w:rPr>
          <w:spacing w:val="-2"/>
          <w:sz w:val="20"/>
        </w:rPr>
        <w:t>mismos;</w:t>
      </w:r>
    </w:p>
    <w:p>
      <w:pPr>
        <w:pStyle w:val="ListParagraph"/>
        <w:numPr>
          <w:ilvl w:val="2"/>
          <w:numId w:val="121"/>
        </w:numPr>
        <w:tabs>
          <w:tab w:pos="741" w:val="left" w:leader="none"/>
        </w:tabs>
        <w:spacing w:line="240" w:lineRule="auto" w:before="229" w:after="0"/>
        <w:ind w:left="262" w:right="285" w:firstLine="0"/>
        <w:jc w:val="both"/>
        <w:rPr>
          <w:sz w:val="20"/>
        </w:rPr>
      </w:pPr>
      <w:r>
        <w:rPr>
          <w:sz w:val="20"/>
        </w:rPr>
        <w:t>Que se cuente con la factibilidad de servicios de agua potable, alcantarillado, electrificación y alumbrado público, sin rebasar o afectar su capacidad, o en caso de afectarse el solicitante se comprometa a instalar a su costa las que se requieran;</w:t>
      </w:r>
    </w:p>
    <w:p>
      <w:pPr>
        <w:pStyle w:val="ListParagraph"/>
        <w:numPr>
          <w:ilvl w:val="2"/>
          <w:numId w:val="121"/>
        </w:numPr>
        <w:tabs>
          <w:tab w:pos="688" w:val="left" w:leader="none"/>
        </w:tabs>
        <w:spacing w:line="240" w:lineRule="auto" w:before="229" w:after="0"/>
        <w:ind w:left="688" w:right="0" w:hanging="426"/>
        <w:jc w:val="both"/>
        <w:rPr>
          <w:sz w:val="20"/>
        </w:rPr>
      </w:pPr>
      <w:r>
        <w:rPr>
          <w:sz w:val="20"/>
        </w:rPr>
        <w:t>Que</w:t>
      </w:r>
      <w:r>
        <w:rPr>
          <w:spacing w:val="-9"/>
          <w:sz w:val="20"/>
        </w:rPr>
        <w:t> </w:t>
      </w:r>
      <w:r>
        <w:rPr>
          <w:sz w:val="20"/>
        </w:rPr>
        <w:t>se</w:t>
      </w:r>
      <w:r>
        <w:rPr>
          <w:spacing w:val="-7"/>
          <w:sz w:val="20"/>
        </w:rPr>
        <w:t> </w:t>
      </w:r>
      <w:r>
        <w:rPr>
          <w:sz w:val="20"/>
        </w:rPr>
        <w:t>esté</w:t>
      </w:r>
      <w:r>
        <w:rPr>
          <w:spacing w:val="-6"/>
          <w:sz w:val="20"/>
        </w:rPr>
        <w:t> </w:t>
      </w:r>
      <w:r>
        <w:rPr>
          <w:sz w:val="20"/>
        </w:rPr>
        <w:t>al</w:t>
      </w:r>
      <w:r>
        <w:rPr>
          <w:spacing w:val="-7"/>
          <w:sz w:val="20"/>
        </w:rPr>
        <w:t> </w:t>
      </w:r>
      <w:r>
        <w:rPr>
          <w:sz w:val="20"/>
        </w:rPr>
        <w:t>corriente</w:t>
      </w:r>
      <w:r>
        <w:rPr>
          <w:spacing w:val="-7"/>
          <w:sz w:val="20"/>
        </w:rPr>
        <w:t> </w:t>
      </w:r>
      <w:r>
        <w:rPr>
          <w:sz w:val="20"/>
        </w:rPr>
        <w:t>con</w:t>
      </w:r>
      <w:r>
        <w:rPr>
          <w:spacing w:val="-7"/>
          <w:sz w:val="20"/>
        </w:rPr>
        <w:t> </w:t>
      </w:r>
      <w:r>
        <w:rPr>
          <w:sz w:val="20"/>
        </w:rPr>
        <w:t>las</w:t>
      </w:r>
      <w:r>
        <w:rPr>
          <w:spacing w:val="-5"/>
          <w:sz w:val="20"/>
        </w:rPr>
        <w:t> </w:t>
      </w:r>
      <w:r>
        <w:rPr>
          <w:sz w:val="20"/>
        </w:rPr>
        <w:t>obligaciones</w:t>
      </w:r>
      <w:r>
        <w:rPr>
          <w:spacing w:val="-7"/>
          <w:sz w:val="20"/>
        </w:rPr>
        <w:t> </w:t>
      </w:r>
      <w:r>
        <w:rPr>
          <w:sz w:val="20"/>
        </w:rPr>
        <w:t>fiscales</w:t>
      </w:r>
      <w:r>
        <w:rPr>
          <w:spacing w:val="-5"/>
          <w:sz w:val="20"/>
        </w:rPr>
        <w:t> </w:t>
      </w:r>
      <w:r>
        <w:rPr>
          <w:sz w:val="20"/>
        </w:rPr>
        <w:t>municipales</w:t>
      </w:r>
      <w:r>
        <w:rPr>
          <w:spacing w:val="-4"/>
          <w:sz w:val="20"/>
        </w:rPr>
        <w:t> </w:t>
      </w:r>
      <w:r>
        <w:rPr>
          <w:sz w:val="20"/>
        </w:rPr>
        <w:t>por</w:t>
      </w:r>
      <w:r>
        <w:rPr>
          <w:spacing w:val="-7"/>
          <w:sz w:val="20"/>
        </w:rPr>
        <w:t> </w:t>
      </w:r>
      <w:r>
        <w:rPr>
          <w:sz w:val="20"/>
        </w:rPr>
        <w:t>parte</w:t>
      </w:r>
      <w:r>
        <w:rPr>
          <w:spacing w:val="-7"/>
          <w:sz w:val="20"/>
        </w:rPr>
        <w:t> </w:t>
      </w:r>
      <w:r>
        <w:rPr>
          <w:sz w:val="20"/>
        </w:rPr>
        <w:t>del</w:t>
      </w:r>
      <w:r>
        <w:rPr>
          <w:spacing w:val="-9"/>
          <w:sz w:val="20"/>
        </w:rPr>
        <w:t> </w:t>
      </w:r>
      <w:r>
        <w:rPr>
          <w:spacing w:val="-2"/>
          <w:sz w:val="20"/>
        </w:rPr>
        <w:t>solicitante;</w:t>
      </w:r>
    </w:p>
    <w:p>
      <w:pPr>
        <w:pStyle w:val="BodyText"/>
        <w:spacing w:before="1"/>
      </w:pPr>
    </w:p>
    <w:p>
      <w:pPr>
        <w:pStyle w:val="ListParagraph"/>
        <w:numPr>
          <w:ilvl w:val="2"/>
          <w:numId w:val="121"/>
        </w:numPr>
        <w:tabs>
          <w:tab w:pos="688" w:val="left" w:leader="none"/>
        </w:tabs>
        <w:spacing w:line="240" w:lineRule="auto" w:before="0" w:after="0"/>
        <w:ind w:left="262" w:right="284" w:firstLine="0"/>
        <w:jc w:val="both"/>
        <w:rPr>
          <w:sz w:val="20"/>
        </w:rPr>
      </w:pPr>
      <w:r>
        <w:rPr>
          <w:spacing w:val="-2"/>
          <w:sz w:val="20"/>
        </w:rPr>
        <w:t>Que</w:t>
      </w:r>
      <w:r>
        <w:rPr>
          <w:spacing w:val="-6"/>
          <w:sz w:val="20"/>
        </w:rPr>
        <w:t> </w:t>
      </w:r>
      <w:r>
        <w:rPr>
          <w:spacing w:val="-2"/>
          <w:sz w:val="20"/>
        </w:rPr>
        <w:t>no</w:t>
      </w:r>
      <w:r>
        <w:rPr>
          <w:spacing w:val="-6"/>
          <w:sz w:val="20"/>
        </w:rPr>
        <w:t> </w:t>
      </w:r>
      <w:r>
        <w:rPr>
          <w:spacing w:val="-2"/>
          <w:sz w:val="20"/>
        </w:rPr>
        <w:t>disminuya</w:t>
      </w:r>
      <w:r>
        <w:rPr>
          <w:spacing w:val="-5"/>
          <w:sz w:val="20"/>
        </w:rPr>
        <w:t> </w:t>
      </w:r>
      <w:r>
        <w:rPr>
          <w:spacing w:val="-2"/>
          <w:sz w:val="20"/>
        </w:rPr>
        <w:t>el</w:t>
      </w:r>
      <w:r>
        <w:rPr>
          <w:spacing w:val="-6"/>
          <w:sz w:val="20"/>
        </w:rPr>
        <w:t> </w:t>
      </w:r>
      <w:r>
        <w:rPr>
          <w:spacing w:val="-2"/>
          <w:sz w:val="20"/>
        </w:rPr>
        <w:t>área</w:t>
      </w:r>
      <w:r>
        <w:rPr>
          <w:spacing w:val="-5"/>
          <w:sz w:val="20"/>
        </w:rPr>
        <w:t> </w:t>
      </w:r>
      <w:r>
        <w:rPr>
          <w:spacing w:val="-2"/>
          <w:sz w:val="20"/>
        </w:rPr>
        <w:t>de</w:t>
      </w:r>
      <w:r>
        <w:rPr>
          <w:spacing w:val="-5"/>
          <w:sz w:val="20"/>
        </w:rPr>
        <w:t> </w:t>
      </w:r>
      <w:r>
        <w:rPr>
          <w:spacing w:val="-2"/>
          <w:sz w:val="20"/>
        </w:rPr>
        <w:t>donación</w:t>
      </w:r>
      <w:r>
        <w:rPr>
          <w:spacing w:val="-3"/>
          <w:sz w:val="20"/>
        </w:rPr>
        <w:t> </w:t>
      </w:r>
      <w:r>
        <w:rPr>
          <w:spacing w:val="-2"/>
          <w:sz w:val="20"/>
        </w:rPr>
        <w:t>para</w:t>
      </w:r>
      <w:r>
        <w:rPr>
          <w:spacing w:val="-5"/>
          <w:sz w:val="20"/>
        </w:rPr>
        <w:t> </w:t>
      </w:r>
      <w:r>
        <w:rPr>
          <w:spacing w:val="-2"/>
          <w:sz w:val="20"/>
        </w:rPr>
        <w:t>equipamiento,</w:t>
      </w:r>
      <w:r>
        <w:rPr>
          <w:spacing w:val="-5"/>
          <w:sz w:val="20"/>
        </w:rPr>
        <w:t> </w:t>
      </w:r>
      <w:r>
        <w:rPr>
          <w:spacing w:val="-2"/>
          <w:sz w:val="20"/>
        </w:rPr>
        <w:t>servicios</w:t>
      </w:r>
      <w:r>
        <w:rPr>
          <w:spacing w:val="-4"/>
          <w:sz w:val="20"/>
        </w:rPr>
        <w:t> </w:t>
      </w:r>
      <w:r>
        <w:rPr>
          <w:spacing w:val="-2"/>
          <w:sz w:val="20"/>
        </w:rPr>
        <w:t>y</w:t>
      </w:r>
      <w:r>
        <w:rPr>
          <w:spacing w:val="-4"/>
          <w:sz w:val="20"/>
        </w:rPr>
        <w:t> </w:t>
      </w:r>
      <w:r>
        <w:rPr>
          <w:spacing w:val="-2"/>
          <w:sz w:val="20"/>
        </w:rPr>
        <w:t>áreas</w:t>
      </w:r>
      <w:r>
        <w:rPr>
          <w:spacing w:val="-4"/>
          <w:sz w:val="20"/>
        </w:rPr>
        <w:t> </w:t>
      </w:r>
      <w:r>
        <w:rPr>
          <w:spacing w:val="-2"/>
          <w:sz w:val="20"/>
        </w:rPr>
        <w:t>verdes</w:t>
      </w:r>
      <w:r>
        <w:rPr>
          <w:spacing w:val="-4"/>
          <w:sz w:val="20"/>
        </w:rPr>
        <w:t> </w:t>
      </w:r>
      <w:r>
        <w:rPr>
          <w:spacing w:val="-2"/>
          <w:sz w:val="20"/>
        </w:rPr>
        <w:t>determinada </w:t>
      </w:r>
      <w:r>
        <w:rPr>
          <w:sz w:val="20"/>
        </w:rPr>
        <w:t>por el Ayuntamiento en la autorización del fraccionamiento, y</w:t>
      </w:r>
    </w:p>
    <w:p>
      <w:pPr>
        <w:pStyle w:val="ListParagraph"/>
        <w:numPr>
          <w:ilvl w:val="2"/>
          <w:numId w:val="121"/>
        </w:numPr>
        <w:tabs>
          <w:tab w:pos="688" w:val="left" w:leader="none"/>
        </w:tabs>
        <w:spacing w:line="240" w:lineRule="auto" w:before="229" w:after="0"/>
        <w:ind w:left="688" w:right="0" w:hanging="426"/>
        <w:jc w:val="both"/>
        <w:rPr>
          <w:sz w:val="20"/>
        </w:rPr>
      </w:pPr>
      <w:r>
        <w:rPr>
          <w:sz w:val="20"/>
        </w:rPr>
        <w:t>Que</w:t>
      </w:r>
      <w:r>
        <w:rPr>
          <w:spacing w:val="-8"/>
          <w:sz w:val="20"/>
        </w:rPr>
        <w:t> </w:t>
      </w:r>
      <w:r>
        <w:rPr>
          <w:sz w:val="20"/>
        </w:rPr>
        <w:t>no</w:t>
      </w:r>
      <w:r>
        <w:rPr>
          <w:spacing w:val="-5"/>
          <w:sz w:val="20"/>
        </w:rPr>
        <w:t> </w:t>
      </w:r>
      <w:r>
        <w:rPr>
          <w:sz w:val="20"/>
        </w:rPr>
        <w:t>rebase</w:t>
      </w:r>
      <w:r>
        <w:rPr>
          <w:spacing w:val="-5"/>
          <w:sz w:val="20"/>
        </w:rPr>
        <w:t> </w:t>
      </w:r>
      <w:r>
        <w:rPr>
          <w:sz w:val="20"/>
        </w:rPr>
        <w:t>la</w:t>
      </w:r>
      <w:r>
        <w:rPr>
          <w:spacing w:val="-5"/>
          <w:sz w:val="20"/>
        </w:rPr>
        <w:t> </w:t>
      </w:r>
      <w:r>
        <w:rPr>
          <w:sz w:val="20"/>
        </w:rPr>
        <w:t>intensidad</w:t>
      </w:r>
      <w:r>
        <w:rPr>
          <w:spacing w:val="-7"/>
          <w:sz w:val="20"/>
        </w:rPr>
        <w:t> </w:t>
      </w:r>
      <w:r>
        <w:rPr>
          <w:sz w:val="20"/>
        </w:rPr>
        <w:t>en</w:t>
      </w:r>
      <w:r>
        <w:rPr>
          <w:spacing w:val="-4"/>
          <w:sz w:val="20"/>
        </w:rPr>
        <w:t> </w:t>
      </w:r>
      <w:r>
        <w:rPr>
          <w:sz w:val="20"/>
        </w:rPr>
        <w:t>el</w:t>
      </w:r>
      <w:r>
        <w:rPr>
          <w:spacing w:val="-6"/>
          <w:sz w:val="20"/>
        </w:rPr>
        <w:t> </w:t>
      </w:r>
      <w:r>
        <w:rPr>
          <w:sz w:val="20"/>
        </w:rPr>
        <w:t>uso</w:t>
      </w:r>
      <w:r>
        <w:rPr>
          <w:spacing w:val="-7"/>
          <w:sz w:val="20"/>
        </w:rPr>
        <w:t> </w:t>
      </w:r>
      <w:r>
        <w:rPr>
          <w:sz w:val="20"/>
        </w:rPr>
        <w:t>habitacional</w:t>
      </w:r>
      <w:r>
        <w:rPr>
          <w:spacing w:val="-8"/>
          <w:sz w:val="20"/>
        </w:rPr>
        <w:t> </w:t>
      </w:r>
      <w:r>
        <w:rPr>
          <w:sz w:val="20"/>
        </w:rPr>
        <w:t>permitido</w:t>
      </w:r>
      <w:r>
        <w:rPr>
          <w:spacing w:val="-5"/>
          <w:sz w:val="20"/>
        </w:rPr>
        <w:t> </w:t>
      </w:r>
      <w:r>
        <w:rPr>
          <w:sz w:val="20"/>
        </w:rPr>
        <w:t>en</w:t>
      </w:r>
      <w:r>
        <w:rPr>
          <w:spacing w:val="-6"/>
          <w:sz w:val="20"/>
        </w:rPr>
        <w:t> </w:t>
      </w:r>
      <w:r>
        <w:rPr>
          <w:sz w:val="20"/>
        </w:rPr>
        <w:t>la</w:t>
      </w:r>
      <w:r>
        <w:rPr>
          <w:spacing w:val="-7"/>
          <w:sz w:val="20"/>
        </w:rPr>
        <w:t> </w:t>
      </w:r>
      <w:r>
        <w:rPr>
          <w:spacing w:val="-2"/>
          <w:sz w:val="20"/>
        </w:rPr>
        <w:t>zona.</w:t>
      </w:r>
    </w:p>
    <w:p>
      <w:pPr>
        <w:pStyle w:val="BodyText"/>
        <w:spacing w:before="1"/>
      </w:pPr>
    </w:p>
    <w:p>
      <w:pPr>
        <w:pStyle w:val="BodyText"/>
        <w:ind w:left="262" w:right="277"/>
        <w:jc w:val="both"/>
      </w:pPr>
      <w:r>
        <w:rPr>
          <w:rFonts w:ascii="Arial" w:hAnsi="Arial"/>
          <w:b/>
        </w:rPr>
        <w:t>ARTÍCULO</w:t>
      </w:r>
      <w:r>
        <w:rPr>
          <w:rFonts w:ascii="Arial" w:hAnsi="Arial"/>
          <w:b/>
          <w:spacing w:val="-11"/>
        </w:rPr>
        <w:t> </w:t>
      </w:r>
      <w:r>
        <w:rPr>
          <w:rFonts w:ascii="Arial" w:hAnsi="Arial"/>
          <w:b/>
        </w:rPr>
        <w:t>350.</w:t>
      </w:r>
      <w:r>
        <w:rPr>
          <w:rFonts w:ascii="Arial" w:hAnsi="Arial"/>
          <w:b/>
          <w:spacing w:val="-10"/>
        </w:rPr>
        <w:t> </w:t>
      </w:r>
      <w:r>
        <w:rPr/>
        <w:t>El</w:t>
      </w:r>
      <w:r>
        <w:rPr>
          <w:spacing w:val="-13"/>
        </w:rPr>
        <w:t> </w:t>
      </w:r>
      <w:r>
        <w:rPr/>
        <w:t>fraccionador</w:t>
      </w:r>
      <w:r>
        <w:rPr>
          <w:spacing w:val="-11"/>
        </w:rPr>
        <w:t> </w:t>
      </w:r>
      <w:r>
        <w:rPr/>
        <w:t>deberá</w:t>
      </w:r>
      <w:r>
        <w:rPr>
          <w:spacing w:val="-12"/>
        </w:rPr>
        <w:t> </w:t>
      </w:r>
      <w:r>
        <w:rPr/>
        <w:t>presentar</w:t>
      </w:r>
      <w:r>
        <w:rPr>
          <w:spacing w:val="-11"/>
        </w:rPr>
        <w:t> </w:t>
      </w:r>
      <w:r>
        <w:rPr/>
        <w:t>por</w:t>
      </w:r>
      <w:r>
        <w:rPr>
          <w:spacing w:val="-10"/>
        </w:rPr>
        <w:t> </w:t>
      </w:r>
      <w:r>
        <w:rPr/>
        <w:t>escrito</w:t>
      </w:r>
      <w:r>
        <w:rPr>
          <w:spacing w:val="-13"/>
        </w:rPr>
        <w:t> </w:t>
      </w:r>
      <w:r>
        <w:rPr/>
        <w:t>ante</w:t>
      </w:r>
      <w:r>
        <w:rPr>
          <w:spacing w:val="-10"/>
        </w:rPr>
        <w:t> </w:t>
      </w:r>
      <w:r>
        <w:rPr/>
        <w:t>la</w:t>
      </w:r>
      <w:r>
        <w:rPr>
          <w:spacing w:val="-12"/>
        </w:rPr>
        <w:t> </w:t>
      </w:r>
      <w:r>
        <w:rPr/>
        <w:t>Dirección</w:t>
      </w:r>
      <w:r>
        <w:rPr>
          <w:spacing w:val="-13"/>
        </w:rPr>
        <w:t> </w:t>
      </w:r>
      <w:r>
        <w:rPr/>
        <w:t>Municipal,</w:t>
      </w:r>
      <w:r>
        <w:rPr>
          <w:spacing w:val="-10"/>
        </w:rPr>
        <w:t> </w:t>
      </w:r>
      <w:r>
        <w:rPr/>
        <w:t>la</w:t>
      </w:r>
      <w:r>
        <w:rPr>
          <w:spacing w:val="-12"/>
        </w:rPr>
        <w:t> </w:t>
      </w:r>
      <w:r>
        <w:rPr/>
        <w:t>solicitud de relotificación del fraccionamiento, acompañada de los documentos, planos y estudios correspondientes,</w:t>
      </w:r>
      <w:r>
        <w:rPr>
          <w:spacing w:val="26"/>
        </w:rPr>
        <w:t> </w:t>
      </w:r>
      <w:r>
        <w:rPr/>
        <w:t>conforme</w:t>
      </w:r>
      <w:r>
        <w:rPr>
          <w:spacing w:val="26"/>
        </w:rPr>
        <w:t> </w:t>
      </w:r>
      <w:r>
        <w:rPr/>
        <w:t>a</w:t>
      </w:r>
      <w:r>
        <w:rPr>
          <w:spacing w:val="27"/>
        </w:rPr>
        <w:t> </w:t>
      </w:r>
      <w:r>
        <w:rPr/>
        <w:t>lo</w:t>
      </w:r>
      <w:r>
        <w:rPr>
          <w:spacing w:val="26"/>
        </w:rPr>
        <w:t> </w:t>
      </w:r>
      <w:r>
        <w:rPr/>
        <w:t>establecido</w:t>
      </w:r>
      <w:r>
        <w:rPr>
          <w:spacing w:val="27"/>
        </w:rPr>
        <w:t> </w:t>
      </w:r>
      <w:r>
        <w:rPr/>
        <w:t>en</w:t>
      </w:r>
      <w:r>
        <w:rPr>
          <w:spacing w:val="25"/>
        </w:rPr>
        <w:t> </w:t>
      </w:r>
      <w:r>
        <w:rPr/>
        <w:t>esta</w:t>
      </w:r>
      <w:r>
        <w:rPr>
          <w:spacing w:val="28"/>
        </w:rPr>
        <w:t> </w:t>
      </w:r>
      <w:r>
        <w:rPr/>
        <w:t>Ley;</w:t>
      </w:r>
      <w:r>
        <w:rPr>
          <w:spacing w:val="27"/>
        </w:rPr>
        <w:t> </w:t>
      </w:r>
      <w:r>
        <w:rPr/>
        <w:t>además,</w:t>
      </w:r>
      <w:r>
        <w:rPr>
          <w:spacing w:val="26"/>
        </w:rPr>
        <w:t> </w:t>
      </w:r>
      <w:r>
        <w:rPr/>
        <w:t>se</w:t>
      </w:r>
      <w:r>
        <w:rPr>
          <w:spacing w:val="27"/>
        </w:rPr>
        <w:t> </w:t>
      </w:r>
      <w:r>
        <w:rPr/>
        <w:t>anexará</w:t>
      </w:r>
      <w:r>
        <w:rPr>
          <w:spacing w:val="28"/>
        </w:rPr>
        <w:t> </w:t>
      </w:r>
      <w:r>
        <w:rPr/>
        <w:t>a</w:t>
      </w:r>
      <w:r>
        <w:rPr>
          <w:spacing w:val="26"/>
        </w:rPr>
        <w:t> </w:t>
      </w:r>
      <w:r>
        <w:rPr/>
        <w:t>la</w:t>
      </w:r>
      <w:r>
        <w:rPr>
          <w:spacing w:val="27"/>
        </w:rPr>
        <w:t> </w:t>
      </w:r>
      <w:r>
        <w:rPr/>
        <w:t>solicitud,</w:t>
      </w:r>
      <w:r>
        <w:rPr>
          <w:spacing w:val="25"/>
        </w:rPr>
        <w:t> </w:t>
      </w:r>
      <w:r>
        <w:rPr>
          <w:spacing w:val="-5"/>
        </w:rPr>
        <w:t>la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5"/>
        <w:jc w:val="both"/>
      </w:pPr>
      <w:r>
        <w:rPr/>
        <w:t>propuesta</w:t>
      </w:r>
      <w:r>
        <w:rPr>
          <w:spacing w:val="-8"/>
        </w:rPr>
        <w:t> </w:t>
      </w:r>
      <w:r>
        <w:rPr/>
        <w:t>del</w:t>
      </w:r>
      <w:r>
        <w:rPr>
          <w:spacing w:val="-8"/>
        </w:rPr>
        <w:t> </w:t>
      </w:r>
      <w:r>
        <w:rPr/>
        <w:t>plano</w:t>
      </w:r>
      <w:r>
        <w:rPr>
          <w:spacing w:val="-6"/>
        </w:rPr>
        <w:t> </w:t>
      </w:r>
      <w:r>
        <w:rPr/>
        <w:t>general</w:t>
      </w:r>
      <w:r>
        <w:rPr>
          <w:spacing w:val="-8"/>
        </w:rPr>
        <w:t> </w:t>
      </w:r>
      <w:r>
        <w:rPr/>
        <w:t>de</w:t>
      </w:r>
      <w:r>
        <w:rPr>
          <w:spacing w:val="-8"/>
        </w:rPr>
        <w:t> </w:t>
      </w:r>
      <w:r>
        <w:rPr/>
        <w:t>lotificación</w:t>
      </w:r>
      <w:r>
        <w:rPr>
          <w:spacing w:val="-8"/>
        </w:rPr>
        <w:t> </w:t>
      </w:r>
      <w:r>
        <w:rPr/>
        <w:t>y</w:t>
      </w:r>
      <w:r>
        <w:rPr>
          <w:spacing w:val="-6"/>
        </w:rPr>
        <w:t> </w:t>
      </w:r>
      <w:r>
        <w:rPr/>
        <w:t>memorias</w:t>
      </w:r>
      <w:r>
        <w:rPr>
          <w:spacing w:val="-5"/>
        </w:rPr>
        <w:t> </w:t>
      </w:r>
      <w:r>
        <w:rPr/>
        <w:t>descriptivas</w:t>
      </w:r>
      <w:r>
        <w:rPr>
          <w:spacing w:val="-7"/>
        </w:rPr>
        <w:t> </w:t>
      </w:r>
      <w:r>
        <w:rPr/>
        <w:t>de</w:t>
      </w:r>
      <w:r>
        <w:rPr>
          <w:spacing w:val="-8"/>
        </w:rPr>
        <w:t> </w:t>
      </w:r>
      <w:r>
        <w:rPr/>
        <w:t>los</w:t>
      </w:r>
      <w:r>
        <w:rPr>
          <w:spacing w:val="-7"/>
        </w:rPr>
        <w:t> </w:t>
      </w:r>
      <w:r>
        <w:rPr/>
        <w:t>lotes</w:t>
      </w:r>
      <w:r>
        <w:rPr>
          <w:spacing w:val="-6"/>
        </w:rPr>
        <w:t> </w:t>
      </w:r>
      <w:r>
        <w:rPr/>
        <w:t>del</w:t>
      </w:r>
      <w:r>
        <w:rPr>
          <w:spacing w:val="-6"/>
        </w:rPr>
        <w:t> </w:t>
      </w:r>
      <w:r>
        <w:rPr/>
        <w:t>fraccionamiento, que contenga las modificaciones derivadas de la relotificación.</w:t>
      </w:r>
    </w:p>
    <w:p>
      <w:pPr>
        <w:pStyle w:val="BodyText"/>
        <w:spacing w:before="1"/>
      </w:pPr>
    </w:p>
    <w:p>
      <w:pPr>
        <w:pStyle w:val="BodyText"/>
        <w:ind w:left="262" w:right="281"/>
        <w:jc w:val="both"/>
      </w:pPr>
      <w:r>
        <w:rPr/>
        <w:t>En caso de autorización de la solicitud, el promovente deberá protocolizar ante notario público el acta y plano general de la relotificación y memorias descriptivas de los lotes del fraccionamiento autorizadas, y presentarlos a</w:t>
      </w:r>
      <w:r>
        <w:rPr>
          <w:spacing w:val="-1"/>
        </w:rPr>
        <w:t> </w:t>
      </w:r>
      <w:r>
        <w:rPr/>
        <w:t>la</w:t>
      </w:r>
      <w:r>
        <w:rPr>
          <w:spacing w:val="-1"/>
        </w:rPr>
        <w:t> </w:t>
      </w:r>
      <w:r>
        <w:rPr/>
        <w:t>autoridad</w:t>
      </w:r>
      <w:r>
        <w:rPr>
          <w:spacing w:val="-1"/>
        </w:rPr>
        <w:t> </w:t>
      </w:r>
      <w:r>
        <w:rPr/>
        <w:t>catastral</w:t>
      </w:r>
      <w:r>
        <w:rPr>
          <w:spacing w:val="-2"/>
        </w:rPr>
        <w:t> </w:t>
      </w:r>
      <w:r>
        <w:rPr/>
        <w:t>competente</w:t>
      </w:r>
      <w:r>
        <w:rPr>
          <w:spacing w:val="-1"/>
        </w:rPr>
        <w:t> </w:t>
      </w:r>
      <w:r>
        <w:rPr/>
        <w:t>para que</w:t>
      </w:r>
      <w:r>
        <w:rPr>
          <w:spacing w:val="-1"/>
        </w:rPr>
        <w:t> </w:t>
      </w:r>
      <w:r>
        <w:rPr/>
        <w:t>determine</w:t>
      </w:r>
      <w:r>
        <w:rPr>
          <w:spacing w:val="-1"/>
        </w:rPr>
        <w:t> </w:t>
      </w:r>
      <w:r>
        <w:rPr/>
        <w:t>o</w:t>
      </w:r>
      <w:r>
        <w:rPr>
          <w:spacing w:val="-1"/>
        </w:rPr>
        <w:t> </w:t>
      </w:r>
      <w:r>
        <w:rPr/>
        <w:t>modifique</w:t>
      </w:r>
      <w:r>
        <w:rPr>
          <w:spacing w:val="-1"/>
        </w:rPr>
        <w:t> </w:t>
      </w:r>
      <w:r>
        <w:rPr/>
        <w:t>los registros catastrales individuales,</w:t>
      </w:r>
      <w:r>
        <w:rPr>
          <w:spacing w:val="-1"/>
        </w:rPr>
        <w:t> </w:t>
      </w:r>
      <w:r>
        <w:rPr/>
        <w:t>así</w:t>
      </w:r>
      <w:r>
        <w:rPr>
          <w:spacing w:val="-1"/>
        </w:rPr>
        <w:t> </w:t>
      </w:r>
      <w:r>
        <w:rPr/>
        <w:t>como</w:t>
      </w:r>
      <w:r>
        <w:rPr>
          <w:spacing w:val="-1"/>
        </w:rPr>
        <w:t> </w:t>
      </w:r>
      <w:r>
        <w:rPr/>
        <w:t>al</w:t>
      </w:r>
      <w:r>
        <w:rPr>
          <w:spacing w:val="-2"/>
        </w:rPr>
        <w:t> </w:t>
      </w:r>
      <w:r>
        <w:rPr/>
        <w:t>Registro Público de la Propiedad para</w:t>
      </w:r>
      <w:r>
        <w:rPr>
          <w:spacing w:val="-1"/>
        </w:rPr>
        <w:t> </w:t>
      </w:r>
      <w:r>
        <w:rPr/>
        <w:t>su</w:t>
      </w:r>
      <w:r>
        <w:rPr>
          <w:spacing w:val="-1"/>
        </w:rPr>
        <w:t> </w:t>
      </w:r>
      <w:r>
        <w:rPr/>
        <w:t>inscripción.</w:t>
      </w:r>
    </w:p>
    <w:p>
      <w:pPr>
        <w:pStyle w:val="BodyText"/>
      </w:pPr>
    </w:p>
    <w:p>
      <w:pPr>
        <w:pStyle w:val="BodyText"/>
        <w:ind w:left="262" w:right="278"/>
        <w:jc w:val="both"/>
      </w:pPr>
      <w:r>
        <w:rPr>
          <w:rFonts w:ascii="Arial" w:hAnsi="Arial"/>
          <w:b/>
        </w:rPr>
        <w:t>ARTÍCULO 351. </w:t>
      </w:r>
      <w:r>
        <w:rPr/>
        <w:t>El cambio de intensidad en el</w:t>
      </w:r>
      <w:r>
        <w:rPr>
          <w:spacing w:val="-1"/>
        </w:rPr>
        <w:t> </w:t>
      </w:r>
      <w:r>
        <w:rPr/>
        <w:t>uso habitacional, a fin de incrementar el número de viviendas,</w:t>
      </w:r>
      <w:r>
        <w:rPr>
          <w:spacing w:val="-6"/>
        </w:rPr>
        <w:t> </w:t>
      </w:r>
      <w:r>
        <w:rPr/>
        <w:t>procederá</w:t>
      </w:r>
      <w:r>
        <w:rPr>
          <w:spacing w:val="-4"/>
        </w:rPr>
        <w:t> </w:t>
      </w:r>
      <w:r>
        <w:rPr/>
        <w:t>en</w:t>
      </w:r>
      <w:r>
        <w:rPr>
          <w:spacing w:val="-5"/>
        </w:rPr>
        <w:t> </w:t>
      </w:r>
      <w:r>
        <w:rPr/>
        <w:t>los</w:t>
      </w:r>
      <w:r>
        <w:rPr>
          <w:spacing w:val="-6"/>
        </w:rPr>
        <w:t> </w:t>
      </w:r>
      <w:r>
        <w:rPr/>
        <w:t>fraccionamientos</w:t>
      </w:r>
      <w:r>
        <w:rPr>
          <w:spacing w:val="-6"/>
        </w:rPr>
        <w:t> </w:t>
      </w:r>
      <w:r>
        <w:rPr/>
        <w:t>habitacionales</w:t>
      </w:r>
      <w:r>
        <w:rPr>
          <w:spacing w:val="-6"/>
        </w:rPr>
        <w:t> </w:t>
      </w:r>
      <w:r>
        <w:rPr/>
        <w:t>autorizados,</w:t>
      </w:r>
      <w:r>
        <w:rPr>
          <w:spacing w:val="-4"/>
        </w:rPr>
        <w:t> </w:t>
      </w:r>
      <w:r>
        <w:rPr/>
        <w:t>en</w:t>
      </w:r>
      <w:r>
        <w:rPr>
          <w:spacing w:val="-4"/>
        </w:rPr>
        <w:t> </w:t>
      </w:r>
      <w:r>
        <w:rPr/>
        <w:t>los</w:t>
      </w:r>
      <w:r>
        <w:rPr>
          <w:spacing w:val="-3"/>
        </w:rPr>
        <w:t> </w:t>
      </w:r>
      <w:r>
        <w:rPr/>
        <w:t>que</w:t>
      </w:r>
      <w:r>
        <w:rPr>
          <w:spacing w:val="-5"/>
        </w:rPr>
        <w:t> </w:t>
      </w:r>
      <w:r>
        <w:rPr/>
        <w:t>no</w:t>
      </w:r>
      <w:r>
        <w:rPr>
          <w:spacing w:val="-7"/>
        </w:rPr>
        <w:t> </w:t>
      </w:r>
      <w:r>
        <w:rPr/>
        <w:t>se</w:t>
      </w:r>
      <w:r>
        <w:rPr>
          <w:spacing w:val="-5"/>
        </w:rPr>
        <w:t> </w:t>
      </w:r>
      <w:r>
        <w:rPr/>
        <w:t>hubieren entregado al Ayuntamiento las obras de urbanización, y no sobrepase la densidad de vivienda establecida para la zona de su ubicación por el Programa de Desarrollo Urbano aplicable, o en su caso la determinada en la presente Ley.</w:t>
      </w:r>
    </w:p>
    <w:p>
      <w:pPr>
        <w:pStyle w:val="BodyText"/>
      </w:pPr>
    </w:p>
    <w:p>
      <w:pPr>
        <w:pStyle w:val="BodyText"/>
        <w:spacing w:before="1"/>
        <w:ind w:left="262" w:right="284"/>
        <w:jc w:val="both"/>
      </w:pPr>
      <w:r>
        <w:rPr>
          <w:rFonts w:ascii="Arial" w:hAnsi="Arial"/>
          <w:b/>
        </w:rPr>
        <w:t>ARTÍCULO 352. </w:t>
      </w:r>
      <w:r>
        <w:rPr/>
        <w:t>Las fusiones y subdivisiones de áreas y predios deberán ser previamente autorizadas por la Dirección Municipal respectiva, comprendiendo:</w:t>
      </w:r>
    </w:p>
    <w:p>
      <w:pPr>
        <w:pStyle w:val="ListParagraph"/>
        <w:numPr>
          <w:ilvl w:val="0"/>
          <w:numId w:val="122"/>
        </w:numPr>
        <w:tabs>
          <w:tab w:pos="543" w:val="left" w:leader="none"/>
        </w:tabs>
        <w:spacing w:line="240" w:lineRule="auto" w:before="228" w:after="0"/>
        <w:ind w:left="262" w:right="281" w:firstLine="0"/>
        <w:jc w:val="both"/>
        <w:rPr>
          <w:sz w:val="20"/>
        </w:rPr>
      </w:pPr>
      <w:r>
        <w:rPr>
          <w:sz w:val="20"/>
        </w:rPr>
        <w:t>Las que</w:t>
      </w:r>
      <w:r>
        <w:rPr>
          <w:spacing w:val="-1"/>
          <w:sz w:val="20"/>
        </w:rPr>
        <w:t> </w:t>
      </w:r>
      <w:r>
        <w:rPr>
          <w:sz w:val="20"/>
        </w:rPr>
        <w:t>se</w:t>
      </w:r>
      <w:r>
        <w:rPr>
          <w:spacing w:val="-1"/>
          <w:sz w:val="20"/>
        </w:rPr>
        <w:t> </w:t>
      </w:r>
      <w:r>
        <w:rPr>
          <w:sz w:val="20"/>
        </w:rPr>
        <w:t>ubiquen</w:t>
      </w:r>
      <w:r>
        <w:rPr>
          <w:spacing w:val="-1"/>
          <w:sz w:val="20"/>
        </w:rPr>
        <w:t> </w:t>
      </w:r>
      <w:r>
        <w:rPr>
          <w:sz w:val="20"/>
        </w:rPr>
        <w:t>en</w:t>
      </w:r>
      <w:r>
        <w:rPr>
          <w:spacing w:val="-1"/>
          <w:sz w:val="20"/>
        </w:rPr>
        <w:t> </w:t>
      </w:r>
      <w:r>
        <w:rPr>
          <w:sz w:val="20"/>
        </w:rPr>
        <w:t>cualquier fraccionamiento,</w:t>
      </w:r>
      <w:r>
        <w:rPr>
          <w:spacing w:val="-1"/>
          <w:sz w:val="20"/>
        </w:rPr>
        <w:t> </w:t>
      </w:r>
      <w:r>
        <w:rPr>
          <w:sz w:val="20"/>
        </w:rPr>
        <w:t>colonia, barrio, manzana, área, sector o</w:t>
      </w:r>
      <w:r>
        <w:rPr>
          <w:spacing w:val="-1"/>
          <w:sz w:val="20"/>
        </w:rPr>
        <w:t> </w:t>
      </w:r>
      <w:r>
        <w:rPr>
          <w:sz w:val="20"/>
        </w:rPr>
        <w:t>zona ubicada</w:t>
      </w:r>
      <w:r>
        <w:rPr>
          <w:spacing w:val="-12"/>
          <w:sz w:val="20"/>
        </w:rPr>
        <w:t> </w:t>
      </w:r>
      <w:r>
        <w:rPr>
          <w:sz w:val="20"/>
        </w:rPr>
        <w:t>dentro</w:t>
      </w:r>
      <w:r>
        <w:rPr>
          <w:spacing w:val="-10"/>
          <w:sz w:val="20"/>
        </w:rPr>
        <w:t> </w:t>
      </w:r>
      <w:r>
        <w:rPr>
          <w:sz w:val="20"/>
        </w:rPr>
        <w:t>de</w:t>
      </w:r>
      <w:r>
        <w:rPr>
          <w:spacing w:val="-12"/>
          <w:sz w:val="20"/>
        </w:rPr>
        <w:t> </w:t>
      </w:r>
      <w:r>
        <w:rPr>
          <w:sz w:val="20"/>
        </w:rPr>
        <w:t>los</w:t>
      </w:r>
      <w:r>
        <w:rPr>
          <w:spacing w:val="-11"/>
          <w:sz w:val="20"/>
        </w:rPr>
        <w:t> </w:t>
      </w:r>
      <w:r>
        <w:rPr>
          <w:sz w:val="20"/>
        </w:rPr>
        <w:t>centros</w:t>
      </w:r>
      <w:r>
        <w:rPr>
          <w:spacing w:val="-11"/>
          <w:sz w:val="20"/>
        </w:rPr>
        <w:t> </w:t>
      </w:r>
      <w:r>
        <w:rPr>
          <w:sz w:val="20"/>
        </w:rPr>
        <w:t>de</w:t>
      </w:r>
      <w:r>
        <w:rPr>
          <w:spacing w:val="-12"/>
          <w:sz w:val="20"/>
        </w:rPr>
        <w:t> </w:t>
      </w:r>
      <w:r>
        <w:rPr>
          <w:sz w:val="20"/>
        </w:rPr>
        <w:t>población</w:t>
      </w:r>
      <w:r>
        <w:rPr>
          <w:rFonts w:ascii="Arial" w:hAnsi="Arial"/>
          <w:b/>
          <w:sz w:val="20"/>
        </w:rPr>
        <w:t>,</w:t>
      </w:r>
      <w:r>
        <w:rPr>
          <w:rFonts w:ascii="Arial" w:hAnsi="Arial"/>
          <w:b/>
          <w:spacing w:val="-12"/>
          <w:sz w:val="20"/>
        </w:rPr>
        <w:t> </w:t>
      </w:r>
      <w:r>
        <w:rPr>
          <w:sz w:val="20"/>
        </w:rPr>
        <w:t>independientemente</w:t>
      </w:r>
      <w:r>
        <w:rPr>
          <w:spacing w:val="-12"/>
          <w:sz w:val="20"/>
        </w:rPr>
        <w:t> </w:t>
      </w:r>
      <w:r>
        <w:rPr>
          <w:sz w:val="20"/>
        </w:rPr>
        <w:t>de</w:t>
      </w:r>
      <w:r>
        <w:rPr>
          <w:spacing w:val="-12"/>
          <w:sz w:val="20"/>
        </w:rPr>
        <w:t> </w:t>
      </w:r>
      <w:r>
        <w:rPr>
          <w:sz w:val="20"/>
        </w:rPr>
        <w:t>que</w:t>
      </w:r>
      <w:r>
        <w:rPr>
          <w:spacing w:val="-12"/>
          <w:sz w:val="20"/>
        </w:rPr>
        <w:t> </w:t>
      </w:r>
      <w:r>
        <w:rPr>
          <w:sz w:val="20"/>
        </w:rPr>
        <w:t>dichas</w:t>
      </w:r>
      <w:r>
        <w:rPr>
          <w:spacing w:val="-11"/>
          <w:sz w:val="20"/>
        </w:rPr>
        <w:t> </w:t>
      </w:r>
      <w:r>
        <w:rPr>
          <w:sz w:val="20"/>
        </w:rPr>
        <w:t>áreas</w:t>
      </w:r>
      <w:r>
        <w:rPr>
          <w:spacing w:val="-11"/>
          <w:sz w:val="20"/>
        </w:rPr>
        <w:t> </w:t>
      </w:r>
      <w:r>
        <w:rPr>
          <w:sz w:val="20"/>
        </w:rPr>
        <w:t>se</w:t>
      </w:r>
      <w:r>
        <w:rPr>
          <w:spacing w:val="-12"/>
          <w:sz w:val="20"/>
        </w:rPr>
        <w:t> </w:t>
      </w:r>
      <w:r>
        <w:rPr>
          <w:sz w:val="20"/>
        </w:rPr>
        <w:t>encuentren o no municipalizadas;</w:t>
      </w:r>
    </w:p>
    <w:p>
      <w:pPr>
        <w:pStyle w:val="BodyText"/>
        <w:spacing w:before="2"/>
      </w:pPr>
    </w:p>
    <w:p>
      <w:pPr>
        <w:pStyle w:val="ListParagraph"/>
        <w:numPr>
          <w:ilvl w:val="0"/>
          <w:numId w:val="122"/>
        </w:numPr>
        <w:tabs>
          <w:tab w:pos="543" w:val="left" w:leader="none"/>
        </w:tabs>
        <w:spacing w:line="240" w:lineRule="auto" w:before="0" w:after="0"/>
        <w:ind w:left="262" w:right="288" w:firstLine="0"/>
        <w:jc w:val="both"/>
        <w:rPr>
          <w:sz w:val="20"/>
        </w:rPr>
      </w:pPr>
      <w:r>
        <w:rPr>
          <w:sz w:val="20"/>
        </w:rPr>
        <w:t>Las que se ubiquen dentro de las zonas que hayan sido objeto de regularización por las autoridades correspondientes o que estén previstas en los programas de ordenamiento territorial y desarrollo urbano, y que se encuentren ubicadas dentro de los centros de población;</w:t>
      </w:r>
    </w:p>
    <w:p>
      <w:pPr>
        <w:pStyle w:val="BodyText"/>
      </w:pPr>
    </w:p>
    <w:p>
      <w:pPr>
        <w:pStyle w:val="ListParagraph"/>
        <w:numPr>
          <w:ilvl w:val="0"/>
          <w:numId w:val="122"/>
        </w:numPr>
        <w:tabs>
          <w:tab w:pos="741" w:val="left" w:leader="none"/>
        </w:tabs>
        <w:spacing w:line="240" w:lineRule="auto" w:before="0" w:after="0"/>
        <w:ind w:left="262" w:right="279" w:firstLine="0"/>
        <w:jc w:val="both"/>
        <w:rPr>
          <w:sz w:val="20"/>
        </w:rPr>
      </w:pPr>
      <w:r>
        <w:rPr>
          <w:sz w:val="20"/>
        </w:rPr>
        <w:t>Las que se ubiquen en terrenos rurales que no sean de origen comunal o ejidal y que no contravengan lo dispuesto en la Ley Agraria y demás disposiciones jurídicas aplicables, con excepción de las subdivisiones y fusiones que se ubiquen en la zona de urbanización ejidal y en la zona de reserva para el crecimiento urbano del ejido o comunidad, y</w:t>
      </w:r>
    </w:p>
    <w:p>
      <w:pPr>
        <w:pStyle w:val="ListParagraph"/>
        <w:numPr>
          <w:ilvl w:val="0"/>
          <w:numId w:val="122"/>
        </w:numPr>
        <w:tabs>
          <w:tab w:pos="688" w:val="left" w:leader="none"/>
        </w:tabs>
        <w:spacing w:line="240" w:lineRule="auto" w:before="229" w:after="0"/>
        <w:ind w:left="262" w:right="284" w:firstLine="0"/>
        <w:jc w:val="both"/>
        <w:rPr>
          <w:sz w:val="20"/>
        </w:rPr>
      </w:pPr>
      <w:r>
        <w:rPr>
          <w:sz w:val="20"/>
        </w:rPr>
        <w:t>Las que estén relacionadas con un presente o futuro asentamiento humano, de conformidad con el Programa Municipal de Ordenamiento Territorial y Desarrollo Urbano.</w:t>
      </w:r>
    </w:p>
    <w:p>
      <w:pPr>
        <w:pStyle w:val="BodyText"/>
        <w:spacing w:before="2"/>
      </w:pPr>
    </w:p>
    <w:p>
      <w:pPr>
        <w:pStyle w:val="BodyText"/>
        <w:ind w:left="262" w:right="285"/>
        <w:jc w:val="both"/>
      </w:pPr>
      <w:r>
        <w:rPr>
          <w:rFonts w:ascii="Arial" w:hAnsi="Arial"/>
          <w:b/>
        </w:rPr>
        <w:t>ARTÍCULO</w:t>
      </w:r>
      <w:r>
        <w:rPr>
          <w:rFonts w:ascii="Arial" w:hAnsi="Arial"/>
          <w:b/>
          <w:spacing w:val="-14"/>
        </w:rPr>
        <w:t> </w:t>
      </w:r>
      <w:r>
        <w:rPr>
          <w:rFonts w:ascii="Arial" w:hAnsi="Arial"/>
          <w:b/>
        </w:rPr>
        <w:t>353.</w:t>
      </w:r>
      <w:r>
        <w:rPr>
          <w:rFonts w:ascii="Arial" w:hAnsi="Arial"/>
          <w:b/>
          <w:spacing w:val="-14"/>
        </w:rPr>
        <w:t> </w:t>
      </w:r>
      <w:r>
        <w:rPr/>
        <w:t>Las</w:t>
      </w:r>
      <w:r>
        <w:rPr>
          <w:spacing w:val="-14"/>
        </w:rPr>
        <w:t> </w:t>
      </w:r>
      <w:r>
        <w:rPr/>
        <w:t>subdivisiones</w:t>
      </w:r>
      <w:r>
        <w:rPr>
          <w:spacing w:val="-14"/>
        </w:rPr>
        <w:t> </w:t>
      </w:r>
      <w:r>
        <w:rPr/>
        <w:t>de</w:t>
      </w:r>
      <w:r>
        <w:rPr>
          <w:spacing w:val="-14"/>
        </w:rPr>
        <w:t> </w:t>
      </w:r>
      <w:r>
        <w:rPr/>
        <w:t>terrenos</w:t>
      </w:r>
      <w:r>
        <w:rPr>
          <w:spacing w:val="-14"/>
        </w:rPr>
        <w:t> </w:t>
      </w:r>
      <w:r>
        <w:rPr/>
        <w:t>rústicos</w:t>
      </w:r>
      <w:r>
        <w:rPr>
          <w:spacing w:val="-14"/>
        </w:rPr>
        <w:t> </w:t>
      </w:r>
      <w:r>
        <w:rPr/>
        <w:t>se</w:t>
      </w:r>
      <w:r>
        <w:rPr>
          <w:spacing w:val="-14"/>
        </w:rPr>
        <w:t> </w:t>
      </w:r>
      <w:r>
        <w:rPr/>
        <w:t>regirán</w:t>
      </w:r>
      <w:r>
        <w:rPr>
          <w:spacing w:val="-14"/>
        </w:rPr>
        <w:t> </w:t>
      </w:r>
      <w:r>
        <w:rPr/>
        <w:t>por</w:t>
      </w:r>
      <w:r>
        <w:rPr>
          <w:spacing w:val="-13"/>
        </w:rPr>
        <w:t> </w:t>
      </w:r>
      <w:r>
        <w:rPr/>
        <w:t>la</w:t>
      </w:r>
      <w:r>
        <w:rPr>
          <w:spacing w:val="-14"/>
        </w:rPr>
        <w:t> </w:t>
      </w:r>
      <w:r>
        <w:rPr/>
        <w:t>presente</w:t>
      </w:r>
      <w:r>
        <w:rPr>
          <w:spacing w:val="-14"/>
        </w:rPr>
        <w:t> </w:t>
      </w:r>
      <w:r>
        <w:rPr/>
        <w:t>Ley,</w:t>
      </w:r>
      <w:r>
        <w:rPr>
          <w:spacing w:val="-14"/>
        </w:rPr>
        <w:t> </w:t>
      </w:r>
      <w:r>
        <w:rPr/>
        <w:t>la</w:t>
      </w:r>
      <w:r>
        <w:rPr>
          <w:spacing w:val="-14"/>
        </w:rPr>
        <w:t> </w:t>
      </w:r>
      <w:r>
        <w:rPr/>
        <w:t>Ley</w:t>
      </w:r>
      <w:r>
        <w:rPr>
          <w:spacing w:val="-14"/>
        </w:rPr>
        <w:t> </w:t>
      </w:r>
      <w:r>
        <w:rPr/>
        <w:t>Agraria y la Ley General, así como por</w:t>
      </w:r>
      <w:r>
        <w:rPr>
          <w:spacing w:val="40"/>
        </w:rPr>
        <w:t> </w:t>
      </w:r>
      <w:r>
        <w:rPr/>
        <w:t>la legislación ambiental y forestal aplicable.</w:t>
      </w:r>
    </w:p>
    <w:p>
      <w:pPr>
        <w:pStyle w:val="BodyText"/>
        <w:spacing w:before="229"/>
        <w:ind w:left="262"/>
        <w:jc w:val="both"/>
      </w:pPr>
      <w:r>
        <w:rPr>
          <w:rFonts w:ascii="Arial" w:hAnsi="Arial"/>
          <w:b/>
        </w:rPr>
        <w:t>ARTÍCULO</w:t>
      </w:r>
      <w:r>
        <w:rPr>
          <w:rFonts w:ascii="Arial" w:hAnsi="Arial"/>
          <w:b/>
          <w:spacing w:val="-8"/>
        </w:rPr>
        <w:t> </w:t>
      </w:r>
      <w:r>
        <w:rPr>
          <w:rFonts w:ascii="Arial" w:hAnsi="Arial"/>
          <w:b/>
        </w:rPr>
        <w:t>354.</w:t>
      </w:r>
      <w:r>
        <w:rPr>
          <w:rFonts w:ascii="Arial" w:hAnsi="Arial"/>
          <w:b/>
          <w:spacing w:val="-8"/>
        </w:rPr>
        <w:t> </w:t>
      </w:r>
      <w:r>
        <w:rPr/>
        <w:t>La</w:t>
      </w:r>
      <w:r>
        <w:rPr>
          <w:spacing w:val="-8"/>
        </w:rPr>
        <w:t> </w:t>
      </w:r>
      <w:r>
        <w:rPr/>
        <w:t>autorización</w:t>
      </w:r>
      <w:r>
        <w:rPr>
          <w:spacing w:val="-8"/>
        </w:rPr>
        <w:t> </w:t>
      </w:r>
      <w:r>
        <w:rPr/>
        <w:t>de</w:t>
      </w:r>
      <w:r>
        <w:rPr>
          <w:spacing w:val="-9"/>
        </w:rPr>
        <w:t> </w:t>
      </w:r>
      <w:r>
        <w:rPr/>
        <w:t>subdivisiones</w:t>
      </w:r>
      <w:r>
        <w:rPr>
          <w:spacing w:val="-7"/>
        </w:rPr>
        <w:t> </w:t>
      </w:r>
      <w:r>
        <w:rPr/>
        <w:t>deberá</w:t>
      </w:r>
      <w:r>
        <w:rPr>
          <w:spacing w:val="-9"/>
        </w:rPr>
        <w:t> </w:t>
      </w:r>
      <w:r>
        <w:rPr/>
        <w:t>apegarse</w:t>
      </w:r>
      <w:r>
        <w:rPr>
          <w:spacing w:val="-6"/>
        </w:rPr>
        <w:t> </w:t>
      </w:r>
      <w:r>
        <w:rPr/>
        <w:t>a</w:t>
      </w:r>
      <w:r>
        <w:rPr>
          <w:spacing w:val="-8"/>
        </w:rPr>
        <w:t> </w:t>
      </w:r>
      <w:r>
        <w:rPr/>
        <w:t>los</w:t>
      </w:r>
      <w:r>
        <w:rPr>
          <w:spacing w:val="-8"/>
        </w:rPr>
        <w:t> </w:t>
      </w:r>
      <w:r>
        <w:rPr/>
        <w:t>siguientes</w:t>
      </w:r>
      <w:r>
        <w:rPr>
          <w:spacing w:val="-7"/>
        </w:rPr>
        <w:t> </w:t>
      </w:r>
      <w:r>
        <w:rPr>
          <w:spacing w:val="-2"/>
        </w:rPr>
        <w:t>criterios:</w:t>
      </w:r>
    </w:p>
    <w:p>
      <w:pPr>
        <w:pStyle w:val="BodyText"/>
      </w:pPr>
    </w:p>
    <w:p>
      <w:pPr>
        <w:pStyle w:val="ListParagraph"/>
        <w:numPr>
          <w:ilvl w:val="0"/>
          <w:numId w:val="123"/>
        </w:numPr>
        <w:tabs>
          <w:tab w:pos="543" w:val="left" w:leader="none"/>
        </w:tabs>
        <w:spacing w:line="240" w:lineRule="auto" w:before="0" w:after="0"/>
        <w:ind w:left="543" w:right="0" w:hanging="281"/>
        <w:jc w:val="both"/>
        <w:rPr>
          <w:sz w:val="20"/>
        </w:rPr>
      </w:pPr>
      <w:r>
        <w:rPr>
          <w:sz w:val="20"/>
        </w:rPr>
        <w:t>Solicitudes</w:t>
      </w:r>
      <w:r>
        <w:rPr>
          <w:spacing w:val="-7"/>
          <w:sz w:val="20"/>
        </w:rPr>
        <w:t> </w:t>
      </w:r>
      <w:r>
        <w:rPr>
          <w:sz w:val="20"/>
        </w:rPr>
        <w:t>de</w:t>
      </w:r>
      <w:r>
        <w:rPr>
          <w:spacing w:val="-11"/>
          <w:sz w:val="20"/>
        </w:rPr>
        <w:t> </w:t>
      </w:r>
      <w:r>
        <w:rPr>
          <w:sz w:val="20"/>
        </w:rPr>
        <w:t>subdivisión</w:t>
      </w:r>
      <w:r>
        <w:rPr>
          <w:spacing w:val="-8"/>
          <w:sz w:val="20"/>
        </w:rPr>
        <w:t> </w:t>
      </w:r>
      <w:r>
        <w:rPr>
          <w:sz w:val="20"/>
        </w:rPr>
        <w:t>de</w:t>
      </w:r>
      <w:r>
        <w:rPr>
          <w:spacing w:val="-10"/>
          <w:sz w:val="20"/>
        </w:rPr>
        <w:t> </w:t>
      </w:r>
      <w:r>
        <w:rPr>
          <w:sz w:val="20"/>
        </w:rPr>
        <w:t>predios</w:t>
      </w:r>
      <w:r>
        <w:rPr>
          <w:spacing w:val="-9"/>
          <w:sz w:val="20"/>
        </w:rPr>
        <w:t> </w:t>
      </w:r>
      <w:r>
        <w:rPr>
          <w:spacing w:val="-2"/>
          <w:sz w:val="20"/>
        </w:rPr>
        <w:t>urbanos:</w:t>
      </w:r>
    </w:p>
    <w:p>
      <w:pPr>
        <w:pStyle w:val="ListParagraph"/>
        <w:numPr>
          <w:ilvl w:val="1"/>
          <w:numId w:val="123"/>
        </w:numPr>
        <w:tabs>
          <w:tab w:pos="544" w:val="left" w:leader="none"/>
        </w:tabs>
        <w:spacing w:line="240" w:lineRule="auto" w:before="229" w:after="0"/>
        <w:ind w:left="262" w:right="280" w:firstLine="0"/>
        <w:jc w:val="both"/>
        <w:rPr>
          <w:sz w:val="20"/>
        </w:rPr>
      </w:pPr>
      <w:r>
        <w:rPr>
          <w:sz w:val="20"/>
        </w:rPr>
        <w:t>Las que se refieran a predios urbanos que requieran la apertura de una o más vías públicas o introducción de</w:t>
      </w:r>
      <w:r>
        <w:rPr>
          <w:spacing w:val="-3"/>
          <w:sz w:val="20"/>
        </w:rPr>
        <w:t> </w:t>
      </w:r>
      <w:r>
        <w:rPr>
          <w:sz w:val="20"/>
        </w:rPr>
        <w:t>servicios</w:t>
      </w:r>
      <w:r>
        <w:rPr>
          <w:spacing w:val="-1"/>
          <w:sz w:val="20"/>
        </w:rPr>
        <w:t> </w:t>
      </w:r>
      <w:r>
        <w:rPr>
          <w:sz w:val="20"/>
        </w:rPr>
        <w:t>urbanos</w:t>
      </w:r>
      <w:r>
        <w:rPr>
          <w:spacing w:val="-1"/>
          <w:sz w:val="20"/>
        </w:rPr>
        <w:t> </w:t>
      </w:r>
      <w:r>
        <w:rPr>
          <w:sz w:val="20"/>
        </w:rPr>
        <w:t>básicos,</w:t>
      </w:r>
      <w:r>
        <w:rPr>
          <w:spacing w:val="-2"/>
          <w:sz w:val="20"/>
        </w:rPr>
        <w:t> </w:t>
      </w:r>
      <w:r>
        <w:rPr>
          <w:sz w:val="20"/>
        </w:rPr>
        <w:t>se</w:t>
      </w:r>
      <w:r>
        <w:rPr>
          <w:spacing w:val="-2"/>
          <w:sz w:val="20"/>
        </w:rPr>
        <w:t> </w:t>
      </w:r>
      <w:r>
        <w:rPr>
          <w:sz w:val="20"/>
        </w:rPr>
        <w:t>les</w:t>
      </w:r>
      <w:r>
        <w:rPr>
          <w:spacing w:val="-1"/>
          <w:sz w:val="20"/>
        </w:rPr>
        <w:t> </w:t>
      </w:r>
      <w:r>
        <w:rPr>
          <w:sz w:val="20"/>
        </w:rPr>
        <w:t>dará el</w:t>
      </w:r>
      <w:r>
        <w:rPr>
          <w:spacing w:val="-3"/>
          <w:sz w:val="20"/>
        </w:rPr>
        <w:t> </w:t>
      </w:r>
      <w:r>
        <w:rPr>
          <w:sz w:val="20"/>
        </w:rPr>
        <w:t>tratamiento</w:t>
      </w:r>
      <w:r>
        <w:rPr>
          <w:spacing w:val="-2"/>
          <w:sz w:val="20"/>
        </w:rPr>
        <w:t> </w:t>
      </w:r>
      <w:r>
        <w:rPr>
          <w:sz w:val="20"/>
        </w:rPr>
        <w:t>y</w:t>
      </w:r>
      <w:r>
        <w:rPr>
          <w:spacing w:val="-1"/>
          <w:sz w:val="20"/>
        </w:rPr>
        <w:t> </w:t>
      </w:r>
      <w:r>
        <w:rPr>
          <w:sz w:val="20"/>
        </w:rPr>
        <w:t>el</w:t>
      </w:r>
      <w:r>
        <w:rPr>
          <w:spacing w:val="-3"/>
          <w:sz w:val="20"/>
        </w:rPr>
        <w:t> </w:t>
      </w:r>
      <w:r>
        <w:rPr>
          <w:sz w:val="20"/>
        </w:rPr>
        <w:t>trámite</w:t>
      </w:r>
      <w:r>
        <w:rPr>
          <w:spacing w:val="-2"/>
          <w:sz w:val="20"/>
        </w:rPr>
        <w:t> </w:t>
      </w:r>
      <w:r>
        <w:rPr>
          <w:sz w:val="20"/>
        </w:rPr>
        <w:t>correspondiente</w:t>
      </w:r>
      <w:r>
        <w:rPr>
          <w:spacing w:val="-2"/>
          <w:sz w:val="20"/>
        </w:rPr>
        <w:t> </w:t>
      </w:r>
      <w:r>
        <w:rPr>
          <w:sz w:val="20"/>
        </w:rPr>
        <w:t>al de los fraccionamientos, excepto cuando éstas se deriven de afectaciones para la realización de obras públicas o las fracciones no se aprovechen para usos habitacionales y no requieran de la introducción de servicios urbanos.</w:t>
      </w:r>
    </w:p>
    <w:p>
      <w:pPr>
        <w:pStyle w:val="BodyText"/>
      </w:pPr>
    </w:p>
    <w:p>
      <w:pPr>
        <w:spacing w:before="1"/>
        <w:ind w:left="262" w:right="0" w:firstLine="0"/>
        <w:jc w:val="both"/>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ind w:left="262" w:right="287"/>
        <w:jc w:val="both"/>
      </w:pPr>
      <w:r>
        <w:rPr/>
        <w:t>Cuando en el alineamiento y número oficial de un predio se determinen afectaciones derivadas de vialidades de interés público, el propietario podrá solicitar la subdivisión correspondiente sin que resulten en la misma más de diez fracciones.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pPr>
    </w:p>
    <w:p>
      <w:pPr>
        <w:pStyle w:val="BodyText"/>
      </w:pPr>
    </w:p>
    <w:p>
      <w:pPr>
        <w:pStyle w:val="BodyText"/>
        <w:spacing w:before="72"/>
      </w:pPr>
    </w:p>
    <w:p>
      <w:pPr>
        <w:spacing w:before="0"/>
        <w:ind w:left="26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spacing w:before="1"/>
        <w:ind w:left="262"/>
      </w:pPr>
      <w:r>
        <w:rPr/>
        <w:t>La subdivisión deberá llevarse a cabo respetando íntegramente las afectaciones señaladas en el alineamiento y número oficial.</w:t>
      </w:r>
    </w:p>
    <w:p>
      <w:pPr>
        <w:pStyle w:val="ListParagraph"/>
        <w:numPr>
          <w:ilvl w:val="1"/>
          <w:numId w:val="123"/>
        </w:numPr>
        <w:tabs>
          <w:tab w:pos="544" w:val="left" w:leader="none"/>
        </w:tabs>
        <w:spacing w:line="240" w:lineRule="auto" w:before="228" w:after="0"/>
        <w:ind w:left="262" w:right="287" w:firstLine="0"/>
        <w:jc w:val="both"/>
        <w:rPr>
          <w:sz w:val="20"/>
        </w:rPr>
      </w:pPr>
      <w:r>
        <w:rPr>
          <w:sz w:val="20"/>
        </w:rPr>
        <w:t>No se autorizará la subdivisión cuando ésta no respete las densidades, así como los usos de suelo de la zona, barrio, colonia o área que establezcan los Programas de Centro de Población respectivos, o a falta de éstos los que esta Ley determina para cada tipo de fraccionamiento.</w:t>
      </w:r>
    </w:p>
    <w:p>
      <w:pPr>
        <w:pStyle w:val="BodyText"/>
      </w:pPr>
    </w:p>
    <w:p>
      <w:pPr>
        <w:pStyle w:val="ListParagraph"/>
        <w:numPr>
          <w:ilvl w:val="1"/>
          <w:numId w:val="123"/>
        </w:numPr>
        <w:tabs>
          <w:tab w:pos="544" w:val="left" w:leader="none"/>
        </w:tabs>
        <w:spacing w:line="240" w:lineRule="auto" w:before="0" w:after="0"/>
        <w:ind w:left="262" w:right="279" w:firstLine="0"/>
        <w:jc w:val="both"/>
        <w:rPr>
          <w:sz w:val="20"/>
        </w:rPr>
      </w:pPr>
      <w:r>
        <w:rPr>
          <w:sz w:val="20"/>
        </w:rPr>
        <w:t>En todos los casos, para uso habitacional unifamiliar popular o de interés social, los frentes y superficies resultantes deberán respetar las densidades que establezcan los programas sociales respectivos,</w:t>
      </w:r>
      <w:r>
        <w:rPr>
          <w:spacing w:val="40"/>
          <w:sz w:val="20"/>
        </w:rPr>
        <w:t> </w:t>
      </w:r>
      <w:r>
        <w:rPr>
          <w:sz w:val="20"/>
        </w:rPr>
        <w:t>en su caso los programas de Centro de Población, o el caso de municipios que no cuenten con ellos, las que establece esta Ley para el tipo de fraccionamiento de que se trate.</w:t>
      </w:r>
    </w:p>
    <w:p>
      <w:pPr>
        <w:pStyle w:val="BodyText"/>
        <w:spacing w:before="2"/>
      </w:pPr>
    </w:p>
    <w:p>
      <w:pPr>
        <w:pStyle w:val="ListParagraph"/>
        <w:numPr>
          <w:ilvl w:val="1"/>
          <w:numId w:val="123"/>
        </w:numPr>
        <w:tabs>
          <w:tab w:pos="544" w:val="left" w:leader="none"/>
        </w:tabs>
        <w:spacing w:line="240" w:lineRule="auto" w:before="0" w:after="0"/>
        <w:ind w:left="262" w:right="287" w:firstLine="0"/>
        <w:jc w:val="both"/>
        <w:rPr>
          <w:sz w:val="20"/>
        </w:rPr>
      </w:pPr>
      <w:r>
        <w:rPr>
          <w:sz w:val="20"/>
        </w:rPr>
        <w:t>En el centro de las ciudades o localidades del Estado, el Ayuntamiento respectivo establecerá los requisitos mínimos para mantener la armonía y la imagen urbana de los centros de población.</w:t>
      </w:r>
    </w:p>
    <w:p>
      <w:pPr>
        <w:pStyle w:val="ListParagraph"/>
        <w:numPr>
          <w:ilvl w:val="1"/>
          <w:numId w:val="123"/>
        </w:numPr>
        <w:tabs>
          <w:tab w:pos="544" w:val="left" w:leader="none"/>
        </w:tabs>
        <w:spacing w:line="240" w:lineRule="auto" w:before="229" w:after="0"/>
        <w:ind w:left="262" w:right="288" w:firstLine="0"/>
        <w:jc w:val="both"/>
        <w:rPr>
          <w:sz w:val="20"/>
        </w:rPr>
      </w:pPr>
      <w:r>
        <w:rPr>
          <w:sz w:val="20"/>
        </w:rPr>
        <w:t>Cuando alguno de los lotes, predios o fracciones de terreno resultado de la subdivisión que se pretende,</w:t>
      </w:r>
      <w:r>
        <w:rPr>
          <w:spacing w:val="-1"/>
          <w:sz w:val="20"/>
        </w:rPr>
        <w:t> </w:t>
      </w:r>
      <w:r>
        <w:rPr>
          <w:sz w:val="20"/>
        </w:rPr>
        <w:t>no</w:t>
      </w:r>
      <w:r>
        <w:rPr>
          <w:spacing w:val="-1"/>
          <w:sz w:val="20"/>
        </w:rPr>
        <w:t> </w:t>
      </w:r>
      <w:r>
        <w:rPr>
          <w:sz w:val="20"/>
        </w:rPr>
        <w:t>tenga</w:t>
      </w:r>
      <w:r>
        <w:rPr>
          <w:spacing w:val="-1"/>
          <w:sz w:val="20"/>
        </w:rPr>
        <w:t> </w:t>
      </w:r>
      <w:r>
        <w:rPr>
          <w:sz w:val="20"/>
        </w:rPr>
        <w:t>acceso</w:t>
      </w:r>
      <w:r>
        <w:rPr>
          <w:spacing w:val="-1"/>
          <w:sz w:val="20"/>
        </w:rPr>
        <w:t> </w:t>
      </w:r>
      <w:r>
        <w:rPr>
          <w:sz w:val="20"/>
        </w:rPr>
        <w:t>directo</w:t>
      </w:r>
      <w:r>
        <w:rPr>
          <w:spacing w:val="-1"/>
          <w:sz w:val="20"/>
        </w:rPr>
        <w:t> </w:t>
      </w:r>
      <w:r>
        <w:rPr>
          <w:sz w:val="20"/>
        </w:rPr>
        <w:t>a</w:t>
      </w:r>
      <w:r>
        <w:rPr>
          <w:spacing w:val="-1"/>
          <w:sz w:val="20"/>
        </w:rPr>
        <w:t> </w:t>
      </w:r>
      <w:r>
        <w:rPr>
          <w:sz w:val="20"/>
        </w:rPr>
        <w:t>una</w:t>
      </w:r>
      <w:r>
        <w:rPr>
          <w:spacing w:val="-1"/>
          <w:sz w:val="20"/>
        </w:rPr>
        <w:t> </w:t>
      </w:r>
      <w:r>
        <w:rPr>
          <w:sz w:val="20"/>
        </w:rPr>
        <w:t>vía</w:t>
      </w:r>
      <w:r>
        <w:rPr>
          <w:spacing w:val="-1"/>
          <w:sz w:val="20"/>
        </w:rPr>
        <w:t> </w:t>
      </w:r>
      <w:r>
        <w:rPr>
          <w:sz w:val="20"/>
        </w:rPr>
        <w:t>pública</w:t>
      </w:r>
      <w:r>
        <w:rPr>
          <w:spacing w:val="-2"/>
          <w:sz w:val="20"/>
        </w:rPr>
        <w:t> </w:t>
      </w:r>
      <w:r>
        <w:rPr>
          <w:sz w:val="20"/>
        </w:rPr>
        <w:t>autorizada,</w:t>
      </w:r>
      <w:r>
        <w:rPr>
          <w:spacing w:val="-2"/>
          <w:sz w:val="20"/>
        </w:rPr>
        <w:t> </w:t>
      </w:r>
      <w:r>
        <w:rPr>
          <w:sz w:val="20"/>
        </w:rPr>
        <w:t>se</w:t>
      </w:r>
      <w:r>
        <w:rPr>
          <w:spacing w:val="-1"/>
          <w:sz w:val="20"/>
        </w:rPr>
        <w:t> </w:t>
      </w:r>
      <w:r>
        <w:rPr>
          <w:sz w:val="20"/>
        </w:rPr>
        <w:t>aplicarán</w:t>
      </w:r>
      <w:r>
        <w:rPr>
          <w:spacing w:val="-1"/>
          <w:sz w:val="20"/>
        </w:rPr>
        <w:t> </w:t>
      </w:r>
      <w:r>
        <w:rPr>
          <w:sz w:val="20"/>
        </w:rPr>
        <w:t>las normas</w:t>
      </w:r>
      <w:r>
        <w:rPr>
          <w:spacing w:val="-1"/>
          <w:sz w:val="20"/>
        </w:rPr>
        <w:t> </w:t>
      </w:r>
      <w:r>
        <w:rPr>
          <w:sz w:val="20"/>
        </w:rPr>
        <w:t>relativas</w:t>
      </w:r>
      <w:r>
        <w:rPr>
          <w:spacing w:val="-1"/>
          <w:sz w:val="20"/>
        </w:rPr>
        <w:t> </w:t>
      </w:r>
      <w:r>
        <w:rPr>
          <w:sz w:val="20"/>
        </w:rPr>
        <w:t>a </w:t>
      </w:r>
      <w:r>
        <w:rPr>
          <w:spacing w:val="-2"/>
          <w:sz w:val="20"/>
        </w:rPr>
        <w:t>fraccionamientos.</w:t>
      </w:r>
    </w:p>
    <w:p>
      <w:pPr>
        <w:pStyle w:val="ListParagraph"/>
        <w:numPr>
          <w:ilvl w:val="1"/>
          <w:numId w:val="123"/>
        </w:numPr>
        <w:tabs>
          <w:tab w:pos="543" w:val="left" w:leader="none"/>
        </w:tabs>
        <w:spacing w:line="240" w:lineRule="auto" w:before="230" w:after="0"/>
        <w:ind w:left="262" w:right="278" w:firstLine="0"/>
        <w:jc w:val="both"/>
        <w:rPr>
          <w:sz w:val="20"/>
        </w:rPr>
      </w:pPr>
      <w:r>
        <w:rPr>
          <w:sz w:val="20"/>
        </w:rPr>
        <w:t>Sólo se autorizarán subdivisiones de predios a los propietarios de los mismos, en los fraccionamientos, colonias o barrios habitacionales urbanos, siempre y cuando no se rebase la densidad de la zona señalado en los programas de Centro de Población municipales o a falta de éstos</w:t>
      </w:r>
      <w:r>
        <w:rPr>
          <w:spacing w:val="-5"/>
          <w:sz w:val="20"/>
        </w:rPr>
        <w:t> </w:t>
      </w:r>
      <w:r>
        <w:rPr>
          <w:sz w:val="20"/>
        </w:rPr>
        <w:t>las</w:t>
      </w:r>
      <w:r>
        <w:rPr>
          <w:spacing w:val="-5"/>
          <w:sz w:val="20"/>
        </w:rPr>
        <w:t> </w:t>
      </w:r>
      <w:r>
        <w:rPr>
          <w:sz w:val="20"/>
        </w:rPr>
        <w:t>que</w:t>
      </w:r>
      <w:r>
        <w:rPr>
          <w:spacing w:val="-4"/>
          <w:sz w:val="20"/>
        </w:rPr>
        <w:t> </w:t>
      </w:r>
      <w:r>
        <w:rPr>
          <w:sz w:val="20"/>
        </w:rPr>
        <w:t>señala</w:t>
      </w:r>
      <w:r>
        <w:rPr>
          <w:spacing w:val="-4"/>
          <w:sz w:val="20"/>
        </w:rPr>
        <w:t> </w:t>
      </w:r>
      <w:r>
        <w:rPr>
          <w:sz w:val="20"/>
        </w:rPr>
        <w:t>esta</w:t>
      </w:r>
      <w:r>
        <w:rPr>
          <w:spacing w:val="-4"/>
          <w:sz w:val="20"/>
        </w:rPr>
        <w:t> </w:t>
      </w:r>
      <w:r>
        <w:rPr>
          <w:sz w:val="20"/>
        </w:rPr>
        <w:t>Ley,</w:t>
      </w:r>
      <w:r>
        <w:rPr>
          <w:spacing w:val="-5"/>
          <w:sz w:val="20"/>
        </w:rPr>
        <w:t> </w:t>
      </w:r>
      <w:r>
        <w:rPr>
          <w:sz w:val="20"/>
        </w:rPr>
        <w:t>ni</w:t>
      </w:r>
      <w:r>
        <w:rPr>
          <w:spacing w:val="-4"/>
          <w:sz w:val="20"/>
        </w:rPr>
        <w:t> </w:t>
      </w:r>
      <w:r>
        <w:rPr>
          <w:sz w:val="20"/>
        </w:rPr>
        <w:t>la</w:t>
      </w:r>
      <w:r>
        <w:rPr>
          <w:spacing w:val="-4"/>
          <w:sz w:val="20"/>
        </w:rPr>
        <w:t> </w:t>
      </w:r>
      <w:r>
        <w:rPr>
          <w:sz w:val="20"/>
        </w:rPr>
        <w:t>capacidad</w:t>
      </w:r>
      <w:r>
        <w:rPr>
          <w:spacing w:val="-3"/>
          <w:sz w:val="20"/>
        </w:rPr>
        <w:t> </w:t>
      </w:r>
      <w:r>
        <w:rPr>
          <w:sz w:val="20"/>
        </w:rPr>
        <w:t>instalada</w:t>
      </w:r>
      <w:r>
        <w:rPr>
          <w:spacing w:val="-6"/>
          <w:sz w:val="20"/>
        </w:rPr>
        <w:t> </w:t>
      </w:r>
      <w:r>
        <w:rPr>
          <w:sz w:val="20"/>
        </w:rPr>
        <w:t>en</w:t>
      </w:r>
      <w:r>
        <w:rPr>
          <w:spacing w:val="-6"/>
          <w:sz w:val="20"/>
        </w:rPr>
        <w:t> </w:t>
      </w:r>
      <w:r>
        <w:rPr>
          <w:sz w:val="20"/>
        </w:rPr>
        <w:t>cuanto</w:t>
      </w:r>
      <w:r>
        <w:rPr>
          <w:spacing w:val="-4"/>
          <w:sz w:val="20"/>
        </w:rPr>
        <w:t> </w:t>
      </w:r>
      <w:r>
        <w:rPr>
          <w:sz w:val="20"/>
        </w:rPr>
        <w:t>al</w:t>
      </w:r>
      <w:r>
        <w:rPr>
          <w:spacing w:val="-4"/>
          <w:sz w:val="20"/>
        </w:rPr>
        <w:t> </w:t>
      </w:r>
      <w:r>
        <w:rPr>
          <w:sz w:val="20"/>
        </w:rPr>
        <w:t>equipamiento</w:t>
      </w:r>
      <w:r>
        <w:rPr>
          <w:spacing w:val="-6"/>
          <w:sz w:val="20"/>
        </w:rPr>
        <w:t> </w:t>
      </w:r>
      <w:r>
        <w:rPr>
          <w:sz w:val="20"/>
        </w:rPr>
        <w:t>e</w:t>
      </w:r>
      <w:r>
        <w:rPr>
          <w:spacing w:val="-4"/>
          <w:sz w:val="20"/>
        </w:rPr>
        <w:t> </w:t>
      </w:r>
      <w:r>
        <w:rPr>
          <w:sz w:val="20"/>
        </w:rPr>
        <w:t>infraestructura existentes de las redes de agua potable, alcantarillado y electricidad, a menos que el solicitante realice</w:t>
      </w:r>
      <w:r>
        <w:rPr>
          <w:spacing w:val="-3"/>
          <w:sz w:val="20"/>
        </w:rPr>
        <w:t> </w:t>
      </w:r>
      <w:r>
        <w:rPr>
          <w:sz w:val="20"/>
        </w:rPr>
        <w:t>a</w:t>
      </w:r>
      <w:r>
        <w:rPr>
          <w:spacing w:val="-4"/>
          <w:sz w:val="20"/>
        </w:rPr>
        <w:t> </w:t>
      </w:r>
      <w:r>
        <w:rPr>
          <w:sz w:val="20"/>
        </w:rPr>
        <w:t>su</w:t>
      </w:r>
      <w:r>
        <w:rPr>
          <w:spacing w:val="-1"/>
          <w:sz w:val="20"/>
        </w:rPr>
        <w:t> </w:t>
      </w:r>
      <w:r>
        <w:rPr>
          <w:sz w:val="20"/>
        </w:rPr>
        <w:t>costa</w:t>
      </w:r>
      <w:r>
        <w:rPr>
          <w:spacing w:val="-4"/>
          <w:sz w:val="20"/>
        </w:rPr>
        <w:t> </w:t>
      </w:r>
      <w:r>
        <w:rPr>
          <w:sz w:val="20"/>
        </w:rPr>
        <w:t>el</w:t>
      </w:r>
      <w:r>
        <w:rPr>
          <w:spacing w:val="-4"/>
          <w:sz w:val="20"/>
        </w:rPr>
        <w:t> </w:t>
      </w:r>
      <w:r>
        <w:rPr>
          <w:sz w:val="20"/>
        </w:rPr>
        <w:t>equipamiento</w:t>
      </w:r>
      <w:r>
        <w:rPr>
          <w:spacing w:val="-2"/>
          <w:sz w:val="20"/>
        </w:rPr>
        <w:t> </w:t>
      </w:r>
      <w:r>
        <w:rPr>
          <w:sz w:val="20"/>
        </w:rPr>
        <w:t>e</w:t>
      </w:r>
      <w:r>
        <w:rPr>
          <w:spacing w:val="-3"/>
          <w:sz w:val="20"/>
        </w:rPr>
        <w:t> </w:t>
      </w:r>
      <w:r>
        <w:rPr>
          <w:sz w:val="20"/>
        </w:rPr>
        <w:t>infraestructura</w:t>
      </w:r>
      <w:r>
        <w:rPr>
          <w:spacing w:val="-3"/>
          <w:sz w:val="20"/>
        </w:rPr>
        <w:t> </w:t>
      </w:r>
      <w:r>
        <w:rPr>
          <w:sz w:val="20"/>
        </w:rPr>
        <w:t>que</w:t>
      </w:r>
      <w:r>
        <w:rPr>
          <w:spacing w:val="-3"/>
          <w:sz w:val="20"/>
        </w:rPr>
        <w:t> </w:t>
      </w:r>
      <w:r>
        <w:rPr>
          <w:sz w:val="20"/>
        </w:rPr>
        <w:t>se</w:t>
      </w:r>
      <w:r>
        <w:rPr>
          <w:spacing w:val="-3"/>
          <w:sz w:val="20"/>
        </w:rPr>
        <w:t> </w:t>
      </w:r>
      <w:r>
        <w:rPr>
          <w:sz w:val="20"/>
        </w:rPr>
        <w:t>requiera</w:t>
      </w:r>
      <w:r>
        <w:rPr>
          <w:spacing w:val="-3"/>
          <w:sz w:val="20"/>
        </w:rPr>
        <w:t> </w:t>
      </w:r>
      <w:r>
        <w:rPr>
          <w:sz w:val="20"/>
        </w:rPr>
        <w:t>para</w:t>
      </w:r>
      <w:r>
        <w:rPr>
          <w:spacing w:val="-3"/>
          <w:sz w:val="20"/>
        </w:rPr>
        <w:t> </w:t>
      </w:r>
      <w:r>
        <w:rPr>
          <w:sz w:val="20"/>
        </w:rPr>
        <w:t>tal</w:t>
      </w:r>
      <w:r>
        <w:rPr>
          <w:spacing w:val="-4"/>
          <w:sz w:val="20"/>
        </w:rPr>
        <w:t> </w:t>
      </w:r>
      <w:r>
        <w:rPr>
          <w:sz w:val="20"/>
        </w:rPr>
        <w:t>efecto,</w:t>
      </w:r>
      <w:r>
        <w:rPr>
          <w:spacing w:val="-3"/>
          <w:sz w:val="20"/>
        </w:rPr>
        <w:t> </w:t>
      </w:r>
      <w:r>
        <w:rPr>
          <w:sz w:val="20"/>
        </w:rPr>
        <w:t>cuestión</w:t>
      </w:r>
      <w:r>
        <w:rPr>
          <w:spacing w:val="-2"/>
          <w:sz w:val="20"/>
        </w:rPr>
        <w:t> </w:t>
      </w:r>
      <w:r>
        <w:rPr>
          <w:sz w:val="20"/>
        </w:rPr>
        <w:t>que</w:t>
      </w:r>
      <w:r>
        <w:rPr>
          <w:spacing w:val="-1"/>
          <w:sz w:val="20"/>
        </w:rPr>
        <w:t> </w:t>
      </w:r>
      <w:r>
        <w:rPr>
          <w:sz w:val="20"/>
        </w:rPr>
        <w:t>en su caso tendrá que fundar y motivar la autoridad municipal;</w:t>
      </w:r>
    </w:p>
    <w:p>
      <w:pPr>
        <w:pStyle w:val="BodyText"/>
        <w:spacing w:before="1"/>
      </w:pPr>
    </w:p>
    <w:p>
      <w:pPr>
        <w:pStyle w:val="ListParagraph"/>
        <w:numPr>
          <w:ilvl w:val="0"/>
          <w:numId w:val="123"/>
        </w:numPr>
        <w:tabs>
          <w:tab w:pos="543" w:val="left" w:leader="none"/>
        </w:tabs>
        <w:spacing w:line="240" w:lineRule="auto" w:before="0" w:after="0"/>
        <w:ind w:left="543" w:right="0" w:hanging="281"/>
        <w:jc w:val="both"/>
        <w:rPr>
          <w:sz w:val="20"/>
        </w:rPr>
      </w:pPr>
      <w:r>
        <w:rPr>
          <w:sz w:val="20"/>
        </w:rPr>
        <w:t>Solicitudes</w:t>
      </w:r>
      <w:r>
        <w:rPr>
          <w:spacing w:val="-7"/>
          <w:sz w:val="20"/>
        </w:rPr>
        <w:t> </w:t>
      </w:r>
      <w:r>
        <w:rPr>
          <w:sz w:val="20"/>
        </w:rPr>
        <w:t>de</w:t>
      </w:r>
      <w:r>
        <w:rPr>
          <w:spacing w:val="-11"/>
          <w:sz w:val="20"/>
        </w:rPr>
        <w:t> </w:t>
      </w:r>
      <w:r>
        <w:rPr>
          <w:sz w:val="20"/>
        </w:rPr>
        <w:t>subdivisión</w:t>
      </w:r>
      <w:r>
        <w:rPr>
          <w:spacing w:val="-8"/>
          <w:sz w:val="20"/>
        </w:rPr>
        <w:t> </w:t>
      </w:r>
      <w:r>
        <w:rPr>
          <w:sz w:val="20"/>
        </w:rPr>
        <w:t>de</w:t>
      </w:r>
      <w:r>
        <w:rPr>
          <w:spacing w:val="-10"/>
          <w:sz w:val="20"/>
        </w:rPr>
        <w:t> </w:t>
      </w:r>
      <w:r>
        <w:rPr>
          <w:sz w:val="20"/>
        </w:rPr>
        <w:t>predios</w:t>
      </w:r>
      <w:r>
        <w:rPr>
          <w:spacing w:val="-9"/>
          <w:sz w:val="20"/>
        </w:rPr>
        <w:t> </w:t>
      </w:r>
      <w:r>
        <w:rPr>
          <w:spacing w:val="-2"/>
          <w:sz w:val="20"/>
        </w:rPr>
        <w:t>rústicos:</w:t>
      </w:r>
    </w:p>
    <w:p>
      <w:pPr>
        <w:pStyle w:val="BodyText"/>
        <w:spacing w:before="1"/>
      </w:pPr>
    </w:p>
    <w:p>
      <w:pPr>
        <w:pStyle w:val="ListParagraph"/>
        <w:numPr>
          <w:ilvl w:val="1"/>
          <w:numId w:val="123"/>
        </w:numPr>
        <w:tabs>
          <w:tab w:pos="544" w:val="left" w:leader="none"/>
        </w:tabs>
        <w:spacing w:line="240" w:lineRule="auto" w:before="0" w:after="0"/>
        <w:ind w:left="262" w:right="278" w:firstLine="0"/>
        <w:jc w:val="both"/>
        <w:rPr>
          <w:sz w:val="20"/>
        </w:rPr>
      </w:pPr>
      <w:r>
        <w:rPr>
          <w:sz w:val="20"/>
        </w:rPr>
        <w:t>Las fracciones resultantes en zonas no urbanizables, serán como mínimo de 10,000 metros cuadrados de superficie siempre y cuando exista una servidumbre o camino parcelario que de acceso</w:t>
      </w:r>
      <w:r>
        <w:rPr>
          <w:spacing w:val="-7"/>
          <w:sz w:val="20"/>
        </w:rPr>
        <w:t> </w:t>
      </w:r>
      <w:r>
        <w:rPr>
          <w:sz w:val="20"/>
        </w:rPr>
        <w:t>a</w:t>
      </w:r>
      <w:r>
        <w:rPr>
          <w:spacing w:val="-7"/>
          <w:sz w:val="20"/>
        </w:rPr>
        <w:t> </w:t>
      </w:r>
      <w:r>
        <w:rPr>
          <w:sz w:val="20"/>
        </w:rPr>
        <w:t>ambos</w:t>
      </w:r>
      <w:r>
        <w:rPr>
          <w:spacing w:val="-5"/>
          <w:sz w:val="20"/>
        </w:rPr>
        <w:t> </w:t>
      </w:r>
      <w:r>
        <w:rPr>
          <w:sz w:val="20"/>
        </w:rPr>
        <w:t>predios</w:t>
      </w:r>
      <w:r>
        <w:rPr>
          <w:spacing w:val="-6"/>
          <w:sz w:val="20"/>
        </w:rPr>
        <w:t> </w:t>
      </w:r>
      <w:r>
        <w:rPr>
          <w:sz w:val="20"/>
        </w:rPr>
        <w:t>registrado</w:t>
      </w:r>
      <w:r>
        <w:rPr>
          <w:spacing w:val="-5"/>
          <w:sz w:val="20"/>
        </w:rPr>
        <w:t> </w:t>
      </w:r>
      <w:r>
        <w:rPr>
          <w:sz w:val="20"/>
        </w:rPr>
        <w:t>ante</w:t>
      </w:r>
      <w:r>
        <w:rPr>
          <w:spacing w:val="-7"/>
          <w:sz w:val="20"/>
        </w:rPr>
        <w:t> </w:t>
      </w:r>
      <w:r>
        <w:rPr>
          <w:sz w:val="20"/>
        </w:rPr>
        <w:t>la</w:t>
      </w:r>
      <w:r>
        <w:rPr>
          <w:spacing w:val="-7"/>
          <w:sz w:val="20"/>
        </w:rPr>
        <w:t> </w:t>
      </w:r>
      <w:r>
        <w:rPr>
          <w:sz w:val="20"/>
        </w:rPr>
        <w:t>autoridad</w:t>
      </w:r>
      <w:r>
        <w:rPr>
          <w:spacing w:val="-7"/>
          <w:sz w:val="20"/>
        </w:rPr>
        <w:t> </w:t>
      </w:r>
      <w:r>
        <w:rPr>
          <w:sz w:val="20"/>
        </w:rPr>
        <w:t>competente,</w:t>
      </w:r>
      <w:r>
        <w:rPr>
          <w:spacing w:val="-7"/>
          <w:sz w:val="20"/>
        </w:rPr>
        <w:t> </w:t>
      </w:r>
      <w:r>
        <w:rPr>
          <w:sz w:val="20"/>
        </w:rPr>
        <w:t>debiendo</w:t>
      </w:r>
      <w:r>
        <w:rPr>
          <w:spacing w:val="-5"/>
          <w:sz w:val="20"/>
        </w:rPr>
        <w:t> </w:t>
      </w:r>
      <w:r>
        <w:rPr>
          <w:sz w:val="20"/>
        </w:rPr>
        <w:t>incluir</w:t>
      </w:r>
      <w:r>
        <w:rPr>
          <w:spacing w:val="-3"/>
          <w:sz w:val="20"/>
        </w:rPr>
        <w:t> </w:t>
      </w:r>
      <w:r>
        <w:rPr>
          <w:sz w:val="20"/>
        </w:rPr>
        <w:t>un</w:t>
      </w:r>
      <w:r>
        <w:rPr>
          <w:spacing w:val="-7"/>
          <w:sz w:val="20"/>
        </w:rPr>
        <w:t> </w:t>
      </w:r>
      <w:r>
        <w:rPr>
          <w:sz w:val="20"/>
        </w:rPr>
        <w:t>levantamiento topográfico que indique las características del camino y su ubicación. Las fracciones podrán ser menores siempre y cuando las mismas sean resultado de partición de herencia o copropiedad.</w:t>
      </w:r>
    </w:p>
    <w:p>
      <w:pPr>
        <w:pStyle w:val="BodyText"/>
      </w:pPr>
    </w:p>
    <w:p>
      <w:pPr>
        <w:pStyle w:val="ListParagraph"/>
        <w:numPr>
          <w:ilvl w:val="1"/>
          <w:numId w:val="123"/>
        </w:numPr>
        <w:tabs>
          <w:tab w:pos="544" w:val="left" w:leader="none"/>
        </w:tabs>
        <w:spacing w:line="240" w:lineRule="auto" w:before="0" w:after="0"/>
        <w:ind w:left="262" w:right="279" w:firstLine="0"/>
        <w:jc w:val="both"/>
        <w:rPr>
          <w:sz w:val="20"/>
        </w:rPr>
      </w:pPr>
      <w:r>
        <w:rPr>
          <w:sz w:val="20"/>
        </w:rPr>
        <w:t>En</w:t>
      </w:r>
      <w:r>
        <w:rPr>
          <w:spacing w:val="-7"/>
          <w:sz w:val="20"/>
        </w:rPr>
        <w:t> </w:t>
      </w:r>
      <w:r>
        <w:rPr>
          <w:sz w:val="20"/>
        </w:rPr>
        <w:t>predios</w:t>
      </w:r>
      <w:r>
        <w:rPr>
          <w:spacing w:val="-8"/>
          <w:sz w:val="20"/>
        </w:rPr>
        <w:t> </w:t>
      </w:r>
      <w:r>
        <w:rPr>
          <w:sz w:val="20"/>
        </w:rPr>
        <w:t>rústicos</w:t>
      </w:r>
      <w:r>
        <w:rPr>
          <w:spacing w:val="-6"/>
          <w:sz w:val="20"/>
        </w:rPr>
        <w:t> </w:t>
      </w:r>
      <w:r>
        <w:rPr>
          <w:sz w:val="20"/>
        </w:rPr>
        <w:t>ubicados</w:t>
      </w:r>
      <w:r>
        <w:rPr>
          <w:spacing w:val="-8"/>
          <w:sz w:val="20"/>
        </w:rPr>
        <w:t> </w:t>
      </w:r>
      <w:r>
        <w:rPr>
          <w:sz w:val="20"/>
        </w:rPr>
        <w:t>en</w:t>
      </w:r>
      <w:r>
        <w:rPr>
          <w:spacing w:val="-9"/>
          <w:sz w:val="20"/>
        </w:rPr>
        <w:t> </w:t>
      </w:r>
      <w:r>
        <w:rPr>
          <w:sz w:val="20"/>
        </w:rPr>
        <w:t>zonas</w:t>
      </w:r>
      <w:r>
        <w:rPr>
          <w:spacing w:val="-8"/>
          <w:sz w:val="20"/>
        </w:rPr>
        <w:t> </w:t>
      </w:r>
      <w:r>
        <w:rPr>
          <w:sz w:val="20"/>
        </w:rPr>
        <w:t>urbanizables,</w:t>
      </w:r>
      <w:r>
        <w:rPr>
          <w:spacing w:val="-7"/>
          <w:sz w:val="20"/>
        </w:rPr>
        <w:t> </w:t>
      </w:r>
      <w:r>
        <w:rPr>
          <w:sz w:val="20"/>
        </w:rPr>
        <w:t>se</w:t>
      </w:r>
      <w:r>
        <w:rPr>
          <w:spacing w:val="-9"/>
          <w:sz w:val="20"/>
        </w:rPr>
        <w:t> </w:t>
      </w:r>
      <w:r>
        <w:rPr>
          <w:sz w:val="20"/>
        </w:rPr>
        <w:t>autorizarán</w:t>
      </w:r>
      <w:r>
        <w:rPr>
          <w:spacing w:val="-9"/>
          <w:sz w:val="20"/>
        </w:rPr>
        <w:t> </w:t>
      </w:r>
      <w:r>
        <w:rPr>
          <w:sz w:val="20"/>
        </w:rPr>
        <w:t>siempre</w:t>
      </w:r>
      <w:r>
        <w:rPr>
          <w:spacing w:val="-7"/>
          <w:sz w:val="20"/>
        </w:rPr>
        <w:t> </w:t>
      </w:r>
      <w:r>
        <w:rPr>
          <w:sz w:val="20"/>
        </w:rPr>
        <w:t>y</w:t>
      </w:r>
      <w:r>
        <w:rPr>
          <w:spacing w:val="-8"/>
          <w:sz w:val="20"/>
        </w:rPr>
        <w:t> </w:t>
      </w:r>
      <w:r>
        <w:rPr>
          <w:sz w:val="20"/>
        </w:rPr>
        <w:t>cuando</w:t>
      </w:r>
      <w:r>
        <w:rPr>
          <w:spacing w:val="-7"/>
          <w:sz w:val="20"/>
        </w:rPr>
        <w:t> </w:t>
      </w:r>
      <w:r>
        <w:rPr>
          <w:sz w:val="20"/>
        </w:rPr>
        <w:t>exista</w:t>
      </w:r>
      <w:r>
        <w:rPr>
          <w:spacing w:val="-7"/>
          <w:sz w:val="20"/>
        </w:rPr>
        <w:t> </w:t>
      </w:r>
      <w:r>
        <w:rPr>
          <w:sz w:val="20"/>
        </w:rPr>
        <w:t>una servidumbre o camino parcelario que de acceso a todos los predios producto de la subdivisión, registrado ante la autoridad competente, debiendo incluir un levantamiento topográfico que indique las características del camino y su ubicación y el porcentaje de construcción máxima para fines habitacionales</w:t>
      </w:r>
      <w:r>
        <w:rPr>
          <w:spacing w:val="-3"/>
          <w:sz w:val="20"/>
        </w:rPr>
        <w:t> </w:t>
      </w:r>
      <w:r>
        <w:rPr>
          <w:sz w:val="20"/>
        </w:rPr>
        <w:t>no</w:t>
      </w:r>
      <w:r>
        <w:rPr>
          <w:spacing w:val="-4"/>
          <w:sz w:val="20"/>
        </w:rPr>
        <w:t> </w:t>
      </w:r>
      <w:r>
        <w:rPr>
          <w:sz w:val="20"/>
        </w:rPr>
        <w:t>deberá</w:t>
      </w:r>
      <w:r>
        <w:rPr>
          <w:spacing w:val="-1"/>
          <w:sz w:val="20"/>
        </w:rPr>
        <w:t> </w:t>
      </w:r>
      <w:r>
        <w:rPr>
          <w:sz w:val="20"/>
        </w:rPr>
        <w:t>ser</w:t>
      </w:r>
      <w:r>
        <w:rPr>
          <w:spacing w:val="-4"/>
          <w:sz w:val="20"/>
        </w:rPr>
        <w:t> </w:t>
      </w:r>
      <w:r>
        <w:rPr>
          <w:sz w:val="20"/>
        </w:rPr>
        <w:t>mayor</w:t>
      </w:r>
      <w:r>
        <w:rPr>
          <w:spacing w:val="-4"/>
          <w:sz w:val="20"/>
        </w:rPr>
        <w:t> </w:t>
      </w:r>
      <w:r>
        <w:rPr>
          <w:sz w:val="20"/>
        </w:rPr>
        <w:t>del</w:t>
      </w:r>
      <w:r>
        <w:rPr>
          <w:spacing w:val="-3"/>
          <w:sz w:val="20"/>
        </w:rPr>
        <w:t> </w:t>
      </w:r>
      <w:r>
        <w:rPr>
          <w:sz w:val="20"/>
        </w:rPr>
        <w:t>quince</w:t>
      </w:r>
      <w:r>
        <w:rPr>
          <w:spacing w:val="-2"/>
          <w:sz w:val="20"/>
        </w:rPr>
        <w:t> </w:t>
      </w:r>
      <w:r>
        <w:rPr>
          <w:sz w:val="20"/>
        </w:rPr>
        <w:t>por</w:t>
      </w:r>
      <w:r>
        <w:rPr>
          <w:spacing w:val="-3"/>
          <w:sz w:val="20"/>
        </w:rPr>
        <w:t> </w:t>
      </w:r>
      <w:r>
        <w:rPr>
          <w:sz w:val="20"/>
        </w:rPr>
        <w:t>ciento,</w:t>
      </w:r>
      <w:r>
        <w:rPr>
          <w:spacing w:val="-4"/>
          <w:sz w:val="20"/>
        </w:rPr>
        <w:t> </w:t>
      </w:r>
      <w:r>
        <w:rPr>
          <w:sz w:val="20"/>
        </w:rPr>
        <w:t>con</w:t>
      </w:r>
      <w:r>
        <w:rPr>
          <w:spacing w:val="-4"/>
          <w:sz w:val="20"/>
        </w:rPr>
        <w:t> </w:t>
      </w:r>
      <w:r>
        <w:rPr>
          <w:sz w:val="20"/>
        </w:rPr>
        <w:t>base</w:t>
      </w:r>
      <w:r>
        <w:rPr>
          <w:spacing w:val="-4"/>
          <w:sz w:val="20"/>
        </w:rPr>
        <w:t> </w:t>
      </w:r>
      <w:r>
        <w:rPr>
          <w:sz w:val="20"/>
        </w:rPr>
        <w:t>en</w:t>
      </w:r>
      <w:r>
        <w:rPr>
          <w:spacing w:val="-2"/>
          <w:sz w:val="20"/>
        </w:rPr>
        <w:t> </w:t>
      </w:r>
      <w:r>
        <w:rPr>
          <w:sz w:val="20"/>
        </w:rPr>
        <w:t>los</w:t>
      </w:r>
      <w:r>
        <w:rPr>
          <w:spacing w:val="-3"/>
          <w:sz w:val="20"/>
        </w:rPr>
        <w:t> </w:t>
      </w:r>
      <w:r>
        <w:rPr>
          <w:sz w:val="20"/>
        </w:rPr>
        <w:t>programas</w:t>
      </w:r>
      <w:r>
        <w:rPr>
          <w:spacing w:val="-3"/>
          <w:sz w:val="20"/>
        </w:rPr>
        <w:t> </w:t>
      </w:r>
      <w:r>
        <w:rPr>
          <w:sz w:val="20"/>
        </w:rPr>
        <w:t>de</w:t>
      </w:r>
      <w:r>
        <w:rPr>
          <w:spacing w:val="-2"/>
          <w:sz w:val="20"/>
        </w:rPr>
        <w:t> </w:t>
      </w:r>
      <w:r>
        <w:rPr>
          <w:sz w:val="20"/>
        </w:rPr>
        <w:t>desarrollo urbano y ordenamiento territorial aplicables.</w:t>
      </w:r>
    </w:p>
    <w:p>
      <w:pPr>
        <w:pStyle w:val="ListParagraph"/>
        <w:numPr>
          <w:ilvl w:val="1"/>
          <w:numId w:val="123"/>
        </w:numPr>
        <w:tabs>
          <w:tab w:pos="544" w:val="left" w:leader="none"/>
        </w:tabs>
        <w:spacing w:line="240" w:lineRule="auto" w:before="229" w:after="0"/>
        <w:ind w:left="262" w:right="285" w:firstLine="0"/>
        <w:jc w:val="both"/>
        <w:rPr>
          <w:sz w:val="20"/>
        </w:rPr>
      </w:pPr>
      <w:r>
        <w:rPr>
          <w:sz w:val="20"/>
        </w:rPr>
        <w:t>Sólo</w:t>
      </w:r>
      <w:r>
        <w:rPr>
          <w:spacing w:val="-9"/>
          <w:sz w:val="20"/>
        </w:rPr>
        <w:t> </w:t>
      </w:r>
      <w:r>
        <w:rPr>
          <w:sz w:val="20"/>
        </w:rPr>
        <w:t>se</w:t>
      </w:r>
      <w:r>
        <w:rPr>
          <w:spacing w:val="-9"/>
          <w:sz w:val="20"/>
        </w:rPr>
        <w:t> </w:t>
      </w:r>
      <w:r>
        <w:rPr>
          <w:sz w:val="20"/>
        </w:rPr>
        <w:t>permitirá</w:t>
      </w:r>
      <w:r>
        <w:rPr>
          <w:spacing w:val="-7"/>
          <w:sz w:val="20"/>
        </w:rPr>
        <w:t> </w:t>
      </w:r>
      <w:r>
        <w:rPr>
          <w:sz w:val="20"/>
        </w:rPr>
        <w:t>la</w:t>
      </w:r>
      <w:r>
        <w:rPr>
          <w:spacing w:val="-9"/>
          <w:sz w:val="20"/>
        </w:rPr>
        <w:t> </w:t>
      </w:r>
      <w:r>
        <w:rPr>
          <w:sz w:val="20"/>
        </w:rPr>
        <w:t>construcción</w:t>
      </w:r>
      <w:r>
        <w:rPr>
          <w:spacing w:val="-9"/>
          <w:sz w:val="20"/>
        </w:rPr>
        <w:t> </w:t>
      </w:r>
      <w:r>
        <w:rPr>
          <w:sz w:val="20"/>
        </w:rPr>
        <w:t>relacionada</w:t>
      </w:r>
      <w:r>
        <w:rPr>
          <w:spacing w:val="-9"/>
          <w:sz w:val="20"/>
        </w:rPr>
        <w:t> </w:t>
      </w:r>
      <w:r>
        <w:rPr>
          <w:sz w:val="20"/>
        </w:rPr>
        <w:t>con</w:t>
      </w:r>
      <w:r>
        <w:rPr>
          <w:spacing w:val="-9"/>
          <w:sz w:val="20"/>
        </w:rPr>
        <w:t> </w:t>
      </w:r>
      <w:r>
        <w:rPr>
          <w:sz w:val="20"/>
        </w:rPr>
        <w:t>el</w:t>
      </w:r>
      <w:r>
        <w:rPr>
          <w:spacing w:val="-10"/>
          <w:sz w:val="20"/>
        </w:rPr>
        <w:t> </w:t>
      </w:r>
      <w:r>
        <w:rPr>
          <w:sz w:val="20"/>
        </w:rPr>
        <w:t>uso</w:t>
      </w:r>
      <w:r>
        <w:rPr>
          <w:spacing w:val="-9"/>
          <w:sz w:val="20"/>
        </w:rPr>
        <w:t> </w:t>
      </w:r>
      <w:r>
        <w:rPr>
          <w:sz w:val="20"/>
        </w:rPr>
        <w:t>de</w:t>
      </w:r>
      <w:r>
        <w:rPr>
          <w:spacing w:val="-9"/>
          <w:sz w:val="20"/>
        </w:rPr>
        <w:t> </w:t>
      </w:r>
      <w:r>
        <w:rPr>
          <w:sz w:val="20"/>
        </w:rPr>
        <w:t>suelo</w:t>
      </w:r>
      <w:r>
        <w:rPr>
          <w:spacing w:val="-7"/>
          <w:sz w:val="20"/>
        </w:rPr>
        <w:t> </w:t>
      </w:r>
      <w:r>
        <w:rPr>
          <w:sz w:val="20"/>
        </w:rPr>
        <w:t>autorizado,</w:t>
      </w:r>
      <w:r>
        <w:rPr>
          <w:spacing w:val="-9"/>
          <w:sz w:val="20"/>
        </w:rPr>
        <w:t> </w:t>
      </w:r>
      <w:r>
        <w:rPr>
          <w:sz w:val="20"/>
        </w:rPr>
        <w:t>con</w:t>
      </w:r>
      <w:r>
        <w:rPr>
          <w:spacing w:val="-7"/>
          <w:sz w:val="20"/>
        </w:rPr>
        <w:t> </w:t>
      </w:r>
      <w:r>
        <w:rPr>
          <w:sz w:val="20"/>
        </w:rPr>
        <w:t>los</w:t>
      </w:r>
      <w:r>
        <w:rPr>
          <w:spacing w:val="-8"/>
          <w:sz w:val="20"/>
        </w:rPr>
        <w:t> </w:t>
      </w:r>
      <w:r>
        <w:rPr>
          <w:sz w:val="20"/>
        </w:rPr>
        <w:t>coeficientes de ocupación y de utilización y de población, aprobados en los programa de desarrollo urbano y ordenamiento territorial</w:t>
      </w:r>
      <w:r>
        <w:rPr>
          <w:spacing w:val="40"/>
          <w:sz w:val="20"/>
        </w:rPr>
        <w:t> </w:t>
      </w:r>
      <w:r>
        <w:rPr>
          <w:sz w:val="20"/>
        </w:rPr>
        <w:t>correspondientes.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23"/>
        </w:numPr>
        <w:tabs>
          <w:tab w:pos="548" w:val="left" w:leader="none"/>
        </w:tabs>
        <w:spacing w:line="240" w:lineRule="auto" w:before="0" w:after="0"/>
        <w:ind w:left="262" w:right="280" w:firstLine="0"/>
        <w:jc w:val="both"/>
        <w:rPr>
          <w:sz w:val="20"/>
        </w:rPr>
      </w:pPr>
      <w:r>
        <w:rPr>
          <w:sz w:val="20"/>
        </w:rPr>
        <w:t>El porcentaje de construcción máxima para fines habitacionales no deberá ser mayor del ocho por</w:t>
      </w:r>
      <w:r>
        <w:rPr>
          <w:spacing w:val="-10"/>
          <w:sz w:val="20"/>
        </w:rPr>
        <w:t> </w:t>
      </w:r>
      <w:r>
        <w:rPr>
          <w:sz w:val="20"/>
        </w:rPr>
        <w:t>ciento</w:t>
      </w:r>
      <w:r>
        <w:rPr>
          <w:spacing w:val="-12"/>
          <w:sz w:val="20"/>
        </w:rPr>
        <w:t> </w:t>
      </w:r>
      <w:r>
        <w:rPr>
          <w:sz w:val="20"/>
        </w:rPr>
        <w:t>de</w:t>
      </w:r>
      <w:r>
        <w:rPr>
          <w:spacing w:val="-11"/>
          <w:sz w:val="20"/>
        </w:rPr>
        <w:t> </w:t>
      </w:r>
      <w:r>
        <w:rPr>
          <w:sz w:val="20"/>
        </w:rPr>
        <w:t>la</w:t>
      </w:r>
      <w:r>
        <w:rPr>
          <w:spacing w:val="-11"/>
          <w:sz w:val="20"/>
        </w:rPr>
        <w:t> </w:t>
      </w:r>
      <w:r>
        <w:rPr>
          <w:sz w:val="20"/>
        </w:rPr>
        <w:t>superficie</w:t>
      </w:r>
      <w:r>
        <w:rPr>
          <w:spacing w:val="-9"/>
          <w:sz w:val="20"/>
        </w:rPr>
        <w:t> </w:t>
      </w:r>
      <w:r>
        <w:rPr>
          <w:sz w:val="20"/>
        </w:rPr>
        <w:t>de</w:t>
      </w:r>
      <w:r>
        <w:rPr>
          <w:spacing w:val="-11"/>
          <w:sz w:val="20"/>
        </w:rPr>
        <w:t> </w:t>
      </w:r>
      <w:r>
        <w:rPr>
          <w:sz w:val="20"/>
        </w:rPr>
        <w:t>cada</w:t>
      </w:r>
      <w:r>
        <w:rPr>
          <w:spacing w:val="-11"/>
          <w:sz w:val="20"/>
        </w:rPr>
        <w:t> </w:t>
      </w:r>
      <w:r>
        <w:rPr>
          <w:sz w:val="20"/>
        </w:rPr>
        <w:t>fracción,</w:t>
      </w:r>
      <w:r>
        <w:rPr>
          <w:spacing w:val="-11"/>
          <w:sz w:val="20"/>
        </w:rPr>
        <w:t> </w:t>
      </w:r>
      <w:r>
        <w:rPr>
          <w:sz w:val="20"/>
        </w:rPr>
        <w:t>con</w:t>
      </w:r>
      <w:r>
        <w:rPr>
          <w:spacing w:val="-11"/>
          <w:sz w:val="20"/>
        </w:rPr>
        <w:t> </w:t>
      </w:r>
      <w:r>
        <w:rPr>
          <w:sz w:val="20"/>
        </w:rPr>
        <w:t>una</w:t>
      </w:r>
      <w:r>
        <w:rPr>
          <w:spacing w:val="-11"/>
          <w:sz w:val="20"/>
        </w:rPr>
        <w:t> </w:t>
      </w:r>
      <w:r>
        <w:rPr>
          <w:sz w:val="20"/>
        </w:rPr>
        <w:t>densidad</w:t>
      </w:r>
      <w:r>
        <w:rPr>
          <w:spacing w:val="-11"/>
          <w:sz w:val="20"/>
        </w:rPr>
        <w:t> </w:t>
      </w:r>
      <w:r>
        <w:rPr>
          <w:sz w:val="20"/>
        </w:rPr>
        <w:t>máxima</w:t>
      </w:r>
      <w:r>
        <w:rPr>
          <w:spacing w:val="-9"/>
          <w:sz w:val="20"/>
        </w:rPr>
        <w:t> </w:t>
      </w:r>
      <w:r>
        <w:rPr>
          <w:sz w:val="20"/>
        </w:rPr>
        <w:t>de</w:t>
      </w:r>
      <w:r>
        <w:rPr>
          <w:spacing w:val="-12"/>
          <w:sz w:val="20"/>
        </w:rPr>
        <w:t> </w:t>
      </w:r>
      <w:r>
        <w:rPr>
          <w:sz w:val="20"/>
        </w:rPr>
        <w:t>una</w:t>
      </w:r>
      <w:r>
        <w:rPr>
          <w:spacing w:val="-12"/>
          <w:sz w:val="20"/>
        </w:rPr>
        <w:t> </w:t>
      </w:r>
      <w:r>
        <w:rPr>
          <w:sz w:val="20"/>
        </w:rPr>
        <w:t>vivienda</w:t>
      </w:r>
      <w:r>
        <w:rPr>
          <w:spacing w:val="-11"/>
          <w:sz w:val="20"/>
        </w:rPr>
        <w:t> </w:t>
      </w:r>
      <w:r>
        <w:rPr>
          <w:sz w:val="20"/>
        </w:rPr>
        <w:t>por</w:t>
      </w:r>
      <w:r>
        <w:rPr>
          <w:spacing w:val="-10"/>
          <w:sz w:val="20"/>
        </w:rPr>
        <w:t> </w:t>
      </w:r>
      <w:r>
        <w:rPr>
          <w:sz w:val="20"/>
        </w:rPr>
        <w:t>hectárea. Los frentes mínimos o accesos tendrán una dimensión no menor de treinta metros hacia una vía pública</w:t>
      </w:r>
      <w:r>
        <w:rPr>
          <w:spacing w:val="-3"/>
          <w:sz w:val="20"/>
        </w:rPr>
        <w:t> </w:t>
      </w:r>
      <w:r>
        <w:rPr>
          <w:sz w:val="20"/>
        </w:rPr>
        <w:t>o</w:t>
      </w:r>
      <w:r>
        <w:rPr>
          <w:spacing w:val="-6"/>
          <w:sz w:val="20"/>
        </w:rPr>
        <w:t> </w:t>
      </w:r>
      <w:r>
        <w:rPr>
          <w:sz w:val="20"/>
        </w:rPr>
        <w:t>camino</w:t>
      </w:r>
      <w:r>
        <w:rPr>
          <w:spacing w:val="-6"/>
          <w:sz w:val="20"/>
        </w:rPr>
        <w:t> </w:t>
      </w:r>
      <w:r>
        <w:rPr>
          <w:sz w:val="20"/>
        </w:rPr>
        <w:t>legalmente</w:t>
      </w:r>
      <w:r>
        <w:rPr>
          <w:spacing w:val="-6"/>
          <w:sz w:val="20"/>
        </w:rPr>
        <w:t> </w:t>
      </w:r>
      <w:r>
        <w:rPr>
          <w:sz w:val="20"/>
        </w:rPr>
        <w:t>constituido,</w:t>
      </w:r>
      <w:r>
        <w:rPr>
          <w:spacing w:val="-3"/>
          <w:sz w:val="20"/>
        </w:rPr>
        <w:t> </w:t>
      </w:r>
      <w:r>
        <w:rPr>
          <w:sz w:val="20"/>
        </w:rPr>
        <w:t>que</w:t>
      </w:r>
      <w:r>
        <w:rPr>
          <w:spacing w:val="-6"/>
          <w:sz w:val="20"/>
        </w:rPr>
        <w:t> </w:t>
      </w:r>
      <w:r>
        <w:rPr>
          <w:sz w:val="20"/>
        </w:rPr>
        <w:t>en</w:t>
      </w:r>
      <w:r>
        <w:rPr>
          <w:spacing w:val="-6"/>
          <w:sz w:val="20"/>
        </w:rPr>
        <w:t> </w:t>
      </w:r>
      <w:r>
        <w:rPr>
          <w:sz w:val="20"/>
        </w:rPr>
        <w:t>ningún</w:t>
      </w:r>
      <w:r>
        <w:rPr>
          <w:spacing w:val="-6"/>
          <w:sz w:val="20"/>
        </w:rPr>
        <w:t> </w:t>
      </w:r>
      <w:r>
        <w:rPr>
          <w:sz w:val="20"/>
        </w:rPr>
        <w:t>caso</w:t>
      </w:r>
      <w:r>
        <w:rPr>
          <w:spacing w:val="-6"/>
          <w:sz w:val="20"/>
        </w:rPr>
        <w:t> </w:t>
      </w:r>
      <w:r>
        <w:rPr>
          <w:sz w:val="20"/>
        </w:rPr>
        <w:t>se</w:t>
      </w:r>
      <w:r>
        <w:rPr>
          <w:spacing w:val="-3"/>
          <w:sz w:val="20"/>
        </w:rPr>
        <w:t> </w:t>
      </w:r>
      <w:r>
        <w:rPr>
          <w:sz w:val="20"/>
        </w:rPr>
        <w:t>aceptará</w:t>
      </w:r>
      <w:r>
        <w:rPr>
          <w:spacing w:val="-6"/>
          <w:sz w:val="20"/>
        </w:rPr>
        <w:t> </w:t>
      </w:r>
      <w:r>
        <w:rPr>
          <w:sz w:val="20"/>
        </w:rPr>
        <w:t>en</w:t>
      </w:r>
      <w:r>
        <w:rPr>
          <w:spacing w:val="-6"/>
          <w:sz w:val="20"/>
        </w:rPr>
        <w:t> </w:t>
      </w:r>
      <w:r>
        <w:rPr>
          <w:sz w:val="20"/>
        </w:rPr>
        <w:t>una</w:t>
      </w:r>
      <w:r>
        <w:rPr>
          <w:spacing w:val="-4"/>
          <w:sz w:val="20"/>
        </w:rPr>
        <w:t> </w:t>
      </w:r>
      <w:r>
        <w:rPr>
          <w:sz w:val="20"/>
        </w:rPr>
        <w:t>sección</w:t>
      </w:r>
      <w:r>
        <w:rPr>
          <w:spacing w:val="-6"/>
          <w:sz w:val="20"/>
        </w:rPr>
        <w:t> </w:t>
      </w:r>
      <w:r>
        <w:rPr>
          <w:sz w:val="20"/>
        </w:rPr>
        <w:t>o</w:t>
      </w:r>
      <w:r>
        <w:rPr>
          <w:spacing w:val="-3"/>
          <w:sz w:val="20"/>
        </w:rPr>
        <w:t> </w:t>
      </w:r>
      <w:r>
        <w:rPr>
          <w:sz w:val="20"/>
        </w:rPr>
        <w:t>anchura menor a doce metros;</w:t>
      </w:r>
    </w:p>
    <w:p>
      <w:pPr>
        <w:pStyle w:val="BodyText"/>
      </w:pPr>
    </w:p>
    <w:p>
      <w:pPr>
        <w:pStyle w:val="ListParagraph"/>
        <w:numPr>
          <w:ilvl w:val="0"/>
          <w:numId w:val="123"/>
        </w:numPr>
        <w:tabs>
          <w:tab w:pos="688" w:val="left" w:leader="none"/>
        </w:tabs>
        <w:spacing w:line="240" w:lineRule="auto" w:before="0" w:after="0"/>
        <w:ind w:left="262" w:right="278" w:firstLine="0"/>
        <w:jc w:val="both"/>
        <w:rPr>
          <w:sz w:val="20"/>
        </w:rPr>
      </w:pPr>
      <w:r>
        <w:rPr>
          <w:sz w:val="20"/>
        </w:rPr>
        <w:t>Tratándose de subdivisiones de predios para uso comercial, cualquiera de las fracciones resultantes no deberá ser menor a las medidas que disponga el programa de desarrollo urbano de centro</w:t>
      </w:r>
      <w:r>
        <w:rPr>
          <w:spacing w:val="-14"/>
          <w:sz w:val="20"/>
        </w:rPr>
        <w:t> </w:t>
      </w:r>
      <w:r>
        <w:rPr>
          <w:sz w:val="20"/>
        </w:rPr>
        <w:t>de</w:t>
      </w:r>
      <w:r>
        <w:rPr>
          <w:spacing w:val="-14"/>
          <w:sz w:val="20"/>
        </w:rPr>
        <w:t> </w:t>
      </w:r>
      <w:r>
        <w:rPr>
          <w:sz w:val="20"/>
        </w:rPr>
        <w:t>población</w:t>
      </w:r>
      <w:r>
        <w:rPr>
          <w:spacing w:val="-13"/>
          <w:sz w:val="20"/>
        </w:rPr>
        <w:t> </w:t>
      </w:r>
      <w:r>
        <w:rPr>
          <w:sz w:val="20"/>
        </w:rPr>
        <w:t>respectivo,</w:t>
      </w:r>
      <w:r>
        <w:rPr>
          <w:spacing w:val="-14"/>
          <w:sz w:val="20"/>
        </w:rPr>
        <w:t> </w:t>
      </w:r>
      <w:r>
        <w:rPr>
          <w:sz w:val="20"/>
        </w:rPr>
        <w:t>o</w:t>
      </w:r>
      <w:r>
        <w:rPr>
          <w:spacing w:val="-11"/>
          <w:sz w:val="20"/>
        </w:rPr>
        <w:t> </w:t>
      </w:r>
      <w:r>
        <w:rPr>
          <w:sz w:val="20"/>
        </w:rPr>
        <w:t>en</w:t>
      </w:r>
      <w:r>
        <w:rPr>
          <w:spacing w:val="-14"/>
          <w:sz w:val="20"/>
        </w:rPr>
        <w:t> </w:t>
      </w:r>
      <w:r>
        <w:rPr>
          <w:sz w:val="20"/>
        </w:rPr>
        <w:t>su</w:t>
      </w:r>
      <w:r>
        <w:rPr>
          <w:spacing w:val="-12"/>
          <w:sz w:val="20"/>
        </w:rPr>
        <w:t> </w:t>
      </w:r>
      <w:r>
        <w:rPr>
          <w:sz w:val="20"/>
        </w:rPr>
        <w:t>defecto</w:t>
      </w:r>
      <w:r>
        <w:rPr>
          <w:spacing w:val="-12"/>
          <w:sz w:val="20"/>
        </w:rPr>
        <w:t> </w:t>
      </w:r>
      <w:r>
        <w:rPr>
          <w:sz w:val="20"/>
        </w:rPr>
        <w:t>de</w:t>
      </w:r>
      <w:r>
        <w:rPr>
          <w:spacing w:val="-12"/>
          <w:sz w:val="20"/>
        </w:rPr>
        <w:t> </w:t>
      </w:r>
      <w:r>
        <w:rPr>
          <w:sz w:val="20"/>
        </w:rPr>
        <w:t>los</w:t>
      </w:r>
      <w:r>
        <w:rPr>
          <w:spacing w:val="-13"/>
          <w:sz w:val="20"/>
        </w:rPr>
        <w:t> </w:t>
      </w:r>
      <w:r>
        <w:rPr>
          <w:sz w:val="20"/>
        </w:rPr>
        <w:t>ochenta</w:t>
      </w:r>
      <w:r>
        <w:rPr>
          <w:spacing w:val="-12"/>
          <w:sz w:val="20"/>
        </w:rPr>
        <w:t> </w:t>
      </w:r>
      <w:r>
        <w:rPr>
          <w:sz w:val="20"/>
        </w:rPr>
        <w:t>metros</w:t>
      </w:r>
      <w:r>
        <w:rPr>
          <w:spacing w:val="-13"/>
          <w:sz w:val="20"/>
        </w:rPr>
        <w:t> </w:t>
      </w:r>
      <w:r>
        <w:rPr>
          <w:sz w:val="20"/>
        </w:rPr>
        <w:t>cuadrados.</w:t>
      </w:r>
      <w:r>
        <w:rPr>
          <w:spacing w:val="-11"/>
          <w:sz w:val="20"/>
        </w:rPr>
        <w:t> </w:t>
      </w:r>
      <w:r>
        <w:rPr>
          <w:sz w:val="20"/>
        </w:rPr>
        <w:t>En</w:t>
      </w:r>
      <w:r>
        <w:rPr>
          <w:spacing w:val="-14"/>
          <w:sz w:val="20"/>
        </w:rPr>
        <w:t> </w:t>
      </w:r>
      <w:r>
        <w:rPr>
          <w:sz w:val="20"/>
        </w:rPr>
        <w:t>cualquier</w:t>
      </w:r>
      <w:r>
        <w:rPr>
          <w:spacing w:val="-13"/>
          <w:sz w:val="20"/>
        </w:rPr>
        <w:t> </w:t>
      </w:r>
      <w:r>
        <w:rPr>
          <w:sz w:val="20"/>
        </w:rPr>
        <w:t>caso, deberá</w:t>
      </w:r>
      <w:r>
        <w:rPr>
          <w:spacing w:val="-12"/>
          <w:sz w:val="20"/>
        </w:rPr>
        <w:t> </w:t>
      </w:r>
      <w:r>
        <w:rPr>
          <w:sz w:val="20"/>
        </w:rPr>
        <w:t>contar</w:t>
      </w:r>
      <w:r>
        <w:rPr>
          <w:spacing w:val="-12"/>
          <w:sz w:val="20"/>
        </w:rPr>
        <w:t> </w:t>
      </w:r>
      <w:r>
        <w:rPr>
          <w:sz w:val="20"/>
        </w:rPr>
        <w:t>con</w:t>
      </w:r>
      <w:r>
        <w:rPr>
          <w:spacing w:val="-12"/>
          <w:sz w:val="20"/>
        </w:rPr>
        <w:t> </w:t>
      </w:r>
      <w:r>
        <w:rPr>
          <w:sz w:val="20"/>
        </w:rPr>
        <w:t>el</w:t>
      </w:r>
      <w:r>
        <w:rPr>
          <w:spacing w:val="-11"/>
          <w:sz w:val="20"/>
        </w:rPr>
        <w:t> </w:t>
      </w:r>
      <w:r>
        <w:rPr>
          <w:sz w:val="20"/>
        </w:rPr>
        <w:t>espacio</w:t>
      </w:r>
      <w:r>
        <w:rPr>
          <w:spacing w:val="-12"/>
          <w:sz w:val="20"/>
        </w:rPr>
        <w:t> </w:t>
      </w:r>
      <w:r>
        <w:rPr>
          <w:sz w:val="20"/>
        </w:rPr>
        <w:t>suficiente</w:t>
      </w:r>
      <w:r>
        <w:rPr>
          <w:spacing w:val="-10"/>
          <w:sz w:val="20"/>
        </w:rPr>
        <w:t> </w:t>
      </w:r>
      <w:r>
        <w:rPr>
          <w:sz w:val="20"/>
        </w:rPr>
        <w:t>para</w:t>
      </w:r>
      <w:r>
        <w:rPr>
          <w:spacing w:val="-10"/>
          <w:sz w:val="20"/>
        </w:rPr>
        <w:t> </w:t>
      </w:r>
      <w:r>
        <w:rPr>
          <w:sz w:val="20"/>
        </w:rPr>
        <w:t>las</w:t>
      </w:r>
      <w:r>
        <w:rPr>
          <w:spacing w:val="-11"/>
          <w:sz w:val="20"/>
        </w:rPr>
        <w:t> </w:t>
      </w:r>
      <w:r>
        <w:rPr>
          <w:sz w:val="20"/>
        </w:rPr>
        <w:t>instalaciones</w:t>
      </w:r>
      <w:r>
        <w:rPr>
          <w:spacing w:val="-11"/>
          <w:sz w:val="20"/>
        </w:rPr>
        <w:t> </w:t>
      </w:r>
      <w:r>
        <w:rPr>
          <w:sz w:val="20"/>
        </w:rPr>
        <w:t>sanitarias,</w:t>
      </w:r>
      <w:r>
        <w:rPr>
          <w:spacing w:val="-12"/>
          <w:sz w:val="20"/>
        </w:rPr>
        <w:t> </w:t>
      </w:r>
      <w:r>
        <w:rPr>
          <w:sz w:val="20"/>
        </w:rPr>
        <w:t>de</w:t>
      </w:r>
      <w:r>
        <w:rPr>
          <w:spacing w:val="-12"/>
          <w:sz w:val="20"/>
        </w:rPr>
        <w:t> </w:t>
      </w:r>
      <w:r>
        <w:rPr>
          <w:sz w:val="20"/>
        </w:rPr>
        <w:t>ventilación</w:t>
      </w:r>
      <w:r>
        <w:rPr>
          <w:spacing w:val="-13"/>
          <w:sz w:val="20"/>
        </w:rPr>
        <w:t> </w:t>
      </w:r>
      <w:r>
        <w:rPr>
          <w:sz w:val="20"/>
        </w:rPr>
        <w:t>o</w:t>
      </w:r>
      <w:r>
        <w:rPr>
          <w:spacing w:val="-10"/>
          <w:sz w:val="20"/>
        </w:rPr>
        <w:t> </w:t>
      </w:r>
      <w:r>
        <w:rPr>
          <w:sz w:val="20"/>
        </w:rPr>
        <w:t>iluminación natural</w:t>
      </w:r>
      <w:r>
        <w:rPr>
          <w:spacing w:val="-7"/>
          <w:sz w:val="20"/>
        </w:rPr>
        <w:t> </w:t>
      </w:r>
      <w:r>
        <w:rPr>
          <w:sz w:val="20"/>
        </w:rPr>
        <w:t>y</w:t>
      </w:r>
      <w:r>
        <w:rPr>
          <w:spacing w:val="-5"/>
          <w:sz w:val="20"/>
        </w:rPr>
        <w:t> </w:t>
      </w:r>
      <w:r>
        <w:rPr>
          <w:sz w:val="20"/>
        </w:rPr>
        <w:t>la</w:t>
      </w:r>
      <w:r>
        <w:rPr>
          <w:spacing w:val="-7"/>
          <w:sz w:val="20"/>
        </w:rPr>
        <w:t> </w:t>
      </w:r>
      <w:r>
        <w:rPr>
          <w:sz w:val="20"/>
        </w:rPr>
        <w:t>disposición</w:t>
      </w:r>
      <w:r>
        <w:rPr>
          <w:spacing w:val="-5"/>
          <w:sz w:val="20"/>
        </w:rPr>
        <w:t> </w:t>
      </w:r>
      <w:r>
        <w:rPr>
          <w:sz w:val="20"/>
        </w:rPr>
        <w:t>de</w:t>
      </w:r>
      <w:r>
        <w:rPr>
          <w:spacing w:val="-7"/>
          <w:sz w:val="20"/>
        </w:rPr>
        <w:t> </w:t>
      </w:r>
      <w:r>
        <w:rPr>
          <w:sz w:val="20"/>
        </w:rPr>
        <w:t>cajones</w:t>
      </w:r>
      <w:r>
        <w:rPr>
          <w:spacing w:val="-6"/>
          <w:sz w:val="20"/>
        </w:rPr>
        <w:t> </w:t>
      </w:r>
      <w:r>
        <w:rPr>
          <w:sz w:val="20"/>
        </w:rPr>
        <w:t>de</w:t>
      </w:r>
      <w:r>
        <w:rPr>
          <w:spacing w:val="-7"/>
          <w:sz w:val="20"/>
        </w:rPr>
        <w:t> </w:t>
      </w:r>
      <w:r>
        <w:rPr>
          <w:sz w:val="20"/>
        </w:rPr>
        <w:t>estacionamiento</w:t>
      </w:r>
      <w:r>
        <w:rPr>
          <w:spacing w:val="-5"/>
          <w:sz w:val="20"/>
        </w:rPr>
        <w:t> </w:t>
      </w:r>
      <w:r>
        <w:rPr>
          <w:sz w:val="20"/>
        </w:rPr>
        <w:t>dentro</w:t>
      </w:r>
      <w:r>
        <w:rPr>
          <w:spacing w:val="-4"/>
          <w:sz w:val="20"/>
        </w:rPr>
        <w:t> </w:t>
      </w:r>
      <w:r>
        <w:rPr>
          <w:sz w:val="20"/>
        </w:rPr>
        <w:t>del</w:t>
      </w:r>
      <w:r>
        <w:rPr>
          <w:spacing w:val="-5"/>
          <w:sz w:val="20"/>
        </w:rPr>
        <w:t> </w:t>
      </w:r>
      <w:r>
        <w:rPr>
          <w:sz w:val="20"/>
        </w:rPr>
        <w:t>predio</w:t>
      </w:r>
      <w:r>
        <w:rPr>
          <w:spacing w:val="-7"/>
          <w:sz w:val="20"/>
        </w:rPr>
        <w:t> </w:t>
      </w:r>
      <w:r>
        <w:rPr>
          <w:sz w:val="20"/>
        </w:rPr>
        <w:t>conforme</w:t>
      </w:r>
      <w:r>
        <w:rPr>
          <w:spacing w:val="-4"/>
          <w:sz w:val="20"/>
        </w:rPr>
        <w:t> </w:t>
      </w:r>
      <w:r>
        <w:rPr>
          <w:sz w:val="20"/>
        </w:rPr>
        <w:t>a</w:t>
      </w:r>
      <w:r>
        <w:rPr>
          <w:spacing w:val="-7"/>
          <w:sz w:val="20"/>
        </w:rPr>
        <w:t> </w:t>
      </w:r>
      <w:r>
        <w:rPr>
          <w:sz w:val="20"/>
        </w:rPr>
        <w:t>la</w:t>
      </w:r>
      <w:r>
        <w:rPr>
          <w:spacing w:val="-7"/>
          <w:sz w:val="20"/>
        </w:rPr>
        <w:t> </w:t>
      </w:r>
      <w:r>
        <w:rPr>
          <w:sz w:val="20"/>
        </w:rPr>
        <w:t>normatividad urbana municipal correspondiente;</w:t>
      </w:r>
    </w:p>
    <w:p>
      <w:pPr>
        <w:pStyle w:val="BodyText"/>
        <w:spacing w:before="1"/>
      </w:pPr>
    </w:p>
    <w:p>
      <w:pPr>
        <w:pStyle w:val="ListParagraph"/>
        <w:numPr>
          <w:ilvl w:val="0"/>
          <w:numId w:val="123"/>
        </w:numPr>
        <w:tabs>
          <w:tab w:pos="688" w:val="left" w:leader="none"/>
        </w:tabs>
        <w:spacing w:line="240" w:lineRule="auto" w:before="0" w:after="0"/>
        <w:ind w:left="262" w:right="278" w:firstLine="0"/>
        <w:jc w:val="both"/>
        <w:rPr>
          <w:sz w:val="20"/>
        </w:rPr>
      </w:pPr>
      <w:r>
        <w:rPr>
          <w:sz w:val="20"/>
        </w:rPr>
        <w:t>En predios dentro de áreas de preservación ecológica determinadas por las autoridades urbanas y ambientales estatal o municipales, que no han sido declaradas como áreas naturales protegidas, que son valiosas por su riqueza natural y fundamentales para la conservación y mejoramiento</w:t>
      </w:r>
      <w:r>
        <w:rPr>
          <w:spacing w:val="-2"/>
          <w:sz w:val="20"/>
        </w:rPr>
        <w:t> </w:t>
      </w:r>
      <w:r>
        <w:rPr>
          <w:sz w:val="20"/>
        </w:rPr>
        <w:t>de</w:t>
      </w:r>
      <w:r>
        <w:rPr>
          <w:spacing w:val="-2"/>
          <w:sz w:val="20"/>
        </w:rPr>
        <w:t> </w:t>
      </w:r>
      <w:r>
        <w:rPr>
          <w:sz w:val="20"/>
        </w:rPr>
        <w:t>los</w:t>
      </w:r>
      <w:r>
        <w:rPr>
          <w:spacing w:val="-3"/>
          <w:sz w:val="20"/>
        </w:rPr>
        <w:t> </w:t>
      </w:r>
      <w:r>
        <w:rPr>
          <w:sz w:val="20"/>
        </w:rPr>
        <w:t>ecosistemas</w:t>
      </w:r>
      <w:r>
        <w:rPr>
          <w:spacing w:val="-1"/>
          <w:sz w:val="20"/>
        </w:rPr>
        <w:t> </w:t>
      </w:r>
      <w:r>
        <w:rPr>
          <w:sz w:val="20"/>
        </w:rPr>
        <w:t>y</w:t>
      </w:r>
      <w:r>
        <w:rPr>
          <w:spacing w:val="-3"/>
          <w:sz w:val="20"/>
        </w:rPr>
        <w:t> </w:t>
      </w:r>
      <w:r>
        <w:rPr>
          <w:sz w:val="20"/>
        </w:rPr>
        <w:t>la</w:t>
      </w:r>
      <w:r>
        <w:rPr>
          <w:spacing w:val="-2"/>
          <w:sz w:val="20"/>
        </w:rPr>
        <w:t> </w:t>
      </w:r>
      <w:r>
        <w:rPr>
          <w:sz w:val="20"/>
        </w:rPr>
        <w:t>biodiversidad,</w:t>
      </w:r>
      <w:r>
        <w:rPr>
          <w:spacing w:val="-2"/>
          <w:sz w:val="20"/>
        </w:rPr>
        <w:t> </w:t>
      </w:r>
      <w:r>
        <w:rPr>
          <w:sz w:val="20"/>
        </w:rPr>
        <w:t>las</w:t>
      </w:r>
      <w:r>
        <w:rPr>
          <w:spacing w:val="40"/>
          <w:sz w:val="20"/>
        </w:rPr>
        <w:t> </w:t>
      </w:r>
      <w:r>
        <w:rPr>
          <w:sz w:val="20"/>
        </w:rPr>
        <w:t>fracciones</w:t>
      </w:r>
      <w:r>
        <w:rPr>
          <w:spacing w:val="-3"/>
          <w:sz w:val="20"/>
        </w:rPr>
        <w:t> </w:t>
      </w:r>
      <w:r>
        <w:rPr>
          <w:sz w:val="20"/>
        </w:rPr>
        <w:t>resultantes</w:t>
      </w:r>
      <w:r>
        <w:rPr>
          <w:spacing w:val="-1"/>
          <w:sz w:val="20"/>
        </w:rPr>
        <w:t> </w:t>
      </w:r>
      <w:r>
        <w:rPr>
          <w:sz w:val="20"/>
        </w:rPr>
        <w:t>serán</w:t>
      </w:r>
      <w:r>
        <w:rPr>
          <w:spacing w:val="-5"/>
          <w:sz w:val="20"/>
        </w:rPr>
        <w:t> </w:t>
      </w:r>
      <w:r>
        <w:rPr>
          <w:sz w:val="20"/>
        </w:rPr>
        <w:t>como</w:t>
      </w:r>
      <w:r>
        <w:rPr>
          <w:spacing w:val="-2"/>
          <w:sz w:val="20"/>
        </w:rPr>
        <w:t> </w:t>
      </w:r>
      <w:r>
        <w:rPr>
          <w:sz w:val="20"/>
        </w:rPr>
        <w:t>mínimo de 25,000 metros cuadrados y deberán respetar la zonificación prevista en los programas de ordenamiento territorial y desarrollo urbano aplicables;</w:t>
      </w:r>
    </w:p>
    <w:p>
      <w:pPr>
        <w:pStyle w:val="BodyText"/>
        <w:spacing w:before="1"/>
      </w:pPr>
    </w:p>
    <w:p>
      <w:pPr>
        <w:pStyle w:val="ListParagraph"/>
        <w:numPr>
          <w:ilvl w:val="0"/>
          <w:numId w:val="123"/>
        </w:numPr>
        <w:tabs>
          <w:tab w:pos="688" w:val="left" w:leader="none"/>
        </w:tabs>
        <w:spacing w:line="240" w:lineRule="auto" w:before="0" w:after="0"/>
        <w:ind w:left="262" w:right="279" w:firstLine="0"/>
        <w:jc w:val="both"/>
        <w:rPr>
          <w:sz w:val="20"/>
        </w:rPr>
      </w:pPr>
      <w:r>
        <w:rPr>
          <w:sz w:val="20"/>
        </w:rPr>
        <w:t>En predios dentro de la áreas naturales protegidas de competencia estatal y municipales, la subdivisión de</w:t>
      </w:r>
      <w:r>
        <w:rPr>
          <w:spacing w:val="40"/>
          <w:sz w:val="20"/>
        </w:rPr>
        <w:t> </w:t>
      </w:r>
      <w:r>
        <w:rPr>
          <w:sz w:val="20"/>
        </w:rPr>
        <w:t>terrenos y la construcción estará regida por lo que determine la declaratoria de su creación</w:t>
      </w:r>
      <w:r>
        <w:rPr>
          <w:spacing w:val="-12"/>
          <w:sz w:val="20"/>
        </w:rPr>
        <w:t> </w:t>
      </w:r>
      <w:r>
        <w:rPr>
          <w:sz w:val="20"/>
        </w:rPr>
        <w:t>y</w:t>
      </w:r>
      <w:r>
        <w:rPr>
          <w:spacing w:val="-10"/>
          <w:sz w:val="20"/>
        </w:rPr>
        <w:t> </w:t>
      </w:r>
      <w:r>
        <w:rPr>
          <w:sz w:val="20"/>
        </w:rPr>
        <w:t>el</w:t>
      </w:r>
      <w:r>
        <w:rPr>
          <w:spacing w:val="-12"/>
          <w:sz w:val="20"/>
        </w:rPr>
        <w:t> </w:t>
      </w:r>
      <w:r>
        <w:rPr>
          <w:sz w:val="20"/>
        </w:rPr>
        <w:t>plan</w:t>
      </w:r>
      <w:r>
        <w:rPr>
          <w:spacing w:val="-11"/>
          <w:sz w:val="20"/>
        </w:rPr>
        <w:t> </w:t>
      </w:r>
      <w:r>
        <w:rPr>
          <w:sz w:val="20"/>
        </w:rPr>
        <w:t>de</w:t>
      </w:r>
      <w:r>
        <w:rPr>
          <w:spacing w:val="-9"/>
          <w:sz w:val="20"/>
        </w:rPr>
        <w:t> </w:t>
      </w:r>
      <w:r>
        <w:rPr>
          <w:sz w:val="20"/>
        </w:rPr>
        <w:t>manejo</w:t>
      </w:r>
      <w:r>
        <w:rPr>
          <w:spacing w:val="-11"/>
          <w:sz w:val="20"/>
        </w:rPr>
        <w:t> </w:t>
      </w:r>
      <w:r>
        <w:rPr>
          <w:sz w:val="20"/>
        </w:rPr>
        <w:t>correspondiente,</w:t>
      </w:r>
      <w:r>
        <w:rPr>
          <w:spacing w:val="-9"/>
          <w:sz w:val="20"/>
        </w:rPr>
        <w:t> </w:t>
      </w:r>
      <w:r>
        <w:rPr>
          <w:sz w:val="20"/>
        </w:rPr>
        <w:t>de</w:t>
      </w:r>
      <w:r>
        <w:rPr>
          <w:spacing w:val="-12"/>
          <w:sz w:val="20"/>
        </w:rPr>
        <w:t> </w:t>
      </w:r>
      <w:r>
        <w:rPr>
          <w:sz w:val="20"/>
        </w:rPr>
        <w:t>conformidad</w:t>
      </w:r>
      <w:r>
        <w:rPr>
          <w:spacing w:val="-12"/>
          <w:sz w:val="20"/>
        </w:rPr>
        <w:t> </w:t>
      </w:r>
      <w:r>
        <w:rPr>
          <w:sz w:val="20"/>
        </w:rPr>
        <w:t>con</w:t>
      </w:r>
      <w:r>
        <w:rPr>
          <w:spacing w:val="-11"/>
          <w:sz w:val="20"/>
        </w:rPr>
        <w:t> </w:t>
      </w:r>
      <w:r>
        <w:rPr>
          <w:sz w:val="20"/>
        </w:rPr>
        <w:t>la</w:t>
      </w:r>
      <w:r>
        <w:rPr>
          <w:spacing w:val="-11"/>
          <w:sz w:val="20"/>
        </w:rPr>
        <w:t> </w:t>
      </w:r>
      <w:r>
        <w:rPr>
          <w:sz w:val="20"/>
        </w:rPr>
        <w:t>Ley</w:t>
      </w:r>
      <w:r>
        <w:rPr>
          <w:spacing w:val="-8"/>
          <w:sz w:val="20"/>
        </w:rPr>
        <w:t> </w:t>
      </w:r>
      <w:r>
        <w:rPr>
          <w:sz w:val="20"/>
        </w:rPr>
        <w:t>Ambiental</w:t>
      </w:r>
      <w:r>
        <w:rPr>
          <w:spacing w:val="-12"/>
          <w:sz w:val="20"/>
        </w:rPr>
        <w:t> </w:t>
      </w:r>
      <w:r>
        <w:rPr>
          <w:sz w:val="20"/>
        </w:rPr>
        <w:t>del</w:t>
      </w:r>
      <w:r>
        <w:rPr>
          <w:spacing w:val="-10"/>
          <w:sz w:val="20"/>
        </w:rPr>
        <w:t> </w:t>
      </w:r>
      <w:r>
        <w:rPr>
          <w:sz w:val="20"/>
        </w:rPr>
        <w:t>Estado,</w:t>
      </w:r>
      <w:r>
        <w:rPr>
          <w:spacing w:val="-12"/>
          <w:sz w:val="20"/>
        </w:rPr>
        <w:t> </w:t>
      </w:r>
      <w:r>
        <w:rPr>
          <w:sz w:val="20"/>
        </w:rPr>
        <w:t>esta Ley y demás disposiciones jurídicas aplicables, y</w:t>
      </w:r>
    </w:p>
    <w:p>
      <w:pPr>
        <w:pStyle w:val="BodyText"/>
      </w:pPr>
    </w:p>
    <w:p>
      <w:pPr>
        <w:pStyle w:val="ListParagraph"/>
        <w:numPr>
          <w:ilvl w:val="0"/>
          <w:numId w:val="123"/>
        </w:numPr>
        <w:tabs>
          <w:tab w:pos="688" w:val="left" w:leader="none"/>
        </w:tabs>
        <w:spacing w:line="240" w:lineRule="auto" w:before="0" w:after="0"/>
        <w:ind w:left="262" w:right="284" w:firstLine="0"/>
        <w:jc w:val="both"/>
        <w:rPr>
          <w:sz w:val="20"/>
        </w:rPr>
      </w:pPr>
      <w:r>
        <w:rPr>
          <w:sz w:val="20"/>
        </w:rPr>
        <w:t>En</w:t>
      </w:r>
      <w:r>
        <w:rPr>
          <w:spacing w:val="-14"/>
          <w:sz w:val="20"/>
        </w:rPr>
        <w:t> </w:t>
      </w:r>
      <w:r>
        <w:rPr>
          <w:sz w:val="20"/>
        </w:rPr>
        <w:t>los</w:t>
      </w:r>
      <w:r>
        <w:rPr>
          <w:spacing w:val="-14"/>
          <w:sz w:val="20"/>
        </w:rPr>
        <w:t> </w:t>
      </w:r>
      <w:r>
        <w:rPr>
          <w:sz w:val="20"/>
        </w:rPr>
        <w:t>desarrollos</w:t>
      </w:r>
      <w:r>
        <w:rPr>
          <w:spacing w:val="-14"/>
          <w:sz w:val="20"/>
        </w:rPr>
        <w:t> </w:t>
      </w:r>
      <w:r>
        <w:rPr>
          <w:sz w:val="20"/>
        </w:rPr>
        <w:t>inmobiliarios</w:t>
      </w:r>
      <w:r>
        <w:rPr>
          <w:spacing w:val="-14"/>
          <w:sz w:val="20"/>
        </w:rPr>
        <w:t> </w:t>
      </w:r>
      <w:r>
        <w:rPr>
          <w:sz w:val="20"/>
        </w:rPr>
        <w:t>que</w:t>
      </w:r>
      <w:r>
        <w:rPr>
          <w:spacing w:val="-14"/>
          <w:sz w:val="20"/>
        </w:rPr>
        <w:t> </w:t>
      </w:r>
      <w:r>
        <w:rPr>
          <w:sz w:val="20"/>
        </w:rPr>
        <w:t>deriven</w:t>
      </w:r>
      <w:r>
        <w:rPr>
          <w:spacing w:val="-14"/>
          <w:sz w:val="20"/>
        </w:rPr>
        <w:t> </w:t>
      </w:r>
      <w:r>
        <w:rPr>
          <w:sz w:val="20"/>
        </w:rPr>
        <w:t>de</w:t>
      </w:r>
      <w:r>
        <w:rPr>
          <w:spacing w:val="-14"/>
          <w:sz w:val="20"/>
        </w:rPr>
        <w:t> </w:t>
      </w:r>
      <w:r>
        <w:rPr>
          <w:sz w:val="20"/>
        </w:rPr>
        <w:t>subdivisiones,</w:t>
      </w:r>
      <w:r>
        <w:rPr>
          <w:spacing w:val="-14"/>
          <w:sz w:val="20"/>
        </w:rPr>
        <w:t> </w:t>
      </w:r>
      <w:r>
        <w:rPr>
          <w:sz w:val="20"/>
        </w:rPr>
        <w:t>fraccionamientos</w:t>
      </w:r>
      <w:r>
        <w:rPr>
          <w:spacing w:val="-14"/>
          <w:sz w:val="20"/>
        </w:rPr>
        <w:t> </w:t>
      </w:r>
      <w:r>
        <w:rPr>
          <w:sz w:val="20"/>
        </w:rPr>
        <w:t>y/o</w:t>
      </w:r>
      <w:r>
        <w:rPr>
          <w:spacing w:val="-13"/>
          <w:sz w:val="20"/>
        </w:rPr>
        <w:t> </w:t>
      </w:r>
      <w:r>
        <w:rPr>
          <w:sz w:val="20"/>
        </w:rPr>
        <w:t>condominios existentes,</w:t>
      </w:r>
      <w:r>
        <w:rPr>
          <w:spacing w:val="-11"/>
          <w:sz w:val="20"/>
        </w:rPr>
        <w:t> </w:t>
      </w:r>
      <w:r>
        <w:rPr>
          <w:sz w:val="20"/>
        </w:rPr>
        <w:t>en</w:t>
      </w:r>
      <w:r>
        <w:rPr>
          <w:spacing w:val="-10"/>
          <w:sz w:val="20"/>
        </w:rPr>
        <w:t> </w:t>
      </w:r>
      <w:r>
        <w:rPr>
          <w:sz w:val="20"/>
        </w:rPr>
        <w:t>las</w:t>
      </w:r>
      <w:r>
        <w:rPr>
          <w:spacing w:val="-11"/>
          <w:sz w:val="20"/>
        </w:rPr>
        <w:t> </w:t>
      </w:r>
      <w:r>
        <w:rPr>
          <w:sz w:val="20"/>
        </w:rPr>
        <w:t>que</w:t>
      </w:r>
      <w:r>
        <w:rPr>
          <w:spacing w:val="-11"/>
          <w:sz w:val="20"/>
        </w:rPr>
        <w:t> </w:t>
      </w:r>
      <w:r>
        <w:rPr>
          <w:sz w:val="20"/>
        </w:rPr>
        <w:t>previamente</w:t>
      </w:r>
      <w:r>
        <w:rPr>
          <w:spacing w:val="-12"/>
          <w:sz w:val="20"/>
        </w:rPr>
        <w:t> </w:t>
      </w:r>
      <w:r>
        <w:rPr>
          <w:sz w:val="20"/>
        </w:rPr>
        <w:t>se</w:t>
      </w:r>
      <w:r>
        <w:rPr>
          <w:spacing w:val="-11"/>
          <w:sz w:val="20"/>
        </w:rPr>
        <w:t> </w:t>
      </w:r>
      <w:r>
        <w:rPr>
          <w:sz w:val="20"/>
        </w:rPr>
        <w:t>haya</w:t>
      </w:r>
      <w:r>
        <w:rPr>
          <w:spacing w:val="-11"/>
          <w:sz w:val="20"/>
        </w:rPr>
        <w:t> </w:t>
      </w:r>
      <w:r>
        <w:rPr>
          <w:sz w:val="20"/>
        </w:rPr>
        <w:t>concretado</w:t>
      </w:r>
      <w:r>
        <w:rPr>
          <w:spacing w:val="-11"/>
          <w:sz w:val="20"/>
        </w:rPr>
        <w:t> </w:t>
      </w:r>
      <w:r>
        <w:rPr>
          <w:sz w:val="20"/>
        </w:rPr>
        <w:t>la</w:t>
      </w:r>
      <w:r>
        <w:rPr>
          <w:spacing w:val="-11"/>
          <w:sz w:val="20"/>
        </w:rPr>
        <w:t> </w:t>
      </w:r>
      <w:r>
        <w:rPr>
          <w:sz w:val="20"/>
        </w:rPr>
        <w:t>donación</w:t>
      </w:r>
      <w:r>
        <w:rPr>
          <w:spacing w:val="-12"/>
          <w:sz w:val="20"/>
        </w:rPr>
        <w:t> </w:t>
      </w:r>
      <w:r>
        <w:rPr>
          <w:sz w:val="20"/>
        </w:rPr>
        <w:t>correspondiente,</w:t>
      </w:r>
      <w:r>
        <w:rPr>
          <w:spacing w:val="-12"/>
          <w:sz w:val="20"/>
        </w:rPr>
        <w:t> </w:t>
      </w:r>
      <w:r>
        <w:rPr>
          <w:sz w:val="20"/>
        </w:rPr>
        <w:t>no</w:t>
      </w:r>
      <w:r>
        <w:rPr>
          <w:spacing w:val="-12"/>
          <w:sz w:val="20"/>
        </w:rPr>
        <w:t> </w:t>
      </w:r>
      <w:r>
        <w:rPr>
          <w:sz w:val="20"/>
        </w:rPr>
        <w:t>se</w:t>
      </w:r>
      <w:r>
        <w:rPr>
          <w:spacing w:val="-11"/>
          <w:sz w:val="20"/>
        </w:rPr>
        <w:t> </w:t>
      </w:r>
      <w:r>
        <w:rPr>
          <w:sz w:val="20"/>
        </w:rPr>
        <w:t>requerirá al propietario la donación para equipamiento y áreas verdes.</w:t>
      </w:r>
    </w:p>
    <w:p>
      <w:pPr>
        <w:pStyle w:val="BodyText"/>
        <w:spacing w:before="229"/>
        <w:ind w:left="262" w:right="286"/>
        <w:jc w:val="both"/>
      </w:pPr>
      <w:r>
        <w:rPr/>
        <w:t>Las reglas que dispone el presente artículo, no serán aplicables cuando se trate de partición de </w:t>
      </w:r>
      <w:r>
        <w:rPr>
          <w:spacing w:val="-2"/>
        </w:rPr>
        <w:t>herencia.</w:t>
      </w:r>
    </w:p>
    <w:p>
      <w:pPr>
        <w:pStyle w:val="BodyText"/>
        <w:spacing w:before="1"/>
      </w:pPr>
    </w:p>
    <w:p>
      <w:pPr>
        <w:pStyle w:val="BodyText"/>
        <w:ind w:left="262" w:right="277"/>
        <w:jc w:val="both"/>
      </w:pPr>
      <w:r>
        <w:rPr>
          <w:rFonts w:ascii="Arial" w:hAnsi="Arial"/>
          <w:b/>
        </w:rPr>
        <w:t>ARTÍCULO 355. </w:t>
      </w:r>
      <w:r>
        <w:rPr/>
        <w:t>En las rancherías o poblaciones rurales podrán autorizarse subdivisiones de predios rústicos con menos de diez mil metros cuadrados de superficie, con el objeto de obtener solares para casa habitación, cuyas fracciones no podrán ser inferiores a quinientos metros cuadrados, de acuerdo a lo siguiente:</w:t>
      </w:r>
    </w:p>
    <w:p>
      <w:pPr>
        <w:pStyle w:val="BodyText"/>
      </w:pPr>
    </w:p>
    <w:p>
      <w:pPr>
        <w:pStyle w:val="ListParagraph"/>
        <w:numPr>
          <w:ilvl w:val="0"/>
          <w:numId w:val="124"/>
        </w:numPr>
        <w:tabs>
          <w:tab w:pos="688" w:val="left" w:leader="none"/>
        </w:tabs>
        <w:spacing w:line="240" w:lineRule="auto" w:before="0" w:after="0"/>
        <w:ind w:left="262" w:right="284" w:firstLine="0"/>
        <w:jc w:val="both"/>
        <w:rPr>
          <w:sz w:val="20"/>
        </w:rPr>
      </w:pPr>
      <w:r>
        <w:rPr>
          <w:sz w:val="20"/>
        </w:rPr>
        <w:t>Se</w:t>
      </w:r>
      <w:r>
        <w:rPr>
          <w:spacing w:val="-7"/>
          <w:sz w:val="20"/>
        </w:rPr>
        <w:t> </w:t>
      </w:r>
      <w:r>
        <w:rPr>
          <w:sz w:val="20"/>
        </w:rPr>
        <w:t>deberán</w:t>
      </w:r>
      <w:r>
        <w:rPr>
          <w:spacing w:val="-7"/>
          <w:sz w:val="20"/>
        </w:rPr>
        <w:t> </w:t>
      </w:r>
      <w:r>
        <w:rPr>
          <w:sz w:val="20"/>
        </w:rPr>
        <w:t>realizar</w:t>
      </w:r>
      <w:r>
        <w:rPr>
          <w:spacing w:val="-7"/>
          <w:sz w:val="20"/>
        </w:rPr>
        <w:t> </w:t>
      </w:r>
      <w:r>
        <w:rPr>
          <w:sz w:val="20"/>
        </w:rPr>
        <w:t>estudios</w:t>
      </w:r>
      <w:r>
        <w:rPr>
          <w:spacing w:val="-8"/>
          <w:sz w:val="20"/>
        </w:rPr>
        <w:t> </w:t>
      </w:r>
      <w:r>
        <w:rPr>
          <w:sz w:val="20"/>
        </w:rPr>
        <w:t>técnicos</w:t>
      </w:r>
      <w:r>
        <w:rPr>
          <w:spacing w:val="-7"/>
          <w:sz w:val="20"/>
        </w:rPr>
        <w:t> </w:t>
      </w:r>
      <w:r>
        <w:rPr>
          <w:sz w:val="20"/>
        </w:rPr>
        <w:t>que</w:t>
      </w:r>
      <w:r>
        <w:rPr>
          <w:spacing w:val="-7"/>
          <w:sz w:val="20"/>
        </w:rPr>
        <w:t> </w:t>
      </w:r>
      <w:r>
        <w:rPr>
          <w:sz w:val="20"/>
        </w:rPr>
        <w:t>para</w:t>
      </w:r>
      <w:r>
        <w:rPr>
          <w:spacing w:val="-8"/>
          <w:sz w:val="20"/>
        </w:rPr>
        <w:t> </w:t>
      </w:r>
      <w:r>
        <w:rPr>
          <w:sz w:val="20"/>
        </w:rPr>
        <w:t>tal</w:t>
      </w:r>
      <w:r>
        <w:rPr>
          <w:spacing w:val="-8"/>
          <w:sz w:val="20"/>
        </w:rPr>
        <w:t> </w:t>
      </w:r>
      <w:r>
        <w:rPr>
          <w:sz w:val="20"/>
        </w:rPr>
        <w:t>efecto</w:t>
      </w:r>
      <w:r>
        <w:rPr>
          <w:spacing w:val="-9"/>
          <w:sz w:val="20"/>
        </w:rPr>
        <w:t> </w:t>
      </w:r>
      <w:r>
        <w:rPr>
          <w:sz w:val="20"/>
        </w:rPr>
        <w:t>solicite</w:t>
      </w:r>
      <w:r>
        <w:rPr>
          <w:spacing w:val="-7"/>
          <w:sz w:val="20"/>
        </w:rPr>
        <w:t> </w:t>
      </w:r>
      <w:r>
        <w:rPr>
          <w:sz w:val="20"/>
        </w:rPr>
        <w:t>el</w:t>
      </w:r>
      <w:r>
        <w:rPr>
          <w:spacing w:val="-8"/>
          <w:sz w:val="20"/>
        </w:rPr>
        <w:t> </w:t>
      </w:r>
      <w:r>
        <w:rPr>
          <w:sz w:val="20"/>
        </w:rPr>
        <w:t>Ayuntamiento</w:t>
      </w:r>
      <w:r>
        <w:rPr>
          <w:spacing w:val="-6"/>
          <w:sz w:val="20"/>
        </w:rPr>
        <w:t> </w:t>
      </w:r>
      <w:r>
        <w:rPr>
          <w:sz w:val="20"/>
        </w:rPr>
        <w:t>o</w:t>
      </w:r>
      <w:r>
        <w:rPr>
          <w:spacing w:val="-9"/>
          <w:sz w:val="20"/>
        </w:rPr>
        <w:t> </w:t>
      </w:r>
      <w:r>
        <w:rPr>
          <w:sz w:val="20"/>
        </w:rPr>
        <w:t>bien</w:t>
      </w:r>
      <w:r>
        <w:rPr>
          <w:spacing w:val="-7"/>
          <w:sz w:val="20"/>
        </w:rPr>
        <w:t> </w:t>
      </w:r>
      <w:r>
        <w:rPr>
          <w:sz w:val="20"/>
        </w:rPr>
        <w:t>realice con</w:t>
      </w:r>
      <w:r>
        <w:rPr>
          <w:spacing w:val="-13"/>
          <w:sz w:val="20"/>
        </w:rPr>
        <w:t> </w:t>
      </w:r>
      <w:r>
        <w:rPr>
          <w:sz w:val="20"/>
        </w:rPr>
        <w:t>cargo</w:t>
      </w:r>
      <w:r>
        <w:rPr>
          <w:spacing w:val="-12"/>
          <w:sz w:val="20"/>
        </w:rPr>
        <w:t> </w:t>
      </w:r>
      <w:r>
        <w:rPr>
          <w:sz w:val="20"/>
        </w:rPr>
        <w:t>al</w:t>
      </w:r>
      <w:r>
        <w:rPr>
          <w:spacing w:val="-13"/>
          <w:sz w:val="20"/>
        </w:rPr>
        <w:t> </w:t>
      </w:r>
      <w:r>
        <w:rPr>
          <w:sz w:val="20"/>
        </w:rPr>
        <w:t>particular;</w:t>
      </w:r>
      <w:r>
        <w:rPr>
          <w:spacing w:val="-12"/>
          <w:sz w:val="20"/>
        </w:rPr>
        <w:t> </w:t>
      </w:r>
      <w:r>
        <w:rPr>
          <w:sz w:val="20"/>
        </w:rPr>
        <w:t>mismos</w:t>
      </w:r>
      <w:r>
        <w:rPr>
          <w:spacing w:val="-11"/>
          <w:sz w:val="20"/>
        </w:rPr>
        <w:t> </w:t>
      </w:r>
      <w:r>
        <w:rPr>
          <w:sz w:val="20"/>
        </w:rPr>
        <w:t>que</w:t>
      </w:r>
      <w:r>
        <w:rPr>
          <w:spacing w:val="-12"/>
          <w:sz w:val="20"/>
        </w:rPr>
        <w:t> </w:t>
      </w:r>
      <w:r>
        <w:rPr>
          <w:sz w:val="20"/>
        </w:rPr>
        <w:t>deberán</w:t>
      </w:r>
      <w:r>
        <w:rPr>
          <w:spacing w:val="-10"/>
          <w:sz w:val="20"/>
        </w:rPr>
        <w:t> </w:t>
      </w:r>
      <w:r>
        <w:rPr>
          <w:sz w:val="20"/>
        </w:rPr>
        <w:t>incluir</w:t>
      </w:r>
      <w:r>
        <w:rPr>
          <w:spacing w:val="-9"/>
          <w:sz w:val="20"/>
        </w:rPr>
        <w:t> </w:t>
      </w:r>
      <w:r>
        <w:rPr>
          <w:sz w:val="20"/>
        </w:rPr>
        <w:t>las</w:t>
      </w:r>
      <w:r>
        <w:rPr>
          <w:spacing w:val="-9"/>
          <w:sz w:val="20"/>
        </w:rPr>
        <w:t> </w:t>
      </w:r>
      <w:r>
        <w:rPr>
          <w:sz w:val="20"/>
        </w:rPr>
        <w:t>factibilidades</w:t>
      </w:r>
      <w:r>
        <w:rPr>
          <w:spacing w:val="-11"/>
          <w:sz w:val="20"/>
        </w:rPr>
        <w:t> </w:t>
      </w:r>
      <w:r>
        <w:rPr>
          <w:sz w:val="20"/>
        </w:rPr>
        <w:t>de</w:t>
      </w:r>
      <w:r>
        <w:rPr>
          <w:spacing w:val="-12"/>
          <w:sz w:val="20"/>
        </w:rPr>
        <w:t> </w:t>
      </w:r>
      <w:r>
        <w:rPr>
          <w:sz w:val="20"/>
        </w:rPr>
        <w:t>energía</w:t>
      </w:r>
      <w:r>
        <w:rPr>
          <w:spacing w:val="-10"/>
          <w:sz w:val="20"/>
        </w:rPr>
        <w:t> </w:t>
      </w:r>
      <w:r>
        <w:rPr>
          <w:sz w:val="20"/>
        </w:rPr>
        <w:t>eléctrica,</w:t>
      </w:r>
      <w:r>
        <w:rPr>
          <w:spacing w:val="-13"/>
          <w:sz w:val="20"/>
        </w:rPr>
        <w:t> </w:t>
      </w:r>
      <w:r>
        <w:rPr>
          <w:sz w:val="20"/>
        </w:rPr>
        <w:t>alumbrado público, agua y drenaje y el dictamen del equipamiento existente, con la finalidad de detectar si se requiere área de donación. La introducción de servicios será por cuenta del solicitante, dentro del plazo que le determine el ayuntamiento correspondiente;</w:t>
      </w:r>
    </w:p>
    <w:p>
      <w:pPr>
        <w:pStyle w:val="BodyText"/>
        <w:spacing w:before="1"/>
      </w:pPr>
    </w:p>
    <w:p>
      <w:pPr>
        <w:pStyle w:val="ListParagraph"/>
        <w:numPr>
          <w:ilvl w:val="0"/>
          <w:numId w:val="124"/>
        </w:numPr>
        <w:tabs>
          <w:tab w:pos="686" w:val="left" w:leader="none"/>
        </w:tabs>
        <w:spacing w:line="240" w:lineRule="auto" w:before="0" w:after="0"/>
        <w:ind w:left="262" w:right="289" w:firstLine="0"/>
        <w:jc w:val="both"/>
        <w:rPr>
          <w:sz w:val="20"/>
        </w:rPr>
      </w:pPr>
      <w:r>
        <w:rPr>
          <w:sz w:val="20"/>
        </w:rPr>
        <w:t>No podrá autorizarse la subdivisión en caso que el predio que se pretende subdividir afecte el trazo de vialidades proyectadas, a menos que el área afectada sea donada al Municipio;</w:t>
      </w:r>
    </w:p>
    <w:p>
      <w:pPr>
        <w:pStyle w:val="ListParagraph"/>
        <w:numPr>
          <w:ilvl w:val="0"/>
          <w:numId w:val="124"/>
        </w:numPr>
        <w:tabs>
          <w:tab w:pos="741" w:val="left" w:leader="none"/>
        </w:tabs>
        <w:spacing w:line="240" w:lineRule="auto" w:before="229" w:after="0"/>
        <w:ind w:left="262" w:right="279" w:firstLine="0"/>
        <w:jc w:val="both"/>
        <w:rPr>
          <w:sz w:val="20"/>
        </w:rPr>
      </w:pPr>
      <w:r>
        <w:rPr>
          <w:sz w:val="20"/>
        </w:rPr>
        <w:t>En</w:t>
      </w:r>
      <w:r>
        <w:rPr>
          <w:spacing w:val="-11"/>
          <w:sz w:val="20"/>
        </w:rPr>
        <w:t> </w:t>
      </w:r>
      <w:r>
        <w:rPr>
          <w:sz w:val="20"/>
        </w:rPr>
        <w:t>caso</w:t>
      </w:r>
      <w:r>
        <w:rPr>
          <w:spacing w:val="-11"/>
          <w:sz w:val="20"/>
        </w:rPr>
        <w:t> </w:t>
      </w:r>
      <w:r>
        <w:rPr>
          <w:sz w:val="20"/>
        </w:rPr>
        <w:t>que</w:t>
      </w:r>
      <w:r>
        <w:rPr>
          <w:spacing w:val="-11"/>
          <w:sz w:val="20"/>
        </w:rPr>
        <w:t> </w:t>
      </w:r>
      <w:r>
        <w:rPr>
          <w:sz w:val="20"/>
        </w:rPr>
        <w:t>la</w:t>
      </w:r>
      <w:r>
        <w:rPr>
          <w:spacing w:val="-11"/>
          <w:sz w:val="20"/>
        </w:rPr>
        <w:t> </w:t>
      </w:r>
      <w:r>
        <w:rPr>
          <w:sz w:val="20"/>
        </w:rPr>
        <w:t>subdivisión</w:t>
      </w:r>
      <w:r>
        <w:rPr>
          <w:spacing w:val="-11"/>
          <w:sz w:val="20"/>
        </w:rPr>
        <w:t> </w:t>
      </w:r>
      <w:r>
        <w:rPr>
          <w:sz w:val="20"/>
        </w:rPr>
        <w:t>implique</w:t>
      </w:r>
      <w:r>
        <w:rPr>
          <w:spacing w:val="-10"/>
          <w:sz w:val="20"/>
        </w:rPr>
        <w:t> </w:t>
      </w:r>
      <w:r>
        <w:rPr>
          <w:sz w:val="20"/>
        </w:rPr>
        <w:t>más</w:t>
      </w:r>
      <w:r>
        <w:rPr>
          <w:spacing w:val="-10"/>
          <w:sz w:val="20"/>
        </w:rPr>
        <w:t> </w:t>
      </w:r>
      <w:r>
        <w:rPr>
          <w:sz w:val="20"/>
        </w:rPr>
        <w:t>de</w:t>
      </w:r>
      <w:r>
        <w:rPr>
          <w:spacing w:val="-12"/>
          <w:sz w:val="20"/>
        </w:rPr>
        <w:t> </w:t>
      </w:r>
      <w:r>
        <w:rPr>
          <w:sz w:val="20"/>
        </w:rPr>
        <w:t>diez</w:t>
      </w:r>
      <w:r>
        <w:rPr>
          <w:spacing w:val="-10"/>
          <w:sz w:val="20"/>
        </w:rPr>
        <w:t> </w:t>
      </w:r>
      <w:r>
        <w:rPr>
          <w:sz w:val="20"/>
        </w:rPr>
        <w:t>fracciones,</w:t>
      </w:r>
      <w:r>
        <w:rPr>
          <w:spacing w:val="-11"/>
          <w:sz w:val="20"/>
        </w:rPr>
        <w:t> </w:t>
      </w:r>
      <w:r>
        <w:rPr>
          <w:sz w:val="20"/>
        </w:rPr>
        <w:t>el</w:t>
      </w:r>
      <w:r>
        <w:rPr>
          <w:spacing w:val="-12"/>
          <w:sz w:val="20"/>
        </w:rPr>
        <w:t> </w:t>
      </w:r>
      <w:r>
        <w:rPr>
          <w:sz w:val="20"/>
        </w:rPr>
        <w:t>solicitante</w:t>
      </w:r>
      <w:r>
        <w:rPr>
          <w:spacing w:val="-12"/>
          <w:sz w:val="20"/>
        </w:rPr>
        <w:t> </w:t>
      </w:r>
      <w:r>
        <w:rPr>
          <w:sz w:val="20"/>
        </w:rPr>
        <w:t>deberá</w:t>
      </w:r>
      <w:r>
        <w:rPr>
          <w:spacing w:val="-9"/>
          <w:sz w:val="20"/>
        </w:rPr>
        <w:t> </w:t>
      </w:r>
      <w:r>
        <w:rPr>
          <w:sz w:val="20"/>
        </w:rPr>
        <w:t>presentar</w:t>
      </w:r>
      <w:r>
        <w:rPr>
          <w:spacing w:val="-11"/>
          <w:sz w:val="20"/>
        </w:rPr>
        <w:t> </w:t>
      </w:r>
      <w:r>
        <w:rPr>
          <w:sz w:val="20"/>
        </w:rPr>
        <w:t>una exposición en la que manifieste los motivos por los que se pretende subdividir el predio; el Ayuntamiento</w:t>
      </w:r>
      <w:r>
        <w:rPr>
          <w:spacing w:val="-1"/>
          <w:sz w:val="20"/>
        </w:rPr>
        <w:t> </w:t>
      </w:r>
      <w:r>
        <w:rPr>
          <w:sz w:val="20"/>
        </w:rPr>
        <w:t>verificará los antecedentes históricos de la</w:t>
      </w:r>
      <w:r>
        <w:rPr>
          <w:spacing w:val="-1"/>
          <w:sz w:val="20"/>
        </w:rPr>
        <w:t> </w:t>
      </w:r>
      <w:r>
        <w:rPr>
          <w:sz w:val="20"/>
        </w:rPr>
        <w:t>subdivisión</w:t>
      </w:r>
      <w:r>
        <w:rPr>
          <w:spacing w:val="-1"/>
          <w:sz w:val="20"/>
        </w:rPr>
        <w:t> </w:t>
      </w:r>
      <w:r>
        <w:rPr>
          <w:sz w:val="20"/>
        </w:rPr>
        <w:t>del</w:t>
      </w:r>
      <w:r>
        <w:rPr>
          <w:spacing w:val="-1"/>
          <w:sz w:val="20"/>
        </w:rPr>
        <w:t> </w:t>
      </w:r>
      <w:r>
        <w:rPr>
          <w:sz w:val="20"/>
        </w:rPr>
        <w:t>predio,</w:t>
      </w:r>
      <w:r>
        <w:rPr>
          <w:spacing w:val="-1"/>
          <w:sz w:val="20"/>
        </w:rPr>
        <w:t> </w:t>
      </w:r>
      <w:r>
        <w:rPr>
          <w:sz w:val="20"/>
        </w:rPr>
        <w:t>así mismo, para</w:t>
      </w:r>
      <w:r>
        <w:rPr>
          <w:spacing w:val="-1"/>
          <w:sz w:val="20"/>
        </w:rPr>
        <w:t> </w:t>
      </w:r>
      <w:r>
        <w:rPr>
          <w:sz w:val="20"/>
        </w:rPr>
        <w:t>el</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caso de que se detecte que los predios a subdividir se pretendan comercializar públicamente se le dará el tratamiento de fraccionamiento;</w:t>
      </w:r>
    </w:p>
    <w:p>
      <w:pPr>
        <w:pStyle w:val="BodyText"/>
        <w:spacing w:before="1"/>
      </w:pPr>
    </w:p>
    <w:p>
      <w:pPr>
        <w:pStyle w:val="ListParagraph"/>
        <w:numPr>
          <w:ilvl w:val="0"/>
          <w:numId w:val="124"/>
        </w:numPr>
        <w:tabs>
          <w:tab w:pos="688" w:val="left" w:leader="none"/>
        </w:tabs>
        <w:spacing w:line="240" w:lineRule="auto" w:before="0" w:after="0"/>
        <w:ind w:left="688" w:right="0" w:hanging="426"/>
        <w:jc w:val="both"/>
        <w:rPr>
          <w:sz w:val="20"/>
        </w:rPr>
      </w:pPr>
      <w:r>
        <w:rPr>
          <w:sz w:val="20"/>
        </w:rPr>
        <w:t>Cumplir</w:t>
      </w:r>
      <w:r>
        <w:rPr>
          <w:spacing w:val="-5"/>
          <w:sz w:val="20"/>
        </w:rPr>
        <w:t> </w:t>
      </w:r>
      <w:r>
        <w:rPr>
          <w:sz w:val="20"/>
        </w:rPr>
        <w:t>el</w:t>
      </w:r>
      <w:r>
        <w:rPr>
          <w:spacing w:val="-9"/>
          <w:sz w:val="20"/>
        </w:rPr>
        <w:t> </w:t>
      </w:r>
      <w:r>
        <w:rPr>
          <w:sz w:val="20"/>
        </w:rPr>
        <w:t>solicitante</w:t>
      </w:r>
      <w:r>
        <w:rPr>
          <w:spacing w:val="-8"/>
          <w:sz w:val="20"/>
        </w:rPr>
        <w:t> </w:t>
      </w:r>
      <w:r>
        <w:rPr>
          <w:sz w:val="20"/>
        </w:rPr>
        <w:t>en</w:t>
      </w:r>
      <w:r>
        <w:rPr>
          <w:spacing w:val="-8"/>
          <w:sz w:val="20"/>
        </w:rPr>
        <w:t> </w:t>
      </w:r>
      <w:r>
        <w:rPr>
          <w:sz w:val="20"/>
        </w:rPr>
        <w:t>lo</w:t>
      </w:r>
      <w:r>
        <w:rPr>
          <w:spacing w:val="-6"/>
          <w:sz w:val="20"/>
        </w:rPr>
        <w:t> </w:t>
      </w:r>
      <w:r>
        <w:rPr>
          <w:sz w:val="20"/>
        </w:rPr>
        <w:t>conducente</w:t>
      </w:r>
      <w:r>
        <w:rPr>
          <w:spacing w:val="-8"/>
          <w:sz w:val="20"/>
        </w:rPr>
        <w:t> </w:t>
      </w:r>
      <w:r>
        <w:rPr>
          <w:sz w:val="20"/>
        </w:rPr>
        <w:t>con</w:t>
      </w:r>
      <w:r>
        <w:rPr>
          <w:spacing w:val="-6"/>
          <w:sz w:val="20"/>
        </w:rPr>
        <w:t> </w:t>
      </w:r>
      <w:r>
        <w:rPr>
          <w:sz w:val="20"/>
        </w:rPr>
        <w:t>las</w:t>
      </w:r>
      <w:r>
        <w:rPr>
          <w:spacing w:val="-5"/>
          <w:sz w:val="20"/>
        </w:rPr>
        <w:t> </w:t>
      </w:r>
      <w:r>
        <w:rPr>
          <w:sz w:val="20"/>
        </w:rPr>
        <w:t>obligaciones</w:t>
      </w:r>
      <w:r>
        <w:rPr>
          <w:spacing w:val="-7"/>
          <w:sz w:val="20"/>
        </w:rPr>
        <w:t> </w:t>
      </w:r>
      <w:r>
        <w:rPr>
          <w:sz w:val="20"/>
        </w:rPr>
        <w:t>previstas</w:t>
      </w:r>
      <w:r>
        <w:rPr>
          <w:spacing w:val="-6"/>
          <w:sz w:val="20"/>
        </w:rPr>
        <w:t> </w:t>
      </w:r>
      <w:r>
        <w:rPr>
          <w:sz w:val="20"/>
        </w:rPr>
        <w:t>en</w:t>
      </w:r>
      <w:r>
        <w:rPr>
          <w:spacing w:val="-8"/>
          <w:sz w:val="20"/>
        </w:rPr>
        <w:t> </w:t>
      </w:r>
      <w:r>
        <w:rPr>
          <w:sz w:val="20"/>
        </w:rPr>
        <w:t>el</w:t>
      </w:r>
      <w:r>
        <w:rPr>
          <w:spacing w:val="-8"/>
          <w:sz w:val="20"/>
        </w:rPr>
        <w:t> </w:t>
      </w:r>
      <w:r>
        <w:rPr>
          <w:sz w:val="20"/>
        </w:rPr>
        <w:t>artículo</w:t>
      </w:r>
      <w:r>
        <w:rPr>
          <w:spacing w:val="-8"/>
          <w:sz w:val="20"/>
        </w:rPr>
        <w:t> </w:t>
      </w:r>
      <w:r>
        <w:rPr>
          <w:sz w:val="20"/>
        </w:rPr>
        <w:t>anterior,</w:t>
      </w:r>
      <w:r>
        <w:rPr>
          <w:spacing w:val="-8"/>
          <w:sz w:val="20"/>
        </w:rPr>
        <w:t> </w:t>
      </w:r>
      <w:r>
        <w:rPr>
          <w:spacing w:val="-10"/>
          <w:sz w:val="20"/>
        </w:rPr>
        <w:t>y</w:t>
      </w:r>
    </w:p>
    <w:p>
      <w:pPr>
        <w:pStyle w:val="ListParagraph"/>
        <w:numPr>
          <w:ilvl w:val="0"/>
          <w:numId w:val="124"/>
        </w:numPr>
        <w:tabs>
          <w:tab w:pos="688" w:val="left" w:leader="none"/>
        </w:tabs>
        <w:spacing w:line="240" w:lineRule="auto" w:before="229" w:after="0"/>
        <w:ind w:left="262" w:right="289" w:firstLine="0"/>
        <w:jc w:val="both"/>
        <w:rPr>
          <w:sz w:val="20"/>
        </w:rPr>
      </w:pPr>
      <w:r>
        <w:rPr>
          <w:sz w:val="20"/>
        </w:rPr>
        <w:t>El Ayuntamiento remitirá una copia de la autorización de subdivisión a</w:t>
      </w:r>
      <w:r>
        <w:rPr>
          <w:spacing w:val="40"/>
          <w:sz w:val="20"/>
        </w:rPr>
        <w:t> </w:t>
      </w:r>
      <w:r>
        <w:rPr>
          <w:sz w:val="20"/>
        </w:rPr>
        <w:t>la autoridad catastral</w:t>
      </w:r>
      <w:r>
        <w:rPr>
          <w:spacing w:val="-1"/>
          <w:sz w:val="20"/>
        </w:rPr>
        <w:t> </w:t>
      </w:r>
      <w:r>
        <w:rPr>
          <w:sz w:val="20"/>
        </w:rPr>
        <w:t>y en su caso, agraria correspondiente.</w:t>
      </w:r>
    </w:p>
    <w:p>
      <w:pPr>
        <w:pStyle w:val="BodyText"/>
        <w:spacing w:before="1"/>
      </w:pPr>
    </w:p>
    <w:p>
      <w:pPr>
        <w:pStyle w:val="BodyText"/>
        <w:ind w:left="262" w:right="278"/>
        <w:jc w:val="both"/>
      </w:pPr>
      <w:r>
        <w:rPr>
          <w:rFonts w:ascii="Arial" w:hAnsi="Arial"/>
          <w:b/>
        </w:rPr>
        <w:t>ARTÍCULO 356. </w:t>
      </w:r>
      <w:r>
        <w:rPr/>
        <w:t>Podrán solicitar fusiones o subdivisiones de áreas o predios, las personas físicas o morales, públicas o privadas, que sean las legítimas propietarias de los inmuebles objeto de la solicitud, para tal efecto deberá presentar la solicitud por escrito ante la dirección municipal correspondiente, anexando los siguientes datos y documentos:</w:t>
      </w:r>
    </w:p>
    <w:p>
      <w:pPr>
        <w:pStyle w:val="BodyText"/>
      </w:pPr>
    </w:p>
    <w:p>
      <w:pPr>
        <w:pStyle w:val="ListParagraph"/>
        <w:numPr>
          <w:ilvl w:val="0"/>
          <w:numId w:val="125"/>
        </w:numPr>
        <w:tabs>
          <w:tab w:pos="742" w:val="left" w:leader="none"/>
        </w:tabs>
        <w:spacing w:line="240" w:lineRule="auto" w:before="0" w:after="0"/>
        <w:ind w:left="742" w:right="0" w:hanging="480"/>
        <w:jc w:val="both"/>
        <w:rPr>
          <w:sz w:val="20"/>
        </w:rPr>
      </w:pPr>
      <w:r>
        <w:rPr>
          <w:sz w:val="20"/>
        </w:rPr>
        <w:t>Datos</w:t>
      </w:r>
      <w:r>
        <w:rPr>
          <w:spacing w:val="-8"/>
          <w:sz w:val="20"/>
        </w:rPr>
        <w:t> </w:t>
      </w:r>
      <w:r>
        <w:rPr>
          <w:sz w:val="20"/>
        </w:rPr>
        <w:t>personales</w:t>
      </w:r>
      <w:r>
        <w:rPr>
          <w:spacing w:val="-8"/>
          <w:sz w:val="20"/>
        </w:rPr>
        <w:t> </w:t>
      </w:r>
      <w:r>
        <w:rPr>
          <w:sz w:val="20"/>
        </w:rPr>
        <w:t>del</w:t>
      </w:r>
      <w:r>
        <w:rPr>
          <w:spacing w:val="-9"/>
          <w:sz w:val="20"/>
        </w:rPr>
        <w:t> </w:t>
      </w:r>
      <w:r>
        <w:rPr>
          <w:spacing w:val="-2"/>
          <w:sz w:val="20"/>
        </w:rPr>
        <w:t>solicitante;</w:t>
      </w:r>
    </w:p>
    <w:p>
      <w:pPr>
        <w:pStyle w:val="BodyText"/>
        <w:spacing w:before="1"/>
      </w:pPr>
    </w:p>
    <w:p>
      <w:pPr>
        <w:pStyle w:val="ListParagraph"/>
        <w:numPr>
          <w:ilvl w:val="0"/>
          <w:numId w:val="125"/>
        </w:numPr>
        <w:tabs>
          <w:tab w:pos="686" w:val="left" w:leader="none"/>
        </w:tabs>
        <w:spacing w:line="240" w:lineRule="auto" w:before="0" w:after="0"/>
        <w:ind w:left="686" w:right="0" w:hanging="424"/>
        <w:jc w:val="both"/>
        <w:rPr>
          <w:sz w:val="20"/>
        </w:rPr>
      </w:pPr>
      <w:r>
        <w:rPr>
          <w:sz w:val="20"/>
        </w:rPr>
        <w:t>Datos</w:t>
      </w:r>
      <w:r>
        <w:rPr>
          <w:spacing w:val="-4"/>
          <w:sz w:val="20"/>
        </w:rPr>
        <w:t> </w:t>
      </w:r>
      <w:r>
        <w:rPr>
          <w:sz w:val="20"/>
        </w:rPr>
        <w:t>de</w:t>
      </w:r>
      <w:r>
        <w:rPr>
          <w:spacing w:val="-5"/>
          <w:sz w:val="20"/>
        </w:rPr>
        <w:t> </w:t>
      </w:r>
      <w:r>
        <w:rPr>
          <w:sz w:val="20"/>
        </w:rPr>
        <w:t>las</w:t>
      </w:r>
      <w:r>
        <w:rPr>
          <w:spacing w:val="-4"/>
          <w:sz w:val="20"/>
        </w:rPr>
        <w:t> </w:t>
      </w:r>
      <w:r>
        <w:rPr>
          <w:sz w:val="20"/>
        </w:rPr>
        <w:t>áreas</w:t>
      </w:r>
      <w:r>
        <w:rPr>
          <w:spacing w:val="-4"/>
          <w:sz w:val="20"/>
        </w:rPr>
        <w:t> </w:t>
      </w:r>
      <w:r>
        <w:rPr>
          <w:sz w:val="20"/>
        </w:rPr>
        <w:t>o</w:t>
      </w:r>
      <w:r>
        <w:rPr>
          <w:spacing w:val="-3"/>
          <w:sz w:val="20"/>
        </w:rPr>
        <w:t> </w:t>
      </w:r>
      <w:r>
        <w:rPr>
          <w:spacing w:val="-2"/>
          <w:sz w:val="20"/>
        </w:rPr>
        <w:t>predios;</w:t>
      </w:r>
    </w:p>
    <w:p>
      <w:pPr>
        <w:pStyle w:val="ListParagraph"/>
        <w:numPr>
          <w:ilvl w:val="0"/>
          <w:numId w:val="125"/>
        </w:numPr>
        <w:tabs>
          <w:tab w:pos="741" w:val="left" w:leader="none"/>
        </w:tabs>
        <w:spacing w:line="240" w:lineRule="auto" w:before="228" w:after="0"/>
        <w:ind w:left="262" w:right="284" w:firstLine="0"/>
        <w:jc w:val="both"/>
        <w:rPr>
          <w:sz w:val="20"/>
        </w:rPr>
      </w:pPr>
      <w:r>
        <w:rPr>
          <w:sz w:val="20"/>
        </w:rPr>
        <w:t>Copia certificada de la escritura pública debidamente inscrita en el Registro Público de la </w:t>
      </w:r>
      <w:r>
        <w:rPr>
          <w:spacing w:val="-2"/>
          <w:sz w:val="20"/>
        </w:rPr>
        <w:t>Propiedad;</w:t>
      </w:r>
    </w:p>
    <w:p>
      <w:pPr>
        <w:pStyle w:val="BodyText"/>
        <w:spacing w:before="2"/>
      </w:pPr>
    </w:p>
    <w:p>
      <w:pPr>
        <w:pStyle w:val="ListParagraph"/>
        <w:numPr>
          <w:ilvl w:val="0"/>
          <w:numId w:val="125"/>
        </w:numPr>
        <w:tabs>
          <w:tab w:pos="688" w:val="left" w:leader="none"/>
        </w:tabs>
        <w:spacing w:line="240" w:lineRule="auto" w:before="0" w:after="0"/>
        <w:ind w:left="688" w:right="0" w:hanging="426"/>
        <w:jc w:val="both"/>
        <w:rPr>
          <w:sz w:val="20"/>
        </w:rPr>
      </w:pPr>
      <w:r>
        <w:rPr>
          <w:sz w:val="20"/>
        </w:rPr>
        <w:t>Constancia</w:t>
      </w:r>
      <w:r>
        <w:rPr>
          <w:spacing w:val="-7"/>
          <w:sz w:val="20"/>
        </w:rPr>
        <w:t> </w:t>
      </w:r>
      <w:r>
        <w:rPr>
          <w:sz w:val="20"/>
        </w:rPr>
        <w:t>de</w:t>
      </w:r>
      <w:r>
        <w:rPr>
          <w:spacing w:val="-6"/>
          <w:sz w:val="20"/>
        </w:rPr>
        <w:t> </w:t>
      </w:r>
      <w:r>
        <w:rPr>
          <w:sz w:val="20"/>
        </w:rPr>
        <w:t>no</w:t>
      </w:r>
      <w:r>
        <w:rPr>
          <w:spacing w:val="-6"/>
          <w:sz w:val="20"/>
        </w:rPr>
        <w:t> </w:t>
      </w:r>
      <w:r>
        <w:rPr>
          <w:sz w:val="20"/>
        </w:rPr>
        <w:t>adeudo</w:t>
      </w:r>
      <w:r>
        <w:rPr>
          <w:spacing w:val="-7"/>
          <w:sz w:val="20"/>
        </w:rPr>
        <w:t> </w:t>
      </w:r>
      <w:r>
        <w:rPr>
          <w:sz w:val="20"/>
        </w:rPr>
        <w:t>del</w:t>
      </w:r>
      <w:r>
        <w:rPr>
          <w:spacing w:val="-5"/>
          <w:sz w:val="20"/>
        </w:rPr>
        <w:t> </w:t>
      </w:r>
      <w:r>
        <w:rPr>
          <w:sz w:val="20"/>
        </w:rPr>
        <w:t>impuesto</w:t>
      </w:r>
      <w:r>
        <w:rPr>
          <w:spacing w:val="-4"/>
          <w:sz w:val="20"/>
        </w:rPr>
        <w:t> </w:t>
      </w:r>
      <w:r>
        <w:rPr>
          <w:sz w:val="20"/>
        </w:rPr>
        <w:t>a</w:t>
      </w:r>
      <w:r>
        <w:rPr>
          <w:spacing w:val="-7"/>
          <w:sz w:val="20"/>
        </w:rPr>
        <w:t> </w:t>
      </w:r>
      <w:r>
        <w:rPr>
          <w:sz w:val="20"/>
        </w:rPr>
        <w:t>la</w:t>
      </w:r>
      <w:r>
        <w:rPr>
          <w:spacing w:val="-6"/>
          <w:sz w:val="20"/>
        </w:rPr>
        <w:t> </w:t>
      </w:r>
      <w:r>
        <w:rPr>
          <w:sz w:val="20"/>
        </w:rPr>
        <w:t>propiedad</w:t>
      </w:r>
      <w:r>
        <w:rPr>
          <w:spacing w:val="-4"/>
          <w:sz w:val="20"/>
        </w:rPr>
        <w:t> </w:t>
      </w:r>
      <w:r>
        <w:rPr>
          <w:sz w:val="20"/>
        </w:rPr>
        <w:t>raíz</w:t>
      </w:r>
      <w:r>
        <w:rPr>
          <w:spacing w:val="-5"/>
          <w:sz w:val="20"/>
        </w:rPr>
        <w:t> </w:t>
      </w:r>
      <w:r>
        <w:rPr>
          <w:sz w:val="20"/>
        </w:rPr>
        <w:t>y</w:t>
      </w:r>
      <w:r>
        <w:rPr>
          <w:spacing w:val="-5"/>
          <w:sz w:val="20"/>
        </w:rPr>
        <w:t> </w:t>
      </w:r>
      <w:r>
        <w:rPr>
          <w:sz w:val="20"/>
        </w:rPr>
        <w:t>clave</w:t>
      </w:r>
      <w:r>
        <w:rPr>
          <w:spacing w:val="-7"/>
          <w:sz w:val="20"/>
        </w:rPr>
        <w:t> </w:t>
      </w:r>
      <w:r>
        <w:rPr>
          <w:sz w:val="20"/>
        </w:rPr>
        <w:t>catastral</w:t>
      </w:r>
      <w:r>
        <w:rPr>
          <w:spacing w:val="-7"/>
          <w:sz w:val="20"/>
        </w:rPr>
        <w:t> </w:t>
      </w:r>
      <w:r>
        <w:rPr>
          <w:sz w:val="20"/>
        </w:rPr>
        <w:t>de</w:t>
      </w:r>
      <w:r>
        <w:rPr>
          <w:spacing w:val="-4"/>
          <w:sz w:val="20"/>
        </w:rPr>
        <w:t> </w:t>
      </w:r>
      <w:r>
        <w:rPr>
          <w:sz w:val="20"/>
        </w:rPr>
        <w:t>los</w:t>
      </w:r>
      <w:r>
        <w:rPr>
          <w:spacing w:val="-3"/>
          <w:sz w:val="20"/>
        </w:rPr>
        <w:t> </w:t>
      </w:r>
      <w:r>
        <w:rPr>
          <w:spacing w:val="-2"/>
          <w:sz w:val="20"/>
        </w:rPr>
        <w:t>predios;</w:t>
      </w:r>
    </w:p>
    <w:p>
      <w:pPr>
        <w:pStyle w:val="ListParagraph"/>
        <w:numPr>
          <w:ilvl w:val="0"/>
          <w:numId w:val="125"/>
        </w:numPr>
        <w:tabs>
          <w:tab w:pos="688" w:val="left" w:leader="none"/>
        </w:tabs>
        <w:spacing w:line="240" w:lineRule="auto" w:before="228" w:after="0"/>
        <w:ind w:left="262" w:right="282" w:firstLine="0"/>
        <w:jc w:val="both"/>
        <w:rPr>
          <w:sz w:val="20"/>
        </w:rPr>
      </w:pPr>
      <w:r>
        <w:rPr>
          <w:sz w:val="20"/>
        </w:rPr>
        <w:t>Plano</w:t>
      </w:r>
      <w:r>
        <w:rPr>
          <w:spacing w:val="-9"/>
          <w:sz w:val="20"/>
        </w:rPr>
        <w:t> </w:t>
      </w:r>
      <w:r>
        <w:rPr>
          <w:sz w:val="20"/>
        </w:rPr>
        <w:t>del</w:t>
      </w:r>
      <w:r>
        <w:rPr>
          <w:spacing w:val="-10"/>
          <w:sz w:val="20"/>
        </w:rPr>
        <w:t> </w:t>
      </w:r>
      <w:r>
        <w:rPr>
          <w:sz w:val="20"/>
        </w:rPr>
        <w:t>terreno</w:t>
      </w:r>
      <w:r>
        <w:rPr>
          <w:spacing w:val="-9"/>
          <w:sz w:val="20"/>
        </w:rPr>
        <w:t> </w:t>
      </w:r>
      <w:r>
        <w:rPr>
          <w:sz w:val="20"/>
        </w:rPr>
        <w:t>o</w:t>
      </w:r>
      <w:r>
        <w:rPr>
          <w:spacing w:val="-9"/>
          <w:sz w:val="20"/>
        </w:rPr>
        <w:t> </w:t>
      </w:r>
      <w:r>
        <w:rPr>
          <w:sz w:val="20"/>
        </w:rPr>
        <w:t>de</w:t>
      </w:r>
      <w:r>
        <w:rPr>
          <w:spacing w:val="-9"/>
          <w:sz w:val="20"/>
        </w:rPr>
        <w:t> </w:t>
      </w:r>
      <w:r>
        <w:rPr>
          <w:sz w:val="20"/>
        </w:rPr>
        <w:t>los</w:t>
      </w:r>
      <w:r>
        <w:rPr>
          <w:spacing w:val="-8"/>
          <w:sz w:val="20"/>
        </w:rPr>
        <w:t> </w:t>
      </w:r>
      <w:r>
        <w:rPr>
          <w:sz w:val="20"/>
        </w:rPr>
        <w:t>terrenos</w:t>
      </w:r>
      <w:r>
        <w:rPr>
          <w:spacing w:val="-8"/>
          <w:sz w:val="20"/>
        </w:rPr>
        <w:t> </w:t>
      </w:r>
      <w:r>
        <w:rPr>
          <w:sz w:val="20"/>
        </w:rPr>
        <w:t>con</w:t>
      </w:r>
      <w:r>
        <w:rPr>
          <w:spacing w:val="-9"/>
          <w:sz w:val="20"/>
        </w:rPr>
        <w:t> </w:t>
      </w:r>
      <w:r>
        <w:rPr>
          <w:sz w:val="20"/>
        </w:rPr>
        <w:t>acotaciones</w:t>
      </w:r>
      <w:r>
        <w:rPr>
          <w:spacing w:val="-8"/>
          <w:sz w:val="20"/>
        </w:rPr>
        <w:t> </w:t>
      </w:r>
      <w:r>
        <w:rPr>
          <w:sz w:val="20"/>
        </w:rPr>
        <w:t>en</w:t>
      </w:r>
      <w:r>
        <w:rPr>
          <w:spacing w:val="-8"/>
          <w:sz w:val="20"/>
        </w:rPr>
        <w:t> </w:t>
      </w:r>
      <w:r>
        <w:rPr>
          <w:sz w:val="20"/>
        </w:rPr>
        <w:t>metros</w:t>
      </w:r>
      <w:r>
        <w:rPr>
          <w:spacing w:val="-8"/>
          <w:sz w:val="20"/>
        </w:rPr>
        <w:t> </w:t>
      </w:r>
      <w:r>
        <w:rPr>
          <w:sz w:val="20"/>
        </w:rPr>
        <w:t>y</w:t>
      </w:r>
      <w:r>
        <w:rPr>
          <w:spacing w:val="-8"/>
          <w:sz w:val="20"/>
        </w:rPr>
        <w:t> </w:t>
      </w:r>
      <w:r>
        <w:rPr>
          <w:sz w:val="20"/>
        </w:rPr>
        <w:t>señalando</w:t>
      </w:r>
      <w:r>
        <w:rPr>
          <w:spacing w:val="-8"/>
          <w:sz w:val="20"/>
        </w:rPr>
        <w:t> </w:t>
      </w:r>
      <w:r>
        <w:rPr>
          <w:sz w:val="20"/>
        </w:rPr>
        <w:t>la</w:t>
      </w:r>
      <w:r>
        <w:rPr>
          <w:spacing w:val="-9"/>
          <w:sz w:val="20"/>
        </w:rPr>
        <w:t> </w:t>
      </w:r>
      <w:r>
        <w:rPr>
          <w:sz w:val="20"/>
        </w:rPr>
        <w:t>orientación</w:t>
      </w:r>
      <w:r>
        <w:rPr>
          <w:spacing w:val="-9"/>
          <w:sz w:val="20"/>
        </w:rPr>
        <w:t> </w:t>
      </w:r>
      <w:r>
        <w:rPr>
          <w:sz w:val="20"/>
        </w:rPr>
        <w:t>de</w:t>
      </w:r>
      <w:r>
        <w:rPr>
          <w:spacing w:val="-8"/>
          <w:sz w:val="20"/>
        </w:rPr>
        <w:t> </w:t>
      </w:r>
      <w:r>
        <w:rPr>
          <w:sz w:val="20"/>
        </w:rPr>
        <w:t>los mismos</w:t>
      </w:r>
      <w:r>
        <w:rPr>
          <w:spacing w:val="-6"/>
          <w:sz w:val="20"/>
        </w:rPr>
        <w:t> </w:t>
      </w:r>
      <w:r>
        <w:rPr>
          <w:sz w:val="20"/>
        </w:rPr>
        <w:t>y</w:t>
      </w:r>
      <w:r>
        <w:rPr>
          <w:spacing w:val="-9"/>
          <w:sz w:val="20"/>
        </w:rPr>
        <w:t> </w:t>
      </w:r>
      <w:r>
        <w:rPr>
          <w:sz w:val="20"/>
        </w:rPr>
        <w:t>sus</w:t>
      </w:r>
      <w:r>
        <w:rPr>
          <w:spacing w:val="-9"/>
          <w:sz w:val="20"/>
        </w:rPr>
        <w:t> </w:t>
      </w:r>
      <w:r>
        <w:rPr>
          <w:sz w:val="20"/>
        </w:rPr>
        <w:t>colindancias,</w:t>
      </w:r>
      <w:r>
        <w:rPr>
          <w:spacing w:val="-8"/>
          <w:sz w:val="20"/>
        </w:rPr>
        <w:t> </w:t>
      </w:r>
      <w:r>
        <w:rPr>
          <w:sz w:val="20"/>
        </w:rPr>
        <w:t>georeferenciado</w:t>
      </w:r>
      <w:r>
        <w:rPr>
          <w:spacing w:val="-8"/>
          <w:sz w:val="20"/>
        </w:rPr>
        <w:t> </w:t>
      </w:r>
      <w:r>
        <w:rPr>
          <w:sz w:val="20"/>
        </w:rPr>
        <w:t>con</w:t>
      </w:r>
      <w:r>
        <w:rPr>
          <w:spacing w:val="-10"/>
          <w:sz w:val="20"/>
        </w:rPr>
        <w:t> </w:t>
      </w:r>
      <w:r>
        <w:rPr>
          <w:sz w:val="20"/>
        </w:rPr>
        <w:t>coordenadas</w:t>
      </w:r>
      <w:r>
        <w:rPr>
          <w:spacing w:val="-9"/>
          <w:sz w:val="20"/>
        </w:rPr>
        <w:t> </w:t>
      </w:r>
      <w:r>
        <w:rPr>
          <w:sz w:val="20"/>
        </w:rPr>
        <w:t>UTM.</w:t>
      </w:r>
      <w:r>
        <w:rPr>
          <w:spacing w:val="-8"/>
          <w:sz w:val="20"/>
        </w:rPr>
        <w:t> </w:t>
      </w:r>
      <w:r>
        <w:rPr>
          <w:sz w:val="20"/>
        </w:rPr>
        <w:t>El</w:t>
      </w:r>
      <w:r>
        <w:rPr>
          <w:spacing w:val="-6"/>
          <w:sz w:val="20"/>
        </w:rPr>
        <w:t> </w:t>
      </w:r>
      <w:r>
        <w:rPr>
          <w:sz w:val="20"/>
        </w:rPr>
        <w:t>Ayuntamiento</w:t>
      </w:r>
      <w:r>
        <w:rPr>
          <w:spacing w:val="-8"/>
          <w:sz w:val="20"/>
        </w:rPr>
        <w:t> </w:t>
      </w:r>
      <w:r>
        <w:rPr>
          <w:sz w:val="20"/>
        </w:rPr>
        <w:t>podrá</w:t>
      </w:r>
      <w:r>
        <w:rPr>
          <w:spacing w:val="-8"/>
          <w:sz w:val="20"/>
        </w:rPr>
        <w:t> </w:t>
      </w:r>
      <w:r>
        <w:rPr>
          <w:sz w:val="20"/>
        </w:rPr>
        <w:t>aceptar dicho plano sin coordenadas UTM, cuando las colindancias estén definidas;</w:t>
      </w:r>
    </w:p>
    <w:p>
      <w:pPr>
        <w:pStyle w:val="BodyText"/>
        <w:spacing w:before="2"/>
      </w:pPr>
    </w:p>
    <w:p>
      <w:pPr>
        <w:pStyle w:val="ListParagraph"/>
        <w:numPr>
          <w:ilvl w:val="0"/>
          <w:numId w:val="125"/>
        </w:numPr>
        <w:tabs>
          <w:tab w:pos="688" w:val="left" w:leader="none"/>
        </w:tabs>
        <w:spacing w:line="240" w:lineRule="auto" w:before="0" w:after="0"/>
        <w:ind w:left="262" w:right="287" w:firstLine="0"/>
        <w:jc w:val="both"/>
        <w:rPr>
          <w:sz w:val="20"/>
        </w:rPr>
      </w:pPr>
      <w:r>
        <w:rPr>
          <w:sz w:val="20"/>
        </w:rPr>
        <w:t>Plano de la fusión o subdivisión que se pretenda realizar georeferenciado con coordenadas UTM. El Ayuntamiento podrá aceptar dicho plano sin coordenadas UTM, cuando las colindancias estén claramente definidas;</w:t>
      </w:r>
    </w:p>
    <w:p>
      <w:pPr>
        <w:pStyle w:val="ListParagraph"/>
        <w:numPr>
          <w:ilvl w:val="0"/>
          <w:numId w:val="125"/>
        </w:numPr>
        <w:tabs>
          <w:tab w:pos="688" w:val="left" w:leader="none"/>
        </w:tabs>
        <w:spacing w:line="240" w:lineRule="auto" w:before="229" w:after="0"/>
        <w:ind w:left="688" w:right="0" w:hanging="426"/>
        <w:jc w:val="both"/>
        <w:rPr>
          <w:sz w:val="20"/>
        </w:rPr>
      </w:pPr>
      <w:r>
        <w:rPr>
          <w:sz w:val="20"/>
        </w:rPr>
        <w:t>Características</w:t>
      </w:r>
      <w:r>
        <w:rPr>
          <w:spacing w:val="-7"/>
          <w:sz w:val="20"/>
        </w:rPr>
        <w:t> </w:t>
      </w:r>
      <w:r>
        <w:rPr>
          <w:sz w:val="20"/>
        </w:rPr>
        <w:t>de</w:t>
      </w:r>
      <w:r>
        <w:rPr>
          <w:spacing w:val="-6"/>
          <w:sz w:val="20"/>
        </w:rPr>
        <w:t> </w:t>
      </w:r>
      <w:r>
        <w:rPr>
          <w:sz w:val="20"/>
        </w:rPr>
        <w:t>la</w:t>
      </w:r>
      <w:r>
        <w:rPr>
          <w:spacing w:val="-7"/>
          <w:sz w:val="20"/>
        </w:rPr>
        <w:t> </w:t>
      </w:r>
      <w:r>
        <w:rPr>
          <w:sz w:val="20"/>
        </w:rPr>
        <w:t>urbanización</w:t>
      </w:r>
      <w:r>
        <w:rPr>
          <w:spacing w:val="-8"/>
          <w:sz w:val="20"/>
        </w:rPr>
        <w:t> </w:t>
      </w:r>
      <w:r>
        <w:rPr>
          <w:sz w:val="20"/>
        </w:rPr>
        <w:t>del</w:t>
      </w:r>
      <w:r>
        <w:rPr>
          <w:spacing w:val="-6"/>
          <w:sz w:val="20"/>
        </w:rPr>
        <w:t> </w:t>
      </w:r>
      <w:r>
        <w:rPr>
          <w:sz w:val="20"/>
        </w:rPr>
        <w:t>terreno</w:t>
      </w:r>
      <w:r>
        <w:rPr>
          <w:spacing w:val="-5"/>
          <w:sz w:val="20"/>
        </w:rPr>
        <w:t> </w:t>
      </w:r>
      <w:r>
        <w:rPr>
          <w:sz w:val="20"/>
        </w:rPr>
        <w:t>o</w:t>
      </w:r>
      <w:r>
        <w:rPr>
          <w:spacing w:val="-8"/>
          <w:sz w:val="20"/>
        </w:rPr>
        <w:t> </w:t>
      </w:r>
      <w:r>
        <w:rPr>
          <w:sz w:val="20"/>
        </w:rPr>
        <w:t>terrenos,</w:t>
      </w:r>
      <w:r>
        <w:rPr>
          <w:spacing w:val="-7"/>
          <w:sz w:val="20"/>
        </w:rPr>
        <w:t> </w:t>
      </w:r>
      <w:r>
        <w:rPr>
          <w:spacing w:val="-10"/>
          <w:sz w:val="20"/>
        </w:rPr>
        <w:t>y</w:t>
      </w:r>
    </w:p>
    <w:p>
      <w:pPr>
        <w:pStyle w:val="BodyText"/>
        <w:spacing w:before="1"/>
      </w:pPr>
    </w:p>
    <w:p>
      <w:pPr>
        <w:pStyle w:val="ListParagraph"/>
        <w:numPr>
          <w:ilvl w:val="0"/>
          <w:numId w:val="125"/>
        </w:numPr>
        <w:tabs>
          <w:tab w:pos="688" w:val="left" w:leader="none"/>
        </w:tabs>
        <w:spacing w:line="240" w:lineRule="auto" w:before="0" w:after="0"/>
        <w:ind w:left="262" w:right="285" w:firstLine="0"/>
        <w:jc w:val="both"/>
        <w:rPr>
          <w:sz w:val="20"/>
        </w:rPr>
      </w:pPr>
      <w:r>
        <w:rPr>
          <w:sz w:val="20"/>
        </w:rPr>
        <w:t>En</w:t>
      </w:r>
      <w:r>
        <w:rPr>
          <w:spacing w:val="-7"/>
          <w:sz w:val="20"/>
        </w:rPr>
        <w:t> </w:t>
      </w:r>
      <w:r>
        <w:rPr>
          <w:sz w:val="20"/>
        </w:rPr>
        <w:t>el</w:t>
      </w:r>
      <w:r>
        <w:rPr>
          <w:spacing w:val="-10"/>
          <w:sz w:val="20"/>
        </w:rPr>
        <w:t> </w:t>
      </w:r>
      <w:r>
        <w:rPr>
          <w:sz w:val="20"/>
        </w:rPr>
        <w:t>caso</w:t>
      </w:r>
      <w:r>
        <w:rPr>
          <w:spacing w:val="-7"/>
          <w:sz w:val="20"/>
        </w:rPr>
        <w:t> </w:t>
      </w:r>
      <w:r>
        <w:rPr>
          <w:sz w:val="20"/>
        </w:rPr>
        <w:t>de</w:t>
      </w:r>
      <w:r>
        <w:rPr>
          <w:spacing w:val="-7"/>
          <w:sz w:val="20"/>
        </w:rPr>
        <w:t> </w:t>
      </w:r>
      <w:r>
        <w:rPr>
          <w:sz w:val="20"/>
        </w:rPr>
        <w:t>un</w:t>
      </w:r>
      <w:r>
        <w:rPr>
          <w:spacing w:val="-7"/>
          <w:sz w:val="20"/>
        </w:rPr>
        <w:t> </w:t>
      </w:r>
      <w:r>
        <w:rPr>
          <w:sz w:val="20"/>
        </w:rPr>
        <w:t>predio</w:t>
      </w:r>
      <w:r>
        <w:rPr>
          <w:spacing w:val="-7"/>
          <w:sz w:val="20"/>
        </w:rPr>
        <w:t> </w:t>
      </w:r>
      <w:r>
        <w:rPr>
          <w:sz w:val="20"/>
        </w:rPr>
        <w:t>rústico</w:t>
      </w:r>
      <w:r>
        <w:rPr>
          <w:spacing w:val="-9"/>
          <w:sz w:val="20"/>
        </w:rPr>
        <w:t> </w:t>
      </w:r>
      <w:r>
        <w:rPr>
          <w:sz w:val="20"/>
        </w:rPr>
        <w:t>con</w:t>
      </w:r>
      <w:r>
        <w:rPr>
          <w:spacing w:val="-7"/>
          <w:sz w:val="20"/>
        </w:rPr>
        <w:t> </w:t>
      </w:r>
      <w:r>
        <w:rPr>
          <w:sz w:val="20"/>
        </w:rPr>
        <w:t>una</w:t>
      </w:r>
      <w:r>
        <w:rPr>
          <w:spacing w:val="-9"/>
          <w:sz w:val="20"/>
        </w:rPr>
        <w:t> </w:t>
      </w:r>
      <w:r>
        <w:rPr>
          <w:sz w:val="20"/>
        </w:rPr>
        <w:t>superficie</w:t>
      </w:r>
      <w:r>
        <w:rPr>
          <w:spacing w:val="-9"/>
          <w:sz w:val="20"/>
        </w:rPr>
        <w:t> </w:t>
      </w:r>
      <w:r>
        <w:rPr>
          <w:sz w:val="20"/>
        </w:rPr>
        <w:t>mayor</w:t>
      </w:r>
      <w:r>
        <w:rPr>
          <w:spacing w:val="-8"/>
          <w:sz w:val="20"/>
        </w:rPr>
        <w:t> </w:t>
      </w:r>
      <w:r>
        <w:rPr>
          <w:sz w:val="20"/>
        </w:rPr>
        <w:t>de</w:t>
      </w:r>
      <w:r>
        <w:rPr>
          <w:spacing w:val="-7"/>
          <w:sz w:val="20"/>
        </w:rPr>
        <w:t> </w:t>
      </w:r>
      <w:r>
        <w:rPr>
          <w:sz w:val="20"/>
        </w:rPr>
        <w:t>10,000</w:t>
      </w:r>
      <w:r>
        <w:rPr>
          <w:spacing w:val="-7"/>
          <w:sz w:val="20"/>
        </w:rPr>
        <w:t> </w:t>
      </w:r>
      <w:r>
        <w:rPr>
          <w:sz w:val="20"/>
        </w:rPr>
        <w:t>metros</w:t>
      </w:r>
      <w:r>
        <w:rPr>
          <w:spacing w:val="-8"/>
          <w:sz w:val="20"/>
        </w:rPr>
        <w:t> </w:t>
      </w:r>
      <w:r>
        <w:rPr>
          <w:sz w:val="20"/>
        </w:rPr>
        <w:t>cuadrados,</w:t>
      </w:r>
      <w:r>
        <w:rPr>
          <w:spacing w:val="-9"/>
          <w:sz w:val="20"/>
        </w:rPr>
        <w:t> </w:t>
      </w:r>
      <w:r>
        <w:rPr>
          <w:sz w:val="20"/>
        </w:rPr>
        <w:t>también deberá ir acompañada de un levantamiento topográfico catastral.</w:t>
      </w:r>
    </w:p>
    <w:p>
      <w:pPr>
        <w:pStyle w:val="BodyText"/>
        <w:spacing w:before="229"/>
        <w:ind w:left="262" w:right="277"/>
        <w:jc w:val="both"/>
      </w:pPr>
      <w:r>
        <w:rPr>
          <w:rFonts w:ascii="Arial" w:hAnsi="Arial"/>
          <w:b/>
        </w:rPr>
        <w:t>ARTÍCULO 357. </w:t>
      </w:r>
      <w:r>
        <w:rPr/>
        <w:t>Tratándose de la solicitud de subdivisión de terrenos, deberá presentarse certificado de gravamen de los mismos, con una antigüedad no mayor a treinta días anteriores a la fecha de la solicitud; en caso de que el inmueble tenga algún gravamen, deberá acompañarse la autorización de la persona que lo haya</w:t>
      </w:r>
      <w:r>
        <w:rPr>
          <w:spacing w:val="40"/>
        </w:rPr>
        <w:t> </w:t>
      </w:r>
      <w:r>
        <w:rPr/>
        <w:t>constituido.</w:t>
      </w:r>
    </w:p>
    <w:p>
      <w:pPr>
        <w:pStyle w:val="BodyText"/>
      </w:pPr>
    </w:p>
    <w:p>
      <w:pPr>
        <w:pStyle w:val="BodyText"/>
        <w:ind w:left="262" w:right="278"/>
        <w:jc w:val="both"/>
      </w:pPr>
      <w:r>
        <w:rPr>
          <w:rFonts w:ascii="Arial" w:hAnsi="Arial"/>
          <w:b/>
        </w:rPr>
        <w:t>ARTÍCULO</w:t>
      </w:r>
      <w:r>
        <w:rPr>
          <w:rFonts w:ascii="Arial" w:hAnsi="Arial"/>
          <w:b/>
          <w:spacing w:val="-14"/>
        </w:rPr>
        <w:t> </w:t>
      </w:r>
      <w:r>
        <w:rPr>
          <w:rFonts w:ascii="Arial" w:hAnsi="Arial"/>
          <w:b/>
        </w:rPr>
        <w:t>358.</w:t>
      </w:r>
      <w:r>
        <w:rPr>
          <w:rFonts w:ascii="Arial" w:hAnsi="Arial"/>
          <w:b/>
          <w:spacing w:val="-14"/>
        </w:rPr>
        <w:t> </w:t>
      </w:r>
      <w:r>
        <w:rPr/>
        <w:t>En</w:t>
      </w:r>
      <w:r>
        <w:rPr>
          <w:spacing w:val="-13"/>
        </w:rPr>
        <w:t> </w:t>
      </w:r>
      <w:r>
        <w:rPr/>
        <w:t>los</w:t>
      </w:r>
      <w:r>
        <w:rPr>
          <w:spacing w:val="-13"/>
        </w:rPr>
        <w:t> </w:t>
      </w:r>
      <w:r>
        <w:rPr/>
        <w:t>casos</w:t>
      </w:r>
      <w:r>
        <w:rPr>
          <w:spacing w:val="-14"/>
        </w:rPr>
        <w:t> </w:t>
      </w:r>
      <w:r>
        <w:rPr/>
        <w:t>de</w:t>
      </w:r>
      <w:r>
        <w:rPr>
          <w:spacing w:val="-14"/>
        </w:rPr>
        <w:t> </w:t>
      </w:r>
      <w:r>
        <w:rPr/>
        <w:t>solicitudes</w:t>
      </w:r>
      <w:r>
        <w:rPr>
          <w:spacing w:val="-13"/>
        </w:rPr>
        <w:t> </w:t>
      </w:r>
      <w:r>
        <w:rPr/>
        <w:t>para</w:t>
      </w:r>
      <w:r>
        <w:rPr>
          <w:spacing w:val="-12"/>
        </w:rPr>
        <w:t> </w:t>
      </w:r>
      <w:r>
        <w:rPr/>
        <w:t>la</w:t>
      </w:r>
      <w:r>
        <w:rPr>
          <w:spacing w:val="-14"/>
        </w:rPr>
        <w:t> </w:t>
      </w:r>
      <w:r>
        <w:rPr/>
        <w:t>fusión</w:t>
      </w:r>
      <w:r>
        <w:rPr>
          <w:spacing w:val="-14"/>
        </w:rPr>
        <w:t> </w:t>
      </w:r>
      <w:r>
        <w:rPr/>
        <w:t>de</w:t>
      </w:r>
      <w:r>
        <w:rPr>
          <w:spacing w:val="-14"/>
        </w:rPr>
        <w:t> </w:t>
      </w:r>
      <w:r>
        <w:rPr/>
        <w:t>dos</w:t>
      </w:r>
      <w:r>
        <w:rPr>
          <w:spacing w:val="-14"/>
        </w:rPr>
        <w:t> </w:t>
      </w:r>
      <w:r>
        <w:rPr/>
        <w:t>o</w:t>
      </w:r>
      <w:r>
        <w:rPr>
          <w:spacing w:val="-14"/>
        </w:rPr>
        <w:t> </w:t>
      </w:r>
      <w:r>
        <w:rPr/>
        <w:t>más</w:t>
      </w:r>
      <w:r>
        <w:rPr>
          <w:spacing w:val="-14"/>
        </w:rPr>
        <w:t> </w:t>
      </w:r>
      <w:r>
        <w:rPr/>
        <w:t>predios,</w:t>
      </w:r>
      <w:r>
        <w:rPr>
          <w:spacing w:val="-13"/>
        </w:rPr>
        <w:t> </w:t>
      </w:r>
      <w:r>
        <w:rPr/>
        <w:t>procederán</w:t>
      </w:r>
      <w:r>
        <w:rPr>
          <w:spacing w:val="-14"/>
        </w:rPr>
        <w:t> </w:t>
      </w:r>
      <w:r>
        <w:rPr/>
        <w:t>cuando sean</w:t>
      </w:r>
      <w:r>
        <w:rPr>
          <w:spacing w:val="-9"/>
        </w:rPr>
        <w:t> </w:t>
      </w:r>
      <w:r>
        <w:rPr/>
        <w:t>propiedad</w:t>
      </w:r>
      <w:r>
        <w:rPr>
          <w:spacing w:val="-9"/>
        </w:rPr>
        <w:t> </w:t>
      </w:r>
      <w:r>
        <w:rPr/>
        <w:t>de</w:t>
      </w:r>
      <w:r>
        <w:rPr>
          <w:spacing w:val="-7"/>
        </w:rPr>
        <w:t> </w:t>
      </w:r>
      <w:r>
        <w:rPr/>
        <w:t>una</w:t>
      </w:r>
      <w:r>
        <w:rPr>
          <w:spacing w:val="-9"/>
        </w:rPr>
        <w:t> </w:t>
      </w:r>
      <w:r>
        <w:rPr/>
        <w:t>sola</w:t>
      </w:r>
      <w:r>
        <w:rPr>
          <w:spacing w:val="-7"/>
        </w:rPr>
        <w:t> </w:t>
      </w:r>
      <w:r>
        <w:rPr/>
        <w:t>persona,</w:t>
      </w:r>
      <w:r>
        <w:rPr>
          <w:spacing w:val="-9"/>
        </w:rPr>
        <w:t> </w:t>
      </w:r>
      <w:r>
        <w:rPr/>
        <w:t>o</w:t>
      </w:r>
      <w:r>
        <w:rPr>
          <w:spacing w:val="-9"/>
        </w:rPr>
        <w:t> </w:t>
      </w:r>
      <w:r>
        <w:rPr/>
        <w:t>si</w:t>
      </w:r>
      <w:r>
        <w:rPr>
          <w:spacing w:val="-7"/>
        </w:rPr>
        <w:t> </w:t>
      </w:r>
      <w:r>
        <w:rPr/>
        <w:t>son</w:t>
      </w:r>
      <w:r>
        <w:rPr>
          <w:spacing w:val="-9"/>
        </w:rPr>
        <w:t> </w:t>
      </w:r>
      <w:r>
        <w:rPr/>
        <w:t>distintos</w:t>
      </w:r>
      <w:r>
        <w:rPr>
          <w:spacing w:val="-5"/>
        </w:rPr>
        <w:t> </w:t>
      </w:r>
      <w:r>
        <w:rPr/>
        <w:t>dueños,</w:t>
      </w:r>
      <w:r>
        <w:rPr>
          <w:spacing w:val="-9"/>
        </w:rPr>
        <w:t> </w:t>
      </w:r>
      <w:r>
        <w:rPr/>
        <w:t>derivado</w:t>
      </w:r>
      <w:r>
        <w:rPr>
          <w:spacing w:val="-7"/>
        </w:rPr>
        <w:t> </w:t>
      </w:r>
      <w:r>
        <w:rPr/>
        <w:t>de</w:t>
      </w:r>
      <w:r>
        <w:rPr>
          <w:spacing w:val="-7"/>
        </w:rPr>
        <w:t> </w:t>
      </w:r>
      <w:r>
        <w:rPr/>
        <w:t>la</w:t>
      </w:r>
      <w:r>
        <w:rPr>
          <w:spacing w:val="-7"/>
        </w:rPr>
        <w:t> </w:t>
      </w:r>
      <w:r>
        <w:rPr/>
        <w:t>fusión,</w:t>
      </w:r>
      <w:r>
        <w:rPr>
          <w:spacing w:val="-9"/>
        </w:rPr>
        <w:t> </w:t>
      </w:r>
      <w:r>
        <w:rPr/>
        <w:t>se</w:t>
      </w:r>
      <w:r>
        <w:rPr>
          <w:spacing w:val="-9"/>
        </w:rPr>
        <w:t> </w:t>
      </w:r>
      <w:r>
        <w:rPr/>
        <w:t>constituyan como</w:t>
      </w:r>
      <w:r>
        <w:rPr>
          <w:spacing w:val="-7"/>
        </w:rPr>
        <w:t> </w:t>
      </w:r>
      <w:r>
        <w:rPr/>
        <w:t>copropietarios,</w:t>
      </w:r>
      <w:r>
        <w:rPr>
          <w:spacing w:val="-4"/>
        </w:rPr>
        <w:t> </w:t>
      </w:r>
      <w:r>
        <w:rPr/>
        <w:t>y</w:t>
      </w:r>
      <w:r>
        <w:rPr>
          <w:spacing w:val="-5"/>
        </w:rPr>
        <w:t> </w:t>
      </w:r>
      <w:r>
        <w:rPr/>
        <w:t>que</w:t>
      </w:r>
      <w:r>
        <w:rPr>
          <w:spacing w:val="-2"/>
        </w:rPr>
        <w:t> </w:t>
      </w:r>
      <w:r>
        <w:rPr/>
        <w:t>el</w:t>
      </w:r>
      <w:r>
        <w:rPr>
          <w:spacing w:val="-6"/>
        </w:rPr>
        <w:t> </w:t>
      </w:r>
      <w:r>
        <w:rPr/>
        <w:t>uso</w:t>
      </w:r>
      <w:r>
        <w:rPr>
          <w:spacing w:val="-5"/>
        </w:rPr>
        <w:t> </w:t>
      </w:r>
      <w:r>
        <w:rPr/>
        <w:t>de</w:t>
      </w:r>
      <w:r>
        <w:rPr>
          <w:spacing w:val="-5"/>
        </w:rPr>
        <w:t> </w:t>
      </w:r>
      <w:r>
        <w:rPr/>
        <w:t>suelo</w:t>
      </w:r>
      <w:r>
        <w:rPr>
          <w:spacing w:val="-5"/>
        </w:rPr>
        <w:t> </w:t>
      </w:r>
      <w:r>
        <w:rPr/>
        <w:t>sea</w:t>
      </w:r>
      <w:r>
        <w:rPr>
          <w:spacing w:val="-5"/>
        </w:rPr>
        <w:t> </w:t>
      </w:r>
      <w:r>
        <w:rPr/>
        <w:t>compatible</w:t>
      </w:r>
      <w:r>
        <w:rPr>
          <w:spacing w:val="-4"/>
        </w:rPr>
        <w:t> </w:t>
      </w:r>
      <w:r>
        <w:rPr/>
        <w:t>para</w:t>
      </w:r>
      <w:r>
        <w:rPr>
          <w:spacing w:val="-4"/>
        </w:rPr>
        <w:t> </w:t>
      </w:r>
      <w:r>
        <w:rPr/>
        <w:t>todos</w:t>
      </w:r>
      <w:r>
        <w:rPr>
          <w:spacing w:val="-3"/>
        </w:rPr>
        <w:t> </w:t>
      </w:r>
      <w:r>
        <w:rPr/>
        <w:t>los</w:t>
      </w:r>
      <w:r>
        <w:rPr>
          <w:spacing w:val="-3"/>
        </w:rPr>
        <w:t> </w:t>
      </w:r>
      <w:r>
        <w:rPr/>
        <w:t>predios</w:t>
      </w:r>
      <w:r>
        <w:rPr>
          <w:spacing w:val="-3"/>
        </w:rPr>
        <w:t> </w:t>
      </w:r>
      <w:r>
        <w:rPr/>
        <w:t>que</w:t>
      </w:r>
      <w:r>
        <w:rPr>
          <w:spacing w:val="-5"/>
        </w:rPr>
        <w:t> </w:t>
      </w:r>
      <w:r>
        <w:rPr/>
        <w:t>se</w:t>
      </w:r>
      <w:r>
        <w:rPr>
          <w:spacing w:val="-4"/>
        </w:rPr>
        <w:t> </w:t>
      </w:r>
      <w:r>
        <w:rPr/>
        <w:t>pretendan fusionar, de conformidad con el programa de desarrollo urbano correspondiente.</w:t>
      </w:r>
    </w:p>
    <w:p>
      <w:pPr>
        <w:pStyle w:val="BodyText"/>
      </w:pPr>
    </w:p>
    <w:p>
      <w:pPr>
        <w:pStyle w:val="BodyText"/>
        <w:ind w:left="262" w:right="280"/>
        <w:jc w:val="both"/>
      </w:pPr>
      <w:r>
        <w:rPr>
          <w:rFonts w:ascii="Arial" w:hAnsi="Arial"/>
          <w:b/>
        </w:rPr>
        <w:t>ARTÍCULO 359. </w:t>
      </w:r>
      <w:r>
        <w:rPr/>
        <w:t>En los condominios no se permitirá subdividir los predios, salvo que sean predios compatibles para uso habitacional multifamiliar, comercial o de servicios, siempre y cuando se respete</w:t>
      </w:r>
      <w:r>
        <w:rPr>
          <w:spacing w:val="-7"/>
        </w:rPr>
        <w:t> </w:t>
      </w:r>
      <w:r>
        <w:rPr/>
        <w:t>la</w:t>
      </w:r>
      <w:r>
        <w:rPr>
          <w:spacing w:val="-7"/>
        </w:rPr>
        <w:t> </w:t>
      </w:r>
      <w:r>
        <w:rPr/>
        <w:t>zonificación</w:t>
      </w:r>
      <w:r>
        <w:rPr>
          <w:spacing w:val="-7"/>
        </w:rPr>
        <w:t> </w:t>
      </w:r>
      <w:r>
        <w:rPr/>
        <w:t>respectiva</w:t>
      </w:r>
      <w:r>
        <w:rPr>
          <w:spacing w:val="-7"/>
        </w:rPr>
        <w:t> </w:t>
      </w:r>
      <w:r>
        <w:rPr/>
        <w:t>derivada</w:t>
      </w:r>
      <w:r>
        <w:rPr>
          <w:spacing w:val="-7"/>
        </w:rPr>
        <w:t> </w:t>
      </w:r>
      <w:r>
        <w:rPr/>
        <w:t>del</w:t>
      </w:r>
      <w:r>
        <w:rPr>
          <w:spacing w:val="-10"/>
        </w:rPr>
        <w:t> </w:t>
      </w:r>
      <w:r>
        <w:rPr/>
        <w:t>proyecto</w:t>
      </w:r>
      <w:r>
        <w:rPr>
          <w:spacing w:val="-9"/>
        </w:rPr>
        <w:t> </w:t>
      </w:r>
      <w:r>
        <w:rPr/>
        <w:t>autorizado</w:t>
      </w:r>
      <w:r>
        <w:rPr>
          <w:spacing w:val="-9"/>
        </w:rPr>
        <w:t> </w:t>
      </w:r>
      <w:r>
        <w:rPr/>
        <w:t>y</w:t>
      </w:r>
      <w:r>
        <w:rPr>
          <w:spacing w:val="-5"/>
        </w:rPr>
        <w:t> </w:t>
      </w:r>
      <w:r>
        <w:rPr/>
        <w:t>de</w:t>
      </w:r>
      <w:r>
        <w:rPr>
          <w:spacing w:val="-7"/>
        </w:rPr>
        <w:t> </w:t>
      </w:r>
      <w:r>
        <w:rPr/>
        <w:t>los</w:t>
      </w:r>
      <w:r>
        <w:rPr>
          <w:spacing w:val="-8"/>
        </w:rPr>
        <w:t> </w:t>
      </w:r>
      <w:r>
        <w:rPr/>
        <w:t>programas</w:t>
      </w:r>
      <w:r>
        <w:rPr>
          <w:spacing w:val="-6"/>
        </w:rPr>
        <w:t> </w:t>
      </w:r>
      <w:r>
        <w:rPr/>
        <w:t>de</w:t>
      </w:r>
      <w:r>
        <w:rPr>
          <w:spacing w:val="-7"/>
        </w:rPr>
        <w:t> </w:t>
      </w:r>
      <w:r>
        <w:rPr/>
        <w:t>desarrollo urbano</w:t>
      </w:r>
      <w:r>
        <w:rPr>
          <w:spacing w:val="-14"/>
        </w:rPr>
        <w:t> </w:t>
      </w:r>
      <w:r>
        <w:rPr/>
        <w:t>aplicables,</w:t>
      </w:r>
      <w:r>
        <w:rPr>
          <w:spacing w:val="-11"/>
        </w:rPr>
        <w:t> </w:t>
      </w:r>
      <w:r>
        <w:rPr/>
        <w:t>la</w:t>
      </w:r>
      <w:r>
        <w:rPr>
          <w:spacing w:val="-14"/>
        </w:rPr>
        <w:t> </w:t>
      </w:r>
      <w:r>
        <w:rPr/>
        <w:t>capacidad</w:t>
      </w:r>
      <w:r>
        <w:rPr>
          <w:spacing w:val="-14"/>
        </w:rPr>
        <w:t> </w:t>
      </w:r>
      <w:r>
        <w:rPr/>
        <w:t>de</w:t>
      </w:r>
      <w:r>
        <w:rPr>
          <w:spacing w:val="-14"/>
        </w:rPr>
        <w:t> </w:t>
      </w:r>
      <w:r>
        <w:rPr/>
        <w:t>dotación</w:t>
      </w:r>
      <w:r>
        <w:rPr>
          <w:spacing w:val="28"/>
        </w:rPr>
        <w:t> </w:t>
      </w:r>
      <w:r>
        <w:rPr/>
        <w:t>suficiente</w:t>
      </w:r>
      <w:r>
        <w:rPr>
          <w:spacing w:val="-12"/>
        </w:rPr>
        <w:t> </w:t>
      </w:r>
      <w:r>
        <w:rPr/>
        <w:t>de</w:t>
      </w:r>
      <w:r>
        <w:rPr>
          <w:spacing w:val="-14"/>
        </w:rPr>
        <w:t> </w:t>
      </w:r>
      <w:r>
        <w:rPr/>
        <w:t>servicios</w:t>
      </w:r>
      <w:r>
        <w:rPr>
          <w:spacing w:val="-13"/>
        </w:rPr>
        <w:t> </w:t>
      </w:r>
      <w:r>
        <w:rPr/>
        <w:t>y</w:t>
      </w:r>
      <w:r>
        <w:rPr>
          <w:spacing w:val="-12"/>
        </w:rPr>
        <w:t> </w:t>
      </w:r>
      <w:r>
        <w:rPr/>
        <w:t>los</w:t>
      </w:r>
      <w:r>
        <w:rPr>
          <w:spacing w:val="-13"/>
        </w:rPr>
        <w:t> </w:t>
      </w:r>
      <w:r>
        <w:rPr/>
        <w:t>cajones</w:t>
      </w:r>
      <w:r>
        <w:rPr>
          <w:spacing w:val="-13"/>
        </w:rPr>
        <w:t> </w:t>
      </w:r>
      <w:r>
        <w:rPr/>
        <w:t>de</w:t>
      </w:r>
      <w:r>
        <w:rPr>
          <w:spacing w:val="-14"/>
        </w:rPr>
        <w:t> </w:t>
      </w:r>
      <w:r>
        <w:rPr/>
        <w:t>estacionamiento </w:t>
      </w:r>
      <w:r>
        <w:rPr>
          <w:spacing w:val="-2"/>
        </w:rPr>
        <w:t>requeridos.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79"/>
        <w:jc w:val="both"/>
      </w:pPr>
      <w:r>
        <w:rPr>
          <w:rFonts w:ascii="Arial" w:hAnsi="Arial"/>
          <w:b/>
        </w:rPr>
        <w:t>ARTÍCULO 360. </w:t>
      </w:r>
      <w:r>
        <w:rPr/>
        <w:t>En caso de traslape o sobreposición de medidas y colindancias de los predios a relotificar,</w:t>
      </w:r>
      <w:r>
        <w:rPr>
          <w:spacing w:val="-8"/>
        </w:rPr>
        <w:t> </w:t>
      </w:r>
      <w:r>
        <w:rPr/>
        <w:t>fusionar</w:t>
      </w:r>
      <w:r>
        <w:rPr>
          <w:spacing w:val="-8"/>
        </w:rPr>
        <w:t> </w:t>
      </w:r>
      <w:r>
        <w:rPr/>
        <w:t>o</w:t>
      </w:r>
      <w:r>
        <w:rPr>
          <w:spacing w:val="-11"/>
        </w:rPr>
        <w:t> </w:t>
      </w:r>
      <w:r>
        <w:rPr/>
        <w:t>subdividir,</w:t>
      </w:r>
      <w:r>
        <w:rPr>
          <w:spacing w:val="-9"/>
        </w:rPr>
        <w:t> </w:t>
      </w:r>
      <w:r>
        <w:rPr/>
        <w:t>conforme</w:t>
      </w:r>
      <w:r>
        <w:rPr>
          <w:spacing w:val="-9"/>
        </w:rPr>
        <w:t> </w:t>
      </w:r>
      <w:r>
        <w:rPr/>
        <w:t>a</w:t>
      </w:r>
      <w:r>
        <w:rPr>
          <w:spacing w:val="-11"/>
        </w:rPr>
        <w:t> </w:t>
      </w:r>
      <w:r>
        <w:rPr/>
        <w:t>la</w:t>
      </w:r>
      <w:r>
        <w:rPr>
          <w:spacing w:val="-11"/>
        </w:rPr>
        <w:t> </w:t>
      </w:r>
      <w:r>
        <w:rPr/>
        <w:t>base</w:t>
      </w:r>
      <w:r>
        <w:rPr>
          <w:spacing w:val="-11"/>
        </w:rPr>
        <w:t> </w:t>
      </w:r>
      <w:r>
        <w:rPr/>
        <w:t>catastral</w:t>
      </w:r>
      <w:r>
        <w:rPr>
          <w:spacing w:val="-12"/>
        </w:rPr>
        <w:t> </w:t>
      </w:r>
      <w:r>
        <w:rPr/>
        <w:t>o</w:t>
      </w:r>
      <w:r>
        <w:rPr>
          <w:spacing w:val="-9"/>
        </w:rPr>
        <w:t> </w:t>
      </w:r>
      <w:r>
        <w:rPr/>
        <w:t>en</w:t>
      </w:r>
      <w:r>
        <w:rPr>
          <w:spacing w:val="-10"/>
        </w:rPr>
        <w:t> </w:t>
      </w:r>
      <w:r>
        <w:rPr/>
        <w:t>las</w:t>
      </w:r>
      <w:r>
        <w:rPr>
          <w:spacing w:val="-10"/>
        </w:rPr>
        <w:t> </w:t>
      </w:r>
      <w:r>
        <w:rPr/>
        <w:t>escrituras</w:t>
      </w:r>
      <w:r>
        <w:rPr>
          <w:spacing w:val="-10"/>
        </w:rPr>
        <w:t> </w:t>
      </w:r>
      <w:r>
        <w:rPr/>
        <w:t>públicas</w:t>
      </w:r>
      <w:r>
        <w:rPr>
          <w:spacing w:val="-10"/>
        </w:rPr>
        <w:t> </w:t>
      </w:r>
      <w:r>
        <w:rPr/>
        <w:t>respectivas, se</w:t>
      </w:r>
      <w:r>
        <w:rPr>
          <w:spacing w:val="40"/>
        </w:rPr>
        <w:t> </w:t>
      </w:r>
      <w:r>
        <w:rPr/>
        <w:t>requerirá del interesado que acompañe a la solicitud las correspondientes diligencias judiciales o administrativas de apeo y deslinde del predio correspondiente, a menos que los propietarios de los predios afectados estén de acuerdo en realizar la operación correspondiente y no se afecten derechos de terceros; dicho acuerdo deberá constar ante Notario Público.</w:t>
      </w:r>
    </w:p>
    <w:p>
      <w:pPr>
        <w:pStyle w:val="BodyText"/>
        <w:spacing w:before="1"/>
      </w:pPr>
    </w:p>
    <w:p>
      <w:pPr>
        <w:pStyle w:val="BodyText"/>
        <w:ind w:left="262" w:right="278"/>
        <w:jc w:val="both"/>
      </w:pPr>
      <w:r>
        <w:rPr>
          <w:rFonts w:ascii="Arial" w:hAnsi="Arial"/>
          <w:b/>
        </w:rPr>
        <w:t>ARTÍCULO 361. </w:t>
      </w:r>
      <w:r>
        <w:rPr/>
        <w:t>La Dirección podrá negar la autorización de relotificación, fusión y subdivisión de áreas y predios, cuando en el fraccionamiento, condominio o zonas en que se pretendan realizar, no</w:t>
      </w:r>
      <w:r>
        <w:rPr>
          <w:spacing w:val="-3"/>
        </w:rPr>
        <w:t> </w:t>
      </w:r>
      <w:r>
        <w:rPr/>
        <w:t>se cuente con los dictámenes de factibilidad de agua, alcantarillado y electricidad otorgados</w:t>
      </w:r>
      <w:r>
        <w:rPr>
          <w:spacing w:val="-1"/>
        </w:rPr>
        <w:t> </w:t>
      </w:r>
      <w:r>
        <w:rPr/>
        <w:t>por las autoridades y organismos correspondientes. Asimismo, no se autorizarán cuando obstruyan o impidan una servidumbre legalmente reconocida o un servicio público. Será nulo de pleno derecho cualquier acto, contrato o convenio contrario a esta disposición.</w:t>
      </w:r>
    </w:p>
    <w:p>
      <w:pPr>
        <w:pStyle w:val="BodyText"/>
        <w:spacing w:before="1"/>
      </w:pPr>
    </w:p>
    <w:p>
      <w:pPr>
        <w:spacing w:before="0"/>
        <w:ind w:left="262" w:right="0" w:firstLine="0"/>
        <w:jc w:val="both"/>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ind w:left="262" w:right="288"/>
        <w:jc w:val="both"/>
      </w:pPr>
      <w:r>
        <w:rPr/>
        <w:t>Se exceptúan de lo anterior, los casos que deriven de afectaciones para la ejecución de obras públicas, o cuando al momento de la solicitud de subdivisión, las fracciones resultantes no se destinen a usos habitacionales y no requieran la introducción de servicios urbanos.</w:t>
      </w:r>
    </w:p>
    <w:p>
      <w:pPr>
        <w:pStyle w:val="BodyText"/>
      </w:pPr>
    </w:p>
    <w:p>
      <w:pPr>
        <w:pStyle w:val="BodyText"/>
        <w:ind w:left="262" w:right="277"/>
        <w:jc w:val="both"/>
      </w:pPr>
      <w:r>
        <w:rPr>
          <w:rFonts w:ascii="Arial" w:hAnsi="Arial"/>
          <w:b/>
        </w:rPr>
        <w:t>ARTÍCULO 362. </w:t>
      </w:r>
      <w:r>
        <w:rPr/>
        <w:t>El Ayuntamiento o la autoridad competente, sólo autorizará la construcción o el funcionamiento de establecimientos en predios provenientes de relotificaciones, fusiones o subdivisiones, cuando éstas hayan sido previamente autorizadas conforme a lo dispuesto en esta </w:t>
      </w:r>
      <w:r>
        <w:rPr>
          <w:spacing w:val="-4"/>
        </w:rPr>
        <w:t>Ley.</w:t>
      </w:r>
    </w:p>
    <w:p>
      <w:pPr>
        <w:pStyle w:val="BodyText"/>
      </w:pPr>
    </w:p>
    <w:p>
      <w:pPr>
        <w:pStyle w:val="BodyText"/>
        <w:ind w:left="262" w:right="277"/>
        <w:jc w:val="both"/>
      </w:pPr>
      <w:r>
        <w:rPr>
          <w:rFonts w:ascii="Arial" w:hAnsi="Arial"/>
          <w:b/>
        </w:rPr>
        <w:t>ARTÍCULO 363. </w:t>
      </w:r>
      <w:r>
        <w:rPr/>
        <w:t>Toda fusión o subdivisión de lotes y predios deberá protocolizarse ante notario público e inscribirse en el Registro Público de la Propiedad, en un plazo no mayor a seis meses, contado a partir de su autorización; en caso contrario quedará sin efectos dicha autorización. Una vez inscrito</w:t>
      </w:r>
      <w:r>
        <w:rPr>
          <w:spacing w:val="-1"/>
        </w:rPr>
        <w:t> </w:t>
      </w:r>
      <w:r>
        <w:rPr/>
        <w:t>deberá</w:t>
      </w:r>
      <w:r>
        <w:rPr>
          <w:spacing w:val="-1"/>
        </w:rPr>
        <w:t> </w:t>
      </w:r>
      <w:r>
        <w:rPr/>
        <w:t>presentarse</w:t>
      </w:r>
      <w:r>
        <w:rPr>
          <w:spacing w:val="-1"/>
        </w:rPr>
        <w:t> </w:t>
      </w:r>
      <w:r>
        <w:rPr/>
        <w:t>una</w:t>
      </w:r>
      <w:r>
        <w:rPr>
          <w:spacing w:val="-1"/>
        </w:rPr>
        <w:t> </w:t>
      </w:r>
      <w:r>
        <w:rPr/>
        <w:t>copia</w:t>
      </w:r>
      <w:r>
        <w:rPr>
          <w:spacing w:val="-1"/>
        </w:rPr>
        <w:t> </w:t>
      </w:r>
      <w:r>
        <w:rPr/>
        <w:t>de</w:t>
      </w:r>
      <w:r>
        <w:rPr>
          <w:spacing w:val="-1"/>
        </w:rPr>
        <w:t> </w:t>
      </w:r>
      <w:r>
        <w:rPr/>
        <w:t>la</w:t>
      </w:r>
      <w:r>
        <w:rPr>
          <w:spacing w:val="-1"/>
        </w:rPr>
        <w:t> </w:t>
      </w:r>
      <w:r>
        <w:rPr/>
        <w:t>inscripción</w:t>
      </w:r>
      <w:r>
        <w:rPr>
          <w:spacing w:val="-2"/>
        </w:rPr>
        <w:t> </w:t>
      </w:r>
      <w:r>
        <w:rPr/>
        <w:t>respectiva</w:t>
      </w:r>
      <w:r>
        <w:rPr>
          <w:spacing w:val="-1"/>
        </w:rPr>
        <w:t> </w:t>
      </w:r>
      <w:r>
        <w:rPr/>
        <w:t>a</w:t>
      </w:r>
      <w:r>
        <w:rPr>
          <w:spacing w:val="-1"/>
        </w:rPr>
        <w:t> </w:t>
      </w:r>
      <w:r>
        <w:rPr/>
        <w:t>la</w:t>
      </w:r>
      <w:r>
        <w:rPr>
          <w:spacing w:val="-1"/>
        </w:rPr>
        <w:t> </w:t>
      </w:r>
      <w:r>
        <w:rPr/>
        <w:t>Dirección</w:t>
      </w:r>
      <w:r>
        <w:rPr>
          <w:spacing w:val="-2"/>
        </w:rPr>
        <w:t> </w:t>
      </w:r>
      <w:r>
        <w:rPr/>
        <w:t>municipal</w:t>
      </w:r>
      <w:r>
        <w:rPr>
          <w:spacing w:val="-2"/>
        </w:rPr>
        <w:t> </w:t>
      </w:r>
      <w:r>
        <w:rPr/>
        <w:t>para integrarla al expediente.</w:t>
      </w:r>
    </w:p>
    <w:p>
      <w:pPr>
        <w:pStyle w:val="BodyText"/>
      </w:pPr>
    </w:p>
    <w:p>
      <w:pPr>
        <w:pStyle w:val="BodyText"/>
        <w:ind w:left="262" w:right="280"/>
        <w:jc w:val="both"/>
      </w:pPr>
      <w:r>
        <w:rPr/>
        <w:t>Asimismo,</w:t>
      </w:r>
      <w:r>
        <w:rPr>
          <w:spacing w:val="-12"/>
        </w:rPr>
        <w:t> </w:t>
      </w:r>
      <w:r>
        <w:rPr/>
        <w:t>el</w:t>
      </w:r>
      <w:r>
        <w:rPr>
          <w:spacing w:val="-13"/>
        </w:rPr>
        <w:t> </w:t>
      </w:r>
      <w:r>
        <w:rPr/>
        <w:t>solicitante,</w:t>
      </w:r>
      <w:r>
        <w:rPr>
          <w:spacing w:val="-12"/>
        </w:rPr>
        <w:t> </w:t>
      </w:r>
      <w:r>
        <w:rPr/>
        <w:t>en</w:t>
      </w:r>
      <w:r>
        <w:rPr>
          <w:spacing w:val="-12"/>
        </w:rPr>
        <w:t> </w:t>
      </w:r>
      <w:r>
        <w:rPr/>
        <w:t>coordinación</w:t>
      </w:r>
      <w:r>
        <w:rPr>
          <w:spacing w:val="-12"/>
        </w:rPr>
        <w:t> </w:t>
      </w:r>
      <w:r>
        <w:rPr/>
        <w:t>con</w:t>
      </w:r>
      <w:r>
        <w:rPr>
          <w:spacing w:val="-13"/>
        </w:rPr>
        <w:t> </w:t>
      </w:r>
      <w:r>
        <w:rPr/>
        <w:t>el</w:t>
      </w:r>
      <w:r>
        <w:rPr>
          <w:spacing w:val="-13"/>
        </w:rPr>
        <w:t> </w:t>
      </w:r>
      <w:r>
        <w:rPr/>
        <w:t>notario</w:t>
      </w:r>
      <w:r>
        <w:rPr>
          <w:spacing w:val="-12"/>
        </w:rPr>
        <w:t> </w:t>
      </w:r>
      <w:r>
        <w:rPr/>
        <w:t>público</w:t>
      </w:r>
      <w:r>
        <w:rPr>
          <w:spacing w:val="-12"/>
        </w:rPr>
        <w:t> </w:t>
      </w:r>
      <w:r>
        <w:rPr/>
        <w:t>que</w:t>
      </w:r>
      <w:r>
        <w:rPr>
          <w:spacing w:val="-12"/>
        </w:rPr>
        <w:t> </w:t>
      </w:r>
      <w:r>
        <w:rPr/>
        <w:t>haya</w:t>
      </w:r>
      <w:r>
        <w:rPr>
          <w:spacing w:val="-12"/>
        </w:rPr>
        <w:t> </w:t>
      </w:r>
      <w:r>
        <w:rPr/>
        <w:t>protocolizado</w:t>
      </w:r>
      <w:r>
        <w:rPr>
          <w:spacing w:val="-12"/>
        </w:rPr>
        <w:t> </w:t>
      </w:r>
      <w:r>
        <w:rPr/>
        <w:t>la</w:t>
      </w:r>
      <w:r>
        <w:rPr>
          <w:spacing w:val="-12"/>
        </w:rPr>
        <w:t> </w:t>
      </w:r>
      <w:r>
        <w:rPr/>
        <w:t>subdivisión o fusión, deberá presentar a la autoridad catastral respectiva, las manifestaciones de predio correspondientes</w:t>
      </w:r>
      <w:r>
        <w:rPr>
          <w:spacing w:val="-3"/>
        </w:rPr>
        <w:t> </w:t>
      </w:r>
      <w:r>
        <w:rPr/>
        <w:t>a</w:t>
      </w:r>
      <w:r>
        <w:rPr>
          <w:spacing w:val="-5"/>
        </w:rPr>
        <w:t> </w:t>
      </w:r>
      <w:r>
        <w:rPr/>
        <w:t>cada</w:t>
      </w:r>
      <w:r>
        <w:rPr>
          <w:spacing w:val="-4"/>
        </w:rPr>
        <w:t> </w:t>
      </w:r>
      <w:r>
        <w:rPr/>
        <w:t>una</w:t>
      </w:r>
      <w:r>
        <w:rPr>
          <w:spacing w:val="-5"/>
        </w:rPr>
        <w:t> </w:t>
      </w:r>
      <w:r>
        <w:rPr/>
        <w:t>de</w:t>
      </w:r>
      <w:r>
        <w:rPr>
          <w:spacing w:val="-3"/>
        </w:rPr>
        <w:t> </w:t>
      </w:r>
      <w:r>
        <w:rPr/>
        <w:t>las</w:t>
      </w:r>
      <w:r>
        <w:rPr>
          <w:spacing w:val="-3"/>
        </w:rPr>
        <w:t> </w:t>
      </w:r>
      <w:r>
        <w:rPr/>
        <w:t>fracciones</w:t>
      </w:r>
      <w:r>
        <w:rPr>
          <w:spacing w:val="-3"/>
        </w:rPr>
        <w:t> </w:t>
      </w:r>
      <w:r>
        <w:rPr/>
        <w:t>resultantes</w:t>
      </w:r>
      <w:r>
        <w:rPr>
          <w:spacing w:val="-3"/>
        </w:rPr>
        <w:t> </w:t>
      </w:r>
      <w:r>
        <w:rPr/>
        <w:t>de</w:t>
      </w:r>
      <w:r>
        <w:rPr>
          <w:spacing w:val="-4"/>
        </w:rPr>
        <w:t> </w:t>
      </w:r>
      <w:r>
        <w:rPr/>
        <w:t>una</w:t>
      </w:r>
      <w:r>
        <w:rPr>
          <w:spacing w:val="-5"/>
        </w:rPr>
        <w:t> </w:t>
      </w:r>
      <w:r>
        <w:rPr/>
        <w:t>subdivisión</w:t>
      </w:r>
      <w:r>
        <w:rPr>
          <w:spacing w:val="-3"/>
        </w:rPr>
        <w:t> </w:t>
      </w:r>
      <w:r>
        <w:rPr/>
        <w:t>o</w:t>
      </w:r>
      <w:r>
        <w:rPr>
          <w:spacing w:val="-4"/>
        </w:rPr>
        <w:t> </w:t>
      </w:r>
      <w:r>
        <w:rPr/>
        <w:t>la</w:t>
      </w:r>
      <w:r>
        <w:rPr>
          <w:spacing w:val="-4"/>
        </w:rPr>
        <w:t> </w:t>
      </w:r>
      <w:r>
        <w:rPr/>
        <w:t>manifestación</w:t>
      </w:r>
      <w:r>
        <w:rPr>
          <w:spacing w:val="-3"/>
        </w:rPr>
        <w:t> </w:t>
      </w:r>
      <w:r>
        <w:rPr/>
        <w:t>de predio</w:t>
      </w:r>
      <w:r>
        <w:rPr>
          <w:spacing w:val="-14"/>
        </w:rPr>
        <w:t> </w:t>
      </w:r>
      <w:r>
        <w:rPr/>
        <w:t>del</w:t>
      </w:r>
      <w:r>
        <w:rPr>
          <w:spacing w:val="-14"/>
        </w:rPr>
        <w:t> </w:t>
      </w:r>
      <w:r>
        <w:rPr/>
        <w:t>terreno</w:t>
      </w:r>
      <w:r>
        <w:rPr>
          <w:spacing w:val="-14"/>
        </w:rPr>
        <w:t> </w:t>
      </w:r>
      <w:r>
        <w:rPr/>
        <w:t>resultante</w:t>
      </w:r>
      <w:r>
        <w:rPr>
          <w:spacing w:val="-14"/>
        </w:rPr>
        <w:t> </w:t>
      </w:r>
      <w:r>
        <w:rPr/>
        <w:t>de</w:t>
      </w:r>
      <w:r>
        <w:rPr>
          <w:spacing w:val="-14"/>
        </w:rPr>
        <w:t> </w:t>
      </w:r>
      <w:r>
        <w:rPr/>
        <w:t>una</w:t>
      </w:r>
      <w:r>
        <w:rPr>
          <w:spacing w:val="-14"/>
        </w:rPr>
        <w:t> </w:t>
      </w:r>
      <w:r>
        <w:rPr/>
        <w:t>fusión</w:t>
      </w:r>
      <w:r>
        <w:rPr>
          <w:spacing w:val="-14"/>
        </w:rPr>
        <w:t> </w:t>
      </w:r>
      <w:r>
        <w:rPr/>
        <w:t>a</w:t>
      </w:r>
      <w:r>
        <w:rPr>
          <w:spacing w:val="-14"/>
        </w:rPr>
        <w:t> </w:t>
      </w:r>
      <w:r>
        <w:rPr/>
        <w:t>efecto</w:t>
      </w:r>
      <w:r>
        <w:rPr>
          <w:spacing w:val="-14"/>
        </w:rPr>
        <w:t> </w:t>
      </w:r>
      <w:r>
        <w:rPr/>
        <w:t>de</w:t>
      </w:r>
      <w:r>
        <w:rPr>
          <w:spacing w:val="-13"/>
        </w:rPr>
        <w:t> </w:t>
      </w:r>
      <w:r>
        <w:rPr/>
        <w:t>determinar</w:t>
      </w:r>
      <w:r>
        <w:rPr>
          <w:spacing w:val="-14"/>
        </w:rPr>
        <w:t> </w:t>
      </w:r>
      <w:r>
        <w:rPr/>
        <w:t>y</w:t>
      </w:r>
      <w:r>
        <w:rPr>
          <w:spacing w:val="-14"/>
        </w:rPr>
        <w:t> </w:t>
      </w:r>
      <w:r>
        <w:rPr/>
        <w:t>modificar</w:t>
      </w:r>
      <w:r>
        <w:rPr>
          <w:spacing w:val="-14"/>
        </w:rPr>
        <w:t> </w:t>
      </w:r>
      <w:r>
        <w:rPr/>
        <w:t>los</w:t>
      </w:r>
      <w:r>
        <w:rPr>
          <w:spacing w:val="-14"/>
        </w:rPr>
        <w:t> </w:t>
      </w:r>
      <w:r>
        <w:rPr/>
        <w:t>registros</w:t>
      </w:r>
      <w:r>
        <w:rPr>
          <w:spacing w:val="-14"/>
        </w:rPr>
        <w:t> </w:t>
      </w:r>
      <w:r>
        <w:rPr/>
        <w:t>catastrales </w:t>
      </w:r>
      <w:r>
        <w:rPr>
          <w:spacing w:val="-2"/>
        </w:rPr>
        <w:t>individuales.</w:t>
      </w:r>
    </w:p>
    <w:p>
      <w:pPr>
        <w:pStyle w:val="BodyText"/>
      </w:pPr>
    </w:p>
    <w:p>
      <w:pPr>
        <w:pStyle w:val="BodyText"/>
      </w:pPr>
    </w:p>
    <w:p>
      <w:pPr>
        <w:pStyle w:val="Heading1"/>
        <w:spacing w:line="480" w:lineRule="auto"/>
        <w:ind w:left="3049" w:right="3068" w:firstLine="1"/>
      </w:pPr>
      <w:r>
        <w:rPr/>
        <w:t>TÍTULO DÉCIMO SEXTO DESARROLLOS</w:t>
      </w:r>
      <w:r>
        <w:rPr>
          <w:spacing w:val="-14"/>
        </w:rPr>
        <w:t> </w:t>
      </w:r>
      <w:r>
        <w:rPr/>
        <w:t>EN</w:t>
      </w:r>
      <w:r>
        <w:rPr>
          <w:spacing w:val="-14"/>
        </w:rPr>
        <w:t> </w:t>
      </w:r>
      <w:r>
        <w:rPr/>
        <w:t>CONDOMINIO</w:t>
      </w:r>
    </w:p>
    <w:p>
      <w:pPr>
        <w:pStyle w:val="BodyText"/>
        <w:spacing w:before="1"/>
        <w:rPr>
          <w:rFonts w:ascii="Arial"/>
          <w:b/>
        </w:rPr>
      </w:pPr>
    </w:p>
    <w:p>
      <w:pPr>
        <w:pStyle w:val="Heading2"/>
      </w:pPr>
      <w:r>
        <w:rPr/>
        <w:t>Capítulo</w:t>
      </w:r>
      <w:r>
        <w:rPr>
          <w:spacing w:val="-8"/>
        </w:rPr>
        <w:t> </w:t>
      </w:r>
      <w:r>
        <w:rPr>
          <w:spacing w:val="-2"/>
        </w:rPr>
        <w:t>Único</w:t>
      </w:r>
    </w:p>
    <w:p>
      <w:pPr>
        <w:pStyle w:val="BodyText"/>
        <w:spacing w:before="228"/>
        <w:ind w:left="262" w:right="279"/>
        <w:jc w:val="both"/>
      </w:pPr>
      <w:r>
        <w:rPr>
          <w:rFonts w:ascii="Arial" w:hAnsi="Arial"/>
          <w:b/>
        </w:rPr>
        <w:t>ARTÍCULO</w:t>
      </w:r>
      <w:r>
        <w:rPr>
          <w:rFonts w:ascii="Arial" w:hAnsi="Arial"/>
          <w:b/>
          <w:spacing w:val="-3"/>
        </w:rPr>
        <w:t> </w:t>
      </w:r>
      <w:r>
        <w:rPr>
          <w:rFonts w:ascii="Arial" w:hAnsi="Arial"/>
          <w:b/>
        </w:rPr>
        <w:t>364.</w:t>
      </w:r>
      <w:r>
        <w:rPr>
          <w:rFonts w:ascii="Arial" w:hAnsi="Arial"/>
          <w:b/>
          <w:spacing w:val="-4"/>
        </w:rPr>
        <w:t> </w:t>
      </w:r>
      <w:r>
        <w:rPr/>
        <w:t>Para</w:t>
      </w:r>
      <w:r>
        <w:rPr>
          <w:spacing w:val="-4"/>
        </w:rPr>
        <w:t> </w:t>
      </w:r>
      <w:r>
        <w:rPr/>
        <w:t>efectos</w:t>
      </w:r>
      <w:r>
        <w:rPr>
          <w:spacing w:val="-3"/>
        </w:rPr>
        <w:t> </w:t>
      </w:r>
      <w:r>
        <w:rPr/>
        <w:t>de</w:t>
      </w:r>
      <w:r>
        <w:rPr>
          <w:spacing w:val="-5"/>
        </w:rPr>
        <w:t> </w:t>
      </w:r>
      <w:r>
        <w:rPr/>
        <w:t>esta</w:t>
      </w:r>
      <w:r>
        <w:rPr>
          <w:spacing w:val="-5"/>
        </w:rPr>
        <w:t> </w:t>
      </w:r>
      <w:r>
        <w:rPr/>
        <w:t>Ley</w:t>
      </w:r>
      <w:r>
        <w:rPr>
          <w:spacing w:val="-3"/>
        </w:rPr>
        <w:t> </w:t>
      </w:r>
      <w:r>
        <w:rPr/>
        <w:t>se</w:t>
      </w:r>
      <w:r>
        <w:rPr>
          <w:spacing w:val="-4"/>
        </w:rPr>
        <w:t> </w:t>
      </w:r>
      <w:r>
        <w:rPr/>
        <w:t>entiende</w:t>
      </w:r>
      <w:r>
        <w:rPr>
          <w:spacing w:val="-3"/>
        </w:rPr>
        <w:t> </w:t>
      </w:r>
      <w:r>
        <w:rPr/>
        <w:t>por</w:t>
      </w:r>
      <w:r>
        <w:rPr>
          <w:spacing w:val="-3"/>
        </w:rPr>
        <w:t> </w:t>
      </w:r>
      <w:r>
        <w:rPr/>
        <w:t>desarrollo</w:t>
      </w:r>
      <w:r>
        <w:rPr>
          <w:spacing w:val="-2"/>
        </w:rPr>
        <w:t> </w:t>
      </w:r>
      <w:r>
        <w:rPr/>
        <w:t>en</w:t>
      </w:r>
      <w:r>
        <w:rPr>
          <w:spacing w:val="-5"/>
        </w:rPr>
        <w:t> </w:t>
      </w:r>
      <w:r>
        <w:rPr/>
        <w:t>condominio,</w:t>
      </w:r>
      <w:r>
        <w:rPr>
          <w:spacing w:val="-4"/>
        </w:rPr>
        <w:t> </w:t>
      </w:r>
      <w:r>
        <w:rPr/>
        <w:t>al</w:t>
      </w:r>
      <w:r>
        <w:rPr>
          <w:spacing w:val="-5"/>
        </w:rPr>
        <w:t> </w:t>
      </w:r>
      <w:r>
        <w:rPr/>
        <w:t>conjunto</w:t>
      </w:r>
      <w:r>
        <w:rPr>
          <w:spacing w:val="-4"/>
        </w:rPr>
        <w:t> </w:t>
      </w:r>
      <w:r>
        <w:rPr/>
        <w:t>de departamentos, viviendas, locales y naves de un inmueble, construido en forma vertical, horizontal o</w:t>
      </w:r>
      <w:r>
        <w:rPr>
          <w:spacing w:val="-8"/>
        </w:rPr>
        <w:t> </w:t>
      </w:r>
      <w:r>
        <w:rPr/>
        <w:t>mixta</w:t>
      </w:r>
      <w:r>
        <w:rPr>
          <w:spacing w:val="-8"/>
        </w:rPr>
        <w:t> </w:t>
      </w:r>
      <w:r>
        <w:rPr/>
        <w:t>susceptible</w:t>
      </w:r>
      <w:r>
        <w:rPr>
          <w:spacing w:val="-8"/>
        </w:rPr>
        <w:t> </w:t>
      </w:r>
      <w:r>
        <w:rPr/>
        <w:t>de</w:t>
      </w:r>
      <w:r>
        <w:rPr>
          <w:spacing w:val="-8"/>
        </w:rPr>
        <w:t> </w:t>
      </w:r>
      <w:r>
        <w:rPr/>
        <w:t>aprovecharse</w:t>
      </w:r>
      <w:r>
        <w:rPr>
          <w:spacing w:val="-8"/>
        </w:rPr>
        <w:t> </w:t>
      </w:r>
      <w:r>
        <w:rPr/>
        <w:t>independientemente,</w:t>
      </w:r>
      <w:r>
        <w:rPr>
          <w:spacing w:val="-7"/>
        </w:rPr>
        <w:t> </w:t>
      </w:r>
      <w:r>
        <w:rPr/>
        <w:t>por</w:t>
      </w:r>
      <w:r>
        <w:rPr>
          <w:spacing w:val="-7"/>
        </w:rPr>
        <w:t> </w:t>
      </w:r>
      <w:r>
        <w:rPr/>
        <w:t>tener</w:t>
      </w:r>
      <w:r>
        <w:rPr>
          <w:spacing w:val="-7"/>
        </w:rPr>
        <w:t> </w:t>
      </w:r>
      <w:r>
        <w:rPr/>
        <w:t>una</w:t>
      </w:r>
      <w:r>
        <w:rPr>
          <w:spacing w:val="-8"/>
        </w:rPr>
        <w:t> </w:t>
      </w:r>
      <w:r>
        <w:rPr/>
        <w:t>salida</w:t>
      </w:r>
      <w:r>
        <w:rPr>
          <w:spacing w:val="-8"/>
        </w:rPr>
        <w:t> </w:t>
      </w:r>
      <w:r>
        <w:rPr/>
        <w:t>propia</w:t>
      </w:r>
      <w:r>
        <w:rPr>
          <w:spacing w:val="-8"/>
        </w:rPr>
        <w:t> </w:t>
      </w:r>
      <w:r>
        <w:rPr/>
        <w:t>de</w:t>
      </w:r>
      <w:r>
        <w:rPr>
          <w:spacing w:val="-8"/>
        </w:rPr>
        <w:t> </w:t>
      </w:r>
      <w:r>
        <w:rPr/>
        <w:t>elementos comunes</w:t>
      </w:r>
      <w:r>
        <w:rPr>
          <w:spacing w:val="24"/>
        </w:rPr>
        <w:t> </w:t>
      </w:r>
      <w:r>
        <w:rPr/>
        <w:t>a</w:t>
      </w:r>
      <w:r>
        <w:rPr>
          <w:spacing w:val="23"/>
        </w:rPr>
        <w:t> </w:t>
      </w:r>
      <w:r>
        <w:rPr/>
        <w:t>la</w:t>
      </w:r>
      <w:r>
        <w:rPr>
          <w:spacing w:val="22"/>
        </w:rPr>
        <w:t> </w:t>
      </w:r>
      <w:r>
        <w:rPr/>
        <w:t>vía</w:t>
      </w:r>
      <w:r>
        <w:rPr>
          <w:spacing w:val="23"/>
        </w:rPr>
        <w:t> </w:t>
      </w:r>
      <w:r>
        <w:rPr/>
        <w:t>pública,</w:t>
      </w:r>
      <w:r>
        <w:rPr>
          <w:spacing w:val="23"/>
        </w:rPr>
        <w:t> </w:t>
      </w:r>
      <w:r>
        <w:rPr/>
        <w:t>pertenecientes</w:t>
      </w:r>
      <w:r>
        <w:rPr>
          <w:spacing w:val="23"/>
        </w:rPr>
        <w:t> </w:t>
      </w:r>
      <w:r>
        <w:rPr/>
        <w:t>a</w:t>
      </w:r>
      <w:r>
        <w:rPr>
          <w:spacing w:val="23"/>
        </w:rPr>
        <w:t> </w:t>
      </w:r>
      <w:r>
        <w:rPr/>
        <w:t>distintos</w:t>
      </w:r>
      <w:r>
        <w:rPr>
          <w:spacing w:val="24"/>
        </w:rPr>
        <w:t> </w:t>
      </w:r>
      <w:r>
        <w:rPr/>
        <w:t>propietarios,</w:t>
      </w:r>
      <w:r>
        <w:rPr>
          <w:spacing w:val="22"/>
        </w:rPr>
        <w:t> </w:t>
      </w:r>
      <w:r>
        <w:rPr/>
        <w:t>los</w:t>
      </w:r>
      <w:r>
        <w:rPr>
          <w:spacing w:val="23"/>
        </w:rPr>
        <w:t> </w:t>
      </w:r>
      <w:r>
        <w:rPr/>
        <w:t>cuales</w:t>
      </w:r>
      <w:r>
        <w:rPr>
          <w:spacing w:val="23"/>
        </w:rPr>
        <w:t> </w:t>
      </w:r>
      <w:r>
        <w:rPr/>
        <w:t>tendrán</w:t>
      </w:r>
      <w:r>
        <w:rPr>
          <w:spacing w:val="23"/>
        </w:rPr>
        <w:t> </w:t>
      </w:r>
      <w:r>
        <w:rPr/>
        <w:t>un</w:t>
      </w:r>
      <w:r>
        <w:rPr>
          <w:spacing w:val="23"/>
        </w:rPr>
        <w:t> </w:t>
      </w:r>
      <w:r>
        <w:rPr/>
        <w:t>derecho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t>singular y exclusivo de propiedad sobre su área privativa; y de copropiedad sobre los elementos y partes comunes del inmueble necesario para un adecuado uso.</w:t>
      </w:r>
    </w:p>
    <w:p>
      <w:pPr>
        <w:pStyle w:val="BodyText"/>
        <w:spacing w:before="1"/>
      </w:pPr>
    </w:p>
    <w:p>
      <w:pPr>
        <w:pStyle w:val="BodyText"/>
        <w:ind w:left="262" w:right="279"/>
        <w:jc w:val="both"/>
      </w:pPr>
      <w:r>
        <w:rPr/>
        <w:t>Dicha modalidad también podrá darse únicamente sobre un predio o superficie de terreno que se encuentre físicamente delimitado, que cuente con la infraestructura urbana prevista para el tipo de fraccionamiento de que se trate y que cumpla con los lineamientos establecidos en el</w:t>
      </w:r>
      <w:r>
        <w:rPr>
          <w:spacing w:val="-1"/>
        </w:rPr>
        <w:t> </w:t>
      </w:r>
      <w:r>
        <w:rPr/>
        <w:t>programa de desarrollo urbano y el reglamento correspondiente.</w:t>
      </w:r>
    </w:p>
    <w:p>
      <w:pPr>
        <w:pStyle w:val="BodyText"/>
      </w:pPr>
    </w:p>
    <w:p>
      <w:pPr>
        <w:pStyle w:val="BodyText"/>
        <w:ind w:left="262" w:right="277"/>
        <w:jc w:val="both"/>
      </w:pPr>
      <w:r>
        <w:rPr>
          <w:rFonts w:ascii="Arial" w:hAnsi="Arial"/>
          <w:b/>
        </w:rPr>
        <w:t>ARTÍCULO 365.</w:t>
      </w:r>
      <w:r>
        <w:rPr>
          <w:rFonts w:ascii="Arial" w:hAnsi="Arial"/>
          <w:b/>
          <w:spacing w:val="40"/>
        </w:rPr>
        <w:t> </w:t>
      </w:r>
      <w:r>
        <w:rPr/>
        <w:t>La Dirección Municipal previo el cumplimiento de los requisitos que establece la presente Ley, otorgará la aprobación para construir desarrollos en régimen de propiedad en condominio, así como su ubicación, instalaciones, servicios, áreas de donación, espacios libres, zonas comerciales y demás requerimientos propios de los mismos, de conformidad con lo que establezca esta Ley y</w:t>
      </w:r>
      <w:r>
        <w:rPr>
          <w:spacing w:val="40"/>
        </w:rPr>
        <w:t> </w:t>
      </w:r>
      <w:r>
        <w:rPr/>
        <w:t>el reglamento municipal correspondiente.</w:t>
      </w:r>
    </w:p>
    <w:p>
      <w:pPr>
        <w:pStyle w:val="BodyText"/>
      </w:pPr>
    </w:p>
    <w:p>
      <w:pPr>
        <w:pStyle w:val="BodyText"/>
        <w:spacing w:before="1"/>
        <w:ind w:left="262" w:right="280"/>
        <w:jc w:val="both"/>
      </w:pPr>
      <w:r>
        <w:rPr>
          <w:rFonts w:ascii="Arial" w:hAnsi="Arial"/>
          <w:b/>
        </w:rPr>
        <w:t>ARTÍCULO 366. </w:t>
      </w:r>
      <w:r>
        <w:rPr/>
        <w:t>Los desarrollos en régimen de propiedad en condominio, estarán sujetos a las disposiciones del Código Civil para el Estado de San Luis Potosí, a la Ley sobre el Régimen de Propiedad en Condominio del Estado, a la presente Ley, y a los reglamentos respectivos, y se clasificarán en los siguientes tipos:</w:t>
      </w:r>
    </w:p>
    <w:p>
      <w:pPr>
        <w:pStyle w:val="ListParagraph"/>
        <w:numPr>
          <w:ilvl w:val="0"/>
          <w:numId w:val="126"/>
        </w:numPr>
        <w:tabs>
          <w:tab w:pos="543" w:val="left" w:leader="none"/>
        </w:tabs>
        <w:spacing w:line="240" w:lineRule="auto" w:before="229" w:after="0"/>
        <w:ind w:left="543" w:right="0" w:hanging="281"/>
        <w:jc w:val="both"/>
        <w:rPr>
          <w:sz w:val="20"/>
        </w:rPr>
      </w:pPr>
      <w:r>
        <w:rPr>
          <w:rFonts w:ascii="Arial" w:hAnsi="Arial"/>
          <w:b/>
          <w:sz w:val="20"/>
        </w:rPr>
        <w:t>Habitacional</w:t>
      </w:r>
      <w:r>
        <w:rPr>
          <w:rFonts w:ascii="Arial" w:hAnsi="Arial"/>
          <w:b/>
          <w:i/>
          <w:sz w:val="20"/>
        </w:rPr>
        <w:t>:</w:t>
      </w:r>
      <w:r>
        <w:rPr>
          <w:rFonts w:ascii="Arial" w:hAnsi="Arial"/>
          <w:b/>
          <w:i/>
          <w:spacing w:val="-7"/>
          <w:sz w:val="20"/>
        </w:rPr>
        <w:t> </w:t>
      </w:r>
      <w:r>
        <w:rPr>
          <w:sz w:val="20"/>
        </w:rPr>
        <w:t>Área</w:t>
      </w:r>
      <w:r>
        <w:rPr>
          <w:spacing w:val="-6"/>
          <w:sz w:val="20"/>
        </w:rPr>
        <w:t> </w:t>
      </w:r>
      <w:r>
        <w:rPr>
          <w:sz w:val="20"/>
        </w:rPr>
        <w:t>destinada</w:t>
      </w:r>
      <w:r>
        <w:rPr>
          <w:spacing w:val="-8"/>
          <w:sz w:val="20"/>
        </w:rPr>
        <w:t> </w:t>
      </w:r>
      <w:r>
        <w:rPr>
          <w:sz w:val="20"/>
        </w:rPr>
        <w:t>al</w:t>
      </w:r>
      <w:r>
        <w:rPr>
          <w:spacing w:val="-8"/>
          <w:sz w:val="20"/>
        </w:rPr>
        <w:t> </w:t>
      </w:r>
      <w:r>
        <w:rPr>
          <w:sz w:val="20"/>
        </w:rPr>
        <w:t>uso</w:t>
      </w:r>
      <w:r>
        <w:rPr>
          <w:spacing w:val="-6"/>
          <w:sz w:val="20"/>
        </w:rPr>
        <w:t> </w:t>
      </w:r>
      <w:r>
        <w:rPr>
          <w:sz w:val="20"/>
        </w:rPr>
        <w:t>exclusivo</w:t>
      </w:r>
      <w:r>
        <w:rPr>
          <w:spacing w:val="-6"/>
          <w:sz w:val="20"/>
        </w:rPr>
        <w:t> </w:t>
      </w:r>
      <w:r>
        <w:rPr>
          <w:sz w:val="20"/>
        </w:rPr>
        <w:t>de</w:t>
      </w:r>
      <w:r>
        <w:rPr>
          <w:spacing w:val="-8"/>
          <w:sz w:val="20"/>
        </w:rPr>
        <w:t> </w:t>
      </w:r>
      <w:r>
        <w:rPr>
          <w:spacing w:val="-2"/>
          <w:sz w:val="20"/>
        </w:rPr>
        <w:t>vivienda;</w:t>
      </w:r>
    </w:p>
    <w:p>
      <w:pPr>
        <w:pStyle w:val="BodyText"/>
        <w:spacing w:before="1"/>
      </w:pPr>
    </w:p>
    <w:p>
      <w:pPr>
        <w:pStyle w:val="ListParagraph"/>
        <w:numPr>
          <w:ilvl w:val="0"/>
          <w:numId w:val="126"/>
        </w:numPr>
        <w:tabs>
          <w:tab w:pos="543" w:val="left" w:leader="none"/>
        </w:tabs>
        <w:spacing w:line="240" w:lineRule="auto" w:before="0" w:after="0"/>
        <w:ind w:left="262" w:right="283" w:firstLine="0"/>
        <w:jc w:val="both"/>
        <w:rPr>
          <w:sz w:val="20"/>
        </w:rPr>
      </w:pPr>
      <w:r>
        <w:rPr>
          <w:rFonts w:ascii="Arial" w:hAnsi="Arial"/>
          <w:b/>
          <w:sz w:val="20"/>
        </w:rPr>
        <w:t>Comercial o de servicios: </w:t>
      </w:r>
      <w:r>
        <w:rPr>
          <w:sz w:val="20"/>
        </w:rPr>
        <w:t>Área destinada a la comercialización o a dar una prestación según su giro;</w:t>
      </w:r>
    </w:p>
    <w:p>
      <w:pPr>
        <w:pStyle w:val="ListParagraph"/>
        <w:numPr>
          <w:ilvl w:val="0"/>
          <w:numId w:val="126"/>
        </w:numPr>
        <w:tabs>
          <w:tab w:pos="597" w:val="left" w:leader="none"/>
        </w:tabs>
        <w:spacing w:line="240" w:lineRule="auto" w:before="229" w:after="0"/>
        <w:ind w:left="597" w:right="0" w:hanging="335"/>
        <w:jc w:val="both"/>
        <w:rPr>
          <w:sz w:val="20"/>
        </w:rPr>
      </w:pPr>
      <w:r>
        <w:rPr>
          <w:rFonts w:ascii="Arial" w:hAnsi="Arial"/>
          <w:b/>
          <w:sz w:val="20"/>
        </w:rPr>
        <w:t>Industrial</w:t>
      </w:r>
      <w:r>
        <w:rPr>
          <w:rFonts w:ascii="Arial" w:hAnsi="Arial"/>
          <w:b/>
          <w:i/>
          <w:sz w:val="20"/>
        </w:rPr>
        <w:t>:</w:t>
      </w:r>
      <w:r>
        <w:rPr>
          <w:rFonts w:ascii="Arial" w:hAnsi="Arial"/>
          <w:b/>
          <w:i/>
          <w:spacing w:val="-6"/>
          <w:sz w:val="20"/>
        </w:rPr>
        <w:t> </w:t>
      </w:r>
      <w:r>
        <w:rPr>
          <w:sz w:val="20"/>
        </w:rPr>
        <w:t>Área</w:t>
      </w:r>
      <w:r>
        <w:rPr>
          <w:spacing w:val="-7"/>
          <w:sz w:val="20"/>
        </w:rPr>
        <w:t> </w:t>
      </w:r>
      <w:r>
        <w:rPr>
          <w:sz w:val="20"/>
        </w:rPr>
        <w:t>destinada</w:t>
      </w:r>
      <w:r>
        <w:rPr>
          <w:spacing w:val="-6"/>
          <w:sz w:val="20"/>
        </w:rPr>
        <w:t> </w:t>
      </w:r>
      <w:r>
        <w:rPr>
          <w:sz w:val="20"/>
        </w:rPr>
        <w:t>a</w:t>
      </w:r>
      <w:r>
        <w:rPr>
          <w:spacing w:val="-9"/>
          <w:sz w:val="20"/>
        </w:rPr>
        <w:t> </w:t>
      </w:r>
      <w:r>
        <w:rPr>
          <w:sz w:val="20"/>
        </w:rPr>
        <w:t>la</w:t>
      </w:r>
      <w:r>
        <w:rPr>
          <w:spacing w:val="-8"/>
          <w:sz w:val="20"/>
        </w:rPr>
        <w:t> </w:t>
      </w:r>
      <w:r>
        <w:rPr>
          <w:sz w:val="20"/>
        </w:rPr>
        <w:t>actividad</w:t>
      </w:r>
      <w:r>
        <w:rPr>
          <w:spacing w:val="-8"/>
          <w:sz w:val="20"/>
        </w:rPr>
        <w:t> </w:t>
      </w:r>
      <w:r>
        <w:rPr>
          <w:sz w:val="20"/>
        </w:rPr>
        <w:t>manufacturera</w:t>
      </w:r>
      <w:r>
        <w:rPr>
          <w:spacing w:val="-9"/>
          <w:sz w:val="20"/>
        </w:rPr>
        <w:t> </w:t>
      </w:r>
      <w:r>
        <w:rPr>
          <w:sz w:val="20"/>
        </w:rPr>
        <w:t>o</w:t>
      </w:r>
      <w:r>
        <w:rPr>
          <w:spacing w:val="-8"/>
          <w:sz w:val="20"/>
        </w:rPr>
        <w:t> </w:t>
      </w:r>
      <w:r>
        <w:rPr>
          <w:sz w:val="20"/>
        </w:rPr>
        <w:t>de</w:t>
      </w:r>
      <w:r>
        <w:rPr>
          <w:spacing w:val="-7"/>
          <w:sz w:val="20"/>
        </w:rPr>
        <w:t> </w:t>
      </w:r>
      <w:r>
        <w:rPr>
          <w:sz w:val="20"/>
        </w:rPr>
        <w:t>la</w:t>
      </w:r>
      <w:r>
        <w:rPr>
          <w:spacing w:val="-6"/>
          <w:sz w:val="20"/>
        </w:rPr>
        <w:t> </w:t>
      </w:r>
      <w:r>
        <w:rPr>
          <w:sz w:val="20"/>
        </w:rPr>
        <w:t>transformación,</w:t>
      </w:r>
      <w:r>
        <w:rPr>
          <w:spacing w:val="-8"/>
          <w:sz w:val="20"/>
        </w:rPr>
        <w:t> </w:t>
      </w:r>
      <w:r>
        <w:rPr>
          <w:spacing w:val="-10"/>
          <w:sz w:val="20"/>
        </w:rPr>
        <w:t>y</w:t>
      </w:r>
    </w:p>
    <w:p>
      <w:pPr>
        <w:pStyle w:val="BodyText"/>
        <w:spacing w:before="1"/>
      </w:pPr>
    </w:p>
    <w:p>
      <w:pPr>
        <w:pStyle w:val="ListParagraph"/>
        <w:numPr>
          <w:ilvl w:val="0"/>
          <w:numId w:val="126"/>
        </w:numPr>
        <w:tabs>
          <w:tab w:pos="545" w:val="left" w:leader="none"/>
        </w:tabs>
        <w:spacing w:line="240" w:lineRule="auto" w:before="0" w:after="0"/>
        <w:ind w:left="545" w:right="0" w:hanging="283"/>
        <w:jc w:val="both"/>
        <w:rPr>
          <w:sz w:val="20"/>
        </w:rPr>
      </w:pPr>
      <w:r>
        <w:rPr>
          <w:rFonts w:ascii="Arial" w:hAnsi="Arial"/>
          <w:b/>
          <w:sz w:val="20"/>
        </w:rPr>
        <w:t>Mixto:</w:t>
      </w:r>
      <w:r>
        <w:rPr>
          <w:rFonts w:ascii="Arial" w:hAnsi="Arial"/>
          <w:b/>
          <w:spacing w:val="-6"/>
          <w:sz w:val="20"/>
        </w:rPr>
        <w:t> </w:t>
      </w:r>
      <w:r>
        <w:rPr>
          <w:sz w:val="20"/>
        </w:rPr>
        <w:t>Área</w:t>
      </w:r>
      <w:r>
        <w:rPr>
          <w:spacing w:val="-7"/>
          <w:sz w:val="20"/>
        </w:rPr>
        <w:t> </w:t>
      </w:r>
      <w:r>
        <w:rPr>
          <w:sz w:val="20"/>
        </w:rPr>
        <w:t>destinada</w:t>
      </w:r>
      <w:r>
        <w:rPr>
          <w:spacing w:val="-6"/>
          <w:sz w:val="20"/>
        </w:rPr>
        <w:t> </w:t>
      </w:r>
      <w:r>
        <w:rPr>
          <w:sz w:val="20"/>
        </w:rPr>
        <w:t>a</w:t>
      </w:r>
      <w:r>
        <w:rPr>
          <w:spacing w:val="-7"/>
          <w:sz w:val="20"/>
        </w:rPr>
        <w:t> </w:t>
      </w:r>
      <w:r>
        <w:rPr>
          <w:sz w:val="20"/>
        </w:rPr>
        <w:t>dos</w:t>
      </w:r>
      <w:r>
        <w:rPr>
          <w:spacing w:val="-6"/>
          <w:sz w:val="20"/>
        </w:rPr>
        <w:t> </w:t>
      </w:r>
      <w:r>
        <w:rPr>
          <w:sz w:val="20"/>
        </w:rPr>
        <w:t>o</w:t>
      </w:r>
      <w:r>
        <w:rPr>
          <w:spacing w:val="-8"/>
          <w:sz w:val="20"/>
        </w:rPr>
        <w:t> </w:t>
      </w:r>
      <w:r>
        <w:rPr>
          <w:sz w:val="20"/>
        </w:rPr>
        <w:t>más</w:t>
      </w:r>
      <w:r>
        <w:rPr>
          <w:spacing w:val="-7"/>
          <w:sz w:val="20"/>
        </w:rPr>
        <w:t> </w:t>
      </w:r>
      <w:r>
        <w:rPr>
          <w:sz w:val="20"/>
        </w:rPr>
        <w:t>tipos</w:t>
      </w:r>
      <w:r>
        <w:rPr>
          <w:spacing w:val="-6"/>
          <w:sz w:val="20"/>
        </w:rPr>
        <w:t> </w:t>
      </w:r>
      <w:r>
        <w:rPr>
          <w:sz w:val="20"/>
        </w:rPr>
        <w:t>de</w:t>
      </w:r>
      <w:r>
        <w:rPr>
          <w:spacing w:val="-7"/>
          <w:sz w:val="20"/>
        </w:rPr>
        <w:t> </w:t>
      </w:r>
      <w:r>
        <w:rPr>
          <w:sz w:val="20"/>
        </w:rPr>
        <w:t>los</w:t>
      </w:r>
      <w:r>
        <w:rPr>
          <w:spacing w:val="-6"/>
          <w:sz w:val="20"/>
        </w:rPr>
        <w:t> </w:t>
      </w:r>
      <w:r>
        <w:rPr>
          <w:sz w:val="20"/>
        </w:rPr>
        <w:t>anteriormente</w:t>
      </w:r>
      <w:r>
        <w:rPr>
          <w:spacing w:val="-5"/>
          <w:sz w:val="20"/>
        </w:rPr>
        <w:t> </w:t>
      </w:r>
      <w:r>
        <w:rPr>
          <w:sz w:val="20"/>
        </w:rPr>
        <w:t>mencionados</w:t>
      </w:r>
      <w:r>
        <w:rPr>
          <w:spacing w:val="-7"/>
          <w:sz w:val="20"/>
        </w:rPr>
        <w:t> </w:t>
      </w:r>
      <w:r>
        <w:rPr>
          <w:sz w:val="20"/>
        </w:rPr>
        <w:t>y</w:t>
      </w:r>
      <w:r>
        <w:rPr>
          <w:spacing w:val="-6"/>
          <w:sz w:val="20"/>
        </w:rPr>
        <w:t> </w:t>
      </w:r>
      <w:r>
        <w:rPr>
          <w:spacing w:val="-2"/>
          <w:sz w:val="20"/>
        </w:rPr>
        <w:t>compatibles.</w:t>
      </w:r>
    </w:p>
    <w:p>
      <w:pPr>
        <w:pStyle w:val="BodyText"/>
        <w:spacing w:before="229"/>
        <w:ind w:left="262"/>
        <w:jc w:val="both"/>
      </w:pPr>
      <w:r>
        <w:rPr>
          <w:rFonts w:ascii="Arial" w:hAnsi="Arial"/>
          <w:b/>
        </w:rPr>
        <w:t>ARTÍCULO</w:t>
      </w:r>
      <w:r>
        <w:rPr>
          <w:rFonts w:ascii="Arial" w:hAnsi="Arial"/>
          <w:b/>
          <w:spacing w:val="-7"/>
        </w:rPr>
        <w:t> </w:t>
      </w:r>
      <w:r>
        <w:rPr>
          <w:rFonts w:ascii="Arial" w:hAnsi="Arial"/>
          <w:b/>
        </w:rPr>
        <w:t>367.</w:t>
      </w:r>
      <w:r>
        <w:rPr>
          <w:rFonts w:ascii="Arial" w:hAnsi="Arial"/>
          <w:b/>
          <w:spacing w:val="-8"/>
        </w:rPr>
        <w:t> </w:t>
      </w:r>
      <w:r>
        <w:rPr/>
        <w:t>Los</w:t>
      </w:r>
      <w:r>
        <w:rPr>
          <w:spacing w:val="-6"/>
        </w:rPr>
        <w:t> </w:t>
      </w:r>
      <w:r>
        <w:rPr/>
        <w:t>desarrollos</w:t>
      </w:r>
      <w:r>
        <w:rPr>
          <w:spacing w:val="-5"/>
        </w:rPr>
        <w:t> </w:t>
      </w:r>
      <w:r>
        <w:rPr/>
        <w:t>en</w:t>
      </w:r>
      <w:r>
        <w:rPr>
          <w:spacing w:val="-8"/>
        </w:rPr>
        <w:t> </w:t>
      </w:r>
      <w:r>
        <w:rPr/>
        <w:t>condominio</w:t>
      </w:r>
      <w:r>
        <w:rPr>
          <w:spacing w:val="-6"/>
        </w:rPr>
        <w:t> </w:t>
      </w:r>
      <w:r>
        <w:rPr/>
        <w:t>de</w:t>
      </w:r>
      <w:r>
        <w:rPr>
          <w:spacing w:val="-6"/>
        </w:rPr>
        <w:t> </w:t>
      </w:r>
      <w:r>
        <w:rPr/>
        <w:t>acuerdo</w:t>
      </w:r>
      <w:r>
        <w:rPr>
          <w:spacing w:val="-7"/>
        </w:rPr>
        <w:t> </w:t>
      </w:r>
      <w:r>
        <w:rPr/>
        <w:t>a</w:t>
      </w:r>
      <w:r>
        <w:rPr>
          <w:spacing w:val="-7"/>
        </w:rPr>
        <w:t> </w:t>
      </w:r>
      <w:r>
        <w:rPr/>
        <w:t>su</w:t>
      </w:r>
      <w:r>
        <w:rPr>
          <w:spacing w:val="-8"/>
        </w:rPr>
        <w:t> </w:t>
      </w:r>
      <w:r>
        <w:rPr/>
        <w:t>tipo</w:t>
      </w:r>
      <w:r>
        <w:rPr>
          <w:spacing w:val="-6"/>
        </w:rPr>
        <w:t> </w:t>
      </w:r>
      <w:r>
        <w:rPr/>
        <w:t>de</w:t>
      </w:r>
      <w:r>
        <w:rPr>
          <w:spacing w:val="-8"/>
        </w:rPr>
        <w:t> </w:t>
      </w:r>
      <w:r>
        <w:rPr/>
        <w:t>construcción</w:t>
      </w:r>
      <w:r>
        <w:rPr>
          <w:spacing w:val="-8"/>
        </w:rPr>
        <w:t> </w:t>
      </w:r>
      <w:r>
        <w:rPr/>
        <w:t>podrán</w:t>
      </w:r>
      <w:r>
        <w:rPr>
          <w:spacing w:val="-8"/>
        </w:rPr>
        <w:t> </w:t>
      </w:r>
      <w:r>
        <w:rPr>
          <w:spacing w:val="-4"/>
        </w:rPr>
        <w:t>ser:</w:t>
      </w:r>
    </w:p>
    <w:p>
      <w:pPr>
        <w:pStyle w:val="BodyText"/>
      </w:pPr>
    </w:p>
    <w:p>
      <w:pPr>
        <w:pStyle w:val="ListParagraph"/>
        <w:numPr>
          <w:ilvl w:val="0"/>
          <w:numId w:val="127"/>
        </w:numPr>
        <w:tabs>
          <w:tab w:pos="969" w:val="left" w:leader="none"/>
        </w:tabs>
        <w:spacing w:line="240" w:lineRule="auto" w:before="0" w:after="0"/>
        <w:ind w:left="262" w:right="274" w:firstLine="0"/>
        <w:jc w:val="both"/>
        <w:rPr>
          <w:sz w:val="20"/>
        </w:rPr>
      </w:pPr>
      <w:r>
        <w:rPr>
          <w:rFonts w:ascii="Arial" w:hAnsi="Arial"/>
          <w:b/>
          <w:sz w:val="20"/>
        </w:rPr>
        <w:t>Condominio vertical: </w:t>
      </w:r>
      <w:r>
        <w:rPr>
          <w:sz w:val="20"/>
        </w:rPr>
        <w:t>Es aquél edificado en varios niveles, en un solo terreno común, con unidades de propiedad exclusiva con derechos y obligaciones de copropiedad sobre el suelo y los demás</w:t>
      </w:r>
      <w:r>
        <w:rPr>
          <w:spacing w:val="-3"/>
          <w:sz w:val="20"/>
        </w:rPr>
        <w:t> </w:t>
      </w:r>
      <w:r>
        <w:rPr>
          <w:sz w:val="20"/>
        </w:rPr>
        <w:t>elementos</w:t>
      </w:r>
      <w:r>
        <w:rPr>
          <w:spacing w:val="-3"/>
          <w:sz w:val="20"/>
        </w:rPr>
        <w:t> </w:t>
      </w:r>
      <w:r>
        <w:rPr>
          <w:sz w:val="20"/>
        </w:rPr>
        <w:t>comunes del</w:t>
      </w:r>
      <w:r>
        <w:rPr>
          <w:spacing w:val="-3"/>
          <w:sz w:val="20"/>
        </w:rPr>
        <w:t> </w:t>
      </w:r>
      <w:r>
        <w:rPr>
          <w:sz w:val="20"/>
        </w:rPr>
        <w:t>inmueble</w:t>
      </w:r>
      <w:r>
        <w:rPr>
          <w:spacing w:val="-2"/>
          <w:sz w:val="20"/>
        </w:rPr>
        <w:t> </w:t>
      </w:r>
      <w:r>
        <w:rPr>
          <w:sz w:val="20"/>
        </w:rPr>
        <w:t>de</w:t>
      </w:r>
      <w:r>
        <w:rPr>
          <w:spacing w:val="-5"/>
          <w:sz w:val="20"/>
        </w:rPr>
        <w:t> </w:t>
      </w:r>
      <w:r>
        <w:rPr>
          <w:sz w:val="20"/>
        </w:rPr>
        <w:t>conformidad</w:t>
      </w:r>
      <w:r>
        <w:rPr>
          <w:spacing w:val="-5"/>
          <w:sz w:val="20"/>
        </w:rPr>
        <w:t> </w:t>
      </w:r>
      <w:r>
        <w:rPr>
          <w:sz w:val="20"/>
        </w:rPr>
        <w:t>con</w:t>
      </w:r>
      <w:r>
        <w:rPr>
          <w:spacing w:val="-5"/>
          <w:sz w:val="20"/>
        </w:rPr>
        <w:t> </w:t>
      </w:r>
      <w:r>
        <w:rPr>
          <w:sz w:val="20"/>
        </w:rPr>
        <w:t>lo</w:t>
      </w:r>
      <w:r>
        <w:rPr>
          <w:spacing w:val="-4"/>
          <w:sz w:val="20"/>
        </w:rPr>
        <w:t> </w:t>
      </w:r>
      <w:r>
        <w:rPr>
          <w:sz w:val="20"/>
        </w:rPr>
        <w:t>que</w:t>
      </w:r>
      <w:r>
        <w:rPr>
          <w:spacing w:val="-4"/>
          <w:sz w:val="20"/>
        </w:rPr>
        <w:t> </w:t>
      </w:r>
      <w:r>
        <w:rPr>
          <w:sz w:val="20"/>
        </w:rPr>
        <w:t>establecen</w:t>
      </w:r>
      <w:r>
        <w:rPr>
          <w:spacing w:val="-4"/>
          <w:sz w:val="20"/>
        </w:rPr>
        <w:t> </w:t>
      </w:r>
      <w:r>
        <w:rPr>
          <w:sz w:val="20"/>
        </w:rPr>
        <w:t>el</w:t>
      </w:r>
      <w:r>
        <w:rPr>
          <w:spacing w:val="-3"/>
          <w:sz w:val="20"/>
        </w:rPr>
        <w:t> </w:t>
      </w:r>
      <w:r>
        <w:rPr>
          <w:sz w:val="20"/>
        </w:rPr>
        <w:t>Código</w:t>
      </w:r>
      <w:r>
        <w:rPr>
          <w:spacing w:val="-5"/>
          <w:sz w:val="20"/>
        </w:rPr>
        <w:t> </w:t>
      </w:r>
      <w:r>
        <w:rPr>
          <w:sz w:val="20"/>
        </w:rPr>
        <w:t>Civil</w:t>
      </w:r>
      <w:r>
        <w:rPr>
          <w:spacing w:val="-5"/>
          <w:sz w:val="20"/>
        </w:rPr>
        <w:t> </w:t>
      </w:r>
      <w:r>
        <w:rPr>
          <w:sz w:val="20"/>
        </w:rPr>
        <w:t>y</w:t>
      </w:r>
      <w:r>
        <w:rPr>
          <w:spacing w:val="40"/>
          <w:sz w:val="20"/>
        </w:rPr>
        <w:t> </w:t>
      </w:r>
      <w:r>
        <w:rPr>
          <w:sz w:val="20"/>
        </w:rPr>
        <w:t>la Ley sobre el Régimen de Propiedad en Condominio del Estado, y respecto del uso del suelo, densidad de población y coeficientes de ocupación y utilización del suelo estarán sujetos a las disposiciones de la Ley de Ordenamiento Territorial y Desarrollo Urbano del Estado, a la presente Ley</w:t>
      </w:r>
      <w:r>
        <w:rPr>
          <w:spacing w:val="40"/>
          <w:sz w:val="20"/>
        </w:rPr>
        <w:t> </w:t>
      </w:r>
      <w:r>
        <w:rPr>
          <w:sz w:val="20"/>
        </w:rPr>
        <w:t>y a la reglamentación municipal respectiva;</w:t>
      </w:r>
    </w:p>
    <w:p>
      <w:pPr>
        <w:pStyle w:val="BodyText"/>
        <w:spacing w:before="1"/>
      </w:pPr>
    </w:p>
    <w:p>
      <w:pPr>
        <w:pStyle w:val="ListParagraph"/>
        <w:numPr>
          <w:ilvl w:val="0"/>
          <w:numId w:val="127"/>
        </w:numPr>
        <w:tabs>
          <w:tab w:pos="967" w:val="left" w:leader="none"/>
        </w:tabs>
        <w:spacing w:line="240" w:lineRule="auto" w:before="0" w:after="0"/>
        <w:ind w:left="262" w:right="284" w:firstLine="0"/>
        <w:jc w:val="both"/>
        <w:rPr>
          <w:sz w:val="20"/>
        </w:rPr>
      </w:pPr>
      <w:r>
        <w:rPr>
          <w:rFonts w:ascii="Arial" w:hAnsi="Arial"/>
          <w:b/>
          <w:sz w:val="20"/>
        </w:rPr>
        <w:t>Condominio</w:t>
      </w:r>
      <w:r>
        <w:rPr>
          <w:rFonts w:ascii="Arial" w:hAnsi="Arial"/>
          <w:b/>
          <w:spacing w:val="-2"/>
          <w:sz w:val="20"/>
        </w:rPr>
        <w:t> </w:t>
      </w:r>
      <w:r>
        <w:rPr>
          <w:rFonts w:ascii="Arial" w:hAnsi="Arial"/>
          <w:b/>
          <w:sz w:val="20"/>
        </w:rPr>
        <w:t>horizontal</w:t>
      </w:r>
      <w:r>
        <w:rPr>
          <w:rFonts w:ascii="Arial" w:hAnsi="Arial"/>
          <w:b/>
          <w:i/>
          <w:sz w:val="20"/>
        </w:rPr>
        <w:t>:</w:t>
      </w:r>
      <w:r>
        <w:rPr>
          <w:rFonts w:ascii="Arial" w:hAnsi="Arial"/>
          <w:b/>
          <w:i/>
          <w:spacing w:val="-2"/>
          <w:sz w:val="20"/>
        </w:rPr>
        <w:t> </w:t>
      </w:r>
      <w:r>
        <w:rPr>
          <w:sz w:val="20"/>
        </w:rPr>
        <w:t>Es</w:t>
      </w:r>
      <w:r>
        <w:rPr>
          <w:spacing w:val="-2"/>
          <w:sz w:val="20"/>
        </w:rPr>
        <w:t> </w:t>
      </w:r>
      <w:r>
        <w:rPr>
          <w:sz w:val="20"/>
        </w:rPr>
        <w:t>aquél</w:t>
      </w:r>
      <w:r>
        <w:rPr>
          <w:spacing w:val="-1"/>
          <w:sz w:val="20"/>
        </w:rPr>
        <w:t> </w:t>
      </w:r>
      <w:r>
        <w:rPr>
          <w:sz w:val="20"/>
        </w:rPr>
        <w:t>que</w:t>
      </w:r>
      <w:r>
        <w:rPr>
          <w:spacing w:val="-1"/>
          <w:sz w:val="20"/>
        </w:rPr>
        <w:t> </w:t>
      </w:r>
      <w:r>
        <w:rPr>
          <w:sz w:val="20"/>
        </w:rPr>
        <w:t>se</w:t>
      </w:r>
      <w:r>
        <w:rPr>
          <w:spacing w:val="-3"/>
          <w:sz w:val="20"/>
        </w:rPr>
        <w:t> </w:t>
      </w:r>
      <w:r>
        <w:rPr>
          <w:sz w:val="20"/>
        </w:rPr>
        <w:t>construye</w:t>
      </w:r>
      <w:r>
        <w:rPr>
          <w:spacing w:val="-3"/>
          <w:sz w:val="20"/>
        </w:rPr>
        <w:t> </w:t>
      </w:r>
      <w:r>
        <w:rPr>
          <w:sz w:val="20"/>
        </w:rPr>
        <w:t>con</w:t>
      </w:r>
      <w:r>
        <w:rPr>
          <w:spacing w:val="-4"/>
          <w:sz w:val="20"/>
        </w:rPr>
        <w:t> </w:t>
      </w:r>
      <w:r>
        <w:rPr>
          <w:sz w:val="20"/>
        </w:rPr>
        <w:t>elementos</w:t>
      </w:r>
      <w:r>
        <w:rPr>
          <w:spacing w:val="-2"/>
          <w:sz w:val="20"/>
        </w:rPr>
        <w:t> </w:t>
      </w:r>
      <w:r>
        <w:rPr>
          <w:sz w:val="20"/>
        </w:rPr>
        <w:t>horizontales, pudiendo o no compartir la estructura y los demás elementos medianeros; o el que se desarrolla sobre un terreno o inmueble con equipamiento e infraestructura urbana teniendo el condómino en ambos casos,</w:t>
      </w:r>
      <w:r>
        <w:rPr>
          <w:spacing w:val="-14"/>
          <w:sz w:val="20"/>
        </w:rPr>
        <w:t> </w:t>
      </w:r>
      <w:r>
        <w:rPr>
          <w:sz w:val="20"/>
        </w:rPr>
        <w:t>derecho</w:t>
      </w:r>
      <w:r>
        <w:rPr>
          <w:spacing w:val="-14"/>
          <w:sz w:val="20"/>
        </w:rPr>
        <w:t> </w:t>
      </w:r>
      <w:r>
        <w:rPr>
          <w:sz w:val="20"/>
        </w:rPr>
        <w:t>de</w:t>
      </w:r>
      <w:r>
        <w:rPr>
          <w:spacing w:val="-14"/>
          <w:sz w:val="20"/>
        </w:rPr>
        <w:t> </w:t>
      </w:r>
      <w:r>
        <w:rPr>
          <w:sz w:val="20"/>
        </w:rPr>
        <w:t>uso</w:t>
      </w:r>
      <w:r>
        <w:rPr>
          <w:spacing w:val="-14"/>
          <w:sz w:val="20"/>
        </w:rPr>
        <w:t> </w:t>
      </w:r>
      <w:r>
        <w:rPr>
          <w:sz w:val="20"/>
        </w:rPr>
        <w:t>exclusivo</w:t>
      </w:r>
      <w:r>
        <w:rPr>
          <w:spacing w:val="-14"/>
          <w:sz w:val="20"/>
        </w:rPr>
        <w:t> </w:t>
      </w:r>
      <w:r>
        <w:rPr>
          <w:sz w:val="20"/>
        </w:rPr>
        <w:t>en</w:t>
      </w:r>
      <w:r>
        <w:rPr>
          <w:spacing w:val="-14"/>
          <w:sz w:val="20"/>
        </w:rPr>
        <w:t> </w:t>
      </w:r>
      <w:r>
        <w:rPr>
          <w:sz w:val="20"/>
        </w:rPr>
        <w:t>la</w:t>
      </w:r>
      <w:r>
        <w:rPr>
          <w:spacing w:val="-14"/>
          <w:sz w:val="20"/>
        </w:rPr>
        <w:t> </w:t>
      </w:r>
      <w:r>
        <w:rPr>
          <w:sz w:val="20"/>
        </w:rPr>
        <w:t>unidad</w:t>
      </w:r>
      <w:r>
        <w:rPr>
          <w:spacing w:val="-14"/>
          <w:sz w:val="20"/>
        </w:rPr>
        <w:t> </w:t>
      </w:r>
      <w:r>
        <w:rPr>
          <w:sz w:val="20"/>
        </w:rPr>
        <w:t>privativa</w:t>
      </w:r>
      <w:r>
        <w:rPr>
          <w:spacing w:val="-14"/>
          <w:sz w:val="20"/>
        </w:rPr>
        <w:t> </w:t>
      </w:r>
      <w:r>
        <w:rPr>
          <w:sz w:val="20"/>
        </w:rPr>
        <w:t>y</w:t>
      </w:r>
      <w:r>
        <w:rPr>
          <w:spacing w:val="-13"/>
          <w:sz w:val="20"/>
        </w:rPr>
        <w:t> </w:t>
      </w:r>
      <w:r>
        <w:rPr>
          <w:sz w:val="20"/>
        </w:rPr>
        <w:t>derecho</w:t>
      </w:r>
      <w:r>
        <w:rPr>
          <w:spacing w:val="-14"/>
          <w:sz w:val="20"/>
        </w:rPr>
        <w:t> </w:t>
      </w:r>
      <w:r>
        <w:rPr>
          <w:sz w:val="20"/>
        </w:rPr>
        <w:t>de</w:t>
      </w:r>
      <w:r>
        <w:rPr>
          <w:spacing w:val="-14"/>
          <w:sz w:val="20"/>
        </w:rPr>
        <w:t> </w:t>
      </w:r>
      <w:r>
        <w:rPr>
          <w:sz w:val="20"/>
        </w:rPr>
        <w:t>copropiedad</w:t>
      </w:r>
      <w:r>
        <w:rPr>
          <w:spacing w:val="-14"/>
          <w:sz w:val="20"/>
        </w:rPr>
        <w:t> </w:t>
      </w:r>
      <w:r>
        <w:rPr>
          <w:sz w:val="20"/>
        </w:rPr>
        <w:t>en</w:t>
      </w:r>
      <w:r>
        <w:rPr>
          <w:spacing w:val="-14"/>
          <w:sz w:val="20"/>
        </w:rPr>
        <w:t> </w:t>
      </w:r>
      <w:r>
        <w:rPr>
          <w:sz w:val="20"/>
        </w:rPr>
        <w:t>las</w:t>
      </w:r>
      <w:r>
        <w:rPr>
          <w:spacing w:val="-14"/>
          <w:sz w:val="20"/>
        </w:rPr>
        <w:t> </w:t>
      </w:r>
      <w:r>
        <w:rPr>
          <w:sz w:val="20"/>
        </w:rPr>
        <w:t>demás</w:t>
      </w:r>
      <w:r>
        <w:rPr>
          <w:spacing w:val="-14"/>
          <w:sz w:val="20"/>
        </w:rPr>
        <w:t> </w:t>
      </w:r>
      <w:r>
        <w:rPr>
          <w:sz w:val="20"/>
        </w:rPr>
        <w:t>áreas comunes, y</w:t>
      </w:r>
    </w:p>
    <w:p>
      <w:pPr>
        <w:pStyle w:val="BodyText"/>
        <w:spacing w:before="1"/>
      </w:pPr>
    </w:p>
    <w:p>
      <w:pPr>
        <w:pStyle w:val="ListParagraph"/>
        <w:numPr>
          <w:ilvl w:val="0"/>
          <w:numId w:val="127"/>
        </w:numPr>
        <w:tabs>
          <w:tab w:pos="741" w:val="left" w:leader="none"/>
        </w:tabs>
        <w:spacing w:line="240" w:lineRule="auto" w:before="0" w:after="0"/>
        <w:ind w:left="262" w:right="281" w:firstLine="0"/>
        <w:jc w:val="both"/>
        <w:rPr>
          <w:sz w:val="20"/>
        </w:rPr>
      </w:pPr>
      <w:r>
        <w:rPr>
          <w:rFonts w:ascii="Arial"/>
          <w:b/>
          <w:sz w:val="20"/>
        </w:rPr>
        <w:t>Condominio mixto: </w:t>
      </w:r>
      <w:r>
        <w:rPr>
          <w:sz w:val="20"/>
        </w:rPr>
        <w:t>Es el que se conforma por condominios horizontales y verticales, pudiendo estar constituidos en grupos de propiedad exclusiva.</w:t>
      </w:r>
    </w:p>
    <w:p>
      <w:pPr>
        <w:pStyle w:val="BodyText"/>
        <w:spacing w:before="229"/>
        <w:ind w:left="262" w:right="284"/>
        <w:jc w:val="both"/>
      </w:pPr>
      <w:r>
        <w:rPr>
          <w:rFonts w:ascii="Arial" w:hAnsi="Arial"/>
          <w:b/>
        </w:rPr>
        <w:t>ARTÍCULO 368. </w:t>
      </w:r>
      <w:r>
        <w:rPr/>
        <w:t>Las obras de urbanización y de edificación de los desarrollos en régimen de propiedad</w:t>
      </w:r>
      <w:r>
        <w:rPr>
          <w:spacing w:val="-5"/>
        </w:rPr>
        <w:t> </w:t>
      </w:r>
      <w:r>
        <w:rPr/>
        <w:t>en</w:t>
      </w:r>
      <w:r>
        <w:rPr>
          <w:spacing w:val="-5"/>
        </w:rPr>
        <w:t> </w:t>
      </w:r>
      <w:r>
        <w:rPr/>
        <w:t>condominio</w:t>
      </w:r>
      <w:r>
        <w:rPr>
          <w:spacing w:val="-3"/>
        </w:rPr>
        <w:t> </w:t>
      </w:r>
      <w:r>
        <w:rPr/>
        <w:t>deberán</w:t>
      </w:r>
      <w:r>
        <w:rPr>
          <w:spacing w:val="-5"/>
        </w:rPr>
        <w:t> </w:t>
      </w:r>
      <w:r>
        <w:rPr/>
        <w:t>cumplir</w:t>
      </w:r>
      <w:r>
        <w:rPr>
          <w:spacing w:val="-4"/>
        </w:rPr>
        <w:t> </w:t>
      </w:r>
      <w:r>
        <w:rPr/>
        <w:t>con</w:t>
      </w:r>
      <w:r>
        <w:rPr>
          <w:spacing w:val="-4"/>
        </w:rPr>
        <w:t> </w:t>
      </w:r>
      <w:r>
        <w:rPr/>
        <w:t>las</w:t>
      </w:r>
      <w:r>
        <w:rPr>
          <w:spacing w:val="-4"/>
        </w:rPr>
        <w:t> </w:t>
      </w:r>
      <w:r>
        <w:rPr/>
        <w:t>normas</w:t>
      </w:r>
      <w:r>
        <w:rPr>
          <w:spacing w:val="-4"/>
        </w:rPr>
        <w:t> </w:t>
      </w:r>
      <w:r>
        <w:rPr/>
        <w:t>y</w:t>
      </w:r>
      <w:r>
        <w:rPr>
          <w:spacing w:val="-4"/>
        </w:rPr>
        <w:t> </w:t>
      </w:r>
      <w:r>
        <w:rPr/>
        <w:t>especificaciones</w:t>
      </w:r>
      <w:r>
        <w:rPr>
          <w:spacing w:val="-4"/>
        </w:rPr>
        <w:t> </w:t>
      </w:r>
      <w:r>
        <w:rPr/>
        <w:t>que</w:t>
      </w:r>
      <w:r>
        <w:rPr>
          <w:spacing w:val="-3"/>
        </w:rPr>
        <w:t> </w:t>
      </w:r>
      <w:r>
        <w:rPr/>
        <w:t>señala</w:t>
      </w:r>
      <w:r>
        <w:rPr>
          <w:spacing w:val="-3"/>
        </w:rPr>
        <w:t> </w:t>
      </w:r>
      <w:r>
        <w:rPr/>
        <w:t>esta</w:t>
      </w:r>
      <w:r>
        <w:rPr>
          <w:spacing w:val="-6"/>
        </w:rPr>
        <w:t> </w:t>
      </w:r>
      <w:r>
        <w:rPr/>
        <w:t>Ley</w:t>
      </w:r>
      <w:r>
        <w:rPr>
          <w:spacing w:val="-4"/>
        </w:rPr>
        <w:t> </w:t>
      </w:r>
      <w:r>
        <w:rPr/>
        <w:t>y</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9"/>
        <w:jc w:val="both"/>
      </w:pPr>
      <w:r>
        <w:rPr/>
        <w:t>el reglamento correspondiente, así como con las disposiciones que al efecto establezcan los organismos prestadores de los servicios públicos correspondientes.</w:t>
      </w:r>
    </w:p>
    <w:p>
      <w:pPr>
        <w:pStyle w:val="BodyText"/>
        <w:spacing w:before="1"/>
      </w:pPr>
    </w:p>
    <w:p>
      <w:pPr>
        <w:pStyle w:val="BodyText"/>
        <w:ind w:left="262" w:right="279"/>
        <w:jc w:val="both"/>
      </w:pPr>
      <w:r>
        <w:rPr>
          <w:rFonts w:ascii="Arial" w:hAnsi="Arial"/>
          <w:b/>
        </w:rPr>
        <w:t>ARTÍCULO</w:t>
      </w:r>
      <w:r>
        <w:rPr>
          <w:rFonts w:ascii="Arial" w:hAnsi="Arial"/>
          <w:b/>
          <w:spacing w:val="-3"/>
        </w:rPr>
        <w:t> </w:t>
      </w:r>
      <w:r>
        <w:rPr>
          <w:rFonts w:ascii="Arial" w:hAnsi="Arial"/>
          <w:b/>
        </w:rPr>
        <w:t>369.</w:t>
      </w:r>
      <w:r>
        <w:rPr>
          <w:rFonts w:ascii="Arial" w:hAnsi="Arial"/>
          <w:b/>
          <w:spacing w:val="-1"/>
        </w:rPr>
        <w:t> </w:t>
      </w:r>
      <w:r>
        <w:rPr/>
        <w:t>Los</w:t>
      </w:r>
      <w:r>
        <w:rPr>
          <w:spacing w:val="-3"/>
        </w:rPr>
        <w:t> </w:t>
      </w:r>
      <w:r>
        <w:rPr/>
        <w:t>condominios</w:t>
      </w:r>
      <w:r>
        <w:rPr>
          <w:spacing w:val="-3"/>
        </w:rPr>
        <w:t> </w:t>
      </w:r>
      <w:r>
        <w:rPr/>
        <w:t>habitacionales</w:t>
      </w:r>
      <w:r>
        <w:rPr>
          <w:spacing w:val="-1"/>
        </w:rPr>
        <w:t> </w:t>
      </w:r>
      <w:r>
        <w:rPr/>
        <w:t>de</w:t>
      </w:r>
      <w:r>
        <w:rPr>
          <w:spacing w:val="-2"/>
        </w:rPr>
        <w:t> </w:t>
      </w:r>
      <w:r>
        <w:rPr/>
        <w:t>tipo</w:t>
      </w:r>
      <w:r>
        <w:rPr>
          <w:spacing w:val="-2"/>
        </w:rPr>
        <w:t> </w:t>
      </w:r>
      <w:r>
        <w:rPr/>
        <w:t>social</w:t>
      </w:r>
      <w:r>
        <w:rPr>
          <w:spacing w:val="-5"/>
        </w:rPr>
        <w:t> </w:t>
      </w:r>
      <w:r>
        <w:rPr/>
        <w:t>y popular</w:t>
      </w:r>
      <w:r>
        <w:rPr>
          <w:spacing w:val="-1"/>
        </w:rPr>
        <w:t> </w:t>
      </w:r>
      <w:r>
        <w:rPr/>
        <w:t>deberán</w:t>
      </w:r>
      <w:r>
        <w:rPr>
          <w:spacing w:val="-4"/>
        </w:rPr>
        <w:t> </w:t>
      </w:r>
      <w:r>
        <w:rPr/>
        <w:t>contar</w:t>
      </w:r>
      <w:r>
        <w:rPr>
          <w:spacing w:val="-4"/>
        </w:rPr>
        <w:t> </w:t>
      </w:r>
      <w:r>
        <w:rPr/>
        <w:t>con</w:t>
      </w:r>
      <w:r>
        <w:rPr>
          <w:spacing w:val="-2"/>
        </w:rPr>
        <w:t> </w:t>
      </w:r>
      <w:r>
        <w:rPr/>
        <w:t>áreas para</w:t>
      </w:r>
      <w:r>
        <w:rPr>
          <w:spacing w:val="-3"/>
        </w:rPr>
        <w:t> </w:t>
      </w:r>
      <w:r>
        <w:rPr/>
        <w:t>la</w:t>
      </w:r>
      <w:r>
        <w:rPr>
          <w:spacing w:val="-4"/>
        </w:rPr>
        <w:t> </w:t>
      </w:r>
      <w:r>
        <w:rPr/>
        <w:t>dotación</w:t>
      </w:r>
      <w:r>
        <w:rPr>
          <w:spacing w:val="-3"/>
        </w:rPr>
        <w:t> </w:t>
      </w:r>
      <w:r>
        <w:rPr/>
        <w:t>de</w:t>
      </w:r>
      <w:r>
        <w:rPr>
          <w:spacing w:val="-2"/>
        </w:rPr>
        <w:t> </w:t>
      </w:r>
      <w:r>
        <w:rPr/>
        <w:t>equipamiento</w:t>
      </w:r>
      <w:r>
        <w:rPr>
          <w:spacing w:val="-4"/>
        </w:rPr>
        <w:t> </w:t>
      </w:r>
      <w:r>
        <w:rPr/>
        <w:t>urbano</w:t>
      </w:r>
      <w:r>
        <w:rPr>
          <w:spacing w:val="-3"/>
        </w:rPr>
        <w:t> </w:t>
      </w:r>
      <w:r>
        <w:rPr/>
        <w:t>y</w:t>
      </w:r>
      <w:r>
        <w:rPr>
          <w:spacing w:val="-3"/>
        </w:rPr>
        <w:t> </w:t>
      </w:r>
      <w:r>
        <w:rPr/>
        <w:t>áreas</w:t>
      </w:r>
      <w:r>
        <w:rPr>
          <w:spacing w:val="-3"/>
        </w:rPr>
        <w:t> </w:t>
      </w:r>
      <w:r>
        <w:rPr/>
        <w:t>verdes</w:t>
      </w:r>
      <w:r>
        <w:rPr>
          <w:spacing w:val="-3"/>
        </w:rPr>
        <w:t> </w:t>
      </w:r>
      <w:r>
        <w:rPr/>
        <w:t>de</w:t>
      </w:r>
      <w:r>
        <w:rPr>
          <w:spacing w:val="-4"/>
        </w:rPr>
        <w:t> </w:t>
      </w:r>
      <w:r>
        <w:rPr/>
        <w:t>acuerdo</w:t>
      </w:r>
      <w:r>
        <w:rPr>
          <w:spacing w:val="-3"/>
        </w:rPr>
        <w:t> </w:t>
      </w:r>
      <w:r>
        <w:rPr/>
        <w:t>con</w:t>
      </w:r>
      <w:r>
        <w:rPr>
          <w:spacing w:val="-3"/>
        </w:rPr>
        <w:t> </w:t>
      </w:r>
      <w:r>
        <w:rPr/>
        <w:t>lo</w:t>
      </w:r>
      <w:r>
        <w:rPr>
          <w:spacing w:val="-3"/>
        </w:rPr>
        <w:t> </w:t>
      </w:r>
      <w:r>
        <w:rPr/>
        <w:t>previsto</w:t>
      </w:r>
      <w:r>
        <w:rPr>
          <w:spacing w:val="-4"/>
        </w:rPr>
        <w:t> </w:t>
      </w:r>
      <w:r>
        <w:rPr/>
        <w:t>en</w:t>
      </w:r>
      <w:r>
        <w:rPr>
          <w:spacing w:val="-4"/>
        </w:rPr>
        <w:t> </w:t>
      </w:r>
      <w:r>
        <w:rPr/>
        <w:t>esta</w:t>
      </w:r>
      <w:r>
        <w:rPr>
          <w:spacing w:val="-3"/>
        </w:rPr>
        <w:t> </w:t>
      </w:r>
      <w:r>
        <w:rPr/>
        <w:t>Ley,</w:t>
      </w:r>
      <w:r>
        <w:rPr>
          <w:spacing w:val="-4"/>
        </w:rPr>
        <w:t> </w:t>
      </w:r>
      <w:r>
        <w:rPr/>
        <w:t>en el programa de desarrollo urbano, en su caso en el programa social respectivo, y en el reglamento municipal correspondiente.</w:t>
      </w:r>
    </w:p>
    <w:p>
      <w:pPr>
        <w:pStyle w:val="BodyText"/>
      </w:pPr>
    </w:p>
    <w:p>
      <w:pPr>
        <w:pStyle w:val="BodyText"/>
      </w:pPr>
    </w:p>
    <w:p>
      <w:pPr>
        <w:pStyle w:val="Heading1"/>
      </w:pPr>
      <w:r>
        <w:rPr/>
        <w:t>TÍTULO</w:t>
      </w:r>
      <w:r>
        <w:rPr>
          <w:spacing w:val="-9"/>
        </w:rPr>
        <w:t> </w:t>
      </w:r>
      <w:r>
        <w:rPr/>
        <w:t>DÉCIMO</w:t>
      </w:r>
      <w:r>
        <w:rPr>
          <w:spacing w:val="-8"/>
        </w:rPr>
        <w:t> </w:t>
      </w:r>
      <w:r>
        <w:rPr>
          <w:spacing w:val="-2"/>
        </w:rPr>
        <w:t>SÉPTIMO</w:t>
      </w:r>
    </w:p>
    <w:p>
      <w:pPr>
        <w:spacing w:before="229"/>
        <w:ind w:left="821" w:right="841" w:firstLine="0"/>
        <w:jc w:val="center"/>
        <w:rPr>
          <w:rFonts w:ascii="Arial"/>
          <w:b/>
          <w:sz w:val="20"/>
        </w:rPr>
      </w:pPr>
      <w:r>
        <w:rPr>
          <w:rFonts w:ascii="Arial"/>
          <w:b/>
          <w:sz w:val="20"/>
        </w:rPr>
        <w:t>DISPOSICIONES</w:t>
      </w:r>
      <w:r>
        <w:rPr>
          <w:rFonts w:ascii="Arial"/>
          <w:b/>
          <w:spacing w:val="-9"/>
          <w:sz w:val="20"/>
        </w:rPr>
        <w:t> </w:t>
      </w:r>
      <w:r>
        <w:rPr>
          <w:rFonts w:ascii="Arial"/>
          <w:b/>
          <w:sz w:val="20"/>
        </w:rPr>
        <w:t>COMUNES</w:t>
      </w:r>
      <w:r>
        <w:rPr>
          <w:rFonts w:ascii="Arial"/>
          <w:b/>
          <w:spacing w:val="-8"/>
          <w:sz w:val="20"/>
        </w:rPr>
        <w:t> </w:t>
      </w:r>
      <w:r>
        <w:rPr>
          <w:rFonts w:ascii="Arial"/>
          <w:b/>
          <w:sz w:val="20"/>
        </w:rPr>
        <w:t>A</w:t>
      </w:r>
      <w:r>
        <w:rPr>
          <w:rFonts w:ascii="Arial"/>
          <w:b/>
          <w:spacing w:val="-9"/>
          <w:sz w:val="20"/>
        </w:rPr>
        <w:t> </w:t>
      </w:r>
      <w:r>
        <w:rPr>
          <w:rFonts w:ascii="Arial"/>
          <w:b/>
          <w:sz w:val="20"/>
        </w:rPr>
        <w:t>FRACCIONAMIENTOS,</w:t>
      </w:r>
      <w:r>
        <w:rPr>
          <w:rFonts w:ascii="Arial"/>
          <w:b/>
          <w:spacing w:val="-9"/>
          <w:sz w:val="20"/>
        </w:rPr>
        <w:t> </w:t>
      </w:r>
      <w:r>
        <w:rPr>
          <w:rFonts w:ascii="Arial"/>
          <w:b/>
          <w:sz w:val="20"/>
        </w:rPr>
        <w:t>CONDOMINIOS</w:t>
      </w:r>
      <w:r>
        <w:rPr>
          <w:rFonts w:ascii="Arial"/>
          <w:b/>
          <w:spacing w:val="-8"/>
          <w:sz w:val="20"/>
        </w:rPr>
        <w:t> </w:t>
      </w:r>
      <w:r>
        <w:rPr>
          <w:rFonts w:ascii="Arial"/>
          <w:b/>
          <w:sz w:val="20"/>
        </w:rPr>
        <w:t>Y DESARROLLOS INMOBILIARIOS ESPECIALES</w:t>
      </w:r>
    </w:p>
    <w:p>
      <w:pPr>
        <w:pStyle w:val="BodyText"/>
        <w:rPr>
          <w:rFonts w:ascii="Arial"/>
          <w:b/>
        </w:rPr>
      </w:pPr>
    </w:p>
    <w:p>
      <w:pPr>
        <w:pStyle w:val="BodyText"/>
        <w:spacing w:before="2"/>
        <w:rPr>
          <w:rFonts w:ascii="Arial"/>
          <w:b/>
        </w:rPr>
      </w:pPr>
    </w:p>
    <w:p>
      <w:pPr>
        <w:pStyle w:val="Heading2"/>
      </w:pPr>
      <w:r>
        <w:rPr/>
        <w:t>Capítulo</w:t>
      </w:r>
      <w:r>
        <w:rPr>
          <w:spacing w:val="-8"/>
        </w:rPr>
        <w:t> </w:t>
      </w:r>
      <w:r>
        <w:rPr>
          <w:spacing w:val="-10"/>
        </w:rPr>
        <w:t>I</w:t>
      </w:r>
    </w:p>
    <w:p>
      <w:pPr>
        <w:spacing w:before="228"/>
        <w:ind w:left="0" w:right="20" w:firstLine="0"/>
        <w:jc w:val="center"/>
        <w:rPr>
          <w:rFonts w:ascii="Arial" w:hAnsi="Arial"/>
          <w:b/>
          <w:sz w:val="20"/>
        </w:rPr>
      </w:pPr>
      <w:r>
        <w:rPr>
          <w:rFonts w:ascii="Arial" w:hAnsi="Arial"/>
          <w:b/>
          <w:sz w:val="20"/>
        </w:rPr>
        <w:t>Normas</w:t>
      </w:r>
      <w:r>
        <w:rPr>
          <w:rFonts w:ascii="Arial" w:hAnsi="Arial"/>
          <w:b/>
          <w:spacing w:val="-8"/>
          <w:sz w:val="20"/>
        </w:rPr>
        <w:t> </w:t>
      </w:r>
      <w:r>
        <w:rPr>
          <w:rFonts w:ascii="Arial" w:hAnsi="Arial"/>
          <w:b/>
          <w:sz w:val="20"/>
        </w:rPr>
        <w:t>Técnicas</w:t>
      </w:r>
      <w:r>
        <w:rPr>
          <w:rFonts w:ascii="Arial" w:hAnsi="Arial"/>
          <w:b/>
          <w:spacing w:val="-9"/>
          <w:sz w:val="20"/>
        </w:rPr>
        <w:t> </w:t>
      </w:r>
      <w:r>
        <w:rPr>
          <w:rFonts w:ascii="Arial" w:hAnsi="Arial"/>
          <w:b/>
          <w:sz w:val="20"/>
        </w:rPr>
        <w:t>del</w:t>
      </w:r>
      <w:r>
        <w:rPr>
          <w:rFonts w:ascii="Arial" w:hAnsi="Arial"/>
          <w:b/>
          <w:spacing w:val="-6"/>
          <w:sz w:val="20"/>
        </w:rPr>
        <w:t> </w:t>
      </w:r>
      <w:r>
        <w:rPr>
          <w:rFonts w:ascii="Arial" w:hAnsi="Arial"/>
          <w:b/>
          <w:spacing w:val="-2"/>
          <w:sz w:val="20"/>
        </w:rPr>
        <w:t>Proyecto</w:t>
      </w:r>
    </w:p>
    <w:p>
      <w:pPr>
        <w:pStyle w:val="BodyText"/>
        <w:spacing w:before="1"/>
        <w:rPr>
          <w:rFonts w:ascii="Arial"/>
          <w:b/>
        </w:rPr>
      </w:pPr>
    </w:p>
    <w:p>
      <w:pPr>
        <w:pStyle w:val="BodyText"/>
        <w:ind w:left="262" w:right="285"/>
        <w:jc w:val="both"/>
      </w:pPr>
      <w:r>
        <w:rPr>
          <w:rFonts w:ascii="Arial" w:hAnsi="Arial"/>
          <w:b/>
          <w:spacing w:val="-2"/>
        </w:rPr>
        <w:t>ARTÍCULO</w:t>
      </w:r>
      <w:r>
        <w:rPr>
          <w:rFonts w:ascii="Arial" w:hAnsi="Arial"/>
          <w:b/>
          <w:spacing w:val="-3"/>
        </w:rPr>
        <w:t> </w:t>
      </w:r>
      <w:r>
        <w:rPr>
          <w:rFonts w:ascii="Arial" w:hAnsi="Arial"/>
          <w:b/>
          <w:spacing w:val="-2"/>
        </w:rPr>
        <w:t>370. </w:t>
      </w:r>
      <w:r>
        <w:rPr>
          <w:spacing w:val="-2"/>
        </w:rPr>
        <w:t>Los proyectos</w:t>
      </w:r>
      <w:r>
        <w:rPr>
          <w:spacing w:val="-4"/>
        </w:rPr>
        <w:t> </w:t>
      </w:r>
      <w:r>
        <w:rPr>
          <w:spacing w:val="-2"/>
        </w:rPr>
        <w:t>de</w:t>
      </w:r>
      <w:r>
        <w:rPr>
          <w:spacing w:val="-3"/>
        </w:rPr>
        <w:t> </w:t>
      </w:r>
      <w:r>
        <w:rPr>
          <w:spacing w:val="-2"/>
        </w:rPr>
        <w:t>urbanización</w:t>
      </w:r>
      <w:r>
        <w:rPr>
          <w:spacing w:val="-6"/>
        </w:rPr>
        <w:t> </w:t>
      </w:r>
      <w:r>
        <w:rPr>
          <w:spacing w:val="-2"/>
        </w:rPr>
        <w:t>y</w:t>
      </w:r>
      <w:r>
        <w:rPr>
          <w:spacing w:val="-3"/>
        </w:rPr>
        <w:t> </w:t>
      </w:r>
      <w:r>
        <w:rPr>
          <w:spacing w:val="-2"/>
        </w:rPr>
        <w:t>construcción</w:t>
      </w:r>
      <w:r>
        <w:rPr>
          <w:spacing w:val="-3"/>
        </w:rPr>
        <w:t> </w:t>
      </w:r>
      <w:r>
        <w:rPr>
          <w:spacing w:val="-2"/>
        </w:rPr>
        <w:t>en</w:t>
      </w:r>
      <w:r>
        <w:rPr>
          <w:spacing w:val="-3"/>
        </w:rPr>
        <w:t> </w:t>
      </w:r>
      <w:r>
        <w:rPr>
          <w:spacing w:val="-2"/>
        </w:rPr>
        <w:t>los</w:t>
      </w:r>
      <w:r>
        <w:rPr>
          <w:spacing w:val="-4"/>
        </w:rPr>
        <w:t> </w:t>
      </w:r>
      <w:r>
        <w:rPr>
          <w:spacing w:val="-2"/>
        </w:rPr>
        <w:t>fraccionamientos,</w:t>
      </w:r>
      <w:r>
        <w:rPr>
          <w:spacing w:val="-4"/>
        </w:rPr>
        <w:t> </w:t>
      </w:r>
      <w:r>
        <w:rPr>
          <w:spacing w:val="-2"/>
        </w:rPr>
        <w:t>condominios </w:t>
      </w:r>
      <w:r>
        <w:rPr/>
        <w:t>y</w:t>
      </w:r>
      <w:r>
        <w:rPr>
          <w:spacing w:val="-2"/>
        </w:rPr>
        <w:t> </w:t>
      </w:r>
      <w:r>
        <w:rPr/>
        <w:t>desarrollos</w:t>
      </w:r>
      <w:r>
        <w:rPr>
          <w:spacing w:val="-2"/>
        </w:rPr>
        <w:t> </w:t>
      </w:r>
      <w:r>
        <w:rPr/>
        <w:t>inmobiliarios especiales</w:t>
      </w:r>
      <w:r>
        <w:rPr>
          <w:spacing w:val="-2"/>
        </w:rPr>
        <w:t> </w:t>
      </w:r>
      <w:r>
        <w:rPr/>
        <w:t>deberán</w:t>
      </w:r>
      <w:r>
        <w:rPr>
          <w:spacing w:val="-3"/>
        </w:rPr>
        <w:t> </w:t>
      </w:r>
      <w:r>
        <w:rPr/>
        <w:t>sujetarse</w:t>
      </w:r>
      <w:r>
        <w:rPr>
          <w:spacing w:val="-3"/>
        </w:rPr>
        <w:t> </w:t>
      </w:r>
      <w:r>
        <w:rPr/>
        <w:t>en</w:t>
      </w:r>
      <w:r>
        <w:rPr>
          <w:spacing w:val="-1"/>
        </w:rPr>
        <w:t> </w:t>
      </w:r>
      <w:r>
        <w:rPr/>
        <w:t>lo</w:t>
      </w:r>
      <w:r>
        <w:rPr>
          <w:spacing w:val="-1"/>
        </w:rPr>
        <w:t> </w:t>
      </w:r>
      <w:r>
        <w:rPr/>
        <w:t>conducente,</w:t>
      </w:r>
      <w:r>
        <w:rPr>
          <w:spacing w:val="-3"/>
        </w:rPr>
        <w:t> </w:t>
      </w:r>
      <w:r>
        <w:rPr/>
        <w:t>a</w:t>
      </w:r>
      <w:r>
        <w:rPr>
          <w:spacing w:val="-1"/>
        </w:rPr>
        <w:t> </w:t>
      </w:r>
      <w:r>
        <w:rPr/>
        <w:t>los siguientes</w:t>
      </w:r>
      <w:r>
        <w:rPr>
          <w:spacing w:val="-2"/>
        </w:rPr>
        <w:t> </w:t>
      </w:r>
      <w:r>
        <w:rPr/>
        <w:t>tipos</w:t>
      </w:r>
      <w:r>
        <w:rPr>
          <w:spacing w:val="-2"/>
        </w:rPr>
        <w:t> </w:t>
      </w:r>
      <w:r>
        <w:rPr/>
        <w:t>de normas técnicas:</w:t>
      </w:r>
    </w:p>
    <w:p>
      <w:pPr>
        <w:pStyle w:val="ListParagraph"/>
        <w:numPr>
          <w:ilvl w:val="0"/>
          <w:numId w:val="128"/>
        </w:numPr>
        <w:tabs>
          <w:tab w:pos="469" w:val="left" w:leader="none"/>
        </w:tabs>
        <w:spacing w:line="240" w:lineRule="auto" w:before="230" w:after="0"/>
        <w:ind w:left="262" w:right="279" w:firstLine="0"/>
        <w:jc w:val="both"/>
        <w:rPr>
          <w:sz w:val="20"/>
        </w:rPr>
      </w:pPr>
      <w:r>
        <w:rPr>
          <w:sz w:val="20"/>
        </w:rPr>
        <w:t>De diseño, que son las que regulan el proyecto en cuanto a la lotificación y/o zonificación, dimensiones de lotes o predios y manzanas o áreas, densidades de población, construcción y de ocupación del suelo,</w:t>
      </w:r>
      <w:r>
        <w:rPr>
          <w:spacing w:val="-1"/>
          <w:sz w:val="20"/>
        </w:rPr>
        <w:t> </w:t>
      </w:r>
      <w:r>
        <w:rPr>
          <w:sz w:val="20"/>
        </w:rPr>
        <w:t>restricciones y</w:t>
      </w:r>
      <w:r>
        <w:rPr>
          <w:spacing w:val="40"/>
          <w:sz w:val="20"/>
        </w:rPr>
        <w:t> </w:t>
      </w:r>
      <w:r>
        <w:rPr>
          <w:sz w:val="20"/>
        </w:rPr>
        <w:t>limitaciones urbanas y ambientales, equipamiento</w:t>
      </w:r>
      <w:r>
        <w:rPr>
          <w:spacing w:val="-1"/>
          <w:sz w:val="20"/>
        </w:rPr>
        <w:t> </w:t>
      </w:r>
      <w:r>
        <w:rPr>
          <w:sz w:val="20"/>
        </w:rPr>
        <w:t>y mobiliario urbano, áreas verdes y de donación;</w:t>
      </w:r>
    </w:p>
    <w:p>
      <w:pPr>
        <w:pStyle w:val="ListParagraph"/>
        <w:numPr>
          <w:ilvl w:val="0"/>
          <w:numId w:val="128"/>
        </w:numPr>
        <w:tabs>
          <w:tab w:pos="480" w:val="left" w:leader="none"/>
        </w:tabs>
        <w:spacing w:line="240" w:lineRule="auto" w:before="230" w:after="0"/>
        <w:ind w:left="480" w:right="0" w:hanging="218"/>
        <w:jc w:val="both"/>
        <w:rPr>
          <w:sz w:val="20"/>
        </w:rPr>
      </w:pPr>
      <w:r>
        <w:rPr>
          <w:sz w:val="20"/>
        </w:rPr>
        <w:t>De</w:t>
      </w:r>
      <w:r>
        <w:rPr>
          <w:spacing w:val="-8"/>
          <w:sz w:val="20"/>
        </w:rPr>
        <w:t> </w:t>
      </w:r>
      <w:r>
        <w:rPr>
          <w:sz w:val="20"/>
        </w:rPr>
        <w:t>sistemas</w:t>
      </w:r>
      <w:r>
        <w:rPr>
          <w:spacing w:val="-4"/>
          <w:sz w:val="20"/>
        </w:rPr>
        <w:t> </w:t>
      </w:r>
      <w:r>
        <w:rPr>
          <w:sz w:val="20"/>
        </w:rPr>
        <w:t>de</w:t>
      </w:r>
      <w:r>
        <w:rPr>
          <w:spacing w:val="-9"/>
          <w:sz w:val="20"/>
        </w:rPr>
        <w:t> </w:t>
      </w:r>
      <w:r>
        <w:rPr>
          <w:sz w:val="20"/>
        </w:rPr>
        <w:t>agua</w:t>
      </w:r>
      <w:r>
        <w:rPr>
          <w:spacing w:val="-7"/>
          <w:sz w:val="20"/>
        </w:rPr>
        <w:t> </w:t>
      </w:r>
      <w:r>
        <w:rPr>
          <w:sz w:val="20"/>
        </w:rPr>
        <w:t>potable,</w:t>
      </w:r>
      <w:r>
        <w:rPr>
          <w:spacing w:val="-7"/>
          <w:sz w:val="20"/>
        </w:rPr>
        <w:t> </w:t>
      </w:r>
      <w:r>
        <w:rPr>
          <w:sz w:val="20"/>
        </w:rPr>
        <w:t>alcantarillado</w:t>
      </w:r>
      <w:r>
        <w:rPr>
          <w:spacing w:val="-8"/>
          <w:sz w:val="20"/>
        </w:rPr>
        <w:t> </w:t>
      </w:r>
      <w:r>
        <w:rPr>
          <w:sz w:val="20"/>
        </w:rPr>
        <w:t>sanitario</w:t>
      </w:r>
      <w:r>
        <w:rPr>
          <w:spacing w:val="-8"/>
          <w:sz w:val="20"/>
        </w:rPr>
        <w:t> </w:t>
      </w:r>
      <w:r>
        <w:rPr>
          <w:sz w:val="20"/>
        </w:rPr>
        <w:t>y</w:t>
      </w:r>
      <w:r>
        <w:rPr>
          <w:spacing w:val="-6"/>
          <w:sz w:val="20"/>
        </w:rPr>
        <w:t> </w:t>
      </w:r>
      <w:r>
        <w:rPr>
          <w:spacing w:val="-2"/>
          <w:sz w:val="20"/>
        </w:rPr>
        <w:t>pluvial;</w:t>
      </w:r>
    </w:p>
    <w:p>
      <w:pPr>
        <w:pStyle w:val="BodyText"/>
      </w:pPr>
    </w:p>
    <w:p>
      <w:pPr>
        <w:pStyle w:val="ListParagraph"/>
        <w:numPr>
          <w:ilvl w:val="0"/>
          <w:numId w:val="128"/>
        </w:numPr>
        <w:tabs>
          <w:tab w:pos="534" w:val="left" w:leader="none"/>
        </w:tabs>
        <w:spacing w:line="240" w:lineRule="auto" w:before="0" w:after="0"/>
        <w:ind w:left="534" w:right="0" w:hanging="272"/>
        <w:jc w:val="both"/>
        <w:rPr>
          <w:sz w:val="20"/>
        </w:rPr>
      </w:pPr>
      <w:r>
        <w:rPr>
          <w:sz w:val="20"/>
        </w:rPr>
        <w:t>De</w:t>
      </w:r>
      <w:r>
        <w:rPr>
          <w:spacing w:val="-9"/>
          <w:sz w:val="20"/>
        </w:rPr>
        <w:t> </w:t>
      </w:r>
      <w:r>
        <w:rPr>
          <w:sz w:val="20"/>
        </w:rPr>
        <w:t>vialidad,</w:t>
      </w:r>
      <w:r>
        <w:rPr>
          <w:spacing w:val="-8"/>
          <w:sz w:val="20"/>
        </w:rPr>
        <w:t> </w:t>
      </w:r>
      <w:r>
        <w:rPr>
          <w:spacing w:val="-10"/>
          <w:sz w:val="20"/>
        </w:rPr>
        <w:t>y</w:t>
      </w:r>
    </w:p>
    <w:p>
      <w:pPr>
        <w:pStyle w:val="BodyText"/>
        <w:spacing w:before="1"/>
      </w:pPr>
    </w:p>
    <w:p>
      <w:pPr>
        <w:pStyle w:val="ListParagraph"/>
        <w:numPr>
          <w:ilvl w:val="0"/>
          <w:numId w:val="128"/>
        </w:numPr>
        <w:tabs>
          <w:tab w:pos="559" w:val="left" w:leader="none"/>
        </w:tabs>
        <w:spacing w:line="240" w:lineRule="auto" w:before="0" w:after="0"/>
        <w:ind w:left="559" w:right="0" w:hanging="297"/>
        <w:jc w:val="both"/>
        <w:rPr>
          <w:sz w:val="20"/>
        </w:rPr>
      </w:pPr>
      <w:r>
        <w:rPr>
          <w:sz w:val="20"/>
        </w:rPr>
        <w:t>De</w:t>
      </w:r>
      <w:r>
        <w:rPr>
          <w:spacing w:val="-8"/>
          <w:sz w:val="20"/>
        </w:rPr>
        <w:t> </w:t>
      </w:r>
      <w:r>
        <w:rPr>
          <w:sz w:val="20"/>
        </w:rPr>
        <w:t>electrificación</w:t>
      </w:r>
      <w:r>
        <w:rPr>
          <w:spacing w:val="-8"/>
          <w:sz w:val="20"/>
        </w:rPr>
        <w:t> </w:t>
      </w:r>
      <w:r>
        <w:rPr>
          <w:sz w:val="20"/>
        </w:rPr>
        <w:t>y</w:t>
      </w:r>
      <w:r>
        <w:rPr>
          <w:spacing w:val="-8"/>
          <w:sz w:val="20"/>
        </w:rPr>
        <w:t> </w:t>
      </w:r>
      <w:r>
        <w:rPr>
          <w:sz w:val="20"/>
        </w:rPr>
        <w:t>alumbrado</w:t>
      </w:r>
      <w:r>
        <w:rPr>
          <w:spacing w:val="-8"/>
          <w:sz w:val="20"/>
        </w:rPr>
        <w:t> </w:t>
      </w:r>
      <w:r>
        <w:rPr>
          <w:spacing w:val="-2"/>
          <w:sz w:val="20"/>
        </w:rPr>
        <w:t>público.</w:t>
      </w:r>
    </w:p>
    <w:p>
      <w:pPr>
        <w:pStyle w:val="BodyText"/>
        <w:spacing w:before="229"/>
        <w:ind w:left="262" w:right="280"/>
        <w:jc w:val="both"/>
      </w:pPr>
      <w:r>
        <w:rPr>
          <w:rFonts w:ascii="Arial" w:hAnsi="Arial"/>
          <w:b/>
        </w:rPr>
        <w:t>ARTÍCULO</w:t>
      </w:r>
      <w:r>
        <w:rPr>
          <w:rFonts w:ascii="Arial" w:hAnsi="Arial"/>
          <w:b/>
          <w:spacing w:val="-5"/>
        </w:rPr>
        <w:t> </w:t>
      </w:r>
      <w:r>
        <w:rPr>
          <w:rFonts w:ascii="Arial" w:hAnsi="Arial"/>
          <w:b/>
        </w:rPr>
        <w:t>371.</w:t>
      </w:r>
      <w:r>
        <w:rPr>
          <w:rFonts w:ascii="Arial" w:hAnsi="Arial"/>
          <w:b/>
          <w:spacing w:val="-6"/>
        </w:rPr>
        <w:t> </w:t>
      </w:r>
      <w:r>
        <w:rPr/>
        <w:t>Las</w:t>
      </w:r>
      <w:r>
        <w:rPr>
          <w:spacing w:val="-6"/>
        </w:rPr>
        <w:t> </w:t>
      </w:r>
      <w:r>
        <w:rPr/>
        <w:t>densidades</w:t>
      </w:r>
      <w:r>
        <w:rPr>
          <w:spacing w:val="-4"/>
        </w:rPr>
        <w:t> </w:t>
      </w:r>
      <w:r>
        <w:rPr/>
        <w:t>de</w:t>
      </w:r>
      <w:r>
        <w:rPr>
          <w:spacing w:val="-7"/>
        </w:rPr>
        <w:t> </w:t>
      </w:r>
      <w:r>
        <w:rPr/>
        <w:t>población,</w:t>
      </w:r>
      <w:r>
        <w:rPr>
          <w:spacing w:val="-4"/>
        </w:rPr>
        <w:t> </w:t>
      </w:r>
      <w:r>
        <w:rPr/>
        <w:t>los</w:t>
      </w:r>
      <w:r>
        <w:rPr>
          <w:spacing w:val="-6"/>
        </w:rPr>
        <w:t> </w:t>
      </w:r>
      <w:r>
        <w:rPr/>
        <w:t>coeficientes</w:t>
      </w:r>
      <w:r>
        <w:rPr>
          <w:spacing w:val="-4"/>
        </w:rPr>
        <w:t> </w:t>
      </w:r>
      <w:r>
        <w:rPr/>
        <w:t>de</w:t>
      </w:r>
      <w:r>
        <w:rPr>
          <w:spacing w:val="-7"/>
        </w:rPr>
        <w:t> </w:t>
      </w:r>
      <w:r>
        <w:rPr/>
        <w:t>ocupación</w:t>
      </w:r>
      <w:r>
        <w:rPr>
          <w:spacing w:val="-7"/>
        </w:rPr>
        <w:t> </w:t>
      </w:r>
      <w:r>
        <w:rPr/>
        <w:t>y</w:t>
      </w:r>
      <w:r>
        <w:rPr>
          <w:spacing w:val="-5"/>
        </w:rPr>
        <w:t> </w:t>
      </w:r>
      <w:r>
        <w:rPr/>
        <w:t>utilización</w:t>
      </w:r>
      <w:r>
        <w:rPr>
          <w:spacing w:val="-7"/>
        </w:rPr>
        <w:t> </w:t>
      </w:r>
      <w:r>
        <w:rPr/>
        <w:t>del</w:t>
      </w:r>
      <w:r>
        <w:rPr>
          <w:spacing w:val="-7"/>
        </w:rPr>
        <w:t> </w:t>
      </w:r>
      <w:r>
        <w:rPr/>
        <w:t>suelo, los</w:t>
      </w:r>
      <w:r>
        <w:rPr>
          <w:spacing w:val="-6"/>
        </w:rPr>
        <w:t> </w:t>
      </w:r>
      <w:r>
        <w:rPr/>
        <w:t>usos</w:t>
      </w:r>
      <w:r>
        <w:rPr>
          <w:spacing w:val="-3"/>
        </w:rPr>
        <w:t> </w:t>
      </w:r>
      <w:r>
        <w:rPr/>
        <w:t>o</w:t>
      </w:r>
      <w:r>
        <w:rPr>
          <w:spacing w:val="-5"/>
        </w:rPr>
        <w:t> </w:t>
      </w:r>
      <w:r>
        <w:rPr/>
        <w:t>destinos</w:t>
      </w:r>
      <w:r>
        <w:rPr>
          <w:spacing w:val="-3"/>
        </w:rPr>
        <w:t> </w:t>
      </w:r>
      <w:r>
        <w:rPr/>
        <w:t>compatibles</w:t>
      </w:r>
      <w:r>
        <w:rPr>
          <w:spacing w:val="-6"/>
        </w:rPr>
        <w:t> </w:t>
      </w:r>
      <w:r>
        <w:rPr/>
        <w:t>y</w:t>
      </w:r>
      <w:r>
        <w:rPr>
          <w:spacing w:val="-3"/>
        </w:rPr>
        <w:t> </w:t>
      </w:r>
      <w:r>
        <w:rPr/>
        <w:t>la</w:t>
      </w:r>
      <w:r>
        <w:rPr>
          <w:spacing w:val="-7"/>
        </w:rPr>
        <w:t> </w:t>
      </w:r>
      <w:r>
        <w:rPr/>
        <w:t>construcción</w:t>
      </w:r>
      <w:r>
        <w:rPr>
          <w:spacing w:val="-5"/>
        </w:rPr>
        <w:t> </w:t>
      </w:r>
      <w:r>
        <w:rPr/>
        <w:t>de</w:t>
      </w:r>
      <w:r>
        <w:rPr>
          <w:spacing w:val="-5"/>
        </w:rPr>
        <w:t> </w:t>
      </w:r>
      <w:r>
        <w:rPr/>
        <w:t>vivienda</w:t>
      </w:r>
      <w:r>
        <w:rPr>
          <w:spacing w:val="-4"/>
        </w:rPr>
        <w:t> </w:t>
      </w:r>
      <w:r>
        <w:rPr/>
        <w:t>multifamiliar</w:t>
      </w:r>
      <w:r>
        <w:rPr>
          <w:spacing w:val="-4"/>
        </w:rPr>
        <w:t> </w:t>
      </w:r>
      <w:r>
        <w:rPr/>
        <w:t>o</w:t>
      </w:r>
      <w:r>
        <w:rPr>
          <w:spacing w:val="-6"/>
        </w:rPr>
        <w:t> </w:t>
      </w:r>
      <w:r>
        <w:rPr/>
        <w:t>edificios</w:t>
      </w:r>
      <w:r>
        <w:rPr>
          <w:spacing w:val="-6"/>
        </w:rPr>
        <w:t> </w:t>
      </w:r>
      <w:r>
        <w:rPr/>
        <w:t>habitacionales en su caso, dentro de los fraccionamientos, condominios y desarrollos inmobiliarios especiales, se autorizarán por el Ayuntamiento a través de la Dirección Municipal, en las zonas y porcentajes que para</w:t>
      </w:r>
      <w:r>
        <w:rPr>
          <w:spacing w:val="-10"/>
        </w:rPr>
        <w:t> </w:t>
      </w:r>
      <w:r>
        <w:rPr/>
        <w:t>tal</w:t>
      </w:r>
      <w:r>
        <w:rPr>
          <w:spacing w:val="-9"/>
        </w:rPr>
        <w:t> </w:t>
      </w:r>
      <w:r>
        <w:rPr/>
        <w:t>efecto</w:t>
      </w:r>
      <w:r>
        <w:rPr>
          <w:spacing w:val="-8"/>
        </w:rPr>
        <w:t> </w:t>
      </w:r>
      <w:r>
        <w:rPr/>
        <w:t>hayan</w:t>
      </w:r>
      <w:r>
        <w:rPr>
          <w:spacing w:val="-8"/>
        </w:rPr>
        <w:t> </w:t>
      </w:r>
      <w:r>
        <w:rPr/>
        <w:t>sido</w:t>
      </w:r>
      <w:r>
        <w:rPr>
          <w:spacing w:val="-10"/>
        </w:rPr>
        <w:t> </w:t>
      </w:r>
      <w:r>
        <w:rPr/>
        <w:t>determinadas</w:t>
      </w:r>
      <w:r>
        <w:rPr>
          <w:spacing w:val="-9"/>
        </w:rPr>
        <w:t> </w:t>
      </w:r>
      <w:r>
        <w:rPr/>
        <w:t>y</w:t>
      </w:r>
      <w:r>
        <w:rPr>
          <w:spacing w:val="-6"/>
        </w:rPr>
        <w:t> </w:t>
      </w:r>
      <w:r>
        <w:rPr/>
        <w:t>establecidas</w:t>
      </w:r>
      <w:r>
        <w:rPr>
          <w:spacing w:val="-7"/>
        </w:rPr>
        <w:t> </w:t>
      </w:r>
      <w:r>
        <w:rPr/>
        <w:t>en</w:t>
      </w:r>
      <w:r>
        <w:rPr>
          <w:spacing w:val="-8"/>
        </w:rPr>
        <w:t> </w:t>
      </w:r>
      <w:r>
        <w:rPr/>
        <w:t>los</w:t>
      </w:r>
      <w:r>
        <w:rPr>
          <w:spacing w:val="-7"/>
        </w:rPr>
        <w:t> </w:t>
      </w:r>
      <w:r>
        <w:rPr/>
        <w:t>programas</w:t>
      </w:r>
      <w:r>
        <w:rPr>
          <w:spacing w:val="-7"/>
        </w:rPr>
        <w:t> </w:t>
      </w:r>
      <w:r>
        <w:rPr/>
        <w:t>de</w:t>
      </w:r>
      <w:r>
        <w:rPr>
          <w:spacing w:val="-8"/>
        </w:rPr>
        <w:t> </w:t>
      </w:r>
      <w:r>
        <w:rPr/>
        <w:t>ordenamiento</w:t>
      </w:r>
      <w:r>
        <w:rPr>
          <w:spacing w:val="-8"/>
        </w:rPr>
        <w:t> </w:t>
      </w:r>
      <w:r>
        <w:rPr/>
        <w:t>territorial y desarrollo urbano y en la licencia de uso de suelo respectiva, con base en esta Ley, y demás normatividad aplicables.</w:t>
      </w:r>
    </w:p>
    <w:p>
      <w:pPr>
        <w:pStyle w:val="BodyText"/>
        <w:spacing w:before="1"/>
      </w:pPr>
    </w:p>
    <w:p>
      <w:pPr>
        <w:pStyle w:val="BodyText"/>
        <w:ind w:left="262" w:right="277"/>
        <w:jc w:val="both"/>
      </w:pPr>
      <w:r>
        <w:rPr/>
        <w:t>Los proyectos de condominios horizontales habitacionales de tipo unifamiliar, deberán considerar para</w:t>
      </w:r>
      <w:r>
        <w:rPr>
          <w:spacing w:val="-14"/>
        </w:rPr>
        <w:t> </w:t>
      </w:r>
      <w:r>
        <w:rPr/>
        <w:t>el</w:t>
      </w:r>
      <w:r>
        <w:rPr>
          <w:spacing w:val="-14"/>
        </w:rPr>
        <w:t> </w:t>
      </w:r>
      <w:r>
        <w:rPr/>
        <w:t>diseño</w:t>
      </w:r>
      <w:r>
        <w:rPr>
          <w:spacing w:val="-14"/>
        </w:rPr>
        <w:t> </w:t>
      </w:r>
      <w:r>
        <w:rPr/>
        <w:t>de</w:t>
      </w:r>
      <w:r>
        <w:rPr>
          <w:spacing w:val="-14"/>
        </w:rPr>
        <w:t> </w:t>
      </w:r>
      <w:r>
        <w:rPr/>
        <w:t>los</w:t>
      </w:r>
      <w:r>
        <w:rPr>
          <w:spacing w:val="-14"/>
        </w:rPr>
        <w:t> </w:t>
      </w:r>
      <w:r>
        <w:rPr/>
        <w:t>predios</w:t>
      </w:r>
      <w:r>
        <w:rPr>
          <w:spacing w:val="-14"/>
        </w:rPr>
        <w:t> </w:t>
      </w:r>
      <w:r>
        <w:rPr/>
        <w:t>condominales,</w:t>
      </w:r>
      <w:r>
        <w:rPr>
          <w:spacing w:val="-14"/>
        </w:rPr>
        <w:t> </w:t>
      </w:r>
      <w:r>
        <w:rPr/>
        <w:t>las</w:t>
      </w:r>
      <w:r>
        <w:rPr>
          <w:spacing w:val="-14"/>
        </w:rPr>
        <w:t> </w:t>
      </w:r>
      <w:r>
        <w:rPr/>
        <w:t>características</w:t>
      </w:r>
      <w:r>
        <w:rPr>
          <w:spacing w:val="-14"/>
        </w:rPr>
        <w:t> </w:t>
      </w:r>
      <w:r>
        <w:rPr/>
        <w:t>de</w:t>
      </w:r>
      <w:r>
        <w:rPr>
          <w:spacing w:val="-13"/>
        </w:rPr>
        <w:t> </w:t>
      </w:r>
      <w:r>
        <w:rPr/>
        <w:t>lotificación</w:t>
      </w:r>
      <w:r>
        <w:rPr>
          <w:spacing w:val="-14"/>
        </w:rPr>
        <w:t> </w:t>
      </w:r>
      <w:r>
        <w:rPr/>
        <w:t>de</w:t>
      </w:r>
      <w:r>
        <w:rPr>
          <w:spacing w:val="-14"/>
        </w:rPr>
        <w:t> </w:t>
      </w:r>
      <w:r>
        <w:rPr/>
        <w:t>los</w:t>
      </w:r>
      <w:r>
        <w:rPr>
          <w:spacing w:val="-14"/>
        </w:rPr>
        <w:t> </w:t>
      </w:r>
      <w:r>
        <w:rPr/>
        <w:t>fraccionamientos habitacionales urbanos que establece esta Ley, salvo lo que dispongan los programas de ordenamiento</w:t>
      </w:r>
      <w:r>
        <w:rPr>
          <w:spacing w:val="-9"/>
        </w:rPr>
        <w:t> </w:t>
      </w:r>
      <w:r>
        <w:rPr/>
        <w:t>territorial</w:t>
      </w:r>
      <w:r>
        <w:rPr>
          <w:spacing w:val="-10"/>
        </w:rPr>
        <w:t> </w:t>
      </w:r>
      <w:r>
        <w:rPr/>
        <w:t>y</w:t>
      </w:r>
      <w:r>
        <w:rPr>
          <w:spacing w:val="-9"/>
        </w:rPr>
        <w:t> </w:t>
      </w:r>
      <w:r>
        <w:rPr/>
        <w:t>desarrollo</w:t>
      </w:r>
      <w:r>
        <w:rPr>
          <w:spacing w:val="-9"/>
        </w:rPr>
        <w:t> </w:t>
      </w:r>
      <w:r>
        <w:rPr/>
        <w:t>urbano,</w:t>
      </w:r>
      <w:r>
        <w:rPr>
          <w:spacing w:val="-8"/>
        </w:rPr>
        <w:t> </w:t>
      </w:r>
      <w:r>
        <w:rPr/>
        <w:t>los</w:t>
      </w:r>
      <w:r>
        <w:rPr>
          <w:spacing w:val="-9"/>
        </w:rPr>
        <w:t> </w:t>
      </w:r>
      <w:r>
        <w:rPr/>
        <w:t>reglamentos</w:t>
      </w:r>
      <w:r>
        <w:rPr>
          <w:spacing w:val="-9"/>
        </w:rPr>
        <w:t> </w:t>
      </w:r>
      <w:r>
        <w:rPr/>
        <w:t>de</w:t>
      </w:r>
      <w:r>
        <w:rPr>
          <w:spacing w:val="-9"/>
        </w:rPr>
        <w:t> </w:t>
      </w:r>
      <w:r>
        <w:rPr/>
        <w:t>construcción</w:t>
      </w:r>
      <w:r>
        <w:rPr>
          <w:spacing w:val="-9"/>
        </w:rPr>
        <w:t> </w:t>
      </w:r>
      <w:r>
        <w:rPr/>
        <w:t>y</w:t>
      </w:r>
      <w:r>
        <w:rPr>
          <w:spacing w:val="-6"/>
        </w:rPr>
        <w:t> </w:t>
      </w:r>
      <w:r>
        <w:rPr/>
        <w:t>demás</w:t>
      </w:r>
      <w:r>
        <w:rPr>
          <w:spacing w:val="-9"/>
        </w:rPr>
        <w:t> </w:t>
      </w:r>
      <w:r>
        <w:rPr/>
        <w:t>disposiciones jurídicas aplicables.</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5"/>
        <w:jc w:val="both"/>
      </w:pPr>
      <w:r>
        <w:rPr>
          <w:rFonts w:ascii="Arial" w:hAnsi="Arial"/>
          <w:b/>
        </w:rPr>
        <w:t>ARTÍCULO 372. </w:t>
      </w:r>
      <w:r>
        <w:rPr/>
        <w:t>Cuando en un área o predio por fraccionar o desarrollar existan obras o instalaciones de servicio público, el fraccionador o promotor evitará la interferencia de sus propias obras o instalaciones con las existentes.</w:t>
      </w:r>
    </w:p>
    <w:p>
      <w:pPr>
        <w:pStyle w:val="BodyText"/>
        <w:spacing w:before="1"/>
      </w:pPr>
    </w:p>
    <w:p>
      <w:pPr>
        <w:pStyle w:val="BodyText"/>
        <w:spacing w:before="1"/>
        <w:ind w:left="262" w:right="277"/>
        <w:jc w:val="both"/>
      </w:pPr>
      <w:r>
        <w:rPr/>
        <w:t>En caso de que se cause daño o deterioro a las obras o instalaciones existentes, el fraccionador o promotor será responsable de su reparación; para ello se fijará un plazo perentorio, según la naturaleza del daño causado y la urgencia de repararlo, a fin de que la obra conducente quede debidamente ejecutada a tiempo.</w:t>
      </w:r>
    </w:p>
    <w:p>
      <w:pPr>
        <w:pStyle w:val="BodyText"/>
        <w:spacing w:before="229"/>
        <w:ind w:left="262" w:right="282"/>
        <w:jc w:val="both"/>
      </w:pPr>
      <w:r>
        <w:rPr/>
        <w:t>Si</w:t>
      </w:r>
      <w:r>
        <w:rPr>
          <w:spacing w:val="-3"/>
        </w:rPr>
        <w:t> </w:t>
      </w:r>
      <w:r>
        <w:rPr/>
        <w:t>vencido</w:t>
      </w:r>
      <w:r>
        <w:rPr>
          <w:spacing w:val="-2"/>
        </w:rPr>
        <w:t> </w:t>
      </w:r>
      <w:r>
        <w:rPr/>
        <w:t>el</w:t>
      </w:r>
      <w:r>
        <w:rPr>
          <w:spacing w:val="-3"/>
        </w:rPr>
        <w:t> </w:t>
      </w:r>
      <w:r>
        <w:rPr/>
        <w:t>plazo</w:t>
      </w:r>
      <w:r>
        <w:rPr>
          <w:spacing w:val="-2"/>
        </w:rPr>
        <w:t> </w:t>
      </w:r>
      <w:r>
        <w:rPr/>
        <w:t>que</w:t>
      </w:r>
      <w:r>
        <w:rPr>
          <w:spacing w:val="-2"/>
        </w:rPr>
        <w:t> </w:t>
      </w:r>
      <w:r>
        <w:rPr/>
        <w:t>se</w:t>
      </w:r>
      <w:r>
        <w:rPr>
          <w:spacing w:val="-2"/>
        </w:rPr>
        <w:t> </w:t>
      </w:r>
      <w:r>
        <w:rPr/>
        <w:t>señala</w:t>
      </w:r>
      <w:r>
        <w:rPr>
          <w:spacing w:val="-3"/>
        </w:rPr>
        <w:t> </w:t>
      </w:r>
      <w:r>
        <w:rPr/>
        <w:t>en</w:t>
      </w:r>
      <w:r>
        <w:rPr>
          <w:spacing w:val="-2"/>
        </w:rPr>
        <w:t> </w:t>
      </w:r>
      <w:r>
        <w:rPr/>
        <w:t>el</w:t>
      </w:r>
      <w:r>
        <w:rPr>
          <w:spacing w:val="-3"/>
        </w:rPr>
        <w:t> </w:t>
      </w:r>
      <w:r>
        <w:rPr/>
        <w:t>párrafo</w:t>
      </w:r>
      <w:r>
        <w:rPr>
          <w:spacing w:val="-3"/>
        </w:rPr>
        <w:t> </w:t>
      </w:r>
      <w:r>
        <w:rPr/>
        <w:t>anterior,</w:t>
      </w:r>
      <w:r>
        <w:rPr>
          <w:spacing w:val="-3"/>
        </w:rPr>
        <w:t> </w:t>
      </w:r>
      <w:r>
        <w:rPr/>
        <w:t>no</w:t>
      </w:r>
      <w:r>
        <w:rPr>
          <w:spacing w:val="-2"/>
        </w:rPr>
        <w:t> </w:t>
      </w:r>
      <w:r>
        <w:rPr/>
        <w:t>se</w:t>
      </w:r>
      <w:r>
        <w:rPr>
          <w:spacing w:val="-3"/>
        </w:rPr>
        <w:t> </w:t>
      </w:r>
      <w:r>
        <w:rPr/>
        <w:t>hubiere</w:t>
      </w:r>
      <w:r>
        <w:rPr>
          <w:spacing w:val="-1"/>
        </w:rPr>
        <w:t> </w:t>
      </w:r>
      <w:r>
        <w:rPr/>
        <w:t>concluido</w:t>
      </w:r>
      <w:r>
        <w:rPr>
          <w:spacing w:val="-2"/>
        </w:rPr>
        <w:t> </w:t>
      </w:r>
      <w:r>
        <w:rPr/>
        <w:t>la</w:t>
      </w:r>
      <w:r>
        <w:rPr>
          <w:spacing w:val="-3"/>
        </w:rPr>
        <w:t> </w:t>
      </w:r>
      <w:r>
        <w:rPr/>
        <w:t>reparación,</w:t>
      </w:r>
      <w:r>
        <w:rPr>
          <w:spacing w:val="-2"/>
        </w:rPr>
        <w:t> </w:t>
      </w:r>
      <w:r>
        <w:rPr/>
        <w:t>ésta se</w:t>
      </w:r>
      <w:r>
        <w:rPr>
          <w:spacing w:val="-14"/>
        </w:rPr>
        <w:t> </w:t>
      </w:r>
      <w:r>
        <w:rPr/>
        <w:t>ejecutará</w:t>
      </w:r>
      <w:r>
        <w:rPr>
          <w:spacing w:val="-14"/>
        </w:rPr>
        <w:t> </w:t>
      </w:r>
      <w:r>
        <w:rPr/>
        <w:t>por</w:t>
      </w:r>
      <w:r>
        <w:rPr>
          <w:spacing w:val="-13"/>
        </w:rPr>
        <w:t> </w:t>
      </w:r>
      <w:r>
        <w:rPr/>
        <w:t>el</w:t>
      </w:r>
      <w:r>
        <w:rPr>
          <w:spacing w:val="-14"/>
        </w:rPr>
        <w:t> </w:t>
      </w:r>
      <w:r>
        <w:rPr/>
        <w:t>Ayuntamiento</w:t>
      </w:r>
      <w:r>
        <w:rPr>
          <w:spacing w:val="-14"/>
        </w:rPr>
        <w:t> </w:t>
      </w:r>
      <w:r>
        <w:rPr/>
        <w:t>a</w:t>
      </w:r>
      <w:r>
        <w:rPr>
          <w:spacing w:val="-14"/>
        </w:rPr>
        <w:t> </w:t>
      </w:r>
      <w:r>
        <w:rPr/>
        <w:t>cuenta</w:t>
      </w:r>
      <w:r>
        <w:rPr>
          <w:spacing w:val="-14"/>
        </w:rPr>
        <w:t> </w:t>
      </w:r>
      <w:r>
        <w:rPr/>
        <w:t>del</w:t>
      </w:r>
      <w:r>
        <w:rPr>
          <w:spacing w:val="-14"/>
        </w:rPr>
        <w:t> </w:t>
      </w:r>
      <w:r>
        <w:rPr/>
        <w:t>fraccionador</w:t>
      </w:r>
      <w:r>
        <w:rPr>
          <w:spacing w:val="-12"/>
        </w:rPr>
        <w:t> </w:t>
      </w:r>
      <w:r>
        <w:rPr/>
        <w:t>o</w:t>
      </w:r>
      <w:r>
        <w:rPr>
          <w:spacing w:val="-14"/>
        </w:rPr>
        <w:t> </w:t>
      </w:r>
      <w:r>
        <w:rPr/>
        <w:t>promotor.</w:t>
      </w:r>
      <w:r>
        <w:rPr>
          <w:spacing w:val="-11"/>
        </w:rPr>
        <w:t> </w:t>
      </w:r>
      <w:r>
        <w:rPr/>
        <w:t>Lo</w:t>
      </w:r>
      <w:r>
        <w:rPr>
          <w:spacing w:val="-14"/>
        </w:rPr>
        <w:t> </w:t>
      </w:r>
      <w:r>
        <w:rPr/>
        <w:t>dispuesto</w:t>
      </w:r>
      <w:r>
        <w:rPr>
          <w:spacing w:val="-14"/>
        </w:rPr>
        <w:t> </w:t>
      </w:r>
      <w:r>
        <w:rPr/>
        <w:t>en</w:t>
      </w:r>
      <w:r>
        <w:rPr>
          <w:spacing w:val="-14"/>
        </w:rPr>
        <w:t> </w:t>
      </w:r>
      <w:r>
        <w:rPr/>
        <w:t>este</w:t>
      </w:r>
      <w:r>
        <w:rPr>
          <w:spacing w:val="-12"/>
        </w:rPr>
        <w:t> </w:t>
      </w:r>
      <w:r>
        <w:rPr/>
        <w:t>artículo, no exime al fraccionador o promotor de las responsabilidades penales, civiles, administrativas o de cualquier</w:t>
      </w:r>
      <w:r>
        <w:rPr>
          <w:spacing w:val="-6"/>
        </w:rPr>
        <w:t> </w:t>
      </w:r>
      <w:r>
        <w:rPr/>
        <w:t>otra</w:t>
      </w:r>
      <w:r>
        <w:rPr>
          <w:spacing w:val="-6"/>
        </w:rPr>
        <w:t> </w:t>
      </w:r>
      <w:r>
        <w:rPr/>
        <w:t>índole</w:t>
      </w:r>
      <w:r>
        <w:rPr>
          <w:spacing w:val="-7"/>
        </w:rPr>
        <w:t> </w:t>
      </w:r>
      <w:r>
        <w:rPr/>
        <w:t>que</w:t>
      </w:r>
      <w:r>
        <w:rPr>
          <w:spacing w:val="-9"/>
        </w:rPr>
        <w:t> </w:t>
      </w:r>
      <w:r>
        <w:rPr/>
        <w:t>deriven</w:t>
      </w:r>
      <w:r>
        <w:rPr>
          <w:spacing w:val="-7"/>
        </w:rPr>
        <w:t> </w:t>
      </w:r>
      <w:r>
        <w:rPr/>
        <w:t>de</w:t>
      </w:r>
      <w:r>
        <w:rPr>
          <w:spacing w:val="-7"/>
        </w:rPr>
        <w:t> </w:t>
      </w:r>
      <w:r>
        <w:rPr/>
        <w:t>las</w:t>
      </w:r>
      <w:r>
        <w:rPr>
          <w:spacing w:val="-6"/>
        </w:rPr>
        <w:t> </w:t>
      </w:r>
      <w:r>
        <w:rPr/>
        <w:t>infracciones</w:t>
      </w:r>
      <w:r>
        <w:rPr>
          <w:spacing w:val="-8"/>
        </w:rPr>
        <w:t> </w:t>
      </w:r>
      <w:r>
        <w:rPr/>
        <w:t>y</w:t>
      </w:r>
      <w:r>
        <w:rPr>
          <w:spacing w:val="-5"/>
        </w:rPr>
        <w:t> </w:t>
      </w:r>
      <w:r>
        <w:rPr/>
        <w:t>los</w:t>
      </w:r>
      <w:r>
        <w:rPr>
          <w:spacing w:val="-8"/>
        </w:rPr>
        <w:t> </w:t>
      </w:r>
      <w:r>
        <w:rPr/>
        <w:t>daños</w:t>
      </w:r>
      <w:r>
        <w:rPr>
          <w:spacing w:val="-6"/>
        </w:rPr>
        <w:t> </w:t>
      </w:r>
      <w:r>
        <w:rPr/>
        <w:t>en</w:t>
      </w:r>
      <w:r>
        <w:rPr>
          <w:spacing w:val="-7"/>
        </w:rPr>
        <w:t> </w:t>
      </w:r>
      <w:r>
        <w:rPr/>
        <w:t>que</w:t>
      </w:r>
      <w:r>
        <w:rPr>
          <w:spacing w:val="-7"/>
        </w:rPr>
        <w:t> </w:t>
      </w:r>
      <w:r>
        <w:rPr/>
        <w:t>hubiere</w:t>
      </w:r>
      <w:r>
        <w:rPr>
          <w:spacing w:val="-9"/>
        </w:rPr>
        <w:t> </w:t>
      </w:r>
      <w:r>
        <w:rPr/>
        <w:t>incurrido</w:t>
      </w:r>
      <w:r>
        <w:rPr>
          <w:spacing w:val="-9"/>
        </w:rPr>
        <w:t> </w:t>
      </w:r>
      <w:r>
        <w:rPr/>
        <w:t>por</w:t>
      </w:r>
      <w:r>
        <w:rPr>
          <w:spacing w:val="-8"/>
        </w:rPr>
        <w:t> </w:t>
      </w:r>
      <w:r>
        <w:rPr/>
        <w:t>la</w:t>
      </w:r>
      <w:r>
        <w:rPr>
          <w:spacing w:val="-9"/>
        </w:rPr>
        <w:t> </w:t>
      </w:r>
      <w:r>
        <w:rPr/>
        <w:t>falta de prestación del o los servicios públicos afectados.</w:t>
      </w:r>
    </w:p>
    <w:p>
      <w:pPr>
        <w:pStyle w:val="BodyText"/>
      </w:pPr>
    </w:p>
    <w:p>
      <w:pPr>
        <w:pStyle w:val="BodyText"/>
        <w:spacing w:before="1"/>
      </w:pPr>
    </w:p>
    <w:p>
      <w:pPr>
        <w:pStyle w:val="Heading2"/>
        <w:spacing w:line="477" w:lineRule="auto"/>
        <w:ind w:left="3766" w:right="3710" w:firstLine="422"/>
        <w:jc w:val="left"/>
      </w:pPr>
      <w:r>
        <w:rPr/>
        <w:t>Capítulo II Áreas</w:t>
      </w:r>
      <w:r>
        <w:rPr>
          <w:spacing w:val="-14"/>
        </w:rPr>
        <w:t> </w:t>
      </w:r>
      <w:r>
        <w:rPr/>
        <w:t>de</w:t>
      </w:r>
      <w:r>
        <w:rPr>
          <w:spacing w:val="-14"/>
        </w:rPr>
        <w:t> </w:t>
      </w:r>
      <w:r>
        <w:rPr/>
        <w:t>Donación</w:t>
      </w:r>
    </w:p>
    <w:p>
      <w:pPr>
        <w:pStyle w:val="BodyText"/>
        <w:spacing w:before="4"/>
        <w:ind w:left="262" w:right="278"/>
        <w:jc w:val="both"/>
      </w:pPr>
      <w:r>
        <w:rPr>
          <w:rFonts w:ascii="Arial" w:hAnsi="Arial"/>
          <w:b/>
        </w:rPr>
        <w:t>ARTÍCULO 373. </w:t>
      </w:r>
      <w:r>
        <w:rPr/>
        <w:t>Los ayuntamientos, a través de la Dirección Municipal, aprobarán la ubicación, destino y las características de las áreas de donación para infraestructura, equipamiento, servicios y áreas verdes en los fraccionamientos, o desarrollos inmobiliarios especiales, con base en el proyecto que le someta a su consideración el fraccionador o el promotor, revisado en su caso, por la mesa colegiada o grupo de revisión de proyectos, a fin de que dichas áreas respondan a la normatividad</w:t>
      </w:r>
      <w:r>
        <w:rPr>
          <w:spacing w:val="-3"/>
        </w:rPr>
        <w:t> </w:t>
      </w:r>
      <w:r>
        <w:rPr/>
        <w:t>urbana</w:t>
      </w:r>
      <w:r>
        <w:rPr>
          <w:spacing w:val="-3"/>
        </w:rPr>
        <w:t> </w:t>
      </w:r>
      <w:r>
        <w:rPr/>
        <w:t>y</w:t>
      </w:r>
      <w:r>
        <w:rPr>
          <w:spacing w:val="-2"/>
        </w:rPr>
        <w:t> </w:t>
      </w:r>
      <w:r>
        <w:rPr/>
        <w:t>ambiental, así</w:t>
      </w:r>
      <w:r>
        <w:rPr>
          <w:spacing w:val="-3"/>
        </w:rPr>
        <w:t> </w:t>
      </w:r>
      <w:r>
        <w:rPr/>
        <w:t>como</w:t>
      </w:r>
      <w:r>
        <w:rPr>
          <w:spacing w:val="-1"/>
        </w:rPr>
        <w:t> </w:t>
      </w:r>
      <w:r>
        <w:rPr/>
        <w:t>a</w:t>
      </w:r>
      <w:r>
        <w:rPr>
          <w:spacing w:val="-3"/>
        </w:rPr>
        <w:t> </w:t>
      </w:r>
      <w:r>
        <w:rPr/>
        <w:t>los</w:t>
      </w:r>
      <w:r>
        <w:rPr>
          <w:spacing w:val="-2"/>
        </w:rPr>
        <w:t> </w:t>
      </w:r>
      <w:r>
        <w:rPr/>
        <w:t>programas</w:t>
      </w:r>
      <w:r>
        <w:rPr>
          <w:spacing w:val="-2"/>
        </w:rPr>
        <w:t> </w:t>
      </w:r>
      <w:r>
        <w:rPr/>
        <w:t>de ordenamiento</w:t>
      </w:r>
      <w:r>
        <w:rPr>
          <w:spacing w:val="-3"/>
        </w:rPr>
        <w:t> </w:t>
      </w:r>
      <w:r>
        <w:rPr/>
        <w:t>territorial</w:t>
      </w:r>
      <w:r>
        <w:rPr>
          <w:spacing w:val="-3"/>
        </w:rPr>
        <w:t> </w:t>
      </w:r>
      <w:r>
        <w:rPr/>
        <w:t>y</w:t>
      </w:r>
      <w:r>
        <w:rPr>
          <w:spacing w:val="-2"/>
        </w:rPr>
        <w:t> </w:t>
      </w:r>
      <w:r>
        <w:rPr/>
        <w:t>desarrollo urbano, a efecto de propiciar un mejor aprovechamiento, distribución, acceso y operación de los servicios públicos, la conexión de la vialidad y el equilibrio ecológico.</w:t>
      </w:r>
    </w:p>
    <w:p>
      <w:pPr>
        <w:pStyle w:val="BodyText"/>
        <w:spacing w:before="230"/>
        <w:ind w:left="262"/>
        <w:jc w:val="both"/>
      </w:pPr>
      <w:r>
        <w:rPr/>
        <w:t>Las</w:t>
      </w:r>
      <w:r>
        <w:rPr>
          <w:spacing w:val="-7"/>
        </w:rPr>
        <w:t> </w:t>
      </w:r>
      <w:r>
        <w:rPr/>
        <w:t>áreas</w:t>
      </w:r>
      <w:r>
        <w:rPr>
          <w:spacing w:val="-7"/>
        </w:rPr>
        <w:t> </w:t>
      </w:r>
      <w:r>
        <w:rPr/>
        <w:t>verdes</w:t>
      </w:r>
      <w:r>
        <w:rPr>
          <w:spacing w:val="-7"/>
        </w:rPr>
        <w:t> </w:t>
      </w:r>
      <w:r>
        <w:rPr/>
        <w:t>deberán</w:t>
      </w:r>
      <w:r>
        <w:rPr>
          <w:spacing w:val="-6"/>
        </w:rPr>
        <w:t> </w:t>
      </w:r>
      <w:r>
        <w:rPr/>
        <w:t>quedar</w:t>
      </w:r>
      <w:r>
        <w:rPr>
          <w:spacing w:val="-8"/>
        </w:rPr>
        <w:t> </w:t>
      </w:r>
      <w:r>
        <w:rPr/>
        <w:t>definidas</w:t>
      </w:r>
      <w:r>
        <w:rPr>
          <w:spacing w:val="-7"/>
        </w:rPr>
        <w:t> </w:t>
      </w:r>
      <w:r>
        <w:rPr/>
        <w:t>en</w:t>
      </w:r>
      <w:r>
        <w:rPr>
          <w:spacing w:val="-7"/>
        </w:rPr>
        <w:t> </w:t>
      </w:r>
      <w:r>
        <w:rPr/>
        <w:t>el</w:t>
      </w:r>
      <w:r>
        <w:rPr>
          <w:spacing w:val="-7"/>
        </w:rPr>
        <w:t> </w:t>
      </w:r>
      <w:r>
        <w:rPr/>
        <w:t>plano</w:t>
      </w:r>
      <w:r>
        <w:rPr>
          <w:spacing w:val="-7"/>
        </w:rPr>
        <w:t> </w:t>
      </w:r>
      <w:r>
        <w:rPr/>
        <w:t>de</w:t>
      </w:r>
      <w:r>
        <w:rPr>
          <w:spacing w:val="-7"/>
        </w:rPr>
        <w:t> </w:t>
      </w:r>
      <w:r>
        <w:rPr/>
        <w:t>lotificación</w:t>
      </w:r>
      <w:r>
        <w:rPr>
          <w:spacing w:val="-6"/>
        </w:rPr>
        <w:t> </w:t>
      </w:r>
      <w:r>
        <w:rPr>
          <w:spacing w:val="-2"/>
        </w:rPr>
        <w:t>autorizado.</w:t>
      </w:r>
    </w:p>
    <w:p>
      <w:pPr>
        <w:pStyle w:val="BodyText"/>
      </w:pPr>
    </w:p>
    <w:p>
      <w:pPr>
        <w:pStyle w:val="BodyText"/>
        <w:spacing w:before="1"/>
        <w:ind w:left="262" w:right="285"/>
        <w:jc w:val="both"/>
      </w:pPr>
      <w:r>
        <w:rPr>
          <w:rFonts w:ascii="Arial" w:hAnsi="Arial"/>
          <w:b/>
        </w:rPr>
        <w:t>ARTÍCULO 374. </w:t>
      </w:r>
      <w:r>
        <w:rPr/>
        <w:t>Los municipios aprovecharán las áreas de donación que reciban por parte de los fraccionadores o promotores, consideradas en el dictamen y en la autorización correspondiente, para equipamiento, áreas verdes y servicios, en los porcentajes que establece esta Ley.</w:t>
      </w:r>
    </w:p>
    <w:p>
      <w:pPr>
        <w:pStyle w:val="BodyText"/>
        <w:spacing w:before="229"/>
        <w:ind w:left="262" w:right="286"/>
        <w:jc w:val="both"/>
      </w:pPr>
      <w:r>
        <w:rPr>
          <w:rFonts w:ascii="Arial" w:hAnsi="Arial"/>
          <w:b/>
        </w:rPr>
        <w:t>ARTÍCULO 375. </w:t>
      </w:r>
      <w:r>
        <w:rPr/>
        <w:t>Las áreas verdes de los fraccionamientos, deberán equiparse por los fraccionadores,</w:t>
      </w:r>
      <w:r>
        <w:rPr>
          <w:spacing w:val="-2"/>
        </w:rPr>
        <w:t> </w:t>
      </w:r>
      <w:r>
        <w:rPr/>
        <w:t>con</w:t>
      </w:r>
      <w:r>
        <w:rPr>
          <w:spacing w:val="-1"/>
        </w:rPr>
        <w:t> </w:t>
      </w:r>
      <w:r>
        <w:rPr/>
        <w:t>base</w:t>
      </w:r>
      <w:r>
        <w:rPr>
          <w:spacing w:val="-1"/>
        </w:rPr>
        <w:t> </w:t>
      </w:r>
      <w:r>
        <w:rPr/>
        <w:t>en</w:t>
      </w:r>
      <w:r>
        <w:rPr>
          <w:spacing w:val="-2"/>
        </w:rPr>
        <w:t> </w:t>
      </w:r>
      <w:r>
        <w:rPr/>
        <w:t>el</w:t>
      </w:r>
      <w:r>
        <w:rPr>
          <w:spacing w:val="-1"/>
        </w:rPr>
        <w:t> </w:t>
      </w:r>
      <w:r>
        <w:rPr/>
        <w:t>proyecto</w:t>
      </w:r>
      <w:r>
        <w:rPr>
          <w:spacing w:val="-1"/>
        </w:rPr>
        <w:t> </w:t>
      </w:r>
      <w:r>
        <w:rPr/>
        <w:t>que</w:t>
      </w:r>
      <w:r>
        <w:rPr>
          <w:spacing w:val="-2"/>
        </w:rPr>
        <w:t> </w:t>
      </w:r>
      <w:r>
        <w:rPr/>
        <w:t>presenten</w:t>
      </w:r>
      <w:r>
        <w:rPr>
          <w:spacing w:val="-2"/>
        </w:rPr>
        <w:t> </w:t>
      </w:r>
      <w:r>
        <w:rPr/>
        <w:t>para</w:t>
      </w:r>
      <w:r>
        <w:rPr>
          <w:spacing w:val="-1"/>
        </w:rPr>
        <w:t> </w:t>
      </w:r>
      <w:r>
        <w:rPr/>
        <w:t>su</w:t>
      </w:r>
      <w:r>
        <w:rPr>
          <w:spacing w:val="-2"/>
        </w:rPr>
        <w:t> </w:t>
      </w:r>
      <w:r>
        <w:rPr/>
        <w:t>aprobación</w:t>
      </w:r>
      <w:r>
        <w:rPr>
          <w:spacing w:val="-1"/>
        </w:rPr>
        <w:t> </w:t>
      </w:r>
      <w:r>
        <w:rPr/>
        <w:t>al</w:t>
      </w:r>
      <w:r>
        <w:rPr>
          <w:spacing w:val="-1"/>
        </w:rPr>
        <w:t> </w:t>
      </w:r>
      <w:r>
        <w:rPr/>
        <w:t>Ayuntamiento,</w:t>
      </w:r>
      <w:r>
        <w:rPr>
          <w:spacing w:val="-1"/>
        </w:rPr>
        <w:t> </w:t>
      </w:r>
      <w:r>
        <w:rPr/>
        <w:t>con</w:t>
      </w:r>
      <w:r>
        <w:rPr>
          <w:spacing w:val="-1"/>
        </w:rPr>
        <w:t> </w:t>
      </w:r>
      <w:r>
        <w:rPr/>
        <w:t>la forestación que determine el Reglamento de Parques y Jardines o reglamento</w:t>
      </w:r>
      <w:r>
        <w:rPr>
          <w:spacing w:val="40"/>
        </w:rPr>
        <w:t> </w:t>
      </w:r>
      <w:r>
        <w:rPr/>
        <w:t>equivalente.</w:t>
      </w:r>
    </w:p>
    <w:p>
      <w:pPr>
        <w:pStyle w:val="BodyText"/>
        <w:spacing w:before="1"/>
      </w:pPr>
    </w:p>
    <w:p>
      <w:pPr>
        <w:pStyle w:val="BodyText"/>
        <w:ind w:left="262" w:right="279"/>
        <w:jc w:val="both"/>
      </w:pPr>
      <w:r>
        <w:rPr/>
        <w:t>El</w:t>
      </w:r>
      <w:r>
        <w:rPr>
          <w:spacing w:val="-5"/>
        </w:rPr>
        <w:t> </w:t>
      </w:r>
      <w:r>
        <w:rPr/>
        <w:t>proyecto</w:t>
      </w:r>
      <w:r>
        <w:rPr>
          <w:spacing w:val="-7"/>
        </w:rPr>
        <w:t> </w:t>
      </w:r>
      <w:r>
        <w:rPr/>
        <w:t>de</w:t>
      </w:r>
      <w:r>
        <w:rPr>
          <w:spacing w:val="-7"/>
        </w:rPr>
        <w:t> </w:t>
      </w:r>
      <w:r>
        <w:rPr/>
        <w:t>equipamiento</w:t>
      </w:r>
      <w:r>
        <w:rPr>
          <w:spacing w:val="-7"/>
        </w:rPr>
        <w:t> </w:t>
      </w:r>
      <w:r>
        <w:rPr/>
        <w:t>de</w:t>
      </w:r>
      <w:r>
        <w:rPr>
          <w:spacing w:val="-5"/>
        </w:rPr>
        <w:t> </w:t>
      </w:r>
      <w:r>
        <w:rPr/>
        <w:t>las</w:t>
      </w:r>
      <w:r>
        <w:rPr>
          <w:spacing w:val="-6"/>
        </w:rPr>
        <w:t> </w:t>
      </w:r>
      <w:r>
        <w:rPr/>
        <w:t>áreas</w:t>
      </w:r>
      <w:r>
        <w:rPr>
          <w:spacing w:val="-5"/>
        </w:rPr>
        <w:t> </w:t>
      </w:r>
      <w:r>
        <w:rPr/>
        <w:t>verdes</w:t>
      </w:r>
      <w:r>
        <w:rPr>
          <w:spacing w:val="-5"/>
        </w:rPr>
        <w:t> </w:t>
      </w:r>
      <w:r>
        <w:rPr/>
        <w:t>deberá</w:t>
      </w:r>
      <w:r>
        <w:rPr>
          <w:spacing w:val="-7"/>
        </w:rPr>
        <w:t> </w:t>
      </w:r>
      <w:r>
        <w:rPr/>
        <w:t>considerar</w:t>
      </w:r>
      <w:r>
        <w:rPr>
          <w:spacing w:val="-5"/>
        </w:rPr>
        <w:t> </w:t>
      </w:r>
      <w:r>
        <w:rPr/>
        <w:t>el</w:t>
      </w:r>
      <w:r>
        <w:rPr>
          <w:spacing w:val="-6"/>
        </w:rPr>
        <w:t> </w:t>
      </w:r>
      <w:r>
        <w:rPr/>
        <w:t>acondicionamiento</w:t>
      </w:r>
      <w:r>
        <w:rPr>
          <w:spacing w:val="-5"/>
        </w:rPr>
        <w:t> </w:t>
      </w:r>
      <w:r>
        <w:rPr/>
        <w:t>básico</w:t>
      </w:r>
      <w:r>
        <w:rPr>
          <w:spacing w:val="-7"/>
        </w:rPr>
        <w:t> </w:t>
      </w:r>
      <w:r>
        <w:rPr/>
        <w:t>de vegetación</w:t>
      </w:r>
      <w:r>
        <w:rPr>
          <w:spacing w:val="-14"/>
        </w:rPr>
        <w:t> </w:t>
      </w:r>
      <w:r>
        <w:rPr/>
        <w:t>y</w:t>
      </w:r>
      <w:r>
        <w:rPr>
          <w:spacing w:val="-14"/>
        </w:rPr>
        <w:t> </w:t>
      </w:r>
      <w:r>
        <w:rPr/>
        <w:t>jardinería,</w:t>
      </w:r>
      <w:r>
        <w:rPr>
          <w:spacing w:val="-14"/>
        </w:rPr>
        <w:t> </w:t>
      </w:r>
      <w:r>
        <w:rPr/>
        <w:t>mobiliario</w:t>
      </w:r>
      <w:r>
        <w:rPr>
          <w:spacing w:val="-14"/>
        </w:rPr>
        <w:t> </w:t>
      </w:r>
      <w:r>
        <w:rPr/>
        <w:t>e</w:t>
      </w:r>
      <w:r>
        <w:rPr>
          <w:spacing w:val="-14"/>
        </w:rPr>
        <w:t> </w:t>
      </w:r>
      <w:r>
        <w:rPr/>
        <w:t>instalaciones</w:t>
      </w:r>
      <w:r>
        <w:rPr>
          <w:spacing w:val="-14"/>
        </w:rPr>
        <w:t> </w:t>
      </w:r>
      <w:r>
        <w:rPr/>
        <w:t>mínimas</w:t>
      </w:r>
      <w:r>
        <w:rPr>
          <w:spacing w:val="-13"/>
        </w:rPr>
        <w:t> </w:t>
      </w:r>
      <w:r>
        <w:rPr/>
        <w:t>indispensables</w:t>
      </w:r>
      <w:r>
        <w:rPr>
          <w:spacing w:val="-14"/>
        </w:rPr>
        <w:t> </w:t>
      </w:r>
      <w:r>
        <w:rPr/>
        <w:t>para</w:t>
      </w:r>
      <w:r>
        <w:rPr>
          <w:spacing w:val="-14"/>
        </w:rPr>
        <w:t> </w:t>
      </w:r>
      <w:r>
        <w:rPr/>
        <w:t>su</w:t>
      </w:r>
      <w:r>
        <w:rPr>
          <w:spacing w:val="-13"/>
        </w:rPr>
        <w:t> </w:t>
      </w:r>
      <w:r>
        <w:rPr/>
        <w:t>aprovechamiento. Deberá</w:t>
      </w:r>
      <w:r>
        <w:rPr>
          <w:spacing w:val="-14"/>
        </w:rPr>
        <w:t> </w:t>
      </w:r>
      <w:r>
        <w:rPr/>
        <w:t>utilizarse</w:t>
      </w:r>
      <w:r>
        <w:rPr>
          <w:spacing w:val="-14"/>
        </w:rPr>
        <w:t> </w:t>
      </w:r>
      <w:r>
        <w:rPr/>
        <w:t>preferentemente</w:t>
      </w:r>
      <w:r>
        <w:rPr>
          <w:spacing w:val="-14"/>
        </w:rPr>
        <w:t> </w:t>
      </w:r>
      <w:r>
        <w:rPr/>
        <w:t>riego</w:t>
      </w:r>
      <w:r>
        <w:rPr>
          <w:spacing w:val="-14"/>
        </w:rPr>
        <w:t> </w:t>
      </w:r>
      <w:r>
        <w:rPr/>
        <w:t>con</w:t>
      </w:r>
      <w:r>
        <w:rPr>
          <w:spacing w:val="-14"/>
        </w:rPr>
        <w:t> </w:t>
      </w:r>
      <w:r>
        <w:rPr/>
        <w:t>aguas</w:t>
      </w:r>
      <w:r>
        <w:rPr>
          <w:spacing w:val="-14"/>
        </w:rPr>
        <w:t> </w:t>
      </w:r>
      <w:r>
        <w:rPr/>
        <w:t>tratadas</w:t>
      </w:r>
      <w:r>
        <w:rPr>
          <w:spacing w:val="-14"/>
        </w:rPr>
        <w:t> </w:t>
      </w:r>
      <w:r>
        <w:rPr/>
        <w:t>o</w:t>
      </w:r>
      <w:r>
        <w:rPr>
          <w:spacing w:val="-14"/>
        </w:rPr>
        <w:t> </w:t>
      </w:r>
      <w:r>
        <w:rPr/>
        <w:t>de</w:t>
      </w:r>
      <w:r>
        <w:rPr>
          <w:spacing w:val="-14"/>
        </w:rPr>
        <w:t> </w:t>
      </w:r>
      <w:r>
        <w:rPr/>
        <w:t>aljibes</w:t>
      </w:r>
      <w:r>
        <w:rPr>
          <w:spacing w:val="-14"/>
        </w:rPr>
        <w:t> </w:t>
      </w:r>
      <w:r>
        <w:rPr/>
        <w:t>de</w:t>
      </w:r>
      <w:r>
        <w:rPr>
          <w:spacing w:val="-14"/>
        </w:rPr>
        <w:t> </w:t>
      </w:r>
      <w:r>
        <w:rPr/>
        <w:t>captación</w:t>
      </w:r>
      <w:r>
        <w:rPr>
          <w:spacing w:val="-14"/>
        </w:rPr>
        <w:t> </w:t>
      </w:r>
      <w:r>
        <w:rPr/>
        <w:t>de</w:t>
      </w:r>
      <w:r>
        <w:rPr>
          <w:spacing w:val="-14"/>
        </w:rPr>
        <w:t> </w:t>
      </w:r>
      <w:r>
        <w:rPr/>
        <w:t>agua</w:t>
      </w:r>
      <w:r>
        <w:rPr>
          <w:spacing w:val="-13"/>
        </w:rPr>
        <w:t> </w:t>
      </w:r>
      <w:r>
        <w:rPr/>
        <w:t>pluvial.</w:t>
      </w:r>
    </w:p>
    <w:p>
      <w:pPr>
        <w:pStyle w:val="BodyText"/>
      </w:pPr>
    </w:p>
    <w:p>
      <w:pPr>
        <w:pStyle w:val="BodyText"/>
        <w:ind w:left="262" w:right="278"/>
        <w:jc w:val="both"/>
      </w:pPr>
      <w:r>
        <w:rPr/>
        <w:t>El porcentaje del área de donación destinada a equipamiento conforme a esta Ley, se entregará limpia y sin escombro y deberá contar con tomas de agua, descarga de albañal, banquetas, guarniciones y alumbrado público. Dicha obligación formará parte del dictamen y la autorización </w:t>
      </w:r>
      <w:r>
        <w:rPr>
          <w:spacing w:val="-2"/>
        </w:rPr>
        <w:t>correspondiente.</w:t>
      </w:r>
    </w:p>
    <w:p>
      <w:pPr>
        <w:pStyle w:val="BodyText"/>
      </w:pPr>
    </w:p>
    <w:p>
      <w:pPr>
        <w:pStyle w:val="BodyText"/>
        <w:ind w:left="262" w:right="284"/>
        <w:jc w:val="both"/>
      </w:pPr>
      <w:r>
        <w:rPr>
          <w:rFonts w:ascii="Arial" w:hAnsi="Arial"/>
          <w:b/>
        </w:rPr>
        <w:t>ARTÍCULO</w:t>
      </w:r>
      <w:r>
        <w:rPr>
          <w:rFonts w:ascii="Arial" w:hAnsi="Arial"/>
          <w:b/>
          <w:spacing w:val="-14"/>
        </w:rPr>
        <w:t> </w:t>
      </w:r>
      <w:r>
        <w:rPr>
          <w:rFonts w:ascii="Arial" w:hAnsi="Arial"/>
          <w:b/>
        </w:rPr>
        <w:t>376</w:t>
      </w:r>
      <w:r>
        <w:rPr/>
        <w:t>.</w:t>
      </w:r>
      <w:r>
        <w:rPr>
          <w:spacing w:val="-14"/>
        </w:rPr>
        <w:t> </w:t>
      </w:r>
      <w:r>
        <w:rPr/>
        <w:t>La</w:t>
      </w:r>
      <w:r>
        <w:rPr>
          <w:spacing w:val="-14"/>
        </w:rPr>
        <w:t> </w:t>
      </w:r>
      <w:r>
        <w:rPr/>
        <w:t>Dirección</w:t>
      </w:r>
      <w:r>
        <w:rPr>
          <w:spacing w:val="-14"/>
        </w:rPr>
        <w:t> </w:t>
      </w:r>
      <w:r>
        <w:rPr/>
        <w:t>Municipal</w:t>
      </w:r>
      <w:r>
        <w:rPr>
          <w:spacing w:val="-14"/>
        </w:rPr>
        <w:t> </w:t>
      </w:r>
      <w:r>
        <w:rPr/>
        <w:t>al</w:t>
      </w:r>
      <w:r>
        <w:rPr>
          <w:spacing w:val="-14"/>
        </w:rPr>
        <w:t> </w:t>
      </w:r>
      <w:r>
        <w:rPr/>
        <w:t>aprobar</w:t>
      </w:r>
      <w:r>
        <w:rPr>
          <w:spacing w:val="-14"/>
        </w:rPr>
        <w:t> </w:t>
      </w:r>
      <w:r>
        <w:rPr/>
        <w:t>los</w:t>
      </w:r>
      <w:r>
        <w:rPr>
          <w:spacing w:val="-14"/>
        </w:rPr>
        <w:t> </w:t>
      </w:r>
      <w:r>
        <w:rPr/>
        <w:t>terrenos</w:t>
      </w:r>
      <w:r>
        <w:rPr>
          <w:spacing w:val="-14"/>
        </w:rPr>
        <w:t> </w:t>
      </w:r>
      <w:r>
        <w:rPr/>
        <w:t>que</w:t>
      </w:r>
      <w:r>
        <w:rPr>
          <w:spacing w:val="-13"/>
        </w:rPr>
        <w:t> </w:t>
      </w:r>
      <w:r>
        <w:rPr/>
        <w:t>le</w:t>
      </w:r>
      <w:r>
        <w:rPr>
          <w:spacing w:val="-14"/>
        </w:rPr>
        <w:t> </w:t>
      </w:r>
      <w:r>
        <w:rPr/>
        <w:t>deban</w:t>
      </w:r>
      <w:r>
        <w:rPr>
          <w:spacing w:val="-14"/>
        </w:rPr>
        <w:t> </w:t>
      </w:r>
      <w:r>
        <w:rPr/>
        <w:t>ser</w:t>
      </w:r>
      <w:r>
        <w:rPr>
          <w:spacing w:val="-14"/>
        </w:rPr>
        <w:t> </w:t>
      </w:r>
      <w:r>
        <w:rPr/>
        <w:t>donados</w:t>
      </w:r>
      <w:r>
        <w:rPr>
          <w:spacing w:val="-14"/>
        </w:rPr>
        <w:t> </w:t>
      </w:r>
      <w:r>
        <w:rPr/>
        <w:t>para</w:t>
      </w:r>
      <w:r>
        <w:rPr>
          <w:spacing w:val="-14"/>
        </w:rPr>
        <w:t> </w:t>
      </w:r>
      <w:r>
        <w:rPr/>
        <w:t>áreas verdes,</w:t>
      </w:r>
      <w:r>
        <w:rPr>
          <w:spacing w:val="15"/>
        </w:rPr>
        <w:t> </w:t>
      </w:r>
      <w:r>
        <w:rPr/>
        <w:t>equipamiento</w:t>
      </w:r>
      <w:r>
        <w:rPr>
          <w:spacing w:val="15"/>
        </w:rPr>
        <w:t> </w:t>
      </w:r>
      <w:r>
        <w:rPr/>
        <w:t>y</w:t>
      </w:r>
      <w:r>
        <w:rPr>
          <w:spacing w:val="16"/>
        </w:rPr>
        <w:t> </w:t>
      </w:r>
      <w:r>
        <w:rPr/>
        <w:t>servicios,</w:t>
      </w:r>
      <w:r>
        <w:rPr>
          <w:spacing w:val="15"/>
        </w:rPr>
        <w:t> </w:t>
      </w:r>
      <w:r>
        <w:rPr/>
        <w:t>de</w:t>
      </w:r>
      <w:r>
        <w:rPr>
          <w:spacing w:val="16"/>
        </w:rPr>
        <w:t> </w:t>
      </w:r>
      <w:r>
        <w:rPr/>
        <w:t>acuerdo</w:t>
      </w:r>
      <w:r>
        <w:rPr>
          <w:spacing w:val="15"/>
        </w:rPr>
        <w:t> </w:t>
      </w:r>
      <w:r>
        <w:rPr/>
        <w:t>a</w:t>
      </w:r>
      <w:r>
        <w:rPr>
          <w:spacing w:val="17"/>
        </w:rPr>
        <w:t> </w:t>
      </w:r>
      <w:r>
        <w:rPr/>
        <w:t>lo</w:t>
      </w:r>
      <w:r>
        <w:rPr>
          <w:spacing w:val="17"/>
        </w:rPr>
        <w:t> </w:t>
      </w:r>
      <w:r>
        <w:rPr/>
        <w:t>dispuesto</w:t>
      </w:r>
      <w:r>
        <w:rPr>
          <w:spacing w:val="17"/>
        </w:rPr>
        <w:t> </w:t>
      </w:r>
      <w:r>
        <w:rPr/>
        <w:t>en</w:t>
      </w:r>
      <w:r>
        <w:rPr>
          <w:spacing w:val="14"/>
        </w:rPr>
        <w:t> </w:t>
      </w:r>
      <w:r>
        <w:rPr/>
        <w:t>esta</w:t>
      </w:r>
      <w:r>
        <w:rPr>
          <w:spacing w:val="15"/>
        </w:rPr>
        <w:t> </w:t>
      </w:r>
      <w:r>
        <w:rPr/>
        <w:t>Ley,</w:t>
      </w:r>
      <w:r>
        <w:rPr>
          <w:spacing w:val="15"/>
        </w:rPr>
        <w:t> </w:t>
      </w:r>
      <w:r>
        <w:rPr/>
        <w:t>al</w:t>
      </w:r>
      <w:r>
        <w:rPr>
          <w:spacing w:val="14"/>
        </w:rPr>
        <w:t> </w:t>
      </w:r>
      <w:r>
        <w:rPr/>
        <w:t>realizar</w:t>
      </w:r>
      <w:r>
        <w:rPr>
          <w:spacing w:val="18"/>
        </w:rPr>
        <w:t> </w:t>
      </w:r>
      <w:r>
        <w:rPr/>
        <w:t>la</w:t>
      </w:r>
      <w:r>
        <w:rPr>
          <w:spacing w:val="17"/>
        </w:rPr>
        <w:t> </w:t>
      </w:r>
      <w:r>
        <w:rPr/>
        <w:t>selección,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deberá considerar aquellas áreas que satisfagan de mejor forma los servicios que requieran los colonos del propio fraccionamiento y la comunidad en general, y se ajusten a la zonificación respectiva prevista en los programas de desarrollo urbano.</w:t>
      </w:r>
    </w:p>
    <w:p>
      <w:pPr>
        <w:pStyle w:val="BodyText"/>
        <w:spacing w:before="1"/>
      </w:pPr>
    </w:p>
    <w:p>
      <w:pPr>
        <w:pStyle w:val="BodyText"/>
        <w:spacing w:before="1"/>
        <w:ind w:left="262"/>
        <w:jc w:val="both"/>
      </w:pPr>
      <w:r>
        <w:rPr/>
        <w:t>El</w:t>
      </w:r>
      <w:r>
        <w:rPr>
          <w:spacing w:val="-6"/>
        </w:rPr>
        <w:t> </w:t>
      </w:r>
      <w:r>
        <w:rPr/>
        <w:t>área</w:t>
      </w:r>
      <w:r>
        <w:rPr>
          <w:spacing w:val="-5"/>
        </w:rPr>
        <w:t> </w:t>
      </w:r>
      <w:r>
        <w:rPr/>
        <w:t>de</w:t>
      </w:r>
      <w:r>
        <w:rPr>
          <w:spacing w:val="-8"/>
        </w:rPr>
        <w:t> </w:t>
      </w:r>
      <w:r>
        <w:rPr/>
        <w:t>terreno</w:t>
      </w:r>
      <w:r>
        <w:rPr>
          <w:spacing w:val="-4"/>
        </w:rPr>
        <w:t> </w:t>
      </w:r>
      <w:r>
        <w:rPr/>
        <w:t>que</w:t>
      </w:r>
      <w:r>
        <w:rPr>
          <w:spacing w:val="-5"/>
        </w:rPr>
        <w:t> </w:t>
      </w:r>
      <w:r>
        <w:rPr/>
        <w:t>le</w:t>
      </w:r>
      <w:r>
        <w:rPr>
          <w:spacing w:val="-5"/>
        </w:rPr>
        <w:t> </w:t>
      </w:r>
      <w:r>
        <w:rPr/>
        <w:t>deba</w:t>
      </w:r>
      <w:r>
        <w:rPr>
          <w:spacing w:val="-7"/>
        </w:rPr>
        <w:t> </w:t>
      </w:r>
      <w:r>
        <w:rPr/>
        <w:t>ser</w:t>
      </w:r>
      <w:r>
        <w:rPr>
          <w:spacing w:val="-6"/>
        </w:rPr>
        <w:t> </w:t>
      </w:r>
      <w:r>
        <w:rPr/>
        <w:t>donado,</w:t>
      </w:r>
      <w:r>
        <w:rPr>
          <w:spacing w:val="-5"/>
        </w:rPr>
        <w:t> </w:t>
      </w:r>
      <w:r>
        <w:rPr/>
        <w:t>deberá</w:t>
      </w:r>
      <w:r>
        <w:rPr>
          <w:spacing w:val="-7"/>
        </w:rPr>
        <w:t> </w:t>
      </w:r>
      <w:r>
        <w:rPr/>
        <w:t>cumplir</w:t>
      </w:r>
      <w:r>
        <w:rPr>
          <w:spacing w:val="-5"/>
        </w:rPr>
        <w:t> </w:t>
      </w:r>
      <w:r>
        <w:rPr/>
        <w:t>con</w:t>
      </w:r>
      <w:r>
        <w:rPr>
          <w:spacing w:val="-6"/>
        </w:rPr>
        <w:t> </w:t>
      </w:r>
      <w:r>
        <w:rPr/>
        <w:t>los</w:t>
      </w:r>
      <w:r>
        <w:rPr>
          <w:spacing w:val="-6"/>
        </w:rPr>
        <w:t> </w:t>
      </w:r>
      <w:r>
        <w:rPr/>
        <w:t>siguientes</w:t>
      </w:r>
      <w:r>
        <w:rPr>
          <w:spacing w:val="-6"/>
        </w:rPr>
        <w:t> </w:t>
      </w:r>
      <w:r>
        <w:rPr>
          <w:spacing w:val="-2"/>
        </w:rPr>
        <w:t>requisitos:</w:t>
      </w:r>
    </w:p>
    <w:p>
      <w:pPr>
        <w:pStyle w:val="ListParagraph"/>
        <w:numPr>
          <w:ilvl w:val="0"/>
          <w:numId w:val="129"/>
        </w:numPr>
        <w:tabs>
          <w:tab w:pos="543" w:val="left" w:leader="none"/>
        </w:tabs>
        <w:spacing w:line="240" w:lineRule="auto" w:before="228" w:after="0"/>
        <w:ind w:left="262" w:right="284" w:firstLine="0"/>
        <w:jc w:val="left"/>
        <w:rPr>
          <w:sz w:val="20"/>
        </w:rPr>
      </w:pPr>
      <w:r>
        <w:rPr>
          <w:sz w:val="20"/>
        </w:rPr>
        <w:t>Que</w:t>
      </w:r>
      <w:r>
        <w:rPr>
          <w:spacing w:val="-7"/>
          <w:sz w:val="20"/>
        </w:rPr>
        <w:t> </w:t>
      </w:r>
      <w:r>
        <w:rPr>
          <w:sz w:val="20"/>
        </w:rPr>
        <w:t>se</w:t>
      </w:r>
      <w:r>
        <w:rPr>
          <w:spacing w:val="-5"/>
          <w:sz w:val="20"/>
        </w:rPr>
        <w:t> </w:t>
      </w:r>
      <w:r>
        <w:rPr>
          <w:sz w:val="20"/>
        </w:rPr>
        <w:t>encuentre</w:t>
      </w:r>
      <w:r>
        <w:rPr>
          <w:spacing w:val="-5"/>
          <w:sz w:val="20"/>
        </w:rPr>
        <w:t> </w:t>
      </w:r>
      <w:r>
        <w:rPr>
          <w:sz w:val="20"/>
        </w:rPr>
        <w:t>libre</w:t>
      </w:r>
      <w:r>
        <w:rPr>
          <w:spacing w:val="-4"/>
          <w:sz w:val="20"/>
        </w:rPr>
        <w:t> </w:t>
      </w:r>
      <w:r>
        <w:rPr>
          <w:sz w:val="20"/>
        </w:rPr>
        <w:t>de</w:t>
      </w:r>
      <w:r>
        <w:rPr>
          <w:spacing w:val="-2"/>
          <w:sz w:val="20"/>
        </w:rPr>
        <w:t> </w:t>
      </w:r>
      <w:r>
        <w:rPr>
          <w:sz w:val="20"/>
        </w:rPr>
        <w:t>gravamen</w:t>
      </w:r>
      <w:r>
        <w:rPr>
          <w:spacing w:val="-7"/>
          <w:sz w:val="20"/>
        </w:rPr>
        <w:t> </w:t>
      </w:r>
      <w:r>
        <w:rPr>
          <w:sz w:val="20"/>
        </w:rPr>
        <w:t>y</w:t>
      </w:r>
      <w:r>
        <w:rPr>
          <w:spacing w:val="-3"/>
          <w:sz w:val="20"/>
        </w:rPr>
        <w:t> </w:t>
      </w:r>
      <w:r>
        <w:rPr>
          <w:sz w:val="20"/>
        </w:rPr>
        <w:t>no</w:t>
      </w:r>
      <w:r>
        <w:rPr>
          <w:spacing w:val="-5"/>
          <w:sz w:val="20"/>
        </w:rPr>
        <w:t> </w:t>
      </w:r>
      <w:r>
        <w:rPr>
          <w:sz w:val="20"/>
        </w:rPr>
        <w:t>esté</w:t>
      </w:r>
      <w:r>
        <w:rPr>
          <w:spacing w:val="-5"/>
          <w:sz w:val="20"/>
        </w:rPr>
        <w:t> </w:t>
      </w:r>
      <w:r>
        <w:rPr>
          <w:sz w:val="20"/>
        </w:rPr>
        <w:t>sujeta</w:t>
      </w:r>
      <w:r>
        <w:rPr>
          <w:spacing w:val="-5"/>
          <w:sz w:val="20"/>
        </w:rPr>
        <w:t> </w:t>
      </w:r>
      <w:r>
        <w:rPr>
          <w:sz w:val="20"/>
        </w:rPr>
        <w:t>a</w:t>
      </w:r>
      <w:r>
        <w:rPr>
          <w:spacing w:val="-7"/>
          <w:sz w:val="20"/>
        </w:rPr>
        <w:t> </w:t>
      </w:r>
      <w:r>
        <w:rPr>
          <w:sz w:val="20"/>
        </w:rPr>
        <w:t>controversia</w:t>
      </w:r>
      <w:r>
        <w:rPr>
          <w:spacing w:val="-4"/>
          <w:sz w:val="20"/>
        </w:rPr>
        <w:t> </w:t>
      </w:r>
      <w:r>
        <w:rPr>
          <w:sz w:val="20"/>
        </w:rPr>
        <w:t>ante</w:t>
      </w:r>
      <w:r>
        <w:rPr>
          <w:spacing w:val="-4"/>
          <w:sz w:val="20"/>
        </w:rPr>
        <w:t> </w:t>
      </w:r>
      <w:r>
        <w:rPr>
          <w:sz w:val="20"/>
        </w:rPr>
        <w:t>la</w:t>
      </w:r>
      <w:r>
        <w:rPr>
          <w:spacing w:val="-4"/>
          <w:sz w:val="20"/>
        </w:rPr>
        <w:t> </w:t>
      </w:r>
      <w:r>
        <w:rPr>
          <w:sz w:val="20"/>
        </w:rPr>
        <w:t>autoridad</w:t>
      </w:r>
      <w:r>
        <w:rPr>
          <w:spacing w:val="-7"/>
          <w:sz w:val="20"/>
        </w:rPr>
        <w:t> </w:t>
      </w:r>
      <w:r>
        <w:rPr>
          <w:sz w:val="20"/>
        </w:rPr>
        <w:t>judicial</w:t>
      </w:r>
      <w:r>
        <w:rPr>
          <w:spacing w:val="-5"/>
          <w:sz w:val="20"/>
        </w:rPr>
        <w:t> </w:t>
      </w:r>
      <w:r>
        <w:rPr>
          <w:sz w:val="20"/>
        </w:rPr>
        <w:t>o</w:t>
      </w:r>
      <w:r>
        <w:rPr>
          <w:spacing w:val="-2"/>
          <w:sz w:val="20"/>
        </w:rPr>
        <w:t> </w:t>
      </w:r>
      <w:r>
        <w:rPr>
          <w:sz w:val="20"/>
        </w:rPr>
        <w:t>a la acción de las autoridades administrativas;</w:t>
      </w:r>
    </w:p>
    <w:p>
      <w:pPr>
        <w:pStyle w:val="BodyText"/>
        <w:spacing w:before="1"/>
      </w:pPr>
    </w:p>
    <w:p>
      <w:pPr>
        <w:pStyle w:val="ListParagraph"/>
        <w:numPr>
          <w:ilvl w:val="0"/>
          <w:numId w:val="129"/>
        </w:numPr>
        <w:tabs>
          <w:tab w:pos="543" w:val="left" w:leader="none"/>
        </w:tabs>
        <w:spacing w:line="240" w:lineRule="auto" w:before="0" w:after="0"/>
        <w:ind w:left="262" w:right="287" w:firstLine="0"/>
        <w:jc w:val="left"/>
        <w:rPr>
          <w:sz w:val="20"/>
        </w:rPr>
      </w:pPr>
      <w:r>
        <w:rPr>
          <w:sz w:val="20"/>
        </w:rPr>
        <w:t>Tener</w:t>
      </w:r>
      <w:r>
        <w:rPr>
          <w:spacing w:val="40"/>
          <w:sz w:val="20"/>
        </w:rPr>
        <w:t> </w:t>
      </w:r>
      <w:r>
        <w:rPr>
          <w:sz w:val="20"/>
        </w:rPr>
        <w:t>frente</w:t>
      </w:r>
      <w:r>
        <w:rPr>
          <w:spacing w:val="40"/>
          <w:sz w:val="20"/>
        </w:rPr>
        <w:t> </w:t>
      </w:r>
      <w:r>
        <w:rPr>
          <w:sz w:val="20"/>
        </w:rPr>
        <w:t>a</w:t>
      </w:r>
      <w:r>
        <w:rPr>
          <w:spacing w:val="40"/>
          <w:sz w:val="20"/>
        </w:rPr>
        <w:t> </w:t>
      </w:r>
      <w:r>
        <w:rPr>
          <w:sz w:val="20"/>
        </w:rPr>
        <w:t>la</w:t>
      </w:r>
      <w:r>
        <w:rPr>
          <w:spacing w:val="40"/>
          <w:sz w:val="20"/>
        </w:rPr>
        <w:t> </w:t>
      </w:r>
      <w:r>
        <w:rPr>
          <w:sz w:val="20"/>
        </w:rPr>
        <w:t>vía</w:t>
      </w:r>
      <w:r>
        <w:rPr>
          <w:spacing w:val="40"/>
          <w:sz w:val="20"/>
        </w:rPr>
        <w:t> </w:t>
      </w:r>
      <w:r>
        <w:rPr>
          <w:sz w:val="20"/>
        </w:rPr>
        <w:t>pública,</w:t>
      </w:r>
      <w:r>
        <w:rPr>
          <w:spacing w:val="40"/>
          <w:sz w:val="20"/>
        </w:rPr>
        <w:t> </w:t>
      </w:r>
      <w:r>
        <w:rPr>
          <w:sz w:val="20"/>
        </w:rPr>
        <w:t>en</w:t>
      </w:r>
      <w:r>
        <w:rPr>
          <w:spacing w:val="40"/>
          <w:sz w:val="20"/>
        </w:rPr>
        <w:t> </w:t>
      </w:r>
      <w:r>
        <w:rPr>
          <w:sz w:val="20"/>
        </w:rPr>
        <w:t>una</w:t>
      </w:r>
      <w:r>
        <w:rPr>
          <w:spacing w:val="40"/>
          <w:sz w:val="20"/>
        </w:rPr>
        <w:t> </w:t>
      </w:r>
      <w:r>
        <w:rPr>
          <w:sz w:val="20"/>
        </w:rPr>
        <w:t>proporción</w:t>
      </w:r>
      <w:r>
        <w:rPr>
          <w:spacing w:val="40"/>
          <w:sz w:val="20"/>
        </w:rPr>
        <w:t> </w:t>
      </w:r>
      <w:r>
        <w:rPr>
          <w:sz w:val="20"/>
        </w:rPr>
        <w:t>y</w:t>
      </w:r>
      <w:r>
        <w:rPr>
          <w:spacing w:val="40"/>
          <w:sz w:val="20"/>
        </w:rPr>
        <w:t> </w:t>
      </w:r>
      <w:r>
        <w:rPr>
          <w:sz w:val="20"/>
        </w:rPr>
        <w:t>topografía</w:t>
      </w:r>
      <w:r>
        <w:rPr>
          <w:spacing w:val="40"/>
          <w:sz w:val="20"/>
        </w:rPr>
        <w:t> </w:t>
      </w:r>
      <w:r>
        <w:rPr>
          <w:sz w:val="20"/>
        </w:rPr>
        <w:t>que</w:t>
      </w:r>
      <w:r>
        <w:rPr>
          <w:spacing w:val="40"/>
          <w:sz w:val="20"/>
        </w:rPr>
        <w:t> </w:t>
      </w:r>
      <w:r>
        <w:rPr>
          <w:sz w:val="20"/>
        </w:rPr>
        <w:t>la</w:t>
      </w:r>
      <w:r>
        <w:rPr>
          <w:spacing w:val="40"/>
          <w:sz w:val="20"/>
        </w:rPr>
        <w:t> </w:t>
      </w:r>
      <w:r>
        <w:rPr>
          <w:sz w:val="20"/>
        </w:rPr>
        <w:t>haga</w:t>
      </w:r>
      <w:r>
        <w:rPr>
          <w:spacing w:val="40"/>
          <w:sz w:val="20"/>
        </w:rPr>
        <w:t> </w:t>
      </w:r>
      <w:r>
        <w:rPr>
          <w:sz w:val="20"/>
        </w:rPr>
        <w:t>susceptible</w:t>
      </w:r>
      <w:r>
        <w:rPr>
          <w:spacing w:val="40"/>
          <w:sz w:val="20"/>
        </w:rPr>
        <w:t> </w:t>
      </w:r>
      <w:r>
        <w:rPr>
          <w:sz w:val="20"/>
        </w:rPr>
        <w:t>de </w:t>
      </w:r>
      <w:r>
        <w:rPr>
          <w:spacing w:val="-2"/>
          <w:sz w:val="20"/>
        </w:rPr>
        <w:t>aprovechamiento;</w:t>
      </w:r>
    </w:p>
    <w:p>
      <w:pPr>
        <w:pStyle w:val="BodyText"/>
      </w:pPr>
    </w:p>
    <w:p>
      <w:pPr>
        <w:pStyle w:val="ListParagraph"/>
        <w:numPr>
          <w:ilvl w:val="0"/>
          <w:numId w:val="129"/>
        </w:numPr>
        <w:tabs>
          <w:tab w:pos="597" w:val="left" w:leader="none"/>
        </w:tabs>
        <w:spacing w:line="240" w:lineRule="auto" w:before="0" w:after="0"/>
        <w:ind w:left="597" w:right="0" w:hanging="335"/>
        <w:jc w:val="left"/>
        <w:rPr>
          <w:sz w:val="20"/>
        </w:rPr>
      </w:pPr>
      <w:r>
        <w:rPr>
          <w:sz w:val="20"/>
        </w:rPr>
        <w:t>No</w:t>
      </w:r>
      <w:r>
        <w:rPr>
          <w:spacing w:val="-7"/>
          <w:sz w:val="20"/>
        </w:rPr>
        <w:t> </w:t>
      </w:r>
      <w:r>
        <w:rPr>
          <w:sz w:val="20"/>
        </w:rPr>
        <w:t>contar</w:t>
      </w:r>
      <w:r>
        <w:rPr>
          <w:spacing w:val="-7"/>
          <w:sz w:val="20"/>
        </w:rPr>
        <w:t> </w:t>
      </w:r>
      <w:r>
        <w:rPr>
          <w:sz w:val="20"/>
        </w:rPr>
        <w:t>con</w:t>
      </w:r>
      <w:r>
        <w:rPr>
          <w:spacing w:val="-7"/>
          <w:sz w:val="20"/>
        </w:rPr>
        <w:t> </w:t>
      </w:r>
      <w:r>
        <w:rPr>
          <w:sz w:val="20"/>
        </w:rPr>
        <w:t>pendientes</w:t>
      </w:r>
      <w:r>
        <w:rPr>
          <w:spacing w:val="-4"/>
          <w:sz w:val="20"/>
        </w:rPr>
        <w:t> </w:t>
      </w:r>
      <w:r>
        <w:rPr>
          <w:sz w:val="20"/>
        </w:rPr>
        <w:t>mayores</w:t>
      </w:r>
      <w:r>
        <w:rPr>
          <w:spacing w:val="-5"/>
          <w:sz w:val="20"/>
        </w:rPr>
        <w:t> </w:t>
      </w:r>
      <w:r>
        <w:rPr>
          <w:sz w:val="20"/>
        </w:rPr>
        <w:t>al</w:t>
      </w:r>
      <w:r>
        <w:rPr>
          <w:spacing w:val="-8"/>
          <w:sz w:val="20"/>
        </w:rPr>
        <w:t> </w:t>
      </w:r>
      <w:r>
        <w:rPr>
          <w:sz w:val="20"/>
        </w:rPr>
        <w:t>doce</w:t>
      </w:r>
      <w:r>
        <w:rPr>
          <w:spacing w:val="-4"/>
          <w:sz w:val="20"/>
        </w:rPr>
        <w:t> </w:t>
      </w:r>
      <w:r>
        <w:rPr>
          <w:sz w:val="20"/>
        </w:rPr>
        <w:t>por</w:t>
      </w:r>
      <w:r>
        <w:rPr>
          <w:spacing w:val="-6"/>
          <w:sz w:val="20"/>
        </w:rPr>
        <w:t> </w:t>
      </w:r>
      <w:r>
        <w:rPr>
          <w:spacing w:val="-2"/>
          <w:sz w:val="20"/>
        </w:rPr>
        <w:t>ciento;</w:t>
      </w:r>
    </w:p>
    <w:p>
      <w:pPr>
        <w:pStyle w:val="BodyText"/>
      </w:pPr>
    </w:p>
    <w:p>
      <w:pPr>
        <w:pStyle w:val="ListParagraph"/>
        <w:numPr>
          <w:ilvl w:val="0"/>
          <w:numId w:val="129"/>
        </w:numPr>
        <w:tabs>
          <w:tab w:pos="545" w:val="left" w:leader="none"/>
        </w:tabs>
        <w:spacing w:line="240" w:lineRule="auto" w:before="1" w:after="0"/>
        <w:ind w:left="545" w:right="0" w:hanging="283"/>
        <w:jc w:val="left"/>
        <w:rPr>
          <w:sz w:val="20"/>
        </w:rPr>
      </w:pPr>
      <w:r>
        <w:rPr>
          <w:sz w:val="20"/>
        </w:rPr>
        <w:t>Tener</w:t>
      </w:r>
      <w:r>
        <w:rPr>
          <w:spacing w:val="-8"/>
          <w:sz w:val="20"/>
        </w:rPr>
        <w:t> </w:t>
      </w:r>
      <w:r>
        <w:rPr>
          <w:sz w:val="20"/>
        </w:rPr>
        <w:t>una</w:t>
      </w:r>
      <w:r>
        <w:rPr>
          <w:spacing w:val="-8"/>
          <w:sz w:val="20"/>
        </w:rPr>
        <w:t> </w:t>
      </w:r>
      <w:r>
        <w:rPr>
          <w:sz w:val="20"/>
        </w:rPr>
        <w:t>ubicación,</w:t>
      </w:r>
      <w:r>
        <w:rPr>
          <w:spacing w:val="-6"/>
          <w:sz w:val="20"/>
        </w:rPr>
        <w:t> </w:t>
      </w:r>
      <w:r>
        <w:rPr>
          <w:sz w:val="20"/>
        </w:rPr>
        <w:t>que</w:t>
      </w:r>
      <w:r>
        <w:rPr>
          <w:spacing w:val="-7"/>
          <w:sz w:val="20"/>
        </w:rPr>
        <w:t> </w:t>
      </w:r>
      <w:r>
        <w:rPr>
          <w:sz w:val="20"/>
        </w:rPr>
        <w:t>permita</w:t>
      </w:r>
      <w:r>
        <w:rPr>
          <w:spacing w:val="-8"/>
          <w:sz w:val="20"/>
        </w:rPr>
        <w:t> </w:t>
      </w:r>
      <w:r>
        <w:rPr>
          <w:sz w:val="20"/>
        </w:rPr>
        <w:t>su</w:t>
      </w:r>
      <w:r>
        <w:rPr>
          <w:spacing w:val="-7"/>
          <w:sz w:val="20"/>
        </w:rPr>
        <w:t> </w:t>
      </w:r>
      <w:r>
        <w:rPr>
          <w:sz w:val="20"/>
        </w:rPr>
        <w:t>utilización,</w:t>
      </w:r>
      <w:r>
        <w:rPr>
          <w:spacing w:val="-8"/>
          <w:sz w:val="20"/>
        </w:rPr>
        <w:t> </w:t>
      </w:r>
      <w:r>
        <w:rPr>
          <w:spacing w:val="-10"/>
          <w:sz w:val="20"/>
        </w:rPr>
        <w:t>y</w:t>
      </w:r>
    </w:p>
    <w:p>
      <w:pPr>
        <w:pStyle w:val="BodyText"/>
      </w:pPr>
    </w:p>
    <w:p>
      <w:pPr>
        <w:pStyle w:val="ListParagraph"/>
        <w:numPr>
          <w:ilvl w:val="0"/>
          <w:numId w:val="129"/>
        </w:numPr>
        <w:tabs>
          <w:tab w:pos="689" w:val="left" w:leader="none"/>
        </w:tabs>
        <w:spacing w:line="240" w:lineRule="auto" w:before="0" w:after="0"/>
        <w:ind w:left="689" w:right="0" w:hanging="427"/>
        <w:jc w:val="left"/>
        <w:rPr>
          <w:sz w:val="20"/>
        </w:rPr>
      </w:pPr>
      <w:r>
        <w:rPr>
          <w:sz w:val="20"/>
        </w:rPr>
        <w:t>Que</w:t>
      </w:r>
      <w:r>
        <w:rPr>
          <w:spacing w:val="-9"/>
          <w:sz w:val="20"/>
        </w:rPr>
        <w:t> </w:t>
      </w:r>
      <w:r>
        <w:rPr>
          <w:sz w:val="20"/>
        </w:rPr>
        <w:t>no</w:t>
      </w:r>
      <w:r>
        <w:rPr>
          <w:spacing w:val="-6"/>
          <w:sz w:val="20"/>
        </w:rPr>
        <w:t> </w:t>
      </w:r>
      <w:r>
        <w:rPr>
          <w:sz w:val="20"/>
        </w:rPr>
        <w:t>exista</w:t>
      </w:r>
      <w:r>
        <w:rPr>
          <w:spacing w:val="-6"/>
          <w:sz w:val="20"/>
        </w:rPr>
        <w:t> </w:t>
      </w:r>
      <w:r>
        <w:rPr>
          <w:sz w:val="20"/>
        </w:rPr>
        <w:t>ninguna</w:t>
      </w:r>
      <w:r>
        <w:rPr>
          <w:spacing w:val="-6"/>
          <w:sz w:val="20"/>
        </w:rPr>
        <w:t> </w:t>
      </w:r>
      <w:r>
        <w:rPr>
          <w:sz w:val="20"/>
        </w:rPr>
        <w:t>afectación</w:t>
      </w:r>
      <w:r>
        <w:rPr>
          <w:spacing w:val="-6"/>
          <w:sz w:val="20"/>
        </w:rPr>
        <w:t> </w:t>
      </w:r>
      <w:r>
        <w:rPr>
          <w:sz w:val="20"/>
        </w:rPr>
        <w:t>federal,</w:t>
      </w:r>
      <w:r>
        <w:rPr>
          <w:spacing w:val="-8"/>
          <w:sz w:val="20"/>
        </w:rPr>
        <w:t> </w:t>
      </w:r>
      <w:r>
        <w:rPr>
          <w:sz w:val="20"/>
        </w:rPr>
        <w:t>estatal,</w:t>
      </w:r>
      <w:r>
        <w:rPr>
          <w:spacing w:val="-5"/>
          <w:sz w:val="20"/>
        </w:rPr>
        <w:t> </w:t>
      </w:r>
      <w:r>
        <w:rPr>
          <w:sz w:val="20"/>
        </w:rPr>
        <w:t>ni</w:t>
      </w:r>
      <w:r>
        <w:rPr>
          <w:spacing w:val="-7"/>
          <w:sz w:val="20"/>
        </w:rPr>
        <w:t> </w:t>
      </w:r>
      <w:r>
        <w:rPr>
          <w:sz w:val="20"/>
        </w:rPr>
        <w:t>municipal</w:t>
      </w:r>
      <w:r>
        <w:rPr>
          <w:spacing w:val="-8"/>
          <w:sz w:val="20"/>
        </w:rPr>
        <w:t> </w:t>
      </w:r>
      <w:r>
        <w:rPr>
          <w:sz w:val="20"/>
        </w:rPr>
        <w:t>en</w:t>
      </w:r>
      <w:r>
        <w:rPr>
          <w:spacing w:val="-6"/>
          <w:sz w:val="20"/>
        </w:rPr>
        <w:t> </w:t>
      </w:r>
      <w:r>
        <w:rPr>
          <w:sz w:val="20"/>
        </w:rPr>
        <w:t>el</w:t>
      </w:r>
      <w:r>
        <w:rPr>
          <w:spacing w:val="-7"/>
          <w:sz w:val="20"/>
        </w:rPr>
        <w:t> </w:t>
      </w:r>
      <w:r>
        <w:rPr>
          <w:spacing w:val="-2"/>
          <w:sz w:val="20"/>
        </w:rPr>
        <w:t>inmueble.</w:t>
      </w:r>
    </w:p>
    <w:p>
      <w:pPr>
        <w:pStyle w:val="BodyText"/>
        <w:spacing w:before="229"/>
        <w:ind w:left="262" w:right="286"/>
        <w:jc w:val="both"/>
      </w:pPr>
      <w:r>
        <w:rPr>
          <w:rFonts w:ascii="Arial" w:hAnsi="Arial"/>
          <w:b/>
        </w:rPr>
        <w:t>ARTÍCULO 377</w:t>
      </w:r>
      <w:r>
        <w:rPr/>
        <w:t>. Los ayuntamientos no deberán aceptar en donación predios afectados por fallas geológicas, derechos federales de vía, entre otros, como líneas de la Comisión Federal de Electricidad, cuerpos de agua, carreteras, vías férreas y poliductos.</w:t>
      </w:r>
    </w:p>
    <w:p>
      <w:pPr>
        <w:pStyle w:val="BodyText"/>
        <w:spacing w:before="229"/>
        <w:ind w:left="262" w:right="277"/>
        <w:jc w:val="both"/>
      </w:pPr>
      <w:r>
        <w:rPr>
          <w:rFonts w:ascii="Arial" w:hAnsi="Arial"/>
          <w:b/>
        </w:rPr>
        <w:t>ARTÍCULO 378</w:t>
      </w:r>
      <w:r>
        <w:rPr/>
        <w:t>. Cuando la superficie a donar para infraestructura, equipamiento y servicios sea menor</w:t>
      </w:r>
      <w:r>
        <w:rPr>
          <w:spacing w:val="-11"/>
        </w:rPr>
        <w:t> </w:t>
      </w:r>
      <w:r>
        <w:rPr/>
        <w:t>a</w:t>
      </w:r>
      <w:r>
        <w:rPr>
          <w:spacing w:val="-14"/>
        </w:rPr>
        <w:t> </w:t>
      </w:r>
      <w:r>
        <w:rPr/>
        <w:t>tres</w:t>
      </w:r>
      <w:r>
        <w:rPr>
          <w:spacing w:val="-11"/>
        </w:rPr>
        <w:t> </w:t>
      </w:r>
      <w:r>
        <w:rPr/>
        <w:t>mil</w:t>
      </w:r>
      <w:r>
        <w:rPr>
          <w:spacing w:val="-14"/>
        </w:rPr>
        <w:t> </w:t>
      </w:r>
      <w:r>
        <w:rPr/>
        <w:t>metros</w:t>
      </w:r>
      <w:r>
        <w:rPr>
          <w:spacing w:val="-12"/>
        </w:rPr>
        <w:t> </w:t>
      </w:r>
      <w:r>
        <w:rPr/>
        <w:t>cuadrados,</w:t>
      </w:r>
      <w:r>
        <w:rPr>
          <w:spacing w:val="-12"/>
        </w:rPr>
        <w:t> </w:t>
      </w:r>
      <w:r>
        <w:rPr/>
        <w:t>no</w:t>
      </w:r>
      <w:r>
        <w:rPr>
          <w:spacing w:val="-13"/>
        </w:rPr>
        <w:t> </w:t>
      </w:r>
      <w:r>
        <w:rPr/>
        <w:t>podrá</w:t>
      </w:r>
      <w:r>
        <w:rPr>
          <w:spacing w:val="-12"/>
        </w:rPr>
        <w:t> </w:t>
      </w:r>
      <w:r>
        <w:rPr/>
        <w:t>en</w:t>
      </w:r>
      <w:r>
        <w:rPr>
          <w:spacing w:val="-13"/>
        </w:rPr>
        <w:t> </w:t>
      </w:r>
      <w:r>
        <w:rPr/>
        <w:t>ningún</w:t>
      </w:r>
      <w:r>
        <w:rPr>
          <w:spacing w:val="-13"/>
        </w:rPr>
        <w:t> </w:t>
      </w:r>
      <w:r>
        <w:rPr/>
        <w:t>momento</w:t>
      </w:r>
      <w:r>
        <w:rPr>
          <w:spacing w:val="-13"/>
        </w:rPr>
        <w:t> </w:t>
      </w:r>
      <w:r>
        <w:rPr/>
        <w:t>establecerse</w:t>
      </w:r>
      <w:r>
        <w:rPr>
          <w:spacing w:val="-12"/>
        </w:rPr>
        <w:t> </w:t>
      </w:r>
      <w:r>
        <w:rPr/>
        <w:t>en</w:t>
      </w:r>
      <w:r>
        <w:rPr>
          <w:spacing w:val="-13"/>
        </w:rPr>
        <w:t> </w:t>
      </w:r>
      <w:r>
        <w:rPr/>
        <w:t>forma</w:t>
      </w:r>
      <w:r>
        <w:rPr>
          <w:spacing w:val="-14"/>
        </w:rPr>
        <w:t> </w:t>
      </w:r>
      <w:r>
        <w:rPr/>
        <w:t>disgregada, salvo las áreas que se requieran para parques vecinales, espacios públicos abiertos, seguridad pública y los servicios de agua potable, plantas de tratamiento y limpia.</w:t>
      </w:r>
    </w:p>
    <w:p>
      <w:pPr>
        <w:pStyle w:val="BodyText"/>
        <w:spacing w:before="2"/>
      </w:pPr>
    </w:p>
    <w:p>
      <w:pPr>
        <w:pStyle w:val="BodyText"/>
        <w:spacing w:before="1"/>
        <w:ind w:left="262" w:right="278"/>
        <w:jc w:val="both"/>
      </w:pPr>
      <w:r>
        <w:rPr/>
        <w:t>Tratándose</w:t>
      </w:r>
      <w:r>
        <w:rPr>
          <w:spacing w:val="-2"/>
        </w:rPr>
        <w:t> </w:t>
      </w:r>
      <w:r>
        <w:rPr/>
        <w:t>de</w:t>
      </w:r>
      <w:r>
        <w:rPr>
          <w:spacing w:val="-5"/>
        </w:rPr>
        <w:t> </w:t>
      </w:r>
      <w:r>
        <w:rPr/>
        <w:t>superficies</w:t>
      </w:r>
      <w:r>
        <w:rPr>
          <w:spacing w:val="-1"/>
        </w:rPr>
        <w:t> </w:t>
      </w:r>
      <w:r>
        <w:rPr/>
        <w:t>mayores</w:t>
      </w:r>
      <w:r>
        <w:rPr>
          <w:spacing w:val="-2"/>
        </w:rPr>
        <w:t> </w:t>
      </w:r>
      <w:r>
        <w:rPr/>
        <w:t>a</w:t>
      </w:r>
      <w:r>
        <w:rPr>
          <w:spacing w:val="-2"/>
        </w:rPr>
        <w:t> </w:t>
      </w:r>
      <w:r>
        <w:rPr/>
        <w:t>tres mil</w:t>
      </w:r>
      <w:r>
        <w:rPr>
          <w:spacing w:val="-3"/>
        </w:rPr>
        <w:t> </w:t>
      </w:r>
      <w:r>
        <w:rPr/>
        <w:t>metros</w:t>
      </w:r>
      <w:r>
        <w:rPr>
          <w:spacing w:val="-1"/>
        </w:rPr>
        <w:t> </w:t>
      </w:r>
      <w:r>
        <w:rPr/>
        <w:t>cuadrados</w:t>
      </w:r>
      <w:r>
        <w:rPr>
          <w:spacing w:val="-3"/>
        </w:rPr>
        <w:t> </w:t>
      </w:r>
      <w:r>
        <w:rPr/>
        <w:t>se</w:t>
      </w:r>
      <w:r>
        <w:rPr>
          <w:spacing w:val="-2"/>
        </w:rPr>
        <w:t> </w:t>
      </w:r>
      <w:r>
        <w:rPr/>
        <w:t>donarán</w:t>
      </w:r>
      <w:r>
        <w:rPr>
          <w:spacing w:val="-2"/>
        </w:rPr>
        <w:t> </w:t>
      </w:r>
      <w:r>
        <w:rPr/>
        <w:t>conforme</w:t>
      </w:r>
      <w:r>
        <w:rPr>
          <w:spacing w:val="-2"/>
        </w:rPr>
        <w:t> </w:t>
      </w:r>
      <w:r>
        <w:rPr/>
        <w:t>lo</w:t>
      </w:r>
      <w:r>
        <w:rPr>
          <w:spacing w:val="-2"/>
        </w:rPr>
        <w:t> </w:t>
      </w:r>
      <w:r>
        <w:rPr/>
        <w:t>apruebe</w:t>
      </w:r>
      <w:r>
        <w:rPr>
          <w:spacing w:val="-2"/>
        </w:rPr>
        <w:t> </w:t>
      </w:r>
      <w:r>
        <w:rPr/>
        <w:t>el Ayuntamiento a través de la Dirección municipal, con base en el proyecto presentado por el fraccionador o promotor. Se propiciará la ubicación de áreas de donación que concentren equipamiento para la educación básica y los servicios de salud y abasto.</w:t>
      </w:r>
    </w:p>
    <w:p>
      <w:pPr>
        <w:pStyle w:val="BodyText"/>
        <w:spacing w:before="229"/>
        <w:ind w:left="262" w:right="287"/>
        <w:jc w:val="both"/>
      </w:pPr>
      <w:r>
        <w:rPr/>
        <w:t>Las áreas de donación para vialidad al Municipio, son independientes y adicionales a las áreas de donación para equipamiento, servicios y áreas verdes.</w:t>
      </w:r>
    </w:p>
    <w:p>
      <w:pPr>
        <w:pStyle w:val="BodyText"/>
        <w:spacing w:before="229"/>
        <w:ind w:left="262" w:right="285"/>
        <w:jc w:val="both"/>
      </w:pPr>
      <w:r>
        <w:rPr>
          <w:rFonts w:ascii="Arial" w:hAnsi="Arial"/>
          <w:b/>
        </w:rPr>
        <w:t>ARTÍCULO 379. </w:t>
      </w:r>
      <w:r>
        <w:rPr/>
        <w:t>El cálculo de la superficie neta de donación se hará deduciendo del área total del fraccionamiento, la ocupada por vías públicas, obras hidráulicas sanitarias y de saneamiento incluyendo camellones y banquetas.</w:t>
      </w:r>
    </w:p>
    <w:p>
      <w:pPr>
        <w:pStyle w:val="BodyText"/>
        <w:spacing w:before="2"/>
      </w:pPr>
    </w:p>
    <w:p>
      <w:pPr>
        <w:pStyle w:val="BodyText"/>
        <w:ind w:left="262" w:right="284"/>
        <w:jc w:val="both"/>
      </w:pPr>
      <w:r>
        <w:rPr/>
        <w:t>En el caso de que el fraccionamiento se localice en dos o más municipios las donaciones se harán proporcionalmente</w:t>
      </w:r>
      <w:r>
        <w:rPr>
          <w:spacing w:val="-2"/>
        </w:rPr>
        <w:t> </w:t>
      </w:r>
      <w:r>
        <w:rPr/>
        <w:t>de</w:t>
      </w:r>
      <w:r>
        <w:rPr>
          <w:spacing w:val="-3"/>
        </w:rPr>
        <w:t> </w:t>
      </w:r>
      <w:r>
        <w:rPr/>
        <w:t>acuerdo</w:t>
      </w:r>
      <w:r>
        <w:rPr>
          <w:spacing w:val="-5"/>
        </w:rPr>
        <w:t> </w:t>
      </w:r>
      <w:r>
        <w:rPr/>
        <w:t>al</w:t>
      </w:r>
      <w:r>
        <w:rPr>
          <w:spacing w:val="-5"/>
        </w:rPr>
        <w:t> </w:t>
      </w:r>
      <w:r>
        <w:rPr/>
        <w:t>Dictamen</w:t>
      </w:r>
      <w:r>
        <w:rPr>
          <w:spacing w:val="-4"/>
        </w:rPr>
        <w:t> </w:t>
      </w:r>
      <w:r>
        <w:rPr/>
        <w:t>que</w:t>
      </w:r>
      <w:r>
        <w:rPr>
          <w:spacing w:val="-3"/>
        </w:rPr>
        <w:t> </w:t>
      </w:r>
      <w:r>
        <w:rPr/>
        <w:t>para</w:t>
      </w:r>
      <w:r>
        <w:rPr>
          <w:spacing w:val="-2"/>
        </w:rPr>
        <w:t> </w:t>
      </w:r>
      <w:r>
        <w:rPr/>
        <w:t>tal</w:t>
      </w:r>
      <w:r>
        <w:rPr>
          <w:spacing w:val="-5"/>
        </w:rPr>
        <w:t> </w:t>
      </w:r>
      <w:r>
        <w:rPr/>
        <w:t>efecto</w:t>
      </w:r>
      <w:r>
        <w:rPr>
          <w:spacing w:val="-2"/>
        </w:rPr>
        <w:t> </w:t>
      </w:r>
      <w:r>
        <w:rPr/>
        <w:t>emita</w:t>
      </w:r>
      <w:r>
        <w:rPr>
          <w:spacing w:val="-2"/>
        </w:rPr>
        <w:t> </w:t>
      </w:r>
      <w:r>
        <w:rPr/>
        <w:t>la</w:t>
      </w:r>
      <w:r>
        <w:rPr>
          <w:spacing w:val="-2"/>
        </w:rPr>
        <w:t> </w:t>
      </w:r>
      <w:r>
        <w:rPr/>
        <w:t>Comisión</w:t>
      </w:r>
      <w:r>
        <w:rPr>
          <w:spacing w:val="-2"/>
        </w:rPr>
        <w:t> </w:t>
      </w:r>
      <w:r>
        <w:rPr/>
        <w:t>de</w:t>
      </w:r>
      <w:r>
        <w:rPr>
          <w:spacing w:val="-5"/>
        </w:rPr>
        <w:t> </w:t>
      </w:r>
      <w:r>
        <w:rPr/>
        <w:t>Conurbación</w:t>
      </w:r>
      <w:r>
        <w:rPr>
          <w:spacing w:val="-4"/>
        </w:rPr>
        <w:t> </w:t>
      </w:r>
      <w:r>
        <w:rPr/>
        <w:t>o de Zona Metropolitana;</w:t>
      </w:r>
    </w:p>
    <w:p>
      <w:pPr>
        <w:pStyle w:val="BodyText"/>
        <w:spacing w:before="230"/>
        <w:ind w:left="262" w:right="285"/>
        <w:jc w:val="both"/>
      </w:pPr>
      <w:r>
        <w:rPr/>
        <w:t>La</w:t>
      </w:r>
      <w:r>
        <w:rPr>
          <w:spacing w:val="-5"/>
        </w:rPr>
        <w:t> </w:t>
      </w:r>
      <w:r>
        <w:rPr/>
        <w:t>proporción</w:t>
      </w:r>
      <w:r>
        <w:rPr>
          <w:spacing w:val="-4"/>
        </w:rPr>
        <w:t> </w:t>
      </w:r>
      <w:r>
        <w:rPr/>
        <w:t>del</w:t>
      </w:r>
      <w:r>
        <w:rPr>
          <w:spacing w:val="-3"/>
        </w:rPr>
        <w:t> </w:t>
      </w:r>
      <w:r>
        <w:rPr/>
        <w:t>predio</w:t>
      </w:r>
      <w:r>
        <w:rPr>
          <w:spacing w:val="-2"/>
        </w:rPr>
        <w:t> </w:t>
      </w:r>
      <w:r>
        <w:rPr/>
        <w:t>a</w:t>
      </w:r>
      <w:r>
        <w:rPr>
          <w:spacing w:val="-4"/>
        </w:rPr>
        <w:t> </w:t>
      </w:r>
      <w:r>
        <w:rPr/>
        <w:t>fraccionar</w:t>
      </w:r>
      <w:r>
        <w:rPr>
          <w:spacing w:val="-4"/>
        </w:rPr>
        <w:t> </w:t>
      </w:r>
      <w:r>
        <w:rPr/>
        <w:t>que</w:t>
      </w:r>
      <w:r>
        <w:rPr>
          <w:spacing w:val="-5"/>
        </w:rPr>
        <w:t> </w:t>
      </w:r>
      <w:r>
        <w:rPr/>
        <w:t>se</w:t>
      </w:r>
      <w:r>
        <w:rPr>
          <w:spacing w:val="-2"/>
        </w:rPr>
        <w:t> </w:t>
      </w:r>
      <w:r>
        <w:rPr/>
        <w:t>donará</w:t>
      </w:r>
      <w:r>
        <w:rPr>
          <w:spacing w:val="-2"/>
        </w:rPr>
        <w:t> </w:t>
      </w:r>
      <w:r>
        <w:rPr/>
        <w:t>para</w:t>
      </w:r>
      <w:r>
        <w:rPr>
          <w:spacing w:val="-4"/>
        </w:rPr>
        <w:t> </w:t>
      </w:r>
      <w:r>
        <w:rPr/>
        <w:t>equipamiento</w:t>
      </w:r>
      <w:r>
        <w:rPr>
          <w:spacing w:val="-4"/>
        </w:rPr>
        <w:t> </w:t>
      </w:r>
      <w:r>
        <w:rPr/>
        <w:t>será</w:t>
      </w:r>
      <w:r>
        <w:rPr>
          <w:spacing w:val="-2"/>
        </w:rPr>
        <w:t> </w:t>
      </w:r>
      <w:r>
        <w:rPr/>
        <w:t>a</w:t>
      </w:r>
      <w:r>
        <w:rPr>
          <w:spacing w:val="-4"/>
        </w:rPr>
        <w:t> </w:t>
      </w:r>
      <w:r>
        <w:rPr/>
        <w:t>razón</w:t>
      </w:r>
      <w:r>
        <w:rPr>
          <w:spacing w:val="-5"/>
        </w:rPr>
        <w:t> </w:t>
      </w:r>
      <w:r>
        <w:rPr/>
        <w:t>de</w:t>
      </w:r>
      <w:r>
        <w:rPr>
          <w:spacing w:val="-4"/>
        </w:rPr>
        <w:t> </w:t>
      </w:r>
      <w:r>
        <w:rPr/>
        <w:t>la</w:t>
      </w:r>
      <w:r>
        <w:rPr>
          <w:spacing w:val="-4"/>
        </w:rPr>
        <w:t> </w:t>
      </w:r>
      <w:r>
        <w:rPr/>
        <w:t>siguiente </w:t>
      </w:r>
      <w:r>
        <w:rPr>
          <w:spacing w:val="-2"/>
        </w:rPr>
        <w:t>tabla:</w:t>
      </w:r>
    </w:p>
    <w:p>
      <w:pPr>
        <w:pStyle w:val="BodyText"/>
        <w:spacing w:after="0"/>
        <w:jc w:val="both"/>
        <w:sectPr>
          <w:pgSz w:w="12240" w:h="15840"/>
          <w:pgMar w:header="720" w:footer="697" w:top="2100" w:bottom="880" w:left="1440" w:right="1440"/>
        </w:sectPr>
      </w:pPr>
    </w:p>
    <w:p>
      <w:pPr>
        <w:pStyle w:val="BodyText"/>
      </w:pPr>
    </w:p>
    <w:p>
      <w:pPr>
        <w:pStyle w:val="BodyText"/>
        <w:spacing w:before="72"/>
      </w:pPr>
    </w:p>
    <w:tbl>
      <w:tblPr>
        <w:tblW w:w="0" w:type="auto"/>
        <w:jc w:val="left"/>
        <w:tblInd w:w="5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90"/>
        <w:gridCol w:w="2034"/>
        <w:gridCol w:w="1506"/>
      </w:tblGrid>
      <w:tr>
        <w:trPr>
          <w:trHeight w:val="458" w:hRule="atLeast"/>
        </w:trPr>
        <w:tc>
          <w:tcPr>
            <w:tcW w:w="4690" w:type="dxa"/>
            <w:vMerge w:val="restart"/>
            <w:tcBorders>
              <w:left w:val="single" w:sz="8" w:space="0" w:color="000000"/>
              <w:right w:val="single" w:sz="8" w:space="0" w:color="000000"/>
            </w:tcBorders>
          </w:tcPr>
          <w:p>
            <w:pPr>
              <w:pStyle w:val="TableParagraph"/>
              <w:spacing w:before="154"/>
              <w:rPr>
                <w:rFonts w:ascii="Arial MT"/>
                <w:sz w:val="18"/>
              </w:rPr>
            </w:pPr>
          </w:p>
          <w:p>
            <w:pPr>
              <w:pStyle w:val="TableParagraph"/>
              <w:spacing w:before="1"/>
              <w:ind w:left="706"/>
              <w:rPr>
                <w:b/>
                <w:sz w:val="18"/>
              </w:rPr>
            </w:pPr>
            <w:r>
              <w:rPr>
                <w:b/>
                <w:spacing w:val="-2"/>
                <w:w w:val="155"/>
                <w:sz w:val="18"/>
              </w:rPr>
              <w:t>TIPO</w:t>
            </w:r>
            <w:r>
              <w:rPr>
                <w:b/>
                <w:spacing w:val="-9"/>
                <w:w w:val="155"/>
                <w:sz w:val="18"/>
              </w:rPr>
              <w:t> </w:t>
            </w:r>
            <w:r>
              <w:rPr>
                <w:b/>
                <w:spacing w:val="-2"/>
                <w:w w:val="155"/>
                <w:sz w:val="18"/>
              </w:rPr>
              <w:t>DE</w:t>
            </w:r>
            <w:r>
              <w:rPr>
                <w:b/>
                <w:spacing w:val="-11"/>
                <w:w w:val="155"/>
                <w:sz w:val="18"/>
              </w:rPr>
              <w:t> </w:t>
            </w:r>
            <w:r>
              <w:rPr>
                <w:b/>
                <w:spacing w:val="-2"/>
                <w:w w:val="155"/>
                <w:sz w:val="18"/>
              </w:rPr>
              <w:t>FRACCIONAMIENTO</w:t>
            </w:r>
          </w:p>
        </w:tc>
        <w:tc>
          <w:tcPr>
            <w:tcW w:w="3540" w:type="dxa"/>
            <w:gridSpan w:val="2"/>
            <w:tcBorders>
              <w:left w:val="single" w:sz="8" w:space="0" w:color="000000"/>
              <w:right w:val="single" w:sz="8" w:space="0" w:color="000000"/>
            </w:tcBorders>
          </w:tcPr>
          <w:p>
            <w:pPr>
              <w:pStyle w:val="TableParagraph"/>
              <w:spacing w:before="9"/>
              <w:ind w:left="3" w:right="3"/>
              <w:jc w:val="center"/>
              <w:rPr>
                <w:b/>
                <w:sz w:val="18"/>
              </w:rPr>
            </w:pPr>
            <w:r>
              <w:rPr>
                <w:b/>
                <w:spacing w:val="-2"/>
                <w:w w:val="155"/>
                <w:sz w:val="18"/>
              </w:rPr>
              <w:t>DONACIÓN</w:t>
            </w:r>
          </w:p>
          <w:p>
            <w:pPr>
              <w:pStyle w:val="TableParagraph"/>
              <w:spacing w:line="187" w:lineRule="exact" w:before="23"/>
              <w:ind w:right="3"/>
              <w:jc w:val="center"/>
              <w:rPr>
                <w:b/>
                <w:sz w:val="18"/>
              </w:rPr>
            </w:pPr>
            <w:r>
              <w:rPr>
                <w:b/>
                <w:w w:val="155"/>
                <w:sz w:val="18"/>
              </w:rPr>
              <w:t>(% del</w:t>
            </w:r>
            <w:r>
              <w:rPr>
                <w:b/>
                <w:spacing w:val="4"/>
                <w:w w:val="155"/>
                <w:sz w:val="18"/>
              </w:rPr>
              <w:t> </w:t>
            </w:r>
            <w:r>
              <w:rPr>
                <w:b/>
                <w:w w:val="155"/>
                <w:sz w:val="18"/>
              </w:rPr>
              <w:t>área</w:t>
            </w:r>
            <w:r>
              <w:rPr>
                <w:b/>
                <w:spacing w:val="-9"/>
                <w:w w:val="155"/>
                <w:sz w:val="18"/>
              </w:rPr>
              <w:t> </w:t>
            </w:r>
            <w:r>
              <w:rPr>
                <w:b/>
                <w:spacing w:val="-2"/>
                <w:w w:val="155"/>
                <w:sz w:val="18"/>
              </w:rPr>
              <w:t>vendible)</w:t>
            </w:r>
          </w:p>
        </w:tc>
      </w:tr>
      <w:tr>
        <w:trPr>
          <w:trHeight w:val="227" w:hRule="atLeast"/>
        </w:trPr>
        <w:tc>
          <w:tcPr>
            <w:tcW w:w="4690" w:type="dxa"/>
            <w:vMerge/>
            <w:tcBorders>
              <w:top w:val="nil"/>
              <w:left w:val="single" w:sz="8" w:space="0" w:color="000000"/>
              <w:right w:val="single" w:sz="8" w:space="0" w:color="000000"/>
            </w:tcBorders>
          </w:tcPr>
          <w:p>
            <w:pPr>
              <w:rPr>
                <w:sz w:val="2"/>
                <w:szCs w:val="2"/>
              </w:rPr>
            </w:pPr>
          </w:p>
        </w:tc>
        <w:tc>
          <w:tcPr>
            <w:tcW w:w="2034" w:type="dxa"/>
            <w:tcBorders>
              <w:left w:val="single" w:sz="8" w:space="0" w:color="000000"/>
              <w:right w:val="single" w:sz="8" w:space="0" w:color="000000"/>
            </w:tcBorders>
          </w:tcPr>
          <w:p>
            <w:pPr>
              <w:pStyle w:val="TableParagraph"/>
              <w:spacing w:line="182" w:lineRule="exact" w:before="25"/>
              <w:ind w:left="49" w:right="34"/>
              <w:jc w:val="center"/>
              <w:rPr>
                <w:b/>
                <w:sz w:val="15"/>
              </w:rPr>
            </w:pPr>
            <w:r>
              <w:rPr>
                <w:b/>
                <w:spacing w:val="-2"/>
                <w:w w:val="165"/>
                <w:sz w:val="15"/>
              </w:rPr>
              <w:t>EQUIPAMIENTO</w:t>
            </w:r>
          </w:p>
        </w:tc>
        <w:tc>
          <w:tcPr>
            <w:tcW w:w="1506" w:type="dxa"/>
            <w:tcBorders>
              <w:left w:val="single" w:sz="8" w:space="0" w:color="000000"/>
              <w:right w:val="single" w:sz="8" w:space="0" w:color="000000"/>
            </w:tcBorders>
          </w:tcPr>
          <w:p>
            <w:pPr>
              <w:pStyle w:val="TableParagraph"/>
              <w:spacing w:line="182" w:lineRule="exact" w:before="25"/>
              <w:ind w:left="51" w:right="24"/>
              <w:jc w:val="center"/>
              <w:rPr>
                <w:b/>
                <w:sz w:val="15"/>
              </w:rPr>
            </w:pPr>
            <w:r>
              <w:rPr>
                <w:b/>
                <w:spacing w:val="-2"/>
                <w:w w:val="165"/>
                <w:sz w:val="15"/>
              </w:rPr>
              <w:t>ÁREA</w:t>
            </w:r>
            <w:r>
              <w:rPr>
                <w:b/>
                <w:spacing w:val="-12"/>
                <w:w w:val="165"/>
                <w:sz w:val="15"/>
              </w:rPr>
              <w:t> </w:t>
            </w:r>
            <w:r>
              <w:rPr>
                <w:b/>
                <w:spacing w:val="-2"/>
                <w:w w:val="165"/>
                <w:sz w:val="15"/>
              </w:rPr>
              <w:t>VERDE</w:t>
            </w:r>
          </w:p>
        </w:tc>
      </w:tr>
      <w:tr>
        <w:trPr>
          <w:trHeight w:val="227" w:hRule="atLeast"/>
        </w:trPr>
        <w:tc>
          <w:tcPr>
            <w:tcW w:w="4690" w:type="dxa"/>
            <w:vMerge/>
            <w:tcBorders>
              <w:top w:val="nil"/>
              <w:left w:val="single" w:sz="8" w:space="0" w:color="000000"/>
              <w:right w:val="single" w:sz="8" w:space="0" w:color="000000"/>
            </w:tcBorders>
          </w:tcPr>
          <w:p>
            <w:pPr>
              <w:rPr>
                <w:sz w:val="2"/>
                <w:szCs w:val="2"/>
              </w:rPr>
            </w:pPr>
          </w:p>
        </w:tc>
        <w:tc>
          <w:tcPr>
            <w:tcW w:w="2034" w:type="dxa"/>
            <w:tcBorders>
              <w:left w:val="single" w:sz="8" w:space="0" w:color="000000"/>
              <w:right w:val="single" w:sz="8" w:space="0" w:color="000000"/>
            </w:tcBorders>
          </w:tcPr>
          <w:p>
            <w:pPr>
              <w:pStyle w:val="TableParagraph"/>
              <w:spacing w:line="199" w:lineRule="exact" w:before="9"/>
              <w:ind w:left="49" w:right="31"/>
              <w:jc w:val="center"/>
              <w:rPr>
                <w:b/>
                <w:sz w:val="18"/>
              </w:rPr>
            </w:pPr>
            <w:r>
              <w:rPr>
                <w:b/>
                <w:spacing w:val="-10"/>
                <w:w w:val="155"/>
                <w:sz w:val="18"/>
              </w:rPr>
              <w:t>%</w:t>
            </w:r>
          </w:p>
        </w:tc>
        <w:tc>
          <w:tcPr>
            <w:tcW w:w="1506" w:type="dxa"/>
            <w:tcBorders>
              <w:left w:val="single" w:sz="8" w:space="0" w:color="000000"/>
              <w:right w:val="single" w:sz="8" w:space="0" w:color="000000"/>
            </w:tcBorders>
          </w:tcPr>
          <w:p>
            <w:pPr>
              <w:pStyle w:val="TableParagraph"/>
              <w:spacing w:line="199" w:lineRule="exact" w:before="9"/>
              <w:ind w:left="51" w:right="32"/>
              <w:jc w:val="center"/>
              <w:rPr>
                <w:b/>
                <w:sz w:val="18"/>
              </w:rPr>
            </w:pPr>
            <w:r>
              <w:rPr>
                <w:b/>
                <w:spacing w:val="-10"/>
                <w:w w:val="155"/>
                <w:sz w:val="18"/>
              </w:rPr>
              <w:t>%</w:t>
            </w:r>
          </w:p>
        </w:tc>
      </w:tr>
      <w:tr>
        <w:trPr>
          <w:trHeight w:val="227" w:hRule="atLeast"/>
        </w:trPr>
        <w:tc>
          <w:tcPr>
            <w:tcW w:w="4690" w:type="dxa"/>
            <w:tcBorders>
              <w:left w:val="single" w:sz="8" w:space="0" w:color="000000"/>
              <w:right w:val="single" w:sz="8" w:space="0" w:color="000000"/>
            </w:tcBorders>
          </w:tcPr>
          <w:p>
            <w:pPr>
              <w:pStyle w:val="TableParagraph"/>
              <w:spacing w:line="199" w:lineRule="exact" w:before="9"/>
              <w:ind w:left="46"/>
              <w:rPr>
                <w:b/>
                <w:sz w:val="18"/>
              </w:rPr>
            </w:pPr>
            <w:r>
              <w:rPr>
                <w:b/>
                <w:spacing w:val="-2"/>
                <w:w w:val="155"/>
                <w:sz w:val="18"/>
              </w:rPr>
              <w:t>DENSIDAD</w:t>
            </w:r>
            <w:r>
              <w:rPr>
                <w:b/>
                <w:spacing w:val="-13"/>
                <w:w w:val="155"/>
                <w:sz w:val="18"/>
              </w:rPr>
              <w:t> </w:t>
            </w:r>
            <w:r>
              <w:rPr>
                <w:b/>
                <w:spacing w:val="-2"/>
                <w:w w:val="155"/>
                <w:sz w:val="18"/>
              </w:rPr>
              <w:t>MÍNIMA</w:t>
            </w:r>
          </w:p>
        </w:tc>
        <w:tc>
          <w:tcPr>
            <w:tcW w:w="2034" w:type="dxa"/>
            <w:tcBorders>
              <w:left w:val="single" w:sz="8" w:space="0" w:color="000000"/>
              <w:right w:val="single" w:sz="8" w:space="0" w:color="000000"/>
            </w:tcBorders>
          </w:tcPr>
          <w:p>
            <w:pPr>
              <w:pStyle w:val="TableParagraph"/>
              <w:spacing w:line="199" w:lineRule="exact" w:before="9"/>
              <w:ind w:left="49" w:right="18"/>
              <w:jc w:val="center"/>
              <w:rPr>
                <w:sz w:val="18"/>
              </w:rPr>
            </w:pPr>
            <w:r>
              <w:rPr>
                <w:spacing w:val="-10"/>
                <w:w w:val="155"/>
                <w:sz w:val="18"/>
              </w:rPr>
              <w:t>5</w:t>
            </w:r>
          </w:p>
        </w:tc>
        <w:tc>
          <w:tcPr>
            <w:tcW w:w="1506" w:type="dxa"/>
            <w:tcBorders>
              <w:left w:val="single" w:sz="8" w:space="0" w:color="000000"/>
              <w:right w:val="single" w:sz="8" w:space="0" w:color="000000"/>
            </w:tcBorders>
          </w:tcPr>
          <w:p>
            <w:pPr>
              <w:pStyle w:val="TableParagraph"/>
              <w:spacing w:line="199" w:lineRule="exact" w:before="9"/>
              <w:ind w:left="51" w:right="19"/>
              <w:jc w:val="center"/>
              <w:rPr>
                <w:sz w:val="18"/>
              </w:rPr>
            </w:pPr>
            <w:r>
              <w:rPr>
                <w:spacing w:val="-10"/>
                <w:w w:val="155"/>
                <w:sz w:val="18"/>
              </w:rPr>
              <w:t>5</w:t>
            </w:r>
          </w:p>
        </w:tc>
      </w:tr>
      <w:tr>
        <w:trPr>
          <w:trHeight w:val="227" w:hRule="atLeast"/>
        </w:trPr>
        <w:tc>
          <w:tcPr>
            <w:tcW w:w="4690" w:type="dxa"/>
            <w:tcBorders>
              <w:left w:val="single" w:sz="8" w:space="0" w:color="000000"/>
              <w:right w:val="single" w:sz="8" w:space="0" w:color="000000"/>
            </w:tcBorders>
          </w:tcPr>
          <w:p>
            <w:pPr>
              <w:pStyle w:val="TableParagraph"/>
              <w:spacing w:line="199" w:lineRule="exact" w:before="9"/>
              <w:ind w:left="46"/>
              <w:rPr>
                <w:b/>
                <w:sz w:val="18"/>
              </w:rPr>
            </w:pPr>
            <w:r>
              <w:rPr>
                <w:b/>
                <w:spacing w:val="-2"/>
                <w:w w:val="155"/>
                <w:sz w:val="18"/>
              </w:rPr>
              <w:t>DENSIDAD</w:t>
            </w:r>
            <w:r>
              <w:rPr>
                <w:b/>
                <w:spacing w:val="-12"/>
                <w:w w:val="155"/>
                <w:sz w:val="18"/>
              </w:rPr>
              <w:t> </w:t>
            </w:r>
            <w:r>
              <w:rPr>
                <w:b/>
                <w:spacing w:val="-2"/>
                <w:w w:val="155"/>
                <w:sz w:val="18"/>
              </w:rPr>
              <w:t>BAJA</w:t>
            </w:r>
            <w:r>
              <w:rPr>
                <w:b/>
                <w:spacing w:val="-5"/>
                <w:w w:val="155"/>
                <w:sz w:val="18"/>
              </w:rPr>
              <w:t> </w:t>
            </w:r>
            <w:r>
              <w:rPr>
                <w:b/>
                <w:spacing w:val="-2"/>
                <w:w w:val="155"/>
                <w:sz w:val="18"/>
              </w:rPr>
              <w:t>O</w:t>
            </w:r>
            <w:r>
              <w:rPr>
                <w:b/>
                <w:spacing w:val="-6"/>
                <w:w w:val="155"/>
                <w:sz w:val="18"/>
              </w:rPr>
              <w:t> </w:t>
            </w:r>
            <w:r>
              <w:rPr>
                <w:b/>
                <w:spacing w:val="-2"/>
                <w:w w:val="155"/>
                <w:sz w:val="18"/>
              </w:rPr>
              <w:t>CAMPESTRE</w:t>
            </w:r>
          </w:p>
        </w:tc>
        <w:tc>
          <w:tcPr>
            <w:tcW w:w="2034" w:type="dxa"/>
            <w:tcBorders>
              <w:left w:val="single" w:sz="8" w:space="0" w:color="000000"/>
              <w:right w:val="single" w:sz="8" w:space="0" w:color="000000"/>
            </w:tcBorders>
          </w:tcPr>
          <w:p>
            <w:pPr>
              <w:pStyle w:val="TableParagraph"/>
              <w:spacing w:line="199" w:lineRule="exact" w:before="9"/>
              <w:ind w:left="49" w:right="18"/>
              <w:jc w:val="center"/>
              <w:rPr>
                <w:sz w:val="18"/>
              </w:rPr>
            </w:pPr>
            <w:r>
              <w:rPr>
                <w:spacing w:val="-10"/>
                <w:w w:val="155"/>
                <w:sz w:val="18"/>
              </w:rPr>
              <w:t>5</w:t>
            </w:r>
          </w:p>
        </w:tc>
        <w:tc>
          <w:tcPr>
            <w:tcW w:w="1506" w:type="dxa"/>
            <w:tcBorders>
              <w:left w:val="single" w:sz="8" w:space="0" w:color="000000"/>
              <w:right w:val="single" w:sz="8" w:space="0" w:color="000000"/>
            </w:tcBorders>
          </w:tcPr>
          <w:p>
            <w:pPr>
              <w:pStyle w:val="TableParagraph"/>
              <w:spacing w:line="199" w:lineRule="exact" w:before="9"/>
              <w:ind w:left="51" w:right="19"/>
              <w:jc w:val="center"/>
              <w:rPr>
                <w:sz w:val="18"/>
              </w:rPr>
            </w:pPr>
            <w:r>
              <w:rPr>
                <w:spacing w:val="-10"/>
                <w:w w:val="155"/>
                <w:sz w:val="18"/>
              </w:rPr>
              <w:t>5</w:t>
            </w:r>
          </w:p>
        </w:tc>
      </w:tr>
      <w:tr>
        <w:trPr>
          <w:trHeight w:val="227" w:hRule="atLeast"/>
        </w:trPr>
        <w:tc>
          <w:tcPr>
            <w:tcW w:w="4690" w:type="dxa"/>
            <w:tcBorders>
              <w:left w:val="single" w:sz="8" w:space="0" w:color="000000"/>
              <w:right w:val="single" w:sz="8" w:space="0" w:color="000000"/>
            </w:tcBorders>
          </w:tcPr>
          <w:p>
            <w:pPr>
              <w:pStyle w:val="TableParagraph"/>
              <w:spacing w:line="199" w:lineRule="exact" w:before="9"/>
              <w:ind w:left="46"/>
              <w:rPr>
                <w:b/>
                <w:sz w:val="18"/>
              </w:rPr>
            </w:pPr>
            <w:r>
              <w:rPr>
                <w:b/>
                <w:spacing w:val="-2"/>
                <w:w w:val="155"/>
                <w:sz w:val="18"/>
              </w:rPr>
              <w:t>DENSIDAD</w:t>
            </w:r>
            <w:r>
              <w:rPr>
                <w:b/>
                <w:spacing w:val="-12"/>
                <w:w w:val="155"/>
                <w:sz w:val="18"/>
              </w:rPr>
              <w:t> </w:t>
            </w:r>
            <w:r>
              <w:rPr>
                <w:b/>
                <w:spacing w:val="-2"/>
                <w:w w:val="155"/>
                <w:sz w:val="18"/>
              </w:rPr>
              <w:t>MEDIA</w:t>
            </w:r>
            <w:r>
              <w:rPr>
                <w:b/>
                <w:spacing w:val="-6"/>
                <w:w w:val="155"/>
                <w:sz w:val="18"/>
              </w:rPr>
              <w:t> </w:t>
            </w:r>
            <w:r>
              <w:rPr>
                <w:b/>
                <w:spacing w:val="-2"/>
                <w:w w:val="155"/>
                <w:sz w:val="18"/>
              </w:rPr>
              <w:t>BAJA</w:t>
            </w:r>
            <w:r>
              <w:rPr>
                <w:b/>
                <w:spacing w:val="-5"/>
                <w:w w:val="155"/>
                <w:sz w:val="18"/>
              </w:rPr>
              <w:t> </w:t>
            </w:r>
            <w:r>
              <w:rPr>
                <w:b/>
                <w:spacing w:val="-2"/>
                <w:w w:val="155"/>
                <w:sz w:val="18"/>
              </w:rPr>
              <w:t>O</w:t>
            </w:r>
            <w:r>
              <w:rPr>
                <w:b/>
                <w:spacing w:val="-7"/>
                <w:w w:val="155"/>
                <w:sz w:val="18"/>
              </w:rPr>
              <w:t> </w:t>
            </w:r>
            <w:r>
              <w:rPr>
                <w:b/>
                <w:spacing w:val="-2"/>
                <w:w w:val="155"/>
                <w:sz w:val="18"/>
              </w:rPr>
              <w:t>RESIDENCIAL</w:t>
            </w:r>
          </w:p>
        </w:tc>
        <w:tc>
          <w:tcPr>
            <w:tcW w:w="2034" w:type="dxa"/>
            <w:tcBorders>
              <w:left w:val="single" w:sz="8" w:space="0" w:color="000000"/>
              <w:right w:val="single" w:sz="8" w:space="0" w:color="000000"/>
            </w:tcBorders>
          </w:tcPr>
          <w:p>
            <w:pPr>
              <w:pStyle w:val="TableParagraph"/>
              <w:spacing w:line="199" w:lineRule="exact" w:before="9"/>
              <w:ind w:left="49" w:right="18"/>
              <w:jc w:val="center"/>
              <w:rPr>
                <w:sz w:val="18"/>
              </w:rPr>
            </w:pPr>
            <w:r>
              <w:rPr>
                <w:spacing w:val="-10"/>
                <w:w w:val="155"/>
                <w:sz w:val="18"/>
              </w:rPr>
              <w:t>5</w:t>
            </w:r>
          </w:p>
        </w:tc>
        <w:tc>
          <w:tcPr>
            <w:tcW w:w="1506" w:type="dxa"/>
            <w:tcBorders>
              <w:left w:val="single" w:sz="8" w:space="0" w:color="000000"/>
              <w:right w:val="single" w:sz="8" w:space="0" w:color="000000"/>
            </w:tcBorders>
          </w:tcPr>
          <w:p>
            <w:pPr>
              <w:pStyle w:val="TableParagraph"/>
              <w:spacing w:line="199" w:lineRule="exact" w:before="9"/>
              <w:ind w:left="51" w:right="19"/>
              <w:jc w:val="center"/>
              <w:rPr>
                <w:sz w:val="18"/>
              </w:rPr>
            </w:pPr>
            <w:r>
              <w:rPr>
                <w:spacing w:val="-10"/>
                <w:w w:val="155"/>
                <w:sz w:val="18"/>
              </w:rPr>
              <w:t>5</w:t>
            </w:r>
          </w:p>
        </w:tc>
      </w:tr>
      <w:tr>
        <w:trPr>
          <w:trHeight w:val="227" w:hRule="atLeast"/>
        </w:trPr>
        <w:tc>
          <w:tcPr>
            <w:tcW w:w="4690" w:type="dxa"/>
            <w:tcBorders>
              <w:left w:val="single" w:sz="8" w:space="0" w:color="000000"/>
              <w:right w:val="single" w:sz="8" w:space="0" w:color="000000"/>
            </w:tcBorders>
          </w:tcPr>
          <w:p>
            <w:pPr>
              <w:pStyle w:val="TableParagraph"/>
              <w:spacing w:line="199" w:lineRule="exact" w:before="9"/>
              <w:ind w:left="46"/>
              <w:rPr>
                <w:b/>
                <w:sz w:val="18"/>
              </w:rPr>
            </w:pPr>
            <w:r>
              <w:rPr>
                <w:b/>
                <w:spacing w:val="-2"/>
                <w:w w:val="155"/>
                <w:sz w:val="18"/>
              </w:rPr>
              <w:t>DENSIDAD</w:t>
            </w:r>
            <w:r>
              <w:rPr>
                <w:b/>
                <w:spacing w:val="-13"/>
                <w:w w:val="155"/>
                <w:sz w:val="18"/>
              </w:rPr>
              <w:t> </w:t>
            </w:r>
            <w:r>
              <w:rPr>
                <w:b/>
                <w:spacing w:val="-4"/>
                <w:w w:val="155"/>
                <w:sz w:val="18"/>
              </w:rPr>
              <w:t>MEDIA</w:t>
            </w:r>
          </w:p>
        </w:tc>
        <w:tc>
          <w:tcPr>
            <w:tcW w:w="2034" w:type="dxa"/>
            <w:tcBorders>
              <w:left w:val="single" w:sz="8" w:space="0" w:color="000000"/>
              <w:right w:val="single" w:sz="8" w:space="0" w:color="000000"/>
            </w:tcBorders>
          </w:tcPr>
          <w:p>
            <w:pPr>
              <w:pStyle w:val="TableParagraph"/>
              <w:spacing w:line="199" w:lineRule="exact" w:before="9"/>
              <w:ind w:left="49"/>
              <w:jc w:val="center"/>
              <w:rPr>
                <w:sz w:val="18"/>
              </w:rPr>
            </w:pPr>
            <w:r>
              <w:rPr>
                <w:spacing w:val="-5"/>
                <w:w w:val="155"/>
                <w:sz w:val="18"/>
              </w:rPr>
              <w:t>7.5</w:t>
            </w:r>
          </w:p>
        </w:tc>
        <w:tc>
          <w:tcPr>
            <w:tcW w:w="1506" w:type="dxa"/>
            <w:tcBorders>
              <w:left w:val="single" w:sz="8" w:space="0" w:color="000000"/>
              <w:right w:val="single" w:sz="8" w:space="0" w:color="000000"/>
            </w:tcBorders>
          </w:tcPr>
          <w:p>
            <w:pPr>
              <w:pStyle w:val="TableParagraph"/>
              <w:spacing w:line="199" w:lineRule="exact" w:before="9"/>
              <w:ind w:left="51"/>
              <w:jc w:val="center"/>
              <w:rPr>
                <w:sz w:val="18"/>
              </w:rPr>
            </w:pPr>
            <w:r>
              <w:rPr>
                <w:spacing w:val="-5"/>
                <w:w w:val="155"/>
                <w:sz w:val="18"/>
              </w:rPr>
              <w:t>7.5</w:t>
            </w:r>
          </w:p>
        </w:tc>
      </w:tr>
      <w:tr>
        <w:trPr>
          <w:trHeight w:val="227" w:hRule="atLeast"/>
        </w:trPr>
        <w:tc>
          <w:tcPr>
            <w:tcW w:w="4690" w:type="dxa"/>
            <w:tcBorders>
              <w:left w:val="single" w:sz="8" w:space="0" w:color="000000"/>
              <w:right w:val="single" w:sz="8" w:space="0" w:color="000000"/>
            </w:tcBorders>
          </w:tcPr>
          <w:p>
            <w:pPr>
              <w:pStyle w:val="TableParagraph"/>
              <w:spacing w:line="199" w:lineRule="exact" w:before="9"/>
              <w:ind w:left="46"/>
              <w:rPr>
                <w:b/>
                <w:sz w:val="18"/>
              </w:rPr>
            </w:pPr>
            <w:r>
              <w:rPr>
                <w:b/>
                <w:spacing w:val="-2"/>
                <w:w w:val="155"/>
                <w:sz w:val="18"/>
              </w:rPr>
              <w:t>DENSIDAD</w:t>
            </w:r>
            <w:r>
              <w:rPr>
                <w:b/>
                <w:spacing w:val="-14"/>
                <w:w w:val="155"/>
                <w:sz w:val="18"/>
              </w:rPr>
              <w:t> </w:t>
            </w:r>
            <w:r>
              <w:rPr>
                <w:b/>
                <w:spacing w:val="-2"/>
                <w:w w:val="155"/>
                <w:sz w:val="18"/>
              </w:rPr>
              <w:t>MEDIA</w:t>
            </w:r>
            <w:r>
              <w:rPr>
                <w:b/>
                <w:spacing w:val="-8"/>
                <w:w w:val="155"/>
                <w:sz w:val="18"/>
              </w:rPr>
              <w:t> </w:t>
            </w:r>
            <w:r>
              <w:rPr>
                <w:b/>
                <w:spacing w:val="-2"/>
                <w:w w:val="155"/>
                <w:sz w:val="18"/>
              </w:rPr>
              <w:t>ALTA</w:t>
            </w:r>
            <w:r>
              <w:rPr>
                <w:b/>
                <w:spacing w:val="-7"/>
                <w:w w:val="155"/>
                <w:sz w:val="18"/>
              </w:rPr>
              <w:t> </w:t>
            </w:r>
            <w:r>
              <w:rPr>
                <w:b/>
                <w:spacing w:val="-2"/>
                <w:w w:val="155"/>
                <w:sz w:val="18"/>
              </w:rPr>
              <w:t>O</w:t>
            </w:r>
            <w:r>
              <w:rPr>
                <w:b/>
                <w:spacing w:val="-9"/>
                <w:w w:val="155"/>
                <w:sz w:val="18"/>
              </w:rPr>
              <w:t> </w:t>
            </w:r>
            <w:r>
              <w:rPr>
                <w:b/>
                <w:spacing w:val="-2"/>
                <w:w w:val="155"/>
                <w:sz w:val="18"/>
              </w:rPr>
              <w:t>POPULAR</w:t>
            </w:r>
          </w:p>
        </w:tc>
        <w:tc>
          <w:tcPr>
            <w:tcW w:w="2034" w:type="dxa"/>
            <w:tcBorders>
              <w:left w:val="single" w:sz="8" w:space="0" w:color="000000"/>
              <w:right w:val="single" w:sz="8" w:space="0" w:color="000000"/>
            </w:tcBorders>
          </w:tcPr>
          <w:p>
            <w:pPr>
              <w:pStyle w:val="TableParagraph"/>
              <w:spacing w:line="199" w:lineRule="exact" w:before="9"/>
              <w:ind w:left="49"/>
              <w:jc w:val="center"/>
              <w:rPr>
                <w:sz w:val="18"/>
              </w:rPr>
            </w:pPr>
            <w:r>
              <w:rPr>
                <w:spacing w:val="-5"/>
                <w:w w:val="155"/>
                <w:sz w:val="18"/>
              </w:rPr>
              <w:t>7.5</w:t>
            </w:r>
          </w:p>
        </w:tc>
        <w:tc>
          <w:tcPr>
            <w:tcW w:w="1506" w:type="dxa"/>
            <w:tcBorders>
              <w:left w:val="single" w:sz="8" w:space="0" w:color="000000"/>
              <w:right w:val="single" w:sz="8" w:space="0" w:color="000000"/>
            </w:tcBorders>
          </w:tcPr>
          <w:p>
            <w:pPr>
              <w:pStyle w:val="TableParagraph"/>
              <w:spacing w:line="199" w:lineRule="exact" w:before="9"/>
              <w:ind w:left="51"/>
              <w:jc w:val="center"/>
              <w:rPr>
                <w:sz w:val="18"/>
              </w:rPr>
            </w:pPr>
            <w:r>
              <w:rPr>
                <w:spacing w:val="-5"/>
                <w:w w:val="155"/>
                <w:sz w:val="18"/>
              </w:rPr>
              <w:t>7.5</w:t>
            </w:r>
          </w:p>
        </w:tc>
      </w:tr>
      <w:tr>
        <w:trPr>
          <w:trHeight w:val="227" w:hRule="atLeast"/>
        </w:trPr>
        <w:tc>
          <w:tcPr>
            <w:tcW w:w="4690" w:type="dxa"/>
            <w:tcBorders>
              <w:left w:val="single" w:sz="8" w:space="0" w:color="000000"/>
              <w:right w:val="single" w:sz="8" w:space="0" w:color="000000"/>
            </w:tcBorders>
          </w:tcPr>
          <w:p>
            <w:pPr>
              <w:pStyle w:val="TableParagraph"/>
              <w:spacing w:line="199" w:lineRule="exact" w:before="9"/>
              <w:ind w:left="46"/>
              <w:rPr>
                <w:b/>
                <w:sz w:val="18"/>
              </w:rPr>
            </w:pPr>
            <w:r>
              <w:rPr>
                <w:b/>
                <w:spacing w:val="-2"/>
                <w:w w:val="155"/>
                <w:sz w:val="18"/>
              </w:rPr>
              <w:t>DENSIDAD</w:t>
            </w:r>
            <w:r>
              <w:rPr>
                <w:b/>
                <w:spacing w:val="-14"/>
                <w:w w:val="155"/>
                <w:sz w:val="18"/>
              </w:rPr>
              <w:t> </w:t>
            </w:r>
            <w:r>
              <w:rPr>
                <w:b/>
                <w:spacing w:val="-2"/>
                <w:w w:val="155"/>
                <w:sz w:val="18"/>
              </w:rPr>
              <w:t>ALTA</w:t>
            </w:r>
            <w:r>
              <w:rPr>
                <w:b/>
                <w:spacing w:val="-8"/>
                <w:w w:val="155"/>
                <w:sz w:val="18"/>
              </w:rPr>
              <w:t> </w:t>
            </w:r>
            <w:r>
              <w:rPr>
                <w:b/>
                <w:spacing w:val="-2"/>
                <w:w w:val="155"/>
                <w:sz w:val="18"/>
              </w:rPr>
              <w:t>O</w:t>
            </w:r>
            <w:r>
              <w:rPr>
                <w:b/>
                <w:spacing w:val="-9"/>
                <w:w w:val="155"/>
                <w:sz w:val="18"/>
              </w:rPr>
              <w:t> </w:t>
            </w:r>
            <w:r>
              <w:rPr>
                <w:b/>
                <w:spacing w:val="-2"/>
                <w:w w:val="155"/>
                <w:sz w:val="18"/>
              </w:rPr>
              <w:t>ECONÓMICO</w:t>
            </w:r>
          </w:p>
        </w:tc>
        <w:tc>
          <w:tcPr>
            <w:tcW w:w="2034" w:type="dxa"/>
            <w:tcBorders>
              <w:left w:val="single" w:sz="8" w:space="0" w:color="000000"/>
              <w:right w:val="single" w:sz="8" w:space="0" w:color="000000"/>
            </w:tcBorders>
          </w:tcPr>
          <w:p>
            <w:pPr>
              <w:pStyle w:val="TableParagraph"/>
              <w:spacing w:line="199" w:lineRule="exact" w:before="9"/>
              <w:ind w:left="49" w:right="18"/>
              <w:jc w:val="center"/>
              <w:rPr>
                <w:sz w:val="18"/>
              </w:rPr>
            </w:pPr>
            <w:r>
              <w:rPr>
                <w:spacing w:val="-10"/>
                <w:w w:val="155"/>
                <w:sz w:val="18"/>
              </w:rPr>
              <w:t>9</w:t>
            </w:r>
          </w:p>
        </w:tc>
        <w:tc>
          <w:tcPr>
            <w:tcW w:w="1506" w:type="dxa"/>
            <w:tcBorders>
              <w:left w:val="single" w:sz="8" w:space="0" w:color="000000"/>
              <w:right w:val="single" w:sz="8" w:space="0" w:color="000000"/>
            </w:tcBorders>
          </w:tcPr>
          <w:p>
            <w:pPr>
              <w:pStyle w:val="TableParagraph"/>
              <w:spacing w:line="199" w:lineRule="exact" w:before="9"/>
              <w:ind w:left="51" w:right="19"/>
              <w:jc w:val="center"/>
              <w:rPr>
                <w:sz w:val="18"/>
              </w:rPr>
            </w:pPr>
            <w:r>
              <w:rPr>
                <w:spacing w:val="-10"/>
                <w:w w:val="155"/>
                <w:sz w:val="18"/>
              </w:rPr>
              <w:t>9</w:t>
            </w:r>
          </w:p>
        </w:tc>
      </w:tr>
    </w:tbl>
    <w:p>
      <w:pPr>
        <w:pStyle w:val="BodyText"/>
        <w:spacing w:before="7"/>
      </w:pPr>
    </w:p>
    <w:p>
      <w:pPr>
        <w:pStyle w:val="BodyText"/>
        <w:ind w:left="262" w:right="280"/>
        <w:jc w:val="both"/>
      </w:pPr>
      <w:r>
        <w:rPr>
          <w:rFonts w:ascii="Arial" w:hAnsi="Arial"/>
          <w:b/>
        </w:rPr>
        <w:t>ARTÍCULO 380</w:t>
      </w:r>
      <w:r>
        <w:rPr/>
        <w:t>. El área verde en condominios horizontales será el resultado de aplicar el quince por ciento al área total privativa del mismo; debiéndose escriturar dichas áreas como parte del indiviso</w:t>
      </w:r>
      <w:r>
        <w:rPr>
          <w:spacing w:val="-3"/>
        </w:rPr>
        <w:t> </w:t>
      </w:r>
      <w:r>
        <w:rPr/>
        <w:t>en</w:t>
      </w:r>
      <w:r>
        <w:rPr>
          <w:spacing w:val="-3"/>
        </w:rPr>
        <w:t> </w:t>
      </w:r>
      <w:r>
        <w:rPr/>
        <w:t>el</w:t>
      </w:r>
      <w:r>
        <w:rPr>
          <w:spacing w:val="-5"/>
        </w:rPr>
        <w:t> </w:t>
      </w:r>
      <w:r>
        <w:rPr/>
        <w:t>régimen</w:t>
      </w:r>
      <w:r>
        <w:rPr>
          <w:spacing w:val="-3"/>
        </w:rPr>
        <w:t> </w:t>
      </w:r>
      <w:r>
        <w:rPr/>
        <w:t>de</w:t>
      </w:r>
      <w:r>
        <w:rPr>
          <w:spacing w:val="-5"/>
        </w:rPr>
        <w:t> </w:t>
      </w:r>
      <w:r>
        <w:rPr/>
        <w:t>condominio;</w:t>
      </w:r>
      <w:r>
        <w:rPr>
          <w:spacing w:val="-3"/>
        </w:rPr>
        <w:t> </w:t>
      </w:r>
      <w:r>
        <w:rPr/>
        <w:t>las</w:t>
      </w:r>
      <w:r>
        <w:rPr>
          <w:spacing w:val="-2"/>
        </w:rPr>
        <w:t> </w:t>
      </w:r>
      <w:r>
        <w:rPr/>
        <w:t>mismas</w:t>
      </w:r>
      <w:r>
        <w:rPr>
          <w:spacing w:val="-4"/>
        </w:rPr>
        <w:t> </w:t>
      </w:r>
      <w:r>
        <w:rPr/>
        <w:t>serán</w:t>
      </w:r>
      <w:r>
        <w:rPr>
          <w:spacing w:val="-4"/>
        </w:rPr>
        <w:t> </w:t>
      </w:r>
      <w:r>
        <w:rPr/>
        <w:t>utilizadas</w:t>
      </w:r>
      <w:r>
        <w:rPr>
          <w:spacing w:val="-2"/>
        </w:rPr>
        <w:t> </w:t>
      </w:r>
      <w:r>
        <w:rPr/>
        <w:t>únicamente para</w:t>
      </w:r>
      <w:r>
        <w:rPr>
          <w:spacing w:val="-5"/>
        </w:rPr>
        <w:t> </w:t>
      </w:r>
      <w:r>
        <w:rPr/>
        <w:t>equipamiento</w:t>
      </w:r>
      <w:r>
        <w:rPr>
          <w:spacing w:val="-3"/>
        </w:rPr>
        <w:t> </w:t>
      </w:r>
      <w:r>
        <w:rPr/>
        <w:t>y área verdes, y se ubicarán dentro del propio desarrollo. Esta obligación y restricción deberá señalarse</w:t>
      </w:r>
      <w:r>
        <w:rPr>
          <w:spacing w:val="-2"/>
        </w:rPr>
        <w:t> </w:t>
      </w:r>
      <w:r>
        <w:rPr/>
        <w:t>en</w:t>
      </w:r>
      <w:r>
        <w:rPr>
          <w:spacing w:val="-1"/>
        </w:rPr>
        <w:t> </w:t>
      </w:r>
      <w:r>
        <w:rPr/>
        <w:t>la</w:t>
      </w:r>
      <w:r>
        <w:rPr>
          <w:spacing w:val="-2"/>
        </w:rPr>
        <w:t> </w:t>
      </w:r>
      <w:r>
        <w:rPr/>
        <w:t>autorización</w:t>
      </w:r>
      <w:r>
        <w:rPr>
          <w:spacing w:val="-3"/>
        </w:rPr>
        <w:t> </w:t>
      </w:r>
      <w:r>
        <w:rPr/>
        <w:t>respectiva.</w:t>
      </w:r>
      <w:r>
        <w:rPr>
          <w:spacing w:val="-1"/>
        </w:rPr>
        <w:t> </w:t>
      </w:r>
      <w:r>
        <w:rPr/>
        <w:t>Dicha</w:t>
      </w:r>
      <w:r>
        <w:rPr>
          <w:spacing w:val="-1"/>
        </w:rPr>
        <w:t> </w:t>
      </w:r>
      <w:r>
        <w:rPr/>
        <w:t>área</w:t>
      </w:r>
      <w:r>
        <w:rPr>
          <w:spacing w:val="-2"/>
        </w:rPr>
        <w:t> </w:t>
      </w:r>
      <w:r>
        <w:rPr/>
        <w:t>será</w:t>
      </w:r>
      <w:r>
        <w:rPr>
          <w:spacing w:val="-3"/>
        </w:rPr>
        <w:t> </w:t>
      </w:r>
      <w:r>
        <w:rPr/>
        <w:t>equivalente</w:t>
      </w:r>
      <w:r>
        <w:rPr>
          <w:spacing w:val="-1"/>
        </w:rPr>
        <w:t> </w:t>
      </w:r>
      <w:r>
        <w:rPr/>
        <w:t>a</w:t>
      </w:r>
      <w:r>
        <w:rPr>
          <w:spacing w:val="-2"/>
        </w:rPr>
        <w:t> </w:t>
      </w:r>
      <w:r>
        <w:rPr/>
        <w:t>la</w:t>
      </w:r>
      <w:r>
        <w:rPr>
          <w:spacing w:val="-3"/>
        </w:rPr>
        <w:t> </w:t>
      </w:r>
      <w:r>
        <w:rPr/>
        <w:t>donación</w:t>
      </w:r>
      <w:r>
        <w:rPr>
          <w:spacing w:val="-2"/>
        </w:rPr>
        <w:t> </w:t>
      </w:r>
      <w:r>
        <w:rPr/>
        <w:t>correspondiente que se establece en esta Ley para los fraccionamientos y desarrollos inmobiliarios especiales.</w:t>
      </w:r>
    </w:p>
    <w:p>
      <w:pPr>
        <w:pStyle w:val="BodyText"/>
        <w:spacing w:before="228"/>
        <w:ind w:left="262" w:right="276"/>
        <w:jc w:val="both"/>
      </w:pPr>
      <w:r>
        <w:rPr>
          <w:rFonts w:ascii="Arial" w:hAnsi="Arial"/>
          <w:b/>
        </w:rPr>
        <w:t>ARTÍCULO 381. </w:t>
      </w:r>
      <w:r>
        <w:rPr/>
        <w:t>Las áreas verdes que sean donadas a los municipios al interior de los fraccionamientos especiales, serán entregadas en concesión gratuita a la administración de los mismos, con la obligación de conservarlas y únicamente aprovecharlas para ese destino, a fin de incrementar la</w:t>
      </w:r>
      <w:r>
        <w:rPr>
          <w:spacing w:val="-3"/>
        </w:rPr>
        <w:t> </w:t>
      </w:r>
      <w:r>
        <w:rPr/>
        <w:t>calidad</w:t>
      </w:r>
      <w:r>
        <w:rPr>
          <w:spacing w:val="-1"/>
        </w:rPr>
        <w:t> </w:t>
      </w:r>
      <w:r>
        <w:rPr/>
        <w:t>del</w:t>
      </w:r>
      <w:r>
        <w:rPr>
          <w:spacing w:val="-4"/>
        </w:rPr>
        <w:t> </w:t>
      </w:r>
      <w:r>
        <w:rPr/>
        <w:t>ambiente</w:t>
      </w:r>
      <w:r>
        <w:rPr>
          <w:spacing w:val="-1"/>
        </w:rPr>
        <w:t> </w:t>
      </w:r>
      <w:r>
        <w:rPr/>
        <w:t>en</w:t>
      </w:r>
      <w:r>
        <w:rPr>
          <w:spacing w:val="-1"/>
        </w:rPr>
        <w:t> </w:t>
      </w:r>
      <w:r>
        <w:rPr/>
        <w:t>la</w:t>
      </w:r>
      <w:r>
        <w:rPr>
          <w:spacing w:val="-3"/>
        </w:rPr>
        <w:t> </w:t>
      </w:r>
      <w:r>
        <w:rPr/>
        <w:t>zona.</w:t>
      </w:r>
      <w:r>
        <w:rPr>
          <w:spacing w:val="-3"/>
        </w:rPr>
        <w:t> </w:t>
      </w:r>
      <w:r>
        <w:rPr/>
        <w:t>Esta</w:t>
      </w:r>
      <w:r>
        <w:rPr>
          <w:spacing w:val="-3"/>
        </w:rPr>
        <w:t> </w:t>
      </w:r>
      <w:r>
        <w:rPr/>
        <w:t>obligación</w:t>
      </w:r>
      <w:r>
        <w:rPr>
          <w:spacing w:val="-4"/>
        </w:rPr>
        <w:t> </w:t>
      </w:r>
      <w:r>
        <w:rPr/>
        <w:t>y</w:t>
      </w:r>
      <w:r>
        <w:rPr>
          <w:spacing w:val="-2"/>
        </w:rPr>
        <w:t> </w:t>
      </w:r>
      <w:r>
        <w:rPr/>
        <w:t>restricción</w:t>
      </w:r>
      <w:r>
        <w:rPr>
          <w:spacing w:val="-3"/>
        </w:rPr>
        <w:t> </w:t>
      </w:r>
      <w:r>
        <w:rPr/>
        <w:t>deberá</w:t>
      </w:r>
      <w:r>
        <w:rPr>
          <w:spacing w:val="-3"/>
        </w:rPr>
        <w:t> </w:t>
      </w:r>
      <w:r>
        <w:rPr/>
        <w:t>señalarse</w:t>
      </w:r>
      <w:r>
        <w:rPr>
          <w:spacing w:val="-3"/>
        </w:rPr>
        <w:t> </w:t>
      </w:r>
      <w:r>
        <w:rPr/>
        <w:t>en</w:t>
      </w:r>
      <w:r>
        <w:rPr>
          <w:spacing w:val="-3"/>
        </w:rPr>
        <w:t> </w:t>
      </w:r>
      <w:r>
        <w:rPr/>
        <w:t>la autorización respectiva.</w:t>
      </w:r>
    </w:p>
    <w:p>
      <w:pPr>
        <w:pStyle w:val="BodyText"/>
      </w:pPr>
    </w:p>
    <w:p>
      <w:pPr>
        <w:spacing w:before="0"/>
        <w:ind w:left="262" w:right="0" w:firstLine="0"/>
        <w:jc w:val="both"/>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05</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6"/>
          <w:sz w:val="20"/>
        </w:rPr>
        <w:t> </w:t>
      </w:r>
      <w:r>
        <w:rPr>
          <w:rFonts w:ascii="Arial"/>
          <w:i/>
          <w:sz w:val="20"/>
        </w:rPr>
        <w:t>DE</w:t>
      </w:r>
      <w:r>
        <w:rPr>
          <w:rFonts w:ascii="Arial"/>
          <w:i/>
          <w:spacing w:val="-6"/>
          <w:sz w:val="20"/>
        </w:rPr>
        <w:t> </w:t>
      </w:r>
      <w:r>
        <w:rPr>
          <w:rFonts w:ascii="Arial"/>
          <w:i/>
          <w:spacing w:val="-4"/>
          <w:sz w:val="20"/>
        </w:rPr>
        <w:t>2019)</w:t>
      </w:r>
    </w:p>
    <w:p>
      <w:pPr>
        <w:pStyle w:val="BodyText"/>
        <w:spacing w:before="1"/>
        <w:ind w:left="262" w:right="279"/>
        <w:jc w:val="both"/>
      </w:pPr>
      <w:r>
        <w:rPr>
          <w:rFonts w:ascii="Arial" w:hAnsi="Arial"/>
          <w:b/>
        </w:rPr>
        <w:t>ARTÍCULO</w:t>
      </w:r>
      <w:r>
        <w:rPr>
          <w:rFonts w:ascii="Arial" w:hAnsi="Arial"/>
          <w:b/>
          <w:spacing w:val="-12"/>
        </w:rPr>
        <w:t> </w:t>
      </w:r>
      <w:r>
        <w:rPr>
          <w:rFonts w:ascii="Arial" w:hAnsi="Arial"/>
          <w:b/>
        </w:rPr>
        <w:t>382.</w:t>
      </w:r>
      <w:r>
        <w:rPr>
          <w:rFonts w:ascii="Arial" w:hAnsi="Arial"/>
          <w:b/>
          <w:spacing w:val="-13"/>
        </w:rPr>
        <w:t> </w:t>
      </w:r>
      <w:r>
        <w:rPr/>
        <w:t>Los</w:t>
      </w:r>
      <w:r>
        <w:rPr>
          <w:spacing w:val="-14"/>
        </w:rPr>
        <w:t> </w:t>
      </w:r>
      <w:r>
        <w:rPr/>
        <w:t>fraccionadores</w:t>
      </w:r>
      <w:r>
        <w:rPr>
          <w:spacing w:val="-14"/>
        </w:rPr>
        <w:t> </w:t>
      </w:r>
      <w:r>
        <w:rPr/>
        <w:t>y</w:t>
      </w:r>
      <w:r>
        <w:rPr>
          <w:spacing w:val="-12"/>
        </w:rPr>
        <w:t> </w:t>
      </w:r>
      <w:r>
        <w:rPr/>
        <w:t>promotores</w:t>
      </w:r>
      <w:r>
        <w:rPr>
          <w:spacing w:val="-12"/>
        </w:rPr>
        <w:t> </w:t>
      </w:r>
      <w:r>
        <w:rPr/>
        <w:t>de</w:t>
      </w:r>
      <w:r>
        <w:rPr>
          <w:spacing w:val="-14"/>
        </w:rPr>
        <w:t> </w:t>
      </w:r>
      <w:r>
        <w:rPr/>
        <w:t>fraccionamientos</w:t>
      </w:r>
      <w:r>
        <w:rPr>
          <w:spacing w:val="-12"/>
        </w:rPr>
        <w:t> </w:t>
      </w:r>
      <w:r>
        <w:rPr/>
        <w:t>especiales</w:t>
      </w:r>
      <w:r>
        <w:rPr>
          <w:spacing w:val="-14"/>
        </w:rPr>
        <w:t> </w:t>
      </w:r>
      <w:r>
        <w:rPr/>
        <w:t>podrán</w:t>
      </w:r>
      <w:r>
        <w:rPr>
          <w:spacing w:val="-13"/>
        </w:rPr>
        <w:t> </w:t>
      </w:r>
      <w:r>
        <w:rPr/>
        <w:t>formalizar en escritura pública las donaciones por etapas, previa autorización de la Dirección Municipal. En todos</w:t>
      </w:r>
      <w:r>
        <w:rPr>
          <w:spacing w:val="-10"/>
        </w:rPr>
        <w:t> </w:t>
      </w:r>
      <w:r>
        <w:rPr/>
        <w:t>los</w:t>
      </w:r>
      <w:r>
        <w:rPr>
          <w:spacing w:val="-13"/>
        </w:rPr>
        <w:t> </w:t>
      </w:r>
      <w:r>
        <w:rPr/>
        <w:t>casos,</w:t>
      </w:r>
      <w:r>
        <w:rPr>
          <w:spacing w:val="-14"/>
        </w:rPr>
        <w:t> </w:t>
      </w:r>
      <w:r>
        <w:rPr/>
        <w:t>la</w:t>
      </w:r>
      <w:r>
        <w:rPr>
          <w:spacing w:val="-13"/>
        </w:rPr>
        <w:t> </w:t>
      </w:r>
      <w:r>
        <w:rPr/>
        <w:t>escritura</w:t>
      </w:r>
      <w:r>
        <w:rPr>
          <w:spacing w:val="-11"/>
        </w:rPr>
        <w:t> </w:t>
      </w:r>
      <w:r>
        <w:rPr/>
        <w:t>pública</w:t>
      </w:r>
      <w:r>
        <w:rPr>
          <w:spacing w:val="-14"/>
        </w:rPr>
        <w:t> </w:t>
      </w:r>
      <w:r>
        <w:rPr/>
        <w:t>se</w:t>
      </w:r>
      <w:r>
        <w:rPr>
          <w:spacing w:val="-12"/>
        </w:rPr>
        <w:t> </w:t>
      </w:r>
      <w:r>
        <w:rPr/>
        <w:t>llevará</w:t>
      </w:r>
      <w:r>
        <w:rPr>
          <w:spacing w:val="-11"/>
        </w:rPr>
        <w:t> </w:t>
      </w:r>
      <w:r>
        <w:rPr/>
        <w:t>a</w:t>
      </w:r>
      <w:r>
        <w:rPr>
          <w:spacing w:val="-14"/>
        </w:rPr>
        <w:t> </w:t>
      </w:r>
      <w:r>
        <w:rPr/>
        <w:t>cabo</w:t>
      </w:r>
      <w:r>
        <w:rPr>
          <w:spacing w:val="-12"/>
        </w:rPr>
        <w:t> </w:t>
      </w:r>
      <w:r>
        <w:rPr/>
        <w:t>con</w:t>
      </w:r>
      <w:r>
        <w:rPr>
          <w:spacing w:val="-14"/>
        </w:rPr>
        <w:t> </w:t>
      </w:r>
      <w:r>
        <w:rPr/>
        <w:t>el</w:t>
      </w:r>
      <w:r>
        <w:rPr>
          <w:spacing w:val="-13"/>
        </w:rPr>
        <w:t> </w:t>
      </w:r>
      <w:r>
        <w:rPr/>
        <w:t>Notario</w:t>
      </w:r>
      <w:r>
        <w:rPr>
          <w:spacing w:val="-14"/>
        </w:rPr>
        <w:t> </w:t>
      </w:r>
      <w:r>
        <w:rPr/>
        <w:t>Público</w:t>
      </w:r>
      <w:r>
        <w:rPr>
          <w:spacing w:val="-13"/>
        </w:rPr>
        <w:t> </w:t>
      </w:r>
      <w:r>
        <w:rPr/>
        <w:t>que</w:t>
      </w:r>
      <w:r>
        <w:rPr>
          <w:spacing w:val="-12"/>
        </w:rPr>
        <w:t> </w:t>
      </w:r>
      <w:r>
        <w:rPr/>
        <w:t>autorice</w:t>
      </w:r>
      <w:r>
        <w:rPr>
          <w:spacing w:val="-11"/>
        </w:rPr>
        <w:t> </w:t>
      </w:r>
      <w:r>
        <w:rPr/>
        <w:t>la</w:t>
      </w:r>
      <w:r>
        <w:rPr>
          <w:spacing w:val="-14"/>
        </w:rPr>
        <w:t> </w:t>
      </w:r>
      <w:r>
        <w:rPr/>
        <w:t>Dirección Municipal, y los gastos y honorarios de escrituración serán cubiertos en su totalidad por los fraccionadores al momento de la firma de las escrituras.</w:t>
      </w:r>
    </w:p>
    <w:p>
      <w:pPr>
        <w:pStyle w:val="BodyText"/>
      </w:pPr>
    </w:p>
    <w:p>
      <w:pPr>
        <w:pStyle w:val="BodyText"/>
        <w:ind w:left="262" w:right="279"/>
        <w:jc w:val="both"/>
      </w:pPr>
      <w:r>
        <w:rPr>
          <w:rFonts w:ascii="Arial" w:hAnsi="Arial"/>
          <w:b/>
        </w:rPr>
        <w:t>ARTÍCULO 383. </w:t>
      </w:r>
      <w:r>
        <w:rPr/>
        <w:t>La Dirección municipal a petición del fraccionador o cuando así lo requiera, podrá convenir,</w:t>
      </w:r>
      <w:r>
        <w:rPr>
          <w:spacing w:val="-14"/>
        </w:rPr>
        <w:t> </w:t>
      </w:r>
      <w:r>
        <w:rPr/>
        <w:t>previa</w:t>
      </w:r>
      <w:r>
        <w:rPr>
          <w:spacing w:val="-14"/>
        </w:rPr>
        <w:t> </w:t>
      </w:r>
      <w:r>
        <w:rPr/>
        <w:t>aprobación</w:t>
      </w:r>
      <w:r>
        <w:rPr>
          <w:spacing w:val="-14"/>
        </w:rPr>
        <w:t> </w:t>
      </w:r>
      <w:r>
        <w:rPr/>
        <w:t>del</w:t>
      </w:r>
      <w:r>
        <w:rPr>
          <w:spacing w:val="-14"/>
        </w:rPr>
        <w:t> </w:t>
      </w:r>
      <w:r>
        <w:rPr/>
        <w:t>Cabildo</w:t>
      </w:r>
      <w:r>
        <w:rPr>
          <w:spacing w:val="-14"/>
        </w:rPr>
        <w:t> </w:t>
      </w:r>
      <w:r>
        <w:rPr/>
        <w:t>respectivo,</w:t>
      </w:r>
      <w:r>
        <w:rPr>
          <w:spacing w:val="-14"/>
        </w:rPr>
        <w:t> </w:t>
      </w:r>
      <w:r>
        <w:rPr/>
        <w:t>con</w:t>
      </w:r>
      <w:r>
        <w:rPr>
          <w:spacing w:val="-14"/>
        </w:rPr>
        <w:t> </w:t>
      </w:r>
      <w:r>
        <w:rPr/>
        <w:t>los</w:t>
      </w:r>
      <w:r>
        <w:rPr>
          <w:spacing w:val="-14"/>
        </w:rPr>
        <w:t> </w:t>
      </w:r>
      <w:r>
        <w:rPr/>
        <w:t>fraccionadores</w:t>
      </w:r>
      <w:r>
        <w:rPr>
          <w:spacing w:val="-14"/>
        </w:rPr>
        <w:t> </w:t>
      </w:r>
      <w:r>
        <w:rPr/>
        <w:t>y</w:t>
      </w:r>
      <w:r>
        <w:rPr>
          <w:spacing w:val="-13"/>
        </w:rPr>
        <w:t> </w:t>
      </w:r>
      <w:r>
        <w:rPr/>
        <w:t>desarrollos</w:t>
      </w:r>
      <w:r>
        <w:rPr>
          <w:spacing w:val="-14"/>
        </w:rPr>
        <w:t> </w:t>
      </w:r>
      <w:r>
        <w:rPr/>
        <w:t>inmobiliarios especiales, que cubran parte o la totalidad</w:t>
      </w:r>
      <w:r>
        <w:rPr>
          <w:spacing w:val="40"/>
        </w:rPr>
        <w:t> </w:t>
      </w:r>
      <w:r>
        <w:rPr/>
        <w:t>de los derechos municipales que se deriven de la autorización y urbanización del proyecto, con obras de equipamiento o infraestructura especial o adicional, como edificación de escuelas de educación básica, centros de salud, áreas deportivas y otras análogas.</w:t>
      </w:r>
    </w:p>
    <w:p>
      <w:pPr>
        <w:pStyle w:val="BodyText"/>
      </w:pPr>
    </w:p>
    <w:p>
      <w:pPr>
        <w:pStyle w:val="BodyText"/>
        <w:ind w:left="262" w:right="282"/>
        <w:jc w:val="both"/>
      </w:pPr>
      <w:r>
        <w:rPr/>
        <w:t>Los</w:t>
      </w:r>
      <w:r>
        <w:rPr>
          <w:spacing w:val="-9"/>
        </w:rPr>
        <w:t> </w:t>
      </w:r>
      <w:r>
        <w:rPr/>
        <w:t>ayuntamientos</w:t>
      </w:r>
      <w:r>
        <w:rPr>
          <w:spacing w:val="-9"/>
        </w:rPr>
        <w:t> </w:t>
      </w:r>
      <w:r>
        <w:rPr/>
        <w:t>a</w:t>
      </w:r>
      <w:r>
        <w:rPr>
          <w:spacing w:val="-10"/>
        </w:rPr>
        <w:t> </w:t>
      </w:r>
      <w:r>
        <w:rPr/>
        <w:t>través</w:t>
      </w:r>
      <w:r>
        <w:rPr>
          <w:spacing w:val="-7"/>
        </w:rPr>
        <w:t> </w:t>
      </w:r>
      <w:r>
        <w:rPr/>
        <w:t>de</w:t>
      </w:r>
      <w:r>
        <w:rPr>
          <w:spacing w:val="-10"/>
        </w:rPr>
        <w:t> </w:t>
      </w:r>
      <w:r>
        <w:rPr/>
        <w:t>la</w:t>
      </w:r>
      <w:r>
        <w:rPr>
          <w:spacing w:val="-10"/>
        </w:rPr>
        <w:t> </w:t>
      </w:r>
      <w:r>
        <w:rPr/>
        <w:t>Dirección</w:t>
      </w:r>
      <w:r>
        <w:rPr>
          <w:spacing w:val="-10"/>
        </w:rPr>
        <w:t> </w:t>
      </w:r>
      <w:r>
        <w:rPr/>
        <w:t>municipal,</w:t>
      </w:r>
      <w:r>
        <w:rPr>
          <w:spacing w:val="-7"/>
        </w:rPr>
        <w:t> </w:t>
      </w:r>
      <w:r>
        <w:rPr/>
        <w:t>proporcionarán</w:t>
      </w:r>
      <w:r>
        <w:rPr>
          <w:spacing w:val="-10"/>
        </w:rPr>
        <w:t> </w:t>
      </w:r>
      <w:r>
        <w:rPr/>
        <w:t>o</w:t>
      </w:r>
      <w:r>
        <w:rPr>
          <w:spacing w:val="-10"/>
        </w:rPr>
        <w:t> </w:t>
      </w:r>
      <w:r>
        <w:rPr/>
        <w:t>le</w:t>
      </w:r>
      <w:r>
        <w:rPr>
          <w:spacing w:val="-10"/>
        </w:rPr>
        <w:t> </w:t>
      </w:r>
      <w:r>
        <w:rPr/>
        <w:t>aprobarán</w:t>
      </w:r>
      <w:r>
        <w:rPr>
          <w:spacing w:val="-10"/>
        </w:rPr>
        <w:t> </w:t>
      </w:r>
      <w:r>
        <w:rPr/>
        <w:t>al</w:t>
      </w:r>
      <w:r>
        <w:rPr>
          <w:spacing w:val="-11"/>
        </w:rPr>
        <w:t> </w:t>
      </w:r>
      <w:r>
        <w:rPr/>
        <w:t>fraccionador o promotor los proyectos ejecutivos de obras de equipamiento y sus especificaciones y costos, a que</w:t>
      </w:r>
      <w:r>
        <w:rPr>
          <w:spacing w:val="-14"/>
        </w:rPr>
        <w:t> </w:t>
      </w:r>
      <w:r>
        <w:rPr/>
        <w:t>se</w:t>
      </w:r>
      <w:r>
        <w:rPr>
          <w:spacing w:val="-14"/>
        </w:rPr>
        <w:t> </w:t>
      </w:r>
      <w:r>
        <w:rPr/>
        <w:t>refiere</w:t>
      </w:r>
      <w:r>
        <w:rPr>
          <w:spacing w:val="-14"/>
        </w:rPr>
        <w:t> </w:t>
      </w:r>
      <w:r>
        <w:rPr/>
        <w:t>este</w:t>
      </w:r>
      <w:r>
        <w:rPr>
          <w:spacing w:val="-14"/>
        </w:rPr>
        <w:t> </w:t>
      </w:r>
      <w:r>
        <w:rPr/>
        <w:t>artículo;</w:t>
      </w:r>
      <w:r>
        <w:rPr>
          <w:spacing w:val="-14"/>
        </w:rPr>
        <w:t> </w:t>
      </w:r>
      <w:r>
        <w:rPr/>
        <w:t>asimismo</w:t>
      </w:r>
      <w:r>
        <w:rPr>
          <w:spacing w:val="-14"/>
        </w:rPr>
        <w:t> </w:t>
      </w:r>
      <w:r>
        <w:rPr/>
        <w:t>supervisarán</w:t>
      </w:r>
      <w:r>
        <w:rPr>
          <w:spacing w:val="-14"/>
        </w:rPr>
        <w:t> </w:t>
      </w:r>
      <w:r>
        <w:rPr/>
        <w:t>su</w:t>
      </w:r>
      <w:r>
        <w:rPr>
          <w:spacing w:val="-14"/>
        </w:rPr>
        <w:t> </w:t>
      </w:r>
      <w:r>
        <w:rPr/>
        <w:t>ejecución</w:t>
      </w:r>
      <w:r>
        <w:rPr>
          <w:spacing w:val="-14"/>
        </w:rPr>
        <w:t> </w:t>
      </w:r>
      <w:r>
        <w:rPr/>
        <w:t>y</w:t>
      </w:r>
      <w:r>
        <w:rPr>
          <w:spacing w:val="-14"/>
        </w:rPr>
        <w:t> </w:t>
      </w:r>
      <w:r>
        <w:rPr/>
        <w:t>recibirán</w:t>
      </w:r>
      <w:r>
        <w:rPr>
          <w:spacing w:val="-13"/>
        </w:rPr>
        <w:t> </w:t>
      </w:r>
      <w:r>
        <w:rPr/>
        <w:t>la</w:t>
      </w:r>
      <w:r>
        <w:rPr>
          <w:spacing w:val="-14"/>
        </w:rPr>
        <w:t> </w:t>
      </w:r>
      <w:r>
        <w:rPr/>
        <w:t>entrega</w:t>
      </w:r>
      <w:r>
        <w:rPr>
          <w:spacing w:val="-14"/>
        </w:rPr>
        <w:t> </w:t>
      </w:r>
      <w:r>
        <w:rPr/>
        <w:t>de</w:t>
      </w:r>
      <w:r>
        <w:rPr>
          <w:spacing w:val="-14"/>
        </w:rPr>
        <w:t> </w:t>
      </w:r>
      <w:r>
        <w:rPr/>
        <w:t>las</w:t>
      </w:r>
      <w:r>
        <w:rPr>
          <w:spacing w:val="-14"/>
        </w:rPr>
        <w:t> </w:t>
      </w:r>
      <w:r>
        <w:rPr/>
        <w:t>mismas.</w:t>
      </w:r>
    </w:p>
    <w:p>
      <w:pPr>
        <w:pStyle w:val="BodyText"/>
      </w:pPr>
    </w:p>
    <w:p>
      <w:pPr>
        <w:pStyle w:val="BodyText"/>
        <w:ind w:left="262" w:right="283"/>
        <w:jc w:val="both"/>
      </w:pPr>
      <w:r>
        <w:rPr>
          <w:rFonts w:ascii="Arial" w:hAnsi="Arial"/>
          <w:b/>
        </w:rPr>
        <w:t>ARTÍCULO 384. </w:t>
      </w:r>
      <w:r>
        <w:rPr/>
        <w:t>Los bienes inmuebles que comprenden las áreas de donación de un fraccionamiento, o desarrollo inmobiliario especial, son inalienables, imprescriptibles e inembargables,</w:t>
      </w:r>
      <w:r>
        <w:rPr>
          <w:spacing w:val="-5"/>
        </w:rPr>
        <w:t> </w:t>
      </w:r>
      <w:r>
        <w:rPr/>
        <w:t>mientras</w:t>
      </w:r>
      <w:r>
        <w:rPr>
          <w:spacing w:val="-4"/>
        </w:rPr>
        <w:t> </w:t>
      </w:r>
      <w:r>
        <w:rPr/>
        <w:t>no</w:t>
      </w:r>
      <w:r>
        <w:rPr>
          <w:spacing w:val="-5"/>
        </w:rPr>
        <w:t> </w:t>
      </w:r>
      <w:r>
        <w:rPr/>
        <w:t>se</w:t>
      </w:r>
      <w:r>
        <w:rPr>
          <w:spacing w:val="-5"/>
        </w:rPr>
        <w:t> </w:t>
      </w:r>
      <w:r>
        <w:rPr/>
        <w:t>les</w:t>
      </w:r>
      <w:r>
        <w:rPr>
          <w:spacing w:val="-4"/>
        </w:rPr>
        <w:t> </w:t>
      </w:r>
      <w:r>
        <w:rPr/>
        <w:t>desafecten</w:t>
      </w:r>
      <w:r>
        <w:rPr>
          <w:spacing w:val="-4"/>
        </w:rPr>
        <w:t> </w:t>
      </w:r>
      <w:r>
        <w:rPr/>
        <w:t>del</w:t>
      </w:r>
      <w:r>
        <w:rPr>
          <w:spacing w:val="-6"/>
        </w:rPr>
        <w:t> </w:t>
      </w:r>
      <w:r>
        <w:rPr/>
        <w:t>servicio</w:t>
      </w:r>
      <w:r>
        <w:rPr>
          <w:spacing w:val="-5"/>
        </w:rPr>
        <w:t> </w:t>
      </w:r>
      <w:r>
        <w:rPr/>
        <w:t>público</w:t>
      </w:r>
      <w:r>
        <w:rPr>
          <w:spacing w:val="-5"/>
        </w:rPr>
        <w:t> </w:t>
      </w:r>
      <w:r>
        <w:rPr/>
        <w:t>al</w:t>
      </w:r>
      <w:r>
        <w:rPr>
          <w:spacing w:val="-4"/>
        </w:rPr>
        <w:t> </w:t>
      </w:r>
      <w:r>
        <w:rPr/>
        <w:t>que</w:t>
      </w:r>
      <w:r>
        <w:rPr>
          <w:spacing w:val="-5"/>
        </w:rPr>
        <w:t> </w:t>
      </w:r>
      <w:r>
        <w:rPr/>
        <w:t>se</w:t>
      </w:r>
      <w:r>
        <w:rPr>
          <w:spacing w:val="-3"/>
        </w:rPr>
        <w:t> </w:t>
      </w:r>
      <w:r>
        <w:rPr/>
        <w:t>encuentren</w:t>
      </w:r>
      <w:r>
        <w:rPr>
          <w:spacing w:val="-4"/>
        </w:rPr>
        <w:t> </w:t>
      </w:r>
      <w:r>
        <w:rPr/>
        <w:t>destinados.</w:t>
      </w:r>
    </w:p>
    <w:p>
      <w:pPr>
        <w:pStyle w:val="BodyText"/>
        <w:spacing w:before="2"/>
      </w:pPr>
    </w:p>
    <w:p>
      <w:pPr>
        <w:pStyle w:val="BodyText"/>
        <w:ind w:left="262" w:right="285"/>
        <w:jc w:val="both"/>
      </w:pPr>
      <w:r>
        <w:rPr/>
        <w:t>Las áreas verdes, de recreación y espacios abiertos, así como parques y jardines de donación, no podrán desafectarse ni cambiar de ese destino.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8"/>
        <w:jc w:val="both"/>
      </w:pPr>
      <w:r>
        <w:rPr>
          <w:rFonts w:ascii="Arial" w:hAnsi="Arial"/>
          <w:b/>
        </w:rPr>
        <w:t>ARTÍCULO 385. </w:t>
      </w:r>
      <w:r>
        <w:rPr/>
        <w:t>En los fraccionamientos el Ayuntamiento podrá ejercer actos de dominio a título oneroso</w:t>
      </w:r>
      <w:r>
        <w:rPr>
          <w:spacing w:val="-9"/>
        </w:rPr>
        <w:t> </w:t>
      </w:r>
      <w:r>
        <w:rPr/>
        <w:t>o</w:t>
      </w:r>
      <w:r>
        <w:rPr>
          <w:spacing w:val="-11"/>
        </w:rPr>
        <w:t> </w:t>
      </w:r>
      <w:r>
        <w:rPr/>
        <w:t>gratuito</w:t>
      </w:r>
      <w:r>
        <w:rPr>
          <w:spacing w:val="-12"/>
        </w:rPr>
        <w:t> </w:t>
      </w:r>
      <w:r>
        <w:rPr/>
        <w:t>en</w:t>
      </w:r>
      <w:r>
        <w:rPr>
          <w:spacing w:val="-11"/>
        </w:rPr>
        <w:t> </w:t>
      </w:r>
      <w:r>
        <w:rPr/>
        <w:t>términos</w:t>
      </w:r>
      <w:r>
        <w:rPr>
          <w:spacing w:val="-10"/>
        </w:rPr>
        <w:t> </w:t>
      </w:r>
      <w:r>
        <w:rPr/>
        <w:t>de</w:t>
      </w:r>
      <w:r>
        <w:rPr>
          <w:spacing w:val="-9"/>
        </w:rPr>
        <w:t> </w:t>
      </w:r>
      <w:r>
        <w:rPr/>
        <w:t>lo</w:t>
      </w:r>
      <w:r>
        <w:rPr>
          <w:spacing w:val="-9"/>
        </w:rPr>
        <w:t> </w:t>
      </w:r>
      <w:r>
        <w:rPr/>
        <w:t>dispuesto</w:t>
      </w:r>
      <w:r>
        <w:rPr>
          <w:spacing w:val="-9"/>
        </w:rPr>
        <w:t> </w:t>
      </w:r>
      <w:r>
        <w:rPr/>
        <w:t>y</w:t>
      </w:r>
      <w:r>
        <w:rPr>
          <w:spacing w:val="-10"/>
        </w:rPr>
        <w:t> </w:t>
      </w:r>
      <w:r>
        <w:rPr/>
        <w:t>con</w:t>
      </w:r>
      <w:r>
        <w:rPr>
          <w:spacing w:val="-12"/>
        </w:rPr>
        <w:t> </w:t>
      </w:r>
      <w:r>
        <w:rPr/>
        <w:t>base</w:t>
      </w:r>
      <w:r>
        <w:rPr>
          <w:spacing w:val="-11"/>
        </w:rPr>
        <w:t> </w:t>
      </w:r>
      <w:r>
        <w:rPr/>
        <w:t>en</w:t>
      </w:r>
      <w:r>
        <w:rPr>
          <w:spacing w:val="-9"/>
        </w:rPr>
        <w:t> </w:t>
      </w:r>
      <w:r>
        <w:rPr/>
        <w:t>el</w:t>
      </w:r>
      <w:r>
        <w:rPr>
          <w:spacing w:val="-10"/>
        </w:rPr>
        <w:t> </w:t>
      </w:r>
      <w:r>
        <w:rPr/>
        <w:t>procedimiento</w:t>
      </w:r>
      <w:r>
        <w:rPr>
          <w:spacing w:val="-9"/>
        </w:rPr>
        <w:t> </w:t>
      </w:r>
      <w:r>
        <w:rPr/>
        <w:t>que</w:t>
      </w:r>
      <w:r>
        <w:rPr>
          <w:spacing w:val="-11"/>
        </w:rPr>
        <w:t> </w:t>
      </w:r>
      <w:r>
        <w:rPr/>
        <w:t>establecen</w:t>
      </w:r>
      <w:r>
        <w:rPr>
          <w:spacing w:val="-11"/>
        </w:rPr>
        <w:t> </w:t>
      </w:r>
      <w:r>
        <w:rPr/>
        <w:t>la</w:t>
      </w:r>
      <w:r>
        <w:rPr>
          <w:spacing w:val="-11"/>
        </w:rPr>
        <w:t> </w:t>
      </w:r>
      <w:r>
        <w:rPr/>
        <w:t>Ley Orgánica del</w:t>
      </w:r>
      <w:r>
        <w:rPr>
          <w:spacing w:val="-1"/>
        </w:rPr>
        <w:t> </w:t>
      </w:r>
      <w:r>
        <w:rPr/>
        <w:t>Municipio Libre del Estado y demás disposiciones jurídicas aplicables, únicamente en las superficies donadas para infraestructura, equipamiento y servicios en un porcentaje menor a lo dispuesto en el artículo 379 de esta Ley y siempre y cuando se demuestre que se encuentra satisfecha la demanda de los mismos, y se tenga como finalidad cualesquiera de las siguientes:</w:t>
      </w:r>
    </w:p>
    <w:p>
      <w:pPr>
        <w:pStyle w:val="BodyText"/>
      </w:pPr>
    </w:p>
    <w:p>
      <w:pPr>
        <w:pStyle w:val="ListParagraph"/>
        <w:numPr>
          <w:ilvl w:val="0"/>
          <w:numId w:val="130"/>
        </w:numPr>
        <w:tabs>
          <w:tab w:pos="688" w:val="left" w:leader="none"/>
        </w:tabs>
        <w:spacing w:line="240" w:lineRule="auto" w:before="0" w:after="0"/>
        <w:ind w:left="262" w:right="282" w:firstLine="0"/>
        <w:jc w:val="both"/>
        <w:rPr>
          <w:sz w:val="20"/>
        </w:rPr>
      </w:pPr>
      <w:r>
        <w:rPr>
          <w:sz w:val="20"/>
        </w:rPr>
        <w:t>La enajenación a título oneroso o permuta para la adquisición de otros inmuebles que se requieran para la atención de los servicios públicos a cargo del Ayuntamiento;</w:t>
      </w:r>
    </w:p>
    <w:p>
      <w:pPr>
        <w:pStyle w:val="BodyText"/>
        <w:spacing w:before="2"/>
      </w:pPr>
    </w:p>
    <w:p>
      <w:pPr>
        <w:pStyle w:val="ListParagraph"/>
        <w:numPr>
          <w:ilvl w:val="0"/>
          <w:numId w:val="130"/>
        </w:numPr>
        <w:tabs>
          <w:tab w:pos="686" w:val="left" w:leader="none"/>
        </w:tabs>
        <w:spacing w:line="240" w:lineRule="auto" w:before="0" w:after="0"/>
        <w:ind w:left="262" w:right="286" w:firstLine="0"/>
        <w:jc w:val="both"/>
        <w:rPr>
          <w:sz w:val="20"/>
        </w:rPr>
      </w:pPr>
      <w:r>
        <w:rPr>
          <w:sz w:val="20"/>
        </w:rPr>
        <w:t>El arrendamiento, donación o comodato, a favor de asociaciones o instituciones privadas que realicen</w:t>
      </w:r>
      <w:r>
        <w:rPr>
          <w:spacing w:val="-12"/>
          <w:sz w:val="20"/>
        </w:rPr>
        <w:t> </w:t>
      </w:r>
      <w:r>
        <w:rPr>
          <w:sz w:val="20"/>
        </w:rPr>
        <w:t>actividades</w:t>
      </w:r>
      <w:r>
        <w:rPr>
          <w:spacing w:val="-13"/>
          <w:sz w:val="20"/>
        </w:rPr>
        <w:t> </w:t>
      </w:r>
      <w:r>
        <w:rPr>
          <w:sz w:val="20"/>
        </w:rPr>
        <w:t>de</w:t>
      </w:r>
      <w:r>
        <w:rPr>
          <w:spacing w:val="-12"/>
          <w:sz w:val="20"/>
        </w:rPr>
        <w:t> </w:t>
      </w:r>
      <w:r>
        <w:rPr>
          <w:sz w:val="20"/>
        </w:rPr>
        <w:t>interés</w:t>
      </w:r>
      <w:r>
        <w:rPr>
          <w:spacing w:val="-13"/>
          <w:sz w:val="20"/>
        </w:rPr>
        <w:t> </w:t>
      </w:r>
      <w:r>
        <w:rPr>
          <w:sz w:val="20"/>
        </w:rPr>
        <w:t>social</w:t>
      </w:r>
      <w:r>
        <w:rPr>
          <w:spacing w:val="-14"/>
          <w:sz w:val="20"/>
        </w:rPr>
        <w:t> </w:t>
      </w:r>
      <w:r>
        <w:rPr>
          <w:sz w:val="20"/>
        </w:rPr>
        <w:t>con</w:t>
      </w:r>
      <w:r>
        <w:rPr>
          <w:spacing w:val="-12"/>
          <w:sz w:val="20"/>
        </w:rPr>
        <w:t> </w:t>
      </w:r>
      <w:r>
        <w:rPr>
          <w:sz w:val="20"/>
        </w:rPr>
        <w:t>un</w:t>
      </w:r>
      <w:r>
        <w:rPr>
          <w:spacing w:val="-14"/>
          <w:sz w:val="20"/>
        </w:rPr>
        <w:t> </w:t>
      </w:r>
      <w:r>
        <w:rPr>
          <w:sz w:val="20"/>
        </w:rPr>
        <w:t>claro</w:t>
      </w:r>
      <w:r>
        <w:rPr>
          <w:spacing w:val="-13"/>
          <w:sz w:val="20"/>
        </w:rPr>
        <w:t> </w:t>
      </w:r>
      <w:r>
        <w:rPr>
          <w:sz w:val="20"/>
        </w:rPr>
        <w:t>beneficio</w:t>
      </w:r>
      <w:r>
        <w:rPr>
          <w:spacing w:val="-12"/>
          <w:sz w:val="20"/>
        </w:rPr>
        <w:t> </w:t>
      </w:r>
      <w:r>
        <w:rPr>
          <w:sz w:val="20"/>
        </w:rPr>
        <w:t>para</w:t>
      </w:r>
      <w:r>
        <w:rPr>
          <w:spacing w:val="-12"/>
          <w:sz w:val="20"/>
        </w:rPr>
        <w:t> </w:t>
      </w:r>
      <w:r>
        <w:rPr>
          <w:sz w:val="20"/>
        </w:rPr>
        <w:t>la</w:t>
      </w:r>
      <w:r>
        <w:rPr>
          <w:spacing w:val="-14"/>
          <w:sz w:val="20"/>
        </w:rPr>
        <w:t> </w:t>
      </w:r>
      <w:r>
        <w:rPr>
          <w:sz w:val="20"/>
        </w:rPr>
        <w:t>población</w:t>
      </w:r>
      <w:r>
        <w:rPr>
          <w:spacing w:val="-14"/>
          <w:sz w:val="20"/>
        </w:rPr>
        <w:t> </w:t>
      </w:r>
      <w:r>
        <w:rPr>
          <w:sz w:val="20"/>
        </w:rPr>
        <w:t>y</w:t>
      </w:r>
      <w:r>
        <w:rPr>
          <w:spacing w:val="-10"/>
          <w:sz w:val="20"/>
        </w:rPr>
        <w:t> </w:t>
      </w:r>
      <w:r>
        <w:rPr>
          <w:sz w:val="20"/>
        </w:rPr>
        <w:t>que</w:t>
      </w:r>
      <w:r>
        <w:rPr>
          <w:spacing w:val="-9"/>
          <w:sz w:val="20"/>
        </w:rPr>
        <w:t> </w:t>
      </w:r>
      <w:r>
        <w:rPr>
          <w:sz w:val="20"/>
        </w:rPr>
        <w:t>no</w:t>
      </w:r>
      <w:r>
        <w:rPr>
          <w:spacing w:val="-12"/>
          <w:sz w:val="20"/>
        </w:rPr>
        <w:t> </w:t>
      </w:r>
      <w:r>
        <w:rPr>
          <w:sz w:val="20"/>
        </w:rPr>
        <w:t>persigan</w:t>
      </w:r>
      <w:r>
        <w:rPr>
          <w:spacing w:val="-14"/>
          <w:sz w:val="20"/>
        </w:rPr>
        <w:t> </w:t>
      </w:r>
      <w:r>
        <w:rPr>
          <w:sz w:val="20"/>
        </w:rPr>
        <w:t>fines de lucro;</w:t>
      </w:r>
    </w:p>
    <w:p>
      <w:pPr>
        <w:pStyle w:val="ListParagraph"/>
        <w:numPr>
          <w:ilvl w:val="0"/>
          <w:numId w:val="130"/>
        </w:numPr>
        <w:tabs>
          <w:tab w:pos="741" w:val="left" w:leader="none"/>
        </w:tabs>
        <w:spacing w:line="240" w:lineRule="auto" w:before="230" w:after="0"/>
        <w:ind w:left="262" w:right="287" w:firstLine="0"/>
        <w:jc w:val="both"/>
        <w:rPr>
          <w:sz w:val="20"/>
        </w:rPr>
      </w:pPr>
      <w:r>
        <w:rPr>
          <w:sz w:val="20"/>
        </w:rPr>
        <w:t>La permuta con la Federación o el Estado de inmuebles que por su ubicación, características y aptitudes satisfagan las necesidades de las partes;</w:t>
      </w:r>
    </w:p>
    <w:p>
      <w:pPr>
        <w:pStyle w:val="ListParagraph"/>
        <w:numPr>
          <w:ilvl w:val="0"/>
          <w:numId w:val="130"/>
        </w:numPr>
        <w:tabs>
          <w:tab w:pos="688" w:val="left" w:leader="none"/>
        </w:tabs>
        <w:spacing w:line="240" w:lineRule="auto" w:before="228" w:after="0"/>
        <w:ind w:left="262" w:right="286" w:firstLine="0"/>
        <w:jc w:val="both"/>
        <w:rPr>
          <w:sz w:val="20"/>
        </w:rPr>
      </w:pPr>
      <w:r>
        <w:rPr>
          <w:sz w:val="20"/>
        </w:rPr>
        <w:t>La compra o permuta de bienes inmuebles que sean necesarios para la ampliación o alineamiento de calles o avenidas, así como para la realización o prestación</w:t>
      </w:r>
      <w:r>
        <w:rPr>
          <w:spacing w:val="40"/>
          <w:sz w:val="20"/>
        </w:rPr>
        <w:t> </w:t>
      </w:r>
      <w:r>
        <w:rPr>
          <w:sz w:val="20"/>
        </w:rPr>
        <w:t>de cualquier tipo de obra o servicio público, o</w:t>
      </w:r>
    </w:p>
    <w:p>
      <w:pPr>
        <w:pStyle w:val="BodyText"/>
        <w:spacing w:before="2"/>
      </w:pPr>
    </w:p>
    <w:p>
      <w:pPr>
        <w:pStyle w:val="ListParagraph"/>
        <w:numPr>
          <w:ilvl w:val="0"/>
          <w:numId w:val="130"/>
        </w:numPr>
        <w:tabs>
          <w:tab w:pos="688" w:val="left" w:leader="none"/>
        </w:tabs>
        <w:spacing w:line="240" w:lineRule="auto" w:before="0" w:after="0"/>
        <w:ind w:left="262" w:right="282" w:firstLine="0"/>
        <w:jc w:val="both"/>
        <w:rPr>
          <w:sz w:val="20"/>
        </w:rPr>
      </w:pPr>
      <w:r>
        <w:rPr>
          <w:sz w:val="20"/>
        </w:rPr>
        <w:t>La</w:t>
      </w:r>
      <w:r>
        <w:rPr>
          <w:spacing w:val="-14"/>
          <w:sz w:val="20"/>
        </w:rPr>
        <w:t> </w:t>
      </w:r>
      <w:r>
        <w:rPr>
          <w:sz w:val="20"/>
        </w:rPr>
        <w:t>enajenación</w:t>
      </w:r>
      <w:r>
        <w:rPr>
          <w:spacing w:val="-14"/>
          <w:sz w:val="20"/>
        </w:rPr>
        <w:t> </w:t>
      </w:r>
      <w:r>
        <w:rPr>
          <w:sz w:val="20"/>
        </w:rPr>
        <w:t>a</w:t>
      </w:r>
      <w:r>
        <w:rPr>
          <w:spacing w:val="-14"/>
          <w:sz w:val="20"/>
        </w:rPr>
        <w:t> </w:t>
      </w:r>
      <w:r>
        <w:rPr>
          <w:sz w:val="20"/>
        </w:rPr>
        <w:t>título</w:t>
      </w:r>
      <w:r>
        <w:rPr>
          <w:spacing w:val="-14"/>
          <w:sz w:val="20"/>
        </w:rPr>
        <w:t> </w:t>
      </w:r>
      <w:r>
        <w:rPr>
          <w:sz w:val="20"/>
        </w:rPr>
        <w:t>oneroso</w:t>
      </w:r>
      <w:r>
        <w:rPr>
          <w:spacing w:val="-14"/>
          <w:sz w:val="20"/>
        </w:rPr>
        <w:t> </w:t>
      </w:r>
      <w:r>
        <w:rPr>
          <w:sz w:val="20"/>
        </w:rPr>
        <w:t>y</w:t>
      </w:r>
      <w:r>
        <w:rPr>
          <w:spacing w:val="-12"/>
          <w:sz w:val="20"/>
        </w:rPr>
        <w:t> </w:t>
      </w:r>
      <w:r>
        <w:rPr>
          <w:sz w:val="20"/>
        </w:rPr>
        <w:t>en</w:t>
      </w:r>
      <w:r>
        <w:rPr>
          <w:spacing w:val="-14"/>
          <w:sz w:val="20"/>
        </w:rPr>
        <w:t> </w:t>
      </w:r>
      <w:r>
        <w:rPr>
          <w:sz w:val="20"/>
        </w:rPr>
        <w:t>subasta</w:t>
      </w:r>
      <w:r>
        <w:rPr>
          <w:spacing w:val="-14"/>
          <w:sz w:val="20"/>
        </w:rPr>
        <w:t> </w:t>
      </w:r>
      <w:r>
        <w:rPr>
          <w:sz w:val="20"/>
        </w:rPr>
        <w:t>pública</w:t>
      </w:r>
      <w:r>
        <w:rPr>
          <w:spacing w:val="-14"/>
          <w:sz w:val="20"/>
        </w:rPr>
        <w:t> </w:t>
      </w:r>
      <w:r>
        <w:rPr>
          <w:sz w:val="20"/>
        </w:rPr>
        <w:t>de</w:t>
      </w:r>
      <w:r>
        <w:rPr>
          <w:spacing w:val="-12"/>
          <w:sz w:val="20"/>
        </w:rPr>
        <w:t> </w:t>
      </w:r>
      <w:r>
        <w:rPr>
          <w:sz w:val="20"/>
        </w:rPr>
        <w:t>áreas</w:t>
      </w:r>
      <w:r>
        <w:rPr>
          <w:spacing w:val="-13"/>
          <w:sz w:val="20"/>
        </w:rPr>
        <w:t> </w:t>
      </w:r>
      <w:r>
        <w:rPr>
          <w:sz w:val="20"/>
        </w:rPr>
        <w:t>de</w:t>
      </w:r>
      <w:r>
        <w:rPr>
          <w:spacing w:val="-14"/>
          <w:sz w:val="20"/>
        </w:rPr>
        <w:t> </w:t>
      </w:r>
      <w:r>
        <w:rPr>
          <w:sz w:val="20"/>
        </w:rPr>
        <w:t>donación</w:t>
      </w:r>
      <w:r>
        <w:rPr>
          <w:spacing w:val="-14"/>
          <w:sz w:val="20"/>
        </w:rPr>
        <w:t> </w:t>
      </w:r>
      <w:r>
        <w:rPr>
          <w:sz w:val="20"/>
        </w:rPr>
        <w:t>que</w:t>
      </w:r>
      <w:r>
        <w:rPr>
          <w:spacing w:val="-14"/>
          <w:sz w:val="20"/>
        </w:rPr>
        <w:t> </w:t>
      </w:r>
      <w:r>
        <w:rPr>
          <w:sz w:val="20"/>
        </w:rPr>
        <w:t>por</w:t>
      </w:r>
      <w:r>
        <w:rPr>
          <w:spacing w:val="-10"/>
          <w:sz w:val="20"/>
        </w:rPr>
        <w:t> </w:t>
      </w:r>
      <w:r>
        <w:rPr>
          <w:sz w:val="20"/>
        </w:rPr>
        <w:t>su</w:t>
      </w:r>
      <w:r>
        <w:rPr>
          <w:spacing w:val="-14"/>
          <w:sz w:val="20"/>
        </w:rPr>
        <w:t> </w:t>
      </w:r>
      <w:r>
        <w:rPr>
          <w:sz w:val="20"/>
        </w:rPr>
        <w:t>extensión y</w:t>
      </w:r>
      <w:r>
        <w:rPr>
          <w:spacing w:val="-10"/>
          <w:sz w:val="20"/>
        </w:rPr>
        <w:t> </w:t>
      </w:r>
      <w:r>
        <w:rPr>
          <w:sz w:val="20"/>
        </w:rPr>
        <w:t>superficie</w:t>
      </w:r>
      <w:r>
        <w:rPr>
          <w:spacing w:val="-9"/>
          <w:sz w:val="20"/>
        </w:rPr>
        <w:t> </w:t>
      </w:r>
      <w:r>
        <w:rPr>
          <w:sz w:val="20"/>
        </w:rPr>
        <w:t>no</w:t>
      </w:r>
      <w:r>
        <w:rPr>
          <w:spacing w:val="-9"/>
          <w:sz w:val="20"/>
        </w:rPr>
        <w:t> </w:t>
      </w:r>
      <w:r>
        <w:rPr>
          <w:sz w:val="20"/>
        </w:rPr>
        <w:t>puedan</w:t>
      </w:r>
      <w:r>
        <w:rPr>
          <w:spacing w:val="-9"/>
          <w:sz w:val="20"/>
        </w:rPr>
        <w:t> </w:t>
      </w:r>
      <w:r>
        <w:rPr>
          <w:sz w:val="20"/>
        </w:rPr>
        <w:t>aprovecharse</w:t>
      </w:r>
      <w:r>
        <w:rPr>
          <w:spacing w:val="-11"/>
          <w:sz w:val="20"/>
        </w:rPr>
        <w:t> </w:t>
      </w:r>
      <w:r>
        <w:rPr>
          <w:sz w:val="20"/>
        </w:rPr>
        <w:t>adecuadamente</w:t>
      </w:r>
      <w:r>
        <w:rPr>
          <w:spacing w:val="-7"/>
          <w:sz w:val="20"/>
        </w:rPr>
        <w:t> </w:t>
      </w:r>
      <w:r>
        <w:rPr>
          <w:sz w:val="20"/>
        </w:rPr>
        <w:t>para</w:t>
      </w:r>
      <w:r>
        <w:rPr>
          <w:spacing w:val="-9"/>
          <w:sz w:val="20"/>
        </w:rPr>
        <w:t> </w:t>
      </w:r>
      <w:r>
        <w:rPr>
          <w:sz w:val="20"/>
        </w:rPr>
        <w:t>infraestructura,</w:t>
      </w:r>
      <w:r>
        <w:rPr>
          <w:spacing w:val="-8"/>
          <w:sz w:val="20"/>
        </w:rPr>
        <w:t> </w:t>
      </w:r>
      <w:r>
        <w:rPr>
          <w:sz w:val="20"/>
        </w:rPr>
        <w:t>equipamiento</w:t>
      </w:r>
      <w:r>
        <w:rPr>
          <w:spacing w:val="-9"/>
          <w:sz w:val="20"/>
        </w:rPr>
        <w:t> </w:t>
      </w:r>
      <w:r>
        <w:rPr>
          <w:sz w:val="20"/>
        </w:rPr>
        <w:t>y</w:t>
      </w:r>
      <w:r>
        <w:rPr>
          <w:spacing w:val="-10"/>
          <w:sz w:val="20"/>
        </w:rPr>
        <w:t> </w:t>
      </w:r>
      <w:r>
        <w:rPr>
          <w:sz w:val="20"/>
        </w:rPr>
        <w:t>servicios </w:t>
      </w:r>
      <w:r>
        <w:rPr>
          <w:spacing w:val="-2"/>
          <w:sz w:val="20"/>
        </w:rPr>
        <w:t>públicos.</w:t>
      </w:r>
    </w:p>
    <w:p>
      <w:pPr>
        <w:pStyle w:val="BodyText"/>
      </w:pPr>
    </w:p>
    <w:p>
      <w:pPr>
        <w:pStyle w:val="BodyText"/>
        <w:ind w:left="262" w:right="279"/>
        <w:jc w:val="both"/>
      </w:pPr>
      <w:r>
        <w:rPr>
          <w:rFonts w:ascii="Arial" w:hAnsi="Arial"/>
          <w:b/>
        </w:rPr>
        <w:t>ARTÍCULO 386.</w:t>
      </w:r>
      <w:r>
        <w:rPr>
          <w:rFonts w:ascii="Arial" w:hAnsi="Arial"/>
          <w:b/>
          <w:spacing w:val="40"/>
        </w:rPr>
        <w:t> </w:t>
      </w:r>
      <w:r>
        <w:rPr/>
        <w:t>Toda enajenación a título oneroso de áreas de donación destinadas a </w:t>
      </w:r>
      <w:r>
        <w:rPr>
          <w:spacing w:val="-2"/>
        </w:rPr>
        <w:t>infraestructura, equipamiento</w:t>
      </w:r>
      <w:r>
        <w:rPr>
          <w:spacing w:val="-5"/>
        </w:rPr>
        <w:t> </w:t>
      </w:r>
      <w:r>
        <w:rPr>
          <w:spacing w:val="-2"/>
        </w:rPr>
        <w:t>y</w:t>
      </w:r>
      <w:r>
        <w:rPr>
          <w:spacing w:val="-3"/>
        </w:rPr>
        <w:t> </w:t>
      </w:r>
      <w:r>
        <w:rPr>
          <w:spacing w:val="-2"/>
        </w:rPr>
        <w:t>servicios,</w:t>
      </w:r>
      <w:r>
        <w:rPr>
          <w:spacing w:val="-4"/>
        </w:rPr>
        <w:t> </w:t>
      </w:r>
      <w:r>
        <w:rPr>
          <w:spacing w:val="-2"/>
        </w:rPr>
        <w:t>se hará a valor</w:t>
      </w:r>
      <w:r>
        <w:rPr>
          <w:spacing w:val="-4"/>
        </w:rPr>
        <w:t> </w:t>
      </w:r>
      <w:r>
        <w:rPr>
          <w:spacing w:val="-2"/>
        </w:rPr>
        <w:t>comercial</w:t>
      </w:r>
      <w:r>
        <w:rPr>
          <w:spacing w:val="-3"/>
        </w:rPr>
        <w:t> </w:t>
      </w:r>
      <w:r>
        <w:rPr>
          <w:spacing w:val="-2"/>
        </w:rPr>
        <w:t>determinado</w:t>
      </w:r>
      <w:r>
        <w:rPr>
          <w:spacing w:val="-5"/>
        </w:rPr>
        <w:t> </w:t>
      </w:r>
      <w:r>
        <w:rPr>
          <w:spacing w:val="-2"/>
        </w:rPr>
        <w:t>por perito autorizado </w:t>
      </w:r>
      <w:r>
        <w:rPr/>
        <w:t>y</w:t>
      </w:r>
      <w:r>
        <w:rPr>
          <w:spacing w:val="-1"/>
        </w:rPr>
        <w:t> </w:t>
      </w:r>
      <w:r>
        <w:rPr/>
        <w:t>deberá</w:t>
      </w:r>
      <w:r>
        <w:rPr>
          <w:spacing w:val="-2"/>
        </w:rPr>
        <w:t> </w:t>
      </w:r>
      <w:r>
        <w:rPr/>
        <w:t>ser</w:t>
      </w:r>
      <w:r>
        <w:rPr>
          <w:spacing w:val="-1"/>
        </w:rPr>
        <w:t> </w:t>
      </w:r>
      <w:r>
        <w:rPr/>
        <w:t>aprobada</w:t>
      </w:r>
      <w:r>
        <w:rPr>
          <w:spacing w:val="-2"/>
        </w:rPr>
        <w:t> </w:t>
      </w:r>
      <w:r>
        <w:rPr/>
        <w:t>por las</w:t>
      </w:r>
      <w:r>
        <w:rPr>
          <w:spacing w:val="-1"/>
        </w:rPr>
        <w:t> </w:t>
      </w:r>
      <w:r>
        <w:rPr/>
        <w:t>dos</w:t>
      </w:r>
      <w:r>
        <w:rPr>
          <w:spacing w:val="-1"/>
        </w:rPr>
        <w:t> </w:t>
      </w:r>
      <w:r>
        <w:rPr/>
        <w:t>terceras partes</w:t>
      </w:r>
      <w:r>
        <w:rPr>
          <w:spacing w:val="-1"/>
        </w:rPr>
        <w:t> </w:t>
      </w:r>
      <w:r>
        <w:rPr/>
        <w:t>de</w:t>
      </w:r>
      <w:r>
        <w:rPr>
          <w:spacing w:val="-2"/>
        </w:rPr>
        <w:t> </w:t>
      </w:r>
      <w:r>
        <w:rPr/>
        <w:t>los</w:t>
      </w:r>
      <w:r>
        <w:rPr>
          <w:spacing w:val="-1"/>
        </w:rPr>
        <w:t> </w:t>
      </w:r>
      <w:r>
        <w:rPr/>
        <w:t>integrantes</w:t>
      </w:r>
      <w:r>
        <w:rPr>
          <w:spacing w:val="-1"/>
        </w:rPr>
        <w:t> </w:t>
      </w:r>
      <w:r>
        <w:rPr/>
        <w:t>del Ayuntamiento</w:t>
      </w:r>
      <w:r>
        <w:rPr>
          <w:spacing w:val="-2"/>
        </w:rPr>
        <w:t> </w:t>
      </w:r>
      <w:r>
        <w:rPr/>
        <w:t>respectivo</w:t>
      </w:r>
      <w:r>
        <w:rPr>
          <w:spacing w:val="-2"/>
        </w:rPr>
        <w:t> </w:t>
      </w:r>
      <w:r>
        <w:rPr/>
        <w:t>y autorizada por el Congreso del Estado.</w:t>
      </w:r>
    </w:p>
    <w:p>
      <w:pPr>
        <w:pStyle w:val="BodyText"/>
        <w:spacing w:before="229"/>
        <w:ind w:left="262" w:right="282"/>
        <w:jc w:val="both"/>
      </w:pPr>
      <w:r>
        <w:rPr>
          <w:rFonts w:ascii="Arial" w:hAnsi="Arial"/>
          <w:b/>
        </w:rPr>
        <w:t>ARTÍCULO 387.</w:t>
      </w:r>
      <w:r>
        <w:rPr>
          <w:rFonts w:ascii="Arial" w:hAnsi="Arial"/>
          <w:b/>
          <w:spacing w:val="40"/>
        </w:rPr>
        <w:t> </w:t>
      </w:r>
      <w:r>
        <w:rPr/>
        <w:t>Queda prohibido a los ayuntamientos ejercer actos de dominio a título oneroso o gratuito</w:t>
      </w:r>
      <w:r>
        <w:rPr>
          <w:spacing w:val="-5"/>
        </w:rPr>
        <w:t> </w:t>
      </w:r>
      <w:r>
        <w:rPr/>
        <w:t>en</w:t>
      </w:r>
      <w:r>
        <w:rPr>
          <w:spacing w:val="-5"/>
        </w:rPr>
        <w:t> </w:t>
      </w:r>
      <w:r>
        <w:rPr/>
        <w:t>las</w:t>
      </w:r>
      <w:r>
        <w:rPr>
          <w:spacing w:val="-6"/>
        </w:rPr>
        <w:t> </w:t>
      </w:r>
      <w:r>
        <w:rPr/>
        <w:t>áreas</w:t>
      </w:r>
      <w:r>
        <w:rPr>
          <w:spacing w:val="-6"/>
        </w:rPr>
        <w:t> </w:t>
      </w:r>
      <w:r>
        <w:rPr/>
        <w:t>de</w:t>
      </w:r>
      <w:r>
        <w:rPr>
          <w:spacing w:val="-5"/>
        </w:rPr>
        <w:t> </w:t>
      </w:r>
      <w:r>
        <w:rPr/>
        <w:t>donación</w:t>
      </w:r>
      <w:r>
        <w:rPr>
          <w:spacing w:val="-7"/>
        </w:rPr>
        <w:t> </w:t>
      </w:r>
      <w:r>
        <w:rPr/>
        <w:t>destinadas</w:t>
      </w:r>
      <w:r>
        <w:rPr>
          <w:spacing w:val="-6"/>
        </w:rPr>
        <w:t> </w:t>
      </w:r>
      <w:r>
        <w:rPr/>
        <w:t>para</w:t>
      </w:r>
      <w:r>
        <w:rPr>
          <w:spacing w:val="-5"/>
        </w:rPr>
        <w:t> </w:t>
      </w:r>
      <w:r>
        <w:rPr/>
        <w:t>áreas</w:t>
      </w:r>
      <w:r>
        <w:rPr>
          <w:spacing w:val="-6"/>
        </w:rPr>
        <w:t> </w:t>
      </w:r>
      <w:r>
        <w:rPr/>
        <w:t>verdes,</w:t>
      </w:r>
      <w:r>
        <w:rPr>
          <w:spacing w:val="-6"/>
        </w:rPr>
        <w:t> </w:t>
      </w:r>
      <w:r>
        <w:rPr/>
        <w:t>excepto</w:t>
      </w:r>
      <w:r>
        <w:rPr>
          <w:spacing w:val="-7"/>
        </w:rPr>
        <w:t> </w:t>
      </w:r>
      <w:r>
        <w:rPr/>
        <w:t>cuando</w:t>
      </w:r>
      <w:r>
        <w:rPr>
          <w:spacing w:val="-3"/>
        </w:rPr>
        <w:t> </w:t>
      </w:r>
      <w:r>
        <w:rPr/>
        <w:t>dichas</w:t>
      </w:r>
      <w:r>
        <w:rPr>
          <w:spacing w:val="-5"/>
        </w:rPr>
        <w:t> </w:t>
      </w:r>
      <w:r>
        <w:rPr/>
        <w:t>áreas</w:t>
      </w:r>
      <w:r>
        <w:rPr>
          <w:spacing w:val="-5"/>
        </w:rPr>
        <w:t> </w:t>
      </w:r>
      <w:r>
        <w:rPr/>
        <w:t>sean menores a quinientos metros cuadrados.</w:t>
      </w:r>
    </w:p>
    <w:p>
      <w:pPr>
        <w:pStyle w:val="BodyText"/>
      </w:pPr>
    </w:p>
    <w:p>
      <w:pPr>
        <w:pStyle w:val="BodyText"/>
        <w:ind w:left="262" w:right="278"/>
        <w:jc w:val="both"/>
      </w:pPr>
      <w:r>
        <w:rPr>
          <w:rFonts w:ascii="Arial" w:hAnsi="Arial"/>
          <w:b/>
        </w:rPr>
        <w:t>ARTÍCULO 388. </w:t>
      </w:r>
      <w:r>
        <w:rPr/>
        <w:t>Se considerará como parte de la donación que el fraccionador está obligado a donar al Ayuntamiento para infraestructura, equipamiento y servicios, las áreas de terreno que se requieran, entre otras, para limpia, seguridad pública, alumbrado público, energía eléctrica, agua potable y plantas de tratamiento.</w:t>
      </w:r>
    </w:p>
    <w:p>
      <w:pPr>
        <w:pStyle w:val="BodyText"/>
        <w:spacing w:before="2"/>
      </w:pPr>
    </w:p>
    <w:p>
      <w:pPr>
        <w:pStyle w:val="BodyText"/>
        <w:ind w:left="262" w:right="281"/>
        <w:jc w:val="both"/>
      </w:pPr>
      <w:r>
        <w:rPr>
          <w:rFonts w:ascii="Arial" w:hAnsi="Arial"/>
          <w:b/>
        </w:rPr>
        <w:t>ARTÍCULO</w:t>
      </w:r>
      <w:r>
        <w:rPr>
          <w:rFonts w:ascii="Arial" w:hAnsi="Arial"/>
          <w:b/>
          <w:spacing w:val="-5"/>
        </w:rPr>
        <w:t> </w:t>
      </w:r>
      <w:r>
        <w:rPr>
          <w:rFonts w:ascii="Arial" w:hAnsi="Arial"/>
          <w:b/>
        </w:rPr>
        <w:t>389</w:t>
      </w:r>
      <w:r>
        <w:rPr/>
        <w:t>.</w:t>
      </w:r>
      <w:r>
        <w:rPr>
          <w:spacing w:val="-6"/>
        </w:rPr>
        <w:t> </w:t>
      </w:r>
      <w:r>
        <w:rPr/>
        <w:t>Las</w:t>
      </w:r>
      <w:r>
        <w:rPr>
          <w:spacing w:val="-5"/>
        </w:rPr>
        <w:t> </w:t>
      </w:r>
      <w:r>
        <w:rPr/>
        <w:t>obras</w:t>
      </w:r>
      <w:r>
        <w:rPr>
          <w:spacing w:val="-3"/>
        </w:rPr>
        <w:t> </w:t>
      </w:r>
      <w:r>
        <w:rPr/>
        <w:t>de</w:t>
      </w:r>
      <w:r>
        <w:rPr>
          <w:spacing w:val="-7"/>
        </w:rPr>
        <w:t> </w:t>
      </w:r>
      <w:r>
        <w:rPr/>
        <w:t>equipamiento</w:t>
      </w:r>
      <w:r>
        <w:rPr>
          <w:spacing w:val="-7"/>
        </w:rPr>
        <w:t> </w:t>
      </w:r>
      <w:r>
        <w:rPr/>
        <w:t>que</w:t>
      </w:r>
      <w:r>
        <w:rPr>
          <w:spacing w:val="-7"/>
        </w:rPr>
        <w:t> </w:t>
      </w:r>
      <w:r>
        <w:rPr/>
        <w:t>se</w:t>
      </w:r>
      <w:r>
        <w:rPr>
          <w:spacing w:val="-7"/>
        </w:rPr>
        <w:t> </w:t>
      </w:r>
      <w:r>
        <w:rPr/>
        <w:t>deberán</w:t>
      </w:r>
      <w:r>
        <w:rPr>
          <w:spacing w:val="-7"/>
        </w:rPr>
        <w:t> </w:t>
      </w:r>
      <w:r>
        <w:rPr/>
        <w:t>llevar</w:t>
      </w:r>
      <w:r>
        <w:rPr>
          <w:spacing w:val="-6"/>
        </w:rPr>
        <w:t> </w:t>
      </w:r>
      <w:r>
        <w:rPr/>
        <w:t>a</w:t>
      </w:r>
      <w:r>
        <w:rPr>
          <w:spacing w:val="-7"/>
        </w:rPr>
        <w:t> </w:t>
      </w:r>
      <w:r>
        <w:rPr/>
        <w:t>cabo</w:t>
      </w:r>
      <w:r>
        <w:rPr>
          <w:spacing w:val="-7"/>
        </w:rPr>
        <w:t> </w:t>
      </w:r>
      <w:r>
        <w:rPr/>
        <w:t>en</w:t>
      </w:r>
      <w:r>
        <w:rPr>
          <w:spacing w:val="-7"/>
        </w:rPr>
        <w:t> </w:t>
      </w:r>
      <w:r>
        <w:rPr/>
        <w:t>las</w:t>
      </w:r>
      <w:r>
        <w:rPr>
          <w:spacing w:val="-6"/>
        </w:rPr>
        <w:t> </w:t>
      </w:r>
      <w:r>
        <w:rPr/>
        <w:t>áreas</w:t>
      </w:r>
      <w:r>
        <w:rPr>
          <w:spacing w:val="-5"/>
        </w:rPr>
        <w:t> </w:t>
      </w:r>
      <w:r>
        <w:rPr/>
        <w:t>de</w:t>
      </w:r>
      <w:r>
        <w:rPr>
          <w:spacing w:val="-7"/>
        </w:rPr>
        <w:t> </w:t>
      </w:r>
      <w:r>
        <w:rPr/>
        <w:t>donación de los fraccionamientos habitacionales urbanos, en proporción al número de habitantes previstos, </w:t>
      </w:r>
      <w:r>
        <w:rPr>
          <w:spacing w:val="-2"/>
        </w:rPr>
        <w:t>serán:</w:t>
      </w:r>
    </w:p>
    <w:p>
      <w:pPr>
        <w:pStyle w:val="BodyText"/>
      </w:pPr>
    </w:p>
    <w:p>
      <w:pPr>
        <w:pStyle w:val="ListParagraph"/>
        <w:numPr>
          <w:ilvl w:val="0"/>
          <w:numId w:val="131"/>
        </w:numPr>
        <w:tabs>
          <w:tab w:pos="543" w:val="left" w:leader="none"/>
        </w:tabs>
        <w:spacing w:line="240" w:lineRule="auto" w:before="0" w:after="0"/>
        <w:ind w:left="543" w:right="0" w:hanging="281"/>
        <w:jc w:val="both"/>
        <w:rPr>
          <w:sz w:val="20"/>
        </w:rPr>
      </w:pPr>
      <w:r>
        <w:rPr>
          <w:sz w:val="20"/>
        </w:rPr>
        <w:t>Jardín</w:t>
      </w:r>
      <w:r>
        <w:rPr>
          <w:spacing w:val="-8"/>
          <w:sz w:val="20"/>
        </w:rPr>
        <w:t> </w:t>
      </w:r>
      <w:r>
        <w:rPr>
          <w:sz w:val="20"/>
        </w:rPr>
        <w:t>de</w:t>
      </w:r>
      <w:r>
        <w:rPr>
          <w:spacing w:val="-5"/>
          <w:sz w:val="20"/>
        </w:rPr>
        <w:t> </w:t>
      </w:r>
      <w:r>
        <w:rPr>
          <w:spacing w:val="-2"/>
          <w:sz w:val="20"/>
        </w:rPr>
        <w:t>niños;</w:t>
      </w:r>
    </w:p>
    <w:p>
      <w:pPr>
        <w:pStyle w:val="ListParagraph"/>
        <w:numPr>
          <w:ilvl w:val="0"/>
          <w:numId w:val="131"/>
        </w:numPr>
        <w:tabs>
          <w:tab w:pos="543" w:val="left" w:leader="none"/>
        </w:tabs>
        <w:spacing w:line="240" w:lineRule="auto" w:before="228" w:after="0"/>
        <w:ind w:left="543" w:right="0" w:hanging="281"/>
        <w:jc w:val="both"/>
        <w:rPr>
          <w:sz w:val="20"/>
        </w:rPr>
      </w:pPr>
      <w:r>
        <w:rPr>
          <w:sz w:val="20"/>
        </w:rPr>
        <w:t>Escuela</w:t>
      </w:r>
      <w:r>
        <w:rPr>
          <w:spacing w:val="-10"/>
          <w:sz w:val="20"/>
        </w:rPr>
        <w:t> </w:t>
      </w:r>
      <w:r>
        <w:rPr>
          <w:spacing w:val="-2"/>
          <w:sz w:val="20"/>
        </w:rPr>
        <w:t>primaria;</w:t>
      </w:r>
    </w:p>
    <w:p>
      <w:pPr>
        <w:pStyle w:val="BodyText"/>
        <w:spacing w:before="1"/>
      </w:pPr>
    </w:p>
    <w:p>
      <w:pPr>
        <w:pStyle w:val="ListParagraph"/>
        <w:numPr>
          <w:ilvl w:val="0"/>
          <w:numId w:val="131"/>
        </w:numPr>
        <w:tabs>
          <w:tab w:pos="597" w:val="left" w:leader="none"/>
        </w:tabs>
        <w:spacing w:line="240" w:lineRule="auto" w:before="0" w:after="0"/>
        <w:ind w:left="597" w:right="0" w:hanging="335"/>
        <w:jc w:val="both"/>
        <w:rPr>
          <w:sz w:val="20"/>
        </w:rPr>
      </w:pPr>
      <w:r>
        <w:rPr>
          <w:sz w:val="20"/>
        </w:rPr>
        <w:t>Unidad</w:t>
      </w:r>
      <w:r>
        <w:rPr>
          <w:spacing w:val="-10"/>
          <w:sz w:val="20"/>
        </w:rPr>
        <w:t> </w:t>
      </w:r>
      <w:r>
        <w:rPr>
          <w:spacing w:val="-2"/>
          <w:sz w:val="20"/>
        </w:rPr>
        <w:t>médica;</w:t>
      </w:r>
    </w:p>
    <w:p>
      <w:pPr>
        <w:pStyle w:val="BodyText"/>
        <w:spacing w:before="1"/>
      </w:pPr>
    </w:p>
    <w:p>
      <w:pPr>
        <w:pStyle w:val="ListParagraph"/>
        <w:numPr>
          <w:ilvl w:val="0"/>
          <w:numId w:val="131"/>
        </w:numPr>
        <w:tabs>
          <w:tab w:pos="688" w:val="left" w:leader="none"/>
        </w:tabs>
        <w:spacing w:line="240" w:lineRule="auto" w:before="0" w:after="0"/>
        <w:ind w:left="688" w:right="0" w:hanging="426"/>
        <w:jc w:val="both"/>
        <w:rPr>
          <w:sz w:val="20"/>
        </w:rPr>
      </w:pPr>
      <w:r>
        <w:rPr>
          <w:sz w:val="20"/>
        </w:rPr>
        <w:t>Juegos</w:t>
      </w:r>
      <w:r>
        <w:rPr>
          <w:spacing w:val="-10"/>
          <w:sz w:val="20"/>
        </w:rPr>
        <w:t> </w:t>
      </w:r>
      <w:r>
        <w:rPr>
          <w:spacing w:val="-2"/>
          <w:sz w:val="20"/>
        </w:rPr>
        <w:t>infantiles;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31"/>
        </w:numPr>
        <w:tabs>
          <w:tab w:pos="689" w:val="left" w:leader="none"/>
        </w:tabs>
        <w:spacing w:line="240" w:lineRule="auto" w:before="0" w:after="0"/>
        <w:ind w:left="689" w:right="0" w:hanging="427"/>
        <w:jc w:val="left"/>
        <w:rPr>
          <w:sz w:val="20"/>
        </w:rPr>
      </w:pPr>
      <w:r>
        <w:rPr>
          <w:sz w:val="20"/>
        </w:rPr>
        <w:t>Módulos</w:t>
      </w:r>
      <w:r>
        <w:rPr>
          <w:spacing w:val="-7"/>
          <w:sz w:val="20"/>
        </w:rPr>
        <w:t> </w:t>
      </w:r>
      <w:r>
        <w:rPr>
          <w:sz w:val="20"/>
        </w:rPr>
        <w:t>o</w:t>
      </w:r>
      <w:r>
        <w:rPr>
          <w:spacing w:val="-10"/>
          <w:sz w:val="20"/>
        </w:rPr>
        <w:t> </w:t>
      </w:r>
      <w:r>
        <w:rPr>
          <w:sz w:val="20"/>
        </w:rPr>
        <w:t>canchas</w:t>
      </w:r>
      <w:r>
        <w:rPr>
          <w:spacing w:val="-7"/>
          <w:sz w:val="20"/>
        </w:rPr>
        <w:t> </w:t>
      </w:r>
      <w:r>
        <w:rPr>
          <w:sz w:val="20"/>
        </w:rPr>
        <w:t>deportivas,</w:t>
      </w:r>
      <w:r>
        <w:rPr>
          <w:spacing w:val="-9"/>
          <w:sz w:val="20"/>
        </w:rPr>
        <w:t> </w:t>
      </w:r>
      <w:r>
        <w:rPr>
          <w:spacing w:val="-10"/>
          <w:sz w:val="20"/>
        </w:rPr>
        <w:t>y</w:t>
      </w:r>
    </w:p>
    <w:p>
      <w:pPr>
        <w:pStyle w:val="BodyText"/>
        <w:spacing w:before="1"/>
      </w:pPr>
    </w:p>
    <w:p>
      <w:pPr>
        <w:pStyle w:val="ListParagraph"/>
        <w:numPr>
          <w:ilvl w:val="0"/>
          <w:numId w:val="131"/>
        </w:numPr>
        <w:tabs>
          <w:tab w:pos="688" w:val="left" w:leader="none"/>
        </w:tabs>
        <w:spacing w:line="240" w:lineRule="auto" w:before="0" w:after="0"/>
        <w:ind w:left="688" w:right="0" w:hanging="426"/>
        <w:jc w:val="left"/>
        <w:rPr>
          <w:sz w:val="20"/>
        </w:rPr>
      </w:pPr>
      <w:r>
        <w:rPr>
          <w:sz w:val="20"/>
        </w:rPr>
        <w:t>Jardines</w:t>
      </w:r>
      <w:r>
        <w:rPr>
          <w:spacing w:val="-7"/>
          <w:sz w:val="20"/>
        </w:rPr>
        <w:t> </w:t>
      </w:r>
      <w:r>
        <w:rPr>
          <w:sz w:val="20"/>
        </w:rPr>
        <w:t>y</w:t>
      </w:r>
      <w:r>
        <w:rPr>
          <w:spacing w:val="-6"/>
          <w:sz w:val="20"/>
        </w:rPr>
        <w:t> </w:t>
      </w:r>
      <w:r>
        <w:rPr>
          <w:sz w:val="20"/>
        </w:rPr>
        <w:t>áreas</w:t>
      </w:r>
      <w:r>
        <w:rPr>
          <w:spacing w:val="-6"/>
          <w:sz w:val="20"/>
        </w:rPr>
        <w:t> </w:t>
      </w:r>
      <w:r>
        <w:rPr>
          <w:spacing w:val="-2"/>
          <w:sz w:val="20"/>
        </w:rPr>
        <w:t>arboladas.</w:t>
      </w:r>
    </w:p>
    <w:p>
      <w:pPr>
        <w:pStyle w:val="BodyText"/>
        <w:spacing w:before="229"/>
        <w:ind w:left="262" w:right="283"/>
        <w:jc w:val="both"/>
      </w:pPr>
      <w:r>
        <w:rPr/>
        <w:t>En</w:t>
      </w:r>
      <w:r>
        <w:rPr>
          <w:spacing w:val="-14"/>
        </w:rPr>
        <w:t> </w:t>
      </w:r>
      <w:r>
        <w:rPr/>
        <w:t>caso</w:t>
      </w:r>
      <w:r>
        <w:rPr>
          <w:spacing w:val="-14"/>
        </w:rPr>
        <w:t> </w:t>
      </w:r>
      <w:r>
        <w:rPr/>
        <w:t>de</w:t>
      </w:r>
      <w:r>
        <w:rPr>
          <w:spacing w:val="-14"/>
        </w:rPr>
        <w:t> </w:t>
      </w:r>
      <w:r>
        <w:rPr/>
        <w:t>que</w:t>
      </w:r>
      <w:r>
        <w:rPr>
          <w:spacing w:val="-14"/>
        </w:rPr>
        <w:t> </w:t>
      </w:r>
      <w:r>
        <w:rPr/>
        <w:t>exista</w:t>
      </w:r>
      <w:r>
        <w:rPr>
          <w:spacing w:val="-14"/>
        </w:rPr>
        <w:t> </w:t>
      </w:r>
      <w:r>
        <w:rPr/>
        <w:t>de</w:t>
      </w:r>
      <w:r>
        <w:rPr>
          <w:spacing w:val="-14"/>
        </w:rPr>
        <w:t> </w:t>
      </w:r>
      <w:r>
        <w:rPr/>
        <w:t>forma</w:t>
      </w:r>
      <w:r>
        <w:rPr>
          <w:spacing w:val="-14"/>
        </w:rPr>
        <w:t> </w:t>
      </w:r>
      <w:r>
        <w:rPr/>
        <w:t>suficiente</w:t>
      </w:r>
      <w:r>
        <w:rPr>
          <w:spacing w:val="-14"/>
        </w:rPr>
        <w:t> </w:t>
      </w:r>
      <w:r>
        <w:rPr/>
        <w:t>el</w:t>
      </w:r>
      <w:r>
        <w:rPr>
          <w:spacing w:val="-14"/>
        </w:rPr>
        <w:t> </w:t>
      </w:r>
      <w:r>
        <w:rPr/>
        <w:t>equipamiento</w:t>
      </w:r>
      <w:r>
        <w:rPr>
          <w:spacing w:val="-13"/>
        </w:rPr>
        <w:t> </w:t>
      </w:r>
      <w:r>
        <w:rPr/>
        <w:t>a</w:t>
      </w:r>
      <w:r>
        <w:rPr>
          <w:spacing w:val="-14"/>
        </w:rPr>
        <w:t> </w:t>
      </w:r>
      <w:r>
        <w:rPr/>
        <w:t>que</w:t>
      </w:r>
      <w:r>
        <w:rPr>
          <w:spacing w:val="-14"/>
        </w:rPr>
        <w:t> </w:t>
      </w:r>
      <w:r>
        <w:rPr/>
        <w:t>se</w:t>
      </w:r>
      <w:r>
        <w:rPr>
          <w:spacing w:val="-14"/>
        </w:rPr>
        <w:t> </w:t>
      </w:r>
      <w:r>
        <w:rPr/>
        <w:t>refieren</w:t>
      </w:r>
      <w:r>
        <w:rPr>
          <w:spacing w:val="-14"/>
        </w:rPr>
        <w:t> </w:t>
      </w:r>
      <w:r>
        <w:rPr/>
        <w:t>las</w:t>
      </w:r>
      <w:r>
        <w:rPr>
          <w:spacing w:val="-14"/>
        </w:rPr>
        <w:t> </w:t>
      </w:r>
      <w:r>
        <w:rPr/>
        <w:t>fracciones</w:t>
      </w:r>
      <w:r>
        <w:rPr>
          <w:spacing w:val="-14"/>
        </w:rPr>
        <w:t> </w:t>
      </w:r>
      <w:r>
        <w:rPr/>
        <w:t>anteriores, los</w:t>
      </w:r>
      <w:r>
        <w:rPr>
          <w:spacing w:val="-9"/>
        </w:rPr>
        <w:t> </w:t>
      </w:r>
      <w:r>
        <w:rPr/>
        <w:t>colonos</w:t>
      </w:r>
      <w:r>
        <w:rPr>
          <w:spacing w:val="-9"/>
        </w:rPr>
        <w:t> </w:t>
      </w:r>
      <w:r>
        <w:rPr/>
        <w:t>con</w:t>
      </w:r>
      <w:r>
        <w:rPr>
          <w:spacing w:val="-8"/>
        </w:rPr>
        <w:t> </w:t>
      </w:r>
      <w:r>
        <w:rPr/>
        <w:t>anuencia</w:t>
      </w:r>
      <w:r>
        <w:rPr>
          <w:spacing w:val="-10"/>
        </w:rPr>
        <w:t> </w:t>
      </w:r>
      <w:r>
        <w:rPr/>
        <w:t>del</w:t>
      </w:r>
      <w:r>
        <w:rPr>
          <w:spacing w:val="-9"/>
        </w:rPr>
        <w:t> </w:t>
      </w:r>
      <w:r>
        <w:rPr/>
        <w:t>Ayuntamiento</w:t>
      </w:r>
      <w:r>
        <w:rPr>
          <w:spacing w:val="-10"/>
        </w:rPr>
        <w:t> </w:t>
      </w:r>
      <w:r>
        <w:rPr/>
        <w:t>podrán</w:t>
      </w:r>
      <w:r>
        <w:rPr>
          <w:spacing w:val="-7"/>
        </w:rPr>
        <w:t> </w:t>
      </w:r>
      <w:r>
        <w:rPr/>
        <w:t>determinar</w:t>
      </w:r>
      <w:r>
        <w:rPr>
          <w:spacing w:val="-9"/>
        </w:rPr>
        <w:t> </w:t>
      </w:r>
      <w:r>
        <w:rPr/>
        <w:t>el</w:t>
      </w:r>
      <w:r>
        <w:rPr>
          <w:spacing w:val="-9"/>
        </w:rPr>
        <w:t> </w:t>
      </w:r>
      <w:r>
        <w:rPr/>
        <w:t>equipamiento</w:t>
      </w:r>
      <w:r>
        <w:rPr>
          <w:spacing w:val="-10"/>
        </w:rPr>
        <w:t> </w:t>
      </w:r>
      <w:r>
        <w:rPr/>
        <w:t>complementario</w:t>
      </w:r>
      <w:r>
        <w:rPr>
          <w:spacing w:val="-10"/>
        </w:rPr>
        <w:t> </w:t>
      </w:r>
      <w:r>
        <w:rPr/>
        <w:t>que sea de beneficio social.</w:t>
      </w:r>
    </w:p>
    <w:p>
      <w:pPr>
        <w:pStyle w:val="BodyText"/>
        <w:spacing w:before="1"/>
      </w:pPr>
    </w:p>
    <w:p>
      <w:pPr>
        <w:pStyle w:val="BodyText"/>
        <w:ind w:left="262" w:right="287"/>
        <w:jc w:val="both"/>
      </w:pPr>
      <w:r>
        <w:rPr>
          <w:rFonts w:ascii="Arial" w:hAnsi="Arial"/>
          <w:b/>
        </w:rPr>
        <w:t>ARTÍCULO</w:t>
      </w:r>
      <w:r>
        <w:rPr>
          <w:rFonts w:ascii="Arial" w:hAnsi="Arial"/>
          <w:b/>
          <w:spacing w:val="-11"/>
        </w:rPr>
        <w:t> </w:t>
      </w:r>
      <w:r>
        <w:rPr>
          <w:rFonts w:ascii="Arial" w:hAnsi="Arial"/>
          <w:b/>
        </w:rPr>
        <w:t>390</w:t>
      </w:r>
      <w:r>
        <w:rPr/>
        <w:t>.</w:t>
      </w:r>
      <w:r>
        <w:rPr>
          <w:spacing w:val="-10"/>
        </w:rPr>
        <w:t> </w:t>
      </w:r>
      <w:r>
        <w:rPr/>
        <w:t>Los</w:t>
      </w:r>
      <w:r>
        <w:rPr>
          <w:spacing w:val="-11"/>
        </w:rPr>
        <w:t> </w:t>
      </w:r>
      <w:r>
        <w:rPr/>
        <w:t>titulares</w:t>
      </w:r>
      <w:r>
        <w:rPr>
          <w:spacing w:val="-11"/>
        </w:rPr>
        <w:t> </w:t>
      </w:r>
      <w:r>
        <w:rPr/>
        <w:t>de</w:t>
      </w:r>
      <w:r>
        <w:rPr>
          <w:spacing w:val="-11"/>
        </w:rPr>
        <w:t> </w:t>
      </w:r>
      <w:r>
        <w:rPr/>
        <w:t>los</w:t>
      </w:r>
      <w:r>
        <w:rPr>
          <w:spacing w:val="-11"/>
        </w:rPr>
        <w:t> </w:t>
      </w:r>
      <w:r>
        <w:rPr/>
        <w:t>fraccionamientos</w:t>
      </w:r>
      <w:r>
        <w:rPr>
          <w:spacing w:val="-9"/>
        </w:rPr>
        <w:t> </w:t>
      </w:r>
      <w:r>
        <w:rPr/>
        <w:t>en</w:t>
      </w:r>
      <w:r>
        <w:rPr>
          <w:spacing w:val="-13"/>
        </w:rPr>
        <w:t> </w:t>
      </w:r>
      <w:r>
        <w:rPr/>
        <w:t>coordinación</w:t>
      </w:r>
      <w:r>
        <w:rPr>
          <w:spacing w:val="-12"/>
        </w:rPr>
        <w:t> </w:t>
      </w:r>
      <w:r>
        <w:rPr/>
        <w:t>con</w:t>
      </w:r>
      <w:r>
        <w:rPr>
          <w:spacing w:val="-10"/>
        </w:rPr>
        <w:t> </w:t>
      </w:r>
      <w:r>
        <w:rPr/>
        <w:t>el</w:t>
      </w:r>
      <w:r>
        <w:rPr>
          <w:spacing w:val="-11"/>
        </w:rPr>
        <w:t> </w:t>
      </w:r>
      <w:r>
        <w:rPr/>
        <w:t>Ayuntamiento</w:t>
      </w:r>
      <w:r>
        <w:rPr>
          <w:spacing w:val="-10"/>
        </w:rPr>
        <w:t> </w:t>
      </w:r>
      <w:r>
        <w:rPr/>
        <w:t>deberán llevar a cabo las siguientes obras de urbanización en las áreas de donación:</w:t>
      </w:r>
    </w:p>
    <w:p>
      <w:pPr>
        <w:pStyle w:val="BodyText"/>
      </w:pPr>
    </w:p>
    <w:p>
      <w:pPr>
        <w:pStyle w:val="ListParagraph"/>
        <w:numPr>
          <w:ilvl w:val="0"/>
          <w:numId w:val="132"/>
        </w:numPr>
        <w:tabs>
          <w:tab w:pos="969" w:val="left" w:leader="none"/>
        </w:tabs>
        <w:spacing w:line="240" w:lineRule="auto" w:before="0" w:after="0"/>
        <w:ind w:left="262" w:right="279" w:firstLine="0"/>
        <w:jc w:val="both"/>
        <w:rPr>
          <w:rFonts w:ascii="Arial" w:hAnsi="Arial"/>
          <w:b/>
          <w:sz w:val="20"/>
        </w:rPr>
      </w:pPr>
      <w:r>
        <w:rPr>
          <w:sz w:val="20"/>
        </w:rPr>
        <w:t>En el área de donación destinada a jardines se deberá de construir un sistema artificial de infiltración de agua pluvial al subsuelo cuando las condiciones físicas del terreno y de los escurrimientos</w:t>
      </w:r>
      <w:r>
        <w:rPr>
          <w:spacing w:val="-14"/>
          <w:sz w:val="20"/>
        </w:rPr>
        <w:t> </w:t>
      </w:r>
      <w:r>
        <w:rPr>
          <w:sz w:val="20"/>
        </w:rPr>
        <w:t>hagan</w:t>
      </w:r>
      <w:r>
        <w:rPr>
          <w:spacing w:val="-14"/>
          <w:sz w:val="20"/>
        </w:rPr>
        <w:t> </w:t>
      </w:r>
      <w:r>
        <w:rPr>
          <w:sz w:val="20"/>
        </w:rPr>
        <w:t>factible</w:t>
      </w:r>
      <w:r>
        <w:rPr>
          <w:spacing w:val="-14"/>
          <w:sz w:val="20"/>
        </w:rPr>
        <w:t> </w:t>
      </w:r>
      <w:r>
        <w:rPr>
          <w:sz w:val="20"/>
        </w:rPr>
        <w:t>su</w:t>
      </w:r>
      <w:r>
        <w:rPr>
          <w:spacing w:val="-14"/>
          <w:sz w:val="20"/>
        </w:rPr>
        <w:t> </w:t>
      </w:r>
      <w:r>
        <w:rPr>
          <w:sz w:val="20"/>
        </w:rPr>
        <w:t>operación;</w:t>
      </w:r>
      <w:r>
        <w:rPr>
          <w:spacing w:val="-14"/>
          <w:sz w:val="20"/>
        </w:rPr>
        <w:t> </w:t>
      </w:r>
      <w:r>
        <w:rPr>
          <w:sz w:val="20"/>
        </w:rPr>
        <w:t>deberán</w:t>
      </w:r>
      <w:r>
        <w:rPr>
          <w:spacing w:val="-14"/>
          <w:sz w:val="20"/>
        </w:rPr>
        <w:t> </w:t>
      </w:r>
      <w:r>
        <w:rPr>
          <w:sz w:val="20"/>
        </w:rPr>
        <w:t>entregarse</w:t>
      </w:r>
      <w:r>
        <w:rPr>
          <w:spacing w:val="-14"/>
          <w:sz w:val="20"/>
        </w:rPr>
        <w:t> </w:t>
      </w:r>
      <w:r>
        <w:rPr>
          <w:sz w:val="20"/>
        </w:rPr>
        <w:t>al</w:t>
      </w:r>
      <w:r>
        <w:rPr>
          <w:spacing w:val="-14"/>
          <w:sz w:val="20"/>
        </w:rPr>
        <w:t> </w:t>
      </w:r>
      <w:r>
        <w:rPr>
          <w:sz w:val="20"/>
        </w:rPr>
        <w:t>Ayuntamiento</w:t>
      </w:r>
      <w:r>
        <w:rPr>
          <w:spacing w:val="-14"/>
          <w:sz w:val="20"/>
        </w:rPr>
        <w:t> </w:t>
      </w:r>
      <w:r>
        <w:rPr>
          <w:sz w:val="20"/>
        </w:rPr>
        <w:t>con</w:t>
      </w:r>
      <w:r>
        <w:rPr>
          <w:spacing w:val="-13"/>
          <w:sz w:val="20"/>
        </w:rPr>
        <w:t> </w:t>
      </w:r>
      <w:r>
        <w:rPr>
          <w:sz w:val="20"/>
        </w:rPr>
        <w:t>tomas</w:t>
      </w:r>
      <w:r>
        <w:rPr>
          <w:spacing w:val="-14"/>
          <w:sz w:val="20"/>
        </w:rPr>
        <w:t> </w:t>
      </w:r>
      <w:r>
        <w:rPr>
          <w:sz w:val="20"/>
        </w:rPr>
        <w:t>de</w:t>
      </w:r>
      <w:r>
        <w:rPr>
          <w:spacing w:val="-14"/>
          <w:sz w:val="20"/>
        </w:rPr>
        <w:t> </w:t>
      </w:r>
      <w:r>
        <w:rPr>
          <w:sz w:val="20"/>
        </w:rPr>
        <w:t>agua, banquetas, guarniciones, botes o contenedores de basura urbana, arboladas y con alumbrado </w:t>
      </w:r>
      <w:r>
        <w:rPr>
          <w:spacing w:val="-2"/>
          <w:sz w:val="20"/>
        </w:rPr>
        <w:t>público;</w:t>
      </w:r>
    </w:p>
    <w:p>
      <w:pPr>
        <w:pStyle w:val="BodyText"/>
        <w:spacing w:before="12"/>
      </w:pPr>
    </w:p>
    <w:p>
      <w:pPr>
        <w:pStyle w:val="ListParagraph"/>
        <w:numPr>
          <w:ilvl w:val="0"/>
          <w:numId w:val="132"/>
        </w:numPr>
        <w:tabs>
          <w:tab w:pos="544" w:val="left" w:leader="none"/>
        </w:tabs>
        <w:spacing w:line="230" w:lineRule="auto" w:before="0" w:after="0"/>
        <w:ind w:left="262" w:right="285" w:firstLine="0"/>
        <w:jc w:val="both"/>
        <w:rPr>
          <w:rFonts w:ascii="Roboto Lt" w:hAnsi="Roboto Lt"/>
          <w:sz w:val="24"/>
        </w:rPr>
      </w:pPr>
      <w:r>
        <w:rPr>
          <w:sz w:val="20"/>
        </w:rPr>
        <w:t>En caso de que el fraccionamiento no cuente con agua suficiente para el adecuado mantenimiento de jardines o áreas arboladas en el área de donación, se llevará a cabo la construcción de obras de equipamiento deportivo;</w:t>
      </w:r>
    </w:p>
    <w:p>
      <w:pPr>
        <w:pStyle w:val="BodyText"/>
        <w:spacing w:before="14"/>
      </w:pPr>
    </w:p>
    <w:p>
      <w:pPr>
        <w:pStyle w:val="ListParagraph"/>
        <w:numPr>
          <w:ilvl w:val="0"/>
          <w:numId w:val="132"/>
        </w:numPr>
        <w:tabs>
          <w:tab w:pos="741" w:val="left" w:leader="none"/>
        </w:tabs>
        <w:spacing w:line="240" w:lineRule="auto" w:before="0" w:after="0"/>
        <w:ind w:left="262" w:right="284" w:firstLine="0"/>
        <w:jc w:val="both"/>
        <w:rPr>
          <w:rFonts w:ascii="Arial" w:hAnsi="Arial"/>
          <w:b/>
          <w:sz w:val="20"/>
        </w:rPr>
      </w:pPr>
      <w:r>
        <w:rPr>
          <w:sz w:val="20"/>
        </w:rPr>
        <w:t>Toda</w:t>
      </w:r>
      <w:r>
        <w:rPr>
          <w:spacing w:val="-8"/>
          <w:sz w:val="20"/>
        </w:rPr>
        <w:t> </w:t>
      </w:r>
      <w:r>
        <w:rPr>
          <w:sz w:val="20"/>
        </w:rPr>
        <w:t>área</w:t>
      </w:r>
      <w:r>
        <w:rPr>
          <w:spacing w:val="-8"/>
          <w:sz w:val="20"/>
        </w:rPr>
        <w:t> </w:t>
      </w:r>
      <w:r>
        <w:rPr>
          <w:sz w:val="20"/>
        </w:rPr>
        <w:t>de</w:t>
      </w:r>
      <w:r>
        <w:rPr>
          <w:spacing w:val="-8"/>
          <w:sz w:val="20"/>
        </w:rPr>
        <w:t> </w:t>
      </w:r>
      <w:r>
        <w:rPr>
          <w:sz w:val="20"/>
        </w:rPr>
        <w:t>donación</w:t>
      </w:r>
      <w:r>
        <w:rPr>
          <w:spacing w:val="-8"/>
          <w:sz w:val="20"/>
        </w:rPr>
        <w:t> </w:t>
      </w:r>
      <w:r>
        <w:rPr>
          <w:sz w:val="20"/>
        </w:rPr>
        <w:t>destinada</w:t>
      </w:r>
      <w:r>
        <w:rPr>
          <w:spacing w:val="-8"/>
          <w:sz w:val="20"/>
        </w:rPr>
        <w:t> </w:t>
      </w:r>
      <w:r>
        <w:rPr>
          <w:sz w:val="20"/>
        </w:rPr>
        <w:t>a</w:t>
      </w:r>
      <w:r>
        <w:rPr>
          <w:spacing w:val="-8"/>
          <w:sz w:val="20"/>
        </w:rPr>
        <w:t> </w:t>
      </w:r>
      <w:r>
        <w:rPr>
          <w:sz w:val="20"/>
        </w:rPr>
        <w:t>equipamiento</w:t>
      </w:r>
      <w:r>
        <w:rPr>
          <w:spacing w:val="-8"/>
          <w:sz w:val="20"/>
        </w:rPr>
        <w:t> </w:t>
      </w:r>
      <w:r>
        <w:rPr>
          <w:sz w:val="20"/>
        </w:rPr>
        <w:t>deberá</w:t>
      </w:r>
      <w:r>
        <w:rPr>
          <w:spacing w:val="-7"/>
          <w:sz w:val="20"/>
        </w:rPr>
        <w:t> </w:t>
      </w:r>
      <w:r>
        <w:rPr>
          <w:sz w:val="20"/>
        </w:rPr>
        <w:t>contar</w:t>
      </w:r>
      <w:r>
        <w:rPr>
          <w:spacing w:val="-7"/>
          <w:sz w:val="20"/>
        </w:rPr>
        <w:t> </w:t>
      </w:r>
      <w:r>
        <w:rPr>
          <w:sz w:val="20"/>
        </w:rPr>
        <w:t>con</w:t>
      </w:r>
      <w:r>
        <w:rPr>
          <w:spacing w:val="-8"/>
          <w:sz w:val="20"/>
        </w:rPr>
        <w:t> </w:t>
      </w:r>
      <w:r>
        <w:rPr>
          <w:sz w:val="20"/>
        </w:rPr>
        <w:t>tomas</w:t>
      </w:r>
      <w:r>
        <w:rPr>
          <w:spacing w:val="-7"/>
          <w:sz w:val="20"/>
        </w:rPr>
        <w:t> </w:t>
      </w:r>
      <w:r>
        <w:rPr>
          <w:sz w:val="20"/>
        </w:rPr>
        <w:t>de</w:t>
      </w:r>
      <w:r>
        <w:rPr>
          <w:spacing w:val="-8"/>
          <w:sz w:val="20"/>
        </w:rPr>
        <w:t> </w:t>
      </w:r>
      <w:r>
        <w:rPr>
          <w:sz w:val="20"/>
        </w:rPr>
        <w:t>agua,</w:t>
      </w:r>
      <w:r>
        <w:rPr>
          <w:spacing w:val="-7"/>
          <w:sz w:val="20"/>
        </w:rPr>
        <w:t> </w:t>
      </w:r>
      <w:r>
        <w:rPr>
          <w:sz w:val="20"/>
        </w:rPr>
        <w:t>descarga de albañal, banquetas, guarniciones y alumbrado público, y</w:t>
      </w:r>
    </w:p>
    <w:p>
      <w:pPr>
        <w:pStyle w:val="ListParagraph"/>
        <w:numPr>
          <w:ilvl w:val="0"/>
          <w:numId w:val="132"/>
        </w:numPr>
        <w:tabs>
          <w:tab w:pos="688" w:val="left" w:leader="none"/>
        </w:tabs>
        <w:spacing w:line="240" w:lineRule="auto" w:before="229" w:after="0"/>
        <w:ind w:left="262" w:right="284" w:firstLine="0"/>
        <w:jc w:val="both"/>
        <w:rPr>
          <w:rFonts w:ascii="Arial" w:hAnsi="Arial"/>
          <w:b/>
          <w:sz w:val="20"/>
        </w:rPr>
      </w:pPr>
      <w:r>
        <w:rPr>
          <w:sz w:val="20"/>
        </w:rPr>
        <w:t>Las obras de equipamiento para fraccionamiento industrial comprenderá: área ajardinada, módulo deportivo y centro de capacitación para trabajadores.</w:t>
      </w:r>
    </w:p>
    <w:p>
      <w:pPr>
        <w:pStyle w:val="BodyText"/>
      </w:pPr>
    </w:p>
    <w:p>
      <w:pPr>
        <w:pStyle w:val="BodyText"/>
      </w:pPr>
    </w:p>
    <w:p>
      <w:pPr>
        <w:pStyle w:val="Heading2"/>
        <w:ind w:right="17"/>
      </w:pPr>
      <w:r>
        <w:rPr/>
        <w:t>Capítulo</w:t>
      </w:r>
      <w:r>
        <w:rPr>
          <w:spacing w:val="-8"/>
        </w:rPr>
        <w:t> </w:t>
      </w:r>
      <w:r>
        <w:rPr>
          <w:spacing w:val="-5"/>
        </w:rPr>
        <w:t>III</w:t>
      </w:r>
    </w:p>
    <w:p>
      <w:pPr>
        <w:pStyle w:val="BodyText"/>
        <w:rPr>
          <w:rFonts w:ascii="Arial"/>
          <w:b/>
        </w:rPr>
      </w:pPr>
    </w:p>
    <w:p>
      <w:pPr>
        <w:spacing w:before="1"/>
        <w:ind w:left="5" w:right="24" w:firstLine="0"/>
        <w:jc w:val="center"/>
        <w:rPr>
          <w:rFonts w:ascii="Arial"/>
          <w:b/>
          <w:sz w:val="20"/>
        </w:rPr>
      </w:pPr>
      <w:r>
        <w:rPr>
          <w:rFonts w:ascii="Arial"/>
          <w:b/>
          <w:sz w:val="20"/>
        </w:rPr>
        <w:t>Sistemas</w:t>
      </w:r>
      <w:r>
        <w:rPr>
          <w:rFonts w:ascii="Arial"/>
          <w:b/>
          <w:spacing w:val="-10"/>
          <w:sz w:val="20"/>
        </w:rPr>
        <w:t> </w:t>
      </w:r>
      <w:r>
        <w:rPr>
          <w:rFonts w:ascii="Arial"/>
          <w:b/>
          <w:sz w:val="20"/>
        </w:rPr>
        <w:t>de</w:t>
      </w:r>
      <w:r>
        <w:rPr>
          <w:rFonts w:ascii="Arial"/>
          <w:b/>
          <w:spacing w:val="-5"/>
          <w:sz w:val="20"/>
        </w:rPr>
        <w:t> </w:t>
      </w:r>
      <w:r>
        <w:rPr>
          <w:rFonts w:ascii="Arial"/>
          <w:b/>
          <w:sz w:val="20"/>
        </w:rPr>
        <w:t>Agua</w:t>
      </w:r>
      <w:r>
        <w:rPr>
          <w:rFonts w:ascii="Arial"/>
          <w:b/>
          <w:spacing w:val="-7"/>
          <w:sz w:val="20"/>
        </w:rPr>
        <w:t> </w:t>
      </w:r>
      <w:r>
        <w:rPr>
          <w:rFonts w:ascii="Arial"/>
          <w:b/>
          <w:sz w:val="20"/>
        </w:rPr>
        <w:t>Potable,</w:t>
      </w:r>
      <w:r>
        <w:rPr>
          <w:rFonts w:ascii="Arial"/>
          <w:b/>
          <w:spacing w:val="-8"/>
          <w:sz w:val="20"/>
        </w:rPr>
        <w:t> </w:t>
      </w:r>
      <w:r>
        <w:rPr>
          <w:rFonts w:ascii="Arial"/>
          <w:b/>
          <w:sz w:val="20"/>
        </w:rPr>
        <w:t>Alcantarillado</w:t>
      </w:r>
      <w:r>
        <w:rPr>
          <w:rFonts w:ascii="Arial"/>
          <w:b/>
          <w:spacing w:val="-7"/>
          <w:sz w:val="20"/>
        </w:rPr>
        <w:t> </w:t>
      </w:r>
      <w:r>
        <w:rPr>
          <w:rFonts w:ascii="Arial"/>
          <w:b/>
          <w:sz w:val="20"/>
        </w:rPr>
        <w:t>y</w:t>
      </w:r>
      <w:r>
        <w:rPr>
          <w:rFonts w:ascii="Arial"/>
          <w:b/>
          <w:spacing w:val="-7"/>
          <w:sz w:val="20"/>
        </w:rPr>
        <w:t> </w:t>
      </w:r>
      <w:r>
        <w:rPr>
          <w:rFonts w:ascii="Arial"/>
          <w:b/>
          <w:spacing w:val="-2"/>
          <w:sz w:val="20"/>
        </w:rPr>
        <w:t>Drenaje</w:t>
      </w:r>
    </w:p>
    <w:p>
      <w:pPr>
        <w:pStyle w:val="BodyText"/>
        <w:rPr>
          <w:rFonts w:ascii="Arial"/>
          <w:b/>
        </w:rPr>
      </w:pPr>
    </w:p>
    <w:p>
      <w:pPr>
        <w:pStyle w:val="BodyText"/>
        <w:ind w:left="262" w:right="278"/>
        <w:jc w:val="both"/>
      </w:pPr>
      <w:r>
        <w:rPr>
          <w:rFonts w:ascii="Arial" w:hAnsi="Arial"/>
          <w:b/>
        </w:rPr>
        <w:t>ARTÍCULO 391. </w:t>
      </w:r>
      <w:r>
        <w:rPr/>
        <w:t>Cuando en los fraccionamientos o condominios especiales, a excepción de los industriales, no sea posible realizar un sistema de alcantarillado por razones técnicas, en virtud de no contarse con un lugar adecuado para la descarga, u otro motivo similar, el Ayuntamiento podrá autorizar al fraccionador o promotor la construcción de una fosa séptica por lote o planta de tratamiento de agua residual, respetando los lineamientos que el mismo le señale.</w:t>
      </w:r>
    </w:p>
    <w:p>
      <w:pPr>
        <w:pStyle w:val="BodyText"/>
      </w:pPr>
    </w:p>
    <w:p>
      <w:pPr>
        <w:pStyle w:val="BodyText"/>
        <w:spacing w:before="1"/>
        <w:ind w:left="262" w:right="280"/>
        <w:jc w:val="both"/>
      </w:pPr>
      <w:r>
        <w:rPr>
          <w:rFonts w:ascii="Arial" w:hAnsi="Arial"/>
          <w:b/>
        </w:rPr>
        <w:t>ARTÍCULO</w:t>
      </w:r>
      <w:r>
        <w:rPr>
          <w:rFonts w:ascii="Arial" w:hAnsi="Arial"/>
          <w:b/>
          <w:spacing w:val="-14"/>
        </w:rPr>
        <w:t> </w:t>
      </w:r>
      <w:r>
        <w:rPr>
          <w:rFonts w:ascii="Arial" w:hAnsi="Arial"/>
          <w:b/>
        </w:rPr>
        <w:t>392.</w:t>
      </w:r>
      <w:r>
        <w:rPr>
          <w:rFonts w:ascii="Arial" w:hAnsi="Arial"/>
          <w:b/>
          <w:spacing w:val="-14"/>
        </w:rPr>
        <w:t> </w:t>
      </w:r>
      <w:r>
        <w:rPr/>
        <w:t>La</w:t>
      </w:r>
      <w:r>
        <w:rPr>
          <w:spacing w:val="-14"/>
        </w:rPr>
        <w:t> </w:t>
      </w:r>
      <w:r>
        <w:rPr/>
        <w:t>perforación</w:t>
      </w:r>
      <w:r>
        <w:rPr>
          <w:spacing w:val="-14"/>
        </w:rPr>
        <w:t> </w:t>
      </w:r>
      <w:r>
        <w:rPr/>
        <w:t>y</w:t>
      </w:r>
      <w:r>
        <w:rPr>
          <w:spacing w:val="-14"/>
        </w:rPr>
        <w:t> </w:t>
      </w:r>
      <w:r>
        <w:rPr/>
        <w:t>aprovechamiento</w:t>
      </w:r>
      <w:r>
        <w:rPr>
          <w:spacing w:val="-14"/>
        </w:rPr>
        <w:t> </w:t>
      </w:r>
      <w:r>
        <w:rPr/>
        <w:t>de</w:t>
      </w:r>
      <w:r>
        <w:rPr>
          <w:spacing w:val="-14"/>
        </w:rPr>
        <w:t> </w:t>
      </w:r>
      <w:r>
        <w:rPr/>
        <w:t>pozos</w:t>
      </w:r>
      <w:r>
        <w:rPr>
          <w:spacing w:val="-14"/>
        </w:rPr>
        <w:t> </w:t>
      </w:r>
      <w:r>
        <w:rPr/>
        <w:t>para</w:t>
      </w:r>
      <w:r>
        <w:rPr>
          <w:spacing w:val="-14"/>
        </w:rPr>
        <w:t> </w:t>
      </w:r>
      <w:r>
        <w:rPr/>
        <w:t>el</w:t>
      </w:r>
      <w:r>
        <w:rPr>
          <w:spacing w:val="-13"/>
        </w:rPr>
        <w:t> </w:t>
      </w:r>
      <w:r>
        <w:rPr/>
        <w:t>abastecimiento</w:t>
      </w:r>
      <w:r>
        <w:rPr>
          <w:spacing w:val="-14"/>
        </w:rPr>
        <w:t> </w:t>
      </w:r>
      <w:r>
        <w:rPr/>
        <w:t>de</w:t>
      </w:r>
      <w:r>
        <w:rPr>
          <w:spacing w:val="-14"/>
        </w:rPr>
        <w:t> </w:t>
      </w:r>
      <w:r>
        <w:rPr/>
        <w:t>agua</w:t>
      </w:r>
      <w:r>
        <w:rPr>
          <w:spacing w:val="-14"/>
        </w:rPr>
        <w:t> </w:t>
      </w:r>
      <w:r>
        <w:rPr/>
        <w:t>potable en los fraccionamientos, condominios y desarrollos inmobiliarios especiales, sólo podrá realizarse mediante la autorización por escrito de la autoridad competente y respetando las especificaciones que ésta determine, con base en las disposiciones jurídicas aplicables.</w:t>
      </w:r>
    </w:p>
    <w:p>
      <w:pPr>
        <w:pStyle w:val="BodyText"/>
      </w:pPr>
    </w:p>
    <w:p>
      <w:pPr>
        <w:pStyle w:val="BodyText"/>
        <w:ind w:left="262" w:right="286"/>
        <w:jc w:val="both"/>
      </w:pPr>
      <w:r>
        <w:rPr/>
        <w:t>La</w:t>
      </w:r>
      <w:r>
        <w:rPr>
          <w:spacing w:val="-10"/>
        </w:rPr>
        <w:t> </w:t>
      </w:r>
      <w:r>
        <w:rPr/>
        <w:t>Comisión</w:t>
      </w:r>
      <w:r>
        <w:rPr>
          <w:spacing w:val="-8"/>
        </w:rPr>
        <w:t> </w:t>
      </w:r>
      <w:r>
        <w:rPr/>
        <w:t>Estatal</w:t>
      </w:r>
      <w:r>
        <w:rPr>
          <w:spacing w:val="-9"/>
        </w:rPr>
        <w:t> </w:t>
      </w:r>
      <w:r>
        <w:rPr/>
        <w:t>del</w:t>
      </w:r>
      <w:r>
        <w:rPr>
          <w:spacing w:val="-8"/>
        </w:rPr>
        <w:t> </w:t>
      </w:r>
      <w:r>
        <w:rPr/>
        <w:t>Agua</w:t>
      </w:r>
      <w:r>
        <w:rPr>
          <w:spacing w:val="-10"/>
        </w:rPr>
        <w:t> </w:t>
      </w:r>
      <w:r>
        <w:rPr/>
        <w:t>y</w:t>
      </w:r>
      <w:r>
        <w:rPr>
          <w:spacing w:val="-6"/>
        </w:rPr>
        <w:t> </w:t>
      </w:r>
      <w:r>
        <w:rPr/>
        <w:t>demás</w:t>
      </w:r>
      <w:r>
        <w:rPr>
          <w:spacing w:val="-6"/>
        </w:rPr>
        <w:t> </w:t>
      </w:r>
      <w:r>
        <w:rPr/>
        <w:t>autoridades</w:t>
      </w:r>
      <w:r>
        <w:rPr>
          <w:spacing w:val="-9"/>
        </w:rPr>
        <w:t> </w:t>
      </w:r>
      <w:r>
        <w:rPr/>
        <w:t>y</w:t>
      </w:r>
      <w:r>
        <w:rPr>
          <w:spacing w:val="-6"/>
        </w:rPr>
        <w:t> </w:t>
      </w:r>
      <w:r>
        <w:rPr/>
        <w:t>organismos</w:t>
      </w:r>
      <w:r>
        <w:rPr>
          <w:spacing w:val="-9"/>
        </w:rPr>
        <w:t> </w:t>
      </w:r>
      <w:r>
        <w:rPr/>
        <w:t>operadores</w:t>
      </w:r>
      <w:r>
        <w:rPr>
          <w:spacing w:val="40"/>
        </w:rPr>
        <w:t> </w:t>
      </w:r>
      <w:r>
        <w:rPr/>
        <w:t>estatal</w:t>
      </w:r>
      <w:r>
        <w:rPr>
          <w:spacing w:val="-8"/>
        </w:rPr>
        <w:t> </w:t>
      </w:r>
      <w:r>
        <w:rPr/>
        <w:t>y</w:t>
      </w:r>
      <w:r>
        <w:rPr>
          <w:spacing w:val="-6"/>
        </w:rPr>
        <w:t> </w:t>
      </w:r>
      <w:r>
        <w:rPr/>
        <w:t>municipales, tendrán la intervención que les establece la Ley de Aguas para el Estado, en coordinación con la Comisión Nacional del Agua.</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1"/>
        <w:jc w:val="both"/>
      </w:pPr>
      <w:r>
        <w:rPr>
          <w:rFonts w:ascii="Arial" w:hAnsi="Arial"/>
          <w:b/>
        </w:rPr>
        <w:t>ARTÍCULO 393. </w:t>
      </w:r>
      <w:r>
        <w:rPr/>
        <w:t>Cuando en el predio por fraccionar, constituir un condominio o ejecutar un desarrollo</w:t>
      </w:r>
      <w:r>
        <w:rPr>
          <w:spacing w:val="-12"/>
        </w:rPr>
        <w:t> </w:t>
      </w:r>
      <w:r>
        <w:rPr/>
        <w:t>inmobiliario</w:t>
      </w:r>
      <w:r>
        <w:rPr>
          <w:spacing w:val="-10"/>
        </w:rPr>
        <w:t> </w:t>
      </w:r>
      <w:r>
        <w:rPr/>
        <w:t>especial,</w:t>
      </w:r>
      <w:r>
        <w:rPr>
          <w:spacing w:val="-12"/>
        </w:rPr>
        <w:t> </w:t>
      </w:r>
      <w:r>
        <w:rPr/>
        <w:t>exista</w:t>
      </w:r>
      <w:r>
        <w:rPr>
          <w:spacing w:val="-13"/>
        </w:rPr>
        <w:t> </w:t>
      </w:r>
      <w:r>
        <w:rPr/>
        <w:t>autorizada</w:t>
      </w:r>
      <w:r>
        <w:rPr>
          <w:spacing w:val="-13"/>
        </w:rPr>
        <w:t> </w:t>
      </w:r>
      <w:r>
        <w:rPr/>
        <w:t>una</w:t>
      </w:r>
      <w:r>
        <w:rPr>
          <w:spacing w:val="-12"/>
        </w:rPr>
        <w:t> </w:t>
      </w:r>
      <w:r>
        <w:rPr/>
        <w:t>fuente</w:t>
      </w:r>
      <w:r>
        <w:rPr>
          <w:spacing w:val="-12"/>
        </w:rPr>
        <w:t> </w:t>
      </w:r>
      <w:r>
        <w:rPr/>
        <w:t>de</w:t>
      </w:r>
      <w:r>
        <w:rPr>
          <w:spacing w:val="-13"/>
        </w:rPr>
        <w:t> </w:t>
      </w:r>
      <w:r>
        <w:rPr/>
        <w:t>abastecimiento</w:t>
      </w:r>
      <w:r>
        <w:rPr>
          <w:spacing w:val="-12"/>
        </w:rPr>
        <w:t> </w:t>
      </w:r>
      <w:r>
        <w:rPr/>
        <w:t>para</w:t>
      </w:r>
      <w:r>
        <w:rPr>
          <w:spacing w:val="-12"/>
        </w:rPr>
        <w:t> </w:t>
      </w:r>
      <w:r>
        <w:rPr/>
        <w:t>usos</w:t>
      </w:r>
      <w:r>
        <w:rPr>
          <w:spacing w:val="-11"/>
        </w:rPr>
        <w:t> </w:t>
      </w:r>
      <w:r>
        <w:rPr/>
        <w:t>diferentes al que se pretende dar según el proyecto, deberá recabarse de la Comisión Nacional del Agua la autorización</w:t>
      </w:r>
      <w:r>
        <w:rPr>
          <w:spacing w:val="-14"/>
        </w:rPr>
        <w:t> </w:t>
      </w:r>
      <w:r>
        <w:rPr/>
        <w:t>para</w:t>
      </w:r>
      <w:r>
        <w:rPr>
          <w:spacing w:val="-14"/>
        </w:rPr>
        <w:t> </w:t>
      </w:r>
      <w:r>
        <w:rPr/>
        <w:t>el</w:t>
      </w:r>
      <w:r>
        <w:rPr>
          <w:spacing w:val="-14"/>
        </w:rPr>
        <w:t> </w:t>
      </w:r>
      <w:r>
        <w:rPr/>
        <w:t>cambio</w:t>
      </w:r>
      <w:r>
        <w:rPr>
          <w:spacing w:val="-14"/>
        </w:rPr>
        <w:t> </w:t>
      </w:r>
      <w:r>
        <w:rPr/>
        <w:t>de</w:t>
      </w:r>
      <w:r>
        <w:rPr>
          <w:spacing w:val="-14"/>
        </w:rPr>
        <w:t> </w:t>
      </w:r>
      <w:r>
        <w:rPr/>
        <w:t>uso</w:t>
      </w:r>
      <w:r>
        <w:rPr>
          <w:spacing w:val="-14"/>
        </w:rPr>
        <w:t> </w:t>
      </w:r>
      <w:r>
        <w:rPr/>
        <w:t>del</w:t>
      </w:r>
      <w:r>
        <w:rPr>
          <w:spacing w:val="-14"/>
        </w:rPr>
        <w:t> </w:t>
      </w:r>
      <w:r>
        <w:rPr/>
        <w:t>aprovechamiento</w:t>
      </w:r>
      <w:r>
        <w:rPr>
          <w:spacing w:val="-14"/>
        </w:rPr>
        <w:t> </w:t>
      </w:r>
      <w:r>
        <w:rPr/>
        <w:t>hidráulico</w:t>
      </w:r>
      <w:r>
        <w:rPr>
          <w:spacing w:val="-14"/>
        </w:rPr>
        <w:t> </w:t>
      </w:r>
      <w:r>
        <w:rPr/>
        <w:t>correspondiente,</w:t>
      </w:r>
      <w:r>
        <w:rPr>
          <w:spacing w:val="-13"/>
        </w:rPr>
        <w:t> </w:t>
      </w:r>
      <w:r>
        <w:rPr/>
        <w:t>en</w:t>
      </w:r>
      <w:r>
        <w:rPr>
          <w:spacing w:val="-14"/>
        </w:rPr>
        <w:t> </w:t>
      </w:r>
      <w:r>
        <w:rPr/>
        <w:t>coordinación con las autoridades y organismos operadores estatal y municipales.</w:t>
      </w:r>
    </w:p>
    <w:p>
      <w:pPr>
        <w:pStyle w:val="BodyText"/>
      </w:pPr>
    </w:p>
    <w:p>
      <w:pPr>
        <w:pStyle w:val="BodyText"/>
        <w:ind w:left="262" w:right="277"/>
        <w:jc w:val="both"/>
      </w:pPr>
      <w:r>
        <w:rPr>
          <w:rFonts w:ascii="Arial" w:hAnsi="Arial"/>
          <w:b/>
        </w:rPr>
        <w:t>ARTÍCULO 394. </w:t>
      </w:r>
      <w:r>
        <w:rPr/>
        <w:t>El Ayuntamiento y o el organismo operador podrá conectar un fraccionamiento, condominio o desarrollo inmobiliario especial a la red municipal de agua potable y alcantarillado cuando se garantice, previo estudio de factibilidad positivo, la suficiencia de ese servicio. El fraccionador o promotor deberá pagar los derechos de conexión correspondientes de acuerdo a la Ley de Aguas del Estado.</w:t>
      </w:r>
    </w:p>
    <w:p>
      <w:pPr>
        <w:pStyle w:val="BodyText"/>
        <w:spacing w:before="1"/>
      </w:pPr>
    </w:p>
    <w:p>
      <w:pPr>
        <w:pStyle w:val="BodyText"/>
        <w:ind w:left="262" w:right="278"/>
        <w:jc w:val="both"/>
      </w:pPr>
      <w:r>
        <w:rPr>
          <w:rFonts w:ascii="Arial" w:hAnsi="Arial"/>
          <w:b/>
        </w:rPr>
        <w:t>ARTÍCULO 395. </w:t>
      </w:r>
      <w:r>
        <w:rPr/>
        <w:t>En el caso de los fraccionamientos ubicados en centros de población con más de cien mil habitantes, la perforación y equipamiento de los pozos de agua potable que se requieran, podrá</w:t>
      </w:r>
      <w:r>
        <w:rPr>
          <w:spacing w:val="-6"/>
        </w:rPr>
        <w:t> </w:t>
      </w:r>
      <w:r>
        <w:rPr/>
        <w:t>realizarse</w:t>
      </w:r>
      <w:r>
        <w:rPr>
          <w:spacing w:val="-7"/>
        </w:rPr>
        <w:t> </w:t>
      </w:r>
      <w:r>
        <w:rPr/>
        <w:t>indistintamente</w:t>
      </w:r>
      <w:r>
        <w:rPr>
          <w:spacing w:val="-5"/>
        </w:rPr>
        <w:t> </w:t>
      </w:r>
      <w:r>
        <w:rPr/>
        <w:t>por</w:t>
      </w:r>
      <w:r>
        <w:rPr>
          <w:spacing w:val="-6"/>
        </w:rPr>
        <w:t> </w:t>
      </w:r>
      <w:r>
        <w:rPr/>
        <w:t>el</w:t>
      </w:r>
      <w:r>
        <w:rPr>
          <w:spacing w:val="-7"/>
        </w:rPr>
        <w:t> </w:t>
      </w:r>
      <w:r>
        <w:rPr/>
        <w:t>fraccionador</w:t>
      </w:r>
      <w:r>
        <w:rPr>
          <w:spacing w:val="-6"/>
        </w:rPr>
        <w:t> </w:t>
      </w:r>
      <w:r>
        <w:rPr/>
        <w:t>o</w:t>
      </w:r>
      <w:r>
        <w:rPr>
          <w:spacing w:val="-7"/>
        </w:rPr>
        <w:t> </w:t>
      </w:r>
      <w:r>
        <w:rPr/>
        <w:t>el</w:t>
      </w:r>
      <w:r>
        <w:rPr>
          <w:spacing w:val="-7"/>
        </w:rPr>
        <w:t> </w:t>
      </w:r>
      <w:r>
        <w:rPr/>
        <w:t>ayuntamiento</w:t>
      </w:r>
      <w:r>
        <w:rPr>
          <w:spacing w:val="-7"/>
        </w:rPr>
        <w:t> </w:t>
      </w:r>
      <w:r>
        <w:rPr/>
        <w:t>u</w:t>
      </w:r>
      <w:r>
        <w:rPr>
          <w:spacing w:val="-5"/>
        </w:rPr>
        <w:t> </w:t>
      </w:r>
      <w:r>
        <w:rPr/>
        <w:t>organismo</w:t>
      </w:r>
      <w:r>
        <w:rPr>
          <w:spacing w:val="-5"/>
        </w:rPr>
        <w:t> </w:t>
      </w:r>
      <w:r>
        <w:rPr/>
        <w:t>operador,</w:t>
      </w:r>
      <w:r>
        <w:rPr>
          <w:spacing w:val="-6"/>
        </w:rPr>
        <w:t> </w:t>
      </w:r>
      <w:r>
        <w:rPr/>
        <w:t>previo convenio</w:t>
      </w:r>
      <w:r>
        <w:rPr>
          <w:spacing w:val="-4"/>
        </w:rPr>
        <w:t> </w:t>
      </w:r>
      <w:r>
        <w:rPr/>
        <w:t>entre</w:t>
      </w:r>
      <w:r>
        <w:rPr>
          <w:spacing w:val="-2"/>
        </w:rPr>
        <w:t> </w:t>
      </w:r>
      <w:r>
        <w:rPr/>
        <w:t>las</w:t>
      </w:r>
      <w:r>
        <w:rPr>
          <w:spacing w:val="-3"/>
        </w:rPr>
        <w:t> </w:t>
      </w:r>
      <w:r>
        <w:rPr/>
        <w:t>partes, de</w:t>
      </w:r>
      <w:r>
        <w:rPr>
          <w:spacing w:val="-5"/>
        </w:rPr>
        <w:t> </w:t>
      </w:r>
      <w:r>
        <w:rPr/>
        <w:t>acuerdo</w:t>
      </w:r>
      <w:r>
        <w:rPr>
          <w:spacing w:val="-2"/>
        </w:rPr>
        <w:t> </w:t>
      </w:r>
      <w:r>
        <w:rPr/>
        <w:t>a</w:t>
      </w:r>
      <w:r>
        <w:rPr>
          <w:spacing w:val="-3"/>
        </w:rPr>
        <w:t> </w:t>
      </w:r>
      <w:r>
        <w:rPr/>
        <w:t>las</w:t>
      </w:r>
      <w:r>
        <w:rPr>
          <w:spacing w:val="-3"/>
        </w:rPr>
        <w:t> </w:t>
      </w:r>
      <w:r>
        <w:rPr/>
        <w:t>normas</w:t>
      </w:r>
      <w:r>
        <w:rPr>
          <w:spacing w:val="-3"/>
        </w:rPr>
        <w:t> </w:t>
      </w:r>
      <w:r>
        <w:rPr/>
        <w:t>y</w:t>
      </w:r>
      <w:r>
        <w:rPr>
          <w:spacing w:val="-1"/>
        </w:rPr>
        <w:t> </w:t>
      </w:r>
      <w:r>
        <w:rPr/>
        <w:t>especificaciones</w:t>
      </w:r>
      <w:r>
        <w:rPr>
          <w:spacing w:val="-3"/>
        </w:rPr>
        <w:t> </w:t>
      </w:r>
      <w:r>
        <w:rPr/>
        <w:t>que</w:t>
      </w:r>
      <w:r>
        <w:rPr>
          <w:spacing w:val="-2"/>
        </w:rPr>
        <w:t> </w:t>
      </w:r>
      <w:r>
        <w:rPr/>
        <w:t>la</w:t>
      </w:r>
      <w:r>
        <w:rPr>
          <w:spacing w:val="-4"/>
        </w:rPr>
        <w:t> </w:t>
      </w:r>
      <w:r>
        <w:rPr/>
        <w:t>autoridad</w:t>
      </w:r>
      <w:r>
        <w:rPr>
          <w:spacing w:val="-4"/>
        </w:rPr>
        <w:t> </w:t>
      </w:r>
      <w:r>
        <w:rPr/>
        <w:t>competente en</w:t>
      </w:r>
      <w:r>
        <w:rPr>
          <w:spacing w:val="-9"/>
        </w:rPr>
        <w:t> </w:t>
      </w:r>
      <w:r>
        <w:rPr/>
        <w:t>materia</w:t>
      </w:r>
      <w:r>
        <w:rPr>
          <w:spacing w:val="-9"/>
        </w:rPr>
        <w:t> </w:t>
      </w:r>
      <w:r>
        <w:rPr/>
        <w:t>de</w:t>
      </w:r>
      <w:r>
        <w:rPr>
          <w:spacing w:val="-9"/>
        </w:rPr>
        <w:t> </w:t>
      </w:r>
      <w:r>
        <w:rPr/>
        <w:t>Agua</w:t>
      </w:r>
      <w:r>
        <w:rPr>
          <w:spacing w:val="-7"/>
        </w:rPr>
        <w:t> </w:t>
      </w:r>
      <w:r>
        <w:rPr/>
        <w:t>determine.</w:t>
      </w:r>
      <w:r>
        <w:rPr>
          <w:spacing w:val="-9"/>
        </w:rPr>
        <w:t> </w:t>
      </w:r>
      <w:r>
        <w:rPr/>
        <w:t>Los</w:t>
      </w:r>
      <w:r>
        <w:rPr>
          <w:spacing w:val="-8"/>
        </w:rPr>
        <w:t> </w:t>
      </w:r>
      <w:r>
        <w:rPr/>
        <w:t>montos</w:t>
      </w:r>
      <w:r>
        <w:rPr>
          <w:spacing w:val="-8"/>
        </w:rPr>
        <w:t> </w:t>
      </w:r>
      <w:r>
        <w:rPr/>
        <w:t>de</w:t>
      </w:r>
      <w:r>
        <w:rPr>
          <w:spacing w:val="-9"/>
        </w:rPr>
        <w:t> </w:t>
      </w:r>
      <w:r>
        <w:rPr/>
        <w:t>inversión</w:t>
      </w:r>
      <w:r>
        <w:rPr>
          <w:spacing w:val="-9"/>
        </w:rPr>
        <w:t> </w:t>
      </w:r>
      <w:r>
        <w:rPr/>
        <w:t>en</w:t>
      </w:r>
      <w:r>
        <w:rPr>
          <w:spacing w:val="-7"/>
        </w:rPr>
        <w:t> </w:t>
      </w:r>
      <w:r>
        <w:rPr/>
        <w:t>estas</w:t>
      </w:r>
      <w:r>
        <w:rPr>
          <w:spacing w:val="-8"/>
        </w:rPr>
        <w:t> </w:t>
      </w:r>
      <w:r>
        <w:rPr/>
        <w:t>infraestructuras</w:t>
      </w:r>
      <w:r>
        <w:rPr>
          <w:spacing w:val="-5"/>
        </w:rPr>
        <w:t> </w:t>
      </w:r>
      <w:r>
        <w:rPr/>
        <w:t>corresponderán</w:t>
      </w:r>
      <w:r>
        <w:rPr>
          <w:spacing w:val="-9"/>
        </w:rPr>
        <w:t> </w:t>
      </w:r>
      <w:r>
        <w:rPr/>
        <w:t>al fraccionador de acuerdo a la densidad de población autorizada en su fraccionamiento.</w:t>
      </w:r>
    </w:p>
    <w:p>
      <w:pPr>
        <w:pStyle w:val="BodyText"/>
      </w:pPr>
    </w:p>
    <w:p>
      <w:pPr>
        <w:pStyle w:val="BodyText"/>
        <w:ind w:left="262" w:right="281"/>
        <w:jc w:val="both"/>
      </w:pPr>
      <w:r>
        <w:rPr/>
        <w:t>El Ayuntamiento, igualmente, administrará y se hará cargo del mantenimiento de las fuentes de abastecimiento, lo mismo que de las redes de distribución y demás partes del sistema de agua potable, conforme sean puestas en operación, previo convenio con la autoridad correspondiente, aun cuando no se haya municipalizado el fraccionamiento.</w:t>
      </w:r>
    </w:p>
    <w:p>
      <w:pPr>
        <w:pStyle w:val="BodyText"/>
      </w:pPr>
    </w:p>
    <w:p>
      <w:pPr>
        <w:pStyle w:val="BodyText"/>
        <w:spacing w:before="1"/>
      </w:pPr>
    </w:p>
    <w:p>
      <w:pPr>
        <w:pStyle w:val="Heading2"/>
        <w:spacing w:line="480" w:lineRule="auto"/>
        <w:ind w:left="3965" w:right="3983" w:firstLine="2"/>
      </w:pPr>
      <w:r>
        <w:rPr/>
        <w:t>Capítulo IV </w:t>
      </w:r>
      <w:r>
        <w:rPr>
          <w:spacing w:val="-2"/>
        </w:rPr>
        <w:t>Infraestructura</w:t>
      </w:r>
    </w:p>
    <w:p>
      <w:pPr>
        <w:pStyle w:val="BodyText"/>
        <w:ind w:left="262" w:right="278"/>
        <w:jc w:val="both"/>
      </w:pPr>
      <w:r>
        <w:rPr>
          <w:rFonts w:ascii="Arial" w:hAnsi="Arial"/>
          <w:b/>
        </w:rPr>
        <w:t>ARTÍCULO 396. </w:t>
      </w:r>
      <w:r>
        <w:rPr/>
        <w:t>Se declara de utilidad pública, la expropiación de la superficie necesaria para establecer obras de liga, entre el área o predio en el que se pretenda hacer un fraccionamiento, condominio,</w:t>
      </w:r>
      <w:r>
        <w:rPr>
          <w:spacing w:val="-10"/>
        </w:rPr>
        <w:t> </w:t>
      </w:r>
      <w:r>
        <w:rPr/>
        <w:t>desarrollos</w:t>
      </w:r>
      <w:r>
        <w:rPr>
          <w:spacing w:val="-11"/>
        </w:rPr>
        <w:t> </w:t>
      </w:r>
      <w:r>
        <w:rPr/>
        <w:t>inmobiliarios</w:t>
      </w:r>
      <w:r>
        <w:rPr>
          <w:spacing w:val="-11"/>
        </w:rPr>
        <w:t> </w:t>
      </w:r>
      <w:r>
        <w:rPr/>
        <w:t>especiales</w:t>
      </w:r>
      <w:r>
        <w:rPr>
          <w:spacing w:val="-11"/>
        </w:rPr>
        <w:t> </w:t>
      </w:r>
      <w:r>
        <w:rPr/>
        <w:t>y</w:t>
      </w:r>
      <w:r>
        <w:rPr>
          <w:spacing w:val="-11"/>
        </w:rPr>
        <w:t> </w:t>
      </w:r>
      <w:r>
        <w:rPr/>
        <w:t>otras</w:t>
      </w:r>
      <w:r>
        <w:rPr>
          <w:spacing w:val="-11"/>
        </w:rPr>
        <w:t> </w:t>
      </w:r>
      <w:r>
        <w:rPr/>
        <w:t>zonas</w:t>
      </w:r>
      <w:r>
        <w:rPr>
          <w:spacing w:val="-11"/>
        </w:rPr>
        <w:t> </w:t>
      </w:r>
      <w:r>
        <w:rPr/>
        <w:t>urbanizadas,</w:t>
      </w:r>
      <w:r>
        <w:rPr>
          <w:spacing w:val="-10"/>
        </w:rPr>
        <w:t> </w:t>
      </w:r>
      <w:r>
        <w:rPr/>
        <w:t>siempre</w:t>
      </w:r>
      <w:r>
        <w:rPr>
          <w:spacing w:val="-12"/>
        </w:rPr>
        <w:t> </w:t>
      </w:r>
      <w:r>
        <w:rPr/>
        <w:t>y</w:t>
      </w:r>
      <w:r>
        <w:rPr>
          <w:spacing w:val="-11"/>
        </w:rPr>
        <w:t> </w:t>
      </w:r>
      <w:r>
        <w:rPr/>
        <w:t>cuando</w:t>
      </w:r>
      <w:r>
        <w:rPr>
          <w:spacing w:val="-12"/>
        </w:rPr>
        <w:t> </w:t>
      </w:r>
      <w:r>
        <w:rPr/>
        <w:t>dicha liga</w:t>
      </w:r>
      <w:r>
        <w:rPr>
          <w:spacing w:val="-3"/>
        </w:rPr>
        <w:t> </w:t>
      </w:r>
      <w:r>
        <w:rPr/>
        <w:t>sea</w:t>
      </w:r>
      <w:r>
        <w:rPr>
          <w:spacing w:val="-1"/>
        </w:rPr>
        <w:t> </w:t>
      </w:r>
      <w:r>
        <w:rPr/>
        <w:t>estimada</w:t>
      </w:r>
      <w:r>
        <w:rPr>
          <w:spacing w:val="-1"/>
        </w:rPr>
        <w:t> </w:t>
      </w:r>
      <w:r>
        <w:rPr/>
        <w:t>conveniente</w:t>
      </w:r>
      <w:r>
        <w:rPr>
          <w:spacing w:val="-2"/>
        </w:rPr>
        <w:t> </w:t>
      </w:r>
      <w:r>
        <w:rPr/>
        <w:t>para</w:t>
      </w:r>
      <w:r>
        <w:rPr>
          <w:spacing w:val="-1"/>
        </w:rPr>
        <w:t> </w:t>
      </w:r>
      <w:r>
        <w:rPr/>
        <w:t>el</w:t>
      </w:r>
      <w:r>
        <w:rPr>
          <w:spacing w:val="-4"/>
        </w:rPr>
        <w:t> </w:t>
      </w:r>
      <w:r>
        <w:rPr/>
        <w:t>futuro</w:t>
      </w:r>
      <w:r>
        <w:rPr>
          <w:spacing w:val="-1"/>
        </w:rPr>
        <w:t> </w:t>
      </w:r>
      <w:r>
        <w:rPr/>
        <w:t>crecimiento</w:t>
      </w:r>
      <w:r>
        <w:rPr>
          <w:spacing w:val="-4"/>
        </w:rPr>
        <w:t> </w:t>
      </w:r>
      <w:r>
        <w:rPr/>
        <w:t>de</w:t>
      </w:r>
      <w:r>
        <w:rPr>
          <w:spacing w:val="-1"/>
        </w:rPr>
        <w:t> </w:t>
      </w:r>
      <w:r>
        <w:rPr/>
        <w:t>esas</w:t>
      </w:r>
      <w:r>
        <w:rPr>
          <w:spacing w:val="-2"/>
        </w:rPr>
        <w:t> </w:t>
      </w:r>
      <w:r>
        <w:rPr/>
        <w:t>zonas,</w:t>
      </w:r>
      <w:r>
        <w:rPr>
          <w:spacing w:val="-3"/>
        </w:rPr>
        <w:t> </w:t>
      </w:r>
      <w:r>
        <w:rPr/>
        <w:t>en</w:t>
      </w:r>
      <w:r>
        <w:rPr>
          <w:spacing w:val="-1"/>
        </w:rPr>
        <w:t> </w:t>
      </w:r>
      <w:r>
        <w:rPr/>
        <w:t>los diversos</w:t>
      </w:r>
      <w:r>
        <w:rPr>
          <w:spacing w:val="-2"/>
        </w:rPr>
        <w:t> </w:t>
      </w:r>
      <w:r>
        <w:rPr/>
        <w:t>programas de ordenamiento territorial y desarrollo urbano aplicables. Las indemnizaciones</w:t>
      </w:r>
      <w:r>
        <w:rPr>
          <w:spacing w:val="40"/>
        </w:rPr>
        <w:t> </w:t>
      </w:r>
      <w:r>
        <w:rPr/>
        <w:t>correspondientes serán cubiertas por la autoridad expropiante con cargo proporcional al fraccionador o promotor y demás fraccionadores o desarrolladores inmobiliarios de esas zonas por urbanizar.</w:t>
      </w:r>
    </w:p>
    <w:p>
      <w:pPr>
        <w:pStyle w:val="BodyText"/>
      </w:pPr>
    </w:p>
    <w:p>
      <w:pPr>
        <w:pStyle w:val="BodyText"/>
        <w:ind w:left="262" w:right="277"/>
        <w:jc w:val="both"/>
      </w:pPr>
      <w:r>
        <w:rPr>
          <w:rFonts w:ascii="Arial" w:hAnsi="Arial"/>
          <w:b/>
        </w:rPr>
        <w:t>ARTÍCULO 397. </w:t>
      </w:r>
      <w:r>
        <w:rPr/>
        <w:t>Cuando por lo dispuesto en los programas de desarrollo urbano, se requieran vialidades o calles con anchura superior a treinta metros, las superficies que excedan a esa extensión deberán ser descontadas de aquellas que el fraccionador o promotor del condominio o desarrollo</w:t>
      </w:r>
      <w:r>
        <w:rPr>
          <w:spacing w:val="-14"/>
        </w:rPr>
        <w:t> </w:t>
      </w:r>
      <w:r>
        <w:rPr/>
        <w:t>inmobiliario</w:t>
      </w:r>
      <w:r>
        <w:rPr>
          <w:spacing w:val="-14"/>
        </w:rPr>
        <w:t> </w:t>
      </w:r>
      <w:r>
        <w:rPr/>
        <w:t>especial</w:t>
      </w:r>
      <w:r>
        <w:rPr>
          <w:spacing w:val="-14"/>
        </w:rPr>
        <w:t> </w:t>
      </w:r>
      <w:r>
        <w:rPr/>
        <w:t>deba</w:t>
      </w:r>
      <w:r>
        <w:rPr>
          <w:spacing w:val="-13"/>
        </w:rPr>
        <w:t> </w:t>
      </w:r>
      <w:r>
        <w:rPr/>
        <w:t>donar</w:t>
      </w:r>
      <w:r>
        <w:rPr>
          <w:spacing w:val="-13"/>
        </w:rPr>
        <w:t> </w:t>
      </w:r>
      <w:r>
        <w:rPr/>
        <w:t>para</w:t>
      </w:r>
      <w:r>
        <w:rPr>
          <w:spacing w:val="-12"/>
        </w:rPr>
        <w:t> </w:t>
      </w:r>
      <w:r>
        <w:rPr/>
        <w:t>equipamiento,</w:t>
      </w:r>
      <w:r>
        <w:rPr>
          <w:spacing w:val="-14"/>
        </w:rPr>
        <w:t> </w:t>
      </w:r>
      <w:r>
        <w:rPr/>
        <w:t>servicios</w:t>
      </w:r>
      <w:r>
        <w:rPr>
          <w:spacing w:val="-14"/>
        </w:rPr>
        <w:t> </w:t>
      </w:r>
      <w:r>
        <w:rPr/>
        <w:t>y</w:t>
      </w:r>
      <w:r>
        <w:rPr>
          <w:spacing w:val="-13"/>
        </w:rPr>
        <w:t> </w:t>
      </w:r>
      <w:r>
        <w:rPr/>
        <w:t>áreas</w:t>
      </w:r>
      <w:r>
        <w:rPr>
          <w:spacing w:val="-14"/>
        </w:rPr>
        <w:t> </w:t>
      </w:r>
      <w:r>
        <w:rPr/>
        <w:t>verdes</w:t>
      </w:r>
      <w:r>
        <w:rPr>
          <w:spacing w:val="-12"/>
        </w:rPr>
        <w:t> </w:t>
      </w:r>
      <w:r>
        <w:rPr/>
        <w:t>al</w:t>
      </w:r>
      <w:r>
        <w:rPr>
          <w:spacing w:val="-14"/>
        </w:rPr>
        <w:t> </w:t>
      </w:r>
      <w:r>
        <w:rPr/>
        <w:t>Municipio.</w:t>
      </w:r>
    </w:p>
    <w:p>
      <w:pPr>
        <w:pStyle w:val="BodyText"/>
      </w:pPr>
    </w:p>
    <w:p>
      <w:pPr>
        <w:pStyle w:val="BodyText"/>
        <w:ind w:left="262" w:right="287"/>
        <w:jc w:val="both"/>
      </w:pPr>
      <w:r>
        <w:rPr/>
        <w:t>Para la aplicación del párrafo anterior, deberá entenderse que los porcentajes para equipamiento, servicios y áreas verdes, a que hace referencia el artículo 379 de esta Ley, se deberán respetar, independientemente de los excedentes por anchura de calles.</w:t>
      </w:r>
    </w:p>
    <w:p>
      <w:pPr>
        <w:pStyle w:val="BodyText"/>
        <w:spacing w:before="230"/>
        <w:ind w:left="262" w:right="280"/>
        <w:jc w:val="both"/>
      </w:pPr>
      <w:r>
        <w:rPr>
          <w:rFonts w:ascii="Arial" w:hAnsi="Arial"/>
          <w:b/>
        </w:rPr>
        <w:t>ARTÍCULO</w:t>
      </w:r>
      <w:r>
        <w:rPr>
          <w:rFonts w:ascii="Arial" w:hAnsi="Arial"/>
          <w:b/>
          <w:spacing w:val="-14"/>
        </w:rPr>
        <w:t> </w:t>
      </w:r>
      <w:r>
        <w:rPr>
          <w:rFonts w:ascii="Arial" w:hAnsi="Arial"/>
          <w:b/>
        </w:rPr>
        <w:t>398</w:t>
      </w:r>
      <w:r>
        <w:rPr/>
        <w:t>.</w:t>
      </w:r>
      <w:r>
        <w:rPr>
          <w:spacing w:val="-14"/>
        </w:rPr>
        <w:t> </w:t>
      </w:r>
      <w:r>
        <w:rPr/>
        <w:t>La</w:t>
      </w:r>
      <w:r>
        <w:rPr>
          <w:spacing w:val="-13"/>
        </w:rPr>
        <w:t> </w:t>
      </w:r>
      <w:r>
        <w:rPr/>
        <w:t>postería</w:t>
      </w:r>
      <w:r>
        <w:rPr>
          <w:spacing w:val="-14"/>
        </w:rPr>
        <w:t> </w:t>
      </w:r>
      <w:r>
        <w:rPr/>
        <w:t>de</w:t>
      </w:r>
      <w:r>
        <w:rPr>
          <w:spacing w:val="-12"/>
        </w:rPr>
        <w:t> </w:t>
      </w:r>
      <w:r>
        <w:rPr/>
        <w:t>la</w:t>
      </w:r>
      <w:r>
        <w:rPr>
          <w:spacing w:val="-14"/>
        </w:rPr>
        <w:t> </w:t>
      </w:r>
      <w:r>
        <w:rPr/>
        <w:t>red</w:t>
      </w:r>
      <w:r>
        <w:rPr>
          <w:spacing w:val="-13"/>
        </w:rPr>
        <w:t> </w:t>
      </w:r>
      <w:r>
        <w:rPr/>
        <w:t>de</w:t>
      </w:r>
      <w:r>
        <w:rPr>
          <w:spacing w:val="-12"/>
        </w:rPr>
        <w:t> </w:t>
      </w:r>
      <w:r>
        <w:rPr/>
        <w:t>electrificación,</w:t>
      </w:r>
      <w:r>
        <w:rPr>
          <w:spacing w:val="-14"/>
        </w:rPr>
        <w:t> </w:t>
      </w:r>
      <w:r>
        <w:rPr/>
        <w:t>alumbrado</w:t>
      </w:r>
      <w:r>
        <w:rPr>
          <w:spacing w:val="-14"/>
        </w:rPr>
        <w:t> </w:t>
      </w:r>
      <w:r>
        <w:rPr/>
        <w:t>público,</w:t>
      </w:r>
      <w:r>
        <w:rPr>
          <w:spacing w:val="-14"/>
        </w:rPr>
        <w:t> </w:t>
      </w:r>
      <w:r>
        <w:rPr/>
        <w:t>teléfonos,</w:t>
      </w:r>
      <w:r>
        <w:rPr>
          <w:spacing w:val="-14"/>
        </w:rPr>
        <w:t> </w:t>
      </w:r>
      <w:r>
        <w:rPr/>
        <w:t>señalamiento, indicadores, letreros o cualquier otro tipo similar, deberán ubicarse sobre las banquetas de las vialidades o calles en el área próxima a la guarnición y en la colindancia de los lotes o predios, sin interferir</w:t>
      </w:r>
      <w:r>
        <w:rPr>
          <w:spacing w:val="-4"/>
        </w:rPr>
        <w:t> </w:t>
      </w:r>
      <w:r>
        <w:rPr/>
        <w:t>el</w:t>
      </w:r>
      <w:r>
        <w:rPr>
          <w:spacing w:val="-5"/>
        </w:rPr>
        <w:t> </w:t>
      </w:r>
      <w:r>
        <w:rPr/>
        <w:t>área</w:t>
      </w:r>
      <w:r>
        <w:rPr>
          <w:spacing w:val="-4"/>
        </w:rPr>
        <w:t> </w:t>
      </w:r>
      <w:r>
        <w:rPr/>
        <w:t>de</w:t>
      </w:r>
      <w:r>
        <w:rPr>
          <w:spacing w:val="-4"/>
        </w:rPr>
        <w:t> </w:t>
      </w:r>
      <w:r>
        <w:rPr/>
        <w:t>circulación</w:t>
      </w:r>
      <w:r>
        <w:rPr>
          <w:spacing w:val="-3"/>
        </w:rPr>
        <w:t> </w:t>
      </w:r>
      <w:r>
        <w:rPr/>
        <w:t>de</w:t>
      </w:r>
      <w:r>
        <w:rPr>
          <w:spacing w:val="-3"/>
        </w:rPr>
        <w:t> </w:t>
      </w:r>
      <w:r>
        <w:rPr/>
        <w:t>los</w:t>
      </w:r>
      <w:r>
        <w:rPr>
          <w:spacing w:val="-1"/>
        </w:rPr>
        <w:t> </w:t>
      </w:r>
      <w:r>
        <w:rPr/>
        <w:t>peatones;</w:t>
      </w:r>
      <w:r>
        <w:rPr>
          <w:spacing w:val="-2"/>
        </w:rPr>
        <w:t> </w:t>
      </w:r>
      <w:r>
        <w:rPr/>
        <w:t>en</w:t>
      </w:r>
      <w:r>
        <w:rPr>
          <w:spacing w:val="-5"/>
        </w:rPr>
        <w:t> </w:t>
      </w:r>
      <w:r>
        <w:rPr/>
        <w:t>caso</w:t>
      </w:r>
      <w:r>
        <w:rPr>
          <w:spacing w:val="-4"/>
        </w:rPr>
        <w:t> </w:t>
      </w:r>
      <w:r>
        <w:rPr/>
        <w:t>de</w:t>
      </w:r>
      <w:r>
        <w:rPr>
          <w:spacing w:val="-2"/>
        </w:rPr>
        <w:t> </w:t>
      </w:r>
      <w:r>
        <w:rPr/>
        <w:t>ser</w:t>
      </w:r>
      <w:r>
        <w:rPr>
          <w:spacing w:val="-4"/>
        </w:rPr>
        <w:t> </w:t>
      </w:r>
      <w:r>
        <w:rPr/>
        <w:t>retirados,</w:t>
      </w:r>
      <w:r>
        <w:rPr>
          <w:spacing w:val="-2"/>
        </w:rPr>
        <w:t> </w:t>
      </w:r>
      <w:r>
        <w:rPr/>
        <w:t>deberán</w:t>
      </w:r>
      <w:r>
        <w:rPr>
          <w:spacing w:val="-2"/>
        </w:rPr>
        <w:t> </w:t>
      </w:r>
      <w:r>
        <w:rPr/>
        <w:t>eliminarse</w:t>
      </w:r>
      <w:r>
        <w:rPr>
          <w:spacing w:val="-2"/>
        </w:rPr>
        <w:t> </w:t>
      </w:r>
      <w:r>
        <w:rPr/>
        <w:t>desde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8"/>
        <w:jc w:val="both"/>
      </w:pPr>
      <w:r>
        <w:rPr/>
        <w:t>su base y de manera completa de forma que no constituyan obstáculos peligrosos para los transeúntes o la circulación vehicular en dichas zonas. En los casos posibles se promoverá que la red de electrificación y teléfonos sean subterránea.</w:t>
      </w:r>
    </w:p>
    <w:p>
      <w:pPr>
        <w:pStyle w:val="BodyText"/>
        <w:spacing w:before="229"/>
      </w:pPr>
    </w:p>
    <w:p>
      <w:pPr>
        <w:pStyle w:val="Heading1"/>
        <w:spacing w:line="480" w:lineRule="auto" w:before="1"/>
        <w:ind w:left="2655" w:right="2673" w:firstLine="2"/>
      </w:pPr>
      <w:r>
        <w:rPr/>
        <w:t>TÍTULO DÉCIMO OCTAVO AUTORIZACIÓN</w:t>
      </w:r>
      <w:r>
        <w:rPr>
          <w:spacing w:val="-14"/>
        </w:rPr>
        <w:t> </w:t>
      </w:r>
      <w:r>
        <w:rPr/>
        <w:t>DE</w:t>
      </w:r>
      <w:r>
        <w:rPr>
          <w:spacing w:val="-14"/>
        </w:rPr>
        <w:t> </w:t>
      </w:r>
      <w:r>
        <w:rPr/>
        <w:t>FRACCIONAMIENTOS</w:t>
      </w:r>
    </w:p>
    <w:p>
      <w:pPr>
        <w:pStyle w:val="BodyText"/>
        <w:spacing w:before="2"/>
        <w:rPr>
          <w:rFonts w:ascii="Arial"/>
          <w:b/>
        </w:rPr>
      </w:pPr>
    </w:p>
    <w:p>
      <w:pPr>
        <w:pStyle w:val="Heading2"/>
      </w:pPr>
      <w:r>
        <w:rPr/>
        <w:t>Capítulo</w:t>
      </w:r>
      <w:r>
        <w:rPr>
          <w:spacing w:val="-8"/>
        </w:rPr>
        <w:t> </w:t>
      </w:r>
      <w:r>
        <w:rPr>
          <w:spacing w:val="-10"/>
        </w:rPr>
        <w:t>I</w:t>
      </w:r>
    </w:p>
    <w:p>
      <w:pPr>
        <w:spacing w:before="229"/>
        <w:ind w:left="0" w:right="21" w:firstLine="0"/>
        <w:jc w:val="center"/>
        <w:rPr>
          <w:rFonts w:ascii="Arial" w:hAnsi="Arial"/>
          <w:b/>
          <w:sz w:val="20"/>
        </w:rPr>
      </w:pPr>
      <w:r>
        <w:rPr>
          <w:rFonts w:ascii="Arial" w:hAnsi="Arial"/>
          <w:b/>
          <w:sz w:val="20"/>
        </w:rPr>
        <w:t>Requisitos</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Procedimiento</w:t>
      </w:r>
      <w:r>
        <w:rPr>
          <w:rFonts w:ascii="Arial" w:hAnsi="Arial"/>
          <w:b/>
          <w:spacing w:val="-7"/>
          <w:sz w:val="20"/>
        </w:rPr>
        <w:t> </w:t>
      </w:r>
      <w:r>
        <w:rPr>
          <w:rFonts w:ascii="Arial" w:hAnsi="Arial"/>
          <w:b/>
          <w:sz w:val="20"/>
        </w:rPr>
        <w:t>para</w:t>
      </w:r>
      <w:r>
        <w:rPr>
          <w:rFonts w:ascii="Arial" w:hAnsi="Arial"/>
          <w:b/>
          <w:spacing w:val="-9"/>
          <w:sz w:val="20"/>
        </w:rPr>
        <w:t> </w:t>
      </w:r>
      <w:r>
        <w:rPr>
          <w:rFonts w:ascii="Arial" w:hAnsi="Arial"/>
          <w:b/>
          <w:sz w:val="20"/>
        </w:rPr>
        <w:t>su</w:t>
      </w:r>
      <w:r>
        <w:rPr>
          <w:rFonts w:ascii="Arial" w:hAnsi="Arial"/>
          <w:b/>
          <w:spacing w:val="-5"/>
          <w:sz w:val="20"/>
        </w:rPr>
        <w:t> </w:t>
      </w:r>
      <w:r>
        <w:rPr>
          <w:rFonts w:ascii="Arial" w:hAnsi="Arial"/>
          <w:b/>
          <w:spacing w:val="-2"/>
          <w:sz w:val="20"/>
        </w:rPr>
        <w:t>Autorización</w:t>
      </w:r>
    </w:p>
    <w:p>
      <w:pPr>
        <w:pStyle w:val="BodyText"/>
        <w:rPr>
          <w:rFonts w:ascii="Arial"/>
          <w:b/>
        </w:rPr>
      </w:pPr>
    </w:p>
    <w:p>
      <w:pPr>
        <w:pStyle w:val="BodyText"/>
        <w:spacing w:before="1"/>
        <w:ind w:left="262" w:right="285"/>
        <w:jc w:val="both"/>
      </w:pPr>
      <w:r>
        <w:rPr>
          <w:rFonts w:ascii="Arial" w:hAnsi="Arial"/>
          <w:b/>
        </w:rPr>
        <w:t>ARTÍCULO 399. </w:t>
      </w:r>
      <w:r>
        <w:rPr/>
        <w:t>La autorización de fraccionamientos, desarrollos inmobiliarios especiales y condominios</w:t>
      </w:r>
      <w:r>
        <w:rPr>
          <w:spacing w:val="-4"/>
        </w:rPr>
        <w:t> </w:t>
      </w:r>
      <w:r>
        <w:rPr/>
        <w:t>será</w:t>
      </w:r>
      <w:r>
        <w:rPr>
          <w:spacing w:val="-5"/>
        </w:rPr>
        <w:t> </w:t>
      </w:r>
      <w:r>
        <w:rPr/>
        <w:t>facultad</w:t>
      </w:r>
      <w:r>
        <w:rPr>
          <w:spacing w:val="-3"/>
        </w:rPr>
        <w:t> </w:t>
      </w:r>
      <w:r>
        <w:rPr/>
        <w:t>de</w:t>
      </w:r>
      <w:r>
        <w:rPr>
          <w:spacing w:val="-6"/>
        </w:rPr>
        <w:t> </w:t>
      </w:r>
      <w:r>
        <w:rPr/>
        <w:t>la</w:t>
      </w:r>
      <w:r>
        <w:rPr>
          <w:spacing w:val="-5"/>
        </w:rPr>
        <w:t> </w:t>
      </w:r>
      <w:r>
        <w:rPr/>
        <w:t>Dirección</w:t>
      </w:r>
      <w:r>
        <w:rPr>
          <w:spacing w:val="-5"/>
        </w:rPr>
        <w:t> </w:t>
      </w:r>
      <w:r>
        <w:rPr/>
        <w:t>Municipal,</w:t>
      </w:r>
      <w:r>
        <w:rPr>
          <w:spacing w:val="-5"/>
        </w:rPr>
        <w:t> </w:t>
      </w:r>
      <w:r>
        <w:rPr/>
        <w:t>debiendo</w:t>
      </w:r>
      <w:r>
        <w:rPr>
          <w:spacing w:val="-5"/>
        </w:rPr>
        <w:t> </w:t>
      </w:r>
      <w:r>
        <w:rPr/>
        <w:t>informar</w:t>
      </w:r>
      <w:r>
        <w:rPr>
          <w:spacing w:val="-5"/>
        </w:rPr>
        <w:t> </w:t>
      </w:r>
      <w:r>
        <w:rPr/>
        <w:t>al</w:t>
      </w:r>
      <w:r>
        <w:rPr>
          <w:spacing w:val="-6"/>
        </w:rPr>
        <w:t> </w:t>
      </w:r>
      <w:r>
        <w:rPr/>
        <w:t>Ayuntamiento</w:t>
      </w:r>
      <w:r>
        <w:rPr>
          <w:spacing w:val="-6"/>
        </w:rPr>
        <w:t> </w:t>
      </w:r>
      <w:r>
        <w:rPr/>
        <w:t>de</w:t>
      </w:r>
      <w:r>
        <w:rPr>
          <w:spacing w:val="-5"/>
        </w:rPr>
        <w:t> </w:t>
      </w:r>
      <w:r>
        <w:rPr/>
        <w:t>manera trimestral sobre las autorizaciones expedidas.</w:t>
      </w:r>
    </w:p>
    <w:p>
      <w:pPr>
        <w:pStyle w:val="BodyText"/>
        <w:spacing w:before="229"/>
        <w:ind w:left="262" w:right="283"/>
        <w:jc w:val="both"/>
      </w:pPr>
      <w:r>
        <w:rPr>
          <w:rFonts w:ascii="Arial" w:hAnsi="Arial"/>
          <w:b/>
        </w:rPr>
        <w:t>ARTÍCULO</w:t>
      </w:r>
      <w:r>
        <w:rPr>
          <w:rFonts w:ascii="Arial" w:hAnsi="Arial"/>
          <w:b/>
          <w:spacing w:val="-11"/>
        </w:rPr>
        <w:t> </w:t>
      </w:r>
      <w:r>
        <w:rPr>
          <w:rFonts w:ascii="Arial" w:hAnsi="Arial"/>
          <w:b/>
        </w:rPr>
        <w:t>400.</w:t>
      </w:r>
      <w:r>
        <w:rPr>
          <w:rFonts w:ascii="Arial" w:hAnsi="Arial"/>
          <w:b/>
          <w:spacing w:val="-12"/>
        </w:rPr>
        <w:t> </w:t>
      </w:r>
      <w:r>
        <w:rPr/>
        <w:t>La</w:t>
      </w:r>
      <w:r>
        <w:rPr>
          <w:spacing w:val="-12"/>
        </w:rPr>
        <w:t> </w:t>
      </w:r>
      <w:r>
        <w:rPr/>
        <w:t>autorización</w:t>
      </w:r>
      <w:r>
        <w:rPr>
          <w:spacing w:val="-13"/>
        </w:rPr>
        <w:t> </w:t>
      </w:r>
      <w:r>
        <w:rPr/>
        <w:t>para</w:t>
      </w:r>
      <w:r>
        <w:rPr>
          <w:spacing w:val="-12"/>
        </w:rPr>
        <w:t> </w:t>
      </w:r>
      <w:r>
        <w:rPr/>
        <w:t>la</w:t>
      </w:r>
      <w:r>
        <w:rPr>
          <w:spacing w:val="-12"/>
        </w:rPr>
        <w:t> </w:t>
      </w:r>
      <w:r>
        <w:rPr/>
        <w:t>construcción</w:t>
      </w:r>
      <w:r>
        <w:rPr>
          <w:spacing w:val="-10"/>
        </w:rPr>
        <w:t> </w:t>
      </w:r>
      <w:r>
        <w:rPr/>
        <w:t>de</w:t>
      </w:r>
      <w:r>
        <w:rPr>
          <w:spacing w:val="-13"/>
        </w:rPr>
        <w:t> </w:t>
      </w:r>
      <w:r>
        <w:rPr/>
        <w:t>un</w:t>
      </w:r>
      <w:r>
        <w:rPr>
          <w:spacing w:val="-13"/>
        </w:rPr>
        <w:t> </w:t>
      </w:r>
      <w:r>
        <w:rPr/>
        <w:t>fraccionamiento</w:t>
      </w:r>
      <w:r>
        <w:rPr>
          <w:spacing w:val="-13"/>
        </w:rPr>
        <w:t> </w:t>
      </w:r>
      <w:r>
        <w:rPr/>
        <w:t>sólo</w:t>
      </w:r>
      <w:r>
        <w:rPr>
          <w:spacing w:val="-12"/>
        </w:rPr>
        <w:t> </w:t>
      </w:r>
      <w:r>
        <w:rPr/>
        <w:t>podrá</w:t>
      </w:r>
      <w:r>
        <w:rPr>
          <w:spacing w:val="-12"/>
        </w:rPr>
        <w:t> </w:t>
      </w:r>
      <w:r>
        <w:rPr/>
        <w:t>ser</w:t>
      </w:r>
      <w:r>
        <w:rPr>
          <w:spacing w:val="-11"/>
        </w:rPr>
        <w:t> </w:t>
      </w:r>
      <w:r>
        <w:rPr/>
        <w:t>otorgada a la persona física o moral propietaria de los terrenos en que se pretendan ejecutar las obras.</w:t>
      </w:r>
    </w:p>
    <w:p>
      <w:pPr>
        <w:pStyle w:val="BodyText"/>
        <w:spacing w:before="1"/>
      </w:pPr>
    </w:p>
    <w:p>
      <w:pPr>
        <w:pStyle w:val="BodyText"/>
        <w:ind w:left="262" w:right="288"/>
        <w:jc w:val="both"/>
      </w:pPr>
      <w:r>
        <w:rPr/>
        <w:t>El solicitante podrá intervenir por sí o por medio de apoderado debidamente acreditado en los términos</w:t>
      </w:r>
      <w:r>
        <w:rPr>
          <w:spacing w:val="-1"/>
        </w:rPr>
        <w:t> </w:t>
      </w:r>
      <w:r>
        <w:rPr/>
        <w:t>de</w:t>
      </w:r>
      <w:r>
        <w:rPr>
          <w:spacing w:val="-3"/>
        </w:rPr>
        <w:t> </w:t>
      </w:r>
      <w:r>
        <w:rPr/>
        <w:t>Ley.</w:t>
      </w:r>
      <w:r>
        <w:rPr>
          <w:spacing w:val="-2"/>
        </w:rPr>
        <w:t> </w:t>
      </w:r>
      <w:r>
        <w:rPr/>
        <w:t>Si</w:t>
      </w:r>
      <w:r>
        <w:rPr>
          <w:spacing w:val="-3"/>
        </w:rPr>
        <w:t> </w:t>
      </w:r>
      <w:r>
        <w:rPr/>
        <w:t>el</w:t>
      </w:r>
      <w:r>
        <w:rPr>
          <w:spacing w:val="-3"/>
        </w:rPr>
        <w:t> </w:t>
      </w:r>
      <w:r>
        <w:rPr/>
        <w:t>solicitante</w:t>
      </w:r>
      <w:r>
        <w:rPr>
          <w:spacing w:val="-2"/>
        </w:rPr>
        <w:t> </w:t>
      </w:r>
      <w:r>
        <w:rPr/>
        <w:t>fuere</w:t>
      </w:r>
      <w:r>
        <w:rPr>
          <w:spacing w:val="-2"/>
        </w:rPr>
        <w:t> </w:t>
      </w:r>
      <w:r>
        <w:rPr/>
        <w:t>una</w:t>
      </w:r>
      <w:r>
        <w:rPr>
          <w:spacing w:val="-3"/>
        </w:rPr>
        <w:t> </w:t>
      </w:r>
      <w:r>
        <w:rPr/>
        <w:t>persona</w:t>
      </w:r>
      <w:r>
        <w:rPr>
          <w:spacing w:val="-2"/>
        </w:rPr>
        <w:t> </w:t>
      </w:r>
      <w:r>
        <w:rPr/>
        <w:t>jurídica,</w:t>
      </w:r>
      <w:r>
        <w:rPr>
          <w:spacing w:val="-2"/>
        </w:rPr>
        <w:t> </w:t>
      </w:r>
      <w:r>
        <w:rPr/>
        <w:t>el</w:t>
      </w:r>
      <w:r>
        <w:rPr>
          <w:spacing w:val="-3"/>
        </w:rPr>
        <w:t> </w:t>
      </w:r>
      <w:r>
        <w:rPr/>
        <w:t>representante legal</w:t>
      </w:r>
      <w:r>
        <w:rPr>
          <w:spacing w:val="-3"/>
        </w:rPr>
        <w:t> </w:t>
      </w:r>
      <w:r>
        <w:rPr/>
        <w:t>deberá</w:t>
      </w:r>
      <w:r>
        <w:rPr>
          <w:spacing w:val="-2"/>
        </w:rPr>
        <w:t> </w:t>
      </w:r>
      <w:r>
        <w:rPr/>
        <w:t>acreditar su legal constitución.</w:t>
      </w:r>
    </w:p>
    <w:p>
      <w:pPr>
        <w:pStyle w:val="BodyText"/>
      </w:pPr>
    </w:p>
    <w:p>
      <w:pPr>
        <w:pStyle w:val="BodyText"/>
        <w:ind w:left="262" w:right="287"/>
        <w:jc w:val="both"/>
      </w:pPr>
      <w:r>
        <w:rPr>
          <w:rFonts w:ascii="Arial" w:hAnsi="Arial"/>
          <w:b/>
        </w:rPr>
        <w:t>ARTÍCULO 401. </w:t>
      </w:r>
      <w:r>
        <w:rPr/>
        <w:t>La solicitud para la autorización de un fraccionamiento, desarrollo inmobiliario especial</w:t>
      </w:r>
      <w:r>
        <w:rPr>
          <w:spacing w:val="-4"/>
        </w:rPr>
        <w:t> </w:t>
      </w:r>
      <w:r>
        <w:rPr/>
        <w:t>o</w:t>
      </w:r>
      <w:r>
        <w:rPr>
          <w:spacing w:val="-4"/>
        </w:rPr>
        <w:t> </w:t>
      </w:r>
      <w:r>
        <w:rPr/>
        <w:t>condominio,</w:t>
      </w:r>
      <w:r>
        <w:rPr>
          <w:spacing w:val="-4"/>
        </w:rPr>
        <w:t> </w:t>
      </w:r>
      <w:r>
        <w:rPr/>
        <w:t>deberá</w:t>
      </w:r>
      <w:r>
        <w:rPr>
          <w:spacing w:val="-4"/>
        </w:rPr>
        <w:t> </w:t>
      </w:r>
      <w:r>
        <w:rPr/>
        <w:t>presentarse</w:t>
      </w:r>
      <w:r>
        <w:rPr>
          <w:spacing w:val="-4"/>
        </w:rPr>
        <w:t> </w:t>
      </w:r>
      <w:r>
        <w:rPr/>
        <w:t>por</w:t>
      </w:r>
      <w:r>
        <w:rPr>
          <w:spacing w:val="-3"/>
        </w:rPr>
        <w:t> </w:t>
      </w:r>
      <w:r>
        <w:rPr/>
        <w:t>escrito</w:t>
      </w:r>
      <w:r>
        <w:rPr>
          <w:spacing w:val="-4"/>
        </w:rPr>
        <w:t> </w:t>
      </w:r>
      <w:r>
        <w:rPr/>
        <w:t>ante</w:t>
      </w:r>
      <w:r>
        <w:rPr>
          <w:spacing w:val="-4"/>
        </w:rPr>
        <w:t> </w:t>
      </w:r>
      <w:r>
        <w:rPr/>
        <w:t>la</w:t>
      </w:r>
      <w:r>
        <w:rPr>
          <w:spacing w:val="-4"/>
        </w:rPr>
        <w:t> </w:t>
      </w:r>
      <w:r>
        <w:rPr/>
        <w:t>Dirección</w:t>
      </w:r>
      <w:r>
        <w:rPr>
          <w:spacing w:val="-4"/>
        </w:rPr>
        <w:t> </w:t>
      </w:r>
      <w:r>
        <w:rPr/>
        <w:t>Municipal</w:t>
      </w:r>
      <w:r>
        <w:rPr>
          <w:spacing w:val="-4"/>
        </w:rPr>
        <w:t> </w:t>
      </w:r>
      <w:r>
        <w:rPr/>
        <w:t>correspondiente, la cual deberá ser acompañada, de los siguientes documentos por duplicado:</w:t>
      </w:r>
    </w:p>
    <w:p>
      <w:pPr>
        <w:pStyle w:val="ListParagraph"/>
        <w:numPr>
          <w:ilvl w:val="0"/>
          <w:numId w:val="133"/>
        </w:numPr>
        <w:tabs>
          <w:tab w:pos="543" w:val="left" w:leader="none"/>
        </w:tabs>
        <w:spacing w:line="240" w:lineRule="auto" w:before="229" w:after="0"/>
        <w:ind w:left="543" w:right="0" w:hanging="281"/>
        <w:jc w:val="both"/>
        <w:rPr>
          <w:sz w:val="20"/>
        </w:rPr>
      </w:pPr>
      <w:r>
        <w:rPr>
          <w:sz w:val="20"/>
        </w:rPr>
        <w:t>Licencia</w:t>
      </w:r>
      <w:r>
        <w:rPr>
          <w:spacing w:val="-6"/>
          <w:sz w:val="20"/>
        </w:rPr>
        <w:t> </w:t>
      </w:r>
      <w:r>
        <w:rPr>
          <w:sz w:val="20"/>
        </w:rPr>
        <w:t>de</w:t>
      </w:r>
      <w:r>
        <w:rPr>
          <w:spacing w:val="-5"/>
          <w:sz w:val="20"/>
        </w:rPr>
        <w:t> </w:t>
      </w:r>
      <w:r>
        <w:rPr>
          <w:sz w:val="20"/>
        </w:rPr>
        <w:t>uso</w:t>
      </w:r>
      <w:r>
        <w:rPr>
          <w:spacing w:val="-3"/>
          <w:sz w:val="20"/>
        </w:rPr>
        <w:t> </w:t>
      </w:r>
      <w:r>
        <w:rPr>
          <w:sz w:val="20"/>
        </w:rPr>
        <w:t>de</w:t>
      </w:r>
      <w:r>
        <w:rPr>
          <w:spacing w:val="-7"/>
          <w:sz w:val="20"/>
        </w:rPr>
        <w:t> </w:t>
      </w:r>
      <w:r>
        <w:rPr>
          <w:spacing w:val="-2"/>
          <w:sz w:val="20"/>
        </w:rPr>
        <w:t>suelo;</w:t>
      </w:r>
    </w:p>
    <w:p>
      <w:pPr>
        <w:pStyle w:val="BodyText"/>
        <w:spacing w:before="1"/>
      </w:pPr>
    </w:p>
    <w:p>
      <w:pPr>
        <w:pStyle w:val="ListParagraph"/>
        <w:numPr>
          <w:ilvl w:val="0"/>
          <w:numId w:val="133"/>
        </w:numPr>
        <w:tabs>
          <w:tab w:pos="597" w:val="left" w:leader="none"/>
        </w:tabs>
        <w:spacing w:line="240" w:lineRule="auto" w:before="0" w:after="0"/>
        <w:ind w:left="262" w:right="280" w:firstLine="0"/>
        <w:jc w:val="both"/>
        <w:rPr>
          <w:sz w:val="20"/>
        </w:rPr>
      </w:pPr>
      <w:r>
        <w:rPr>
          <w:sz w:val="20"/>
        </w:rPr>
        <w:t>Copia</w:t>
      </w:r>
      <w:r>
        <w:rPr>
          <w:spacing w:val="-10"/>
          <w:sz w:val="20"/>
        </w:rPr>
        <w:t> </w:t>
      </w:r>
      <w:r>
        <w:rPr>
          <w:sz w:val="20"/>
        </w:rPr>
        <w:t>certificada</w:t>
      </w:r>
      <w:r>
        <w:rPr>
          <w:spacing w:val="-8"/>
          <w:sz w:val="20"/>
        </w:rPr>
        <w:t> </w:t>
      </w:r>
      <w:r>
        <w:rPr>
          <w:sz w:val="20"/>
        </w:rPr>
        <w:t>de</w:t>
      </w:r>
      <w:r>
        <w:rPr>
          <w:spacing w:val="-10"/>
          <w:sz w:val="20"/>
        </w:rPr>
        <w:t> </w:t>
      </w:r>
      <w:r>
        <w:rPr>
          <w:sz w:val="20"/>
        </w:rPr>
        <w:t>las</w:t>
      </w:r>
      <w:r>
        <w:rPr>
          <w:spacing w:val="-9"/>
          <w:sz w:val="20"/>
        </w:rPr>
        <w:t> </w:t>
      </w:r>
      <w:r>
        <w:rPr>
          <w:sz w:val="20"/>
        </w:rPr>
        <w:t>escrituras</w:t>
      </w:r>
      <w:r>
        <w:rPr>
          <w:spacing w:val="-9"/>
          <w:sz w:val="20"/>
        </w:rPr>
        <w:t> </w:t>
      </w:r>
      <w:r>
        <w:rPr>
          <w:sz w:val="20"/>
        </w:rPr>
        <w:t>de</w:t>
      </w:r>
      <w:r>
        <w:rPr>
          <w:spacing w:val="-10"/>
          <w:sz w:val="20"/>
        </w:rPr>
        <w:t> </w:t>
      </w:r>
      <w:r>
        <w:rPr>
          <w:sz w:val="20"/>
        </w:rPr>
        <w:t>propiedad</w:t>
      </w:r>
      <w:r>
        <w:rPr>
          <w:spacing w:val="-10"/>
          <w:sz w:val="20"/>
        </w:rPr>
        <w:t> </w:t>
      </w:r>
      <w:r>
        <w:rPr>
          <w:sz w:val="20"/>
        </w:rPr>
        <w:t>del</w:t>
      </w:r>
      <w:r>
        <w:rPr>
          <w:spacing w:val="-11"/>
          <w:sz w:val="20"/>
        </w:rPr>
        <w:t> </w:t>
      </w:r>
      <w:r>
        <w:rPr>
          <w:sz w:val="20"/>
        </w:rPr>
        <w:t>inmueble</w:t>
      </w:r>
      <w:r>
        <w:rPr>
          <w:spacing w:val="-10"/>
          <w:sz w:val="20"/>
        </w:rPr>
        <w:t> </w:t>
      </w:r>
      <w:r>
        <w:rPr>
          <w:sz w:val="20"/>
        </w:rPr>
        <w:t>o</w:t>
      </w:r>
      <w:r>
        <w:rPr>
          <w:spacing w:val="-8"/>
          <w:sz w:val="20"/>
        </w:rPr>
        <w:t> </w:t>
      </w:r>
      <w:r>
        <w:rPr>
          <w:sz w:val="20"/>
        </w:rPr>
        <w:t>inmuebles</w:t>
      </w:r>
      <w:r>
        <w:rPr>
          <w:spacing w:val="-9"/>
          <w:sz w:val="20"/>
        </w:rPr>
        <w:t> </w:t>
      </w:r>
      <w:r>
        <w:rPr>
          <w:sz w:val="20"/>
        </w:rPr>
        <w:t>debidamente</w:t>
      </w:r>
      <w:r>
        <w:rPr>
          <w:spacing w:val="-10"/>
          <w:sz w:val="20"/>
        </w:rPr>
        <w:t> </w:t>
      </w:r>
      <w:r>
        <w:rPr>
          <w:sz w:val="20"/>
        </w:rPr>
        <w:t>inscritas en el Registro Público de la Propiedad. Cuando no se cuente con el título de propiedad, se podrá acompañar a la solicitud una constancia notariada o judicial que acredite la legítima posesión del inmueble,</w:t>
      </w:r>
      <w:r>
        <w:rPr>
          <w:spacing w:val="-6"/>
          <w:sz w:val="20"/>
        </w:rPr>
        <w:t> </w:t>
      </w:r>
      <w:r>
        <w:rPr>
          <w:sz w:val="20"/>
        </w:rPr>
        <w:t>debiendo</w:t>
      </w:r>
      <w:r>
        <w:rPr>
          <w:spacing w:val="-6"/>
          <w:sz w:val="20"/>
        </w:rPr>
        <w:t> </w:t>
      </w:r>
      <w:r>
        <w:rPr>
          <w:sz w:val="20"/>
        </w:rPr>
        <w:t>anexarse</w:t>
      </w:r>
      <w:r>
        <w:rPr>
          <w:spacing w:val="-8"/>
          <w:sz w:val="20"/>
        </w:rPr>
        <w:t> </w:t>
      </w:r>
      <w:r>
        <w:rPr>
          <w:sz w:val="20"/>
        </w:rPr>
        <w:t>posteriormente</w:t>
      </w:r>
      <w:r>
        <w:rPr>
          <w:spacing w:val="-6"/>
          <w:sz w:val="20"/>
        </w:rPr>
        <w:t> </w:t>
      </w:r>
      <w:r>
        <w:rPr>
          <w:sz w:val="20"/>
        </w:rPr>
        <w:t>el</w:t>
      </w:r>
      <w:r>
        <w:rPr>
          <w:spacing w:val="-9"/>
          <w:sz w:val="20"/>
        </w:rPr>
        <w:t> </w:t>
      </w:r>
      <w:r>
        <w:rPr>
          <w:sz w:val="20"/>
        </w:rPr>
        <w:t>relativo</w:t>
      </w:r>
      <w:r>
        <w:rPr>
          <w:spacing w:val="-8"/>
          <w:sz w:val="20"/>
        </w:rPr>
        <w:t> </w:t>
      </w:r>
      <w:r>
        <w:rPr>
          <w:sz w:val="20"/>
        </w:rPr>
        <w:t>a</w:t>
      </w:r>
      <w:r>
        <w:rPr>
          <w:spacing w:val="-6"/>
          <w:sz w:val="20"/>
        </w:rPr>
        <w:t> </w:t>
      </w:r>
      <w:r>
        <w:rPr>
          <w:sz w:val="20"/>
        </w:rPr>
        <w:t>la</w:t>
      </w:r>
      <w:r>
        <w:rPr>
          <w:spacing w:val="-6"/>
          <w:sz w:val="20"/>
        </w:rPr>
        <w:t> </w:t>
      </w:r>
      <w:r>
        <w:rPr>
          <w:sz w:val="20"/>
        </w:rPr>
        <w:t>propiedad,</w:t>
      </w:r>
      <w:r>
        <w:rPr>
          <w:spacing w:val="-6"/>
          <w:sz w:val="20"/>
        </w:rPr>
        <w:t> </w:t>
      </w:r>
      <w:r>
        <w:rPr>
          <w:sz w:val="20"/>
        </w:rPr>
        <w:t>sin</w:t>
      </w:r>
      <w:r>
        <w:rPr>
          <w:spacing w:val="-6"/>
          <w:sz w:val="20"/>
        </w:rPr>
        <w:t> </w:t>
      </w:r>
      <w:r>
        <w:rPr>
          <w:sz w:val="20"/>
        </w:rPr>
        <w:t>el</w:t>
      </w:r>
      <w:r>
        <w:rPr>
          <w:spacing w:val="-9"/>
          <w:sz w:val="20"/>
        </w:rPr>
        <w:t> </w:t>
      </w:r>
      <w:r>
        <w:rPr>
          <w:sz w:val="20"/>
        </w:rPr>
        <w:t>cual</w:t>
      </w:r>
      <w:r>
        <w:rPr>
          <w:spacing w:val="-7"/>
          <w:sz w:val="20"/>
        </w:rPr>
        <w:t> </w:t>
      </w:r>
      <w:r>
        <w:rPr>
          <w:sz w:val="20"/>
        </w:rPr>
        <w:t>la</w:t>
      </w:r>
      <w:r>
        <w:rPr>
          <w:spacing w:val="-6"/>
          <w:sz w:val="20"/>
        </w:rPr>
        <w:t> </w:t>
      </w:r>
      <w:r>
        <w:rPr>
          <w:sz w:val="20"/>
        </w:rPr>
        <w:t>autorización</w:t>
      </w:r>
      <w:r>
        <w:rPr>
          <w:spacing w:val="-6"/>
          <w:sz w:val="20"/>
        </w:rPr>
        <w:t> </w:t>
      </w:r>
      <w:r>
        <w:rPr>
          <w:sz w:val="20"/>
        </w:rPr>
        <w:t>no será concedida;</w:t>
      </w:r>
    </w:p>
    <w:p>
      <w:pPr>
        <w:pStyle w:val="BodyText"/>
      </w:pPr>
    </w:p>
    <w:p>
      <w:pPr>
        <w:pStyle w:val="ListParagraph"/>
        <w:numPr>
          <w:ilvl w:val="0"/>
          <w:numId w:val="133"/>
        </w:numPr>
        <w:tabs>
          <w:tab w:pos="597" w:val="left" w:leader="none"/>
        </w:tabs>
        <w:spacing w:line="240" w:lineRule="auto" w:before="0" w:after="0"/>
        <w:ind w:left="262" w:right="285" w:firstLine="0"/>
        <w:jc w:val="both"/>
        <w:rPr>
          <w:sz w:val="20"/>
        </w:rPr>
      </w:pPr>
      <w:r>
        <w:rPr>
          <w:sz w:val="20"/>
        </w:rPr>
        <w:t>Copia certificada del acta constitutiva de la empresa inmobiliaria solicitante, inscrita en el Registro Público de la Propiedad, cuando se trate de persona moral; si se trata de persona física, copia certificada de identificación oficial vigente, y CURP;</w:t>
      </w:r>
    </w:p>
    <w:p>
      <w:pPr>
        <w:pStyle w:val="BodyText"/>
      </w:pPr>
    </w:p>
    <w:p>
      <w:pPr>
        <w:pStyle w:val="ListParagraph"/>
        <w:numPr>
          <w:ilvl w:val="0"/>
          <w:numId w:val="133"/>
        </w:numPr>
        <w:tabs>
          <w:tab w:pos="969" w:val="left" w:leader="none"/>
        </w:tabs>
        <w:spacing w:line="240" w:lineRule="auto" w:before="0" w:after="0"/>
        <w:ind w:left="262" w:right="284" w:firstLine="0"/>
        <w:jc w:val="both"/>
        <w:rPr>
          <w:sz w:val="20"/>
        </w:rPr>
      </w:pPr>
      <w:r>
        <w:rPr>
          <w:sz w:val="20"/>
        </w:rPr>
        <w:t>Generales</w:t>
      </w:r>
      <w:r>
        <w:rPr>
          <w:spacing w:val="-5"/>
          <w:sz w:val="20"/>
        </w:rPr>
        <w:t> </w:t>
      </w:r>
      <w:r>
        <w:rPr>
          <w:sz w:val="20"/>
        </w:rPr>
        <w:t>del</w:t>
      </w:r>
      <w:r>
        <w:rPr>
          <w:spacing w:val="-7"/>
          <w:sz w:val="20"/>
        </w:rPr>
        <w:t> </w:t>
      </w:r>
      <w:r>
        <w:rPr>
          <w:sz w:val="20"/>
        </w:rPr>
        <w:t>compareciente:</w:t>
      </w:r>
      <w:r>
        <w:rPr>
          <w:spacing w:val="-6"/>
          <w:sz w:val="20"/>
        </w:rPr>
        <w:t> </w:t>
      </w:r>
      <w:r>
        <w:rPr>
          <w:sz w:val="20"/>
        </w:rPr>
        <w:t>nombre,</w:t>
      </w:r>
      <w:r>
        <w:rPr>
          <w:spacing w:val="-4"/>
          <w:sz w:val="20"/>
        </w:rPr>
        <w:t> </w:t>
      </w:r>
      <w:r>
        <w:rPr>
          <w:sz w:val="20"/>
        </w:rPr>
        <w:t>estado</w:t>
      </w:r>
      <w:r>
        <w:rPr>
          <w:spacing w:val="-6"/>
          <w:sz w:val="20"/>
        </w:rPr>
        <w:t> </w:t>
      </w:r>
      <w:r>
        <w:rPr>
          <w:sz w:val="20"/>
        </w:rPr>
        <w:t>civil,</w:t>
      </w:r>
      <w:r>
        <w:rPr>
          <w:spacing w:val="-4"/>
          <w:sz w:val="20"/>
        </w:rPr>
        <w:t> </w:t>
      </w:r>
      <w:r>
        <w:rPr>
          <w:sz w:val="20"/>
        </w:rPr>
        <w:t>nacionalidad,</w:t>
      </w:r>
      <w:r>
        <w:rPr>
          <w:spacing w:val="-4"/>
          <w:sz w:val="20"/>
        </w:rPr>
        <w:t> </w:t>
      </w:r>
      <w:r>
        <w:rPr>
          <w:sz w:val="20"/>
        </w:rPr>
        <w:t>lugar</w:t>
      </w:r>
      <w:r>
        <w:rPr>
          <w:spacing w:val="-5"/>
          <w:sz w:val="20"/>
        </w:rPr>
        <w:t> </w:t>
      </w:r>
      <w:r>
        <w:rPr>
          <w:sz w:val="20"/>
        </w:rPr>
        <w:t>de</w:t>
      </w:r>
      <w:r>
        <w:rPr>
          <w:spacing w:val="-5"/>
          <w:sz w:val="20"/>
        </w:rPr>
        <w:t> </w:t>
      </w:r>
      <w:r>
        <w:rPr>
          <w:sz w:val="20"/>
        </w:rPr>
        <w:t>origen,</w:t>
      </w:r>
      <w:r>
        <w:rPr>
          <w:spacing w:val="-4"/>
          <w:sz w:val="20"/>
        </w:rPr>
        <w:t> </w:t>
      </w:r>
      <w:r>
        <w:rPr>
          <w:sz w:val="20"/>
        </w:rPr>
        <w:t>profesión u oficio, domicilio, teléfono, registro federal de contribuyentes, así como identificación oficial;</w:t>
      </w:r>
    </w:p>
    <w:p>
      <w:pPr>
        <w:pStyle w:val="BodyText"/>
        <w:spacing w:before="1"/>
      </w:pPr>
    </w:p>
    <w:p>
      <w:pPr>
        <w:pStyle w:val="ListParagraph"/>
        <w:numPr>
          <w:ilvl w:val="0"/>
          <w:numId w:val="133"/>
        </w:numPr>
        <w:tabs>
          <w:tab w:pos="969" w:val="left" w:leader="none"/>
        </w:tabs>
        <w:spacing w:line="240" w:lineRule="auto" w:before="0" w:after="0"/>
        <w:ind w:left="262" w:right="283" w:firstLine="0"/>
        <w:jc w:val="both"/>
        <w:rPr>
          <w:sz w:val="20"/>
        </w:rPr>
      </w:pPr>
      <w:r>
        <w:rPr>
          <w:sz w:val="20"/>
        </w:rPr>
        <w:t>En su caso el poder general para actos de administración para gestionar y asumir las obligaciones</w:t>
      </w:r>
      <w:r>
        <w:rPr>
          <w:spacing w:val="-7"/>
          <w:sz w:val="20"/>
        </w:rPr>
        <w:t> </w:t>
      </w:r>
      <w:r>
        <w:rPr>
          <w:sz w:val="20"/>
        </w:rPr>
        <w:t>a</w:t>
      </w:r>
      <w:r>
        <w:rPr>
          <w:spacing w:val="-5"/>
          <w:sz w:val="20"/>
        </w:rPr>
        <w:t> </w:t>
      </w:r>
      <w:r>
        <w:rPr>
          <w:sz w:val="20"/>
        </w:rPr>
        <w:t>nombre</w:t>
      </w:r>
      <w:r>
        <w:rPr>
          <w:spacing w:val="-7"/>
          <w:sz w:val="20"/>
        </w:rPr>
        <w:t> </w:t>
      </w:r>
      <w:r>
        <w:rPr>
          <w:sz w:val="20"/>
        </w:rPr>
        <w:t>del</w:t>
      </w:r>
      <w:r>
        <w:rPr>
          <w:spacing w:val="-6"/>
          <w:sz w:val="20"/>
        </w:rPr>
        <w:t> </w:t>
      </w:r>
      <w:r>
        <w:rPr>
          <w:sz w:val="20"/>
        </w:rPr>
        <w:t>propietario</w:t>
      </w:r>
      <w:r>
        <w:rPr>
          <w:spacing w:val="-8"/>
          <w:sz w:val="20"/>
        </w:rPr>
        <w:t> </w:t>
      </w:r>
      <w:r>
        <w:rPr>
          <w:sz w:val="20"/>
        </w:rPr>
        <w:t>o</w:t>
      </w:r>
      <w:r>
        <w:rPr>
          <w:spacing w:val="-6"/>
          <w:sz w:val="20"/>
        </w:rPr>
        <w:t> </w:t>
      </w:r>
      <w:r>
        <w:rPr>
          <w:sz w:val="20"/>
        </w:rPr>
        <w:t>propietarios</w:t>
      </w:r>
      <w:r>
        <w:rPr>
          <w:spacing w:val="-4"/>
          <w:sz w:val="20"/>
        </w:rPr>
        <w:t> </w:t>
      </w:r>
      <w:r>
        <w:rPr>
          <w:sz w:val="20"/>
        </w:rPr>
        <w:t>del</w:t>
      </w:r>
      <w:r>
        <w:rPr>
          <w:spacing w:val="-6"/>
          <w:sz w:val="20"/>
        </w:rPr>
        <w:t> </w:t>
      </w:r>
      <w:r>
        <w:rPr>
          <w:sz w:val="20"/>
        </w:rPr>
        <w:t>inmueble</w:t>
      </w:r>
      <w:r>
        <w:rPr>
          <w:spacing w:val="-6"/>
          <w:sz w:val="20"/>
        </w:rPr>
        <w:t> </w:t>
      </w:r>
      <w:r>
        <w:rPr>
          <w:sz w:val="20"/>
        </w:rPr>
        <w:t>o</w:t>
      </w:r>
      <w:r>
        <w:rPr>
          <w:spacing w:val="-5"/>
          <w:sz w:val="20"/>
        </w:rPr>
        <w:t> </w:t>
      </w:r>
      <w:r>
        <w:rPr>
          <w:sz w:val="20"/>
        </w:rPr>
        <w:t>inmuebles</w:t>
      </w:r>
      <w:r>
        <w:rPr>
          <w:spacing w:val="-4"/>
          <w:sz w:val="20"/>
        </w:rPr>
        <w:t> </w:t>
      </w:r>
      <w:r>
        <w:rPr>
          <w:sz w:val="20"/>
        </w:rPr>
        <w:t>objeto</w:t>
      </w:r>
      <w:r>
        <w:rPr>
          <w:spacing w:val="-8"/>
          <w:sz w:val="20"/>
        </w:rPr>
        <w:t> </w:t>
      </w:r>
      <w:r>
        <w:rPr>
          <w:sz w:val="20"/>
        </w:rPr>
        <w:t>de</w:t>
      </w:r>
      <w:r>
        <w:rPr>
          <w:spacing w:val="-6"/>
          <w:sz w:val="20"/>
        </w:rPr>
        <w:t> </w:t>
      </w:r>
      <w:r>
        <w:rPr>
          <w:sz w:val="20"/>
        </w:rPr>
        <w:t>la</w:t>
      </w:r>
      <w:r>
        <w:rPr>
          <w:spacing w:val="-6"/>
          <w:sz w:val="20"/>
        </w:rPr>
        <w:t> </w:t>
      </w:r>
      <w:r>
        <w:rPr>
          <w:sz w:val="20"/>
        </w:rPr>
        <w:t>solicitud;</w:t>
      </w:r>
    </w:p>
    <w:p>
      <w:pPr>
        <w:pStyle w:val="ListParagraph"/>
        <w:numPr>
          <w:ilvl w:val="0"/>
          <w:numId w:val="133"/>
        </w:numPr>
        <w:tabs>
          <w:tab w:pos="688" w:val="left" w:leader="none"/>
        </w:tabs>
        <w:spacing w:line="228" w:lineRule="exact" w:before="0" w:after="0"/>
        <w:ind w:left="688" w:right="0" w:hanging="426"/>
        <w:jc w:val="both"/>
        <w:rPr>
          <w:sz w:val="20"/>
        </w:rPr>
      </w:pPr>
      <w:r>
        <w:rPr>
          <w:sz w:val="20"/>
        </w:rPr>
        <w:t>Copia</w:t>
      </w:r>
      <w:r>
        <w:rPr>
          <w:spacing w:val="-7"/>
          <w:sz w:val="20"/>
        </w:rPr>
        <w:t> </w:t>
      </w:r>
      <w:r>
        <w:rPr>
          <w:sz w:val="20"/>
        </w:rPr>
        <w:t>del</w:t>
      </w:r>
      <w:r>
        <w:rPr>
          <w:spacing w:val="-7"/>
          <w:sz w:val="20"/>
        </w:rPr>
        <w:t> </w:t>
      </w:r>
      <w:r>
        <w:rPr>
          <w:sz w:val="20"/>
        </w:rPr>
        <w:t>recibo</w:t>
      </w:r>
      <w:r>
        <w:rPr>
          <w:spacing w:val="-6"/>
          <w:sz w:val="20"/>
        </w:rPr>
        <w:t> </w:t>
      </w:r>
      <w:r>
        <w:rPr>
          <w:sz w:val="20"/>
        </w:rPr>
        <w:t>del</w:t>
      </w:r>
      <w:r>
        <w:rPr>
          <w:spacing w:val="-7"/>
          <w:sz w:val="20"/>
        </w:rPr>
        <w:t> </w:t>
      </w:r>
      <w:r>
        <w:rPr>
          <w:sz w:val="20"/>
        </w:rPr>
        <w:t>Impuesto</w:t>
      </w:r>
      <w:r>
        <w:rPr>
          <w:spacing w:val="-8"/>
          <w:sz w:val="20"/>
        </w:rPr>
        <w:t> </w:t>
      </w:r>
      <w:r>
        <w:rPr>
          <w:sz w:val="20"/>
        </w:rPr>
        <w:t>predial</w:t>
      </w:r>
      <w:r>
        <w:rPr>
          <w:spacing w:val="-7"/>
          <w:sz w:val="20"/>
        </w:rPr>
        <w:t> </w:t>
      </w:r>
      <w:r>
        <w:rPr>
          <w:sz w:val="20"/>
        </w:rPr>
        <w:t>al</w:t>
      </w:r>
      <w:r>
        <w:rPr>
          <w:spacing w:val="-7"/>
          <w:sz w:val="20"/>
        </w:rPr>
        <w:t> </w:t>
      </w:r>
      <w:r>
        <w:rPr>
          <w:spacing w:val="-2"/>
          <w:sz w:val="20"/>
        </w:rPr>
        <w:t>corriente;</w:t>
      </w:r>
    </w:p>
    <w:p>
      <w:pPr>
        <w:pStyle w:val="ListParagraph"/>
        <w:spacing w:after="0" w:line="228" w:lineRule="exact"/>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33"/>
        </w:numPr>
        <w:tabs>
          <w:tab w:pos="688" w:val="left" w:leader="none"/>
        </w:tabs>
        <w:spacing w:line="240" w:lineRule="auto" w:before="0" w:after="0"/>
        <w:ind w:left="262" w:right="284" w:firstLine="0"/>
        <w:jc w:val="both"/>
        <w:rPr>
          <w:sz w:val="20"/>
        </w:rPr>
      </w:pPr>
      <w:r>
        <w:rPr>
          <w:sz w:val="20"/>
        </w:rPr>
        <w:t>Dictamen de impacto ambiental emitido por la autoridad competente, a que se refiere la Ley Ambiental</w:t>
      </w:r>
      <w:r>
        <w:rPr>
          <w:spacing w:val="-13"/>
          <w:sz w:val="20"/>
        </w:rPr>
        <w:t> </w:t>
      </w:r>
      <w:r>
        <w:rPr>
          <w:sz w:val="20"/>
        </w:rPr>
        <w:t>del</w:t>
      </w:r>
      <w:r>
        <w:rPr>
          <w:spacing w:val="-13"/>
          <w:sz w:val="20"/>
        </w:rPr>
        <w:t> </w:t>
      </w:r>
      <w:r>
        <w:rPr>
          <w:sz w:val="20"/>
        </w:rPr>
        <w:t>Estado,</w:t>
      </w:r>
      <w:r>
        <w:rPr>
          <w:spacing w:val="-12"/>
          <w:sz w:val="20"/>
        </w:rPr>
        <w:t> </w:t>
      </w:r>
      <w:r>
        <w:rPr>
          <w:sz w:val="20"/>
        </w:rPr>
        <w:t>cuando</w:t>
      </w:r>
      <w:r>
        <w:rPr>
          <w:spacing w:val="-13"/>
          <w:sz w:val="20"/>
        </w:rPr>
        <w:t> </w:t>
      </w:r>
      <w:r>
        <w:rPr>
          <w:sz w:val="20"/>
        </w:rPr>
        <w:t>sean</w:t>
      </w:r>
      <w:r>
        <w:rPr>
          <w:spacing w:val="-12"/>
          <w:sz w:val="20"/>
        </w:rPr>
        <w:t> </w:t>
      </w:r>
      <w:r>
        <w:rPr>
          <w:sz w:val="20"/>
        </w:rPr>
        <w:t>fraccionamientos</w:t>
      </w:r>
      <w:r>
        <w:rPr>
          <w:spacing w:val="-11"/>
          <w:sz w:val="20"/>
        </w:rPr>
        <w:t> </w:t>
      </w:r>
      <w:r>
        <w:rPr>
          <w:sz w:val="20"/>
        </w:rPr>
        <w:t>o</w:t>
      </w:r>
      <w:r>
        <w:rPr>
          <w:spacing w:val="-12"/>
          <w:sz w:val="20"/>
        </w:rPr>
        <w:t> </w:t>
      </w:r>
      <w:r>
        <w:rPr>
          <w:sz w:val="20"/>
        </w:rPr>
        <w:t>condominios</w:t>
      </w:r>
      <w:r>
        <w:rPr>
          <w:spacing w:val="-11"/>
          <w:sz w:val="20"/>
        </w:rPr>
        <w:t> </w:t>
      </w:r>
      <w:r>
        <w:rPr>
          <w:sz w:val="20"/>
        </w:rPr>
        <w:t>mayores</w:t>
      </w:r>
      <w:r>
        <w:rPr>
          <w:spacing w:val="-11"/>
          <w:sz w:val="20"/>
        </w:rPr>
        <w:t> </w:t>
      </w:r>
      <w:r>
        <w:rPr>
          <w:sz w:val="20"/>
        </w:rPr>
        <w:t>a</w:t>
      </w:r>
      <w:r>
        <w:rPr>
          <w:spacing w:val="-12"/>
          <w:sz w:val="20"/>
        </w:rPr>
        <w:t> </w:t>
      </w:r>
      <w:r>
        <w:rPr>
          <w:sz w:val="20"/>
        </w:rPr>
        <w:t>cincuenta</w:t>
      </w:r>
      <w:r>
        <w:rPr>
          <w:spacing w:val="-13"/>
          <w:sz w:val="20"/>
        </w:rPr>
        <w:t> </w:t>
      </w:r>
      <w:r>
        <w:rPr>
          <w:sz w:val="20"/>
        </w:rPr>
        <w:t>viviendas, locales o predios; o cuenten con una superficie mayor a diez mil metros cuadrados;</w:t>
      </w:r>
    </w:p>
    <w:p>
      <w:pPr>
        <w:pStyle w:val="BodyText"/>
        <w:spacing w:before="1"/>
      </w:pPr>
    </w:p>
    <w:p>
      <w:pPr>
        <w:pStyle w:val="ListParagraph"/>
        <w:numPr>
          <w:ilvl w:val="0"/>
          <w:numId w:val="133"/>
        </w:numPr>
        <w:tabs>
          <w:tab w:pos="688" w:val="left" w:leader="none"/>
        </w:tabs>
        <w:spacing w:line="240" w:lineRule="auto" w:before="1" w:after="0"/>
        <w:ind w:left="262" w:right="286" w:firstLine="0"/>
        <w:jc w:val="both"/>
        <w:rPr>
          <w:sz w:val="20"/>
        </w:rPr>
      </w:pPr>
      <w:r>
        <w:rPr>
          <w:sz w:val="20"/>
        </w:rPr>
        <w:t>Estudio de impacto urbano y vial, cuando sean fraccionamientos o condominios mayores a cincuenta viviendas, locales o predios; o cuenten con una superficie mayor a diez mil metros </w:t>
      </w:r>
      <w:r>
        <w:rPr>
          <w:spacing w:val="-2"/>
          <w:sz w:val="20"/>
        </w:rPr>
        <w:t>cuadrados;</w:t>
      </w:r>
    </w:p>
    <w:p>
      <w:pPr>
        <w:pStyle w:val="ListParagraph"/>
        <w:numPr>
          <w:ilvl w:val="0"/>
          <w:numId w:val="133"/>
        </w:numPr>
        <w:tabs>
          <w:tab w:pos="688" w:val="left" w:leader="none"/>
        </w:tabs>
        <w:spacing w:line="240" w:lineRule="auto" w:before="229" w:after="0"/>
        <w:ind w:left="262" w:right="283" w:firstLine="0"/>
        <w:jc w:val="both"/>
        <w:rPr>
          <w:sz w:val="20"/>
        </w:rPr>
      </w:pPr>
      <w:r>
        <w:rPr>
          <w:sz w:val="20"/>
        </w:rPr>
        <w:t>Garantías</w:t>
      </w:r>
      <w:r>
        <w:rPr>
          <w:spacing w:val="-14"/>
          <w:sz w:val="20"/>
        </w:rPr>
        <w:t> </w:t>
      </w:r>
      <w:r>
        <w:rPr>
          <w:sz w:val="20"/>
        </w:rPr>
        <w:t>para</w:t>
      </w:r>
      <w:r>
        <w:rPr>
          <w:spacing w:val="-14"/>
          <w:sz w:val="20"/>
        </w:rPr>
        <w:t> </w:t>
      </w:r>
      <w:r>
        <w:rPr>
          <w:sz w:val="20"/>
        </w:rPr>
        <w:t>la</w:t>
      </w:r>
      <w:r>
        <w:rPr>
          <w:spacing w:val="-14"/>
          <w:sz w:val="20"/>
        </w:rPr>
        <w:t> </w:t>
      </w:r>
      <w:r>
        <w:rPr>
          <w:sz w:val="20"/>
        </w:rPr>
        <w:t>ejecución</w:t>
      </w:r>
      <w:r>
        <w:rPr>
          <w:spacing w:val="-14"/>
          <w:sz w:val="20"/>
        </w:rPr>
        <w:t> </w:t>
      </w:r>
      <w:r>
        <w:rPr>
          <w:sz w:val="20"/>
        </w:rPr>
        <w:t>de</w:t>
      </w:r>
      <w:r>
        <w:rPr>
          <w:spacing w:val="-14"/>
          <w:sz w:val="20"/>
        </w:rPr>
        <w:t> </w:t>
      </w:r>
      <w:r>
        <w:rPr>
          <w:sz w:val="20"/>
        </w:rPr>
        <w:t>las</w:t>
      </w:r>
      <w:r>
        <w:rPr>
          <w:spacing w:val="-14"/>
          <w:sz w:val="20"/>
        </w:rPr>
        <w:t> </w:t>
      </w:r>
      <w:r>
        <w:rPr>
          <w:sz w:val="20"/>
        </w:rPr>
        <w:t>obras</w:t>
      </w:r>
      <w:r>
        <w:rPr>
          <w:spacing w:val="-14"/>
          <w:sz w:val="20"/>
        </w:rPr>
        <w:t> </w:t>
      </w:r>
      <w:r>
        <w:rPr>
          <w:sz w:val="20"/>
        </w:rPr>
        <w:t>de</w:t>
      </w:r>
      <w:r>
        <w:rPr>
          <w:spacing w:val="-14"/>
          <w:sz w:val="20"/>
        </w:rPr>
        <w:t> </w:t>
      </w:r>
      <w:r>
        <w:rPr>
          <w:sz w:val="20"/>
        </w:rPr>
        <w:t>urbanización,</w:t>
      </w:r>
      <w:r>
        <w:rPr>
          <w:spacing w:val="-14"/>
          <w:sz w:val="20"/>
        </w:rPr>
        <w:t> </w:t>
      </w:r>
      <w:r>
        <w:rPr>
          <w:sz w:val="20"/>
        </w:rPr>
        <w:t>las</w:t>
      </w:r>
      <w:r>
        <w:rPr>
          <w:spacing w:val="-13"/>
          <w:sz w:val="20"/>
        </w:rPr>
        <w:t> </w:t>
      </w:r>
      <w:r>
        <w:rPr>
          <w:sz w:val="20"/>
        </w:rPr>
        <w:t>que</w:t>
      </w:r>
      <w:r>
        <w:rPr>
          <w:spacing w:val="-14"/>
          <w:sz w:val="20"/>
        </w:rPr>
        <w:t> </w:t>
      </w:r>
      <w:r>
        <w:rPr>
          <w:sz w:val="20"/>
        </w:rPr>
        <w:t>deberán</w:t>
      </w:r>
      <w:r>
        <w:rPr>
          <w:spacing w:val="-13"/>
          <w:sz w:val="20"/>
        </w:rPr>
        <w:t> </w:t>
      </w:r>
      <w:r>
        <w:rPr>
          <w:sz w:val="20"/>
        </w:rPr>
        <w:t>permanecer</w:t>
      </w:r>
      <w:r>
        <w:rPr>
          <w:spacing w:val="-13"/>
          <w:sz w:val="20"/>
        </w:rPr>
        <w:t> </w:t>
      </w:r>
      <w:r>
        <w:rPr>
          <w:sz w:val="20"/>
        </w:rPr>
        <w:t>vigentes hasta la entrega del fraccionamiento al Municipio;</w:t>
      </w:r>
    </w:p>
    <w:p>
      <w:pPr>
        <w:pStyle w:val="ListParagraph"/>
        <w:numPr>
          <w:ilvl w:val="0"/>
          <w:numId w:val="133"/>
        </w:numPr>
        <w:tabs>
          <w:tab w:pos="688" w:val="left" w:leader="none"/>
        </w:tabs>
        <w:spacing w:line="240" w:lineRule="auto" w:before="229" w:after="0"/>
        <w:ind w:left="688" w:right="0" w:hanging="426"/>
        <w:jc w:val="both"/>
        <w:rPr>
          <w:sz w:val="20"/>
        </w:rPr>
      </w:pPr>
      <w:r>
        <w:rPr>
          <w:sz w:val="20"/>
        </w:rPr>
        <w:t>Ubicación</w:t>
      </w:r>
      <w:r>
        <w:rPr>
          <w:spacing w:val="-10"/>
          <w:sz w:val="20"/>
        </w:rPr>
        <w:t> </w:t>
      </w:r>
      <w:r>
        <w:rPr>
          <w:sz w:val="20"/>
        </w:rPr>
        <w:t>del</w:t>
      </w:r>
      <w:r>
        <w:rPr>
          <w:spacing w:val="-7"/>
          <w:sz w:val="20"/>
        </w:rPr>
        <w:t> </w:t>
      </w:r>
      <w:r>
        <w:rPr>
          <w:sz w:val="20"/>
        </w:rPr>
        <w:t>inmueble</w:t>
      </w:r>
      <w:r>
        <w:rPr>
          <w:spacing w:val="-8"/>
          <w:sz w:val="20"/>
        </w:rPr>
        <w:t> </w:t>
      </w:r>
      <w:r>
        <w:rPr>
          <w:sz w:val="20"/>
        </w:rPr>
        <w:t>o</w:t>
      </w:r>
      <w:r>
        <w:rPr>
          <w:spacing w:val="-8"/>
          <w:sz w:val="20"/>
        </w:rPr>
        <w:t> </w:t>
      </w:r>
      <w:r>
        <w:rPr>
          <w:sz w:val="20"/>
        </w:rPr>
        <w:t>inmuebles</w:t>
      </w:r>
      <w:r>
        <w:rPr>
          <w:spacing w:val="-5"/>
          <w:sz w:val="20"/>
        </w:rPr>
        <w:t> </w:t>
      </w:r>
      <w:r>
        <w:rPr>
          <w:sz w:val="20"/>
        </w:rPr>
        <w:t>en</w:t>
      </w:r>
      <w:r>
        <w:rPr>
          <w:spacing w:val="-10"/>
          <w:sz w:val="20"/>
        </w:rPr>
        <w:t> </w:t>
      </w:r>
      <w:r>
        <w:rPr>
          <w:sz w:val="20"/>
        </w:rPr>
        <w:t>aerofoto</w:t>
      </w:r>
      <w:r>
        <w:rPr>
          <w:spacing w:val="-8"/>
          <w:sz w:val="20"/>
        </w:rPr>
        <w:t> </w:t>
      </w:r>
      <w:r>
        <w:rPr>
          <w:sz w:val="20"/>
        </w:rPr>
        <w:t>o</w:t>
      </w:r>
      <w:r>
        <w:rPr>
          <w:spacing w:val="-9"/>
          <w:sz w:val="20"/>
        </w:rPr>
        <w:t> </w:t>
      </w:r>
      <w:r>
        <w:rPr>
          <w:sz w:val="20"/>
        </w:rPr>
        <w:t>cartografía</w:t>
      </w:r>
      <w:r>
        <w:rPr>
          <w:spacing w:val="-7"/>
          <w:sz w:val="20"/>
        </w:rPr>
        <w:t> </w:t>
      </w:r>
      <w:r>
        <w:rPr>
          <w:spacing w:val="-2"/>
          <w:sz w:val="20"/>
        </w:rPr>
        <w:t>reciente;</w:t>
      </w:r>
    </w:p>
    <w:p>
      <w:pPr>
        <w:pStyle w:val="BodyText"/>
        <w:spacing w:before="1"/>
      </w:pPr>
    </w:p>
    <w:p>
      <w:pPr>
        <w:pStyle w:val="ListParagraph"/>
        <w:numPr>
          <w:ilvl w:val="0"/>
          <w:numId w:val="133"/>
        </w:numPr>
        <w:tabs>
          <w:tab w:pos="688" w:val="left" w:leader="none"/>
        </w:tabs>
        <w:spacing w:line="240" w:lineRule="auto" w:before="0" w:after="0"/>
        <w:ind w:left="262" w:right="283" w:firstLine="0"/>
        <w:jc w:val="both"/>
        <w:rPr>
          <w:sz w:val="20"/>
        </w:rPr>
      </w:pPr>
      <w:r>
        <w:rPr>
          <w:sz w:val="20"/>
        </w:rPr>
        <w:t>Plano</w:t>
      </w:r>
      <w:r>
        <w:rPr>
          <w:spacing w:val="-5"/>
          <w:sz w:val="20"/>
        </w:rPr>
        <w:t> </w:t>
      </w:r>
      <w:r>
        <w:rPr>
          <w:sz w:val="20"/>
        </w:rPr>
        <w:t>de</w:t>
      </w:r>
      <w:r>
        <w:rPr>
          <w:spacing w:val="-4"/>
          <w:sz w:val="20"/>
        </w:rPr>
        <w:t> </w:t>
      </w:r>
      <w:r>
        <w:rPr>
          <w:sz w:val="20"/>
        </w:rPr>
        <w:t>conjunto</w:t>
      </w:r>
      <w:r>
        <w:rPr>
          <w:spacing w:val="-4"/>
          <w:sz w:val="20"/>
        </w:rPr>
        <w:t> </w:t>
      </w:r>
      <w:r>
        <w:rPr>
          <w:sz w:val="20"/>
        </w:rPr>
        <w:t>a</w:t>
      </w:r>
      <w:r>
        <w:rPr>
          <w:spacing w:val="-5"/>
          <w:sz w:val="20"/>
        </w:rPr>
        <w:t> </w:t>
      </w:r>
      <w:r>
        <w:rPr>
          <w:sz w:val="20"/>
        </w:rPr>
        <w:t>escala</w:t>
      </w:r>
      <w:r>
        <w:rPr>
          <w:spacing w:val="-2"/>
          <w:sz w:val="20"/>
        </w:rPr>
        <w:t> </w:t>
      </w:r>
      <w:r>
        <w:rPr>
          <w:sz w:val="20"/>
        </w:rPr>
        <w:t>legible</w:t>
      </w:r>
      <w:r>
        <w:rPr>
          <w:spacing w:val="-4"/>
          <w:sz w:val="20"/>
        </w:rPr>
        <w:t> </w:t>
      </w:r>
      <w:r>
        <w:rPr>
          <w:sz w:val="20"/>
        </w:rPr>
        <w:t>que</w:t>
      </w:r>
      <w:r>
        <w:rPr>
          <w:spacing w:val="-4"/>
          <w:sz w:val="20"/>
        </w:rPr>
        <w:t> </w:t>
      </w:r>
      <w:r>
        <w:rPr>
          <w:sz w:val="20"/>
        </w:rPr>
        <w:t>contenga</w:t>
      </w:r>
      <w:r>
        <w:rPr>
          <w:spacing w:val="-4"/>
          <w:sz w:val="20"/>
        </w:rPr>
        <w:t> </w:t>
      </w:r>
      <w:r>
        <w:rPr>
          <w:sz w:val="20"/>
        </w:rPr>
        <w:t>las</w:t>
      </w:r>
      <w:r>
        <w:rPr>
          <w:spacing w:val="-3"/>
          <w:sz w:val="20"/>
        </w:rPr>
        <w:t> </w:t>
      </w:r>
      <w:r>
        <w:rPr>
          <w:sz w:val="20"/>
        </w:rPr>
        <w:t>vías</w:t>
      </w:r>
      <w:r>
        <w:rPr>
          <w:spacing w:val="-3"/>
          <w:sz w:val="20"/>
        </w:rPr>
        <w:t> </w:t>
      </w:r>
      <w:r>
        <w:rPr>
          <w:sz w:val="20"/>
        </w:rPr>
        <w:t>de</w:t>
      </w:r>
      <w:r>
        <w:rPr>
          <w:spacing w:val="-5"/>
          <w:sz w:val="20"/>
        </w:rPr>
        <w:t> </w:t>
      </w:r>
      <w:r>
        <w:rPr>
          <w:sz w:val="20"/>
        </w:rPr>
        <w:t>liga</w:t>
      </w:r>
      <w:r>
        <w:rPr>
          <w:spacing w:val="-5"/>
          <w:sz w:val="20"/>
        </w:rPr>
        <w:t> </w:t>
      </w:r>
      <w:r>
        <w:rPr>
          <w:sz w:val="20"/>
        </w:rPr>
        <w:t>del</w:t>
      </w:r>
      <w:r>
        <w:rPr>
          <w:spacing w:val="-5"/>
          <w:sz w:val="20"/>
        </w:rPr>
        <w:t> </w:t>
      </w:r>
      <w:r>
        <w:rPr>
          <w:sz w:val="20"/>
        </w:rPr>
        <w:t>fraccionamiento,</w:t>
      </w:r>
      <w:r>
        <w:rPr>
          <w:spacing w:val="-4"/>
          <w:sz w:val="20"/>
        </w:rPr>
        <w:t> </w:t>
      </w:r>
      <w:r>
        <w:rPr>
          <w:sz w:val="20"/>
        </w:rPr>
        <w:t>con</w:t>
      </w:r>
      <w:r>
        <w:rPr>
          <w:spacing w:val="-5"/>
          <w:sz w:val="20"/>
        </w:rPr>
        <w:t> </w:t>
      </w:r>
      <w:r>
        <w:rPr>
          <w:sz w:val="20"/>
        </w:rPr>
        <w:t>otras zonas urbanizadas;</w:t>
      </w:r>
    </w:p>
    <w:p>
      <w:pPr>
        <w:pStyle w:val="BodyText"/>
        <w:spacing w:before="1"/>
      </w:pPr>
    </w:p>
    <w:p>
      <w:pPr>
        <w:pStyle w:val="ListParagraph"/>
        <w:numPr>
          <w:ilvl w:val="0"/>
          <w:numId w:val="133"/>
        </w:numPr>
        <w:tabs>
          <w:tab w:pos="688" w:val="left" w:leader="none"/>
        </w:tabs>
        <w:spacing w:line="240" w:lineRule="auto" w:before="0" w:after="0"/>
        <w:ind w:left="262" w:right="287" w:firstLine="0"/>
        <w:jc w:val="both"/>
        <w:rPr>
          <w:sz w:val="20"/>
        </w:rPr>
      </w:pPr>
      <w:r>
        <w:rPr>
          <w:sz w:val="20"/>
        </w:rPr>
        <w:t>Plano topográfico del terreno o terrenos destinados al fraccionamiento, desarrollo especial o condominio, a escala legible, con coordenadas UTM, que contenga:</w:t>
      </w:r>
    </w:p>
    <w:p>
      <w:pPr>
        <w:pStyle w:val="ListParagraph"/>
        <w:numPr>
          <w:ilvl w:val="1"/>
          <w:numId w:val="133"/>
        </w:numPr>
        <w:tabs>
          <w:tab w:pos="687" w:val="left" w:leader="none"/>
        </w:tabs>
        <w:spacing w:line="240" w:lineRule="auto" w:before="229" w:after="0"/>
        <w:ind w:left="262" w:right="285" w:firstLine="0"/>
        <w:jc w:val="both"/>
        <w:rPr>
          <w:sz w:val="20"/>
        </w:rPr>
      </w:pPr>
      <w:r>
        <w:rPr>
          <w:sz w:val="20"/>
        </w:rPr>
        <w:t>El</w:t>
      </w:r>
      <w:r>
        <w:rPr>
          <w:spacing w:val="-4"/>
          <w:sz w:val="20"/>
        </w:rPr>
        <w:t> </w:t>
      </w:r>
      <w:r>
        <w:rPr>
          <w:sz w:val="20"/>
        </w:rPr>
        <w:t>polígono</w:t>
      </w:r>
      <w:r>
        <w:rPr>
          <w:spacing w:val="-5"/>
          <w:sz w:val="20"/>
        </w:rPr>
        <w:t> </w:t>
      </w:r>
      <w:r>
        <w:rPr>
          <w:sz w:val="20"/>
        </w:rPr>
        <w:t>o</w:t>
      </w:r>
      <w:r>
        <w:rPr>
          <w:spacing w:val="-3"/>
          <w:sz w:val="20"/>
        </w:rPr>
        <w:t> </w:t>
      </w:r>
      <w:r>
        <w:rPr>
          <w:sz w:val="20"/>
        </w:rPr>
        <w:t>polígonos:</w:t>
      </w:r>
      <w:r>
        <w:rPr>
          <w:spacing w:val="-3"/>
          <w:sz w:val="20"/>
        </w:rPr>
        <w:t> </w:t>
      </w:r>
      <w:r>
        <w:rPr>
          <w:sz w:val="20"/>
        </w:rPr>
        <w:t>indicando</w:t>
      </w:r>
      <w:r>
        <w:rPr>
          <w:spacing w:val="-5"/>
          <w:sz w:val="20"/>
        </w:rPr>
        <w:t> </w:t>
      </w:r>
      <w:r>
        <w:rPr>
          <w:sz w:val="20"/>
        </w:rPr>
        <w:t>sus</w:t>
      </w:r>
      <w:r>
        <w:rPr>
          <w:spacing w:val="-4"/>
          <w:sz w:val="20"/>
        </w:rPr>
        <w:t> </w:t>
      </w:r>
      <w:r>
        <w:rPr>
          <w:sz w:val="20"/>
        </w:rPr>
        <w:t>medidas</w:t>
      </w:r>
      <w:r>
        <w:rPr>
          <w:spacing w:val="-4"/>
          <w:sz w:val="20"/>
        </w:rPr>
        <w:t> </w:t>
      </w:r>
      <w:r>
        <w:rPr>
          <w:sz w:val="20"/>
        </w:rPr>
        <w:t>y</w:t>
      </w:r>
      <w:r>
        <w:rPr>
          <w:spacing w:val="-4"/>
          <w:sz w:val="20"/>
        </w:rPr>
        <w:t> </w:t>
      </w:r>
      <w:r>
        <w:rPr>
          <w:sz w:val="20"/>
        </w:rPr>
        <w:t>colindancias,</w:t>
      </w:r>
      <w:r>
        <w:rPr>
          <w:spacing w:val="-4"/>
          <w:sz w:val="20"/>
        </w:rPr>
        <w:t> </w:t>
      </w:r>
      <w:r>
        <w:rPr>
          <w:sz w:val="20"/>
        </w:rPr>
        <w:t>así</w:t>
      </w:r>
      <w:r>
        <w:rPr>
          <w:spacing w:val="-4"/>
          <w:sz w:val="20"/>
        </w:rPr>
        <w:t> </w:t>
      </w:r>
      <w:r>
        <w:rPr>
          <w:sz w:val="20"/>
        </w:rPr>
        <w:t>como,</w:t>
      </w:r>
      <w:r>
        <w:rPr>
          <w:spacing w:val="-3"/>
          <w:sz w:val="20"/>
        </w:rPr>
        <w:t> </w:t>
      </w:r>
      <w:r>
        <w:rPr>
          <w:sz w:val="20"/>
        </w:rPr>
        <w:t>las</w:t>
      </w:r>
      <w:r>
        <w:rPr>
          <w:spacing w:val="-4"/>
          <w:sz w:val="20"/>
        </w:rPr>
        <w:t> </w:t>
      </w:r>
      <w:r>
        <w:rPr>
          <w:sz w:val="20"/>
        </w:rPr>
        <w:t>longitudes</w:t>
      </w:r>
      <w:r>
        <w:rPr>
          <w:spacing w:val="-4"/>
          <w:sz w:val="20"/>
        </w:rPr>
        <w:t> </w:t>
      </w:r>
      <w:r>
        <w:rPr>
          <w:sz w:val="20"/>
        </w:rPr>
        <w:t>de</w:t>
      </w:r>
      <w:r>
        <w:rPr>
          <w:spacing w:val="-4"/>
          <w:sz w:val="20"/>
        </w:rPr>
        <w:t> </w:t>
      </w:r>
      <w:r>
        <w:rPr>
          <w:sz w:val="20"/>
        </w:rPr>
        <w:t>los lados, sus rumbos y los ángulos inferiores en los vértices.</w:t>
      </w:r>
    </w:p>
    <w:p>
      <w:pPr>
        <w:pStyle w:val="ListParagraph"/>
        <w:numPr>
          <w:ilvl w:val="1"/>
          <w:numId w:val="133"/>
        </w:numPr>
        <w:tabs>
          <w:tab w:pos="688" w:val="left" w:leader="none"/>
        </w:tabs>
        <w:spacing w:line="240" w:lineRule="auto" w:before="229" w:after="0"/>
        <w:ind w:left="688" w:right="0" w:hanging="426"/>
        <w:jc w:val="both"/>
        <w:rPr>
          <w:sz w:val="20"/>
        </w:rPr>
      </w:pPr>
      <w:r>
        <w:rPr>
          <w:sz w:val="20"/>
        </w:rPr>
        <w:t>La</w:t>
      </w:r>
      <w:r>
        <w:rPr>
          <w:spacing w:val="-7"/>
          <w:sz w:val="20"/>
        </w:rPr>
        <w:t> </w:t>
      </w:r>
      <w:r>
        <w:rPr>
          <w:sz w:val="20"/>
        </w:rPr>
        <w:t>configuración</w:t>
      </w:r>
      <w:r>
        <w:rPr>
          <w:spacing w:val="-5"/>
          <w:sz w:val="20"/>
        </w:rPr>
        <w:t> </w:t>
      </w:r>
      <w:r>
        <w:rPr>
          <w:sz w:val="20"/>
        </w:rPr>
        <w:t>del</w:t>
      </w:r>
      <w:r>
        <w:rPr>
          <w:spacing w:val="-7"/>
          <w:sz w:val="20"/>
        </w:rPr>
        <w:t> </w:t>
      </w:r>
      <w:r>
        <w:rPr>
          <w:sz w:val="20"/>
        </w:rPr>
        <w:t>terreno</w:t>
      </w:r>
      <w:r>
        <w:rPr>
          <w:spacing w:val="-5"/>
          <w:sz w:val="20"/>
        </w:rPr>
        <w:t> </w:t>
      </w:r>
      <w:r>
        <w:rPr>
          <w:sz w:val="20"/>
        </w:rPr>
        <w:t>o</w:t>
      </w:r>
      <w:r>
        <w:rPr>
          <w:spacing w:val="-7"/>
          <w:sz w:val="20"/>
        </w:rPr>
        <w:t> </w:t>
      </w:r>
      <w:r>
        <w:rPr>
          <w:sz w:val="20"/>
        </w:rPr>
        <w:t>terrenos</w:t>
      </w:r>
      <w:r>
        <w:rPr>
          <w:spacing w:val="-4"/>
          <w:sz w:val="20"/>
        </w:rPr>
        <w:t> </w:t>
      </w:r>
      <w:r>
        <w:rPr>
          <w:sz w:val="20"/>
        </w:rPr>
        <w:t>con</w:t>
      </w:r>
      <w:r>
        <w:rPr>
          <w:spacing w:val="-6"/>
          <w:sz w:val="20"/>
        </w:rPr>
        <w:t> </w:t>
      </w:r>
      <w:r>
        <w:rPr>
          <w:sz w:val="20"/>
        </w:rPr>
        <w:t>curvas</w:t>
      </w:r>
      <w:r>
        <w:rPr>
          <w:spacing w:val="-5"/>
          <w:sz w:val="20"/>
        </w:rPr>
        <w:t> </w:t>
      </w:r>
      <w:r>
        <w:rPr>
          <w:sz w:val="20"/>
        </w:rPr>
        <w:t>de</w:t>
      </w:r>
      <w:r>
        <w:rPr>
          <w:spacing w:val="-4"/>
          <w:sz w:val="20"/>
        </w:rPr>
        <w:t> </w:t>
      </w:r>
      <w:r>
        <w:rPr>
          <w:sz w:val="20"/>
        </w:rPr>
        <w:t>nivel</w:t>
      </w:r>
      <w:r>
        <w:rPr>
          <w:spacing w:val="-4"/>
          <w:sz w:val="20"/>
        </w:rPr>
        <w:t> </w:t>
      </w:r>
      <w:r>
        <w:rPr>
          <w:sz w:val="20"/>
        </w:rPr>
        <w:t>a</w:t>
      </w:r>
      <w:r>
        <w:rPr>
          <w:spacing w:val="-7"/>
          <w:sz w:val="20"/>
        </w:rPr>
        <w:t> </w:t>
      </w:r>
      <w:r>
        <w:rPr>
          <w:sz w:val="20"/>
        </w:rPr>
        <w:t>cada</w:t>
      </w:r>
      <w:r>
        <w:rPr>
          <w:spacing w:val="-5"/>
          <w:sz w:val="20"/>
        </w:rPr>
        <w:t> </w:t>
      </w:r>
      <w:r>
        <w:rPr>
          <w:spacing w:val="-2"/>
          <w:sz w:val="20"/>
        </w:rPr>
        <w:t>metro.</w:t>
      </w:r>
    </w:p>
    <w:p>
      <w:pPr>
        <w:pStyle w:val="BodyText"/>
        <w:spacing w:before="1"/>
      </w:pPr>
    </w:p>
    <w:p>
      <w:pPr>
        <w:pStyle w:val="ListParagraph"/>
        <w:numPr>
          <w:ilvl w:val="1"/>
          <w:numId w:val="133"/>
        </w:numPr>
        <w:tabs>
          <w:tab w:pos="687" w:val="left" w:leader="none"/>
        </w:tabs>
        <w:spacing w:line="240" w:lineRule="auto" w:before="0" w:after="0"/>
        <w:ind w:left="687" w:right="0" w:hanging="425"/>
        <w:jc w:val="both"/>
        <w:rPr>
          <w:sz w:val="20"/>
        </w:rPr>
      </w:pPr>
      <w:r>
        <w:rPr>
          <w:sz w:val="20"/>
        </w:rPr>
        <w:t>La</w:t>
      </w:r>
      <w:r>
        <w:rPr>
          <w:spacing w:val="-8"/>
          <w:sz w:val="20"/>
        </w:rPr>
        <w:t> </w:t>
      </w:r>
      <w:r>
        <w:rPr>
          <w:sz w:val="20"/>
        </w:rPr>
        <w:t>superficie</w:t>
      </w:r>
      <w:r>
        <w:rPr>
          <w:spacing w:val="-6"/>
          <w:sz w:val="20"/>
        </w:rPr>
        <w:t> </w:t>
      </w:r>
      <w:r>
        <w:rPr>
          <w:sz w:val="20"/>
        </w:rPr>
        <w:t>total</w:t>
      </w:r>
      <w:r>
        <w:rPr>
          <w:spacing w:val="-5"/>
          <w:sz w:val="20"/>
        </w:rPr>
        <w:t> </w:t>
      </w:r>
      <w:r>
        <w:rPr>
          <w:sz w:val="20"/>
        </w:rPr>
        <w:t>del</w:t>
      </w:r>
      <w:r>
        <w:rPr>
          <w:spacing w:val="-7"/>
          <w:sz w:val="20"/>
        </w:rPr>
        <w:t> </w:t>
      </w:r>
      <w:r>
        <w:rPr>
          <w:sz w:val="20"/>
        </w:rPr>
        <w:t>terreno</w:t>
      </w:r>
      <w:r>
        <w:rPr>
          <w:spacing w:val="-7"/>
          <w:sz w:val="20"/>
        </w:rPr>
        <w:t> </w:t>
      </w:r>
      <w:r>
        <w:rPr>
          <w:sz w:val="20"/>
        </w:rPr>
        <w:t>o</w:t>
      </w:r>
      <w:r>
        <w:rPr>
          <w:spacing w:val="-4"/>
          <w:sz w:val="20"/>
        </w:rPr>
        <w:t> </w:t>
      </w:r>
      <w:r>
        <w:rPr>
          <w:spacing w:val="-2"/>
          <w:sz w:val="20"/>
        </w:rPr>
        <w:t>terrenos;</w:t>
      </w:r>
    </w:p>
    <w:p>
      <w:pPr>
        <w:pStyle w:val="BodyText"/>
        <w:spacing w:before="1"/>
      </w:pPr>
    </w:p>
    <w:p>
      <w:pPr>
        <w:pStyle w:val="ListParagraph"/>
        <w:numPr>
          <w:ilvl w:val="0"/>
          <w:numId w:val="133"/>
        </w:numPr>
        <w:tabs>
          <w:tab w:pos="827" w:val="left" w:leader="none"/>
        </w:tabs>
        <w:spacing w:line="240" w:lineRule="auto" w:before="0" w:after="0"/>
        <w:ind w:left="262" w:right="289" w:firstLine="0"/>
        <w:jc w:val="both"/>
        <w:rPr>
          <w:sz w:val="20"/>
        </w:rPr>
      </w:pPr>
      <w:r>
        <w:rPr>
          <w:sz w:val="20"/>
        </w:rPr>
        <w:t>Plano de</w:t>
      </w:r>
      <w:r>
        <w:rPr>
          <w:spacing w:val="-3"/>
          <w:sz w:val="20"/>
        </w:rPr>
        <w:t> </w:t>
      </w:r>
      <w:r>
        <w:rPr>
          <w:sz w:val="20"/>
        </w:rPr>
        <w:t>vialidad</w:t>
      </w:r>
      <w:r>
        <w:rPr>
          <w:spacing w:val="-2"/>
          <w:sz w:val="20"/>
        </w:rPr>
        <w:t> </w:t>
      </w:r>
      <w:r>
        <w:rPr>
          <w:sz w:val="20"/>
        </w:rPr>
        <w:t>a escala legible,</w:t>
      </w:r>
      <w:r>
        <w:rPr>
          <w:spacing w:val="-2"/>
          <w:sz w:val="20"/>
        </w:rPr>
        <w:t> </w:t>
      </w:r>
      <w:r>
        <w:rPr>
          <w:sz w:val="20"/>
        </w:rPr>
        <w:t>marcando el</w:t>
      </w:r>
      <w:r>
        <w:rPr>
          <w:spacing w:val="-3"/>
          <w:sz w:val="20"/>
        </w:rPr>
        <w:t> </w:t>
      </w:r>
      <w:r>
        <w:rPr>
          <w:sz w:val="20"/>
        </w:rPr>
        <w:t>trazo</w:t>
      </w:r>
      <w:r>
        <w:rPr>
          <w:spacing w:val="-2"/>
          <w:sz w:val="20"/>
        </w:rPr>
        <w:t> </w:t>
      </w:r>
      <w:r>
        <w:rPr>
          <w:sz w:val="20"/>
        </w:rPr>
        <w:t>de</w:t>
      </w:r>
      <w:r>
        <w:rPr>
          <w:spacing w:val="-2"/>
          <w:sz w:val="20"/>
        </w:rPr>
        <w:t> </w:t>
      </w:r>
      <w:r>
        <w:rPr>
          <w:sz w:val="20"/>
        </w:rPr>
        <w:t>los</w:t>
      </w:r>
      <w:r>
        <w:rPr>
          <w:spacing w:val="-1"/>
          <w:sz w:val="20"/>
        </w:rPr>
        <w:t> </w:t>
      </w:r>
      <w:r>
        <w:rPr>
          <w:sz w:val="20"/>
        </w:rPr>
        <w:t>ejes</w:t>
      </w:r>
      <w:r>
        <w:rPr>
          <w:spacing w:val="-1"/>
          <w:sz w:val="20"/>
        </w:rPr>
        <w:t> </w:t>
      </w:r>
      <w:r>
        <w:rPr>
          <w:sz w:val="20"/>
        </w:rPr>
        <w:t>de</w:t>
      </w:r>
      <w:r>
        <w:rPr>
          <w:spacing w:val="-2"/>
          <w:sz w:val="20"/>
        </w:rPr>
        <w:t> </w:t>
      </w:r>
      <w:r>
        <w:rPr>
          <w:sz w:val="20"/>
        </w:rPr>
        <w:t>las</w:t>
      </w:r>
      <w:r>
        <w:rPr>
          <w:spacing w:val="-1"/>
          <w:sz w:val="20"/>
        </w:rPr>
        <w:t> </w:t>
      </w:r>
      <w:r>
        <w:rPr>
          <w:sz w:val="20"/>
        </w:rPr>
        <w:t>vías</w:t>
      </w:r>
      <w:r>
        <w:rPr>
          <w:spacing w:val="-1"/>
          <w:sz w:val="20"/>
        </w:rPr>
        <w:t> </w:t>
      </w:r>
      <w:r>
        <w:rPr>
          <w:sz w:val="20"/>
        </w:rPr>
        <w:t>públicas</w:t>
      </w:r>
      <w:r>
        <w:rPr>
          <w:spacing w:val="-1"/>
          <w:sz w:val="20"/>
        </w:rPr>
        <w:t> </w:t>
      </w:r>
      <w:r>
        <w:rPr>
          <w:sz w:val="20"/>
        </w:rPr>
        <w:t>referido geométricamente a los linderos del terreno o terrenos, marcando:</w:t>
      </w:r>
    </w:p>
    <w:p>
      <w:pPr>
        <w:pStyle w:val="ListParagraph"/>
        <w:numPr>
          <w:ilvl w:val="1"/>
          <w:numId w:val="133"/>
        </w:numPr>
        <w:tabs>
          <w:tab w:pos="544" w:val="left" w:leader="none"/>
        </w:tabs>
        <w:spacing w:line="240" w:lineRule="auto" w:before="229" w:after="0"/>
        <w:ind w:left="544" w:right="0" w:hanging="282"/>
        <w:jc w:val="both"/>
        <w:rPr>
          <w:sz w:val="20"/>
        </w:rPr>
      </w:pPr>
      <w:r>
        <w:rPr>
          <w:sz w:val="20"/>
        </w:rPr>
        <w:t>Los</w:t>
      </w:r>
      <w:r>
        <w:rPr>
          <w:spacing w:val="-6"/>
          <w:sz w:val="20"/>
        </w:rPr>
        <w:t> </w:t>
      </w:r>
      <w:r>
        <w:rPr>
          <w:sz w:val="20"/>
        </w:rPr>
        <w:t>ángulos</w:t>
      </w:r>
      <w:r>
        <w:rPr>
          <w:spacing w:val="-6"/>
          <w:sz w:val="20"/>
        </w:rPr>
        <w:t> </w:t>
      </w:r>
      <w:r>
        <w:rPr>
          <w:sz w:val="20"/>
        </w:rPr>
        <w:t>de</w:t>
      </w:r>
      <w:r>
        <w:rPr>
          <w:spacing w:val="-6"/>
          <w:sz w:val="20"/>
        </w:rPr>
        <w:t> </w:t>
      </w:r>
      <w:r>
        <w:rPr>
          <w:sz w:val="20"/>
        </w:rPr>
        <w:t>intersección</w:t>
      </w:r>
      <w:r>
        <w:rPr>
          <w:spacing w:val="-7"/>
          <w:sz w:val="20"/>
        </w:rPr>
        <w:t> </w:t>
      </w:r>
      <w:r>
        <w:rPr>
          <w:sz w:val="20"/>
        </w:rPr>
        <w:t>de</w:t>
      </w:r>
      <w:r>
        <w:rPr>
          <w:spacing w:val="-5"/>
          <w:sz w:val="20"/>
        </w:rPr>
        <w:t> </w:t>
      </w:r>
      <w:r>
        <w:rPr>
          <w:sz w:val="20"/>
        </w:rPr>
        <w:t>los</w:t>
      </w:r>
      <w:r>
        <w:rPr>
          <w:spacing w:val="-5"/>
          <w:sz w:val="20"/>
        </w:rPr>
        <w:t> </w:t>
      </w:r>
      <w:r>
        <w:rPr>
          <w:spacing w:val="-2"/>
          <w:sz w:val="20"/>
        </w:rPr>
        <w:t>ejes.</w:t>
      </w:r>
    </w:p>
    <w:p>
      <w:pPr>
        <w:pStyle w:val="BodyText"/>
        <w:spacing w:before="1"/>
      </w:pPr>
    </w:p>
    <w:p>
      <w:pPr>
        <w:pStyle w:val="ListParagraph"/>
        <w:numPr>
          <w:ilvl w:val="1"/>
          <w:numId w:val="133"/>
        </w:numPr>
        <w:tabs>
          <w:tab w:pos="544" w:val="left" w:leader="none"/>
        </w:tabs>
        <w:spacing w:line="240" w:lineRule="auto" w:before="0" w:after="0"/>
        <w:ind w:left="544" w:right="0" w:hanging="282"/>
        <w:jc w:val="both"/>
        <w:rPr>
          <w:sz w:val="20"/>
        </w:rPr>
      </w:pPr>
      <w:r>
        <w:rPr>
          <w:sz w:val="20"/>
        </w:rPr>
        <w:t>Distancia</w:t>
      </w:r>
      <w:r>
        <w:rPr>
          <w:spacing w:val="-8"/>
          <w:sz w:val="20"/>
        </w:rPr>
        <w:t> </w:t>
      </w:r>
      <w:r>
        <w:rPr>
          <w:sz w:val="20"/>
        </w:rPr>
        <w:t>entre</w:t>
      </w:r>
      <w:r>
        <w:rPr>
          <w:spacing w:val="-7"/>
          <w:sz w:val="20"/>
        </w:rPr>
        <w:t> </w:t>
      </w:r>
      <w:r>
        <w:rPr>
          <w:sz w:val="20"/>
        </w:rPr>
        <w:t>los</w:t>
      </w:r>
      <w:r>
        <w:rPr>
          <w:spacing w:val="-7"/>
          <w:sz w:val="20"/>
        </w:rPr>
        <w:t> </w:t>
      </w:r>
      <w:r>
        <w:rPr>
          <w:spacing w:val="-2"/>
          <w:sz w:val="20"/>
        </w:rPr>
        <w:t>ejes.</w:t>
      </w:r>
    </w:p>
    <w:p>
      <w:pPr>
        <w:pStyle w:val="BodyText"/>
        <w:spacing w:before="1"/>
      </w:pPr>
    </w:p>
    <w:p>
      <w:pPr>
        <w:pStyle w:val="ListParagraph"/>
        <w:numPr>
          <w:ilvl w:val="1"/>
          <w:numId w:val="133"/>
        </w:numPr>
        <w:tabs>
          <w:tab w:pos="544" w:val="left" w:leader="none"/>
        </w:tabs>
        <w:spacing w:line="240" w:lineRule="auto" w:before="0" w:after="0"/>
        <w:ind w:left="544" w:right="0" w:hanging="282"/>
        <w:jc w:val="both"/>
        <w:rPr>
          <w:sz w:val="20"/>
        </w:rPr>
      </w:pPr>
      <w:r>
        <w:rPr>
          <w:sz w:val="20"/>
        </w:rPr>
        <w:t>Las</w:t>
      </w:r>
      <w:r>
        <w:rPr>
          <w:spacing w:val="-7"/>
          <w:sz w:val="20"/>
        </w:rPr>
        <w:t> </w:t>
      </w:r>
      <w:r>
        <w:rPr>
          <w:sz w:val="20"/>
        </w:rPr>
        <w:t>secciones</w:t>
      </w:r>
      <w:r>
        <w:rPr>
          <w:spacing w:val="-6"/>
          <w:sz w:val="20"/>
        </w:rPr>
        <w:t> </w:t>
      </w:r>
      <w:r>
        <w:rPr>
          <w:sz w:val="20"/>
        </w:rPr>
        <w:t>transversales</w:t>
      </w:r>
      <w:r>
        <w:rPr>
          <w:spacing w:val="-6"/>
          <w:sz w:val="20"/>
        </w:rPr>
        <w:t> </w:t>
      </w:r>
      <w:r>
        <w:rPr>
          <w:sz w:val="20"/>
        </w:rPr>
        <w:t>a</w:t>
      </w:r>
      <w:r>
        <w:rPr>
          <w:spacing w:val="-8"/>
          <w:sz w:val="20"/>
        </w:rPr>
        <w:t> </w:t>
      </w:r>
      <w:r>
        <w:rPr>
          <w:sz w:val="20"/>
        </w:rPr>
        <w:t>escala</w:t>
      </w:r>
      <w:r>
        <w:rPr>
          <w:spacing w:val="-5"/>
          <w:sz w:val="20"/>
        </w:rPr>
        <w:t> </w:t>
      </w:r>
      <w:r>
        <w:rPr>
          <w:sz w:val="20"/>
        </w:rPr>
        <w:t>legible</w:t>
      </w:r>
      <w:r>
        <w:rPr>
          <w:spacing w:val="-6"/>
          <w:sz w:val="20"/>
        </w:rPr>
        <w:t> </w:t>
      </w:r>
      <w:r>
        <w:rPr>
          <w:sz w:val="20"/>
        </w:rPr>
        <w:t>de</w:t>
      </w:r>
      <w:r>
        <w:rPr>
          <w:spacing w:val="-6"/>
          <w:sz w:val="20"/>
        </w:rPr>
        <w:t> </w:t>
      </w:r>
      <w:r>
        <w:rPr>
          <w:sz w:val="20"/>
        </w:rPr>
        <w:t>las</w:t>
      </w:r>
      <w:r>
        <w:rPr>
          <w:spacing w:val="-6"/>
          <w:sz w:val="20"/>
        </w:rPr>
        <w:t> </w:t>
      </w:r>
      <w:r>
        <w:rPr>
          <w:sz w:val="20"/>
        </w:rPr>
        <w:t>calles</w:t>
      </w:r>
      <w:r>
        <w:rPr>
          <w:spacing w:val="-6"/>
          <w:sz w:val="20"/>
        </w:rPr>
        <w:t> </w:t>
      </w:r>
      <w:r>
        <w:rPr>
          <w:sz w:val="20"/>
        </w:rPr>
        <w:t>o</w:t>
      </w:r>
      <w:r>
        <w:rPr>
          <w:spacing w:val="-8"/>
          <w:sz w:val="20"/>
        </w:rPr>
        <w:t> </w:t>
      </w:r>
      <w:r>
        <w:rPr>
          <w:spacing w:val="-2"/>
          <w:sz w:val="20"/>
        </w:rPr>
        <w:t>vialidades;</w:t>
      </w:r>
    </w:p>
    <w:p>
      <w:pPr>
        <w:pStyle w:val="ListParagraph"/>
        <w:numPr>
          <w:ilvl w:val="0"/>
          <w:numId w:val="133"/>
        </w:numPr>
        <w:tabs>
          <w:tab w:pos="828" w:val="left" w:leader="none"/>
        </w:tabs>
        <w:spacing w:line="240" w:lineRule="auto" w:before="228" w:after="0"/>
        <w:ind w:left="262" w:right="289" w:firstLine="0"/>
        <w:jc w:val="both"/>
        <w:rPr>
          <w:sz w:val="20"/>
        </w:rPr>
      </w:pPr>
      <w:r>
        <w:rPr>
          <w:sz w:val="20"/>
        </w:rPr>
        <w:t>El estudio de factibilidad positivo otorgado por el organismo operador de agua potable ó del Municipio según corresponda;</w:t>
      </w:r>
    </w:p>
    <w:p>
      <w:pPr>
        <w:pStyle w:val="BodyText"/>
        <w:spacing w:before="1"/>
      </w:pPr>
    </w:p>
    <w:p>
      <w:pPr>
        <w:pStyle w:val="ListParagraph"/>
        <w:numPr>
          <w:ilvl w:val="0"/>
          <w:numId w:val="133"/>
        </w:numPr>
        <w:tabs>
          <w:tab w:pos="827" w:val="left" w:leader="none"/>
        </w:tabs>
        <w:spacing w:line="240" w:lineRule="auto" w:before="0" w:after="0"/>
        <w:ind w:left="827" w:right="0" w:hanging="565"/>
        <w:jc w:val="both"/>
        <w:rPr>
          <w:sz w:val="20"/>
        </w:rPr>
      </w:pPr>
      <w:r>
        <w:rPr>
          <w:sz w:val="20"/>
        </w:rPr>
        <w:t>Factibilidad</w:t>
      </w:r>
      <w:r>
        <w:rPr>
          <w:spacing w:val="-10"/>
          <w:sz w:val="20"/>
        </w:rPr>
        <w:t> </w:t>
      </w:r>
      <w:r>
        <w:rPr>
          <w:sz w:val="20"/>
        </w:rPr>
        <w:t>de</w:t>
      </w:r>
      <w:r>
        <w:rPr>
          <w:spacing w:val="-8"/>
          <w:sz w:val="20"/>
        </w:rPr>
        <w:t> </w:t>
      </w:r>
      <w:r>
        <w:rPr>
          <w:sz w:val="20"/>
        </w:rPr>
        <w:t>electrificación</w:t>
      </w:r>
      <w:r>
        <w:rPr>
          <w:spacing w:val="-10"/>
          <w:sz w:val="20"/>
        </w:rPr>
        <w:t> </w:t>
      </w:r>
      <w:r>
        <w:rPr>
          <w:sz w:val="20"/>
        </w:rPr>
        <w:t>y</w:t>
      </w:r>
      <w:r>
        <w:rPr>
          <w:spacing w:val="-9"/>
          <w:sz w:val="20"/>
        </w:rPr>
        <w:t> </w:t>
      </w:r>
      <w:r>
        <w:rPr>
          <w:sz w:val="20"/>
        </w:rPr>
        <w:t>alumbrado</w:t>
      </w:r>
      <w:r>
        <w:rPr>
          <w:spacing w:val="-9"/>
          <w:sz w:val="20"/>
        </w:rPr>
        <w:t> </w:t>
      </w:r>
      <w:r>
        <w:rPr>
          <w:sz w:val="20"/>
        </w:rPr>
        <w:t>público</w:t>
      </w:r>
      <w:r>
        <w:rPr>
          <w:spacing w:val="-8"/>
          <w:sz w:val="20"/>
        </w:rPr>
        <w:t> </w:t>
      </w:r>
      <w:r>
        <w:rPr>
          <w:sz w:val="20"/>
        </w:rPr>
        <w:t>avalada</w:t>
      </w:r>
      <w:r>
        <w:rPr>
          <w:spacing w:val="-8"/>
          <w:sz w:val="20"/>
        </w:rPr>
        <w:t> </w:t>
      </w:r>
      <w:r>
        <w:rPr>
          <w:sz w:val="20"/>
        </w:rPr>
        <w:t>por</w:t>
      </w:r>
      <w:r>
        <w:rPr>
          <w:spacing w:val="-9"/>
          <w:sz w:val="20"/>
        </w:rPr>
        <w:t> </w:t>
      </w:r>
      <w:r>
        <w:rPr>
          <w:sz w:val="20"/>
        </w:rPr>
        <w:t>las</w:t>
      </w:r>
      <w:r>
        <w:rPr>
          <w:spacing w:val="-9"/>
          <w:sz w:val="20"/>
        </w:rPr>
        <w:t> </w:t>
      </w:r>
      <w:r>
        <w:rPr>
          <w:sz w:val="20"/>
        </w:rPr>
        <w:t>autoridades</w:t>
      </w:r>
      <w:r>
        <w:rPr>
          <w:spacing w:val="-9"/>
          <w:sz w:val="20"/>
        </w:rPr>
        <w:t> </w:t>
      </w:r>
      <w:r>
        <w:rPr>
          <w:spacing w:val="-2"/>
          <w:sz w:val="20"/>
        </w:rPr>
        <w:t>competentes;</w:t>
      </w:r>
    </w:p>
    <w:p>
      <w:pPr>
        <w:pStyle w:val="ListParagraph"/>
        <w:numPr>
          <w:ilvl w:val="0"/>
          <w:numId w:val="133"/>
        </w:numPr>
        <w:tabs>
          <w:tab w:pos="827" w:val="left" w:leader="none"/>
        </w:tabs>
        <w:spacing w:line="240" w:lineRule="auto" w:before="229" w:after="0"/>
        <w:ind w:left="827" w:right="0" w:hanging="565"/>
        <w:jc w:val="both"/>
        <w:rPr>
          <w:sz w:val="20"/>
        </w:rPr>
      </w:pPr>
      <w:r>
        <w:rPr>
          <w:sz w:val="20"/>
        </w:rPr>
        <w:t>Estudio</w:t>
      </w:r>
      <w:r>
        <w:rPr>
          <w:spacing w:val="-7"/>
          <w:sz w:val="20"/>
        </w:rPr>
        <w:t> </w:t>
      </w:r>
      <w:r>
        <w:rPr>
          <w:sz w:val="20"/>
        </w:rPr>
        <w:t>de</w:t>
      </w:r>
      <w:r>
        <w:rPr>
          <w:spacing w:val="-6"/>
          <w:sz w:val="20"/>
        </w:rPr>
        <w:t> </w:t>
      </w:r>
      <w:r>
        <w:rPr>
          <w:sz w:val="20"/>
        </w:rPr>
        <w:t>mecánica</w:t>
      </w:r>
      <w:r>
        <w:rPr>
          <w:spacing w:val="-6"/>
          <w:sz w:val="20"/>
        </w:rPr>
        <w:t> </w:t>
      </w:r>
      <w:r>
        <w:rPr>
          <w:sz w:val="20"/>
        </w:rPr>
        <w:t>de</w:t>
      </w:r>
      <w:r>
        <w:rPr>
          <w:spacing w:val="-6"/>
          <w:sz w:val="20"/>
        </w:rPr>
        <w:t> </w:t>
      </w:r>
      <w:r>
        <w:rPr>
          <w:sz w:val="20"/>
        </w:rPr>
        <w:t>suelos</w:t>
      </w:r>
      <w:r>
        <w:rPr>
          <w:spacing w:val="-5"/>
          <w:sz w:val="20"/>
        </w:rPr>
        <w:t> </w:t>
      </w:r>
      <w:r>
        <w:rPr>
          <w:sz w:val="20"/>
        </w:rPr>
        <w:t>y</w:t>
      </w:r>
      <w:r>
        <w:rPr>
          <w:spacing w:val="-5"/>
          <w:sz w:val="20"/>
        </w:rPr>
        <w:t> </w:t>
      </w:r>
      <w:r>
        <w:rPr>
          <w:sz w:val="20"/>
        </w:rPr>
        <w:t>diseño</w:t>
      </w:r>
      <w:r>
        <w:rPr>
          <w:spacing w:val="-4"/>
          <w:sz w:val="20"/>
        </w:rPr>
        <w:t> </w:t>
      </w:r>
      <w:r>
        <w:rPr>
          <w:sz w:val="20"/>
        </w:rPr>
        <w:t>de</w:t>
      </w:r>
      <w:r>
        <w:rPr>
          <w:spacing w:val="-5"/>
          <w:sz w:val="20"/>
        </w:rPr>
        <w:t> </w:t>
      </w:r>
      <w:r>
        <w:rPr>
          <w:spacing w:val="-2"/>
          <w:sz w:val="20"/>
        </w:rPr>
        <w:t>pavimentos;</w:t>
      </w:r>
    </w:p>
    <w:p>
      <w:pPr>
        <w:pStyle w:val="BodyText"/>
        <w:spacing w:before="1"/>
      </w:pPr>
    </w:p>
    <w:p>
      <w:pPr>
        <w:pStyle w:val="ListParagraph"/>
        <w:numPr>
          <w:ilvl w:val="0"/>
          <w:numId w:val="133"/>
        </w:numPr>
        <w:tabs>
          <w:tab w:pos="881" w:val="left" w:leader="none"/>
        </w:tabs>
        <w:spacing w:line="240" w:lineRule="auto" w:before="0" w:after="0"/>
        <w:ind w:left="262" w:right="287" w:firstLine="0"/>
        <w:jc w:val="both"/>
        <w:rPr>
          <w:sz w:val="20"/>
        </w:rPr>
      </w:pPr>
      <w:r>
        <w:rPr>
          <w:sz w:val="20"/>
        </w:rPr>
        <w:t>Memoria de cálculo de reutilización de las aguas grises y de lluvia, para el caso de condominios mayores de 10,000 metros cuadrados y fraccionamientos habitacionales urbanos e </w:t>
      </w:r>
      <w:r>
        <w:rPr>
          <w:spacing w:val="-2"/>
          <w:sz w:val="20"/>
        </w:rPr>
        <w:t>industriales;</w:t>
      </w:r>
    </w:p>
    <w:p>
      <w:pPr>
        <w:pStyle w:val="ListParagraph"/>
        <w:numPr>
          <w:ilvl w:val="0"/>
          <w:numId w:val="133"/>
        </w:numPr>
        <w:tabs>
          <w:tab w:pos="826" w:val="left" w:leader="none"/>
        </w:tabs>
        <w:spacing w:line="240" w:lineRule="auto" w:before="229" w:after="0"/>
        <w:ind w:left="262" w:right="285" w:firstLine="0"/>
        <w:jc w:val="both"/>
        <w:rPr>
          <w:sz w:val="20"/>
        </w:rPr>
      </w:pPr>
      <w:r>
        <w:rPr>
          <w:sz w:val="20"/>
        </w:rPr>
        <w:t>Memoria</w:t>
      </w:r>
      <w:r>
        <w:rPr>
          <w:spacing w:val="-6"/>
          <w:sz w:val="20"/>
        </w:rPr>
        <w:t> </w:t>
      </w:r>
      <w:r>
        <w:rPr>
          <w:sz w:val="20"/>
        </w:rPr>
        <w:t>de</w:t>
      </w:r>
      <w:r>
        <w:rPr>
          <w:spacing w:val="-5"/>
          <w:sz w:val="20"/>
        </w:rPr>
        <w:t> </w:t>
      </w:r>
      <w:r>
        <w:rPr>
          <w:sz w:val="20"/>
        </w:rPr>
        <w:t>cálculo</w:t>
      </w:r>
      <w:r>
        <w:rPr>
          <w:spacing w:val="-5"/>
          <w:sz w:val="20"/>
        </w:rPr>
        <w:t> </w:t>
      </w:r>
      <w:r>
        <w:rPr>
          <w:sz w:val="20"/>
        </w:rPr>
        <w:t>del</w:t>
      </w:r>
      <w:r>
        <w:rPr>
          <w:spacing w:val="-6"/>
          <w:sz w:val="20"/>
        </w:rPr>
        <w:t> </w:t>
      </w:r>
      <w:r>
        <w:rPr>
          <w:sz w:val="20"/>
        </w:rPr>
        <w:t>proyecto</w:t>
      </w:r>
      <w:r>
        <w:rPr>
          <w:spacing w:val="-6"/>
          <w:sz w:val="20"/>
        </w:rPr>
        <w:t> </w:t>
      </w:r>
      <w:r>
        <w:rPr>
          <w:sz w:val="20"/>
        </w:rPr>
        <w:t>de</w:t>
      </w:r>
      <w:r>
        <w:rPr>
          <w:spacing w:val="-6"/>
          <w:sz w:val="20"/>
        </w:rPr>
        <w:t> </w:t>
      </w:r>
      <w:r>
        <w:rPr>
          <w:sz w:val="20"/>
        </w:rPr>
        <w:t>escurrimientos</w:t>
      </w:r>
      <w:r>
        <w:rPr>
          <w:spacing w:val="-4"/>
          <w:sz w:val="20"/>
        </w:rPr>
        <w:t> </w:t>
      </w:r>
      <w:r>
        <w:rPr>
          <w:sz w:val="20"/>
        </w:rPr>
        <w:t>de</w:t>
      </w:r>
      <w:r>
        <w:rPr>
          <w:spacing w:val="-4"/>
          <w:sz w:val="20"/>
        </w:rPr>
        <w:t> </w:t>
      </w:r>
      <w:r>
        <w:rPr>
          <w:sz w:val="20"/>
        </w:rPr>
        <w:t>aguas</w:t>
      </w:r>
      <w:r>
        <w:rPr>
          <w:spacing w:val="-4"/>
          <w:sz w:val="20"/>
        </w:rPr>
        <w:t> </w:t>
      </w:r>
      <w:r>
        <w:rPr>
          <w:sz w:val="20"/>
        </w:rPr>
        <w:t>pluviales</w:t>
      </w:r>
      <w:r>
        <w:rPr>
          <w:spacing w:val="-4"/>
          <w:sz w:val="20"/>
        </w:rPr>
        <w:t> </w:t>
      </w:r>
      <w:r>
        <w:rPr>
          <w:sz w:val="20"/>
        </w:rPr>
        <w:t>o</w:t>
      </w:r>
      <w:r>
        <w:rPr>
          <w:spacing w:val="-6"/>
          <w:sz w:val="20"/>
        </w:rPr>
        <w:t> </w:t>
      </w:r>
      <w:r>
        <w:rPr>
          <w:sz w:val="20"/>
        </w:rPr>
        <w:t>aprovechamiento</w:t>
      </w:r>
      <w:r>
        <w:rPr>
          <w:spacing w:val="-3"/>
          <w:sz w:val="20"/>
        </w:rPr>
        <w:t> </w:t>
      </w:r>
      <w:r>
        <w:rPr>
          <w:sz w:val="20"/>
        </w:rPr>
        <w:t>de las mismas;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33"/>
        </w:numPr>
        <w:tabs>
          <w:tab w:pos="882" w:val="left" w:leader="none"/>
        </w:tabs>
        <w:spacing w:line="240" w:lineRule="auto" w:before="0" w:after="0"/>
        <w:ind w:left="262" w:right="287" w:firstLine="0"/>
        <w:jc w:val="both"/>
        <w:rPr>
          <w:sz w:val="20"/>
        </w:rPr>
      </w:pPr>
      <w:r>
        <w:rPr>
          <w:sz w:val="20"/>
        </w:rPr>
        <w:t>Planos con especificaciones y memorias de cálculo de planta de tratamiento cuando el Ayuntamiento determine que no es factible conectarse a la red de drenaje municipal;</w:t>
      </w:r>
    </w:p>
    <w:p>
      <w:pPr>
        <w:pStyle w:val="BodyText"/>
        <w:spacing w:before="1"/>
      </w:pPr>
    </w:p>
    <w:p>
      <w:pPr>
        <w:pStyle w:val="ListParagraph"/>
        <w:numPr>
          <w:ilvl w:val="0"/>
          <w:numId w:val="133"/>
        </w:numPr>
        <w:tabs>
          <w:tab w:pos="688" w:val="left" w:leader="none"/>
        </w:tabs>
        <w:spacing w:line="240" w:lineRule="auto" w:before="0" w:after="0"/>
        <w:ind w:left="262" w:right="287" w:firstLine="0"/>
        <w:jc w:val="both"/>
        <w:rPr>
          <w:sz w:val="20"/>
        </w:rPr>
      </w:pPr>
      <w:r>
        <w:rPr>
          <w:sz w:val="20"/>
        </w:rPr>
        <w:t>En el caso específico de fraccionamientos, además de los anexos citados con anterioridad, el solicitante deberá incluir los siguientes documentos por duplicado:</w:t>
      </w:r>
    </w:p>
    <w:p>
      <w:pPr>
        <w:pStyle w:val="ListParagraph"/>
        <w:numPr>
          <w:ilvl w:val="1"/>
          <w:numId w:val="133"/>
        </w:numPr>
        <w:tabs>
          <w:tab w:pos="544" w:val="left" w:leader="none"/>
        </w:tabs>
        <w:spacing w:line="240" w:lineRule="auto" w:before="229" w:after="0"/>
        <w:ind w:left="544" w:right="0" w:hanging="282"/>
        <w:jc w:val="both"/>
        <w:rPr>
          <w:sz w:val="20"/>
        </w:rPr>
      </w:pPr>
      <w:r>
        <w:rPr>
          <w:sz w:val="20"/>
        </w:rPr>
        <w:t>Plano</w:t>
      </w:r>
      <w:r>
        <w:rPr>
          <w:spacing w:val="-7"/>
          <w:sz w:val="20"/>
        </w:rPr>
        <w:t> </w:t>
      </w:r>
      <w:r>
        <w:rPr>
          <w:sz w:val="20"/>
        </w:rPr>
        <w:t>de</w:t>
      </w:r>
      <w:r>
        <w:rPr>
          <w:spacing w:val="-7"/>
          <w:sz w:val="20"/>
        </w:rPr>
        <w:t> </w:t>
      </w:r>
      <w:r>
        <w:rPr>
          <w:sz w:val="20"/>
        </w:rPr>
        <w:t>lotificación</w:t>
      </w:r>
      <w:r>
        <w:rPr>
          <w:spacing w:val="-7"/>
          <w:sz w:val="20"/>
        </w:rPr>
        <w:t> </w:t>
      </w:r>
      <w:r>
        <w:rPr>
          <w:sz w:val="20"/>
        </w:rPr>
        <w:t>a</w:t>
      </w:r>
      <w:r>
        <w:rPr>
          <w:spacing w:val="-8"/>
          <w:sz w:val="20"/>
        </w:rPr>
        <w:t> </w:t>
      </w:r>
      <w:r>
        <w:rPr>
          <w:sz w:val="20"/>
        </w:rPr>
        <w:t>escala</w:t>
      </w:r>
      <w:r>
        <w:rPr>
          <w:spacing w:val="-6"/>
          <w:sz w:val="20"/>
        </w:rPr>
        <w:t> </w:t>
      </w:r>
      <w:r>
        <w:rPr>
          <w:sz w:val="20"/>
        </w:rPr>
        <w:t>legible,</w:t>
      </w:r>
      <w:r>
        <w:rPr>
          <w:spacing w:val="-6"/>
          <w:sz w:val="20"/>
        </w:rPr>
        <w:t> </w:t>
      </w:r>
      <w:r>
        <w:rPr>
          <w:sz w:val="20"/>
        </w:rPr>
        <w:t>que</w:t>
      </w:r>
      <w:r>
        <w:rPr>
          <w:spacing w:val="-6"/>
          <w:sz w:val="20"/>
        </w:rPr>
        <w:t> </w:t>
      </w:r>
      <w:r>
        <w:rPr>
          <w:sz w:val="20"/>
        </w:rPr>
        <w:t>marque</w:t>
      </w:r>
      <w:r>
        <w:rPr>
          <w:spacing w:val="-7"/>
          <w:sz w:val="20"/>
        </w:rPr>
        <w:t> </w:t>
      </w:r>
      <w:r>
        <w:rPr>
          <w:sz w:val="20"/>
        </w:rPr>
        <w:t>lo</w:t>
      </w:r>
      <w:r>
        <w:rPr>
          <w:spacing w:val="-8"/>
          <w:sz w:val="20"/>
        </w:rPr>
        <w:t> </w:t>
      </w:r>
      <w:r>
        <w:rPr>
          <w:spacing w:val="-2"/>
          <w:sz w:val="20"/>
        </w:rPr>
        <w:t>siguiente:</w:t>
      </w:r>
    </w:p>
    <w:p>
      <w:pPr>
        <w:pStyle w:val="BodyText"/>
        <w:spacing w:before="1"/>
      </w:pPr>
    </w:p>
    <w:p>
      <w:pPr>
        <w:pStyle w:val="ListParagraph"/>
        <w:numPr>
          <w:ilvl w:val="2"/>
          <w:numId w:val="133"/>
        </w:numPr>
        <w:tabs>
          <w:tab w:pos="544" w:val="left" w:leader="none"/>
        </w:tabs>
        <w:spacing w:line="240" w:lineRule="auto" w:before="0" w:after="0"/>
        <w:ind w:left="544" w:right="0" w:hanging="282"/>
        <w:jc w:val="both"/>
        <w:rPr>
          <w:sz w:val="20"/>
        </w:rPr>
      </w:pPr>
      <w:r>
        <w:rPr>
          <w:sz w:val="20"/>
        </w:rPr>
        <w:t>Propuesta</w:t>
      </w:r>
      <w:r>
        <w:rPr>
          <w:spacing w:val="-9"/>
          <w:sz w:val="20"/>
        </w:rPr>
        <w:t> </w:t>
      </w:r>
      <w:r>
        <w:rPr>
          <w:sz w:val="20"/>
        </w:rPr>
        <w:t>del</w:t>
      </w:r>
      <w:r>
        <w:rPr>
          <w:spacing w:val="-6"/>
          <w:sz w:val="20"/>
        </w:rPr>
        <w:t> </w:t>
      </w:r>
      <w:r>
        <w:rPr>
          <w:sz w:val="20"/>
        </w:rPr>
        <w:t>nombre</w:t>
      </w:r>
      <w:r>
        <w:rPr>
          <w:spacing w:val="-5"/>
          <w:sz w:val="20"/>
        </w:rPr>
        <w:t> </w:t>
      </w:r>
      <w:r>
        <w:rPr>
          <w:sz w:val="20"/>
        </w:rPr>
        <w:t>del</w:t>
      </w:r>
      <w:r>
        <w:rPr>
          <w:spacing w:val="-7"/>
          <w:sz w:val="20"/>
        </w:rPr>
        <w:t> </w:t>
      </w:r>
      <w:r>
        <w:rPr>
          <w:sz w:val="20"/>
        </w:rPr>
        <w:t>fraccionamiento</w:t>
      </w:r>
      <w:r>
        <w:rPr>
          <w:spacing w:val="-8"/>
          <w:sz w:val="20"/>
        </w:rPr>
        <w:t> </w:t>
      </w:r>
      <w:r>
        <w:rPr>
          <w:sz w:val="20"/>
        </w:rPr>
        <w:t>y</w:t>
      </w:r>
      <w:r>
        <w:rPr>
          <w:spacing w:val="-6"/>
          <w:sz w:val="20"/>
        </w:rPr>
        <w:t> </w:t>
      </w:r>
      <w:r>
        <w:rPr>
          <w:sz w:val="20"/>
        </w:rPr>
        <w:t>de</w:t>
      </w:r>
      <w:r>
        <w:rPr>
          <w:spacing w:val="-8"/>
          <w:sz w:val="20"/>
        </w:rPr>
        <w:t> </w:t>
      </w:r>
      <w:r>
        <w:rPr>
          <w:sz w:val="20"/>
        </w:rPr>
        <w:t>la</w:t>
      </w:r>
      <w:r>
        <w:rPr>
          <w:spacing w:val="-7"/>
          <w:sz w:val="20"/>
        </w:rPr>
        <w:t> </w:t>
      </w:r>
      <w:r>
        <w:rPr>
          <w:sz w:val="20"/>
        </w:rPr>
        <w:t>nomenclatura</w:t>
      </w:r>
      <w:r>
        <w:rPr>
          <w:spacing w:val="-7"/>
          <w:sz w:val="20"/>
        </w:rPr>
        <w:t> </w:t>
      </w:r>
      <w:r>
        <w:rPr>
          <w:sz w:val="20"/>
        </w:rPr>
        <w:t>de</w:t>
      </w:r>
      <w:r>
        <w:rPr>
          <w:spacing w:val="-7"/>
          <w:sz w:val="20"/>
        </w:rPr>
        <w:t> </w:t>
      </w:r>
      <w:r>
        <w:rPr>
          <w:sz w:val="20"/>
        </w:rPr>
        <w:t>las</w:t>
      </w:r>
      <w:r>
        <w:rPr>
          <w:spacing w:val="-7"/>
          <w:sz w:val="20"/>
        </w:rPr>
        <w:t> </w:t>
      </w:r>
      <w:r>
        <w:rPr>
          <w:sz w:val="20"/>
        </w:rPr>
        <w:t>vialidades</w:t>
      </w:r>
      <w:r>
        <w:rPr>
          <w:spacing w:val="-6"/>
          <w:sz w:val="20"/>
        </w:rPr>
        <w:t> </w:t>
      </w:r>
      <w:r>
        <w:rPr>
          <w:sz w:val="20"/>
        </w:rPr>
        <w:t>y</w:t>
      </w:r>
      <w:r>
        <w:rPr>
          <w:spacing w:val="-6"/>
          <w:sz w:val="20"/>
        </w:rPr>
        <w:t> </w:t>
      </w:r>
      <w:r>
        <w:rPr>
          <w:spacing w:val="-2"/>
          <w:sz w:val="20"/>
        </w:rPr>
        <w:t>calles.</w:t>
      </w:r>
    </w:p>
    <w:p>
      <w:pPr>
        <w:pStyle w:val="BodyText"/>
        <w:spacing w:before="1"/>
      </w:pPr>
    </w:p>
    <w:p>
      <w:pPr>
        <w:pStyle w:val="ListParagraph"/>
        <w:numPr>
          <w:ilvl w:val="2"/>
          <w:numId w:val="133"/>
        </w:numPr>
        <w:tabs>
          <w:tab w:pos="544" w:val="left" w:leader="none"/>
        </w:tabs>
        <w:spacing w:line="240" w:lineRule="auto" w:before="0" w:after="0"/>
        <w:ind w:left="544" w:right="0" w:hanging="282"/>
        <w:jc w:val="both"/>
        <w:rPr>
          <w:sz w:val="20"/>
        </w:rPr>
      </w:pPr>
      <w:r>
        <w:rPr>
          <w:sz w:val="20"/>
        </w:rPr>
        <w:t>División</w:t>
      </w:r>
      <w:r>
        <w:rPr>
          <w:spacing w:val="-6"/>
          <w:sz w:val="20"/>
        </w:rPr>
        <w:t> </w:t>
      </w:r>
      <w:r>
        <w:rPr>
          <w:sz w:val="20"/>
        </w:rPr>
        <w:t>de</w:t>
      </w:r>
      <w:r>
        <w:rPr>
          <w:spacing w:val="-6"/>
          <w:sz w:val="20"/>
        </w:rPr>
        <w:t> </w:t>
      </w:r>
      <w:r>
        <w:rPr>
          <w:sz w:val="20"/>
        </w:rPr>
        <w:t>manzanas</w:t>
      </w:r>
      <w:r>
        <w:rPr>
          <w:spacing w:val="-5"/>
          <w:sz w:val="20"/>
        </w:rPr>
        <w:t> </w:t>
      </w:r>
      <w:r>
        <w:rPr>
          <w:sz w:val="20"/>
        </w:rPr>
        <w:t>y</w:t>
      </w:r>
      <w:r>
        <w:rPr>
          <w:spacing w:val="-4"/>
          <w:sz w:val="20"/>
        </w:rPr>
        <w:t> </w:t>
      </w:r>
      <w:r>
        <w:rPr>
          <w:sz w:val="20"/>
        </w:rPr>
        <w:t>su</w:t>
      </w:r>
      <w:r>
        <w:rPr>
          <w:spacing w:val="-6"/>
          <w:sz w:val="20"/>
        </w:rPr>
        <w:t> </w:t>
      </w:r>
      <w:r>
        <w:rPr>
          <w:spacing w:val="-2"/>
          <w:sz w:val="20"/>
        </w:rPr>
        <w:t>lotificación.</w:t>
      </w:r>
    </w:p>
    <w:p>
      <w:pPr>
        <w:pStyle w:val="ListParagraph"/>
        <w:numPr>
          <w:ilvl w:val="2"/>
          <w:numId w:val="133"/>
        </w:numPr>
        <w:tabs>
          <w:tab w:pos="544" w:val="left" w:leader="none"/>
        </w:tabs>
        <w:spacing w:line="240" w:lineRule="auto" w:before="229" w:after="0"/>
        <w:ind w:left="262" w:right="288" w:firstLine="0"/>
        <w:jc w:val="both"/>
        <w:rPr>
          <w:sz w:val="20"/>
        </w:rPr>
      </w:pPr>
      <w:r>
        <w:rPr>
          <w:sz w:val="20"/>
        </w:rPr>
        <w:t>Zonificación interna, que</w:t>
      </w:r>
      <w:r>
        <w:rPr>
          <w:spacing w:val="-2"/>
          <w:sz w:val="20"/>
        </w:rPr>
        <w:t> </w:t>
      </w:r>
      <w:r>
        <w:rPr>
          <w:sz w:val="20"/>
        </w:rPr>
        <w:t>especifique los</w:t>
      </w:r>
      <w:r>
        <w:rPr>
          <w:spacing w:val="-1"/>
          <w:sz w:val="20"/>
        </w:rPr>
        <w:t> </w:t>
      </w:r>
      <w:r>
        <w:rPr>
          <w:sz w:val="20"/>
        </w:rPr>
        <w:t>usos</w:t>
      </w:r>
      <w:r>
        <w:rPr>
          <w:spacing w:val="-1"/>
          <w:sz w:val="20"/>
        </w:rPr>
        <w:t> </w:t>
      </w:r>
      <w:r>
        <w:rPr>
          <w:sz w:val="20"/>
        </w:rPr>
        <w:t>y destinos</w:t>
      </w:r>
      <w:r>
        <w:rPr>
          <w:spacing w:val="-1"/>
          <w:sz w:val="20"/>
        </w:rPr>
        <w:t> </w:t>
      </w:r>
      <w:r>
        <w:rPr>
          <w:sz w:val="20"/>
        </w:rPr>
        <w:t>de</w:t>
      </w:r>
      <w:r>
        <w:rPr>
          <w:spacing w:val="-3"/>
          <w:sz w:val="20"/>
        </w:rPr>
        <w:t> </w:t>
      </w:r>
      <w:r>
        <w:rPr>
          <w:sz w:val="20"/>
        </w:rPr>
        <w:t>suelo, así</w:t>
      </w:r>
      <w:r>
        <w:rPr>
          <w:spacing w:val="-2"/>
          <w:sz w:val="20"/>
        </w:rPr>
        <w:t> </w:t>
      </w:r>
      <w:r>
        <w:rPr>
          <w:sz w:val="20"/>
        </w:rPr>
        <w:t>como las</w:t>
      </w:r>
      <w:r>
        <w:rPr>
          <w:spacing w:val="-1"/>
          <w:sz w:val="20"/>
        </w:rPr>
        <w:t> </w:t>
      </w:r>
      <w:r>
        <w:rPr>
          <w:sz w:val="20"/>
        </w:rPr>
        <w:t>restricciones de uso o destino del suelo federales, estatales y municipales.</w:t>
      </w:r>
    </w:p>
    <w:p>
      <w:pPr>
        <w:pStyle w:val="BodyText"/>
        <w:spacing w:before="1"/>
      </w:pPr>
    </w:p>
    <w:p>
      <w:pPr>
        <w:spacing w:before="0"/>
        <w:ind w:left="262"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05</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6"/>
          <w:sz w:val="20"/>
        </w:rPr>
        <w:t> </w:t>
      </w:r>
      <w:r>
        <w:rPr>
          <w:rFonts w:ascii="Arial"/>
          <w:i/>
          <w:sz w:val="20"/>
        </w:rPr>
        <w:t>DE</w:t>
      </w:r>
      <w:r>
        <w:rPr>
          <w:rFonts w:ascii="Arial"/>
          <w:i/>
          <w:spacing w:val="-6"/>
          <w:sz w:val="20"/>
        </w:rPr>
        <w:t> </w:t>
      </w:r>
      <w:r>
        <w:rPr>
          <w:rFonts w:ascii="Arial"/>
          <w:i/>
          <w:spacing w:val="-4"/>
          <w:sz w:val="20"/>
        </w:rPr>
        <w:t>2019)</w:t>
      </w:r>
    </w:p>
    <w:p>
      <w:pPr>
        <w:pStyle w:val="ListParagraph"/>
        <w:numPr>
          <w:ilvl w:val="2"/>
          <w:numId w:val="133"/>
        </w:numPr>
        <w:tabs>
          <w:tab w:pos="598" w:val="left" w:leader="none"/>
        </w:tabs>
        <w:spacing w:line="240" w:lineRule="auto" w:before="0" w:after="0"/>
        <w:ind w:left="262" w:right="288" w:firstLine="0"/>
        <w:jc w:val="both"/>
        <w:rPr>
          <w:sz w:val="20"/>
        </w:rPr>
      </w:pPr>
      <w:r>
        <w:rPr>
          <w:sz w:val="20"/>
        </w:rPr>
        <w:t>Áreas de</w:t>
      </w:r>
      <w:r>
        <w:rPr>
          <w:spacing w:val="-2"/>
          <w:sz w:val="20"/>
        </w:rPr>
        <w:t> </w:t>
      </w:r>
      <w:r>
        <w:rPr>
          <w:sz w:val="20"/>
        </w:rPr>
        <w:t>donación</w:t>
      </w:r>
      <w:r>
        <w:rPr>
          <w:spacing w:val="-2"/>
          <w:sz w:val="20"/>
        </w:rPr>
        <w:t> </w:t>
      </w:r>
      <w:r>
        <w:rPr>
          <w:sz w:val="20"/>
        </w:rPr>
        <w:t>propuestas,</w:t>
      </w:r>
      <w:r>
        <w:rPr>
          <w:spacing w:val="-1"/>
          <w:sz w:val="20"/>
        </w:rPr>
        <w:t> </w:t>
      </w:r>
      <w:r>
        <w:rPr>
          <w:sz w:val="20"/>
        </w:rPr>
        <w:t>especificando las</w:t>
      </w:r>
      <w:r>
        <w:rPr>
          <w:spacing w:val="-1"/>
          <w:sz w:val="20"/>
        </w:rPr>
        <w:t> </w:t>
      </w:r>
      <w:r>
        <w:rPr>
          <w:sz w:val="20"/>
        </w:rPr>
        <w:t>que corresponden</w:t>
      </w:r>
      <w:r>
        <w:rPr>
          <w:spacing w:val="-2"/>
          <w:sz w:val="20"/>
        </w:rPr>
        <w:t> </w:t>
      </w:r>
      <w:r>
        <w:rPr>
          <w:sz w:val="20"/>
        </w:rPr>
        <w:t>a</w:t>
      </w:r>
      <w:r>
        <w:rPr>
          <w:spacing w:val="-2"/>
          <w:sz w:val="20"/>
        </w:rPr>
        <w:t> </w:t>
      </w:r>
      <w:r>
        <w:rPr>
          <w:sz w:val="20"/>
        </w:rPr>
        <w:t>equipamiento</w:t>
      </w:r>
      <w:r>
        <w:rPr>
          <w:spacing w:val="-2"/>
          <w:sz w:val="20"/>
        </w:rPr>
        <w:t> </w:t>
      </w:r>
      <w:r>
        <w:rPr>
          <w:sz w:val="20"/>
        </w:rPr>
        <w:t>y servicios y las de áreas verdes, acompañando los proyectos de forestación, equipamiento, acondicionamiento, tomas de agua, descargas, alumbrado y aljibes.</w:t>
      </w:r>
    </w:p>
    <w:p>
      <w:pPr>
        <w:pStyle w:val="ListParagraph"/>
        <w:numPr>
          <w:ilvl w:val="1"/>
          <w:numId w:val="133"/>
        </w:numPr>
        <w:tabs>
          <w:tab w:pos="544" w:val="left" w:leader="none"/>
        </w:tabs>
        <w:spacing w:line="240" w:lineRule="auto" w:before="230" w:after="0"/>
        <w:ind w:left="262" w:right="286" w:firstLine="0"/>
        <w:jc w:val="both"/>
        <w:rPr>
          <w:sz w:val="20"/>
        </w:rPr>
      </w:pPr>
      <w:r>
        <w:rPr>
          <w:sz w:val="20"/>
        </w:rPr>
        <w:t>Plano en el que se indique el número total de lotes del fraccionamiento; señalando además, el número</w:t>
      </w:r>
      <w:r>
        <w:rPr>
          <w:spacing w:val="-3"/>
          <w:sz w:val="20"/>
        </w:rPr>
        <w:t> </w:t>
      </w:r>
      <w:r>
        <w:rPr>
          <w:sz w:val="20"/>
        </w:rPr>
        <w:t>de</w:t>
      </w:r>
      <w:r>
        <w:rPr>
          <w:spacing w:val="-3"/>
          <w:sz w:val="20"/>
        </w:rPr>
        <w:t> </w:t>
      </w:r>
      <w:r>
        <w:rPr>
          <w:sz w:val="20"/>
        </w:rPr>
        <w:t>éstos</w:t>
      </w:r>
      <w:r>
        <w:rPr>
          <w:spacing w:val="-2"/>
          <w:sz w:val="20"/>
        </w:rPr>
        <w:t> </w:t>
      </w:r>
      <w:r>
        <w:rPr>
          <w:sz w:val="20"/>
        </w:rPr>
        <w:t>en</w:t>
      </w:r>
      <w:r>
        <w:rPr>
          <w:spacing w:val="-1"/>
          <w:sz w:val="20"/>
        </w:rPr>
        <w:t> </w:t>
      </w:r>
      <w:r>
        <w:rPr>
          <w:sz w:val="20"/>
        </w:rPr>
        <w:t>cada</w:t>
      </w:r>
      <w:r>
        <w:rPr>
          <w:spacing w:val="-3"/>
          <w:sz w:val="20"/>
        </w:rPr>
        <w:t> </w:t>
      </w:r>
      <w:r>
        <w:rPr>
          <w:sz w:val="20"/>
        </w:rPr>
        <w:t>una</w:t>
      </w:r>
      <w:r>
        <w:rPr>
          <w:spacing w:val="-4"/>
          <w:sz w:val="20"/>
        </w:rPr>
        <w:t> </w:t>
      </w:r>
      <w:r>
        <w:rPr>
          <w:sz w:val="20"/>
        </w:rPr>
        <w:t>de</w:t>
      </w:r>
      <w:r>
        <w:rPr>
          <w:spacing w:val="-1"/>
          <w:sz w:val="20"/>
        </w:rPr>
        <w:t> </w:t>
      </w:r>
      <w:r>
        <w:rPr>
          <w:sz w:val="20"/>
        </w:rPr>
        <w:t>las manzanas,</w:t>
      </w:r>
      <w:r>
        <w:rPr>
          <w:spacing w:val="-1"/>
          <w:sz w:val="20"/>
        </w:rPr>
        <w:t> </w:t>
      </w:r>
      <w:r>
        <w:rPr>
          <w:sz w:val="20"/>
        </w:rPr>
        <w:t>el</w:t>
      </w:r>
      <w:r>
        <w:rPr>
          <w:spacing w:val="-2"/>
          <w:sz w:val="20"/>
        </w:rPr>
        <w:t> </w:t>
      </w:r>
      <w:r>
        <w:rPr>
          <w:sz w:val="20"/>
        </w:rPr>
        <w:t>lote</w:t>
      </w:r>
      <w:r>
        <w:rPr>
          <w:spacing w:val="-1"/>
          <w:sz w:val="20"/>
        </w:rPr>
        <w:t> </w:t>
      </w:r>
      <w:r>
        <w:rPr>
          <w:sz w:val="20"/>
        </w:rPr>
        <w:t>tipo</w:t>
      </w:r>
      <w:r>
        <w:rPr>
          <w:spacing w:val="-3"/>
          <w:sz w:val="20"/>
        </w:rPr>
        <w:t> </w:t>
      </w:r>
      <w:r>
        <w:rPr>
          <w:sz w:val="20"/>
        </w:rPr>
        <w:t>y el</w:t>
      </w:r>
      <w:r>
        <w:rPr>
          <w:spacing w:val="-2"/>
          <w:sz w:val="20"/>
        </w:rPr>
        <w:t> </w:t>
      </w:r>
      <w:r>
        <w:rPr>
          <w:sz w:val="20"/>
        </w:rPr>
        <w:t>uso</w:t>
      </w:r>
      <w:r>
        <w:rPr>
          <w:spacing w:val="-1"/>
          <w:sz w:val="20"/>
        </w:rPr>
        <w:t> </w:t>
      </w:r>
      <w:r>
        <w:rPr>
          <w:sz w:val="20"/>
        </w:rPr>
        <w:t>o</w:t>
      </w:r>
      <w:r>
        <w:rPr>
          <w:spacing w:val="-3"/>
          <w:sz w:val="20"/>
        </w:rPr>
        <w:t> </w:t>
      </w:r>
      <w:r>
        <w:rPr>
          <w:sz w:val="20"/>
        </w:rPr>
        <w:t>destino</w:t>
      </w:r>
      <w:r>
        <w:rPr>
          <w:spacing w:val="-2"/>
          <w:sz w:val="20"/>
        </w:rPr>
        <w:t> </w:t>
      </w:r>
      <w:r>
        <w:rPr>
          <w:sz w:val="20"/>
        </w:rPr>
        <w:t>de</w:t>
      </w:r>
      <w:r>
        <w:rPr>
          <w:spacing w:val="-4"/>
          <w:sz w:val="20"/>
        </w:rPr>
        <w:t> </w:t>
      </w:r>
      <w:r>
        <w:rPr>
          <w:sz w:val="20"/>
        </w:rPr>
        <w:t>cada</w:t>
      </w:r>
      <w:r>
        <w:rPr>
          <w:spacing w:val="-1"/>
          <w:sz w:val="20"/>
        </w:rPr>
        <w:t> </w:t>
      </w:r>
      <w:r>
        <w:rPr>
          <w:sz w:val="20"/>
        </w:rPr>
        <w:t>uno</w:t>
      </w:r>
      <w:r>
        <w:rPr>
          <w:spacing w:val="-3"/>
          <w:sz w:val="20"/>
        </w:rPr>
        <w:t> </w:t>
      </w:r>
      <w:r>
        <w:rPr>
          <w:sz w:val="20"/>
        </w:rPr>
        <w:t>de</w:t>
      </w:r>
      <w:r>
        <w:rPr>
          <w:spacing w:val="-3"/>
          <w:sz w:val="20"/>
        </w:rPr>
        <w:t> </w:t>
      </w:r>
      <w:r>
        <w:rPr>
          <w:sz w:val="20"/>
        </w:rPr>
        <w:t>ellos, así como los lotes propuestos para viviendas multifamiliares o lotes condominales.</w:t>
      </w:r>
    </w:p>
    <w:p>
      <w:pPr>
        <w:pStyle w:val="ListParagraph"/>
        <w:numPr>
          <w:ilvl w:val="1"/>
          <w:numId w:val="133"/>
        </w:numPr>
        <w:tabs>
          <w:tab w:pos="544" w:val="left" w:leader="none"/>
        </w:tabs>
        <w:spacing w:line="240" w:lineRule="auto" w:before="229" w:after="0"/>
        <w:ind w:left="544" w:right="0" w:hanging="282"/>
        <w:jc w:val="both"/>
        <w:rPr>
          <w:sz w:val="20"/>
        </w:rPr>
      </w:pPr>
      <w:r>
        <w:rPr>
          <w:sz w:val="20"/>
        </w:rPr>
        <w:t>En</w:t>
      </w:r>
      <w:r>
        <w:rPr>
          <w:spacing w:val="-6"/>
          <w:sz w:val="20"/>
        </w:rPr>
        <w:t> </w:t>
      </w:r>
      <w:r>
        <w:rPr>
          <w:sz w:val="20"/>
        </w:rPr>
        <w:t>su</w:t>
      </w:r>
      <w:r>
        <w:rPr>
          <w:spacing w:val="-5"/>
          <w:sz w:val="20"/>
        </w:rPr>
        <w:t> </w:t>
      </w:r>
      <w:r>
        <w:rPr>
          <w:sz w:val="20"/>
        </w:rPr>
        <w:t>caso,</w:t>
      </w:r>
      <w:r>
        <w:rPr>
          <w:spacing w:val="-3"/>
          <w:sz w:val="20"/>
        </w:rPr>
        <w:t> </w:t>
      </w:r>
      <w:r>
        <w:rPr>
          <w:sz w:val="20"/>
        </w:rPr>
        <w:t>el</w:t>
      </w:r>
      <w:r>
        <w:rPr>
          <w:spacing w:val="-4"/>
          <w:sz w:val="20"/>
        </w:rPr>
        <w:t> </w:t>
      </w:r>
      <w:r>
        <w:rPr>
          <w:sz w:val="20"/>
        </w:rPr>
        <w:t>plano</w:t>
      </w:r>
      <w:r>
        <w:rPr>
          <w:spacing w:val="-5"/>
          <w:sz w:val="20"/>
        </w:rPr>
        <w:t> </w:t>
      </w:r>
      <w:r>
        <w:rPr>
          <w:sz w:val="20"/>
        </w:rPr>
        <w:t>de</w:t>
      </w:r>
      <w:r>
        <w:rPr>
          <w:spacing w:val="-3"/>
          <w:sz w:val="20"/>
        </w:rPr>
        <w:t> </w:t>
      </w:r>
      <w:r>
        <w:rPr>
          <w:sz w:val="20"/>
        </w:rPr>
        <w:t>etapas</w:t>
      </w:r>
      <w:r>
        <w:rPr>
          <w:spacing w:val="-4"/>
          <w:sz w:val="20"/>
        </w:rPr>
        <w:t> </w:t>
      </w:r>
      <w:r>
        <w:rPr>
          <w:sz w:val="20"/>
        </w:rPr>
        <w:t>del</w:t>
      </w:r>
      <w:r>
        <w:rPr>
          <w:spacing w:val="-6"/>
          <w:sz w:val="20"/>
        </w:rPr>
        <w:t> </w:t>
      </w:r>
      <w:r>
        <w:rPr>
          <w:spacing w:val="-2"/>
          <w:sz w:val="20"/>
        </w:rPr>
        <w:t>mismo;</w:t>
      </w:r>
    </w:p>
    <w:p>
      <w:pPr>
        <w:pStyle w:val="BodyText"/>
        <w:spacing w:before="1"/>
      </w:pPr>
    </w:p>
    <w:p>
      <w:pPr>
        <w:pStyle w:val="ListParagraph"/>
        <w:numPr>
          <w:ilvl w:val="0"/>
          <w:numId w:val="133"/>
        </w:numPr>
        <w:tabs>
          <w:tab w:pos="827" w:val="left" w:leader="none"/>
        </w:tabs>
        <w:spacing w:line="240" w:lineRule="auto" w:before="0" w:after="0"/>
        <w:ind w:left="262" w:right="284" w:firstLine="0"/>
        <w:jc w:val="both"/>
        <w:rPr>
          <w:sz w:val="20"/>
        </w:rPr>
      </w:pPr>
      <w:r>
        <w:rPr>
          <w:sz w:val="20"/>
        </w:rPr>
        <w:t>En</w:t>
      </w:r>
      <w:r>
        <w:rPr>
          <w:spacing w:val="-5"/>
          <w:sz w:val="20"/>
        </w:rPr>
        <w:t> </w:t>
      </w:r>
      <w:r>
        <w:rPr>
          <w:sz w:val="20"/>
        </w:rPr>
        <w:t>el</w:t>
      </w:r>
      <w:r>
        <w:rPr>
          <w:spacing w:val="-6"/>
          <w:sz w:val="20"/>
        </w:rPr>
        <w:t> </w:t>
      </w:r>
      <w:r>
        <w:rPr>
          <w:sz w:val="20"/>
        </w:rPr>
        <w:t>caso</w:t>
      </w:r>
      <w:r>
        <w:rPr>
          <w:spacing w:val="-5"/>
          <w:sz w:val="20"/>
        </w:rPr>
        <w:t> </w:t>
      </w:r>
      <w:r>
        <w:rPr>
          <w:sz w:val="20"/>
        </w:rPr>
        <w:t>específico</w:t>
      </w:r>
      <w:r>
        <w:rPr>
          <w:spacing w:val="-5"/>
          <w:sz w:val="20"/>
        </w:rPr>
        <w:t> </w:t>
      </w:r>
      <w:r>
        <w:rPr>
          <w:sz w:val="20"/>
        </w:rPr>
        <w:t>de</w:t>
      </w:r>
      <w:r>
        <w:rPr>
          <w:spacing w:val="-5"/>
          <w:sz w:val="20"/>
        </w:rPr>
        <w:t> </w:t>
      </w:r>
      <w:r>
        <w:rPr>
          <w:sz w:val="20"/>
        </w:rPr>
        <w:t>condominios,</w:t>
      </w:r>
      <w:r>
        <w:rPr>
          <w:spacing w:val="-5"/>
          <w:sz w:val="20"/>
        </w:rPr>
        <w:t> </w:t>
      </w:r>
      <w:r>
        <w:rPr>
          <w:sz w:val="20"/>
        </w:rPr>
        <w:t>además</w:t>
      </w:r>
      <w:r>
        <w:rPr>
          <w:spacing w:val="-4"/>
          <w:sz w:val="20"/>
        </w:rPr>
        <w:t> </w:t>
      </w:r>
      <w:r>
        <w:rPr>
          <w:sz w:val="20"/>
        </w:rPr>
        <w:t>de</w:t>
      </w:r>
      <w:r>
        <w:rPr>
          <w:spacing w:val="-6"/>
          <w:sz w:val="20"/>
        </w:rPr>
        <w:t> </w:t>
      </w:r>
      <w:r>
        <w:rPr>
          <w:sz w:val="20"/>
        </w:rPr>
        <w:t>los</w:t>
      </w:r>
      <w:r>
        <w:rPr>
          <w:spacing w:val="-4"/>
          <w:sz w:val="20"/>
        </w:rPr>
        <w:t> </w:t>
      </w:r>
      <w:r>
        <w:rPr>
          <w:sz w:val="20"/>
        </w:rPr>
        <w:t>anexos</w:t>
      </w:r>
      <w:r>
        <w:rPr>
          <w:spacing w:val="-4"/>
          <w:sz w:val="20"/>
        </w:rPr>
        <w:t> </w:t>
      </w:r>
      <w:r>
        <w:rPr>
          <w:sz w:val="20"/>
        </w:rPr>
        <w:t>correspondientes,</w:t>
      </w:r>
      <w:r>
        <w:rPr>
          <w:spacing w:val="-5"/>
          <w:sz w:val="20"/>
        </w:rPr>
        <w:t> </w:t>
      </w:r>
      <w:r>
        <w:rPr>
          <w:sz w:val="20"/>
        </w:rPr>
        <w:t>el</w:t>
      </w:r>
      <w:r>
        <w:rPr>
          <w:spacing w:val="-6"/>
          <w:sz w:val="20"/>
        </w:rPr>
        <w:t> </w:t>
      </w:r>
      <w:r>
        <w:rPr>
          <w:sz w:val="20"/>
        </w:rPr>
        <w:t>solicitante deberá incluir adicionalmente los siguientes documentos por duplicado:</w:t>
      </w:r>
    </w:p>
    <w:p>
      <w:pPr>
        <w:pStyle w:val="ListParagraph"/>
        <w:numPr>
          <w:ilvl w:val="1"/>
          <w:numId w:val="133"/>
        </w:numPr>
        <w:tabs>
          <w:tab w:pos="544" w:val="left" w:leader="none"/>
        </w:tabs>
        <w:spacing w:line="240" w:lineRule="auto" w:before="229" w:after="0"/>
        <w:ind w:left="544" w:right="0" w:hanging="282"/>
        <w:jc w:val="both"/>
        <w:rPr>
          <w:sz w:val="20"/>
        </w:rPr>
      </w:pPr>
      <w:r>
        <w:rPr>
          <w:sz w:val="20"/>
        </w:rPr>
        <w:t>Plano</w:t>
      </w:r>
      <w:r>
        <w:rPr>
          <w:spacing w:val="-7"/>
          <w:sz w:val="20"/>
        </w:rPr>
        <w:t> </w:t>
      </w:r>
      <w:r>
        <w:rPr>
          <w:sz w:val="20"/>
        </w:rPr>
        <w:t>de</w:t>
      </w:r>
      <w:r>
        <w:rPr>
          <w:spacing w:val="-9"/>
          <w:sz w:val="20"/>
        </w:rPr>
        <w:t> </w:t>
      </w:r>
      <w:r>
        <w:rPr>
          <w:sz w:val="20"/>
        </w:rPr>
        <w:t>zonificación</w:t>
      </w:r>
      <w:r>
        <w:rPr>
          <w:spacing w:val="-7"/>
          <w:sz w:val="20"/>
        </w:rPr>
        <w:t> </w:t>
      </w:r>
      <w:r>
        <w:rPr>
          <w:sz w:val="20"/>
        </w:rPr>
        <w:t>a</w:t>
      </w:r>
      <w:r>
        <w:rPr>
          <w:spacing w:val="-7"/>
          <w:sz w:val="20"/>
        </w:rPr>
        <w:t> </w:t>
      </w:r>
      <w:r>
        <w:rPr>
          <w:sz w:val="20"/>
        </w:rPr>
        <w:t>escala</w:t>
      </w:r>
      <w:r>
        <w:rPr>
          <w:spacing w:val="-6"/>
          <w:sz w:val="20"/>
        </w:rPr>
        <w:t> </w:t>
      </w:r>
      <w:r>
        <w:rPr>
          <w:sz w:val="20"/>
        </w:rPr>
        <w:t>legible</w:t>
      </w:r>
      <w:r>
        <w:rPr>
          <w:spacing w:val="-6"/>
          <w:sz w:val="20"/>
        </w:rPr>
        <w:t> </w:t>
      </w:r>
      <w:r>
        <w:rPr>
          <w:sz w:val="20"/>
        </w:rPr>
        <w:t>que</w:t>
      </w:r>
      <w:r>
        <w:rPr>
          <w:spacing w:val="-7"/>
          <w:sz w:val="20"/>
        </w:rPr>
        <w:t> </w:t>
      </w:r>
      <w:r>
        <w:rPr>
          <w:spacing w:val="-2"/>
          <w:sz w:val="20"/>
        </w:rPr>
        <w:t>señale:</w:t>
      </w:r>
    </w:p>
    <w:p>
      <w:pPr>
        <w:pStyle w:val="BodyText"/>
        <w:spacing w:before="1"/>
      </w:pPr>
    </w:p>
    <w:p>
      <w:pPr>
        <w:pStyle w:val="ListParagraph"/>
        <w:numPr>
          <w:ilvl w:val="2"/>
          <w:numId w:val="133"/>
        </w:numPr>
        <w:tabs>
          <w:tab w:pos="598" w:val="left" w:leader="none"/>
        </w:tabs>
        <w:spacing w:line="240" w:lineRule="auto" w:before="0" w:after="0"/>
        <w:ind w:left="598" w:right="0" w:hanging="336"/>
        <w:jc w:val="both"/>
        <w:rPr>
          <w:sz w:val="20"/>
        </w:rPr>
      </w:pPr>
      <w:r>
        <w:rPr>
          <w:sz w:val="20"/>
        </w:rPr>
        <w:t>Propuesta</w:t>
      </w:r>
      <w:r>
        <w:rPr>
          <w:spacing w:val="-6"/>
          <w:sz w:val="20"/>
        </w:rPr>
        <w:t> </w:t>
      </w:r>
      <w:r>
        <w:rPr>
          <w:sz w:val="20"/>
        </w:rPr>
        <w:t>de</w:t>
      </w:r>
      <w:r>
        <w:rPr>
          <w:spacing w:val="-9"/>
          <w:sz w:val="20"/>
        </w:rPr>
        <w:t> </w:t>
      </w:r>
      <w:r>
        <w:rPr>
          <w:sz w:val="20"/>
        </w:rPr>
        <w:t>nomenclatura</w:t>
      </w:r>
      <w:r>
        <w:rPr>
          <w:spacing w:val="-7"/>
          <w:sz w:val="20"/>
        </w:rPr>
        <w:t> </w:t>
      </w:r>
      <w:r>
        <w:rPr>
          <w:sz w:val="20"/>
        </w:rPr>
        <w:t>de</w:t>
      </w:r>
      <w:r>
        <w:rPr>
          <w:spacing w:val="-6"/>
          <w:sz w:val="20"/>
        </w:rPr>
        <w:t> </w:t>
      </w:r>
      <w:r>
        <w:rPr>
          <w:sz w:val="20"/>
        </w:rPr>
        <w:t>las</w:t>
      </w:r>
      <w:r>
        <w:rPr>
          <w:spacing w:val="-7"/>
          <w:sz w:val="20"/>
        </w:rPr>
        <w:t> </w:t>
      </w:r>
      <w:r>
        <w:rPr>
          <w:spacing w:val="-2"/>
          <w:sz w:val="20"/>
        </w:rPr>
        <w:t>vialidades.</w:t>
      </w:r>
    </w:p>
    <w:p>
      <w:pPr>
        <w:pStyle w:val="BodyText"/>
        <w:spacing w:before="1"/>
      </w:pPr>
    </w:p>
    <w:p>
      <w:pPr>
        <w:pStyle w:val="ListParagraph"/>
        <w:numPr>
          <w:ilvl w:val="2"/>
          <w:numId w:val="133"/>
        </w:numPr>
        <w:tabs>
          <w:tab w:pos="598" w:val="left" w:leader="none"/>
        </w:tabs>
        <w:spacing w:line="240" w:lineRule="auto" w:before="0" w:after="0"/>
        <w:ind w:left="598" w:right="0" w:hanging="336"/>
        <w:jc w:val="both"/>
        <w:rPr>
          <w:sz w:val="20"/>
        </w:rPr>
      </w:pPr>
      <w:r>
        <w:rPr>
          <w:sz w:val="20"/>
        </w:rPr>
        <w:t>La</w:t>
      </w:r>
      <w:r>
        <w:rPr>
          <w:spacing w:val="-6"/>
          <w:sz w:val="20"/>
        </w:rPr>
        <w:t> </w:t>
      </w:r>
      <w:r>
        <w:rPr>
          <w:sz w:val="20"/>
        </w:rPr>
        <w:t>localización</w:t>
      </w:r>
      <w:r>
        <w:rPr>
          <w:spacing w:val="-7"/>
          <w:sz w:val="20"/>
        </w:rPr>
        <w:t> </w:t>
      </w:r>
      <w:r>
        <w:rPr>
          <w:sz w:val="20"/>
        </w:rPr>
        <w:t>de</w:t>
      </w:r>
      <w:r>
        <w:rPr>
          <w:spacing w:val="-7"/>
          <w:sz w:val="20"/>
        </w:rPr>
        <w:t> </w:t>
      </w:r>
      <w:r>
        <w:rPr>
          <w:sz w:val="20"/>
        </w:rPr>
        <w:t>las</w:t>
      </w:r>
      <w:r>
        <w:rPr>
          <w:spacing w:val="-6"/>
          <w:sz w:val="20"/>
        </w:rPr>
        <w:t> </w:t>
      </w:r>
      <w:r>
        <w:rPr>
          <w:sz w:val="20"/>
        </w:rPr>
        <w:t>áreas</w:t>
      </w:r>
      <w:r>
        <w:rPr>
          <w:spacing w:val="-6"/>
          <w:sz w:val="20"/>
        </w:rPr>
        <w:t> </w:t>
      </w:r>
      <w:r>
        <w:rPr>
          <w:spacing w:val="-2"/>
          <w:sz w:val="20"/>
        </w:rPr>
        <w:t>verdes.</w:t>
      </w:r>
    </w:p>
    <w:p>
      <w:pPr>
        <w:pStyle w:val="ListParagraph"/>
        <w:numPr>
          <w:ilvl w:val="2"/>
          <w:numId w:val="133"/>
        </w:numPr>
        <w:tabs>
          <w:tab w:pos="598" w:val="left" w:leader="none"/>
        </w:tabs>
        <w:spacing w:line="240" w:lineRule="auto" w:before="228" w:after="0"/>
        <w:ind w:left="598" w:right="0" w:hanging="336"/>
        <w:jc w:val="both"/>
        <w:rPr>
          <w:sz w:val="20"/>
        </w:rPr>
      </w:pPr>
      <w:r>
        <w:rPr>
          <w:sz w:val="20"/>
        </w:rPr>
        <w:t>Usos</w:t>
      </w:r>
      <w:r>
        <w:rPr>
          <w:spacing w:val="-6"/>
          <w:sz w:val="20"/>
        </w:rPr>
        <w:t> </w:t>
      </w:r>
      <w:r>
        <w:rPr>
          <w:sz w:val="20"/>
        </w:rPr>
        <w:t>y</w:t>
      </w:r>
      <w:r>
        <w:rPr>
          <w:spacing w:val="-6"/>
          <w:sz w:val="20"/>
        </w:rPr>
        <w:t> </w:t>
      </w:r>
      <w:r>
        <w:rPr>
          <w:sz w:val="20"/>
        </w:rPr>
        <w:t>destinos</w:t>
      </w:r>
      <w:r>
        <w:rPr>
          <w:spacing w:val="-5"/>
          <w:sz w:val="20"/>
        </w:rPr>
        <w:t> </w:t>
      </w:r>
      <w:r>
        <w:rPr>
          <w:sz w:val="20"/>
        </w:rPr>
        <w:t>del</w:t>
      </w:r>
      <w:r>
        <w:rPr>
          <w:spacing w:val="-8"/>
          <w:sz w:val="20"/>
        </w:rPr>
        <w:t> </w:t>
      </w:r>
      <w:r>
        <w:rPr>
          <w:sz w:val="20"/>
        </w:rPr>
        <w:t>suelo</w:t>
      </w:r>
      <w:r>
        <w:rPr>
          <w:spacing w:val="-5"/>
          <w:sz w:val="20"/>
        </w:rPr>
        <w:t> </w:t>
      </w:r>
      <w:r>
        <w:rPr>
          <w:sz w:val="20"/>
        </w:rPr>
        <w:t>con</w:t>
      </w:r>
      <w:r>
        <w:rPr>
          <w:spacing w:val="-7"/>
          <w:sz w:val="20"/>
        </w:rPr>
        <w:t> </w:t>
      </w:r>
      <w:r>
        <w:rPr>
          <w:sz w:val="20"/>
        </w:rPr>
        <w:t>cuadros</w:t>
      </w:r>
      <w:r>
        <w:rPr>
          <w:spacing w:val="-3"/>
          <w:sz w:val="20"/>
        </w:rPr>
        <w:t> </w:t>
      </w:r>
      <w:r>
        <w:rPr>
          <w:sz w:val="20"/>
        </w:rPr>
        <w:t>de</w:t>
      </w:r>
      <w:r>
        <w:rPr>
          <w:spacing w:val="-7"/>
          <w:sz w:val="20"/>
        </w:rPr>
        <w:t> </w:t>
      </w:r>
      <w:r>
        <w:rPr>
          <w:sz w:val="20"/>
        </w:rPr>
        <w:t>superficies</w:t>
      </w:r>
      <w:r>
        <w:rPr>
          <w:spacing w:val="-4"/>
          <w:sz w:val="20"/>
        </w:rPr>
        <w:t> </w:t>
      </w:r>
      <w:r>
        <w:rPr>
          <w:sz w:val="20"/>
        </w:rPr>
        <w:t>y</w:t>
      </w:r>
      <w:r>
        <w:rPr>
          <w:spacing w:val="-6"/>
          <w:sz w:val="20"/>
        </w:rPr>
        <w:t> </w:t>
      </w:r>
      <w:r>
        <w:rPr>
          <w:sz w:val="20"/>
        </w:rPr>
        <w:t>restricciones</w:t>
      </w:r>
      <w:r>
        <w:rPr>
          <w:spacing w:val="-5"/>
          <w:sz w:val="20"/>
        </w:rPr>
        <w:t> </w:t>
      </w:r>
      <w:r>
        <w:rPr>
          <w:sz w:val="20"/>
        </w:rPr>
        <w:t>en</w:t>
      </w:r>
      <w:r>
        <w:rPr>
          <w:spacing w:val="-5"/>
          <w:sz w:val="20"/>
        </w:rPr>
        <w:t> </w:t>
      </w:r>
      <w:r>
        <w:rPr>
          <w:sz w:val="20"/>
        </w:rPr>
        <w:t>su</w:t>
      </w:r>
      <w:r>
        <w:rPr>
          <w:spacing w:val="-7"/>
          <w:sz w:val="20"/>
        </w:rPr>
        <w:t> </w:t>
      </w:r>
      <w:r>
        <w:rPr>
          <w:spacing w:val="-2"/>
          <w:sz w:val="20"/>
        </w:rPr>
        <w:t>caso.</w:t>
      </w:r>
    </w:p>
    <w:p>
      <w:pPr>
        <w:pStyle w:val="BodyText"/>
        <w:spacing w:before="1"/>
      </w:pPr>
    </w:p>
    <w:p>
      <w:pPr>
        <w:pStyle w:val="ListParagraph"/>
        <w:numPr>
          <w:ilvl w:val="1"/>
          <w:numId w:val="133"/>
        </w:numPr>
        <w:tabs>
          <w:tab w:pos="544" w:val="left" w:leader="none"/>
        </w:tabs>
        <w:spacing w:line="240" w:lineRule="auto" w:before="0" w:after="0"/>
        <w:ind w:left="262" w:right="287" w:firstLine="0"/>
        <w:jc w:val="both"/>
        <w:rPr>
          <w:sz w:val="20"/>
        </w:rPr>
      </w:pPr>
      <w:r>
        <w:rPr>
          <w:sz w:val="20"/>
        </w:rPr>
        <w:t>La memoria descriptiva de bienes de propiedad exclusiva y de uso común, con las superficies, medidas y colindancias de los predios condominales.</w:t>
      </w:r>
    </w:p>
    <w:p>
      <w:pPr>
        <w:pStyle w:val="ListParagraph"/>
        <w:numPr>
          <w:ilvl w:val="1"/>
          <w:numId w:val="133"/>
        </w:numPr>
        <w:tabs>
          <w:tab w:pos="544" w:val="left" w:leader="none"/>
        </w:tabs>
        <w:spacing w:line="240" w:lineRule="auto" w:before="229" w:after="0"/>
        <w:ind w:left="544" w:right="0" w:hanging="282"/>
        <w:jc w:val="both"/>
        <w:rPr>
          <w:sz w:val="20"/>
        </w:rPr>
      </w:pPr>
      <w:r>
        <w:rPr>
          <w:sz w:val="20"/>
        </w:rPr>
        <w:t>La</w:t>
      </w:r>
      <w:r>
        <w:rPr>
          <w:spacing w:val="-9"/>
          <w:sz w:val="20"/>
        </w:rPr>
        <w:t> </w:t>
      </w:r>
      <w:r>
        <w:rPr>
          <w:sz w:val="20"/>
        </w:rPr>
        <w:t>tabla</w:t>
      </w:r>
      <w:r>
        <w:rPr>
          <w:spacing w:val="-7"/>
          <w:sz w:val="20"/>
        </w:rPr>
        <w:t> </w:t>
      </w:r>
      <w:r>
        <w:rPr>
          <w:sz w:val="20"/>
        </w:rPr>
        <w:t>de</w:t>
      </w:r>
      <w:r>
        <w:rPr>
          <w:spacing w:val="-5"/>
          <w:sz w:val="20"/>
        </w:rPr>
        <w:t> </w:t>
      </w:r>
      <w:r>
        <w:rPr>
          <w:sz w:val="20"/>
        </w:rPr>
        <w:t>indivisos</w:t>
      </w:r>
      <w:r>
        <w:rPr>
          <w:spacing w:val="-7"/>
          <w:sz w:val="20"/>
        </w:rPr>
        <w:t> </w:t>
      </w:r>
      <w:r>
        <w:rPr>
          <w:sz w:val="20"/>
        </w:rPr>
        <w:t>de</w:t>
      </w:r>
      <w:r>
        <w:rPr>
          <w:spacing w:val="-6"/>
          <w:sz w:val="20"/>
        </w:rPr>
        <w:t> </w:t>
      </w:r>
      <w:r>
        <w:rPr>
          <w:sz w:val="20"/>
        </w:rPr>
        <w:t>los</w:t>
      </w:r>
      <w:r>
        <w:rPr>
          <w:spacing w:val="-4"/>
          <w:sz w:val="20"/>
        </w:rPr>
        <w:t> </w:t>
      </w:r>
      <w:r>
        <w:rPr>
          <w:sz w:val="20"/>
        </w:rPr>
        <w:t>predios</w:t>
      </w:r>
      <w:r>
        <w:rPr>
          <w:spacing w:val="-7"/>
          <w:sz w:val="20"/>
        </w:rPr>
        <w:t> </w:t>
      </w:r>
      <w:r>
        <w:rPr>
          <w:sz w:val="20"/>
        </w:rPr>
        <w:t>de</w:t>
      </w:r>
      <w:r>
        <w:rPr>
          <w:spacing w:val="-6"/>
          <w:sz w:val="20"/>
        </w:rPr>
        <w:t> </w:t>
      </w:r>
      <w:r>
        <w:rPr>
          <w:sz w:val="20"/>
        </w:rPr>
        <w:t>propiedad</w:t>
      </w:r>
      <w:r>
        <w:rPr>
          <w:spacing w:val="-5"/>
          <w:sz w:val="20"/>
        </w:rPr>
        <w:t> </w:t>
      </w:r>
      <w:r>
        <w:rPr>
          <w:spacing w:val="-2"/>
          <w:sz w:val="20"/>
        </w:rPr>
        <w:t>exclusiva.</w:t>
      </w:r>
    </w:p>
    <w:p>
      <w:pPr>
        <w:pStyle w:val="BodyText"/>
        <w:spacing w:before="1"/>
      </w:pPr>
    </w:p>
    <w:p>
      <w:pPr>
        <w:pStyle w:val="ListParagraph"/>
        <w:numPr>
          <w:ilvl w:val="1"/>
          <w:numId w:val="133"/>
        </w:numPr>
        <w:tabs>
          <w:tab w:pos="544" w:val="left" w:leader="none"/>
        </w:tabs>
        <w:spacing w:line="240" w:lineRule="auto" w:before="0" w:after="0"/>
        <w:ind w:left="544" w:right="0" w:hanging="282"/>
        <w:jc w:val="both"/>
        <w:rPr>
          <w:sz w:val="20"/>
        </w:rPr>
      </w:pPr>
      <w:r>
        <w:rPr>
          <w:sz w:val="20"/>
        </w:rPr>
        <w:t>El</w:t>
      </w:r>
      <w:r>
        <w:rPr>
          <w:spacing w:val="-10"/>
          <w:sz w:val="20"/>
        </w:rPr>
        <w:t> </w:t>
      </w:r>
      <w:r>
        <w:rPr>
          <w:sz w:val="20"/>
        </w:rPr>
        <w:t>reglamento</w:t>
      </w:r>
      <w:r>
        <w:rPr>
          <w:spacing w:val="-8"/>
          <w:sz w:val="20"/>
        </w:rPr>
        <w:t> </w:t>
      </w:r>
      <w:r>
        <w:rPr>
          <w:sz w:val="20"/>
        </w:rPr>
        <w:t>de</w:t>
      </w:r>
      <w:r>
        <w:rPr>
          <w:spacing w:val="-8"/>
          <w:sz w:val="20"/>
        </w:rPr>
        <w:t> </w:t>
      </w:r>
      <w:r>
        <w:rPr>
          <w:sz w:val="20"/>
        </w:rPr>
        <w:t>administración</w:t>
      </w:r>
      <w:r>
        <w:rPr>
          <w:spacing w:val="-8"/>
          <w:sz w:val="20"/>
        </w:rPr>
        <w:t> </w:t>
      </w:r>
      <w:r>
        <w:rPr>
          <w:sz w:val="20"/>
        </w:rPr>
        <w:t>del</w:t>
      </w:r>
      <w:r>
        <w:rPr>
          <w:spacing w:val="-10"/>
          <w:sz w:val="20"/>
        </w:rPr>
        <w:t> </w:t>
      </w:r>
      <w:r>
        <w:rPr>
          <w:spacing w:val="-2"/>
          <w:sz w:val="20"/>
        </w:rPr>
        <w:t>condominio;</w:t>
      </w:r>
    </w:p>
    <w:p>
      <w:pPr>
        <w:pStyle w:val="BodyText"/>
        <w:spacing w:before="1"/>
      </w:pPr>
    </w:p>
    <w:p>
      <w:pPr>
        <w:pStyle w:val="ListParagraph"/>
        <w:numPr>
          <w:ilvl w:val="0"/>
          <w:numId w:val="133"/>
        </w:numPr>
        <w:tabs>
          <w:tab w:pos="968" w:val="left" w:leader="none"/>
        </w:tabs>
        <w:spacing w:line="240" w:lineRule="auto" w:before="0" w:after="0"/>
        <w:ind w:left="262" w:right="284" w:firstLine="0"/>
        <w:jc w:val="both"/>
        <w:rPr>
          <w:sz w:val="20"/>
        </w:rPr>
      </w:pPr>
      <w:r>
        <w:rPr>
          <w:sz w:val="20"/>
        </w:rPr>
        <w:t>En</w:t>
      </w:r>
      <w:r>
        <w:rPr>
          <w:spacing w:val="-12"/>
          <w:sz w:val="20"/>
        </w:rPr>
        <w:t> </w:t>
      </w:r>
      <w:r>
        <w:rPr>
          <w:sz w:val="20"/>
        </w:rPr>
        <w:t>caso</w:t>
      </w:r>
      <w:r>
        <w:rPr>
          <w:spacing w:val="-12"/>
          <w:sz w:val="20"/>
        </w:rPr>
        <w:t> </w:t>
      </w:r>
      <w:r>
        <w:rPr>
          <w:sz w:val="20"/>
        </w:rPr>
        <w:t>de</w:t>
      </w:r>
      <w:r>
        <w:rPr>
          <w:spacing w:val="-12"/>
          <w:sz w:val="20"/>
        </w:rPr>
        <w:t> </w:t>
      </w:r>
      <w:r>
        <w:rPr>
          <w:sz w:val="20"/>
        </w:rPr>
        <w:t>fraccionamientos</w:t>
      </w:r>
      <w:r>
        <w:rPr>
          <w:spacing w:val="-11"/>
          <w:sz w:val="20"/>
        </w:rPr>
        <w:t> </w:t>
      </w:r>
      <w:r>
        <w:rPr>
          <w:sz w:val="20"/>
        </w:rPr>
        <w:t>de</w:t>
      </w:r>
      <w:r>
        <w:rPr>
          <w:spacing w:val="-13"/>
          <w:sz w:val="20"/>
        </w:rPr>
        <w:t> </w:t>
      </w:r>
      <w:r>
        <w:rPr>
          <w:sz w:val="20"/>
        </w:rPr>
        <w:t>urbanización</w:t>
      </w:r>
      <w:r>
        <w:rPr>
          <w:spacing w:val="-13"/>
          <w:sz w:val="20"/>
        </w:rPr>
        <w:t> </w:t>
      </w:r>
      <w:r>
        <w:rPr>
          <w:sz w:val="20"/>
        </w:rPr>
        <w:t>progresiva,</w:t>
      </w:r>
      <w:r>
        <w:rPr>
          <w:spacing w:val="-13"/>
          <w:sz w:val="20"/>
        </w:rPr>
        <w:t> </w:t>
      </w:r>
      <w:r>
        <w:rPr>
          <w:sz w:val="20"/>
        </w:rPr>
        <w:t>los</w:t>
      </w:r>
      <w:r>
        <w:rPr>
          <w:spacing w:val="-11"/>
          <w:sz w:val="20"/>
        </w:rPr>
        <w:t> </w:t>
      </w:r>
      <w:r>
        <w:rPr>
          <w:sz w:val="20"/>
        </w:rPr>
        <w:t>documentos</w:t>
      </w:r>
      <w:r>
        <w:rPr>
          <w:spacing w:val="-11"/>
          <w:sz w:val="20"/>
        </w:rPr>
        <w:t> </w:t>
      </w:r>
      <w:r>
        <w:rPr>
          <w:sz w:val="20"/>
        </w:rPr>
        <w:t>que</w:t>
      </w:r>
      <w:r>
        <w:rPr>
          <w:spacing w:val="-13"/>
          <w:sz w:val="20"/>
        </w:rPr>
        <w:t> </w:t>
      </w:r>
      <w:r>
        <w:rPr>
          <w:sz w:val="20"/>
        </w:rPr>
        <w:t>acrediten</w:t>
      </w:r>
      <w:r>
        <w:rPr>
          <w:spacing w:val="-12"/>
          <w:sz w:val="20"/>
        </w:rPr>
        <w:t> </w:t>
      </w:r>
      <w:r>
        <w:rPr>
          <w:sz w:val="20"/>
        </w:rPr>
        <w:t>que se trata de un organismo de vivienda o asociación autorizada para llevar a cabo esta clase de desarrollos, y los relativos a la acreditación del estudio de impacto urbano cuando así se requiera;</w:t>
      </w:r>
    </w:p>
    <w:p>
      <w:pPr>
        <w:pStyle w:val="ListParagraph"/>
        <w:numPr>
          <w:ilvl w:val="0"/>
          <w:numId w:val="133"/>
        </w:numPr>
        <w:tabs>
          <w:tab w:pos="968" w:val="left" w:leader="none"/>
        </w:tabs>
        <w:spacing w:line="240" w:lineRule="auto" w:before="229" w:after="0"/>
        <w:ind w:left="262" w:right="288" w:firstLine="0"/>
        <w:jc w:val="both"/>
        <w:rPr>
          <w:sz w:val="20"/>
        </w:rPr>
      </w:pPr>
      <w:r>
        <w:rPr>
          <w:sz w:val="20"/>
        </w:rPr>
        <w:t>Los demás requisitos o documentos que requiera el ayuntamiento conforme a esta Ley y Reglamentos municipales aplicables, 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33"/>
        </w:numPr>
        <w:tabs>
          <w:tab w:pos="968" w:val="left" w:leader="none"/>
        </w:tabs>
        <w:spacing w:line="240" w:lineRule="auto" w:before="0" w:after="0"/>
        <w:ind w:left="968" w:right="0" w:hanging="706"/>
        <w:jc w:val="left"/>
        <w:rPr>
          <w:sz w:val="20"/>
        </w:rPr>
      </w:pPr>
      <w:r>
        <w:rPr>
          <w:sz w:val="20"/>
        </w:rPr>
        <w:t>Los</w:t>
      </w:r>
      <w:r>
        <w:rPr>
          <w:spacing w:val="-7"/>
          <w:sz w:val="20"/>
        </w:rPr>
        <w:t> </w:t>
      </w:r>
      <w:r>
        <w:rPr>
          <w:sz w:val="20"/>
        </w:rPr>
        <w:t>demás</w:t>
      </w:r>
      <w:r>
        <w:rPr>
          <w:spacing w:val="-6"/>
          <w:sz w:val="20"/>
        </w:rPr>
        <w:t> </w:t>
      </w:r>
      <w:r>
        <w:rPr>
          <w:sz w:val="20"/>
        </w:rPr>
        <w:t>que</w:t>
      </w:r>
      <w:r>
        <w:rPr>
          <w:spacing w:val="-8"/>
          <w:sz w:val="20"/>
        </w:rPr>
        <w:t> </w:t>
      </w:r>
      <w:r>
        <w:rPr>
          <w:sz w:val="20"/>
        </w:rPr>
        <w:t>se</w:t>
      </w:r>
      <w:r>
        <w:rPr>
          <w:spacing w:val="-6"/>
          <w:sz w:val="20"/>
        </w:rPr>
        <w:t> </w:t>
      </w:r>
      <w:r>
        <w:rPr>
          <w:sz w:val="20"/>
        </w:rPr>
        <w:t>establezcan</w:t>
      </w:r>
      <w:r>
        <w:rPr>
          <w:spacing w:val="-8"/>
          <w:sz w:val="20"/>
        </w:rPr>
        <w:t> </w:t>
      </w:r>
      <w:r>
        <w:rPr>
          <w:sz w:val="20"/>
        </w:rPr>
        <w:t>en</w:t>
      </w:r>
      <w:r>
        <w:rPr>
          <w:spacing w:val="-6"/>
          <w:sz w:val="20"/>
        </w:rPr>
        <w:t> </w:t>
      </w:r>
      <w:r>
        <w:rPr>
          <w:sz w:val="20"/>
        </w:rPr>
        <w:t>esta</w:t>
      </w:r>
      <w:r>
        <w:rPr>
          <w:spacing w:val="-8"/>
          <w:sz w:val="20"/>
        </w:rPr>
        <w:t> </w:t>
      </w:r>
      <w:r>
        <w:rPr>
          <w:sz w:val="20"/>
        </w:rPr>
        <w:t>Ley</w:t>
      </w:r>
      <w:r>
        <w:rPr>
          <w:spacing w:val="-6"/>
          <w:sz w:val="20"/>
        </w:rPr>
        <w:t> </w:t>
      </w:r>
      <w:r>
        <w:rPr>
          <w:sz w:val="20"/>
        </w:rPr>
        <w:t>y</w:t>
      </w:r>
      <w:r>
        <w:rPr>
          <w:spacing w:val="-7"/>
          <w:sz w:val="20"/>
        </w:rPr>
        <w:t> </w:t>
      </w:r>
      <w:r>
        <w:rPr>
          <w:sz w:val="20"/>
        </w:rPr>
        <w:t>demás</w:t>
      </w:r>
      <w:r>
        <w:rPr>
          <w:spacing w:val="-6"/>
          <w:sz w:val="20"/>
        </w:rPr>
        <w:t> </w:t>
      </w:r>
      <w:r>
        <w:rPr>
          <w:sz w:val="20"/>
        </w:rPr>
        <w:t>disposiciones</w:t>
      </w:r>
      <w:r>
        <w:rPr>
          <w:spacing w:val="-6"/>
          <w:sz w:val="20"/>
        </w:rPr>
        <w:t> </w:t>
      </w:r>
      <w:r>
        <w:rPr>
          <w:sz w:val="20"/>
        </w:rPr>
        <w:t>jurídicas</w:t>
      </w:r>
      <w:r>
        <w:rPr>
          <w:spacing w:val="-7"/>
          <w:sz w:val="20"/>
        </w:rPr>
        <w:t> </w:t>
      </w:r>
      <w:r>
        <w:rPr>
          <w:spacing w:val="-2"/>
          <w:sz w:val="20"/>
        </w:rPr>
        <w:t>aplicables.</w:t>
      </w:r>
    </w:p>
    <w:p>
      <w:pPr>
        <w:pStyle w:val="BodyText"/>
        <w:spacing w:before="1"/>
      </w:pPr>
    </w:p>
    <w:p>
      <w:pPr>
        <w:pStyle w:val="BodyText"/>
        <w:ind w:left="262" w:right="288"/>
        <w:jc w:val="both"/>
      </w:pPr>
      <w:r>
        <w:rPr/>
        <w:t>Los planos a</w:t>
      </w:r>
      <w:r>
        <w:rPr>
          <w:spacing w:val="-1"/>
        </w:rPr>
        <w:t> </w:t>
      </w:r>
      <w:r>
        <w:rPr/>
        <w:t>que</w:t>
      </w:r>
      <w:r>
        <w:rPr>
          <w:spacing w:val="-1"/>
        </w:rPr>
        <w:t> </w:t>
      </w:r>
      <w:r>
        <w:rPr/>
        <w:t>se</w:t>
      </w:r>
      <w:r>
        <w:rPr>
          <w:spacing w:val="-1"/>
        </w:rPr>
        <w:t> </w:t>
      </w:r>
      <w:r>
        <w:rPr/>
        <w:t>refiere este</w:t>
      </w:r>
      <w:r>
        <w:rPr>
          <w:spacing w:val="-1"/>
        </w:rPr>
        <w:t> </w:t>
      </w:r>
      <w:r>
        <w:rPr/>
        <w:t>artículo</w:t>
      </w:r>
      <w:r>
        <w:rPr>
          <w:spacing w:val="-1"/>
        </w:rPr>
        <w:t> </w:t>
      </w:r>
      <w:r>
        <w:rPr/>
        <w:t>deberán</w:t>
      </w:r>
      <w:r>
        <w:rPr>
          <w:spacing w:val="-1"/>
        </w:rPr>
        <w:t> </w:t>
      </w:r>
      <w:r>
        <w:rPr/>
        <w:t>ser avalados además por el</w:t>
      </w:r>
      <w:r>
        <w:rPr>
          <w:spacing w:val="-2"/>
        </w:rPr>
        <w:t> </w:t>
      </w:r>
      <w:r>
        <w:rPr/>
        <w:t>Director responsable de obra, según corresponda.</w:t>
      </w:r>
    </w:p>
    <w:p>
      <w:pPr>
        <w:pStyle w:val="BodyText"/>
        <w:spacing w:before="229"/>
        <w:ind w:left="262" w:right="277"/>
        <w:jc w:val="both"/>
      </w:pPr>
      <w:r>
        <w:rPr>
          <w:rFonts w:ascii="Arial" w:hAnsi="Arial"/>
          <w:b/>
        </w:rPr>
        <w:t>ARTÍCULO 402. </w:t>
      </w:r>
      <w:r>
        <w:rPr/>
        <w:t>En el supuesto de que el predio abarque el espacio territorial de dos o más municipios, el trámite se deberá realizar de conformidad con lo que establezcan los convenios de conurbación</w:t>
      </w:r>
      <w:r>
        <w:rPr>
          <w:spacing w:val="-12"/>
        </w:rPr>
        <w:t> </w:t>
      </w:r>
      <w:r>
        <w:rPr/>
        <w:t>o</w:t>
      </w:r>
      <w:r>
        <w:rPr>
          <w:spacing w:val="-11"/>
        </w:rPr>
        <w:t> </w:t>
      </w:r>
      <w:r>
        <w:rPr/>
        <w:t>de</w:t>
      </w:r>
      <w:r>
        <w:rPr>
          <w:spacing w:val="-12"/>
        </w:rPr>
        <w:t> </w:t>
      </w:r>
      <w:r>
        <w:rPr/>
        <w:t>zona</w:t>
      </w:r>
      <w:r>
        <w:rPr>
          <w:spacing w:val="-12"/>
        </w:rPr>
        <w:t> </w:t>
      </w:r>
      <w:r>
        <w:rPr/>
        <w:t>metropolitana</w:t>
      </w:r>
      <w:r>
        <w:rPr>
          <w:spacing w:val="-12"/>
        </w:rPr>
        <w:t> </w:t>
      </w:r>
      <w:r>
        <w:rPr/>
        <w:t>celebrados</w:t>
      </w:r>
      <w:r>
        <w:rPr>
          <w:spacing w:val="-13"/>
        </w:rPr>
        <w:t> </w:t>
      </w:r>
      <w:r>
        <w:rPr/>
        <w:t>entre</w:t>
      </w:r>
      <w:r>
        <w:rPr>
          <w:spacing w:val="-11"/>
        </w:rPr>
        <w:t> </w:t>
      </w:r>
      <w:r>
        <w:rPr/>
        <w:t>los</w:t>
      </w:r>
      <w:r>
        <w:rPr>
          <w:spacing w:val="-13"/>
        </w:rPr>
        <w:t> </w:t>
      </w:r>
      <w:r>
        <w:rPr/>
        <w:t>éstos</w:t>
      </w:r>
      <w:r>
        <w:rPr>
          <w:spacing w:val="-11"/>
        </w:rPr>
        <w:t> </w:t>
      </w:r>
      <w:r>
        <w:rPr/>
        <w:t>atendiendo</w:t>
      </w:r>
      <w:r>
        <w:rPr>
          <w:spacing w:val="-11"/>
        </w:rPr>
        <w:t> </w:t>
      </w:r>
      <w:r>
        <w:rPr/>
        <w:t>a</w:t>
      </w:r>
      <w:r>
        <w:rPr>
          <w:spacing w:val="-11"/>
        </w:rPr>
        <w:t> </w:t>
      </w:r>
      <w:r>
        <w:rPr/>
        <w:t>lo</w:t>
      </w:r>
      <w:r>
        <w:rPr>
          <w:spacing w:val="-11"/>
        </w:rPr>
        <w:t> </w:t>
      </w:r>
      <w:r>
        <w:rPr/>
        <w:t>dispuesto</w:t>
      </w:r>
      <w:r>
        <w:rPr>
          <w:spacing w:val="-12"/>
        </w:rPr>
        <w:t> </w:t>
      </w:r>
      <w:r>
        <w:rPr/>
        <w:t>por</w:t>
      </w:r>
      <w:r>
        <w:rPr>
          <w:spacing w:val="-10"/>
        </w:rPr>
        <w:t> </w:t>
      </w:r>
      <w:r>
        <w:rPr/>
        <w:t>la</w:t>
      </w:r>
      <w:r>
        <w:rPr>
          <w:spacing w:val="-14"/>
        </w:rPr>
        <w:t> </w:t>
      </w:r>
      <w:r>
        <w:rPr/>
        <w:t>Ley de Ordenamiento Territorial y Desarrollo Urbano del Estado de San Luis Potosí, y demás disposiciones jurídicas aplicables.</w:t>
      </w:r>
    </w:p>
    <w:p>
      <w:pPr>
        <w:pStyle w:val="BodyText"/>
        <w:spacing w:before="1"/>
      </w:pPr>
    </w:p>
    <w:p>
      <w:pPr>
        <w:pStyle w:val="BodyText"/>
        <w:ind w:left="262" w:right="280"/>
        <w:jc w:val="both"/>
      </w:pPr>
      <w:r>
        <w:rPr/>
        <w:t>El o los ayuntamientos y la Comisión Metropolitana y de Conurbación, deberán consultar a las autoridades u organismos competentes sobre el abastecimiento normal de agua potable, drenaje pluvial y saneamiento; las facilidades para el desagüe y las obras de conducción y distribución eléctrica necesarias. Además, harán un estudio del proyecto para soluciones urbanísticas, atendiendo a las necesidades presentes y futuras de la zona que se pretende fraccionar.</w:t>
      </w:r>
    </w:p>
    <w:p>
      <w:pPr>
        <w:pStyle w:val="BodyText"/>
      </w:pPr>
    </w:p>
    <w:p>
      <w:pPr>
        <w:pStyle w:val="BodyText"/>
        <w:ind w:left="262" w:right="278"/>
        <w:jc w:val="both"/>
      </w:pPr>
      <w:r>
        <w:rPr>
          <w:rFonts w:ascii="Arial" w:hAnsi="Arial"/>
          <w:b/>
        </w:rPr>
        <w:t>ARTÍCULO 403. </w:t>
      </w:r>
      <w:r>
        <w:rPr/>
        <w:t>Recibida la solicitud, será revisada por la Dirección Municipal para verificar que esté correctamente integrada, conforme a lo dispuesto en el artículo 401 de esta Ley; en caso de que falte alguno de los datos, documentos, requisitos o anexos, se le notificará por escrito al solicitante dentro de los tres días hábiles siguientes a que presentó ésta, para que subsane la </w:t>
      </w:r>
      <w:r>
        <w:rPr>
          <w:spacing w:val="-2"/>
        </w:rPr>
        <w:t>omisión.</w:t>
      </w:r>
    </w:p>
    <w:p>
      <w:pPr>
        <w:pStyle w:val="BodyText"/>
      </w:pPr>
    </w:p>
    <w:p>
      <w:pPr>
        <w:pStyle w:val="BodyText"/>
        <w:ind w:left="262" w:right="277"/>
        <w:jc w:val="both"/>
      </w:pPr>
      <w:r>
        <w:rPr>
          <w:rFonts w:ascii="Arial" w:hAnsi="Arial"/>
          <w:b/>
        </w:rPr>
        <w:t>ARTÍCULO</w:t>
      </w:r>
      <w:r>
        <w:rPr>
          <w:rFonts w:ascii="Arial" w:hAnsi="Arial"/>
          <w:b/>
          <w:spacing w:val="-1"/>
        </w:rPr>
        <w:t> </w:t>
      </w:r>
      <w:r>
        <w:rPr>
          <w:rFonts w:ascii="Arial" w:hAnsi="Arial"/>
          <w:b/>
        </w:rPr>
        <w:t>404. </w:t>
      </w:r>
      <w:r>
        <w:rPr/>
        <w:t>Integrado y</w:t>
      </w:r>
      <w:r>
        <w:rPr>
          <w:spacing w:val="-1"/>
        </w:rPr>
        <w:t> </w:t>
      </w:r>
      <w:r>
        <w:rPr/>
        <w:t>revisado el</w:t>
      </w:r>
      <w:r>
        <w:rPr>
          <w:spacing w:val="-1"/>
        </w:rPr>
        <w:t> </w:t>
      </w:r>
      <w:r>
        <w:rPr/>
        <w:t>expediente</w:t>
      </w:r>
      <w:r>
        <w:rPr>
          <w:spacing w:val="-2"/>
        </w:rPr>
        <w:t> </w:t>
      </w:r>
      <w:r>
        <w:rPr/>
        <w:t>del</w:t>
      </w:r>
      <w:r>
        <w:rPr>
          <w:spacing w:val="-3"/>
        </w:rPr>
        <w:t> </w:t>
      </w:r>
      <w:r>
        <w:rPr/>
        <w:t>fraccionamiento o</w:t>
      </w:r>
      <w:r>
        <w:rPr>
          <w:spacing w:val="-2"/>
        </w:rPr>
        <w:t> </w:t>
      </w:r>
      <w:r>
        <w:rPr/>
        <w:t>condominio, la Dirección Municipal, a través de la mesa colegiada o grupo de revisión de proyectos de fraccionamientos, condominios y desarrollos inmobiliarios especiales o su equivalente que se constituya en cada Municipio, recabará la opinión técnica de las autoridades u organismos competentes que sean necesarias,</w:t>
      </w:r>
      <w:r>
        <w:rPr>
          <w:spacing w:val="-1"/>
        </w:rPr>
        <w:t> </w:t>
      </w:r>
      <w:r>
        <w:rPr/>
        <w:t>en</w:t>
      </w:r>
      <w:r>
        <w:rPr>
          <w:spacing w:val="-1"/>
        </w:rPr>
        <w:t> </w:t>
      </w:r>
      <w:r>
        <w:rPr/>
        <w:t>cada</w:t>
      </w:r>
      <w:r>
        <w:rPr>
          <w:spacing w:val="-3"/>
        </w:rPr>
        <w:t> </w:t>
      </w:r>
      <w:r>
        <w:rPr/>
        <w:t>uno</w:t>
      </w:r>
      <w:r>
        <w:rPr>
          <w:spacing w:val="-1"/>
        </w:rPr>
        <w:t> </w:t>
      </w:r>
      <w:r>
        <w:rPr/>
        <w:t>de</w:t>
      </w:r>
      <w:r>
        <w:rPr>
          <w:spacing w:val="-3"/>
        </w:rPr>
        <w:t> </w:t>
      </w:r>
      <w:r>
        <w:rPr/>
        <w:t>los</w:t>
      </w:r>
      <w:r>
        <w:rPr>
          <w:spacing w:val="-2"/>
        </w:rPr>
        <w:t> </w:t>
      </w:r>
      <w:r>
        <w:rPr/>
        <w:t>aspectos</w:t>
      </w:r>
      <w:r>
        <w:rPr>
          <w:spacing w:val="-2"/>
        </w:rPr>
        <w:t> </w:t>
      </w:r>
      <w:r>
        <w:rPr/>
        <w:t>técnicos que</w:t>
      </w:r>
      <w:r>
        <w:rPr>
          <w:spacing w:val="-3"/>
        </w:rPr>
        <w:t> </w:t>
      </w:r>
      <w:r>
        <w:rPr/>
        <w:t>se</w:t>
      </w:r>
      <w:r>
        <w:rPr>
          <w:spacing w:val="-1"/>
        </w:rPr>
        <w:t> </w:t>
      </w:r>
      <w:r>
        <w:rPr/>
        <w:t>deban</w:t>
      </w:r>
      <w:r>
        <w:rPr>
          <w:spacing w:val="-1"/>
        </w:rPr>
        <w:t> </w:t>
      </w:r>
      <w:r>
        <w:rPr/>
        <w:t>analizar</w:t>
      </w:r>
      <w:r>
        <w:rPr>
          <w:spacing w:val="-3"/>
        </w:rPr>
        <w:t> </w:t>
      </w:r>
      <w:r>
        <w:rPr/>
        <w:t>e</w:t>
      </w:r>
      <w:r>
        <w:rPr>
          <w:spacing w:val="-1"/>
        </w:rPr>
        <w:t> </w:t>
      </w:r>
      <w:r>
        <w:rPr/>
        <w:t>incluir</w:t>
      </w:r>
      <w:r>
        <w:rPr>
          <w:spacing w:val="-2"/>
        </w:rPr>
        <w:t> </w:t>
      </w:r>
      <w:r>
        <w:rPr/>
        <w:t>en</w:t>
      </w:r>
      <w:r>
        <w:rPr>
          <w:spacing w:val="-2"/>
        </w:rPr>
        <w:t> </w:t>
      </w:r>
      <w:r>
        <w:rPr/>
        <w:t>la</w:t>
      </w:r>
      <w:r>
        <w:rPr>
          <w:spacing w:val="-1"/>
        </w:rPr>
        <w:t> </w:t>
      </w:r>
      <w:r>
        <w:rPr/>
        <w:t>autorización correspondiente, las que contarán con término de hasta quince días hábiles como máximo para emitirlas; en caso de no presentarlas dentro de dicho término se entenderá que están de acuerdo con la procedencia de la autorización.</w:t>
      </w:r>
    </w:p>
    <w:p>
      <w:pPr>
        <w:pStyle w:val="BodyText"/>
        <w:spacing w:before="2"/>
      </w:pPr>
    </w:p>
    <w:p>
      <w:pPr>
        <w:pStyle w:val="BodyText"/>
        <w:ind w:left="262" w:right="279"/>
        <w:jc w:val="both"/>
      </w:pPr>
      <w:r>
        <w:rPr>
          <w:rFonts w:ascii="Arial" w:hAnsi="Arial"/>
          <w:b/>
        </w:rPr>
        <w:t>ARTÍCULO 405. </w:t>
      </w:r>
      <w:r>
        <w:rPr/>
        <w:t>Una vez que se cuente con la opinión técnica de las diversas áreas, la Dirección Municipal</w:t>
      </w:r>
      <w:r>
        <w:rPr>
          <w:spacing w:val="-3"/>
        </w:rPr>
        <w:t> </w:t>
      </w:r>
      <w:r>
        <w:rPr/>
        <w:t>procederá</w:t>
      </w:r>
      <w:r>
        <w:rPr>
          <w:spacing w:val="-2"/>
        </w:rPr>
        <w:t> </w:t>
      </w:r>
      <w:r>
        <w:rPr/>
        <w:t>a analizar</w:t>
      </w:r>
      <w:r>
        <w:rPr>
          <w:spacing w:val="-1"/>
        </w:rPr>
        <w:t> </w:t>
      </w:r>
      <w:r>
        <w:rPr/>
        <w:t>la</w:t>
      </w:r>
      <w:r>
        <w:rPr>
          <w:spacing w:val="-2"/>
        </w:rPr>
        <w:t> </w:t>
      </w:r>
      <w:r>
        <w:rPr/>
        <w:t>solicitud,</w:t>
      </w:r>
      <w:r>
        <w:rPr>
          <w:spacing w:val="-2"/>
        </w:rPr>
        <w:t> </w:t>
      </w:r>
      <w:r>
        <w:rPr/>
        <w:t>de acuerdo a</w:t>
      </w:r>
      <w:r>
        <w:rPr>
          <w:spacing w:val="-2"/>
        </w:rPr>
        <w:t> </w:t>
      </w:r>
      <w:r>
        <w:rPr/>
        <w:t>las</w:t>
      </w:r>
      <w:r>
        <w:rPr>
          <w:spacing w:val="-1"/>
        </w:rPr>
        <w:t> </w:t>
      </w:r>
      <w:r>
        <w:rPr/>
        <w:t>disposiciones</w:t>
      </w:r>
      <w:r>
        <w:rPr>
          <w:spacing w:val="-1"/>
        </w:rPr>
        <w:t> </w:t>
      </w:r>
      <w:r>
        <w:rPr/>
        <w:t>jurídicas</w:t>
      </w:r>
      <w:r>
        <w:rPr>
          <w:spacing w:val="-1"/>
        </w:rPr>
        <w:t> </w:t>
      </w:r>
      <w:r>
        <w:rPr/>
        <w:t>aplicables</w:t>
      </w:r>
      <w:r>
        <w:rPr>
          <w:spacing w:val="-1"/>
        </w:rPr>
        <w:t> </w:t>
      </w:r>
      <w:r>
        <w:rPr/>
        <w:t>en</w:t>
      </w:r>
      <w:r>
        <w:rPr>
          <w:spacing w:val="-3"/>
        </w:rPr>
        <w:t> </w:t>
      </w:r>
      <w:r>
        <w:rPr/>
        <w:t>la materia y las normas técnicas, de planeación urbana y de construcción a las que deberá ajustarse el</w:t>
      </w:r>
      <w:r>
        <w:rPr>
          <w:spacing w:val="-8"/>
        </w:rPr>
        <w:t> </w:t>
      </w:r>
      <w:r>
        <w:rPr/>
        <w:t>proyecto,</w:t>
      </w:r>
      <w:r>
        <w:rPr>
          <w:spacing w:val="-7"/>
        </w:rPr>
        <w:t> </w:t>
      </w:r>
      <w:r>
        <w:rPr/>
        <w:t>a</w:t>
      </w:r>
      <w:r>
        <w:rPr>
          <w:spacing w:val="-7"/>
        </w:rPr>
        <w:t> </w:t>
      </w:r>
      <w:r>
        <w:rPr/>
        <w:t>efecto</w:t>
      </w:r>
      <w:r>
        <w:rPr>
          <w:spacing w:val="-7"/>
        </w:rPr>
        <w:t> </w:t>
      </w:r>
      <w:r>
        <w:rPr/>
        <w:t>de</w:t>
      </w:r>
      <w:r>
        <w:rPr>
          <w:spacing w:val="-7"/>
        </w:rPr>
        <w:t> </w:t>
      </w:r>
      <w:r>
        <w:rPr/>
        <w:t>resolver</w:t>
      </w:r>
      <w:r>
        <w:rPr>
          <w:spacing w:val="-8"/>
        </w:rPr>
        <w:t> </w:t>
      </w:r>
      <w:r>
        <w:rPr/>
        <w:t>en</w:t>
      </w:r>
      <w:r>
        <w:rPr>
          <w:spacing w:val="-9"/>
        </w:rPr>
        <w:t> </w:t>
      </w:r>
      <w:r>
        <w:rPr/>
        <w:t>definitiva</w:t>
      </w:r>
      <w:r>
        <w:rPr>
          <w:spacing w:val="-9"/>
        </w:rPr>
        <w:t> </w:t>
      </w:r>
      <w:r>
        <w:rPr/>
        <w:t>sobre</w:t>
      </w:r>
      <w:r>
        <w:rPr>
          <w:spacing w:val="-6"/>
        </w:rPr>
        <w:t> </w:t>
      </w:r>
      <w:r>
        <w:rPr/>
        <w:t>la</w:t>
      </w:r>
      <w:r>
        <w:rPr>
          <w:spacing w:val="-5"/>
        </w:rPr>
        <w:t> </w:t>
      </w:r>
      <w:r>
        <w:rPr/>
        <w:t>autorización</w:t>
      </w:r>
      <w:r>
        <w:rPr>
          <w:spacing w:val="-7"/>
        </w:rPr>
        <w:t> </w:t>
      </w:r>
      <w:r>
        <w:rPr/>
        <w:t>respectiva,</w:t>
      </w:r>
      <w:r>
        <w:rPr>
          <w:spacing w:val="-7"/>
        </w:rPr>
        <w:t> </w:t>
      </w:r>
      <w:r>
        <w:rPr/>
        <w:t>lo</w:t>
      </w:r>
      <w:r>
        <w:rPr>
          <w:spacing w:val="-7"/>
        </w:rPr>
        <w:t> </w:t>
      </w:r>
      <w:r>
        <w:rPr/>
        <w:t>que</w:t>
      </w:r>
      <w:r>
        <w:rPr>
          <w:spacing w:val="-7"/>
        </w:rPr>
        <w:t> </w:t>
      </w:r>
      <w:r>
        <w:rPr/>
        <w:t>deberá</w:t>
      </w:r>
      <w:r>
        <w:rPr>
          <w:spacing w:val="-8"/>
        </w:rPr>
        <w:t> </w:t>
      </w:r>
      <w:r>
        <w:rPr/>
        <w:t>realizar dentro del término de quince días hábiles siguientes a la recepción de las opiniones técnicas, siempre y cuando éstas determinen la procedencia de la misma.</w:t>
      </w:r>
    </w:p>
    <w:p>
      <w:pPr>
        <w:pStyle w:val="BodyText"/>
        <w:spacing w:before="228"/>
        <w:ind w:left="262" w:right="276"/>
        <w:jc w:val="both"/>
      </w:pPr>
      <w:r>
        <w:rPr/>
        <w:t>Si</w:t>
      </w:r>
      <w:r>
        <w:rPr>
          <w:spacing w:val="-14"/>
        </w:rPr>
        <w:t> </w:t>
      </w:r>
      <w:r>
        <w:rPr/>
        <w:t>de</w:t>
      </w:r>
      <w:r>
        <w:rPr>
          <w:spacing w:val="-14"/>
        </w:rPr>
        <w:t> </w:t>
      </w:r>
      <w:r>
        <w:rPr/>
        <w:t>las</w:t>
      </w:r>
      <w:r>
        <w:rPr>
          <w:spacing w:val="-14"/>
        </w:rPr>
        <w:t> </w:t>
      </w:r>
      <w:r>
        <w:rPr/>
        <w:t>opiniones</w:t>
      </w:r>
      <w:r>
        <w:rPr>
          <w:spacing w:val="-14"/>
        </w:rPr>
        <w:t> </w:t>
      </w:r>
      <w:r>
        <w:rPr/>
        <w:t>técnicas</w:t>
      </w:r>
      <w:r>
        <w:rPr>
          <w:spacing w:val="-14"/>
        </w:rPr>
        <w:t> </w:t>
      </w:r>
      <w:r>
        <w:rPr/>
        <w:t>se</w:t>
      </w:r>
      <w:r>
        <w:rPr>
          <w:spacing w:val="-14"/>
        </w:rPr>
        <w:t> </w:t>
      </w:r>
      <w:r>
        <w:rPr/>
        <w:t>deriva</w:t>
      </w:r>
      <w:r>
        <w:rPr>
          <w:spacing w:val="-14"/>
        </w:rPr>
        <w:t> </w:t>
      </w:r>
      <w:r>
        <w:rPr/>
        <w:t>que</w:t>
      </w:r>
      <w:r>
        <w:rPr>
          <w:spacing w:val="-14"/>
        </w:rPr>
        <w:t> </w:t>
      </w:r>
      <w:r>
        <w:rPr/>
        <w:t>deban</w:t>
      </w:r>
      <w:r>
        <w:rPr>
          <w:spacing w:val="-14"/>
        </w:rPr>
        <w:t> </w:t>
      </w:r>
      <w:r>
        <w:rPr/>
        <w:t>hacerse</w:t>
      </w:r>
      <w:r>
        <w:rPr>
          <w:spacing w:val="-13"/>
        </w:rPr>
        <w:t> </w:t>
      </w:r>
      <w:r>
        <w:rPr/>
        <w:t>modificaciones</w:t>
      </w:r>
      <w:r>
        <w:rPr>
          <w:spacing w:val="-14"/>
        </w:rPr>
        <w:t> </w:t>
      </w:r>
      <w:r>
        <w:rPr/>
        <w:t>al</w:t>
      </w:r>
      <w:r>
        <w:rPr>
          <w:spacing w:val="-14"/>
        </w:rPr>
        <w:t> </w:t>
      </w:r>
      <w:r>
        <w:rPr/>
        <w:t>proyecto</w:t>
      </w:r>
      <w:r>
        <w:rPr>
          <w:spacing w:val="-14"/>
        </w:rPr>
        <w:t> </w:t>
      </w:r>
      <w:r>
        <w:rPr/>
        <w:t>o</w:t>
      </w:r>
      <w:r>
        <w:rPr>
          <w:spacing w:val="-14"/>
        </w:rPr>
        <w:t> </w:t>
      </w:r>
      <w:r>
        <w:rPr/>
        <w:t>complementar información</w:t>
      </w:r>
      <w:r>
        <w:rPr>
          <w:spacing w:val="-14"/>
        </w:rPr>
        <w:t> </w:t>
      </w:r>
      <w:r>
        <w:rPr/>
        <w:t>o</w:t>
      </w:r>
      <w:r>
        <w:rPr>
          <w:spacing w:val="-14"/>
        </w:rPr>
        <w:t> </w:t>
      </w:r>
      <w:r>
        <w:rPr/>
        <w:t>requisitos,</w:t>
      </w:r>
      <w:r>
        <w:rPr>
          <w:spacing w:val="-14"/>
        </w:rPr>
        <w:t> </w:t>
      </w:r>
      <w:r>
        <w:rPr/>
        <w:t>los</w:t>
      </w:r>
      <w:r>
        <w:rPr>
          <w:spacing w:val="-14"/>
        </w:rPr>
        <w:t> </w:t>
      </w:r>
      <w:r>
        <w:rPr/>
        <w:t>quince</w:t>
      </w:r>
      <w:r>
        <w:rPr>
          <w:spacing w:val="-14"/>
        </w:rPr>
        <w:t> </w:t>
      </w:r>
      <w:r>
        <w:rPr/>
        <w:t>días</w:t>
      </w:r>
      <w:r>
        <w:rPr>
          <w:spacing w:val="-14"/>
        </w:rPr>
        <w:t> </w:t>
      </w:r>
      <w:r>
        <w:rPr/>
        <w:t>para</w:t>
      </w:r>
      <w:r>
        <w:rPr>
          <w:spacing w:val="-14"/>
        </w:rPr>
        <w:t> </w:t>
      </w:r>
      <w:r>
        <w:rPr/>
        <w:t>resolver</w:t>
      </w:r>
      <w:r>
        <w:rPr>
          <w:spacing w:val="-14"/>
        </w:rPr>
        <w:t> </w:t>
      </w:r>
      <w:r>
        <w:rPr/>
        <w:t>a</w:t>
      </w:r>
      <w:r>
        <w:rPr>
          <w:spacing w:val="-14"/>
        </w:rPr>
        <w:t> </w:t>
      </w:r>
      <w:r>
        <w:rPr/>
        <w:t>que</w:t>
      </w:r>
      <w:r>
        <w:rPr>
          <w:spacing w:val="-13"/>
        </w:rPr>
        <w:t> </w:t>
      </w:r>
      <w:r>
        <w:rPr/>
        <w:t>se</w:t>
      </w:r>
      <w:r>
        <w:rPr>
          <w:spacing w:val="-14"/>
        </w:rPr>
        <w:t> </w:t>
      </w:r>
      <w:r>
        <w:rPr/>
        <w:t>refiere</w:t>
      </w:r>
      <w:r>
        <w:rPr>
          <w:spacing w:val="-14"/>
        </w:rPr>
        <w:t> </w:t>
      </w:r>
      <w:r>
        <w:rPr/>
        <w:t>el</w:t>
      </w:r>
      <w:r>
        <w:rPr>
          <w:spacing w:val="-14"/>
        </w:rPr>
        <w:t> </w:t>
      </w:r>
      <w:r>
        <w:rPr/>
        <w:t>párrafo</w:t>
      </w:r>
      <w:r>
        <w:rPr>
          <w:spacing w:val="-14"/>
        </w:rPr>
        <w:t> </w:t>
      </w:r>
      <w:r>
        <w:rPr/>
        <w:t>anterior,</w:t>
      </w:r>
      <w:r>
        <w:rPr>
          <w:spacing w:val="-14"/>
        </w:rPr>
        <w:t> </w:t>
      </w:r>
      <w:r>
        <w:rPr/>
        <w:t>se</w:t>
      </w:r>
      <w:r>
        <w:rPr>
          <w:spacing w:val="-14"/>
        </w:rPr>
        <w:t> </w:t>
      </w:r>
      <w:r>
        <w:rPr/>
        <w:t>contarán a</w:t>
      </w:r>
      <w:r>
        <w:rPr>
          <w:spacing w:val="-9"/>
        </w:rPr>
        <w:t> </w:t>
      </w:r>
      <w:r>
        <w:rPr/>
        <w:t>partir</w:t>
      </w:r>
      <w:r>
        <w:rPr>
          <w:spacing w:val="-8"/>
        </w:rPr>
        <w:t> </w:t>
      </w:r>
      <w:r>
        <w:rPr/>
        <w:t>de</w:t>
      </w:r>
      <w:r>
        <w:rPr>
          <w:spacing w:val="-7"/>
        </w:rPr>
        <w:t> </w:t>
      </w:r>
      <w:r>
        <w:rPr/>
        <w:t>que</w:t>
      </w:r>
      <w:r>
        <w:rPr>
          <w:spacing w:val="-9"/>
        </w:rPr>
        <w:t> </w:t>
      </w:r>
      <w:r>
        <w:rPr/>
        <w:t>dichas</w:t>
      </w:r>
      <w:r>
        <w:rPr>
          <w:spacing w:val="-8"/>
        </w:rPr>
        <w:t> </w:t>
      </w:r>
      <w:r>
        <w:rPr/>
        <w:t>modificaciones</w:t>
      </w:r>
      <w:r>
        <w:rPr>
          <w:spacing w:val="-8"/>
        </w:rPr>
        <w:t> </w:t>
      </w:r>
      <w:r>
        <w:rPr/>
        <w:t>se</w:t>
      </w:r>
      <w:r>
        <w:rPr>
          <w:spacing w:val="-9"/>
        </w:rPr>
        <w:t> </w:t>
      </w:r>
      <w:r>
        <w:rPr/>
        <w:t>concreten</w:t>
      </w:r>
      <w:r>
        <w:rPr>
          <w:spacing w:val="-5"/>
        </w:rPr>
        <w:t> </w:t>
      </w:r>
      <w:r>
        <w:rPr/>
        <w:t>o</w:t>
      </w:r>
      <w:r>
        <w:rPr>
          <w:spacing w:val="-9"/>
        </w:rPr>
        <w:t> </w:t>
      </w:r>
      <w:r>
        <w:rPr/>
        <w:t>resuelvan</w:t>
      </w:r>
      <w:r>
        <w:rPr>
          <w:spacing w:val="-9"/>
        </w:rPr>
        <w:t> </w:t>
      </w:r>
      <w:r>
        <w:rPr/>
        <w:t>por</w:t>
      </w:r>
      <w:r>
        <w:rPr>
          <w:spacing w:val="-8"/>
        </w:rPr>
        <w:t> </w:t>
      </w:r>
      <w:r>
        <w:rPr/>
        <w:t>el</w:t>
      </w:r>
      <w:r>
        <w:rPr>
          <w:spacing w:val="-10"/>
        </w:rPr>
        <w:t> </w:t>
      </w:r>
      <w:r>
        <w:rPr/>
        <w:t>promotor</w:t>
      </w:r>
      <w:r>
        <w:rPr>
          <w:spacing w:val="-8"/>
        </w:rPr>
        <w:t> </w:t>
      </w:r>
      <w:r>
        <w:rPr/>
        <w:t>solicitante.</w:t>
      </w:r>
      <w:r>
        <w:rPr>
          <w:spacing w:val="-9"/>
        </w:rPr>
        <w:t> </w:t>
      </w:r>
      <w:r>
        <w:rPr/>
        <w:t>Para</w:t>
      </w:r>
      <w:r>
        <w:rPr>
          <w:spacing w:val="-9"/>
        </w:rPr>
        <w:t> </w:t>
      </w:r>
      <w:r>
        <w:rPr/>
        <w:t>ello, la</w:t>
      </w:r>
      <w:r>
        <w:rPr>
          <w:spacing w:val="-4"/>
        </w:rPr>
        <w:t> </w:t>
      </w:r>
      <w:r>
        <w:rPr/>
        <w:t>Dirección</w:t>
      </w:r>
      <w:r>
        <w:rPr>
          <w:spacing w:val="-2"/>
        </w:rPr>
        <w:t> </w:t>
      </w:r>
      <w:r>
        <w:rPr/>
        <w:t>Municipal</w:t>
      </w:r>
      <w:r>
        <w:rPr>
          <w:spacing w:val="-5"/>
        </w:rPr>
        <w:t> </w:t>
      </w:r>
      <w:r>
        <w:rPr/>
        <w:t>hará</w:t>
      </w:r>
      <w:r>
        <w:rPr>
          <w:spacing w:val="-1"/>
        </w:rPr>
        <w:t> </w:t>
      </w:r>
      <w:r>
        <w:rPr/>
        <w:t>llegar</w:t>
      </w:r>
      <w:r>
        <w:rPr>
          <w:spacing w:val="-1"/>
        </w:rPr>
        <w:t> </w:t>
      </w:r>
      <w:r>
        <w:rPr/>
        <w:t>en</w:t>
      </w:r>
      <w:r>
        <w:rPr>
          <w:spacing w:val="-3"/>
        </w:rPr>
        <w:t> </w:t>
      </w:r>
      <w:r>
        <w:rPr/>
        <w:t>única</w:t>
      </w:r>
      <w:r>
        <w:rPr>
          <w:spacing w:val="-4"/>
        </w:rPr>
        <w:t> </w:t>
      </w:r>
      <w:r>
        <w:rPr/>
        <w:t>ocasión</w:t>
      </w:r>
      <w:r>
        <w:rPr>
          <w:spacing w:val="-3"/>
        </w:rPr>
        <w:t> </w:t>
      </w:r>
      <w:r>
        <w:rPr/>
        <w:t>al</w:t>
      </w:r>
      <w:r>
        <w:rPr>
          <w:spacing w:val="-3"/>
        </w:rPr>
        <w:t> </w:t>
      </w:r>
      <w:r>
        <w:rPr/>
        <w:t>desarrollador</w:t>
      </w:r>
      <w:r>
        <w:rPr>
          <w:spacing w:val="-4"/>
        </w:rPr>
        <w:t> </w:t>
      </w:r>
      <w:r>
        <w:rPr/>
        <w:t>los</w:t>
      </w:r>
      <w:r>
        <w:rPr>
          <w:spacing w:val="-3"/>
        </w:rPr>
        <w:t> </w:t>
      </w:r>
      <w:r>
        <w:rPr/>
        <w:t>requisitos</w:t>
      </w:r>
      <w:r>
        <w:rPr>
          <w:spacing w:val="-1"/>
        </w:rPr>
        <w:t> </w:t>
      </w:r>
      <w:r>
        <w:rPr/>
        <w:t>a</w:t>
      </w:r>
      <w:r>
        <w:rPr>
          <w:spacing w:val="-4"/>
        </w:rPr>
        <w:t> </w:t>
      </w:r>
      <w:r>
        <w:rPr/>
        <w:t>complementar</w:t>
      </w:r>
      <w:r>
        <w:rPr>
          <w:spacing w:val="-1"/>
        </w:rPr>
        <w:t> </w:t>
      </w:r>
      <w:r>
        <w:rPr/>
        <w:t>o modificaciones a realizar a efecto de autorizar el fraccionamiento, condominio o desarrollo inmobiliario</w:t>
      </w:r>
      <w:r>
        <w:rPr>
          <w:spacing w:val="-8"/>
        </w:rPr>
        <w:t> </w:t>
      </w:r>
      <w:r>
        <w:rPr/>
        <w:t>especial</w:t>
      </w:r>
      <w:r>
        <w:rPr>
          <w:spacing w:val="-9"/>
        </w:rPr>
        <w:t> </w:t>
      </w:r>
      <w:r>
        <w:rPr/>
        <w:t>o</w:t>
      </w:r>
      <w:r>
        <w:rPr>
          <w:spacing w:val="-7"/>
        </w:rPr>
        <w:t> </w:t>
      </w:r>
      <w:r>
        <w:rPr/>
        <w:t>su</w:t>
      </w:r>
      <w:r>
        <w:rPr>
          <w:spacing w:val="-7"/>
        </w:rPr>
        <w:t> </w:t>
      </w:r>
      <w:r>
        <w:rPr/>
        <w:t>equivalente</w:t>
      </w:r>
      <w:r>
        <w:rPr>
          <w:spacing w:val="-7"/>
        </w:rPr>
        <w:t> </w:t>
      </w:r>
      <w:r>
        <w:rPr/>
        <w:t>que</w:t>
      </w:r>
      <w:r>
        <w:rPr>
          <w:spacing w:val="-7"/>
        </w:rPr>
        <w:t> </w:t>
      </w:r>
      <w:r>
        <w:rPr/>
        <w:t>se</w:t>
      </w:r>
      <w:r>
        <w:rPr>
          <w:spacing w:val="-8"/>
        </w:rPr>
        <w:t> </w:t>
      </w:r>
      <w:r>
        <w:rPr/>
        <w:t>constituya</w:t>
      </w:r>
      <w:r>
        <w:rPr>
          <w:spacing w:val="-8"/>
        </w:rPr>
        <w:t> </w:t>
      </w:r>
      <w:r>
        <w:rPr/>
        <w:t>en</w:t>
      </w:r>
      <w:r>
        <w:rPr>
          <w:spacing w:val="-7"/>
        </w:rPr>
        <w:t> </w:t>
      </w:r>
      <w:r>
        <w:rPr/>
        <w:t>cada</w:t>
      </w:r>
      <w:r>
        <w:rPr>
          <w:spacing w:val="-8"/>
        </w:rPr>
        <w:t> </w:t>
      </w:r>
      <w:r>
        <w:rPr/>
        <w:t>Municipio.</w:t>
      </w:r>
      <w:r>
        <w:rPr>
          <w:spacing w:val="40"/>
        </w:rPr>
        <w:t> </w:t>
      </w:r>
      <w:r>
        <w:rPr/>
        <w:t>Una</w:t>
      </w:r>
      <w:r>
        <w:rPr>
          <w:spacing w:val="-8"/>
        </w:rPr>
        <w:t> </w:t>
      </w:r>
      <w:r>
        <w:rPr/>
        <w:t>vez</w:t>
      </w:r>
      <w:r>
        <w:rPr>
          <w:spacing w:val="-8"/>
        </w:rPr>
        <w:t> </w:t>
      </w:r>
      <w:r>
        <w:rPr/>
        <w:t>satisfecha</w:t>
      </w:r>
      <w:r>
        <w:rPr>
          <w:spacing w:val="-8"/>
        </w:rPr>
        <w:t> </w:t>
      </w:r>
      <w:r>
        <w:rPr/>
        <w:t>esta solicitud,</w:t>
      </w:r>
      <w:r>
        <w:rPr>
          <w:spacing w:val="-4"/>
        </w:rPr>
        <w:t> </w:t>
      </w:r>
      <w:r>
        <w:rPr/>
        <w:t>la</w:t>
      </w:r>
      <w:r>
        <w:rPr>
          <w:spacing w:val="-7"/>
        </w:rPr>
        <w:t> </w:t>
      </w:r>
      <w:r>
        <w:rPr/>
        <w:t>Dirección</w:t>
      </w:r>
      <w:r>
        <w:rPr>
          <w:spacing w:val="-5"/>
        </w:rPr>
        <w:t> </w:t>
      </w:r>
      <w:r>
        <w:rPr/>
        <w:t>Municipal</w:t>
      </w:r>
      <w:r>
        <w:rPr>
          <w:spacing w:val="-5"/>
        </w:rPr>
        <w:t> </w:t>
      </w:r>
      <w:r>
        <w:rPr/>
        <w:t>dispondrá</w:t>
      </w:r>
      <w:r>
        <w:rPr>
          <w:spacing w:val="-4"/>
        </w:rPr>
        <w:t> </w:t>
      </w:r>
      <w:r>
        <w:rPr/>
        <w:t>de</w:t>
      </w:r>
      <w:r>
        <w:rPr>
          <w:spacing w:val="-5"/>
        </w:rPr>
        <w:t> </w:t>
      </w:r>
      <w:r>
        <w:rPr/>
        <w:t>quince</w:t>
      </w:r>
      <w:r>
        <w:rPr>
          <w:spacing w:val="-5"/>
        </w:rPr>
        <w:t> </w:t>
      </w:r>
      <w:r>
        <w:rPr/>
        <w:t>días</w:t>
      </w:r>
      <w:r>
        <w:rPr>
          <w:spacing w:val="-6"/>
        </w:rPr>
        <w:t> </w:t>
      </w:r>
      <w:r>
        <w:rPr/>
        <w:t>hábiles</w:t>
      </w:r>
      <w:r>
        <w:rPr>
          <w:spacing w:val="-4"/>
        </w:rPr>
        <w:t> </w:t>
      </w:r>
      <w:r>
        <w:rPr/>
        <w:t>para</w:t>
      </w:r>
      <w:r>
        <w:rPr>
          <w:spacing w:val="-5"/>
        </w:rPr>
        <w:t> </w:t>
      </w:r>
      <w:r>
        <w:rPr/>
        <w:t>emitir</w:t>
      </w:r>
      <w:r>
        <w:rPr>
          <w:spacing w:val="-4"/>
        </w:rPr>
        <w:t> </w:t>
      </w:r>
      <w:r>
        <w:rPr/>
        <w:t>dictamen</w:t>
      </w:r>
      <w:r>
        <w:rPr>
          <w:spacing w:val="-5"/>
        </w:rPr>
        <w:t> </w:t>
      </w:r>
      <w:r>
        <w:rPr/>
        <w:t>debidamente motivado y fundamentado. Transcurrido este plazo, y de no haberse emitido el dictamen, se entenderá que opera la negativa ficta sobre la solicitud integrada por el desarrollador a fin de que éste pueda interponer los recursos procedentes.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5"/>
        <w:jc w:val="both"/>
      </w:pPr>
      <w:r>
        <w:rPr>
          <w:rFonts w:ascii="Arial" w:hAnsi="Arial"/>
          <w:b/>
        </w:rPr>
        <w:t>ARTÍCULO 406. </w:t>
      </w:r>
      <w:r>
        <w:rPr/>
        <w:t>El expediente definitivo del fraccionamiento deberá quedar integrado, con la documentación a que se refiere el proceso de autorización del fraccionamiento, bajo la supervisión y responsabilidad de la autoridad competente.</w:t>
      </w:r>
    </w:p>
    <w:p>
      <w:pPr>
        <w:pStyle w:val="BodyText"/>
        <w:spacing w:before="230"/>
        <w:ind w:left="262" w:right="289"/>
        <w:jc w:val="both"/>
      </w:pPr>
      <w:r>
        <w:rPr/>
        <w:t>La documentación señalada</w:t>
      </w:r>
      <w:r>
        <w:rPr>
          <w:spacing w:val="-1"/>
        </w:rPr>
        <w:t> </w:t>
      </w:r>
      <w:r>
        <w:rPr/>
        <w:t>en</w:t>
      </w:r>
      <w:r>
        <w:rPr>
          <w:spacing w:val="-1"/>
        </w:rPr>
        <w:t> </w:t>
      </w:r>
      <w:r>
        <w:rPr/>
        <w:t>el presente artículo, deberá estar avalada, según corresponda, por un Director responsable de obra legalmente autorizado por la autoridad competente.</w:t>
      </w:r>
    </w:p>
    <w:p>
      <w:pPr>
        <w:pStyle w:val="BodyText"/>
        <w:spacing w:before="1"/>
      </w:pPr>
    </w:p>
    <w:p>
      <w:pPr>
        <w:pStyle w:val="BodyText"/>
        <w:ind w:left="262"/>
        <w:jc w:val="both"/>
      </w:pPr>
      <w:r>
        <w:rPr/>
        <w:t>La</w:t>
      </w:r>
      <w:r>
        <w:rPr>
          <w:spacing w:val="-8"/>
        </w:rPr>
        <w:t> </w:t>
      </w:r>
      <w:r>
        <w:rPr/>
        <w:t>información</w:t>
      </w:r>
      <w:r>
        <w:rPr>
          <w:spacing w:val="-7"/>
        </w:rPr>
        <w:t> </w:t>
      </w:r>
      <w:r>
        <w:rPr/>
        <w:t>a</w:t>
      </w:r>
      <w:r>
        <w:rPr>
          <w:spacing w:val="-6"/>
        </w:rPr>
        <w:t> </w:t>
      </w:r>
      <w:r>
        <w:rPr/>
        <w:t>que</w:t>
      </w:r>
      <w:r>
        <w:rPr>
          <w:spacing w:val="-6"/>
        </w:rPr>
        <w:t> </w:t>
      </w:r>
      <w:r>
        <w:rPr/>
        <w:t>se</w:t>
      </w:r>
      <w:r>
        <w:rPr>
          <w:spacing w:val="-7"/>
        </w:rPr>
        <w:t> </w:t>
      </w:r>
      <w:r>
        <w:rPr/>
        <w:t>refiere</w:t>
      </w:r>
      <w:r>
        <w:rPr>
          <w:spacing w:val="-7"/>
        </w:rPr>
        <w:t> </w:t>
      </w:r>
      <w:r>
        <w:rPr/>
        <w:t>el</w:t>
      </w:r>
      <w:r>
        <w:rPr>
          <w:spacing w:val="-7"/>
        </w:rPr>
        <w:t> </w:t>
      </w:r>
      <w:r>
        <w:rPr/>
        <w:t>presente</w:t>
      </w:r>
      <w:r>
        <w:rPr>
          <w:spacing w:val="-5"/>
        </w:rPr>
        <w:t> </w:t>
      </w:r>
      <w:r>
        <w:rPr/>
        <w:t>artículo,</w:t>
      </w:r>
      <w:r>
        <w:rPr>
          <w:spacing w:val="-5"/>
        </w:rPr>
        <w:t> </w:t>
      </w:r>
      <w:r>
        <w:rPr/>
        <w:t>podrá</w:t>
      </w:r>
      <w:r>
        <w:rPr>
          <w:spacing w:val="-7"/>
        </w:rPr>
        <w:t> </w:t>
      </w:r>
      <w:r>
        <w:rPr/>
        <w:t>resguardarse</w:t>
      </w:r>
      <w:r>
        <w:rPr>
          <w:spacing w:val="-7"/>
        </w:rPr>
        <w:t> </w:t>
      </w:r>
      <w:r>
        <w:rPr/>
        <w:t>en</w:t>
      </w:r>
      <w:r>
        <w:rPr>
          <w:spacing w:val="-6"/>
        </w:rPr>
        <w:t> </w:t>
      </w:r>
      <w:r>
        <w:rPr/>
        <w:t>medios</w:t>
      </w:r>
      <w:r>
        <w:rPr>
          <w:spacing w:val="-6"/>
        </w:rPr>
        <w:t> </w:t>
      </w:r>
      <w:r>
        <w:rPr>
          <w:spacing w:val="-2"/>
        </w:rPr>
        <w:t>digitalizados.</w:t>
      </w:r>
    </w:p>
    <w:p>
      <w:pPr>
        <w:pStyle w:val="BodyText"/>
        <w:spacing w:before="1"/>
      </w:pPr>
    </w:p>
    <w:p>
      <w:pPr>
        <w:pStyle w:val="BodyText"/>
        <w:ind w:left="262" w:right="280"/>
        <w:jc w:val="both"/>
      </w:pPr>
      <w:r>
        <w:rPr>
          <w:rFonts w:ascii="Arial" w:hAnsi="Arial"/>
          <w:b/>
          <w:spacing w:val="-2"/>
        </w:rPr>
        <w:t>ARTÍCULO</w:t>
      </w:r>
      <w:r>
        <w:rPr>
          <w:rFonts w:ascii="Arial" w:hAnsi="Arial"/>
          <w:b/>
          <w:spacing w:val="-12"/>
        </w:rPr>
        <w:t> </w:t>
      </w:r>
      <w:r>
        <w:rPr>
          <w:rFonts w:ascii="Arial" w:hAnsi="Arial"/>
          <w:b/>
          <w:spacing w:val="-2"/>
        </w:rPr>
        <w:t>407.</w:t>
      </w:r>
      <w:r>
        <w:rPr>
          <w:rFonts w:ascii="Arial" w:hAnsi="Arial"/>
          <w:b/>
          <w:spacing w:val="-12"/>
        </w:rPr>
        <w:t> </w:t>
      </w:r>
      <w:r>
        <w:rPr>
          <w:spacing w:val="-2"/>
        </w:rPr>
        <w:t>El</w:t>
      </w:r>
      <w:r>
        <w:rPr>
          <w:spacing w:val="-12"/>
        </w:rPr>
        <w:t> </w:t>
      </w:r>
      <w:r>
        <w:rPr>
          <w:spacing w:val="-2"/>
        </w:rPr>
        <w:t>ayuntamiento</w:t>
      </w:r>
      <w:r>
        <w:rPr>
          <w:spacing w:val="-12"/>
        </w:rPr>
        <w:t> </w:t>
      </w:r>
      <w:r>
        <w:rPr>
          <w:spacing w:val="-2"/>
        </w:rPr>
        <w:t>mandará</w:t>
      </w:r>
      <w:r>
        <w:rPr>
          <w:spacing w:val="-12"/>
        </w:rPr>
        <w:t> </w:t>
      </w:r>
      <w:r>
        <w:rPr>
          <w:spacing w:val="-2"/>
        </w:rPr>
        <w:t>a</w:t>
      </w:r>
      <w:r>
        <w:rPr>
          <w:spacing w:val="-12"/>
        </w:rPr>
        <w:t> </w:t>
      </w:r>
      <w:r>
        <w:rPr>
          <w:spacing w:val="-2"/>
        </w:rPr>
        <w:t>publicar</w:t>
      </w:r>
      <w:r>
        <w:rPr>
          <w:spacing w:val="-12"/>
        </w:rPr>
        <w:t> </w:t>
      </w:r>
      <w:r>
        <w:rPr>
          <w:spacing w:val="-2"/>
        </w:rPr>
        <w:t>en</w:t>
      </w:r>
      <w:r>
        <w:rPr>
          <w:spacing w:val="-12"/>
        </w:rPr>
        <w:t> </w:t>
      </w:r>
      <w:r>
        <w:rPr>
          <w:spacing w:val="-2"/>
        </w:rPr>
        <w:t>el</w:t>
      </w:r>
      <w:r>
        <w:rPr>
          <w:spacing w:val="-12"/>
        </w:rPr>
        <w:t> </w:t>
      </w:r>
      <w:r>
        <w:rPr>
          <w:spacing w:val="-2"/>
        </w:rPr>
        <w:t>Periódico</w:t>
      </w:r>
      <w:r>
        <w:rPr>
          <w:spacing w:val="-11"/>
        </w:rPr>
        <w:t> </w:t>
      </w:r>
      <w:r>
        <w:rPr>
          <w:spacing w:val="-2"/>
        </w:rPr>
        <w:t>Oficial</w:t>
      </w:r>
      <w:r>
        <w:rPr>
          <w:spacing w:val="-12"/>
        </w:rPr>
        <w:t> </w:t>
      </w:r>
      <w:r>
        <w:rPr>
          <w:spacing w:val="-2"/>
        </w:rPr>
        <w:t>del</w:t>
      </w:r>
      <w:r>
        <w:rPr>
          <w:spacing w:val="-12"/>
        </w:rPr>
        <w:t> </w:t>
      </w:r>
      <w:r>
        <w:rPr>
          <w:spacing w:val="-2"/>
        </w:rPr>
        <w:t>Estado</w:t>
      </w:r>
      <w:r>
        <w:rPr>
          <w:spacing w:val="-12"/>
        </w:rPr>
        <w:t> </w:t>
      </w:r>
      <w:r>
        <w:rPr>
          <w:spacing w:val="-2"/>
        </w:rPr>
        <w:t>“Plan</w:t>
      </w:r>
      <w:r>
        <w:rPr>
          <w:spacing w:val="-12"/>
        </w:rPr>
        <w:t> </w:t>
      </w:r>
      <w:r>
        <w:rPr>
          <w:spacing w:val="-2"/>
        </w:rPr>
        <w:t>de</w:t>
      </w:r>
      <w:r>
        <w:rPr>
          <w:spacing w:val="-12"/>
        </w:rPr>
        <w:t> </w:t>
      </w:r>
      <w:r>
        <w:rPr>
          <w:spacing w:val="-2"/>
        </w:rPr>
        <w:t>San </w:t>
      </w:r>
      <w:r>
        <w:rPr/>
        <w:t>Luis”, dentro de los noventa días siguientes a la aprobación de un fraccionamiento, la autorización definitiva</w:t>
      </w:r>
      <w:r>
        <w:rPr>
          <w:spacing w:val="-11"/>
        </w:rPr>
        <w:t> </w:t>
      </w:r>
      <w:r>
        <w:rPr/>
        <w:t>de</w:t>
      </w:r>
      <w:r>
        <w:rPr>
          <w:spacing w:val="-12"/>
        </w:rPr>
        <w:t> </w:t>
      </w:r>
      <w:r>
        <w:rPr/>
        <w:t>éste</w:t>
      </w:r>
      <w:r>
        <w:rPr>
          <w:spacing w:val="-12"/>
        </w:rPr>
        <w:t> </w:t>
      </w:r>
      <w:r>
        <w:rPr/>
        <w:t>en</w:t>
      </w:r>
      <w:r>
        <w:rPr>
          <w:spacing w:val="-12"/>
        </w:rPr>
        <w:t> </w:t>
      </w:r>
      <w:r>
        <w:rPr/>
        <w:t>versión</w:t>
      </w:r>
      <w:r>
        <w:rPr>
          <w:spacing w:val="-12"/>
        </w:rPr>
        <w:t> </w:t>
      </w:r>
      <w:r>
        <w:rPr/>
        <w:t>abreviada,</w:t>
      </w:r>
      <w:r>
        <w:rPr>
          <w:spacing w:val="-14"/>
        </w:rPr>
        <w:t> </w:t>
      </w:r>
      <w:r>
        <w:rPr/>
        <w:t>así</w:t>
      </w:r>
      <w:r>
        <w:rPr>
          <w:spacing w:val="-11"/>
        </w:rPr>
        <w:t> </w:t>
      </w:r>
      <w:r>
        <w:rPr/>
        <w:t>como</w:t>
      </w:r>
      <w:r>
        <w:rPr>
          <w:spacing w:val="-14"/>
        </w:rPr>
        <w:t> </w:t>
      </w:r>
      <w:r>
        <w:rPr/>
        <w:t>en</w:t>
      </w:r>
      <w:r>
        <w:rPr>
          <w:spacing w:val="-11"/>
        </w:rPr>
        <w:t> </w:t>
      </w:r>
      <w:r>
        <w:rPr/>
        <w:t>la</w:t>
      </w:r>
      <w:r>
        <w:rPr>
          <w:spacing w:val="-9"/>
        </w:rPr>
        <w:t> </w:t>
      </w:r>
      <w:r>
        <w:rPr/>
        <w:t>Gaceta</w:t>
      </w:r>
      <w:r>
        <w:rPr>
          <w:spacing w:val="-12"/>
        </w:rPr>
        <w:t> </w:t>
      </w:r>
      <w:r>
        <w:rPr/>
        <w:t>Municipal</w:t>
      </w:r>
      <w:r>
        <w:rPr>
          <w:spacing w:val="-7"/>
        </w:rPr>
        <w:t> </w:t>
      </w:r>
      <w:r>
        <w:rPr/>
        <w:t>respectiva</w:t>
      </w:r>
      <w:r>
        <w:rPr>
          <w:spacing w:val="-14"/>
        </w:rPr>
        <w:t> </w:t>
      </w:r>
      <w:r>
        <w:rPr/>
        <w:t>y</w:t>
      </w:r>
      <w:r>
        <w:rPr>
          <w:spacing w:val="-12"/>
        </w:rPr>
        <w:t> </w:t>
      </w:r>
      <w:r>
        <w:rPr/>
        <w:t>en</w:t>
      </w:r>
      <w:r>
        <w:rPr>
          <w:spacing w:val="-11"/>
        </w:rPr>
        <w:t> </w:t>
      </w:r>
      <w:r>
        <w:rPr/>
        <w:t>los</w:t>
      </w:r>
      <w:r>
        <w:rPr>
          <w:spacing w:val="-13"/>
        </w:rPr>
        <w:t> </w:t>
      </w:r>
      <w:r>
        <w:rPr/>
        <w:t>estrados </w:t>
      </w:r>
      <w:r>
        <w:rPr>
          <w:spacing w:val="-2"/>
        </w:rPr>
        <w:t>municipales.</w:t>
      </w:r>
    </w:p>
    <w:p>
      <w:pPr>
        <w:pStyle w:val="BodyText"/>
      </w:pPr>
    </w:p>
    <w:p>
      <w:pPr>
        <w:pStyle w:val="BodyText"/>
        <w:ind w:left="262" w:right="286"/>
        <w:jc w:val="both"/>
      </w:pPr>
      <w:r>
        <w:rPr/>
        <w:t>La referencia de ésta autorización deberá incluirse en la publicidad que los promotores hagan del fraccionamiento respectivo.</w:t>
      </w:r>
    </w:p>
    <w:p>
      <w:pPr>
        <w:pStyle w:val="BodyText"/>
        <w:spacing w:before="229"/>
        <w:ind w:left="262" w:right="277"/>
        <w:jc w:val="both"/>
      </w:pPr>
      <w:r>
        <w:rPr>
          <w:rFonts w:ascii="Arial" w:hAnsi="Arial"/>
          <w:b/>
        </w:rPr>
        <w:t>ARTÍCULO</w:t>
      </w:r>
      <w:r>
        <w:rPr>
          <w:rFonts w:ascii="Arial" w:hAnsi="Arial"/>
          <w:b/>
          <w:spacing w:val="-11"/>
        </w:rPr>
        <w:t> </w:t>
      </w:r>
      <w:r>
        <w:rPr>
          <w:rFonts w:ascii="Arial" w:hAnsi="Arial"/>
          <w:b/>
        </w:rPr>
        <w:t>408.</w:t>
      </w:r>
      <w:r>
        <w:rPr>
          <w:rFonts w:ascii="Arial" w:hAnsi="Arial"/>
          <w:b/>
          <w:spacing w:val="-9"/>
        </w:rPr>
        <w:t> </w:t>
      </w:r>
      <w:r>
        <w:rPr/>
        <w:t>La</w:t>
      </w:r>
      <w:r>
        <w:rPr>
          <w:spacing w:val="-11"/>
        </w:rPr>
        <w:t> </w:t>
      </w:r>
      <w:r>
        <w:rPr/>
        <w:t>autoridad</w:t>
      </w:r>
      <w:r>
        <w:rPr>
          <w:spacing w:val="-10"/>
        </w:rPr>
        <w:t> </w:t>
      </w:r>
      <w:r>
        <w:rPr/>
        <w:t>municipal</w:t>
      </w:r>
      <w:r>
        <w:rPr>
          <w:spacing w:val="-11"/>
        </w:rPr>
        <w:t> </w:t>
      </w:r>
      <w:r>
        <w:rPr/>
        <w:t>para</w:t>
      </w:r>
      <w:r>
        <w:rPr>
          <w:spacing w:val="-9"/>
        </w:rPr>
        <w:t> </w:t>
      </w:r>
      <w:r>
        <w:rPr/>
        <w:t>los</w:t>
      </w:r>
      <w:r>
        <w:rPr>
          <w:spacing w:val="-9"/>
        </w:rPr>
        <w:t> </w:t>
      </w:r>
      <w:r>
        <w:rPr/>
        <w:t>efectos</w:t>
      </w:r>
      <w:r>
        <w:rPr>
          <w:spacing w:val="-11"/>
        </w:rPr>
        <w:t> </w:t>
      </w:r>
      <w:r>
        <w:rPr/>
        <w:t>correspondientes</w:t>
      </w:r>
      <w:r>
        <w:rPr>
          <w:spacing w:val="-9"/>
        </w:rPr>
        <w:t> </w:t>
      </w:r>
      <w:r>
        <w:rPr/>
        <w:t>hará</w:t>
      </w:r>
      <w:r>
        <w:rPr>
          <w:spacing w:val="-10"/>
        </w:rPr>
        <w:t> </w:t>
      </w:r>
      <w:r>
        <w:rPr/>
        <w:t>del</w:t>
      </w:r>
      <w:r>
        <w:rPr>
          <w:spacing w:val="-12"/>
        </w:rPr>
        <w:t> </w:t>
      </w:r>
      <w:r>
        <w:rPr/>
        <w:t>conocimiento</w:t>
      </w:r>
      <w:r>
        <w:rPr>
          <w:spacing w:val="-10"/>
        </w:rPr>
        <w:t> </w:t>
      </w:r>
      <w:r>
        <w:rPr/>
        <w:t>de la</w:t>
      </w:r>
      <w:r>
        <w:rPr>
          <w:spacing w:val="-9"/>
        </w:rPr>
        <w:t> </w:t>
      </w:r>
      <w:r>
        <w:rPr/>
        <w:t>Secretaría,</w:t>
      </w:r>
      <w:r>
        <w:rPr>
          <w:spacing w:val="-12"/>
        </w:rPr>
        <w:t> </w:t>
      </w:r>
      <w:r>
        <w:rPr/>
        <w:t>del</w:t>
      </w:r>
      <w:r>
        <w:rPr>
          <w:spacing w:val="-10"/>
        </w:rPr>
        <w:t> </w:t>
      </w:r>
      <w:r>
        <w:rPr/>
        <w:t>Instituto</w:t>
      </w:r>
      <w:r>
        <w:rPr>
          <w:spacing w:val="-9"/>
        </w:rPr>
        <w:t> </w:t>
      </w:r>
      <w:r>
        <w:rPr/>
        <w:t>Registral</w:t>
      </w:r>
      <w:r>
        <w:rPr>
          <w:spacing w:val="-12"/>
        </w:rPr>
        <w:t> </w:t>
      </w:r>
      <w:r>
        <w:rPr/>
        <w:t>y</w:t>
      </w:r>
      <w:r>
        <w:rPr>
          <w:spacing w:val="-10"/>
        </w:rPr>
        <w:t> </w:t>
      </w:r>
      <w:r>
        <w:rPr/>
        <w:t>Catastral</w:t>
      </w:r>
      <w:r>
        <w:rPr>
          <w:spacing w:val="-10"/>
        </w:rPr>
        <w:t> </w:t>
      </w:r>
      <w:r>
        <w:rPr/>
        <w:t>del</w:t>
      </w:r>
      <w:r>
        <w:rPr>
          <w:spacing w:val="-10"/>
        </w:rPr>
        <w:t> </w:t>
      </w:r>
      <w:r>
        <w:rPr/>
        <w:t>Estado,</w:t>
      </w:r>
      <w:r>
        <w:rPr>
          <w:spacing w:val="-11"/>
        </w:rPr>
        <w:t> </w:t>
      </w:r>
      <w:r>
        <w:rPr/>
        <w:t>de</w:t>
      </w:r>
      <w:r>
        <w:rPr>
          <w:spacing w:val="-9"/>
        </w:rPr>
        <w:t> </w:t>
      </w:r>
      <w:r>
        <w:rPr/>
        <w:t>las</w:t>
      </w:r>
      <w:r>
        <w:rPr>
          <w:spacing w:val="-10"/>
        </w:rPr>
        <w:t> </w:t>
      </w:r>
      <w:r>
        <w:rPr/>
        <w:t>Direcciones</w:t>
      </w:r>
      <w:r>
        <w:rPr>
          <w:spacing w:val="-10"/>
        </w:rPr>
        <w:t> </w:t>
      </w:r>
      <w:r>
        <w:rPr/>
        <w:t>de</w:t>
      </w:r>
      <w:r>
        <w:rPr>
          <w:spacing w:val="-10"/>
        </w:rPr>
        <w:t> </w:t>
      </w:r>
      <w:r>
        <w:rPr/>
        <w:t>Catastro</w:t>
      </w:r>
      <w:r>
        <w:rPr>
          <w:spacing w:val="-11"/>
        </w:rPr>
        <w:t> </w:t>
      </w:r>
      <w:r>
        <w:rPr/>
        <w:t>Municipal, y</w:t>
      </w:r>
      <w:r>
        <w:rPr>
          <w:spacing w:val="-12"/>
        </w:rPr>
        <w:t> </w:t>
      </w:r>
      <w:r>
        <w:rPr/>
        <w:t>en</w:t>
      </w:r>
      <w:r>
        <w:rPr>
          <w:spacing w:val="-14"/>
        </w:rPr>
        <w:t> </w:t>
      </w:r>
      <w:r>
        <w:rPr/>
        <w:t>su</w:t>
      </w:r>
      <w:r>
        <w:rPr>
          <w:spacing w:val="-13"/>
        </w:rPr>
        <w:t> </w:t>
      </w:r>
      <w:r>
        <w:rPr/>
        <w:t>caso,</w:t>
      </w:r>
      <w:r>
        <w:rPr>
          <w:spacing w:val="-12"/>
        </w:rPr>
        <w:t> </w:t>
      </w:r>
      <w:r>
        <w:rPr/>
        <w:t>a</w:t>
      </w:r>
      <w:r>
        <w:rPr>
          <w:spacing w:val="-11"/>
        </w:rPr>
        <w:t> </w:t>
      </w:r>
      <w:r>
        <w:rPr/>
        <w:t>la</w:t>
      </w:r>
      <w:r>
        <w:rPr>
          <w:spacing w:val="-14"/>
        </w:rPr>
        <w:t> </w:t>
      </w:r>
      <w:r>
        <w:rPr/>
        <w:t>Comisión</w:t>
      </w:r>
      <w:r>
        <w:rPr>
          <w:spacing w:val="-11"/>
        </w:rPr>
        <w:t> </w:t>
      </w:r>
      <w:r>
        <w:rPr/>
        <w:t>Metropolitana</w:t>
      </w:r>
      <w:r>
        <w:rPr>
          <w:spacing w:val="-14"/>
        </w:rPr>
        <w:t> </w:t>
      </w:r>
      <w:r>
        <w:rPr/>
        <w:t>y</w:t>
      </w:r>
      <w:r>
        <w:rPr>
          <w:spacing w:val="-12"/>
        </w:rPr>
        <w:t> </w:t>
      </w:r>
      <w:r>
        <w:rPr/>
        <w:t>de</w:t>
      </w:r>
      <w:r>
        <w:rPr>
          <w:spacing w:val="-14"/>
        </w:rPr>
        <w:t> </w:t>
      </w:r>
      <w:r>
        <w:rPr/>
        <w:t>Conurbación</w:t>
      </w:r>
      <w:r>
        <w:rPr>
          <w:spacing w:val="-13"/>
        </w:rPr>
        <w:t> </w:t>
      </w:r>
      <w:r>
        <w:rPr/>
        <w:t>o,</w:t>
      </w:r>
      <w:r>
        <w:rPr>
          <w:spacing w:val="-14"/>
        </w:rPr>
        <w:t> </w:t>
      </w:r>
      <w:r>
        <w:rPr/>
        <w:t>las</w:t>
      </w:r>
      <w:r>
        <w:rPr>
          <w:spacing w:val="-12"/>
        </w:rPr>
        <w:t> </w:t>
      </w:r>
      <w:r>
        <w:rPr/>
        <w:t>autorizaciones</w:t>
      </w:r>
      <w:r>
        <w:rPr>
          <w:spacing w:val="-10"/>
        </w:rPr>
        <w:t> </w:t>
      </w:r>
      <w:r>
        <w:rPr/>
        <w:t>de</w:t>
      </w:r>
      <w:r>
        <w:rPr>
          <w:spacing w:val="-14"/>
        </w:rPr>
        <w:t> </w:t>
      </w:r>
      <w:r>
        <w:rPr/>
        <w:t>fraccionamiento que expida.</w:t>
      </w:r>
    </w:p>
    <w:p>
      <w:pPr>
        <w:pStyle w:val="BodyText"/>
        <w:spacing w:before="230"/>
        <w:ind w:left="262" w:right="286"/>
        <w:jc w:val="both"/>
      </w:pPr>
      <w:r>
        <w:rPr/>
        <w:t>En caso de que el fraccionamiento proyectado se encuentre ubicado en una zona de conurbación, el</w:t>
      </w:r>
      <w:r>
        <w:rPr>
          <w:spacing w:val="-4"/>
        </w:rPr>
        <w:t> </w:t>
      </w:r>
      <w:r>
        <w:rPr/>
        <w:t>Dictamen</w:t>
      </w:r>
      <w:r>
        <w:rPr>
          <w:spacing w:val="-3"/>
        </w:rPr>
        <w:t> </w:t>
      </w:r>
      <w:r>
        <w:rPr/>
        <w:t>de</w:t>
      </w:r>
      <w:r>
        <w:rPr>
          <w:spacing w:val="-3"/>
        </w:rPr>
        <w:t> </w:t>
      </w:r>
      <w:r>
        <w:rPr/>
        <w:t>la</w:t>
      </w:r>
      <w:r>
        <w:rPr>
          <w:spacing w:val="-3"/>
        </w:rPr>
        <w:t> </w:t>
      </w:r>
      <w:r>
        <w:rPr/>
        <w:t>Comisión</w:t>
      </w:r>
      <w:r>
        <w:rPr>
          <w:spacing w:val="-3"/>
        </w:rPr>
        <w:t> </w:t>
      </w:r>
      <w:r>
        <w:rPr/>
        <w:t>de</w:t>
      </w:r>
      <w:r>
        <w:rPr>
          <w:spacing w:val="-3"/>
        </w:rPr>
        <w:t> </w:t>
      </w:r>
      <w:r>
        <w:rPr/>
        <w:t>Conurbación</w:t>
      </w:r>
      <w:r>
        <w:rPr>
          <w:spacing w:val="-3"/>
        </w:rPr>
        <w:t> </w:t>
      </w:r>
      <w:r>
        <w:rPr/>
        <w:t>o</w:t>
      </w:r>
      <w:r>
        <w:rPr>
          <w:spacing w:val="-3"/>
        </w:rPr>
        <w:t> </w:t>
      </w:r>
      <w:r>
        <w:rPr/>
        <w:t>Metropolitana</w:t>
      </w:r>
      <w:r>
        <w:rPr>
          <w:spacing w:val="-3"/>
        </w:rPr>
        <w:t> </w:t>
      </w:r>
      <w:r>
        <w:rPr/>
        <w:t>se</w:t>
      </w:r>
      <w:r>
        <w:rPr>
          <w:spacing w:val="-3"/>
        </w:rPr>
        <w:t> </w:t>
      </w:r>
      <w:r>
        <w:rPr/>
        <w:t>fundamentará</w:t>
      </w:r>
      <w:r>
        <w:rPr>
          <w:spacing w:val="-3"/>
        </w:rPr>
        <w:t> </w:t>
      </w:r>
      <w:r>
        <w:rPr/>
        <w:t>en</w:t>
      </w:r>
      <w:r>
        <w:rPr>
          <w:spacing w:val="-3"/>
        </w:rPr>
        <w:t> </w:t>
      </w:r>
      <w:r>
        <w:rPr/>
        <w:t>la</w:t>
      </w:r>
      <w:r>
        <w:rPr>
          <w:spacing w:val="-5"/>
        </w:rPr>
        <w:t> </w:t>
      </w:r>
      <w:r>
        <w:rPr/>
        <w:t>zonificación</w:t>
      </w:r>
      <w:r>
        <w:rPr>
          <w:spacing w:val="-3"/>
        </w:rPr>
        <w:t> </w:t>
      </w:r>
      <w:r>
        <w:rPr/>
        <w:t>del programa de conurbación correspondiente.</w:t>
      </w:r>
    </w:p>
    <w:p>
      <w:pPr>
        <w:pStyle w:val="BodyText"/>
        <w:spacing w:before="1"/>
      </w:pPr>
    </w:p>
    <w:p>
      <w:pPr>
        <w:pStyle w:val="BodyText"/>
        <w:spacing w:before="1"/>
        <w:ind w:left="262" w:right="278"/>
        <w:jc w:val="both"/>
      </w:pPr>
      <w:r>
        <w:rPr>
          <w:rFonts w:ascii="Arial" w:hAnsi="Arial"/>
          <w:b/>
        </w:rPr>
        <w:t>ARTÍCULO 409. </w:t>
      </w:r>
      <w:r>
        <w:rPr/>
        <w:t>Para que la autoridad competente autorice un fraccionamiento alejado a más de quinientos metros de las zonas urbanizadas, el fraccionador deberá presentar estudio de impacto urbano y ejecutar de conformidad con lo pactado por el Ayuntamiento respectivo, las obras necesarias</w:t>
      </w:r>
      <w:r>
        <w:rPr>
          <w:spacing w:val="-3"/>
        </w:rPr>
        <w:t> </w:t>
      </w:r>
      <w:r>
        <w:rPr/>
        <w:t>para</w:t>
      </w:r>
      <w:r>
        <w:rPr>
          <w:spacing w:val="-4"/>
        </w:rPr>
        <w:t> </w:t>
      </w:r>
      <w:r>
        <w:rPr/>
        <w:t>el</w:t>
      </w:r>
      <w:r>
        <w:rPr>
          <w:spacing w:val="-5"/>
        </w:rPr>
        <w:t> </w:t>
      </w:r>
      <w:r>
        <w:rPr/>
        <w:t>acceso</w:t>
      </w:r>
      <w:r>
        <w:rPr>
          <w:spacing w:val="-2"/>
        </w:rPr>
        <w:t> </w:t>
      </w:r>
      <w:r>
        <w:rPr/>
        <w:t>vial</w:t>
      </w:r>
      <w:r>
        <w:rPr>
          <w:spacing w:val="-5"/>
        </w:rPr>
        <w:t> </w:t>
      </w:r>
      <w:r>
        <w:rPr/>
        <w:t>y</w:t>
      </w:r>
      <w:r>
        <w:rPr>
          <w:spacing w:val="-3"/>
        </w:rPr>
        <w:t> </w:t>
      </w:r>
      <w:r>
        <w:rPr/>
        <w:t>la</w:t>
      </w:r>
      <w:r>
        <w:rPr>
          <w:spacing w:val="-4"/>
        </w:rPr>
        <w:t> </w:t>
      </w:r>
      <w:r>
        <w:rPr/>
        <w:t>conexión</w:t>
      </w:r>
      <w:r>
        <w:rPr>
          <w:spacing w:val="-5"/>
        </w:rPr>
        <w:t> </w:t>
      </w:r>
      <w:r>
        <w:rPr/>
        <w:t>y/o</w:t>
      </w:r>
      <w:r>
        <w:rPr>
          <w:spacing w:val="-5"/>
        </w:rPr>
        <w:t> </w:t>
      </w:r>
      <w:r>
        <w:rPr/>
        <w:t>fuentes</w:t>
      </w:r>
      <w:r>
        <w:rPr>
          <w:spacing w:val="-3"/>
        </w:rPr>
        <w:t> </w:t>
      </w:r>
      <w:r>
        <w:rPr/>
        <w:t>propias</w:t>
      </w:r>
      <w:r>
        <w:rPr>
          <w:spacing w:val="40"/>
        </w:rPr>
        <w:t> </w:t>
      </w:r>
      <w:r>
        <w:rPr/>
        <w:t>de</w:t>
      </w:r>
      <w:r>
        <w:rPr>
          <w:spacing w:val="-4"/>
        </w:rPr>
        <w:t> </w:t>
      </w:r>
      <w:r>
        <w:rPr/>
        <w:t>la</w:t>
      </w:r>
      <w:r>
        <w:rPr>
          <w:spacing w:val="-2"/>
        </w:rPr>
        <w:t> </w:t>
      </w:r>
      <w:r>
        <w:rPr/>
        <w:t>infraestructura</w:t>
      </w:r>
      <w:r>
        <w:rPr>
          <w:spacing w:val="-4"/>
        </w:rPr>
        <w:t> </w:t>
      </w:r>
      <w:r>
        <w:rPr/>
        <w:t>y</w:t>
      </w:r>
      <w:r>
        <w:rPr>
          <w:spacing w:val="-3"/>
        </w:rPr>
        <w:t> </w:t>
      </w:r>
      <w:r>
        <w:rPr/>
        <w:t>los</w:t>
      </w:r>
      <w:r>
        <w:rPr>
          <w:spacing w:val="-3"/>
        </w:rPr>
        <w:t> </w:t>
      </w:r>
      <w:r>
        <w:rPr/>
        <w:t>servicios a que se refiere el Titulo Cuarto de la presente Ley, con la zona urbana más próxima del centro de población de que se trate; debiendo establecerse dicha obligación en la propia autorización del </w:t>
      </w:r>
      <w:r>
        <w:rPr>
          <w:spacing w:val="-2"/>
        </w:rPr>
        <w:t>fraccionamiento.</w:t>
      </w:r>
    </w:p>
    <w:p>
      <w:pPr>
        <w:pStyle w:val="BodyText"/>
        <w:spacing w:before="228"/>
        <w:ind w:left="262" w:right="278"/>
        <w:jc w:val="both"/>
      </w:pPr>
      <w:r>
        <w:rPr>
          <w:rFonts w:ascii="Arial" w:hAnsi="Arial"/>
          <w:b/>
        </w:rPr>
        <w:t>ARTÍCULO 410. </w:t>
      </w:r>
      <w:r>
        <w:rPr/>
        <w:t>No se podrán autorizar fraccionamientos, divisiones, subdivisiones, fusiones, lotificaciones, relotificaciones y modificaciones de los inmuebles o predios, así como de los desarrollos en régimen de propiedad en condominio, que pretendan ubicarse en zonas declaradas no urbanizables, reservas ecológicas, ni en zonas de riesgo y vulnerabilidad establecidos en los programas de ordenamiento territorial y desarrollo urbano, así como de ordenamiento ecológico.</w:t>
      </w:r>
    </w:p>
    <w:p>
      <w:pPr>
        <w:pStyle w:val="BodyText"/>
      </w:pPr>
    </w:p>
    <w:p>
      <w:pPr>
        <w:pStyle w:val="BodyText"/>
        <w:spacing w:before="1"/>
      </w:pPr>
    </w:p>
    <w:p>
      <w:pPr>
        <w:pStyle w:val="Heading2"/>
        <w:spacing w:line="480" w:lineRule="auto"/>
        <w:ind w:left="3949" w:right="3966" w:firstLine="2"/>
      </w:pPr>
      <w:r>
        <w:rPr/>
        <w:t>Capítulo II </w:t>
      </w:r>
      <w:r>
        <w:rPr>
          <w:spacing w:val="-2"/>
        </w:rPr>
        <w:t>Modificaciones</w:t>
      </w:r>
    </w:p>
    <w:p>
      <w:pPr>
        <w:pStyle w:val="BodyText"/>
        <w:ind w:left="262" w:right="284"/>
        <w:jc w:val="both"/>
      </w:pPr>
      <w:r>
        <w:rPr>
          <w:rFonts w:ascii="Arial" w:hAnsi="Arial"/>
          <w:b/>
        </w:rPr>
        <w:t>ARTÍCULO</w:t>
      </w:r>
      <w:r>
        <w:rPr>
          <w:rFonts w:ascii="Arial" w:hAnsi="Arial"/>
          <w:b/>
          <w:spacing w:val="-9"/>
        </w:rPr>
        <w:t> </w:t>
      </w:r>
      <w:r>
        <w:rPr>
          <w:rFonts w:ascii="Arial" w:hAnsi="Arial"/>
          <w:b/>
        </w:rPr>
        <w:t>411.</w:t>
      </w:r>
      <w:r>
        <w:rPr>
          <w:rFonts w:ascii="Arial" w:hAnsi="Arial"/>
          <w:b/>
          <w:spacing w:val="-7"/>
        </w:rPr>
        <w:t> </w:t>
      </w:r>
      <w:r>
        <w:rPr/>
        <w:t>La</w:t>
      </w:r>
      <w:r>
        <w:rPr>
          <w:spacing w:val="-8"/>
        </w:rPr>
        <w:t> </w:t>
      </w:r>
      <w:r>
        <w:rPr/>
        <w:t>dirección</w:t>
      </w:r>
      <w:r>
        <w:rPr>
          <w:spacing w:val="-10"/>
        </w:rPr>
        <w:t> </w:t>
      </w:r>
      <w:r>
        <w:rPr/>
        <w:t>municipal</w:t>
      </w:r>
      <w:r>
        <w:rPr>
          <w:spacing w:val="-9"/>
        </w:rPr>
        <w:t> </w:t>
      </w:r>
      <w:r>
        <w:rPr/>
        <w:t>podrá</w:t>
      </w:r>
      <w:r>
        <w:rPr>
          <w:spacing w:val="-10"/>
        </w:rPr>
        <w:t> </w:t>
      </w:r>
      <w:r>
        <w:rPr/>
        <w:t>autorizar</w:t>
      </w:r>
      <w:r>
        <w:rPr>
          <w:spacing w:val="-9"/>
        </w:rPr>
        <w:t> </w:t>
      </w:r>
      <w:r>
        <w:rPr/>
        <w:t>modificaciones</w:t>
      </w:r>
      <w:r>
        <w:rPr>
          <w:spacing w:val="-9"/>
        </w:rPr>
        <w:t> </w:t>
      </w:r>
      <w:r>
        <w:rPr/>
        <w:t>al</w:t>
      </w:r>
      <w:r>
        <w:rPr>
          <w:spacing w:val="-10"/>
        </w:rPr>
        <w:t> </w:t>
      </w:r>
      <w:r>
        <w:rPr/>
        <w:t>proyecto</w:t>
      </w:r>
      <w:r>
        <w:rPr>
          <w:spacing w:val="-10"/>
        </w:rPr>
        <w:t> </w:t>
      </w:r>
      <w:r>
        <w:rPr/>
        <w:t>autorizado</w:t>
      </w:r>
      <w:r>
        <w:rPr>
          <w:spacing w:val="-8"/>
        </w:rPr>
        <w:t> </w:t>
      </w:r>
      <w:r>
        <w:rPr/>
        <w:t>de</w:t>
      </w:r>
      <w:r>
        <w:rPr>
          <w:spacing w:val="-8"/>
        </w:rPr>
        <w:t> </w:t>
      </w:r>
      <w:r>
        <w:rPr/>
        <w:t>un fraccionamiento, condominio o desarrollo inmobiliario especial, siempre que se cuente con los elementos técnicos o jurídicos justificatorios.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0"/>
        <w:jc w:val="both"/>
      </w:pPr>
      <w:r>
        <w:rPr/>
        <w:t>Si</w:t>
      </w:r>
      <w:r>
        <w:rPr>
          <w:spacing w:val="-3"/>
        </w:rPr>
        <w:t> </w:t>
      </w:r>
      <w:r>
        <w:rPr/>
        <w:t>durante</w:t>
      </w:r>
      <w:r>
        <w:rPr>
          <w:spacing w:val="-2"/>
        </w:rPr>
        <w:t> </w:t>
      </w:r>
      <w:r>
        <w:rPr/>
        <w:t>la</w:t>
      </w:r>
      <w:r>
        <w:rPr>
          <w:spacing w:val="-2"/>
        </w:rPr>
        <w:t> </w:t>
      </w:r>
      <w:r>
        <w:rPr/>
        <w:t>ejecución</w:t>
      </w:r>
      <w:r>
        <w:rPr>
          <w:spacing w:val="-2"/>
        </w:rPr>
        <w:t> </w:t>
      </w:r>
      <w:r>
        <w:rPr/>
        <w:t>de</w:t>
      </w:r>
      <w:r>
        <w:rPr>
          <w:spacing w:val="-2"/>
        </w:rPr>
        <w:t> </w:t>
      </w:r>
      <w:r>
        <w:rPr/>
        <w:t>la</w:t>
      </w:r>
      <w:r>
        <w:rPr>
          <w:spacing w:val="-4"/>
        </w:rPr>
        <w:t> </w:t>
      </w:r>
      <w:r>
        <w:rPr/>
        <w:t>obra</w:t>
      </w:r>
      <w:r>
        <w:rPr>
          <w:spacing w:val="-1"/>
        </w:rPr>
        <w:t> </w:t>
      </w:r>
      <w:r>
        <w:rPr/>
        <w:t>surgieran</w:t>
      </w:r>
      <w:r>
        <w:rPr>
          <w:spacing w:val="-4"/>
        </w:rPr>
        <w:t> </w:t>
      </w:r>
      <w:r>
        <w:rPr/>
        <w:t>razones</w:t>
      </w:r>
      <w:r>
        <w:rPr>
          <w:spacing w:val="-3"/>
        </w:rPr>
        <w:t> </w:t>
      </w:r>
      <w:r>
        <w:rPr/>
        <w:t>técnicas</w:t>
      </w:r>
      <w:r>
        <w:rPr>
          <w:spacing w:val="-3"/>
        </w:rPr>
        <w:t> </w:t>
      </w:r>
      <w:r>
        <w:rPr/>
        <w:t>fundadas</w:t>
      </w:r>
      <w:r>
        <w:rPr>
          <w:spacing w:val="-3"/>
        </w:rPr>
        <w:t> </w:t>
      </w:r>
      <w:r>
        <w:rPr/>
        <w:t>para</w:t>
      </w:r>
      <w:r>
        <w:rPr>
          <w:spacing w:val="-2"/>
        </w:rPr>
        <w:t> </w:t>
      </w:r>
      <w:r>
        <w:rPr/>
        <w:t>modificar</w:t>
      </w:r>
      <w:r>
        <w:rPr>
          <w:spacing w:val="-4"/>
        </w:rPr>
        <w:t> </w:t>
      </w:r>
      <w:r>
        <w:rPr/>
        <w:t>el</w:t>
      </w:r>
      <w:r>
        <w:rPr>
          <w:spacing w:val="-3"/>
        </w:rPr>
        <w:t> </w:t>
      </w:r>
      <w:r>
        <w:rPr/>
        <w:t>proyecto</w:t>
      </w:r>
      <w:r>
        <w:rPr>
          <w:spacing w:val="-2"/>
        </w:rPr>
        <w:t> </w:t>
      </w:r>
      <w:r>
        <w:rPr/>
        <w:t>o sus</w:t>
      </w:r>
      <w:r>
        <w:rPr>
          <w:spacing w:val="-9"/>
        </w:rPr>
        <w:t> </w:t>
      </w:r>
      <w:r>
        <w:rPr/>
        <w:t>especificaciones,</w:t>
      </w:r>
      <w:r>
        <w:rPr>
          <w:spacing w:val="-10"/>
        </w:rPr>
        <w:t> </w:t>
      </w:r>
      <w:r>
        <w:rPr/>
        <w:t>el</w:t>
      </w:r>
      <w:r>
        <w:rPr>
          <w:spacing w:val="-9"/>
        </w:rPr>
        <w:t> </w:t>
      </w:r>
      <w:r>
        <w:rPr/>
        <w:t>fraccionador</w:t>
      </w:r>
      <w:r>
        <w:rPr>
          <w:spacing w:val="-9"/>
        </w:rPr>
        <w:t> </w:t>
      </w:r>
      <w:r>
        <w:rPr/>
        <w:t>deberá</w:t>
      </w:r>
      <w:r>
        <w:rPr>
          <w:spacing w:val="-10"/>
        </w:rPr>
        <w:t> </w:t>
      </w:r>
      <w:r>
        <w:rPr/>
        <w:t>solicitar</w:t>
      </w:r>
      <w:r>
        <w:rPr>
          <w:spacing w:val="-9"/>
        </w:rPr>
        <w:t> </w:t>
      </w:r>
      <w:r>
        <w:rPr/>
        <w:t>y</w:t>
      </w:r>
      <w:r>
        <w:rPr>
          <w:spacing w:val="-9"/>
        </w:rPr>
        <w:t> </w:t>
      </w:r>
      <w:r>
        <w:rPr/>
        <w:t>presentar</w:t>
      </w:r>
      <w:r>
        <w:rPr>
          <w:spacing w:val="-7"/>
        </w:rPr>
        <w:t> </w:t>
      </w:r>
      <w:r>
        <w:rPr/>
        <w:t>por</w:t>
      </w:r>
      <w:r>
        <w:rPr>
          <w:spacing w:val="-9"/>
        </w:rPr>
        <w:t> </w:t>
      </w:r>
      <w:r>
        <w:rPr/>
        <w:t>escrito</w:t>
      </w:r>
      <w:r>
        <w:rPr>
          <w:spacing w:val="-8"/>
        </w:rPr>
        <w:t> </w:t>
      </w:r>
      <w:r>
        <w:rPr/>
        <w:t>a</w:t>
      </w:r>
      <w:r>
        <w:rPr>
          <w:spacing w:val="-8"/>
        </w:rPr>
        <w:t> </w:t>
      </w:r>
      <w:r>
        <w:rPr/>
        <w:t>la</w:t>
      </w:r>
      <w:r>
        <w:rPr>
          <w:spacing w:val="-10"/>
        </w:rPr>
        <w:t> </w:t>
      </w:r>
      <w:r>
        <w:rPr/>
        <w:t>Dirección</w:t>
      </w:r>
      <w:r>
        <w:rPr>
          <w:spacing w:val="-8"/>
        </w:rPr>
        <w:t> </w:t>
      </w:r>
      <w:r>
        <w:rPr/>
        <w:t>Municipal el proyecto de modificación, según corresponda, la que de manera fundada y motivada deberá resolver</w:t>
      </w:r>
      <w:r>
        <w:rPr>
          <w:spacing w:val="-4"/>
        </w:rPr>
        <w:t> </w:t>
      </w:r>
      <w:r>
        <w:rPr/>
        <w:t>previo</w:t>
      </w:r>
      <w:r>
        <w:rPr>
          <w:spacing w:val="-2"/>
        </w:rPr>
        <w:t> </w:t>
      </w:r>
      <w:r>
        <w:rPr/>
        <w:t>dictamen</w:t>
      </w:r>
      <w:r>
        <w:rPr>
          <w:spacing w:val="-4"/>
        </w:rPr>
        <w:t> </w:t>
      </w:r>
      <w:r>
        <w:rPr/>
        <w:t>técnico,</w:t>
      </w:r>
      <w:r>
        <w:rPr>
          <w:spacing w:val="-4"/>
        </w:rPr>
        <w:t> </w:t>
      </w:r>
      <w:r>
        <w:rPr/>
        <w:t>dentro</w:t>
      </w:r>
      <w:r>
        <w:rPr>
          <w:spacing w:val="-4"/>
        </w:rPr>
        <w:t> </w:t>
      </w:r>
      <w:r>
        <w:rPr/>
        <w:t>de</w:t>
      </w:r>
      <w:r>
        <w:rPr>
          <w:spacing w:val="-4"/>
        </w:rPr>
        <w:t> </w:t>
      </w:r>
      <w:r>
        <w:rPr/>
        <w:t>un</w:t>
      </w:r>
      <w:r>
        <w:rPr>
          <w:spacing w:val="-4"/>
        </w:rPr>
        <w:t> </w:t>
      </w:r>
      <w:r>
        <w:rPr/>
        <w:t>plazo</w:t>
      </w:r>
      <w:r>
        <w:rPr>
          <w:spacing w:val="-2"/>
        </w:rPr>
        <w:t> </w:t>
      </w:r>
      <w:r>
        <w:rPr/>
        <w:t>que</w:t>
      </w:r>
      <w:r>
        <w:rPr>
          <w:spacing w:val="-5"/>
        </w:rPr>
        <w:t> </w:t>
      </w:r>
      <w:r>
        <w:rPr/>
        <w:t>no</w:t>
      </w:r>
      <w:r>
        <w:rPr>
          <w:spacing w:val="-3"/>
        </w:rPr>
        <w:t> </w:t>
      </w:r>
      <w:r>
        <w:rPr/>
        <w:t>podrá</w:t>
      </w:r>
      <w:r>
        <w:rPr>
          <w:spacing w:val="-2"/>
        </w:rPr>
        <w:t> </w:t>
      </w:r>
      <w:r>
        <w:rPr/>
        <w:t>exceder</w:t>
      </w:r>
      <w:r>
        <w:rPr>
          <w:spacing w:val="-4"/>
        </w:rPr>
        <w:t> </w:t>
      </w:r>
      <w:r>
        <w:rPr/>
        <w:t>de</w:t>
      </w:r>
      <w:r>
        <w:rPr>
          <w:spacing w:val="-4"/>
        </w:rPr>
        <w:t> </w:t>
      </w:r>
      <w:r>
        <w:rPr/>
        <w:t>treinta</w:t>
      </w:r>
      <w:r>
        <w:rPr>
          <w:spacing w:val="-5"/>
        </w:rPr>
        <w:t> </w:t>
      </w:r>
      <w:r>
        <w:rPr/>
        <w:t>días</w:t>
      </w:r>
      <w:r>
        <w:rPr>
          <w:spacing w:val="-3"/>
        </w:rPr>
        <w:t> </w:t>
      </w:r>
      <w:r>
        <w:rPr/>
        <w:t>contados a partir de la solicitud respectiva.</w:t>
      </w:r>
    </w:p>
    <w:p>
      <w:pPr>
        <w:pStyle w:val="BodyText"/>
      </w:pPr>
    </w:p>
    <w:p>
      <w:pPr>
        <w:pStyle w:val="BodyText"/>
        <w:ind w:left="262" w:right="278"/>
        <w:jc w:val="both"/>
      </w:pPr>
      <w:r>
        <w:rPr>
          <w:rFonts w:ascii="Arial" w:hAnsi="Arial"/>
          <w:b/>
        </w:rPr>
        <w:t>ARTÍCULO</w:t>
      </w:r>
      <w:r>
        <w:rPr>
          <w:rFonts w:ascii="Arial" w:hAnsi="Arial"/>
          <w:b/>
          <w:spacing w:val="-11"/>
        </w:rPr>
        <w:t> </w:t>
      </w:r>
      <w:r>
        <w:rPr>
          <w:rFonts w:ascii="Arial" w:hAnsi="Arial"/>
          <w:b/>
        </w:rPr>
        <w:t>412.</w:t>
      </w:r>
      <w:r>
        <w:rPr>
          <w:rFonts w:ascii="Arial" w:hAnsi="Arial"/>
          <w:b/>
          <w:spacing w:val="-11"/>
        </w:rPr>
        <w:t> </w:t>
      </w:r>
      <w:r>
        <w:rPr/>
        <w:t>El</w:t>
      </w:r>
      <w:r>
        <w:rPr>
          <w:spacing w:val="-12"/>
        </w:rPr>
        <w:t> </w:t>
      </w:r>
      <w:r>
        <w:rPr/>
        <w:t>Ayuntamiento</w:t>
      </w:r>
      <w:r>
        <w:rPr>
          <w:spacing w:val="-12"/>
        </w:rPr>
        <w:t> </w:t>
      </w:r>
      <w:r>
        <w:rPr/>
        <w:t>por</w:t>
      </w:r>
      <w:r>
        <w:rPr>
          <w:spacing w:val="-11"/>
        </w:rPr>
        <w:t> </w:t>
      </w:r>
      <w:r>
        <w:rPr/>
        <w:t>resolución</w:t>
      </w:r>
      <w:r>
        <w:rPr>
          <w:spacing w:val="-10"/>
        </w:rPr>
        <w:t> </w:t>
      </w:r>
      <w:r>
        <w:rPr/>
        <w:t>de</w:t>
      </w:r>
      <w:r>
        <w:rPr>
          <w:spacing w:val="-12"/>
        </w:rPr>
        <w:t> </w:t>
      </w:r>
      <w:r>
        <w:rPr/>
        <w:t>la</w:t>
      </w:r>
      <w:r>
        <w:rPr>
          <w:spacing w:val="-10"/>
        </w:rPr>
        <w:t> </w:t>
      </w:r>
      <w:r>
        <w:rPr/>
        <w:t>Dirección</w:t>
      </w:r>
      <w:r>
        <w:rPr>
          <w:spacing w:val="-10"/>
        </w:rPr>
        <w:t> </w:t>
      </w:r>
      <w:r>
        <w:rPr/>
        <w:t>Municipal</w:t>
      </w:r>
      <w:r>
        <w:rPr>
          <w:spacing w:val="-11"/>
        </w:rPr>
        <w:t> </w:t>
      </w:r>
      <w:r>
        <w:rPr/>
        <w:t>de</w:t>
      </w:r>
      <w:r>
        <w:rPr>
          <w:spacing w:val="-12"/>
        </w:rPr>
        <w:t> </w:t>
      </w:r>
      <w:r>
        <w:rPr/>
        <w:t>acuerdo</w:t>
      </w:r>
      <w:r>
        <w:rPr>
          <w:spacing w:val="-11"/>
        </w:rPr>
        <w:t> </w:t>
      </w:r>
      <w:r>
        <w:rPr/>
        <w:t>a</w:t>
      </w:r>
      <w:r>
        <w:rPr>
          <w:spacing w:val="-10"/>
        </w:rPr>
        <w:t> </w:t>
      </w:r>
      <w:r>
        <w:rPr/>
        <w:t>lo</w:t>
      </w:r>
      <w:r>
        <w:rPr>
          <w:spacing w:val="-11"/>
        </w:rPr>
        <w:t> </w:t>
      </w:r>
      <w:r>
        <w:rPr/>
        <w:t>dispuesto en esta Ley, podrá autorizar la ampliación de la superficie de un fraccionamiento o condominio, previo el cumplimiento de los requisitos legales y ajustándose en lo conducente al procedimiento que para su autorización establece este ordenamiento, siempre y cuando no se rebasen las densidades</w:t>
      </w:r>
      <w:r>
        <w:rPr>
          <w:spacing w:val="-14"/>
        </w:rPr>
        <w:t> </w:t>
      </w:r>
      <w:r>
        <w:rPr/>
        <w:t>permitidas</w:t>
      </w:r>
      <w:r>
        <w:rPr>
          <w:spacing w:val="-14"/>
        </w:rPr>
        <w:t> </w:t>
      </w:r>
      <w:r>
        <w:rPr/>
        <w:t>ni</w:t>
      </w:r>
      <w:r>
        <w:rPr>
          <w:spacing w:val="-14"/>
        </w:rPr>
        <w:t> </w:t>
      </w:r>
      <w:r>
        <w:rPr/>
        <w:t>se</w:t>
      </w:r>
      <w:r>
        <w:rPr>
          <w:spacing w:val="-14"/>
        </w:rPr>
        <w:t> </w:t>
      </w:r>
      <w:r>
        <w:rPr/>
        <w:t>contravenga</w:t>
      </w:r>
      <w:r>
        <w:rPr>
          <w:spacing w:val="-14"/>
        </w:rPr>
        <w:t> </w:t>
      </w:r>
      <w:r>
        <w:rPr/>
        <w:t>lo</w:t>
      </w:r>
      <w:r>
        <w:rPr>
          <w:spacing w:val="-14"/>
        </w:rPr>
        <w:t> </w:t>
      </w:r>
      <w:r>
        <w:rPr/>
        <w:t>dispuesto</w:t>
      </w:r>
      <w:r>
        <w:rPr>
          <w:spacing w:val="-14"/>
        </w:rPr>
        <w:t> </w:t>
      </w:r>
      <w:r>
        <w:rPr/>
        <w:t>en</w:t>
      </w:r>
      <w:r>
        <w:rPr>
          <w:spacing w:val="-14"/>
        </w:rPr>
        <w:t> </w:t>
      </w:r>
      <w:r>
        <w:rPr/>
        <w:t>la</w:t>
      </w:r>
      <w:r>
        <w:rPr>
          <w:spacing w:val="-14"/>
        </w:rPr>
        <w:t> </w:t>
      </w:r>
      <w:r>
        <w:rPr/>
        <w:t>licencia</w:t>
      </w:r>
      <w:r>
        <w:rPr>
          <w:spacing w:val="-14"/>
        </w:rPr>
        <w:t> </w:t>
      </w:r>
      <w:r>
        <w:rPr/>
        <w:t>de</w:t>
      </w:r>
      <w:r>
        <w:rPr>
          <w:spacing w:val="-13"/>
        </w:rPr>
        <w:t> </w:t>
      </w:r>
      <w:r>
        <w:rPr/>
        <w:t>uso</w:t>
      </w:r>
      <w:r>
        <w:rPr>
          <w:spacing w:val="-14"/>
        </w:rPr>
        <w:t> </w:t>
      </w:r>
      <w:r>
        <w:rPr/>
        <w:t>de</w:t>
      </w:r>
      <w:r>
        <w:rPr>
          <w:spacing w:val="-14"/>
        </w:rPr>
        <w:t> </w:t>
      </w:r>
      <w:r>
        <w:rPr/>
        <w:t>suelo</w:t>
      </w:r>
      <w:r>
        <w:rPr>
          <w:spacing w:val="-14"/>
        </w:rPr>
        <w:t> </w:t>
      </w:r>
      <w:r>
        <w:rPr/>
        <w:t>correspondiente.</w:t>
      </w:r>
    </w:p>
    <w:p>
      <w:pPr>
        <w:pStyle w:val="BodyText"/>
        <w:spacing w:before="1"/>
      </w:pPr>
    </w:p>
    <w:p>
      <w:pPr>
        <w:pStyle w:val="BodyText"/>
        <w:ind w:left="262" w:right="278"/>
        <w:jc w:val="both"/>
      </w:pPr>
      <w:r>
        <w:rPr>
          <w:rFonts w:ascii="Arial" w:hAnsi="Arial"/>
          <w:b/>
        </w:rPr>
        <w:t>ARTÍCULO 413. </w:t>
      </w:r>
      <w:r>
        <w:rPr/>
        <w:t>Cuando la solicitud de autorización, cesión o ampliación de fraccionamiento, condominio o desarrollo inmobiliario especial, haya sido rechazada, se notificará por la Dirección Municipal al interesado los fundamentos y motivos del rechazo, señalándole al mismo tiempo, que podrá interponer los medios de impugnación que establece el Código Procesal Administrativo del </w:t>
      </w:r>
      <w:r>
        <w:rPr>
          <w:spacing w:val="-2"/>
        </w:rPr>
        <w:t>Estado.</w:t>
      </w:r>
    </w:p>
    <w:p>
      <w:pPr>
        <w:pStyle w:val="BodyText"/>
      </w:pPr>
    </w:p>
    <w:p>
      <w:pPr>
        <w:pStyle w:val="BodyText"/>
        <w:spacing w:before="1"/>
      </w:pPr>
    </w:p>
    <w:p>
      <w:pPr>
        <w:pStyle w:val="Heading2"/>
        <w:spacing w:line="477" w:lineRule="auto"/>
        <w:ind w:left="4160" w:right="4178"/>
      </w:pPr>
      <w:r>
        <w:rPr/>
        <w:t>Capítulo</w:t>
      </w:r>
      <w:r>
        <w:rPr>
          <w:spacing w:val="-14"/>
        </w:rPr>
        <w:t> </w:t>
      </w:r>
      <w:r>
        <w:rPr/>
        <w:t>III </w:t>
      </w:r>
      <w:r>
        <w:rPr>
          <w:spacing w:val="-2"/>
        </w:rPr>
        <w:t>Garantías</w:t>
      </w:r>
    </w:p>
    <w:p>
      <w:pPr>
        <w:pStyle w:val="BodyText"/>
        <w:spacing w:before="4"/>
        <w:ind w:left="262" w:right="285"/>
        <w:jc w:val="both"/>
      </w:pPr>
      <w:r>
        <w:rPr>
          <w:rFonts w:ascii="Arial" w:hAnsi="Arial"/>
          <w:b/>
        </w:rPr>
        <w:t>ARTÍCULO 414. </w:t>
      </w:r>
      <w:r>
        <w:rPr/>
        <w:t>El fraccionador deberá constituir a favor de la Tesorería Municipal garantías bajo cualquiera de sus modalidades, especificando plazo y monto en los siguientes casos:</w:t>
      </w:r>
    </w:p>
    <w:p>
      <w:pPr>
        <w:pStyle w:val="BodyText"/>
        <w:spacing w:before="1"/>
      </w:pPr>
    </w:p>
    <w:p>
      <w:pPr>
        <w:pStyle w:val="ListParagraph"/>
        <w:numPr>
          <w:ilvl w:val="0"/>
          <w:numId w:val="134"/>
        </w:numPr>
        <w:tabs>
          <w:tab w:pos="543" w:val="left" w:leader="none"/>
        </w:tabs>
        <w:spacing w:line="240" w:lineRule="auto" w:before="0" w:after="0"/>
        <w:ind w:left="262" w:right="287" w:firstLine="0"/>
        <w:jc w:val="both"/>
        <w:rPr>
          <w:sz w:val="20"/>
        </w:rPr>
      </w:pPr>
      <w:r>
        <w:rPr>
          <w:sz w:val="20"/>
        </w:rPr>
        <w:t>Si el fraccionador pretende efectuar operaciones de compraventa previas a la terminación del fraccionamiento y notificación de dicha autorización, por el total de la ejecución de las obras pendientes de urbanización;</w:t>
      </w:r>
    </w:p>
    <w:p>
      <w:pPr>
        <w:pStyle w:val="ListParagraph"/>
        <w:numPr>
          <w:ilvl w:val="0"/>
          <w:numId w:val="134"/>
        </w:numPr>
        <w:tabs>
          <w:tab w:pos="543" w:val="left" w:leader="none"/>
        </w:tabs>
        <w:spacing w:line="240" w:lineRule="auto" w:before="230" w:after="0"/>
        <w:ind w:left="262" w:right="283" w:firstLine="0"/>
        <w:jc w:val="both"/>
        <w:rPr>
          <w:sz w:val="20"/>
        </w:rPr>
      </w:pPr>
      <w:r>
        <w:rPr>
          <w:sz w:val="20"/>
        </w:rPr>
        <w:t>Para asegurar que ejecutará adecuadamente las obras de urbanización y cumplirá con todas y cada</w:t>
      </w:r>
      <w:r>
        <w:rPr>
          <w:spacing w:val="-5"/>
          <w:sz w:val="20"/>
        </w:rPr>
        <w:t> </w:t>
      </w:r>
      <w:r>
        <w:rPr>
          <w:sz w:val="20"/>
        </w:rPr>
        <w:t>una</w:t>
      </w:r>
      <w:r>
        <w:rPr>
          <w:spacing w:val="-6"/>
          <w:sz w:val="20"/>
        </w:rPr>
        <w:t> </w:t>
      </w:r>
      <w:r>
        <w:rPr>
          <w:sz w:val="20"/>
        </w:rPr>
        <w:t>de</w:t>
      </w:r>
      <w:r>
        <w:rPr>
          <w:spacing w:val="-5"/>
          <w:sz w:val="20"/>
        </w:rPr>
        <w:t> </w:t>
      </w:r>
      <w:r>
        <w:rPr>
          <w:sz w:val="20"/>
        </w:rPr>
        <w:t>las</w:t>
      </w:r>
      <w:r>
        <w:rPr>
          <w:spacing w:val="-4"/>
          <w:sz w:val="20"/>
        </w:rPr>
        <w:t> </w:t>
      </w:r>
      <w:r>
        <w:rPr>
          <w:sz w:val="20"/>
        </w:rPr>
        <w:t>obligaciones</w:t>
      </w:r>
      <w:r>
        <w:rPr>
          <w:spacing w:val="-7"/>
          <w:sz w:val="20"/>
        </w:rPr>
        <w:t> </w:t>
      </w:r>
      <w:r>
        <w:rPr>
          <w:sz w:val="20"/>
        </w:rPr>
        <w:t>que</w:t>
      </w:r>
      <w:r>
        <w:rPr>
          <w:spacing w:val="-5"/>
          <w:sz w:val="20"/>
        </w:rPr>
        <w:t> </w:t>
      </w:r>
      <w:r>
        <w:rPr>
          <w:sz w:val="20"/>
        </w:rPr>
        <w:t>determina</w:t>
      </w:r>
      <w:r>
        <w:rPr>
          <w:spacing w:val="-5"/>
          <w:sz w:val="20"/>
        </w:rPr>
        <w:t> </w:t>
      </w:r>
      <w:r>
        <w:rPr>
          <w:sz w:val="20"/>
        </w:rPr>
        <w:t>la</w:t>
      </w:r>
      <w:r>
        <w:rPr>
          <w:spacing w:val="-6"/>
          <w:sz w:val="20"/>
        </w:rPr>
        <w:t> </w:t>
      </w:r>
      <w:r>
        <w:rPr>
          <w:sz w:val="20"/>
        </w:rPr>
        <w:t>Ley,</w:t>
      </w:r>
      <w:r>
        <w:rPr>
          <w:spacing w:val="-5"/>
          <w:sz w:val="20"/>
        </w:rPr>
        <w:t> </w:t>
      </w:r>
      <w:r>
        <w:rPr>
          <w:sz w:val="20"/>
        </w:rPr>
        <w:t>debiéndose</w:t>
      </w:r>
      <w:r>
        <w:rPr>
          <w:spacing w:val="-5"/>
          <w:sz w:val="20"/>
        </w:rPr>
        <w:t> </w:t>
      </w:r>
      <w:r>
        <w:rPr>
          <w:sz w:val="20"/>
        </w:rPr>
        <w:t>garantizar</w:t>
      </w:r>
      <w:r>
        <w:rPr>
          <w:spacing w:val="-5"/>
          <w:sz w:val="20"/>
        </w:rPr>
        <w:t> </w:t>
      </w:r>
      <w:r>
        <w:rPr>
          <w:sz w:val="20"/>
        </w:rPr>
        <w:t>por</w:t>
      </w:r>
      <w:r>
        <w:rPr>
          <w:spacing w:val="-5"/>
          <w:sz w:val="20"/>
        </w:rPr>
        <w:t> </w:t>
      </w:r>
      <w:r>
        <w:rPr>
          <w:sz w:val="20"/>
        </w:rPr>
        <w:t>el</w:t>
      </w:r>
      <w:r>
        <w:rPr>
          <w:spacing w:val="-6"/>
          <w:sz w:val="20"/>
        </w:rPr>
        <w:t> </w:t>
      </w:r>
      <w:r>
        <w:rPr>
          <w:sz w:val="20"/>
        </w:rPr>
        <w:t>monto</w:t>
      </w:r>
      <w:r>
        <w:rPr>
          <w:spacing w:val="-6"/>
          <w:sz w:val="20"/>
        </w:rPr>
        <w:t> </w:t>
      </w:r>
      <w:r>
        <w:rPr>
          <w:sz w:val="20"/>
        </w:rPr>
        <w:t>equivalente el diez por ciento del total de las obras de urbanización;</w:t>
      </w:r>
    </w:p>
    <w:p>
      <w:pPr>
        <w:pStyle w:val="ListParagraph"/>
        <w:numPr>
          <w:ilvl w:val="0"/>
          <w:numId w:val="134"/>
        </w:numPr>
        <w:tabs>
          <w:tab w:pos="597" w:val="left" w:leader="none"/>
        </w:tabs>
        <w:spacing w:line="240" w:lineRule="auto" w:before="229" w:after="0"/>
        <w:ind w:left="262" w:right="285" w:firstLine="0"/>
        <w:jc w:val="both"/>
        <w:rPr>
          <w:sz w:val="20"/>
        </w:rPr>
      </w:pPr>
      <w:r>
        <w:rPr>
          <w:sz w:val="20"/>
        </w:rPr>
        <w:t>Cuando se autorice que un fraccionamiento se urbanice por etapas, la garantía se constituirá, en</w:t>
      </w:r>
      <w:r>
        <w:rPr>
          <w:spacing w:val="-7"/>
          <w:sz w:val="20"/>
        </w:rPr>
        <w:t> </w:t>
      </w:r>
      <w:r>
        <w:rPr>
          <w:sz w:val="20"/>
        </w:rPr>
        <w:t>términos</w:t>
      </w:r>
      <w:r>
        <w:rPr>
          <w:spacing w:val="-5"/>
          <w:sz w:val="20"/>
        </w:rPr>
        <w:t> </w:t>
      </w:r>
      <w:r>
        <w:rPr>
          <w:sz w:val="20"/>
        </w:rPr>
        <w:t>de</w:t>
      </w:r>
      <w:r>
        <w:rPr>
          <w:spacing w:val="-7"/>
          <w:sz w:val="20"/>
        </w:rPr>
        <w:t> </w:t>
      </w:r>
      <w:r>
        <w:rPr>
          <w:sz w:val="20"/>
        </w:rPr>
        <w:t>la</w:t>
      </w:r>
      <w:r>
        <w:rPr>
          <w:spacing w:val="-7"/>
          <w:sz w:val="20"/>
        </w:rPr>
        <w:t> </w:t>
      </w:r>
      <w:r>
        <w:rPr>
          <w:sz w:val="20"/>
        </w:rPr>
        <w:t>fracción</w:t>
      </w:r>
      <w:r>
        <w:rPr>
          <w:spacing w:val="-7"/>
          <w:sz w:val="20"/>
        </w:rPr>
        <w:t> </w:t>
      </w:r>
      <w:r>
        <w:rPr>
          <w:sz w:val="20"/>
        </w:rPr>
        <w:t>anterior,</w:t>
      </w:r>
      <w:r>
        <w:rPr>
          <w:spacing w:val="-4"/>
          <w:sz w:val="20"/>
        </w:rPr>
        <w:t> </w:t>
      </w:r>
      <w:r>
        <w:rPr>
          <w:sz w:val="20"/>
        </w:rPr>
        <w:t>antes</w:t>
      </w:r>
      <w:r>
        <w:rPr>
          <w:spacing w:val="-6"/>
          <w:sz w:val="20"/>
        </w:rPr>
        <w:t> </w:t>
      </w:r>
      <w:r>
        <w:rPr>
          <w:sz w:val="20"/>
        </w:rPr>
        <w:t>de</w:t>
      </w:r>
      <w:r>
        <w:rPr>
          <w:spacing w:val="-7"/>
          <w:sz w:val="20"/>
        </w:rPr>
        <w:t> </w:t>
      </w:r>
      <w:r>
        <w:rPr>
          <w:sz w:val="20"/>
        </w:rPr>
        <w:t>iniciar</w:t>
      </w:r>
      <w:r>
        <w:rPr>
          <w:spacing w:val="-6"/>
          <w:sz w:val="20"/>
        </w:rPr>
        <w:t> </w:t>
      </w:r>
      <w:r>
        <w:rPr>
          <w:sz w:val="20"/>
        </w:rPr>
        <w:t>cada</w:t>
      </w:r>
      <w:r>
        <w:rPr>
          <w:spacing w:val="-7"/>
          <w:sz w:val="20"/>
        </w:rPr>
        <w:t> </w:t>
      </w:r>
      <w:r>
        <w:rPr>
          <w:sz w:val="20"/>
        </w:rPr>
        <w:t>etapa</w:t>
      </w:r>
      <w:r>
        <w:rPr>
          <w:spacing w:val="-7"/>
          <w:sz w:val="20"/>
        </w:rPr>
        <w:t> </w:t>
      </w:r>
      <w:r>
        <w:rPr>
          <w:sz w:val="20"/>
        </w:rPr>
        <w:t>por</w:t>
      </w:r>
      <w:r>
        <w:rPr>
          <w:spacing w:val="-6"/>
          <w:sz w:val="20"/>
        </w:rPr>
        <w:t> </w:t>
      </w:r>
      <w:r>
        <w:rPr>
          <w:sz w:val="20"/>
        </w:rPr>
        <w:t>el</w:t>
      </w:r>
      <w:r>
        <w:rPr>
          <w:spacing w:val="-7"/>
          <w:sz w:val="20"/>
        </w:rPr>
        <w:t> </w:t>
      </w:r>
      <w:r>
        <w:rPr>
          <w:sz w:val="20"/>
        </w:rPr>
        <w:t>monto</w:t>
      </w:r>
      <w:r>
        <w:rPr>
          <w:spacing w:val="-7"/>
          <w:sz w:val="20"/>
        </w:rPr>
        <w:t> </w:t>
      </w:r>
      <w:r>
        <w:rPr>
          <w:sz w:val="20"/>
        </w:rPr>
        <w:t>de</w:t>
      </w:r>
      <w:r>
        <w:rPr>
          <w:spacing w:val="-7"/>
          <w:sz w:val="20"/>
        </w:rPr>
        <w:t> </w:t>
      </w:r>
      <w:r>
        <w:rPr>
          <w:sz w:val="20"/>
        </w:rPr>
        <w:t>las</w:t>
      </w:r>
      <w:r>
        <w:rPr>
          <w:spacing w:val="-6"/>
          <w:sz w:val="20"/>
        </w:rPr>
        <w:t> </w:t>
      </w:r>
      <w:r>
        <w:rPr>
          <w:sz w:val="20"/>
        </w:rPr>
        <w:t>obras</w:t>
      </w:r>
      <w:r>
        <w:rPr>
          <w:spacing w:val="-6"/>
          <w:sz w:val="20"/>
        </w:rPr>
        <w:t> </w:t>
      </w:r>
      <w:r>
        <w:rPr>
          <w:sz w:val="20"/>
        </w:rPr>
        <w:t>pendientes de urbanización de la etapa respectiva, y</w:t>
      </w:r>
    </w:p>
    <w:p>
      <w:pPr>
        <w:pStyle w:val="BodyText"/>
        <w:spacing w:before="1"/>
      </w:pPr>
    </w:p>
    <w:p>
      <w:pPr>
        <w:pStyle w:val="ListParagraph"/>
        <w:numPr>
          <w:ilvl w:val="0"/>
          <w:numId w:val="134"/>
        </w:numPr>
        <w:tabs>
          <w:tab w:pos="545" w:val="left" w:leader="none"/>
        </w:tabs>
        <w:spacing w:line="240" w:lineRule="auto" w:before="0" w:after="0"/>
        <w:ind w:left="262" w:right="286" w:firstLine="0"/>
        <w:jc w:val="both"/>
        <w:rPr>
          <w:sz w:val="20"/>
        </w:rPr>
      </w:pPr>
      <w:r>
        <w:rPr>
          <w:sz w:val="20"/>
        </w:rPr>
        <w:t>Para</w:t>
      </w:r>
      <w:r>
        <w:rPr>
          <w:spacing w:val="-10"/>
          <w:sz w:val="20"/>
        </w:rPr>
        <w:t> </w:t>
      </w:r>
      <w:r>
        <w:rPr>
          <w:sz w:val="20"/>
        </w:rPr>
        <w:t>garantizar</w:t>
      </w:r>
      <w:r>
        <w:rPr>
          <w:spacing w:val="-9"/>
          <w:sz w:val="20"/>
        </w:rPr>
        <w:t> </w:t>
      </w:r>
      <w:r>
        <w:rPr>
          <w:sz w:val="20"/>
        </w:rPr>
        <w:t>los</w:t>
      </w:r>
      <w:r>
        <w:rPr>
          <w:spacing w:val="-11"/>
          <w:sz w:val="20"/>
        </w:rPr>
        <w:t> </w:t>
      </w:r>
      <w:r>
        <w:rPr>
          <w:sz w:val="20"/>
        </w:rPr>
        <w:t>vicios</w:t>
      </w:r>
      <w:r>
        <w:rPr>
          <w:spacing w:val="-11"/>
          <w:sz w:val="20"/>
        </w:rPr>
        <w:t> </w:t>
      </w:r>
      <w:r>
        <w:rPr>
          <w:sz w:val="20"/>
        </w:rPr>
        <w:t>ocultos</w:t>
      </w:r>
      <w:r>
        <w:rPr>
          <w:spacing w:val="-12"/>
          <w:sz w:val="20"/>
        </w:rPr>
        <w:t> </w:t>
      </w:r>
      <w:r>
        <w:rPr>
          <w:sz w:val="20"/>
        </w:rPr>
        <w:t>y</w:t>
      </w:r>
      <w:r>
        <w:rPr>
          <w:spacing w:val="-9"/>
          <w:sz w:val="20"/>
        </w:rPr>
        <w:t> </w:t>
      </w:r>
      <w:r>
        <w:rPr>
          <w:sz w:val="20"/>
        </w:rPr>
        <w:t>defectos</w:t>
      </w:r>
      <w:r>
        <w:rPr>
          <w:spacing w:val="-12"/>
          <w:sz w:val="20"/>
        </w:rPr>
        <w:t> </w:t>
      </w:r>
      <w:r>
        <w:rPr>
          <w:sz w:val="20"/>
        </w:rPr>
        <w:t>de</w:t>
      </w:r>
      <w:r>
        <w:rPr>
          <w:spacing w:val="-10"/>
          <w:sz w:val="20"/>
        </w:rPr>
        <w:t> </w:t>
      </w:r>
      <w:r>
        <w:rPr>
          <w:sz w:val="20"/>
        </w:rPr>
        <w:t>las</w:t>
      </w:r>
      <w:r>
        <w:rPr>
          <w:spacing w:val="-9"/>
          <w:sz w:val="20"/>
        </w:rPr>
        <w:t> </w:t>
      </w:r>
      <w:r>
        <w:rPr>
          <w:sz w:val="20"/>
        </w:rPr>
        <w:t>obras</w:t>
      </w:r>
      <w:r>
        <w:rPr>
          <w:spacing w:val="-11"/>
          <w:sz w:val="20"/>
        </w:rPr>
        <w:t> </w:t>
      </w:r>
      <w:r>
        <w:rPr>
          <w:sz w:val="20"/>
        </w:rPr>
        <w:t>de</w:t>
      </w:r>
      <w:r>
        <w:rPr>
          <w:spacing w:val="-11"/>
          <w:sz w:val="20"/>
        </w:rPr>
        <w:t> </w:t>
      </w:r>
      <w:r>
        <w:rPr>
          <w:sz w:val="20"/>
        </w:rPr>
        <w:t>urbanización</w:t>
      </w:r>
      <w:r>
        <w:rPr>
          <w:spacing w:val="-11"/>
          <w:sz w:val="20"/>
        </w:rPr>
        <w:t> </w:t>
      </w:r>
      <w:r>
        <w:rPr>
          <w:sz w:val="20"/>
        </w:rPr>
        <w:t>realizadas,</w:t>
      </w:r>
      <w:r>
        <w:rPr>
          <w:spacing w:val="-12"/>
          <w:sz w:val="20"/>
        </w:rPr>
        <w:t> </w:t>
      </w:r>
      <w:r>
        <w:rPr>
          <w:sz w:val="20"/>
        </w:rPr>
        <w:t>debiéndose garantizar por el monto equivalente el diez por ciento del total de dichas obras.</w:t>
      </w:r>
    </w:p>
    <w:p>
      <w:pPr>
        <w:pStyle w:val="BodyText"/>
      </w:pPr>
    </w:p>
    <w:p>
      <w:pPr>
        <w:pStyle w:val="BodyText"/>
        <w:ind w:left="262" w:right="283"/>
        <w:jc w:val="both"/>
      </w:pPr>
      <w:r>
        <w:rPr/>
        <w:t>Para la cancelación de las garantías, será requisito la conformidad expresa de la autoridad </w:t>
      </w:r>
      <w:r>
        <w:rPr>
          <w:spacing w:val="-2"/>
        </w:rPr>
        <w:t>competente.</w:t>
      </w:r>
    </w:p>
    <w:p>
      <w:pPr>
        <w:pStyle w:val="BodyText"/>
        <w:spacing w:before="229"/>
        <w:ind w:left="262" w:right="277"/>
        <w:jc w:val="both"/>
      </w:pPr>
      <w:r>
        <w:rPr>
          <w:rFonts w:ascii="Arial" w:hAnsi="Arial"/>
          <w:b/>
        </w:rPr>
        <w:t>ARTÍCULO 415. </w:t>
      </w:r>
      <w:r>
        <w:rPr/>
        <w:t>Concluido el fraccionamiento no obstante su recepción formal, el fraccionador quedará</w:t>
      </w:r>
      <w:r>
        <w:rPr>
          <w:spacing w:val="-1"/>
        </w:rPr>
        <w:t> </w:t>
      </w:r>
      <w:r>
        <w:rPr/>
        <w:t>obligado a</w:t>
      </w:r>
      <w:r>
        <w:rPr>
          <w:spacing w:val="-1"/>
        </w:rPr>
        <w:t> </w:t>
      </w:r>
      <w:r>
        <w:rPr/>
        <w:t>responder de los defectos que</w:t>
      </w:r>
      <w:r>
        <w:rPr>
          <w:spacing w:val="-2"/>
        </w:rPr>
        <w:t> </w:t>
      </w:r>
      <w:r>
        <w:rPr/>
        <w:t>resultaren</w:t>
      </w:r>
      <w:r>
        <w:rPr>
          <w:spacing w:val="-1"/>
        </w:rPr>
        <w:t> </w:t>
      </w:r>
      <w:r>
        <w:rPr/>
        <w:t>en</w:t>
      </w:r>
      <w:r>
        <w:rPr>
          <w:spacing w:val="-1"/>
        </w:rPr>
        <w:t> </w:t>
      </w:r>
      <w:r>
        <w:rPr/>
        <w:t>los mismos,</w:t>
      </w:r>
      <w:r>
        <w:rPr>
          <w:spacing w:val="-1"/>
        </w:rPr>
        <w:t> </w:t>
      </w:r>
      <w:r>
        <w:rPr/>
        <w:t>de los vicios ocultos y de</w:t>
      </w:r>
      <w:r>
        <w:rPr>
          <w:spacing w:val="-16"/>
        </w:rPr>
        <w:t> </w:t>
      </w:r>
      <w:r>
        <w:rPr/>
        <w:t>cualquier</w:t>
      </w:r>
      <w:r>
        <w:rPr>
          <w:spacing w:val="-15"/>
        </w:rPr>
        <w:t> </w:t>
      </w:r>
      <w:r>
        <w:rPr/>
        <w:t>otra</w:t>
      </w:r>
      <w:r>
        <w:rPr>
          <w:spacing w:val="-16"/>
        </w:rPr>
        <w:t> </w:t>
      </w:r>
      <w:r>
        <w:rPr/>
        <w:t>responsabilidad</w:t>
      </w:r>
      <w:r>
        <w:rPr>
          <w:spacing w:val="-14"/>
        </w:rPr>
        <w:t> </w:t>
      </w:r>
      <w:r>
        <w:rPr/>
        <w:t>en</w:t>
      </w:r>
      <w:r>
        <w:rPr>
          <w:spacing w:val="-14"/>
        </w:rPr>
        <w:t> </w:t>
      </w:r>
      <w:r>
        <w:rPr/>
        <w:t>que</w:t>
      </w:r>
      <w:r>
        <w:rPr>
          <w:spacing w:val="-16"/>
        </w:rPr>
        <w:t> </w:t>
      </w:r>
      <w:r>
        <w:rPr/>
        <w:t>hubiera</w:t>
      </w:r>
      <w:r>
        <w:rPr>
          <w:spacing w:val="-14"/>
        </w:rPr>
        <w:t> </w:t>
      </w:r>
      <w:r>
        <w:rPr/>
        <w:t>incurrido,</w:t>
      </w:r>
      <w:r>
        <w:rPr>
          <w:spacing w:val="-14"/>
        </w:rPr>
        <w:t> </w:t>
      </w:r>
      <w:r>
        <w:rPr/>
        <w:t>en</w:t>
      </w:r>
      <w:r>
        <w:rPr>
          <w:spacing w:val="-14"/>
        </w:rPr>
        <w:t> </w:t>
      </w:r>
      <w:r>
        <w:rPr/>
        <w:t>los</w:t>
      </w:r>
      <w:r>
        <w:rPr>
          <w:spacing w:val="-15"/>
        </w:rPr>
        <w:t> </w:t>
      </w:r>
      <w:r>
        <w:rPr/>
        <w:t>términos</w:t>
      </w:r>
      <w:r>
        <w:rPr>
          <w:spacing w:val="-15"/>
        </w:rPr>
        <w:t> </w:t>
      </w:r>
      <w:r>
        <w:rPr/>
        <w:t>de</w:t>
      </w:r>
      <w:r>
        <w:rPr>
          <w:spacing w:val="-14"/>
        </w:rPr>
        <w:t> </w:t>
      </w:r>
      <w:r>
        <w:rPr/>
        <w:t>la</w:t>
      </w:r>
      <w:r>
        <w:rPr>
          <w:spacing w:val="-14"/>
        </w:rPr>
        <w:t> </w:t>
      </w:r>
      <w:r>
        <w:rPr/>
        <w:t>legislación</w:t>
      </w:r>
      <w:r>
        <w:rPr>
          <w:spacing w:val="-14"/>
        </w:rPr>
        <w:t> </w:t>
      </w:r>
      <w:r>
        <w:rPr/>
        <w:t>aplicable.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9"/>
        <w:jc w:val="both"/>
      </w:pPr>
      <w:r>
        <w:rPr/>
        <w:t>Para tal efecto los vicios que de los trabajos resulten deberán estar cuantificados en dictamen técnico, dando</w:t>
      </w:r>
      <w:r>
        <w:rPr>
          <w:spacing w:val="-2"/>
        </w:rPr>
        <w:t> </w:t>
      </w:r>
      <w:r>
        <w:rPr/>
        <w:t>vista</w:t>
      </w:r>
      <w:r>
        <w:rPr>
          <w:spacing w:val="-1"/>
        </w:rPr>
        <w:t> </w:t>
      </w:r>
      <w:r>
        <w:rPr/>
        <w:t>al</w:t>
      </w:r>
      <w:r>
        <w:rPr>
          <w:spacing w:val="-2"/>
        </w:rPr>
        <w:t> </w:t>
      </w:r>
      <w:r>
        <w:rPr/>
        <w:t>fraccionador para</w:t>
      </w:r>
      <w:r>
        <w:rPr>
          <w:spacing w:val="-1"/>
        </w:rPr>
        <w:t> </w:t>
      </w:r>
      <w:r>
        <w:rPr/>
        <w:t>que en</w:t>
      </w:r>
      <w:r>
        <w:rPr>
          <w:spacing w:val="-2"/>
        </w:rPr>
        <w:t> </w:t>
      </w:r>
      <w:r>
        <w:rPr/>
        <w:t>el</w:t>
      </w:r>
      <w:r>
        <w:rPr>
          <w:spacing w:val="-2"/>
        </w:rPr>
        <w:t> </w:t>
      </w:r>
      <w:r>
        <w:rPr/>
        <w:t>término</w:t>
      </w:r>
      <w:r>
        <w:rPr>
          <w:spacing w:val="-1"/>
        </w:rPr>
        <w:t> </w:t>
      </w:r>
      <w:r>
        <w:rPr/>
        <w:t>que</w:t>
      </w:r>
      <w:r>
        <w:rPr>
          <w:spacing w:val="-2"/>
        </w:rPr>
        <w:t> </w:t>
      </w:r>
      <w:r>
        <w:rPr/>
        <w:t>determine</w:t>
      </w:r>
      <w:r>
        <w:rPr>
          <w:spacing w:val="-1"/>
        </w:rPr>
        <w:t> </w:t>
      </w:r>
      <w:r>
        <w:rPr/>
        <w:t>la</w:t>
      </w:r>
      <w:r>
        <w:rPr>
          <w:spacing w:val="-1"/>
        </w:rPr>
        <w:t> </w:t>
      </w:r>
      <w:r>
        <w:rPr/>
        <w:t>autoridad competente, inicie</w:t>
      </w:r>
      <w:r>
        <w:rPr>
          <w:spacing w:val="-4"/>
        </w:rPr>
        <w:t> </w:t>
      </w:r>
      <w:r>
        <w:rPr/>
        <w:t>los</w:t>
      </w:r>
      <w:r>
        <w:rPr>
          <w:spacing w:val="-6"/>
        </w:rPr>
        <w:t> </w:t>
      </w:r>
      <w:r>
        <w:rPr/>
        <w:t>trabajos</w:t>
      </w:r>
      <w:r>
        <w:rPr>
          <w:spacing w:val="-3"/>
        </w:rPr>
        <w:t> </w:t>
      </w:r>
      <w:r>
        <w:rPr/>
        <w:t>de</w:t>
      </w:r>
      <w:r>
        <w:rPr>
          <w:spacing w:val="-7"/>
        </w:rPr>
        <w:t> </w:t>
      </w:r>
      <w:r>
        <w:rPr/>
        <w:t>reparación</w:t>
      </w:r>
      <w:r>
        <w:rPr>
          <w:spacing w:val="-5"/>
        </w:rPr>
        <w:t> </w:t>
      </w:r>
      <w:r>
        <w:rPr/>
        <w:t>de</w:t>
      </w:r>
      <w:r>
        <w:rPr>
          <w:spacing w:val="-5"/>
        </w:rPr>
        <w:t> </w:t>
      </w:r>
      <w:r>
        <w:rPr/>
        <w:t>los</w:t>
      </w:r>
      <w:r>
        <w:rPr>
          <w:spacing w:val="-3"/>
        </w:rPr>
        <w:t> </w:t>
      </w:r>
      <w:r>
        <w:rPr/>
        <w:t>defectos</w:t>
      </w:r>
      <w:r>
        <w:rPr>
          <w:spacing w:val="-6"/>
        </w:rPr>
        <w:t> </w:t>
      </w:r>
      <w:r>
        <w:rPr/>
        <w:t>y</w:t>
      </w:r>
      <w:r>
        <w:rPr>
          <w:spacing w:val="-5"/>
        </w:rPr>
        <w:t> </w:t>
      </w:r>
      <w:r>
        <w:rPr/>
        <w:t>vicios</w:t>
      </w:r>
      <w:r>
        <w:rPr>
          <w:spacing w:val="-5"/>
        </w:rPr>
        <w:t> </w:t>
      </w:r>
      <w:r>
        <w:rPr/>
        <w:t>ocultos</w:t>
      </w:r>
      <w:r>
        <w:rPr>
          <w:spacing w:val="-3"/>
        </w:rPr>
        <w:t> </w:t>
      </w:r>
      <w:r>
        <w:rPr/>
        <w:t>o</w:t>
      </w:r>
      <w:r>
        <w:rPr>
          <w:spacing w:val="-4"/>
        </w:rPr>
        <w:t> </w:t>
      </w:r>
      <w:r>
        <w:rPr/>
        <w:t>bien</w:t>
      </w:r>
      <w:r>
        <w:rPr>
          <w:spacing w:val="-5"/>
        </w:rPr>
        <w:t> </w:t>
      </w:r>
      <w:r>
        <w:rPr/>
        <w:t>exponga</w:t>
      </w:r>
      <w:r>
        <w:rPr>
          <w:spacing w:val="-5"/>
        </w:rPr>
        <w:t> </w:t>
      </w:r>
      <w:r>
        <w:rPr/>
        <w:t>lo</w:t>
      </w:r>
      <w:r>
        <w:rPr>
          <w:spacing w:val="-5"/>
        </w:rPr>
        <w:t> </w:t>
      </w:r>
      <w:r>
        <w:rPr/>
        <w:t>que</w:t>
      </w:r>
      <w:r>
        <w:rPr>
          <w:spacing w:val="-5"/>
        </w:rPr>
        <w:t> </w:t>
      </w:r>
      <w:r>
        <w:rPr/>
        <w:t>a</w:t>
      </w:r>
      <w:r>
        <w:rPr>
          <w:spacing w:val="-5"/>
        </w:rPr>
        <w:t> </w:t>
      </w:r>
      <w:r>
        <w:rPr/>
        <w:t>su</w:t>
      </w:r>
      <w:r>
        <w:rPr>
          <w:spacing w:val="-4"/>
        </w:rPr>
        <w:t> </w:t>
      </w:r>
      <w:r>
        <w:rPr/>
        <w:t>derecho convenga.</w:t>
      </w:r>
      <w:r>
        <w:rPr>
          <w:spacing w:val="-9"/>
        </w:rPr>
        <w:t> </w:t>
      </w:r>
      <w:r>
        <w:rPr/>
        <w:t>Si</w:t>
      </w:r>
      <w:r>
        <w:rPr>
          <w:spacing w:val="-10"/>
        </w:rPr>
        <w:t> </w:t>
      </w:r>
      <w:r>
        <w:rPr/>
        <w:t>el</w:t>
      </w:r>
      <w:r>
        <w:rPr>
          <w:spacing w:val="-12"/>
        </w:rPr>
        <w:t> </w:t>
      </w:r>
      <w:r>
        <w:rPr/>
        <w:t>fraccionador</w:t>
      </w:r>
      <w:r>
        <w:rPr>
          <w:spacing w:val="-10"/>
        </w:rPr>
        <w:t> </w:t>
      </w:r>
      <w:r>
        <w:rPr/>
        <w:t>no</w:t>
      </w:r>
      <w:r>
        <w:rPr>
          <w:spacing w:val="-10"/>
        </w:rPr>
        <w:t> </w:t>
      </w:r>
      <w:r>
        <w:rPr/>
        <w:t>manifiesta</w:t>
      </w:r>
      <w:r>
        <w:rPr>
          <w:spacing w:val="-9"/>
        </w:rPr>
        <w:t> </w:t>
      </w:r>
      <w:r>
        <w:rPr/>
        <w:t>argumento</w:t>
      </w:r>
      <w:r>
        <w:rPr>
          <w:spacing w:val="-7"/>
        </w:rPr>
        <w:t> </w:t>
      </w:r>
      <w:r>
        <w:rPr/>
        <w:t>alguno</w:t>
      </w:r>
      <w:r>
        <w:rPr>
          <w:spacing w:val="-9"/>
        </w:rPr>
        <w:t> </w:t>
      </w:r>
      <w:r>
        <w:rPr/>
        <w:t>en</w:t>
      </w:r>
      <w:r>
        <w:rPr>
          <w:spacing w:val="-11"/>
        </w:rPr>
        <w:t> </w:t>
      </w:r>
      <w:r>
        <w:rPr/>
        <w:t>su</w:t>
      </w:r>
      <w:r>
        <w:rPr>
          <w:spacing w:val="-9"/>
        </w:rPr>
        <w:t> </w:t>
      </w:r>
      <w:r>
        <w:rPr/>
        <w:t>defensa,</w:t>
      </w:r>
      <w:r>
        <w:rPr>
          <w:spacing w:val="-9"/>
        </w:rPr>
        <w:t> </w:t>
      </w:r>
      <w:r>
        <w:rPr/>
        <w:t>se</w:t>
      </w:r>
      <w:r>
        <w:rPr>
          <w:spacing w:val="-9"/>
        </w:rPr>
        <w:t> </w:t>
      </w:r>
      <w:r>
        <w:rPr/>
        <w:t>dictará</w:t>
      </w:r>
      <w:r>
        <w:rPr>
          <w:spacing w:val="-11"/>
        </w:rPr>
        <w:t> </w:t>
      </w:r>
      <w:r>
        <w:rPr/>
        <w:t>la</w:t>
      </w:r>
      <w:r>
        <w:rPr>
          <w:spacing w:val="-11"/>
        </w:rPr>
        <w:t> </w:t>
      </w:r>
      <w:r>
        <w:rPr/>
        <w:t>resolución que corresponda, contra la que no procede recurso.</w:t>
      </w:r>
    </w:p>
    <w:p>
      <w:pPr>
        <w:pStyle w:val="BodyText"/>
      </w:pPr>
    </w:p>
    <w:p>
      <w:pPr>
        <w:pStyle w:val="BodyText"/>
        <w:ind w:left="262" w:right="286"/>
        <w:jc w:val="both"/>
      </w:pPr>
      <w:r>
        <w:rPr/>
        <w:t>Los trabajos se garantizarán durante un plazo de doce meses por el incumplimiento de las obligaciones a que se refiere el párrafo anterior, por lo que previamente se hará una visita de inspección y en su caso la recepción de los mismos.</w:t>
      </w:r>
    </w:p>
    <w:p>
      <w:pPr>
        <w:pStyle w:val="BodyText"/>
        <w:spacing w:before="2"/>
      </w:pPr>
    </w:p>
    <w:p>
      <w:pPr>
        <w:pStyle w:val="BodyText"/>
        <w:ind w:left="262" w:right="288"/>
        <w:jc w:val="both"/>
      </w:pPr>
      <w:r>
        <w:rPr/>
        <w:t>Una vez transcurridos doce meses a partir de la fecha de recepción de los trabajos, la autoridad municipal ordenará la cancelación de la garantía.</w:t>
      </w:r>
    </w:p>
    <w:p>
      <w:pPr>
        <w:pStyle w:val="BodyText"/>
        <w:spacing w:before="229"/>
        <w:ind w:left="262" w:right="287"/>
        <w:jc w:val="both"/>
      </w:pPr>
      <w:r>
        <w:rPr/>
        <w:t>El cobro de las garantías citadas en el artículo anterior se harán efectivas, previo requerimiento al fiado,</w:t>
      </w:r>
      <w:r>
        <w:rPr>
          <w:spacing w:val="-14"/>
        </w:rPr>
        <w:t> </w:t>
      </w:r>
      <w:r>
        <w:rPr/>
        <w:t>notificación</w:t>
      </w:r>
      <w:r>
        <w:rPr>
          <w:spacing w:val="-14"/>
        </w:rPr>
        <w:t> </w:t>
      </w:r>
      <w:r>
        <w:rPr/>
        <w:t>a</w:t>
      </w:r>
      <w:r>
        <w:rPr>
          <w:spacing w:val="-14"/>
        </w:rPr>
        <w:t> </w:t>
      </w:r>
      <w:r>
        <w:rPr/>
        <w:t>la</w:t>
      </w:r>
      <w:r>
        <w:rPr>
          <w:spacing w:val="-14"/>
        </w:rPr>
        <w:t> </w:t>
      </w:r>
      <w:r>
        <w:rPr/>
        <w:t>institución</w:t>
      </w:r>
      <w:r>
        <w:rPr>
          <w:spacing w:val="-14"/>
        </w:rPr>
        <w:t> </w:t>
      </w:r>
      <w:r>
        <w:rPr/>
        <w:t>afianzadora</w:t>
      </w:r>
      <w:r>
        <w:rPr>
          <w:spacing w:val="-14"/>
        </w:rPr>
        <w:t> </w:t>
      </w:r>
      <w:r>
        <w:rPr/>
        <w:t>y</w:t>
      </w:r>
      <w:r>
        <w:rPr>
          <w:spacing w:val="-14"/>
        </w:rPr>
        <w:t> </w:t>
      </w:r>
      <w:r>
        <w:rPr/>
        <w:t>liquidación</w:t>
      </w:r>
      <w:r>
        <w:rPr>
          <w:spacing w:val="-14"/>
        </w:rPr>
        <w:t> </w:t>
      </w:r>
      <w:r>
        <w:rPr/>
        <w:t>formulada</w:t>
      </w:r>
      <w:r>
        <w:rPr>
          <w:spacing w:val="-14"/>
        </w:rPr>
        <w:t> </w:t>
      </w:r>
      <w:r>
        <w:rPr/>
        <w:t>por</w:t>
      </w:r>
      <w:r>
        <w:rPr>
          <w:spacing w:val="-13"/>
        </w:rPr>
        <w:t> </w:t>
      </w:r>
      <w:r>
        <w:rPr/>
        <w:t>el</w:t>
      </w:r>
      <w:r>
        <w:rPr>
          <w:spacing w:val="-14"/>
        </w:rPr>
        <w:t> </w:t>
      </w:r>
      <w:r>
        <w:rPr/>
        <w:t>monto</w:t>
      </w:r>
      <w:r>
        <w:rPr>
          <w:spacing w:val="-14"/>
        </w:rPr>
        <w:t> </w:t>
      </w:r>
      <w:r>
        <w:rPr/>
        <w:t>de</w:t>
      </w:r>
      <w:r>
        <w:rPr>
          <w:spacing w:val="-14"/>
        </w:rPr>
        <w:t> </w:t>
      </w:r>
      <w:r>
        <w:rPr/>
        <w:t>las</w:t>
      </w:r>
      <w:r>
        <w:rPr>
          <w:spacing w:val="-14"/>
        </w:rPr>
        <w:t> </w:t>
      </w:r>
      <w:r>
        <w:rPr/>
        <w:t>obligaciones exigibles, remitiendo el expediente a la Tesorería Municipal para el cobro de la garantía.</w:t>
      </w:r>
    </w:p>
    <w:p>
      <w:pPr>
        <w:pStyle w:val="BodyText"/>
        <w:spacing w:before="229"/>
        <w:ind w:left="262" w:right="276"/>
        <w:jc w:val="both"/>
      </w:pPr>
      <w:r>
        <w:rPr>
          <w:rFonts w:ascii="Arial" w:hAnsi="Arial"/>
          <w:b/>
        </w:rPr>
        <w:t>ARTÍCULO 416. </w:t>
      </w:r>
      <w:r>
        <w:rPr/>
        <w:t>La ejecución del proyecto definitivo del fraccionamiento o del desarrollo en condominio deberá hacerse bajo la responsabilidad directa de un Director Responsable y/o Corresponsable de la Obra autorizado por el Municipio en donde se ubique el fraccionamiento o condominio, para lo cual deberá expresar su consentimiento escrito.</w:t>
      </w:r>
    </w:p>
    <w:p>
      <w:pPr>
        <w:pStyle w:val="BodyText"/>
      </w:pPr>
    </w:p>
    <w:p>
      <w:pPr>
        <w:pStyle w:val="BodyText"/>
        <w:ind w:left="262" w:right="285"/>
        <w:jc w:val="both"/>
      </w:pPr>
      <w:r>
        <w:rPr>
          <w:rFonts w:ascii="Arial" w:hAnsi="Arial"/>
          <w:b/>
        </w:rPr>
        <w:t>ARTÍCULO 417. </w:t>
      </w:r>
      <w:r>
        <w:rPr/>
        <w:t>El Ayuntamiento o la autoridad competente tendrán la facultad de inspeccionar y vigilar a través de sus supervisores municipales autorizados, el desarrollo de las obras para cerciorarse del cumplimiento de las especificaciones del proyecto definitivo de fraccionamiento.</w:t>
      </w:r>
    </w:p>
    <w:p>
      <w:pPr>
        <w:pStyle w:val="BodyText"/>
        <w:spacing w:before="2"/>
      </w:pPr>
    </w:p>
    <w:p>
      <w:pPr>
        <w:pStyle w:val="BodyText"/>
        <w:ind w:left="262" w:right="286"/>
        <w:jc w:val="both"/>
      </w:pPr>
      <w:r>
        <w:rPr/>
        <w:t>La</w:t>
      </w:r>
      <w:r>
        <w:rPr>
          <w:spacing w:val="-12"/>
        </w:rPr>
        <w:t> </w:t>
      </w:r>
      <w:r>
        <w:rPr/>
        <w:t>autoridad</w:t>
      </w:r>
      <w:r>
        <w:rPr>
          <w:spacing w:val="-11"/>
        </w:rPr>
        <w:t> </w:t>
      </w:r>
      <w:r>
        <w:rPr/>
        <w:t>competente</w:t>
      </w:r>
      <w:r>
        <w:rPr>
          <w:spacing w:val="-11"/>
        </w:rPr>
        <w:t> </w:t>
      </w:r>
      <w:r>
        <w:rPr/>
        <w:t>contará</w:t>
      </w:r>
      <w:r>
        <w:rPr>
          <w:spacing w:val="-9"/>
        </w:rPr>
        <w:t> </w:t>
      </w:r>
      <w:r>
        <w:rPr/>
        <w:t>con</w:t>
      </w:r>
      <w:r>
        <w:rPr>
          <w:spacing w:val="-10"/>
        </w:rPr>
        <w:t> </w:t>
      </w:r>
      <w:r>
        <w:rPr/>
        <w:t>registro</w:t>
      </w:r>
      <w:r>
        <w:rPr>
          <w:spacing w:val="-11"/>
        </w:rPr>
        <w:t> </w:t>
      </w:r>
      <w:r>
        <w:rPr/>
        <w:t>en</w:t>
      </w:r>
      <w:r>
        <w:rPr>
          <w:spacing w:val="-11"/>
        </w:rPr>
        <w:t> </w:t>
      </w:r>
      <w:r>
        <w:rPr/>
        <w:t>protocolo</w:t>
      </w:r>
      <w:r>
        <w:rPr>
          <w:spacing w:val="-9"/>
        </w:rPr>
        <w:t> </w:t>
      </w:r>
      <w:r>
        <w:rPr/>
        <w:t>que</w:t>
      </w:r>
      <w:r>
        <w:rPr>
          <w:spacing w:val="-9"/>
        </w:rPr>
        <w:t> </w:t>
      </w:r>
      <w:r>
        <w:rPr/>
        <w:t>al</w:t>
      </w:r>
      <w:r>
        <w:rPr>
          <w:spacing w:val="-12"/>
        </w:rPr>
        <w:t> </w:t>
      </w:r>
      <w:r>
        <w:rPr/>
        <w:t>efecto</w:t>
      </w:r>
      <w:r>
        <w:rPr>
          <w:spacing w:val="-9"/>
        </w:rPr>
        <w:t> </w:t>
      </w:r>
      <w:r>
        <w:rPr/>
        <w:t>se</w:t>
      </w:r>
      <w:r>
        <w:rPr>
          <w:spacing w:val="-11"/>
        </w:rPr>
        <w:t> </w:t>
      </w:r>
      <w:r>
        <w:rPr/>
        <w:t>establezca,</w:t>
      </w:r>
      <w:r>
        <w:rPr>
          <w:spacing w:val="-12"/>
        </w:rPr>
        <w:t> </w:t>
      </w:r>
      <w:r>
        <w:rPr/>
        <w:t>con</w:t>
      </w:r>
      <w:r>
        <w:rPr>
          <w:spacing w:val="-9"/>
        </w:rPr>
        <w:t> </w:t>
      </w:r>
      <w:r>
        <w:rPr/>
        <w:t>el</w:t>
      </w:r>
      <w:r>
        <w:rPr>
          <w:spacing w:val="-10"/>
        </w:rPr>
        <w:t> </w:t>
      </w:r>
      <w:r>
        <w:rPr/>
        <w:t>objeto de llevar una bitácora de obra.</w:t>
      </w:r>
    </w:p>
    <w:p>
      <w:pPr>
        <w:pStyle w:val="BodyText"/>
        <w:spacing w:before="229"/>
        <w:ind w:left="262" w:right="285"/>
        <w:jc w:val="both"/>
      </w:pPr>
      <w:r>
        <w:rPr>
          <w:rFonts w:ascii="Arial" w:hAnsi="Arial"/>
          <w:b/>
        </w:rPr>
        <w:t>ARTÍCULO 418. </w:t>
      </w:r>
      <w:r>
        <w:rPr/>
        <w:t>Los fraccionadores deberán observar las indicaciones que realice la autoridad competente y tendrán derecho a recurrir las determinaciones que impliquen modificaciones al proyecto autorizado.</w:t>
      </w:r>
    </w:p>
    <w:p>
      <w:pPr>
        <w:pStyle w:val="BodyText"/>
        <w:spacing w:before="2"/>
      </w:pPr>
    </w:p>
    <w:p>
      <w:pPr>
        <w:pStyle w:val="BodyText"/>
        <w:ind w:left="262" w:right="279"/>
        <w:jc w:val="both"/>
      </w:pPr>
      <w:r>
        <w:rPr>
          <w:rFonts w:ascii="Arial" w:hAnsi="Arial"/>
          <w:b/>
        </w:rPr>
        <w:t>ARTÍCULO 419. </w:t>
      </w:r>
      <w:r>
        <w:rPr/>
        <w:t>Una vez autorizado el fraccionamiento, dentro de los sesenta días naturales siguientes al aviso de arranque de obra, del condominio o del desarrollo inmobiliario especial, el fraccionador o promotor, deberá constituir garantía ante la Secretaría de Finanzas o Tesorería Municipal</w:t>
      </w:r>
      <w:r>
        <w:rPr>
          <w:spacing w:val="-8"/>
        </w:rPr>
        <w:t> </w:t>
      </w:r>
      <w:r>
        <w:rPr/>
        <w:t>respectiva,</w:t>
      </w:r>
      <w:r>
        <w:rPr>
          <w:spacing w:val="-4"/>
        </w:rPr>
        <w:t> </w:t>
      </w:r>
      <w:r>
        <w:rPr/>
        <w:t>a</w:t>
      </w:r>
      <w:r>
        <w:rPr>
          <w:spacing w:val="-7"/>
        </w:rPr>
        <w:t> </w:t>
      </w:r>
      <w:r>
        <w:rPr/>
        <w:t>efecto</w:t>
      </w:r>
      <w:r>
        <w:rPr>
          <w:spacing w:val="-7"/>
        </w:rPr>
        <w:t> </w:t>
      </w:r>
      <w:r>
        <w:rPr/>
        <w:t>de</w:t>
      </w:r>
      <w:r>
        <w:rPr>
          <w:spacing w:val="-7"/>
        </w:rPr>
        <w:t> </w:t>
      </w:r>
      <w:r>
        <w:rPr/>
        <w:t>asegurar</w:t>
      </w:r>
      <w:r>
        <w:rPr>
          <w:spacing w:val="-6"/>
        </w:rPr>
        <w:t> </w:t>
      </w:r>
      <w:r>
        <w:rPr/>
        <w:t>que</w:t>
      </w:r>
      <w:r>
        <w:rPr>
          <w:spacing w:val="-5"/>
        </w:rPr>
        <w:t> </w:t>
      </w:r>
      <w:r>
        <w:rPr/>
        <w:t>ejecutará</w:t>
      </w:r>
      <w:r>
        <w:rPr>
          <w:spacing w:val="-6"/>
        </w:rPr>
        <w:t> </w:t>
      </w:r>
      <w:r>
        <w:rPr/>
        <w:t>adecuadamente</w:t>
      </w:r>
      <w:r>
        <w:rPr>
          <w:spacing w:val="-5"/>
        </w:rPr>
        <w:t> </w:t>
      </w:r>
      <w:r>
        <w:rPr/>
        <w:t>las</w:t>
      </w:r>
      <w:r>
        <w:rPr>
          <w:spacing w:val="-6"/>
        </w:rPr>
        <w:t> </w:t>
      </w:r>
      <w:r>
        <w:rPr/>
        <w:t>obras</w:t>
      </w:r>
      <w:r>
        <w:rPr>
          <w:spacing w:val="-5"/>
        </w:rPr>
        <w:t> </w:t>
      </w:r>
      <w:r>
        <w:rPr/>
        <w:t>de</w:t>
      </w:r>
      <w:r>
        <w:rPr>
          <w:spacing w:val="-7"/>
        </w:rPr>
        <w:t> </w:t>
      </w:r>
      <w:r>
        <w:rPr/>
        <w:t>urbanización y</w:t>
      </w:r>
      <w:r>
        <w:rPr>
          <w:spacing w:val="-8"/>
        </w:rPr>
        <w:t> </w:t>
      </w:r>
      <w:r>
        <w:rPr/>
        <w:t>cumplirá</w:t>
      </w:r>
      <w:r>
        <w:rPr>
          <w:spacing w:val="-9"/>
        </w:rPr>
        <w:t> </w:t>
      </w:r>
      <w:r>
        <w:rPr/>
        <w:t>con</w:t>
      </w:r>
      <w:r>
        <w:rPr>
          <w:spacing w:val="-9"/>
        </w:rPr>
        <w:t> </w:t>
      </w:r>
      <w:r>
        <w:rPr/>
        <w:t>todas</w:t>
      </w:r>
      <w:r>
        <w:rPr>
          <w:spacing w:val="-8"/>
        </w:rPr>
        <w:t> </w:t>
      </w:r>
      <w:r>
        <w:rPr/>
        <w:t>y</w:t>
      </w:r>
      <w:r>
        <w:rPr>
          <w:spacing w:val="-8"/>
        </w:rPr>
        <w:t> </w:t>
      </w:r>
      <w:r>
        <w:rPr/>
        <w:t>cada</w:t>
      </w:r>
      <w:r>
        <w:rPr>
          <w:spacing w:val="-7"/>
        </w:rPr>
        <w:t> </w:t>
      </w:r>
      <w:r>
        <w:rPr/>
        <w:t>una</w:t>
      </w:r>
      <w:r>
        <w:rPr>
          <w:spacing w:val="-9"/>
        </w:rPr>
        <w:t> </w:t>
      </w:r>
      <w:r>
        <w:rPr/>
        <w:t>de</w:t>
      </w:r>
      <w:r>
        <w:rPr>
          <w:spacing w:val="-9"/>
        </w:rPr>
        <w:t> </w:t>
      </w:r>
      <w:r>
        <w:rPr/>
        <w:t>las</w:t>
      </w:r>
      <w:r>
        <w:rPr>
          <w:spacing w:val="-8"/>
        </w:rPr>
        <w:t> </w:t>
      </w:r>
      <w:r>
        <w:rPr/>
        <w:t>obligaciones</w:t>
      </w:r>
      <w:r>
        <w:rPr>
          <w:spacing w:val="-8"/>
        </w:rPr>
        <w:t> </w:t>
      </w:r>
      <w:r>
        <w:rPr/>
        <w:t>que</w:t>
      </w:r>
      <w:r>
        <w:rPr>
          <w:spacing w:val="-9"/>
        </w:rPr>
        <w:t> </w:t>
      </w:r>
      <w:r>
        <w:rPr/>
        <w:t>asumió</w:t>
      </w:r>
      <w:r>
        <w:rPr>
          <w:spacing w:val="-9"/>
        </w:rPr>
        <w:t> </w:t>
      </w:r>
      <w:r>
        <w:rPr/>
        <w:t>conforme</w:t>
      </w:r>
      <w:r>
        <w:rPr>
          <w:spacing w:val="-9"/>
        </w:rPr>
        <w:t> </w:t>
      </w:r>
      <w:r>
        <w:rPr/>
        <w:t>a</w:t>
      </w:r>
      <w:r>
        <w:rPr>
          <w:spacing w:val="-7"/>
        </w:rPr>
        <w:t> </w:t>
      </w:r>
      <w:r>
        <w:rPr/>
        <w:t>esta</w:t>
      </w:r>
      <w:r>
        <w:rPr>
          <w:spacing w:val="-9"/>
        </w:rPr>
        <w:t> </w:t>
      </w:r>
      <w:r>
        <w:rPr/>
        <w:t>Ley</w:t>
      </w:r>
      <w:r>
        <w:rPr>
          <w:spacing w:val="-8"/>
        </w:rPr>
        <w:t> </w:t>
      </w:r>
      <w:r>
        <w:rPr/>
        <w:t>y</w:t>
      </w:r>
      <w:r>
        <w:rPr>
          <w:spacing w:val="-8"/>
        </w:rPr>
        <w:t> </w:t>
      </w:r>
      <w:r>
        <w:rPr/>
        <w:t>la</w:t>
      </w:r>
      <w:r>
        <w:rPr>
          <w:spacing w:val="-9"/>
        </w:rPr>
        <w:t> </w:t>
      </w:r>
      <w:r>
        <w:rPr/>
        <w:t>resolución correspondiente del Ayuntamiento.</w:t>
      </w:r>
    </w:p>
    <w:p>
      <w:pPr>
        <w:spacing w:before="228"/>
        <w:ind w:left="262"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420.</w:t>
      </w:r>
      <w:r>
        <w:rPr>
          <w:rFonts w:ascii="Arial" w:hAnsi="Arial"/>
          <w:b/>
          <w:spacing w:val="43"/>
          <w:sz w:val="20"/>
        </w:rPr>
        <w:t> </w:t>
      </w:r>
      <w:r>
        <w:rPr>
          <w:sz w:val="20"/>
        </w:rPr>
        <w:t>Las</w:t>
      </w:r>
      <w:r>
        <w:rPr>
          <w:spacing w:val="-6"/>
          <w:sz w:val="20"/>
        </w:rPr>
        <w:t> </w:t>
      </w:r>
      <w:r>
        <w:rPr>
          <w:sz w:val="20"/>
        </w:rPr>
        <w:t>garantías</w:t>
      </w:r>
      <w:r>
        <w:rPr>
          <w:spacing w:val="-6"/>
          <w:sz w:val="20"/>
        </w:rPr>
        <w:t> </w:t>
      </w:r>
      <w:r>
        <w:rPr>
          <w:sz w:val="20"/>
        </w:rPr>
        <w:t>podrá</w:t>
      </w:r>
      <w:r>
        <w:rPr>
          <w:spacing w:val="-7"/>
          <w:sz w:val="20"/>
        </w:rPr>
        <w:t> </w:t>
      </w:r>
      <w:r>
        <w:rPr>
          <w:sz w:val="20"/>
        </w:rPr>
        <w:t>consistir</w:t>
      </w:r>
      <w:r>
        <w:rPr>
          <w:spacing w:val="-7"/>
          <w:sz w:val="20"/>
        </w:rPr>
        <w:t> </w:t>
      </w:r>
      <w:r>
        <w:rPr>
          <w:spacing w:val="-5"/>
          <w:sz w:val="20"/>
        </w:rPr>
        <w:t>en:</w:t>
      </w:r>
    </w:p>
    <w:p>
      <w:pPr>
        <w:pStyle w:val="BodyText"/>
        <w:spacing w:before="1"/>
      </w:pPr>
    </w:p>
    <w:p>
      <w:pPr>
        <w:pStyle w:val="ListParagraph"/>
        <w:numPr>
          <w:ilvl w:val="0"/>
          <w:numId w:val="135"/>
        </w:numPr>
        <w:tabs>
          <w:tab w:pos="688" w:val="left" w:leader="none"/>
        </w:tabs>
        <w:spacing w:line="240" w:lineRule="auto" w:before="0" w:after="0"/>
        <w:ind w:left="262" w:right="281" w:firstLine="0"/>
        <w:jc w:val="both"/>
        <w:rPr>
          <w:sz w:val="20"/>
        </w:rPr>
      </w:pPr>
      <w:r>
        <w:rPr>
          <w:sz w:val="20"/>
        </w:rPr>
        <w:t>Fianza</w:t>
      </w:r>
      <w:r>
        <w:rPr>
          <w:spacing w:val="-7"/>
          <w:sz w:val="20"/>
        </w:rPr>
        <w:t> </w:t>
      </w:r>
      <w:r>
        <w:rPr>
          <w:sz w:val="20"/>
        </w:rPr>
        <w:t>expedida</w:t>
      </w:r>
      <w:r>
        <w:rPr>
          <w:spacing w:val="-7"/>
          <w:sz w:val="20"/>
        </w:rPr>
        <w:t> </w:t>
      </w:r>
      <w:r>
        <w:rPr>
          <w:sz w:val="20"/>
        </w:rPr>
        <w:t>por</w:t>
      </w:r>
      <w:r>
        <w:rPr>
          <w:spacing w:val="-6"/>
          <w:sz w:val="20"/>
        </w:rPr>
        <w:t> </w:t>
      </w:r>
      <w:r>
        <w:rPr>
          <w:sz w:val="20"/>
        </w:rPr>
        <w:t>compañía</w:t>
      </w:r>
      <w:r>
        <w:rPr>
          <w:spacing w:val="-7"/>
          <w:sz w:val="20"/>
        </w:rPr>
        <w:t> </w:t>
      </w:r>
      <w:r>
        <w:rPr>
          <w:sz w:val="20"/>
        </w:rPr>
        <w:t>autorizada,</w:t>
      </w:r>
      <w:r>
        <w:rPr>
          <w:spacing w:val="-6"/>
          <w:sz w:val="20"/>
        </w:rPr>
        <w:t> </w:t>
      </w:r>
      <w:r>
        <w:rPr>
          <w:sz w:val="20"/>
        </w:rPr>
        <w:t>con</w:t>
      </w:r>
      <w:r>
        <w:rPr>
          <w:spacing w:val="-7"/>
          <w:sz w:val="20"/>
        </w:rPr>
        <w:t> </w:t>
      </w:r>
      <w:r>
        <w:rPr>
          <w:sz w:val="20"/>
        </w:rPr>
        <w:t>valor</w:t>
      </w:r>
      <w:r>
        <w:rPr>
          <w:spacing w:val="-6"/>
          <w:sz w:val="20"/>
        </w:rPr>
        <w:t> </w:t>
      </w:r>
      <w:r>
        <w:rPr>
          <w:sz w:val="20"/>
        </w:rPr>
        <w:t>del</w:t>
      </w:r>
      <w:r>
        <w:rPr>
          <w:spacing w:val="-8"/>
          <w:sz w:val="20"/>
        </w:rPr>
        <w:t> </w:t>
      </w:r>
      <w:r>
        <w:rPr>
          <w:sz w:val="20"/>
        </w:rPr>
        <w:t>treinta</w:t>
      </w:r>
      <w:r>
        <w:rPr>
          <w:spacing w:val="-7"/>
          <w:sz w:val="20"/>
        </w:rPr>
        <w:t> </w:t>
      </w:r>
      <w:r>
        <w:rPr>
          <w:sz w:val="20"/>
        </w:rPr>
        <w:t>por</w:t>
      </w:r>
      <w:r>
        <w:rPr>
          <w:spacing w:val="-6"/>
          <w:sz w:val="20"/>
        </w:rPr>
        <w:t> </w:t>
      </w:r>
      <w:r>
        <w:rPr>
          <w:sz w:val="20"/>
        </w:rPr>
        <w:t>ciento</w:t>
      </w:r>
      <w:r>
        <w:rPr>
          <w:spacing w:val="-7"/>
          <w:sz w:val="20"/>
        </w:rPr>
        <w:t> </w:t>
      </w:r>
      <w:r>
        <w:rPr>
          <w:sz w:val="20"/>
        </w:rPr>
        <w:t>del</w:t>
      </w:r>
      <w:r>
        <w:rPr>
          <w:spacing w:val="-8"/>
          <w:sz w:val="20"/>
        </w:rPr>
        <w:t> </w:t>
      </w:r>
      <w:r>
        <w:rPr>
          <w:sz w:val="20"/>
        </w:rPr>
        <w:t>presupuesto</w:t>
      </w:r>
      <w:r>
        <w:rPr>
          <w:spacing w:val="-7"/>
          <w:sz w:val="20"/>
        </w:rPr>
        <w:t> </w:t>
      </w:r>
      <w:r>
        <w:rPr>
          <w:sz w:val="20"/>
        </w:rPr>
        <w:t>total de las obras de urbanización;</w:t>
      </w:r>
    </w:p>
    <w:p>
      <w:pPr>
        <w:pStyle w:val="ListParagraph"/>
        <w:numPr>
          <w:ilvl w:val="0"/>
          <w:numId w:val="135"/>
        </w:numPr>
        <w:tabs>
          <w:tab w:pos="686" w:val="left" w:leader="none"/>
        </w:tabs>
        <w:spacing w:line="240" w:lineRule="auto" w:before="229" w:after="0"/>
        <w:ind w:left="262" w:right="288" w:firstLine="0"/>
        <w:jc w:val="both"/>
        <w:rPr>
          <w:sz w:val="20"/>
        </w:rPr>
      </w:pPr>
      <w:r>
        <w:rPr>
          <w:sz w:val="20"/>
        </w:rPr>
        <w:t>Hipoteca de inmuebles que cubran el valor señalado en la fracción anterior</w:t>
      </w:r>
      <w:r>
        <w:rPr>
          <w:spacing w:val="40"/>
          <w:sz w:val="20"/>
        </w:rPr>
        <w:t> </w:t>
      </w:r>
      <w:r>
        <w:rPr>
          <w:sz w:val="20"/>
        </w:rPr>
        <w:t>sin que exista la posibilidad de que se ejerzan actos de dominio respecto de dichos bienes, hasta en tanto no se cancele la garantía correspondiente, o</w:t>
      </w:r>
    </w:p>
    <w:p>
      <w:pPr>
        <w:pStyle w:val="BodyText"/>
        <w:spacing w:before="2"/>
      </w:pPr>
    </w:p>
    <w:p>
      <w:pPr>
        <w:pStyle w:val="ListParagraph"/>
        <w:numPr>
          <w:ilvl w:val="0"/>
          <w:numId w:val="135"/>
        </w:numPr>
        <w:tabs>
          <w:tab w:pos="741" w:val="left" w:leader="none"/>
        </w:tabs>
        <w:spacing w:line="240" w:lineRule="auto" w:before="0" w:after="0"/>
        <w:ind w:left="741" w:right="0" w:hanging="479"/>
        <w:jc w:val="both"/>
        <w:rPr>
          <w:sz w:val="20"/>
        </w:rPr>
      </w:pPr>
      <w:r>
        <w:rPr>
          <w:spacing w:val="-2"/>
          <w:sz w:val="20"/>
        </w:rPr>
        <w:t>Depósito</w:t>
      </w:r>
      <w:r>
        <w:rPr>
          <w:spacing w:val="-6"/>
          <w:sz w:val="20"/>
        </w:rPr>
        <w:t> </w:t>
      </w:r>
      <w:r>
        <w:rPr>
          <w:spacing w:val="-2"/>
          <w:sz w:val="20"/>
        </w:rPr>
        <w:t>en</w:t>
      </w:r>
      <w:r>
        <w:rPr>
          <w:spacing w:val="-5"/>
          <w:sz w:val="20"/>
        </w:rPr>
        <w:t> </w:t>
      </w:r>
      <w:r>
        <w:rPr>
          <w:spacing w:val="-2"/>
          <w:sz w:val="20"/>
        </w:rPr>
        <w:t>efectivo</w:t>
      </w:r>
      <w:r>
        <w:rPr>
          <w:spacing w:val="-4"/>
          <w:sz w:val="20"/>
        </w:rPr>
        <w:t> </w:t>
      </w:r>
      <w:r>
        <w:rPr>
          <w:spacing w:val="-2"/>
          <w:sz w:val="20"/>
        </w:rPr>
        <w:t>por</w:t>
      </w:r>
      <w:r>
        <w:rPr>
          <w:spacing w:val="-6"/>
          <w:sz w:val="20"/>
        </w:rPr>
        <w:t> </w:t>
      </w:r>
      <w:r>
        <w:rPr>
          <w:spacing w:val="-2"/>
          <w:sz w:val="20"/>
        </w:rPr>
        <w:t>el</w:t>
      </w:r>
      <w:r>
        <w:rPr>
          <w:spacing w:val="-6"/>
          <w:sz w:val="20"/>
        </w:rPr>
        <w:t> </w:t>
      </w:r>
      <w:r>
        <w:rPr>
          <w:spacing w:val="-2"/>
          <w:sz w:val="20"/>
        </w:rPr>
        <w:t>veinte</w:t>
      </w:r>
      <w:r>
        <w:rPr>
          <w:spacing w:val="-5"/>
          <w:sz w:val="20"/>
        </w:rPr>
        <w:t> </w:t>
      </w:r>
      <w:r>
        <w:rPr>
          <w:spacing w:val="-2"/>
          <w:sz w:val="20"/>
        </w:rPr>
        <w:t>por</w:t>
      </w:r>
      <w:r>
        <w:rPr>
          <w:spacing w:val="-6"/>
          <w:sz w:val="20"/>
        </w:rPr>
        <w:t> </w:t>
      </w:r>
      <w:r>
        <w:rPr>
          <w:spacing w:val="-2"/>
          <w:sz w:val="20"/>
        </w:rPr>
        <w:t>ciento</w:t>
      </w:r>
      <w:r>
        <w:rPr>
          <w:spacing w:val="-5"/>
          <w:sz w:val="20"/>
        </w:rPr>
        <w:t> </w:t>
      </w:r>
      <w:r>
        <w:rPr>
          <w:spacing w:val="-2"/>
          <w:sz w:val="20"/>
        </w:rPr>
        <w:t>del</w:t>
      </w:r>
      <w:r>
        <w:rPr>
          <w:spacing w:val="-8"/>
          <w:sz w:val="20"/>
        </w:rPr>
        <w:t> </w:t>
      </w:r>
      <w:r>
        <w:rPr>
          <w:spacing w:val="-2"/>
          <w:sz w:val="20"/>
        </w:rPr>
        <w:t>presupuesto</w:t>
      </w:r>
      <w:r>
        <w:rPr>
          <w:spacing w:val="-7"/>
          <w:sz w:val="20"/>
        </w:rPr>
        <w:t> </w:t>
      </w:r>
      <w:r>
        <w:rPr>
          <w:spacing w:val="-2"/>
          <w:sz w:val="20"/>
        </w:rPr>
        <w:t>total</w:t>
      </w:r>
      <w:r>
        <w:rPr>
          <w:spacing w:val="-5"/>
          <w:sz w:val="20"/>
        </w:rPr>
        <w:t> </w:t>
      </w:r>
      <w:r>
        <w:rPr>
          <w:spacing w:val="-2"/>
          <w:sz w:val="20"/>
        </w:rPr>
        <w:t>de</w:t>
      </w:r>
      <w:r>
        <w:rPr>
          <w:spacing w:val="-6"/>
          <w:sz w:val="20"/>
        </w:rPr>
        <w:t> </w:t>
      </w:r>
      <w:r>
        <w:rPr>
          <w:spacing w:val="-2"/>
          <w:sz w:val="20"/>
        </w:rPr>
        <w:t>las</w:t>
      </w:r>
      <w:r>
        <w:rPr>
          <w:spacing w:val="-3"/>
          <w:sz w:val="20"/>
        </w:rPr>
        <w:t> </w:t>
      </w:r>
      <w:r>
        <w:rPr>
          <w:spacing w:val="-2"/>
          <w:sz w:val="20"/>
        </w:rPr>
        <w:t>obras</w:t>
      </w:r>
      <w:r>
        <w:rPr>
          <w:spacing w:val="-3"/>
          <w:sz w:val="20"/>
        </w:rPr>
        <w:t> </w:t>
      </w:r>
      <w:r>
        <w:rPr>
          <w:spacing w:val="-2"/>
          <w:sz w:val="20"/>
        </w:rPr>
        <w:t>de</w:t>
      </w:r>
      <w:r>
        <w:rPr>
          <w:spacing w:val="-5"/>
          <w:sz w:val="20"/>
        </w:rPr>
        <w:t> </w:t>
      </w:r>
      <w:r>
        <w:rPr>
          <w:spacing w:val="-2"/>
          <w:sz w:val="20"/>
        </w:rPr>
        <w:t>urbanización.</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79"/>
        <w:jc w:val="both"/>
      </w:pPr>
      <w:r>
        <w:rPr>
          <w:rFonts w:ascii="Arial" w:hAnsi="Arial"/>
          <w:b/>
        </w:rPr>
        <w:t>ARTÍCULO</w:t>
      </w:r>
      <w:r>
        <w:rPr>
          <w:rFonts w:ascii="Arial" w:hAnsi="Arial"/>
          <w:b/>
          <w:spacing w:val="-12"/>
        </w:rPr>
        <w:t> </w:t>
      </w:r>
      <w:r>
        <w:rPr>
          <w:rFonts w:ascii="Arial" w:hAnsi="Arial"/>
          <w:b/>
        </w:rPr>
        <w:t>421.</w:t>
      </w:r>
      <w:r>
        <w:rPr>
          <w:rFonts w:ascii="Arial" w:hAnsi="Arial"/>
          <w:b/>
          <w:spacing w:val="-12"/>
        </w:rPr>
        <w:t> </w:t>
      </w:r>
      <w:r>
        <w:rPr/>
        <w:t>Cuando</w:t>
      </w:r>
      <w:r>
        <w:rPr>
          <w:spacing w:val="-11"/>
        </w:rPr>
        <w:t> </w:t>
      </w:r>
      <w:r>
        <w:rPr/>
        <w:t>el</w:t>
      </w:r>
      <w:r>
        <w:rPr>
          <w:spacing w:val="-12"/>
        </w:rPr>
        <w:t> </w:t>
      </w:r>
      <w:r>
        <w:rPr/>
        <w:t>Ayuntamiento</w:t>
      </w:r>
      <w:r>
        <w:rPr>
          <w:spacing w:val="-13"/>
        </w:rPr>
        <w:t> </w:t>
      </w:r>
      <w:r>
        <w:rPr/>
        <w:t>resuelva</w:t>
      </w:r>
      <w:r>
        <w:rPr>
          <w:spacing w:val="-11"/>
        </w:rPr>
        <w:t> </w:t>
      </w:r>
      <w:r>
        <w:rPr/>
        <w:t>que</w:t>
      </w:r>
      <w:r>
        <w:rPr>
          <w:spacing w:val="-11"/>
        </w:rPr>
        <w:t> </w:t>
      </w:r>
      <w:r>
        <w:rPr/>
        <w:t>un</w:t>
      </w:r>
      <w:r>
        <w:rPr>
          <w:spacing w:val="-14"/>
        </w:rPr>
        <w:t> </w:t>
      </w:r>
      <w:r>
        <w:rPr/>
        <w:t>fraccionamiento,</w:t>
      </w:r>
      <w:r>
        <w:rPr>
          <w:spacing w:val="-13"/>
        </w:rPr>
        <w:t> </w:t>
      </w:r>
      <w:r>
        <w:rPr/>
        <w:t>condominio</w:t>
      </w:r>
      <w:r>
        <w:rPr>
          <w:spacing w:val="-13"/>
        </w:rPr>
        <w:t> </w:t>
      </w:r>
      <w:r>
        <w:rPr/>
        <w:t>o</w:t>
      </w:r>
      <w:r>
        <w:rPr>
          <w:spacing w:val="-11"/>
        </w:rPr>
        <w:t> </w:t>
      </w:r>
      <w:r>
        <w:rPr/>
        <w:t>desarrollo inmobiliario especial, se urbanice por etapas, la garantía se constituirá antes de iniciar cada etapa, tomando como base para fijar su monto, el presupuesto de las obras de la etapa por ejecutar; actualizando los precios al momento en que ésta se pretenda iniciar.</w:t>
      </w:r>
    </w:p>
    <w:p>
      <w:pPr>
        <w:pStyle w:val="BodyText"/>
      </w:pPr>
    </w:p>
    <w:p>
      <w:pPr>
        <w:pStyle w:val="BodyText"/>
        <w:ind w:left="262" w:right="276"/>
        <w:jc w:val="both"/>
      </w:pPr>
      <w:r>
        <w:rPr>
          <w:rFonts w:ascii="Arial" w:hAnsi="Arial"/>
          <w:b/>
        </w:rPr>
        <w:t>ARTÍCULO 422. </w:t>
      </w:r>
      <w:r>
        <w:rPr/>
        <w:t>La garantía a que se refiere el artículo 414 fracción IV de esta Ley, no podrá cancelarse sino hasta que hayan transcurrido un año, contado a partir de la fecha del acta terminación</w:t>
      </w:r>
      <w:r>
        <w:rPr>
          <w:spacing w:val="-7"/>
        </w:rPr>
        <w:t> </w:t>
      </w:r>
      <w:r>
        <w:rPr/>
        <w:t>de</w:t>
      </w:r>
      <w:r>
        <w:rPr>
          <w:spacing w:val="-7"/>
        </w:rPr>
        <w:t> </w:t>
      </w:r>
      <w:r>
        <w:rPr/>
        <w:t>obra</w:t>
      </w:r>
      <w:r>
        <w:rPr>
          <w:spacing w:val="-7"/>
        </w:rPr>
        <w:t> </w:t>
      </w:r>
      <w:r>
        <w:rPr/>
        <w:t>expedida</w:t>
      </w:r>
      <w:r>
        <w:rPr>
          <w:spacing w:val="-9"/>
        </w:rPr>
        <w:t> </w:t>
      </w:r>
      <w:r>
        <w:rPr/>
        <w:t>por</w:t>
      </w:r>
      <w:r>
        <w:rPr>
          <w:spacing w:val="-8"/>
        </w:rPr>
        <w:t> </w:t>
      </w:r>
      <w:r>
        <w:rPr/>
        <w:t>la</w:t>
      </w:r>
      <w:r>
        <w:rPr>
          <w:spacing w:val="-9"/>
        </w:rPr>
        <w:t> </w:t>
      </w:r>
      <w:r>
        <w:rPr/>
        <w:t>Dirección</w:t>
      </w:r>
      <w:r>
        <w:rPr>
          <w:spacing w:val="-9"/>
        </w:rPr>
        <w:t> </w:t>
      </w:r>
      <w:r>
        <w:rPr/>
        <w:t>de</w:t>
      </w:r>
      <w:r>
        <w:rPr>
          <w:spacing w:val="-9"/>
        </w:rPr>
        <w:t> </w:t>
      </w:r>
      <w:r>
        <w:rPr/>
        <w:t>Desarrollo</w:t>
      </w:r>
      <w:r>
        <w:rPr>
          <w:spacing w:val="-7"/>
        </w:rPr>
        <w:t> </w:t>
      </w:r>
      <w:r>
        <w:rPr/>
        <w:t>Urbano</w:t>
      </w:r>
      <w:r>
        <w:rPr>
          <w:spacing w:val="-7"/>
        </w:rPr>
        <w:t> </w:t>
      </w:r>
      <w:r>
        <w:rPr/>
        <w:t>a</w:t>
      </w:r>
      <w:r>
        <w:rPr>
          <w:spacing w:val="-9"/>
        </w:rPr>
        <w:t> </w:t>
      </w:r>
      <w:r>
        <w:rPr/>
        <w:t>fin</w:t>
      </w:r>
      <w:r>
        <w:rPr>
          <w:spacing w:val="-7"/>
        </w:rPr>
        <w:t> </w:t>
      </w:r>
      <w:r>
        <w:rPr/>
        <w:t>de</w:t>
      </w:r>
      <w:r>
        <w:rPr>
          <w:spacing w:val="-7"/>
        </w:rPr>
        <w:t> </w:t>
      </w:r>
      <w:r>
        <w:rPr/>
        <w:t>garantizar dichas</w:t>
      </w:r>
      <w:r>
        <w:rPr>
          <w:spacing w:val="-8"/>
        </w:rPr>
        <w:t> </w:t>
      </w:r>
      <w:r>
        <w:rPr/>
        <w:t>obras contra vicios ocultos.</w:t>
      </w:r>
    </w:p>
    <w:p>
      <w:pPr>
        <w:pStyle w:val="BodyText"/>
      </w:pPr>
    </w:p>
    <w:p>
      <w:pPr>
        <w:pStyle w:val="BodyText"/>
        <w:ind w:left="262" w:right="287"/>
        <w:jc w:val="both"/>
      </w:pPr>
      <w:r>
        <w:rPr>
          <w:rFonts w:ascii="Arial" w:hAnsi="Arial"/>
          <w:b/>
        </w:rPr>
        <w:t>ARTÍCULO 423. </w:t>
      </w:r>
      <w:r>
        <w:rPr/>
        <w:t>Cumplido el plazo a que se refiere el artículo anterior, el fraccionador o promotor solicitará</w:t>
      </w:r>
      <w:r>
        <w:rPr>
          <w:spacing w:val="-11"/>
        </w:rPr>
        <w:t> </w:t>
      </w:r>
      <w:r>
        <w:rPr/>
        <w:t>al</w:t>
      </w:r>
      <w:r>
        <w:rPr>
          <w:spacing w:val="-12"/>
        </w:rPr>
        <w:t> </w:t>
      </w:r>
      <w:r>
        <w:rPr/>
        <w:t>Ayuntamiento</w:t>
      </w:r>
      <w:r>
        <w:rPr>
          <w:spacing w:val="-12"/>
        </w:rPr>
        <w:t> </w:t>
      </w:r>
      <w:r>
        <w:rPr/>
        <w:t>respectivo,</w:t>
      </w:r>
      <w:r>
        <w:rPr>
          <w:spacing w:val="-10"/>
        </w:rPr>
        <w:t> </w:t>
      </w:r>
      <w:r>
        <w:rPr/>
        <w:t>la</w:t>
      </w:r>
      <w:r>
        <w:rPr>
          <w:spacing w:val="-11"/>
        </w:rPr>
        <w:t> </w:t>
      </w:r>
      <w:r>
        <w:rPr/>
        <w:t>cancelación</w:t>
      </w:r>
      <w:r>
        <w:rPr>
          <w:spacing w:val="-12"/>
        </w:rPr>
        <w:t> </w:t>
      </w:r>
      <w:r>
        <w:rPr/>
        <w:t>de</w:t>
      </w:r>
      <w:r>
        <w:rPr>
          <w:spacing w:val="-11"/>
        </w:rPr>
        <w:t> </w:t>
      </w:r>
      <w:r>
        <w:rPr/>
        <w:t>la</w:t>
      </w:r>
      <w:r>
        <w:rPr>
          <w:spacing w:val="-11"/>
        </w:rPr>
        <w:t> </w:t>
      </w:r>
      <w:r>
        <w:rPr/>
        <w:t>garantía</w:t>
      </w:r>
      <w:r>
        <w:rPr>
          <w:spacing w:val="-12"/>
        </w:rPr>
        <w:t> </w:t>
      </w:r>
      <w:r>
        <w:rPr/>
        <w:t>que</w:t>
      </w:r>
      <w:r>
        <w:rPr>
          <w:spacing w:val="-11"/>
        </w:rPr>
        <w:t> </w:t>
      </w:r>
      <w:r>
        <w:rPr/>
        <w:t>al</w:t>
      </w:r>
      <w:r>
        <w:rPr>
          <w:spacing w:val="-12"/>
        </w:rPr>
        <w:t> </w:t>
      </w:r>
      <w:r>
        <w:rPr/>
        <w:t>efecto</w:t>
      </w:r>
      <w:r>
        <w:rPr>
          <w:spacing w:val="-11"/>
        </w:rPr>
        <w:t> </w:t>
      </w:r>
      <w:r>
        <w:rPr/>
        <w:t>se</w:t>
      </w:r>
      <w:r>
        <w:rPr>
          <w:spacing w:val="-11"/>
        </w:rPr>
        <w:t> </w:t>
      </w:r>
      <w:r>
        <w:rPr/>
        <w:t>haya</w:t>
      </w:r>
      <w:r>
        <w:rPr>
          <w:spacing w:val="-11"/>
        </w:rPr>
        <w:t> </w:t>
      </w:r>
      <w:r>
        <w:rPr/>
        <w:t>constituido.</w:t>
      </w:r>
    </w:p>
    <w:p>
      <w:pPr>
        <w:pStyle w:val="BodyText"/>
        <w:spacing w:before="1"/>
      </w:pPr>
    </w:p>
    <w:p>
      <w:pPr>
        <w:pStyle w:val="BodyText"/>
        <w:spacing w:before="1"/>
        <w:ind w:left="262" w:right="278"/>
        <w:jc w:val="both"/>
      </w:pPr>
      <w:r>
        <w:rPr/>
        <w:t>Tratándose de condominio o desarrollo inmobiliario especial en que se haya cancelado dicha garantía, serán responsables los condóminos, ocupantes o interesados de que las obras de urbanización</w:t>
      </w:r>
      <w:r>
        <w:rPr>
          <w:spacing w:val="-7"/>
        </w:rPr>
        <w:t> </w:t>
      </w:r>
      <w:r>
        <w:rPr/>
        <w:t>correspondientes</w:t>
      </w:r>
      <w:r>
        <w:rPr>
          <w:spacing w:val="-6"/>
        </w:rPr>
        <w:t> </w:t>
      </w:r>
      <w:r>
        <w:rPr/>
        <w:t>se</w:t>
      </w:r>
      <w:r>
        <w:rPr>
          <w:spacing w:val="-7"/>
        </w:rPr>
        <w:t> </w:t>
      </w:r>
      <w:r>
        <w:rPr/>
        <w:t>encuentren</w:t>
      </w:r>
      <w:r>
        <w:rPr>
          <w:spacing w:val="-5"/>
        </w:rPr>
        <w:t> </w:t>
      </w:r>
      <w:r>
        <w:rPr/>
        <w:t>en</w:t>
      </w:r>
      <w:r>
        <w:rPr>
          <w:spacing w:val="-5"/>
        </w:rPr>
        <w:t> </w:t>
      </w:r>
      <w:r>
        <w:rPr/>
        <w:t>buen</w:t>
      </w:r>
      <w:r>
        <w:rPr>
          <w:spacing w:val="-2"/>
        </w:rPr>
        <w:t> </w:t>
      </w:r>
      <w:r>
        <w:rPr/>
        <w:t>estado</w:t>
      </w:r>
      <w:r>
        <w:rPr>
          <w:spacing w:val="-5"/>
        </w:rPr>
        <w:t> </w:t>
      </w:r>
      <w:r>
        <w:rPr/>
        <w:t>y</w:t>
      </w:r>
      <w:r>
        <w:rPr>
          <w:spacing w:val="-5"/>
        </w:rPr>
        <w:t> </w:t>
      </w:r>
      <w:r>
        <w:rPr/>
        <w:t>los</w:t>
      </w:r>
      <w:r>
        <w:rPr>
          <w:spacing w:val="-6"/>
        </w:rPr>
        <w:t> </w:t>
      </w:r>
      <w:r>
        <w:rPr/>
        <w:t>servicios</w:t>
      </w:r>
      <w:r>
        <w:rPr>
          <w:spacing w:val="-3"/>
        </w:rPr>
        <w:t> </w:t>
      </w:r>
      <w:r>
        <w:rPr/>
        <w:t>respectivos</w:t>
      </w:r>
      <w:r>
        <w:rPr>
          <w:spacing w:val="-6"/>
        </w:rPr>
        <w:t> </w:t>
      </w:r>
      <w:r>
        <w:rPr/>
        <w:t>se</w:t>
      </w:r>
      <w:r>
        <w:rPr>
          <w:spacing w:val="-7"/>
        </w:rPr>
        <w:t> </w:t>
      </w:r>
      <w:r>
        <w:rPr/>
        <w:t>presten suficiente y adecuadamente.</w:t>
      </w:r>
    </w:p>
    <w:p>
      <w:pPr>
        <w:pStyle w:val="BodyText"/>
        <w:ind w:left="262" w:right="279"/>
        <w:jc w:val="both"/>
      </w:pPr>
      <w:r>
        <w:rPr/>
        <w:t>La asamblea de condóminos o la asociación de ocupantes de locales o predios en desarrollo inmobiliarios especiales, acordará las medidas y lineamientos conducentes, a efecto de que la administración del condominio o del promotor del desarrollo inmobiliario especial cumpla con lo dispuesto en el párrafo anterior.</w:t>
      </w:r>
    </w:p>
    <w:p>
      <w:pPr>
        <w:pStyle w:val="BodyText"/>
        <w:spacing w:before="229"/>
        <w:ind w:left="262" w:right="286"/>
        <w:jc w:val="both"/>
      </w:pPr>
      <w:r>
        <w:rPr>
          <w:rFonts w:ascii="Arial" w:hAnsi="Arial"/>
          <w:b/>
        </w:rPr>
        <w:t>ARTÍCULO 424. </w:t>
      </w:r>
      <w:r>
        <w:rPr/>
        <w:t>El Ayuntamiento respectivo deberá hacer efectivas las garantías relativas a los trabajos de urbanización de un fraccionamiento a que se refiere esta Ley, cuando el</w:t>
      </w:r>
      <w:r>
        <w:rPr>
          <w:spacing w:val="-1"/>
        </w:rPr>
        <w:t> </w:t>
      </w:r>
      <w:r>
        <w:rPr/>
        <w:t>fraccionador o promotor hubiera incurrido en cualesquiera de los siguientes supuestos:</w:t>
      </w:r>
    </w:p>
    <w:p>
      <w:pPr>
        <w:pStyle w:val="BodyText"/>
        <w:spacing w:before="1"/>
      </w:pPr>
    </w:p>
    <w:p>
      <w:pPr>
        <w:pStyle w:val="ListParagraph"/>
        <w:numPr>
          <w:ilvl w:val="0"/>
          <w:numId w:val="136"/>
        </w:numPr>
        <w:tabs>
          <w:tab w:pos="543" w:val="left" w:leader="none"/>
        </w:tabs>
        <w:spacing w:line="240" w:lineRule="auto" w:before="1" w:after="0"/>
        <w:ind w:left="543" w:right="0" w:hanging="281"/>
        <w:jc w:val="left"/>
        <w:rPr>
          <w:sz w:val="20"/>
        </w:rPr>
      </w:pPr>
      <w:r>
        <w:rPr>
          <w:sz w:val="20"/>
        </w:rPr>
        <w:t>No</w:t>
      </w:r>
      <w:r>
        <w:rPr>
          <w:spacing w:val="-7"/>
          <w:sz w:val="20"/>
        </w:rPr>
        <w:t> </w:t>
      </w:r>
      <w:r>
        <w:rPr>
          <w:sz w:val="20"/>
        </w:rPr>
        <w:t>cumpla</w:t>
      </w:r>
      <w:r>
        <w:rPr>
          <w:spacing w:val="-4"/>
          <w:sz w:val="20"/>
        </w:rPr>
        <w:t> </w:t>
      </w:r>
      <w:r>
        <w:rPr>
          <w:sz w:val="20"/>
        </w:rPr>
        <w:t>con</w:t>
      </w:r>
      <w:r>
        <w:rPr>
          <w:spacing w:val="-7"/>
          <w:sz w:val="20"/>
        </w:rPr>
        <w:t> </w:t>
      </w:r>
      <w:r>
        <w:rPr>
          <w:sz w:val="20"/>
        </w:rPr>
        <w:t>el</w:t>
      </w:r>
      <w:r>
        <w:rPr>
          <w:spacing w:val="-8"/>
          <w:sz w:val="20"/>
        </w:rPr>
        <w:t> </w:t>
      </w:r>
      <w:r>
        <w:rPr>
          <w:sz w:val="20"/>
        </w:rPr>
        <w:t>calendario</w:t>
      </w:r>
      <w:r>
        <w:rPr>
          <w:spacing w:val="-6"/>
          <w:sz w:val="20"/>
        </w:rPr>
        <w:t> </w:t>
      </w:r>
      <w:r>
        <w:rPr>
          <w:sz w:val="20"/>
        </w:rPr>
        <w:t>de</w:t>
      </w:r>
      <w:r>
        <w:rPr>
          <w:spacing w:val="-4"/>
          <w:sz w:val="20"/>
        </w:rPr>
        <w:t> </w:t>
      </w:r>
      <w:r>
        <w:rPr>
          <w:sz w:val="20"/>
        </w:rPr>
        <w:t>obra</w:t>
      </w:r>
      <w:r>
        <w:rPr>
          <w:spacing w:val="-5"/>
          <w:sz w:val="20"/>
        </w:rPr>
        <w:t> </w:t>
      </w:r>
      <w:r>
        <w:rPr>
          <w:spacing w:val="-2"/>
          <w:sz w:val="20"/>
        </w:rPr>
        <w:t>autorizado;</w:t>
      </w:r>
    </w:p>
    <w:p>
      <w:pPr>
        <w:pStyle w:val="ListParagraph"/>
        <w:numPr>
          <w:ilvl w:val="0"/>
          <w:numId w:val="136"/>
        </w:numPr>
        <w:tabs>
          <w:tab w:pos="543" w:val="left" w:leader="none"/>
        </w:tabs>
        <w:spacing w:line="240" w:lineRule="auto" w:before="228" w:after="0"/>
        <w:ind w:left="262" w:right="287" w:firstLine="0"/>
        <w:jc w:val="left"/>
        <w:rPr>
          <w:sz w:val="20"/>
        </w:rPr>
      </w:pPr>
      <w:r>
        <w:rPr>
          <w:sz w:val="20"/>
        </w:rPr>
        <w:t>No concluya la urbanización del fraccionamiento, condominio o desarrollo inmobiliario especial en el término que establece esta Ley, o en su caso dentro de su prórroga;</w:t>
      </w:r>
    </w:p>
    <w:p>
      <w:pPr>
        <w:pStyle w:val="BodyText"/>
        <w:spacing w:before="1"/>
      </w:pPr>
    </w:p>
    <w:p>
      <w:pPr>
        <w:pStyle w:val="ListParagraph"/>
        <w:numPr>
          <w:ilvl w:val="0"/>
          <w:numId w:val="136"/>
        </w:numPr>
        <w:tabs>
          <w:tab w:pos="597" w:val="left" w:leader="none"/>
        </w:tabs>
        <w:spacing w:line="240" w:lineRule="auto" w:before="0" w:after="0"/>
        <w:ind w:left="262" w:right="286" w:firstLine="0"/>
        <w:jc w:val="left"/>
        <w:rPr>
          <w:sz w:val="20"/>
        </w:rPr>
      </w:pPr>
      <w:r>
        <w:rPr>
          <w:sz w:val="20"/>
        </w:rPr>
        <w:t>No se apegue a las especificaciones y características de las obras señaladas en esta Ley y en la autorización respectiva;</w:t>
      </w:r>
    </w:p>
    <w:p>
      <w:pPr>
        <w:pStyle w:val="ListParagraph"/>
        <w:numPr>
          <w:ilvl w:val="0"/>
          <w:numId w:val="136"/>
        </w:numPr>
        <w:tabs>
          <w:tab w:pos="688" w:val="left" w:leader="none"/>
        </w:tabs>
        <w:spacing w:line="240" w:lineRule="auto" w:before="229" w:after="0"/>
        <w:ind w:left="262" w:right="287" w:firstLine="0"/>
        <w:jc w:val="left"/>
        <w:rPr>
          <w:sz w:val="20"/>
        </w:rPr>
      </w:pPr>
      <w:r>
        <w:rPr>
          <w:sz w:val="20"/>
        </w:rPr>
        <w:t>No</w:t>
      </w:r>
      <w:r>
        <w:rPr>
          <w:spacing w:val="36"/>
          <w:sz w:val="20"/>
        </w:rPr>
        <w:t> </w:t>
      </w:r>
      <w:r>
        <w:rPr>
          <w:sz w:val="20"/>
        </w:rPr>
        <w:t>acate</w:t>
      </w:r>
      <w:r>
        <w:rPr>
          <w:spacing w:val="38"/>
          <w:sz w:val="20"/>
        </w:rPr>
        <w:t> </w:t>
      </w:r>
      <w:r>
        <w:rPr>
          <w:sz w:val="20"/>
        </w:rPr>
        <w:t>las</w:t>
      </w:r>
      <w:r>
        <w:rPr>
          <w:spacing w:val="39"/>
          <w:sz w:val="20"/>
        </w:rPr>
        <w:t> </w:t>
      </w:r>
      <w:r>
        <w:rPr>
          <w:sz w:val="20"/>
        </w:rPr>
        <w:t>observaciones</w:t>
      </w:r>
      <w:r>
        <w:rPr>
          <w:spacing w:val="37"/>
          <w:sz w:val="20"/>
        </w:rPr>
        <w:t> </w:t>
      </w:r>
      <w:r>
        <w:rPr>
          <w:sz w:val="20"/>
        </w:rPr>
        <w:t>que</w:t>
      </w:r>
      <w:r>
        <w:rPr>
          <w:spacing w:val="38"/>
          <w:sz w:val="20"/>
        </w:rPr>
        <w:t> </w:t>
      </w:r>
      <w:r>
        <w:rPr>
          <w:sz w:val="20"/>
        </w:rPr>
        <w:t>las</w:t>
      </w:r>
      <w:r>
        <w:rPr>
          <w:spacing w:val="39"/>
          <w:sz w:val="20"/>
        </w:rPr>
        <w:t> </w:t>
      </w:r>
      <w:r>
        <w:rPr>
          <w:sz w:val="20"/>
        </w:rPr>
        <w:t>autoridades</w:t>
      </w:r>
      <w:r>
        <w:rPr>
          <w:spacing w:val="37"/>
          <w:sz w:val="20"/>
        </w:rPr>
        <w:t> </w:t>
      </w:r>
      <w:r>
        <w:rPr>
          <w:sz w:val="20"/>
        </w:rPr>
        <w:t>competentes</w:t>
      </w:r>
      <w:r>
        <w:rPr>
          <w:spacing w:val="39"/>
          <w:sz w:val="20"/>
        </w:rPr>
        <w:t> </w:t>
      </w:r>
      <w:r>
        <w:rPr>
          <w:sz w:val="20"/>
        </w:rPr>
        <w:t>le</w:t>
      </w:r>
      <w:r>
        <w:rPr>
          <w:spacing w:val="38"/>
          <w:sz w:val="20"/>
        </w:rPr>
        <w:t> </w:t>
      </w:r>
      <w:r>
        <w:rPr>
          <w:sz w:val="20"/>
        </w:rPr>
        <w:t>hagan,</w:t>
      </w:r>
      <w:r>
        <w:rPr>
          <w:spacing w:val="38"/>
          <w:sz w:val="20"/>
        </w:rPr>
        <w:t> </w:t>
      </w:r>
      <w:r>
        <w:rPr>
          <w:sz w:val="20"/>
        </w:rPr>
        <w:t>con</w:t>
      </w:r>
      <w:r>
        <w:rPr>
          <w:spacing w:val="39"/>
          <w:sz w:val="20"/>
        </w:rPr>
        <w:t> </w:t>
      </w:r>
      <w:r>
        <w:rPr>
          <w:sz w:val="20"/>
        </w:rPr>
        <w:t>motivo</w:t>
      </w:r>
      <w:r>
        <w:rPr>
          <w:spacing w:val="38"/>
          <w:sz w:val="20"/>
        </w:rPr>
        <w:t> </w:t>
      </w:r>
      <w:r>
        <w:rPr>
          <w:sz w:val="20"/>
        </w:rPr>
        <w:t>de</w:t>
      </w:r>
      <w:r>
        <w:rPr>
          <w:spacing w:val="38"/>
          <w:sz w:val="20"/>
        </w:rPr>
        <w:t> </w:t>
      </w:r>
      <w:r>
        <w:rPr>
          <w:sz w:val="20"/>
        </w:rPr>
        <w:t>la supervisión realizada durante la ejecución de las obras, o</w:t>
      </w:r>
    </w:p>
    <w:p>
      <w:pPr>
        <w:pStyle w:val="BodyText"/>
        <w:spacing w:before="1"/>
      </w:pPr>
    </w:p>
    <w:p>
      <w:pPr>
        <w:pStyle w:val="ListParagraph"/>
        <w:numPr>
          <w:ilvl w:val="0"/>
          <w:numId w:val="136"/>
        </w:numPr>
        <w:tabs>
          <w:tab w:pos="689" w:val="left" w:leader="none"/>
        </w:tabs>
        <w:spacing w:line="240" w:lineRule="auto" w:before="0" w:after="0"/>
        <w:ind w:left="689" w:right="0" w:hanging="427"/>
        <w:jc w:val="left"/>
        <w:rPr>
          <w:sz w:val="20"/>
        </w:rPr>
      </w:pPr>
      <w:r>
        <w:rPr>
          <w:sz w:val="20"/>
        </w:rPr>
        <w:t>Deje</w:t>
      </w:r>
      <w:r>
        <w:rPr>
          <w:spacing w:val="-7"/>
          <w:sz w:val="20"/>
        </w:rPr>
        <w:t> </w:t>
      </w:r>
      <w:r>
        <w:rPr>
          <w:sz w:val="20"/>
        </w:rPr>
        <w:t>de</w:t>
      </w:r>
      <w:r>
        <w:rPr>
          <w:spacing w:val="-5"/>
          <w:sz w:val="20"/>
        </w:rPr>
        <w:t> </w:t>
      </w:r>
      <w:r>
        <w:rPr>
          <w:sz w:val="20"/>
        </w:rPr>
        <w:t>prestar</w:t>
      </w:r>
      <w:r>
        <w:rPr>
          <w:spacing w:val="-7"/>
          <w:sz w:val="20"/>
        </w:rPr>
        <w:t> </w:t>
      </w:r>
      <w:r>
        <w:rPr>
          <w:sz w:val="20"/>
        </w:rPr>
        <w:t>suficiente</w:t>
      </w:r>
      <w:r>
        <w:rPr>
          <w:spacing w:val="-7"/>
          <w:sz w:val="20"/>
        </w:rPr>
        <w:t> </w:t>
      </w:r>
      <w:r>
        <w:rPr>
          <w:sz w:val="20"/>
        </w:rPr>
        <w:t>y</w:t>
      </w:r>
      <w:r>
        <w:rPr>
          <w:spacing w:val="-3"/>
          <w:sz w:val="20"/>
        </w:rPr>
        <w:t> </w:t>
      </w:r>
      <w:r>
        <w:rPr>
          <w:sz w:val="20"/>
        </w:rPr>
        <w:t>adecuadamente</w:t>
      </w:r>
      <w:r>
        <w:rPr>
          <w:spacing w:val="-5"/>
          <w:sz w:val="20"/>
        </w:rPr>
        <w:t> </w:t>
      </w:r>
      <w:r>
        <w:rPr>
          <w:sz w:val="20"/>
        </w:rPr>
        <w:t>los</w:t>
      </w:r>
      <w:r>
        <w:rPr>
          <w:spacing w:val="-6"/>
          <w:sz w:val="20"/>
        </w:rPr>
        <w:t> </w:t>
      </w:r>
      <w:r>
        <w:rPr>
          <w:sz w:val="20"/>
        </w:rPr>
        <w:t>servicios</w:t>
      </w:r>
      <w:r>
        <w:rPr>
          <w:spacing w:val="-6"/>
          <w:sz w:val="20"/>
        </w:rPr>
        <w:t> </w:t>
      </w:r>
      <w:r>
        <w:rPr>
          <w:sz w:val="20"/>
        </w:rPr>
        <w:t>a</w:t>
      </w:r>
      <w:r>
        <w:rPr>
          <w:spacing w:val="-7"/>
          <w:sz w:val="20"/>
        </w:rPr>
        <w:t> </w:t>
      </w:r>
      <w:r>
        <w:rPr>
          <w:sz w:val="20"/>
        </w:rPr>
        <w:t>que</w:t>
      </w:r>
      <w:r>
        <w:rPr>
          <w:spacing w:val="-7"/>
          <w:sz w:val="20"/>
        </w:rPr>
        <w:t> </w:t>
      </w:r>
      <w:r>
        <w:rPr>
          <w:sz w:val="20"/>
        </w:rPr>
        <w:t>está</w:t>
      </w:r>
      <w:r>
        <w:rPr>
          <w:spacing w:val="-5"/>
          <w:sz w:val="20"/>
        </w:rPr>
        <w:t> </w:t>
      </w:r>
      <w:r>
        <w:rPr>
          <w:sz w:val="20"/>
        </w:rPr>
        <w:t>obligado</w:t>
      </w:r>
      <w:r>
        <w:rPr>
          <w:spacing w:val="-6"/>
          <w:sz w:val="20"/>
        </w:rPr>
        <w:t> </w:t>
      </w:r>
      <w:r>
        <w:rPr>
          <w:sz w:val="20"/>
        </w:rPr>
        <w:t>por</w:t>
      </w:r>
      <w:r>
        <w:rPr>
          <w:spacing w:val="-7"/>
          <w:sz w:val="20"/>
        </w:rPr>
        <w:t> </w:t>
      </w:r>
      <w:r>
        <w:rPr>
          <w:sz w:val="20"/>
        </w:rPr>
        <w:t>esta</w:t>
      </w:r>
      <w:r>
        <w:rPr>
          <w:spacing w:val="-8"/>
          <w:sz w:val="20"/>
        </w:rPr>
        <w:t> </w:t>
      </w:r>
      <w:r>
        <w:rPr>
          <w:spacing w:val="-4"/>
          <w:sz w:val="20"/>
        </w:rPr>
        <w:t>Ley.</w:t>
      </w:r>
    </w:p>
    <w:p>
      <w:pPr>
        <w:pStyle w:val="BodyText"/>
        <w:spacing w:before="229"/>
        <w:ind w:left="262" w:right="285"/>
        <w:jc w:val="both"/>
      </w:pPr>
      <w:r>
        <w:rPr>
          <w:rFonts w:ascii="Arial" w:hAnsi="Arial"/>
          <w:b/>
        </w:rPr>
        <w:t>ARTÍCULO 425. </w:t>
      </w:r>
      <w:r>
        <w:rPr/>
        <w:t>El Ayuntamiento, con los recursos derivados de las garantías, ejecutará directamente las obras de urbanización que no haya ejecutado o corregido el fraccionador o </w:t>
      </w:r>
      <w:r>
        <w:rPr>
          <w:spacing w:val="-2"/>
        </w:rPr>
        <w:t>promotor.</w:t>
      </w:r>
    </w:p>
    <w:p>
      <w:pPr>
        <w:pStyle w:val="BodyText"/>
        <w:spacing w:before="2"/>
      </w:pPr>
    </w:p>
    <w:p>
      <w:pPr>
        <w:pStyle w:val="BodyText"/>
        <w:ind w:left="262" w:right="289"/>
        <w:jc w:val="both"/>
      </w:pPr>
      <w:r>
        <w:rPr/>
        <w:t>En el caso de que dichos recursos sean insuficientes para ejecutar las obras de urbanización, el fraccionador o promotor estará obligado a aportar los recursos que sean necesarios.</w:t>
      </w:r>
    </w:p>
    <w:p>
      <w:pPr>
        <w:pStyle w:val="BodyText"/>
        <w:spacing w:before="229"/>
        <w:ind w:left="262" w:right="287"/>
        <w:jc w:val="both"/>
      </w:pPr>
      <w:r>
        <w:rPr/>
        <w:t>Si el Ayuntamiento ejecuta las obras de urbanización que se refieren en el primer párrafo con recursos propios, por ser insuficientes las garantías, los gastos que se deriven se harán efectivos como si se trataran de créditos fiscales, en términos de la legislación fiscal aplicable.</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6"/>
        <w:jc w:val="both"/>
      </w:pPr>
      <w:r>
        <w:rPr/>
        <w:t>Lo anterior, independientemente de la imposición de las sanciones administrativas</w:t>
      </w:r>
      <w:r>
        <w:rPr>
          <w:spacing w:val="40"/>
        </w:rPr>
        <w:t> </w:t>
      </w:r>
      <w:r>
        <w:rPr/>
        <w:t>y responsabilidades civiles correspondientes.</w:t>
      </w:r>
    </w:p>
    <w:p>
      <w:pPr>
        <w:pStyle w:val="BodyText"/>
        <w:spacing w:before="1"/>
      </w:pPr>
    </w:p>
    <w:p>
      <w:pPr>
        <w:pStyle w:val="BodyText"/>
        <w:spacing w:before="1"/>
        <w:ind w:left="262" w:right="284"/>
        <w:jc w:val="both"/>
      </w:pPr>
      <w:r>
        <w:rPr>
          <w:rFonts w:ascii="Arial" w:hAnsi="Arial"/>
          <w:b/>
        </w:rPr>
        <w:t>ARTÍCULO</w:t>
      </w:r>
      <w:r>
        <w:rPr>
          <w:rFonts w:ascii="Arial" w:hAnsi="Arial"/>
          <w:b/>
          <w:spacing w:val="-10"/>
        </w:rPr>
        <w:t> </w:t>
      </w:r>
      <w:r>
        <w:rPr>
          <w:rFonts w:ascii="Arial" w:hAnsi="Arial"/>
          <w:b/>
        </w:rPr>
        <w:t>426.</w:t>
      </w:r>
      <w:r>
        <w:rPr>
          <w:rFonts w:ascii="Arial" w:hAnsi="Arial"/>
          <w:b/>
          <w:spacing w:val="-11"/>
        </w:rPr>
        <w:t> </w:t>
      </w:r>
      <w:r>
        <w:rPr/>
        <w:t>La</w:t>
      </w:r>
      <w:r>
        <w:rPr>
          <w:spacing w:val="-14"/>
        </w:rPr>
        <w:t> </w:t>
      </w:r>
      <w:r>
        <w:rPr/>
        <w:t>Dirección</w:t>
      </w:r>
      <w:r>
        <w:rPr>
          <w:spacing w:val="-12"/>
        </w:rPr>
        <w:t> </w:t>
      </w:r>
      <w:r>
        <w:rPr/>
        <w:t>Municipal</w:t>
      </w:r>
      <w:r>
        <w:rPr>
          <w:spacing w:val="-13"/>
        </w:rPr>
        <w:t> </w:t>
      </w:r>
      <w:r>
        <w:rPr/>
        <w:t>deberá</w:t>
      </w:r>
      <w:r>
        <w:rPr>
          <w:spacing w:val="-11"/>
        </w:rPr>
        <w:t> </w:t>
      </w:r>
      <w:r>
        <w:rPr/>
        <w:t>formular</w:t>
      </w:r>
      <w:r>
        <w:rPr>
          <w:spacing w:val="-13"/>
        </w:rPr>
        <w:t> </w:t>
      </w:r>
      <w:r>
        <w:rPr/>
        <w:t>un</w:t>
      </w:r>
      <w:r>
        <w:rPr>
          <w:spacing w:val="-12"/>
        </w:rPr>
        <w:t> </w:t>
      </w:r>
      <w:r>
        <w:rPr/>
        <w:t>dictamen</w:t>
      </w:r>
      <w:r>
        <w:rPr>
          <w:spacing w:val="-12"/>
        </w:rPr>
        <w:t> </w:t>
      </w:r>
      <w:r>
        <w:rPr/>
        <w:t>técnico,</w:t>
      </w:r>
      <w:r>
        <w:rPr>
          <w:spacing w:val="-12"/>
        </w:rPr>
        <w:t> </w:t>
      </w:r>
      <w:r>
        <w:rPr/>
        <w:t>previo</w:t>
      </w:r>
      <w:r>
        <w:rPr>
          <w:spacing w:val="-11"/>
        </w:rPr>
        <w:t> </w:t>
      </w:r>
      <w:r>
        <w:rPr/>
        <w:t>a</w:t>
      </w:r>
      <w:r>
        <w:rPr>
          <w:spacing w:val="-14"/>
        </w:rPr>
        <w:t> </w:t>
      </w:r>
      <w:r>
        <w:rPr/>
        <w:t>que</w:t>
      </w:r>
      <w:r>
        <w:rPr>
          <w:spacing w:val="-12"/>
        </w:rPr>
        <w:t> </w:t>
      </w:r>
      <w:r>
        <w:rPr/>
        <w:t>se</w:t>
      </w:r>
      <w:r>
        <w:rPr>
          <w:spacing w:val="-11"/>
        </w:rPr>
        <w:t> </w:t>
      </w:r>
      <w:r>
        <w:rPr/>
        <w:t>hagan efectivas las garantías de las obras de urbanización, a fin de fundamentar que el fraccionador o promotor incurrió en cualquiera de las situaciones señaladas en el artículo 424 de esta Ley.</w:t>
      </w:r>
    </w:p>
    <w:p>
      <w:pPr>
        <w:pStyle w:val="BodyText"/>
        <w:spacing w:before="229"/>
        <w:ind w:left="262" w:right="282"/>
        <w:jc w:val="both"/>
      </w:pPr>
      <w:r>
        <w:rPr/>
        <w:t>Para</w:t>
      </w:r>
      <w:r>
        <w:rPr>
          <w:spacing w:val="-5"/>
        </w:rPr>
        <w:t> </w:t>
      </w:r>
      <w:r>
        <w:rPr/>
        <w:t>tales</w:t>
      </w:r>
      <w:r>
        <w:rPr>
          <w:spacing w:val="-4"/>
        </w:rPr>
        <w:t> </w:t>
      </w:r>
      <w:r>
        <w:rPr/>
        <w:t>efectos,</w:t>
      </w:r>
      <w:r>
        <w:rPr>
          <w:spacing w:val="-5"/>
        </w:rPr>
        <w:t> </w:t>
      </w:r>
      <w:r>
        <w:rPr/>
        <w:t>deberá</w:t>
      </w:r>
      <w:r>
        <w:rPr>
          <w:spacing w:val="-3"/>
        </w:rPr>
        <w:t> </w:t>
      </w:r>
      <w:r>
        <w:rPr/>
        <w:t>conceder</w:t>
      </w:r>
      <w:r>
        <w:rPr>
          <w:spacing w:val="-5"/>
        </w:rPr>
        <w:t> </w:t>
      </w:r>
      <w:r>
        <w:rPr/>
        <w:t>audiencia</w:t>
      </w:r>
      <w:r>
        <w:rPr>
          <w:spacing w:val="-5"/>
        </w:rPr>
        <w:t> </w:t>
      </w:r>
      <w:r>
        <w:rPr/>
        <w:t>al</w:t>
      </w:r>
      <w:r>
        <w:rPr>
          <w:spacing w:val="-7"/>
        </w:rPr>
        <w:t> </w:t>
      </w:r>
      <w:r>
        <w:rPr/>
        <w:t>fraccionador</w:t>
      </w:r>
      <w:r>
        <w:rPr>
          <w:spacing w:val="-4"/>
        </w:rPr>
        <w:t> </w:t>
      </w:r>
      <w:r>
        <w:rPr/>
        <w:t>o</w:t>
      </w:r>
      <w:r>
        <w:rPr>
          <w:spacing w:val="-5"/>
        </w:rPr>
        <w:t> </w:t>
      </w:r>
      <w:r>
        <w:rPr/>
        <w:t>promotor,</w:t>
      </w:r>
      <w:r>
        <w:rPr>
          <w:spacing w:val="-5"/>
        </w:rPr>
        <w:t> </w:t>
      </w:r>
      <w:r>
        <w:rPr/>
        <w:t>para</w:t>
      </w:r>
      <w:r>
        <w:rPr>
          <w:spacing w:val="-5"/>
        </w:rPr>
        <w:t> </w:t>
      </w:r>
      <w:r>
        <w:rPr/>
        <w:t>que</w:t>
      </w:r>
      <w:r>
        <w:rPr>
          <w:spacing w:val="-5"/>
        </w:rPr>
        <w:t> </w:t>
      </w:r>
      <w:r>
        <w:rPr/>
        <w:t>alegue</w:t>
      </w:r>
      <w:r>
        <w:rPr>
          <w:spacing w:val="-5"/>
        </w:rPr>
        <w:t> </w:t>
      </w:r>
      <w:r>
        <w:rPr/>
        <w:t>lo</w:t>
      </w:r>
      <w:r>
        <w:rPr>
          <w:spacing w:val="-5"/>
        </w:rPr>
        <w:t> </w:t>
      </w:r>
      <w:r>
        <w:rPr/>
        <w:t>que</w:t>
      </w:r>
      <w:r>
        <w:rPr>
          <w:spacing w:val="-5"/>
        </w:rPr>
        <w:t> </w:t>
      </w:r>
      <w:r>
        <w:rPr/>
        <w:t>a su derecho convenga.</w:t>
      </w:r>
    </w:p>
    <w:p>
      <w:pPr>
        <w:pStyle w:val="BodyText"/>
      </w:pPr>
    </w:p>
    <w:p>
      <w:pPr>
        <w:pStyle w:val="BodyText"/>
      </w:pPr>
    </w:p>
    <w:p>
      <w:pPr>
        <w:pStyle w:val="Heading2"/>
        <w:ind w:right="15"/>
      </w:pPr>
      <w:r>
        <w:rPr/>
        <w:t>Capítulo</w:t>
      </w:r>
      <w:r>
        <w:rPr>
          <w:spacing w:val="-8"/>
        </w:rPr>
        <w:t> </w:t>
      </w:r>
      <w:r>
        <w:rPr>
          <w:spacing w:val="-5"/>
        </w:rPr>
        <w:t>IV</w:t>
      </w:r>
    </w:p>
    <w:p>
      <w:pPr>
        <w:pStyle w:val="BodyText"/>
        <w:rPr>
          <w:rFonts w:ascii="Arial"/>
          <w:b/>
        </w:rPr>
      </w:pPr>
    </w:p>
    <w:p>
      <w:pPr>
        <w:spacing w:before="1"/>
        <w:ind w:left="0" w:right="22"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Mesa</w:t>
      </w:r>
      <w:r>
        <w:rPr>
          <w:rFonts w:ascii="Arial"/>
          <w:b/>
          <w:spacing w:val="-6"/>
          <w:sz w:val="20"/>
        </w:rPr>
        <w:t> </w:t>
      </w:r>
      <w:r>
        <w:rPr>
          <w:rFonts w:ascii="Arial"/>
          <w:b/>
          <w:sz w:val="20"/>
        </w:rPr>
        <w:t>Colegiada</w:t>
      </w:r>
      <w:r>
        <w:rPr>
          <w:rFonts w:ascii="Arial"/>
          <w:b/>
          <w:spacing w:val="-6"/>
          <w:sz w:val="20"/>
        </w:rPr>
        <w:t> </w:t>
      </w:r>
      <w:r>
        <w:rPr>
          <w:rFonts w:ascii="Arial"/>
          <w:b/>
          <w:sz w:val="20"/>
        </w:rPr>
        <w:t>o</w:t>
      </w:r>
      <w:r>
        <w:rPr>
          <w:rFonts w:ascii="Arial"/>
          <w:b/>
          <w:spacing w:val="-4"/>
          <w:sz w:val="20"/>
        </w:rPr>
        <w:t> </w:t>
      </w:r>
      <w:r>
        <w:rPr>
          <w:rFonts w:ascii="Arial"/>
          <w:b/>
          <w:sz w:val="20"/>
        </w:rPr>
        <w:t>su</w:t>
      </w:r>
      <w:r>
        <w:rPr>
          <w:rFonts w:ascii="Arial"/>
          <w:b/>
          <w:spacing w:val="-5"/>
          <w:sz w:val="20"/>
        </w:rPr>
        <w:t> </w:t>
      </w:r>
      <w:r>
        <w:rPr>
          <w:rFonts w:ascii="Arial"/>
          <w:b/>
          <w:sz w:val="20"/>
        </w:rPr>
        <w:t>Equivalente</w:t>
      </w:r>
      <w:r>
        <w:rPr>
          <w:rFonts w:ascii="Arial"/>
          <w:b/>
          <w:spacing w:val="-7"/>
          <w:sz w:val="20"/>
        </w:rPr>
        <w:t> </w:t>
      </w:r>
      <w:r>
        <w:rPr>
          <w:rFonts w:ascii="Arial"/>
          <w:b/>
          <w:sz w:val="20"/>
        </w:rPr>
        <w:t>en</w:t>
      </w:r>
      <w:r>
        <w:rPr>
          <w:rFonts w:ascii="Arial"/>
          <w:b/>
          <w:spacing w:val="-3"/>
          <w:sz w:val="20"/>
        </w:rPr>
        <w:t> </w:t>
      </w:r>
      <w:r>
        <w:rPr>
          <w:rFonts w:ascii="Arial"/>
          <w:b/>
          <w:sz w:val="20"/>
        </w:rPr>
        <w:t>los</w:t>
      </w:r>
      <w:r>
        <w:rPr>
          <w:rFonts w:ascii="Arial"/>
          <w:b/>
          <w:spacing w:val="-6"/>
          <w:sz w:val="20"/>
        </w:rPr>
        <w:t> </w:t>
      </w:r>
      <w:r>
        <w:rPr>
          <w:rFonts w:ascii="Arial"/>
          <w:b/>
          <w:spacing w:val="-2"/>
          <w:sz w:val="20"/>
        </w:rPr>
        <w:t>Municipios</w:t>
      </w:r>
    </w:p>
    <w:p>
      <w:pPr>
        <w:pStyle w:val="BodyText"/>
        <w:rPr>
          <w:rFonts w:ascii="Arial"/>
          <w:b/>
        </w:rPr>
      </w:pPr>
    </w:p>
    <w:p>
      <w:pPr>
        <w:pStyle w:val="BodyText"/>
        <w:ind w:left="262" w:right="285"/>
        <w:jc w:val="both"/>
      </w:pPr>
      <w:r>
        <w:rPr>
          <w:rFonts w:ascii="Arial" w:hAnsi="Arial"/>
          <w:b/>
        </w:rPr>
        <w:t>ARTÍCULO 427. </w:t>
      </w:r>
      <w:r>
        <w:rPr/>
        <w:t>La mesa colegiada o su equivalente, es un grupo de revisión de proyectos de fraccionamientos, condominios y desarrollos inmobiliarios especiales o su equivalente que deberá constituirse en cada Municipio; se integrará por un representante de:</w:t>
      </w:r>
    </w:p>
    <w:p>
      <w:pPr>
        <w:pStyle w:val="BodyText"/>
      </w:pPr>
    </w:p>
    <w:p>
      <w:pPr>
        <w:pStyle w:val="ListParagraph"/>
        <w:numPr>
          <w:ilvl w:val="0"/>
          <w:numId w:val="137"/>
        </w:numPr>
        <w:tabs>
          <w:tab w:pos="543" w:val="left" w:leader="none"/>
        </w:tabs>
        <w:spacing w:line="240" w:lineRule="auto" w:before="0" w:after="0"/>
        <w:ind w:left="543" w:right="0" w:hanging="281"/>
        <w:jc w:val="left"/>
        <w:rPr>
          <w:sz w:val="20"/>
        </w:rPr>
      </w:pPr>
      <w:r>
        <w:rPr>
          <w:sz w:val="20"/>
        </w:rPr>
        <w:t>La</w:t>
      </w:r>
      <w:r>
        <w:rPr>
          <w:spacing w:val="-10"/>
          <w:sz w:val="20"/>
        </w:rPr>
        <w:t> </w:t>
      </w:r>
      <w:r>
        <w:rPr>
          <w:sz w:val="20"/>
        </w:rPr>
        <w:t>Dirección</w:t>
      </w:r>
      <w:r>
        <w:rPr>
          <w:spacing w:val="-7"/>
          <w:sz w:val="20"/>
        </w:rPr>
        <w:t> </w:t>
      </w:r>
      <w:r>
        <w:rPr>
          <w:sz w:val="20"/>
        </w:rPr>
        <w:t>Municipal</w:t>
      </w:r>
      <w:r>
        <w:rPr>
          <w:spacing w:val="-8"/>
          <w:sz w:val="20"/>
        </w:rPr>
        <w:t> </w:t>
      </w:r>
      <w:r>
        <w:rPr>
          <w:sz w:val="20"/>
        </w:rPr>
        <w:t>del</w:t>
      </w:r>
      <w:r>
        <w:rPr>
          <w:spacing w:val="-7"/>
          <w:sz w:val="20"/>
        </w:rPr>
        <w:t> </w:t>
      </w:r>
      <w:r>
        <w:rPr>
          <w:sz w:val="20"/>
        </w:rPr>
        <w:t>Ayuntamiento</w:t>
      </w:r>
      <w:r>
        <w:rPr>
          <w:spacing w:val="-8"/>
          <w:sz w:val="20"/>
        </w:rPr>
        <w:t> </w:t>
      </w:r>
      <w:r>
        <w:rPr>
          <w:sz w:val="20"/>
        </w:rPr>
        <w:t>respectivo,</w:t>
      </w:r>
      <w:r>
        <w:rPr>
          <w:spacing w:val="-9"/>
          <w:sz w:val="20"/>
        </w:rPr>
        <w:t> </w:t>
      </w:r>
      <w:r>
        <w:rPr>
          <w:sz w:val="20"/>
        </w:rPr>
        <w:t>quien</w:t>
      </w:r>
      <w:r>
        <w:rPr>
          <w:spacing w:val="-8"/>
          <w:sz w:val="20"/>
        </w:rPr>
        <w:t> </w:t>
      </w:r>
      <w:r>
        <w:rPr>
          <w:sz w:val="20"/>
        </w:rPr>
        <w:t>la</w:t>
      </w:r>
      <w:r>
        <w:rPr>
          <w:spacing w:val="-9"/>
          <w:sz w:val="20"/>
        </w:rPr>
        <w:t> </w:t>
      </w:r>
      <w:r>
        <w:rPr>
          <w:spacing w:val="-2"/>
          <w:sz w:val="20"/>
        </w:rPr>
        <w:t>coordinará;</w:t>
      </w:r>
    </w:p>
    <w:p>
      <w:pPr>
        <w:pStyle w:val="ListParagraph"/>
        <w:numPr>
          <w:ilvl w:val="0"/>
          <w:numId w:val="137"/>
        </w:numPr>
        <w:tabs>
          <w:tab w:pos="543" w:val="left" w:leader="none"/>
        </w:tabs>
        <w:spacing w:line="240" w:lineRule="auto" w:before="228" w:after="0"/>
        <w:ind w:left="543" w:right="0" w:hanging="281"/>
        <w:jc w:val="left"/>
        <w:rPr>
          <w:sz w:val="20"/>
        </w:rPr>
      </w:pPr>
      <w:r>
        <w:rPr>
          <w:sz w:val="20"/>
        </w:rPr>
        <w:t>La</w:t>
      </w:r>
      <w:r>
        <w:rPr>
          <w:spacing w:val="-8"/>
          <w:sz w:val="20"/>
        </w:rPr>
        <w:t> </w:t>
      </w:r>
      <w:r>
        <w:rPr>
          <w:sz w:val="20"/>
        </w:rPr>
        <w:t>dependencia</w:t>
      </w:r>
      <w:r>
        <w:rPr>
          <w:spacing w:val="-5"/>
          <w:sz w:val="20"/>
        </w:rPr>
        <w:t> </w:t>
      </w:r>
      <w:r>
        <w:rPr>
          <w:sz w:val="20"/>
        </w:rPr>
        <w:t>de</w:t>
      </w:r>
      <w:r>
        <w:rPr>
          <w:spacing w:val="-6"/>
          <w:sz w:val="20"/>
        </w:rPr>
        <w:t> </w:t>
      </w:r>
      <w:r>
        <w:rPr>
          <w:sz w:val="20"/>
        </w:rPr>
        <w:t>ingeniería</w:t>
      </w:r>
      <w:r>
        <w:rPr>
          <w:spacing w:val="-8"/>
          <w:sz w:val="20"/>
        </w:rPr>
        <w:t> </w:t>
      </w:r>
      <w:r>
        <w:rPr>
          <w:sz w:val="20"/>
        </w:rPr>
        <w:t>de</w:t>
      </w:r>
      <w:r>
        <w:rPr>
          <w:spacing w:val="-8"/>
          <w:sz w:val="20"/>
        </w:rPr>
        <w:t> </w:t>
      </w:r>
      <w:r>
        <w:rPr>
          <w:sz w:val="20"/>
        </w:rPr>
        <w:t>tránsito</w:t>
      </w:r>
      <w:r>
        <w:rPr>
          <w:spacing w:val="-7"/>
          <w:sz w:val="20"/>
        </w:rPr>
        <w:t> </w:t>
      </w:r>
      <w:r>
        <w:rPr>
          <w:sz w:val="20"/>
        </w:rPr>
        <w:t>municipal</w:t>
      </w:r>
      <w:r>
        <w:rPr>
          <w:spacing w:val="-8"/>
          <w:sz w:val="20"/>
        </w:rPr>
        <w:t> </w:t>
      </w:r>
      <w:r>
        <w:rPr>
          <w:sz w:val="20"/>
        </w:rPr>
        <w:t>o</w:t>
      </w:r>
      <w:r>
        <w:rPr>
          <w:spacing w:val="-8"/>
          <w:sz w:val="20"/>
        </w:rPr>
        <w:t> </w:t>
      </w:r>
      <w:r>
        <w:rPr>
          <w:sz w:val="20"/>
        </w:rPr>
        <w:t>su</w:t>
      </w:r>
      <w:r>
        <w:rPr>
          <w:spacing w:val="-7"/>
          <w:sz w:val="20"/>
        </w:rPr>
        <w:t> </w:t>
      </w:r>
      <w:r>
        <w:rPr>
          <w:spacing w:val="-2"/>
          <w:sz w:val="20"/>
        </w:rPr>
        <w:t>equivalente;</w:t>
      </w:r>
    </w:p>
    <w:p>
      <w:pPr>
        <w:pStyle w:val="BodyText"/>
        <w:spacing w:before="1"/>
      </w:pPr>
    </w:p>
    <w:p>
      <w:pPr>
        <w:pStyle w:val="ListParagraph"/>
        <w:numPr>
          <w:ilvl w:val="0"/>
          <w:numId w:val="137"/>
        </w:numPr>
        <w:tabs>
          <w:tab w:pos="597" w:val="left" w:leader="none"/>
        </w:tabs>
        <w:spacing w:line="240" w:lineRule="auto" w:before="0" w:after="0"/>
        <w:ind w:left="597" w:right="0" w:hanging="335"/>
        <w:jc w:val="left"/>
        <w:rPr>
          <w:sz w:val="20"/>
        </w:rPr>
      </w:pPr>
      <w:r>
        <w:rPr>
          <w:sz w:val="20"/>
        </w:rPr>
        <w:t>El</w:t>
      </w:r>
      <w:r>
        <w:rPr>
          <w:spacing w:val="45"/>
          <w:sz w:val="20"/>
        </w:rPr>
        <w:t> </w:t>
      </w:r>
      <w:r>
        <w:rPr>
          <w:sz w:val="20"/>
        </w:rPr>
        <w:t>organismo</w:t>
      </w:r>
      <w:r>
        <w:rPr>
          <w:spacing w:val="-6"/>
          <w:sz w:val="20"/>
        </w:rPr>
        <w:t> </w:t>
      </w:r>
      <w:r>
        <w:rPr>
          <w:sz w:val="20"/>
        </w:rPr>
        <w:t>operador</w:t>
      </w:r>
      <w:r>
        <w:rPr>
          <w:spacing w:val="-6"/>
          <w:sz w:val="20"/>
        </w:rPr>
        <w:t> </w:t>
      </w:r>
      <w:r>
        <w:rPr>
          <w:sz w:val="20"/>
        </w:rPr>
        <w:t>de</w:t>
      </w:r>
      <w:r>
        <w:rPr>
          <w:spacing w:val="-4"/>
          <w:sz w:val="20"/>
        </w:rPr>
        <w:t> </w:t>
      </w:r>
      <w:r>
        <w:rPr>
          <w:sz w:val="20"/>
        </w:rPr>
        <w:t>agua</w:t>
      </w:r>
      <w:r>
        <w:rPr>
          <w:spacing w:val="-6"/>
          <w:sz w:val="20"/>
        </w:rPr>
        <w:t> </w:t>
      </w:r>
      <w:r>
        <w:rPr>
          <w:sz w:val="20"/>
        </w:rPr>
        <w:t>potable</w:t>
      </w:r>
      <w:r>
        <w:rPr>
          <w:spacing w:val="-4"/>
          <w:sz w:val="20"/>
        </w:rPr>
        <w:t> </w:t>
      </w:r>
      <w:r>
        <w:rPr>
          <w:sz w:val="20"/>
        </w:rPr>
        <w:t>o</w:t>
      </w:r>
      <w:r>
        <w:rPr>
          <w:spacing w:val="-7"/>
          <w:sz w:val="20"/>
        </w:rPr>
        <w:t> </w:t>
      </w:r>
      <w:r>
        <w:rPr>
          <w:sz w:val="20"/>
        </w:rPr>
        <w:t>su</w:t>
      </w:r>
      <w:r>
        <w:rPr>
          <w:spacing w:val="-6"/>
          <w:sz w:val="20"/>
        </w:rPr>
        <w:t> </w:t>
      </w:r>
      <w:r>
        <w:rPr>
          <w:spacing w:val="-2"/>
          <w:sz w:val="20"/>
        </w:rPr>
        <w:t>equivalente;</w:t>
      </w:r>
    </w:p>
    <w:p>
      <w:pPr>
        <w:pStyle w:val="BodyText"/>
        <w:spacing w:before="1"/>
      </w:pPr>
    </w:p>
    <w:p>
      <w:pPr>
        <w:pStyle w:val="ListParagraph"/>
        <w:numPr>
          <w:ilvl w:val="0"/>
          <w:numId w:val="137"/>
        </w:numPr>
        <w:tabs>
          <w:tab w:pos="545" w:val="left" w:leader="none"/>
        </w:tabs>
        <w:spacing w:line="240" w:lineRule="auto" w:before="0" w:after="0"/>
        <w:ind w:left="545" w:right="0" w:hanging="283"/>
        <w:jc w:val="left"/>
        <w:rPr>
          <w:sz w:val="20"/>
        </w:rPr>
      </w:pPr>
      <w:r>
        <w:rPr>
          <w:sz w:val="20"/>
        </w:rPr>
        <w:t>La</w:t>
      </w:r>
      <w:r>
        <w:rPr>
          <w:spacing w:val="-9"/>
          <w:sz w:val="20"/>
        </w:rPr>
        <w:t> </w:t>
      </w:r>
      <w:r>
        <w:rPr>
          <w:sz w:val="20"/>
        </w:rPr>
        <w:t>dependencia</w:t>
      </w:r>
      <w:r>
        <w:rPr>
          <w:spacing w:val="-6"/>
          <w:sz w:val="20"/>
        </w:rPr>
        <w:t> </w:t>
      </w:r>
      <w:r>
        <w:rPr>
          <w:sz w:val="20"/>
        </w:rPr>
        <w:t>de</w:t>
      </w:r>
      <w:r>
        <w:rPr>
          <w:spacing w:val="-9"/>
          <w:sz w:val="20"/>
        </w:rPr>
        <w:t> </w:t>
      </w:r>
      <w:r>
        <w:rPr>
          <w:sz w:val="20"/>
        </w:rPr>
        <w:t>servicios</w:t>
      </w:r>
      <w:r>
        <w:rPr>
          <w:spacing w:val="-7"/>
          <w:sz w:val="20"/>
        </w:rPr>
        <w:t> </w:t>
      </w:r>
      <w:r>
        <w:rPr>
          <w:sz w:val="20"/>
        </w:rPr>
        <w:t>públicos</w:t>
      </w:r>
      <w:r>
        <w:rPr>
          <w:spacing w:val="-7"/>
          <w:sz w:val="20"/>
        </w:rPr>
        <w:t> </w:t>
      </w:r>
      <w:r>
        <w:rPr>
          <w:sz w:val="20"/>
        </w:rPr>
        <w:t>municipales</w:t>
      </w:r>
      <w:r>
        <w:rPr>
          <w:spacing w:val="-7"/>
          <w:sz w:val="20"/>
        </w:rPr>
        <w:t> </w:t>
      </w:r>
      <w:r>
        <w:rPr>
          <w:sz w:val="20"/>
        </w:rPr>
        <w:t>o</w:t>
      </w:r>
      <w:r>
        <w:rPr>
          <w:spacing w:val="-8"/>
          <w:sz w:val="20"/>
        </w:rPr>
        <w:t> </w:t>
      </w:r>
      <w:r>
        <w:rPr>
          <w:sz w:val="20"/>
        </w:rPr>
        <w:t>su</w:t>
      </w:r>
      <w:r>
        <w:rPr>
          <w:spacing w:val="-6"/>
          <w:sz w:val="20"/>
        </w:rPr>
        <w:t> </w:t>
      </w:r>
      <w:r>
        <w:rPr>
          <w:spacing w:val="-2"/>
          <w:sz w:val="20"/>
        </w:rPr>
        <w:t>equivalente;</w:t>
      </w:r>
    </w:p>
    <w:p>
      <w:pPr>
        <w:pStyle w:val="ListParagraph"/>
        <w:numPr>
          <w:ilvl w:val="0"/>
          <w:numId w:val="137"/>
        </w:numPr>
        <w:tabs>
          <w:tab w:pos="544" w:val="left" w:leader="none"/>
        </w:tabs>
        <w:spacing w:line="240" w:lineRule="auto" w:before="229" w:after="0"/>
        <w:ind w:left="544" w:right="0" w:hanging="282"/>
        <w:jc w:val="left"/>
        <w:rPr>
          <w:sz w:val="20"/>
        </w:rPr>
      </w:pPr>
      <w:r>
        <w:rPr>
          <w:sz w:val="20"/>
        </w:rPr>
        <w:t>El</w:t>
      </w:r>
      <w:r>
        <w:rPr>
          <w:spacing w:val="-7"/>
          <w:sz w:val="20"/>
        </w:rPr>
        <w:t> </w:t>
      </w:r>
      <w:r>
        <w:rPr>
          <w:sz w:val="20"/>
        </w:rPr>
        <w:t>área</w:t>
      </w:r>
      <w:r>
        <w:rPr>
          <w:spacing w:val="-5"/>
          <w:sz w:val="20"/>
        </w:rPr>
        <w:t> </w:t>
      </w:r>
      <w:r>
        <w:rPr>
          <w:sz w:val="20"/>
        </w:rPr>
        <w:t>encargada</w:t>
      </w:r>
      <w:r>
        <w:rPr>
          <w:spacing w:val="-6"/>
          <w:sz w:val="20"/>
        </w:rPr>
        <w:t> </w:t>
      </w:r>
      <w:r>
        <w:rPr>
          <w:sz w:val="20"/>
        </w:rPr>
        <w:t>de</w:t>
      </w:r>
      <w:r>
        <w:rPr>
          <w:spacing w:val="-8"/>
          <w:sz w:val="20"/>
        </w:rPr>
        <w:t> </w:t>
      </w:r>
      <w:r>
        <w:rPr>
          <w:sz w:val="20"/>
        </w:rPr>
        <w:t>ecología</w:t>
      </w:r>
      <w:r>
        <w:rPr>
          <w:spacing w:val="-8"/>
          <w:sz w:val="20"/>
        </w:rPr>
        <w:t> </w:t>
      </w:r>
      <w:r>
        <w:rPr>
          <w:sz w:val="20"/>
        </w:rPr>
        <w:t>y</w:t>
      </w:r>
      <w:r>
        <w:rPr>
          <w:spacing w:val="-6"/>
          <w:sz w:val="20"/>
        </w:rPr>
        <w:t> </w:t>
      </w:r>
      <w:r>
        <w:rPr>
          <w:sz w:val="20"/>
        </w:rPr>
        <w:t>medio</w:t>
      </w:r>
      <w:r>
        <w:rPr>
          <w:spacing w:val="-7"/>
          <w:sz w:val="20"/>
        </w:rPr>
        <w:t> </w:t>
      </w:r>
      <w:r>
        <w:rPr>
          <w:spacing w:val="-2"/>
          <w:sz w:val="20"/>
        </w:rPr>
        <w:t>ambiente;</w:t>
      </w:r>
    </w:p>
    <w:p>
      <w:pPr>
        <w:pStyle w:val="BodyText"/>
      </w:pPr>
    </w:p>
    <w:p>
      <w:pPr>
        <w:pStyle w:val="ListParagraph"/>
        <w:numPr>
          <w:ilvl w:val="0"/>
          <w:numId w:val="137"/>
        </w:numPr>
        <w:tabs>
          <w:tab w:pos="544" w:val="left" w:leader="none"/>
        </w:tabs>
        <w:spacing w:line="240" w:lineRule="auto" w:before="0" w:after="0"/>
        <w:ind w:left="544" w:right="0" w:hanging="282"/>
        <w:jc w:val="left"/>
        <w:rPr>
          <w:sz w:val="20"/>
        </w:rPr>
      </w:pPr>
      <w:r>
        <w:rPr>
          <w:sz w:val="20"/>
        </w:rPr>
        <w:t>La</w:t>
      </w:r>
      <w:r>
        <w:rPr>
          <w:spacing w:val="-8"/>
          <w:sz w:val="20"/>
        </w:rPr>
        <w:t> </w:t>
      </w:r>
      <w:r>
        <w:rPr>
          <w:sz w:val="20"/>
        </w:rPr>
        <w:t>Unidad</w:t>
      </w:r>
      <w:r>
        <w:rPr>
          <w:spacing w:val="-7"/>
          <w:sz w:val="20"/>
        </w:rPr>
        <w:t> </w:t>
      </w:r>
      <w:r>
        <w:rPr>
          <w:sz w:val="20"/>
        </w:rPr>
        <w:t>de</w:t>
      </w:r>
      <w:r>
        <w:rPr>
          <w:spacing w:val="-4"/>
          <w:sz w:val="20"/>
        </w:rPr>
        <w:t> </w:t>
      </w:r>
      <w:r>
        <w:rPr>
          <w:sz w:val="20"/>
        </w:rPr>
        <w:t>Protección</w:t>
      </w:r>
      <w:r>
        <w:rPr>
          <w:spacing w:val="-6"/>
          <w:sz w:val="20"/>
        </w:rPr>
        <w:t> </w:t>
      </w:r>
      <w:r>
        <w:rPr>
          <w:sz w:val="20"/>
        </w:rPr>
        <w:t>Civil</w:t>
      </w:r>
      <w:r>
        <w:rPr>
          <w:spacing w:val="-7"/>
          <w:sz w:val="20"/>
        </w:rPr>
        <w:t> </w:t>
      </w:r>
      <w:r>
        <w:rPr>
          <w:sz w:val="20"/>
        </w:rPr>
        <w:t>municipal</w:t>
      </w:r>
      <w:r>
        <w:rPr>
          <w:spacing w:val="-8"/>
          <w:sz w:val="20"/>
        </w:rPr>
        <w:t> </w:t>
      </w:r>
      <w:r>
        <w:rPr>
          <w:sz w:val="20"/>
        </w:rPr>
        <w:t>o</w:t>
      </w:r>
      <w:r>
        <w:rPr>
          <w:spacing w:val="-4"/>
          <w:sz w:val="20"/>
        </w:rPr>
        <w:t> </w:t>
      </w:r>
      <w:r>
        <w:rPr>
          <w:sz w:val="20"/>
        </w:rPr>
        <w:t>su</w:t>
      </w:r>
      <w:r>
        <w:rPr>
          <w:spacing w:val="-6"/>
          <w:sz w:val="20"/>
        </w:rPr>
        <w:t> </w:t>
      </w:r>
      <w:r>
        <w:rPr>
          <w:spacing w:val="-2"/>
          <w:sz w:val="20"/>
        </w:rPr>
        <w:t>equivalente;</w:t>
      </w:r>
    </w:p>
    <w:p>
      <w:pPr>
        <w:pStyle w:val="BodyText"/>
        <w:spacing w:before="1"/>
      </w:pPr>
    </w:p>
    <w:p>
      <w:pPr>
        <w:pStyle w:val="ListParagraph"/>
        <w:numPr>
          <w:ilvl w:val="0"/>
          <w:numId w:val="137"/>
        </w:numPr>
        <w:tabs>
          <w:tab w:pos="688" w:val="left" w:leader="none"/>
        </w:tabs>
        <w:spacing w:line="240" w:lineRule="auto" w:before="0" w:after="0"/>
        <w:ind w:left="688" w:right="0" w:hanging="426"/>
        <w:jc w:val="left"/>
        <w:rPr>
          <w:sz w:val="20"/>
        </w:rPr>
      </w:pPr>
      <w:r>
        <w:rPr>
          <w:sz w:val="20"/>
        </w:rPr>
        <w:t>El</w:t>
      </w:r>
      <w:r>
        <w:rPr>
          <w:spacing w:val="-9"/>
          <w:sz w:val="20"/>
        </w:rPr>
        <w:t> </w:t>
      </w:r>
      <w:r>
        <w:rPr>
          <w:sz w:val="20"/>
        </w:rPr>
        <w:t>Instituto</w:t>
      </w:r>
      <w:r>
        <w:rPr>
          <w:spacing w:val="-6"/>
          <w:sz w:val="20"/>
        </w:rPr>
        <w:t> </w:t>
      </w:r>
      <w:r>
        <w:rPr>
          <w:sz w:val="20"/>
        </w:rPr>
        <w:t>Municipal</w:t>
      </w:r>
      <w:r>
        <w:rPr>
          <w:spacing w:val="-7"/>
          <w:sz w:val="20"/>
        </w:rPr>
        <w:t> </w:t>
      </w:r>
      <w:r>
        <w:rPr>
          <w:sz w:val="20"/>
        </w:rPr>
        <w:t>de</w:t>
      </w:r>
      <w:r>
        <w:rPr>
          <w:spacing w:val="-6"/>
          <w:sz w:val="20"/>
        </w:rPr>
        <w:t> </w:t>
      </w:r>
      <w:r>
        <w:rPr>
          <w:sz w:val="20"/>
        </w:rPr>
        <w:t>Planeación</w:t>
      </w:r>
      <w:r>
        <w:rPr>
          <w:spacing w:val="-6"/>
          <w:sz w:val="20"/>
        </w:rPr>
        <w:t> </w:t>
      </w:r>
      <w:r>
        <w:rPr>
          <w:sz w:val="20"/>
        </w:rPr>
        <w:t>o</w:t>
      </w:r>
      <w:r>
        <w:rPr>
          <w:spacing w:val="-8"/>
          <w:sz w:val="20"/>
        </w:rPr>
        <w:t> </w:t>
      </w:r>
      <w:r>
        <w:rPr>
          <w:sz w:val="20"/>
        </w:rPr>
        <w:t>su</w:t>
      </w:r>
      <w:r>
        <w:rPr>
          <w:spacing w:val="-7"/>
          <w:sz w:val="20"/>
        </w:rPr>
        <w:t> </w:t>
      </w:r>
      <w:r>
        <w:rPr>
          <w:spacing w:val="-2"/>
          <w:sz w:val="20"/>
        </w:rPr>
        <w:t>equivalente;</w:t>
      </w:r>
    </w:p>
    <w:p>
      <w:pPr>
        <w:spacing w:before="229"/>
        <w:ind w:left="262" w:right="0" w:firstLine="0"/>
        <w:jc w:val="both"/>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ABRIL</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0"/>
          <w:numId w:val="137"/>
        </w:numPr>
        <w:tabs>
          <w:tab w:pos="688" w:val="left" w:leader="none"/>
        </w:tabs>
        <w:spacing w:line="240" w:lineRule="auto" w:before="0" w:after="0"/>
        <w:ind w:left="688" w:right="0" w:hanging="426"/>
        <w:jc w:val="left"/>
        <w:rPr>
          <w:sz w:val="20"/>
        </w:rPr>
      </w:pPr>
      <w:r>
        <w:rPr>
          <w:sz w:val="20"/>
        </w:rPr>
        <w:t>El</w:t>
      </w:r>
      <w:r>
        <w:rPr>
          <w:spacing w:val="46"/>
          <w:sz w:val="20"/>
        </w:rPr>
        <w:t> </w:t>
      </w:r>
      <w:r>
        <w:rPr>
          <w:sz w:val="20"/>
        </w:rPr>
        <w:t>H.</w:t>
      </w:r>
      <w:r>
        <w:rPr>
          <w:spacing w:val="-5"/>
          <w:sz w:val="20"/>
        </w:rPr>
        <w:t> </w:t>
      </w:r>
      <w:r>
        <w:rPr>
          <w:sz w:val="20"/>
        </w:rPr>
        <w:t>Cuerpo</w:t>
      </w:r>
      <w:r>
        <w:rPr>
          <w:spacing w:val="-3"/>
          <w:sz w:val="20"/>
        </w:rPr>
        <w:t> </w:t>
      </w:r>
      <w:r>
        <w:rPr>
          <w:sz w:val="20"/>
        </w:rPr>
        <w:t>de</w:t>
      </w:r>
      <w:r>
        <w:rPr>
          <w:spacing w:val="-5"/>
          <w:sz w:val="20"/>
        </w:rPr>
        <w:t> </w:t>
      </w:r>
      <w:r>
        <w:rPr>
          <w:sz w:val="20"/>
        </w:rPr>
        <w:t>Bomberos,</w:t>
      </w:r>
      <w:r>
        <w:rPr>
          <w:spacing w:val="-5"/>
          <w:sz w:val="20"/>
        </w:rPr>
        <w:t> </w:t>
      </w:r>
      <w:r>
        <w:rPr>
          <w:spacing w:val="-10"/>
          <w:sz w:val="20"/>
        </w:rPr>
        <w:t>y</w:t>
      </w:r>
    </w:p>
    <w:p>
      <w:pPr>
        <w:pStyle w:val="BodyText"/>
        <w:spacing w:before="1"/>
      </w:pPr>
    </w:p>
    <w:p>
      <w:pPr>
        <w:pStyle w:val="ListParagraph"/>
        <w:numPr>
          <w:ilvl w:val="0"/>
          <w:numId w:val="137"/>
        </w:numPr>
        <w:tabs>
          <w:tab w:pos="688" w:val="left" w:leader="none"/>
        </w:tabs>
        <w:spacing w:line="240" w:lineRule="auto" w:before="0" w:after="0"/>
        <w:ind w:left="262" w:right="281" w:firstLine="0"/>
        <w:jc w:val="both"/>
        <w:rPr>
          <w:sz w:val="20"/>
        </w:rPr>
      </w:pPr>
      <w:r>
        <w:rPr>
          <w:sz w:val="20"/>
        </w:rPr>
        <w:t>Del fraccionador a través de la Cámara Mexicana de la Industria y la Construcción (CMIC) y/o la Cámara Nacional de la Industria de Desarrollo y Promoción de Vivienda (CANADEVI), quien fungirá</w:t>
      </w:r>
      <w:r>
        <w:rPr>
          <w:spacing w:val="-4"/>
          <w:sz w:val="20"/>
        </w:rPr>
        <w:t> </w:t>
      </w:r>
      <w:r>
        <w:rPr>
          <w:sz w:val="20"/>
        </w:rPr>
        <w:t>como</w:t>
      </w:r>
      <w:r>
        <w:rPr>
          <w:spacing w:val="-3"/>
          <w:sz w:val="20"/>
        </w:rPr>
        <w:t> </w:t>
      </w:r>
      <w:r>
        <w:rPr>
          <w:sz w:val="20"/>
        </w:rPr>
        <w:t>testigo</w:t>
      </w:r>
      <w:r>
        <w:rPr>
          <w:spacing w:val="-3"/>
          <w:sz w:val="20"/>
        </w:rPr>
        <w:t> </w:t>
      </w:r>
      <w:r>
        <w:rPr>
          <w:sz w:val="20"/>
        </w:rPr>
        <w:t>de</w:t>
      </w:r>
      <w:r>
        <w:rPr>
          <w:spacing w:val="-3"/>
          <w:sz w:val="20"/>
        </w:rPr>
        <w:t> </w:t>
      </w:r>
      <w:r>
        <w:rPr>
          <w:sz w:val="20"/>
        </w:rPr>
        <w:t>la</w:t>
      </w:r>
      <w:r>
        <w:rPr>
          <w:spacing w:val="-3"/>
          <w:sz w:val="20"/>
        </w:rPr>
        <w:t> </w:t>
      </w:r>
      <w:r>
        <w:rPr>
          <w:sz w:val="20"/>
        </w:rPr>
        <w:t>transparencia</w:t>
      </w:r>
      <w:r>
        <w:rPr>
          <w:spacing w:val="-4"/>
          <w:sz w:val="20"/>
        </w:rPr>
        <w:t> </w:t>
      </w:r>
      <w:r>
        <w:rPr>
          <w:sz w:val="20"/>
        </w:rPr>
        <w:t>y</w:t>
      </w:r>
      <w:r>
        <w:rPr>
          <w:spacing w:val="-2"/>
          <w:sz w:val="20"/>
        </w:rPr>
        <w:t> </w:t>
      </w:r>
      <w:r>
        <w:rPr>
          <w:sz w:val="20"/>
        </w:rPr>
        <w:t>cumplimiento</w:t>
      </w:r>
      <w:r>
        <w:rPr>
          <w:spacing w:val="-4"/>
          <w:sz w:val="20"/>
        </w:rPr>
        <w:t> </w:t>
      </w:r>
      <w:r>
        <w:rPr>
          <w:sz w:val="20"/>
        </w:rPr>
        <w:t>de</w:t>
      </w:r>
      <w:r>
        <w:rPr>
          <w:spacing w:val="-3"/>
          <w:sz w:val="20"/>
        </w:rPr>
        <w:t> </w:t>
      </w:r>
      <w:r>
        <w:rPr>
          <w:sz w:val="20"/>
        </w:rPr>
        <w:t>los</w:t>
      </w:r>
      <w:r>
        <w:rPr>
          <w:spacing w:val="-4"/>
          <w:sz w:val="20"/>
        </w:rPr>
        <w:t> </w:t>
      </w:r>
      <w:r>
        <w:rPr>
          <w:sz w:val="20"/>
        </w:rPr>
        <w:t>términos que</w:t>
      </w:r>
      <w:r>
        <w:rPr>
          <w:spacing w:val="-3"/>
          <w:sz w:val="20"/>
        </w:rPr>
        <w:t> </w:t>
      </w:r>
      <w:r>
        <w:rPr>
          <w:sz w:val="20"/>
        </w:rPr>
        <w:t>establece</w:t>
      </w:r>
      <w:r>
        <w:rPr>
          <w:spacing w:val="-3"/>
          <w:sz w:val="20"/>
        </w:rPr>
        <w:t> </w:t>
      </w:r>
      <w:r>
        <w:rPr>
          <w:sz w:val="20"/>
        </w:rPr>
        <w:t>este</w:t>
      </w:r>
      <w:r>
        <w:rPr>
          <w:spacing w:val="-3"/>
          <w:sz w:val="20"/>
        </w:rPr>
        <w:t> </w:t>
      </w:r>
      <w:r>
        <w:rPr>
          <w:sz w:val="20"/>
        </w:rPr>
        <w:t>Título</w:t>
      </w:r>
      <w:r>
        <w:rPr>
          <w:spacing w:val="-3"/>
          <w:sz w:val="20"/>
        </w:rPr>
        <w:t> </w:t>
      </w:r>
      <w:r>
        <w:rPr>
          <w:sz w:val="20"/>
        </w:rPr>
        <w:t>y contará con voz, pero no con voto.</w:t>
      </w:r>
    </w:p>
    <w:p>
      <w:pPr>
        <w:pStyle w:val="BodyText"/>
      </w:pPr>
    </w:p>
    <w:p>
      <w:pPr>
        <w:pStyle w:val="BodyText"/>
        <w:ind w:left="262" w:right="285"/>
        <w:jc w:val="both"/>
      </w:pPr>
      <w:r>
        <w:rPr/>
        <w:t>Cuando se trate de proyectos en zonas de valor histórico y cultural, la Mesa Colegiada invitará al INHA</w:t>
      </w:r>
      <w:r>
        <w:rPr>
          <w:spacing w:val="-1"/>
        </w:rPr>
        <w:t> </w:t>
      </w:r>
      <w:r>
        <w:rPr/>
        <w:t>o</w:t>
      </w:r>
      <w:r>
        <w:rPr>
          <w:spacing w:val="-1"/>
        </w:rPr>
        <w:t> </w:t>
      </w:r>
      <w:r>
        <w:rPr/>
        <w:t>y en</w:t>
      </w:r>
      <w:r>
        <w:rPr>
          <w:spacing w:val="-1"/>
        </w:rPr>
        <w:t> </w:t>
      </w:r>
      <w:r>
        <w:rPr/>
        <w:t>su</w:t>
      </w:r>
      <w:r>
        <w:rPr>
          <w:spacing w:val="-1"/>
        </w:rPr>
        <w:t> </w:t>
      </w:r>
      <w:r>
        <w:rPr/>
        <w:t>caso</w:t>
      </w:r>
      <w:r>
        <w:rPr>
          <w:spacing w:val="-1"/>
        </w:rPr>
        <w:t> </w:t>
      </w:r>
      <w:r>
        <w:rPr/>
        <w:t>al Consejo</w:t>
      </w:r>
      <w:r>
        <w:rPr>
          <w:spacing w:val="-1"/>
        </w:rPr>
        <w:t> </w:t>
      </w:r>
      <w:r>
        <w:rPr/>
        <w:t>de</w:t>
      </w:r>
      <w:r>
        <w:rPr>
          <w:spacing w:val="-2"/>
        </w:rPr>
        <w:t> </w:t>
      </w:r>
      <w:r>
        <w:rPr/>
        <w:t>Centro</w:t>
      </w:r>
      <w:r>
        <w:rPr>
          <w:spacing w:val="-1"/>
        </w:rPr>
        <w:t> </w:t>
      </w:r>
      <w:r>
        <w:rPr/>
        <w:t>Histórico</w:t>
      </w:r>
      <w:r>
        <w:rPr>
          <w:spacing w:val="-1"/>
        </w:rPr>
        <w:t> </w:t>
      </w:r>
      <w:r>
        <w:rPr/>
        <w:t>respectivo, a</w:t>
      </w:r>
      <w:r>
        <w:rPr>
          <w:spacing w:val="-1"/>
        </w:rPr>
        <w:t> </w:t>
      </w:r>
      <w:r>
        <w:rPr/>
        <w:t>fin</w:t>
      </w:r>
      <w:r>
        <w:rPr>
          <w:spacing w:val="-1"/>
        </w:rPr>
        <w:t> </w:t>
      </w:r>
      <w:r>
        <w:rPr/>
        <w:t>de</w:t>
      </w:r>
      <w:r>
        <w:rPr>
          <w:spacing w:val="-2"/>
        </w:rPr>
        <w:t> </w:t>
      </w:r>
      <w:r>
        <w:rPr/>
        <w:t>que</w:t>
      </w:r>
      <w:r>
        <w:rPr>
          <w:spacing w:val="-2"/>
        </w:rPr>
        <w:t> </w:t>
      </w:r>
      <w:r>
        <w:rPr/>
        <w:t>emita</w:t>
      </w:r>
      <w:r>
        <w:rPr>
          <w:spacing w:val="-1"/>
        </w:rPr>
        <w:t> </w:t>
      </w:r>
      <w:r>
        <w:rPr/>
        <w:t>su</w:t>
      </w:r>
      <w:r>
        <w:rPr>
          <w:spacing w:val="-1"/>
        </w:rPr>
        <w:t> </w:t>
      </w:r>
      <w:r>
        <w:rPr/>
        <w:t>opinión</w:t>
      </w:r>
      <w:r>
        <w:rPr>
          <w:spacing w:val="-2"/>
        </w:rPr>
        <w:t> </w:t>
      </w:r>
      <w:r>
        <w:rPr/>
        <w:t>sobre el mismo; los participantes podrán intervenir en las sesiones con voz, pero sin voto.</w:t>
      </w:r>
    </w:p>
    <w:p>
      <w:pPr>
        <w:pStyle w:val="BodyText"/>
        <w:spacing w:before="230"/>
        <w:ind w:left="262"/>
        <w:jc w:val="both"/>
      </w:pPr>
      <w:r>
        <w:rPr/>
        <w:t>La</w:t>
      </w:r>
      <w:r>
        <w:rPr>
          <w:spacing w:val="-9"/>
        </w:rPr>
        <w:t> </w:t>
      </w:r>
      <w:r>
        <w:rPr/>
        <w:t>mesa</w:t>
      </w:r>
      <w:r>
        <w:rPr>
          <w:spacing w:val="-7"/>
        </w:rPr>
        <w:t> </w:t>
      </w:r>
      <w:r>
        <w:rPr/>
        <w:t>colegiada</w:t>
      </w:r>
      <w:r>
        <w:rPr>
          <w:spacing w:val="-7"/>
        </w:rPr>
        <w:t> </w:t>
      </w:r>
      <w:r>
        <w:rPr/>
        <w:t>contará</w:t>
      </w:r>
      <w:r>
        <w:rPr>
          <w:spacing w:val="-4"/>
        </w:rPr>
        <w:t> </w:t>
      </w:r>
      <w:r>
        <w:rPr/>
        <w:t>con</w:t>
      </w:r>
      <w:r>
        <w:rPr>
          <w:spacing w:val="-8"/>
        </w:rPr>
        <w:t> </w:t>
      </w:r>
      <w:r>
        <w:rPr/>
        <w:t>un</w:t>
      </w:r>
      <w:r>
        <w:rPr>
          <w:spacing w:val="-6"/>
        </w:rPr>
        <w:t> </w:t>
      </w:r>
      <w:r>
        <w:rPr/>
        <w:t>Secretario</w:t>
      </w:r>
      <w:r>
        <w:rPr>
          <w:spacing w:val="-5"/>
        </w:rPr>
        <w:t> </w:t>
      </w:r>
      <w:r>
        <w:rPr/>
        <w:t>de</w:t>
      </w:r>
      <w:r>
        <w:rPr>
          <w:spacing w:val="-6"/>
        </w:rPr>
        <w:t> </w:t>
      </w:r>
      <w:r>
        <w:rPr/>
        <w:t>Actas</w:t>
      </w:r>
      <w:r>
        <w:rPr>
          <w:spacing w:val="-7"/>
        </w:rPr>
        <w:t> </w:t>
      </w:r>
      <w:r>
        <w:rPr/>
        <w:t>que</w:t>
      </w:r>
      <w:r>
        <w:rPr>
          <w:spacing w:val="-5"/>
        </w:rPr>
        <w:t> </w:t>
      </w:r>
      <w:r>
        <w:rPr/>
        <w:t>levantará</w:t>
      </w:r>
      <w:r>
        <w:rPr>
          <w:spacing w:val="-7"/>
        </w:rPr>
        <w:t> </w:t>
      </w:r>
      <w:r>
        <w:rPr/>
        <w:t>una</w:t>
      </w:r>
      <w:r>
        <w:rPr>
          <w:spacing w:val="-7"/>
        </w:rPr>
        <w:t> </w:t>
      </w:r>
      <w:r>
        <w:rPr/>
        <w:t>minuta</w:t>
      </w:r>
      <w:r>
        <w:rPr>
          <w:spacing w:val="-5"/>
        </w:rPr>
        <w:t> </w:t>
      </w:r>
      <w:r>
        <w:rPr/>
        <w:t>de</w:t>
      </w:r>
      <w:r>
        <w:rPr>
          <w:spacing w:val="-8"/>
        </w:rPr>
        <w:t> </w:t>
      </w:r>
      <w:r>
        <w:rPr/>
        <w:t>cada</w:t>
      </w:r>
      <w:r>
        <w:rPr>
          <w:spacing w:val="-7"/>
        </w:rPr>
        <w:t> </w:t>
      </w:r>
      <w:r>
        <w:rPr>
          <w:spacing w:val="-2"/>
        </w:rPr>
        <w:t>sesión.</w:t>
      </w:r>
    </w:p>
    <w:p>
      <w:pPr>
        <w:pStyle w:val="BodyText"/>
      </w:pPr>
    </w:p>
    <w:p>
      <w:pPr>
        <w:pStyle w:val="BodyText"/>
        <w:ind w:left="262" w:right="288"/>
        <w:jc w:val="both"/>
      </w:pPr>
      <w:r>
        <w:rPr/>
        <w:t>Cada área integrante de la mesa colegiada estará representada en la misma por su titular, el que podrá designar a un suplente para asistir a las sesiones de trabajo.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0"/>
        <w:jc w:val="both"/>
      </w:pPr>
      <w:r>
        <w:rPr/>
        <w:t>Los integrantes de la mesa colegiada o su equivalente, a que se refiere este artículo, coadyuvarán con la Dirección Municipal, para asegurar la transparencia y cumplimiento de los requisitos, procedimientos, tiempos, normas técnicas y disposiciones jurídicas aplicables, en la revisión de solicitudes de autorización de proyectos de fraccionamientos, condominios y desarrollos inmobiliarios especiales.</w:t>
      </w:r>
    </w:p>
    <w:p>
      <w:pPr>
        <w:pStyle w:val="BodyText"/>
      </w:pPr>
    </w:p>
    <w:p>
      <w:pPr>
        <w:pStyle w:val="BodyText"/>
      </w:pPr>
    </w:p>
    <w:p>
      <w:pPr>
        <w:pStyle w:val="Heading2"/>
        <w:spacing w:line="480" w:lineRule="auto"/>
        <w:ind w:left="3200" w:right="3159" w:firstLine="976"/>
        <w:jc w:val="left"/>
      </w:pPr>
      <w:r>
        <w:rPr/>
        <w:t>Capítulo V Procedimiento</w:t>
      </w:r>
      <w:r>
        <w:rPr>
          <w:spacing w:val="-14"/>
        </w:rPr>
        <w:t> </w:t>
      </w:r>
      <w:r>
        <w:rPr/>
        <w:t>de</w:t>
      </w:r>
      <w:r>
        <w:rPr>
          <w:spacing w:val="-14"/>
        </w:rPr>
        <w:t> </w:t>
      </w:r>
      <w:r>
        <w:rPr/>
        <w:t>Autorización</w:t>
      </w:r>
    </w:p>
    <w:p>
      <w:pPr>
        <w:pStyle w:val="BodyText"/>
        <w:ind w:left="262" w:right="280"/>
        <w:jc w:val="both"/>
      </w:pPr>
      <w:r>
        <w:rPr>
          <w:rFonts w:ascii="Arial" w:hAnsi="Arial"/>
          <w:b/>
        </w:rPr>
        <w:t>ARTÍCULO 428. </w:t>
      </w:r>
      <w:r>
        <w:rPr/>
        <w:t>La revisión del proyecto de fraccionamiento, condominio o desarrollo inmobiliario especial, tendrá por objeto establecer su congruencia con las normas técnicas del proyecto que establece</w:t>
      </w:r>
      <w:r>
        <w:rPr>
          <w:spacing w:val="-7"/>
        </w:rPr>
        <w:t> </w:t>
      </w:r>
      <w:r>
        <w:rPr/>
        <w:t>esta</w:t>
      </w:r>
      <w:r>
        <w:rPr>
          <w:spacing w:val="-7"/>
        </w:rPr>
        <w:t> </w:t>
      </w:r>
      <w:r>
        <w:rPr/>
        <w:t>Ley</w:t>
      </w:r>
      <w:r>
        <w:rPr>
          <w:spacing w:val="-8"/>
        </w:rPr>
        <w:t> </w:t>
      </w:r>
      <w:r>
        <w:rPr/>
        <w:t>y</w:t>
      </w:r>
      <w:r>
        <w:rPr>
          <w:spacing w:val="-6"/>
        </w:rPr>
        <w:t> </w:t>
      </w:r>
      <w:r>
        <w:rPr/>
        <w:t>demás</w:t>
      </w:r>
      <w:r>
        <w:rPr>
          <w:spacing w:val="-8"/>
        </w:rPr>
        <w:t> </w:t>
      </w:r>
      <w:r>
        <w:rPr/>
        <w:t>disposiciones</w:t>
      </w:r>
      <w:r>
        <w:rPr>
          <w:spacing w:val="-8"/>
        </w:rPr>
        <w:t> </w:t>
      </w:r>
      <w:r>
        <w:rPr/>
        <w:t>jurídicas</w:t>
      </w:r>
      <w:r>
        <w:rPr>
          <w:spacing w:val="-8"/>
        </w:rPr>
        <w:t> </w:t>
      </w:r>
      <w:r>
        <w:rPr/>
        <w:t>aplicables;</w:t>
      </w:r>
      <w:r>
        <w:rPr>
          <w:spacing w:val="-7"/>
        </w:rPr>
        <w:t> </w:t>
      </w:r>
      <w:r>
        <w:rPr/>
        <w:t>la</w:t>
      </w:r>
      <w:r>
        <w:rPr>
          <w:spacing w:val="-9"/>
        </w:rPr>
        <w:t> </w:t>
      </w:r>
      <w:r>
        <w:rPr/>
        <w:t>zonificación de</w:t>
      </w:r>
      <w:r>
        <w:rPr>
          <w:spacing w:val="-7"/>
        </w:rPr>
        <w:t> </w:t>
      </w:r>
      <w:r>
        <w:rPr/>
        <w:t>los</w:t>
      </w:r>
      <w:r>
        <w:rPr>
          <w:spacing w:val="-8"/>
        </w:rPr>
        <w:t> </w:t>
      </w:r>
      <w:r>
        <w:rPr/>
        <w:t>usos</w:t>
      </w:r>
      <w:r>
        <w:rPr>
          <w:spacing w:val="-8"/>
        </w:rPr>
        <w:t> </w:t>
      </w:r>
      <w:r>
        <w:rPr/>
        <w:t>y</w:t>
      </w:r>
      <w:r>
        <w:rPr>
          <w:spacing w:val="-6"/>
        </w:rPr>
        <w:t> </w:t>
      </w:r>
      <w:r>
        <w:rPr/>
        <w:t>destinos del suelo; las factibilidades de dotación y descarga de agua potable y alcantarillado sanitario y pluvial,</w:t>
      </w:r>
      <w:r>
        <w:rPr>
          <w:spacing w:val="-1"/>
        </w:rPr>
        <w:t> </w:t>
      </w:r>
      <w:r>
        <w:rPr/>
        <w:t>así</w:t>
      </w:r>
      <w:r>
        <w:rPr>
          <w:spacing w:val="-3"/>
        </w:rPr>
        <w:t> </w:t>
      </w:r>
      <w:r>
        <w:rPr/>
        <w:t>como</w:t>
      </w:r>
      <w:r>
        <w:rPr>
          <w:spacing w:val="-3"/>
        </w:rPr>
        <w:t> </w:t>
      </w:r>
      <w:r>
        <w:rPr/>
        <w:t>de</w:t>
      </w:r>
      <w:r>
        <w:rPr>
          <w:spacing w:val="-3"/>
        </w:rPr>
        <w:t> </w:t>
      </w:r>
      <w:r>
        <w:rPr/>
        <w:t>suministro</w:t>
      </w:r>
      <w:r>
        <w:rPr>
          <w:spacing w:val="-3"/>
        </w:rPr>
        <w:t> </w:t>
      </w:r>
      <w:r>
        <w:rPr/>
        <w:t>de</w:t>
      </w:r>
      <w:r>
        <w:rPr>
          <w:spacing w:val="-3"/>
        </w:rPr>
        <w:t> </w:t>
      </w:r>
      <w:r>
        <w:rPr/>
        <w:t>energía</w:t>
      </w:r>
      <w:r>
        <w:rPr>
          <w:spacing w:val="-3"/>
        </w:rPr>
        <w:t> </w:t>
      </w:r>
      <w:r>
        <w:rPr/>
        <w:t>eléctrica</w:t>
      </w:r>
      <w:r>
        <w:rPr>
          <w:spacing w:val="-1"/>
        </w:rPr>
        <w:t> </w:t>
      </w:r>
      <w:r>
        <w:rPr/>
        <w:t>y</w:t>
      </w:r>
      <w:r>
        <w:rPr>
          <w:spacing w:val="-2"/>
        </w:rPr>
        <w:t> </w:t>
      </w:r>
      <w:r>
        <w:rPr/>
        <w:t>el</w:t>
      </w:r>
      <w:r>
        <w:rPr>
          <w:spacing w:val="-4"/>
        </w:rPr>
        <w:t> </w:t>
      </w:r>
      <w:r>
        <w:rPr/>
        <w:t>alumbrado</w:t>
      </w:r>
      <w:r>
        <w:rPr>
          <w:spacing w:val="-4"/>
        </w:rPr>
        <w:t> </w:t>
      </w:r>
      <w:r>
        <w:rPr/>
        <w:t>público;</w:t>
      </w:r>
      <w:r>
        <w:rPr>
          <w:spacing w:val="-1"/>
        </w:rPr>
        <w:t> </w:t>
      </w:r>
      <w:r>
        <w:rPr/>
        <w:t>la</w:t>
      </w:r>
      <w:r>
        <w:rPr>
          <w:spacing w:val="-1"/>
        </w:rPr>
        <w:t> </w:t>
      </w:r>
      <w:r>
        <w:rPr/>
        <w:t>seguridad</w:t>
      </w:r>
      <w:r>
        <w:rPr>
          <w:spacing w:val="-2"/>
        </w:rPr>
        <w:t> </w:t>
      </w:r>
      <w:r>
        <w:rPr/>
        <w:t>del</w:t>
      </w:r>
      <w:r>
        <w:rPr>
          <w:spacing w:val="-2"/>
        </w:rPr>
        <w:t> </w:t>
      </w:r>
      <w:r>
        <w:rPr/>
        <w:t>suelo</w:t>
      </w:r>
      <w:r>
        <w:rPr>
          <w:spacing w:val="-3"/>
        </w:rPr>
        <w:t> </w:t>
      </w:r>
      <w:r>
        <w:rPr/>
        <w:t>y la preservación y protección de los elementos naturales; la integración al contexto y a la imagen urbana; la incorporación a la traza urbana, estructura vial, de equipamiento e infraestructura y servicios urbanos, y los aspectos de protección civil y prevención de desastres.</w:t>
      </w:r>
    </w:p>
    <w:p>
      <w:pPr>
        <w:pStyle w:val="BodyText"/>
        <w:spacing w:before="2"/>
      </w:pPr>
    </w:p>
    <w:p>
      <w:pPr>
        <w:pStyle w:val="BodyText"/>
        <w:ind w:left="262" w:right="279"/>
        <w:jc w:val="both"/>
      </w:pPr>
      <w:r>
        <w:rPr/>
        <w:t>Las observaciones que surjan de la revisión de los puntos anteriores deberán ser remitidas a la Dirección Municipal por los integrantes de la Mesa Colegiada dentro de los cinco días hábiles siguientes a la recepción del expediente; para que sean analizadas y evaluadas por ésta directamente, para que en su caso se realicen las aclaraciones o rectificaciones al proyecto </w:t>
      </w:r>
      <w:r>
        <w:rPr>
          <w:spacing w:val="-2"/>
        </w:rPr>
        <w:t>respectivo.</w:t>
      </w:r>
    </w:p>
    <w:p>
      <w:pPr>
        <w:pStyle w:val="BodyText"/>
      </w:pPr>
    </w:p>
    <w:p>
      <w:pPr>
        <w:pStyle w:val="BodyText"/>
        <w:ind w:left="262" w:right="285"/>
        <w:jc w:val="both"/>
      </w:pPr>
      <w:r>
        <w:rPr>
          <w:rFonts w:ascii="Arial" w:hAnsi="Arial"/>
          <w:b/>
        </w:rPr>
        <w:t>ARTÍCULO 429. </w:t>
      </w:r>
      <w:r>
        <w:rPr/>
        <w:t>Previo análisis y revisión de los requerimientos que establece el artículo 401 de esta Ley, la resolución que corresponda a la solicitud de autorización del proyecto de fraccionamiento, condominio o desarrollo inmobiliario especial, que emita la Dirección Municipal, deberá contener los siguientes aspectos:</w:t>
      </w:r>
    </w:p>
    <w:p>
      <w:pPr>
        <w:pStyle w:val="BodyText"/>
      </w:pPr>
    </w:p>
    <w:p>
      <w:pPr>
        <w:pStyle w:val="ListParagraph"/>
        <w:numPr>
          <w:ilvl w:val="0"/>
          <w:numId w:val="138"/>
        </w:numPr>
        <w:tabs>
          <w:tab w:pos="543" w:val="left" w:leader="none"/>
        </w:tabs>
        <w:spacing w:line="240" w:lineRule="auto" w:before="0" w:after="0"/>
        <w:ind w:left="262" w:right="282" w:firstLine="0"/>
        <w:jc w:val="both"/>
        <w:rPr>
          <w:sz w:val="20"/>
        </w:rPr>
      </w:pPr>
      <w:r>
        <w:rPr>
          <w:sz w:val="20"/>
        </w:rPr>
        <w:t>En caso de ser negativa, deberá</w:t>
      </w:r>
      <w:r>
        <w:rPr>
          <w:spacing w:val="40"/>
          <w:sz w:val="20"/>
        </w:rPr>
        <w:t> </w:t>
      </w:r>
      <w:r>
        <w:rPr>
          <w:sz w:val="20"/>
        </w:rPr>
        <w:t>fundar y motivar el sentido de la misma si la solicitud y el proyecto</w:t>
      </w:r>
      <w:r>
        <w:rPr>
          <w:spacing w:val="40"/>
          <w:sz w:val="20"/>
        </w:rPr>
        <w:t> </w:t>
      </w:r>
      <w:r>
        <w:rPr>
          <w:sz w:val="20"/>
        </w:rPr>
        <w:t>no cumplen los requerimientos que establecen esta Ley y los reglamentos municipales aplicables, y</w:t>
      </w:r>
    </w:p>
    <w:p>
      <w:pPr>
        <w:pStyle w:val="ListParagraph"/>
        <w:numPr>
          <w:ilvl w:val="0"/>
          <w:numId w:val="138"/>
        </w:numPr>
        <w:tabs>
          <w:tab w:pos="543" w:val="left" w:leader="none"/>
        </w:tabs>
        <w:spacing w:line="240" w:lineRule="auto" w:before="229" w:after="0"/>
        <w:ind w:left="543" w:right="0" w:hanging="281"/>
        <w:jc w:val="both"/>
        <w:rPr>
          <w:sz w:val="20"/>
        </w:rPr>
      </w:pPr>
      <w:r>
        <w:rPr>
          <w:sz w:val="20"/>
        </w:rPr>
        <w:t>En</w:t>
      </w:r>
      <w:r>
        <w:rPr>
          <w:spacing w:val="-6"/>
          <w:sz w:val="20"/>
        </w:rPr>
        <w:t> </w:t>
      </w:r>
      <w:r>
        <w:rPr>
          <w:sz w:val="20"/>
        </w:rPr>
        <w:t>caso</w:t>
      </w:r>
      <w:r>
        <w:rPr>
          <w:spacing w:val="-4"/>
          <w:sz w:val="20"/>
        </w:rPr>
        <w:t> </w:t>
      </w:r>
      <w:r>
        <w:rPr>
          <w:sz w:val="20"/>
        </w:rPr>
        <w:t>de</w:t>
      </w:r>
      <w:r>
        <w:rPr>
          <w:spacing w:val="-6"/>
          <w:sz w:val="20"/>
        </w:rPr>
        <w:t> </w:t>
      </w:r>
      <w:r>
        <w:rPr>
          <w:sz w:val="20"/>
        </w:rPr>
        <w:t>aprobarse</w:t>
      </w:r>
      <w:r>
        <w:rPr>
          <w:spacing w:val="-6"/>
          <w:sz w:val="20"/>
        </w:rPr>
        <w:t> </w:t>
      </w:r>
      <w:r>
        <w:rPr>
          <w:sz w:val="20"/>
        </w:rPr>
        <w:t>la</w:t>
      </w:r>
      <w:r>
        <w:rPr>
          <w:spacing w:val="-4"/>
          <w:sz w:val="20"/>
        </w:rPr>
        <w:t> </w:t>
      </w:r>
      <w:r>
        <w:rPr>
          <w:spacing w:val="-2"/>
          <w:sz w:val="20"/>
        </w:rPr>
        <w:t>solicitud:</w:t>
      </w:r>
    </w:p>
    <w:p>
      <w:pPr>
        <w:pStyle w:val="BodyText"/>
        <w:spacing w:before="1"/>
      </w:pPr>
    </w:p>
    <w:p>
      <w:pPr>
        <w:pStyle w:val="ListParagraph"/>
        <w:numPr>
          <w:ilvl w:val="1"/>
          <w:numId w:val="138"/>
        </w:numPr>
        <w:tabs>
          <w:tab w:pos="598" w:val="left" w:leader="none"/>
        </w:tabs>
        <w:spacing w:line="240" w:lineRule="auto" w:before="0" w:after="0"/>
        <w:ind w:left="262" w:right="290" w:firstLine="0"/>
        <w:jc w:val="both"/>
        <w:rPr>
          <w:sz w:val="20"/>
        </w:rPr>
      </w:pPr>
      <w:r>
        <w:rPr>
          <w:sz w:val="20"/>
        </w:rPr>
        <w:t>El cumplimiento de los requisitos, procedimientos, tiempos y disposiciones jurídicas aplicables de su autorización.</w:t>
      </w:r>
    </w:p>
    <w:p>
      <w:pPr>
        <w:pStyle w:val="ListParagraph"/>
        <w:numPr>
          <w:ilvl w:val="1"/>
          <w:numId w:val="138"/>
        </w:numPr>
        <w:tabs>
          <w:tab w:pos="544" w:val="left" w:leader="none"/>
        </w:tabs>
        <w:spacing w:line="240" w:lineRule="auto" w:before="229" w:after="0"/>
        <w:ind w:left="544" w:right="0" w:hanging="282"/>
        <w:jc w:val="both"/>
        <w:rPr>
          <w:sz w:val="20"/>
        </w:rPr>
      </w:pPr>
      <w:r>
        <w:rPr>
          <w:sz w:val="20"/>
        </w:rPr>
        <w:t>La</w:t>
      </w:r>
      <w:r>
        <w:rPr>
          <w:spacing w:val="-8"/>
          <w:sz w:val="20"/>
        </w:rPr>
        <w:t> </w:t>
      </w:r>
      <w:r>
        <w:rPr>
          <w:sz w:val="20"/>
        </w:rPr>
        <w:t>definición</w:t>
      </w:r>
      <w:r>
        <w:rPr>
          <w:spacing w:val="-8"/>
          <w:sz w:val="20"/>
        </w:rPr>
        <w:t> </w:t>
      </w:r>
      <w:r>
        <w:rPr>
          <w:sz w:val="20"/>
        </w:rPr>
        <w:t>del</w:t>
      </w:r>
      <w:r>
        <w:rPr>
          <w:spacing w:val="-6"/>
          <w:sz w:val="20"/>
        </w:rPr>
        <w:t> </w:t>
      </w:r>
      <w:r>
        <w:rPr>
          <w:sz w:val="20"/>
        </w:rPr>
        <w:t>tipo</w:t>
      </w:r>
      <w:r>
        <w:rPr>
          <w:spacing w:val="-8"/>
          <w:sz w:val="20"/>
        </w:rPr>
        <w:t> </w:t>
      </w:r>
      <w:r>
        <w:rPr>
          <w:sz w:val="20"/>
        </w:rPr>
        <w:t>de</w:t>
      </w:r>
      <w:r>
        <w:rPr>
          <w:spacing w:val="-7"/>
          <w:sz w:val="20"/>
        </w:rPr>
        <w:t> </w:t>
      </w:r>
      <w:r>
        <w:rPr>
          <w:sz w:val="20"/>
        </w:rPr>
        <w:t>urbanización</w:t>
      </w:r>
      <w:r>
        <w:rPr>
          <w:spacing w:val="-7"/>
          <w:sz w:val="20"/>
        </w:rPr>
        <w:t> </w:t>
      </w:r>
      <w:r>
        <w:rPr>
          <w:sz w:val="20"/>
        </w:rPr>
        <w:t>que</w:t>
      </w:r>
      <w:r>
        <w:rPr>
          <w:spacing w:val="-7"/>
          <w:sz w:val="20"/>
        </w:rPr>
        <w:t> </w:t>
      </w:r>
      <w:r>
        <w:rPr>
          <w:sz w:val="20"/>
        </w:rPr>
        <w:t>se</w:t>
      </w:r>
      <w:r>
        <w:rPr>
          <w:spacing w:val="-5"/>
          <w:sz w:val="20"/>
        </w:rPr>
        <w:t> </w:t>
      </w:r>
      <w:r>
        <w:rPr>
          <w:sz w:val="20"/>
        </w:rPr>
        <w:t>autoriza:</w:t>
      </w:r>
      <w:r>
        <w:rPr>
          <w:spacing w:val="-5"/>
          <w:sz w:val="20"/>
        </w:rPr>
        <w:t> </w:t>
      </w:r>
      <w:r>
        <w:rPr>
          <w:sz w:val="20"/>
        </w:rPr>
        <w:t>progresiva,</w:t>
      </w:r>
      <w:r>
        <w:rPr>
          <w:spacing w:val="-5"/>
          <w:sz w:val="20"/>
        </w:rPr>
        <w:t> </w:t>
      </w:r>
      <w:r>
        <w:rPr>
          <w:sz w:val="20"/>
        </w:rPr>
        <w:t>por</w:t>
      </w:r>
      <w:r>
        <w:rPr>
          <w:spacing w:val="-7"/>
          <w:sz w:val="20"/>
        </w:rPr>
        <w:t> </w:t>
      </w:r>
      <w:r>
        <w:rPr>
          <w:sz w:val="20"/>
        </w:rPr>
        <w:t>etapas</w:t>
      </w:r>
      <w:r>
        <w:rPr>
          <w:spacing w:val="-6"/>
          <w:sz w:val="20"/>
        </w:rPr>
        <w:t> </w:t>
      </w:r>
      <w:r>
        <w:rPr>
          <w:sz w:val="20"/>
        </w:rPr>
        <w:t>o</w:t>
      </w:r>
      <w:r>
        <w:rPr>
          <w:spacing w:val="-8"/>
          <w:sz w:val="20"/>
        </w:rPr>
        <w:t> </w:t>
      </w:r>
      <w:r>
        <w:rPr>
          <w:spacing w:val="-2"/>
          <w:sz w:val="20"/>
        </w:rPr>
        <w:t>inmediata.</w:t>
      </w:r>
    </w:p>
    <w:p>
      <w:pPr>
        <w:pStyle w:val="BodyText"/>
        <w:spacing w:before="1"/>
      </w:pPr>
    </w:p>
    <w:p>
      <w:pPr>
        <w:pStyle w:val="ListParagraph"/>
        <w:numPr>
          <w:ilvl w:val="1"/>
          <w:numId w:val="138"/>
        </w:numPr>
        <w:tabs>
          <w:tab w:pos="544" w:val="left" w:leader="none"/>
        </w:tabs>
        <w:spacing w:line="240" w:lineRule="auto" w:before="0" w:after="0"/>
        <w:ind w:left="544" w:right="0" w:hanging="282"/>
        <w:jc w:val="both"/>
        <w:rPr>
          <w:sz w:val="20"/>
        </w:rPr>
      </w:pPr>
      <w:r>
        <w:rPr>
          <w:sz w:val="20"/>
        </w:rPr>
        <w:t>La</w:t>
      </w:r>
      <w:r>
        <w:rPr>
          <w:spacing w:val="-8"/>
          <w:sz w:val="20"/>
        </w:rPr>
        <w:t> </w:t>
      </w:r>
      <w:r>
        <w:rPr>
          <w:sz w:val="20"/>
        </w:rPr>
        <w:t>densidad,</w:t>
      </w:r>
      <w:r>
        <w:rPr>
          <w:spacing w:val="-4"/>
          <w:sz w:val="20"/>
        </w:rPr>
        <w:t> </w:t>
      </w:r>
      <w:r>
        <w:rPr>
          <w:sz w:val="20"/>
        </w:rPr>
        <w:t>número</w:t>
      </w:r>
      <w:r>
        <w:rPr>
          <w:spacing w:val="-4"/>
          <w:sz w:val="20"/>
        </w:rPr>
        <w:t> </w:t>
      </w:r>
      <w:r>
        <w:rPr>
          <w:sz w:val="20"/>
        </w:rPr>
        <w:t>de</w:t>
      </w:r>
      <w:r>
        <w:rPr>
          <w:spacing w:val="-8"/>
          <w:sz w:val="20"/>
        </w:rPr>
        <w:t> </w:t>
      </w:r>
      <w:r>
        <w:rPr>
          <w:sz w:val="20"/>
        </w:rPr>
        <w:t>viviendas,</w:t>
      </w:r>
      <w:r>
        <w:rPr>
          <w:spacing w:val="-6"/>
          <w:sz w:val="20"/>
        </w:rPr>
        <w:t> </w:t>
      </w:r>
      <w:r>
        <w:rPr>
          <w:sz w:val="20"/>
        </w:rPr>
        <w:t>mezcla</w:t>
      </w:r>
      <w:r>
        <w:rPr>
          <w:spacing w:val="-6"/>
          <w:sz w:val="20"/>
        </w:rPr>
        <w:t> </w:t>
      </w:r>
      <w:r>
        <w:rPr>
          <w:sz w:val="20"/>
        </w:rPr>
        <w:t>de</w:t>
      </w:r>
      <w:r>
        <w:rPr>
          <w:spacing w:val="-4"/>
          <w:sz w:val="20"/>
        </w:rPr>
        <w:t> </w:t>
      </w:r>
      <w:r>
        <w:rPr>
          <w:sz w:val="20"/>
        </w:rPr>
        <w:t>usos</w:t>
      </w:r>
      <w:r>
        <w:rPr>
          <w:spacing w:val="-6"/>
          <w:sz w:val="20"/>
        </w:rPr>
        <w:t> </w:t>
      </w:r>
      <w:r>
        <w:rPr>
          <w:sz w:val="20"/>
        </w:rPr>
        <w:t>de</w:t>
      </w:r>
      <w:r>
        <w:rPr>
          <w:spacing w:val="-6"/>
          <w:sz w:val="20"/>
        </w:rPr>
        <w:t> </w:t>
      </w:r>
      <w:r>
        <w:rPr>
          <w:sz w:val="20"/>
        </w:rPr>
        <w:t>suelo</w:t>
      </w:r>
      <w:r>
        <w:rPr>
          <w:spacing w:val="-6"/>
          <w:sz w:val="20"/>
        </w:rPr>
        <w:t> </w:t>
      </w:r>
      <w:r>
        <w:rPr>
          <w:sz w:val="20"/>
        </w:rPr>
        <w:t>y</w:t>
      </w:r>
      <w:r>
        <w:rPr>
          <w:spacing w:val="-5"/>
          <w:sz w:val="20"/>
        </w:rPr>
        <w:t> </w:t>
      </w:r>
      <w:r>
        <w:rPr>
          <w:sz w:val="20"/>
        </w:rPr>
        <w:t>tamaño</w:t>
      </w:r>
      <w:r>
        <w:rPr>
          <w:spacing w:val="-7"/>
          <w:sz w:val="20"/>
        </w:rPr>
        <w:t> </w:t>
      </w:r>
      <w:r>
        <w:rPr>
          <w:sz w:val="20"/>
        </w:rPr>
        <w:t>de</w:t>
      </w:r>
      <w:r>
        <w:rPr>
          <w:spacing w:val="-6"/>
          <w:sz w:val="20"/>
        </w:rPr>
        <w:t> </w:t>
      </w:r>
      <w:r>
        <w:rPr>
          <w:sz w:val="20"/>
        </w:rPr>
        <w:t>lotes</w:t>
      </w:r>
      <w:r>
        <w:rPr>
          <w:spacing w:val="-5"/>
          <w:sz w:val="20"/>
        </w:rPr>
        <w:t> </w:t>
      </w:r>
      <w:r>
        <w:rPr>
          <w:spacing w:val="-2"/>
          <w:sz w:val="20"/>
        </w:rPr>
        <w:t>autorizados.</w:t>
      </w:r>
    </w:p>
    <w:p>
      <w:pPr>
        <w:pStyle w:val="BodyText"/>
        <w:spacing w:before="1"/>
      </w:pPr>
    </w:p>
    <w:p>
      <w:pPr>
        <w:pStyle w:val="ListParagraph"/>
        <w:numPr>
          <w:ilvl w:val="1"/>
          <w:numId w:val="138"/>
        </w:numPr>
        <w:tabs>
          <w:tab w:pos="544" w:val="left" w:leader="none"/>
        </w:tabs>
        <w:spacing w:line="240" w:lineRule="auto" w:before="0" w:after="0"/>
        <w:ind w:left="262" w:right="287" w:firstLine="0"/>
        <w:jc w:val="both"/>
        <w:rPr>
          <w:sz w:val="20"/>
        </w:rPr>
      </w:pPr>
      <w:r>
        <w:rPr>
          <w:sz w:val="20"/>
        </w:rPr>
        <w:t>Las características y especificaciones de las obras de urbanización que deberán realizarse y el plazo para concluirlas.</w:t>
      </w:r>
    </w:p>
    <w:p>
      <w:pPr>
        <w:pStyle w:val="ListParagraph"/>
        <w:numPr>
          <w:ilvl w:val="1"/>
          <w:numId w:val="138"/>
        </w:numPr>
        <w:tabs>
          <w:tab w:pos="544" w:val="left" w:leader="none"/>
        </w:tabs>
        <w:spacing w:line="240" w:lineRule="auto" w:before="229" w:after="0"/>
        <w:ind w:left="262" w:right="286" w:firstLine="0"/>
        <w:jc w:val="both"/>
        <w:rPr>
          <w:sz w:val="20"/>
        </w:rPr>
      </w:pPr>
      <w:r>
        <w:rPr>
          <w:sz w:val="20"/>
        </w:rPr>
        <w:t>La definición sobre la ubicación, superficies y características de los terrenos que deban ser donados al Municipio para vialidad, infraestructura, equipamiento, servicios y áreas verdes, en los porcentajes y extensiones que establece esta Ley y demás disposiciones jurídicas aplicables.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138"/>
        </w:numPr>
        <w:tabs>
          <w:tab w:pos="543" w:val="left" w:leader="none"/>
        </w:tabs>
        <w:spacing w:line="240" w:lineRule="auto" w:before="0" w:after="0"/>
        <w:ind w:left="262" w:right="285" w:firstLine="0"/>
        <w:jc w:val="left"/>
        <w:rPr>
          <w:sz w:val="20"/>
        </w:rPr>
      </w:pPr>
      <w:r>
        <w:rPr>
          <w:sz w:val="20"/>
        </w:rPr>
        <w:t>La aprobación de la propuesta de nomenclatura del fraccionamiento, condominio o desarrollo inmobiliario especial, así como de las calles, vialidades y demás espacios públicos.</w:t>
      </w:r>
    </w:p>
    <w:p>
      <w:pPr>
        <w:pStyle w:val="BodyText"/>
        <w:spacing w:before="1"/>
      </w:pPr>
    </w:p>
    <w:p>
      <w:pPr>
        <w:pStyle w:val="ListParagraph"/>
        <w:numPr>
          <w:ilvl w:val="1"/>
          <w:numId w:val="138"/>
        </w:numPr>
        <w:tabs>
          <w:tab w:pos="544" w:val="left" w:leader="none"/>
        </w:tabs>
        <w:spacing w:line="240" w:lineRule="auto" w:before="1" w:after="0"/>
        <w:ind w:left="262" w:right="286" w:firstLine="0"/>
        <w:jc w:val="left"/>
        <w:rPr>
          <w:sz w:val="20"/>
        </w:rPr>
      </w:pPr>
      <w:r>
        <w:rPr>
          <w:sz w:val="20"/>
        </w:rPr>
        <w:t>La</w:t>
      </w:r>
      <w:r>
        <w:rPr>
          <w:spacing w:val="40"/>
          <w:sz w:val="20"/>
        </w:rPr>
        <w:t> </w:t>
      </w:r>
      <w:r>
        <w:rPr>
          <w:sz w:val="20"/>
        </w:rPr>
        <w:t>determinación</w:t>
      </w:r>
      <w:r>
        <w:rPr>
          <w:spacing w:val="40"/>
          <w:sz w:val="20"/>
        </w:rPr>
        <w:t> </w:t>
      </w:r>
      <w:r>
        <w:rPr>
          <w:sz w:val="20"/>
        </w:rPr>
        <w:t>de</w:t>
      </w:r>
      <w:r>
        <w:rPr>
          <w:spacing w:val="40"/>
          <w:sz w:val="20"/>
        </w:rPr>
        <w:t> </w:t>
      </w:r>
      <w:r>
        <w:rPr>
          <w:sz w:val="20"/>
        </w:rPr>
        <w:t>los</w:t>
      </w:r>
      <w:r>
        <w:rPr>
          <w:spacing w:val="40"/>
          <w:sz w:val="20"/>
        </w:rPr>
        <w:t> </w:t>
      </w:r>
      <w:r>
        <w:rPr>
          <w:sz w:val="20"/>
        </w:rPr>
        <w:t>derechos</w:t>
      </w:r>
      <w:r>
        <w:rPr>
          <w:spacing w:val="40"/>
          <w:sz w:val="20"/>
        </w:rPr>
        <w:t> </w:t>
      </w:r>
      <w:r>
        <w:rPr>
          <w:sz w:val="20"/>
        </w:rPr>
        <w:t>municipales</w:t>
      </w:r>
      <w:r>
        <w:rPr>
          <w:spacing w:val="40"/>
          <w:sz w:val="20"/>
        </w:rPr>
        <w:t> </w:t>
      </w:r>
      <w:r>
        <w:rPr>
          <w:sz w:val="20"/>
        </w:rPr>
        <w:t>que</w:t>
      </w:r>
      <w:r>
        <w:rPr>
          <w:spacing w:val="40"/>
          <w:sz w:val="20"/>
        </w:rPr>
        <w:t> </w:t>
      </w:r>
      <w:r>
        <w:rPr>
          <w:sz w:val="20"/>
        </w:rPr>
        <w:t>correspondan</w:t>
      </w:r>
      <w:r>
        <w:rPr>
          <w:spacing w:val="40"/>
          <w:sz w:val="20"/>
        </w:rPr>
        <w:t> </w:t>
      </w:r>
      <w:r>
        <w:rPr>
          <w:sz w:val="20"/>
        </w:rPr>
        <w:t>para</w:t>
      </w:r>
      <w:r>
        <w:rPr>
          <w:spacing w:val="40"/>
          <w:sz w:val="20"/>
        </w:rPr>
        <w:t> </w:t>
      </w:r>
      <w:r>
        <w:rPr>
          <w:sz w:val="20"/>
        </w:rPr>
        <w:t>la</w:t>
      </w:r>
      <w:r>
        <w:rPr>
          <w:spacing w:val="40"/>
          <w:sz w:val="20"/>
        </w:rPr>
        <w:t> </w:t>
      </w:r>
      <w:r>
        <w:rPr>
          <w:sz w:val="20"/>
        </w:rPr>
        <w:t>autorización</w:t>
      </w:r>
      <w:r>
        <w:rPr>
          <w:spacing w:val="40"/>
          <w:sz w:val="20"/>
        </w:rPr>
        <w:t> </w:t>
      </w:r>
      <w:r>
        <w:rPr>
          <w:sz w:val="20"/>
        </w:rPr>
        <w:t>del proyecto conforme a la legislación fiscal aplicable.</w:t>
      </w:r>
    </w:p>
    <w:p>
      <w:pPr>
        <w:pStyle w:val="ListParagraph"/>
        <w:numPr>
          <w:ilvl w:val="1"/>
          <w:numId w:val="138"/>
        </w:numPr>
        <w:tabs>
          <w:tab w:pos="544" w:val="left" w:leader="none"/>
        </w:tabs>
        <w:spacing w:line="240" w:lineRule="auto" w:before="228" w:after="0"/>
        <w:ind w:left="262" w:right="289" w:firstLine="0"/>
        <w:jc w:val="left"/>
        <w:rPr>
          <w:sz w:val="20"/>
        </w:rPr>
      </w:pPr>
      <w:r>
        <w:rPr>
          <w:sz w:val="20"/>
        </w:rPr>
        <w:t>La</w:t>
      </w:r>
      <w:r>
        <w:rPr>
          <w:spacing w:val="-4"/>
          <w:sz w:val="20"/>
        </w:rPr>
        <w:t> </w:t>
      </w:r>
      <w:r>
        <w:rPr>
          <w:sz w:val="20"/>
        </w:rPr>
        <w:t>constitución</w:t>
      </w:r>
      <w:r>
        <w:rPr>
          <w:spacing w:val="-1"/>
          <w:sz w:val="20"/>
        </w:rPr>
        <w:t> </w:t>
      </w:r>
      <w:r>
        <w:rPr>
          <w:sz w:val="20"/>
        </w:rPr>
        <w:t>de</w:t>
      </w:r>
      <w:r>
        <w:rPr>
          <w:spacing w:val="-1"/>
          <w:sz w:val="20"/>
        </w:rPr>
        <w:t> </w:t>
      </w:r>
      <w:r>
        <w:rPr>
          <w:sz w:val="20"/>
        </w:rPr>
        <w:t>las</w:t>
      </w:r>
      <w:r>
        <w:rPr>
          <w:spacing w:val="-2"/>
          <w:sz w:val="20"/>
        </w:rPr>
        <w:t> </w:t>
      </w:r>
      <w:r>
        <w:rPr>
          <w:sz w:val="20"/>
        </w:rPr>
        <w:t>garantías</w:t>
      </w:r>
      <w:r>
        <w:rPr>
          <w:spacing w:val="-2"/>
          <w:sz w:val="20"/>
        </w:rPr>
        <w:t> </w:t>
      </w:r>
      <w:r>
        <w:rPr>
          <w:sz w:val="20"/>
        </w:rPr>
        <w:t>para</w:t>
      </w:r>
      <w:r>
        <w:rPr>
          <w:spacing w:val="-3"/>
          <w:sz w:val="20"/>
        </w:rPr>
        <w:t> </w:t>
      </w:r>
      <w:r>
        <w:rPr>
          <w:sz w:val="20"/>
        </w:rPr>
        <w:t>caucionar el</w:t>
      </w:r>
      <w:r>
        <w:rPr>
          <w:spacing w:val="-4"/>
          <w:sz w:val="20"/>
        </w:rPr>
        <w:t> </w:t>
      </w:r>
      <w:r>
        <w:rPr>
          <w:sz w:val="20"/>
        </w:rPr>
        <w:t>cumplimiento</w:t>
      </w:r>
      <w:r>
        <w:rPr>
          <w:spacing w:val="-3"/>
          <w:sz w:val="20"/>
        </w:rPr>
        <w:t> </w:t>
      </w:r>
      <w:r>
        <w:rPr>
          <w:sz w:val="20"/>
        </w:rPr>
        <w:t>de</w:t>
      </w:r>
      <w:r>
        <w:rPr>
          <w:spacing w:val="-1"/>
          <w:sz w:val="20"/>
        </w:rPr>
        <w:t> </w:t>
      </w:r>
      <w:r>
        <w:rPr>
          <w:sz w:val="20"/>
        </w:rPr>
        <w:t>las</w:t>
      </w:r>
      <w:r>
        <w:rPr>
          <w:spacing w:val="-2"/>
          <w:sz w:val="20"/>
        </w:rPr>
        <w:t> </w:t>
      </w:r>
      <w:r>
        <w:rPr>
          <w:sz w:val="20"/>
        </w:rPr>
        <w:t>disposiciones</w:t>
      </w:r>
      <w:r>
        <w:rPr>
          <w:spacing w:val="-2"/>
          <w:sz w:val="20"/>
        </w:rPr>
        <w:t> </w:t>
      </w:r>
      <w:r>
        <w:rPr>
          <w:sz w:val="20"/>
        </w:rPr>
        <w:t>contenidas en la Ley, los reglamentos municipales aplicables y la propia autorización.</w:t>
      </w:r>
    </w:p>
    <w:p>
      <w:pPr>
        <w:pStyle w:val="BodyText"/>
        <w:spacing w:before="2"/>
      </w:pPr>
    </w:p>
    <w:p>
      <w:pPr>
        <w:pStyle w:val="ListParagraph"/>
        <w:numPr>
          <w:ilvl w:val="1"/>
          <w:numId w:val="138"/>
        </w:numPr>
        <w:tabs>
          <w:tab w:pos="543" w:val="left" w:leader="none"/>
        </w:tabs>
        <w:spacing w:line="240" w:lineRule="auto" w:before="0" w:after="0"/>
        <w:ind w:left="543" w:right="0" w:hanging="281"/>
        <w:jc w:val="left"/>
        <w:rPr>
          <w:sz w:val="20"/>
        </w:rPr>
      </w:pPr>
      <w:r>
        <w:rPr>
          <w:sz w:val="20"/>
        </w:rPr>
        <w:t>Las</w:t>
      </w:r>
      <w:r>
        <w:rPr>
          <w:spacing w:val="-8"/>
          <w:sz w:val="20"/>
        </w:rPr>
        <w:t> </w:t>
      </w:r>
      <w:r>
        <w:rPr>
          <w:sz w:val="20"/>
        </w:rPr>
        <w:t>vialidades</w:t>
      </w:r>
      <w:r>
        <w:rPr>
          <w:spacing w:val="-7"/>
          <w:sz w:val="20"/>
        </w:rPr>
        <w:t> </w:t>
      </w:r>
      <w:r>
        <w:rPr>
          <w:sz w:val="20"/>
        </w:rPr>
        <w:t>y</w:t>
      </w:r>
      <w:r>
        <w:rPr>
          <w:spacing w:val="-7"/>
          <w:sz w:val="20"/>
        </w:rPr>
        <w:t> </w:t>
      </w:r>
      <w:r>
        <w:rPr>
          <w:sz w:val="20"/>
        </w:rPr>
        <w:t>demás</w:t>
      </w:r>
      <w:r>
        <w:rPr>
          <w:spacing w:val="-8"/>
          <w:sz w:val="20"/>
        </w:rPr>
        <w:t> </w:t>
      </w:r>
      <w:r>
        <w:rPr>
          <w:sz w:val="20"/>
        </w:rPr>
        <w:t>condiciones</w:t>
      </w:r>
      <w:r>
        <w:rPr>
          <w:spacing w:val="-5"/>
          <w:sz w:val="20"/>
        </w:rPr>
        <w:t> </w:t>
      </w:r>
      <w:r>
        <w:rPr>
          <w:sz w:val="20"/>
        </w:rPr>
        <w:t>de</w:t>
      </w:r>
      <w:r>
        <w:rPr>
          <w:spacing w:val="-7"/>
          <w:sz w:val="20"/>
        </w:rPr>
        <w:t> </w:t>
      </w:r>
      <w:r>
        <w:rPr>
          <w:spacing w:val="-2"/>
          <w:sz w:val="20"/>
        </w:rPr>
        <w:t>movilidad.</w:t>
      </w:r>
    </w:p>
    <w:p>
      <w:pPr>
        <w:pStyle w:val="ListParagraph"/>
        <w:numPr>
          <w:ilvl w:val="1"/>
          <w:numId w:val="138"/>
        </w:numPr>
        <w:tabs>
          <w:tab w:pos="543" w:val="left" w:leader="none"/>
        </w:tabs>
        <w:spacing w:line="240" w:lineRule="auto" w:before="229" w:after="0"/>
        <w:ind w:left="262" w:right="285" w:firstLine="0"/>
        <w:jc w:val="left"/>
        <w:rPr>
          <w:sz w:val="20"/>
        </w:rPr>
      </w:pPr>
      <w:r>
        <w:rPr>
          <w:sz w:val="20"/>
        </w:rPr>
        <w:t>En</w:t>
      </w:r>
      <w:r>
        <w:rPr>
          <w:spacing w:val="79"/>
          <w:sz w:val="20"/>
        </w:rPr>
        <w:t> </w:t>
      </w:r>
      <w:r>
        <w:rPr>
          <w:sz w:val="20"/>
        </w:rPr>
        <w:t>su</w:t>
      </w:r>
      <w:r>
        <w:rPr>
          <w:spacing w:val="79"/>
          <w:sz w:val="20"/>
        </w:rPr>
        <w:t> </w:t>
      </w:r>
      <w:r>
        <w:rPr>
          <w:sz w:val="20"/>
        </w:rPr>
        <w:t>caso</w:t>
      </w:r>
      <w:r>
        <w:rPr>
          <w:spacing w:val="79"/>
          <w:sz w:val="20"/>
        </w:rPr>
        <w:t> </w:t>
      </w:r>
      <w:r>
        <w:rPr>
          <w:sz w:val="20"/>
        </w:rPr>
        <w:t>las</w:t>
      </w:r>
      <w:r>
        <w:rPr>
          <w:spacing w:val="80"/>
          <w:sz w:val="20"/>
        </w:rPr>
        <w:t> </w:t>
      </w:r>
      <w:r>
        <w:rPr>
          <w:sz w:val="20"/>
        </w:rPr>
        <w:t>determinaciones</w:t>
      </w:r>
      <w:r>
        <w:rPr>
          <w:spacing w:val="80"/>
          <w:sz w:val="20"/>
        </w:rPr>
        <w:t> </w:t>
      </w:r>
      <w:r>
        <w:rPr>
          <w:sz w:val="20"/>
        </w:rPr>
        <w:t>para</w:t>
      </w:r>
      <w:r>
        <w:rPr>
          <w:spacing w:val="80"/>
          <w:sz w:val="20"/>
        </w:rPr>
        <w:t> </w:t>
      </w:r>
      <w:r>
        <w:rPr>
          <w:sz w:val="20"/>
        </w:rPr>
        <w:t>mitigar</w:t>
      </w:r>
      <w:r>
        <w:rPr>
          <w:spacing w:val="80"/>
          <w:sz w:val="20"/>
        </w:rPr>
        <w:t> </w:t>
      </w:r>
      <w:r>
        <w:rPr>
          <w:sz w:val="20"/>
        </w:rPr>
        <w:t>riesgos</w:t>
      </w:r>
      <w:r>
        <w:rPr>
          <w:spacing w:val="80"/>
          <w:sz w:val="20"/>
        </w:rPr>
        <w:t> </w:t>
      </w:r>
      <w:r>
        <w:rPr>
          <w:sz w:val="20"/>
        </w:rPr>
        <w:t>y</w:t>
      </w:r>
      <w:r>
        <w:rPr>
          <w:spacing w:val="80"/>
          <w:sz w:val="20"/>
        </w:rPr>
        <w:t> </w:t>
      </w:r>
      <w:r>
        <w:rPr>
          <w:sz w:val="20"/>
        </w:rPr>
        <w:t>las</w:t>
      </w:r>
      <w:r>
        <w:rPr>
          <w:spacing w:val="80"/>
          <w:sz w:val="20"/>
        </w:rPr>
        <w:t> </w:t>
      </w:r>
      <w:r>
        <w:rPr>
          <w:sz w:val="20"/>
        </w:rPr>
        <w:t>medidas</w:t>
      </w:r>
      <w:r>
        <w:rPr>
          <w:spacing w:val="80"/>
          <w:sz w:val="20"/>
        </w:rPr>
        <w:t> </w:t>
      </w:r>
      <w:r>
        <w:rPr>
          <w:sz w:val="20"/>
        </w:rPr>
        <w:t>de</w:t>
      </w:r>
      <w:r>
        <w:rPr>
          <w:spacing w:val="80"/>
          <w:sz w:val="20"/>
        </w:rPr>
        <w:t> </w:t>
      </w:r>
      <w:r>
        <w:rPr>
          <w:sz w:val="20"/>
        </w:rPr>
        <w:t>seguridad</w:t>
      </w:r>
      <w:r>
        <w:rPr>
          <w:spacing w:val="79"/>
          <w:sz w:val="20"/>
        </w:rPr>
        <w:t> </w:t>
      </w:r>
      <w:r>
        <w:rPr>
          <w:sz w:val="20"/>
        </w:rPr>
        <w:t>del </w:t>
      </w:r>
      <w:r>
        <w:rPr>
          <w:spacing w:val="-2"/>
          <w:sz w:val="20"/>
        </w:rPr>
        <w:t>fraccionamiento.</w:t>
      </w:r>
    </w:p>
    <w:p>
      <w:pPr>
        <w:pStyle w:val="BodyText"/>
        <w:spacing w:before="1"/>
      </w:pPr>
    </w:p>
    <w:p>
      <w:pPr>
        <w:pStyle w:val="ListParagraph"/>
        <w:numPr>
          <w:ilvl w:val="1"/>
          <w:numId w:val="138"/>
        </w:numPr>
        <w:tabs>
          <w:tab w:pos="544" w:val="left" w:leader="none"/>
        </w:tabs>
        <w:spacing w:line="240" w:lineRule="auto" w:before="0" w:after="0"/>
        <w:ind w:left="262" w:right="287" w:firstLine="0"/>
        <w:jc w:val="left"/>
        <w:rPr>
          <w:sz w:val="20"/>
        </w:rPr>
      </w:pPr>
      <w:r>
        <w:rPr>
          <w:sz w:val="20"/>
        </w:rPr>
        <w:t>Las</w:t>
      </w:r>
      <w:r>
        <w:rPr>
          <w:spacing w:val="40"/>
          <w:sz w:val="20"/>
        </w:rPr>
        <w:t> </w:t>
      </w:r>
      <w:r>
        <w:rPr>
          <w:sz w:val="20"/>
        </w:rPr>
        <w:t>obligaciones</w:t>
      </w:r>
      <w:r>
        <w:rPr>
          <w:spacing w:val="40"/>
          <w:sz w:val="20"/>
        </w:rPr>
        <w:t> </w:t>
      </w:r>
      <w:r>
        <w:rPr>
          <w:sz w:val="20"/>
        </w:rPr>
        <w:t>relativas</w:t>
      </w:r>
      <w:r>
        <w:rPr>
          <w:spacing w:val="40"/>
          <w:sz w:val="20"/>
        </w:rPr>
        <w:t> </w:t>
      </w:r>
      <w:r>
        <w:rPr>
          <w:sz w:val="20"/>
        </w:rPr>
        <w:t>a</w:t>
      </w:r>
      <w:r>
        <w:rPr>
          <w:spacing w:val="40"/>
          <w:sz w:val="20"/>
        </w:rPr>
        <w:t> </w:t>
      </w:r>
      <w:r>
        <w:rPr>
          <w:sz w:val="20"/>
        </w:rPr>
        <w:t>la</w:t>
      </w:r>
      <w:r>
        <w:rPr>
          <w:spacing w:val="40"/>
          <w:sz w:val="20"/>
        </w:rPr>
        <w:t> </w:t>
      </w:r>
      <w:r>
        <w:rPr>
          <w:sz w:val="20"/>
        </w:rPr>
        <w:t>prestación</w:t>
      </w:r>
      <w:r>
        <w:rPr>
          <w:spacing w:val="40"/>
          <w:sz w:val="20"/>
        </w:rPr>
        <w:t> </w:t>
      </w:r>
      <w:r>
        <w:rPr>
          <w:sz w:val="20"/>
        </w:rPr>
        <w:t>de</w:t>
      </w:r>
      <w:r>
        <w:rPr>
          <w:spacing w:val="40"/>
          <w:sz w:val="20"/>
        </w:rPr>
        <w:t> </w:t>
      </w:r>
      <w:r>
        <w:rPr>
          <w:sz w:val="20"/>
        </w:rPr>
        <w:t>servicios</w:t>
      </w:r>
      <w:r>
        <w:rPr>
          <w:spacing w:val="40"/>
          <w:sz w:val="20"/>
        </w:rPr>
        <w:t> </w:t>
      </w:r>
      <w:r>
        <w:rPr>
          <w:sz w:val="20"/>
        </w:rPr>
        <w:t>hasta</w:t>
      </w:r>
      <w:r>
        <w:rPr>
          <w:spacing w:val="40"/>
          <w:sz w:val="20"/>
        </w:rPr>
        <w:t> </w:t>
      </w:r>
      <w:r>
        <w:rPr>
          <w:sz w:val="20"/>
        </w:rPr>
        <w:t>en</w:t>
      </w:r>
      <w:r>
        <w:rPr>
          <w:spacing w:val="40"/>
          <w:sz w:val="20"/>
        </w:rPr>
        <w:t> </w:t>
      </w:r>
      <w:r>
        <w:rPr>
          <w:sz w:val="20"/>
        </w:rPr>
        <w:t>tanto</w:t>
      </w:r>
      <w:r>
        <w:rPr>
          <w:spacing w:val="40"/>
          <w:sz w:val="20"/>
        </w:rPr>
        <w:t> </w:t>
      </w:r>
      <w:r>
        <w:rPr>
          <w:sz w:val="20"/>
        </w:rPr>
        <w:t>se</w:t>
      </w:r>
      <w:r>
        <w:rPr>
          <w:spacing w:val="40"/>
          <w:sz w:val="20"/>
        </w:rPr>
        <w:t> </w:t>
      </w:r>
      <w:r>
        <w:rPr>
          <w:sz w:val="20"/>
        </w:rPr>
        <w:t>municipalice</w:t>
      </w:r>
      <w:r>
        <w:rPr>
          <w:spacing w:val="40"/>
          <w:sz w:val="20"/>
        </w:rPr>
        <w:t> </w:t>
      </w:r>
      <w:r>
        <w:rPr>
          <w:sz w:val="20"/>
        </w:rPr>
        <w:t>el</w:t>
      </w:r>
      <w:r>
        <w:rPr>
          <w:spacing w:val="40"/>
          <w:sz w:val="20"/>
        </w:rPr>
        <w:t> </w:t>
      </w:r>
      <w:r>
        <w:rPr>
          <w:spacing w:val="-2"/>
          <w:sz w:val="20"/>
        </w:rPr>
        <w:t>fraccionamiento.</w:t>
      </w:r>
    </w:p>
    <w:p>
      <w:pPr>
        <w:pStyle w:val="ListParagraph"/>
        <w:numPr>
          <w:ilvl w:val="1"/>
          <w:numId w:val="138"/>
        </w:numPr>
        <w:tabs>
          <w:tab w:pos="543" w:val="left" w:leader="none"/>
        </w:tabs>
        <w:spacing w:line="240" w:lineRule="auto" w:before="229" w:after="0"/>
        <w:ind w:left="262" w:right="285" w:firstLine="0"/>
        <w:jc w:val="left"/>
        <w:rPr>
          <w:sz w:val="20"/>
        </w:rPr>
      </w:pPr>
      <w:r>
        <w:rPr>
          <w:sz w:val="20"/>
        </w:rPr>
        <w:t>En</w:t>
      </w:r>
      <w:r>
        <w:rPr>
          <w:spacing w:val="-7"/>
          <w:sz w:val="20"/>
        </w:rPr>
        <w:t> </w:t>
      </w:r>
      <w:r>
        <w:rPr>
          <w:sz w:val="20"/>
        </w:rPr>
        <w:t>su</w:t>
      </w:r>
      <w:r>
        <w:rPr>
          <w:spacing w:val="-5"/>
          <w:sz w:val="20"/>
        </w:rPr>
        <w:t> </w:t>
      </w:r>
      <w:r>
        <w:rPr>
          <w:sz w:val="20"/>
        </w:rPr>
        <w:t>caso</w:t>
      </w:r>
      <w:r>
        <w:rPr>
          <w:spacing w:val="-5"/>
          <w:sz w:val="20"/>
        </w:rPr>
        <w:t> </w:t>
      </w:r>
      <w:r>
        <w:rPr>
          <w:sz w:val="20"/>
        </w:rPr>
        <w:t>las</w:t>
      </w:r>
      <w:r>
        <w:rPr>
          <w:spacing w:val="-3"/>
          <w:sz w:val="20"/>
        </w:rPr>
        <w:t> </w:t>
      </w:r>
      <w:r>
        <w:rPr>
          <w:sz w:val="20"/>
        </w:rPr>
        <w:t>demás</w:t>
      </w:r>
      <w:r>
        <w:rPr>
          <w:spacing w:val="-3"/>
          <w:sz w:val="20"/>
        </w:rPr>
        <w:t> </w:t>
      </w:r>
      <w:r>
        <w:rPr>
          <w:sz w:val="20"/>
        </w:rPr>
        <w:t>obligaciones</w:t>
      </w:r>
      <w:r>
        <w:rPr>
          <w:spacing w:val="-6"/>
          <w:sz w:val="20"/>
        </w:rPr>
        <w:t> </w:t>
      </w:r>
      <w:r>
        <w:rPr>
          <w:sz w:val="20"/>
        </w:rPr>
        <w:t>y</w:t>
      </w:r>
      <w:r>
        <w:rPr>
          <w:spacing w:val="-5"/>
          <w:sz w:val="20"/>
        </w:rPr>
        <w:t> </w:t>
      </w:r>
      <w:r>
        <w:rPr>
          <w:sz w:val="20"/>
        </w:rPr>
        <w:t>restricciones</w:t>
      </w:r>
      <w:r>
        <w:rPr>
          <w:spacing w:val="-3"/>
          <w:sz w:val="20"/>
        </w:rPr>
        <w:t> </w:t>
      </w:r>
      <w:r>
        <w:rPr>
          <w:sz w:val="20"/>
        </w:rPr>
        <w:t>que</w:t>
      </w:r>
      <w:r>
        <w:rPr>
          <w:spacing w:val="-5"/>
          <w:sz w:val="20"/>
        </w:rPr>
        <w:t> </w:t>
      </w:r>
      <w:r>
        <w:rPr>
          <w:sz w:val="20"/>
        </w:rPr>
        <w:t>deriven</w:t>
      </w:r>
      <w:r>
        <w:rPr>
          <w:spacing w:val="-5"/>
          <w:sz w:val="20"/>
        </w:rPr>
        <w:t> </w:t>
      </w:r>
      <w:r>
        <w:rPr>
          <w:sz w:val="20"/>
        </w:rPr>
        <w:t>de</w:t>
      </w:r>
      <w:r>
        <w:rPr>
          <w:spacing w:val="-5"/>
          <w:sz w:val="20"/>
        </w:rPr>
        <w:t> </w:t>
      </w:r>
      <w:r>
        <w:rPr>
          <w:sz w:val="20"/>
        </w:rPr>
        <w:t>la</w:t>
      </w:r>
      <w:r>
        <w:rPr>
          <w:spacing w:val="-2"/>
          <w:sz w:val="20"/>
        </w:rPr>
        <w:t> </w:t>
      </w:r>
      <w:r>
        <w:rPr>
          <w:sz w:val="20"/>
        </w:rPr>
        <w:t>licencia</w:t>
      </w:r>
      <w:r>
        <w:rPr>
          <w:spacing w:val="-4"/>
          <w:sz w:val="20"/>
        </w:rPr>
        <w:t> </w:t>
      </w:r>
      <w:r>
        <w:rPr>
          <w:sz w:val="20"/>
        </w:rPr>
        <w:t>de</w:t>
      </w:r>
      <w:r>
        <w:rPr>
          <w:spacing w:val="-5"/>
          <w:sz w:val="20"/>
        </w:rPr>
        <w:t> </w:t>
      </w:r>
      <w:r>
        <w:rPr>
          <w:sz w:val="20"/>
        </w:rPr>
        <w:t>uso</w:t>
      </w:r>
      <w:r>
        <w:rPr>
          <w:spacing w:val="-7"/>
          <w:sz w:val="20"/>
        </w:rPr>
        <w:t> </w:t>
      </w:r>
      <w:r>
        <w:rPr>
          <w:sz w:val="20"/>
        </w:rPr>
        <w:t>de</w:t>
      </w:r>
      <w:r>
        <w:rPr>
          <w:spacing w:val="-5"/>
          <w:sz w:val="20"/>
        </w:rPr>
        <w:t> </w:t>
      </w:r>
      <w:r>
        <w:rPr>
          <w:sz w:val="20"/>
        </w:rPr>
        <w:t>suelo</w:t>
      </w:r>
      <w:r>
        <w:rPr>
          <w:spacing w:val="-5"/>
          <w:sz w:val="20"/>
        </w:rPr>
        <w:t> </w:t>
      </w:r>
      <w:r>
        <w:rPr>
          <w:sz w:val="20"/>
        </w:rPr>
        <w:t>del </w:t>
      </w:r>
      <w:r>
        <w:rPr>
          <w:spacing w:val="-2"/>
          <w:sz w:val="20"/>
        </w:rPr>
        <w:t>fraccionamiento.</w:t>
      </w:r>
    </w:p>
    <w:p>
      <w:pPr>
        <w:pStyle w:val="BodyText"/>
        <w:spacing w:before="1"/>
      </w:pPr>
    </w:p>
    <w:p>
      <w:pPr>
        <w:pStyle w:val="ListParagraph"/>
        <w:numPr>
          <w:ilvl w:val="1"/>
          <w:numId w:val="138"/>
        </w:numPr>
        <w:tabs>
          <w:tab w:pos="599" w:val="left" w:leader="none"/>
        </w:tabs>
        <w:spacing w:line="240" w:lineRule="auto" w:before="0" w:after="0"/>
        <w:ind w:left="262" w:right="288" w:firstLine="0"/>
        <w:jc w:val="left"/>
        <w:rPr>
          <w:sz w:val="20"/>
        </w:rPr>
      </w:pPr>
      <w:r>
        <w:rPr>
          <w:sz w:val="20"/>
        </w:rPr>
        <w:t>La obligación y el plazo para entregar el proyecto definitivo del fraccionamiento, condominio o desarrollo inmobiliario especial, en términos del artículo 430 de este Ordenamiento.</w:t>
      </w:r>
    </w:p>
    <w:p>
      <w:pPr>
        <w:pStyle w:val="BodyText"/>
        <w:spacing w:before="229"/>
        <w:ind w:left="262" w:right="280"/>
        <w:jc w:val="both"/>
      </w:pPr>
      <w:r>
        <w:rPr>
          <w:rFonts w:ascii="Arial" w:hAnsi="Arial"/>
          <w:b/>
        </w:rPr>
        <w:t>ARTÍCULO</w:t>
      </w:r>
      <w:r>
        <w:rPr>
          <w:rFonts w:ascii="Arial" w:hAnsi="Arial"/>
          <w:b/>
          <w:spacing w:val="-5"/>
        </w:rPr>
        <w:t> </w:t>
      </w:r>
      <w:r>
        <w:rPr>
          <w:rFonts w:ascii="Arial" w:hAnsi="Arial"/>
          <w:b/>
        </w:rPr>
        <w:t>430.</w:t>
      </w:r>
      <w:r>
        <w:rPr>
          <w:rFonts w:ascii="Arial" w:hAnsi="Arial"/>
          <w:b/>
          <w:spacing w:val="-4"/>
        </w:rPr>
        <w:t> </w:t>
      </w:r>
      <w:r>
        <w:rPr/>
        <w:t>El</w:t>
      </w:r>
      <w:r>
        <w:rPr>
          <w:spacing w:val="-5"/>
        </w:rPr>
        <w:t> </w:t>
      </w:r>
      <w:r>
        <w:rPr/>
        <w:t>fraccionador</w:t>
      </w:r>
      <w:r>
        <w:rPr>
          <w:spacing w:val="-4"/>
        </w:rPr>
        <w:t> </w:t>
      </w:r>
      <w:r>
        <w:rPr/>
        <w:t>o</w:t>
      </w:r>
      <w:r>
        <w:rPr>
          <w:spacing w:val="-7"/>
        </w:rPr>
        <w:t> </w:t>
      </w:r>
      <w:r>
        <w:rPr/>
        <w:t>promotor</w:t>
      </w:r>
      <w:r>
        <w:rPr>
          <w:spacing w:val="-6"/>
        </w:rPr>
        <w:t> </w:t>
      </w:r>
      <w:r>
        <w:rPr/>
        <w:t>entregará</w:t>
      </w:r>
      <w:r>
        <w:rPr>
          <w:spacing w:val="-5"/>
        </w:rPr>
        <w:t> </w:t>
      </w:r>
      <w:r>
        <w:rPr/>
        <w:t>a</w:t>
      </w:r>
      <w:r>
        <w:rPr>
          <w:spacing w:val="-7"/>
        </w:rPr>
        <w:t> </w:t>
      </w:r>
      <w:r>
        <w:rPr/>
        <w:t>la</w:t>
      </w:r>
      <w:r>
        <w:rPr>
          <w:spacing w:val="-7"/>
        </w:rPr>
        <w:t> </w:t>
      </w:r>
      <w:r>
        <w:rPr/>
        <w:t>Dirección</w:t>
      </w:r>
      <w:r>
        <w:rPr>
          <w:spacing w:val="-5"/>
        </w:rPr>
        <w:t> </w:t>
      </w:r>
      <w:r>
        <w:rPr/>
        <w:t>Municipal,</w:t>
      </w:r>
      <w:r>
        <w:rPr>
          <w:spacing w:val="-5"/>
        </w:rPr>
        <w:t> </w:t>
      </w:r>
      <w:r>
        <w:rPr/>
        <w:t>dentro</w:t>
      </w:r>
      <w:r>
        <w:rPr>
          <w:spacing w:val="-5"/>
        </w:rPr>
        <w:t> </w:t>
      </w:r>
      <w:r>
        <w:rPr/>
        <w:t>de</w:t>
      </w:r>
      <w:r>
        <w:rPr>
          <w:spacing w:val="-5"/>
        </w:rPr>
        <w:t> </w:t>
      </w:r>
      <w:r>
        <w:rPr/>
        <w:t>los</w:t>
      </w:r>
      <w:r>
        <w:rPr>
          <w:spacing w:val="-6"/>
        </w:rPr>
        <w:t> </w:t>
      </w:r>
      <w:r>
        <w:rPr/>
        <w:t>treinta días naturales siguientes en que se le notificó la resolución favorable, el original y tres tantos del proyecto</w:t>
      </w:r>
      <w:r>
        <w:rPr>
          <w:spacing w:val="-14"/>
        </w:rPr>
        <w:t> </w:t>
      </w:r>
      <w:r>
        <w:rPr/>
        <w:t>definitivo</w:t>
      </w:r>
      <w:r>
        <w:rPr>
          <w:spacing w:val="-14"/>
        </w:rPr>
        <w:t> </w:t>
      </w:r>
      <w:r>
        <w:rPr/>
        <w:t>del</w:t>
      </w:r>
      <w:r>
        <w:rPr>
          <w:spacing w:val="-14"/>
        </w:rPr>
        <w:t> </w:t>
      </w:r>
      <w:r>
        <w:rPr/>
        <w:t>fraccionamiento,</w:t>
      </w:r>
      <w:r>
        <w:rPr>
          <w:spacing w:val="-12"/>
        </w:rPr>
        <w:t> </w:t>
      </w:r>
      <w:r>
        <w:rPr/>
        <w:t>condominio</w:t>
      </w:r>
      <w:r>
        <w:rPr>
          <w:spacing w:val="-13"/>
        </w:rPr>
        <w:t> </w:t>
      </w:r>
      <w:r>
        <w:rPr/>
        <w:t>o</w:t>
      </w:r>
      <w:r>
        <w:rPr>
          <w:spacing w:val="-12"/>
        </w:rPr>
        <w:t> </w:t>
      </w:r>
      <w:r>
        <w:rPr/>
        <w:t>desarrollo</w:t>
      </w:r>
      <w:r>
        <w:rPr>
          <w:spacing w:val="-12"/>
        </w:rPr>
        <w:t> </w:t>
      </w:r>
      <w:r>
        <w:rPr/>
        <w:t>inmobiliario</w:t>
      </w:r>
      <w:r>
        <w:rPr>
          <w:spacing w:val="-14"/>
        </w:rPr>
        <w:t> </w:t>
      </w:r>
      <w:r>
        <w:rPr/>
        <w:t>especial,</w:t>
      </w:r>
      <w:r>
        <w:rPr>
          <w:spacing w:val="-12"/>
        </w:rPr>
        <w:t> </w:t>
      </w:r>
      <w:r>
        <w:rPr/>
        <w:t>conforme</w:t>
      </w:r>
      <w:r>
        <w:rPr>
          <w:spacing w:val="-13"/>
        </w:rPr>
        <w:t> </w:t>
      </w:r>
      <w:r>
        <w:rPr/>
        <w:t>a</w:t>
      </w:r>
      <w:r>
        <w:rPr>
          <w:spacing w:val="-12"/>
        </w:rPr>
        <w:t> </w:t>
      </w:r>
      <w:r>
        <w:rPr/>
        <w:t>los lineamientos, características y especificaciones que se deriven de esta Ley y de la autorización respectiva, a efecto de que le sea firmado y sellado en definitiva por el titular de la misma.</w:t>
      </w:r>
    </w:p>
    <w:p>
      <w:pPr>
        <w:pStyle w:val="BodyText"/>
      </w:pPr>
    </w:p>
    <w:p>
      <w:pPr>
        <w:pStyle w:val="BodyText"/>
        <w:ind w:left="262" w:right="278"/>
        <w:jc w:val="both"/>
      </w:pPr>
      <w:r>
        <w:rPr/>
        <w:t>El plano de lotificación o zonificación deberá contener las medidas físicamente reales y georeferenciadas del fraccionamiento, condominio o desarrollo inmobiliario especial respectivo, realizado con las normas de georeferenciación vigentes y ligadas a la Red Geodésica Nacional </w:t>
      </w:r>
      <w:r>
        <w:rPr>
          <w:spacing w:val="-2"/>
        </w:rPr>
        <w:t>Activa.</w:t>
      </w:r>
    </w:p>
    <w:p>
      <w:pPr>
        <w:pStyle w:val="BodyText"/>
      </w:pPr>
    </w:p>
    <w:p>
      <w:pPr>
        <w:pStyle w:val="BodyText"/>
        <w:ind w:left="262" w:right="282"/>
        <w:jc w:val="both"/>
      </w:pPr>
      <w:r>
        <w:rPr>
          <w:rFonts w:ascii="Arial" w:hAnsi="Arial"/>
          <w:b/>
        </w:rPr>
        <w:t>ARTÍCULO 431. </w:t>
      </w:r>
      <w:r>
        <w:rPr/>
        <w:t>Una vez autorizado el fraccionamiento, condominio o desarrollo inmobiliario especial,</w:t>
      </w:r>
      <w:r>
        <w:rPr>
          <w:spacing w:val="-7"/>
        </w:rPr>
        <w:t> </w:t>
      </w:r>
      <w:r>
        <w:rPr/>
        <w:t>la</w:t>
      </w:r>
      <w:r>
        <w:rPr>
          <w:spacing w:val="-7"/>
        </w:rPr>
        <w:t> </w:t>
      </w:r>
      <w:r>
        <w:rPr/>
        <w:t>Dirección</w:t>
      </w:r>
      <w:r>
        <w:rPr>
          <w:spacing w:val="-7"/>
        </w:rPr>
        <w:t> </w:t>
      </w:r>
      <w:r>
        <w:rPr/>
        <w:t>Municipal</w:t>
      </w:r>
      <w:r>
        <w:rPr>
          <w:spacing w:val="-7"/>
        </w:rPr>
        <w:t> </w:t>
      </w:r>
      <w:r>
        <w:rPr/>
        <w:t>remitirá</w:t>
      </w:r>
      <w:r>
        <w:rPr>
          <w:spacing w:val="-9"/>
        </w:rPr>
        <w:t> </w:t>
      </w:r>
      <w:r>
        <w:rPr/>
        <w:t>copia</w:t>
      </w:r>
      <w:r>
        <w:rPr>
          <w:spacing w:val="-9"/>
        </w:rPr>
        <w:t> </w:t>
      </w:r>
      <w:r>
        <w:rPr/>
        <w:t>simple,</w:t>
      </w:r>
      <w:r>
        <w:rPr>
          <w:spacing w:val="-5"/>
        </w:rPr>
        <w:t> </w:t>
      </w:r>
      <w:r>
        <w:rPr/>
        <w:t>sellada</w:t>
      </w:r>
      <w:r>
        <w:rPr>
          <w:spacing w:val="40"/>
        </w:rPr>
        <w:t> </w:t>
      </w:r>
      <w:r>
        <w:rPr/>
        <w:t>y</w:t>
      </w:r>
      <w:r>
        <w:rPr>
          <w:spacing w:val="-5"/>
        </w:rPr>
        <w:t> </w:t>
      </w:r>
      <w:r>
        <w:rPr/>
        <w:t>digitalizada</w:t>
      </w:r>
      <w:r>
        <w:rPr>
          <w:spacing w:val="-7"/>
        </w:rPr>
        <w:t> </w:t>
      </w:r>
      <w:r>
        <w:rPr/>
        <w:t>de</w:t>
      </w:r>
      <w:r>
        <w:rPr>
          <w:spacing w:val="-7"/>
        </w:rPr>
        <w:t> </w:t>
      </w:r>
      <w:r>
        <w:rPr/>
        <w:t>los</w:t>
      </w:r>
      <w:r>
        <w:rPr>
          <w:spacing w:val="-8"/>
        </w:rPr>
        <w:t> </w:t>
      </w:r>
      <w:r>
        <w:rPr/>
        <w:t>planos</w:t>
      </w:r>
      <w:r>
        <w:rPr>
          <w:spacing w:val="-5"/>
        </w:rPr>
        <w:t> </w:t>
      </w:r>
      <w:r>
        <w:rPr/>
        <w:t>definitivos de lotificación o zonificación y de la memoria descriptiva de lotes o predios al Instituto Registral y Catastral del Estado y al Catastro Municipal correspondiente.</w:t>
      </w:r>
    </w:p>
    <w:p>
      <w:pPr>
        <w:pStyle w:val="BodyText"/>
      </w:pPr>
    </w:p>
    <w:p>
      <w:pPr>
        <w:pStyle w:val="BodyText"/>
        <w:ind w:left="262" w:right="283"/>
        <w:jc w:val="both"/>
      </w:pPr>
      <w:r>
        <w:rPr>
          <w:rFonts w:ascii="Arial" w:hAnsi="Arial"/>
          <w:b/>
        </w:rPr>
        <w:t>ARTÍCULO 432. </w:t>
      </w:r>
      <w:r>
        <w:rPr/>
        <w:t>Los planos que</w:t>
      </w:r>
      <w:r>
        <w:rPr>
          <w:spacing w:val="-1"/>
        </w:rPr>
        <w:t> </w:t>
      </w:r>
      <w:r>
        <w:rPr/>
        <w:t>se</w:t>
      </w:r>
      <w:r>
        <w:rPr>
          <w:spacing w:val="-1"/>
        </w:rPr>
        <w:t> </w:t>
      </w:r>
      <w:r>
        <w:rPr/>
        <w:t>envíen</w:t>
      </w:r>
      <w:r>
        <w:rPr>
          <w:spacing w:val="-1"/>
        </w:rPr>
        <w:t> </w:t>
      </w:r>
      <w:r>
        <w:rPr/>
        <w:t>al</w:t>
      </w:r>
      <w:r>
        <w:rPr>
          <w:spacing w:val="-1"/>
        </w:rPr>
        <w:t> </w:t>
      </w:r>
      <w:r>
        <w:rPr/>
        <w:t>Catastro respectivo,</w:t>
      </w:r>
      <w:r>
        <w:rPr>
          <w:spacing w:val="-1"/>
        </w:rPr>
        <w:t> </w:t>
      </w:r>
      <w:r>
        <w:rPr/>
        <w:t>deberán</w:t>
      </w:r>
      <w:r>
        <w:rPr>
          <w:spacing w:val="-1"/>
        </w:rPr>
        <w:t> </w:t>
      </w:r>
      <w:r>
        <w:rPr/>
        <w:t>especificar la</w:t>
      </w:r>
      <w:r>
        <w:rPr>
          <w:spacing w:val="-1"/>
        </w:rPr>
        <w:t> </w:t>
      </w:r>
      <w:r>
        <w:rPr/>
        <w:t>ubicación oficial</w:t>
      </w:r>
      <w:r>
        <w:rPr>
          <w:spacing w:val="-6"/>
        </w:rPr>
        <w:t> </w:t>
      </w:r>
      <w:r>
        <w:rPr/>
        <w:t>del</w:t>
      </w:r>
      <w:r>
        <w:rPr>
          <w:spacing w:val="-6"/>
        </w:rPr>
        <w:t> </w:t>
      </w:r>
      <w:r>
        <w:rPr/>
        <w:t>fraccionamiento,</w:t>
      </w:r>
      <w:r>
        <w:rPr>
          <w:spacing w:val="-5"/>
        </w:rPr>
        <w:t> </w:t>
      </w:r>
      <w:r>
        <w:rPr/>
        <w:t>condominio</w:t>
      </w:r>
      <w:r>
        <w:rPr>
          <w:spacing w:val="-5"/>
        </w:rPr>
        <w:t> </w:t>
      </w:r>
      <w:r>
        <w:rPr/>
        <w:t>o</w:t>
      </w:r>
      <w:r>
        <w:rPr>
          <w:spacing w:val="-8"/>
        </w:rPr>
        <w:t> </w:t>
      </w:r>
      <w:r>
        <w:rPr/>
        <w:t>desarrollo</w:t>
      </w:r>
      <w:r>
        <w:rPr>
          <w:spacing w:val="-8"/>
        </w:rPr>
        <w:t> </w:t>
      </w:r>
      <w:r>
        <w:rPr/>
        <w:t>inmobiliario</w:t>
      </w:r>
      <w:r>
        <w:rPr>
          <w:spacing w:val="-8"/>
        </w:rPr>
        <w:t> </w:t>
      </w:r>
      <w:r>
        <w:rPr/>
        <w:t>especial,</w:t>
      </w:r>
      <w:r>
        <w:rPr>
          <w:spacing w:val="-7"/>
        </w:rPr>
        <w:t> </w:t>
      </w:r>
      <w:r>
        <w:rPr/>
        <w:t>así</w:t>
      </w:r>
      <w:r>
        <w:rPr>
          <w:spacing w:val="-7"/>
        </w:rPr>
        <w:t> </w:t>
      </w:r>
      <w:r>
        <w:rPr/>
        <w:t>como</w:t>
      </w:r>
      <w:r>
        <w:rPr>
          <w:spacing w:val="40"/>
        </w:rPr>
        <w:t> </w:t>
      </w:r>
      <w:r>
        <w:rPr/>
        <w:t>la</w:t>
      </w:r>
      <w:r>
        <w:rPr>
          <w:spacing w:val="-6"/>
        </w:rPr>
        <w:t> </w:t>
      </w:r>
      <w:r>
        <w:rPr/>
        <w:t>nomenclatura autorizada de todas las calles o vialidades.</w:t>
      </w:r>
    </w:p>
    <w:p>
      <w:pPr>
        <w:pStyle w:val="BodyText"/>
      </w:pPr>
    </w:p>
    <w:p>
      <w:pPr>
        <w:pStyle w:val="BodyText"/>
      </w:pPr>
    </w:p>
    <w:p>
      <w:pPr>
        <w:pStyle w:val="Heading2"/>
        <w:ind w:left="10" w:right="24"/>
      </w:pPr>
      <w:r>
        <w:rPr/>
        <w:t>Capítulo</w:t>
      </w:r>
      <w:r>
        <w:rPr>
          <w:spacing w:val="-8"/>
        </w:rPr>
        <w:t> </w:t>
      </w:r>
      <w:r>
        <w:rPr>
          <w:spacing w:val="-5"/>
        </w:rPr>
        <w:t>VI</w:t>
      </w:r>
    </w:p>
    <w:p>
      <w:pPr>
        <w:pStyle w:val="BodyText"/>
        <w:spacing w:before="1"/>
        <w:rPr>
          <w:rFonts w:ascii="Arial"/>
          <w:b/>
        </w:rPr>
      </w:pPr>
    </w:p>
    <w:p>
      <w:pPr>
        <w:spacing w:before="0"/>
        <w:ind w:left="5" w:right="24" w:firstLine="0"/>
        <w:jc w:val="center"/>
        <w:rPr>
          <w:rFonts w:ascii="Arial" w:hAnsi="Arial"/>
          <w:b/>
          <w:sz w:val="20"/>
        </w:rPr>
      </w:pPr>
      <w:r>
        <w:rPr>
          <w:rFonts w:ascii="Arial" w:hAnsi="Arial"/>
          <w:b/>
          <w:sz w:val="20"/>
        </w:rPr>
        <w:t>Cesión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Derechos</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Obligaciones</w:t>
      </w:r>
    </w:p>
    <w:p>
      <w:pPr>
        <w:spacing w:after="0"/>
        <w:jc w:val="center"/>
        <w:rPr>
          <w:rFonts w:ascii="Arial" w:hAnsi="Arial"/>
          <w:b/>
          <w:sz w:val="20"/>
        </w:rPr>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78"/>
        <w:jc w:val="both"/>
      </w:pPr>
      <w:r>
        <w:rPr>
          <w:rFonts w:ascii="Arial" w:hAnsi="Arial"/>
          <w:b/>
        </w:rPr>
        <w:t>ARTÍCULO 433. </w:t>
      </w:r>
      <w:r>
        <w:rPr/>
        <w:t>Los fraccionadores o promotores podrán ceder parcial o totalmente sus derechos y obligaciones respecto a su fraccionamiento, condominio o desarrollo inmobiliario especial, previa autorización</w:t>
      </w:r>
      <w:r>
        <w:rPr>
          <w:spacing w:val="-10"/>
        </w:rPr>
        <w:t> </w:t>
      </w:r>
      <w:r>
        <w:rPr/>
        <w:t>de</w:t>
      </w:r>
      <w:r>
        <w:rPr>
          <w:spacing w:val="-9"/>
        </w:rPr>
        <w:t> </w:t>
      </w:r>
      <w:r>
        <w:rPr/>
        <w:t>la</w:t>
      </w:r>
      <w:r>
        <w:rPr>
          <w:spacing w:val="-9"/>
        </w:rPr>
        <w:t> </w:t>
      </w:r>
      <w:r>
        <w:rPr/>
        <w:t>Dirección</w:t>
      </w:r>
      <w:r>
        <w:rPr>
          <w:spacing w:val="-10"/>
        </w:rPr>
        <w:t> </w:t>
      </w:r>
      <w:r>
        <w:rPr/>
        <w:t>Municipal</w:t>
      </w:r>
      <w:r>
        <w:rPr>
          <w:spacing w:val="-12"/>
        </w:rPr>
        <w:t> </w:t>
      </w:r>
      <w:r>
        <w:rPr/>
        <w:t>y</w:t>
      </w:r>
      <w:r>
        <w:rPr>
          <w:spacing w:val="-8"/>
        </w:rPr>
        <w:t> </w:t>
      </w:r>
      <w:r>
        <w:rPr/>
        <w:t>habiendo</w:t>
      </w:r>
      <w:r>
        <w:rPr>
          <w:spacing w:val="-9"/>
        </w:rPr>
        <w:t> </w:t>
      </w:r>
      <w:r>
        <w:rPr/>
        <w:t>cumplido</w:t>
      </w:r>
      <w:r>
        <w:rPr>
          <w:spacing w:val="-9"/>
        </w:rPr>
        <w:t> </w:t>
      </w:r>
      <w:r>
        <w:rPr/>
        <w:t>o</w:t>
      </w:r>
      <w:r>
        <w:rPr>
          <w:spacing w:val="-11"/>
        </w:rPr>
        <w:t> </w:t>
      </w:r>
      <w:r>
        <w:rPr/>
        <w:t>comprometido</w:t>
      </w:r>
      <w:r>
        <w:rPr>
          <w:spacing w:val="-10"/>
        </w:rPr>
        <w:t> </w:t>
      </w:r>
      <w:r>
        <w:rPr/>
        <w:t>a</w:t>
      </w:r>
      <w:r>
        <w:rPr>
          <w:spacing w:val="-9"/>
        </w:rPr>
        <w:t> </w:t>
      </w:r>
      <w:r>
        <w:rPr/>
        <w:t>cumplir</w:t>
      </w:r>
      <w:r>
        <w:rPr>
          <w:spacing w:val="-8"/>
        </w:rPr>
        <w:t> </w:t>
      </w:r>
      <w:r>
        <w:rPr/>
        <w:t>el</w:t>
      </w:r>
      <w:r>
        <w:rPr>
          <w:spacing w:val="-12"/>
        </w:rPr>
        <w:t> </w:t>
      </w:r>
      <w:r>
        <w:rPr/>
        <w:t>cedente</w:t>
      </w:r>
      <w:r>
        <w:rPr>
          <w:spacing w:val="-11"/>
        </w:rPr>
        <w:t> </w:t>
      </w:r>
      <w:r>
        <w:rPr/>
        <w:t>y/o cesionario con los requisitos que establecen los artículos 465, 466, 467, 468, y demás relativos de esta Ley.</w:t>
      </w:r>
    </w:p>
    <w:p>
      <w:pPr>
        <w:pStyle w:val="BodyText"/>
      </w:pPr>
    </w:p>
    <w:p>
      <w:pPr>
        <w:pStyle w:val="BodyText"/>
        <w:ind w:left="262" w:right="287"/>
        <w:jc w:val="both"/>
      </w:pPr>
      <w:r>
        <w:rPr/>
        <w:t>La Dirección Municipal</w:t>
      </w:r>
      <w:r>
        <w:rPr>
          <w:spacing w:val="-1"/>
        </w:rPr>
        <w:t> </w:t>
      </w:r>
      <w:r>
        <w:rPr/>
        <w:t>no otorgará dicha autorización, si el</w:t>
      </w:r>
      <w:r>
        <w:rPr>
          <w:spacing w:val="-1"/>
        </w:rPr>
        <w:t> </w:t>
      </w:r>
      <w:r>
        <w:rPr/>
        <w:t>cesionario cuenta con antecedentes de incumplimiento imputables a él, respecto del proyecto en cuestión u otros fraccionamientos, condominios o desarrollos inmobiliarios especiales.</w:t>
      </w:r>
    </w:p>
    <w:p>
      <w:pPr>
        <w:pStyle w:val="BodyText"/>
        <w:spacing w:before="2"/>
      </w:pPr>
    </w:p>
    <w:p>
      <w:pPr>
        <w:pStyle w:val="BodyText"/>
        <w:ind w:left="262" w:right="289"/>
        <w:jc w:val="both"/>
      </w:pPr>
      <w:r>
        <w:rPr/>
        <w:t>La persona física o moral cesionaria, se subrogará parcial o totalmente en los derechos y obligaciones que le establecen esta Ley y la autorización respectiva al fraccionador o promotor </w:t>
      </w:r>
      <w:r>
        <w:rPr>
          <w:spacing w:val="-2"/>
        </w:rPr>
        <w:t>original.</w:t>
      </w:r>
    </w:p>
    <w:p>
      <w:pPr>
        <w:pStyle w:val="BodyText"/>
        <w:spacing w:before="230"/>
        <w:ind w:left="262" w:right="279"/>
        <w:jc w:val="both"/>
      </w:pPr>
      <w:r>
        <w:rPr>
          <w:rFonts w:ascii="Arial" w:hAnsi="Arial"/>
          <w:b/>
        </w:rPr>
        <w:t>ARTÍCULO 434. </w:t>
      </w:r>
      <w:r>
        <w:rPr/>
        <w:t>Los propietarios de fraccionamientos, condominios o desarrollos inmobiliarios especiales, de cualesquiera de los tipos señalados en esta Ley, que hayan sido ejecutados sin la previa autorización, deberán solicitar la regularización de los mismos, acompañando a la solicitud, la</w:t>
      </w:r>
      <w:r>
        <w:rPr>
          <w:spacing w:val="-10"/>
        </w:rPr>
        <w:t> </w:t>
      </w:r>
      <w:r>
        <w:rPr/>
        <w:t>documentación</w:t>
      </w:r>
      <w:r>
        <w:rPr>
          <w:spacing w:val="-10"/>
        </w:rPr>
        <w:t> </w:t>
      </w:r>
      <w:r>
        <w:rPr/>
        <w:t>conducente</w:t>
      </w:r>
      <w:r>
        <w:rPr>
          <w:spacing w:val="-10"/>
        </w:rPr>
        <w:t> </w:t>
      </w:r>
      <w:r>
        <w:rPr/>
        <w:t>que</w:t>
      </w:r>
      <w:r>
        <w:rPr>
          <w:spacing w:val="-10"/>
        </w:rPr>
        <w:t> </w:t>
      </w:r>
      <w:r>
        <w:rPr/>
        <w:t>este</w:t>
      </w:r>
      <w:r>
        <w:rPr>
          <w:spacing w:val="-10"/>
        </w:rPr>
        <w:t> </w:t>
      </w:r>
      <w:r>
        <w:rPr/>
        <w:t>ordenamiento</w:t>
      </w:r>
      <w:r>
        <w:rPr>
          <w:spacing w:val="-8"/>
        </w:rPr>
        <w:t> </w:t>
      </w:r>
      <w:r>
        <w:rPr/>
        <w:t>señala,</w:t>
      </w:r>
      <w:r>
        <w:rPr>
          <w:spacing w:val="-10"/>
        </w:rPr>
        <w:t> </w:t>
      </w:r>
      <w:r>
        <w:rPr/>
        <w:t>independientemente</w:t>
      </w:r>
      <w:r>
        <w:rPr>
          <w:spacing w:val="-10"/>
        </w:rPr>
        <w:t> </w:t>
      </w:r>
      <w:r>
        <w:rPr/>
        <w:t>de</w:t>
      </w:r>
      <w:r>
        <w:rPr>
          <w:spacing w:val="-10"/>
        </w:rPr>
        <w:t> </w:t>
      </w:r>
      <w:r>
        <w:rPr/>
        <w:t>las</w:t>
      </w:r>
      <w:r>
        <w:rPr>
          <w:spacing w:val="-9"/>
        </w:rPr>
        <w:t> </w:t>
      </w:r>
      <w:r>
        <w:rPr/>
        <w:t>sanciones administrativas, civiles y penales a que se hagan acreedores, en términos de las leyes aplicables.</w:t>
      </w:r>
    </w:p>
    <w:p>
      <w:pPr>
        <w:pStyle w:val="BodyText"/>
      </w:pPr>
    </w:p>
    <w:p>
      <w:pPr>
        <w:pStyle w:val="BodyText"/>
      </w:pPr>
    </w:p>
    <w:p>
      <w:pPr>
        <w:spacing w:before="0"/>
        <w:ind w:left="0" w:right="18" w:firstLine="0"/>
        <w:jc w:val="center"/>
        <w:rPr>
          <w:rFonts w:ascii="Arial" w:hAnsi="Arial"/>
          <w:b/>
          <w:sz w:val="20"/>
        </w:rPr>
      </w:pPr>
      <w:r>
        <w:rPr>
          <w:rFonts w:ascii="Arial" w:hAnsi="Arial"/>
          <w:b/>
          <w:sz w:val="20"/>
        </w:rPr>
        <w:t>TITÚLO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NOVENO</w:t>
      </w:r>
    </w:p>
    <w:p>
      <w:pPr>
        <w:spacing w:before="229"/>
        <w:ind w:left="1543" w:right="1563" w:firstLine="0"/>
        <w:jc w:val="center"/>
        <w:rPr>
          <w:rFonts w:ascii="Arial" w:hAnsi="Arial"/>
          <w:b/>
          <w:sz w:val="20"/>
        </w:rPr>
      </w:pPr>
      <w:r>
        <w:rPr>
          <w:rFonts w:ascii="Arial" w:hAnsi="Arial"/>
          <w:b/>
          <w:sz w:val="20"/>
        </w:rPr>
        <w:t>URBANIZACIÓN,</w:t>
      </w:r>
      <w:r>
        <w:rPr>
          <w:rFonts w:ascii="Arial" w:hAnsi="Arial"/>
          <w:b/>
          <w:spacing w:val="-9"/>
          <w:sz w:val="20"/>
        </w:rPr>
        <w:t> </w:t>
      </w:r>
      <w:r>
        <w:rPr>
          <w:rFonts w:ascii="Arial" w:hAnsi="Arial"/>
          <w:b/>
          <w:sz w:val="20"/>
        </w:rPr>
        <w:t>SUPERVISIÓN</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PRESTACIÓN</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SERVICIOS EN LOS FRACCIONAMIENTOS, CONDOMINIOS</w:t>
      </w:r>
    </w:p>
    <w:p>
      <w:pPr>
        <w:spacing w:before="1"/>
        <w:ind w:left="0" w:right="18" w:firstLine="0"/>
        <w:jc w:val="center"/>
        <w:rPr>
          <w:rFonts w:ascii="Arial"/>
          <w:b/>
          <w:sz w:val="20"/>
        </w:rPr>
      </w:pPr>
      <w:r>
        <w:rPr>
          <w:rFonts w:ascii="Arial"/>
          <w:b/>
          <w:sz w:val="20"/>
        </w:rPr>
        <w:t>Y</w:t>
      </w:r>
      <w:r>
        <w:rPr>
          <w:rFonts w:ascii="Arial"/>
          <w:b/>
          <w:spacing w:val="-14"/>
          <w:sz w:val="20"/>
        </w:rPr>
        <w:t> </w:t>
      </w:r>
      <w:r>
        <w:rPr>
          <w:rFonts w:ascii="Arial"/>
          <w:b/>
          <w:sz w:val="20"/>
        </w:rPr>
        <w:t>DESARROLLOS</w:t>
      </w:r>
      <w:r>
        <w:rPr>
          <w:rFonts w:ascii="Arial"/>
          <w:b/>
          <w:spacing w:val="-12"/>
          <w:sz w:val="20"/>
        </w:rPr>
        <w:t> </w:t>
      </w:r>
      <w:r>
        <w:rPr>
          <w:rFonts w:ascii="Arial"/>
          <w:b/>
          <w:sz w:val="20"/>
        </w:rPr>
        <w:t>INMOBILIARIOS</w:t>
      </w:r>
      <w:r>
        <w:rPr>
          <w:rFonts w:ascii="Arial"/>
          <w:b/>
          <w:spacing w:val="-9"/>
          <w:sz w:val="20"/>
        </w:rPr>
        <w:t> </w:t>
      </w:r>
      <w:r>
        <w:rPr>
          <w:rFonts w:ascii="Arial"/>
          <w:b/>
          <w:spacing w:val="-2"/>
          <w:sz w:val="20"/>
        </w:rPr>
        <w:t>ESPECIALES</w:t>
      </w:r>
    </w:p>
    <w:p>
      <w:pPr>
        <w:pStyle w:val="BodyText"/>
        <w:spacing w:before="228"/>
        <w:rPr>
          <w:rFonts w:ascii="Arial"/>
          <w:b/>
        </w:rPr>
      </w:pPr>
    </w:p>
    <w:p>
      <w:pPr>
        <w:pStyle w:val="Heading2"/>
        <w:spacing w:line="480" w:lineRule="auto" w:before="1"/>
        <w:ind w:left="4045" w:right="4061" w:hanging="2"/>
      </w:pPr>
      <w:r>
        <w:rPr/>
        <w:t>Capítulo I </w:t>
      </w:r>
      <w:r>
        <w:rPr>
          <w:spacing w:val="-2"/>
        </w:rPr>
        <w:t>Urbanización</w:t>
      </w:r>
    </w:p>
    <w:p>
      <w:pPr>
        <w:pStyle w:val="BodyText"/>
        <w:spacing w:before="1"/>
        <w:ind w:left="262" w:right="278"/>
        <w:jc w:val="both"/>
      </w:pPr>
      <w:r>
        <w:rPr>
          <w:rFonts w:ascii="Arial" w:hAnsi="Arial"/>
          <w:b/>
        </w:rPr>
        <w:t>ARTÍCULO</w:t>
      </w:r>
      <w:r>
        <w:rPr>
          <w:rFonts w:ascii="Arial" w:hAnsi="Arial"/>
          <w:b/>
          <w:spacing w:val="-14"/>
        </w:rPr>
        <w:t> </w:t>
      </w:r>
      <w:r>
        <w:rPr>
          <w:rFonts w:ascii="Arial" w:hAnsi="Arial"/>
          <w:b/>
        </w:rPr>
        <w:t>435.</w:t>
      </w:r>
      <w:r>
        <w:rPr>
          <w:rFonts w:ascii="Arial" w:hAnsi="Arial"/>
          <w:b/>
          <w:spacing w:val="-13"/>
        </w:rPr>
        <w:t> </w:t>
      </w:r>
      <w:r>
        <w:rPr/>
        <w:t>El</w:t>
      </w:r>
      <w:r>
        <w:rPr>
          <w:spacing w:val="-14"/>
        </w:rPr>
        <w:t> </w:t>
      </w:r>
      <w:r>
        <w:rPr/>
        <w:t>fraccionador</w:t>
      </w:r>
      <w:r>
        <w:rPr>
          <w:spacing w:val="-13"/>
        </w:rPr>
        <w:t> </w:t>
      </w:r>
      <w:r>
        <w:rPr/>
        <w:t>o</w:t>
      </w:r>
      <w:r>
        <w:rPr>
          <w:spacing w:val="-14"/>
        </w:rPr>
        <w:t> </w:t>
      </w:r>
      <w:r>
        <w:rPr/>
        <w:t>promotor</w:t>
      </w:r>
      <w:r>
        <w:rPr>
          <w:spacing w:val="-13"/>
        </w:rPr>
        <w:t> </w:t>
      </w:r>
      <w:r>
        <w:rPr/>
        <w:t>podrá</w:t>
      </w:r>
      <w:r>
        <w:rPr>
          <w:spacing w:val="-13"/>
        </w:rPr>
        <w:t> </w:t>
      </w:r>
      <w:r>
        <w:rPr/>
        <w:t>pedir</w:t>
      </w:r>
      <w:r>
        <w:rPr>
          <w:spacing w:val="-13"/>
        </w:rPr>
        <w:t> </w:t>
      </w:r>
      <w:r>
        <w:rPr/>
        <w:t>a</w:t>
      </w:r>
      <w:r>
        <w:rPr>
          <w:spacing w:val="-14"/>
        </w:rPr>
        <w:t> </w:t>
      </w:r>
      <w:r>
        <w:rPr/>
        <w:t>la</w:t>
      </w:r>
      <w:r>
        <w:rPr>
          <w:spacing w:val="-14"/>
        </w:rPr>
        <w:t> </w:t>
      </w:r>
      <w:r>
        <w:rPr/>
        <w:t>Dirección</w:t>
      </w:r>
      <w:r>
        <w:rPr>
          <w:spacing w:val="-14"/>
        </w:rPr>
        <w:t> </w:t>
      </w:r>
      <w:r>
        <w:rPr/>
        <w:t>Municipal,</w:t>
      </w:r>
      <w:r>
        <w:rPr>
          <w:spacing w:val="-14"/>
        </w:rPr>
        <w:t> </w:t>
      </w:r>
      <w:r>
        <w:rPr/>
        <w:t>una</w:t>
      </w:r>
      <w:r>
        <w:rPr>
          <w:spacing w:val="-14"/>
        </w:rPr>
        <w:t> </w:t>
      </w:r>
      <w:r>
        <w:rPr/>
        <w:t>vez</w:t>
      </w:r>
      <w:r>
        <w:rPr>
          <w:spacing w:val="-13"/>
        </w:rPr>
        <w:t> </w:t>
      </w:r>
      <w:r>
        <w:rPr/>
        <w:t>que</w:t>
      </w:r>
      <w:r>
        <w:rPr>
          <w:spacing w:val="-14"/>
        </w:rPr>
        <w:t> </w:t>
      </w:r>
      <w:r>
        <w:rPr/>
        <w:t>cuente con la autorización del fraccionamiento, que le autorice la edificación de prototipos muestra de viviendas,</w:t>
      </w:r>
      <w:r>
        <w:rPr>
          <w:spacing w:val="-14"/>
        </w:rPr>
        <w:t> </w:t>
      </w:r>
      <w:r>
        <w:rPr/>
        <w:t>departamentos</w:t>
      </w:r>
      <w:r>
        <w:rPr>
          <w:spacing w:val="-14"/>
        </w:rPr>
        <w:t> </w:t>
      </w:r>
      <w:r>
        <w:rPr/>
        <w:t>o</w:t>
      </w:r>
      <w:r>
        <w:rPr>
          <w:spacing w:val="-14"/>
        </w:rPr>
        <w:t> </w:t>
      </w:r>
      <w:r>
        <w:rPr/>
        <w:t>locales,</w:t>
      </w:r>
      <w:r>
        <w:rPr>
          <w:spacing w:val="-14"/>
        </w:rPr>
        <w:t> </w:t>
      </w:r>
      <w:r>
        <w:rPr/>
        <w:t>la</w:t>
      </w:r>
      <w:r>
        <w:rPr>
          <w:spacing w:val="-14"/>
        </w:rPr>
        <w:t> </w:t>
      </w:r>
      <w:r>
        <w:rPr/>
        <w:t>construcción</w:t>
      </w:r>
      <w:r>
        <w:rPr>
          <w:spacing w:val="-14"/>
        </w:rPr>
        <w:t> </w:t>
      </w:r>
      <w:r>
        <w:rPr/>
        <w:t>de</w:t>
      </w:r>
      <w:r>
        <w:rPr>
          <w:spacing w:val="-14"/>
        </w:rPr>
        <w:t> </w:t>
      </w:r>
      <w:r>
        <w:rPr/>
        <w:t>sus</w:t>
      </w:r>
      <w:r>
        <w:rPr>
          <w:spacing w:val="-14"/>
        </w:rPr>
        <w:t> </w:t>
      </w:r>
      <w:r>
        <w:rPr/>
        <w:t>oficinas</w:t>
      </w:r>
      <w:r>
        <w:rPr>
          <w:spacing w:val="-14"/>
        </w:rPr>
        <w:t> </w:t>
      </w:r>
      <w:r>
        <w:rPr/>
        <w:t>de</w:t>
      </w:r>
      <w:r>
        <w:rPr>
          <w:spacing w:val="-13"/>
        </w:rPr>
        <w:t> </w:t>
      </w:r>
      <w:r>
        <w:rPr/>
        <w:t>comercialización</w:t>
      </w:r>
      <w:r>
        <w:rPr>
          <w:spacing w:val="-14"/>
        </w:rPr>
        <w:t> </w:t>
      </w:r>
      <w:r>
        <w:rPr/>
        <w:t>y</w:t>
      </w:r>
      <w:r>
        <w:rPr>
          <w:spacing w:val="-14"/>
        </w:rPr>
        <w:t> </w:t>
      </w:r>
      <w:r>
        <w:rPr/>
        <w:t>de</w:t>
      </w:r>
      <w:r>
        <w:rPr>
          <w:spacing w:val="-14"/>
        </w:rPr>
        <w:t> </w:t>
      </w:r>
      <w:r>
        <w:rPr/>
        <w:t>accesos principales y monumentales.</w:t>
      </w:r>
    </w:p>
    <w:p>
      <w:pPr>
        <w:pStyle w:val="BodyText"/>
      </w:pPr>
    </w:p>
    <w:p>
      <w:pPr>
        <w:pStyle w:val="BodyText"/>
        <w:ind w:left="262" w:right="280"/>
        <w:jc w:val="both"/>
      </w:pPr>
      <w:r>
        <w:rPr>
          <w:rFonts w:ascii="Arial" w:hAnsi="Arial"/>
          <w:b/>
        </w:rPr>
        <w:t>ARTÍCULO 436. </w:t>
      </w:r>
      <w:r>
        <w:rPr/>
        <w:t>Una vez que se cuente con la autorización del fraccionamiento, condominio o desarrollo</w:t>
      </w:r>
      <w:r>
        <w:rPr>
          <w:spacing w:val="-4"/>
        </w:rPr>
        <w:t> </w:t>
      </w:r>
      <w:r>
        <w:rPr/>
        <w:t>inmobiliario</w:t>
      </w:r>
      <w:r>
        <w:rPr>
          <w:spacing w:val="-3"/>
        </w:rPr>
        <w:t> </w:t>
      </w:r>
      <w:r>
        <w:rPr/>
        <w:t>especial,</w:t>
      </w:r>
      <w:r>
        <w:rPr>
          <w:spacing w:val="-4"/>
        </w:rPr>
        <w:t> </w:t>
      </w:r>
      <w:r>
        <w:rPr/>
        <w:t>se</w:t>
      </w:r>
      <w:r>
        <w:rPr>
          <w:spacing w:val="-4"/>
        </w:rPr>
        <w:t> </w:t>
      </w:r>
      <w:r>
        <w:rPr/>
        <w:t>solicitará</w:t>
      </w:r>
      <w:r>
        <w:rPr>
          <w:spacing w:val="-4"/>
        </w:rPr>
        <w:t> </w:t>
      </w:r>
      <w:r>
        <w:rPr/>
        <w:t>la</w:t>
      </w:r>
      <w:r>
        <w:rPr>
          <w:spacing w:val="-4"/>
        </w:rPr>
        <w:t> </w:t>
      </w:r>
      <w:r>
        <w:rPr/>
        <w:t>licencia</w:t>
      </w:r>
      <w:r>
        <w:rPr>
          <w:spacing w:val="-4"/>
        </w:rPr>
        <w:t> </w:t>
      </w:r>
      <w:r>
        <w:rPr/>
        <w:t>de</w:t>
      </w:r>
      <w:r>
        <w:rPr>
          <w:spacing w:val="-4"/>
        </w:rPr>
        <w:t> </w:t>
      </w:r>
      <w:r>
        <w:rPr/>
        <w:t>construcción</w:t>
      </w:r>
      <w:r>
        <w:rPr>
          <w:spacing w:val="-3"/>
        </w:rPr>
        <w:t> </w:t>
      </w:r>
      <w:r>
        <w:rPr/>
        <w:t>para</w:t>
      </w:r>
      <w:r>
        <w:rPr>
          <w:spacing w:val="-4"/>
        </w:rPr>
        <w:t> </w:t>
      </w:r>
      <w:r>
        <w:rPr/>
        <w:t>urbanizar</w:t>
      </w:r>
      <w:r>
        <w:rPr>
          <w:spacing w:val="-4"/>
        </w:rPr>
        <w:t> </w:t>
      </w:r>
      <w:r>
        <w:rPr/>
        <w:t>el</w:t>
      </w:r>
      <w:r>
        <w:rPr>
          <w:spacing w:val="-5"/>
        </w:rPr>
        <w:t> </w:t>
      </w:r>
      <w:r>
        <w:rPr/>
        <w:t>mismo,</w:t>
      </w:r>
      <w:r>
        <w:rPr>
          <w:spacing w:val="-4"/>
        </w:rPr>
        <w:t> </w:t>
      </w:r>
      <w:r>
        <w:rPr/>
        <w:t>en términos de lo dispuesto en el artículo 305 fracción VI de esta Ley.</w:t>
      </w:r>
    </w:p>
    <w:p>
      <w:pPr>
        <w:pStyle w:val="BodyText"/>
      </w:pPr>
    </w:p>
    <w:p>
      <w:pPr>
        <w:pStyle w:val="BodyText"/>
        <w:ind w:left="262" w:right="286"/>
        <w:jc w:val="both"/>
      </w:pPr>
      <w:r>
        <w:rPr/>
        <w:t>En este</w:t>
      </w:r>
      <w:r>
        <w:rPr>
          <w:spacing w:val="-2"/>
        </w:rPr>
        <w:t> </w:t>
      </w:r>
      <w:r>
        <w:rPr/>
        <w:t>caso, la licencia de construcción que</w:t>
      </w:r>
      <w:r>
        <w:rPr>
          <w:spacing w:val="-2"/>
        </w:rPr>
        <w:t> </w:t>
      </w:r>
      <w:r>
        <w:rPr/>
        <w:t>se otorgue</w:t>
      </w:r>
      <w:r>
        <w:rPr>
          <w:spacing w:val="-3"/>
        </w:rPr>
        <w:t> </w:t>
      </w:r>
      <w:r>
        <w:rPr/>
        <w:t>en</w:t>
      </w:r>
      <w:r>
        <w:rPr>
          <w:spacing w:val="-2"/>
        </w:rPr>
        <w:t> </w:t>
      </w:r>
      <w:r>
        <w:rPr/>
        <w:t>términos</w:t>
      </w:r>
      <w:r>
        <w:rPr>
          <w:spacing w:val="-1"/>
        </w:rPr>
        <w:t> </w:t>
      </w:r>
      <w:r>
        <w:rPr/>
        <w:t>del</w:t>
      </w:r>
      <w:r>
        <w:rPr>
          <w:spacing w:val="-1"/>
        </w:rPr>
        <w:t> </w:t>
      </w:r>
      <w:r>
        <w:rPr/>
        <w:t>artículo citado,</w:t>
      </w:r>
      <w:r>
        <w:rPr>
          <w:spacing w:val="-2"/>
        </w:rPr>
        <w:t> </w:t>
      </w:r>
      <w:r>
        <w:rPr/>
        <w:t>incluirá las edificaciones determinadas en la autorización del fraccionamiento, condominio o desarrollo inmobiliario especial y de las demás obras de urbanización autorizadas.</w:t>
      </w:r>
    </w:p>
    <w:p>
      <w:pPr>
        <w:pStyle w:val="BodyText"/>
        <w:spacing w:before="229"/>
        <w:ind w:left="262" w:right="286"/>
        <w:jc w:val="both"/>
      </w:pPr>
      <w:r>
        <w:rPr/>
        <w:t>La</w:t>
      </w:r>
      <w:r>
        <w:rPr>
          <w:spacing w:val="-14"/>
        </w:rPr>
        <w:t> </w:t>
      </w:r>
      <w:r>
        <w:rPr/>
        <w:t>licencia</w:t>
      </w:r>
      <w:r>
        <w:rPr>
          <w:spacing w:val="-14"/>
        </w:rPr>
        <w:t> </w:t>
      </w:r>
      <w:r>
        <w:rPr/>
        <w:t>de</w:t>
      </w:r>
      <w:r>
        <w:rPr>
          <w:spacing w:val="-14"/>
        </w:rPr>
        <w:t> </w:t>
      </w:r>
      <w:r>
        <w:rPr/>
        <w:t>construcción</w:t>
      </w:r>
      <w:r>
        <w:rPr>
          <w:spacing w:val="-14"/>
        </w:rPr>
        <w:t> </w:t>
      </w:r>
      <w:r>
        <w:rPr/>
        <w:t>de</w:t>
      </w:r>
      <w:r>
        <w:rPr>
          <w:spacing w:val="-14"/>
        </w:rPr>
        <w:t> </w:t>
      </w:r>
      <w:r>
        <w:rPr/>
        <w:t>las</w:t>
      </w:r>
      <w:r>
        <w:rPr>
          <w:spacing w:val="-14"/>
        </w:rPr>
        <w:t> </w:t>
      </w:r>
      <w:r>
        <w:rPr/>
        <w:t>viviendas,</w:t>
      </w:r>
      <w:r>
        <w:rPr>
          <w:spacing w:val="-14"/>
        </w:rPr>
        <w:t> </w:t>
      </w:r>
      <w:r>
        <w:rPr/>
        <w:t>si</w:t>
      </w:r>
      <w:r>
        <w:rPr>
          <w:spacing w:val="-14"/>
        </w:rPr>
        <w:t> </w:t>
      </w:r>
      <w:r>
        <w:rPr/>
        <w:t>fuera</w:t>
      </w:r>
      <w:r>
        <w:rPr>
          <w:spacing w:val="-13"/>
        </w:rPr>
        <w:t> </w:t>
      </w:r>
      <w:r>
        <w:rPr/>
        <w:t>el</w:t>
      </w:r>
      <w:r>
        <w:rPr>
          <w:spacing w:val="-13"/>
        </w:rPr>
        <w:t> </w:t>
      </w:r>
      <w:r>
        <w:rPr/>
        <w:t>caso,</w:t>
      </w:r>
      <w:r>
        <w:rPr>
          <w:spacing w:val="-14"/>
        </w:rPr>
        <w:t> </w:t>
      </w:r>
      <w:r>
        <w:rPr/>
        <w:t>se</w:t>
      </w:r>
      <w:r>
        <w:rPr>
          <w:spacing w:val="-14"/>
        </w:rPr>
        <w:t> </w:t>
      </w:r>
      <w:r>
        <w:rPr/>
        <w:t>solicitará</w:t>
      </w:r>
      <w:r>
        <w:rPr>
          <w:spacing w:val="-14"/>
        </w:rPr>
        <w:t> </w:t>
      </w:r>
      <w:r>
        <w:rPr/>
        <w:t>en</w:t>
      </w:r>
      <w:r>
        <w:rPr>
          <w:spacing w:val="-14"/>
        </w:rPr>
        <w:t> </w:t>
      </w:r>
      <w:r>
        <w:rPr/>
        <w:t>términos</w:t>
      </w:r>
      <w:r>
        <w:rPr>
          <w:spacing w:val="-14"/>
        </w:rPr>
        <w:t> </w:t>
      </w:r>
      <w:r>
        <w:rPr/>
        <w:t>de</w:t>
      </w:r>
      <w:r>
        <w:rPr>
          <w:spacing w:val="-13"/>
        </w:rPr>
        <w:t> </w:t>
      </w:r>
      <w:r>
        <w:rPr/>
        <w:t>lo</w:t>
      </w:r>
      <w:r>
        <w:rPr>
          <w:spacing w:val="-13"/>
        </w:rPr>
        <w:t> </w:t>
      </w:r>
      <w:r>
        <w:rPr/>
        <w:t>dispuesto en</w:t>
      </w:r>
      <w:r>
        <w:rPr>
          <w:spacing w:val="-2"/>
        </w:rPr>
        <w:t> </w:t>
      </w:r>
      <w:r>
        <w:rPr/>
        <w:t>el</w:t>
      </w:r>
      <w:r>
        <w:rPr>
          <w:spacing w:val="-2"/>
        </w:rPr>
        <w:t> </w:t>
      </w:r>
      <w:r>
        <w:rPr/>
        <w:t>artículo</w:t>
      </w:r>
      <w:r>
        <w:rPr>
          <w:spacing w:val="-1"/>
        </w:rPr>
        <w:t> </w:t>
      </w:r>
      <w:r>
        <w:rPr/>
        <w:t>291</w:t>
      </w:r>
      <w:r>
        <w:rPr>
          <w:spacing w:val="-1"/>
        </w:rPr>
        <w:t> </w:t>
      </w:r>
      <w:r>
        <w:rPr/>
        <w:t>de</w:t>
      </w:r>
      <w:r>
        <w:rPr>
          <w:spacing w:val="-1"/>
        </w:rPr>
        <w:t> </w:t>
      </w:r>
      <w:r>
        <w:rPr/>
        <w:t>este Ordenamiento</w:t>
      </w:r>
      <w:r>
        <w:rPr>
          <w:spacing w:val="-1"/>
        </w:rPr>
        <w:t> </w:t>
      </w:r>
      <w:r>
        <w:rPr/>
        <w:t>y</w:t>
      </w:r>
      <w:r>
        <w:rPr>
          <w:spacing w:val="-2"/>
        </w:rPr>
        <w:t> </w:t>
      </w:r>
      <w:r>
        <w:rPr/>
        <w:t>se</w:t>
      </w:r>
      <w:r>
        <w:rPr>
          <w:spacing w:val="-1"/>
        </w:rPr>
        <w:t> </w:t>
      </w:r>
      <w:r>
        <w:rPr/>
        <w:t>otorgará</w:t>
      </w:r>
      <w:r>
        <w:rPr>
          <w:spacing w:val="-3"/>
        </w:rPr>
        <w:t> </w:t>
      </w:r>
      <w:r>
        <w:rPr/>
        <w:t>por</w:t>
      </w:r>
      <w:r>
        <w:rPr>
          <w:spacing w:val="-3"/>
        </w:rPr>
        <w:t> </w:t>
      </w:r>
      <w:r>
        <w:rPr/>
        <w:t>el</w:t>
      </w:r>
      <w:r>
        <w:rPr>
          <w:spacing w:val="-4"/>
        </w:rPr>
        <w:t> </w:t>
      </w:r>
      <w:r>
        <w:rPr/>
        <w:t>total</w:t>
      </w:r>
      <w:r>
        <w:rPr>
          <w:spacing w:val="-4"/>
        </w:rPr>
        <w:t> </w:t>
      </w:r>
      <w:r>
        <w:rPr/>
        <w:t>de</w:t>
      </w:r>
      <w:r>
        <w:rPr>
          <w:spacing w:val="-3"/>
        </w:rPr>
        <w:t> </w:t>
      </w:r>
      <w:r>
        <w:rPr/>
        <w:t>viviendas</w:t>
      </w:r>
      <w:r>
        <w:rPr>
          <w:spacing w:val="-2"/>
        </w:rPr>
        <w:t> </w:t>
      </w:r>
      <w:r>
        <w:rPr/>
        <w:t>autorizadas,</w:t>
      </w:r>
      <w:r>
        <w:rPr>
          <w:spacing w:val="-3"/>
        </w:rPr>
        <w:t> </w:t>
      </w:r>
      <w:r>
        <w:rPr/>
        <w:t>o</w:t>
      </w:r>
      <w:r>
        <w:rPr>
          <w:spacing w:val="-1"/>
        </w:rPr>
        <w:t> </w:t>
      </w:r>
      <w:r>
        <w:rPr/>
        <w:t>en</w:t>
      </w:r>
      <w:r>
        <w:rPr>
          <w:spacing w:val="-3"/>
        </w:rPr>
        <w:t> </w:t>
      </w:r>
      <w:r>
        <w:rPr/>
        <w:t>su caso por el número de viviendas autorizadas por prototipo.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7"/>
        <w:jc w:val="both"/>
      </w:pPr>
      <w:r>
        <w:rPr>
          <w:rFonts w:ascii="Arial" w:hAnsi="Arial"/>
          <w:b/>
        </w:rPr>
        <w:t>ARTÍCULO</w:t>
      </w:r>
      <w:r>
        <w:rPr>
          <w:rFonts w:ascii="Arial" w:hAnsi="Arial"/>
          <w:b/>
          <w:spacing w:val="-3"/>
        </w:rPr>
        <w:t> </w:t>
      </w:r>
      <w:r>
        <w:rPr>
          <w:rFonts w:ascii="Arial" w:hAnsi="Arial"/>
          <w:b/>
        </w:rPr>
        <w:t>437.</w:t>
      </w:r>
      <w:r>
        <w:rPr>
          <w:rFonts w:ascii="Arial" w:hAnsi="Arial"/>
          <w:b/>
          <w:spacing w:val="-3"/>
        </w:rPr>
        <w:t> </w:t>
      </w:r>
      <w:r>
        <w:rPr/>
        <w:t>La</w:t>
      </w:r>
      <w:r>
        <w:rPr>
          <w:spacing w:val="-5"/>
        </w:rPr>
        <w:t> </w:t>
      </w:r>
      <w:r>
        <w:rPr/>
        <w:t>ejecución</w:t>
      </w:r>
      <w:r>
        <w:rPr>
          <w:spacing w:val="-5"/>
        </w:rPr>
        <w:t> </w:t>
      </w:r>
      <w:r>
        <w:rPr/>
        <w:t>de</w:t>
      </w:r>
      <w:r>
        <w:rPr>
          <w:spacing w:val="-3"/>
        </w:rPr>
        <w:t> </w:t>
      </w:r>
      <w:r>
        <w:rPr/>
        <w:t>las</w:t>
      </w:r>
      <w:r>
        <w:rPr>
          <w:spacing w:val="-3"/>
        </w:rPr>
        <w:t> </w:t>
      </w:r>
      <w:r>
        <w:rPr/>
        <w:t>obras</w:t>
      </w:r>
      <w:r>
        <w:rPr>
          <w:spacing w:val="-3"/>
        </w:rPr>
        <w:t> </w:t>
      </w:r>
      <w:r>
        <w:rPr/>
        <w:t>de</w:t>
      </w:r>
      <w:r>
        <w:rPr>
          <w:spacing w:val="-4"/>
        </w:rPr>
        <w:t> </w:t>
      </w:r>
      <w:r>
        <w:rPr/>
        <w:t>urbanización</w:t>
      </w:r>
      <w:r>
        <w:rPr>
          <w:spacing w:val="-5"/>
        </w:rPr>
        <w:t> </w:t>
      </w:r>
      <w:r>
        <w:rPr/>
        <w:t>en</w:t>
      </w:r>
      <w:r>
        <w:rPr>
          <w:spacing w:val="-4"/>
        </w:rPr>
        <w:t> </w:t>
      </w:r>
      <w:r>
        <w:rPr/>
        <w:t>los</w:t>
      </w:r>
      <w:r>
        <w:rPr>
          <w:spacing w:val="-3"/>
        </w:rPr>
        <w:t> </w:t>
      </w:r>
      <w:r>
        <w:rPr/>
        <w:t>fraccionamientos,</w:t>
      </w:r>
      <w:r>
        <w:rPr>
          <w:spacing w:val="-4"/>
        </w:rPr>
        <w:t> </w:t>
      </w:r>
      <w:r>
        <w:rPr/>
        <w:t>condominios</w:t>
      </w:r>
      <w:r>
        <w:rPr>
          <w:spacing w:val="-3"/>
        </w:rPr>
        <w:t> </w:t>
      </w:r>
      <w:r>
        <w:rPr/>
        <w:t>o desarrollos inmobiliarios especiales, podrá autorizarse en las modalidades de urbanización inmediata, de urbanización por etapas, o de urbanización progresiva con excepción en este último caso de los condominios y desarrollos inmobiliarios especiales.</w:t>
      </w:r>
    </w:p>
    <w:p>
      <w:pPr>
        <w:pStyle w:val="BodyText"/>
        <w:spacing w:before="230"/>
        <w:ind w:left="262" w:right="281"/>
        <w:jc w:val="both"/>
      </w:pPr>
      <w:r>
        <w:rPr>
          <w:rFonts w:ascii="Arial" w:hAnsi="Arial"/>
          <w:b/>
        </w:rPr>
        <w:t>ARTÍCULO 438. </w:t>
      </w:r>
      <w:r>
        <w:rPr/>
        <w:t>La infraestructura faltante en fraccionamientos de urbanización progresiva que</w:t>
      </w:r>
      <w:r>
        <w:rPr>
          <w:spacing w:val="-1"/>
        </w:rPr>
        <w:t> </w:t>
      </w:r>
      <w:r>
        <w:rPr/>
        <w:t>se haya</w:t>
      </w:r>
      <w:r>
        <w:rPr>
          <w:spacing w:val="-11"/>
        </w:rPr>
        <w:t> </w:t>
      </w:r>
      <w:r>
        <w:rPr/>
        <w:t>determinado</w:t>
      </w:r>
      <w:r>
        <w:rPr>
          <w:spacing w:val="-12"/>
        </w:rPr>
        <w:t> </w:t>
      </w:r>
      <w:r>
        <w:rPr/>
        <w:t>en</w:t>
      </w:r>
      <w:r>
        <w:rPr>
          <w:spacing w:val="-11"/>
        </w:rPr>
        <w:t> </w:t>
      </w:r>
      <w:r>
        <w:rPr/>
        <w:t>la</w:t>
      </w:r>
      <w:r>
        <w:rPr>
          <w:spacing w:val="-11"/>
        </w:rPr>
        <w:t> </w:t>
      </w:r>
      <w:r>
        <w:rPr/>
        <w:t>autorización</w:t>
      </w:r>
      <w:r>
        <w:rPr>
          <w:spacing w:val="-11"/>
        </w:rPr>
        <w:t> </w:t>
      </w:r>
      <w:r>
        <w:rPr/>
        <w:t>respectiva,</w:t>
      </w:r>
      <w:r>
        <w:rPr>
          <w:spacing w:val="-11"/>
        </w:rPr>
        <w:t> </w:t>
      </w:r>
      <w:r>
        <w:rPr/>
        <w:t>deberá</w:t>
      </w:r>
      <w:r>
        <w:rPr>
          <w:spacing w:val="-11"/>
        </w:rPr>
        <w:t> </w:t>
      </w:r>
      <w:r>
        <w:rPr/>
        <w:t>ser</w:t>
      </w:r>
      <w:r>
        <w:rPr>
          <w:spacing w:val="-10"/>
        </w:rPr>
        <w:t> </w:t>
      </w:r>
      <w:r>
        <w:rPr/>
        <w:t>ejecutada</w:t>
      </w:r>
      <w:r>
        <w:rPr>
          <w:spacing w:val="-11"/>
        </w:rPr>
        <w:t> </w:t>
      </w:r>
      <w:r>
        <w:rPr/>
        <w:t>por</w:t>
      </w:r>
      <w:r>
        <w:rPr>
          <w:spacing w:val="-9"/>
        </w:rPr>
        <w:t> </w:t>
      </w:r>
      <w:r>
        <w:rPr/>
        <w:t>el</w:t>
      </w:r>
      <w:r>
        <w:rPr>
          <w:spacing w:val="-12"/>
        </w:rPr>
        <w:t> </w:t>
      </w:r>
      <w:r>
        <w:rPr/>
        <w:t>fraccionador</w:t>
      </w:r>
      <w:r>
        <w:rPr>
          <w:spacing w:val="-10"/>
        </w:rPr>
        <w:t> </w:t>
      </w:r>
      <w:r>
        <w:rPr/>
        <w:t>o</w:t>
      </w:r>
      <w:r>
        <w:rPr>
          <w:spacing w:val="-11"/>
        </w:rPr>
        <w:t> </w:t>
      </w:r>
      <w:r>
        <w:rPr/>
        <w:t>promotor con la cooperación de los adquirentes de los lotes o predios y con las autoridades, de conformidad con lo estipulado en los contratos de compra venta individuales y de acuerdo con el programa de urbanización autorizado.</w:t>
      </w:r>
    </w:p>
    <w:p>
      <w:pPr>
        <w:pStyle w:val="BodyText"/>
      </w:pPr>
    </w:p>
    <w:p>
      <w:pPr>
        <w:pStyle w:val="BodyText"/>
        <w:ind w:left="262" w:right="278"/>
        <w:jc w:val="both"/>
      </w:pPr>
      <w:r>
        <w:rPr/>
        <w:t>La urbanización progresiva sólo se autorizará a instituciones gubernamentales, a asociaciones civiles sin fines de lucro, o a empresas inmobiliarias en coordinación con una institución gubernamental u organismo público de vivienda, y únicamente en los fraccionamientos habitacionales de vivienda popular o económica.</w:t>
      </w:r>
    </w:p>
    <w:p>
      <w:pPr>
        <w:pStyle w:val="BodyText"/>
        <w:spacing w:before="2"/>
      </w:pPr>
    </w:p>
    <w:p>
      <w:pPr>
        <w:pStyle w:val="BodyText"/>
        <w:ind w:left="262" w:right="286"/>
        <w:jc w:val="both"/>
      </w:pPr>
      <w:r>
        <w:rPr/>
        <w:t>La urbanización progresiva en ningún caso se autorizará para la construcción de condominios ni desarrollos inmobiliarios especiales.</w:t>
      </w:r>
    </w:p>
    <w:p>
      <w:pPr>
        <w:pStyle w:val="BodyText"/>
        <w:spacing w:before="229"/>
        <w:ind w:left="262" w:right="278"/>
        <w:jc w:val="both"/>
      </w:pPr>
      <w:r>
        <w:rPr>
          <w:rFonts w:ascii="Arial" w:hAnsi="Arial"/>
          <w:b/>
        </w:rPr>
        <w:t>ARTÍCULO</w:t>
      </w:r>
      <w:r>
        <w:rPr>
          <w:rFonts w:ascii="Arial" w:hAnsi="Arial"/>
          <w:b/>
          <w:spacing w:val="-14"/>
        </w:rPr>
        <w:t> </w:t>
      </w:r>
      <w:r>
        <w:rPr>
          <w:rFonts w:ascii="Arial" w:hAnsi="Arial"/>
          <w:b/>
        </w:rPr>
        <w:t>439.</w:t>
      </w:r>
      <w:r>
        <w:rPr>
          <w:rFonts w:ascii="Arial" w:hAnsi="Arial"/>
          <w:b/>
          <w:spacing w:val="-14"/>
        </w:rPr>
        <w:t> </w:t>
      </w:r>
      <w:r>
        <w:rPr/>
        <w:t>El</w:t>
      </w:r>
      <w:r>
        <w:rPr>
          <w:spacing w:val="-14"/>
        </w:rPr>
        <w:t> </w:t>
      </w:r>
      <w:r>
        <w:rPr/>
        <w:t>fraccionador</w:t>
      </w:r>
      <w:r>
        <w:rPr>
          <w:spacing w:val="-14"/>
        </w:rPr>
        <w:t> </w:t>
      </w:r>
      <w:r>
        <w:rPr/>
        <w:t>o</w:t>
      </w:r>
      <w:r>
        <w:rPr>
          <w:spacing w:val="-14"/>
        </w:rPr>
        <w:t> </w:t>
      </w:r>
      <w:r>
        <w:rPr/>
        <w:t>promotor</w:t>
      </w:r>
      <w:r>
        <w:rPr>
          <w:spacing w:val="-14"/>
        </w:rPr>
        <w:t> </w:t>
      </w:r>
      <w:r>
        <w:rPr/>
        <w:t>ejecutará</w:t>
      </w:r>
      <w:r>
        <w:rPr>
          <w:spacing w:val="-14"/>
        </w:rPr>
        <w:t> </w:t>
      </w:r>
      <w:r>
        <w:rPr/>
        <w:t>las</w:t>
      </w:r>
      <w:r>
        <w:rPr>
          <w:spacing w:val="-14"/>
        </w:rPr>
        <w:t> </w:t>
      </w:r>
      <w:r>
        <w:rPr/>
        <w:t>obras</w:t>
      </w:r>
      <w:r>
        <w:rPr>
          <w:spacing w:val="-14"/>
        </w:rPr>
        <w:t> </w:t>
      </w:r>
      <w:r>
        <w:rPr/>
        <w:t>de</w:t>
      </w:r>
      <w:r>
        <w:rPr>
          <w:spacing w:val="-13"/>
        </w:rPr>
        <w:t> </w:t>
      </w:r>
      <w:r>
        <w:rPr/>
        <w:t>urbanización</w:t>
      </w:r>
      <w:r>
        <w:rPr>
          <w:spacing w:val="-14"/>
        </w:rPr>
        <w:t> </w:t>
      </w:r>
      <w:r>
        <w:rPr/>
        <w:t>del</w:t>
      </w:r>
      <w:r>
        <w:rPr>
          <w:spacing w:val="-14"/>
        </w:rPr>
        <w:t> </w:t>
      </w:r>
      <w:r>
        <w:rPr/>
        <w:t>fraccionamiento, condominio o desarrollo inmobiliario especial, conforme a las características, especificaciones, temporalidad y calidad que le establecen esta Ley, el reglamento municipal de construcción, el proyecto definitivo aprobado y las demás disposiciones jurídicas y técnicas aplicables.</w:t>
      </w:r>
    </w:p>
    <w:p>
      <w:pPr>
        <w:pStyle w:val="BodyText"/>
      </w:pPr>
    </w:p>
    <w:p>
      <w:pPr>
        <w:pStyle w:val="BodyText"/>
        <w:ind w:left="262" w:right="278"/>
        <w:jc w:val="both"/>
      </w:pPr>
      <w:r>
        <w:rPr>
          <w:rFonts w:ascii="Arial" w:hAnsi="Arial"/>
          <w:b/>
        </w:rPr>
        <w:t>ARTÍCULO 440. </w:t>
      </w:r>
      <w:r>
        <w:rPr/>
        <w:t>Obtenida la licencia de construcción de las edificaciones en un fraccionamiento, condominio o desarrollo inmobiliario especial autorizado, el propietario del mismo contará con un plazo</w:t>
      </w:r>
      <w:r>
        <w:rPr>
          <w:spacing w:val="-12"/>
        </w:rPr>
        <w:t> </w:t>
      </w:r>
      <w:r>
        <w:rPr/>
        <w:t>de</w:t>
      </w:r>
      <w:r>
        <w:rPr>
          <w:spacing w:val="-12"/>
        </w:rPr>
        <w:t> </w:t>
      </w:r>
      <w:r>
        <w:rPr/>
        <w:t>dos</w:t>
      </w:r>
      <w:r>
        <w:rPr>
          <w:spacing w:val="-13"/>
        </w:rPr>
        <w:t> </w:t>
      </w:r>
      <w:r>
        <w:rPr/>
        <w:t>años</w:t>
      </w:r>
      <w:r>
        <w:rPr>
          <w:spacing w:val="-12"/>
        </w:rPr>
        <w:t> </w:t>
      </w:r>
      <w:r>
        <w:rPr/>
        <w:t>para</w:t>
      </w:r>
      <w:r>
        <w:rPr>
          <w:spacing w:val="-11"/>
        </w:rPr>
        <w:t> </w:t>
      </w:r>
      <w:r>
        <w:rPr/>
        <w:t>terminar</w:t>
      </w:r>
      <w:r>
        <w:rPr>
          <w:spacing w:val="-13"/>
        </w:rPr>
        <w:t> </w:t>
      </w:r>
      <w:r>
        <w:rPr/>
        <w:t>las</w:t>
      </w:r>
      <w:r>
        <w:rPr>
          <w:spacing w:val="-13"/>
        </w:rPr>
        <w:t> </w:t>
      </w:r>
      <w:r>
        <w:rPr/>
        <w:t>obras</w:t>
      </w:r>
      <w:r>
        <w:rPr>
          <w:spacing w:val="-12"/>
        </w:rPr>
        <w:t> </w:t>
      </w:r>
      <w:r>
        <w:rPr/>
        <w:t>de</w:t>
      </w:r>
      <w:r>
        <w:rPr>
          <w:spacing w:val="-11"/>
        </w:rPr>
        <w:t> </w:t>
      </w:r>
      <w:r>
        <w:rPr/>
        <w:t>edificación</w:t>
      </w:r>
      <w:r>
        <w:rPr>
          <w:spacing w:val="-14"/>
        </w:rPr>
        <w:t> </w:t>
      </w:r>
      <w:r>
        <w:rPr/>
        <w:t>y</w:t>
      </w:r>
      <w:r>
        <w:rPr>
          <w:spacing w:val="-10"/>
        </w:rPr>
        <w:t> </w:t>
      </w:r>
      <w:r>
        <w:rPr/>
        <w:t>urbanización</w:t>
      </w:r>
      <w:r>
        <w:rPr>
          <w:spacing w:val="-12"/>
        </w:rPr>
        <w:t> </w:t>
      </w:r>
      <w:r>
        <w:rPr/>
        <w:t>de</w:t>
      </w:r>
      <w:r>
        <w:rPr>
          <w:spacing w:val="-12"/>
        </w:rPr>
        <w:t> </w:t>
      </w:r>
      <w:r>
        <w:rPr/>
        <w:t>la</w:t>
      </w:r>
      <w:r>
        <w:rPr>
          <w:spacing w:val="-7"/>
        </w:rPr>
        <w:t> </w:t>
      </w:r>
      <w:r>
        <w:rPr/>
        <w:t>etapa</w:t>
      </w:r>
      <w:r>
        <w:rPr>
          <w:spacing w:val="-14"/>
        </w:rPr>
        <w:t> </w:t>
      </w:r>
      <w:r>
        <w:rPr/>
        <w:t>correspondiente, contados a partir del día siguiente a la fecha en que se notifique dicha autorización; si vencido el plazo no se han concluido dichas obras en su totalidad o parcialmente, se podrá conceder una prórroga hasta por el mismo período, en términos del artículo 446 de esta Ley.</w:t>
      </w:r>
    </w:p>
    <w:p>
      <w:pPr>
        <w:pStyle w:val="BodyText"/>
        <w:spacing w:before="1"/>
      </w:pPr>
    </w:p>
    <w:p>
      <w:pPr>
        <w:spacing w:before="0"/>
        <w:ind w:left="262" w:right="0" w:firstLine="0"/>
        <w:jc w:val="both"/>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05</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6"/>
          <w:sz w:val="20"/>
        </w:rPr>
        <w:t> </w:t>
      </w:r>
      <w:r>
        <w:rPr>
          <w:rFonts w:ascii="Arial"/>
          <w:i/>
          <w:sz w:val="20"/>
        </w:rPr>
        <w:t>DE</w:t>
      </w:r>
      <w:r>
        <w:rPr>
          <w:rFonts w:ascii="Arial"/>
          <w:i/>
          <w:spacing w:val="-6"/>
          <w:sz w:val="20"/>
        </w:rPr>
        <w:t> </w:t>
      </w:r>
      <w:r>
        <w:rPr>
          <w:rFonts w:ascii="Arial"/>
          <w:i/>
          <w:spacing w:val="-4"/>
          <w:sz w:val="20"/>
        </w:rPr>
        <w:t>2019)</w:t>
      </w:r>
    </w:p>
    <w:p>
      <w:pPr>
        <w:pStyle w:val="BodyText"/>
        <w:ind w:left="262" w:right="280"/>
        <w:jc w:val="both"/>
      </w:pPr>
      <w:r>
        <w:rPr/>
        <w:t>Durante dicho plazo, el promotor deberá dotar de los servicios necesarios a las viviendas que se encuentren ocupadas aun cuando no se hubiera concluido la urbanización en la totalidad del fraccionamiento. Asimismo, y en todos los casos, las obras de equipamiento de las áreas verdes comprendidas</w:t>
      </w:r>
      <w:r>
        <w:rPr>
          <w:spacing w:val="-9"/>
        </w:rPr>
        <w:t> </w:t>
      </w:r>
      <w:r>
        <w:rPr/>
        <w:t>en</w:t>
      </w:r>
      <w:r>
        <w:rPr>
          <w:spacing w:val="-8"/>
        </w:rPr>
        <w:t> </w:t>
      </w:r>
      <w:r>
        <w:rPr/>
        <w:t>la</w:t>
      </w:r>
      <w:r>
        <w:rPr>
          <w:spacing w:val="-8"/>
        </w:rPr>
        <w:t> </w:t>
      </w:r>
      <w:r>
        <w:rPr/>
        <w:t>autorización</w:t>
      </w:r>
      <w:r>
        <w:rPr>
          <w:spacing w:val="-8"/>
        </w:rPr>
        <w:t> </w:t>
      </w:r>
      <w:r>
        <w:rPr/>
        <w:t>del</w:t>
      </w:r>
      <w:r>
        <w:rPr>
          <w:spacing w:val="-9"/>
        </w:rPr>
        <w:t> </w:t>
      </w:r>
      <w:r>
        <w:rPr/>
        <w:t>fraccionamiento,</w:t>
      </w:r>
      <w:r>
        <w:rPr>
          <w:spacing w:val="-6"/>
        </w:rPr>
        <w:t> </w:t>
      </w:r>
      <w:r>
        <w:rPr/>
        <w:t>deberán</w:t>
      </w:r>
      <w:r>
        <w:rPr>
          <w:spacing w:val="-8"/>
        </w:rPr>
        <w:t> </w:t>
      </w:r>
      <w:r>
        <w:rPr/>
        <w:t>estar</w:t>
      </w:r>
      <w:r>
        <w:rPr>
          <w:spacing w:val="-9"/>
        </w:rPr>
        <w:t> </w:t>
      </w:r>
      <w:r>
        <w:rPr/>
        <w:t>concluidas</w:t>
      </w:r>
      <w:r>
        <w:rPr>
          <w:spacing w:val="-6"/>
        </w:rPr>
        <w:t> </w:t>
      </w:r>
      <w:r>
        <w:rPr/>
        <w:t>y</w:t>
      </w:r>
      <w:r>
        <w:rPr>
          <w:spacing w:val="-6"/>
        </w:rPr>
        <w:t> </w:t>
      </w:r>
      <w:r>
        <w:rPr/>
        <w:t>en</w:t>
      </w:r>
      <w:r>
        <w:rPr>
          <w:spacing w:val="-10"/>
        </w:rPr>
        <w:t> </w:t>
      </w:r>
      <w:r>
        <w:rPr/>
        <w:t>funcionamiento inmediatamente antes de que el</w:t>
      </w:r>
      <w:r>
        <w:rPr>
          <w:spacing w:val="-1"/>
        </w:rPr>
        <w:t> </w:t>
      </w:r>
      <w:r>
        <w:rPr/>
        <w:t>promotor o fraccionador haga entrega de la primera vivienda de la etapa de que se trate.</w:t>
      </w:r>
    </w:p>
    <w:p>
      <w:pPr>
        <w:pStyle w:val="BodyText"/>
        <w:spacing w:before="1"/>
      </w:pPr>
    </w:p>
    <w:p>
      <w:pPr>
        <w:pStyle w:val="BodyText"/>
        <w:ind w:left="262" w:right="280"/>
        <w:jc w:val="both"/>
      </w:pPr>
      <w:r>
        <w:rPr/>
        <w:t>En caso de no concluir dichas obras al fenecer el plazo antes señalado, incluyendo en su caso la prórroga, la Dirección municipal procederá a hacer efectivas las fianzas correspondientes y podrá concluir</w:t>
      </w:r>
      <w:r>
        <w:rPr>
          <w:spacing w:val="-8"/>
        </w:rPr>
        <w:t> </w:t>
      </w:r>
      <w:r>
        <w:rPr/>
        <w:t>las</w:t>
      </w:r>
      <w:r>
        <w:rPr>
          <w:spacing w:val="-8"/>
        </w:rPr>
        <w:t> </w:t>
      </w:r>
      <w:r>
        <w:rPr/>
        <w:t>obras</w:t>
      </w:r>
      <w:r>
        <w:rPr>
          <w:spacing w:val="-8"/>
        </w:rPr>
        <w:t> </w:t>
      </w:r>
      <w:r>
        <w:rPr/>
        <w:t>faltantes</w:t>
      </w:r>
      <w:r>
        <w:rPr>
          <w:spacing w:val="-8"/>
        </w:rPr>
        <w:t> </w:t>
      </w:r>
      <w:r>
        <w:rPr/>
        <w:t>o</w:t>
      </w:r>
      <w:r>
        <w:rPr>
          <w:spacing w:val="-9"/>
        </w:rPr>
        <w:t> </w:t>
      </w:r>
      <w:r>
        <w:rPr/>
        <w:t>incompletas</w:t>
      </w:r>
      <w:r>
        <w:rPr>
          <w:spacing w:val="-8"/>
        </w:rPr>
        <w:t> </w:t>
      </w:r>
      <w:r>
        <w:rPr/>
        <w:t>utilizando</w:t>
      </w:r>
      <w:r>
        <w:rPr>
          <w:spacing w:val="-9"/>
        </w:rPr>
        <w:t> </w:t>
      </w:r>
      <w:r>
        <w:rPr/>
        <w:t>las</w:t>
      </w:r>
      <w:r>
        <w:rPr>
          <w:spacing w:val="-7"/>
        </w:rPr>
        <w:t> </w:t>
      </w:r>
      <w:r>
        <w:rPr/>
        <w:t>mismas,</w:t>
      </w:r>
      <w:r>
        <w:rPr>
          <w:spacing w:val="-9"/>
        </w:rPr>
        <w:t> </w:t>
      </w:r>
      <w:r>
        <w:rPr/>
        <w:t>o</w:t>
      </w:r>
      <w:r>
        <w:rPr>
          <w:spacing w:val="-9"/>
        </w:rPr>
        <w:t> </w:t>
      </w:r>
      <w:r>
        <w:rPr/>
        <w:t>si</w:t>
      </w:r>
      <w:r>
        <w:rPr>
          <w:spacing w:val="-10"/>
        </w:rPr>
        <w:t> </w:t>
      </w:r>
      <w:r>
        <w:rPr/>
        <w:t>estas</w:t>
      </w:r>
      <w:r>
        <w:rPr>
          <w:spacing w:val="-8"/>
        </w:rPr>
        <w:t> </w:t>
      </w:r>
      <w:r>
        <w:rPr/>
        <w:t>no</w:t>
      </w:r>
      <w:r>
        <w:rPr>
          <w:spacing w:val="-9"/>
        </w:rPr>
        <w:t> </w:t>
      </w:r>
      <w:r>
        <w:rPr/>
        <w:t>fueran</w:t>
      </w:r>
      <w:r>
        <w:rPr>
          <w:spacing w:val="-9"/>
        </w:rPr>
        <w:t> </w:t>
      </w:r>
      <w:r>
        <w:rPr/>
        <w:t>suficientes,</w:t>
      </w:r>
      <w:r>
        <w:rPr>
          <w:spacing w:val="-9"/>
        </w:rPr>
        <w:t> </w:t>
      </w:r>
      <w:r>
        <w:rPr/>
        <w:t>con cargo al fraccionador.</w:t>
      </w:r>
    </w:p>
    <w:p>
      <w:pPr>
        <w:pStyle w:val="BodyText"/>
      </w:pPr>
    </w:p>
    <w:p>
      <w:pPr>
        <w:pStyle w:val="BodyText"/>
        <w:ind w:left="262" w:right="277"/>
        <w:jc w:val="both"/>
      </w:pPr>
      <w:r>
        <w:rPr>
          <w:rFonts w:ascii="Arial" w:hAnsi="Arial"/>
          <w:b/>
        </w:rPr>
        <w:t>ARTÍCULO 441. </w:t>
      </w:r>
      <w:r>
        <w:rPr/>
        <w:t>El fraccionador o promotor costeará por su cuenta, las obras de urbanización del fraccionamiento, condominio o desarrollo inmobiliario especial, que le señale la autorización respectiva, incluyendo en su caso, la construcción de camellones y su respectiva jardinería, así como, la plantación del arbolado en las calles y vialidades, parques y zonas destinadas a ese fin.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8"/>
        <w:jc w:val="both"/>
      </w:pPr>
      <w:r>
        <w:rPr>
          <w:rFonts w:ascii="Arial" w:hAnsi="Arial"/>
          <w:b/>
        </w:rPr>
        <w:t>ARTÍCULO 442. </w:t>
      </w:r>
      <w:r>
        <w:rPr/>
        <w:t>El perito designado para la ejecución de las obras de urbanización, será responsable solidario de las obligaciones que el fraccionador o promotor acepte con relación a las </w:t>
      </w:r>
      <w:r>
        <w:rPr>
          <w:spacing w:val="-2"/>
        </w:rPr>
        <w:t>obras</w:t>
      </w:r>
      <w:r>
        <w:rPr>
          <w:spacing w:val="-7"/>
        </w:rPr>
        <w:t> </w:t>
      </w:r>
      <w:r>
        <w:rPr>
          <w:spacing w:val="-2"/>
        </w:rPr>
        <w:t>y</w:t>
      </w:r>
      <w:r>
        <w:rPr>
          <w:spacing w:val="-5"/>
        </w:rPr>
        <w:t> </w:t>
      </w:r>
      <w:r>
        <w:rPr>
          <w:spacing w:val="-2"/>
        </w:rPr>
        <w:t>a</w:t>
      </w:r>
      <w:r>
        <w:rPr>
          <w:spacing w:val="-4"/>
        </w:rPr>
        <w:t> </w:t>
      </w:r>
      <w:r>
        <w:rPr>
          <w:spacing w:val="-2"/>
        </w:rPr>
        <w:t>las</w:t>
      </w:r>
      <w:r>
        <w:rPr>
          <w:spacing w:val="-3"/>
        </w:rPr>
        <w:t> </w:t>
      </w:r>
      <w:r>
        <w:rPr>
          <w:spacing w:val="-2"/>
        </w:rPr>
        <w:t>licencias</w:t>
      </w:r>
      <w:r>
        <w:rPr>
          <w:spacing w:val="-3"/>
        </w:rPr>
        <w:t> </w:t>
      </w:r>
      <w:r>
        <w:rPr>
          <w:spacing w:val="-2"/>
        </w:rPr>
        <w:t>autorizadas,</w:t>
      </w:r>
      <w:r>
        <w:rPr>
          <w:spacing w:val="-7"/>
        </w:rPr>
        <w:t> </w:t>
      </w:r>
      <w:r>
        <w:rPr>
          <w:spacing w:val="-2"/>
        </w:rPr>
        <w:t>de</w:t>
      </w:r>
      <w:r>
        <w:rPr>
          <w:spacing w:val="-8"/>
        </w:rPr>
        <w:t> </w:t>
      </w:r>
      <w:r>
        <w:rPr>
          <w:spacing w:val="-2"/>
        </w:rPr>
        <w:t>acuerdo</w:t>
      </w:r>
      <w:r>
        <w:rPr>
          <w:spacing w:val="-4"/>
        </w:rPr>
        <w:t> </w:t>
      </w:r>
      <w:r>
        <w:rPr>
          <w:spacing w:val="-2"/>
        </w:rPr>
        <w:t>con</w:t>
      </w:r>
      <w:r>
        <w:rPr>
          <w:spacing w:val="-5"/>
        </w:rPr>
        <w:t> </w:t>
      </w:r>
      <w:r>
        <w:rPr>
          <w:spacing w:val="-2"/>
        </w:rPr>
        <w:t>esta</w:t>
      </w:r>
      <w:r>
        <w:rPr>
          <w:spacing w:val="-4"/>
        </w:rPr>
        <w:t> </w:t>
      </w:r>
      <w:r>
        <w:rPr>
          <w:spacing w:val="-2"/>
        </w:rPr>
        <w:t>Ley,</w:t>
      </w:r>
      <w:r>
        <w:rPr>
          <w:spacing w:val="-7"/>
        </w:rPr>
        <w:t> </w:t>
      </w:r>
      <w:r>
        <w:rPr>
          <w:spacing w:val="-2"/>
        </w:rPr>
        <w:t>el</w:t>
      </w:r>
      <w:r>
        <w:rPr>
          <w:spacing w:val="-8"/>
        </w:rPr>
        <w:t> </w:t>
      </w:r>
      <w:r>
        <w:rPr>
          <w:spacing w:val="-2"/>
        </w:rPr>
        <w:t>reglamento</w:t>
      </w:r>
      <w:r>
        <w:rPr>
          <w:spacing w:val="-5"/>
        </w:rPr>
        <w:t> </w:t>
      </w:r>
      <w:r>
        <w:rPr>
          <w:spacing w:val="-2"/>
        </w:rPr>
        <w:t>municipal</w:t>
      </w:r>
      <w:r>
        <w:rPr>
          <w:spacing w:val="-5"/>
        </w:rPr>
        <w:t> </w:t>
      </w:r>
      <w:r>
        <w:rPr>
          <w:spacing w:val="-2"/>
        </w:rPr>
        <w:t>de</w:t>
      </w:r>
      <w:r>
        <w:rPr>
          <w:spacing w:val="-8"/>
        </w:rPr>
        <w:t> </w:t>
      </w:r>
      <w:r>
        <w:rPr>
          <w:spacing w:val="-2"/>
        </w:rPr>
        <w:t>construcción </w:t>
      </w:r>
      <w:r>
        <w:rPr/>
        <w:t>y la autorización del proyecto.</w:t>
      </w:r>
    </w:p>
    <w:p>
      <w:pPr>
        <w:pStyle w:val="BodyText"/>
        <w:spacing w:before="230"/>
        <w:ind w:left="262" w:right="276"/>
        <w:jc w:val="both"/>
      </w:pPr>
      <w:r>
        <w:rPr>
          <w:rFonts w:ascii="Arial" w:hAnsi="Arial"/>
          <w:b/>
        </w:rPr>
        <w:t>ARTÍCULO 443.</w:t>
      </w:r>
      <w:r>
        <w:rPr>
          <w:rFonts w:ascii="Arial" w:hAnsi="Arial"/>
          <w:b/>
          <w:spacing w:val="40"/>
        </w:rPr>
        <w:t> </w:t>
      </w:r>
      <w:r>
        <w:rPr/>
        <w:t>El fraccionador o promotor, durante el periodo de ejecución de las obras de urbanización del fraccionamiento, condominio o desarrollo inmobiliario especial, mantendrá un residente en el lugar de las mismas, con carácter de representante debidamente autorizado, que atienda</w:t>
      </w:r>
      <w:r>
        <w:rPr>
          <w:spacing w:val="-2"/>
        </w:rPr>
        <w:t> </w:t>
      </w:r>
      <w:r>
        <w:rPr/>
        <w:t>a</w:t>
      </w:r>
      <w:r>
        <w:rPr>
          <w:spacing w:val="-2"/>
        </w:rPr>
        <w:t> </w:t>
      </w:r>
      <w:r>
        <w:rPr/>
        <w:t>los</w:t>
      </w:r>
      <w:r>
        <w:rPr>
          <w:spacing w:val="-3"/>
        </w:rPr>
        <w:t> </w:t>
      </w:r>
      <w:r>
        <w:rPr/>
        <w:t>supervisores e</w:t>
      </w:r>
      <w:r>
        <w:rPr>
          <w:spacing w:val="-4"/>
        </w:rPr>
        <w:t> </w:t>
      </w:r>
      <w:r>
        <w:rPr/>
        <w:t>inspectores</w:t>
      </w:r>
      <w:r>
        <w:rPr>
          <w:spacing w:val="-3"/>
        </w:rPr>
        <w:t> </w:t>
      </w:r>
      <w:r>
        <w:rPr/>
        <w:t>en</w:t>
      </w:r>
      <w:r>
        <w:rPr>
          <w:spacing w:val="-4"/>
        </w:rPr>
        <w:t> </w:t>
      </w:r>
      <w:r>
        <w:rPr/>
        <w:t>sus</w:t>
      </w:r>
      <w:r>
        <w:rPr>
          <w:spacing w:val="-3"/>
        </w:rPr>
        <w:t> </w:t>
      </w:r>
      <w:r>
        <w:rPr/>
        <w:t>labores</w:t>
      </w:r>
      <w:r>
        <w:rPr>
          <w:spacing w:val="-3"/>
        </w:rPr>
        <w:t> </w:t>
      </w:r>
      <w:r>
        <w:rPr/>
        <w:t>correspondientes,</w:t>
      </w:r>
      <w:r>
        <w:rPr>
          <w:spacing w:val="-4"/>
        </w:rPr>
        <w:t> </w:t>
      </w:r>
      <w:r>
        <w:rPr/>
        <w:t>debiendo</w:t>
      </w:r>
      <w:r>
        <w:rPr>
          <w:spacing w:val="-5"/>
        </w:rPr>
        <w:t> </w:t>
      </w:r>
      <w:r>
        <w:rPr/>
        <w:t>el</w:t>
      </w:r>
      <w:r>
        <w:rPr>
          <w:spacing w:val="-5"/>
        </w:rPr>
        <w:t> </w:t>
      </w:r>
      <w:r>
        <w:rPr/>
        <w:t>fraccionador o promotor en todos los casos, asentar en la bitácora de la obra el nombre y datos de localización de los residentes que señale para tal efecto.</w:t>
      </w:r>
    </w:p>
    <w:p>
      <w:pPr>
        <w:pStyle w:val="BodyText"/>
        <w:spacing w:before="1"/>
      </w:pPr>
    </w:p>
    <w:p>
      <w:pPr>
        <w:pStyle w:val="BodyText"/>
        <w:ind w:left="262" w:right="278"/>
        <w:jc w:val="both"/>
      </w:pPr>
      <w:r>
        <w:rPr>
          <w:rFonts w:ascii="Arial" w:hAnsi="Arial"/>
          <w:b/>
        </w:rPr>
        <w:t>ARTÍCULO 444. </w:t>
      </w:r>
      <w:r>
        <w:rPr/>
        <w:t>La Dirección municipal autorizará el inicio total o parcial de las obras de urbanización, cuando el fraccionador o promotor haya cumplido con los requisitos que señala el artículo</w:t>
      </w:r>
      <w:r>
        <w:rPr>
          <w:spacing w:val="-2"/>
        </w:rPr>
        <w:t> </w:t>
      </w:r>
      <w:r>
        <w:rPr/>
        <w:t>465</w:t>
      </w:r>
      <w:r>
        <w:rPr>
          <w:spacing w:val="-4"/>
        </w:rPr>
        <w:t> </w:t>
      </w:r>
      <w:r>
        <w:rPr/>
        <w:t>fracciones</w:t>
      </w:r>
      <w:r>
        <w:rPr>
          <w:spacing w:val="-3"/>
        </w:rPr>
        <w:t> </w:t>
      </w:r>
      <w:r>
        <w:rPr/>
        <w:t>IV</w:t>
      </w:r>
      <w:r>
        <w:rPr>
          <w:spacing w:val="-4"/>
        </w:rPr>
        <w:t> </w:t>
      </w:r>
      <w:r>
        <w:rPr/>
        <w:t>y</w:t>
      </w:r>
      <w:r>
        <w:rPr>
          <w:spacing w:val="-3"/>
        </w:rPr>
        <w:t> </w:t>
      </w:r>
      <w:r>
        <w:rPr/>
        <w:t>V</w:t>
      </w:r>
      <w:r>
        <w:rPr>
          <w:spacing w:val="-5"/>
        </w:rPr>
        <w:t> </w:t>
      </w:r>
      <w:r>
        <w:rPr/>
        <w:t>de</w:t>
      </w:r>
      <w:r>
        <w:rPr>
          <w:spacing w:val="-3"/>
        </w:rPr>
        <w:t> </w:t>
      </w:r>
      <w:r>
        <w:rPr/>
        <w:t>esta</w:t>
      </w:r>
      <w:r>
        <w:rPr>
          <w:spacing w:val="-5"/>
        </w:rPr>
        <w:t> </w:t>
      </w:r>
      <w:r>
        <w:rPr/>
        <w:t>Ley</w:t>
      </w:r>
      <w:r>
        <w:rPr>
          <w:spacing w:val="-3"/>
        </w:rPr>
        <w:t> </w:t>
      </w:r>
      <w:r>
        <w:rPr/>
        <w:t>y</w:t>
      </w:r>
      <w:r>
        <w:rPr>
          <w:spacing w:val="-3"/>
        </w:rPr>
        <w:t> </w:t>
      </w:r>
      <w:r>
        <w:rPr/>
        <w:t>las</w:t>
      </w:r>
      <w:r>
        <w:rPr>
          <w:spacing w:val="-3"/>
        </w:rPr>
        <w:t> </w:t>
      </w:r>
      <w:r>
        <w:rPr/>
        <w:t>demás</w:t>
      </w:r>
      <w:r>
        <w:rPr>
          <w:spacing w:val="-3"/>
        </w:rPr>
        <w:t> </w:t>
      </w:r>
      <w:r>
        <w:rPr/>
        <w:t>que</w:t>
      </w:r>
      <w:r>
        <w:rPr>
          <w:spacing w:val="-2"/>
        </w:rPr>
        <w:t> </w:t>
      </w:r>
      <w:r>
        <w:rPr/>
        <w:t>le</w:t>
      </w:r>
      <w:r>
        <w:rPr>
          <w:spacing w:val="-4"/>
        </w:rPr>
        <w:t> </w:t>
      </w:r>
      <w:r>
        <w:rPr/>
        <w:t>hubiere</w:t>
      </w:r>
      <w:r>
        <w:rPr>
          <w:spacing w:val="-4"/>
        </w:rPr>
        <w:t> </w:t>
      </w:r>
      <w:r>
        <w:rPr/>
        <w:t>establecido</w:t>
      </w:r>
      <w:r>
        <w:rPr>
          <w:spacing w:val="-3"/>
        </w:rPr>
        <w:t> </w:t>
      </w:r>
      <w:r>
        <w:rPr/>
        <w:t>la autorización</w:t>
      </w:r>
      <w:r>
        <w:rPr>
          <w:spacing w:val="-4"/>
        </w:rPr>
        <w:t> </w:t>
      </w:r>
      <w:r>
        <w:rPr/>
        <w:t>de fraccionamiento, condominio o desarrollo inmobiliario especial correspondiente.</w:t>
      </w:r>
    </w:p>
    <w:p>
      <w:pPr>
        <w:pStyle w:val="BodyText"/>
        <w:spacing w:before="229"/>
        <w:ind w:left="262" w:right="276"/>
        <w:jc w:val="both"/>
      </w:pPr>
      <w:r>
        <w:rPr>
          <w:rFonts w:ascii="Arial" w:hAnsi="Arial"/>
          <w:b/>
        </w:rPr>
        <w:t>ARTÍCULO 445. </w:t>
      </w:r>
      <w:r>
        <w:rPr/>
        <w:t>El fraccionador o promotor contará con el plazo que le indiquen las leyes de ingresos municipales para enterar las obligaciones fiscales que correspondan de acuerdo con la autorización; en su defecto deberán enterarlas antes de que inicien las obras de urbanización autorizadas para el fraccionamiento, condominio o desarrollo inmobiliario especial.</w:t>
      </w:r>
    </w:p>
    <w:p>
      <w:pPr>
        <w:pStyle w:val="BodyText"/>
      </w:pPr>
    </w:p>
    <w:p>
      <w:pPr>
        <w:pStyle w:val="BodyText"/>
        <w:ind w:left="262" w:right="284"/>
        <w:jc w:val="both"/>
      </w:pPr>
      <w:r>
        <w:rPr/>
        <w:t>En el caso de haberse autorizado la urbanización por etapas, las obligaciones fiscales se fijarán y cubrirán por cada una de éstas, tomando como base el presupuesto actualizado de las obras de urbanización de la etapa correspondiente.</w:t>
      </w:r>
    </w:p>
    <w:p>
      <w:pPr>
        <w:pStyle w:val="BodyText"/>
        <w:spacing w:before="2"/>
      </w:pPr>
    </w:p>
    <w:p>
      <w:pPr>
        <w:pStyle w:val="BodyText"/>
        <w:ind w:left="262" w:right="277"/>
        <w:jc w:val="both"/>
      </w:pPr>
      <w:r>
        <w:rPr>
          <w:rFonts w:ascii="Arial" w:hAnsi="Arial"/>
          <w:b/>
        </w:rPr>
        <w:t>ARTÍCULO</w:t>
      </w:r>
      <w:r>
        <w:rPr>
          <w:rFonts w:ascii="Arial" w:hAnsi="Arial"/>
          <w:b/>
          <w:spacing w:val="-5"/>
        </w:rPr>
        <w:t> </w:t>
      </w:r>
      <w:r>
        <w:rPr>
          <w:rFonts w:ascii="Arial" w:hAnsi="Arial"/>
          <w:b/>
        </w:rPr>
        <w:t>446.</w:t>
      </w:r>
      <w:r>
        <w:rPr>
          <w:rFonts w:ascii="Arial" w:hAnsi="Arial"/>
          <w:b/>
          <w:spacing w:val="-3"/>
        </w:rPr>
        <w:t> </w:t>
      </w:r>
      <w:r>
        <w:rPr/>
        <w:t>En</w:t>
      </w:r>
      <w:r>
        <w:rPr>
          <w:spacing w:val="-5"/>
        </w:rPr>
        <w:t> </w:t>
      </w:r>
      <w:r>
        <w:rPr/>
        <w:t>caso</w:t>
      </w:r>
      <w:r>
        <w:rPr>
          <w:spacing w:val="-4"/>
        </w:rPr>
        <w:t> </w:t>
      </w:r>
      <w:r>
        <w:rPr/>
        <w:t>de</w:t>
      </w:r>
      <w:r>
        <w:rPr>
          <w:spacing w:val="-7"/>
        </w:rPr>
        <w:t> </w:t>
      </w:r>
      <w:r>
        <w:rPr/>
        <w:t>que</w:t>
      </w:r>
      <w:r>
        <w:rPr>
          <w:spacing w:val="-7"/>
        </w:rPr>
        <w:t> </w:t>
      </w:r>
      <w:r>
        <w:rPr/>
        <w:t>el</w:t>
      </w:r>
      <w:r>
        <w:rPr>
          <w:spacing w:val="-5"/>
        </w:rPr>
        <w:t> </w:t>
      </w:r>
      <w:r>
        <w:rPr/>
        <w:t>fraccionador</w:t>
      </w:r>
      <w:r>
        <w:rPr>
          <w:spacing w:val="-4"/>
        </w:rPr>
        <w:t> </w:t>
      </w:r>
      <w:r>
        <w:rPr/>
        <w:t>o</w:t>
      </w:r>
      <w:r>
        <w:rPr>
          <w:spacing w:val="-6"/>
        </w:rPr>
        <w:t> </w:t>
      </w:r>
      <w:r>
        <w:rPr/>
        <w:t>promotor</w:t>
      </w:r>
      <w:r>
        <w:rPr>
          <w:spacing w:val="-4"/>
        </w:rPr>
        <w:t> </w:t>
      </w:r>
      <w:r>
        <w:rPr/>
        <w:t>no</w:t>
      </w:r>
      <w:r>
        <w:rPr>
          <w:spacing w:val="-7"/>
        </w:rPr>
        <w:t> </w:t>
      </w:r>
      <w:r>
        <w:rPr/>
        <w:t>realice</w:t>
      </w:r>
      <w:r>
        <w:rPr>
          <w:spacing w:val="-4"/>
        </w:rPr>
        <w:t> </w:t>
      </w:r>
      <w:r>
        <w:rPr/>
        <w:t>las</w:t>
      </w:r>
      <w:r>
        <w:rPr>
          <w:spacing w:val="-3"/>
        </w:rPr>
        <w:t> </w:t>
      </w:r>
      <w:r>
        <w:rPr/>
        <w:t>obras</w:t>
      </w:r>
      <w:r>
        <w:rPr>
          <w:spacing w:val="-3"/>
        </w:rPr>
        <w:t> </w:t>
      </w:r>
      <w:r>
        <w:rPr/>
        <w:t>de</w:t>
      </w:r>
      <w:r>
        <w:rPr>
          <w:spacing w:val="-7"/>
        </w:rPr>
        <w:t> </w:t>
      </w:r>
      <w:r>
        <w:rPr/>
        <w:t>urbanización</w:t>
      </w:r>
      <w:r>
        <w:rPr>
          <w:spacing w:val="-7"/>
        </w:rPr>
        <w:t> </w:t>
      </w:r>
      <w:r>
        <w:rPr/>
        <w:t>en el</w:t>
      </w:r>
      <w:r>
        <w:rPr>
          <w:spacing w:val="-5"/>
        </w:rPr>
        <w:t> </w:t>
      </w:r>
      <w:r>
        <w:rPr/>
        <w:t>plazo</w:t>
      </w:r>
      <w:r>
        <w:rPr>
          <w:spacing w:val="-4"/>
        </w:rPr>
        <w:t> </w:t>
      </w:r>
      <w:r>
        <w:rPr/>
        <w:t>autorizado,</w:t>
      </w:r>
      <w:r>
        <w:rPr>
          <w:spacing w:val="-2"/>
        </w:rPr>
        <w:t> </w:t>
      </w:r>
      <w:r>
        <w:rPr/>
        <w:t>podrá</w:t>
      </w:r>
      <w:r>
        <w:rPr>
          <w:spacing w:val="-4"/>
        </w:rPr>
        <w:t> </w:t>
      </w:r>
      <w:r>
        <w:rPr/>
        <w:t>solicitar</w:t>
      </w:r>
      <w:r>
        <w:rPr>
          <w:spacing w:val="-4"/>
        </w:rPr>
        <w:t> </w:t>
      </w:r>
      <w:r>
        <w:rPr/>
        <w:t>a</w:t>
      </w:r>
      <w:r>
        <w:rPr>
          <w:spacing w:val="-2"/>
        </w:rPr>
        <w:t> </w:t>
      </w:r>
      <w:r>
        <w:rPr/>
        <w:t>la</w:t>
      </w:r>
      <w:r>
        <w:rPr>
          <w:spacing w:val="-4"/>
        </w:rPr>
        <w:t> </w:t>
      </w:r>
      <w:r>
        <w:rPr/>
        <w:t>Dirección</w:t>
      </w:r>
      <w:r>
        <w:rPr>
          <w:spacing w:val="-3"/>
        </w:rPr>
        <w:t> </w:t>
      </w:r>
      <w:r>
        <w:rPr/>
        <w:t>Municipal</w:t>
      </w:r>
      <w:r>
        <w:rPr>
          <w:spacing w:val="-5"/>
        </w:rPr>
        <w:t> </w:t>
      </w:r>
      <w:r>
        <w:rPr/>
        <w:t>con</w:t>
      </w:r>
      <w:r>
        <w:rPr>
          <w:spacing w:val="-5"/>
        </w:rPr>
        <w:t> </w:t>
      </w:r>
      <w:r>
        <w:rPr/>
        <w:t>un</w:t>
      </w:r>
      <w:r>
        <w:rPr>
          <w:spacing w:val="-4"/>
        </w:rPr>
        <w:t> </w:t>
      </w:r>
      <w:r>
        <w:rPr/>
        <w:t>mes</w:t>
      </w:r>
      <w:r>
        <w:rPr>
          <w:spacing w:val="-3"/>
        </w:rPr>
        <w:t> </w:t>
      </w:r>
      <w:r>
        <w:rPr/>
        <w:t>de</w:t>
      </w:r>
      <w:r>
        <w:rPr>
          <w:spacing w:val="-4"/>
        </w:rPr>
        <w:t> </w:t>
      </w:r>
      <w:r>
        <w:rPr/>
        <w:t>anticipación</w:t>
      </w:r>
      <w:r>
        <w:rPr>
          <w:spacing w:val="-5"/>
        </w:rPr>
        <w:t> </w:t>
      </w:r>
      <w:r>
        <w:rPr/>
        <w:t>y</w:t>
      </w:r>
      <w:r>
        <w:rPr>
          <w:spacing w:val="-3"/>
        </w:rPr>
        <w:t> </w:t>
      </w:r>
      <w:r>
        <w:rPr/>
        <w:t>por</w:t>
      </w:r>
      <w:r>
        <w:rPr>
          <w:spacing w:val="-3"/>
        </w:rPr>
        <w:t> </w:t>
      </w:r>
      <w:r>
        <w:rPr/>
        <w:t>escrito la prórroga que considere requerir, exponiendo los motivos que ocasionaron el retraso, así mismo deberá anexar un informe sobre el</w:t>
      </w:r>
      <w:r>
        <w:rPr>
          <w:spacing w:val="-1"/>
        </w:rPr>
        <w:t> </w:t>
      </w:r>
      <w:r>
        <w:rPr/>
        <w:t>grado de avance de las obras; la Dirección dictaminará sobre la procedencia de dicha petición, misma que se podrá otorgar siempre que la prórroga no exceda de dos años y que el fraccionador o promotor actualice las garantías necesarias.</w:t>
      </w:r>
    </w:p>
    <w:p>
      <w:pPr>
        <w:pStyle w:val="BodyText"/>
        <w:spacing w:before="1"/>
      </w:pPr>
    </w:p>
    <w:p>
      <w:pPr>
        <w:pStyle w:val="BodyText"/>
        <w:ind w:left="262" w:right="279"/>
        <w:jc w:val="both"/>
      </w:pPr>
      <w:r>
        <w:rPr>
          <w:rFonts w:ascii="Arial" w:hAnsi="Arial"/>
          <w:b/>
        </w:rPr>
        <w:t>ARTÍCULO</w:t>
      </w:r>
      <w:r>
        <w:rPr>
          <w:rFonts w:ascii="Arial" w:hAnsi="Arial"/>
          <w:b/>
          <w:spacing w:val="-3"/>
        </w:rPr>
        <w:t> </w:t>
      </w:r>
      <w:r>
        <w:rPr>
          <w:rFonts w:ascii="Arial" w:hAnsi="Arial"/>
          <w:b/>
        </w:rPr>
        <w:t>447.</w:t>
      </w:r>
      <w:r>
        <w:rPr>
          <w:rFonts w:ascii="Arial" w:hAnsi="Arial"/>
          <w:b/>
          <w:spacing w:val="-3"/>
        </w:rPr>
        <w:t> </w:t>
      </w:r>
      <w:r>
        <w:rPr/>
        <w:t>Cuando</w:t>
      </w:r>
      <w:r>
        <w:rPr>
          <w:spacing w:val="-2"/>
        </w:rPr>
        <w:t> </w:t>
      </w:r>
      <w:r>
        <w:rPr/>
        <w:t>las</w:t>
      </w:r>
      <w:r>
        <w:rPr>
          <w:spacing w:val="-3"/>
        </w:rPr>
        <w:t> </w:t>
      </w:r>
      <w:r>
        <w:rPr/>
        <w:t>obras</w:t>
      </w:r>
      <w:r>
        <w:rPr>
          <w:spacing w:val="-3"/>
        </w:rPr>
        <w:t> </w:t>
      </w:r>
      <w:r>
        <w:rPr/>
        <w:t>de</w:t>
      </w:r>
      <w:r>
        <w:rPr>
          <w:spacing w:val="-5"/>
        </w:rPr>
        <w:t> </w:t>
      </w:r>
      <w:r>
        <w:rPr/>
        <w:t>urbanización</w:t>
      </w:r>
      <w:r>
        <w:rPr>
          <w:spacing w:val="-5"/>
        </w:rPr>
        <w:t> </w:t>
      </w:r>
      <w:r>
        <w:rPr/>
        <w:t>hayan</w:t>
      </w:r>
      <w:r>
        <w:rPr>
          <w:spacing w:val="-5"/>
        </w:rPr>
        <w:t> </w:t>
      </w:r>
      <w:r>
        <w:rPr/>
        <w:t>de</w:t>
      </w:r>
      <w:r>
        <w:rPr>
          <w:spacing w:val="-5"/>
        </w:rPr>
        <w:t> </w:t>
      </w:r>
      <w:r>
        <w:rPr/>
        <w:t>ejecutarse</w:t>
      </w:r>
      <w:r>
        <w:rPr>
          <w:spacing w:val="-4"/>
        </w:rPr>
        <w:t> </w:t>
      </w:r>
      <w:r>
        <w:rPr/>
        <w:t>por</w:t>
      </w:r>
      <w:r>
        <w:rPr>
          <w:spacing w:val="-4"/>
        </w:rPr>
        <w:t> </w:t>
      </w:r>
      <w:r>
        <w:rPr/>
        <w:t>etapas,</w:t>
      </w:r>
      <w:r>
        <w:rPr>
          <w:spacing w:val="-4"/>
        </w:rPr>
        <w:t> </w:t>
      </w:r>
      <w:r>
        <w:rPr/>
        <w:t>los</w:t>
      </w:r>
      <w:r>
        <w:rPr>
          <w:spacing w:val="-3"/>
        </w:rPr>
        <w:t> </w:t>
      </w:r>
      <w:r>
        <w:rPr/>
        <w:t>trabajos</w:t>
      </w:r>
      <w:r>
        <w:rPr>
          <w:spacing w:val="-3"/>
        </w:rPr>
        <w:t> </w:t>
      </w:r>
      <w:r>
        <w:rPr/>
        <w:t>se iniciarán</w:t>
      </w:r>
      <w:r>
        <w:rPr>
          <w:spacing w:val="-12"/>
        </w:rPr>
        <w:t> </w:t>
      </w:r>
      <w:r>
        <w:rPr/>
        <w:t>por</w:t>
      </w:r>
      <w:r>
        <w:rPr>
          <w:spacing w:val="-11"/>
        </w:rPr>
        <w:t> </w:t>
      </w:r>
      <w:r>
        <w:rPr/>
        <w:t>la</w:t>
      </w:r>
      <w:r>
        <w:rPr>
          <w:spacing w:val="-12"/>
        </w:rPr>
        <w:t> </w:t>
      </w:r>
      <w:r>
        <w:rPr/>
        <w:t>primera</w:t>
      </w:r>
      <w:r>
        <w:rPr>
          <w:spacing w:val="-12"/>
        </w:rPr>
        <w:t> </w:t>
      </w:r>
      <w:r>
        <w:rPr/>
        <w:t>previamente</w:t>
      </w:r>
      <w:r>
        <w:rPr>
          <w:spacing w:val="-13"/>
        </w:rPr>
        <w:t> </w:t>
      </w:r>
      <w:r>
        <w:rPr/>
        <w:t>aprobada,</w:t>
      </w:r>
      <w:r>
        <w:rPr>
          <w:spacing w:val="-14"/>
        </w:rPr>
        <w:t> </w:t>
      </w:r>
      <w:r>
        <w:rPr/>
        <w:t>y</w:t>
      </w:r>
      <w:r>
        <w:rPr>
          <w:spacing w:val="-13"/>
        </w:rPr>
        <w:t> </w:t>
      </w:r>
      <w:r>
        <w:rPr/>
        <w:t>se</w:t>
      </w:r>
      <w:r>
        <w:rPr>
          <w:spacing w:val="-13"/>
        </w:rPr>
        <w:t> </w:t>
      </w:r>
      <w:r>
        <w:rPr/>
        <w:t>deberá</w:t>
      </w:r>
      <w:r>
        <w:rPr>
          <w:spacing w:val="-14"/>
        </w:rPr>
        <w:t> </w:t>
      </w:r>
      <w:r>
        <w:rPr/>
        <w:t>concluir</w:t>
      </w:r>
      <w:r>
        <w:rPr>
          <w:spacing w:val="-14"/>
        </w:rPr>
        <w:t> </w:t>
      </w:r>
      <w:r>
        <w:rPr/>
        <w:t>íntegramente,</w:t>
      </w:r>
      <w:r>
        <w:rPr>
          <w:spacing w:val="-10"/>
        </w:rPr>
        <w:t> </w:t>
      </w:r>
      <w:r>
        <w:rPr/>
        <w:t>de</w:t>
      </w:r>
      <w:r>
        <w:rPr>
          <w:spacing w:val="-14"/>
        </w:rPr>
        <w:t> </w:t>
      </w:r>
      <w:r>
        <w:rPr/>
        <w:t>tal</w:t>
      </w:r>
      <w:r>
        <w:rPr>
          <w:spacing w:val="-13"/>
        </w:rPr>
        <w:t> </w:t>
      </w:r>
      <w:r>
        <w:rPr/>
        <w:t>manera</w:t>
      </w:r>
      <w:r>
        <w:rPr>
          <w:spacing w:val="-14"/>
        </w:rPr>
        <w:t> </w:t>
      </w:r>
      <w:r>
        <w:rPr/>
        <w:t>que ésta sea autosuficiente en todos sus servicios, prosiguiendo las subsecuentes etapas cumpliendo con la misma condición. Las etapas podrán ejecutarse de manera simultánea, únicamente cuando las mismas operen de manera independiente.</w:t>
      </w:r>
    </w:p>
    <w:p>
      <w:pPr>
        <w:pStyle w:val="BodyText"/>
      </w:pPr>
    </w:p>
    <w:p>
      <w:pPr>
        <w:pStyle w:val="BodyText"/>
        <w:ind w:left="262" w:right="283"/>
        <w:jc w:val="both"/>
      </w:pPr>
      <w:r>
        <w:rPr/>
        <w:t>Cuando en el fraccionamiento, condominio o desarrollo inmobiliario especial la primera etapa por urbanizar,</w:t>
      </w:r>
      <w:r>
        <w:rPr>
          <w:spacing w:val="-4"/>
        </w:rPr>
        <w:t> </w:t>
      </w:r>
      <w:r>
        <w:rPr/>
        <w:t>no</w:t>
      </w:r>
      <w:r>
        <w:rPr>
          <w:spacing w:val="-5"/>
        </w:rPr>
        <w:t> </w:t>
      </w:r>
      <w:r>
        <w:rPr/>
        <w:t>colinde</w:t>
      </w:r>
      <w:r>
        <w:rPr>
          <w:spacing w:val="-4"/>
        </w:rPr>
        <w:t> </w:t>
      </w:r>
      <w:r>
        <w:rPr/>
        <w:t>con</w:t>
      </w:r>
      <w:r>
        <w:rPr>
          <w:spacing w:val="-4"/>
        </w:rPr>
        <w:t> </w:t>
      </w:r>
      <w:r>
        <w:rPr/>
        <w:t>zona</w:t>
      </w:r>
      <w:r>
        <w:rPr>
          <w:spacing w:val="-4"/>
        </w:rPr>
        <w:t> </w:t>
      </w:r>
      <w:r>
        <w:rPr/>
        <w:t>urbanizada,</w:t>
      </w:r>
      <w:r>
        <w:rPr>
          <w:spacing w:val="-4"/>
        </w:rPr>
        <w:t> </w:t>
      </w:r>
      <w:r>
        <w:rPr/>
        <w:t>se</w:t>
      </w:r>
      <w:r>
        <w:rPr>
          <w:spacing w:val="-4"/>
        </w:rPr>
        <w:t> </w:t>
      </w:r>
      <w:r>
        <w:rPr/>
        <w:t>incluirá</w:t>
      </w:r>
      <w:r>
        <w:rPr>
          <w:spacing w:val="-2"/>
        </w:rPr>
        <w:t> </w:t>
      </w:r>
      <w:r>
        <w:rPr/>
        <w:t>la</w:t>
      </w:r>
      <w:r>
        <w:rPr>
          <w:spacing w:val="-4"/>
        </w:rPr>
        <w:t> </w:t>
      </w:r>
      <w:r>
        <w:rPr/>
        <w:t>construcción</w:t>
      </w:r>
      <w:r>
        <w:rPr>
          <w:spacing w:val="-4"/>
        </w:rPr>
        <w:t> </w:t>
      </w:r>
      <w:r>
        <w:rPr/>
        <w:t>de</w:t>
      </w:r>
      <w:r>
        <w:rPr>
          <w:spacing w:val="-2"/>
        </w:rPr>
        <w:t> </w:t>
      </w:r>
      <w:r>
        <w:rPr/>
        <w:t>la</w:t>
      </w:r>
      <w:r>
        <w:rPr>
          <w:spacing w:val="-4"/>
        </w:rPr>
        <w:t> </w:t>
      </w:r>
      <w:r>
        <w:rPr/>
        <w:t>calle</w:t>
      </w:r>
      <w:r>
        <w:rPr>
          <w:spacing w:val="-2"/>
        </w:rPr>
        <w:t> </w:t>
      </w:r>
      <w:r>
        <w:rPr/>
        <w:t>o</w:t>
      </w:r>
      <w:r>
        <w:rPr>
          <w:spacing w:val="-2"/>
        </w:rPr>
        <w:t> </w:t>
      </w:r>
      <w:r>
        <w:rPr/>
        <w:t>vialidad</w:t>
      </w:r>
      <w:r>
        <w:rPr>
          <w:spacing w:val="-4"/>
        </w:rPr>
        <w:t> </w:t>
      </w:r>
      <w:r>
        <w:rPr/>
        <w:t>de</w:t>
      </w:r>
      <w:r>
        <w:rPr>
          <w:spacing w:val="-2"/>
        </w:rPr>
        <w:t> </w:t>
      </w:r>
      <w:r>
        <w:rPr/>
        <w:t>liga</w:t>
      </w:r>
      <w:r>
        <w:rPr>
          <w:spacing w:val="-5"/>
        </w:rPr>
        <w:t> </w:t>
      </w:r>
      <w:r>
        <w:rPr/>
        <w:t>y por la conexión de los servicios públicos necesarios.</w:t>
      </w:r>
    </w:p>
    <w:p>
      <w:pPr>
        <w:pStyle w:val="BodyText"/>
      </w:pPr>
    </w:p>
    <w:p>
      <w:pPr>
        <w:pStyle w:val="BodyText"/>
      </w:pPr>
    </w:p>
    <w:p>
      <w:pPr>
        <w:pStyle w:val="Heading2"/>
        <w:spacing w:line="477" w:lineRule="auto"/>
        <w:ind w:left="4100" w:right="4117" w:firstLine="1"/>
      </w:pPr>
      <w:r>
        <w:rPr/>
        <w:t>Capítulo II </w:t>
      </w:r>
      <w:r>
        <w:rPr>
          <w:spacing w:val="-2"/>
        </w:rPr>
        <w:t>Supervisión</w:t>
      </w:r>
    </w:p>
    <w:p>
      <w:pPr>
        <w:pStyle w:val="Heading2"/>
        <w:spacing w:after="0" w:line="477" w:lineRule="auto"/>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88"/>
        <w:jc w:val="both"/>
      </w:pPr>
      <w:r>
        <w:rPr>
          <w:rFonts w:ascii="Arial" w:hAnsi="Arial"/>
          <w:b/>
        </w:rPr>
        <w:t>ARTÍCULO 448. </w:t>
      </w:r>
      <w:r>
        <w:rPr/>
        <w:t>La</w:t>
      </w:r>
      <w:r>
        <w:rPr>
          <w:spacing w:val="-1"/>
        </w:rPr>
        <w:t> </w:t>
      </w:r>
      <w:r>
        <w:rPr/>
        <w:t>supervisión de las obras de</w:t>
      </w:r>
      <w:r>
        <w:rPr>
          <w:spacing w:val="-1"/>
        </w:rPr>
        <w:t> </w:t>
      </w:r>
      <w:r>
        <w:rPr/>
        <w:t>urbanización que</w:t>
      </w:r>
      <w:r>
        <w:rPr>
          <w:spacing w:val="-1"/>
        </w:rPr>
        <w:t> </w:t>
      </w:r>
      <w:r>
        <w:rPr/>
        <w:t>realice la</w:t>
      </w:r>
      <w:r>
        <w:rPr>
          <w:spacing w:val="-1"/>
        </w:rPr>
        <w:t> </w:t>
      </w:r>
      <w:r>
        <w:rPr/>
        <w:t>Dirección Municipal en la ejecución de los proyectos autorizados de fraccionamientos, condominios y desarrollos inmobiliarios especiales, comprenderá:</w:t>
      </w:r>
    </w:p>
    <w:p>
      <w:pPr>
        <w:pStyle w:val="BodyText"/>
        <w:spacing w:before="1"/>
      </w:pPr>
    </w:p>
    <w:p>
      <w:pPr>
        <w:pStyle w:val="ListParagraph"/>
        <w:numPr>
          <w:ilvl w:val="2"/>
          <w:numId w:val="138"/>
        </w:numPr>
        <w:tabs>
          <w:tab w:pos="543" w:val="left" w:leader="none"/>
        </w:tabs>
        <w:spacing w:line="240" w:lineRule="auto" w:before="1" w:after="0"/>
        <w:ind w:left="262" w:right="288" w:firstLine="0"/>
        <w:jc w:val="left"/>
        <w:rPr>
          <w:sz w:val="20"/>
        </w:rPr>
      </w:pPr>
      <w:r>
        <w:rPr>
          <w:sz w:val="20"/>
        </w:rPr>
        <w:t>La supervisión de compatibilidad de proyecto: que consistirá en que las obras o servicios sean compatibles con el proyecto autorizado, y</w:t>
      </w:r>
    </w:p>
    <w:p>
      <w:pPr>
        <w:pStyle w:val="ListParagraph"/>
        <w:numPr>
          <w:ilvl w:val="2"/>
          <w:numId w:val="138"/>
        </w:numPr>
        <w:tabs>
          <w:tab w:pos="543" w:val="left" w:leader="none"/>
        </w:tabs>
        <w:spacing w:line="240" w:lineRule="auto" w:before="228" w:after="0"/>
        <w:ind w:left="262" w:right="290" w:firstLine="0"/>
        <w:jc w:val="left"/>
        <w:rPr>
          <w:sz w:val="20"/>
        </w:rPr>
      </w:pPr>
      <w:r>
        <w:rPr>
          <w:sz w:val="20"/>
        </w:rPr>
        <w:t>La supervisión de obra: respecto a la calidad y especificaciones de los materiales, servicios y</w:t>
      </w:r>
      <w:r>
        <w:rPr>
          <w:spacing w:val="40"/>
          <w:sz w:val="20"/>
        </w:rPr>
        <w:t> </w:t>
      </w:r>
      <w:r>
        <w:rPr>
          <w:sz w:val="20"/>
        </w:rPr>
        <w:t>obras realizadas, ejecutadas y utilizadas.</w:t>
      </w:r>
    </w:p>
    <w:p>
      <w:pPr>
        <w:pStyle w:val="BodyText"/>
        <w:spacing w:before="2"/>
      </w:pPr>
    </w:p>
    <w:p>
      <w:pPr>
        <w:pStyle w:val="BodyText"/>
        <w:ind w:left="262" w:right="278"/>
        <w:jc w:val="both"/>
      </w:pPr>
      <w:r>
        <w:rPr>
          <w:rFonts w:ascii="Arial" w:hAnsi="Arial"/>
          <w:b/>
        </w:rPr>
        <w:t>ARTÍCULO 449. </w:t>
      </w:r>
      <w:r>
        <w:rPr/>
        <w:t>El fraccionador o promotor atenderá las indicaciones que se deriven de la correspondiente</w:t>
      </w:r>
      <w:r>
        <w:rPr>
          <w:spacing w:val="-4"/>
        </w:rPr>
        <w:t> </w:t>
      </w:r>
      <w:r>
        <w:rPr/>
        <w:t>supervisión</w:t>
      </w:r>
      <w:r>
        <w:rPr>
          <w:spacing w:val="-4"/>
        </w:rPr>
        <w:t> </w:t>
      </w:r>
      <w:r>
        <w:rPr/>
        <w:t>oficial;</w:t>
      </w:r>
      <w:r>
        <w:rPr>
          <w:spacing w:val="-2"/>
        </w:rPr>
        <w:t> </w:t>
      </w:r>
      <w:r>
        <w:rPr/>
        <w:t>pero</w:t>
      </w:r>
      <w:r>
        <w:rPr>
          <w:spacing w:val="-4"/>
        </w:rPr>
        <w:t> </w:t>
      </w:r>
      <w:r>
        <w:rPr/>
        <w:t>tendrá</w:t>
      </w:r>
      <w:r>
        <w:rPr>
          <w:spacing w:val="-4"/>
        </w:rPr>
        <w:t> </w:t>
      </w:r>
      <w:r>
        <w:rPr/>
        <w:t>derecho</w:t>
      </w:r>
      <w:r>
        <w:rPr>
          <w:spacing w:val="-3"/>
        </w:rPr>
        <w:t> </w:t>
      </w:r>
      <w:r>
        <w:rPr/>
        <w:t>a</w:t>
      </w:r>
      <w:r>
        <w:rPr>
          <w:spacing w:val="-2"/>
        </w:rPr>
        <w:t> </w:t>
      </w:r>
      <w:r>
        <w:rPr/>
        <w:t>pedir</w:t>
      </w:r>
      <w:r>
        <w:rPr>
          <w:spacing w:val="-1"/>
        </w:rPr>
        <w:t> </w:t>
      </w:r>
      <w:r>
        <w:rPr/>
        <w:t>por</w:t>
      </w:r>
      <w:r>
        <w:rPr>
          <w:spacing w:val="-1"/>
        </w:rPr>
        <w:t> </w:t>
      </w:r>
      <w:r>
        <w:rPr/>
        <w:t>escrito</w:t>
      </w:r>
      <w:r>
        <w:rPr>
          <w:spacing w:val="-2"/>
        </w:rPr>
        <w:t> </w:t>
      </w:r>
      <w:r>
        <w:rPr/>
        <w:t>a</w:t>
      </w:r>
      <w:r>
        <w:rPr>
          <w:spacing w:val="-2"/>
        </w:rPr>
        <w:t> </w:t>
      </w:r>
      <w:r>
        <w:rPr/>
        <w:t>la Dirección</w:t>
      </w:r>
      <w:r>
        <w:rPr>
          <w:spacing w:val="-2"/>
        </w:rPr>
        <w:t> </w:t>
      </w:r>
      <w:r>
        <w:rPr/>
        <w:t>Municipal que se reconsideren las determinaciones tomadas por los supervisores, cuando pudieran implicar cambios en el proyecto, haciendo las observaciones que considere necesarias.</w:t>
      </w:r>
    </w:p>
    <w:p>
      <w:pPr>
        <w:pStyle w:val="BodyText"/>
      </w:pPr>
    </w:p>
    <w:p>
      <w:pPr>
        <w:pStyle w:val="BodyText"/>
        <w:ind w:left="262" w:right="287"/>
        <w:jc w:val="both"/>
      </w:pPr>
      <w:r>
        <w:rPr/>
        <w:t>Cuando por razones técnicas y fundadas se requiera la modificación del proyecto en sus especificaciones, deberá el fraccionador o promotor, proponerlas por escrito ante la Dirección Municipal, quien resolverá según proceda.</w:t>
      </w:r>
    </w:p>
    <w:p>
      <w:pPr>
        <w:pStyle w:val="BodyText"/>
        <w:spacing w:before="229"/>
        <w:ind w:left="262" w:right="279"/>
        <w:jc w:val="both"/>
      </w:pPr>
      <w:r>
        <w:rPr>
          <w:rFonts w:ascii="Arial" w:hAnsi="Arial"/>
          <w:b/>
        </w:rPr>
        <w:t>ARTÍCULO</w:t>
      </w:r>
      <w:r>
        <w:rPr>
          <w:rFonts w:ascii="Arial" w:hAnsi="Arial"/>
          <w:b/>
          <w:spacing w:val="-14"/>
        </w:rPr>
        <w:t> </w:t>
      </w:r>
      <w:r>
        <w:rPr>
          <w:rFonts w:ascii="Arial" w:hAnsi="Arial"/>
          <w:b/>
        </w:rPr>
        <w:t>450.</w:t>
      </w:r>
      <w:r>
        <w:rPr>
          <w:rFonts w:ascii="Arial" w:hAnsi="Arial"/>
          <w:b/>
          <w:spacing w:val="-14"/>
        </w:rPr>
        <w:t> </w:t>
      </w:r>
      <w:r>
        <w:rPr/>
        <w:t>El</w:t>
      </w:r>
      <w:r>
        <w:rPr>
          <w:spacing w:val="-14"/>
        </w:rPr>
        <w:t> </w:t>
      </w:r>
      <w:r>
        <w:rPr/>
        <w:t>fraccionador</w:t>
      </w:r>
      <w:r>
        <w:rPr>
          <w:spacing w:val="-14"/>
        </w:rPr>
        <w:t> </w:t>
      </w:r>
      <w:r>
        <w:rPr/>
        <w:t>o</w:t>
      </w:r>
      <w:r>
        <w:rPr>
          <w:spacing w:val="-14"/>
        </w:rPr>
        <w:t> </w:t>
      </w:r>
      <w:r>
        <w:rPr/>
        <w:t>promotor</w:t>
      </w:r>
      <w:r>
        <w:rPr>
          <w:spacing w:val="-14"/>
        </w:rPr>
        <w:t> </w:t>
      </w:r>
      <w:r>
        <w:rPr/>
        <w:t>realizará</w:t>
      </w:r>
      <w:r>
        <w:rPr>
          <w:spacing w:val="-14"/>
        </w:rPr>
        <w:t> </w:t>
      </w:r>
      <w:r>
        <w:rPr/>
        <w:t>y</w:t>
      </w:r>
      <w:r>
        <w:rPr>
          <w:spacing w:val="-14"/>
        </w:rPr>
        <w:t> </w:t>
      </w:r>
      <w:r>
        <w:rPr/>
        <w:t>reportará</w:t>
      </w:r>
      <w:r>
        <w:rPr>
          <w:spacing w:val="-14"/>
        </w:rPr>
        <w:t> </w:t>
      </w:r>
      <w:r>
        <w:rPr/>
        <w:t>de</w:t>
      </w:r>
      <w:r>
        <w:rPr>
          <w:spacing w:val="-13"/>
        </w:rPr>
        <w:t> </w:t>
      </w:r>
      <w:r>
        <w:rPr/>
        <w:t>inmediato</w:t>
      </w:r>
      <w:r>
        <w:rPr>
          <w:spacing w:val="-14"/>
        </w:rPr>
        <w:t> </w:t>
      </w:r>
      <w:r>
        <w:rPr/>
        <w:t>las</w:t>
      </w:r>
      <w:r>
        <w:rPr>
          <w:spacing w:val="-14"/>
        </w:rPr>
        <w:t> </w:t>
      </w:r>
      <w:r>
        <w:rPr/>
        <w:t>pruebas</w:t>
      </w:r>
      <w:r>
        <w:rPr>
          <w:spacing w:val="-14"/>
        </w:rPr>
        <w:t> </w:t>
      </w:r>
      <w:r>
        <w:rPr/>
        <w:t>de</w:t>
      </w:r>
      <w:r>
        <w:rPr>
          <w:spacing w:val="-14"/>
        </w:rPr>
        <w:t> </w:t>
      </w:r>
      <w:r>
        <w:rPr/>
        <w:t>calidad de</w:t>
      </w:r>
      <w:r>
        <w:rPr>
          <w:spacing w:val="-5"/>
        </w:rPr>
        <w:t> </w:t>
      </w:r>
      <w:r>
        <w:rPr/>
        <w:t>los</w:t>
      </w:r>
      <w:r>
        <w:rPr>
          <w:spacing w:val="-3"/>
        </w:rPr>
        <w:t> </w:t>
      </w:r>
      <w:r>
        <w:rPr/>
        <w:t>materiales,</w:t>
      </w:r>
      <w:r>
        <w:rPr>
          <w:spacing w:val="-4"/>
        </w:rPr>
        <w:t> </w:t>
      </w:r>
      <w:r>
        <w:rPr/>
        <w:t>mano</w:t>
      </w:r>
      <w:r>
        <w:rPr>
          <w:spacing w:val="-5"/>
        </w:rPr>
        <w:t> </w:t>
      </w:r>
      <w:r>
        <w:rPr/>
        <w:t>de</w:t>
      </w:r>
      <w:r>
        <w:rPr>
          <w:spacing w:val="-4"/>
        </w:rPr>
        <w:t> </w:t>
      </w:r>
      <w:r>
        <w:rPr/>
        <w:t>obra</w:t>
      </w:r>
      <w:r>
        <w:rPr>
          <w:spacing w:val="-6"/>
        </w:rPr>
        <w:t> </w:t>
      </w:r>
      <w:r>
        <w:rPr/>
        <w:t>y</w:t>
      </w:r>
      <w:r>
        <w:rPr>
          <w:spacing w:val="-3"/>
        </w:rPr>
        <w:t> </w:t>
      </w:r>
      <w:r>
        <w:rPr/>
        <w:t>acabado</w:t>
      </w:r>
      <w:r>
        <w:rPr>
          <w:spacing w:val="-4"/>
        </w:rPr>
        <w:t> </w:t>
      </w:r>
      <w:r>
        <w:rPr/>
        <w:t>de</w:t>
      </w:r>
      <w:r>
        <w:rPr>
          <w:spacing w:val="-5"/>
        </w:rPr>
        <w:t> </w:t>
      </w:r>
      <w:r>
        <w:rPr/>
        <w:t>las</w:t>
      </w:r>
      <w:r>
        <w:rPr>
          <w:spacing w:val="-3"/>
        </w:rPr>
        <w:t> </w:t>
      </w:r>
      <w:r>
        <w:rPr/>
        <w:t>obras</w:t>
      </w:r>
      <w:r>
        <w:rPr>
          <w:spacing w:val="-5"/>
        </w:rPr>
        <w:t> </w:t>
      </w:r>
      <w:r>
        <w:rPr/>
        <w:t>de</w:t>
      </w:r>
      <w:r>
        <w:rPr>
          <w:spacing w:val="-5"/>
        </w:rPr>
        <w:t> </w:t>
      </w:r>
      <w:r>
        <w:rPr/>
        <w:t>urbanización</w:t>
      </w:r>
      <w:r>
        <w:rPr>
          <w:spacing w:val="-5"/>
        </w:rPr>
        <w:t> </w:t>
      </w:r>
      <w:r>
        <w:rPr/>
        <w:t>respectivas,</w:t>
      </w:r>
      <w:r>
        <w:rPr>
          <w:spacing w:val="-6"/>
        </w:rPr>
        <w:t> </w:t>
      </w:r>
      <w:r>
        <w:rPr/>
        <w:t>de</w:t>
      </w:r>
      <w:r>
        <w:rPr>
          <w:spacing w:val="-4"/>
        </w:rPr>
        <w:t> </w:t>
      </w:r>
      <w:r>
        <w:rPr/>
        <w:t>acuerdo</w:t>
      </w:r>
      <w:r>
        <w:rPr>
          <w:spacing w:val="-5"/>
        </w:rPr>
        <w:t> </w:t>
      </w:r>
      <w:r>
        <w:rPr/>
        <w:t>al proyecto</w:t>
      </w:r>
      <w:r>
        <w:rPr>
          <w:spacing w:val="-5"/>
        </w:rPr>
        <w:t> </w:t>
      </w:r>
      <w:r>
        <w:rPr/>
        <w:t>definitivo</w:t>
      </w:r>
      <w:r>
        <w:rPr>
          <w:spacing w:val="-4"/>
        </w:rPr>
        <w:t> </w:t>
      </w:r>
      <w:r>
        <w:rPr/>
        <w:t>y</w:t>
      </w:r>
      <w:r>
        <w:rPr>
          <w:spacing w:val="-3"/>
        </w:rPr>
        <w:t> </w:t>
      </w:r>
      <w:r>
        <w:rPr/>
        <w:t>las</w:t>
      </w:r>
      <w:r>
        <w:rPr>
          <w:spacing w:val="-3"/>
        </w:rPr>
        <w:t> </w:t>
      </w:r>
      <w:r>
        <w:rPr/>
        <w:t>que,</w:t>
      </w:r>
      <w:r>
        <w:rPr>
          <w:spacing w:val="-4"/>
        </w:rPr>
        <w:t> </w:t>
      </w:r>
      <w:r>
        <w:rPr/>
        <w:t>en</w:t>
      </w:r>
      <w:r>
        <w:rPr>
          <w:spacing w:val="-5"/>
        </w:rPr>
        <w:t> </w:t>
      </w:r>
      <w:r>
        <w:rPr/>
        <w:t>su</w:t>
      </w:r>
      <w:r>
        <w:rPr>
          <w:spacing w:val="-4"/>
        </w:rPr>
        <w:t> </w:t>
      </w:r>
      <w:r>
        <w:rPr/>
        <w:t>caso,</w:t>
      </w:r>
      <w:r>
        <w:rPr>
          <w:spacing w:val="-4"/>
        </w:rPr>
        <w:t> </w:t>
      </w:r>
      <w:r>
        <w:rPr/>
        <w:t>les</w:t>
      </w:r>
      <w:r>
        <w:rPr>
          <w:spacing w:val="-3"/>
        </w:rPr>
        <w:t> </w:t>
      </w:r>
      <w:r>
        <w:rPr/>
        <w:t>sean</w:t>
      </w:r>
      <w:r>
        <w:rPr>
          <w:spacing w:val="-4"/>
        </w:rPr>
        <w:t> </w:t>
      </w:r>
      <w:r>
        <w:rPr/>
        <w:t>solicitadas</w:t>
      </w:r>
      <w:r>
        <w:rPr>
          <w:spacing w:val="-3"/>
        </w:rPr>
        <w:t> </w:t>
      </w:r>
      <w:r>
        <w:rPr/>
        <w:t>por</w:t>
      </w:r>
      <w:r>
        <w:rPr>
          <w:spacing w:val="-3"/>
        </w:rPr>
        <w:t> </w:t>
      </w:r>
      <w:r>
        <w:rPr/>
        <w:t>la</w:t>
      </w:r>
      <w:r>
        <w:rPr>
          <w:spacing w:val="-4"/>
        </w:rPr>
        <w:t> </w:t>
      </w:r>
      <w:r>
        <w:rPr/>
        <w:t>Dirección</w:t>
      </w:r>
      <w:r>
        <w:rPr>
          <w:spacing w:val="-4"/>
        </w:rPr>
        <w:t> </w:t>
      </w:r>
      <w:r>
        <w:rPr/>
        <w:t>Municipal,</w:t>
      </w:r>
      <w:r>
        <w:rPr>
          <w:spacing w:val="-4"/>
        </w:rPr>
        <w:t> </w:t>
      </w:r>
      <w:r>
        <w:rPr/>
        <w:t>a</w:t>
      </w:r>
      <w:r>
        <w:rPr>
          <w:spacing w:val="-5"/>
        </w:rPr>
        <w:t> </w:t>
      </w:r>
      <w:r>
        <w:rPr/>
        <w:t>efecto</w:t>
      </w:r>
      <w:r>
        <w:rPr>
          <w:spacing w:val="-5"/>
        </w:rPr>
        <w:t> </w:t>
      </w:r>
      <w:r>
        <w:rPr/>
        <w:t>de garantizar la buena calidad de las obras y de los servicios.</w:t>
      </w:r>
    </w:p>
    <w:p>
      <w:pPr>
        <w:pStyle w:val="BodyText"/>
      </w:pPr>
    </w:p>
    <w:p>
      <w:pPr>
        <w:pStyle w:val="BodyText"/>
        <w:ind w:left="262" w:right="287"/>
        <w:jc w:val="both"/>
      </w:pPr>
      <w:r>
        <w:rPr/>
        <w:t>Los originales de los reportes de laboratorio, correspondientes a las pruebas mencionadas en el párrafo anterior, deberán anexarse a la bitácora.</w:t>
      </w:r>
    </w:p>
    <w:p>
      <w:pPr>
        <w:pStyle w:val="BodyText"/>
        <w:spacing w:before="1"/>
      </w:pPr>
    </w:p>
    <w:p>
      <w:pPr>
        <w:pStyle w:val="BodyText"/>
        <w:spacing w:before="1"/>
        <w:ind w:left="262" w:right="283"/>
        <w:jc w:val="both"/>
      </w:pPr>
      <w:r>
        <w:rPr>
          <w:rFonts w:ascii="Arial" w:hAnsi="Arial"/>
          <w:b/>
        </w:rPr>
        <w:t>ARTÍCULO</w:t>
      </w:r>
      <w:r>
        <w:rPr>
          <w:rFonts w:ascii="Arial" w:hAnsi="Arial"/>
          <w:b/>
          <w:spacing w:val="-13"/>
        </w:rPr>
        <w:t> </w:t>
      </w:r>
      <w:r>
        <w:rPr>
          <w:rFonts w:ascii="Arial" w:hAnsi="Arial"/>
          <w:b/>
        </w:rPr>
        <w:t>451.</w:t>
      </w:r>
      <w:r>
        <w:rPr>
          <w:rFonts w:ascii="Arial" w:hAnsi="Arial"/>
          <w:b/>
          <w:spacing w:val="-11"/>
        </w:rPr>
        <w:t> </w:t>
      </w:r>
      <w:r>
        <w:rPr/>
        <w:t>El</w:t>
      </w:r>
      <w:r>
        <w:rPr>
          <w:spacing w:val="-14"/>
        </w:rPr>
        <w:t> </w:t>
      </w:r>
      <w:r>
        <w:rPr/>
        <w:t>fraccionador</w:t>
      </w:r>
      <w:r>
        <w:rPr>
          <w:spacing w:val="-10"/>
        </w:rPr>
        <w:t> </w:t>
      </w:r>
      <w:r>
        <w:rPr/>
        <w:t>o</w:t>
      </w:r>
      <w:r>
        <w:rPr>
          <w:spacing w:val="-14"/>
        </w:rPr>
        <w:t> </w:t>
      </w:r>
      <w:r>
        <w:rPr/>
        <w:t>promotor</w:t>
      </w:r>
      <w:r>
        <w:rPr>
          <w:spacing w:val="-13"/>
        </w:rPr>
        <w:t> </w:t>
      </w:r>
      <w:r>
        <w:rPr/>
        <w:t>entregará</w:t>
      </w:r>
      <w:r>
        <w:rPr>
          <w:spacing w:val="-11"/>
        </w:rPr>
        <w:t> </w:t>
      </w:r>
      <w:r>
        <w:rPr/>
        <w:t>a</w:t>
      </w:r>
      <w:r>
        <w:rPr>
          <w:spacing w:val="-14"/>
        </w:rPr>
        <w:t> </w:t>
      </w:r>
      <w:r>
        <w:rPr/>
        <w:t>la</w:t>
      </w:r>
      <w:r>
        <w:rPr>
          <w:spacing w:val="-14"/>
        </w:rPr>
        <w:t> </w:t>
      </w:r>
      <w:r>
        <w:rPr/>
        <w:t>Dirección</w:t>
      </w:r>
      <w:r>
        <w:rPr>
          <w:spacing w:val="-12"/>
        </w:rPr>
        <w:t> </w:t>
      </w:r>
      <w:r>
        <w:rPr/>
        <w:t>Municipal</w:t>
      </w:r>
      <w:r>
        <w:rPr>
          <w:spacing w:val="30"/>
        </w:rPr>
        <w:t> </w:t>
      </w:r>
      <w:r>
        <w:rPr/>
        <w:t>informes</w:t>
      </w:r>
      <w:r>
        <w:rPr>
          <w:spacing w:val="-13"/>
        </w:rPr>
        <w:t> </w:t>
      </w:r>
      <w:r>
        <w:rPr/>
        <w:t>trimestrales del avance físico de las obras de urbanización y reportes de laboratorio de control de calidad, con base en el proyecto definitivo y al calendario de obra autorizado.</w:t>
      </w:r>
    </w:p>
    <w:p>
      <w:pPr>
        <w:pStyle w:val="BodyText"/>
        <w:spacing w:before="229"/>
        <w:ind w:left="262" w:right="281"/>
        <w:jc w:val="both"/>
      </w:pPr>
      <w:r>
        <w:rPr/>
        <w:t>Asimismo,</w:t>
      </w:r>
      <w:r>
        <w:rPr>
          <w:spacing w:val="-14"/>
        </w:rPr>
        <w:t> </w:t>
      </w:r>
      <w:r>
        <w:rPr/>
        <w:t>en</w:t>
      </w:r>
      <w:r>
        <w:rPr>
          <w:spacing w:val="-14"/>
        </w:rPr>
        <w:t> </w:t>
      </w:r>
      <w:r>
        <w:rPr/>
        <w:t>los</w:t>
      </w:r>
      <w:r>
        <w:rPr>
          <w:spacing w:val="-14"/>
        </w:rPr>
        <w:t> </w:t>
      </w:r>
      <w:r>
        <w:rPr/>
        <w:t>informes</w:t>
      </w:r>
      <w:r>
        <w:rPr>
          <w:spacing w:val="-14"/>
        </w:rPr>
        <w:t> </w:t>
      </w:r>
      <w:r>
        <w:rPr/>
        <w:t>que</w:t>
      </w:r>
      <w:r>
        <w:rPr>
          <w:spacing w:val="-14"/>
        </w:rPr>
        <w:t> </w:t>
      </w:r>
      <w:r>
        <w:rPr/>
        <w:t>señala</w:t>
      </w:r>
      <w:r>
        <w:rPr>
          <w:spacing w:val="-14"/>
        </w:rPr>
        <w:t> </w:t>
      </w:r>
      <w:r>
        <w:rPr/>
        <w:t>el</w:t>
      </w:r>
      <w:r>
        <w:rPr>
          <w:spacing w:val="-14"/>
        </w:rPr>
        <w:t> </w:t>
      </w:r>
      <w:r>
        <w:rPr/>
        <w:t>párrafo</w:t>
      </w:r>
      <w:r>
        <w:rPr>
          <w:spacing w:val="-14"/>
        </w:rPr>
        <w:t> </w:t>
      </w:r>
      <w:r>
        <w:rPr/>
        <w:t>anterior,</w:t>
      </w:r>
      <w:r>
        <w:rPr>
          <w:spacing w:val="-14"/>
        </w:rPr>
        <w:t> </w:t>
      </w:r>
      <w:r>
        <w:rPr/>
        <w:t>deberá</w:t>
      </w:r>
      <w:r>
        <w:rPr>
          <w:spacing w:val="-13"/>
        </w:rPr>
        <w:t> </w:t>
      </w:r>
      <w:r>
        <w:rPr/>
        <w:t>hacerse</w:t>
      </w:r>
      <w:r>
        <w:rPr>
          <w:spacing w:val="-14"/>
        </w:rPr>
        <w:t> </w:t>
      </w:r>
      <w:r>
        <w:rPr/>
        <w:t>mención</w:t>
      </w:r>
      <w:r>
        <w:rPr>
          <w:spacing w:val="-14"/>
        </w:rPr>
        <w:t> </w:t>
      </w:r>
      <w:r>
        <w:rPr/>
        <w:t>a</w:t>
      </w:r>
      <w:r>
        <w:rPr>
          <w:spacing w:val="-14"/>
        </w:rPr>
        <w:t> </w:t>
      </w:r>
      <w:r>
        <w:rPr/>
        <w:t>las</w:t>
      </w:r>
      <w:r>
        <w:rPr>
          <w:spacing w:val="-14"/>
        </w:rPr>
        <w:t> </w:t>
      </w:r>
      <w:r>
        <w:rPr/>
        <w:t>correcciones que en su caso, se hayan derivado de las observaciones comunicadas al fraccionador o promotor por</w:t>
      </w:r>
      <w:r>
        <w:rPr>
          <w:spacing w:val="-9"/>
        </w:rPr>
        <w:t> </w:t>
      </w:r>
      <w:r>
        <w:rPr/>
        <w:t>los</w:t>
      </w:r>
      <w:r>
        <w:rPr>
          <w:spacing w:val="-9"/>
        </w:rPr>
        <w:t> </w:t>
      </w:r>
      <w:r>
        <w:rPr/>
        <w:t>supervisores</w:t>
      </w:r>
      <w:r>
        <w:rPr>
          <w:spacing w:val="-8"/>
        </w:rPr>
        <w:t> </w:t>
      </w:r>
      <w:r>
        <w:rPr/>
        <w:t>autorizados;</w:t>
      </w:r>
      <w:r>
        <w:rPr>
          <w:spacing w:val="-10"/>
        </w:rPr>
        <w:t> </w:t>
      </w:r>
      <w:r>
        <w:rPr/>
        <w:t>así</w:t>
      </w:r>
      <w:r>
        <w:rPr>
          <w:spacing w:val="-10"/>
        </w:rPr>
        <w:t> </w:t>
      </w:r>
      <w:r>
        <w:rPr/>
        <w:t>como,</w:t>
      </w:r>
      <w:r>
        <w:rPr>
          <w:spacing w:val="-10"/>
        </w:rPr>
        <w:t> </w:t>
      </w:r>
      <w:r>
        <w:rPr/>
        <w:t>deberá</w:t>
      </w:r>
      <w:r>
        <w:rPr>
          <w:spacing w:val="-8"/>
        </w:rPr>
        <w:t> </w:t>
      </w:r>
      <w:r>
        <w:rPr/>
        <w:t>adjuntar</w:t>
      </w:r>
      <w:r>
        <w:rPr>
          <w:spacing w:val="-9"/>
        </w:rPr>
        <w:t> </w:t>
      </w:r>
      <w:r>
        <w:rPr/>
        <w:t>copia</w:t>
      </w:r>
      <w:r>
        <w:rPr>
          <w:spacing w:val="-10"/>
        </w:rPr>
        <w:t> </w:t>
      </w:r>
      <w:r>
        <w:rPr/>
        <w:t>de</w:t>
      </w:r>
      <w:r>
        <w:rPr>
          <w:spacing w:val="-10"/>
        </w:rPr>
        <w:t> </w:t>
      </w:r>
      <w:r>
        <w:rPr/>
        <w:t>los</w:t>
      </w:r>
      <w:r>
        <w:rPr>
          <w:spacing w:val="-9"/>
        </w:rPr>
        <w:t> </w:t>
      </w:r>
      <w:r>
        <w:rPr/>
        <w:t>reportes</w:t>
      </w:r>
      <w:r>
        <w:rPr>
          <w:spacing w:val="-6"/>
        </w:rPr>
        <w:t> </w:t>
      </w:r>
      <w:r>
        <w:rPr/>
        <w:t>de</w:t>
      </w:r>
      <w:r>
        <w:rPr>
          <w:spacing w:val="-10"/>
        </w:rPr>
        <w:t> </w:t>
      </w:r>
      <w:r>
        <w:rPr/>
        <w:t>laboratorio</w:t>
      </w:r>
      <w:r>
        <w:rPr>
          <w:spacing w:val="-8"/>
        </w:rPr>
        <w:t> </w:t>
      </w:r>
      <w:r>
        <w:rPr/>
        <w:t>que garanticen la calidad de los materiales empleados, durante el periodo correspondiente.</w:t>
      </w:r>
    </w:p>
    <w:p>
      <w:pPr>
        <w:pStyle w:val="BodyText"/>
        <w:spacing w:before="230"/>
        <w:ind w:left="262" w:right="287"/>
        <w:jc w:val="both"/>
      </w:pPr>
      <w:r>
        <w:rPr>
          <w:rFonts w:ascii="Arial" w:hAnsi="Arial"/>
          <w:b/>
        </w:rPr>
        <w:t>ARTÍCULO 452. </w:t>
      </w:r>
      <w:r>
        <w:rPr/>
        <w:t>El fraccionador o promotor mantendrá en la obra, en lugar fijo y en forma permanente, el libro de bitácora debidamente foliado y autorizado por la Dirección Municipal hasta la conclusión total de las obras de urbanización.</w:t>
      </w:r>
    </w:p>
    <w:p>
      <w:pPr>
        <w:pStyle w:val="BodyText"/>
        <w:spacing w:before="229"/>
        <w:ind w:left="262" w:right="280"/>
        <w:jc w:val="both"/>
      </w:pPr>
      <w:r>
        <w:rPr>
          <w:rFonts w:ascii="Arial" w:hAnsi="Arial"/>
          <w:b/>
        </w:rPr>
        <w:t>ARTÍCULO 453. </w:t>
      </w:r>
      <w:r>
        <w:rPr/>
        <w:t>Cuando el fraccionador, promotor de condominio, de un desarrollo inmobiliario especial</w:t>
      </w:r>
      <w:r>
        <w:rPr>
          <w:spacing w:val="-3"/>
        </w:rPr>
        <w:t> </w:t>
      </w:r>
      <w:r>
        <w:rPr/>
        <w:t>o</w:t>
      </w:r>
      <w:r>
        <w:rPr>
          <w:spacing w:val="-2"/>
        </w:rPr>
        <w:t> </w:t>
      </w:r>
      <w:r>
        <w:rPr/>
        <w:t>de</w:t>
      </w:r>
      <w:r>
        <w:rPr>
          <w:spacing w:val="-2"/>
        </w:rPr>
        <w:t> </w:t>
      </w:r>
      <w:r>
        <w:rPr/>
        <w:t>un</w:t>
      </w:r>
      <w:r>
        <w:rPr>
          <w:spacing w:val="-2"/>
        </w:rPr>
        <w:t> </w:t>
      </w:r>
      <w:r>
        <w:rPr/>
        <w:t>predio</w:t>
      </w:r>
      <w:r>
        <w:rPr>
          <w:spacing w:val="-4"/>
        </w:rPr>
        <w:t> </w:t>
      </w:r>
      <w:r>
        <w:rPr/>
        <w:t>subdividido</w:t>
      </w:r>
      <w:r>
        <w:rPr>
          <w:spacing w:val="-2"/>
        </w:rPr>
        <w:t> </w:t>
      </w:r>
      <w:r>
        <w:rPr/>
        <w:t>haya</w:t>
      </w:r>
      <w:r>
        <w:rPr>
          <w:spacing w:val="-2"/>
        </w:rPr>
        <w:t> </w:t>
      </w:r>
      <w:r>
        <w:rPr/>
        <w:t>ejecutado</w:t>
      </w:r>
      <w:r>
        <w:rPr>
          <w:spacing w:val="-2"/>
        </w:rPr>
        <w:t> </w:t>
      </w:r>
      <w:r>
        <w:rPr/>
        <w:t>obras,</w:t>
      </w:r>
      <w:r>
        <w:rPr>
          <w:spacing w:val="-4"/>
        </w:rPr>
        <w:t> </w:t>
      </w:r>
      <w:r>
        <w:rPr/>
        <w:t>construcciones,</w:t>
      </w:r>
      <w:r>
        <w:rPr>
          <w:spacing w:val="-2"/>
        </w:rPr>
        <w:t> </w:t>
      </w:r>
      <w:r>
        <w:rPr/>
        <w:t>instalaciones</w:t>
      </w:r>
      <w:r>
        <w:rPr>
          <w:spacing w:val="-3"/>
        </w:rPr>
        <w:t> </w:t>
      </w:r>
      <w:r>
        <w:rPr/>
        <w:t>o</w:t>
      </w:r>
      <w:r>
        <w:rPr>
          <w:spacing w:val="-2"/>
        </w:rPr>
        <w:t> </w:t>
      </w:r>
      <w:r>
        <w:rPr/>
        <w:t>servicios en</w:t>
      </w:r>
      <w:r>
        <w:rPr>
          <w:spacing w:val="-7"/>
        </w:rPr>
        <w:t> </w:t>
      </w:r>
      <w:r>
        <w:rPr/>
        <w:t>contravención</w:t>
      </w:r>
      <w:r>
        <w:rPr>
          <w:spacing w:val="-7"/>
        </w:rPr>
        <w:t> </w:t>
      </w:r>
      <w:r>
        <w:rPr/>
        <w:t>a</w:t>
      </w:r>
      <w:r>
        <w:rPr>
          <w:spacing w:val="-4"/>
        </w:rPr>
        <w:t> </w:t>
      </w:r>
      <w:r>
        <w:rPr/>
        <w:t>lo</w:t>
      </w:r>
      <w:r>
        <w:rPr>
          <w:spacing w:val="-7"/>
        </w:rPr>
        <w:t> </w:t>
      </w:r>
      <w:r>
        <w:rPr/>
        <w:t>dispuesto</w:t>
      </w:r>
      <w:r>
        <w:rPr>
          <w:spacing w:val="-7"/>
        </w:rPr>
        <w:t> </w:t>
      </w:r>
      <w:r>
        <w:rPr/>
        <w:t>a</w:t>
      </w:r>
      <w:r>
        <w:rPr>
          <w:spacing w:val="-7"/>
        </w:rPr>
        <w:t> </w:t>
      </w:r>
      <w:r>
        <w:rPr/>
        <w:t>esta</w:t>
      </w:r>
      <w:r>
        <w:rPr>
          <w:spacing w:val="-7"/>
        </w:rPr>
        <w:t> </w:t>
      </w:r>
      <w:r>
        <w:rPr/>
        <w:t>Ley,</w:t>
      </w:r>
      <w:r>
        <w:rPr>
          <w:spacing w:val="-6"/>
        </w:rPr>
        <w:t> </w:t>
      </w:r>
      <w:r>
        <w:rPr/>
        <w:t>en</w:t>
      </w:r>
      <w:r>
        <w:rPr>
          <w:spacing w:val="-7"/>
        </w:rPr>
        <w:t> </w:t>
      </w:r>
      <w:r>
        <w:rPr/>
        <w:t>la</w:t>
      </w:r>
      <w:r>
        <w:rPr>
          <w:spacing w:val="-4"/>
        </w:rPr>
        <w:t> </w:t>
      </w:r>
      <w:r>
        <w:rPr/>
        <w:t>legislación</w:t>
      </w:r>
      <w:r>
        <w:rPr>
          <w:spacing w:val="-7"/>
        </w:rPr>
        <w:t> </w:t>
      </w:r>
      <w:r>
        <w:rPr/>
        <w:t>urbana,</w:t>
      </w:r>
      <w:r>
        <w:rPr>
          <w:spacing w:val="-7"/>
        </w:rPr>
        <w:t> </w:t>
      </w:r>
      <w:r>
        <w:rPr/>
        <w:t>en</w:t>
      </w:r>
      <w:r>
        <w:rPr>
          <w:spacing w:val="-7"/>
        </w:rPr>
        <w:t> </w:t>
      </w:r>
      <w:r>
        <w:rPr/>
        <w:t>los</w:t>
      </w:r>
      <w:r>
        <w:rPr>
          <w:spacing w:val="-6"/>
        </w:rPr>
        <w:t> </w:t>
      </w:r>
      <w:r>
        <w:rPr/>
        <w:t>programas</w:t>
      </w:r>
      <w:r>
        <w:rPr>
          <w:spacing w:val="-5"/>
        </w:rPr>
        <w:t> </w:t>
      </w:r>
      <w:r>
        <w:rPr/>
        <w:t>de</w:t>
      </w:r>
      <w:r>
        <w:rPr>
          <w:spacing w:val="-7"/>
        </w:rPr>
        <w:t> </w:t>
      </w:r>
      <w:r>
        <w:rPr/>
        <w:t>desarrollo urbano</w:t>
      </w:r>
      <w:r>
        <w:rPr>
          <w:spacing w:val="-14"/>
        </w:rPr>
        <w:t> </w:t>
      </w:r>
      <w:r>
        <w:rPr/>
        <w:t>o</w:t>
      </w:r>
      <w:r>
        <w:rPr>
          <w:spacing w:val="-14"/>
        </w:rPr>
        <w:t> </w:t>
      </w:r>
      <w:r>
        <w:rPr/>
        <w:t>en</w:t>
      </w:r>
      <w:r>
        <w:rPr>
          <w:spacing w:val="-12"/>
        </w:rPr>
        <w:t> </w:t>
      </w:r>
      <w:r>
        <w:rPr/>
        <w:t>la</w:t>
      </w:r>
      <w:r>
        <w:rPr>
          <w:spacing w:val="-11"/>
        </w:rPr>
        <w:t> </w:t>
      </w:r>
      <w:r>
        <w:rPr/>
        <w:t>autorización</w:t>
      </w:r>
      <w:r>
        <w:rPr>
          <w:spacing w:val="-14"/>
        </w:rPr>
        <w:t> </w:t>
      </w:r>
      <w:r>
        <w:rPr/>
        <w:t>respectiva;</w:t>
      </w:r>
      <w:r>
        <w:rPr>
          <w:spacing w:val="-14"/>
        </w:rPr>
        <w:t> </w:t>
      </w:r>
      <w:r>
        <w:rPr/>
        <w:t>la</w:t>
      </w:r>
      <w:r>
        <w:rPr>
          <w:spacing w:val="-14"/>
        </w:rPr>
        <w:t> </w:t>
      </w:r>
      <w:r>
        <w:rPr/>
        <w:t>Dirección</w:t>
      </w:r>
      <w:r>
        <w:rPr>
          <w:spacing w:val="-14"/>
        </w:rPr>
        <w:t> </w:t>
      </w:r>
      <w:r>
        <w:rPr/>
        <w:t>Municipal</w:t>
      </w:r>
      <w:r>
        <w:rPr>
          <w:spacing w:val="-12"/>
        </w:rPr>
        <w:t> </w:t>
      </w:r>
      <w:r>
        <w:rPr/>
        <w:t>podrán</w:t>
      </w:r>
      <w:r>
        <w:rPr>
          <w:spacing w:val="-14"/>
        </w:rPr>
        <w:t> </w:t>
      </w:r>
      <w:r>
        <w:rPr/>
        <w:t>ordenar</w:t>
      </w:r>
      <w:r>
        <w:rPr>
          <w:spacing w:val="-13"/>
        </w:rPr>
        <w:t> </w:t>
      </w:r>
      <w:r>
        <w:rPr/>
        <w:t>la</w:t>
      </w:r>
      <w:r>
        <w:rPr>
          <w:spacing w:val="-14"/>
        </w:rPr>
        <w:t> </w:t>
      </w:r>
      <w:r>
        <w:rPr/>
        <w:t>corrección</w:t>
      </w:r>
      <w:r>
        <w:rPr>
          <w:spacing w:val="-14"/>
        </w:rPr>
        <w:t> </w:t>
      </w:r>
      <w:r>
        <w:rPr/>
        <w:t>de</w:t>
      </w:r>
      <w:r>
        <w:rPr>
          <w:spacing w:val="-14"/>
        </w:rPr>
        <w:t> </w:t>
      </w:r>
      <w:r>
        <w:rPr/>
        <w:t>dichas obras, o bien, demolerlas total o parcialmente, sin ninguna obligación de pagar indemnización al fraccionador, promotor o desarrollador, quien deberá cubrir el costo de los trabajos efectuados, cuando éste no cumpla con el requerimiento de la autoridad competente, generándose a su cargo un crédito fiscal.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Heading2"/>
        <w:spacing w:line="480" w:lineRule="auto"/>
        <w:ind w:left="3332" w:right="3159" w:firstLine="828"/>
        <w:jc w:val="left"/>
      </w:pPr>
      <w:r>
        <w:rPr/>
        <w:t>Capítulo III Dictaminación</w:t>
      </w:r>
      <w:r>
        <w:rPr>
          <w:spacing w:val="-14"/>
        </w:rPr>
        <w:t> </w:t>
      </w:r>
      <w:r>
        <w:rPr/>
        <w:t>y</w:t>
      </w:r>
      <w:r>
        <w:rPr>
          <w:spacing w:val="-14"/>
        </w:rPr>
        <w:t> </w:t>
      </w:r>
      <w:r>
        <w:rPr/>
        <w:t>Conclusión</w:t>
      </w:r>
    </w:p>
    <w:p>
      <w:pPr>
        <w:pStyle w:val="BodyText"/>
        <w:spacing w:before="2"/>
        <w:ind w:left="262" w:right="279"/>
        <w:jc w:val="both"/>
      </w:pPr>
      <w:r>
        <w:rPr>
          <w:rFonts w:ascii="Arial" w:hAnsi="Arial"/>
          <w:b/>
        </w:rPr>
        <w:t>ARTÍCULO 454. </w:t>
      </w:r>
      <w:r>
        <w:rPr/>
        <w:t>Una vez concluida la totalidad de las obras de urbanización, el fraccionador o promotor solicitará por escrito a la Dirección Municipal los dictámenes técnicos de la ejecución de dichas obras, en cuanto a la calidad de los materiales, obras y servicios realizados, así como en lo correspondiente a la compatibilidad de las obras con el proyecto autorizado, respectivamente.</w:t>
      </w:r>
    </w:p>
    <w:p>
      <w:pPr>
        <w:pStyle w:val="BodyText"/>
        <w:spacing w:before="229"/>
        <w:ind w:left="262" w:right="287"/>
        <w:jc w:val="both"/>
      </w:pPr>
      <w:r>
        <w:rPr/>
        <w:t>Cuando se trate de urbanización autorizada por etapas, los dictámenes técnicos podrán otorgarse cuando se concluya cada una de ellas, y a petición del fraccionador podrá procederse a la municipalización respectiva de la misma.</w:t>
      </w:r>
    </w:p>
    <w:p>
      <w:pPr>
        <w:pStyle w:val="BodyText"/>
      </w:pPr>
    </w:p>
    <w:p>
      <w:pPr>
        <w:pStyle w:val="BodyText"/>
        <w:ind w:left="262" w:right="279"/>
        <w:jc w:val="both"/>
      </w:pPr>
      <w:r>
        <w:rPr>
          <w:rFonts w:ascii="Arial" w:hAnsi="Arial"/>
          <w:b/>
        </w:rPr>
        <w:t>ARTÍCULO 455. </w:t>
      </w:r>
      <w:r>
        <w:rPr/>
        <w:t>Los dictámenes técnicos a que se refiere el artículo anterior, tendrán por objeto verificar</w:t>
      </w:r>
      <w:r>
        <w:rPr>
          <w:spacing w:val="-13"/>
        </w:rPr>
        <w:t> </w:t>
      </w:r>
      <w:r>
        <w:rPr/>
        <w:t>que</w:t>
      </w:r>
      <w:r>
        <w:rPr>
          <w:spacing w:val="-12"/>
        </w:rPr>
        <w:t> </w:t>
      </w:r>
      <w:r>
        <w:rPr/>
        <w:t>el</w:t>
      </w:r>
      <w:r>
        <w:rPr>
          <w:spacing w:val="-14"/>
        </w:rPr>
        <w:t> </w:t>
      </w:r>
      <w:r>
        <w:rPr/>
        <w:t>fraccionador</w:t>
      </w:r>
      <w:r>
        <w:rPr>
          <w:spacing w:val="-10"/>
        </w:rPr>
        <w:t> </w:t>
      </w:r>
      <w:r>
        <w:rPr/>
        <w:t>o</w:t>
      </w:r>
      <w:r>
        <w:rPr>
          <w:spacing w:val="-14"/>
        </w:rPr>
        <w:t> </w:t>
      </w:r>
      <w:r>
        <w:rPr/>
        <w:t>promotor,</w:t>
      </w:r>
      <w:r>
        <w:rPr>
          <w:spacing w:val="-13"/>
        </w:rPr>
        <w:t> </w:t>
      </w:r>
      <w:r>
        <w:rPr/>
        <w:t>haya</w:t>
      </w:r>
      <w:r>
        <w:rPr>
          <w:spacing w:val="-12"/>
        </w:rPr>
        <w:t> </w:t>
      </w:r>
      <w:r>
        <w:rPr/>
        <w:t>cumplido</w:t>
      </w:r>
      <w:r>
        <w:rPr>
          <w:spacing w:val="-12"/>
        </w:rPr>
        <w:t> </w:t>
      </w:r>
      <w:r>
        <w:rPr/>
        <w:t>con</w:t>
      </w:r>
      <w:r>
        <w:rPr>
          <w:spacing w:val="-14"/>
        </w:rPr>
        <w:t> </w:t>
      </w:r>
      <w:r>
        <w:rPr/>
        <w:t>todas</w:t>
      </w:r>
      <w:r>
        <w:rPr>
          <w:spacing w:val="-13"/>
        </w:rPr>
        <w:t> </w:t>
      </w:r>
      <w:r>
        <w:rPr/>
        <w:t>las</w:t>
      </w:r>
      <w:r>
        <w:rPr>
          <w:spacing w:val="-13"/>
        </w:rPr>
        <w:t> </w:t>
      </w:r>
      <w:r>
        <w:rPr/>
        <w:t>obligaciones</w:t>
      </w:r>
      <w:r>
        <w:rPr>
          <w:spacing w:val="-10"/>
        </w:rPr>
        <w:t> </w:t>
      </w:r>
      <w:r>
        <w:rPr/>
        <w:t>que</w:t>
      </w:r>
      <w:r>
        <w:rPr>
          <w:spacing w:val="-11"/>
        </w:rPr>
        <w:t> </w:t>
      </w:r>
      <w:r>
        <w:rPr/>
        <w:t>le</w:t>
      </w:r>
      <w:r>
        <w:rPr>
          <w:spacing w:val="-14"/>
        </w:rPr>
        <w:t> </w:t>
      </w:r>
      <w:r>
        <w:rPr/>
        <w:t>señala</w:t>
      </w:r>
      <w:r>
        <w:rPr>
          <w:spacing w:val="-14"/>
        </w:rPr>
        <w:t> </w:t>
      </w:r>
      <w:r>
        <w:rPr/>
        <w:t>esta Ley y ejecutado las obras de urbanización, conforme al proyecto definitivo del fraccionamiento, condominio o desarrollo inmobiliario especial autorizado.</w:t>
      </w:r>
    </w:p>
    <w:p>
      <w:pPr>
        <w:pStyle w:val="BodyText"/>
      </w:pPr>
    </w:p>
    <w:p>
      <w:pPr>
        <w:pStyle w:val="BodyText"/>
        <w:ind w:left="262" w:right="286"/>
        <w:jc w:val="both"/>
      </w:pPr>
      <w:r>
        <w:rPr>
          <w:rFonts w:ascii="Arial" w:hAnsi="Arial"/>
          <w:b/>
        </w:rPr>
        <w:t>ARTÍCULO 456. </w:t>
      </w:r>
      <w:r>
        <w:rPr/>
        <w:t>Los dictámenes técnicos correspondientes serán expedidos por la Dirección Municipal en coordinación con las demás autoridades competentes</w:t>
      </w:r>
      <w:r>
        <w:rPr>
          <w:spacing w:val="40"/>
        </w:rPr>
        <w:t> </w:t>
      </w:r>
      <w:r>
        <w:rPr/>
        <w:t>u organismos operadores, según la naturaleza de los servicios de que se trate, debiéndose hacer del conocimiento del fraccionador</w:t>
      </w:r>
      <w:r>
        <w:rPr>
          <w:spacing w:val="-13"/>
        </w:rPr>
        <w:t> </w:t>
      </w:r>
      <w:r>
        <w:rPr/>
        <w:t>o</w:t>
      </w:r>
      <w:r>
        <w:rPr>
          <w:spacing w:val="-12"/>
        </w:rPr>
        <w:t> </w:t>
      </w:r>
      <w:r>
        <w:rPr/>
        <w:t>del</w:t>
      </w:r>
      <w:r>
        <w:rPr>
          <w:spacing w:val="-13"/>
        </w:rPr>
        <w:t> </w:t>
      </w:r>
      <w:r>
        <w:rPr/>
        <w:t>promotor;</w:t>
      </w:r>
      <w:r>
        <w:rPr>
          <w:spacing w:val="-14"/>
        </w:rPr>
        <w:t> </w:t>
      </w:r>
      <w:r>
        <w:rPr/>
        <w:t>además</w:t>
      </w:r>
      <w:r>
        <w:rPr>
          <w:spacing w:val="-10"/>
        </w:rPr>
        <w:t> </w:t>
      </w:r>
      <w:r>
        <w:rPr/>
        <w:t>en</w:t>
      </w:r>
      <w:r>
        <w:rPr>
          <w:spacing w:val="-12"/>
        </w:rPr>
        <w:t> </w:t>
      </w:r>
      <w:r>
        <w:rPr/>
        <w:t>su</w:t>
      </w:r>
      <w:r>
        <w:rPr>
          <w:spacing w:val="-14"/>
        </w:rPr>
        <w:t> </w:t>
      </w:r>
      <w:r>
        <w:rPr/>
        <w:t>caso,</w:t>
      </w:r>
      <w:r>
        <w:rPr>
          <w:spacing w:val="-12"/>
        </w:rPr>
        <w:t> </w:t>
      </w:r>
      <w:r>
        <w:rPr/>
        <w:t>de</w:t>
      </w:r>
      <w:r>
        <w:rPr>
          <w:spacing w:val="-11"/>
        </w:rPr>
        <w:t> </w:t>
      </w:r>
      <w:r>
        <w:rPr/>
        <w:t>la</w:t>
      </w:r>
      <w:r>
        <w:rPr>
          <w:spacing w:val="-11"/>
        </w:rPr>
        <w:t> </w:t>
      </w:r>
      <w:r>
        <w:rPr/>
        <w:t>asociación</w:t>
      </w:r>
      <w:r>
        <w:rPr>
          <w:spacing w:val="-11"/>
        </w:rPr>
        <w:t> </w:t>
      </w:r>
      <w:r>
        <w:rPr/>
        <w:t>de</w:t>
      </w:r>
      <w:r>
        <w:rPr>
          <w:spacing w:val="-14"/>
        </w:rPr>
        <w:t> </w:t>
      </w:r>
      <w:r>
        <w:rPr/>
        <w:t>colonos</w:t>
      </w:r>
      <w:r>
        <w:rPr>
          <w:spacing w:val="-12"/>
        </w:rPr>
        <w:t> </w:t>
      </w:r>
      <w:r>
        <w:rPr/>
        <w:t>u</w:t>
      </w:r>
      <w:r>
        <w:rPr>
          <w:spacing w:val="-12"/>
        </w:rPr>
        <w:t> </w:t>
      </w:r>
      <w:r>
        <w:rPr/>
        <w:t>ocupantes</w:t>
      </w:r>
      <w:r>
        <w:rPr>
          <w:spacing w:val="-13"/>
        </w:rPr>
        <w:t> </w:t>
      </w:r>
      <w:r>
        <w:rPr/>
        <w:t>de</w:t>
      </w:r>
      <w:r>
        <w:rPr>
          <w:spacing w:val="-11"/>
        </w:rPr>
        <w:t> </w:t>
      </w:r>
      <w:r>
        <w:rPr/>
        <w:t>locales o predios en desarrollos inmobiliarios especiales o de la asamblea de condóminos.</w:t>
      </w:r>
    </w:p>
    <w:p>
      <w:pPr>
        <w:pStyle w:val="BodyText"/>
      </w:pPr>
    </w:p>
    <w:p>
      <w:pPr>
        <w:pStyle w:val="BodyText"/>
        <w:ind w:left="262" w:right="284"/>
        <w:jc w:val="both"/>
      </w:pPr>
      <w:r>
        <w:rPr/>
        <w:t>En</w:t>
      </w:r>
      <w:r>
        <w:rPr>
          <w:spacing w:val="-7"/>
        </w:rPr>
        <w:t> </w:t>
      </w:r>
      <w:r>
        <w:rPr/>
        <w:t>el</w:t>
      </w:r>
      <w:r>
        <w:rPr>
          <w:spacing w:val="-7"/>
        </w:rPr>
        <w:t> </w:t>
      </w:r>
      <w:r>
        <w:rPr/>
        <w:t>caso</w:t>
      </w:r>
      <w:r>
        <w:rPr>
          <w:spacing w:val="-4"/>
        </w:rPr>
        <w:t> </w:t>
      </w:r>
      <w:r>
        <w:rPr/>
        <w:t>de</w:t>
      </w:r>
      <w:r>
        <w:rPr>
          <w:spacing w:val="-7"/>
        </w:rPr>
        <w:t> </w:t>
      </w:r>
      <w:r>
        <w:rPr/>
        <w:t>que</w:t>
      </w:r>
      <w:r>
        <w:rPr>
          <w:spacing w:val="-5"/>
        </w:rPr>
        <w:t> </w:t>
      </w:r>
      <w:r>
        <w:rPr/>
        <w:t>los</w:t>
      </w:r>
      <w:r>
        <w:rPr>
          <w:spacing w:val="-6"/>
        </w:rPr>
        <w:t> </w:t>
      </w:r>
      <w:r>
        <w:rPr/>
        <w:t>dictámenes</w:t>
      </w:r>
      <w:r>
        <w:rPr>
          <w:spacing w:val="-5"/>
        </w:rPr>
        <w:t> </w:t>
      </w:r>
      <w:r>
        <w:rPr/>
        <w:t>técnicos</w:t>
      </w:r>
      <w:r>
        <w:rPr>
          <w:spacing w:val="-6"/>
        </w:rPr>
        <w:t> </w:t>
      </w:r>
      <w:r>
        <w:rPr/>
        <w:t>no</w:t>
      </w:r>
      <w:r>
        <w:rPr>
          <w:spacing w:val="-7"/>
        </w:rPr>
        <w:t> </w:t>
      </w:r>
      <w:r>
        <w:rPr/>
        <w:t>aprueben</w:t>
      </w:r>
      <w:r>
        <w:rPr>
          <w:spacing w:val="-7"/>
        </w:rPr>
        <w:t> </w:t>
      </w:r>
      <w:r>
        <w:rPr/>
        <w:t>la</w:t>
      </w:r>
      <w:r>
        <w:rPr>
          <w:spacing w:val="-4"/>
        </w:rPr>
        <w:t> </w:t>
      </w:r>
      <w:r>
        <w:rPr/>
        <w:t>totalidad</w:t>
      </w:r>
      <w:r>
        <w:rPr>
          <w:spacing w:val="-7"/>
        </w:rPr>
        <w:t> </w:t>
      </w:r>
      <w:r>
        <w:rPr/>
        <w:t>de</w:t>
      </w:r>
      <w:r>
        <w:rPr>
          <w:spacing w:val="-5"/>
        </w:rPr>
        <w:t> </w:t>
      </w:r>
      <w:r>
        <w:rPr/>
        <w:t>las</w:t>
      </w:r>
      <w:r>
        <w:rPr>
          <w:spacing w:val="-6"/>
        </w:rPr>
        <w:t> </w:t>
      </w:r>
      <w:r>
        <w:rPr/>
        <w:t>obras</w:t>
      </w:r>
      <w:r>
        <w:rPr>
          <w:spacing w:val="-5"/>
        </w:rPr>
        <w:t> </w:t>
      </w:r>
      <w:r>
        <w:rPr/>
        <w:t>de</w:t>
      </w:r>
      <w:r>
        <w:rPr>
          <w:spacing w:val="-7"/>
        </w:rPr>
        <w:t> </w:t>
      </w:r>
      <w:r>
        <w:rPr/>
        <w:t>urbanización,</w:t>
      </w:r>
      <w:r>
        <w:rPr>
          <w:spacing w:val="-4"/>
        </w:rPr>
        <w:t> </w:t>
      </w:r>
      <w:r>
        <w:rPr/>
        <w:t>el fraccionador o promotor deberá corregir a su costa, las anomalías que se desprendan de dichos dictámenes, para que posteriormente solicite los dictámenes definitivos.</w:t>
      </w:r>
    </w:p>
    <w:p>
      <w:pPr>
        <w:pStyle w:val="BodyText"/>
        <w:spacing w:before="230"/>
        <w:ind w:left="262" w:right="279"/>
        <w:jc w:val="both"/>
      </w:pPr>
      <w:r>
        <w:rPr>
          <w:rFonts w:ascii="Arial" w:hAnsi="Arial"/>
          <w:b/>
        </w:rPr>
        <w:t>ARTÍCULO 457. </w:t>
      </w:r>
      <w:r>
        <w:rPr/>
        <w:t>Tratándose de condominios los dictámenes técnicos a que se refiere el artículo anterior, en ningún caso implican la municipalización del mismo, toda vez que la prestación de los servicios urbanos básicos, será responsabilidad de la administración del condominio, o en su caso del promotor del mismo cuando así se haya convenido, bajo la supervisión de las autoridades </w:t>
      </w:r>
      <w:r>
        <w:rPr>
          <w:spacing w:val="-2"/>
        </w:rPr>
        <w:t>competentes.</w:t>
      </w:r>
    </w:p>
    <w:p>
      <w:pPr>
        <w:pStyle w:val="BodyText"/>
      </w:pPr>
    </w:p>
    <w:p>
      <w:pPr>
        <w:pStyle w:val="BodyText"/>
        <w:ind w:left="262" w:right="283"/>
        <w:jc w:val="both"/>
      </w:pPr>
      <w:r>
        <w:rPr/>
        <w:t>En caso de condominios habitacionales, se establece como excepción al párrafo anterior, que el sistema de agua potable pueda ser entregado al Ayuntamiento, previo convenio y aceptación de éste y de cuando menos el ochenta por ciento de los condóminos.</w:t>
      </w:r>
    </w:p>
    <w:p>
      <w:pPr>
        <w:pStyle w:val="BodyText"/>
      </w:pPr>
    </w:p>
    <w:p>
      <w:pPr>
        <w:pStyle w:val="BodyText"/>
        <w:spacing w:before="2"/>
      </w:pPr>
    </w:p>
    <w:p>
      <w:pPr>
        <w:pStyle w:val="Heading2"/>
        <w:spacing w:line="480" w:lineRule="auto"/>
        <w:ind w:left="4150" w:right="4165"/>
      </w:pPr>
      <w:r>
        <w:rPr/>
        <w:t>Capítulo</w:t>
      </w:r>
      <w:r>
        <w:rPr>
          <w:spacing w:val="-14"/>
        </w:rPr>
        <w:t> </w:t>
      </w:r>
      <w:r>
        <w:rPr/>
        <w:t>IV </w:t>
      </w:r>
      <w:r>
        <w:rPr>
          <w:spacing w:val="-2"/>
        </w:rPr>
        <w:t>Servicios</w:t>
      </w:r>
    </w:p>
    <w:p>
      <w:pPr>
        <w:pStyle w:val="BodyText"/>
        <w:ind w:left="262" w:right="276"/>
        <w:jc w:val="both"/>
      </w:pPr>
      <w:r>
        <w:rPr>
          <w:rFonts w:ascii="Arial" w:hAnsi="Arial"/>
          <w:b/>
        </w:rPr>
        <w:t>ARTÍCULO</w:t>
      </w:r>
      <w:r>
        <w:rPr>
          <w:rFonts w:ascii="Arial" w:hAnsi="Arial"/>
          <w:b/>
          <w:spacing w:val="-1"/>
        </w:rPr>
        <w:t> </w:t>
      </w:r>
      <w:r>
        <w:rPr>
          <w:rFonts w:ascii="Arial" w:hAnsi="Arial"/>
          <w:b/>
        </w:rPr>
        <w:t>458. </w:t>
      </w:r>
      <w:r>
        <w:rPr/>
        <w:t>Tan pronto</w:t>
      </w:r>
      <w:r>
        <w:rPr>
          <w:spacing w:val="-2"/>
        </w:rPr>
        <w:t> </w:t>
      </w:r>
      <w:r>
        <w:rPr/>
        <w:t>como queden concluidas satisfactoriamente las</w:t>
      </w:r>
      <w:r>
        <w:rPr>
          <w:spacing w:val="-1"/>
        </w:rPr>
        <w:t> </w:t>
      </w:r>
      <w:r>
        <w:rPr/>
        <w:t>obras</w:t>
      </w:r>
      <w:r>
        <w:rPr>
          <w:spacing w:val="-1"/>
        </w:rPr>
        <w:t> </w:t>
      </w:r>
      <w:r>
        <w:rPr/>
        <w:t>de urbanización de un fraccionamiento, condominio o desarrollo inmobiliario especial y estén en uso los servicios públicos relativos, la Dirección Municipal se dirigirá a la autoridad competente a efecto de que proceda al reevalúo de la zona, en los términos de la legislación catastral.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6"/>
        <w:jc w:val="both"/>
      </w:pPr>
      <w:r>
        <w:rPr>
          <w:rFonts w:ascii="Arial" w:hAnsi="Arial"/>
          <w:b/>
        </w:rPr>
        <w:t>ARTÍCULO 459. </w:t>
      </w:r>
      <w:r>
        <w:rPr/>
        <w:t>El fraccionador o promotor estará obligado a realizar las obras de electrificación, con estricto apego a las características y especificaciones que le señale la Comisión Federal de </w:t>
      </w:r>
      <w:r>
        <w:rPr>
          <w:spacing w:val="-2"/>
        </w:rPr>
        <w:t>Electricidad.</w:t>
      </w:r>
    </w:p>
    <w:p>
      <w:pPr>
        <w:pStyle w:val="BodyText"/>
        <w:spacing w:before="1"/>
      </w:pPr>
    </w:p>
    <w:p>
      <w:pPr>
        <w:pStyle w:val="BodyText"/>
        <w:spacing w:before="1"/>
        <w:ind w:left="262" w:right="286"/>
        <w:jc w:val="both"/>
      </w:pPr>
      <w:r>
        <w:rPr>
          <w:rFonts w:ascii="Arial" w:hAnsi="Arial"/>
          <w:b/>
        </w:rPr>
        <w:t>ARTÍCULO 460. </w:t>
      </w:r>
      <w:r>
        <w:rPr/>
        <w:t>La constitución del régimen de propiedad en condominio o la ejecución de proyectos</w:t>
      </w:r>
      <w:r>
        <w:rPr>
          <w:spacing w:val="-1"/>
        </w:rPr>
        <w:t> </w:t>
      </w:r>
      <w:r>
        <w:rPr/>
        <w:t>de desarrollos</w:t>
      </w:r>
      <w:r>
        <w:rPr>
          <w:spacing w:val="-1"/>
        </w:rPr>
        <w:t> </w:t>
      </w:r>
      <w:r>
        <w:rPr/>
        <w:t>inmobiliarios</w:t>
      </w:r>
      <w:r>
        <w:rPr>
          <w:spacing w:val="-1"/>
        </w:rPr>
        <w:t> </w:t>
      </w:r>
      <w:r>
        <w:rPr/>
        <w:t>especiales,</w:t>
      </w:r>
      <w:r>
        <w:rPr>
          <w:spacing w:val="-2"/>
        </w:rPr>
        <w:t> </w:t>
      </w:r>
      <w:r>
        <w:rPr/>
        <w:t>solo se</w:t>
      </w:r>
      <w:r>
        <w:rPr>
          <w:spacing w:val="-2"/>
        </w:rPr>
        <w:t> </w:t>
      </w:r>
      <w:r>
        <w:rPr/>
        <w:t>autorizarán</w:t>
      </w:r>
      <w:r>
        <w:rPr>
          <w:spacing w:val="-2"/>
        </w:rPr>
        <w:t> </w:t>
      </w:r>
      <w:r>
        <w:rPr/>
        <w:t>en</w:t>
      </w:r>
      <w:r>
        <w:rPr>
          <w:spacing w:val="-2"/>
        </w:rPr>
        <w:t> </w:t>
      </w:r>
      <w:r>
        <w:rPr/>
        <w:t>predios que</w:t>
      </w:r>
      <w:r>
        <w:rPr>
          <w:spacing w:val="-2"/>
        </w:rPr>
        <w:t> </w:t>
      </w:r>
      <w:r>
        <w:rPr/>
        <w:t>cuenten a</w:t>
      </w:r>
      <w:r>
        <w:rPr>
          <w:spacing w:val="-2"/>
        </w:rPr>
        <w:t> </w:t>
      </w:r>
      <w:r>
        <w:rPr/>
        <w:t>pie de terreno con los servicios urbanos indispensables, como son:</w:t>
      </w:r>
    </w:p>
    <w:p>
      <w:pPr>
        <w:pStyle w:val="ListParagraph"/>
        <w:numPr>
          <w:ilvl w:val="0"/>
          <w:numId w:val="139"/>
        </w:numPr>
        <w:tabs>
          <w:tab w:pos="543" w:val="left" w:leader="none"/>
        </w:tabs>
        <w:spacing w:line="240" w:lineRule="auto" w:before="229" w:after="0"/>
        <w:ind w:left="543" w:right="0" w:hanging="281"/>
        <w:jc w:val="left"/>
        <w:rPr>
          <w:sz w:val="20"/>
        </w:rPr>
      </w:pPr>
      <w:r>
        <w:rPr>
          <w:sz w:val="20"/>
        </w:rPr>
        <w:t>Agua</w:t>
      </w:r>
      <w:r>
        <w:rPr>
          <w:spacing w:val="-7"/>
          <w:sz w:val="20"/>
        </w:rPr>
        <w:t> </w:t>
      </w:r>
      <w:r>
        <w:rPr>
          <w:spacing w:val="-2"/>
          <w:sz w:val="20"/>
        </w:rPr>
        <w:t>potable;</w:t>
      </w:r>
    </w:p>
    <w:p>
      <w:pPr>
        <w:pStyle w:val="BodyText"/>
        <w:spacing w:before="1"/>
      </w:pPr>
    </w:p>
    <w:p>
      <w:pPr>
        <w:pStyle w:val="ListParagraph"/>
        <w:numPr>
          <w:ilvl w:val="0"/>
          <w:numId w:val="139"/>
        </w:numPr>
        <w:tabs>
          <w:tab w:pos="543" w:val="left" w:leader="none"/>
        </w:tabs>
        <w:spacing w:line="240" w:lineRule="auto" w:before="0" w:after="0"/>
        <w:ind w:left="543" w:right="0" w:hanging="281"/>
        <w:jc w:val="left"/>
        <w:rPr>
          <w:sz w:val="20"/>
        </w:rPr>
      </w:pPr>
      <w:r>
        <w:rPr>
          <w:spacing w:val="-2"/>
          <w:sz w:val="20"/>
        </w:rPr>
        <w:t>Alcantarillado;</w:t>
      </w:r>
    </w:p>
    <w:p>
      <w:pPr>
        <w:pStyle w:val="ListParagraph"/>
        <w:numPr>
          <w:ilvl w:val="0"/>
          <w:numId w:val="139"/>
        </w:numPr>
        <w:tabs>
          <w:tab w:pos="597" w:val="left" w:leader="none"/>
        </w:tabs>
        <w:spacing w:line="240" w:lineRule="auto" w:before="229" w:after="0"/>
        <w:ind w:left="597" w:right="0" w:hanging="335"/>
        <w:jc w:val="left"/>
        <w:rPr>
          <w:sz w:val="20"/>
        </w:rPr>
      </w:pPr>
      <w:r>
        <w:rPr>
          <w:sz w:val="20"/>
        </w:rPr>
        <w:t>Energía</w:t>
      </w:r>
      <w:r>
        <w:rPr>
          <w:spacing w:val="-12"/>
          <w:sz w:val="20"/>
        </w:rPr>
        <w:t> </w:t>
      </w:r>
      <w:r>
        <w:rPr>
          <w:spacing w:val="-2"/>
          <w:sz w:val="20"/>
        </w:rPr>
        <w:t>eléctrica;</w:t>
      </w:r>
    </w:p>
    <w:p>
      <w:pPr>
        <w:pStyle w:val="BodyText"/>
      </w:pPr>
    </w:p>
    <w:p>
      <w:pPr>
        <w:pStyle w:val="ListParagraph"/>
        <w:numPr>
          <w:ilvl w:val="0"/>
          <w:numId w:val="139"/>
        </w:numPr>
        <w:tabs>
          <w:tab w:pos="545" w:val="left" w:leader="none"/>
        </w:tabs>
        <w:spacing w:line="240" w:lineRule="auto" w:before="1" w:after="0"/>
        <w:ind w:left="545" w:right="0" w:hanging="283"/>
        <w:jc w:val="left"/>
        <w:rPr>
          <w:sz w:val="20"/>
        </w:rPr>
      </w:pPr>
      <w:r>
        <w:rPr>
          <w:sz w:val="20"/>
        </w:rPr>
        <w:t>Alumbrado</w:t>
      </w:r>
      <w:r>
        <w:rPr>
          <w:spacing w:val="-14"/>
          <w:sz w:val="20"/>
        </w:rPr>
        <w:t> </w:t>
      </w:r>
      <w:r>
        <w:rPr>
          <w:spacing w:val="-2"/>
          <w:sz w:val="20"/>
        </w:rPr>
        <w:t>público;</w:t>
      </w:r>
    </w:p>
    <w:p>
      <w:pPr>
        <w:pStyle w:val="BodyText"/>
      </w:pPr>
    </w:p>
    <w:p>
      <w:pPr>
        <w:pStyle w:val="ListParagraph"/>
        <w:numPr>
          <w:ilvl w:val="0"/>
          <w:numId w:val="139"/>
        </w:numPr>
        <w:tabs>
          <w:tab w:pos="544" w:val="left" w:leader="none"/>
        </w:tabs>
        <w:spacing w:line="240" w:lineRule="auto" w:before="0" w:after="0"/>
        <w:ind w:left="544" w:right="0" w:hanging="282"/>
        <w:jc w:val="left"/>
        <w:rPr>
          <w:sz w:val="20"/>
        </w:rPr>
      </w:pPr>
      <w:r>
        <w:rPr>
          <w:sz w:val="20"/>
        </w:rPr>
        <w:t>Las</w:t>
      </w:r>
      <w:r>
        <w:rPr>
          <w:spacing w:val="-7"/>
          <w:sz w:val="20"/>
        </w:rPr>
        <w:t> </w:t>
      </w:r>
      <w:r>
        <w:rPr>
          <w:sz w:val="20"/>
        </w:rPr>
        <w:t>áreas</w:t>
      </w:r>
      <w:r>
        <w:rPr>
          <w:spacing w:val="-7"/>
          <w:sz w:val="20"/>
        </w:rPr>
        <w:t> </w:t>
      </w:r>
      <w:r>
        <w:rPr>
          <w:sz w:val="20"/>
        </w:rPr>
        <w:t>comunes</w:t>
      </w:r>
      <w:r>
        <w:rPr>
          <w:spacing w:val="-7"/>
          <w:sz w:val="20"/>
        </w:rPr>
        <w:t> </w:t>
      </w:r>
      <w:r>
        <w:rPr>
          <w:sz w:val="20"/>
        </w:rPr>
        <w:t>que</w:t>
      </w:r>
      <w:r>
        <w:rPr>
          <w:spacing w:val="-7"/>
          <w:sz w:val="20"/>
        </w:rPr>
        <w:t> </w:t>
      </w:r>
      <w:r>
        <w:rPr>
          <w:sz w:val="20"/>
        </w:rPr>
        <w:t>permitan</w:t>
      </w:r>
      <w:r>
        <w:rPr>
          <w:spacing w:val="-8"/>
          <w:sz w:val="20"/>
        </w:rPr>
        <w:t> </w:t>
      </w:r>
      <w:r>
        <w:rPr>
          <w:sz w:val="20"/>
        </w:rPr>
        <w:t>la</w:t>
      </w:r>
      <w:r>
        <w:rPr>
          <w:spacing w:val="-8"/>
          <w:sz w:val="20"/>
        </w:rPr>
        <w:t> </w:t>
      </w:r>
      <w:r>
        <w:rPr>
          <w:sz w:val="20"/>
        </w:rPr>
        <w:t>circulación</w:t>
      </w:r>
      <w:r>
        <w:rPr>
          <w:spacing w:val="-6"/>
          <w:sz w:val="20"/>
        </w:rPr>
        <w:t> </w:t>
      </w:r>
      <w:r>
        <w:rPr>
          <w:sz w:val="20"/>
        </w:rPr>
        <w:t>adecuada</w:t>
      </w:r>
      <w:r>
        <w:rPr>
          <w:spacing w:val="-6"/>
          <w:sz w:val="20"/>
        </w:rPr>
        <w:t> </w:t>
      </w:r>
      <w:r>
        <w:rPr>
          <w:sz w:val="20"/>
        </w:rPr>
        <w:t>de</w:t>
      </w:r>
      <w:r>
        <w:rPr>
          <w:spacing w:val="-8"/>
          <w:sz w:val="20"/>
        </w:rPr>
        <w:t> </w:t>
      </w:r>
      <w:r>
        <w:rPr>
          <w:sz w:val="20"/>
        </w:rPr>
        <w:t>peatones</w:t>
      </w:r>
      <w:r>
        <w:rPr>
          <w:spacing w:val="-7"/>
          <w:sz w:val="20"/>
        </w:rPr>
        <w:t> </w:t>
      </w:r>
      <w:r>
        <w:rPr>
          <w:sz w:val="20"/>
        </w:rPr>
        <w:t>y</w:t>
      </w:r>
      <w:r>
        <w:rPr>
          <w:spacing w:val="-7"/>
          <w:sz w:val="20"/>
        </w:rPr>
        <w:t> </w:t>
      </w:r>
      <w:r>
        <w:rPr>
          <w:sz w:val="20"/>
        </w:rPr>
        <w:t>vehículos,</w:t>
      </w:r>
      <w:r>
        <w:rPr>
          <w:spacing w:val="-7"/>
          <w:sz w:val="20"/>
        </w:rPr>
        <w:t> </w:t>
      </w:r>
      <w:r>
        <w:rPr>
          <w:spacing w:val="-10"/>
          <w:sz w:val="20"/>
        </w:rPr>
        <w:t>y</w:t>
      </w:r>
    </w:p>
    <w:p>
      <w:pPr>
        <w:pStyle w:val="ListParagraph"/>
        <w:numPr>
          <w:ilvl w:val="0"/>
          <w:numId w:val="139"/>
        </w:numPr>
        <w:tabs>
          <w:tab w:pos="688" w:val="left" w:leader="none"/>
        </w:tabs>
        <w:spacing w:line="240" w:lineRule="auto" w:before="229" w:after="0"/>
        <w:ind w:left="688" w:right="0" w:hanging="426"/>
        <w:jc w:val="left"/>
        <w:rPr>
          <w:sz w:val="20"/>
        </w:rPr>
      </w:pPr>
      <w:r>
        <w:rPr>
          <w:sz w:val="20"/>
        </w:rPr>
        <w:t>Equipo</w:t>
      </w:r>
      <w:r>
        <w:rPr>
          <w:spacing w:val="-6"/>
          <w:sz w:val="20"/>
        </w:rPr>
        <w:t> </w:t>
      </w:r>
      <w:r>
        <w:rPr>
          <w:sz w:val="20"/>
        </w:rPr>
        <w:t>de</w:t>
      </w:r>
      <w:r>
        <w:rPr>
          <w:spacing w:val="-4"/>
          <w:sz w:val="20"/>
        </w:rPr>
        <w:t> </w:t>
      </w:r>
      <w:r>
        <w:rPr>
          <w:sz w:val="20"/>
        </w:rPr>
        <w:t>limpia</w:t>
      </w:r>
      <w:r>
        <w:rPr>
          <w:spacing w:val="-6"/>
          <w:sz w:val="20"/>
        </w:rPr>
        <w:t> </w:t>
      </w:r>
      <w:r>
        <w:rPr>
          <w:sz w:val="20"/>
        </w:rPr>
        <w:t>y</w:t>
      </w:r>
      <w:r>
        <w:rPr>
          <w:spacing w:val="-3"/>
          <w:sz w:val="20"/>
        </w:rPr>
        <w:t> </w:t>
      </w:r>
      <w:r>
        <w:rPr>
          <w:sz w:val="20"/>
        </w:rPr>
        <w:t>aseo</w:t>
      </w:r>
      <w:r>
        <w:rPr>
          <w:spacing w:val="-6"/>
          <w:sz w:val="20"/>
        </w:rPr>
        <w:t> </w:t>
      </w:r>
      <w:r>
        <w:rPr>
          <w:sz w:val="20"/>
        </w:rPr>
        <w:t>de</w:t>
      </w:r>
      <w:r>
        <w:rPr>
          <w:spacing w:val="-4"/>
          <w:sz w:val="20"/>
        </w:rPr>
        <w:t> </w:t>
      </w:r>
      <w:r>
        <w:rPr>
          <w:sz w:val="20"/>
        </w:rPr>
        <w:t>áreas</w:t>
      </w:r>
      <w:r>
        <w:rPr>
          <w:spacing w:val="-5"/>
          <w:sz w:val="20"/>
        </w:rPr>
        <w:t> </w:t>
      </w:r>
      <w:r>
        <w:rPr>
          <w:spacing w:val="-2"/>
          <w:sz w:val="20"/>
        </w:rPr>
        <w:t>comunes.</w:t>
      </w:r>
    </w:p>
    <w:p>
      <w:pPr>
        <w:pStyle w:val="BodyText"/>
      </w:pPr>
    </w:p>
    <w:p>
      <w:pPr>
        <w:pStyle w:val="BodyText"/>
        <w:spacing w:before="1"/>
        <w:ind w:left="262" w:right="276"/>
        <w:jc w:val="both"/>
      </w:pPr>
      <w:r>
        <w:rPr>
          <w:rFonts w:ascii="Arial" w:hAnsi="Arial"/>
          <w:b/>
        </w:rPr>
        <w:t>ARTÍCULO 461. </w:t>
      </w:r>
      <w:r>
        <w:rPr/>
        <w:t>Se consideran también servicios urbanos indispensables, las áreas destinadas al estacionamiento vehicular o a actividades comerciales, educativas, de recreo y de vigilancia, en la extensión necesaria, cuando una o varias de dichas áreas deban existir a juicio del Ayuntamiento </w:t>
      </w:r>
      <w:r>
        <w:rPr>
          <w:spacing w:val="-2"/>
        </w:rPr>
        <w:t>respectivo.</w:t>
      </w:r>
    </w:p>
    <w:p>
      <w:pPr>
        <w:pStyle w:val="BodyText"/>
      </w:pPr>
    </w:p>
    <w:p>
      <w:pPr>
        <w:pStyle w:val="BodyText"/>
        <w:ind w:left="262" w:right="282"/>
        <w:jc w:val="both"/>
      </w:pPr>
      <w:r>
        <w:rPr>
          <w:rFonts w:ascii="Arial" w:hAnsi="Arial"/>
          <w:b/>
        </w:rPr>
        <w:t>ARTÍCULO 462. </w:t>
      </w:r>
      <w:r>
        <w:rPr/>
        <w:t>Los servicios a que se refiere el artículo anterior, serán prestados permanentemente con cargo al fraccionador o a la administración del condominio cuando esta se haya constituido, por lo que no serán responsabilidad del Ayuntamiento respectivo.</w:t>
      </w:r>
    </w:p>
    <w:p>
      <w:pPr>
        <w:pStyle w:val="BodyText"/>
        <w:spacing w:before="229"/>
        <w:ind w:left="262" w:right="286"/>
        <w:jc w:val="both"/>
      </w:pPr>
      <w:r>
        <w:rPr/>
        <w:t>Las</w:t>
      </w:r>
      <w:r>
        <w:rPr>
          <w:spacing w:val="-12"/>
        </w:rPr>
        <w:t> </w:t>
      </w:r>
      <w:r>
        <w:rPr/>
        <w:t>autoridades</w:t>
      </w:r>
      <w:r>
        <w:rPr>
          <w:spacing w:val="-13"/>
        </w:rPr>
        <w:t> </w:t>
      </w:r>
      <w:r>
        <w:rPr/>
        <w:t>competentes</w:t>
      </w:r>
      <w:r>
        <w:rPr>
          <w:spacing w:val="-13"/>
        </w:rPr>
        <w:t> </w:t>
      </w:r>
      <w:r>
        <w:rPr/>
        <w:t>en</w:t>
      </w:r>
      <w:r>
        <w:rPr>
          <w:spacing w:val="-12"/>
        </w:rPr>
        <w:t> </w:t>
      </w:r>
      <w:r>
        <w:rPr/>
        <w:t>la</w:t>
      </w:r>
      <w:r>
        <w:rPr>
          <w:spacing w:val="-11"/>
        </w:rPr>
        <w:t> </w:t>
      </w:r>
      <w:r>
        <w:rPr/>
        <w:t>aplicación</w:t>
      </w:r>
      <w:r>
        <w:rPr>
          <w:spacing w:val="-14"/>
        </w:rPr>
        <w:t> </w:t>
      </w:r>
      <w:r>
        <w:rPr/>
        <w:t>de</w:t>
      </w:r>
      <w:r>
        <w:rPr>
          <w:spacing w:val="-14"/>
        </w:rPr>
        <w:t> </w:t>
      </w:r>
      <w:r>
        <w:rPr/>
        <w:t>esta</w:t>
      </w:r>
      <w:r>
        <w:rPr>
          <w:spacing w:val="-9"/>
        </w:rPr>
        <w:t> </w:t>
      </w:r>
      <w:r>
        <w:rPr/>
        <w:t>Ley,</w:t>
      </w:r>
      <w:r>
        <w:rPr>
          <w:spacing w:val="-14"/>
        </w:rPr>
        <w:t> </w:t>
      </w:r>
      <w:r>
        <w:rPr/>
        <w:t>exigirán</w:t>
      </w:r>
      <w:r>
        <w:rPr>
          <w:spacing w:val="-14"/>
        </w:rPr>
        <w:t> </w:t>
      </w:r>
      <w:r>
        <w:rPr/>
        <w:t>que</w:t>
      </w:r>
      <w:r>
        <w:rPr>
          <w:spacing w:val="-11"/>
        </w:rPr>
        <w:t> </w:t>
      </w:r>
      <w:r>
        <w:rPr/>
        <w:t>la</w:t>
      </w:r>
      <w:r>
        <w:rPr>
          <w:spacing w:val="-14"/>
        </w:rPr>
        <w:t> </w:t>
      </w:r>
      <w:r>
        <w:rPr/>
        <w:t>prestación</w:t>
      </w:r>
      <w:r>
        <w:rPr>
          <w:spacing w:val="-14"/>
        </w:rPr>
        <w:t> </w:t>
      </w:r>
      <w:r>
        <w:rPr/>
        <w:t>de</w:t>
      </w:r>
      <w:r>
        <w:rPr>
          <w:spacing w:val="-14"/>
        </w:rPr>
        <w:t> </w:t>
      </w:r>
      <w:r>
        <w:rPr/>
        <w:t>los</w:t>
      </w:r>
      <w:r>
        <w:rPr>
          <w:spacing w:val="-13"/>
        </w:rPr>
        <w:t> </w:t>
      </w:r>
      <w:r>
        <w:rPr/>
        <w:t>servicios en el condominio o desarrollo inmobiliario especial se haga de manera adecuada y suficiente por parte de la administración o fraccionador.</w:t>
      </w:r>
    </w:p>
    <w:p>
      <w:pPr>
        <w:pStyle w:val="BodyText"/>
        <w:spacing w:before="2"/>
      </w:pPr>
    </w:p>
    <w:p>
      <w:pPr>
        <w:pStyle w:val="BodyText"/>
        <w:ind w:left="262" w:right="286"/>
        <w:jc w:val="both"/>
      </w:pPr>
      <w:r>
        <w:rPr>
          <w:rFonts w:ascii="Arial" w:hAnsi="Arial"/>
          <w:b/>
        </w:rPr>
        <w:t>ARTÍCULO 463. </w:t>
      </w:r>
      <w:r>
        <w:rPr/>
        <w:t>El dictamen correspondiente y la resolución de autorización, determinará las especificaciones y características de construcción y de los pavimentos en las calles y vialidades internas de los condominios o desarrollos inmobiliarios especiales.</w:t>
      </w:r>
    </w:p>
    <w:p>
      <w:pPr>
        <w:pStyle w:val="BodyText"/>
        <w:spacing w:before="229"/>
        <w:ind w:left="262" w:right="279"/>
        <w:jc w:val="both"/>
      </w:pPr>
      <w:r>
        <w:rPr>
          <w:rFonts w:ascii="Arial" w:hAnsi="Arial"/>
          <w:b/>
        </w:rPr>
        <w:t>ARTÍCULO</w:t>
      </w:r>
      <w:r>
        <w:rPr>
          <w:rFonts w:ascii="Arial" w:hAnsi="Arial"/>
          <w:b/>
          <w:spacing w:val="-8"/>
        </w:rPr>
        <w:t> </w:t>
      </w:r>
      <w:r>
        <w:rPr>
          <w:rFonts w:ascii="Arial" w:hAnsi="Arial"/>
          <w:b/>
        </w:rPr>
        <w:t>464.</w:t>
      </w:r>
      <w:r>
        <w:rPr>
          <w:rFonts w:ascii="Arial" w:hAnsi="Arial"/>
          <w:b/>
          <w:spacing w:val="-7"/>
        </w:rPr>
        <w:t> </w:t>
      </w:r>
      <w:r>
        <w:rPr/>
        <w:t>Los</w:t>
      </w:r>
      <w:r>
        <w:rPr>
          <w:spacing w:val="-6"/>
        </w:rPr>
        <w:t> </w:t>
      </w:r>
      <w:r>
        <w:rPr/>
        <w:t>fraccionadores</w:t>
      </w:r>
      <w:r>
        <w:rPr>
          <w:spacing w:val="-7"/>
        </w:rPr>
        <w:t> </w:t>
      </w:r>
      <w:r>
        <w:rPr/>
        <w:t>o</w:t>
      </w:r>
      <w:r>
        <w:rPr>
          <w:spacing w:val="-7"/>
        </w:rPr>
        <w:t> </w:t>
      </w:r>
      <w:r>
        <w:rPr/>
        <w:t>promotores</w:t>
      </w:r>
      <w:r>
        <w:rPr>
          <w:spacing w:val="-7"/>
        </w:rPr>
        <w:t> </w:t>
      </w:r>
      <w:r>
        <w:rPr/>
        <w:t>deberán</w:t>
      </w:r>
      <w:r>
        <w:rPr>
          <w:spacing w:val="-9"/>
        </w:rPr>
        <w:t> </w:t>
      </w:r>
      <w:r>
        <w:rPr/>
        <w:t>contar</w:t>
      </w:r>
      <w:r>
        <w:rPr>
          <w:spacing w:val="-8"/>
        </w:rPr>
        <w:t> </w:t>
      </w:r>
      <w:r>
        <w:rPr/>
        <w:t>con</w:t>
      </w:r>
      <w:r>
        <w:rPr>
          <w:spacing w:val="-7"/>
        </w:rPr>
        <w:t> </w:t>
      </w:r>
      <w:r>
        <w:rPr/>
        <w:t>la</w:t>
      </w:r>
      <w:r>
        <w:rPr>
          <w:spacing w:val="-7"/>
        </w:rPr>
        <w:t> </w:t>
      </w:r>
      <w:r>
        <w:rPr/>
        <w:t>factibilidad</w:t>
      </w:r>
      <w:r>
        <w:rPr>
          <w:spacing w:val="-7"/>
        </w:rPr>
        <w:t> </w:t>
      </w:r>
      <w:r>
        <w:rPr/>
        <w:t>expedida</w:t>
      </w:r>
      <w:r>
        <w:rPr>
          <w:spacing w:val="-7"/>
        </w:rPr>
        <w:t> </w:t>
      </w:r>
      <w:r>
        <w:rPr/>
        <w:t>por</w:t>
      </w:r>
      <w:r>
        <w:rPr>
          <w:spacing w:val="-8"/>
        </w:rPr>
        <w:t> </w:t>
      </w:r>
      <w:r>
        <w:rPr/>
        <w:t>la autoridad competente en materia de agua, que determine la existencia de una fuente de abastecimiento</w:t>
      </w:r>
      <w:r>
        <w:rPr>
          <w:spacing w:val="-5"/>
        </w:rPr>
        <w:t> </w:t>
      </w:r>
      <w:r>
        <w:rPr/>
        <w:t>de</w:t>
      </w:r>
      <w:r>
        <w:rPr>
          <w:spacing w:val="-5"/>
        </w:rPr>
        <w:t> </w:t>
      </w:r>
      <w:r>
        <w:rPr/>
        <w:t>agua</w:t>
      </w:r>
      <w:r>
        <w:rPr>
          <w:spacing w:val="-4"/>
        </w:rPr>
        <w:t> </w:t>
      </w:r>
      <w:r>
        <w:rPr/>
        <w:t>potable</w:t>
      </w:r>
      <w:r>
        <w:rPr>
          <w:spacing w:val="-5"/>
        </w:rPr>
        <w:t> </w:t>
      </w:r>
      <w:r>
        <w:rPr/>
        <w:t>para</w:t>
      </w:r>
      <w:r>
        <w:rPr>
          <w:spacing w:val="-5"/>
        </w:rPr>
        <w:t> </w:t>
      </w:r>
      <w:r>
        <w:rPr/>
        <w:t>servir</w:t>
      </w:r>
      <w:r>
        <w:rPr>
          <w:spacing w:val="-4"/>
        </w:rPr>
        <w:t> </w:t>
      </w:r>
      <w:r>
        <w:rPr/>
        <w:t>al</w:t>
      </w:r>
      <w:r>
        <w:rPr>
          <w:spacing w:val="-6"/>
        </w:rPr>
        <w:t> </w:t>
      </w:r>
      <w:r>
        <w:rPr/>
        <w:t>fraccionamiento,</w:t>
      </w:r>
      <w:r>
        <w:rPr>
          <w:spacing w:val="-5"/>
        </w:rPr>
        <w:t> </w:t>
      </w:r>
      <w:r>
        <w:rPr/>
        <w:t>condominio</w:t>
      </w:r>
      <w:r>
        <w:rPr>
          <w:spacing w:val="-3"/>
        </w:rPr>
        <w:t> </w:t>
      </w:r>
      <w:r>
        <w:rPr/>
        <w:t>o</w:t>
      </w:r>
      <w:r>
        <w:rPr>
          <w:spacing w:val="-5"/>
        </w:rPr>
        <w:t> </w:t>
      </w:r>
      <w:r>
        <w:rPr/>
        <w:t>desarrollo inmobiliario especial, que sea suficiente a juicio del Ayuntamiento.</w:t>
      </w:r>
    </w:p>
    <w:p>
      <w:pPr>
        <w:pStyle w:val="BodyText"/>
      </w:pPr>
    </w:p>
    <w:p>
      <w:pPr>
        <w:pStyle w:val="BodyText"/>
        <w:ind w:left="262" w:right="280"/>
        <w:jc w:val="both"/>
      </w:pPr>
      <w:r>
        <w:rPr/>
        <w:t>Asimismo, garantizarán en su caso, la existencia o construcción para su buen funcionamiento, de una</w:t>
      </w:r>
      <w:r>
        <w:rPr>
          <w:spacing w:val="-14"/>
        </w:rPr>
        <w:t> </w:t>
      </w:r>
      <w:r>
        <w:rPr/>
        <w:t>red</w:t>
      </w:r>
      <w:r>
        <w:rPr>
          <w:spacing w:val="-12"/>
        </w:rPr>
        <w:t> </w:t>
      </w:r>
      <w:r>
        <w:rPr/>
        <w:t>de</w:t>
      </w:r>
      <w:r>
        <w:rPr>
          <w:spacing w:val="-14"/>
        </w:rPr>
        <w:t> </w:t>
      </w:r>
      <w:r>
        <w:rPr/>
        <w:t>distribución</w:t>
      </w:r>
      <w:r>
        <w:rPr>
          <w:spacing w:val="-14"/>
        </w:rPr>
        <w:t> </w:t>
      </w:r>
      <w:r>
        <w:rPr/>
        <w:t>de</w:t>
      </w:r>
      <w:r>
        <w:rPr>
          <w:spacing w:val="-12"/>
        </w:rPr>
        <w:t> </w:t>
      </w:r>
      <w:r>
        <w:rPr/>
        <w:t>agua</w:t>
      </w:r>
      <w:r>
        <w:rPr>
          <w:spacing w:val="-14"/>
        </w:rPr>
        <w:t> </w:t>
      </w:r>
      <w:r>
        <w:rPr/>
        <w:t>potable</w:t>
      </w:r>
      <w:r>
        <w:rPr>
          <w:spacing w:val="-11"/>
        </w:rPr>
        <w:t> </w:t>
      </w:r>
      <w:r>
        <w:rPr/>
        <w:t>para</w:t>
      </w:r>
      <w:r>
        <w:rPr>
          <w:spacing w:val="-14"/>
        </w:rPr>
        <w:t> </w:t>
      </w:r>
      <w:r>
        <w:rPr/>
        <w:t>el</w:t>
      </w:r>
      <w:r>
        <w:rPr>
          <w:spacing w:val="-14"/>
        </w:rPr>
        <w:t> </w:t>
      </w:r>
      <w:r>
        <w:rPr/>
        <w:t>fraccionamiento,</w:t>
      </w:r>
      <w:r>
        <w:rPr>
          <w:spacing w:val="-14"/>
        </w:rPr>
        <w:t> </w:t>
      </w:r>
      <w:r>
        <w:rPr/>
        <w:t>condominio</w:t>
      </w:r>
      <w:r>
        <w:rPr>
          <w:spacing w:val="-14"/>
        </w:rPr>
        <w:t> </w:t>
      </w:r>
      <w:r>
        <w:rPr/>
        <w:t>o</w:t>
      </w:r>
      <w:r>
        <w:rPr>
          <w:spacing w:val="-14"/>
        </w:rPr>
        <w:t> </w:t>
      </w:r>
      <w:r>
        <w:rPr/>
        <w:t>desarrollo</w:t>
      </w:r>
      <w:r>
        <w:rPr>
          <w:spacing w:val="-14"/>
        </w:rPr>
        <w:t> </w:t>
      </w:r>
      <w:r>
        <w:rPr/>
        <w:t>inmobiliario especial y la instalación de tomas domiciliarias o prediales, así como la existencia o construcción para su buen funcionamiento, de una red de alcantarillado con salida de albañal.</w:t>
      </w:r>
    </w:p>
    <w:p>
      <w:pPr>
        <w:pStyle w:val="BodyText"/>
      </w:pPr>
    </w:p>
    <w:p>
      <w:pPr>
        <w:pStyle w:val="BodyText"/>
        <w:ind w:left="262" w:right="285"/>
        <w:jc w:val="both"/>
      </w:pPr>
      <w:r>
        <w:rPr/>
        <w:t>En</w:t>
      </w:r>
      <w:r>
        <w:rPr>
          <w:spacing w:val="-14"/>
        </w:rPr>
        <w:t> </w:t>
      </w:r>
      <w:r>
        <w:rPr/>
        <w:t>caso</w:t>
      </w:r>
      <w:r>
        <w:rPr>
          <w:spacing w:val="-11"/>
        </w:rPr>
        <w:t> </w:t>
      </w:r>
      <w:r>
        <w:rPr/>
        <w:t>de</w:t>
      </w:r>
      <w:r>
        <w:rPr>
          <w:spacing w:val="-12"/>
        </w:rPr>
        <w:t> </w:t>
      </w:r>
      <w:r>
        <w:rPr/>
        <w:t>que</w:t>
      </w:r>
      <w:r>
        <w:rPr>
          <w:spacing w:val="-11"/>
        </w:rPr>
        <w:t> </w:t>
      </w:r>
      <w:r>
        <w:rPr/>
        <w:t>el</w:t>
      </w:r>
      <w:r>
        <w:rPr>
          <w:spacing w:val="-12"/>
        </w:rPr>
        <w:t> </w:t>
      </w:r>
      <w:r>
        <w:rPr/>
        <w:t>Ayuntamiento</w:t>
      </w:r>
      <w:r>
        <w:rPr>
          <w:spacing w:val="-14"/>
        </w:rPr>
        <w:t> </w:t>
      </w:r>
      <w:r>
        <w:rPr/>
        <w:t>cuente</w:t>
      </w:r>
      <w:r>
        <w:rPr>
          <w:spacing w:val="-14"/>
        </w:rPr>
        <w:t> </w:t>
      </w:r>
      <w:r>
        <w:rPr/>
        <w:t>con</w:t>
      </w:r>
      <w:r>
        <w:rPr>
          <w:spacing w:val="-12"/>
        </w:rPr>
        <w:t> </w:t>
      </w:r>
      <w:r>
        <w:rPr/>
        <w:t>la</w:t>
      </w:r>
      <w:r>
        <w:rPr>
          <w:spacing w:val="-14"/>
        </w:rPr>
        <w:t> </w:t>
      </w:r>
      <w:r>
        <w:rPr/>
        <w:t>factibilidad</w:t>
      </w:r>
      <w:r>
        <w:rPr>
          <w:spacing w:val="-14"/>
        </w:rPr>
        <w:t> </w:t>
      </w:r>
      <w:r>
        <w:rPr/>
        <w:t>técnica</w:t>
      </w:r>
      <w:r>
        <w:rPr>
          <w:spacing w:val="-14"/>
        </w:rPr>
        <w:t> </w:t>
      </w:r>
      <w:r>
        <w:rPr/>
        <w:t>y</w:t>
      </w:r>
      <w:r>
        <w:rPr>
          <w:spacing w:val="-12"/>
        </w:rPr>
        <w:t> </w:t>
      </w:r>
      <w:r>
        <w:rPr/>
        <w:t>operativa,</w:t>
      </w:r>
      <w:r>
        <w:rPr>
          <w:spacing w:val="30"/>
        </w:rPr>
        <w:t> </w:t>
      </w:r>
      <w:r>
        <w:rPr/>
        <w:t>autorizará</w:t>
      </w:r>
      <w:r>
        <w:rPr>
          <w:spacing w:val="-13"/>
        </w:rPr>
        <w:t> </w:t>
      </w:r>
      <w:r>
        <w:rPr/>
        <w:t>la</w:t>
      </w:r>
      <w:r>
        <w:rPr>
          <w:spacing w:val="-12"/>
        </w:rPr>
        <w:t> </w:t>
      </w:r>
      <w:r>
        <w:rPr/>
        <w:t>conexión de las redes de agua potable y alcantarillado de un fraccionamiento, condominio o desarrollo inmobiliario especial a las redes generales, previo pago de los derechos correspondientes.</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pPr>
    </w:p>
    <w:p>
      <w:pPr>
        <w:pStyle w:val="BodyText"/>
        <w:spacing w:before="72"/>
      </w:pPr>
    </w:p>
    <w:p>
      <w:pPr>
        <w:pStyle w:val="Heading1"/>
        <w:ind w:left="5" w:right="24"/>
      </w:pPr>
      <w:r>
        <w:rPr/>
        <w:t>TÍTULO</w:t>
      </w:r>
      <w:r>
        <w:rPr>
          <w:spacing w:val="-10"/>
        </w:rPr>
        <w:t> </w:t>
      </w:r>
      <w:r>
        <w:rPr>
          <w:spacing w:val="-2"/>
        </w:rPr>
        <w:t>VIGÉSIMO</w:t>
      </w:r>
    </w:p>
    <w:p>
      <w:pPr>
        <w:pStyle w:val="BodyText"/>
        <w:rPr>
          <w:rFonts w:ascii="Arial"/>
          <w:b/>
        </w:rPr>
      </w:pPr>
    </w:p>
    <w:p>
      <w:pPr>
        <w:spacing w:before="1"/>
        <w:ind w:left="5" w:right="24" w:firstLine="0"/>
        <w:jc w:val="center"/>
        <w:rPr>
          <w:rFonts w:ascii="Arial"/>
          <w:b/>
          <w:sz w:val="20"/>
        </w:rPr>
      </w:pPr>
      <w:r>
        <w:rPr>
          <w:rFonts w:ascii="Arial"/>
          <w:b/>
          <w:sz w:val="20"/>
        </w:rPr>
        <w:t>DERECHOS</w:t>
      </w:r>
      <w:r>
        <w:rPr>
          <w:rFonts w:ascii="Arial"/>
          <w:b/>
          <w:spacing w:val="-6"/>
          <w:sz w:val="20"/>
        </w:rPr>
        <w:t> </w:t>
      </w:r>
      <w:r>
        <w:rPr>
          <w:rFonts w:ascii="Arial"/>
          <w:b/>
          <w:sz w:val="20"/>
        </w:rPr>
        <w:t>Y</w:t>
      </w:r>
      <w:r>
        <w:rPr>
          <w:rFonts w:ascii="Arial"/>
          <w:b/>
          <w:spacing w:val="-7"/>
          <w:sz w:val="20"/>
        </w:rPr>
        <w:t> </w:t>
      </w:r>
      <w:r>
        <w:rPr>
          <w:rFonts w:ascii="Arial"/>
          <w:b/>
          <w:sz w:val="20"/>
        </w:rPr>
        <w:t>OBLIGACIONES</w:t>
      </w:r>
      <w:r>
        <w:rPr>
          <w:rFonts w:ascii="Arial"/>
          <w:b/>
          <w:spacing w:val="-5"/>
          <w:sz w:val="20"/>
        </w:rPr>
        <w:t> </w:t>
      </w:r>
      <w:r>
        <w:rPr>
          <w:rFonts w:ascii="Arial"/>
          <w:b/>
          <w:sz w:val="20"/>
        </w:rPr>
        <w:t>DEL</w:t>
      </w:r>
      <w:r>
        <w:rPr>
          <w:rFonts w:ascii="Arial"/>
          <w:b/>
          <w:spacing w:val="-7"/>
          <w:sz w:val="20"/>
        </w:rPr>
        <w:t> </w:t>
      </w:r>
      <w:r>
        <w:rPr>
          <w:rFonts w:ascii="Arial"/>
          <w:b/>
          <w:sz w:val="20"/>
        </w:rPr>
        <w:t>FRACCIONADOR</w:t>
      </w:r>
      <w:r>
        <w:rPr>
          <w:rFonts w:ascii="Arial"/>
          <w:b/>
          <w:spacing w:val="-7"/>
          <w:sz w:val="20"/>
        </w:rPr>
        <w:t> </w:t>
      </w:r>
      <w:r>
        <w:rPr>
          <w:rFonts w:ascii="Arial"/>
          <w:b/>
          <w:sz w:val="20"/>
        </w:rPr>
        <w:t>Y</w:t>
      </w:r>
      <w:r>
        <w:rPr>
          <w:rFonts w:ascii="Arial"/>
          <w:b/>
          <w:spacing w:val="-7"/>
          <w:sz w:val="20"/>
        </w:rPr>
        <w:t> </w:t>
      </w: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pacing w:val="-2"/>
          <w:sz w:val="20"/>
        </w:rPr>
        <w:t>PROPIETARIOS</w:t>
      </w:r>
    </w:p>
    <w:p>
      <w:pPr>
        <w:pStyle w:val="BodyText"/>
        <w:spacing w:before="228"/>
        <w:rPr>
          <w:rFonts w:ascii="Arial"/>
          <w:b/>
        </w:rPr>
      </w:pPr>
    </w:p>
    <w:p>
      <w:pPr>
        <w:pStyle w:val="Heading2"/>
        <w:spacing w:line="480" w:lineRule="auto"/>
        <w:ind w:left="3209" w:right="3159" w:firstLine="1005"/>
        <w:jc w:val="left"/>
      </w:pPr>
      <w:r>
        <w:rPr/>
        <w:t>Capítulo I Obligaciones</w:t>
      </w:r>
      <w:r>
        <w:rPr>
          <w:spacing w:val="-14"/>
        </w:rPr>
        <w:t> </w:t>
      </w:r>
      <w:r>
        <w:rPr/>
        <w:t>del</w:t>
      </w:r>
      <w:r>
        <w:rPr>
          <w:spacing w:val="-14"/>
        </w:rPr>
        <w:t> </w:t>
      </w:r>
      <w:r>
        <w:rPr/>
        <w:t>Fraccionador</w:t>
      </w:r>
    </w:p>
    <w:p>
      <w:pPr>
        <w:pStyle w:val="BodyText"/>
        <w:ind w:left="262"/>
      </w:pPr>
      <w:r>
        <w:rPr>
          <w:rFonts w:ascii="Arial" w:hAnsi="Arial"/>
          <w:b/>
        </w:rPr>
        <w:t>ARTÍCULO</w:t>
      </w:r>
      <w:r>
        <w:rPr>
          <w:rFonts w:ascii="Arial" w:hAnsi="Arial"/>
          <w:b/>
          <w:spacing w:val="-7"/>
        </w:rPr>
        <w:t> </w:t>
      </w:r>
      <w:r>
        <w:rPr>
          <w:rFonts w:ascii="Arial" w:hAnsi="Arial"/>
          <w:b/>
        </w:rPr>
        <w:t>465.</w:t>
      </w:r>
      <w:r>
        <w:rPr>
          <w:rFonts w:ascii="Arial" w:hAnsi="Arial"/>
          <w:b/>
          <w:spacing w:val="-5"/>
        </w:rPr>
        <w:t> </w:t>
      </w:r>
      <w:r>
        <w:rPr/>
        <w:t>Para</w:t>
      </w:r>
      <w:r>
        <w:rPr>
          <w:spacing w:val="-5"/>
        </w:rPr>
        <w:t> </w:t>
      </w:r>
      <w:r>
        <w:rPr/>
        <w:t>los</w:t>
      </w:r>
      <w:r>
        <w:rPr>
          <w:spacing w:val="-7"/>
        </w:rPr>
        <w:t> </w:t>
      </w:r>
      <w:r>
        <w:rPr/>
        <w:t>efectos</w:t>
      </w:r>
      <w:r>
        <w:rPr>
          <w:spacing w:val="-6"/>
        </w:rPr>
        <w:t> </w:t>
      </w:r>
      <w:r>
        <w:rPr/>
        <w:t>de</w:t>
      </w:r>
      <w:r>
        <w:rPr>
          <w:spacing w:val="-6"/>
        </w:rPr>
        <w:t> </w:t>
      </w:r>
      <w:r>
        <w:rPr/>
        <w:t>la</w:t>
      </w:r>
      <w:r>
        <w:rPr>
          <w:spacing w:val="-5"/>
        </w:rPr>
        <w:t> </w:t>
      </w:r>
      <w:r>
        <w:rPr/>
        <w:t>presente</w:t>
      </w:r>
      <w:r>
        <w:rPr>
          <w:spacing w:val="-7"/>
        </w:rPr>
        <w:t> </w:t>
      </w:r>
      <w:r>
        <w:rPr/>
        <w:t>Ley,</w:t>
      </w:r>
      <w:r>
        <w:rPr>
          <w:spacing w:val="-6"/>
        </w:rPr>
        <w:t> </w:t>
      </w:r>
      <w:r>
        <w:rPr/>
        <w:t>el</w:t>
      </w:r>
      <w:r>
        <w:rPr>
          <w:spacing w:val="-8"/>
        </w:rPr>
        <w:t> </w:t>
      </w:r>
      <w:r>
        <w:rPr/>
        <w:t>fraccionador</w:t>
      </w:r>
      <w:r>
        <w:rPr>
          <w:spacing w:val="-6"/>
        </w:rPr>
        <w:t> </w:t>
      </w:r>
      <w:r>
        <w:rPr/>
        <w:t>estará</w:t>
      </w:r>
      <w:r>
        <w:rPr>
          <w:spacing w:val="-5"/>
        </w:rPr>
        <w:t> </w:t>
      </w:r>
      <w:r>
        <w:rPr/>
        <w:t>obligado,</w:t>
      </w:r>
      <w:r>
        <w:rPr>
          <w:spacing w:val="-6"/>
        </w:rPr>
        <w:t> </w:t>
      </w:r>
      <w:r>
        <w:rPr>
          <w:spacing w:val="-5"/>
        </w:rPr>
        <w:t>a:</w:t>
      </w:r>
    </w:p>
    <w:p>
      <w:pPr>
        <w:pStyle w:val="BodyText"/>
        <w:spacing w:before="1"/>
      </w:pPr>
    </w:p>
    <w:p>
      <w:pPr>
        <w:pStyle w:val="ListParagraph"/>
        <w:numPr>
          <w:ilvl w:val="0"/>
          <w:numId w:val="140"/>
        </w:numPr>
        <w:tabs>
          <w:tab w:pos="969" w:val="left" w:leader="none"/>
        </w:tabs>
        <w:spacing w:line="240" w:lineRule="auto" w:before="0" w:after="0"/>
        <w:ind w:left="262" w:right="284" w:firstLine="0"/>
        <w:jc w:val="both"/>
        <w:rPr>
          <w:sz w:val="20"/>
        </w:rPr>
      </w:pPr>
      <w:r>
        <w:rPr>
          <w:sz w:val="20"/>
        </w:rPr>
        <w:t>Cumplir</w:t>
      </w:r>
      <w:r>
        <w:rPr>
          <w:spacing w:val="-7"/>
          <w:sz w:val="20"/>
        </w:rPr>
        <w:t> </w:t>
      </w:r>
      <w:r>
        <w:rPr>
          <w:sz w:val="20"/>
        </w:rPr>
        <w:t>con</w:t>
      </w:r>
      <w:r>
        <w:rPr>
          <w:spacing w:val="-5"/>
          <w:sz w:val="20"/>
        </w:rPr>
        <w:t> </w:t>
      </w:r>
      <w:r>
        <w:rPr>
          <w:sz w:val="20"/>
        </w:rPr>
        <w:t>lo</w:t>
      </w:r>
      <w:r>
        <w:rPr>
          <w:spacing w:val="-5"/>
          <w:sz w:val="20"/>
        </w:rPr>
        <w:t> </w:t>
      </w:r>
      <w:r>
        <w:rPr>
          <w:sz w:val="20"/>
        </w:rPr>
        <w:t>dispuesto</w:t>
      </w:r>
      <w:r>
        <w:rPr>
          <w:spacing w:val="-6"/>
          <w:sz w:val="20"/>
        </w:rPr>
        <w:t> </w:t>
      </w:r>
      <w:r>
        <w:rPr>
          <w:sz w:val="20"/>
        </w:rPr>
        <w:t>en</w:t>
      </w:r>
      <w:r>
        <w:rPr>
          <w:spacing w:val="-8"/>
          <w:sz w:val="20"/>
        </w:rPr>
        <w:t> </w:t>
      </w:r>
      <w:r>
        <w:rPr>
          <w:sz w:val="20"/>
        </w:rPr>
        <w:t>esta</w:t>
      </w:r>
      <w:r>
        <w:rPr>
          <w:spacing w:val="-6"/>
          <w:sz w:val="20"/>
        </w:rPr>
        <w:t> </w:t>
      </w:r>
      <w:r>
        <w:rPr>
          <w:sz w:val="20"/>
        </w:rPr>
        <w:t>Ley,</w:t>
      </w:r>
      <w:r>
        <w:rPr>
          <w:spacing w:val="-5"/>
          <w:sz w:val="20"/>
        </w:rPr>
        <w:t> </w:t>
      </w:r>
      <w:r>
        <w:rPr>
          <w:sz w:val="20"/>
        </w:rPr>
        <w:t>los</w:t>
      </w:r>
      <w:r>
        <w:rPr>
          <w:spacing w:val="-7"/>
          <w:sz w:val="20"/>
        </w:rPr>
        <w:t> </w:t>
      </w:r>
      <w:r>
        <w:rPr>
          <w:sz w:val="20"/>
        </w:rPr>
        <w:t>programas</w:t>
      </w:r>
      <w:r>
        <w:rPr>
          <w:spacing w:val="-4"/>
          <w:sz w:val="20"/>
        </w:rPr>
        <w:t> </w:t>
      </w:r>
      <w:r>
        <w:rPr>
          <w:sz w:val="20"/>
        </w:rPr>
        <w:t>de</w:t>
      </w:r>
      <w:r>
        <w:rPr>
          <w:spacing w:val="-8"/>
          <w:sz w:val="20"/>
        </w:rPr>
        <w:t> </w:t>
      </w:r>
      <w:r>
        <w:rPr>
          <w:sz w:val="20"/>
        </w:rPr>
        <w:t>ordenamiento</w:t>
      </w:r>
      <w:r>
        <w:rPr>
          <w:spacing w:val="-8"/>
          <w:sz w:val="20"/>
        </w:rPr>
        <w:t> </w:t>
      </w:r>
      <w:r>
        <w:rPr>
          <w:sz w:val="20"/>
        </w:rPr>
        <w:t>territorial</w:t>
      </w:r>
      <w:r>
        <w:rPr>
          <w:spacing w:val="-6"/>
          <w:sz w:val="20"/>
        </w:rPr>
        <w:t> </w:t>
      </w:r>
      <w:r>
        <w:rPr>
          <w:sz w:val="20"/>
        </w:rPr>
        <w:t>y</w:t>
      </w:r>
      <w:r>
        <w:rPr>
          <w:spacing w:val="-6"/>
          <w:sz w:val="20"/>
        </w:rPr>
        <w:t> </w:t>
      </w:r>
      <w:r>
        <w:rPr>
          <w:sz w:val="20"/>
        </w:rPr>
        <w:t>desarrollo urbano, en las autorizaciones respectivas y demás disposiciones jurídicas aplicables;</w:t>
      </w:r>
    </w:p>
    <w:p>
      <w:pPr>
        <w:pStyle w:val="BodyText"/>
        <w:spacing w:before="1"/>
      </w:pPr>
    </w:p>
    <w:p>
      <w:pPr>
        <w:pStyle w:val="ListParagraph"/>
        <w:numPr>
          <w:ilvl w:val="0"/>
          <w:numId w:val="140"/>
        </w:numPr>
        <w:tabs>
          <w:tab w:pos="686" w:val="left" w:leader="none"/>
        </w:tabs>
        <w:spacing w:line="240" w:lineRule="auto" w:before="0" w:after="0"/>
        <w:ind w:left="262" w:right="288" w:firstLine="0"/>
        <w:jc w:val="both"/>
        <w:rPr>
          <w:sz w:val="20"/>
        </w:rPr>
      </w:pPr>
      <w:r>
        <w:rPr>
          <w:sz w:val="20"/>
        </w:rPr>
        <w:t>Ejecutar, por su cuenta, y con las especificaciones aprobadas, las obras de urbanización que le</w:t>
      </w:r>
      <w:r>
        <w:rPr>
          <w:spacing w:val="-3"/>
          <w:sz w:val="20"/>
        </w:rPr>
        <w:t> </w:t>
      </w:r>
      <w:r>
        <w:rPr>
          <w:sz w:val="20"/>
        </w:rPr>
        <w:t>correspondan, de</w:t>
      </w:r>
      <w:r>
        <w:rPr>
          <w:spacing w:val="-1"/>
          <w:sz w:val="20"/>
        </w:rPr>
        <w:t> </w:t>
      </w:r>
      <w:r>
        <w:rPr>
          <w:sz w:val="20"/>
        </w:rPr>
        <w:t>acuerdo</w:t>
      </w:r>
      <w:r>
        <w:rPr>
          <w:spacing w:val="-3"/>
          <w:sz w:val="20"/>
        </w:rPr>
        <w:t> </w:t>
      </w:r>
      <w:r>
        <w:rPr>
          <w:sz w:val="20"/>
        </w:rPr>
        <w:t>con</w:t>
      </w:r>
      <w:r>
        <w:rPr>
          <w:spacing w:val="-1"/>
          <w:sz w:val="20"/>
        </w:rPr>
        <w:t> </w:t>
      </w:r>
      <w:r>
        <w:rPr>
          <w:sz w:val="20"/>
        </w:rPr>
        <w:t>el</w:t>
      </w:r>
      <w:r>
        <w:rPr>
          <w:spacing w:val="-2"/>
          <w:sz w:val="20"/>
        </w:rPr>
        <w:t> </w:t>
      </w:r>
      <w:r>
        <w:rPr>
          <w:sz w:val="20"/>
        </w:rPr>
        <w:t>proyecto</w:t>
      </w:r>
      <w:r>
        <w:rPr>
          <w:spacing w:val="-1"/>
          <w:sz w:val="20"/>
        </w:rPr>
        <w:t> </w:t>
      </w:r>
      <w:r>
        <w:rPr>
          <w:sz w:val="20"/>
        </w:rPr>
        <w:t>definitivo</w:t>
      </w:r>
      <w:r>
        <w:rPr>
          <w:spacing w:val="-1"/>
          <w:sz w:val="20"/>
        </w:rPr>
        <w:t> </w:t>
      </w:r>
      <w:r>
        <w:rPr>
          <w:sz w:val="20"/>
        </w:rPr>
        <w:t>de</w:t>
      </w:r>
      <w:r>
        <w:rPr>
          <w:spacing w:val="-4"/>
          <w:sz w:val="20"/>
        </w:rPr>
        <w:t> </w:t>
      </w:r>
      <w:r>
        <w:rPr>
          <w:sz w:val="20"/>
        </w:rPr>
        <w:t>fraccionamiento,</w:t>
      </w:r>
      <w:r>
        <w:rPr>
          <w:spacing w:val="-3"/>
          <w:sz w:val="20"/>
        </w:rPr>
        <w:t> </w:t>
      </w:r>
      <w:r>
        <w:rPr>
          <w:sz w:val="20"/>
        </w:rPr>
        <w:t>condominio</w:t>
      </w:r>
      <w:r>
        <w:rPr>
          <w:spacing w:val="-1"/>
          <w:sz w:val="20"/>
        </w:rPr>
        <w:t> </w:t>
      </w:r>
      <w:r>
        <w:rPr>
          <w:sz w:val="20"/>
        </w:rPr>
        <w:t>o</w:t>
      </w:r>
      <w:r>
        <w:rPr>
          <w:spacing w:val="-1"/>
          <w:sz w:val="20"/>
        </w:rPr>
        <w:t> </w:t>
      </w:r>
      <w:r>
        <w:rPr>
          <w:sz w:val="20"/>
        </w:rPr>
        <w:t>desarrollo inmobiliario especial que les hayan autorizado;</w:t>
      </w:r>
    </w:p>
    <w:p>
      <w:pPr>
        <w:pStyle w:val="BodyText"/>
      </w:pPr>
    </w:p>
    <w:p>
      <w:pPr>
        <w:pStyle w:val="ListParagraph"/>
        <w:numPr>
          <w:ilvl w:val="0"/>
          <w:numId w:val="140"/>
        </w:numPr>
        <w:tabs>
          <w:tab w:pos="741" w:val="left" w:leader="none"/>
        </w:tabs>
        <w:spacing w:line="240" w:lineRule="auto" w:before="0" w:after="0"/>
        <w:ind w:left="262" w:right="285" w:firstLine="0"/>
        <w:jc w:val="both"/>
        <w:rPr>
          <w:sz w:val="20"/>
        </w:rPr>
      </w:pPr>
      <w:r>
        <w:rPr>
          <w:sz w:val="20"/>
        </w:rPr>
        <w:t>Iniciar en tiempo las obras de urbanización, previa autorización de la Dirección Municipal y concluirlas dentro del término que señala la presente Ley;</w:t>
      </w:r>
    </w:p>
    <w:p>
      <w:pPr>
        <w:pStyle w:val="ListParagraph"/>
        <w:numPr>
          <w:ilvl w:val="0"/>
          <w:numId w:val="140"/>
        </w:numPr>
        <w:tabs>
          <w:tab w:pos="688" w:val="left" w:leader="none"/>
        </w:tabs>
        <w:spacing w:line="240" w:lineRule="auto" w:before="229" w:after="0"/>
        <w:ind w:left="262" w:right="284" w:firstLine="0"/>
        <w:jc w:val="both"/>
        <w:rPr>
          <w:sz w:val="20"/>
        </w:rPr>
      </w:pPr>
      <w:r>
        <w:rPr>
          <w:sz w:val="20"/>
        </w:rPr>
        <w:t>Otorgar</w:t>
      </w:r>
      <w:r>
        <w:rPr>
          <w:spacing w:val="-9"/>
          <w:sz w:val="20"/>
        </w:rPr>
        <w:t> </w:t>
      </w:r>
      <w:r>
        <w:rPr>
          <w:sz w:val="20"/>
        </w:rPr>
        <w:t>las</w:t>
      </w:r>
      <w:r>
        <w:rPr>
          <w:spacing w:val="-10"/>
          <w:sz w:val="20"/>
        </w:rPr>
        <w:t> </w:t>
      </w:r>
      <w:r>
        <w:rPr>
          <w:sz w:val="20"/>
        </w:rPr>
        <w:t>garantías</w:t>
      </w:r>
      <w:r>
        <w:rPr>
          <w:spacing w:val="-10"/>
          <w:sz w:val="20"/>
        </w:rPr>
        <w:t> </w:t>
      </w:r>
      <w:r>
        <w:rPr>
          <w:sz w:val="20"/>
        </w:rPr>
        <w:t>conducentes,</w:t>
      </w:r>
      <w:r>
        <w:rPr>
          <w:spacing w:val="-9"/>
          <w:sz w:val="20"/>
        </w:rPr>
        <w:t> </w:t>
      </w:r>
      <w:r>
        <w:rPr>
          <w:sz w:val="20"/>
        </w:rPr>
        <w:t>a</w:t>
      </w:r>
      <w:r>
        <w:rPr>
          <w:spacing w:val="-10"/>
          <w:sz w:val="20"/>
        </w:rPr>
        <w:t> </w:t>
      </w:r>
      <w:r>
        <w:rPr>
          <w:sz w:val="20"/>
        </w:rPr>
        <w:t>efecto</w:t>
      </w:r>
      <w:r>
        <w:rPr>
          <w:spacing w:val="-9"/>
          <w:sz w:val="20"/>
        </w:rPr>
        <w:t> </w:t>
      </w:r>
      <w:r>
        <w:rPr>
          <w:sz w:val="20"/>
        </w:rPr>
        <w:t>de</w:t>
      </w:r>
      <w:r>
        <w:rPr>
          <w:spacing w:val="-11"/>
          <w:sz w:val="20"/>
        </w:rPr>
        <w:t> </w:t>
      </w:r>
      <w:r>
        <w:rPr>
          <w:sz w:val="20"/>
        </w:rPr>
        <w:t>asegurar</w:t>
      </w:r>
      <w:r>
        <w:rPr>
          <w:spacing w:val="-10"/>
          <w:sz w:val="20"/>
        </w:rPr>
        <w:t> </w:t>
      </w:r>
      <w:r>
        <w:rPr>
          <w:sz w:val="20"/>
        </w:rPr>
        <w:t>la</w:t>
      </w:r>
      <w:r>
        <w:rPr>
          <w:spacing w:val="-9"/>
          <w:sz w:val="20"/>
        </w:rPr>
        <w:t> </w:t>
      </w:r>
      <w:r>
        <w:rPr>
          <w:sz w:val="20"/>
        </w:rPr>
        <w:t>ejecución</w:t>
      </w:r>
      <w:r>
        <w:rPr>
          <w:spacing w:val="-10"/>
          <w:sz w:val="20"/>
        </w:rPr>
        <w:t> </w:t>
      </w:r>
      <w:r>
        <w:rPr>
          <w:sz w:val="20"/>
        </w:rPr>
        <w:t>adecuada</w:t>
      </w:r>
      <w:r>
        <w:rPr>
          <w:spacing w:val="-11"/>
          <w:sz w:val="20"/>
        </w:rPr>
        <w:t> </w:t>
      </w:r>
      <w:r>
        <w:rPr>
          <w:sz w:val="20"/>
        </w:rPr>
        <w:t>de</w:t>
      </w:r>
      <w:r>
        <w:rPr>
          <w:spacing w:val="-11"/>
          <w:sz w:val="20"/>
        </w:rPr>
        <w:t> </w:t>
      </w:r>
      <w:r>
        <w:rPr>
          <w:sz w:val="20"/>
        </w:rPr>
        <w:t>las</w:t>
      </w:r>
      <w:r>
        <w:rPr>
          <w:spacing w:val="-10"/>
          <w:sz w:val="20"/>
        </w:rPr>
        <w:t> </w:t>
      </w:r>
      <w:r>
        <w:rPr>
          <w:sz w:val="20"/>
        </w:rPr>
        <w:t>obras</w:t>
      </w:r>
      <w:r>
        <w:rPr>
          <w:spacing w:val="-10"/>
          <w:sz w:val="20"/>
        </w:rPr>
        <w:t> </w:t>
      </w:r>
      <w:r>
        <w:rPr>
          <w:sz w:val="20"/>
        </w:rPr>
        <w:t>de urbanización y el cumplimiento de cada una de las obligaciones que les correspondan;</w:t>
      </w:r>
    </w:p>
    <w:p>
      <w:pPr>
        <w:pStyle w:val="BodyText"/>
        <w:spacing w:before="1"/>
      </w:pPr>
    </w:p>
    <w:p>
      <w:pPr>
        <w:pStyle w:val="ListParagraph"/>
        <w:numPr>
          <w:ilvl w:val="0"/>
          <w:numId w:val="140"/>
        </w:numPr>
        <w:tabs>
          <w:tab w:pos="688" w:val="left" w:leader="none"/>
        </w:tabs>
        <w:spacing w:line="240" w:lineRule="auto" w:before="0" w:after="0"/>
        <w:ind w:left="262" w:right="286" w:firstLine="0"/>
        <w:jc w:val="both"/>
        <w:rPr>
          <w:sz w:val="20"/>
        </w:rPr>
      </w:pPr>
      <w:r>
        <w:rPr>
          <w:sz w:val="20"/>
        </w:rPr>
        <w:t>Donar al Ayuntamiento, las superficies para equipamiento, servicios y áreas verdes que les señalan esta Ley y la autorización respectiva;</w:t>
      </w:r>
    </w:p>
    <w:p>
      <w:pPr>
        <w:pStyle w:val="ListParagraph"/>
        <w:numPr>
          <w:ilvl w:val="0"/>
          <w:numId w:val="140"/>
        </w:numPr>
        <w:tabs>
          <w:tab w:pos="688" w:val="left" w:leader="none"/>
        </w:tabs>
        <w:spacing w:line="240" w:lineRule="auto" w:before="229" w:after="0"/>
        <w:ind w:left="262" w:right="285" w:firstLine="0"/>
        <w:jc w:val="both"/>
        <w:rPr>
          <w:sz w:val="20"/>
        </w:rPr>
      </w:pPr>
      <w:r>
        <w:rPr>
          <w:sz w:val="20"/>
        </w:rPr>
        <w:t>Pagar</w:t>
      </w:r>
      <w:r>
        <w:rPr>
          <w:spacing w:val="-13"/>
          <w:sz w:val="20"/>
        </w:rPr>
        <w:t> </w:t>
      </w:r>
      <w:r>
        <w:rPr>
          <w:sz w:val="20"/>
        </w:rPr>
        <w:t>en</w:t>
      </w:r>
      <w:r>
        <w:rPr>
          <w:spacing w:val="-14"/>
          <w:sz w:val="20"/>
        </w:rPr>
        <w:t> </w:t>
      </w:r>
      <w:r>
        <w:rPr>
          <w:sz w:val="20"/>
        </w:rPr>
        <w:t>tiempo</w:t>
      </w:r>
      <w:r>
        <w:rPr>
          <w:spacing w:val="-12"/>
          <w:sz w:val="20"/>
        </w:rPr>
        <w:t> </w:t>
      </w:r>
      <w:r>
        <w:rPr>
          <w:sz w:val="20"/>
        </w:rPr>
        <w:t>y</w:t>
      </w:r>
      <w:r>
        <w:rPr>
          <w:spacing w:val="-12"/>
          <w:sz w:val="20"/>
        </w:rPr>
        <w:t> </w:t>
      </w:r>
      <w:r>
        <w:rPr>
          <w:sz w:val="20"/>
        </w:rPr>
        <w:t>forma,</w:t>
      </w:r>
      <w:r>
        <w:rPr>
          <w:spacing w:val="-12"/>
          <w:sz w:val="20"/>
        </w:rPr>
        <w:t> </w:t>
      </w:r>
      <w:r>
        <w:rPr>
          <w:sz w:val="20"/>
        </w:rPr>
        <w:t>las</w:t>
      </w:r>
      <w:r>
        <w:rPr>
          <w:spacing w:val="-12"/>
          <w:sz w:val="20"/>
        </w:rPr>
        <w:t> </w:t>
      </w:r>
      <w:r>
        <w:rPr>
          <w:sz w:val="20"/>
        </w:rPr>
        <w:t>cargas</w:t>
      </w:r>
      <w:r>
        <w:rPr>
          <w:spacing w:val="-13"/>
          <w:sz w:val="20"/>
        </w:rPr>
        <w:t> </w:t>
      </w:r>
      <w:r>
        <w:rPr>
          <w:sz w:val="20"/>
        </w:rPr>
        <w:t>fiscales</w:t>
      </w:r>
      <w:r>
        <w:rPr>
          <w:spacing w:val="-13"/>
          <w:sz w:val="20"/>
        </w:rPr>
        <w:t> </w:t>
      </w:r>
      <w:r>
        <w:rPr>
          <w:sz w:val="20"/>
        </w:rPr>
        <w:t>que</w:t>
      </w:r>
      <w:r>
        <w:rPr>
          <w:spacing w:val="-12"/>
          <w:sz w:val="20"/>
        </w:rPr>
        <w:t> </w:t>
      </w:r>
      <w:r>
        <w:rPr>
          <w:sz w:val="20"/>
        </w:rPr>
        <w:t>les</w:t>
      </w:r>
      <w:r>
        <w:rPr>
          <w:spacing w:val="-13"/>
          <w:sz w:val="20"/>
        </w:rPr>
        <w:t> </w:t>
      </w:r>
      <w:r>
        <w:rPr>
          <w:sz w:val="20"/>
        </w:rPr>
        <w:t>correspondan,</w:t>
      </w:r>
      <w:r>
        <w:rPr>
          <w:spacing w:val="-12"/>
          <w:sz w:val="20"/>
        </w:rPr>
        <w:t> </w:t>
      </w:r>
      <w:r>
        <w:rPr>
          <w:sz w:val="20"/>
        </w:rPr>
        <w:t>de</w:t>
      </w:r>
      <w:r>
        <w:rPr>
          <w:spacing w:val="-12"/>
          <w:sz w:val="20"/>
        </w:rPr>
        <w:t> </w:t>
      </w:r>
      <w:r>
        <w:rPr>
          <w:sz w:val="20"/>
        </w:rPr>
        <w:t>acuerdo</w:t>
      </w:r>
      <w:r>
        <w:rPr>
          <w:spacing w:val="-14"/>
          <w:sz w:val="20"/>
        </w:rPr>
        <w:t> </w:t>
      </w:r>
      <w:r>
        <w:rPr>
          <w:sz w:val="20"/>
        </w:rPr>
        <w:t>con</w:t>
      </w:r>
      <w:r>
        <w:rPr>
          <w:spacing w:val="-14"/>
          <w:sz w:val="20"/>
        </w:rPr>
        <w:t> </w:t>
      </w:r>
      <w:r>
        <w:rPr>
          <w:sz w:val="20"/>
        </w:rPr>
        <w:t>lo</w:t>
      </w:r>
      <w:r>
        <w:rPr>
          <w:spacing w:val="-13"/>
          <w:sz w:val="20"/>
        </w:rPr>
        <w:t> </w:t>
      </w:r>
      <w:r>
        <w:rPr>
          <w:sz w:val="20"/>
        </w:rPr>
        <w:t>dispuesto en la legislación fiscal estatal y municipal;</w:t>
      </w:r>
    </w:p>
    <w:p>
      <w:pPr>
        <w:pStyle w:val="BodyText"/>
        <w:spacing w:before="1"/>
      </w:pPr>
    </w:p>
    <w:p>
      <w:pPr>
        <w:pStyle w:val="ListParagraph"/>
        <w:numPr>
          <w:ilvl w:val="0"/>
          <w:numId w:val="140"/>
        </w:numPr>
        <w:tabs>
          <w:tab w:pos="688" w:val="left" w:leader="none"/>
        </w:tabs>
        <w:spacing w:line="240" w:lineRule="auto" w:before="0" w:after="0"/>
        <w:ind w:left="262" w:right="287" w:firstLine="0"/>
        <w:jc w:val="both"/>
        <w:rPr>
          <w:sz w:val="20"/>
        </w:rPr>
      </w:pPr>
      <w:r>
        <w:rPr>
          <w:sz w:val="20"/>
        </w:rPr>
        <w:t>Informar trimestralmente a la Dirección Municipal del avance en la ejecución de las obras de urbanización; cuyo reporte deberá ser suscrito por el perito responsable de las obras;</w:t>
      </w:r>
    </w:p>
    <w:p>
      <w:pPr>
        <w:pStyle w:val="ListParagraph"/>
        <w:numPr>
          <w:ilvl w:val="0"/>
          <w:numId w:val="140"/>
        </w:numPr>
        <w:tabs>
          <w:tab w:pos="688" w:val="left" w:leader="none"/>
        </w:tabs>
        <w:spacing w:line="240" w:lineRule="auto" w:before="229" w:after="0"/>
        <w:ind w:left="262" w:right="286" w:firstLine="0"/>
        <w:jc w:val="both"/>
        <w:rPr>
          <w:sz w:val="20"/>
        </w:rPr>
      </w:pPr>
      <w:r>
        <w:rPr>
          <w:sz w:val="20"/>
        </w:rPr>
        <w:t>Atender las observaciones y correcciones que los supervisores autorizados del Ayuntamiento les</w:t>
      </w:r>
      <w:r>
        <w:rPr>
          <w:spacing w:val="-3"/>
          <w:sz w:val="20"/>
        </w:rPr>
        <w:t> </w:t>
      </w:r>
      <w:r>
        <w:rPr>
          <w:sz w:val="20"/>
        </w:rPr>
        <w:t>hagan,</w:t>
      </w:r>
      <w:r>
        <w:rPr>
          <w:spacing w:val="-4"/>
          <w:sz w:val="20"/>
        </w:rPr>
        <w:t> </w:t>
      </w:r>
      <w:r>
        <w:rPr>
          <w:sz w:val="20"/>
        </w:rPr>
        <w:t>respecto</w:t>
      </w:r>
      <w:r>
        <w:rPr>
          <w:spacing w:val="-2"/>
          <w:sz w:val="20"/>
        </w:rPr>
        <w:t> </w:t>
      </w:r>
      <w:r>
        <w:rPr>
          <w:sz w:val="20"/>
        </w:rPr>
        <w:t>de</w:t>
      </w:r>
      <w:r>
        <w:rPr>
          <w:spacing w:val="-2"/>
          <w:sz w:val="20"/>
        </w:rPr>
        <w:t> </w:t>
      </w:r>
      <w:r>
        <w:rPr>
          <w:sz w:val="20"/>
        </w:rPr>
        <w:t>la</w:t>
      </w:r>
      <w:r>
        <w:rPr>
          <w:spacing w:val="-4"/>
          <w:sz w:val="20"/>
        </w:rPr>
        <w:t> </w:t>
      </w:r>
      <w:r>
        <w:rPr>
          <w:sz w:val="20"/>
        </w:rPr>
        <w:t>ejecución</w:t>
      </w:r>
      <w:r>
        <w:rPr>
          <w:spacing w:val="-2"/>
          <w:sz w:val="20"/>
        </w:rPr>
        <w:t> </w:t>
      </w:r>
      <w:r>
        <w:rPr>
          <w:sz w:val="20"/>
        </w:rPr>
        <w:t>de</w:t>
      </w:r>
      <w:r>
        <w:rPr>
          <w:spacing w:val="-2"/>
          <w:sz w:val="20"/>
        </w:rPr>
        <w:t> </w:t>
      </w:r>
      <w:r>
        <w:rPr>
          <w:sz w:val="20"/>
        </w:rPr>
        <w:t>las</w:t>
      </w:r>
      <w:r>
        <w:rPr>
          <w:spacing w:val="-3"/>
          <w:sz w:val="20"/>
        </w:rPr>
        <w:t> </w:t>
      </w:r>
      <w:r>
        <w:rPr>
          <w:sz w:val="20"/>
        </w:rPr>
        <w:t>obras</w:t>
      </w:r>
      <w:r>
        <w:rPr>
          <w:spacing w:val="-2"/>
          <w:sz w:val="20"/>
        </w:rPr>
        <w:t> </w:t>
      </w:r>
      <w:r>
        <w:rPr>
          <w:sz w:val="20"/>
        </w:rPr>
        <w:t>de</w:t>
      </w:r>
      <w:r>
        <w:rPr>
          <w:spacing w:val="-4"/>
          <w:sz w:val="20"/>
        </w:rPr>
        <w:t> </w:t>
      </w:r>
      <w:r>
        <w:rPr>
          <w:sz w:val="20"/>
        </w:rPr>
        <w:t>urbanización</w:t>
      </w:r>
      <w:r>
        <w:rPr>
          <w:spacing w:val="-2"/>
          <w:sz w:val="20"/>
        </w:rPr>
        <w:t> </w:t>
      </w:r>
      <w:r>
        <w:rPr>
          <w:sz w:val="20"/>
        </w:rPr>
        <w:t>o</w:t>
      </w:r>
      <w:r>
        <w:rPr>
          <w:spacing w:val="-2"/>
          <w:sz w:val="20"/>
        </w:rPr>
        <w:t> </w:t>
      </w:r>
      <w:r>
        <w:rPr>
          <w:sz w:val="20"/>
        </w:rPr>
        <w:t>de</w:t>
      </w:r>
      <w:r>
        <w:rPr>
          <w:spacing w:val="-2"/>
          <w:sz w:val="20"/>
        </w:rPr>
        <w:t> </w:t>
      </w:r>
      <w:r>
        <w:rPr>
          <w:sz w:val="20"/>
        </w:rPr>
        <w:t>la</w:t>
      </w:r>
      <w:r>
        <w:rPr>
          <w:spacing w:val="-2"/>
          <w:sz w:val="20"/>
        </w:rPr>
        <w:t> </w:t>
      </w:r>
      <w:r>
        <w:rPr>
          <w:sz w:val="20"/>
        </w:rPr>
        <w:t>prestación</w:t>
      </w:r>
      <w:r>
        <w:rPr>
          <w:spacing w:val="-3"/>
          <w:sz w:val="20"/>
        </w:rPr>
        <w:t> </w:t>
      </w:r>
      <w:r>
        <w:rPr>
          <w:sz w:val="20"/>
        </w:rPr>
        <w:t>de</w:t>
      </w:r>
      <w:r>
        <w:rPr>
          <w:spacing w:val="-3"/>
          <w:sz w:val="20"/>
        </w:rPr>
        <w:t> </w:t>
      </w:r>
      <w:r>
        <w:rPr>
          <w:sz w:val="20"/>
        </w:rPr>
        <w:t>los</w:t>
      </w:r>
      <w:r>
        <w:rPr>
          <w:spacing w:val="-3"/>
          <w:sz w:val="20"/>
        </w:rPr>
        <w:t> </w:t>
      </w:r>
      <w:r>
        <w:rPr>
          <w:sz w:val="20"/>
        </w:rPr>
        <w:t>servicios que les correspondan;</w:t>
      </w:r>
    </w:p>
    <w:p>
      <w:pPr>
        <w:pStyle w:val="BodyText"/>
        <w:spacing w:before="2"/>
      </w:pPr>
    </w:p>
    <w:p>
      <w:pPr>
        <w:pStyle w:val="ListParagraph"/>
        <w:numPr>
          <w:ilvl w:val="0"/>
          <w:numId w:val="140"/>
        </w:numPr>
        <w:tabs>
          <w:tab w:pos="688" w:val="left" w:leader="none"/>
        </w:tabs>
        <w:spacing w:line="240" w:lineRule="auto" w:before="0" w:after="0"/>
        <w:ind w:left="262" w:right="285" w:firstLine="0"/>
        <w:jc w:val="both"/>
        <w:rPr>
          <w:sz w:val="20"/>
        </w:rPr>
      </w:pPr>
      <w:r>
        <w:rPr>
          <w:sz w:val="20"/>
        </w:rPr>
        <w:t>Informar</w:t>
      </w:r>
      <w:r>
        <w:rPr>
          <w:spacing w:val="-9"/>
          <w:sz w:val="20"/>
        </w:rPr>
        <w:t> </w:t>
      </w:r>
      <w:r>
        <w:rPr>
          <w:sz w:val="20"/>
        </w:rPr>
        <w:t>por</w:t>
      </w:r>
      <w:r>
        <w:rPr>
          <w:spacing w:val="-11"/>
          <w:sz w:val="20"/>
        </w:rPr>
        <w:t> </w:t>
      </w:r>
      <w:r>
        <w:rPr>
          <w:sz w:val="20"/>
        </w:rPr>
        <w:t>escrito</w:t>
      </w:r>
      <w:r>
        <w:rPr>
          <w:spacing w:val="-10"/>
          <w:sz w:val="20"/>
        </w:rPr>
        <w:t> </w:t>
      </w:r>
      <w:r>
        <w:rPr>
          <w:sz w:val="20"/>
        </w:rPr>
        <w:t>a</w:t>
      </w:r>
      <w:r>
        <w:rPr>
          <w:spacing w:val="-10"/>
          <w:sz w:val="20"/>
        </w:rPr>
        <w:t> </w:t>
      </w:r>
      <w:r>
        <w:rPr>
          <w:sz w:val="20"/>
        </w:rPr>
        <w:t>la</w:t>
      </w:r>
      <w:r>
        <w:rPr>
          <w:spacing w:val="-10"/>
          <w:sz w:val="20"/>
        </w:rPr>
        <w:t> </w:t>
      </w:r>
      <w:r>
        <w:rPr>
          <w:sz w:val="20"/>
        </w:rPr>
        <w:t>Dirección</w:t>
      </w:r>
      <w:r>
        <w:rPr>
          <w:spacing w:val="-11"/>
          <w:sz w:val="20"/>
        </w:rPr>
        <w:t> </w:t>
      </w:r>
      <w:r>
        <w:rPr>
          <w:sz w:val="20"/>
        </w:rPr>
        <w:t>Municipal</w:t>
      </w:r>
      <w:r>
        <w:rPr>
          <w:spacing w:val="-13"/>
          <w:sz w:val="20"/>
        </w:rPr>
        <w:t> </w:t>
      </w:r>
      <w:r>
        <w:rPr>
          <w:sz w:val="20"/>
        </w:rPr>
        <w:t>respecto</w:t>
      </w:r>
      <w:r>
        <w:rPr>
          <w:spacing w:val="-10"/>
          <w:sz w:val="20"/>
        </w:rPr>
        <w:t> </w:t>
      </w:r>
      <w:r>
        <w:rPr>
          <w:sz w:val="20"/>
        </w:rPr>
        <w:t>de</w:t>
      </w:r>
      <w:r>
        <w:rPr>
          <w:spacing w:val="-10"/>
          <w:sz w:val="20"/>
        </w:rPr>
        <w:t> </w:t>
      </w:r>
      <w:r>
        <w:rPr>
          <w:sz w:val="20"/>
        </w:rPr>
        <w:t>cualquier</w:t>
      </w:r>
      <w:r>
        <w:rPr>
          <w:spacing w:val="-9"/>
          <w:sz w:val="20"/>
        </w:rPr>
        <w:t> </w:t>
      </w:r>
      <w:r>
        <w:rPr>
          <w:sz w:val="20"/>
        </w:rPr>
        <w:t>irregularidad</w:t>
      </w:r>
      <w:r>
        <w:rPr>
          <w:spacing w:val="-11"/>
          <w:sz w:val="20"/>
        </w:rPr>
        <w:t> </w:t>
      </w:r>
      <w:r>
        <w:rPr>
          <w:sz w:val="20"/>
        </w:rPr>
        <w:t>o</w:t>
      </w:r>
      <w:r>
        <w:rPr>
          <w:spacing w:val="-10"/>
          <w:sz w:val="20"/>
        </w:rPr>
        <w:t> </w:t>
      </w:r>
      <w:r>
        <w:rPr>
          <w:sz w:val="20"/>
        </w:rPr>
        <w:t>anomalía</w:t>
      </w:r>
      <w:r>
        <w:rPr>
          <w:spacing w:val="-10"/>
          <w:sz w:val="20"/>
        </w:rPr>
        <w:t> </w:t>
      </w:r>
      <w:r>
        <w:rPr>
          <w:sz w:val="20"/>
        </w:rPr>
        <w:t>que se suscite en el fraccionamiento, condominio o desarrollo inmobiliario especial;</w:t>
      </w:r>
    </w:p>
    <w:p>
      <w:pPr>
        <w:pStyle w:val="ListParagraph"/>
        <w:numPr>
          <w:ilvl w:val="0"/>
          <w:numId w:val="140"/>
        </w:numPr>
        <w:tabs>
          <w:tab w:pos="827" w:val="left" w:leader="none"/>
        </w:tabs>
        <w:spacing w:line="240" w:lineRule="auto" w:before="229" w:after="0"/>
        <w:ind w:left="262" w:right="288" w:firstLine="0"/>
        <w:jc w:val="both"/>
        <w:rPr>
          <w:sz w:val="20"/>
        </w:rPr>
      </w:pPr>
      <w:r>
        <w:rPr>
          <w:sz w:val="20"/>
        </w:rPr>
        <w:t>Enajenar los departamentos, viviendas, casas, locales, predios o áreas de fraccionamientos o condominios, de acuerdo a las características que le establecen esta Ley y la autorización </w:t>
      </w:r>
      <w:r>
        <w:rPr>
          <w:spacing w:val="-2"/>
          <w:sz w:val="20"/>
        </w:rPr>
        <w:t>respectiva;</w:t>
      </w:r>
    </w:p>
    <w:p>
      <w:pPr>
        <w:pStyle w:val="ListParagraph"/>
        <w:numPr>
          <w:ilvl w:val="0"/>
          <w:numId w:val="140"/>
        </w:numPr>
        <w:tabs>
          <w:tab w:pos="827" w:val="left" w:leader="none"/>
        </w:tabs>
        <w:spacing w:line="240" w:lineRule="auto" w:before="230" w:after="0"/>
        <w:ind w:left="262" w:right="285" w:firstLine="0"/>
        <w:jc w:val="both"/>
        <w:rPr>
          <w:sz w:val="20"/>
        </w:rPr>
      </w:pPr>
      <w:r>
        <w:rPr>
          <w:sz w:val="20"/>
        </w:rPr>
        <w:t>Garantizar</w:t>
      </w:r>
      <w:r>
        <w:rPr>
          <w:spacing w:val="-11"/>
          <w:sz w:val="20"/>
        </w:rPr>
        <w:t> </w:t>
      </w:r>
      <w:r>
        <w:rPr>
          <w:sz w:val="20"/>
        </w:rPr>
        <w:t>que</w:t>
      </w:r>
      <w:r>
        <w:rPr>
          <w:spacing w:val="-13"/>
          <w:sz w:val="20"/>
        </w:rPr>
        <w:t> </w:t>
      </w:r>
      <w:r>
        <w:rPr>
          <w:sz w:val="20"/>
        </w:rPr>
        <w:t>todo</w:t>
      </w:r>
      <w:r>
        <w:rPr>
          <w:spacing w:val="-10"/>
          <w:sz w:val="20"/>
        </w:rPr>
        <w:t> </w:t>
      </w:r>
      <w:r>
        <w:rPr>
          <w:sz w:val="20"/>
        </w:rPr>
        <w:t>adquirente</w:t>
      </w:r>
      <w:r>
        <w:rPr>
          <w:spacing w:val="-10"/>
          <w:sz w:val="20"/>
        </w:rPr>
        <w:t> </w:t>
      </w:r>
      <w:r>
        <w:rPr>
          <w:sz w:val="20"/>
        </w:rPr>
        <w:t>de</w:t>
      </w:r>
      <w:r>
        <w:rPr>
          <w:spacing w:val="-13"/>
          <w:sz w:val="20"/>
        </w:rPr>
        <w:t> </w:t>
      </w:r>
      <w:r>
        <w:rPr>
          <w:sz w:val="20"/>
        </w:rPr>
        <w:t>un</w:t>
      </w:r>
      <w:r>
        <w:rPr>
          <w:spacing w:val="-12"/>
          <w:sz w:val="20"/>
        </w:rPr>
        <w:t> </w:t>
      </w:r>
      <w:r>
        <w:rPr>
          <w:sz w:val="20"/>
        </w:rPr>
        <w:t>inmueble</w:t>
      </w:r>
      <w:r>
        <w:rPr>
          <w:spacing w:val="-12"/>
          <w:sz w:val="20"/>
        </w:rPr>
        <w:t> </w:t>
      </w:r>
      <w:r>
        <w:rPr>
          <w:sz w:val="20"/>
        </w:rPr>
        <w:t>tenga</w:t>
      </w:r>
      <w:r>
        <w:rPr>
          <w:spacing w:val="-10"/>
          <w:sz w:val="20"/>
        </w:rPr>
        <w:t> </w:t>
      </w:r>
      <w:r>
        <w:rPr>
          <w:sz w:val="20"/>
        </w:rPr>
        <w:t>información</w:t>
      </w:r>
      <w:r>
        <w:rPr>
          <w:spacing w:val="-13"/>
          <w:sz w:val="20"/>
        </w:rPr>
        <w:t> </w:t>
      </w:r>
      <w:r>
        <w:rPr>
          <w:sz w:val="20"/>
        </w:rPr>
        <w:t>suficiente</w:t>
      </w:r>
      <w:r>
        <w:rPr>
          <w:spacing w:val="-13"/>
          <w:sz w:val="20"/>
        </w:rPr>
        <w:t> </w:t>
      </w:r>
      <w:r>
        <w:rPr>
          <w:sz w:val="20"/>
        </w:rPr>
        <w:t>con</w:t>
      </w:r>
      <w:r>
        <w:rPr>
          <w:spacing w:val="-12"/>
          <w:sz w:val="20"/>
        </w:rPr>
        <w:t> </w:t>
      </w:r>
      <w:r>
        <w:rPr>
          <w:sz w:val="20"/>
        </w:rPr>
        <w:t>relación</w:t>
      </w:r>
      <w:r>
        <w:rPr>
          <w:spacing w:val="-13"/>
          <w:sz w:val="20"/>
        </w:rPr>
        <w:t> </w:t>
      </w:r>
      <w:r>
        <w:rPr>
          <w:sz w:val="20"/>
        </w:rPr>
        <w:t>a</w:t>
      </w:r>
      <w:r>
        <w:rPr>
          <w:spacing w:val="-10"/>
          <w:sz w:val="20"/>
        </w:rPr>
        <w:t> </w:t>
      </w:r>
      <w:r>
        <w:rPr>
          <w:sz w:val="20"/>
        </w:rPr>
        <w:t>las discontinuidades</w:t>
      </w:r>
      <w:r>
        <w:rPr>
          <w:spacing w:val="-9"/>
          <w:sz w:val="20"/>
        </w:rPr>
        <w:t> </w:t>
      </w:r>
      <w:r>
        <w:rPr>
          <w:sz w:val="20"/>
        </w:rPr>
        <w:t>geológicas</w:t>
      </w:r>
      <w:r>
        <w:rPr>
          <w:spacing w:val="-11"/>
          <w:sz w:val="20"/>
        </w:rPr>
        <w:t> </w:t>
      </w:r>
      <w:r>
        <w:rPr>
          <w:sz w:val="20"/>
        </w:rPr>
        <w:t>que</w:t>
      </w:r>
      <w:r>
        <w:rPr>
          <w:spacing w:val="-10"/>
          <w:sz w:val="20"/>
        </w:rPr>
        <w:t> </w:t>
      </w:r>
      <w:r>
        <w:rPr>
          <w:sz w:val="20"/>
        </w:rPr>
        <w:t>hubiera</w:t>
      </w:r>
      <w:r>
        <w:rPr>
          <w:spacing w:val="-12"/>
          <w:sz w:val="20"/>
        </w:rPr>
        <w:t> </w:t>
      </w:r>
      <w:r>
        <w:rPr>
          <w:sz w:val="20"/>
        </w:rPr>
        <w:t>en</w:t>
      </w:r>
      <w:r>
        <w:rPr>
          <w:spacing w:val="-10"/>
          <w:sz w:val="20"/>
        </w:rPr>
        <w:t> </w:t>
      </w:r>
      <w:r>
        <w:rPr>
          <w:sz w:val="20"/>
        </w:rPr>
        <w:t>el</w:t>
      </w:r>
      <w:r>
        <w:rPr>
          <w:spacing w:val="-11"/>
          <w:sz w:val="20"/>
        </w:rPr>
        <w:t> </w:t>
      </w:r>
      <w:r>
        <w:rPr>
          <w:sz w:val="20"/>
        </w:rPr>
        <w:t>predio</w:t>
      </w:r>
      <w:r>
        <w:rPr>
          <w:spacing w:val="-10"/>
          <w:sz w:val="20"/>
        </w:rPr>
        <w:t> </w:t>
      </w:r>
      <w:r>
        <w:rPr>
          <w:sz w:val="20"/>
        </w:rPr>
        <w:t>o</w:t>
      </w:r>
      <w:r>
        <w:rPr>
          <w:spacing w:val="-10"/>
          <w:sz w:val="20"/>
        </w:rPr>
        <w:t> </w:t>
      </w:r>
      <w:r>
        <w:rPr>
          <w:sz w:val="20"/>
        </w:rPr>
        <w:t>cercanas</w:t>
      </w:r>
      <w:r>
        <w:rPr>
          <w:spacing w:val="-11"/>
          <w:sz w:val="20"/>
        </w:rPr>
        <w:t> </w:t>
      </w:r>
      <w:r>
        <w:rPr>
          <w:sz w:val="20"/>
        </w:rPr>
        <w:t>a</w:t>
      </w:r>
      <w:r>
        <w:rPr>
          <w:spacing w:val="-10"/>
          <w:sz w:val="20"/>
        </w:rPr>
        <w:t> </w:t>
      </w:r>
      <w:r>
        <w:rPr>
          <w:sz w:val="20"/>
        </w:rPr>
        <w:t>éste,</w:t>
      </w:r>
      <w:r>
        <w:rPr>
          <w:spacing w:val="-11"/>
          <w:sz w:val="20"/>
        </w:rPr>
        <w:t> </w:t>
      </w:r>
      <w:r>
        <w:rPr>
          <w:sz w:val="20"/>
        </w:rPr>
        <w:t>así</w:t>
      </w:r>
      <w:r>
        <w:rPr>
          <w:spacing w:val="-10"/>
          <w:sz w:val="20"/>
        </w:rPr>
        <w:t> </w:t>
      </w:r>
      <w:r>
        <w:rPr>
          <w:sz w:val="20"/>
        </w:rPr>
        <w:t>como</w:t>
      </w:r>
      <w:r>
        <w:rPr>
          <w:spacing w:val="-8"/>
          <w:sz w:val="20"/>
        </w:rPr>
        <w:t> </w:t>
      </w:r>
      <w:r>
        <w:rPr>
          <w:sz w:val="20"/>
        </w:rPr>
        <w:t>a</w:t>
      </w:r>
      <w:r>
        <w:rPr>
          <w:spacing w:val="-12"/>
          <w:sz w:val="20"/>
        </w:rPr>
        <w:t> </w:t>
      </w:r>
      <w:r>
        <w:rPr>
          <w:sz w:val="20"/>
        </w:rPr>
        <w:t>las</w:t>
      </w:r>
      <w:r>
        <w:rPr>
          <w:spacing w:val="-11"/>
          <w:sz w:val="20"/>
        </w:rPr>
        <w:t> </w:t>
      </w:r>
      <w:r>
        <w:rPr>
          <w:sz w:val="20"/>
        </w:rPr>
        <w:t>obligaciones y derechos que adquieran como colonos o condóminos;</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40"/>
        </w:numPr>
        <w:tabs>
          <w:tab w:pos="827" w:val="left" w:leader="none"/>
        </w:tabs>
        <w:spacing w:line="240" w:lineRule="auto" w:before="0" w:after="0"/>
        <w:ind w:left="262" w:right="285" w:firstLine="0"/>
        <w:jc w:val="both"/>
        <w:rPr>
          <w:sz w:val="20"/>
        </w:rPr>
      </w:pPr>
      <w:r>
        <w:rPr>
          <w:sz w:val="20"/>
        </w:rPr>
        <w:t>Informar al adquirente de un inmueble el total de las características que tendrá el fraccionamiento o condominio aprobado por el Ayuntamiento; así como, de los diferentes usos o destinos del suelo que se permitirán en el mismo;</w:t>
      </w:r>
    </w:p>
    <w:p>
      <w:pPr>
        <w:pStyle w:val="BodyText"/>
        <w:spacing w:before="1"/>
      </w:pPr>
    </w:p>
    <w:p>
      <w:pPr>
        <w:pStyle w:val="ListParagraph"/>
        <w:numPr>
          <w:ilvl w:val="0"/>
          <w:numId w:val="140"/>
        </w:numPr>
        <w:tabs>
          <w:tab w:pos="827" w:val="left" w:leader="none"/>
        </w:tabs>
        <w:spacing w:line="240" w:lineRule="auto" w:before="1" w:after="0"/>
        <w:ind w:left="262" w:right="279" w:firstLine="0"/>
        <w:jc w:val="both"/>
        <w:rPr>
          <w:sz w:val="20"/>
        </w:rPr>
      </w:pPr>
      <w:r>
        <w:rPr>
          <w:sz w:val="20"/>
        </w:rPr>
        <w:t>Entregar los sistemas de agua potable, plantas de tratamiento, drenaje y alcantarillado a la autoridad correspondiente, cuando así se le requiera, con el objeto de interconectarlos a la red municipal y optimizar el aprovechamiento de su fuente de abastecimiento, independientemente de que el fraccionamiento esté o no municipalizado;</w:t>
      </w:r>
    </w:p>
    <w:p>
      <w:pPr>
        <w:pStyle w:val="ListParagraph"/>
        <w:numPr>
          <w:ilvl w:val="0"/>
          <w:numId w:val="140"/>
        </w:numPr>
        <w:tabs>
          <w:tab w:pos="828" w:val="left" w:leader="none"/>
        </w:tabs>
        <w:spacing w:line="240" w:lineRule="auto" w:before="229" w:after="0"/>
        <w:ind w:left="262" w:right="286" w:firstLine="0"/>
        <w:jc w:val="both"/>
        <w:rPr>
          <w:sz w:val="20"/>
        </w:rPr>
      </w:pPr>
      <w:r>
        <w:rPr>
          <w:sz w:val="20"/>
        </w:rPr>
        <w:t>Realizar los trámites para la municipalización del fraccionamiento una vez que se hayan cumplido los requisitos correspondientes que establece esta Ley, y</w:t>
      </w:r>
    </w:p>
    <w:p>
      <w:pPr>
        <w:pStyle w:val="BodyText"/>
      </w:pPr>
    </w:p>
    <w:p>
      <w:pPr>
        <w:pStyle w:val="ListParagraph"/>
        <w:numPr>
          <w:ilvl w:val="0"/>
          <w:numId w:val="140"/>
        </w:numPr>
        <w:tabs>
          <w:tab w:pos="827" w:val="left" w:leader="none"/>
        </w:tabs>
        <w:spacing w:line="240" w:lineRule="auto" w:before="0" w:after="0"/>
        <w:ind w:left="262" w:right="283" w:firstLine="0"/>
        <w:jc w:val="both"/>
        <w:rPr>
          <w:sz w:val="20"/>
        </w:rPr>
      </w:pPr>
      <w:r>
        <w:rPr>
          <w:sz w:val="20"/>
        </w:rPr>
        <w:t>Cumplir</w:t>
      </w:r>
      <w:r>
        <w:rPr>
          <w:spacing w:val="-3"/>
          <w:sz w:val="20"/>
        </w:rPr>
        <w:t> </w:t>
      </w:r>
      <w:r>
        <w:rPr>
          <w:sz w:val="20"/>
        </w:rPr>
        <w:t>con</w:t>
      </w:r>
      <w:r>
        <w:rPr>
          <w:spacing w:val="-4"/>
          <w:sz w:val="20"/>
        </w:rPr>
        <w:t> </w:t>
      </w:r>
      <w:r>
        <w:rPr>
          <w:sz w:val="20"/>
        </w:rPr>
        <w:t>las</w:t>
      </w:r>
      <w:r>
        <w:rPr>
          <w:spacing w:val="-3"/>
          <w:sz w:val="20"/>
        </w:rPr>
        <w:t> </w:t>
      </w:r>
      <w:r>
        <w:rPr>
          <w:sz w:val="20"/>
        </w:rPr>
        <w:t>demás</w:t>
      </w:r>
      <w:r>
        <w:rPr>
          <w:spacing w:val="-3"/>
          <w:sz w:val="20"/>
        </w:rPr>
        <w:t> </w:t>
      </w:r>
      <w:r>
        <w:rPr>
          <w:sz w:val="20"/>
        </w:rPr>
        <w:t>obligaciones</w:t>
      </w:r>
      <w:r>
        <w:rPr>
          <w:spacing w:val="-3"/>
          <w:sz w:val="20"/>
        </w:rPr>
        <w:t> </w:t>
      </w:r>
      <w:r>
        <w:rPr>
          <w:sz w:val="20"/>
        </w:rPr>
        <w:t>que</w:t>
      </w:r>
      <w:r>
        <w:rPr>
          <w:spacing w:val="-5"/>
          <w:sz w:val="20"/>
        </w:rPr>
        <w:t> </w:t>
      </w:r>
      <w:r>
        <w:rPr>
          <w:sz w:val="20"/>
        </w:rPr>
        <w:t>se</w:t>
      </w:r>
      <w:r>
        <w:rPr>
          <w:spacing w:val="-2"/>
          <w:sz w:val="20"/>
        </w:rPr>
        <w:t> </w:t>
      </w:r>
      <w:r>
        <w:rPr>
          <w:sz w:val="20"/>
        </w:rPr>
        <w:t>deriven</w:t>
      </w:r>
      <w:r>
        <w:rPr>
          <w:spacing w:val="-4"/>
          <w:sz w:val="20"/>
        </w:rPr>
        <w:t> </w:t>
      </w:r>
      <w:r>
        <w:rPr>
          <w:sz w:val="20"/>
        </w:rPr>
        <w:t>de</w:t>
      </w:r>
      <w:r>
        <w:rPr>
          <w:spacing w:val="-2"/>
          <w:sz w:val="20"/>
        </w:rPr>
        <w:t> </w:t>
      </w:r>
      <w:r>
        <w:rPr>
          <w:sz w:val="20"/>
        </w:rPr>
        <w:t>esta</w:t>
      </w:r>
      <w:r>
        <w:rPr>
          <w:spacing w:val="-5"/>
          <w:sz w:val="20"/>
        </w:rPr>
        <w:t> </w:t>
      </w:r>
      <w:r>
        <w:rPr>
          <w:sz w:val="20"/>
        </w:rPr>
        <w:t>Ley,</w:t>
      </w:r>
      <w:r>
        <w:rPr>
          <w:spacing w:val="-4"/>
          <w:sz w:val="20"/>
        </w:rPr>
        <w:t> </w:t>
      </w:r>
      <w:r>
        <w:rPr>
          <w:sz w:val="20"/>
        </w:rPr>
        <w:t>los</w:t>
      </w:r>
      <w:r>
        <w:rPr>
          <w:spacing w:val="-3"/>
          <w:sz w:val="20"/>
        </w:rPr>
        <w:t> </w:t>
      </w:r>
      <w:r>
        <w:rPr>
          <w:sz w:val="20"/>
        </w:rPr>
        <w:t>programas</w:t>
      </w:r>
      <w:r>
        <w:rPr>
          <w:spacing w:val="-1"/>
          <w:sz w:val="20"/>
        </w:rPr>
        <w:t> </w:t>
      </w:r>
      <w:r>
        <w:rPr>
          <w:sz w:val="20"/>
        </w:rPr>
        <w:t>de</w:t>
      </w:r>
      <w:r>
        <w:rPr>
          <w:spacing w:val="-4"/>
          <w:sz w:val="20"/>
        </w:rPr>
        <w:t> </w:t>
      </w:r>
      <w:r>
        <w:rPr>
          <w:sz w:val="20"/>
        </w:rPr>
        <w:t>desarrollo urbano y de ordenamiento ecológico, normas técnicas y demás lineamientos jurídicos aplicables.</w:t>
      </w:r>
    </w:p>
    <w:p>
      <w:pPr>
        <w:pStyle w:val="BodyText"/>
        <w:spacing w:before="1"/>
      </w:pPr>
    </w:p>
    <w:p>
      <w:pPr>
        <w:pStyle w:val="BodyText"/>
        <w:ind w:left="262" w:right="277"/>
        <w:jc w:val="both"/>
      </w:pPr>
      <w:r>
        <w:rPr>
          <w:rFonts w:ascii="Arial" w:hAnsi="Arial"/>
          <w:b/>
        </w:rPr>
        <w:t>ARTÍCULO 466</w:t>
      </w:r>
      <w:r>
        <w:rPr/>
        <w:t>. El fraccionador o promotor estará obligado a su costa, a formalizar en escritura ante notario público, en un plazo máximo de seis meses contados a partir de la notificación de la autorización</w:t>
      </w:r>
      <w:r>
        <w:rPr>
          <w:spacing w:val="-1"/>
        </w:rPr>
        <w:t> </w:t>
      </w:r>
      <w:r>
        <w:rPr/>
        <w:t>respectiva,</w:t>
      </w:r>
      <w:r>
        <w:rPr>
          <w:spacing w:val="-1"/>
        </w:rPr>
        <w:t> </w:t>
      </w:r>
      <w:r>
        <w:rPr/>
        <w:t>las donaciones para</w:t>
      </w:r>
      <w:r>
        <w:rPr>
          <w:spacing w:val="-1"/>
        </w:rPr>
        <w:t> </w:t>
      </w:r>
      <w:r>
        <w:rPr/>
        <w:t>equipamiento,</w:t>
      </w:r>
      <w:r>
        <w:rPr>
          <w:spacing w:val="-1"/>
        </w:rPr>
        <w:t> </w:t>
      </w:r>
      <w:r>
        <w:rPr/>
        <w:t>servicios y</w:t>
      </w:r>
      <w:r>
        <w:rPr>
          <w:spacing w:val="-2"/>
        </w:rPr>
        <w:t> </w:t>
      </w:r>
      <w:r>
        <w:rPr/>
        <w:t>áreas</w:t>
      </w:r>
      <w:r>
        <w:rPr>
          <w:spacing w:val="-2"/>
        </w:rPr>
        <w:t> </w:t>
      </w:r>
      <w:r>
        <w:rPr/>
        <w:t>verdes,</w:t>
      </w:r>
      <w:r>
        <w:rPr>
          <w:spacing w:val="-3"/>
        </w:rPr>
        <w:t> </w:t>
      </w:r>
      <w:r>
        <w:rPr/>
        <w:t>de</w:t>
      </w:r>
      <w:r>
        <w:rPr>
          <w:spacing w:val="-1"/>
        </w:rPr>
        <w:t> </w:t>
      </w:r>
      <w:r>
        <w:rPr/>
        <w:t>recreación y espacios abiertos, a favor del Ayuntamiento correspondiente, en los lugares, superficies y características que de acuerdo al tipo de fraccionamiento, condominio o desarrollo inmobiliario especial autorizado le</w:t>
      </w:r>
      <w:r>
        <w:rPr>
          <w:spacing w:val="-1"/>
        </w:rPr>
        <w:t> </w:t>
      </w:r>
      <w:r>
        <w:rPr/>
        <w:t>sean señalados;</w:t>
      </w:r>
      <w:r>
        <w:rPr>
          <w:spacing w:val="-1"/>
        </w:rPr>
        <w:t> </w:t>
      </w:r>
      <w:r>
        <w:rPr/>
        <w:t>así como,</w:t>
      </w:r>
      <w:r>
        <w:rPr>
          <w:spacing w:val="-1"/>
        </w:rPr>
        <w:t> </w:t>
      </w:r>
      <w:r>
        <w:rPr/>
        <w:t>a escriturar las donaciones de las vías públicas y demás áreas de restricción o afectación que se le hayan indicado en la autorización respectiva, la que</w:t>
      </w:r>
      <w:r>
        <w:rPr>
          <w:spacing w:val="-14"/>
        </w:rPr>
        <w:t> </w:t>
      </w:r>
      <w:r>
        <w:rPr/>
        <w:t>se</w:t>
      </w:r>
      <w:r>
        <w:rPr>
          <w:spacing w:val="-14"/>
        </w:rPr>
        <w:t> </w:t>
      </w:r>
      <w:r>
        <w:rPr/>
        <w:t>podrá</w:t>
      </w:r>
      <w:r>
        <w:rPr>
          <w:spacing w:val="-14"/>
        </w:rPr>
        <w:t> </w:t>
      </w:r>
      <w:r>
        <w:rPr/>
        <w:t>consignar</w:t>
      </w:r>
      <w:r>
        <w:rPr>
          <w:spacing w:val="-14"/>
        </w:rPr>
        <w:t> </w:t>
      </w:r>
      <w:r>
        <w:rPr/>
        <w:t>en</w:t>
      </w:r>
      <w:r>
        <w:rPr>
          <w:spacing w:val="-14"/>
        </w:rPr>
        <w:t> </w:t>
      </w:r>
      <w:r>
        <w:rPr/>
        <w:t>el</w:t>
      </w:r>
      <w:r>
        <w:rPr>
          <w:spacing w:val="-14"/>
        </w:rPr>
        <w:t> </w:t>
      </w:r>
      <w:r>
        <w:rPr/>
        <w:t>mismo</w:t>
      </w:r>
      <w:r>
        <w:rPr>
          <w:spacing w:val="-14"/>
        </w:rPr>
        <w:t> </w:t>
      </w:r>
      <w:r>
        <w:rPr/>
        <w:t>instrumento</w:t>
      </w:r>
      <w:r>
        <w:rPr>
          <w:spacing w:val="-14"/>
        </w:rPr>
        <w:t> </w:t>
      </w:r>
      <w:r>
        <w:rPr/>
        <w:t>notarial.</w:t>
      </w:r>
      <w:r>
        <w:rPr>
          <w:spacing w:val="-14"/>
        </w:rPr>
        <w:t> </w:t>
      </w:r>
      <w:r>
        <w:rPr/>
        <w:t>La</w:t>
      </w:r>
      <w:r>
        <w:rPr>
          <w:spacing w:val="-13"/>
        </w:rPr>
        <w:t> </w:t>
      </w:r>
      <w:r>
        <w:rPr/>
        <w:t>obligación</w:t>
      </w:r>
      <w:r>
        <w:rPr>
          <w:spacing w:val="-14"/>
        </w:rPr>
        <w:t> </w:t>
      </w:r>
      <w:r>
        <w:rPr/>
        <w:t>de</w:t>
      </w:r>
      <w:r>
        <w:rPr>
          <w:spacing w:val="-14"/>
        </w:rPr>
        <w:t> </w:t>
      </w:r>
      <w:r>
        <w:rPr/>
        <w:t>escriturar</w:t>
      </w:r>
      <w:r>
        <w:rPr>
          <w:spacing w:val="-14"/>
        </w:rPr>
        <w:t> </w:t>
      </w:r>
      <w:r>
        <w:rPr/>
        <w:t>podrá</w:t>
      </w:r>
      <w:r>
        <w:rPr>
          <w:spacing w:val="-14"/>
        </w:rPr>
        <w:t> </w:t>
      </w:r>
      <w:r>
        <w:rPr/>
        <w:t>realizarse por etapas de acuerdo al proyecto autorizado.</w:t>
      </w:r>
    </w:p>
    <w:p>
      <w:pPr>
        <w:pStyle w:val="BodyText"/>
      </w:pPr>
    </w:p>
    <w:p>
      <w:pPr>
        <w:pStyle w:val="BodyText"/>
        <w:ind w:left="262" w:right="275"/>
        <w:jc w:val="both"/>
      </w:pPr>
      <w:r>
        <w:rPr>
          <w:rFonts w:ascii="Arial" w:hAnsi="Arial"/>
          <w:b/>
        </w:rPr>
        <w:t>ARTÍCULO 467. </w:t>
      </w:r>
      <w:r>
        <w:rPr/>
        <w:t>Cuando en los centros de población los propietarios de los predios vecinos pretendan aprovechar total o</w:t>
      </w:r>
      <w:r>
        <w:rPr>
          <w:spacing w:val="-2"/>
        </w:rPr>
        <w:t> </w:t>
      </w:r>
      <w:r>
        <w:rPr/>
        <w:t>parcialmente las instalaciones de</w:t>
      </w:r>
      <w:r>
        <w:rPr>
          <w:spacing w:val="-3"/>
        </w:rPr>
        <w:t> </w:t>
      </w:r>
      <w:r>
        <w:rPr/>
        <w:t>servicios públicos del</w:t>
      </w:r>
      <w:r>
        <w:rPr>
          <w:spacing w:val="-1"/>
        </w:rPr>
        <w:t> </w:t>
      </w:r>
      <w:r>
        <w:rPr/>
        <w:t>Ayuntamiento u organismo operador de agua, previo avalúo, el fraccionador, estará obligado a cubrir proporcionalmente, los costos que representan las obras realizadas y urbanizar el frente de su </w:t>
      </w:r>
      <w:r>
        <w:rPr>
          <w:spacing w:val="-2"/>
        </w:rPr>
        <w:t>propiedad.</w:t>
      </w:r>
    </w:p>
    <w:p>
      <w:pPr>
        <w:pStyle w:val="BodyText"/>
      </w:pPr>
    </w:p>
    <w:p>
      <w:pPr>
        <w:pStyle w:val="BodyText"/>
        <w:ind w:left="262" w:right="280"/>
        <w:jc w:val="both"/>
      </w:pPr>
      <w:r>
        <w:rPr/>
        <w:t>Cuando</w:t>
      </w:r>
      <w:r>
        <w:rPr>
          <w:spacing w:val="-4"/>
        </w:rPr>
        <w:t> </w:t>
      </w:r>
      <w:r>
        <w:rPr/>
        <w:t>para</w:t>
      </w:r>
      <w:r>
        <w:rPr>
          <w:spacing w:val="-3"/>
        </w:rPr>
        <w:t> </w:t>
      </w:r>
      <w:r>
        <w:rPr/>
        <w:t>unir</w:t>
      </w:r>
      <w:r>
        <w:rPr>
          <w:spacing w:val="-2"/>
        </w:rPr>
        <w:t> </w:t>
      </w:r>
      <w:r>
        <w:rPr/>
        <w:t>un</w:t>
      </w:r>
      <w:r>
        <w:rPr>
          <w:spacing w:val="-4"/>
        </w:rPr>
        <w:t> </w:t>
      </w:r>
      <w:r>
        <w:rPr/>
        <w:t>fraccionamiento</w:t>
      </w:r>
      <w:r>
        <w:rPr>
          <w:spacing w:val="-4"/>
        </w:rPr>
        <w:t> </w:t>
      </w:r>
      <w:r>
        <w:rPr/>
        <w:t>en</w:t>
      </w:r>
      <w:r>
        <w:rPr>
          <w:spacing w:val="-4"/>
        </w:rPr>
        <w:t> </w:t>
      </w:r>
      <w:r>
        <w:rPr/>
        <w:t>proyecto</w:t>
      </w:r>
      <w:r>
        <w:rPr>
          <w:spacing w:val="-5"/>
        </w:rPr>
        <w:t> </w:t>
      </w:r>
      <w:r>
        <w:rPr/>
        <w:t>con</w:t>
      </w:r>
      <w:r>
        <w:rPr>
          <w:spacing w:val="-3"/>
        </w:rPr>
        <w:t> </w:t>
      </w:r>
      <w:r>
        <w:rPr/>
        <w:t>otras</w:t>
      </w:r>
      <w:r>
        <w:rPr>
          <w:spacing w:val="-4"/>
        </w:rPr>
        <w:t> </w:t>
      </w:r>
      <w:r>
        <w:rPr/>
        <w:t>zonas</w:t>
      </w:r>
      <w:r>
        <w:rPr>
          <w:spacing w:val="-2"/>
        </w:rPr>
        <w:t> </w:t>
      </w:r>
      <w:r>
        <w:rPr/>
        <w:t>urbanizadas,</w:t>
      </w:r>
      <w:r>
        <w:rPr>
          <w:spacing w:val="-5"/>
        </w:rPr>
        <w:t> </w:t>
      </w:r>
      <w:r>
        <w:rPr/>
        <w:t>sea</w:t>
      </w:r>
      <w:r>
        <w:rPr>
          <w:spacing w:val="-5"/>
        </w:rPr>
        <w:t> </w:t>
      </w:r>
      <w:r>
        <w:rPr/>
        <w:t>necesario</w:t>
      </w:r>
      <w:r>
        <w:rPr>
          <w:spacing w:val="-3"/>
        </w:rPr>
        <w:t> </w:t>
      </w:r>
      <w:r>
        <w:rPr/>
        <w:t>abrir acceso</w:t>
      </w:r>
      <w:r>
        <w:rPr>
          <w:spacing w:val="-10"/>
        </w:rPr>
        <w:t> </w:t>
      </w:r>
      <w:r>
        <w:rPr/>
        <w:t>o</w:t>
      </w:r>
      <w:r>
        <w:rPr>
          <w:spacing w:val="-9"/>
        </w:rPr>
        <w:t> </w:t>
      </w:r>
      <w:r>
        <w:rPr/>
        <w:t>conducir</w:t>
      </w:r>
      <w:r>
        <w:rPr>
          <w:spacing w:val="-9"/>
        </w:rPr>
        <w:t> </w:t>
      </w:r>
      <w:r>
        <w:rPr/>
        <w:t>servicios</w:t>
      </w:r>
      <w:r>
        <w:rPr>
          <w:spacing w:val="-9"/>
        </w:rPr>
        <w:t> </w:t>
      </w:r>
      <w:r>
        <w:rPr/>
        <w:t>públicos</w:t>
      </w:r>
      <w:r>
        <w:rPr>
          <w:spacing w:val="-9"/>
        </w:rPr>
        <w:t> </w:t>
      </w:r>
      <w:r>
        <w:rPr/>
        <w:t>a</w:t>
      </w:r>
      <w:r>
        <w:rPr>
          <w:spacing w:val="-9"/>
        </w:rPr>
        <w:t> </w:t>
      </w:r>
      <w:r>
        <w:rPr/>
        <w:t>través</w:t>
      </w:r>
      <w:r>
        <w:rPr>
          <w:spacing w:val="-8"/>
        </w:rPr>
        <w:t> </w:t>
      </w:r>
      <w:r>
        <w:rPr/>
        <w:t>de</w:t>
      </w:r>
      <w:r>
        <w:rPr>
          <w:spacing w:val="-9"/>
        </w:rPr>
        <w:t> </w:t>
      </w:r>
      <w:r>
        <w:rPr/>
        <w:t>predios</w:t>
      </w:r>
      <w:r>
        <w:rPr>
          <w:spacing w:val="-9"/>
        </w:rPr>
        <w:t> </w:t>
      </w:r>
      <w:r>
        <w:rPr/>
        <w:t>de</w:t>
      </w:r>
      <w:r>
        <w:rPr>
          <w:spacing w:val="-9"/>
        </w:rPr>
        <w:t> </w:t>
      </w:r>
      <w:r>
        <w:rPr/>
        <w:t>terceros</w:t>
      </w:r>
      <w:r>
        <w:rPr>
          <w:spacing w:val="-7"/>
        </w:rPr>
        <w:t> </w:t>
      </w:r>
      <w:r>
        <w:rPr/>
        <w:t>que</w:t>
      </w:r>
      <w:r>
        <w:rPr>
          <w:spacing w:val="-9"/>
        </w:rPr>
        <w:t> </w:t>
      </w:r>
      <w:r>
        <w:rPr/>
        <w:t>no</w:t>
      </w:r>
      <w:r>
        <w:rPr>
          <w:spacing w:val="-10"/>
        </w:rPr>
        <w:t> </w:t>
      </w:r>
      <w:r>
        <w:rPr/>
        <w:t>formen</w:t>
      </w:r>
      <w:r>
        <w:rPr>
          <w:spacing w:val="-10"/>
        </w:rPr>
        <w:t> </w:t>
      </w:r>
      <w:r>
        <w:rPr/>
        <w:t>parte</w:t>
      </w:r>
      <w:r>
        <w:rPr>
          <w:spacing w:val="-9"/>
        </w:rPr>
        <w:t> </w:t>
      </w:r>
      <w:r>
        <w:rPr/>
        <w:t>del</w:t>
      </w:r>
      <w:r>
        <w:rPr>
          <w:spacing w:val="-9"/>
        </w:rPr>
        <w:t> </w:t>
      </w:r>
      <w:r>
        <w:rPr/>
        <w:t>terreno por fraccionar y no medie la anuencia del propietario o propietarios respectivos; el Ayuntamiento, podrá</w:t>
      </w:r>
      <w:r>
        <w:rPr>
          <w:spacing w:val="-4"/>
        </w:rPr>
        <w:t> </w:t>
      </w:r>
      <w:r>
        <w:rPr/>
        <w:t>gestionar</w:t>
      </w:r>
      <w:r>
        <w:rPr>
          <w:spacing w:val="-4"/>
        </w:rPr>
        <w:t> </w:t>
      </w:r>
      <w:r>
        <w:rPr/>
        <w:t>la</w:t>
      </w:r>
      <w:r>
        <w:rPr>
          <w:spacing w:val="-4"/>
        </w:rPr>
        <w:t> </w:t>
      </w:r>
      <w:r>
        <w:rPr/>
        <w:t>expropiación</w:t>
      </w:r>
      <w:r>
        <w:rPr>
          <w:spacing w:val="-5"/>
        </w:rPr>
        <w:t> </w:t>
      </w:r>
      <w:r>
        <w:rPr/>
        <w:t>de</w:t>
      </w:r>
      <w:r>
        <w:rPr>
          <w:spacing w:val="-5"/>
        </w:rPr>
        <w:t> </w:t>
      </w:r>
      <w:r>
        <w:rPr/>
        <w:t>las</w:t>
      </w:r>
      <w:r>
        <w:rPr>
          <w:spacing w:val="-6"/>
        </w:rPr>
        <w:t> </w:t>
      </w:r>
      <w:r>
        <w:rPr/>
        <w:t>superficies</w:t>
      </w:r>
      <w:r>
        <w:rPr>
          <w:spacing w:val="-3"/>
        </w:rPr>
        <w:t> </w:t>
      </w:r>
      <w:r>
        <w:rPr/>
        <w:t>necesarias</w:t>
      </w:r>
      <w:r>
        <w:rPr>
          <w:spacing w:val="-5"/>
        </w:rPr>
        <w:t> </w:t>
      </w:r>
      <w:r>
        <w:rPr/>
        <w:t>para</w:t>
      </w:r>
      <w:r>
        <w:rPr>
          <w:spacing w:val="-4"/>
        </w:rPr>
        <w:t> </w:t>
      </w:r>
      <w:r>
        <w:rPr/>
        <w:t>accesos,</w:t>
      </w:r>
      <w:r>
        <w:rPr>
          <w:spacing w:val="-6"/>
        </w:rPr>
        <w:t> </w:t>
      </w:r>
      <w:r>
        <w:rPr/>
        <w:t>vialidades</w:t>
      </w:r>
      <w:r>
        <w:rPr>
          <w:spacing w:val="-5"/>
        </w:rPr>
        <w:t> </w:t>
      </w:r>
      <w:r>
        <w:rPr/>
        <w:t>o</w:t>
      </w:r>
      <w:r>
        <w:rPr>
          <w:spacing w:val="-5"/>
        </w:rPr>
        <w:t> </w:t>
      </w:r>
      <w:r>
        <w:rPr/>
        <w:t>áreas</w:t>
      </w:r>
      <w:r>
        <w:rPr>
          <w:spacing w:val="-6"/>
        </w:rPr>
        <w:t> </w:t>
      </w:r>
      <w:r>
        <w:rPr/>
        <w:t>para la conducción de los servicios públicos; de conformidad con la ley de la materia.</w:t>
      </w:r>
    </w:p>
    <w:p>
      <w:pPr>
        <w:pStyle w:val="BodyText"/>
      </w:pPr>
    </w:p>
    <w:p>
      <w:pPr>
        <w:pStyle w:val="BodyText"/>
        <w:ind w:left="262" w:right="290"/>
        <w:jc w:val="both"/>
      </w:pPr>
      <w:r>
        <w:rPr/>
        <w:t>En este caso el fraccionador quedará obligado a urbanizarlas a su costa y a pagar el importe de la indemnización que corresponda.</w:t>
      </w:r>
    </w:p>
    <w:p>
      <w:pPr>
        <w:pStyle w:val="BodyText"/>
        <w:spacing w:before="229"/>
        <w:ind w:left="262" w:right="283"/>
        <w:jc w:val="both"/>
      </w:pPr>
      <w:r>
        <w:rPr>
          <w:rFonts w:ascii="Arial" w:hAnsi="Arial"/>
          <w:b/>
        </w:rPr>
        <w:t>ARTÍCULO 468</w:t>
      </w:r>
      <w:r>
        <w:rPr/>
        <w:t>. El fraccionador estará obligado a prestar gratuitamente los servicios que más adelante se señalan, en tanto no lleve a cabo la municipalización, o la entrega de los servicios respectivos al Municipio en términos de lo dispuesto en esta Ley:</w:t>
      </w:r>
    </w:p>
    <w:p>
      <w:pPr>
        <w:pStyle w:val="BodyText"/>
        <w:spacing w:before="2"/>
      </w:pPr>
    </w:p>
    <w:p>
      <w:pPr>
        <w:pStyle w:val="ListParagraph"/>
        <w:numPr>
          <w:ilvl w:val="0"/>
          <w:numId w:val="141"/>
        </w:numPr>
        <w:tabs>
          <w:tab w:pos="543" w:val="left" w:leader="none"/>
        </w:tabs>
        <w:spacing w:line="240" w:lineRule="auto" w:before="0" w:after="0"/>
        <w:ind w:left="543" w:right="0" w:hanging="281"/>
        <w:jc w:val="both"/>
        <w:rPr>
          <w:sz w:val="20"/>
        </w:rPr>
      </w:pPr>
      <w:r>
        <w:rPr>
          <w:sz w:val="20"/>
        </w:rPr>
        <w:t>Agua</w:t>
      </w:r>
      <w:r>
        <w:rPr>
          <w:spacing w:val="-8"/>
          <w:sz w:val="20"/>
        </w:rPr>
        <w:t> </w:t>
      </w:r>
      <w:r>
        <w:rPr>
          <w:sz w:val="20"/>
        </w:rPr>
        <w:t>potable</w:t>
      </w:r>
      <w:r>
        <w:rPr>
          <w:spacing w:val="-8"/>
          <w:sz w:val="20"/>
        </w:rPr>
        <w:t> </w:t>
      </w:r>
      <w:r>
        <w:rPr>
          <w:sz w:val="20"/>
        </w:rPr>
        <w:t>con</w:t>
      </w:r>
      <w:r>
        <w:rPr>
          <w:spacing w:val="-8"/>
          <w:sz w:val="20"/>
        </w:rPr>
        <w:t> </w:t>
      </w:r>
      <w:r>
        <w:rPr>
          <w:sz w:val="20"/>
        </w:rPr>
        <w:t>normalidad</w:t>
      </w:r>
      <w:r>
        <w:rPr>
          <w:spacing w:val="-8"/>
          <w:sz w:val="20"/>
        </w:rPr>
        <w:t> </w:t>
      </w:r>
      <w:r>
        <w:rPr>
          <w:sz w:val="20"/>
        </w:rPr>
        <w:t>y</w:t>
      </w:r>
      <w:r>
        <w:rPr>
          <w:spacing w:val="-7"/>
          <w:sz w:val="20"/>
        </w:rPr>
        <w:t> </w:t>
      </w:r>
      <w:r>
        <w:rPr>
          <w:spacing w:val="-2"/>
          <w:sz w:val="20"/>
        </w:rPr>
        <w:t>suficiencia;</w:t>
      </w:r>
    </w:p>
    <w:p>
      <w:pPr>
        <w:pStyle w:val="ListParagraph"/>
        <w:numPr>
          <w:ilvl w:val="0"/>
          <w:numId w:val="141"/>
        </w:numPr>
        <w:tabs>
          <w:tab w:pos="543" w:val="left" w:leader="none"/>
        </w:tabs>
        <w:spacing w:line="240" w:lineRule="auto" w:before="229" w:after="0"/>
        <w:ind w:left="543" w:right="0" w:hanging="281"/>
        <w:jc w:val="both"/>
        <w:rPr>
          <w:sz w:val="20"/>
        </w:rPr>
      </w:pPr>
      <w:r>
        <w:rPr>
          <w:sz w:val="20"/>
        </w:rPr>
        <w:t>Drenaje</w:t>
      </w:r>
      <w:r>
        <w:rPr>
          <w:spacing w:val="-10"/>
          <w:sz w:val="20"/>
        </w:rPr>
        <w:t> </w:t>
      </w:r>
      <w:r>
        <w:rPr>
          <w:sz w:val="20"/>
        </w:rPr>
        <w:t>y</w:t>
      </w:r>
      <w:r>
        <w:rPr>
          <w:spacing w:val="-9"/>
          <w:sz w:val="20"/>
        </w:rPr>
        <w:t> </w:t>
      </w:r>
      <w:r>
        <w:rPr>
          <w:sz w:val="20"/>
        </w:rPr>
        <w:t>alcantarillado,</w:t>
      </w:r>
      <w:r>
        <w:rPr>
          <w:spacing w:val="-8"/>
          <w:sz w:val="20"/>
        </w:rPr>
        <w:t> </w:t>
      </w:r>
      <w:r>
        <w:rPr>
          <w:sz w:val="20"/>
        </w:rPr>
        <w:t>incluyendo</w:t>
      </w:r>
      <w:r>
        <w:rPr>
          <w:spacing w:val="-10"/>
          <w:sz w:val="20"/>
        </w:rPr>
        <w:t> </w:t>
      </w:r>
      <w:r>
        <w:rPr>
          <w:sz w:val="20"/>
        </w:rPr>
        <w:t>su</w:t>
      </w:r>
      <w:r>
        <w:rPr>
          <w:spacing w:val="-10"/>
          <w:sz w:val="20"/>
        </w:rPr>
        <w:t> </w:t>
      </w:r>
      <w:r>
        <w:rPr>
          <w:spacing w:val="-2"/>
          <w:sz w:val="20"/>
        </w:rPr>
        <w:t>mantenimiento;</w:t>
      </w:r>
    </w:p>
    <w:p>
      <w:pPr>
        <w:pStyle w:val="BodyText"/>
      </w:pPr>
    </w:p>
    <w:p>
      <w:pPr>
        <w:pStyle w:val="ListParagraph"/>
        <w:numPr>
          <w:ilvl w:val="0"/>
          <w:numId w:val="141"/>
        </w:numPr>
        <w:tabs>
          <w:tab w:pos="597" w:val="left" w:leader="none"/>
        </w:tabs>
        <w:spacing w:line="240" w:lineRule="auto" w:before="0" w:after="0"/>
        <w:ind w:left="597" w:right="0" w:hanging="335"/>
        <w:jc w:val="both"/>
        <w:rPr>
          <w:sz w:val="20"/>
        </w:rPr>
      </w:pPr>
      <w:r>
        <w:rPr>
          <w:sz w:val="20"/>
        </w:rPr>
        <w:t>Alumbrado</w:t>
      </w:r>
      <w:r>
        <w:rPr>
          <w:spacing w:val="-10"/>
          <w:sz w:val="20"/>
        </w:rPr>
        <w:t> </w:t>
      </w:r>
      <w:r>
        <w:rPr>
          <w:sz w:val="20"/>
        </w:rPr>
        <w:t>público,</w:t>
      </w:r>
      <w:r>
        <w:rPr>
          <w:spacing w:val="-10"/>
          <w:sz w:val="20"/>
        </w:rPr>
        <w:t> </w:t>
      </w:r>
      <w:r>
        <w:rPr>
          <w:sz w:val="20"/>
        </w:rPr>
        <w:t>incluyendo</w:t>
      </w:r>
      <w:r>
        <w:rPr>
          <w:spacing w:val="-9"/>
          <w:sz w:val="20"/>
        </w:rPr>
        <w:t> </w:t>
      </w:r>
      <w:r>
        <w:rPr>
          <w:sz w:val="20"/>
        </w:rPr>
        <w:t>su</w:t>
      </w:r>
      <w:r>
        <w:rPr>
          <w:spacing w:val="-9"/>
          <w:sz w:val="20"/>
        </w:rPr>
        <w:t> </w:t>
      </w:r>
      <w:r>
        <w:rPr>
          <w:spacing w:val="-2"/>
          <w:sz w:val="20"/>
        </w:rPr>
        <w:t>mantenimiento;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41"/>
        </w:numPr>
        <w:tabs>
          <w:tab w:pos="688" w:val="left" w:leader="none"/>
        </w:tabs>
        <w:spacing w:line="240" w:lineRule="auto" w:before="0" w:after="0"/>
        <w:ind w:left="688" w:right="0" w:hanging="426"/>
        <w:jc w:val="left"/>
        <w:rPr>
          <w:sz w:val="20"/>
        </w:rPr>
      </w:pPr>
      <w:r>
        <w:rPr>
          <w:sz w:val="20"/>
        </w:rPr>
        <w:t>Recolección</w:t>
      </w:r>
      <w:r>
        <w:rPr>
          <w:spacing w:val="-9"/>
          <w:sz w:val="20"/>
        </w:rPr>
        <w:t> </w:t>
      </w:r>
      <w:r>
        <w:rPr>
          <w:sz w:val="20"/>
        </w:rPr>
        <w:t>de</w:t>
      </w:r>
      <w:r>
        <w:rPr>
          <w:spacing w:val="-9"/>
          <w:sz w:val="20"/>
        </w:rPr>
        <w:t> </w:t>
      </w:r>
      <w:r>
        <w:rPr>
          <w:spacing w:val="-2"/>
          <w:sz w:val="20"/>
        </w:rPr>
        <w:t>basura;</w:t>
      </w:r>
    </w:p>
    <w:p>
      <w:pPr>
        <w:pStyle w:val="BodyText"/>
        <w:spacing w:before="1"/>
      </w:pPr>
    </w:p>
    <w:p>
      <w:pPr>
        <w:pStyle w:val="ListParagraph"/>
        <w:numPr>
          <w:ilvl w:val="0"/>
          <w:numId w:val="141"/>
        </w:numPr>
        <w:tabs>
          <w:tab w:pos="689" w:val="left" w:leader="none"/>
        </w:tabs>
        <w:spacing w:line="240" w:lineRule="auto" w:before="0" w:after="0"/>
        <w:ind w:left="689" w:right="0" w:hanging="427"/>
        <w:jc w:val="left"/>
        <w:rPr>
          <w:sz w:val="20"/>
        </w:rPr>
      </w:pPr>
      <w:r>
        <w:rPr>
          <w:sz w:val="20"/>
        </w:rPr>
        <w:t>Seguridad</w:t>
      </w:r>
      <w:r>
        <w:rPr>
          <w:spacing w:val="-9"/>
          <w:sz w:val="20"/>
        </w:rPr>
        <w:t> </w:t>
      </w:r>
      <w:r>
        <w:rPr>
          <w:sz w:val="20"/>
        </w:rPr>
        <w:t>al</w:t>
      </w:r>
      <w:r>
        <w:rPr>
          <w:spacing w:val="-7"/>
          <w:sz w:val="20"/>
        </w:rPr>
        <w:t> </w:t>
      </w:r>
      <w:r>
        <w:rPr>
          <w:sz w:val="20"/>
        </w:rPr>
        <w:t>interior</w:t>
      </w:r>
      <w:r>
        <w:rPr>
          <w:spacing w:val="-7"/>
          <w:sz w:val="20"/>
        </w:rPr>
        <w:t> </w:t>
      </w:r>
      <w:r>
        <w:rPr>
          <w:sz w:val="20"/>
        </w:rPr>
        <w:t>del</w:t>
      </w:r>
      <w:r>
        <w:rPr>
          <w:spacing w:val="-9"/>
          <w:sz w:val="20"/>
        </w:rPr>
        <w:t> </w:t>
      </w:r>
      <w:r>
        <w:rPr>
          <w:spacing w:val="-2"/>
          <w:sz w:val="20"/>
        </w:rPr>
        <w:t>condominio;</w:t>
      </w:r>
    </w:p>
    <w:p>
      <w:pPr>
        <w:pStyle w:val="BodyText"/>
      </w:pPr>
    </w:p>
    <w:p>
      <w:pPr>
        <w:pStyle w:val="ListParagraph"/>
        <w:numPr>
          <w:ilvl w:val="0"/>
          <w:numId w:val="141"/>
        </w:numPr>
        <w:tabs>
          <w:tab w:pos="688" w:val="left" w:leader="none"/>
        </w:tabs>
        <w:spacing w:line="240" w:lineRule="auto" w:before="1" w:after="0"/>
        <w:ind w:left="688" w:right="0" w:hanging="426"/>
        <w:jc w:val="left"/>
        <w:rPr>
          <w:sz w:val="20"/>
        </w:rPr>
      </w:pPr>
      <w:r>
        <w:rPr>
          <w:sz w:val="20"/>
        </w:rPr>
        <w:t>Cuidado</w:t>
      </w:r>
      <w:r>
        <w:rPr>
          <w:spacing w:val="-7"/>
          <w:sz w:val="20"/>
        </w:rPr>
        <w:t> </w:t>
      </w:r>
      <w:r>
        <w:rPr>
          <w:sz w:val="20"/>
        </w:rPr>
        <w:t>y</w:t>
      </w:r>
      <w:r>
        <w:rPr>
          <w:spacing w:val="-7"/>
          <w:sz w:val="20"/>
        </w:rPr>
        <w:t> </w:t>
      </w:r>
      <w:r>
        <w:rPr>
          <w:sz w:val="20"/>
        </w:rPr>
        <w:t>conservación</w:t>
      </w:r>
      <w:r>
        <w:rPr>
          <w:spacing w:val="-7"/>
          <w:sz w:val="20"/>
        </w:rPr>
        <w:t> </w:t>
      </w:r>
      <w:r>
        <w:rPr>
          <w:sz w:val="20"/>
        </w:rPr>
        <w:t>de</w:t>
      </w:r>
      <w:r>
        <w:rPr>
          <w:spacing w:val="-6"/>
          <w:sz w:val="20"/>
        </w:rPr>
        <w:t> </w:t>
      </w:r>
      <w:r>
        <w:rPr>
          <w:sz w:val="20"/>
        </w:rPr>
        <w:t>las</w:t>
      </w:r>
      <w:r>
        <w:rPr>
          <w:spacing w:val="-8"/>
          <w:sz w:val="20"/>
        </w:rPr>
        <w:t> </w:t>
      </w:r>
      <w:r>
        <w:rPr>
          <w:sz w:val="20"/>
        </w:rPr>
        <w:t>áreas</w:t>
      </w:r>
      <w:r>
        <w:rPr>
          <w:spacing w:val="-7"/>
          <w:sz w:val="20"/>
        </w:rPr>
        <w:t> </w:t>
      </w:r>
      <w:r>
        <w:rPr>
          <w:sz w:val="20"/>
        </w:rPr>
        <w:t>verdes</w:t>
      </w:r>
      <w:r>
        <w:rPr>
          <w:spacing w:val="-8"/>
          <w:sz w:val="20"/>
        </w:rPr>
        <w:t> </w:t>
      </w:r>
      <w:r>
        <w:rPr>
          <w:sz w:val="20"/>
        </w:rPr>
        <w:t>del</w:t>
      </w:r>
      <w:r>
        <w:rPr>
          <w:spacing w:val="-9"/>
          <w:sz w:val="20"/>
        </w:rPr>
        <w:t> </w:t>
      </w:r>
      <w:r>
        <w:rPr>
          <w:sz w:val="20"/>
        </w:rPr>
        <w:t>fraccionamiento,</w:t>
      </w:r>
      <w:r>
        <w:rPr>
          <w:spacing w:val="-8"/>
          <w:sz w:val="20"/>
        </w:rPr>
        <w:t> </w:t>
      </w:r>
      <w:r>
        <w:rPr>
          <w:spacing w:val="-10"/>
          <w:sz w:val="20"/>
        </w:rPr>
        <w:t>y</w:t>
      </w:r>
    </w:p>
    <w:p>
      <w:pPr>
        <w:pStyle w:val="ListParagraph"/>
        <w:numPr>
          <w:ilvl w:val="0"/>
          <w:numId w:val="141"/>
        </w:numPr>
        <w:tabs>
          <w:tab w:pos="688" w:val="left" w:leader="none"/>
        </w:tabs>
        <w:spacing w:line="240" w:lineRule="auto" w:before="228" w:after="0"/>
        <w:ind w:left="688" w:right="0" w:hanging="426"/>
        <w:jc w:val="left"/>
        <w:rPr>
          <w:sz w:val="20"/>
        </w:rPr>
      </w:pPr>
      <w:r>
        <w:rPr>
          <w:sz w:val="20"/>
        </w:rPr>
        <w:t>Mantenimiento</w:t>
      </w:r>
      <w:r>
        <w:rPr>
          <w:spacing w:val="-9"/>
          <w:sz w:val="20"/>
        </w:rPr>
        <w:t> </w:t>
      </w:r>
      <w:r>
        <w:rPr>
          <w:sz w:val="20"/>
        </w:rPr>
        <w:t>de</w:t>
      </w:r>
      <w:r>
        <w:rPr>
          <w:spacing w:val="-8"/>
          <w:sz w:val="20"/>
        </w:rPr>
        <w:t> </w:t>
      </w:r>
      <w:r>
        <w:rPr>
          <w:sz w:val="20"/>
        </w:rPr>
        <w:t>las</w:t>
      </w:r>
      <w:r>
        <w:rPr>
          <w:spacing w:val="-8"/>
          <w:sz w:val="20"/>
        </w:rPr>
        <w:t> </w:t>
      </w:r>
      <w:r>
        <w:rPr>
          <w:sz w:val="20"/>
        </w:rPr>
        <w:t>vialidades</w:t>
      </w:r>
      <w:r>
        <w:rPr>
          <w:spacing w:val="-8"/>
          <w:sz w:val="20"/>
        </w:rPr>
        <w:t> </w:t>
      </w:r>
      <w:r>
        <w:rPr>
          <w:sz w:val="20"/>
        </w:rPr>
        <w:t>internas</w:t>
      </w:r>
      <w:r>
        <w:rPr>
          <w:spacing w:val="-8"/>
          <w:sz w:val="20"/>
        </w:rPr>
        <w:t> </w:t>
      </w:r>
      <w:r>
        <w:rPr>
          <w:sz w:val="20"/>
        </w:rPr>
        <w:t>del</w:t>
      </w:r>
      <w:r>
        <w:rPr>
          <w:spacing w:val="-10"/>
          <w:sz w:val="20"/>
        </w:rPr>
        <w:t> </w:t>
      </w:r>
      <w:r>
        <w:rPr>
          <w:spacing w:val="-2"/>
          <w:sz w:val="20"/>
        </w:rPr>
        <w:t>condominio.</w:t>
      </w:r>
    </w:p>
    <w:p>
      <w:pPr>
        <w:pStyle w:val="BodyText"/>
        <w:spacing w:before="1"/>
      </w:pPr>
    </w:p>
    <w:p>
      <w:pPr>
        <w:pStyle w:val="BodyText"/>
        <w:ind w:left="262" w:right="283"/>
        <w:jc w:val="both"/>
      </w:pPr>
      <w:r>
        <w:rPr/>
        <w:t>El Ayuntamiento respectivo podrá convenir con el fraccionador, la prestación total o parcial de los servicios</w:t>
      </w:r>
      <w:r>
        <w:rPr>
          <w:spacing w:val="-2"/>
        </w:rPr>
        <w:t> </w:t>
      </w:r>
      <w:r>
        <w:rPr/>
        <w:t>a</w:t>
      </w:r>
      <w:r>
        <w:rPr>
          <w:spacing w:val="-4"/>
        </w:rPr>
        <w:t> </w:t>
      </w:r>
      <w:r>
        <w:rPr/>
        <w:t>que</w:t>
      </w:r>
      <w:r>
        <w:rPr>
          <w:spacing w:val="-4"/>
        </w:rPr>
        <w:t> </w:t>
      </w:r>
      <w:r>
        <w:rPr/>
        <w:t>se</w:t>
      </w:r>
      <w:r>
        <w:rPr>
          <w:spacing w:val="-1"/>
        </w:rPr>
        <w:t> </w:t>
      </w:r>
      <w:r>
        <w:rPr/>
        <w:t>refiere</w:t>
      </w:r>
      <w:r>
        <w:rPr>
          <w:spacing w:val="-3"/>
        </w:rPr>
        <w:t> </w:t>
      </w:r>
      <w:r>
        <w:rPr/>
        <w:t>el</w:t>
      </w:r>
      <w:r>
        <w:rPr>
          <w:spacing w:val="-2"/>
        </w:rPr>
        <w:t> </w:t>
      </w:r>
      <w:r>
        <w:rPr/>
        <w:t>artículo</w:t>
      </w:r>
      <w:r>
        <w:rPr>
          <w:spacing w:val="-3"/>
        </w:rPr>
        <w:t> </w:t>
      </w:r>
      <w:r>
        <w:rPr/>
        <w:t>anterior,</w:t>
      </w:r>
      <w:r>
        <w:rPr>
          <w:spacing w:val="-3"/>
        </w:rPr>
        <w:t> </w:t>
      </w:r>
      <w:r>
        <w:rPr/>
        <w:t>previo</w:t>
      </w:r>
      <w:r>
        <w:rPr>
          <w:spacing w:val="-3"/>
        </w:rPr>
        <w:t> </w:t>
      </w:r>
      <w:r>
        <w:rPr/>
        <w:t>pago</w:t>
      </w:r>
      <w:r>
        <w:rPr>
          <w:spacing w:val="-4"/>
        </w:rPr>
        <w:t> </w:t>
      </w:r>
      <w:r>
        <w:rPr/>
        <w:t>de</w:t>
      </w:r>
      <w:r>
        <w:rPr>
          <w:spacing w:val="-3"/>
        </w:rPr>
        <w:t> </w:t>
      </w:r>
      <w:r>
        <w:rPr/>
        <w:t>derechos</w:t>
      </w:r>
      <w:r>
        <w:rPr>
          <w:spacing w:val="-2"/>
        </w:rPr>
        <w:t> </w:t>
      </w:r>
      <w:r>
        <w:rPr/>
        <w:t>que</w:t>
      </w:r>
      <w:r>
        <w:rPr>
          <w:spacing w:val="-4"/>
        </w:rPr>
        <w:t> </w:t>
      </w:r>
      <w:r>
        <w:rPr/>
        <w:t>realice</w:t>
      </w:r>
      <w:r>
        <w:rPr>
          <w:spacing w:val="-1"/>
        </w:rPr>
        <w:t> </w:t>
      </w:r>
      <w:r>
        <w:rPr/>
        <w:t>éste,</w:t>
      </w:r>
      <w:r>
        <w:rPr>
          <w:spacing w:val="-1"/>
        </w:rPr>
        <w:t> </w:t>
      </w:r>
      <w:r>
        <w:rPr/>
        <w:t>mientras</w:t>
      </w:r>
      <w:r>
        <w:rPr>
          <w:spacing w:val="-2"/>
        </w:rPr>
        <w:t> </w:t>
      </w:r>
      <w:r>
        <w:rPr/>
        <w:t>no se municipalice el fraccionamiento.</w:t>
      </w:r>
    </w:p>
    <w:p>
      <w:pPr>
        <w:pStyle w:val="BodyText"/>
      </w:pPr>
    </w:p>
    <w:p>
      <w:pPr>
        <w:pStyle w:val="BodyText"/>
      </w:pPr>
    </w:p>
    <w:p>
      <w:pPr>
        <w:pStyle w:val="Heading2"/>
        <w:ind w:right="15"/>
      </w:pPr>
      <w:r>
        <w:rPr/>
        <w:t>Capítulo</w:t>
      </w:r>
      <w:r>
        <w:rPr>
          <w:spacing w:val="-8"/>
        </w:rPr>
        <w:t> </w:t>
      </w:r>
      <w:r>
        <w:rPr>
          <w:spacing w:val="-5"/>
        </w:rPr>
        <w:t>II</w:t>
      </w:r>
    </w:p>
    <w:p>
      <w:pPr>
        <w:pStyle w:val="BodyText"/>
        <w:spacing w:before="1"/>
        <w:rPr>
          <w:rFonts w:ascii="Arial"/>
          <w:b/>
        </w:rPr>
      </w:pPr>
    </w:p>
    <w:p>
      <w:pPr>
        <w:spacing w:before="0"/>
        <w:ind w:left="5" w:right="24" w:firstLine="0"/>
        <w:jc w:val="center"/>
        <w:rPr>
          <w:rFonts w:ascii="Arial"/>
          <w:b/>
          <w:sz w:val="20"/>
        </w:rPr>
      </w:pPr>
      <w:r>
        <w:rPr>
          <w:rFonts w:ascii="Arial"/>
          <w:b/>
          <w:sz w:val="20"/>
        </w:rPr>
        <w:t>Obligaciones</w:t>
      </w:r>
      <w:r>
        <w:rPr>
          <w:rFonts w:ascii="Arial"/>
          <w:b/>
          <w:spacing w:val="-9"/>
          <w:sz w:val="20"/>
        </w:rPr>
        <w:t> </w:t>
      </w: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Propietarios</w:t>
      </w:r>
      <w:r>
        <w:rPr>
          <w:rFonts w:ascii="Arial"/>
          <w:b/>
          <w:spacing w:val="-7"/>
          <w:sz w:val="20"/>
        </w:rPr>
        <w:t> </w:t>
      </w:r>
      <w:r>
        <w:rPr>
          <w:rFonts w:ascii="Arial"/>
          <w:b/>
          <w:sz w:val="20"/>
        </w:rPr>
        <w:t>de</w:t>
      </w:r>
      <w:r>
        <w:rPr>
          <w:rFonts w:ascii="Arial"/>
          <w:b/>
          <w:spacing w:val="-7"/>
          <w:sz w:val="20"/>
        </w:rPr>
        <w:t> </w:t>
      </w:r>
      <w:r>
        <w:rPr>
          <w:rFonts w:ascii="Arial"/>
          <w:b/>
          <w:spacing w:val="-2"/>
          <w:sz w:val="20"/>
        </w:rPr>
        <w:t>Lotes</w:t>
      </w:r>
    </w:p>
    <w:p>
      <w:pPr>
        <w:pStyle w:val="BodyText"/>
        <w:spacing w:before="228"/>
        <w:ind w:left="262" w:right="278"/>
        <w:jc w:val="both"/>
      </w:pPr>
      <w:r>
        <w:rPr>
          <w:rFonts w:ascii="Arial" w:hAnsi="Arial"/>
          <w:b/>
        </w:rPr>
        <w:t>ARTÍCULO 469. </w:t>
      </w:r>
      <w:r>
        <w:rPr/>
        <w:t>Los adquirentes de lotes en los fraccionamientos gozarán de los derechos y cumplirán con las obligaciones que esta Ley les señala y deberán ajustar sus construcciones a las normas que establece este ordenamiento, los reglamentos municipales de construcción, los programas de desarrollo urbano y demás disposiciones jurídicas aplicables.</w:t>
      </w:r>
    </w:p>
    <w:p>
      <w:pPr>
        <w:pStyle w:val="BodyText"/>
      </w:pPr>
    </w:p>
    <w:p>
      <w:pPr>
        <w:pStyle w:val="BodyText"/>
        <w:ind w:left="262" w:right="275"/>
        <w:jc w:val="both"/>
      </w:pPr>
      <w:r>
        <w:rPr>
          <w:rFonts w:ascii="Arial" w:hAnsi="Arial"/>
          <w:b/>
        </w:rPr>
        <w:t>ARTÍCULO 470. </w:t>
      </w:r>
      <w:r>
        <w:rPr/>
        <w:t>En todos los fraccionamientos, subdivisiones, fusiones,</w:t>
      </w:r>
      <w:r>
        <w:rPr>
          <w:spacing w:val="40"/>
        </w:rPr>
        <w:t> </w:t>
      </w:r>
      <w:r>
        <w:rPr/>
        <w:t>relotificaciones y modificaciones de los inmuebles, así como de los desarrollos en régimen de propiedad en condominio,</w:t>
      </w:r>
      <w:r>
        <w:rPr>
          <w:spacing w:val="-14"/>
        </w:rPr>
        <w:t> </w:t>
      </w:r>
      <w:r>
        <w:rPr/>
        <w:t>los</w:t>
      </w:r>
      <w:r>
        <w:rPr>
          <w:spacing w:val="-14"/>
        </w:rPr>
        <w:t> </w:t>
      </w:r>
      <w:r>
        <w:rPr/>
        <w:t>propietarios</w:t>
      </w:r>
      <w:r>
        <w:rPr>
          <w:spacing w:val="-14"/>
        </w:rPr>
        <w:t> </w:t>
      </w:r>
      <w:r>
        <w:rPr/>
        <w:t>de</w:t>
      </w:r>
      <w:r>
        <w:rPr>
          <w:spacing w:val="-14"/>
        </w:rPr>
        <w:t> </w:t>
      </w:r>
      <w:r>
        <w:rPr/>
        <w:t>los</w:t>
      </w:r>
      <w:r>
        <w:rPr>
          <w:spacing w:val="-14"/>
        </w:rPr>
        <w:t> </w:t>
      </w:r>
      <w:r>
        <w:rPr/>
        <w:t>lotes</w:t>
      </w:r>
      <w:r>
        <w:rPr>
          <w:spacing w:val="-14"/>
        </w:rPr>
        <w:t> </w:t>
      </w:r>
      <w:r>
        <w:rPr/>
        <w:t>sin</w:t>
      </w:r>
      <w:r>
        <w:rPr>
          <w:spacing w:val="-14"/>
        </w:rPr>
        <w:t> </w:t>
      </w:r>
      <w:r>
        <w:rPr/>
        <w:t>construcción</w:t>
      </w:r>
      <w:r>
        <w:rPr>
          <w:spacing w:val="-14"/>
        </w:rPr>
        <w:t> </w:t>
      </w:r>
      <w:r>
        <w:rPr/>
        <w:t>en</w:t>
      </w:r>
      <w:r>
        <w:rPr>
          <w:spacing w:val="-14"/>
        </w:rPr>
        <w:t> </w:t>
      </w:r>
      <w:r>
        <w:rPr/>
        <w:t>los</w:t>
      </w:r>
      <w:r>
        <w:rPr>
          <w:spacing w:val="-13"/>
        </w:rPr>
        <w:t> </w:t>
      </w:r>
      <w:r>
        <w:rPr/>
        <w:t>centros</w:t>
      </w:r>
      <w:r>
        <w:rPr>
          <w:spacing w:val="-14"/>
        </w:rPr>
        <w:t> </w:t>
      </w:r>
      <w:r>
        <w:rPr/>
        <w:t>de</w:t>
      </w:r>
      <w:r>
        <w:rPr>
          <w:spacing w:val="-14"/>
        </w:rPr>
        <w:t> </w:t>
      </w:r>
      <w:r>
        <w:rPr/>
        <w:t>población,</w:t>
      </w:r>
      <w:r>
        <w:rPr>
          <w:spacing w:val="-14"/>
        </w:rPr>
        <w:t> </w:t>
      </w:r>
      <w:r>
        <w:rPr/>
        <w:t>deberán</w:t>
      </w:r>
      <w:r>
        <w:rPr>
          <w:spacing w:val="-14"/>
        </w:rPr>
        <w:t> </w:t>
      </w:r>
      <w:r>
        <w:rPr/>
        <w:t>cercar su propiedad conservando y preservando el medio ambiente, los árboles y en general las áreas verdes de los mismos.</w:t>
      </w:r>
    </w:p>
    <w:p>
      <w:pPr>
        <w:pStyle w:val="BodyText"/>
      </w:pPr>
    </w:p>
    <w:p>
      <w:pPr>
        <w:pStyle w:val="BodyText"/>
        <w:spacing w:before="1"/>
        <w:ind w:left="262" w:right="280"/>
        <w:jc w:val="both"/>
      </w:pPr>
      <w:r>
        <w:rPr>
          <w:rFonts w:ascii="Arial" w:hAnsi="Arial"/>
          <w:b/>
        </w:rPr>
        <w:t>ARTÍCULO 471. </w:t>
      </w:r>
      <w:r>
        <w:rPr/>
        <w:t>Los propietarios o poseedores de los lotes baldíos y edificaciones tendrán la obligación de mantenerlos libres de escombro, basura, hierba y drenados adecuadamente; de no cumplir con esta disposición, previo requerimiento, el Ayuntamiento, a través del área competente, podrá</w:t>
      </w:r>
      <w:r>
        <w:rPr>
          <w:spacing w:val="-8"/>
        </w:rPr>
        <w:t> </w:t>
      </w:r>
      <w:r>
        <w:rPr/>
        <w:t>hacerlo</w:t>
      </w:r>
      <w:r>
        <w:rPr>
          <w:spacing w:val="-11"/>
        </w:rPr>
        <w:t> </w:t>
      </w:r>
      <w:r>
        <w:rPr/>
        <w:t>de</w:t>
      </w:r>
      <w:r>
        <w:rPr>
          <w:spacing w:val="-9"/>
        </w:rPr>
        <w:t> </w:t>
      </w:r>
      <w:r>
        <w:rPr/>
        <w:t>oficio,</w:t>
      </w:r>
      <w:r>
        <w:rPr>
          <w:spacing w:val="-12"/>
        </w:rPr>
        <w:t> </w:t>
      </w:r>
      <w:r>
        <w:rPr/>
        <w:t>con</w:t>
      </w:r>
      <w:r>
        <w:rPr>
          <w:spacing w:val="-9"/>
        </w:rPr>
        <w:t> </w:t>
      </w:r>
      <w:r>
        <w:rPr/>
        <w:t>cargo</w:t>
      </w:r>
      <w:r>
        <w:rPr>
          <w:spacing w:val="-11"/>
        </w:rPr>
        <w:t> </w:t>
      </w:r>
      <w:r>
        <w:rPr/>
        <w:t>al</w:t>
      </w:r>
      <w:r>
        <w:rPr>
          <w:spacing w:val="-10"/>
        </w:rPr>
        <w:t> </w:t>
      </w:r>
      <w:r>
        <w:rPr/>
        <w:t>propietario</w:t>
      </w:r>
      <w:r>
        <w:rPr>
          <w:spacing w:val="-9"/>
        </w:rPr>
        <w:t> </w:t>
      </w:r>
      <w:r>
        <w:rPr/>
        <w:t>o</w:t>
      </w:r>
      <w:r>
        <w:rPr>
          <w:spacing w:val="-11"/>
        </w:rPr>
        <w:t> </w:t>
      </w:r>
      <w:r>
        <w:rPr/>
        <w:t>poseedor,</w:t>
      </w:r>
      <w:r>
        <w:rPr>
          <w:spacing w:val="-11"/>
        </w:rPr>
        <w:t> </w:t>
      </w:r>
      <w:r>
        <w:rPr/>
        <w:t>costo</w:t>
      </w:r>
      <w:r>
        <w:rPr>
          <w:spacing w:val="-9"/>
        </w:rPr>
        <w:t> </w:t>
      </w:r>
      <w:r>
        <w:rPr/>
        <w:t>que</w:t>
      </w:r>
      <w:r>
        <w:rPr>
          <w:spacing w:val="-11"/>
        </w:rPr>
        <w:t> </w:t>
      </w:r>
      <w:r>
        <w:rPr/>
        <w:t>será</w:t>
      </w:r>
      <w:r>
        <w:rPr>
          <w:spacing w:val="-9"/>
        </w:rPr>
        <w:t> </w:t>
      </w:r>
      <w:r>
        <w:rPr/>
        <w:t>aplicado</w:t>
      </w:r>
      <w:r>
        <w:rPr>
          <w:spacing w:val="-12"/>
        </w:rPr>
        <w:t> </w:t>
      </w:r>
      <w:r>
        <w:rPr/>
        <w:t>al</w:t>
      </w:r>
      <w:r>
        <w:rPr>
          <w:spacing w:val="-10"/>
        </w:rPr>
        <w:t> </w:t>
      </w:r>
      <w:r>
        <w:rPr/>
        <w:t>momento</w:t>
      </w:r>
      <w:r>
        <w:rPr>
          <w:spacing w:val="-11"/>
        </w:rPr>
        <w:t> </w:t>
      </w:r>
      <w:r>
        <w:rPr/>
        <w:t>del cobro del impuesto predial.</w:t>
      </w:r>
    </w:p>
    <w:p>
      <w:pPr>
        <w:pStyle w:val="BodyText"/>
      </w:pPr>
    </w:p>
    <w:p>
      <w:pPr>
        <w:pStyle w:val="BodyText"/>
        <w:ind w:left="262" w:right="277"/>
        <w:jc w:val="both"/>
      </w:pPr>
      <w:r>
        <w:rPr>
          <w:rFonts w:ascii="Arial" w:hAnsi="Arial"/>
          <w:b/>
        </w:rPr>
        <w:t>ARTÍCULO 472. </w:t>
      </w:r>
      <w:r>
        <w:rPr/>
        <w:t>Los adquirentes de los lotes de los fraccionamientos, divisiones, subdivisiones, fusiones,</w:t>
      </w:r>
      <w:r>
        <w:rPr>
          <w:spacing w:val="-9"/>
        </w:rPr>
        <w:t> </w:t>
      </w:r>
      <w:r>
        <w:rPr/>
        <w:t>relotificaciones</w:t>
      </w:r>
      <w:r>
        <w:rPr>
          <w:spacing w:val="-8"/>
        </w:rPr>
        <w:t> </w:t>
      </w:r>
      <w:r>
        <w:rPr/>
        <w:t>y</w:t>
      </w:r>
      <w:r>
        <w:rPr>
          <w:spacing w:val="-5"/>
        </w:rPr>
        <w:t> </w:t>
      </w:r>
      <w:r>
        <w:rPr/>
        <w:t>modificaciones</w:t>
      </w:r>
      <w:r>
        <w:rPr>
          <w:spacing w:val="-8"/>
        </w:rPr>
        <w:t> </w:t>
      </w:r>
      <w:r>
        <w:rPr/>
        <w:t>de</w:t>
      </w:r>
      <w:r>
        <w:rPr>
          <w:spacing w:val="-5"/>
        </w:rPr>
        <w:t> </w:t>
      </w:r>
      <w:r>
        <w:rPr/>
        <w:t>los</w:t>
      </w:r>
      <w:r>
        <w:rPr>
          <w:spacing w:val="-6"/>
        </w:rPr>
        <w:t> </w:t>
      </w:r>
      <w:r>
        <w:rPr/>
        <w:t>inmuebles,</w:t>
      </w:r>
      <w:r>
        <w:rPr>
          <w:spacing w:val="-9"/>
        </w:rPr>
        <w:t> </w:t>
      </w:r>
      <w:r>
        <w:rPr/>
        <w:t>así</w:t>
      </w:r>
      <w:r>
        <w:rPr>
          <w:spacing w:val="-7"/>
        </w:rPr>
        <w:t> </w:t>
      </w:r>
      <w:r>
        <w:rPr/>
        <w:t>como</w:t>
      </w:r>
      <w:r>
        <w:rPr>
          <w:spacing w:val="-7"/>
        </w:rPr>
        <w:t> </w:t>
      </w:r>
      <w:r>
        <w:rPr/>
        <w:t>de</w:t>
      </w:r>
      <w:r>
        <w:rPr>
          <w:spacing w:val="-7"/>
        </w:rPr>
        <w:t> </w:t>
      </w:r>
      <w:r>
        <w:rPr/>
        <w:t>los</w:t>
      </w:r>
      <w:r>
        <w:rPr>
          <w:spacing w:val="-6"/>
        </w:rPr>
        <w:t> </w:t>
      </w:r>
      <w:r>
        <w:rPr/>
        <w:t>desarrollos</w:t>
      </w:r>
      <w:r>
        <w:rPr>
          <w:spacing w:val="-8"/>
        </w:rPr>
        <w:t> </w:t>
      </w:r>
      <w:r>
        <w:rPr/>
        <w:t>en</w:t>
      </w:r>
      <w:r>
        <w:rPr>
          <w:spacing w:val="-9"/>
        </w:rPr>
        <w:t> </w:t>
      </w:r>
      <w:r>
        <w:rPr/>
        <w:t>régimen de propiedad en condominio, al realizar las construcciones, deberán sujetarse estrictamente a las normas aplicables en la materia, observándose, en todo caso, las limitaciones de dominio, servidumbres, uso de suelo y características especiales de arquitectura y ornato, así como las restricciones propias del fraccionamiento a que se refiere la presente Ley.</w:t>
      </w:r>
    </w:p>
    <w:p>
      <w:pPr>
        <w:pStyle w:val="BodyText"/>
        <w:spacing w:before="1"/>
      </w:pPr>
    </w:p>
    <w:p>
      <w:pPr>
        <w:pStyle w:val="BodyText"/>
        <w:ind w:left="262" w:right="278"/>
        <w:jc w:val="both"/>
      </w:pPr>
      <w:r>
        <w:rPr>
          <w:rFonts w:ascii="Arial" w:hAnsi="Arial"/>
          <w:b/>
        </w:rPr>
        <w:t>ARTÍCULO 473. </w:t>
      </w:r>
      <w:r>
        <w:rPr/>
        <w:t>En todos los fraccionamientos, los adquirentes de lotes tendrán la obligación solidaria</w:t>
      </w:r>
      <w:r>
        <w:rPr>
          <w:spacing w:val="-5"/>
        </w:rPr>
        <w:t> </w:t>
      </w:r>
      <w:r>
        <w:rPr/>
        <w:t>con</w:t>
      </w:r>
      <w:r>
        <w:rPr>
          <w:spacing w:val="-5"/>
        </w:rPr>
        <w:t> </w:t>
      </w:r>
      <w:r>
        <w:rPr/>
        <w:t>el</w:t>
      </w:r>
      <w:r>
        <w:rPr>
          <w:spacing w:val="-5"/>
        </w:rPr>
        <w:t> </w:t>
      </w:r>
      <w:r>
        <w:rPr/>
        <w:t>fraccionador</w:t>
      </w:r>
      <w:r>
        <w:rPr>
          <w:spacing w:val="-6"/>
        </w:rPr>
        <w:t> </w:t>
      </w:r>
      <w:r>
        <w:rPr/>
        <w:t>y</w:t>
      </w:r>
      <w:r>
        <w:rPr>
          <w:spacing w:val="-5"/>
        </w:rPr>
        <w:t> </w:t>
      </w:r>
      <w:r>
        <w:rPr/>
        <w:t>con</w:t>
      </w:r>
      <w:r>
        <w:rPr>
          <w:spacing w:val="-5"/>
        </w:rPr>
        <w:t> </w:t>
      </w:r>
      <w:r>
        <w:rPr/>
        <w:t>las</w:t>
      </w:r>
      <w:r>
        <w:rPr>
          <w:spacing w:val="-6"/>
        </w:rPr>
        <w:t> </w:t>
      </w:r>
      <w:r>
        <w:rPr/>
        <w:t>autoridades,</w:t>
      </w:r>
      <w:r>
        <w:rPr>
          <w:spacing w:val="-6"/>
        </w:rPr>
        <w:t> </w:t>
      </w:r>
      <w:r>
        <w:rPr/>
        <w:t>de</w:t>
      </w:r>
      <w:r>
        <w:rPr>
          <w:spacing w:val="-4"/>
        </w:rPr>
        <w:t> </w:t>
      </w:r>
      <w:r>
        <w:rPr/>
        <w:t>conservar</w:t>
      </w:r>
      <w:r>
        <w:rPr>
          <w:spacing w:val="-6"/>
        </w:rPr>
        <w:t> </w:t>
      </w:r>
      <w:r>
        <w:rPr/>
        <w:t>los</w:t>
      </w:r>
      <w:r>
        <w:rPr>
          <w:spacing w:val="-3"/>
        </w:rPr>
        <w:t> </w:t>
      </w:r>
      <w:r>
        <w:rPr/>
        <w:t>jardines</w:t>
      </w:r>
      <w:r>
        <w:rPr>
          <w:spacing w:val="-5"/>
        </w:rPr>
        <w:t> </w:t>
      </w:r>
      <w:r>
        <w:rPr/>
        <w:t>y</w:t>
      </w:r>
      <w:r>
        <w:rPr>
          <w:spacing w:val="-3"/>
        </w:rPr>
        <w:t> </w:t>
      </w:r>
      <w:r>
        <w:rPr/>
        <w:t>árboles</w:t>
      </w:r>
      <w:r>
        <w:rPr>
          <w:spacing w:val="-3"/>
        </w:rPr>
        <w:t> </w:t>
      </w:r>
      <w:r>
        <w:rPr/>
        <w:t>plantados</w:t>
      </w:r>
      <w:r>
        <w:rPr>
          <w:spacing w:val="-3"/>
        </w:rPr>
        <w:t> </w:t>
      </w:r>
      <w:r>
        <w:rPr/>
        <w:t>en las</w:t>
      </w:r>
      <w:r>
        <w:rPr>
          <w:spacing w:val="-7"/>
        </w:rPr>
        <w:t> </w:t>
      </w:r>
      <w:r>
        <w:rPr/>
        <w:t>vías</w:t>
      </w:r>
      <w:r>
        <w:rPr>
          <w:spacing w:val="-7"/>
        </w:rPr>
        <w:t> </w:t>
      </w:r>
      <w:r>
        <w:rPr/>
        <w:t>públicas</w:t>
      </w:r>
      <w:r>
        <w:rPr>
          <w:spacing w:val="-7"/>
        </w:rPr>
        <w:t> </w:t>
      </w:r>
      <w:r>
        <w:rPr/>
        <w:t>y</w:t>
      </w:r>
      <w:r>
        <w:rPr>
          <w:spacing w:val="-7"/>
        </w:rPr>
        <w:t> </w:t>
      </w:r>
      <w:r>
        <w:rPr/>
        <w:t>áreas</w:t>
      </w:r>
      <w:r>
        <w:rPr>
          <w:spacing w:val="-7"/>
        </w:rPr>
        <w:t> </w:t>
      </w:r>
      <w:r>
        <w:rPr/>
        <w:t>verdes,</w:t>
      </w:r>
      <w:r>
        <w:rPr>
          <w:spacing w:val="-8"/>
        </w:rPr>
        <w:t> </w:t>
      </w:r>
      <w:r>
        <w:rPr/>
        <w:t>en</w:t>
      </w:r>
      <w:r>
        <w:rPr>
          <w:spacing w:val="-6"/>
        </w:rPr>
        <w:t> </w:t>
      </w:r>
      <w:r>
        <w:rPr/>
        <w:t>los</w:t>
      </w:r>
      <w:r>
        <w:rPr>
          <w:spacing w:val="-7"/>
        </w:rPr>
        <w:t> </w:t>
      </w:r>
      <w:r>
        <w:rPr/>
        <w:t>tramos</w:t>
      </w:r>
      <w:r>
        <w:rPr>
          <w:spacing w:val="-7"/>
        </w:rPr>
        <w:t> </w:t>
      </w:r>
      <w:r>
        <w:rPr/>
        <w:t>que</w:t>
      </w:r>
      <w:r>
        <w:rPr>
          <w:spacing w:val="-6"/>
        </w:rPr>
        <w:t> </w:t>
      </w:r>
      <w:r>
        <w:rPr/>
        <w:t>le</w:t>
      </w:r>
      <w:r>
        <w:rPr>
          <w:spacing w:val="-8"/>
        </w:rPr>
        <w:t> </w:t>
      </w:r>
      <w:r>
        <w:rPr/>
        <w:t>correspondan</w:t>
      </w:r>
      <w:r>
        <w:rPr>
          <w:spacing w:val="-8"/>
        </w:rPr>
        <w:t> </w:t>
      </w:r>
      <w:r>
        <w:rPr/>
        <w:t>al</w:t>
      </w:r>
      <w:r>
        <w:rPr>
          <w:spacing w:val="-9"/>
        </w:rPr>
        <w:t> </w:t>
      </w:r>
      <w:r>
        <w:rPr/>
        <w:t>frente</w:t>
      </w:r>
      <w:r>
        <w:rPr>
          <w:spacing w:val="-6"/>
        </w:rPr>
        <w:t> </w:t>
      </w:r>
      <w:r>
        <w:rPr/>
        <w:t>de</w:t>
      </w:r>
      <w:r>
        <w:rPr>
          <w:spacing w:val="-8"/>
        </w:rPr>
        <w:t> </w:t>
      </w:r>
      <w:r>
        <w:rPr/>
        <w:t>sus</w:t>
      </w:r>
      <w:r>
        <w:rPr>
          <w:spacing w:val="-7"/>
        </w:rPr>
        <w:t> </w:t>
      </w:r>
      <w:r>
        <w:rPr/>
        <w:t>lotes;</w:t>
      </w:r>
      <w:r>
        <w:rPr>
          <w:spacing w:val="-5"/>
        </w:rPr>
        <w:t> </w:t>
      </w:r>
      <w:r>
        <w:rPr/>
        <w:t>así</w:t>
      </w:r>
      <w:r>
        <w:rPr>
          <w:spacing w:val="-8"/>
        </w:rPr>
        <w:t> </w:t>
      </w:r>
      <w:r>
        <w:rPr/>
        <w:t>como, mantener en buen estado las banquetas, pavimentos y la infraestructura y el equipamiento urbano del fraccionamiento; esto respetando siempre el libre tránsito peatonal y vehicular.</w:t>
      </w:r>
    </w:p>
    <w:p>
      <w:pPr>
        <w:pStyle w:val="BodyText"/>
      </w:pPr>
    </w:p>
    <w:p>
      <w:pPr>
        <w:pStyle w:val="BodyText"/>
        <w:ind w:left="262" w:right="285"/>
        <w:jc w:val="both"/>
      </w:pPr>
      <w:r>
        <w:rPr>
          <w:rFonts w:ascii="Arial" w:hAnsi="Arial"/>
          <w:b/>
        </w:rPr>
        <w:t>ARTÍCULO</w:t>
      </w:r>
      <w:r>
        <w:rPr>
          <w:rFonts w:ascii="Arial" w:hAnsi="Arial"/>
          <w:b/>
          <w:spacing w:val="-11"/>
        </w:rPr>
        <w:t> </w:t>
      </w:r>
      <w:r>
        <w:rPr>
          <w:rFonts w:ascii="Arial" w:hAnsi="Arial"/>
          <w:b/>
        </w:rPr>
        <w:t>474.</w:t>
      </w:r>
      <w:r>
        <w:rPr>
          <w:rFonts w:ascii="Arial" w:hAnsi="Arial"/>
          <w:b/>
          <w:spacing w:val="-12"/>
        </w:rPr>
        <w:t> </w:t>
      </w:r>
      <w:r>
        <w:rPr/>
        <w:t>Es</w:t>
      </w:r>
      <w:r>
        <w:rPr>
          <w:spacing w:val="-9"/>
        </w:rPr>
        <w:t> </w:t>
      </w:r>
      <w:r>
        <w:rPr/>
        <w:t>obligación</w:t>
      </w:r>
      <w:r>
        <w:rPr>
          <w:spacing w:val="-10"/>
        </w:rPr>
        <w:t> </w:t>
      </w:r>
      <w:r>
        <w:rPr/>
        <w:t>de</w:t>
      </w:r>
      <w:r>
        <w:rPr>
          <w:spacing w:val="-10"/>
        </w:rPr>
        <w:t> </w:t>
      </w:r>
      <w:r>
        <w:rPr/>
        <w:t>los</w:t>
      </w:r>
      <w:r>
        <w:rPr>
          <w:spacing w:val="-11"/>
        </w:rPr>
        <w:t> </w:t>
      </w:r>
      <w:r>
        <w:rPr/>
        <w:t>adquirentes</w:t>
      </w:r>
      <w:r>
        <w:rPr>
          <w:spacing w:val="-9"/>
        </w:rPr>
        <w:t> </w:t>
      </w:r>
      <w:r>
        <w:rPr/>
        <w:t>de</w:t>
      </w:r>
      <w:r>
        <w:rPr>
          <w:spacing w:val="-13"/>
        </w:rPr>
        <w:t> </w:t>
      </w:r>
      <w:r>
        <w:rPr/>
        <w:t>lotes,</w:t>
      </w:r>
      <w:r>
        <w:rPr>
          <w:spacing w:val="-12"/>
        </w:rPr>
        <w:t> </w:t>
      </w:r>
      <w:r>
        <w:rPr/>
        <w:t>tramitar</w:t>
      </w:r>
      <w:r>
        <w:rPr>
          <w:spacing w:val="-12"/>
        </w:rPr>
        <w:t> </w:t>
      </w:r>
      <w:r>
        <w:rPr/>
        <w:t>a</w:t>
      </w:r>
      <w:r>
        <w:rPr>
          <w:spacing w:val="-12"/>
        </w:rPr>
        <w:t> </w:t>
      </w:r>
      <w:r>
        <w:rPr/>
        <w:t>su</w:t>
      </w:r>
      <w:r>
        <w:rPr>
          <w:spacing w:val="-12"/>
        </w:rPr>
        <w:t> </w:t>
      </w:r>
      <w:r>
        <w:rPr/>
        <w:t>costa</w:t>
      </w:r>
      <w:r>
        <w:rPr>
          <w:spacing w:val="-12"/>
        </w:rPr>
        <w:t> </w:t>
      </w:r>
      <w:r>
        <w:rPr/>
        <w:t>y</w:t>
      </w:r>
      <w:r>
        <w:rPr>
          <w:spacing w:val="-11"/>
        </w:rPr>
        <w:t> </w:t>
      </w:r>
      <w:r>
        <w:rPr/>
        <w:t>ante</w:t>
      </w:r>
      <w:r>
        <w:rPr>
          <w:spacing w:val="-13"/>
        </w:rPr>
        <w:t> </w:t>
      </w:r>
      <w:r>
        <w:rPr/>
        <w:t>las</w:t>
      </w:r>
      <w:r>
        <w:rPr>
          <w:spacing w:val="-9"/>
        </w:rPr>
        <w:t> </w:t>
      </w:r>
      <w:r>
        <w:rPr/>
        <w:t>autoridades competentes, la contratación de los servicios públicos que deban prestarse individualmente en los lotes que hayan adquirido en el fraccionamiento.</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1"/>
        <w:jc w:val="both"/>
      </w:pPr>
      <w:r>
        <w:rPr>
          <w:rFonts w:ascii="Arial" w:hAnsi="Arial"/>
          <w:b/>
        </w:rPr>
        <w:t>ARTÍCULO 475. </w:t>
      </w:r>
      <w:r>
        <w:rPr/>
        <w:t>Será obligación de los adquirentes de lotes, respetar las características del fraccionamiento,</w:t>
      </w:r>
      <w:r>
        <w:rPr>
          <w:spacing w:val="-12"/>
        </w:rPr>
        <w:t> </w:t>
      </w:r>
      <w:r>
        <w:rPr/>
        <w:t>en</w:t>
      </w:r>
      <w:r>
        <w:rPr>
          <w:spacing w:val="-12"/>
        </w:rPr>
        <w:t> </w:t>
      </w:r>
      <w:r>
        <w:rPr/>
        <w:t>lo</w:t>
      </w:r>
      <w:r>
        <w:rPr>
          <w:spacing w:val="-12"/>
        </w:rPr>
        <w:t> </w:t>
      </w:r>
      <w:r>
        <w:rPr/>
        <w:t>que</w:t>
      </w:r>
      <w:r>
        <w:rPr>
          <w:spacing w:val="-13"/>
        </w:rPr>
        <w:t> </w:t>
      </w:r>
      <w:r>
        <w:rPr/>
        <w:t>respecta</w:t>
      </w:r>
      <w:r>
        <w:rPr>
          <w:spacing w:val="-13"/>
        </w:rPr>
        <w:t> </w:t>
      </w:r>
      <w:r>
        <w:rPr/>
        <w:t>a</w:t>
      </w:r>
      <w:r>
        <w:rPr>
          <w:spacing w:val="-12"/>
        </w:rPr>
        <w:t> </w:t>
      </w:r>
      <w:r>
        <w:rPr/>
        <w:t>las</w:t>
      </w:r>
      <w:r>
        <w:rPr>
          <w:spacing w:val="-11"/>
        </w:rPr>
        <w:t> </w:t>
      </w:r>
      <w:r>
        <w:rPr/>
        <w:t>dimensiones</w:t>
      </w:r>
      <w:r>
        <w:rPr>
          <w:spacing w:val="-9"/>
        </w:rPr>
        <w:t> </w:t>
      </w:r>
      <w:r>
        <w:rPr/>
        <w:t>de</w:t>
      </w:r>
      <w:r>
        <w:rPr>
          <w:spacing w:val="-13"/>
        </w:rPr>
        <w:t> </w:t>
      </w:r>
      <w:r>
        <w:rPr/>
        <w:t>los</w:t>
      </w:r>
      <w:r>
        <w:rPr>
          <w:spacing w:val="-11"/>
        </w:rPr>
        <w:t> </w:t>
      </w:r>
      <w:r>
        <w:rPr/>
        <w:t>lotes</w:t>
      </w:r>
      <w:r>
        <w:rPr>
          <w:spacing w:val="-14"/>
        </w:rPr>
        <w:t> </w:t>
      </w:r>
      <w:r>
        <w:rPr/>
        <w:t>y</w:t>
      </w:r>
      <w:r>
        <w:rPr>
          <w:spacing w:val="-12"/>
        </w:rPr>
        <w:t> </w:t>
      </w:r>
      <w:r>
        <w:rPr/>
        <w:t>no</w:t>
      </w:r>
      <w:r>
        <w:rPr>
          <w:spacing w:val="-14"/>
        </w:rPr>
        <w:t> </w:t>
      </w:r>
      <w:r>
        <w:rPr/>
        <w:t>podrán</w:t>
      </w:r>
      <w:r>
        <w:rPr>
          <w:spacing w:val="-14"/>
        </w:rPr>
        <w:t> </w:t>
      </w:r>
      <w:r>
        <w:rPr/>
        <w:t>subdividir</w:t>
      </w:r>
      <w:r>
        <w:rPr>
          <w:spacing w:val="-11"/>
        </w:rPr>
        <w:t> </w:t>
      </w:r>
      <w:r>
        <w:rPr/>
        <w:t>los</w:t>
      </w:r>
      <w:r>
        <w:rPr>
          <w:spacing w:val="-11"/>
        </w:rPr>
        <w:t> </w:t>
      </w:r>
      <w:r>
        <w:rPr/>
        <w:t>mismos en tamaños menores a los señalados por esta Ley o los programas respectivos; igualmente están obligados a respetar la zona libre al frente en caso de que se halle establecida, las características arquitectónicas y la densidad de población y de construcción.</w:t>
      </w:r>
    </w:p>
    <w:p>
      <w:pPr>
        <w:pStyle w:val="BodyText"/>
      </w:pPr>
    </w:p>
    <w:p>
      <w:pPr>
        <w:pStyle w:val="BodyText"/>
        <w:ind w:left="262" w:right="282"/>
        <w:jc w:val="both"/>
      </w:pPr>
      <w:r>
        <w:rPr/>
        <w:t>Asimismo</w:t>
      </w:r>
      <w:r>
        <w:rPr>
          <w:spacing w:val="-6"/>
        </w:rPr>
        <w:t> </w:t>
      </w:r>
      <w:r>
        <w:rPr/>
        <w:t>no</w:t>
      </w:r>
      <w:r>
        <w:rPr>
          <w:spacing w:val="-6"/>
        </w:rPr>
        <w:t> </w:t>
      </w:r>
      <w:r>
        <w:rPr/>
        <w:t>podrá</w:t>
      </w:r>
      <w:r>
        <w:rPr>
          <w:spacing w:val="-5"/>
        </w:rPr>
        <w:t> </w:t>
      </w:r>
      <w:r>
        <w:rPr/>
        <w:t>destinar</w:t>
      </w:r>
      <w:r>
        <w:rPr>
          <w:spacing w:val="-5"/>
        </w:rPr>
        <w:t> </w:t>
      </w:r>
      <w:r>
        <w:rPr/>
        <w:t>el</w:t>
      </w:r>
      <w:r>
        <w:rPr>
          <w:spacing w:val="-7"/>
        </w:rPr>
        <w:t> </w:t>
      </w:r>
      <w:r>
        <w:rPr/>
        <w:t>lote,</w:t>
      </w:r>
      <w:r>
        <w:rPr>
          <w:spacing w:val="-6"/>
        </w:rPr>
        <w:t> </w:t>
      </w:r>
      <w:r>
        <w:rPr/>
        <w:t>área</w:t>
      </w:r>
      <w:r>
        <w:rPr>
          <w:spacing w:val="-6"/>
        </w:rPr>
        <w:t> </w:t>
      </w:r>
      <w:r>
        <w:rPr/>
        <w:t>o</w:t>
      </w:r>
      <w:r>
        <w:rPr>
          <w:spacing w:val="-6"/>
        </w:rPr>
        <w:t> </w:t>
      </w:r>
      <w:r>
        <w:rPr/>
        <w:t>manzana</w:t>
      </w:r>
      <w:r>
        <w:rPr>
          <w:spacing w:val="-6"/>
        </w:rPr>
        <w:t> </w:t>
      </w:r>
      <w:r>
        <w:rPr/>
        <w:t>a</w:t>
      </w:r>
      <w:r>
        <w:rPr>
          <w:spacing w:val="-3"/>
        </w:rPr>
        <w:t> </w:t>
      </w:r>
      <w:r>
        <w:rPr/>
        <w:t>un</w:t>
      </w:r>
      <w:r>
        <w:rPr>
          <w:spacing w:val="-6"/>
        </w:rPr>
        <w:t> </w:t>
      </w:r>
      <w:r>
        <w:rPr/>
        <w:t>uso</w:t>
      </w:r>
      <w:r>
        <w:rPr>
          <w:spacing w:val="-6"/>
        </w:rPr>
        <w:t> </w:t>
      </w:r>
      <w:r>
        <w:rPr/>
        <w:t>o</w:t>
      </w:r>
      <w:r>
        <w:rPr>
          <w:spacing w:val="-3"/>
        </w:rPr>
        <w:t> </w:t>
      </w:r>
      <w:r>
        <w:rPr/>
        <w:t>destino</w:t>
      </w:r>
      <w:r>
        <w:rPr>
          <w:spacing w:val="-6"/>
        </w:rPr>
        <w:t> </w:t>
      </w:r>
      <w:r>
        <w:rPr/>
        <w:t>distinto</w:t>
      </w:r>
      <w:r>
        <w:rPr>
          <w:spacing w:val="-6"/>
        </w:rPr>
        <w:t> </w:t>
      </w:r>
      <w:r>
        <w:rPr/>
        <w:t>del</w:t>
      </w:r>
      <w:r>
        <w:rPr>
          <w:spacing w:val="-6"/>
        </w:rPr>
        <w:t> </w:t>
      </w:r>
      <w:r>
        <w:rPr/>
        <w:t>autorizado</w:t>
      </w:r>
      <w:r>
        <w:rPr>
          <w:spacing w:val="-6"/>
        </w:rPr>
        <w:t> </w:t>
      </w:r>
      <w:r>
        <w:rPr/>
        <w:t>por</w:t>
      </w:r>
      <w:r>
        <w:rPr>
          <w:spacing w:val="-5"/>
        </w:rPr>
        <w:t> </w:t>
      </w:r>
      <w:r>
        <w:rPr/>
        <w:t>el Ayuntamiento, con base en la zonificación prevista en el</w:t>
      </w:r>
      <w:r>
        <w:rPr>
          <w:spacing w:val="-1"/>
        </w:rPr>
        <w:t> </w:t>
      </w:r>
      <w:r>
        <w:rPr/>
        <w:t>plano de lotificación respectivo, la licencia de uso de suelo y en los programas de ordenamiento territorial y desarrollo urbano aplicables.</w:t>
      </w:r>
    </w:p>
    <w:p>
      <w:pPr>
        <w:pStyle w:val="BodyText"/>
      </w:pPr>
    </w:p>
    <w:p>
      <w:pPr>
        <w:pStyle w:val="BodyText"/>
        <w:ind w:left="262" w:right="283"/>
        <w:jc w:val="both"/>
      </w:pPr>
      <w:r>
        <w:rPr>
          <w:rFonts w:ascii="Arial" w:hAnsi="Arial"/>
          <w:b/>
        </w:rPr>
        <w:t>ARTÍCULO</w:t>
      </w:r>
      <w:r>
        <w:rPr>
          <w:rFonts w:ascii="Arial" w:hAnsi="Arial"/>
          <w:b/>
          <w:spacing w:val="-11"/>
        </w:rPr>
        <w:t> </w:t>
      </w:r>
      <w:r>
        <w:rPr>
          <w:rFonts w:ascii="Arial" w:hAnsi="Arial"/>
          <w:b/>
        </w:rPr>
        <w:t>476.</w:t>
      </w:r>
      <w:r>
        <w:rPr>
          <w:rFonts w:ascii="Arial" w:hAnsi="Arial"/>
          <w:b/>
          <w:spacing w:val="-10"/>
        </w:rPr>
        <w:t> </w:t>
      </w:r>
      <w:r>
        <w:rPr/>
        <w:t>En</w:t>
      </w:r>
      <w:r>
        <w:rPr>
          <w:spacing w:val="-10"/>
        </w:rPr>
        <w:t> </w:t>
      </w:r>
      <w:r>
        <w:rPr/>
        <w:t>los</w:t>
      </w:r>
      <w:r>
        <w:rPr>
          <w:spacing w:val="-9"/>
        </w:rPr>
        <w:t> </w:t>
      </w:r>
      <w:r>
        <w:rPr/>
        <w:t>fraccionamientos</w:t>
      </w:r>
      <w:r>
        <w:rPr>
          <w:spacing w:val="-9"/>
        </w:rPr>
        <w:t> </w:t>
      </w:r>
      <w:r>
        <w:rPr/>
        <w:t>habitacionales</w:t>
      </w:r>
      <w:r>
        <w:rPr>
          <w:spacing w:val="-11"/>
        </w:rPr>
        <w:t> </w:t>
      </w:r>
      <w:r>
        <w:rPr/>
        <w:t>de</w:t>
      </w:r>
      <w:r>
        <w:rPr>
          <w:spacing w:val="-11"/>
        </w:rPr>
        <w:t> </w:t>
      </w:r>
      <w:r>
        <w:rPr/>
        <w:t>interés</w:t>
      </w:r>
      <w:r>
        <w:rPr>
          <w:spacing w:val="-11"/>
        </w:rPr>
        <w:t> </w:t>
      </w:r>
      <w:r>
        <w:rPr/>
        <w:t>social</w:t>
      </w:r>
      <w:r>
        <w:rPr>
          <w:spacing w:val="-11"/>
        </w:rPr>
        <w:t> </w:t>
      </w:r>
      <w:r>
        <w:rPr/>
        <w:t>o</w:t>
      </w:r>
      <w:r>
        <w:rPr>
          <w:spacing w:val="-10"/>
        </w:rPr>
        <w:t> </w:t>
      </w:r>
      <w:r>
        <w:rPr/>
        <w:t>popular,</w:t>
      </w:r>
      <w:r>
        <w:rPr>
          <w:spacing w:val="-12"/>
        </w:rPr>
        <w:t> </w:t>
      </w:r>
      <w:r>
        <w:rPr/>
        <w:t>construidos</w:t>
      </w:r>
      <w:r>
        <w:rPr>
          <w:spacing w:val="-11"/>
        </w:rPr>
        <w:t> </w:t>
      </w:r>
      <w:r>
        <w:rPr/>
        <w:t>con programas</w:t>
      </w:r>
      <w:r>
        <w:rPr>
          <w:spacing w:val="-2"/>
        </w:rPr>
        <w:t> </w:t>
      </w:r>
      <w:r>
        <w:rPr/>
        <w:t>estatales,</w:t>
      </w:r>
      <w:r>
        <w:rPr>
          <w:spacing w:val="-2"/>
        </w:rPr>
        <w:t> </w:t>
      </w:r>
      <w:r>
        <w:rPr/>
        <w:t>municipales</w:t>
      </w:r>
      <w:r>
        <w:rPr>
          <w:spacing w:val="-2"/>
        </w:rPr>
        <w:t> </w:t>
      </w:r>
      <w:r>
        <w:rPr/>
        <w:t>o</w:t>
      </w:r>
      <w:r>
        <w:rPr>
          <w:spacing w:val="-2"/>
        </w:rPr>
        <w:t> </w:t>
      </w:r>
      <w:r>
        <w:rPr/>
        <w:t>federales</w:t>
      </w:r>
      <w:r>
        <w:rPr>
          <w:rFonts w:ascii="Arial" w:hAnsi="Arial"/>
          <w:b/>
        </w:rPr>
        <w:t>,</w:t>
      </w:r>
      <w:r>
        <w:rPr>
          <w:rFonts w:ascii="Arial" w:hAnsi="Arial"/>
          <w:b/>
          <w:spacing w:val="-2"/>
        </w:rPr>
        <w:t> </w:t>
      </w:r>
      <w:r>
        <w:rPr/>
        <w:t>nadie</w:t>
      </w:r>
      <w:r>
        <w:rPr>
          <w:spacing w:val="-2"/>
        </w:rPr>
        <w:t> </w:t>
      </w:r>
      <w:r>
        <w:rPr/>
        <w:t>podrá</w:t>
      </w:r>
      <w:r>
        <w:rPr>
          <w:spacing w:val="-2"/>
        </w:rPr>
        <w:t> </w:t>
      </w:r>
      <w:r>
        <w:rPr/>
        <w:t>adquirir</w:t>
      </w:r>
      <w:r>
        <w:rPr>
          <w:spacing w:val="-2"/>
        </w:rPr>
        <w:t> </w:t>
      </w:r>
      <w:r>
        <w:rPr/>
        <w:t>por</w:t>
      </w:r>
      <w:r>
        <w:rPr>
          <w:spacing w:val="-2"/>
        </w:rPr>
        <w:t> </w:t>
      </w:r>
      <w:r>
        <w:rPr/>
        <w:t>sí</w:t>
      </w:r>
      <w:r>
        <w:rPr>
          <w:spacing w:val="-2"/>
        </w:rPr>
        <w:t> </w:t>
      </w:r>
      <w:r>
        <w:rPr/>
        <w:t>o</w:t>
      </w:r>
      <w:r>
        <w:rPr>
          <w:spacing w:val="-1"/>
        </w:rPr>
        <w:t> </w:t>
      </w:r>
      <w:r>
        <w:rPr/>
        <w:t>por</w:t>
      </w:r>
      <w:r>
        <w:rPr>
          <w:spacing w:val="-2"/>
        </w:rPr>
        <w:t> </w:t>
      </w:r>
      <w:r>
        <w:rPr/>
        <w:t>interpósita</w:t>
      </w:r>
      <w:r>
        <w:rPr>
          <w:spacing w:val="-2"/>
        </w:rPr>
        <w:t> </w:t>
      </w:r>
      <w:r>
        <w:rPr/>
        <w:t>persona, más</w:t>
      </w:r>
      <w:r>
        <w:rPr>
          <w:spacing w:val="-8"/>
        </w:rPr>
        <w:t> </w:t>
      </w:r>
      <w:r>
        <w:rPr/>
        <w:t>de</w:t>
      </w:r>
      <w:r>
        <w:rPr>
          <w:spacing w:val="-7"/>
        </w:rPr>
        <w:t> </w:t>
      </w:r>
      <w:r>
        <w:rPr/>
        <w:t>un</w:t>
      </w:r>
      <w:r>
        <w:rPr>
          <w:spacing w:val="-7"/>
        </w:rPr>
        <w:t> </w:t>
      </w:r>
      <w:r>
        <w:rPr/>
        <w:t>lote</w:t>
      </w:r>
      <w:r>
        <w:rPr>
          <w:spacing w:val="-9"/>
        </w:rPr>
        <w:t> </w:t>
      </w:r>
      <w:r>
        <w:rPr/>
        <w:t>o</w:t>
      </w:r>
      <w:r>
        <w:rPr>
          <w:spacing w:val="-7"/>
        </w:rPr>
        <w:t> </w:t>
      </w:r>
      <w:r>
        <w:rPr/>
        <w:t>vivienda</w:t>
      </w:r>
      <w:r>
        <w:rPr>
          <w:spacing w:val="-7"/>
        </w:rPr>
        <w:t> </w:t>
      </w:r>
      <w:r>
        <w:rPr/>
        <w:t>en</w:t>
      </w:r>
      <w:r>
        <w:rPr>
          <w:spacing w:val="-9"/>
        </w:rPr>
        <w:t> </w:t>
      </w:r>
      <w:r>
        <w:rPr/>
        <w:t>los</w:t>
      </w:r>
      <w:r>
        <w:rPr>
          <w:spacing w:val="-6"/>
        </w:rPr>
        <w:t> </w:t>
      </w:r>
      <w:r>
        <w:rPr/>
        <w:t>mismos,</w:t>
      </w:r>
      <w:r>
        <w:rPr>
          <w:spacing w:val="-9"/>
        </w:rPr>
        <w:t> </w:t>
      </w:r>
      <w:r>
        <w:rPr/>
        <w:t>con</w:t>
      </w:r>
      <w:r>
        <w:rPr>
          <w:spacing w:val="-7"/>
        </w:rPr>
        <w:t> </w:t>
      </w:r>
      <w:r>
        <w:rPr/>
        <w:t>excepción</w:t>
      </w:r>
      <w:r>
        <w:rPr>
          <w:spacing w:val="-9"/>
        </w:rPr>
        <w:t> </w:t>
      </w:r>
      <w:r>
        <w:rPr/>
        <w:t>de</w:t>
      </w:r>
      <w:r>
        <w:rPr>
          <w:spacing w:val="-7"/>
        </w:rPr>
        <w:t> </w:t>
      </w:r>
      <w:r>
        <w:rPr/>
        <w:t>los</w:t>
      </w:r>
      <w:r>
        <w:rPr>
          <w:spacing w:val="-6"/>
        </w:rPr>
        <w:t> </w:t>
      </w:r>
      <w:r>
        <w:rPr/>
        <w:t>desarrolladores</w:t>
      </w:r>
      <w:r>
        <w:rPr>
          <w:spacing w:val="-7"/>
        </w:rPr>
        <w:t> </w:t>
      </w:r>
      <w:r>
        <w:rPr/>
        <w:t>de</w:t>
      </w:r>
      <w:r>
        <w:rPr>
          <w:spacing w:val="-7"/>
        </w:rPr>
        <w:t> </w:t>
      </w:r>
      <w:r>
        <w:rPr/>
        <w:t>vivienda,</w:t>
      </w:r>
      <w:r>
        <w:rPr>
          <w:spacing w:val="-9"/>
        </w:rPr>
        <w:t> </w:t>
      </w:r>
      <w:r>
        <w:rPr/>
        <w:t>quienes podrán adquirir más de un lote, siempre y cuando la venta al usuario final sea realizada en forma directa</w:t>
      </w:r>
      <w:r>
        <w:rPr>
          <w:spacing w:val="-5"/>
        </w:rPr>
        <w:t> </w:t>
      </w:r>
      <w:r>
        <w:rPr/>
        <w:t>por</w:t>
      </w:r>
      <w:r>
        <w:rPr>
          <w:spacing w:val="-4"/>
        </w:rPr>
        <w:t> </w:t>
      </w:r>
      <w:r>
        <w:rPr/>
        <w:t>dicho</w:t>
      </w:r>
      <w:r>
        <w:rPr>
          <w:spacing w:val="-4"/>
        </w:rPr>
        <w:t> </w:t>
      </w:r>
      <w:r>
        <w:rPr/>
        <w:t>desarrollador</w:t>
      </w:r>
      <w:r>
        <w:rPr>
          <w:spacing w:val="-3"/>
        </w:rPr>
        <w:t> </w:t>
      </w:r>
      <w:r>
        <w:rPr/>
        <w:t>y</w:t>
      </w:r>
      <w:r>
        <w:rPr>
          <w:spacing w:val="-3"/>
        </w:rPr>
        <w:t> </w:t>
      </w:r>
      <w:r>
        <w:rPr/>
        <w:t>no</w:t>
      </w:r>
      <w:r>
        <w:rPr>
          <w:spacing w:val="-5"/>
        </w:rPr>
        <w:t> </w:t>
      </w:r>
      <w:r>
        <w:rPr/>
        <w:t>sea</w:t>
      </w:r>
      <w:r>
        <w:rPr>
          <w:spacing w:val="-5"/>
        </w:rPr>
        <w:t> </w:t>
      </w:r>
      <w:r>
        <w:rPr/>
        <w:t>en</w:t>
      </w:r>
      <w:r>
        <w:rPr>
          <w:spacing w:val="-4"/>
        </w:rPr>
        <w:t> </w:t>
      </w:r>
      <w:r>
        <w:rPr/>
        <w:t>fraccionamientos</w:t>
      </w:r>
      <w:r>
        <w:rPr>
          <w:spacing w:val="-3"/>
        </w:rPr>
        <w:t> </w:t>
      </w:r>
      <w:r>
        <w:rPr/>
        <w:t>de</w:t>
      </w:r>
      <w:r>
        <w:rPr>
          <w:spacing w:val="-4"/>
        </w:rPr>
        <w:t> </w:t>
      </w:r>
      <w:r>
        <w:rPr/>
        <w:t>urbanización</w:t>
      </w:r>
      <w:r>
        <w:rPr>
          <w:spacing w:val="-5"/>
        </w:rPr>
        <w:t> </w:t>
      </w:r>
      <w:r>
        <w:rPr/>
        <w:t>progresiva</w:t>
      </w:r>
      <w:r>
        <w:rPr>
          <w:spacing w:val="-4"/>
        </w:rPr>
        <w:t> </w:t>
      </w:r>
      <w:r>
        <w:rPr/>
        <w:t>y</w:t>
      </w:r>
      <w:r>
        <w:rPr>
          <w:spacing w:val="-3"/>
        </w:rPr>
        <w:t> </w:t>
      </w:r>
      <w:r>
        <w:rPr/>
        <w:t>el</w:t>
      </w:r>
      <w:r>
        <w:rPr>
          <w:spacing w:val="-5"/>
        </w:rPr>
        <w:t> </w:t>
      </w:r>
      <w:r>
        <w:rPr/>
        <w:t>fin</w:t>
      </w:r>
      <w:r>
        <w:rPr>
          <w:spacing w:val="-4"/>
        </w:rPr>
        <w:t> </w:t>
      </w:r>
      <w:r>
        <w:rPr/>
        <w:t>sea para construir casas de interés social o popular.</w:t>
      </w:r>
    </w:p>
    <w:p>
      <w:pPr>
        <w:pStyle w:val="BodyText"/>
        <w:spacing w:before="1"/>
      </w:pPr>
    </w:p>
    <w:p>
      <w:pPr>
        <w:pStyle w:val="BodyText"/>
        <w:ind w:left="262" w:right="278"/>
        <w:jc w:val="both"/>
      </w:pPr>
      <w:r>
        <w:rPr>
          <w:rFonts w:ascii="Arial" w:hAnsi="Arial"/>
          <w:b/>
        </w:rPr>
        <w:t>ARTÍCULO</w:t>
      </w:r>
      <w:r>
        <w:rPr>
          <w:rFonts w:ascii="Arial" w:hAnsi="Arial"/>
          <w:b/>
          <w:spacing w:val="-4"/>
        </w:rPr>
        <w:t> </w:t>
      </w:r>
      <w:r>
        <w:rPr>
          <w:rFonts w:ascii="Arial" w:hAnsi="Arial"/>
          <w:b/>
        </w:rPr>
        <w:t>477.</w:t>
      </w:r>
      <w:r>
        <w:rPr>
          <w:rFonts w:ascii="Arial" w:hAnsi="Arial"/>
          <w:b/>
          <w:spacing w:val="-4"/>
        </w:rPr>
        <w:t> </w:t>
      </w:r>
      <w:r>
        <w:rPr/>
        <w:t>A</w:t>
      </w:r>
      <w:r>
        <w:rPr>
          <w:spacing w:val="-3"/>
        </w:rPr>
        <w:t> </w:t>
      </w:r>
      <w:r>
        <w:rPr/>
        <w:t>los</w:t>
      </w:r>
      <w:r>
        <w:rPr>
          <w:spacing w:val="-4"/>
        </w:rPr>
        <w:t> </w:t>
      </w:r>
      <w:r>
        <w:rPr/>
        <w:t>desarrolladores</w:t>
      </w:r>
      <w:r>
        <w:rPr>
          <w:spacing w:val="-3"/>
        </w:rPr>
        <w:t> </w:t>
      </w:r>
      <w:r>
        <w:rPr/>
        <w:t>que</w:t>
      </w:r>
      <w:r>
        <w:rPr>
          <w:spacing w:val="-5"/>
        </w:rPr>
        <w:t> </w:t>
      </w:r>
      <w:r>
        <w:rPr/>
        <w:t>no</w:t>
      </w:r>
      <w:r>
        <w:rPr>
          <w:spacing w:val="-4"/>
        </w:rPr>
        <w:t> </w:t>
      </w:r>
      <w:r>
        <w:rPr/>
        <w:t>concluyan</w:t>
      </w:r>
      <w:r>
        <w:rPr>
          <w:spacing w:val="-5"/>
        </w:rPr>
        <w:t> </w:t>
      </w:r>
      <w:r>
        <w:rPr/>
        <w:t>las</w:t>
      </w:r>
      <w:r>
        <w:rPr>
          <w:spacing w:val="-4"/>
        </w:rPr>
        <w:t> </w:t>
      </w:r>
      <w:r>
        <w:rPr/>
        <w:t>construcciones</w:t>
      </w:r>
      <w:r>
        <w:rPr>
          <w:spacing w:val="-4"/>
        </w:rPr>
        <w:t> </w:t>
      </w:r>
      <w:r>
        <w:rPr/>
        <w:t>respectivas</w:t>
      </w:r>
      <w:r>
        <w:rPr>
          <w:spacing w:val="-4"/>
        </w:rPr>
        <w:t> </w:t>
      </w:r>
      <w:r>
        <w:rPr/>
        <w:t>en</w:t>
      </w:r>
      <w:r>
        <w:rPr>
          <w:spacing w:val="-5"/>
        </w:rPr>
        <w:t> </w:t>
      </w:r>
      <w:r>
        <w:rPr/>
        <w:t>el</w:t>
      </w:r>
      <w:r>
        <w:rPr>
          <w:spacing w:val="-5"/>
        </w:rPr>
        <w:t> </w:t>
      </w:r>
      <w:r>
        <w:rPr/>
        <w:t>plazo que determine el programa correspondiente partir de la firma del contrato; el que se celebrará con reserva</w:t>
      </w:r>
      <w:r>
        <w:rPr>
          <w:spacing w:val="-12"/>
        </w:rPr>
        <w:t> </w:t>
      </w:r>
      <w:r>
        <w:rPr/>
        <w:t>de</w:t>
      </w:r>
      <w:r>
        <w:rPr>
          <w:spacing w:val="-13"/>
        </w:rPr>
        <w:t> </w:t>
      </w:r>
      <w:r>
        <w:rPr/>
        <w:t>dominio</w:t>
      </w:r>
      <w:r>
        <w:rPr>
          <w:spacing w:val="-12"/>
        </w:rPr>
        <w:t> </w:t>
      </w:r>
      <w:r>
        <w:rPr/>
        <w:t>hasta</w:t>
      </w:r>
      <w:r>
        <w:rPr>
          <w:spacing w:val="-13"/>
        </w:rPr>
        <w:t> </w:t>
      </w:r>
      <w:r>
        <w:rPr/>
        <w:t>en</w:t>
      </w:r>
      <w:r>
        <w:rPr>
          <w:spacing w:val="-12"/>
        </w:rPr>
        <w:t> </w:t>
      </w:r>
      <w:r>
        <w:rPr/>
        <w:t>tanto</w:t>
      </w:r>
      <w:r>
        <w:rPr>
          <w:spacing w:val="-12"/>
        </w:rPr>
        <w:t> </w:t>
      </w:r>
      <w:r>
        <w:rPr/>
        <w:t>se</w:t>
      </w:r>
      <w:r>
        <w:rPr>
          <w:spacing w:val="-12"/>
        </w:rPr>
        <w:t> </w:t>
      </w:r>
      <w:r>
        <w:rPr/>
        <w:t>cumpla</w:t>
      </w:r>
      <w:r>
        <w:rPr>
          <w:spacing w:val="-12"/>
        </w:rPr>
        <w:t> </w:t>
      </w:r>
      <w:r>
        <w:rPr/>
        <w:t>la</w:t>
      </w:r>
      <w:r>
        <w:rPr>
          <w:spacing w:val="-12"/>
        </w:rPr>
        <w:t> </w:t>
      </w:r>
      <w:r>
        <w:rPr/>
        <w:t>condición;</w:t>
      </w:r>
      <w:r>
        <w:rPr>
          <w:spacing w:val="-12"/>
        </w:rPr>
        <w:t> </w:t>
      </w:r>
      <w:r>
        <w:rPr/>
        <w:t>se</w:t>
      </w:r>
      <w:r>
        <w:rPr>
          <w:spacing w:val="-12"/>
        </w:rPr>
        <w:t> </w:t>
      </w:r>
      <w:r>
        <w:rPr/>
        <w:t>les</w:t>
      </w:r>
      <w:r>
        <w:rPr>
          <w:spacing w:val="-11"/>
        </w:rPr>
        <w:t> </w:t>
      </w:r>
      <w:r>
        <w:rPr/>
        <w:t>devolverá</w:t>
      </w:r>
      <w:r>
        <w:rPr>
          <w:spacing w:val="-3"/>
        </w:rPr>
        <w:t> </w:t>
      </w:r>
      <w:r>
        <w:rPr/>
        <w:t>la</w:t>
      </w:r>
      <w:r>
        <w:rPr>
          <w:spacing w:val="-12"/>
        </w:rPr>
        <w:t> </w:t>
      </w:r>
      <w:r>
        <w:rPr/>
        <w:t>cantidad</w:t>
      </w:r>
      <w:r>
        <w:rPr>
          <w:spacing w:val="-12"/>
        </w:rPr>
        <w:t> </w:t>
      </w:r>
      <w:r>
        <w:rPr/>
        <w:t>originalmente convenida, sin perjuicio de la penalización que corresponda conforme al contrato respectivo.</w:t>
      </w:r>
    </w:p>
    <w:p>
      <w:pPr>
        <w:pStyle w:val="BodyText"/>
        <w:spacing w:before="230"/>
        <w:ind w:left="262" w:right="278"/>
        <w:jc w:val="both"/>
      </w:pPr>
      <w:r>
        <w:rPr>
          <w:rFonts w:ascii="Arial" w:hAnsi="Arial"/>
          <w:b/>
        </w:rPr>
        <w:t>ARTÍCULO</w:t>
      </w:r>
      <w:r>
        <w:rPr>
          <w:rFonts w:ascii="Arial" w:hAnsi="Arial"/>
          <w:b/>
          <w:spacing w:val="-8"/>
        </w:rPr>
        <w:t> </w:t>
      </w:r>
      <w:r>
        <w:rPr>
          <w:rFonts w:ascii="Arial" w:hAnsi="Arial"/>
          <w:b/>
        </w:rPr>
        <w:t>478.</w:t>
      </w:r>
      <w:r>
        <w:rPr>
          <w:rFonts w:ascii="Arial" w:hAnsi="Arial"/>
          <w:b/>
          <w:spacing w:val="-6"/>
        </w:rPr>
        <w:t> </w:t>
      </w:r>
      <w:r>
        <w:rPr/>
        <w:t>Los</w:t>
      </w:r>
      <w:r>
        <w:rPr>
          <w:spacing w:val="-5"/>
        </w:rPr>
        <w:t> </w:t>
      </w:r>
      <w:r>
        <w:rPr/>
        <w:t>adquirentes</w:t>
      </w:r>
      <w:r>
        <w:rPr>
          <w:spacing w:val="-6"/>
        </w:rPr>
        <w:t> </w:t>
      </w:r>
      <w:r>
        <w:rPr/>
        <w:t>de</w:t>
      </w:r>
      <w:r>
        <w:rPr>
          <w:spacing w:val="-7"/>
        </w:rPr>
        <w:t> </w:t>
      </w:r>
      <w:r>
        <w:rPr/>
        <w:t>lotes</w:t>
      </w:r>
      <w:r>
        <w:rPr>
          <w:spacing w:val="-8"/>
        </w:rPr>
        <w:t> </w:t>
      </w:r>
      <w:r>
        <w:rPr/>
        <w:t>deberán</w:t>
      </w:r>
      <w:r>
        <w:rPr>
          <w:spacing w:val="-9"/>
        </w:rPr>
        <w:t> </w:t>
      </w:r>
      <w:r>
        <w:rPr/>
        <w:t>cerciorarse</w:t>
      </w:r>
      <w:r>
        <w:rPr>
          <w:spacing w:val="-7"/>
        </w:rPr>
        <w:t> </w:t>
      </w:r>
      <w:r>
        <w:rPr/>
        <w:t>de</w:t>
      </w:r>
      <w:r>
        <w:rPr>
          <w:spacing w:val="-7"/>
        </w:rPr>
        <w:t> </w:t>
      </w:r>
      <w:r>
        <w:rPr/>
        <w:t>que</w:t>
      </w:r>
      <w:r>
        <w:rPr>
          <w:spacing w:val="-7"/>
        </w:rPr>
        <w:t> </w:t>
      </w:r>
      <w:r>
        <w:rPr/>
        <w:t>la</w:t>
      </w:r>
      <w:r>
        <w:rPr>
          <w:spacing w:val="-9"/>
        </w:rPr>
        <w:t> </w:t>
      </w:r>
      <w:r>
        <w:rPr/>
        <w:t>compra</w:t>
      </w:r>
      <w:r>
        <w:rPr>
          <w:spacing w:val="-7"/>
        </w:rPr>
        <w:t> </w:t>
      </w:r>
      <w:r>
        <w:rPr/>
        <w:t>del</w:t>
      </w:r>
      <w:r>
        <w:rPr>
          <w:spacing w:val="-8"/>
        </w:rPr>
        <w:t> </w:t>
      </w:r>
      <w:r>
        <w:rPr/>
        <w:t>lote</w:t>
      </w:r>
      <w:r>
        <w:rPr>
          <w:spacing w:val="-7"/>
        </w:rPr>
        <w:t> </w:t>
      </w:r>
      <w:r>
        <w:rPr/>
        <w:t>o</w:t>
      </w:r>
      <w:r>
        <w:rPr>
          <w:spacing w:val="-7"/>
        </w:rPr>
        <w:t> </w:t>
      </w:r>
      <w:r>
        <w:rPr/>
        <w:t>lotes</w:t>
      </w:r>
      <w:r>
        <w:rPr>
          <w:spacing w:val="-5"/>
        </w:rPr>
        <w:t> </w:t>
      </w:r>
      <w:r>
        <w:rPr/>
        <w:t>que les transmitan los fraccionadores, cuenten con las condiciones de urbanización autorizadas por el Ayuntamiento</w:t>
      </w:r>
      <w:r>
        <w:rPr>
          <w:spacing w:val="-14"/>
        </w:rPr>
        <w:t> </w:t>
      </w:r>
      <w:r>
        <w:rPr/>
        <w:t>respectivo</w:t>
      </w:r>
      <w:r>
        <w:rPr>
          <w:spacing w:val="-13"/>
        </w:rPr>
        <w:t> </w:t>
      </w:r>
      <w:r>
        <w:rPr/>
        <w:t>al</w:t>
      </w:r>
      <w:r>
        <w:rPr>
          <w:spacing w:val="-11"/>
        </w:rPr>
        <w:t> </w:t>
      </w:r>
      <w:r>
        <w:rPr/>
        <w:t>fraccionamiento;</w:t>
      </w:r>
      <w:r>
        <w:rPr>
          <w:spacing w:val="-12"/>
        </w:rPr>
        <w:t> </w:t>
      </w:r>
      <w:r>
        <w:rPr/>
        <w:t>así</w:t>
      </w:r>
      <w:r>
        <w:rPr>
          <w:spacing w:val="-12"/>
        </w:rPr>
        <w:t> </w:t>
      </w:r>
      <w:r>
        <w:rPr/>
        <w:t>como,</w:t>
      </w:r>
      <w:r>
        <w:rPr>
          <w:spacing w:val="-12"/>
        </w:rPr>
        <w:t> </w:t>
      </w:r>
      <w:r>
        <w:rPr/>
        <w:t>que</w:t>
      </w:r>
      <w:r>
        <w:rPr>
          <w:spacing w:val="-13"/>
        </w:rPr>
        <w:t> </w:t>
      </w:r>
      <w:r>
        <w:rPr/>
        <w:t>la</w:t>
      </w:r>
      <w:r>
        <w:rPr>
          <w:spacing w:val="-13"/>
        </w:rPr>
        <w:t> </w:t>
      </w:r>
      <w:r>
        <w:rPr/>
        <w:t>compraventa</w:t>
      </w:r>
      <w:r>
        <w:rPr>
          <w:spacing w:val="-14"/>
        </w:rPr>
        <w:t> </w:t>
      </w:r>
      <w:r>
        <w:rPr/>
        <w:t>correspondiente</w:t>
      </w:r>
      <w:r>
        <w:rPr>
          <w:spacing w:val="-14"/>
        </w:rPr>
        <w:t> </w:t>
      </w:r>
      <w:r>
        <w:rPr/>
        <w:t>se</w:t>
      </w:r>
      <w:r>
        <w:rPr>
          <w:spacing w:val="-13"/>
        </w:rPr>
        <w:t> </w:t>
      </w:r>
      <w:r>
        <w:rPr/>
        <w:t>haga con base en el plano oficial</w:t>
      </w:r>
      <w:r>
        <w:rPr>
          <w:spacing w:val="40"/>
        </w:rPr>
        <w:t> </w:t>
      </w:r>
      <w:r>
        <w:rPr/>
        <w:t>y acta de lotificación respectiva inscrita el Registro Público de la Propiedad, los cuales deberán ser mostrados por el fraccionador.</w:t>
      </w:r>
    </w:p>
    <w:p>
      <w:pPr>
        <w:pStyle w:val="BodyText"/>
      </w:pPr>
    </w:p>
    <w:p>
      <w:pPr>
        <w:pStyle w:val="BodyText"/>
      </w:pPr>
    </w:p>
    <w:p>
      <w:pPr>
        <w:pStyle w:val="Heading1"/>
        <w:spacing w:before="1"/>
      </w:pPr>
      <w:r>
        <w:rPr/>
        <w:t>TÍTULO</w:t>
      </w:r>
      <w:r>
        <w:rPr>
          <w:spacing w:val="-10"/>
        </w:rPr>
        <w:t> </w:t>
      </w:r>
      <w:r>
        <w:rPr/>
        <w:t>VIGÉSIMO</w:t>
      </w:r>
      <w:r>
        <w:rPr>
          <w:spacing w:val="-9"/>
        </w:rPr>
        <w:t> </w:t>
      </w:r>
      <w:r>
        <w:rPr>
          <w:spacing w:val="-2"/>
        </w:rPr>
        <w:t>PRIMERO</w:t>
      </w:r>
    </w:p>
    <w:p>
      <w:pPr>
        <w:pStyle w:val="BodyText"/>
        <w:rPr>
          <w:rFonts w:ascii="Arial"/>
          <w:b/>
        </w:rPr>
      </w:pPr>
    </w:p>
    <w:p>
      <w:pPr>
        <w:spacing w:before="0"/>
        <w:ind w:left="0" w:right="22" w:firstLine="0"/>
        <w:jc w:val="center"/>
        <w:rPr>
          <w:rFonts w:ascii="Arial" w:hAnsi="Arial"/>
          <w:b/>
          <w:sz w:val="20"/>
        </w:rPr>
      </w:pPr>
      <w:r>
        <w:rPr>
          <w:rFonts w:ascii="Arial" w:hAnsi="Arial"/>
          <w:b/>
          <w:sz w:val="20"/>
        </w:rPr>
        <w:t>VENTA,</w:t>
      </w:r>
      <w:r>
        <w:rPr>
          <w:rFonts w:ascii="Arial" w:hAnsi="Arial"/>
          <w:b/>
          <w:spacing w:val="-10"/>
          <w:sz w:val="20"/>
        </w:rPr>
        <w:t> </w:t>
      </w:r>
      <w:r>
        <w:rPr>
          <w:rFonts w:ascii="Arial" w:hAnsi="Arial"/>
          <w:b/>
          <w:sz w:val="20"/>
        </w:rPr>
        <w:t>ESCRITURACIÓN</w:t>
      </w:r>
      <w:r>
        <w:rPr>
          <w:rFonts w:ascii="Arial" w:hAnsi="Arial"/>
          <w:b/>
          <w:spacing w:val="-7"/>
          <w:sz w:val="20"/>
        </w:rPr>
        <w:t> </w:t>
      </w:r>
      <w:r>
        <w:rPr>
          <w:rFonts w:ascii="Arial" w:hAnsi="Arial"/>
          <w:b/>
          <w:sz w:val="20"/>
        </w:rPr>
        <w:t>PÚBLICA</w:t>
      </w:r>
      <w:r>
        <w:rPr>
          <w:rFonts w:ascii="Arial" w:hAnsi="Arial"/>
          <w:b/>
          <w:spacing w:val="-9"/>
          <w:sz w:val="20"/>
        </w:rPr>
        <w:t> </w:t>
      </w:r>
      <w:r>
        <w:rPr>
          <w:rFonts w:ascii="Arial" w:hAnsi="Arial"/>
          <w:b/>
          <w:sz w:val="20"/>
        </w:rPr>
        <w:t>Y</w:t>
      </w:r>
      <w:r>
        <w:rPr>
          <w:rFonts w:ascii="Arial" w:hAnsi="Arial"/>
          <w:b/>
          <w:spacing w:val="-8"/>
          <w:sz w:val="20"/>
        </w:rPr>
        <w:t> </w:t>
      </w:r>
      <w:r>
        <w:rPr>
          <w:rFonts w:ascii="Arial" w:hAnsi="Arial"/>
          <w:b/>
          <w:spacing w:val="-2"/>
          <w:sz w:val="20"/>
        </w:rPr>
        <w:t>REGISTRO</w:t>
      </w:r>
    </w:p>
    <w:p>
      <w:pPr>
        <w:pStyle w:val="BodyText"/>
        <w:spacing w:before="229"/>
        <w:rPr>
          <w:rFonts w:ascii="Arial"/>
          <w:b/>
        </w:rPr>
      </w:pPr>
    </w:p>
    <w:p>
      <w:pPr>
        <w:pStyle w:val="Heading2"/>
        <w:spacing w:line="480" w:lineRule="auto"/>
        <w:ind w:left="3975" w:right="3993"/>
      </w:pPr>
      <w:r>
        <w:rPr/>
        <w:t>Capítulo</w:t>
      </w:r>
      <w:r>
        <w:rPr>
          <w:spacing w:val="-14"/>
        </w:rPr>
        <w:t> </w:t>
      </w:r>
      <w:r>
        <w:rPr/>
        <w:t>I </w:t>
      </w:r>
      <w:r>
        <w:rPr>
          <w:spacing w:val="-2"/>
        </w:rPr>
        <w:t>Venta</w:t>
      </w:r>
    </w:p>
    <w:p>
      <w:pPr>
        <w:pStyle w:val="BodyText"/>
        <w:spacing w:before="2"/>
        <w:ind w:left="262"/>
      </w:pPr>
      <w:r>
        <w:rPr>
          <w:rFonts w:ascii="Arial" w:hAnsi="Arial"/>
          <w:b/>
        </w:rPr>
        <w:t>ARTÍCULO</w:t>
      </w:r>
      <w:r>
        <w:rPr>
          <w:rFonts w:ascii="Arial" w:hAnsi="Arial"/>
          <w:b/>
          <w:spacing w:val="-4"/>
        </w:rPr>
        <w:t> </w:t>
      </w:r>
      <w:r>
        <w:rPr>
          <w:rFonts w:ascii="Arial" w:hAnsi="Arial"/>
          <w:b/>
        </w:rPr>
        <w:t>479.</w:t>
      </w:r>
      <w:r>
        <w:rPr>
          <w:rFonts w:ascii="Arial" w:hAnsi="Arial"/>
          <w:b/>
          <w:spacing w:val="-3"/>
        </w:rPr>
        <w:t> </w:t>
      </w:r>
      <w:r>
        <w:rPr/>
        <w:t>Para</w:t>
      </w:r>
      <w:r>
        <w:rPr>
          <w:spacing w:val="-3"/>
        </w:rPr>
        <w:t> </w:t>
      </w:r>
      <w:r>
        <w:rPr/>
        <w:t>poder</w:t>
      </w:r>
      <w:r>
        <w:rPr>
          <w:spacing w:val="-5"/>
        </w:rPr>
        <w:t> </w:t>
      </w:r>
      <w:r>
        <w:rPr/>
        <w:t>perfeccionar</w:t>
      </w:r>
      <w:r>
        <w:rPr>
          <w:spacing w:val="-2"/>
        </w:rPr>
        <w:t> </w:t>
      </w:r>
      <w:r>
        <w:rPr/>
        <w:t>la</w:t>
      </w:r>
      <w:r>
        <w:rPr>
          <w:spacing w:val="-5"/>
        </w:rPr>
        <w:t> </w:t>
      </w:r>
      <w:r>
        <w:rPr/>
        <w:t>venta</w:t>
      </w:r>
      <w:r>
        <w:rPr>
          <w:spacing w:val="-6"/>
        </w:rPr>
        <w:t> </w:t>
      </w:r>
      <w:r>
        <w:rPr/>
        <w:t>al</w:t>
      </w:r>
      <w:r>
        <w:rPr>
          <w:spacing w:val="-4"/>
        </w:rPr>
        <w:t> </w:t>
      </w:r>
      <w:r>
        <w:rPr/>
        <w:t>público</w:t>
      </w:r>
      <w:r>
        <w:rPr>
          <w:spacing w:val="-3"/>
        </w:rPr>
        <w:t> </w:t>
      </w:r>
      <w:r>
        <w:rPr/>
        <w:t>de</w:t>
      </w:r>
      <w:r>
        <w:rPr>
          <w:spacing w:val="-4"/>
        </w:rPr>
        <w:t> </w:t>
      </w:r>
      <w:r>
        <w:rPr/>
        <w:t>los</w:t>
      </w:r>
      <w:r>
        <w:rPr>
          <w:spacing w:val="-4"/>
        </w:rPr>
        <w:t> </w:t>
      </w:r>
      <w:r>
        <w:rPr/>
        <w:t>lotes</w:t>
      </w:r>
      <w:r>
        <w:rPr>
          <w:spacing w:val="-4"/>
        </w:rPr>
        <w:t> </w:t>
      </w:r>
      <w:r>
        <w:rPr/>
        <w:t>o</w:t>
      </w:r>
      <w:r>
        <w:rPr>
          <w:spacing w:val="-3"/>
        </w:rPr>
        <w:t> </w:t>
      </w:r>
      <w:r>
        <w:rPr/>
        <w:t>áreas</w:t>
      </w:r>
      <w:r>
        <w:rPr>
          <w:spacing w:val="-1"/>
        </w:rPr>
        <w:t> </w:t>
      </w:r>
      <w:r>
        <w:rPr/>
        <w:t>privativas</w:t>
      </w:r>
      <w:r>
        <w:rPr>
          <w:spacing w:val="-2"/>
        </w:rPr>
        <w:t> </w:t>
      </w:r>
      <w:r>
        <w:rPr/>
        <w:t>de</w:t>
      </w:r>
      <w:r>
        <w:rPr>
          <w:spacing w:val="-4"/>
        </w:rPr>
        <w:t> </w:t>
      </w:r>
      <w:r>
        <w:rPr/>
        <w:t>un fraccionamiento, el fraccionador deberá:</w:t>
      </w:r>
    </w:p>
    <w:p>
      <w:pPr>
        <w:pStyle w:val="ListParagraph"/>
        <w:numPr>
          <w:ilvl w:val="0"/>
          <w:numId w:val="142"/>
        </w:numPr>
        <w:tabs>
          <w:tab w:pos="689" w:val="left" w:leader="none"/>
        </w:tabs>
        <w:spacing w:line="240" w:lineRule="auto" w:before="229" w:after="0"/>
        <w:ind w:left="689" w:right="0" w:hanging="427"/>
        <w:jc w:val="left"/>
        <w:rPr>
          <w:sz w:val="20"/>
        </w:rPr>
      </w:pPr>
      <w:r>
        <w:rPr>
          <w:sz w:val="20"/>
        </w:rPr>
        <w:t>Concluir</w:t>
      </w:r>
      <w:r>
        <w:rPr>
          <w:spacing w:val="-7"/>
          <w:sz w:val="20"/>
        </w:rPr>
        <w:t> </w:t>
      </w:r>
      <w:r>
        <w:rPr>
          <w:sz w:val="20"/>
        </w:rPr>
        <w:t>las</w:t>
      </w:r>
      <w:r>
        <w:rPr>
          <w:spacing w:val="-7"/>
          <w:sz w:val="20"/>
        </w:rPr>
        <w:t> </w:t>
      </w:r>
      <w:r>
        <w:rPr>
          <w:sz w:val="20"/>
        </w:rPr>
        <w:t>obras</w:t>
      </w:r>
      <w:r>
        <w:rPr>
          <w:spacing w:val="-6"/>
          <w:sz w:val="20"/>
        </w:rPr>
        <w:t> </w:t>
      </w:r>
      <w:r>
        <w:rPr>
          <w:sz w:val="20"/>
        </w:rPr>
        <w:t>de</w:t>
      </w:r>
      <w:r>
        <w:rPr>
          <w:spacing w:val="-8"/>
          <w:sz w:val="20"/>
        </w:rPr>
        <w:t> </w:t>
      </w:r>
      <w:r>
        <w:rPr>
          <w:sz w:val="20"/>
        </w:rPr>
        <w:t>urbanización</w:t>
      </w:r>
      <w:r>
        <w:rPr>
          <w:spacing w:val="-7"/>
          <w:sz w:val="20"/>
        </w:rPr>
        <w:t> </w:t>
      </w:r>
      <w:r>
        <w:rPr>
          <w:sz w:val="20"/>
        </w:rPr>
        <w:t>autorizadas</w:t>
      </w:r>
      <w:r>
        <w:rPr>
          <w:spacing w:val="-7"/>
          <w:sz w:val="20"/>
        </w:rPr>
        <w:t> </w:t>
      </w:r>
      <w:r>
        <w:rPr>
          <w:sz w:val="20"/>
        </w:rPr>
        <w:t>por</w:t>
      </w:r>
      <w:r>
        <w:rPr>
          <w:spacing w:val="-5"/>
          <w:sz w:val="20"/>
        </w:rPr>
        <w:t> </w:t>
      </w:r>
      <w:r>
        <w:rPr>
          <w:sz w:val="20"/>
        </w:rPr>
        <w:t>el</w:t>
      </w:r>
      <w:r>
        <w:rPr>
          <w:spacing w:val="-7"/>
          <w:sz w:val="20"/>
        </w:rPr>
        <w:t> </w:t>
      </w:r>
      <w:r>
        <w:rPr>
          <w:spacing w:val="-2"/>
          <w:sz w:val="20"/>
        </w:rPr>
        <w:t>Ayuntamiento;</w:t>
      </w:r>
    </w:p>
    <w:p>
      <w:pPr>
        <w:pStyle w:val="BodyText"/>
        <w:spacing w:before="1"/>
      </w:pPr>
    </w:p>
    <w:p>
      <w:pPr>
        <w:pStyle w:val="ListParagraph"/>
        <w:numPr>
          <w:ilvl w:val="0"/>
          <w:numId w:val="142"/>
        </w:numPr>
        <w:tabs>
          <w:tab w:pos="689" w:val="left" w:leader="none"/>
        </w:tabs>
        <w:spacing w:line="240" w:lineRule="auto" w:before="0" w:after="0"/>
        <w:ind w:left="689" w:right="0" w:hanging="427"/>
        <w:jc w:val="left"/>
        <w:rPr>
          <w:sz w:val="20"/>
        </w:rPr>
      </w:pPr>
      <w:r>
        <w:rPr>
          <w:sz w:val="20"/>
        </w:rPr>
        <w:t>Contar</w:t>
      </w:r>
      <w:r>
        <w:rPr>
          <w:spacing w:val="-7"/>
          <w:sz w:val="20"/>
        </w:rPr>
        <w:t> </w:t>
      </w:r>
      <w:r>
        <w:rPr>
          <w:sz w:val="20"/>
        </w:rPr>
        <w:t>con</w:t>
      </w:r>
      <w:r>
        <w:rPr>
          <w:spacing w:val="-7"/>
          <w:sz w:val="20"/>
        </w:rPr>
        <w:t> </w:t>
      </w:r>
      <w:r>
        <w:rPr>
          <w:sz w:val="20"/>
        </w:rPr>
        <w:t>la</w:t>
      </w:r>
      <w:r>
        <w:rPr>
          <w:spacing w:val="-7"/>
          <w:sz w:val="20"/>
        </w:rPr>
        <w:t> </w:t>
      </w:r>
      <w:r>
        <w:rPr>
          <w:sz w:val="20"/>
        </w:rPr>
        <w:t>constancia</w:t>
      </w:r>
      <w:r>
        <w:rPr>
          <w:spacing w:val="-5"/>
          <w:sz w:val="20"/>
        </w:rPr>
        <w:t> </w:t>
      </w:r>
      <w:r>
        <w:rPr>
          <w:sz w:val="20"/>
        </w:rPr>
        <w:t>de</w:t>
      </w:r>
      <w:r>
        <w:rPr>
          <w:spacing w:val="-7"/>
          <w:sz w:val="20"/>
        </w:rPr>
        <w:t> </w:t>
      </w:r>
      <w:r>
        <w:rPr>
          <w:sz w:val="20"/>
        </w:rPr>
        <w:t>terminación</w:t>
      </w:r>
      <w:r>
        <w:rPr>
          <w:spacing w:val="-6"/>
          <w:sz w:val="20"/>
        </w:rPr>
        <w:t> </w:t>
      </w:r>
      <w:r>
        <w:rPr>
          <w:sz w:val="20"/>
        </w:rPr>
        <w:t>de</w:t>
      </w:r>
      <w:r>
        <w:rPr>
          <w:spacing w:val="-5"/>
          <w:sz w:val="20"/>
        </w:rPr>
        <w:t> </w:t>
      </w:r>
      <w:r>
        <w:rPr>
          <w:sz w:val="20"/>
        </w:rPr>
        <w:t>obra,</w:t>
      </w:r>
      <w:r>
        <w:rPr>
          <w:spacing w:val="-7"/>
          <w:sz w:val="20"/>
        </w:rPr>
        <w:t> </w:t>
      </w:r>
      <w:r>
        <w:rPr>
          <w:spacing w:val="-10"/>
          <w:sz w:val="20"/>
        </w:rPr>
        <w:t>y</w:t>
      </w:r>
    </w:p>
    <w:p>
      <w:pPr>
        <w:pStyle w:val="ListParagraph"/>
        <w:numPr>
          <w:ilvl w:val="0"/>
          <w:numId w:val="142"/>
        </w:numPr>
        <w:tabs>
          <w:tab w:pos="744" w:val="left" w:leader="none"/>
        </w:tabs>
        <w:spacing w:line="240" w:lineRule="auto" w:before="229" w:after="0"/>
        <w:ind w:left="744" w:right="0" w:hanging="482"/>
        <w:jc w:val="left"/>
        <w:rPr>
          <w:sz w:val="20"/>
        </w:rPr>
      </w:pPr>
      <w:r>
        <w:rPr>
          <w:sz w:val="20"/>
        </w:rPr>
        <w:t>Cubrir</w:t>
      </w:r>
      <w:r>
        <w:rPr>
          <w:spacing w:val="-7"/>
          <w:sz w:val="20"/>
        </w:rPr>
        <w:t> </w:t>
      </w:r>
      <w:r>
        <w:rPr>
          <w:sz w:val="20"/>
        </w:rPr>
        <w:t>las</w:t>
      </w:r>
      <w:r>
        <w:rPr>
          <w:spacing w:val="-8"/>
          <w:sz w:val="20"/>
        </w:rPr>
        <w:t> </w:t>
      </w:r>
      <w:r>
        <w:rPr>
          <w:sz w:val="20"/>
        </w:rPr>
        <w:t>garantías</w:t>
      </w:r>
      <w:r>
        <w:rPr>
          <w:spacing w:val="-8"/>
          <w:sz w:val="20"/>
        </w:rPr>
        <w:t> </w:t>
      </w:r>
      <w:r>
        <w:rPr>
          <w:sz w:val="20"/>
        </w:rPr>
        <w:t>correspondientes</w:t>
      </w:r>
      <w:r>
        <w:rPr>
          <w:spacing w:val="-9"/>
          <w:sz w:val="20"/>
        </w:rPr>
        <w:t> </w:t>
      </w:r>
      <w:r>
        <w:rPr>
          <w:sz w:val="20"/>
        </w:rPr>
        <w:t>de</w:t>
      </w:r>
      <w:r>
        <w:rPr>
          <w:spacing w:val="-9"/>
          <w:sz w:val="20"/>
        </w:rPr>
        <w:t> </w:t>
      </w:r>
      <w:r>
        <w:rPr>
          <w:sz w:val="20"/>
        </w:rPr>
        <w:t>conformidad</w:t>
      </w:r>
      <w:r>
        <w:rPr>
          <w:spacing w:val="-7"/>
          <w:sz w:val="20"/>
        </w:rPr>
        <w:t> </w:t>
      </w:r>
      <w:r>
        <w:rPr>
          <w:sz w:val="20"/>
        </w:rPr>
        <w:t>con</w:t>
      </w:r>
      <w:r>
        <w:rPr>
          <w:spacing w:val="-10"/>
          <w:sz w:val="20"/>
        </w:rPr>
        <w:t> </w:t>
      </w:r>
      <w:r>
        <w:rPr>
          <w:sz w:val="20"/>
        </w:rPr>
        <w:t>la</w:t>
      </w:r>
      <w:r>
        <w:rPr>
          <w:spacing w:val="-9"/>
          <w:sz w:val="20"/>
        </w:rPr>
        <w:t> </w:t>
      </w:r>
      <w:r>
        <w:rPr>
          <w:sz w:val="20"/>
        </w:rPr>
        <w:t>presente</w:t>
      </w:r>
      <w:r>
        <w:rPr>
          <w:spacing w:val="-8"/>
          <w:sz w:val="20"/>
        </w:rPr>
        <w:t> </w:t>
      </w:r>
      <w:r>
        <w:rPr>
          <w:spacing w:val="-4"/>
          <w:sz w:val="20"/>
        </w:rPr>
        <w:t>Ley.</w:t>
      </w:r>
    </w:p>
    <w:p>
      <w:pPr>
        <w:pStyle w:val="BodyText"/>
      </w:pPr>
    </w:p>
    <w:p>
      <w:pPr>
        <w:pStyle w:val="BodyText"/>
        <w:ind w:left="262"/>
      </w:pPr>
      <w:r>
        <w:rPr/>
        <w:t>Tratándose</w:t>
      </w:r>
      <w:r>
        <w:rPr>
          <w:spacing w:val="40"/>
        </w:rPr>
        <w:t> </w:t>
      </w:r>
      <w:r>
        <w:rPr/>
        <w:t>de</w:t>
      </w:r>
      <w:r>
        <w:rPr>
          <w:spacing w:val="40"/>
        </w:rPr>
        <w:t> </w:t>
      </w:r>
      <w:r>
        <w:rPr/>
        <w:t>fraccionamientos</w:t>
      </w:r>
      <w:r>
        <w:rPr>
          <w:spacing w:val="40"/>
        </w:rPr>
        <w:t> </w:t>
      </w:r>
      <w:r>
        <w:rPr/>
        <w:t>habitacionales</w:t>
      </w:r>
      <w:r>
        <w:rPr>
          <w:spacing w:val="40"/>
        </w:rPr>
        <w:t> </w:t>
      </w:r>
      <w:r>
        <w:rPr/>
        <w:t>de</w:t>
      </w:r>
      <w:r>
        <w:rPr>
          <w:spacing w:val="40"/>
        </w:rPr>
        <w:t> </w:t>
      </w:r>
      <w:r>
        <w:rPr/>
        <w:t>interés</w:t>
      </w:r>
      <w:r>
        <w:rPr>
          <w:spacing w:val="40"/>
        </w:rPr>
        <w:t> </w:t>
      </w:r>
      <w:r>
        <w:rPr/>
        <w:t>social</w:t>
      </w:r>
      <w:r>
        <w:rPr>
          <w:spacing w:val="40"/>
        </w:rPr>
        <w:t> </w:t>
      </w:r>
      <w:r>
        <w:rPr/>
        <w:t>podrán</w:t>
      </w:r>
      <w:r>
        <w:rPr>
          <w:spacing w:val="40"/>
        </w:rPr>
        <w:t> </w:t>
      </w:r>
      <w:r>
        <w:rPr/>
        <w:t>enajenarse</w:t>
      </w:r>
      <w:r>
        <w:rPr>
          <w:spacing w:val="40"/>
        </w:rPr>
        <w:t> </w:t>
      </w:r>
      <w:r>
        <w:rPr/>
        <w:t>los</w:t>
      </w:r>
      <w:r>
        <w:rPr>
          <w:spacing w:val="40"/>
        </w:rPr>
        <w:t> </w:t>
      </w:r>
      <w:r>
        <w:rPr/>
        <w:t>lotes siempre</w:t>
      </w:r>
      <w:r>
        <w:rPr>
          <w:spacing w:val="48"/>
        </w:rPr>
        <w:t> </w:t>
      </w:r>
      <w:r>
        <w:rPr/>
        <w:t>que</w:t>
      </w:r>
      <w:r>
        <w:rPr>
          <w:spacing w:val="49"/>
        </w:rPr>
        <w:t> </w:t>
      </w:r>
      <w:r>
        <w:rPr/>
        <w:t>exista</w:t>
      </w:r>
      <w:r>
        <w:rPr>
          <w:spacing w:val="46"/>
        </w:rPr>
        <w:t> </w:t>
      </w:r>
      <w:r>
        <w:rPr/>
        <w:t>la</w:t>
      </w:r>
      <w:r>
        <w:rPr>
          <w:spacing w:val="47"/>
        </w:rPr>
        <w:t> </w:t>
      </w:r>
      <w:r>
        <w:rPr/>
        <w:t>infraestructura</w:t>
      </w:r>
      <w:r>
        <w:rPr>
          <w:spacing w:val="47"/>
        </w:rPr>
        <w:t> </w:t>
      </w:r>
      <w:r>
        <w:rPr/>
        <w:t>mínima</w:t>
      </w:r>
      <w:r>
        <w:rPr>
          <w:spacing w:val="46"/>
        </w:rPr>
        <w:t> </w:t>
      </w:r>
      <w:r>
        <w:rPr/>
        <w:t>de</w:t>
      </w:r>
      <w:r>
        <w:rPr>
          <w:spacing w:val="47"/>
        </w:rPr>
        <w:t> </w:t>
      </w:r>
      <w:r>
        <w:rPr/>
        <w:t>agua</w:t>
      </w:r>
      <w:r>
        <w:rPr>
          <w:spacing w:val="46"/>
        </w:rPr>
        <w:t> </w:t>
      </w:r>
      <w:r>
        <w:rPr/>
        <w:t>potable,</w:t>
      </w:r>
      <w:r>
        <w:rPr>
          <w:spacing w:val="47"/>
        </w:rPr>
        <w:t> </w:t>
      </w:r>
      <w:r>
        <w:rPr/>
        <w:t>alcantarillado,</w:t>
      </w:r>
      <w:r>
        <w:rPr>
          <w:spacing w:val="49"/>
        </w:rPr>
        <w:t> </w:t>
      </w:r>
      <w:r>
        <w:rPr/>
        <w:t>electrificación</w:t>
      </w:r>
      <w:r>
        <w:rPr>
          <w:spacing w:val="46"/>
        </w:rPr>
        <w:t> </w:t>
      </w:r>
      <w:r>
        <w:rPr>
          <w:spacing w:val="-10"/>
        </w:rPr>
        <w:t>y</w:t>
      </w:r>
    </w:p>
    <w:p>
      <w:pPr>
        <w:pStyle w:val="BodyText"/>
        <w:spacing w:after="0"/>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alumbrado público, guarniciones y banquetas para delimitar los niveles de las viviendas y futuros </w:t>
      </w:r>
      <w:r>
        <w:rPr>
          <w:spacing w:val="-2"/>
        </w:rPr>
        <w:t>pavimentos.</w:t>
      </w:r>
    </w:p>
    <w:p>
      <w:pPr>
        <w:pStyle w:val="BodyText"/>
        <w:spacing w:before="1"/>
      </w:pPr>
    </w:p>
    <w:p>
      <w:pPr>
        <w:pStyle w:val="BodyText"/>
        <w:ind w:left="262" w:right="280"/>
        <w:jc w:val="both"/>
      </w:pPr>
      <w:r>
        <w:rPr/>
        <w:t>En el caso de que los fraccionamientos no se encuentren municipalizados en los términos establecidos en esta Ley al momento de perfeccionar la venta respectiva, deberá existir convenio con el Ayuntamiento respectivo, en el que se especificará si éste o el fraccionador otorgarán los servicios públicos en caso de que estuviere habitado.</w:t>
      </w:r>
    </w:p>
    <w:p>
      <w:pPr>
        <w:pStyle w:val="BodyText"/>
      </w:pPr>
    </w:p>
    <w:p>
      <w:pPr>
        <w:pStyle w:val="BodyText"/>
      </w:pPr>
    </w:p>
    <w:p>
      <w:pPr>
        <w:pStyle w:val="Heading2"/>
        <w:spacing w:line="480" w:lineRule="auto"/>
        <w:ind w:left="3133" w:right="3131" w:firstLine="1056"/>
        <w:jc w:val="left"/>
      </w:pPr>
      <w:r>
        <w:rPr/>
        <w:t>Capítulo II Escrituración</w:t>
      </w:r>
      <w:r>
        <w:rPr>
          <w:spacing w:val="-14"/>
        </w:rPr>
        <w:t> </w:t>
      </w:r>
      <w:r>
        <w:rPr/>
        <w:t>Pública</w:t>
      </w:r>
      <w:r>
        <w:rPr>
          <w:spacing w:val="-14"/>
        </w:rPr>
        <w:t> </w:t>
      </w:r>
      <w:r>
        <w:rPr/>
        <w:t>y</w:t>
      </w:r>
      <w:r>
        <w:rPr>
          <w:spacing w:val="-14"/>
        </w:rPr>
        <w:t> </w:t>
      </w:r>
      <w:r>
        <w:rPr/>
        <w:t>Registro</w:t>
      </w:r>
    </w:p>
    <w:p>
      <w:pPr>
        <w:pStyle w:val="BodyText"/>
        <w:ind w:left="262" w:right="286"/>
        <w:jc w:val="both"/>
      </w:pPr>
      <w:r>
        <w:rPr>
          <w:rFonts w:ascii="Arial" w:hAnsi="Arial"/>
          <w:b/>
        </w:rPr>
        <w:t>ARTÍCULO 480. </w:t>
      </w:r>
      <w:r>
        <w:rPr/>
        <w:t>Para escriturar un</w:t>
      </w:r>
      <w:r>
        <w:rPr>
          <w:spacing w:val="-1"/>
        </w:rPr>
        <w:t> </w:t>
      </w:r>
      <w:r>
        <w:rPr/>
        <w:t>fraccionamiento, los Notarios Públicos tendrán</w:t>
      </w:r>
      <w:r>
        <w:rPr>
          <w:spacing w:val="-1"/>
        </w:rPr>
        <w:t> </w:t>
      </w:r>
      <w:r>
        <w:rPr/>
        <w:t>la obligación de contar</w:t>
      </w:r>
      <w:r>
        <w:rPr>
          <w:spacing w:val="-8"/>
        </w:rPr>
        <w:t> </w:t>
      </w:r>
      <w:r>
        <w:rPr/>
        <w:t>con</w:t>
      </w:r>
      <w:r>
        <w:rPr>
          <w:spacing w:val="-7"/>
        </w:rPr>
        <w:t> </w:t>
      </w:r>
      <w:r>
        <w:rPr/>
        <w:t>la</w:t>
      </w:r>
      <w:r>
        <w:rPr>
          <w:spacing w:val="-7"/>
        </w:rPr>
        <w:t> </w:t>
      </w:r>
      <w:r>
        <w:rPr/>
        <w:t>autorización</w:t>
      </w:r>
      <w:r>
        <w:rPr>
          <w:spacing w:val="-7"/>
        </w:rPr>
        <w:t> </w:t>
      </w:r>
      <w:r>
        <w:rPr/>
        <w:t>expedida</w:t>
      </w:r>
      <w:r>
        <w:rPr>
          <w:spacing w:val="-7"/>
        </w:rPr>
        <w:t> </w:t>
      </w:r>
      <w:r>
        <w:rPr/>
        <w:t>por</w:t>
      </w:r>
      <w:r>
        <w:rPr>
          <w:spacing w:val="-6"/>
        </w:rPr>
        <w:t> </w:t>
      </w:r>
      <w:r>
        <w:rPr/>
        <w:t>el</w:t>
      </w:r>
      <w:r>
        <w:rPr>
          <w:spacing w:val="-8"/>
        </w:rPr>
        <w:t> </w:t>
      </w:r>
      <w:r>
        <w:rPr/>
        <w:t>Municipio</w:t>
      </w:r>
      <w:r>
        <w:rPr>
          <w:spacing w:val="-7"/>
        </w:rPr>
        <w:t> </w:t>
      </w:r>
      <w:r>
        <w:rPr/>
        <w:t>para</w:t>
      </w:r>
      <w:r>
        <w:rPr>
          <w:spacing w:val="-9"/>
        </w:rPr>
        <w:t> </w:t>
      </w:r>
      <w:r>
        <w:rPr/>
        <w:t>tal</w:t>
      </w:r>
      <w:r>
        <w:rPr>
          <w:spacing w:val="-10"/>
        </w:rPr>
        <w:t> </w:t>
      </w:r>
      <w:r>
        <w:rPr/>
        <w:t>efecto,</w:t>
      </w:r>
      <w:r>
        <w:rPr>
          <w:spacing w:val="-7"/>
        </w:rPr>
        <w:t> </w:t>
      </w:r>
      <w:r>
        <w:rPr/>
        <w:t>misma</w:t>
      </w:r>
      <w:r>
        <w:rPr>
          <w:spacing w:val="-7"/>
        </w:rPr>
        <w:t> </w:t>
      </w:r>
      <w:r>
        <w:rPr/>
        <w:t>que</w:t>
      </w:r>
      <w:r>
        <w:rPr>
          <w:spacing w:val="-9"/>
        </w:rPr>
        <w:t> </w:t>
      </w:r>
      <w:r>
        <w:rPr/>
        <w:t>será</w:t>
      </w:r>
      <w:r>
        <w:rPr>
          <w:spacing w:val="-9"/>
        </w:rPr>
        <w:t> </w:t>
      </w:r>
      <w:r>
        <w:rPr/>
        <w:t>expedida</w:t>
      </w:r>
      <w:r>
        <w:rPr>
          <w:spacing w:val="-7"/>
        </w:rPr>
        <w:t> </w:t>
      </w:r>
      <w:r>
        <w:rPr/>
        <w:t>por</w:t>
      </w:r>
      <w:r>
        <w:rPr>
          <w:spacing w:val="-6"/>
        </w:rPr>
        <w:t> </w:t>
      </w:r>
      <w:r>
        <w:rPr/>
        <w:t>la dirección municipal correspondiente, debiendo contar en la misma:</w:t>
      </w:r>
    </w:p>
    <w:p>
      <w:pPr>
        <w:pStyle w:val="ListParagraph"/>
        <w:numPr>
          <w:ilvl w:val="0"/>
          <w:numId w:val="143"/>
        </w:numPr>
        <w:tabs>
          <w:tab w:pos="543" w:val="left" w:leader="none"/>
        </w:tabs>
        <w:spacing w:line="240" w:lineRule="auto" w:before="229" w:after="0"/>
        <w:ind w:left="543" w:right="0" w:hanging="281"/>
        <w:jc w:val="both"/>
        <w:rPr>
          <w:sz w:val="20"/>
        </w:rPr>
      </w:pPr>
      <w:r>
        <w:rPr>
          <w:sz w:val="20"/>
        </w:rPr>
        <w:t>Los</w:t>
      </w:r>
      <w:r>
        <w:rPr>
          <w:spacing w:val="-5"/>
          <w:sz w:val="20"/>
        </w:rPr>
        <w:t> </w:t>
      </w:r>
      <w:r>
        <w:rPr>
          <w:sz w:val="20"/>
        </w:rPr>
        <w:t>usos</w:t>
      </w:r>
      <w:r>
        <w:rPr>
          <w:spacing w:val="-5"/>
          <w:sz w:val="20"/>
        </w:rPr>
        <w:t> </w:t>
      </w:r>
      <w:r>
        <w:rPr>
          <w:sz w:val="20"/>
        </w:rPr>
        <w:t>y</w:t>
      </w:r>
      <w:r>
        <w:rPr>
          <w:spacing w:val="-4"/>
          <w:sz w:val="20"/>
        </w:rPr>
        <w:t> </w:t>
      </w:r>
      <w:r>
        <w:rPr>
          <w:sz w:val="20"/>
        </w:rPr>
        <w:t>destinos</w:t>
      </w:r>
      <w:r>
        <w:rPr>
          <w:spacing w:val="-5"/>
          <w:sz w:val="20"/>
        </w:rPr>
        <w:t> </w:t>
      </w:r>
      <w:r>
        <w:rPr>
          <w:sz w:val="20"/>
        </w:rPr>
        <w:t>del</w:t>
      </w:r>
      <w:r>
        <w:rPr>
          <w:spacing w:val="-4"/>
          <w:sz w:val="20"/>
        </w:rPr>
        <w:t> </w:t>
      </w:r>
      <w:r>
        <w:rPr>
          <w:sz w:val="20"/>
        </w:rPr>
        <w:t>bien</w:t>
      </w:r>
      <w:r>
        <w:rPr>
          <w:spacing w:val="-6"/>
          <w:sz w:val="20"/>
        </w:rPr>
        <w:t> </w:t>
      </w:r>
      <w:r>
        <w:rPr>
          <w:sz w:val="20"/>
        </w:rPr>
        <w:t>o</w:t>
      </w:r>
      <w:r>
        <w:rPr>
          <w:spacing w:val="-6"/>
          <w:sz w:val="20"/>
        </w:rPr>
        <w:t> </w:t>
      </w:r>
      <w:r>
        <w:rPr>
          <w:sz w:val="20"/>
        </w:rPr>
        <w:t>bienes</w:t>
      </w:r>
      <w:r>
        <w:rPr>
          <w:spacing w:val="-5"/>
          <w:sz w:val="20"/>
        </w:rPr>
        <w:t> </w:t>
      </w:r>
      <w:r>
        <w:rPr>
          <w:spacing w:val="-2"/>
          <w:sz w:val="20"/>
        </w:rPr>
        <w:t>inmuebles;</w:t>
      </w:r>
    </w:p>
    <w:p>
      <w:pPr>
        <w:pStyle w:val="BodyText"/>
        <w:spacing w:before="1"/>
      </w:pPr>
    </w:p>
    <w:p>
      <w:pPr>
        <w:pStyle w:val="ListParagraph"/>
        <w:numPr>
          <w:ilvl w:val="0"/>
          <w:numId w:val="143"/>
        </w:numPr>
        <w:tabs>
          <w:tab w:pos="543" w:val="left" w:leader="none"/>
        </w:tabs>
        <w:spacing w:line="240" w:lineRule="auto" w:before="0" w:after="0"/>
        <w:ind w:left="262" w:right="289" w:firstLine="0"/>
        <w:jc w:val="both"/>
        <w:rPr>
          <w:sz w:val="20"/>
        </w:rPr>
      </w:pPr>
      <w:r>
        <w:rPr>
          <w:sz w:val="20"/>
        </w:rPr>
        <w:t>Los datos de identificación de la autorización del fraccionamiento y el pago de derechos </w:t>
      </w:r>
      <w:r>
        <w:rPr>
          <w:spacing w:val="-2"/>
          <w:sz w:val="20"/>
        </w:rPr>
        <w:t>correspondientes;</w:t>
      </w:r>
    </w:p>
    <w:p>
      <w:pPr>
        <w:pStyle w:val="ListParagraph"/>
        <w:numPr>
          <w:ilvl w:val="0"/>
          <w:numId w:val="143"/>
        </w:numPr>
        <w:tabs>
          <w:tab w:pos="597" w:val="left" w:leader="none"/>
        </w:tabs>
        <w:spacing w:line="240" w:lineRule="auto" w:before="229" w:after="0"/>
        <w:ind w:left="262" w:right="278" w:firstLine="0"/>
        <w:jc w:val="both"/>
        <w:rPr>
          <w:sz w:val="20"/>
        </w:rPr>
      </w:pPr>
      <w:r>
        <w:rPr>
          <w:sz w:val="20"/>
        </w:rPr>
        <w:t>Las</w:t>
      </w:r>
      <w:r>
        <w:rPr>
          <w:spacing w:val="-3"/>
          <w:sz w:val="20"/>
        </w:rPr>
        <w:t> </w:t>
      </w:r>
      <w:r>
        <w:rPr>
          <w:sz w:val="20"/>
        </w:rPr>
        <w:t>instrucciones</w:t>
      </w:r>
      <w:r>
        <w:rPr>
          <w:spacing w:val="-3"/>
          <w:sz w:val="20"/>
        </w:rPr>
        <w:t> </w:t>
      </w:r>
      <w:r>
        <w:rPr>
          <w:sz w:val="20"/>
        </w:rPr>
        <w:t>para</w:t>
      </w:r>
      <w:r>
        <w:rPr>
          <w:spacing w:val="-4"/>
          <w:sz w:val="20"/>
        </w:rPr>
        <w:t> </w:t>
      </w:r>
      <w:r>
        <w:rPr>
          <w:sz w:val="20"/>
        </w:rPr>
        <w:t>el</w:t>
      </w:r>
      <w:r>
        <w:rPr>
          <w:spacing w:val="-5"/>
          <w:sz w:val="20"/>
        </w:rPr>
        <w:t> </w:t>
      </w:r>
      <w:r>
        <w:rPr>
          <w:sz w:val="20"/>
        </w:rPr>
        <w:t>perfeccionamiento</w:t>
      </w:r>
      <w:r>
        <w:rPr>
          <w:spacing w:val="-4"/>
          <w:sz w:val="20"/>
        </w:rPr>
        <w:t> </w:t>
      </w:r>
      <w:r>
        <w:rPr>
          <w:sz w:val="20"/>
        </w:rPr>
        <w:t>de</w:t>
      </w:r>
      <w:r>
        <w:rPr>
          <w:spacing w:val="-4"/>
          <w:sz w:val="20"/>
        </w:rPr>
        <w:t> </w:t>
      </w:r>
      <w:r>
        <w:rPr>
          <w:sz w:val="20"/>
        </w:rPr>
        <w:t>la</w:t>
      </w:r>
      <w:r>
        <w:rPr>
          <w:spacing w:val="-4"/>
          <w:sz w:val="20"/>
        </w:rPr>
        <w:t> </w:t>
      </w:r>
      <w:r>
        <w:rPr>
          <w:sz w:val="20"/>
        </w:rPr>
        <w:t>donación</w:t>
      </w:r>
      <w:r>
        <w:rPr>
          <w:spacing w:val="-5"/>
          <w:sz w:val="20"/>
        </w:rPr>
        <w:t> </w:t>
      </w:r>
      <w:r>
        <w:rPr>
          <w:sz w:val="20"/>
        </w:rPr>
        <w:t>gratuita</w:t>
      </w:r>
      <w:r>
        <w:rPr>
          <w:spacing w:val="-5"/>
          <w:sz w:val="20"/>
        </w:rPr>
        <w:t> </w:t>
      </w:r>
      <w:r>
        <w:rPr>
          <w:sz w:val="20"/>
        </w:rPr>
        <w:t>de</w:t>
      </w:r>
      <w:r>
        <w:rPr>
          <w:spacing w:val="-3"/>
          <w:sz w:val="20"/>
        </w:rPr>
        <w:t> </w:t>
      </w:r>
      <w:r>
        <w:rPr>
          <w:sz w:val="20"/>
        </w:rPr>
        <w:t>las</w:t>
      </w:r>
      <w:r>
        <w:rPr>
          <w:spacing w:val="-3"/>
          <w:sz w:val="20"/>
        </w:rPr>
        <w:t> </w:t>
      </w:r>
      <w:r>
        <w:rPr>
          <w:sz w:val="20"/>
        </w:rPr>
        <w:t>áreas</w:t>
      </w:r>
      <w:r>
        <w:rPr>
          <w:spacing w:val="-3"/>
          <w:sz w:val="20"/>
        </w:rPr>
        <w:t> </w:t>
      </w:r>
      <w:r>
        <w:rPr>
          <w:sz w:val="20"/>
        </w:rPr>
        <w:t>de</w:t>
      </w:r>
      <w:r>
        <w:rPr>
          <w:spacing w:val="-5"/>
          <w:sz w:val="20"/>
        </w:rPr>
        <w:t> </w:t>
      </w:r>
      <w:r>
        <w:rPr>
          <w:sz w:val="20"/>
        </w:rPr>
        <w:t>donación,</w:t>
      </w:r>
      <w:r>
        <w:rPr>
          <w:spacing w:val="-2"/>
          <w:sz w:val="20"/>
        </w:rPr>
        <w:t> </w:t>
      </w:r>
      <w:r>
        <w:rPr>
          <w:sz w:val="20"/>
        </w:rPr>
        <w:t>a costa</w:t>
      </w:r>
      <w:r>
        <w:rPr>
          <w:spacing w:val="-14"/>
          <w:sz w:val="20"/>
        </w:rPr>
        <w:t> </w:t>
      </w:r>
      <w:r>
        <w:rPr>
          <w:sz w:val="20"/>
        </w:rPr>
        <w:t>del</w:t>
      </w:r>
      <w:r>
        <w:rPr>
          <w:spacing w:val="-14"/>
          <w:sz w:val="20"/>
        </w:rPr>
        <w:t> </w:t>
      </w:r>
      <w:r>
        <w:rPr>
          <w:sz w:val="20"/>
        </w:rPr>
        <w:t>fraccionador;</w:t>
      </w:r>
      <w:r>
        <w:rPr>
          <w:spacing w:val="-14"/>
          <w:sz w:val="20"/>
        </w:rPr>
        <w:t> </w:t>
      </w:r>
      <w:r>
        <w:rPr>
          <w:sz w:val="20"/>
        </w:rPr>
        <w:t>así</w:t>
      </w:r>
      <w:r>
        <w:rPr>
          <w:spacing w:val="-14"/>
          <w:sz w:val="20"/>
        </w:rPr>
        <w:t> </w:t>
      </w:r>
      <w:r>
        <w:rPr>
          <w:sz w:val="20"/>
        </w:rPr>
        <w:t>como</w:t>
      </w:r>
      <w:r>
        <w:rPr>
          <w:spacing w:val="-11"/>
          <w:sz w:val="20"/>
        </w:rPr>
        <w:t> </w:t>
      </w:r>
      <w:r>
        <w:rPr>
          <w:sz w:val="20"/>
        </w:rPr>
        <w:t>la</w:t>
      </w:r>
      <w:r>
        <w:rPr>
          <w:spacing w:val="-14"/>
          <w:sz w:val="20"/>
        </w:rPr>
        <w:t> </w:t>
      </w:r>
      <w:r>
        <w:rPr>
          <w:sz w:val="20"/>
        </w:rPr>
        <w:t>señalización</w:t>
      </w:r>
      <w:r>
        <w:rPr>
          <w:spacing w:val="-14"/>
          <w:sz w:val="20"/>
        </w:rPr>
        <w:t> </w:t>
      </w:r>
      <w:r>
        <w:rPr>
          <w:sz w:val="20"/>
        </w:rPr>
        <w:t>de</w:t>
      </w:r>
      <w:r>
        <w:rPr>
          <w:spacing w:val="-12"/>
          <w:sz w:val="20"/>
        </w:rPr>
        <w:t> </w:t>
      </w:r>
      <w:r>
        <w:rPr>
          <w:sz w:val="20"/>
        </w:rPr>
        <w:t>las</w:t>
      </w:r>
      <w:r>
        <w:rPr>
          <w:spacing w:val="-13"/>
          <w:sz w:val="20"/>
        </w:rPr>
        <w:t> </w:t>
      </w:r>
      <w:r>
        <w:rPr>
          <w:sz w:val="20"/>
        </w:rPr>
        <w:t>vías</w:t>
      </w:r>
      <w:r>
        <w:rPr>
          <w:spacing w:val="-13"/>
          <w:sz w:val="20"/>
        </w:rPr>
        <w:t> </w:t>
      </w:r>
      <w:r>
        <w:rPr>
          <w:sz w:val="20"/>
        </w:rPr>
        <w:t>públicas,</w:t>
      </w:r>
      <w:r>
        <w:rPr>
          <w:spacing w:val="-14"/>
          <w:sz w:val="20"/>
        </w:rPr>
        <w:t> </w:t>
      </w:r>
      <w:r>
        <w:rPr>
          <w:sz w:val="20"/>
        </w:rPr>
        <w:t>especificando</w:t>
      </w:r>
      <w:r>
        <w:rPr>
          <w:spacing w:val="-11"/>
          <w:sz w:val="20"/>
        </w:rPr>
        <w:t> </w:t>
      </w:r>
      <w:r>
        <w:rPr>
          <w:sz w:val="20"/>
        </w:rPr>
        <w:t>el</w:t>
      </w:r>
      <w:r>
        <w:rPr>
          <w:spacing w:val="-14"/>
          <w:sz w:val="20"/>
        </w:rPr>
        <w:t> </w:t>
      </w:r>
      <w:r>
        <w:rPr>
          <w:sz w:val="20"/>
        </w:rPr>
        <w:t>uso</w:t>
      </w:r>
      <w:r>
        <w:rPr>
          <w:spacing w:val="-14"/>
          <w:sz w:val="20"/>
        </w:rPr>
        <w:t> </w:t>
      </w:r>
      <w:r>
        <w:rPr>
          <w:sz w:val="20"/>
        </w:rPr>
        <w:t>autorizado en la respectiva licencia para terrenos donados y consignando el carácter de inalienabilidad e imprescriptibilidad de dichos bienes; esto último salvo en los casos de fraccionamientos residenciales en régimen de propiedad en condominio;</w:t>
      </w:r>
    </w:p>
    <w:p>
      <w:pPr>
        <w:pStyle w:val="BodyText"/>
      </w:pPr>
    </w:p>
    <w:p>
      <w:pPr>
        <w:pStyle w:val="ListParagraph"/>
        <w:numPr>
          <w:ilvl w:val="0"/>
          <w:numId w:val="143"/>
        </w:numPr>
        <w:tabs>
          <w:tab w:pos="688" w:val="left" w:leader="none"/>
        </w:tabs>
        <w:spacing w:line="240" w:lineRule="auto" w:before="1" w:after="0"/>
        <w:ind w:left="262" w:right="281" w:firstLine="0"/>
        <w:jc w:val="both"/>
        <w:rPr>
          <w:sz w:val="20"/>
        </w:rPr>
      </w:pPr>
      <w:r>
        <w:rPr>
          <w:sz w:val="20"/>
        </w:rPr>
        <w:t>Las</w:t>
      </w:r>
      <w:r>
        <w:rPr>
          <w:spacing w:val="-14"/>
          <w:sz w:val="20"/>
        </w:rPr>
        <w:t> </w:t>
      </w:r>
      <w:r>
        <w:rPr>
          <w:sz w:val="20"/>
        </w:rPr>
        <w:t>limitaciones</w:t>
      </w:r>
      <w:r>
        <w:rPr>
          <w:spacing w:val="-14"/>
          <w:sz w:val="20"/>
        </w:rPr>
        <w:t> </w:t>
      </w:r>
      <w:r>
        <w:rPr>
          <w:sz w:val="20"/>
        </w:rPr>
        <w:t>de</w:t>
      </w:r>
      <w:r>
        <w:rPr>
          <w:spacing w:val="-14"/>
          <w:sz w:val="20"/>
        </w:rPr>
        <w:t> </w:t>
      </w:r>
      <w:r>
        <w:rPr>
          <w:sz w:val="20"/>
        </w:rPr>
        <w:t>dominio,</w:t>
      </w:r>
      <w:r>
        <w:rPr>
          <w:spacing w:val="-14"/>
          <w:sz w:val="20"/>
        </w:rPr>
        <w:t> </w:t>
      </w:r>
      <w:r>
        <w:rPr>
          <w:sz w:val="20"/>
        </w:rPr>
        <w:t>relativas</w:t>
      </w:r>
      <w:r>
        <w:rPr>
          <w:spacing w:val="-14"/>
          <w:sz w:val="20"/>
        </w:rPr>
        <w:t> </w:t>
      </w:r>
      <w:r>
        <w:rPr>
          <w:sz w:val="20"/>
        </w:rPr>
        <w:t>a</w:t>
      </w:r>
      <w:r>
        <w:rPr>
          <w:spacing w:val="-14"/>
          <w:sz w:val="20"/>
        </w:rPr>
        <w:t> </w:t>
      </w:r>
      <w:r>
        <w:rPr>
          <w:sz w:val="20"/>
        </w:rPr>
        <w:t>la</w:t>
      </w:r>
      <w:r>
        <w:rPr>
          <w:spacing w:val="-14"/>
          <w:sz w:val="20"/>
        </w:rPr>
        <w:t> </w:t>
      </w:r>
      <w:r>
        <w:rPr>
          <w:sz w:val="20"/>
        </w:rPr>
        <w:t>imposibilidad</w:t>
      </w:r>
      <w:r>
        <w:rPr>
          <w:spacing w:val="-14"/>
          <w:sz w:val="20"/>
        </w:rPr>
        <w:t> </w:t>
      </w:r>
      <w:r>
        <w:rPr>
          <w:sz w:val="20"/>
        </w:rPr>
        <w:t>jurídica</w:t>
      </w:r>
      <w:r>
        <w:rPr>
          <w:spacing w:val="-14"/>
          <w:sz w:val="20"/>
        </w:rPr>
        <w:t> </w:t>
      </w:r>
      <w:r>
        <w:rPr>
          <w:sz w:val="20"/>
        </w:rPr>
        <w:t>de</w:t>
      </w:r>
      <w:r>
        <w:rPr>
          <w:spacing w:val="-13"/>
          <w:sz w:val="20"/>
        </w:rPr>
        <w:t> </w:t>
      </w:r>
      <w:r>
        <w:rPr>
          <w:sz w:val="20"/>
        </w:rPr>
        <w:t>subdividir</w:t>
      </w:r>
      <w:r>
        <w:rPr>
          <w:spacing w:val="-14"/>
          <w:sz w:val="20"/>
        </w:rPr>
        <w:t> </w:t>
      </w:r>
      <w:r>
        <w:rPr>
          <w:sz w:val="20"/>
        </w:rPr>
        <w:t>los</w:t>
      </w:r>
      <w:r>
        <w:rPr>
          <w:spacing w:val="-14"/>
          <w:sz w:val="20"/>
        </w:rPr>
        <w:t> </w:t>
      </w:r>
      <w:r>
        <w:rPr>
          <w:sz w:val="20"/>
        </w:rPr>
        <w:t>lotes</w:t>
      </w:r>
      <w:r>
        <w:rPr>
          <w:spacing w:val="-14"/>
          <w:sz w:val="20"/>
        </w:rPr>
        <w:t> </w:t>
      </w:r>
      <w:r>
        <w:rPr>
          <w:sz w:val="20"/>
        </w:rPr>
        <w:t>adquiridos o que adquieran los compradores, a dimensiones menores que las dispuestas en esta Ley y el proyecto definitivo, así como las limitaciones de espacio que correspondan a las servidumbres reales, y</w:t>
      </w:r>
    </w:p>
    <w:p>
      <w:pPr>
        <w:pStyle w:val="BodyText"/>
        <w:spacing w:before="2"/>
      </w:pPr>
    </w:p>
    <w:p>
      <w:pPr>
        <w:pStyle w:val="ListParagraph"/>
        <w:numPr>
          <w:ilvl w:val="0"/>
          <w:numId w:val="143"/>
        </w:numPr>
        <w:tabs>
          <w:tab w:pos="688" w:val="left" w:leader="none"/>
        </w:tabs>
        <w:spacing w:line="240" w:lineRule="auto" w:before="0" w:after="0"/>
        <w:ind w:left="688" w:right="0" w:hanging="426"/>
        <w:jc w:val="both"/>
        <w:rPr>
          <w:sz w:val="20"/>
        </w:rPr>
      </w:pPr>
      <w:r>
        <w:rPr>
          <w:sz w:val="20"/>
        </w:rPr>
        <w:t>Acompañar</w:t>
      </w:r>
      <w:r>
        <w:rPr>
          <w:spacing w:val="-6"/>
          <w:sz w:val="20"/>
        </w:rPr>
        <w:t> </w:t>
      </w:r>
      <w:r>
        <w:rPr>
          <w:sz w:val="20"/>
        </w:rPr>
        <w:t>los</w:t>
      </w:r>
      <w:r>
        <w:rPr>
          <w:spacing w:val="-7"/>
          <w:sz w:val="20"/>
        </w:rPr>
        <w:t> </w:t>
      </w:r>
      <w:r>
        <w:rPr>
          <w:sz w:val="20"/>
        </w:rPr>
        <w:t>planos</w:t>
      </w:r>
      <w:r>
        <w:rPr>
          <w:spacing w:val="-7"/>
          <w:sz w:val="20"/>
        </w:rPr>
        <w:t> </w:t>
      </w:r>
      <w:r>
        <w:rPr>
          <w:sz w:val="20"/>
        </w:rPr>
        <w:t>y</w:t>
      </w:r>
      <w:r>
        <w:rPr>
          <w:spacing w:val="-7"/>
          <w:sz w:val="20"/>
        </w:rPr>
        <w:t> </w:t>
      </w:r>
      <w:r>
        <w:rPr>
          <w:sz w:val="20"/>
        </w:rPr>
        <w:t>datos</w:t>
      </w:r>
      <w:r>
        <w:rPr>
          <w:spacing w:val="-7"/>
          <w:sz w:val="20"/>
        </w:rPr>
        <w:t> </w:t>
      </w:r>
      <w:r>
        <w:rPr>
          <w:sz w:val="20"/>
        </w:rPr>
        <w:t>necesarios</w:t>
      </w:r>
      <w:r>
        <w:rPr>
          <w:spacing w:val="-7"/>
          <w:sz w:val="20"/>
        </w:rPr>
        <w:t> </w:t>
      </w:r>
      <w:r>
        <w:rPr>
          <w:sz w:val="20"/>
        </w:rPr>
        <w:t>para</w:t>
      </w:r>
      <w:r>
        <w:rPr>
          <w:spacing w:val="-7"/>
          <w:sz w:val="20"/>
        </w:rPr>
        <w:t> </w:t>
      </w:r>
      <w:r>
        <w:rPr>
          <w:sz w:val="20"/>
        </w:rPr>
        <w:t>la</w:t>
      </w:r>
      <w:r>
        <w:rPr>
          <w:spacing w:val="-6"/>
          <w:sz w:val="20"/>
        </w:rPr>
        <w:t> </w:t>
      </w:r>
      <w:r>
        <w:rPr>
          <w:sz w:val="20"/>
        </w:rPr>
        <w:t>debida</w:t>
      </w:r>
      <w:r>
        <w:rPr>
          <w:spacing w:val="-9"/>
          <w:sz w:val="20"/>
        </w:rPr>
        <w:t> </w:t>
      </w:r>
      <w:r>
        <w:rPr>
          <w:sz w:val="20"/>
        </w:rPr>
        <w:t>identificación</w:t>
      </w:r>
      <w:r>
        <w:rPr>
          <w:spacing w:val="-8"/>
          <w:sz w:val="20"/>
        </w:rPr>
        <w:t> </w:t>
      </w:r>
      <w:r>
        <w:rPr>
          <w:sz w:val="20"/>
        </w:rPr>
        <w:t>del</w:t>
      </w:r>
      <w:r>
        <w:rPr>
          <w:spacing w:val="-9"/>
          <w:sz w:val="20"/>
        </w:rPr>
        <w:t> </w:t>
      </w:r>
      <w:r>
        <w:rPr>
          <w:spacing w:val="-2"/>
          <w:sz w:val="20"/>
        </w:rPr>
        <w:t>fraccionamiento.</w:t>
      </w:r>
    </w:p>
    <w:p>
      <w:pPr>
        <w:pStyle w:val="BodyText"/>
        <w:spacing w:before="228"/>
        <w:ind w:left="262" w:right="283"/>
        <w:jc w:val="both"/>
      </w:pPr>
      <w:r>
        <w:rPr/>
        <w:t>Para proceder a la escrituración de inmuebles, que se ubiquen en fraccionamientos cuya urbanización</w:t>
      </w:r>
      <w:r>
        <w:rPr>
          <w:spacing w:val="-5"/>
        </w:rPr>
        <w:t> </w:t>
      </w:r>
      <w:r>
        <w:rPr/>
        <w:t>haya</w:t>
      </w:r>
      <w:r>
        <w:rPr>
          <w:spacing w:val="-5"/>
        </w:rPr>
        <w:t> </w:t>
      </w:r>
      <w:r>
        <w:rPr/>
        <w:t>sido</w:t>
      </w:r>
      <w:r>
        <w:rPr>
          <w:spacing w:val="-5"/>
        </w:rPr>
        <w:t> </w:t>
      </w:r>
      <w:r>
        <w:rPr/>
        <w:t>autorizada</w:t>
      </w:r>
      <w:r>
        <w:rPr>
          <w:spacing w:val="-3"/>
        </w:rPr>
        <w:t> </w:t>
      </w:r>
      <w:r>
        <w:rPr/>
        <w:t>por</w:t>
      </w:r>
      <w:r>
        <w:rPr>
          <w:spacing w:val="-2"/>
        </w:rPr>
        <w:t> </w:t>
      </w:r>
      <w:r>
        <w:rPr/>
        <w:t>etapas,</w:t>
      </w:r>
      <w:r>
        <w:rPr>
          <w:spacing w:val="-5"/>
        </w:rPr>
        <w:t> </w:t>
      </w:r>
      <w:r>
        <w:rPr/>
        <w:t>los</w:t>
      </w:r>
      <w:r>
        <w:rPr>
          <w:spacing w:val="-4"/>
        </w:rPr>
        <w:t> </w:t>
      </w:r>
      <w:r>
        <w:rPr/>
        <w:t>notarios</w:t>
      </w:r>
      <w:r>
        <w:rPr>
          <w:spacing w:val="-4"/>
        </w:rPr>
        <w:t> </w:t>
      </w:r>
      <w:r>
        <w:rPr/>
        <w:t>públicos</w:t>
      </w:r>
      <w:r>
        <w:rPr>
          <w:spacing w:val="-4"/>
        </w:rPr>
        <w:t> </w:t>
      </w:r>
      <w:r>
        <w:rPr/>
        <w:t>constatarán</w:t>
      </w:r>
      <w:r>
        <w:rPr>
          <w:spacing w:val="-1"/>
        </w:rPr>
        <w:t> </w:t>
      </w:r>
      <w:r>
        <w:rPr/>
        <w:t>que</w:t>
      </w:r>
      <w:r>
        <w:rPr>
          <w:spacing w:val="-3"/>
        </w:rPr>
        <w:t> </w:t>
      </w:r>
      <w:r>
        <w:rPr/>
        <w:t>el</w:t>
      </w:r>
      <w:r>
        <w:rPr>
          <w:spacing w:val="-4"/>
        </w:rPr>
        <w:t> </w:t>
      </w:r>
      <w:r>
        <w:rPr/>
        <w:t>fraccionador o promotor acompañe la constancia municipal de la ejecución total de las obras de urbanización.</w:t>
      </w:r>
    </w:p>
    <w:p>
      <w:pPr>
        <w:pStyle w:val="BodyText"/>
        <w:spacing w:before="2"/>
      </w:pPr>
    </w:p>
    <w:p>
      <w:pPr>
        <w:pStyle w:val="BodyText"/>
        <w:ind w:left="262" w:right="279"/>
        <w:jc w:val="both"/>
      </w:pPr>
      <w:r>
        <w:rPr>
          <w:rFonts w:ascii="Arial" w:hAnsi="Arial"/>
          <w:b/>
        </w:rPr>
        <w:t>ARTÍCULO 481. </w:t>
      </w:r>
      <w:r>
        <w:rPr/>
        <w:t>Será responsabilidad de los registradores públicos, en el Estado, inscribir los testimonios de las escrituras de fraccionamientos a que se refiere este capítulo que reúnan los requisitos que establece el artículo inmediato anterior; debiendo negar el registro de aquellos que no acompañen las autorizaciones a que se refiere ésta Ley.</w:t>
      </w:r>
    </w:p>
    <w:p>
      <w:pPr>
        <w:pStyle w:val="BodyText"/>
      </w:pPr>
    </w:p>
    <w:p>
      <w:pPr>
        <w:pStyle w:val="BodyText"/>
        <w:ind w:left="262" w:right="285"/>
        <w:jc w:val="both"/>
      </w:pPr>
      <w:r>
        <w:rPr>
          <w:rFonts w:ascii="Arial" w:hAnsi="Arial"/>
          <w:b/>
        </w:rPr>
        <w:t>ARTÍCULO 482. </w:t>
      </w:r>
      <w:r>
        <w:rPr/>
        <w:t>Serán nulos todos los actos jurídicos u operaciones celebrados en contravención a las disposiciones de este capítulo, debiendo ser declarada por autoridad judicial, independientemente de las sanciones a que se haga acreedor el fraccionador, conforme a este ordenamiento, así como de las responsabilidades civiles y penales que se constituyan.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Heading1"/>
        <w:ind w:right="16"/>
      </w:pPr>
      <w:r>
        <w:rPr/>
        <w:t>TÍTULO</w:t>
      </w:r>
      <w:r>
        <w:rPr>
          <w:spacing w:val="-10"/>
        </w:rPr>
        <w:t> </w:t>
      </w:r>
      <w:r>
        <w:rPr/>
        <w:t>VIGÉSIMO</w:t>
      </w:r>
      <w:r>
        <w:rPr>
          <w:spacing w:val="-9"/>
        </w:rPr>
        <w:t> </w:t>
      </w:r>
      <w:r>
        <w:rPr>
          <w:spacing w:val="-2"/>
        </w:rPr>
        <w:t>SEGUNDO</w:t>
      </w:r>
    </w:p>
    <w:p>
      <w:pPr>
        <w:pStyle w:val="BodyText"/>
        <w:spacing w:before="1"/>
        <w:rPr>
          <w:rFonts w:ascii="Arial"/>
          <w:b/>
        </w:rPr>
      </w:pPr>
    </w:p>
    <w:p>
      <w:pPr>
        <w:spacing w:before="0"/>
        <w:ind w:left="0" w:right="17"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MUNICIPALIZACIÓN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pacing w:val="-2"/>
          <w:sz w:val="20"/>
        </w:rPr>
        <w:t>FRACCIONAMIENTOS</w:t>
      </w:r>
    </w:p>
    <w:p>
      <w:pPr>
        <w:pStyle w:val="BodyText"/>
        <w:spacing w:before="228"/>
        <w:rPr>
          <w:rFonts w:ascii="Arial"/>
          <w:b/>
        </w:rPr>
      </w:pPr>
    </w:p>
    <w:p>
      <w:pPr>
        <w:pStyle w:val="Heading2"/>
        <w:spacing w:before="1"/>
      </w:pPr>
      <w:r>
        <w:rPr/>
        <w:t>Capítulo</w:t>
      </w:r>
      <w:r>
        <w:rPr>
          <w:spacing w:val="-8"/>
        </w:rPr>
        <w:t> </w:t>
      </w:r>
      <w:r>
        <w:rPr>
          <w:spacing w:val="-2"/>
        </w:rPr>
        <w:t>Único</w:t>
      </w:r>
    </w:p>
    <w:p>
      <w:pPr>
        <w:pStyle w:val="BodyText"/>
        <w:rPr>
          <w:rFonts w:ascii="Arial"/>
          <w:b/>
        </w:rPr>
      </w:pPr>
    </w:p>
    <w:p>
      <w:pPr>
        <w:pStyle w:val="BodyText"/>
        <w:ind w:left="262" w:right="278"/>
        <w:jc w:val="both"/>
      </w:pPr>
      <w:r>
        <w:rPr>
          <w:rFonts w:ascii="Arial" w:hAnsi="Arial"/>
          <w:b/>
        </w:rPr>
        <w:t>ARTÍCULO 483</w:t>
      </w:r>
      <w:r>
        <w:rPr/>
        <w:t>. El fraccionador, habiendo concluido la urbanización total del fraccionamiento de conformidad con el proyecto definitivo y dentro del plazo que señala esta Ley, o en su caso el que señale la prórroga autorizada, solicitará al Ayuntamiento correspondiente, la municipalización del fraccionamiento respectivo.</w:t>
      </w:r>
    </w:p>
    <w:p>
      <w:pPr>
        <w:pStyle w:val="BodyText"/>
        <w:spacing w:before="1"/>
      </w:pPr>
    </w:p>
    <w:p>
      <w:pPr>
        <w:pStyle w:val="BodyText"/>
        <w:ind w:left="262" w:right="279"/>
        <w:jc w:val="both"/>
      </w:pPr>
      <w:r>
        <w:rPr/>
        <w:t>Los</w:t>
      </w:r>
      <w:r>
        <w:rPr>
          <w:spacing w:val="-4"/>
        </w:rPr>
        <w:t> </w:t>
      </w:r>
      <w:r>
        <w:rPr/>
        <w:t>fraccionamientos</w:t>
      </w:r>
      <w:r>
        <w:rPr>
          <w:spacing w:val="-4"/>
        </w:rPr>
        <w:t> </w:t>
      </w:r>
      <w:r>
        <w:rPr/>
        <w:t>que</w:t>
      </w:r>
      <w:r>
        <w:rPr>
          <w:spacing w:val="-5"/>
        </w:rPr>
        <w:t> </w:t>
      </w:r>
      <w:r>
        <w:rPr/>
        <w:t>se</w:t>
      </w:r>
      <w:r>
        <w:rPr>
          <w:spacing w:val="-5"/>
        </w:rPr>
        <w:t> </w:t>
      </w:r>
      <w:r>
        <w:rPr/>
        <w:t>urbanicen</w:t>
      </w:r>
      <w:r>
        <w:rPr>
          <w:spacing w:val="-6"/>
        </w:rPr>
        <w:t> </w:t>
      </w:r>
      <w:r>
        <w:rPr/>
        <w:t>por</w:t>
      </w:r>
      <w:r>
        <w:rPr>
          <w:spacing w:val="-5"/>
        </w:rPr>
        <w:t> </w:t>
      </w:r>
      <w:r>
        <w:rPr/>
        <w:t>etapas,</w:t>
      </w:r>
      <w:r>
        <w:rPr>
          <w:spacing w:val="-5"/>
        </w:rPr>
        <w:t> </w:t>
      </w:r>
      <w:r>
        <w:rPr/>
        <w:t>podrán</w:t>
      </w:r>
      <w:r>
        <w:rPr>
          <w:spacing w:val="-5"/>
        </w:rPr>
        <w:t> </w:t>
      </w:r>
      <w:r>
        <w:rPr/>
        <w:t>municipalizarse</w:t>
      </w:r>
      <w:r>
        <w:rPr>
          <w:spacing w:val="-5"/>
        </w:rPr>
        <w:t> </w:t>
      </w:r>
      <w:r>
        <w:rPr/>
        <w:t>parcialmente,</w:t>
      </w:r>
      <w:r>
        <w:rPr>
          <w:spacing w:val="-5"/>
        </w:rPr>
        <w:t> </w:t>
      </w:r>
      <w:r>
        <w:rPr/>
        <w:t>siempre</w:t>
      </w:r>
      <w:r>
        <w:rPr>
          <w:spacing w:val="-5"/>
        </w:rPr>
        <w:t> </w:t>
      </w:r>
      <w:r>
        <w:rPr/>
        <w:t>y cuando las mismas operen de manera independiente, lo que deberá establecerse desde la autorización</w:t>
      </w:r>
      <w:r>
        <w:rPr>
          <w:spacing w:val="-5"/>
        </w:rPr>
        <w:t> </w:t>
      </w:r>
      <w:r>
        <w:rPr/>
        <w:t>del</w:t>
      </w:r>
      <w:r>
        <w:rPr>
          <w:spacing w:val="-7"/>
        </w:rPr>
        <w:t> </w:t>
      </w:r>
      <w:r>
        <w:rPr/>
        <w:t>proyecto,</w:t>
      </w:r>
      <w:r>
        <w:rPr>
          <w:spacing w:val="-7"/>
        </w:rPr>
        <w:t> </w:t>
      </w:r>
      <w:r>
        <w:rPr/>
        <w:t>o</w:t>
      </w:r>
      <w:r>
        <w:rPr>
          <w:spacing w:val="-5"/>
        </w:rPr>
        <w:t> </w:t>
      </w:r>
      <w:r>
        <w:rPr/>
        <w:t>en</w:t>
      </w:r>
      <w:r>
        <w:rPr>
          <w:spacing w:val="-7"/>
        </w:rPr>
        <w:t> </w:t>
      </w:r>
      <w:r>
        <w:rPr/>
        <w:t>su</w:t>
      </w:r>
      <w:r>
        <w:rPr>
          <w:spacing w:val="-7"/>
        </w:rPr>
        <w:t> </w:t>
      </w:r>
      <w:r>
        <w:rPr/>
        <w:t>caso,</w:t>
      </w:r>
      <w:r>
        <w:rPr>
          <w:spacing w:val="-5"/>
        </w:rPr>
        <w:t> </w:t>
      </w:r>
      <w:r>
        <w:rPr/>
        <w:t>mediante</w:t>
      </w:r>
      <w:r>
        <w:rPr>
          <w:spacing w:val="-5"/>
        </w:rPr>
        <w:t> </w:t>
      </w:r>
      <w:r>
        <w:rPr/>
        <w:t>la</w:t>
      </w:r>
      <w:r>
        <w:rPr>
          <w:spacing w:val="-5"/>
        </w:rPr>
        <w:t> </w:t>
      </w:r>
      <w:r>
        <w:rPr/>
        <w:t>modificación</w:t>
      </w:r>
      <w:r>
        <w:rPr>
          <w:spacing w:val="-7"/>
        </w:rPr>
        <w:t> </w:t>
      </w:r>
      <w:r>
        <w:rPr/>
        <w:t>del</w:t>
      </w:r>
      <w:r>
        <w:rPr>
          <w:spacing w:val="-5"/>
        </w:rPr>
        <w:t> </w:t>
      </w:r>
      <w:r>
        <w:rPr/>
        <w:t>plano</w:t>
      </w:r>
      <w:r>
        <w:rPr>
          <w:spacing w:val="-7"/>
        </w:rPr>
        <w:t> </w:t>
      </w:r>
      <w:r>
        <w:rPr/>
        <w:t>correspondiente</w:t>
      </w:r>
      <w:r>
        <w:rPr>
          <w:spacing w:val="-7"/>
        </w:rPr>
        <w:t> </w:t>
      </w:r>
      <w:r>
        <w:rPr/>
        <w:t>cuando la disposición del fraccionamiento así lo permita y lo autorice la Dirección municipal.</w:t>
      </w:r>
    </w:p>
    <w:p>
      <w:pPr>
        <w:pStyle w:val="BodyText"/>
        <w:spacing w:before="229"/>
        <w:ind w:left="262" w:right="279"/>
        <w:jc w:val="both"/>
      </w:pPr>
      <w:r>
        <w:rPr>
          <w:rFonts w:ascii="Arial" w:hAnsi="Arial"/>
          <w:b/>
        </w:rPr>
        <w:t>ARTÍCULO</w:t>
      </w:r>
      <w:r>
        <w:rPr>
          <w:rFonts w:ascii="Arial" w:hAnsi="Arial"/>
          <w:b/>
          <w:spacing w:val="-1"/>
        </w:rPr>
        <w:t> </w:t>
      </w:r>
      <w:r>
        <w:rPr>
          <w:rFonts w:ascii="Arial" w:hAnsi="Arial"/>
          <w:b/>
        </w:rPr>
        <w:t>484.</w:t>
      </w:r>
      <w:r>
        <w:rPr>
          <w:rFonts w:ascii="Arial" w:hAnsi="Arial"/>
          <w:b/>
          <w:spacing w:val="-1"/>
        </w:rPr>
        <w:t> </w:t>
      </w:r>
      <w:r>
        <w:rPr/>
        <w:t>En</w:t>
      </w:r>
      <w:r>
        <w:rPr>
          <w:spacing w:val="-2"/>
        </w:rPr>
        <w:t> </w:t>
      </w:r>
      <w:r>
        <w:rPr/>
        <w:t>los</w:t>
      </w:r>
      <w:r>
        <w:rPr>
          <w:spacing w:val="-1"/>
        </w:rPr>
        <w:t> </w:t>
      </w:r>
      <w:r>
        <w:rPr/>
        <w:t>casos</w:t>
      </w:r>
      <w:r>
        <w:rPr>
          <w:spacing w:val="-1"/>
        </w:rPr>
        <w:t> </w:t>
      </w:r>
      <w:r>
        <w:rPr/>
        <w:t>en</w:t>
      </w:r>
      <w:r>
        <w:rPr>
          <w:spacing w:val="-3"/>
        </w:rPr>
        <w:t> </w:t>
      </w:r>
      <w:r>
        <w:rPr/>
        <w:t>que los</w:t>
      </w:r>
      <w:r>
        <w:rPr>
          <w:spacing w:val="-1"/>
        </w:rPr>
        <w:t> </w:t>
      </w:r>
      <w:r>
        <w:rPr/>
        <w:t>fraccionadores no</w:t>
      </w:r>
      <w:r>
        <w:rPr>
          <w:spacing w:val="-3"/>
        </w:rPr>
        <w:t> </w:t>
      </w:r>
      <w:r>
        <w:rPr/>
        <w:t>inicien</w:t>
      </w:r>
      <w:r>
        <w:rPr>
          <w:spacing w:val="-2"/>
        </w:rPr>
        <w:t> </w:t>
      </w:r>
      <w:r>
        <w:rPr/>
        <w:t>los</w:t>
      </w:r>
      <w:r>
        <w:rPr>
          <w:spacing w:val="-1"/>
        </w:rPr>
        <w:t> </w:t>
      </w:r>
      <w:r>
        <w:rPr/>
        <w:t>trámites</w:t>
      </w:r>
      <w:r>
        <w:rPr>
          <w:spacing w:val="-1"/>
        </w:rPr>
        <w:t> </w:t>
      </w:r>
      <w:r>
        <w:rPr/>
        <w:t>de</w:t>
      </w:r>
      <w:r>
        <w:rPr>
          <w:spacing w:val="-2"/>
        </w:rPr>
        <w:t> </w:t>
      </w:r>
      <w:r>
        <w:rPr/>
        <w:t>municipalización conforme lo establece el artículo anterior, el Municipio a través de la Dirección municipal, podrá cuando así</w:t>
      </w:r>
      <w:r>
        <w:rPr>
          <w:spacing w:val="-2"/>
        </w:rPr>
        <w:t> </w:t>
      </w:r>
      <w:r>
        <w:rPr/>
        <w:t>lo</w:t>
      </w:r>
      <w:r>
        <w:rPr>
          <w:spacing w:val="-2"/>
        </w:rPr>
        <w:t> </w:t>
      </w:r>
      <w:r>
        <w:rPr/>
        <w:t>considere</w:t>
      </w:r>
      <w:r>
        <w:rPr>
          <w:spacing w:val="-2"/>
        </w:rPr>
        <w:t> </w:t>
      </w:r>
      <w:r>
        <w:rPr/>
        <w:t>viable, iniciar</w:t>
      </w:r>
      <w:r>
        <w:rPr>
          <w:spacing w:val="-1"/>
        </w:rPr>
        <w:t> </w:t>
      </w:r>
      <w:r>
        <w:rPr/>
        <w:t>la</w:t>
      </w:r>
      <w:r>
        <w:rPr>
          <w:spacing w:val="-2"/>
        </w:rPr>
        <w:t> </w:t>
      </w:r>
      <w:r>
        <w:rPr/>
        <w:t>municipalización</w:t>
      </w:r>
      <w:r>
        <w:rPr>
          <w:spacing w:val="-3"/>
        </w:rPr>
        <w:t> </w:t>
      </w:r>
      <w:r>
        <w:rPr/>
        <w:t>de manera</w:t>
      </w:r>
      <w:r>
        <w:rPr>
          <w:spacing w:val="-2"/>
        </w:rPr>
        <w:t> </w:t>
      </w:r>
      <w:r>
        <w:rPr/>
        <w:t>oficiosa, aplicando</w:t>
      </w:r>
      <w:r>
        <w:rPr>
          <w:spacing w:val="-3"/>
        </w:rPr>
        <w:t> </w:t>
      </w:r>
      <w:r>
        <w:rPr/>
        <w:t>en</w:t>
      </w:r>
      <w:r>
        <w:rPr>
          <w:spacing w:val="-2"/>
        </w:rPr>
        <w:t> </w:t>
      </w:r>
      <w:r>
        <w:rPr/>
        <w:t>su</w:t>
      </w:r>
      <w:r>
        <w:rPr>
          <w:spacing w:val="-2"/>
        </w:rPr>
        <w:t> </w:t>
      </w:r>
      <w:r>
        <w:rPr/>
        <w:t>caso la fianza correspondiente para concluir las obras de urbanización pendientes, debiendo notificar previamente esta circunstancia al fraccionador.</w:t>
      </w:r>
    </w:p>
    <w:p>
      <w:pPr>
        <w:pStyle w:val="BodyText"/>
      </w:pPr>
    </w:p>
    <w:p>
      <w:pPr>
        <w:pStyle w:val="BodyText"/>
        <w:spacing w:before="1"/>
        <w:ind w:left="262" w:right="286"/>
        <w:jc w:val="both"/>
      </w:pPr>
      <w:r>
        <w:rPr/>
        <w:t>Para</w:t>
      </w:r>
      <w:r>
        <w:rPr>
          <w:spacing w:val="-9"/>
        </w:rPr>
        <w:t> </w:t>
      </w:r>
      <w:r>
        <w:rPr/>
        <w:t>tal</w:t>
      </w:r>
      <w:r>
        <w:rPr>
          <w:spacing w:val="-11"/>
        </w:rPr>
        <w:t> </w:t>
      </w:r>
      <w:r>
        <w:rPr/>
        <w:t>efecto</w:t>
      </w:r>
      <w:r>
        <w:rPr>
          <w:spacing w:val="-10"/>
        </w:rPr>
        <w:t> </w:t>
      </w:r>
      <w:r>
        <w:rPr/>
        <w:t>el</w:t>
      </w:r>
      <w:r>
        <w:rPr>
          <w:spacing w:val="-11"/>
        </w:rPr>
        <w:t> </w:t>
      </w:r>
      <w:r>
        <w:rPr/>
        <w:t>fraccionador</w:t>
      </w:r>
      <w:r>
        <w:rPr>
          <w:spacing w:val="-9"/>
        </w:rPr>
        <w:t> </w:t>
      </w:r>
      <w:r>
        <w:rPr/>
        <w:t>comunicará</w:t>
      </w:r>
      <w:r>
        <w:rPr>
          <w:spacing w:val="-9"/>
        </w:rPr>
        <w:t> </w:t>
      </w:r>
      <w:r>
        <w:rPr/>
        <w:t>por</w:t>
      </w:r>
      <w:r>
        <w:rPr>
          <w:spacing w:val="-9"/>
        </w:rPr>
        <w:t> </w:t>
      </w:r>
      <w:r>
        <w:rPr/>
        <w:t>escrito</w:t>
      </w:r>
      <w:r>
        <w:rPr>
          <w:spacing w:val="-8"/>
        </w:rPr>
        <w:t> </w:t>
      </w:r>
      <w:r>
        <w:rPr/>
        <w:t>a</w:t>
      </w:r>
      <w:r>
        <w:rPr>
          <w:spacing w:val="-10"/>
        </w:rPr>
        <w:t> </w:t>
      </w:r>
      <w:r>
        <w:rPr/>
        <w:t>la</w:t>
      </w:r>
      <w:r>
        <w:rPr>
          <w:spacing w:val="-10"/>
        </w:rPr>
        <w:t> </w:t>
      </w:r>
      <w:r>
        <w:rPr/>
        <w:t>autoridad</w:t>
      </w:r>
      <w:r>
        <w:rPr>
          <w:spacing w:val="-10"/>
        </w:rPr>
        <w:t> </w:t>
      </w:r>
      <w:r>
        <w:rPr/>
        <w:t>competente</w:t>
      </w:r>
      <w:r>
        <w:rPr>
          <w:spacing w:val="-10"/>
        </w:rPr>
        <w:t> </w:t>
      </w:r>
      <w:r>
        <w:rPr/>
        <w:t>la</w:t>
      </w:r>
      <w:r>
        <w:rPr>
          <w:spacing w:val="-10"/>
        </w:rPr>
        <w:t> </w:t>
      </w:r>
      <w:r>
        <w:rPr/>
        <w:t>conclusión</w:t>
      </w:r>
      <w:r>
        <w:rPr>
          <w:spacing w:val="-10"/>
        </w:rPr>
        <w:t> </w:t>
      </w:r>
      <w:r>
        <w:rPr/>
        <w:t>de</w:t>
      </w:r>
      <w:r>
        <w:rPr>
          <w:spacing w:val="-8"/>
        </w:rPr>
        <w:t> </w:t>
      </w:r>
      <w:r>
        <w:rPr/>
        <w:t>las obras, con objeto de que las inspeccione, apruebe y las reciba, emitiendo la resolución </w:t>
      </w:r>
      <w:r>
        <w:rPr>
          <w:spacing w:val="-2"/>
        </w:rPr>
        <w:t>correspondiente.</w:t>
      </w:r>
    </w:p>
    <w:p>
      <w:pPr>
        <w:pStyle w:val="BodyText"/>
        <w:spacing w:before="1"/>
      </w:pPr>
    </w:p>
    <w:p>
      <w:pPr>
        <w:pStyle w:val="BodyText"/>
        <w:spacing w:before="1"/>
        <w:ind w:left="262" w:right="278"/>
        <w:jc w:val="both"/>
      </w:pPr>
      <w:r>
        <w:rPr>
          <w:rFonts w:ascii="Arial" w:hAnsi="Arial"/>
          <w:b/>
        </w:rPr>
        <w:t>ARTÍCULO 485. </w:t>
      </w:r>
      <w:r>
        <w:rPr/>
        <w:t>El Ayuntamiento, a través de la dirección municipal, será la única autoridad competente para recibir los bienes inmuebles, equipo, mobiliario e instalaciones destinados a los servicios públicos y las obras de urbanización de un fraccionamiento, por lo que cualquier acto, contrato o convenio que se celebre por parte del fraccionador, con la asociación de colonos u otra persona física o moral que contravenga esta disposición, será nulo de pleno derecho.</w:t>
      </w:r>
    </w:p>
    <w:p>
      <w:pPr>
        <w:pStyle w:val="BodyText"/>
      </w:pPr>
    </w:p>
    <w:p>
      <w:pPr>
        <w:pStyle w:val="BodyText"/>
        <w:ind w:left="262" w:right="281"/>
        <w:jc w:val="both"/>
      </w:pPr>
      <w:r>
        <w:rPr/>
        <w:t>Tratándose de la transferencia de los bienes inmuebles destinados a la prestación de los servicios de agua potable, drenaje, alcantarillado y tratamiento de aguas residuales, el fraccionador deberá entregar éstos al Municipio, a través de su organismo operador, si lo hubiere, o en su caso al área competente de administrar dicho servicio, con el objeto de interconectarlos a la red municipal y optimizar el aprovechamiento de su fuente de abastecimiento.</w:t>
      </w:r>
    </w:p>
    <w:p>
      <w:pPr>
        <w:pStyle w:val="BodyText"/>
      </w:pPr>
    </w:p>
    <w:p>
      <w:pPr>
        <w:pStyle w:val="BodyText"/>
        <w:ind w:left="262" w:right="287"/>
        <w:jc w:val="both"/>
      </w:pPr>
      <w:r>
        <w:rPr>
          <w:rFonts w:ascii="Arial" w:hAnsi="Arial"/>
          <w:b/>
        </w:rPr>
        <w:t>ARTÍCULO 486. </w:t>
      </w:r>
      <w:r>
        <w:rPr/>
        <w:t>Una vez obtenida la resolución aprobatoria de las obras de urbanización y equipamiento, el fraccionador deberá tramitar la municipalización del fraccionamiento.</w:t>
      </w:r>
    </w:p>
    <w:p>
      <w:pPr>
        <w:pStyle w:val="BodyText"/>
        <w:spacing w:before="229"/>
        <w:ind w:left="262" w:right="278"/>
        <w:jc w:val="both"/>
      </w:pPr>
      <w:r>
        <w:rPr/>
        <w:t>Mientras no se concluya el trámite de municipalización la conservación, el mantenimiento y la prestación de los servicios públicos corresponderán al fraccionador. No obstante, la Dirección Municipal podrá recibir previamente a la municipalización, mediante convenio suscrito con el fraccionador, algún servicio u obra de infraestructura o equipamiento, a efecto de que el Municipio se</w:t>
      </w:r>
      <w:r>
        <w:rPr>
          <w:spacing w:val="-4"/>
        </w:rPr>
        <w:t> </w:t>
      </w:r>
      <w:r>
        <w:rPr/>
        <w:t>haga</w:t>
      </w:r>
      <w:r>
        <w:rPr>
          <w:spacing w:val="-4"/>
        </w:rPr>
        <w:t> </w:t>
      </w:r>
      <w:r>
        <w:rPr/>
        <w:t>cargo</w:t>
      </w:r>
      <w:r>
        <w:rPr>
          <w:spacing w:val="-4"/>
        </w:rPr>
        <w:t> </w:t>
      </w:r>
      <w:r>
        <w:rPr/>
        <w:t>del</w:t>
      </w:r>
      <w:r>
        <w:rPr>
          <w:spacing w:val="-5"/>
        </w:rPr>
        <w:t> </w:t>
      </w:r>
      <w:r>
        <w:rPr/>
        <w:t>mismo</w:t>
      </w:r>
      <w:r>
        <w:rPr>
          <w:spacing w:val="-4"/>
        </w:rPr>
        <w:t> </w:t>
      </w:r>
      <w:r>
        <w:rPr/>
        <w:t>para</w:t>
      </w:r>
      <w:r>
        <w:rPr>
          <w:spacing w:val="-4"/>
        </w:rPr>
        <w:t> </w:t>
      </w:r>
      <w:r>
        <w:rPr/>
        <w:t>lograr</w:t>
      </w:r>
      <w:r>
        <w:rPr>
          <w:spacing w:val="-4"/>
        </w:rPr>
        <w:t> </w:t>
      </w:r>
      <w:r>
        <w:rPr/>
        <w:t>mayor</w:t>
      </w:r>
      <w:r>
        <w:rPr>
          <w:spacing w:val="-4"/>
        </w:rPr>
        <w:t> </w:t>
      </w:r>
      <w:r>
        <w:rPr/>
        <w:t>eficiencia,</w:t>
      </w:r>
      <w:r>
        <w:rPr>
          <w:spacing w:val="-2"/>
        </w:rPr>
        <w:t> </w:t>
      </w:r>
      <w:r>
        <w:rPr/>
        <w:t>siempre</w:t>
      </w:r>
      <w:r>
        <w:rPr>
          <w:spacing w:val="-4"/>
        </w:rPr>
        <w:t> </w:t>
      </w:r>
      <w:r>
        <w:rPr/>
        <w:t>y</w:t>
      </w:r>
      <w:r>
        <w:rPr>
          <w:spacing w:val="-3"/>
        </w:rPr>
        <w:t> </w:t>
      </w:r>
      <w:r>
        <w:rPr/>
        <w:t>cuando</w:t>
      </w:r>
      <w:r>
        <w:rPr>
          <w:spacing w:val="-4"/>
        </w:rPr>
        <w:t> </w:t>
      </w:r>
      <w:r>
        <w:rPr/>
        <w:t>se</w:t>
      </w:r>
      <w:r>
        <w:rPr>
          <w:spacing w:val="-4"/>
        </w:rPr>
        <w:t> </w:t>
      </w:r>
      <w:r>
        <w:rPr/>
        <w:t>fundamente</w:t>
      </w:r>
      <w:r>
        <w:rPr>
          <w:spacing w:val="-4"/>
        </w:rPr>
        <w:t> </w:t>
      </w:r>
      <w:r>
        <w:rPr/>
        <w:t>y</w:t>
      </w:r>
      <w:r>
        <w:rPr>
          <w:spacing w:val="-3"/>
        </w:rPr>
        <w:t> </w:t>
      </w:r>
      <w:r>
        <w:rPr/>
        <w:t>motive</w:t>
      </w:r>
      <w:r>
        <w:rPr>
          <w:spacing w:val="-4"/>
        </w:rPr>
        <w:t> </w:t>
      </w:r>
      <w:r>
        <w:rPr/>
        <w:t>el interés público de esta recepción parcial.</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rFonts w:ascii="Arial" w:hAnsi="Arial"/>
          <w:b/>
        </w:rPr>
        <w:t>ARTÍCULO 487. </w:t>
      </w:r>
      <w:r>
        <w:rPr/>
        <w:t>A la solicitud de municipalización, el fraccionador deberá anexar la siguiente </w:t>
      </w:r>
      <w:r>
        <w:rPr>
          <w:spacing w:val="-2"/>
        </w:rPr>
        <w:t>documentación:</w:t>
      </w:r>
    </w:p>
    <w:p>
      <w:pPr>
        <w:pStyle w:val="BodyText"/>
        <w:spacing w:before="1"/>
      </w:pPr>
    </w:p>
    <w:p>
      <w:pPr>
        <w:pStyle w:val="ListParagraph"/>
        <w:numPr>
          <w:ilvl w:val="0"/>
          <w:numId w:val="144"/>
        </w:numPr>
        <w:tabs>
          <w:tab w:pos="688" w:val="left" w:leader="none"/>
        </w:tabs>
        <w:spacing w:line="240" w:lineRule="auto" w:before="0" w:after="0"/>
        <w:ind w:left="262" w:right="287" w:firstLine="0"/>
        <w:jc w:val="both"/>
        <w:rPr>
          <w:sz w:val="20"/>
        </w:rPr>
      </w:pPr>
      <w:r>
        <w:rPr>
          <w:sz w:val="20"/>
        </w:rPr>
        <w:t>Copia certificada del escrito presentado ante el Notario Público que corresponda, con las instrucciones que contemplen la transmisión a título gratuito al Ayuntamiento, de las áreas de donación aprobadas en el proyecto;</w:t>
      </w:r>
    </w:p>
    <w:p>
      <w:pPr>
        <w:pStyle w:val="ListParagraph"/>
        <w:numPr>
          <w:ilvl w:val="0"/>
          <w:numId w:val="144"/>
        </w:numPr>
        <w:tabs>
          <w:tab w:pos="686" w:val="left" w:leader="none"/>
        </w:tabs>
        <w:spacing w:line="240" w:lineRule="auto" w:before="229" w:after="0"/>
        <w:ind w:left="262" w:right="285" w:firstLine="0"/>
        <w:jc w:val="both"/>
        <w:rPr>
          <w:sz w:val="20"/>
        </w:rPr>
      </w:pPr>
      <w:r>
        <w:rPr>
          <w:sz w:val="20"/>
        </w:rPr>
        <w:t>Original</w:t>
      </w:r>
      <w:r>
        <w:rPr>
          <w:spacing w:val="-14"/>
          <w:sz w:val="20"/>
        </w:rPr>
        <w:t> </w:t>
      </w:r>
      <w:r>
        <w:rPr>
          <w:sz w:val="20"/>
        </w:rPr>
        <w:t>o</w:t>
      </w:r>
      <w:r>
        <w:rPr>
          <w:spacing w:val="-14"/>
          <w:sz w:val="20"/>
        </w:rPr>
        <w:t> </w:t>
      </w:r>
      <w:r>
        <w:rPr>
          <w:sz w:val="20"/>
        </w:rPr>
        <w:t>copia</w:t>
      </w:r>
      <w:r>
        <w:rPr>
          <w:spacing w:val="-14"/>
          <w:sz w:val="20"/>
        </w:rPr>
        <w:t> </w:t>
      </w:r>
      <w:r>
        <w:rPr>
          <w:sz w:val="20"/>
        </w:rPr>
        <w:t>certificada</w:t>
      </w:r>
      <w:r>
        <w:rPr>
          <w:spacing w:val="-14"/>
          <w:sz w:val="20"/>
        </w:rPr>
        <w:t> </w:t>
      </w:r>
      <w:r>
        <w:rPr>
          <w:sz w:val="20"/>
        </w:rPr>
        <w:t>de</w:t>
      </w:r>
      <w:r>
        <w:rPr>
          <w:spacing w:val="-14"/>
          <w:sz w:val="20"/>
        </w:rPr>
        <w:t> </w:t>
      </w:r>
      <w:r>
        <w:rPr>
          <w:sz w:val="20"/>
        </w:rPr>
        <w:t>las</w:t>
      </w:r>
      <w:r>
        <w:rPr>
          <w:spacing w:val="-14"/>
          <w:sz w:val="20"/>
        </w:rPr>
        <w:t> </w:t>
      </w:r>
      <w:r>
        <w:rPr>
          <w:sz w:val="20"/>
        </w:rPr>
        <w:t>actas</w:t>
      </w:r>
      <w:r>
        <w:rPr>
          <w:spacing w:val="-14"/>
          <w:sz w:val="20"/>
        </w:rPr>
        <w:t> </w:t>
      </w:r>
      <w:r>
        <w:rPr>
          <w:sz w:val="20"/>
        </w:rPr>
        <w:t>de</w:t>
      </w:r>
      <w:r>
        <w:rPr>
          <w:spacing w:val="-14"/>
          <w:sz w:val="20"/>
        </w:rPr>
        <w:t> </w:t>
      </w:r>
      <w:r>
        <w:rPr>
          <w:sz w:val="20"/>
        </w:rPr>
        <w:t>recepción</w:t>
      </w:r>
      <w:r>
        <w:rPr>
          <w:spacing w:val="-14"/>
          <w:sz w:val="20"/>
        </w:rPr>
        <w:t> </w:t>
      </w:r>
      <w:r>
        <w:rPr>
          <w:sz w:val="20"/>
        </w:rPr>
        <w:t>por</w:t>
      </w:r>
      <w:r>
        <w:rPr>
          <w:spacing w:val="-13"/>
          <w:sz w:val="20"/>
        </w:rPr>
        <w:t> </w:t>
      </w:r>
      <w:r>
        <w:rPr>
          <w:sz w:val="20"/>
        </w:rPr>
        <w:t>parte</w:t>
      </w:r>
      <w:r>
        <w:rPr>
          <w:spacing w:val="-14"/>
          <w:sz w:val="20"/>
        </w:rPr>
        <w:t> </w:t>
      </w:r>
      <w:r>
        <w:rPr>
          <w:sz w:val="20"/>
        </w:rPr>
        <w:t>del</w:t>
      </w:r>
      <w:r>
        <w:rPr>
          <w:spacing w:val="-14"/>
          <w:sz w:val="20"/>
        </w:rPr>
        <w:t> </w:t>
      </w:r>
      <w:r>
        <w:rPr>
          <w:sz w:val="20"/>
        </w:rPr>
        <w:t>organismo</w:t>
      </w:r>
      <w:r>
        <w:rPr>
          <w:spacing w:val="-14"/>
          <w:sz w:val="20"/>
        </w:rPr>
        <w:t> </w:t>
      </w:r>
      <w:r>
        <w:rPr>
          <w:sz w:val="20"/>
        </w:rPr>
        <w:t>operador</w:t>
      </w:r>
      <w:r>
        <w:rPr>
          <w:spacing w:val="-14"/>
          <w:sz w:val="20"/>
        </w:rPr>
        <w:t> </w:t>
      </w:r>
      <w:r>
        <w:rPr>
          <w:sz w:val="20"/>
        </w:rPr>
        <w:t>del</w:t>
      </w:r>
      <w:r>
        <w:rPr>
          <w:spacing w:val="-14"/>
          <w:sz w:val="20"/>
        </w:rPr>
        <w:t> </w:t>
      </w:r>
      <w:r>
        <w:rPr>
          <w:sz w:val="20"/>
        </w:rPr>
        <w:t>agua, de</w:t>
      </w:r>
      <w:r>
        <w:rPr>
          <w:spacing w:val="-5"/>
          <w:sz w:val="20"/>
        </w:rPr>
        <w:t> </w:t>
      </w:r>
      <w:r>
        <w:rPr>
          <w:sz w:val="20"/>
        </w:rPr>
        <w:t>las</w:t>
      </w:r>
      <w:r>
        <w:rPr>
          <w:spacing w:val="-3"/>
          <w:sz w:val="20"/>
        </w:rPr>
        <w:t> </w:t>
      </w:r>
      <w:r>
        <w:rPr>
          <w:sz w:val="20"/>
        </w:rPr>
        <w:t>obras</w:t>
      </w:r>
      <w:r>
        <w:rPr>
          <w:spacing w:val="-1"/>
          <w:sz w:val="20"/>
        </w:rPr>
        <w:t> </w:t>
      </w:r>
      <w:r>
        <w:rPr>
          <w:sz w:val="20"/>
        </w:rPr>
        <w:t>de</w:t>
      </w:r>
      <w:r>
        <w:rPr>
          <w:spacing w:val="-3"/>
          <w:sz w:val="20"/>
        </w:rPr>
        <w:t> </w:t>
      </w:r>
      <w:r>
        <w:rPr>
          <w:sz w:val="20"/>
        </w:rPr>
        <w:t>agua</w:t>
      </w:r>
      <w:r>
        <w:rPr>
          <w:spacing w:val="-4"/>
          <w:sz w:val="20"/>
        </w:rPr>
        <w:t> </w:t>
      </w:r>
      <w:r>
        <w:rPr>
          <w:sz w:val="20"/>
        </w:rPr>
        <w:t>potable</w:t>
      </w:r>
      <w:r>
        <w:rPr>
          <w:spacing w:val="-4"/>
          <w:sz w:val="20"/>
        </w:rPr>
        <w:t> </w:t>
      </w:r>
      <w:r>
        <w:rPr>
          <w:sz w:val="20"/>
        </w:rPr>
        <w:t>y</w:t>
      </w:r>
      <w:r>
        <w:rPr>
          <w:spacing w:val="-3"/>
          <w:sz w:val="20"/>
        </w:rPr>
        <w:t> </w:t>
      </w:r>
      <w:r>
        <w:rPr>
          <w:sz w:val="20"/>
        </w:rPr>
        <w:t>alcantarillado</w:t>
      </w:r>
      <w:r>
        <w:rPr>
          <w:spacing w:val="-5"/>
          <w:sz w:val="20"/>
        </w:rPr>
        <w:t> </w:t>
      </w:r>
      <w:r>
        <w:rPr>
          <w:sz w:val="20"/>
        </w:rPr>
        <w:t>sanitario;</w:t>
      </w:r>
      <w:r>
        <w:rPr>
          <w:spacing w:val="-2"/>
          <w:sz w:val="20"/>
        </w:rPr>
        <w:t> </w:t>
      </w:r>
      <w:r>
        <w:rPr>
          <w:sz w:val="20"/>
        </w:rPr>
        <w:t>así</w:t>
      </w:r>
      <w:r>
        <w:rPr>
          <w:spacing w:val="-4"/>
          <w:sz w:val="20"/>
        </w:rPr>
        <w:t> </w:t>
      </w:r>
      <w:r>
        <w:rPr>
          <w:sz w:val="20"/>
        </w:rPr>
        <w:t>como</w:t>
      </w:r>
      <w:r>
        <w:rPr>
          <w:spacing w:val="-2"/>
          <w:sz w:val="20"/>
        </w:rPr>
        <w:t> </w:t>
      </w:r>
      <w:r>
        <w:rPr>
          <w:sz w:val="20"/>
        </w:rPr>
        <w:t>de</w:t>
      </w:r>
      <w:r>
        <w:rPr>
          <w:spacing w:val="-2"/>
          <w:sz w:val="20"/>
        </w:rPr>
        <w:t> </w:t>
      </w:r>
      <w:r>
        <w:rPr>
          <w:sz w:val="20"/>
        </w:rPr>
        <w:t>las</w:t>
      </w:r>
      <w:r>
        <w:rPr>
          <w:spacing w:val="-1"/>
          <w:sz w:val="20"/>
        </w:rPr>
        <w:t> </w:t>
      </w:r>
      <w:r>
        <w:rPr>
          <w:sz w:val="20"/>
        </w:rPr>
        <w:t>obras</w:t>
      </w:r>
      <w:r>
        <w:rPr>
          <w:spacing w:val="-3"/>
          <w:sz w:val="20"/>
        </w:rPr>
        <w:t> </w:t>
      </w:r>
      <w:r>
        <w:rPr>
          <w:sz w:val="20"/>
        </w:rPr>
        <w:t>de</w:t>
      </w:r>
      <w:r>
        <w:rPr>
          <w:spacing w:val="-4"/>
          <w:sz w:val="20"/>
        </w:rPr>
        <w:t> </w:t>
      </w:r>
      <w:r>
        <w:rPr>
          <w:sz w:val="20"/>
        </w:rPr>
        <w:t>red</w:t>
      </w:r>
      <w:r>
        <w:rPr>
          <w:spacing w:val="-5"/>
          <w:sz w:val="20"/>
        </w:rPr>
        <w:t> </w:t>
      </w:r>
      <w:r>
        <w:rPr>
          <w:sz w:val="20"/>
        </w:rPr>
        <w:t>de</w:t>
      </w:r>
      <w:r>
        <w:rPr>
          <w:spacing w:val="-4"/>
          <w:sz w:val="20"/>
        </w:rPr>
        <w:t> </w:t>
      </w:r>
      <w:r>
        <w:rPr>
          <w:sz w:val="20"/>
        </w:rPr>
        <w:t>distribución de energía eléctrica, aprobadas por la Comisión Federal de Electricidad u organismo análogo;</w:t>
      </w:r>
    </w:p>
    <w:p>
      <w:pPr>
        <w:pStyle w:val="BodyText"/>
      </w:pPr>
    </w:p>
    <w:p>
      <w:pPr>
        <w:pStyle w:val="ListParagraph"/>
        <w:numPr>
          <w:ilvl w:val="0"/>
          <w:numId w:val="144"/>
        </w:numPr>
        <w:tabs>
          <w:tab w:pos="741" w:val="left" w:leader="none"/>
        </w:tabs>
        <w:spacing w:line="240" w:lineRule="auto" w:before="0" w:after="0"/>
        <w:ind w:left="262" w:right="285" w:firstLine="0"/>
        <w:jc w:val="both"/>
        <w:rPr>
          <w:sz w:val="20"/>
        </w:rPr>
      </w:pPr>
      <w:r>
        <w:rPr>
          <w:sz w:val="20"/>
        </w:rPr>
        <w:t>Original</w:t>
      </w:r>
      <w:r>
        <w:rPr>
          <w:spacing w:val="-11"/>
          <w:sz w:val="20"/>
        </w:rPr>
        <w:t> </w:t>
      </w:r>
      <w:r>
        <w:rPr>
          <w:sz w:val="20"/>
        </w:rPr>
        <w:t>o</w:t>
      </w:r>
      <w:r>
        <w:rPr>
          <w:spacing w:val="-10"/>
          <w:sz w:val="20"/>
        </w:rPr>
        <w:t> </w:t>
      </w:r>
      <w:r>
        <w:rPr>
          <w:sz w:val="20"/>
        </w:rPr>
        <w:t>copia</w:t>
      </w:r>
      <w:r>
        <w:rPr>
          <w:spacing w:val="-10"/>
          <w:sz w:val="20"/>
        </w:rPr>
        <w:t> </w:t>
      </w:r>
      <w:r>
        <w:rPr>
          <w:sz w:val="20"/>
        </w:rPr>
        <w:t>certificada</w:t>
      </w:r>
      <w:r>
        <w:rPr>
          <w:spacing w:val="-10"/>
          <w:sz w:val="20"/>
        </w:rPr>
        <w:t> </w:t>
      </w:r>
      <w:r>
        <w:rPr>
          <w:sz w:val="20"/>
        </w:rPr>
        <w:t>de</w:t>
      </w:r>
      <w:r>
        <w:rPr>
          <w:spacing w:val="-10"/>
          <w:sz w:val="20"/>
        </w:rPr>
        <w:t> </w:t>
      </w:r>
      <w:r>
        <w:rPr>
          <w:sz w:val="20"/>
        </w:rPr>
        <w:t>los</w:t>
      </w:r>
      <w:r>
        <w:rPr>
          <w:spacing w:val="-9"/>
          <w:sz w:val="20"/>
        </w:rPr>
        <w:t> </w:t>
      </w:r>
      <w:r>
        <w:rPr>
          <w:sz w:val="20"/>
        </w:rPr>
        <w:t>asientos</w:t>
      </w:r>
      <w:r>
        <w:rPr>
          <w:spacing w:val="-9"/>
          <w:sz w:val="20"/>
        </w:rPr>
        <w:t> </w:t>
      </w:r>
      <w:r>
        <w:rPr>
          <w:sz w:val="20"/>
        </w:rPr>
        <w:t>en</w:t>
      </w:r>
      <w:r>
        <w:rPr>
          <w:spacing w:val="-10"/>
          <w:sz w:val="20"/>
        </w:rPr>
        <w:t> </w:t>
      </w:r>
      <w:r>
        <w:rPr>
          <w:sz w:val="20"/>
        </w:rPr>
        <w:t>bitácora</w:t>
      </w:r>
      <w:r>
        <w:rPr>
          <w:spacing w:val="-7"/>
          <w:sz w:val="20"/>
        </w:rPr>
        <w:t> </w:t>
      </w:r>
      <w:r>
        <w:rPr>
          <w:sz w:val="20"/>
        </w:rPr>
        <w:t>que</w:t>
      </w:r>
      <w:r>
        <w:rPr>
          <w:spacing w:val="-10"/>
          <w:sz w:val="20"/>
        </w:rPr>
        <w:t> </w:t>
      </w:r>
      <w:r>
        <w:rPr>
          <w:sz w:val="20"/>
        </w:rPr>
        <w:t>contenga</w:t>
      </w:r>
      <w:r>
        <w:rPr>
          <w:spacing w:val="-10"/>
          <w:sz w:val="20"/>
        </w:rPr>
        <w:t> </w:t>
      </w:r>
      <w:r>
        <w:rPr>
          <w:sz w:val="20"/>
        </w:rPr>
        <w:t>la</w:t>
      </w:r>
      <w:r>
        <w:rPr>
          <w:spacing w:val="-10"/>
          <w:sz w:val="20"/>
        </w:rPr>
        <w:t> </w:t>
      </w:r>
      <w:r>
        <w:rPr>
          <w:sz w:val="20"/>
        </w:rPr>
        <w:t>recepción</w:t>
      </w:r>
      <w:r>
        <w:rPr>
          <w:spacing w:val="-8"/>
          <w:sz w:val="20"/>
        </w:rPr>
        <w:t> </w:t>
      </w:r>
      <w:r>
        <w:rPr>
          <w:sz w:val="20"/>
        </w:rPr>
        <w:t>parcial</w:t>
      </w:r>
      <w:r>
        <w:rPr>
          <w:spacing w:val="-11"/>
          <w:sz w:val="20"/>
        </w:rPr>
        <w:t> </w:t>
      </w:r>
      <w:r>
        <w:rPr>
          <w:sz w:val="20"/>
        </w:rPr>
        <w:t>de</w:t>
      </w:r>
      <w:r>
        <w:rPr>
          <w:spacing w:val="-10"/>
          <w:sz w:val="20"/>
        </w:rPr>
        <w:t> </w:t>
      </w:r>
      <w:r>
        <w:rPr>
          <w:sz w:val="20"/>
        </w:rPr>
        <w:t>las obras viales, alcantarillado pluvial, alumbrado público, señalamiento y equipamiento urbano;</w:t>
      </w:r>
    </w:p>
    <w:p>
      <w:pPr>
        <w:pStyle w:val="BodyText"/>
        <w:spacing w:before="1"/>
      </w:pPr>
    </w:p>
    <w:p>
      <w:pPr>
        <w:pStyle w:val="ListParagraph"/>
        <w:numPr>
          <w:ilvl w:val="0"/>
          <w:numId w:val="144"/>
        </w:numPr>
        <w:tabs>
          <w:tab w:pos="688" w:val="left" w:leader="none"/>
        </w:tabs>
        <w:spacing w:line="240" w:lineRule="auto" w:before="1" w:after="0"/>
        <w:ind w:left="688" w:right="0" w:hanging="426"/>
        <w:jc w:val="both"/>
        <w:rPr>
          <w:sz w:val="20"/>
        </w:rPr>
      </w:pPr>
      <w:r>
        <w:rPr>
          <w:sz w:val="20"/>
        </w:rPr>
        <w:t>La</w:t>
      </w:r>
      <w:r>
        <w:rPr>
          <w:spacing w:val="-9"/>
          <w:sz w:val="20"/>
        </w:rPr>
        <w:t> </w:t>
      </w:r>
      <w:r>
        <w:rPr>
          <w:sz w:val="20"/>
        </w:rPr>
        <w:t>constancia</w:t>
      </w:r>
      <w:r>
        <w:rPr>
          <w:spacing w:val="-5"/>
          <w:sz w:val="20"/>
        </w:rPr>
        <w:t> </w:t>
      </w:r>
      <w:r>
        <w:rPr>
          <w:sz w:val="20"/>
        </w:rPr>
        <w:t>de</w:t>
      </w:r>
      <w:r>
        <w:rPr>
          <w:spacing w:val="-8"/>
          <w:sz w:val="20"/>
        </w:rPr>
        <w:t> </w:t>
      </w:r>
      <w:r>
        <w:rPr>
          <w:sz w:val="20"/>
        </w:rPr>
        <w:t>terminación</w:t>
      </w:r>
      <w:r>
        <w:rPr>
          <w:spacing w:val="-8"/>
          <w:sz w:val="20"/>
        </w:rPr>
        <w:t> </w:t>
      </w:r>
      <w:r>
        <w:rPr>
          <w:sz w:val="20"/>
        </w:rPr>
        <w:t>de</w:t>
      </w:r>
      <w:r>
        <w:rPr>
          <w:spacing w:val="-7"/>
          <w:sz w:val="20"/>
        </w:rPr>
        <w:t> </w:t>
      </w:r>
      <w:r>
        <w:rPr>
          <w:sz w:val="20"/>
        </w:rPr>
        <w:t>obras,</w:t>
      </w:r>
      <w:r>
        <w:rPr>
          <w:spacing w:val="-7"/>
          <w:sz w:val="20"/>
        </w:rPr>
        <w:t> </w:t>
      </w:r>
      <w:r>
        <w:rPr>
          <w:sz w:val="20"/>
        </w:rPr>
        <w:t>expedida</w:t>
      </w:r>
      <w:r>
        <w:rPr>
          <w:spacing w:val="-7"/>
          <w:sz w:val="20"/>
        </w:rPr>
        <w:t> </w:t>
      </w:r>
      <w:r>
        <w:rPr>
          <w:sz w:val="20"/>
        </w:rPr>
        <w:t>por</w:t>
      </w:r>
      <w:r>
        <w:rPr>
          <w:spacing w:val="-7"/>
          <w:sz w:val="20"/>
        </w:rPr>
        <w:t> </w:t>
      </w:r>
      <w:r>
        <w:rPr>
          <w:sz w:val="20"/>
        </w:rPr>
        <w:t>la</w:t>
      </w:r>
      <w:r>
        <w:rPr>
          <w:spacing w:val="-8"/>
          <w:sz w:val="20"/>
        </w:rPr>
        <w:t> </w:t>
      </w:r>
      <w:r>
        <w:rPr>
          <w:sz w:val="20"/>
        </w:rPr>
        <w:t>autoridad</w:t>
      </w:r>
      <w:r>
        <w:rPr>
          <w:spacing w:val="-8"/>
          <w:sz w:val="20"/>
        </w:rPr>
        <w:t> </w:t>
      </w:r>
      <w:r>
        <w:rPr>
          <w:spacing w:val="-2"/>
          <w:sz w:val="20"/>
        </w:rPr>
        <w:t>competente;</w:t>
      </w:r>
    </w:p>
    <w:p>
      <w:pPr>
        <w:pStyle w:val="BodyText"/>
      </w:pPr>
    </w:p>
    <w:p>
      <w:pPr>
        <w:pStyle w:val="ListParagraph"/>
        <w:numPr>
          <w:ilvl w:val="0"/>
          <w:numId w:val="144"/>
        </w:numPr>
        <w:tabs>
          <w:tab w:pos="688" w:val="left" w:leader="none"/>
        </w:tabs>
        <w:spacing w:line="240" w:lineRule="auto" w:before="0" w:after="0"/>
        <w:ind w:left="262" w:right="286" w:firstLine="0"/>
        <w:jc w:val="both"/>
        <w:rPr>
          <w:sz w:val="20"/>
        </w:rPr>
      </w:pPr>
      <w:r>
        <w:rPr>
          <w:sz w:val="20"/>
        </w:rPr>
        <w:t>Planos definitivos de las obras de urbanización y equipamiento ejecutados, en el caso de que en el transcurso de las obras se hubieren modificado, y</w:t>
      </w:r>
    </w:p>
    <w:p>
      <w:pPr>
        <w:pStyle w:val="ListParagraph"/>
        <w:numPr>
          <w:ilvl w:val="0"/>
          <w:numId w:val="144"/>
        </w:numPr>
        <w:tabs>
          <w:tab w:pos="743" w:val="left" w:leader="none"/>
        </w:tabs>
        <w:spacing w:line="240" w:lineRule="auto" w:before="229" w:after="0"/>
        <w:ind w:left="262" w:right="288" w:firstLine="0"/>
        <w:jc w:val="both"/>
        <w:rPr>
          <w:sz w:val="20"/>
        </w:rPr>
      </w:pPr>
      <w:r>
        <w:rPr>
          <w:sz w:val="20"/>
        </w:rPr>
        <w:t>Planos autorizados por las autoridades respectivas, de los proyectos de red de agua potable, alcantarillado sanitario y red de distribución de energía eléctrica.</w:t>
      </w:r>
    </w:p>
    <w:p>
      <w:pPr>
        <w:pStyle w:val="BodyText"/>
        <w:spacing w:before="229"/>
        <w:ind w:left="262" w:right="285"/>
        <w:jc w:val="both"/>
      </w:pPr>
      <w:r>
        <w:rPr/>
        <w:t>La</w:t>
      </w:r>
      <w:r>
        <w:rPr>
          <w:spacing w:val="-14"/>
        </w:rPr>
        <w:t> </w:t>
      </w:r>
      <w:r>
        <w:rPr/>
        <w:t>autoridad</w:t>
      </w:r>
      <w:r>
        <w:rPr>
          <w:spacing w:val="-14"/>
        </w:rPr>
        <w:t> </w:t>
      </w:r>
      <w:r>
        <w:rPr/>
        <w:t>competente</w:t>
      </w:r>
      <w:r>
        <w:rPr>
          <w:spacing w:val="-14"/>
        </w:rPr>
        <w:t> </w:t>
      </w:r>
      <w:r>
        <w:rPr/>
        <w:t>revisará</w:t>
      </w:r>
      <w:r>
        <w:rPr>
          <w:spacing w:val="-14"/>
        </w:rPr>
        <w:t> </w:t>
      </w:r>
      <w:r>
        <w:rPr/>
        <w:t>que</w:t>
      </w:r>
      <w:r>
        <w:rPr>
          <w:spacing w:val="-14"/>
        </w:rPr>
        <w:t> </w:t>
      </w:r>
      <w:r>
        <w:rPr/>
        <w:t>la</w:t>
      </w:r>
      <w:r>
        <w:rPr>
          <w:spacing w:val="-14"/>
        </w:rPr>
        <w:t> </w:t>
      </w:r>
      <w:r>
        <w:rPr/>
        <w:t>documentación</w:t>
      </w:r>
      <w:r>
        <w:rPr>
          <w:spacing w:val="-14"/>
        </w:rPr>
        <w:t> </w:t>
      </w:r>
      <w:r>
        <w:rPr/>
        <w:t>se</w:t>
      </w:r>
      <w:r>
        <w:rPr>
          <w:spacing w:val="-14"/>
        </w:rPr>
        <w:t> </w:t>
      </w:r>
      <w:r>
        <w:rPr/>
        <w:t>encuentre</w:t>
      </w:r>
      <w:r>
        <w:rPr>
          <w:spacing w:val="-14"/>
        </w:rPr>
        <w:t> </w:t>
      </w:r>
      <w:r>
        <w:rPr/>
        <w:t>completa,</w:t>
      </w:r>
      <w:r>
        <w:rPr>
          <w:spacing w:val="-13"/>
        </w:rPr>
        <w:t> </w:t>
      </w:r>
      <w:r>
        <w:rPr/>
        <w:t>previo</w:t>
      </w:r>
      <w:r>
        <w:rPr>
          <w:spacing w:val="-14"/>
        </w:rPr>
        <w:t> </w:t>
      </w:r>
      <w:r>
        <w:rPr/>
        <w:t>a</w:t>
      </w:r>
      <w:r>
        <w:rPr>
          <w:spacing w:val="-14"/>
        </w:rPr>
        <w:t> </w:t>
      </w:r>
      <w:r>
        <w:rPr/>
        <w:t>la</w:t>
      </w:r>
      <w:r>
        <w:rPr>
          <w:spacing w:val="-14"/>
        </w:rPr>
        <w:t> </w:t>
      </w:r>
      <w:r>
        <w:rPr/>
        <w:t>admisión de la solicitud.</w:t>
      </w:r>
    </w:p>
    <w:p>
      <w:pPr>
        <w:pStyle w:val="BodyText"/>
        <w:spacing w:before="2"/>
      </w:pPr>
    </w:p>
    <w:p>
      <w:pPr>
        <w:pStyle w:val="BodyText"/>
        <w:ind w:left="262" w:right="283"/>
        <w:jc w:val="both"/>
      </w:pPr>
      <w:r>
        <w:rPr>
          <w:rFonts w:ascii="Arial" w:hAnsi="Arial"/>
          <w:b/>
        </w:rPr>
        <w:t>ARTÍCULO 488. </w:t>
      </w:r>
      <w:r>
        <w:rPr/>
        <w:t>La autoridad competente, evaluará la documentación presentada por el fraccionador;</w:t>
      </w:r>
      <w:r>
        <w:rPr>
          <w:spacing w:val="-7"/>
        </w:rPr>
        <w:t> </w:t>
      </w:r>
      <w:r>
        <w:rPr/>
        <w:t>inspeccionará</w:t>
      </w:r>
      <w:r>
        <w:rPr>
          <w:spacing w:val="-7"/>
        </w:rPr>
        <w:t> </w:t>
      </w:r>
      <w:r>
        <w:rPr/>
        <w:t>y</w:t>
      </w:r>
      <w:r>
        <w:rPr>
          <w:spacing w:val="-9"/>
        </w:rPr>
        <w:t> </w:t>
      </w:r>
      <w:r>
        <w:rPr/>
        <w:t>verificará</w:t>
      </w:r>
      <w:r>
        <w:rPr>
          <w:spacing w:val="-7"/>
        </w:rPr>
        <w:t> </w:t>
      </w:r>
      <w:r>
        <w:rPr/>
        <w:t>que</w:t>
      </w:r>
      <w:r>
        <w:rPr>
          <w:spacing w:val="-8"/>
        </w:rPr>
        <w:t> </w:t>
      </w:r>
      <w:r>
        <w:rPr/>
        <w:t>las</w:t>
      </w:r>
      <w:r>
        <w:rPr>
          <w:spacing w:val="-9"/>
        </w:rPr>
        <w:t> </w:t>
      </w:r>
      <w:r>
        <w:rPr/>
        <w:t>obras</w:t>
      </w:r>
      <w:r>
        <w:rPr>
          <w:spacing w:val="-8"/>
        </w:rPr>
        <w:t> </w:t>
      </w:r>
      <w:r>
        <w:rPr/>
        <w:t>ejecutadas</w:t>
      </w:r>
      <w:r>
        <w:rPr>
          <w:spacing w:val="-9"/>
        </w:rPr>
        <w:t> </w:t>
      </w:r>
      <w:r>
        <w:rPr/>
        <w:t>correspondan</w:t>
      </w:r>
      <w:r>
        <w:rPr>
          <w:spacing w:val="-10"/>
        </w:rPr>
        <w:t> </w:t>
      </w:r>
      <w:r>
        <w:rPr/>
        <w:t>a</w:t>
      </w:r>
      <w:r>
        <w:rPr>
          <w:spacing w:val="-8"/>
        </w:rPr>
        <w:t> </w:t>
      </w:r>
      <w:r>
        <w:rPr/>
        <w:t>las</w:t>
      </w:r>
      <w:r>
        <w:rPr>
          <w:spacing w:val="-9"/>
        </w:rPr>
        <w:t> </w:t>
      </w:r>
      <w:r>
        <w:rPr/>
        <w:t>autorizadas</w:t>
      </w:r>
      <w:r>
        <w:rPr>
          <w:spacing w:val="-9"/>
        </w:rPr>
        <w:t> </w:t>
      </w:r>
      <w:r>
        <w:rPr/>
        <w:t>en los planos modificados de las mismas y resolverá lo conducente.</w:t>
      </w:r>
    </w:p>
    <w:p>
      <w:pPr>
        <w:pStyle w:val="BodyText"/>
        <w:spacing w:before="229"/>
        <w:ind w:left="262" w:right="279"/>
        <w:jc w:val="both"/>
      </w:pPr>
      <w:r>
        <w:rPr>
          <w:rFonts w:ascii="Arial" w:hAnsi="Arial"/>
          <w:b/>
        </w:rPr>
        <w:t>ARTÍCULO</w:t>
      </w:r>
      <w:r>
        <w:rPr>
          <w:rFonts w:ascii="Arial" w:hAnsi="Arial"/>
          <w:b/>
          <w:spacing w:val="-5"/>
        </w:rPr>
        <w:t> </w:t>
      </w:r>
      <w:r>
        <w:rPr>
          <w:rFonts w:ascii="Arial" w:hAnsi="Arial"/>
          <w:b/>
        </w:rPr>
        <w:t>489.</w:t>
      </w:r>
      <w:r>
        <w:rPr>
          <w:rFonts w:ascii="Arial" w:hAnsi="Arial"/>
          <w:b/>
          <w:spacing w:val="-6"/>
        </w:rPr>
        <w:t> </w:t>
      </w:r>
      <w:r>
        <w:rPr/>
        <w:t>Para</w:t>
      </w:r>
      <w:r>
        <w:rPr>
          <w:spacing w:val="-6"/>
        </w:rPr>
        <w:t> </w:t>
      </w:r>
      <w:r>
        <w:rPr/>
        <w:t>efectos</w:t>
      </w:r>
      <w:r>
        <w:rPr>
          <w:spacing w:val="-6"/>
        </w:rPr>
        <w:t> </w:t>
      </w:r>
      <w:r>
        <w:rPr/>
        <w:t>del</w:t>
      </w:r>
      <w:r>
        <w:rPr>
          <w:spacing w:val="-5"/>
        </w:rPr>
        <w:t> </w:t>
      </w:r>
      <w:r>
        <w:rPr/>
        <w:t>artículo</w:t>
      </w:r>
      <w:r>
        <w:rPr>
          <w:spacing w:val="-7"/>
        </w:rPr>
        <w:t> </w:t>
      </w:r>
      <w:r>
        <w:rPr/>
        <w:t>anterior,</w:t>
      </w:r>
      <w:r>
        <w:rPr>
          <w:spacing w:val="-4"/>
        </w:rPr>
        <w:t> </w:t>
      </w:r>
      <w:r>
        <w:rPr/>
        <w:t>a</w:t>
      </w:r>
      <w:r>
        <w:rPr>
          <w:spacing w:val="-7"/>
        </w:rPr>
        <w:t> </w:t>
      </w:r>
      <w:r>
        <w:rPr/>
        <w:t>fin</w:t>
      </w:r>
      <w:r>
        <w:rPr>
          <w:spacing w:val="-5"/>
        </w:rPr>
        <w:t> </w:t>
      </w:r>
      <w:r>
        <w:rPr/>
        <w:t>de</w:t>
      </w:r>
      <w:r>
        <w:rPr>
          <w:spacing w:val="-7"/>
        </w:rPr>
        <w:t> </w:t>
      </w:r>
      <w:r>
        <w:rPr/>
        <w:t>contar</w:t>
      </w:r>
      <w:r>
        <w:rPr>
          <w:spacing w:val="-6"/>
        </w:rPr>
        <w:t> </w:t>
      </w:r>
      <w:r>
        <w:rPr/>
        <w:t>con</w:t>
      </w:r>
      <w:r>
        <w:rPr>
          <w:spacing w:val="-7"/>
        </w:rPr>
        <w:t> </w:t>
      </w:r>
      <w:r>
        <w:rPr/>
        <w:t>los</w:t>
      </w:r>
      <w:r>
        <w:rPr>
          <w:spacing w:val="-6"/>
        </w:rPr>
        <w:t> </w:t>
      </w:r>
      <w:r>
        <w:rPr/>
        <w:t>suficientes</w:t>
      </w:r>
      <w:r>
        <w:rPr>
          <w:spacing w:val="-6"/>
        </w:rPr>
        <w:t> </w:t>
      </w:r>
      <w:r>
        <w:rPr/>
        <w:t>elementos</w:t>
      </w:r>
      <w:r>
        <w:rPr>
          <w:spacing w:val="-6"/>
        </w:rPr>
        <w:t> </w:t>
      </w:r>
      <w:r>
        <w:rPr/>
        <w:t>que le</w:t>
      </w:r>
      <w:r>
        <w:rPr>
          <w:spacing w:val="-4"/>
        </w:rPr>
        <w:t> </w:t>
      </w:r>
      <w:r>
        <w:rPr/>
        <w:t>permitan</w:t>
      </w:r>
      <w:r>
        <w:rPr>
          <w:spacing w:val="-4"/>
        </w:rPr>
        <w:t> </w:t>
      </w:r>
      <w:r>
        <w:rPr/>
        <w:t>integrar</w:t>
      </w:r>
      <w:r>
        <w:rPr>
          <w:spacing w:val="-4"/>
        </w:rPr>
        <w:t> </w:t>
      </w:r>
      <w:r>
        <w:rPr/>
        <w:t>el</w:t>
      </w:r>
      <w:r>
        <w:rPr>
          <w:spacing w:val="-5"/>
        </w:rPr>
        <w:t> </w:t>
      </w:r>
      <w:r>
        <w:rPr/>
        <w:t>dictamen</w:t>
      </w:r>
      <w:r>
        <w:rPr>
          <w:spacing w:val="-5"/>
        </w:rPr>
        <w:t> </w:t>
      </w:r>
      <w:r>
        <w:rPr/>
        <w:t>sobre</w:t>
      </w:r>
      <w:r>
        <w:rPr>
          <w:spacing w:val="-5"/>
        </w:rPr>
        <w:t> </w:t>
      </w:r>
      <w:r>
        <w:rPr/>
        <w:t>la</w:t>
      </w:r>
      <w:r>
        <w:rPr>
          <w:spacing w:val="-7"/>
        </w:rPr>
        <w:t> </w:t>
      </w:r>
      <w:r>
        <w:rPr/>
        <w:t>procedencia</w:t>
      </w:r>
      <w:r>
        <w:rPr>
          <w:spacing w:val="-2"/>
        </w:rPr>
        <w:t> </w:t>
      </w:r>
      <w:r>
        <w:rPr/>
        <w:t>de</w:t>
      </w:r>
      <w:r>
        <w:rPr>
          <w:spacing w:val="-5"/>
        </w:rPr>
        <w:t> </w:t>
      </w:r>
      <w:r>
        <w:rPr/>
        <w:t>la</w:t>
      </w:r>
      <w:r>
        <w:rPr>
          <w:spacing w:val="-5"/>
        </w:rPr>
        <w:t> </w:t>
      </w:r>
      <w:r>
        <w:rPr/>
        <w:t>municipalización,</w:t>
      </w:r>
      <w:r>
        <w:rPr>
          <w:spacing w:val="-4"/>
        </w:rPr>
        <w:t> </w:t>
      </w:r>
      <w:r>
        <w:rPr/>
        <w:t>la</w:t>
      </w:r>
      <w:r>
        <w:rPr>
          <w:spacing w:val="-7"/>
        </w:rPr>
        <w:t> </w:t>
      </w:r>
      <w:r>
        <w:rPr/>
        <w:t>Dirección</w:t>
      </w:r>
      <w:r>
        <w:rPr>
          <w:spacing w:val="-5"/>
        </w:rPr>
        <w:t> </w:t>
      </w:r>
      <w:r>
        <w:rPr/>
        <w:t>Municipal, requerirá</w:t>
      </w:r>
      <w:r>
        <w:rPr>
          <w:spacing w:val="-14"/>
        </w:rPr>
        <w:t> </w:t>
      </w:r>
      <w:r>
        <w:rPr/>
        <w:t>dentro</w:t>
      </w:r>
      <w:r>
        <w:rPr>
          <w:spacing w:val="-14"/>
        </w:rPr>
        <w:t> </w:t>
      </w:r>
      <w:r>
        <w:rPr/>
        <w:t>de</w:t>
      </w:r>
      <w:r>
        <w:rPr>
          <w:spacing w:val="-14"/>
        </w:rPr>
        <w:t> </w:t>
      </w:r>
      <w:r>
        <w:rPr/>
        <w:t>los</w:t>
      </w:r>
      <w:r>
        <w:rPr>
          <w:spacing w:val="-14"/>
        </w:rPr>
        <w:t> </w:t>
      </w:r>
      <w:r>
        <w:rPr/>
        <w:t>tres</w:t>
      </w:r>
      <w:r>
        <w:rPr>
          <w:spacing w:val="-14"/>
        </w:rPr>
        <w:t> </w:t>
      </w:r>
      <w:r>
        <w:rPr/>
        <w:t>días</w:t>
      </w:r>
      <w:r>
        <w:rPr>
          <w:spacing w:val="-14"/>
        </w:rPr>
        <w:t> </w:t>
      </w:r>
      <w:r>
        <w:rPr/>
        <w:t>siguientes</w:t>
      </w:r>
      <w:r>
        <w:rPr>
          <w:spacing w:val="-14"/>
        </w:rPr>
        <w:t> </w:t>
      </w:r>
      <w:r>
        <w:rPr/>
        <w:t>a</w:t>
      </w:r>
      <w:r>
        <w:rPr>
          <w:spacing w:val="-14"/>
        </w:rPr>
        <w:t> </w:t>
      </w:r>
      <w:r>
        <w:rPr/>
        <w:t>la</w:t>
      </w:r>
      <w:r>
        <w:rPr>
          <w:spacing w:val="-14"/>
        </w:rPr>
        <w:t> </w:t>
      </w:r>
      <w:r>
        <w:rPr/>
        <w:t>solicitud,</w:t>
      </w:r>
      <w:r>
        <w:rPr>
          <w:spacing w:val="-13"/>
        </w:rPr>
        <w:t> </w:t>
      </w:r>
      <w:r>
        <w:rPr/>
        <w:t>la</w:t>
      </w:r>
      <w:r>
        <w:rPr>
          <w:spacing w:val="-14"/>
        </w:rPr>
        <w:t> </w:t>
      </w:r>
      <w:r>
        <w:rPr/>
        <w:t>opinión</w:t>
      </w:r>
      <w:r>
        <w:rPr>
          <w:spacing w:val="-14"/>
        </w:rPr>
        <w:t> </w:t>
      </w:r>
      <w:r>
        <w:rPr/>
        <w:t>técnica</w:t>
      </w:r>
      <w:r>
        <w:rPr>
          <w:spacing w:val="-14"/>
        </w:rPr>
        <w:t> </w:t>
      </w:r>
      <w:r>
        <w:rPr/>
        <w:t>de</w:t>
      </w:r>
      <w:r>
        <w:rPr>
          <w:spacing w:val="-14"/>
        </w:rPr>
        <w:t> </w:t>
      </w:r>
      <w:r>
        <w:rPr/>
        <w:t>las</w:t>
      </w:r>
      <w:r>
        <w:rPr>
          <w:spacing w:val="-14"/>
        </w:rPr>
        <w:t> </w:t>
      </w:r>
      <w:r>
        <w:rPr/>
        <w:t>áreas</w:t>
      </w:r>
      <w:r>
        <w:rPr>
          <w:spacing w:val="-14"/>
        </w:rPr>
        <w:t> </w:t>
      </w:r>
      <w:r>
        <w:rPr/>
        <w:t>de</w:t>
      </w:r>
      <w:r>
        <w:rPr>
          <w:spacing w:val="-14"/>
        </w:rPr>
        <w:t> </w:t>
      </w:r>
      <w:r>
        <w:rPr/>
        <w:t>alumbrado público, protección civil, agua potable y saneamiento, ecología y sindicatura, e incluirá la propia respecto</w:t>
      </w:r>
      <w:r>
        <w:rPr>
          <w:spacing w:val="-5"/>
        </w:rPr>
        <w:t> </w:t>
      </w:r>
      <w:r>
        <w:rPr/>
        <w:t>a</w:t>
      </w:r>
      <w:r>
        <w:rPr>
          <w:spacing w:val="-4"/>
        </w:rPr>
        <w:t> </w:t>
      </w:r>
      <w:r>
        <w:rPr/>
        <w:t>urbanización,</w:t>
      </w:r>
      <w:r>
        <w:rPr>
          <w:spacing w:val="-4"/>
        </w:rPr>
        <w:t> </w:t>
      </w:r>
      <w:r>
        <w:rPr/>
        <w:t>en</w:t>
      </w:r>
      <w:r>
        <w:rPr>
          <w:spacing w:val="-2"/>
        </w:rPr>
        <w:t> </w:t>
      </w:r>
      <w:r>
        <w:rPr/>
        <w:t>cada</w:t>
      </w:r>
      <w:r>
        <w:rPr>
          <w:spacing w:val="-4"/>
        </w:rPr>
        <w:t> </w:t>
      </w:r>
      <w:r>
        <w:rPr/>
        <w:t>uno</w:t>
      </w:r>
      <w:r>
        <w:rPr>
          <w:spacing w:val="-4"/>
        </w:rPr>
        <w:t> </w:t>
      </w:r>
      <w:r>
        <w:rPr/>
        <w:t>de</w:t>
      </w:r>
      <w:r>
        <w:rPr>
          <w:spacing w:val="-2"/>
        </w:rPr>
        <w:t> </w:t>
      </w:r>
      <w:r>
        <w:rPr/>
        <w:t>los</w:t>
      </w:r>
      <w:r>
        <w:rPr>
          <w:spacing w:val="-3"/>
        </w:rPr>
        <w:t> </w:t>
      </w:r>
      <w:r>
        <w:rPr/>
        <w:t>aspectos</w:t>
      </w:r>
      <w:r>
        <w:rPr>
          <w:spacing w:val="-3"/>
        </w:rPr>
        <w:t> </w:t>
      </w:r>
      <w:r>
        <w:rPr/>
        <w:t>técnicos</w:t>
      </w:r>
      <w:r>
        <w:rPr>
          <w:spacing w:val="-3"/>
        </w:rPr>
        <w:t> </w:t>
      </w:r>
      <w:r>
        <w:rPr/>
        <w:t>que</w:t>
      </w:r>
      <w:r>
        <w:rPr>
          <w:spacing w:val="-4"/>
        </w:rPr>
        <w:t> </w:t>
      </w:r>
      <w:r>
        <w:rPr/>
        <w:t>se</w:t>
      </w:r>
      <w:r>
        <w:rPr>
          <w:spacing w:val="-4"/>
        </w:rPr>
        <w:t> </w:t>
      </w:r>
      <w:r>
        <w:rPr/>
        <w:t>deban</w:t>
      </w:r>
      <w:r>
        <w:rPr>
          <w:spacing w:val="-5"/>
        </w:rPr>
        <w:t> </w:t>
      </w:r>
      <w:r>
        <w:rPr/>
        <w:t>analizar</w:t>
      </w:r>
      <w:r>
        <w:rPr>
          <w:spacing w:val="-4"/>
        </w:rPr>
        <w:t> </w:t>
      </w:r>
      <w:r>
        <w:rPr/>
        <w:t>e</w:t>
      </w:r>
      <w:r>
        <w:rPr>
          <w:spacing w:val="-4"/>
        </w:rPr>
        <w:t> </w:t>
      </w:r>
      <w:r>
        <w:rPr/>
        <w:t>incluir</w:t>
      </w:r>
      <w:r>
        <w:rPr>
          <w:spacing w:val="-3"/>
        </w:rPr>
        <w:t> </w:t>
      </w:r>
      <w:r>
        <w:rPr/>
        <w:t>en</w:t>
      </w:r>
      <w:r>
        <w:rPr>
          <w:spacing w:val="-3"/>
        </w:rPr>
        <w:t> </w:t>
      </w:r>
      <w:r>
        <w:rPr/>
        <w:t>el dictamen mencionado, conforme al proyecto del fraccionamiento autorizado. Asimismo, anexará el acta de recepción de las áreas de donación que haya expedido patrimonio municipal o el área competente, al momento de la escrituración y recepción física de las mismas, cuando así proceda.</w:t>
      </w:r>
    </w:p>
    <w:p>
      <w:pPr>
        <w:pStyle w:val="BodyText"/>
        <w:spacing w:before="1"/>
      </w:pPr>
    </w:p>
    <w:p>
      <w:pPr>
        <w:pStyle w:val="BodyText"/>
        <w:ind w:left="262" w:right="289"/>
        <w:jc w:val="both"/>
      </w:pPr>
      <w:r>
        <w:rPr/>
        <w:t>El plazo máximo de respuesta de las opiniones técnicas de todas y cada una de las instancias que les hayan sido requeridas directamente por la Dirección Municipal, incluida la propia, no podrá ser mayor de diez días hábiles, contados a partir de que se le solicitaron por ésta.</w:t>
      </w:r>
    </w:p>
    <w:p>
      <w:pPr>
        <w:pStyle w:val="BodyText"/>
      </w:pPr>
    </w:p>
    <w:p>
      <w:pPr>
        <w:pStyle w:val="BodyText"/>
        <w:ind w:left="262" w:right="285"/>
        <w:jc w:val="both"/>
      </w:pPr>
      <w:r>
        <w:rPr/>
        <w:t>Transcurrido el plazo antes señalado, sin que se hayan obtenido las opiniones técnicas mencionadas,</w:t>
      </w:r>
      <w:r>
        <w:rPr>
          <w:spacing w:val="-12"/>
        </w:rPr>
        <w:t> </w:t>
      </w:r>
      <w:r>
        <w:rPr/>
        <w:t>se</w:t>
      </w:r>
      <w:r>
        <w:rPr>
          <w:spacing w:val="-10"/>
        </w:rPr>
        <w:t> </w:t>
      </w:r>
      <w:r>
        <w:rPr/>
        <w:t>entenderá</w:t>
      </w:r>
      <w:r>
        <w:rPr>
          <w:spacing w:val="-10"/>
        </w:rPr>
        <w:t> </w:t>
      </w:r>
      <w:r>
        <w:rPr/>
        <w:t>que</w:t>
      </w:r>
      <w:r>
        <w:rPr>
          <w:spacing w:val="-10"/>
        </w:rPr>
        <w:t> </w:t>
      </w:r>
      <w:r>
        <w:rPr/>
        <w:t>dichas</w:t>
      </w:r>
      <w:r>
        <w:rPr>
          <w:spacing w:val="-11"/>
        </w:rPr>
        <w:t> </w:t>
      </w:r>
      <w:r>
        <w:rPr/>
        <w:t>autoridades</w:t>
      </w:r>
      <w:r>
        <w:rPr>
          <w:spacing w:val="-11"/>
        </w:rPr>
        <w:t> </w:t>
      </w:r>
      <w:r>
        <w:rPr/>
        <w:t>u</w:t>
      </w:r>
      <w:r>
        <w:rPr>
          <w:spacing w:val="-10"/>
        </w:rPr>
        <w:t> </w:t>
      </w:r>
      <w:r>
        <w:rPr/>
        <w:t>organismos</w:t>
      </w:r>
      <w:r>
        <w:rPr>
          <w:spacing w:val="-11"/>
        </w:rPr>
        <w:t> </w:t>
      </w:r>
      <w:r>
        <w:rPr/>
        <w:t>no</w:t>
      </w:r>
      <w:r>
        <w:rPr>
          <w:spacing w:val="-11"/>
        </w:rPr>
        <w:t> </w:t>
      </w:r>
      <w:r>
        <w:rPr/>
        <w:t>tienen</w:t>
      </w:r>
      <w:r>
        <w:rPr>
          <w:spacing w:val="-10"/>
        </w:rPr>
        <w:t> </w:t>
      </w:r>
      <w:r>
        <w:rPr/>
        <w:t>objeción</w:t>
      </w:r>
      <w:r>
        <w:rPr>
          <w:spacing w:val="-13"/>
        </w:rPr>
        <w:t> </w:t>
      </w:r>
      <w:r>
        <w:rPr/>
        <w:t>respecto</w:t>
      </w:r>
      <w:r>
        <w:rPr>
          <w:spacing w:val="-13"/>
        </w:rPr>
        <w:t> </w:t>
      </w:r>
      <w:r>
        <w:rPr/>
        <w:t>a</w:t>
      </w:r>
      <w:r>
        <w:rPr>
          <w:spacing w:val="-10"/>
        </w:rPr>
        <w:t> </w:t>
      </w:r>
      <w:r>
        <w:rPr/>
        <w:t>que la solicitud de municipalización sea resuelta por la Dirección Municipal.</w:t>
      </w:r>
    </w:p>
    <w:p>
      <w:pPr>
        <w:pStyle w:val="BodyText"/>
        <w:ind w:left="262" w:right="281"/>
        <w:jc w:val="both"/>
      </w:pPr>
      <w:r>
        <w:rPr/>
        <w:t>La</w:t>
      </w:r>
      <w:r>
        <w:rPr>
          <w:spacing w:val="-14"/>
        </w:rPr>
        <w:t> </w:t>
      </w:r>
      <w:r>
        <w:rPr/>
        <w:t>Dirección</w:t>
      </w:r>
      <w:r>
        <w:rPr>
          <w:spacing w:val="-14"/>
        </w:rPr>
        <w:t> </w:t>
      </w:r>
      <w:r>
        <w:rPr/>
        <w:t>municipal</w:t>
      </w:r>
      <w:r>
        <w:rPr>
          <w:spacing w:val="-14"/>
        </w:rPr>
        <w:t> </w:t>
      </w:r>
      <w:r>
        <w:rPr/>
        <w:t>deberá</w:t>
      </w:r>
      <w:r>
        <w:rPr>
          <w:spacing w:val="-14"/>
        </w:rPr>
        <w:t> </w:t>
      </w:r>
      <w:r>
        <w:rPr/>
        <w:t>emitir</w:t>
      </w:r>
      <w:r>
        <w:rPr>
          <w:spacing w:val="-14"/>
        </w:rPr>
        <w:t> </w:t>
      </w:r>
      <w:r>
        <w:rPr/>
        <w:t>el</w:t>
      </w:r>
      <w:r>
        <w:rPr>
          <w:spacing w:val="-14"/>
        </w:rPr>
        <w:t> </w:t>
      </w:r>
      <w:r>
        <w:rPr/>
        <w:t>dictamen</w:t>
      </w:r>
      <w:r>
        <w:rPr>
          <w:spacing w:val="-14"/>
        </w:rPr>
        <w:t> </w:t>
      </w:r>
      <w:r>
        <w:rPr/>
        <w:t>que</w:t>
      </w:r>
      <w:r>
        <w:rPr>
          <w:spacing w:val="-14"/>
        </w:rPr>
        <w:t> </w:t>
      </w:r>
      <w:r>
        <w:rPr/>
        <w:t>resuelva</w:t>
      </w:r>
      <w:r>
        <w:rPr>
          <w:spacing w:val="-14"/>
        </w:rPr>
        <w:t> </w:t>
      </w:r>
      <w:r>
        <w:rPr/>
        <w:t>la</w:t>
      </w:r>
      <w:r>
        <w:rPr>
          <w:spacing w:val="-13"/>
        </w:rPr>
        <w:t> </w:t>
      </w:r>
      <w:r>
        <w:rPr/>
        <w:t>solicitud</w:t>
      </w:r>
      <w:r>
        <w:rPr>
          <w:spacing w:val="-14"/>
        </w:rPr>
        <w:t> </w:t>
      </w:r>
      <w:r>
        <w:rPr/>
        <w:t>de</w:t>
      </w:r>
      <w:r>
        <w:rPr>
          <w:spacing w:val="16"/>
        </w:rPr>
        <w:t> </w:t>
      </w:r>
      <w:r>
        <w:rPr/>
        <w:t>municipalización</w:t>
      </w:r>
      <w:r>
        <w:rPr>
          <w:spacing w:val="-14"/>
        </w:rPr>
        <w:t> </w:t>
      </w:r>
      <w:r>
        <w:rPr/>
        <w:t>dentro de</w:t>
      </w:r>
      <w:r>
        <w:rPr>
          <w:spacing w:val="-5"/>
        </w:rPr>
        <w:t> </w:t>
      </w:r>
      <w:r>
        <w:rPr/>
        <w:t>los</w:t>
      </w:r>
      <w:r>
        <w:rPr>
          <w:spacing w:val="-3"/>
        </w:rPr>
        <w:t> </w:t>
      </w:r>
      <w:r>
        <w:rPr/>
        <w:t>diez</w:t>
      </w:r>
      <w:r>
        <w:rPr>
          <w:spacing w:val="-3"/>
        </w:rPr>
        <w:t> </w:t>
      </w:r>
      <w:r>
        <w:rPr/>
        <w:t>días</w:t>
      </w:r>
      <w:r>
        <w:rPr>
          <w:spacing w:val="-3"/>
        </w:rPr>
        <w:t> </w:t>
      </w:r>
      <w:r>
        <w:rPr/>
        <w:t>siguientes</w:t>
      </w:r>
      <w:r>
        <w:rPr>
          <w:spacing w:val="-1"/>
        </w:rPr>
        <w:t> </w:t>
      </w:r>
      <w:r>
        <w:rPr/>
        <w:t>al</w:t>
      </w:r>
      <w:r>
        <w:rPr>
          <w:spacing w:val="-5"/>
        </w:rPr>
        <w:t> </w:t>
      </w:r>
      <w:r>
        <w:rPr/>
        <w:t>vencimiento</w:t>
      </w:r>
      <w:r>
        <w:rPr>
          <w:spacing w:val="-4"/>
        </w:rPr>
        <w:t> </w:t>
      </w:r>
      <w:r>
        <w:rPr/>
        <w:t>del</w:t>
      </w:r>
      <w:r>
        <w:rPr>
          <w:spacing w:val="-3"/>
        </w:rPr>
        <w:t> </w:t>
      </w:r>
      <w:r>
        <w:rPr/>
        <w:t>plazo</w:t>
      </w:r>
      <w:r>
        <w:rPr>
          <w:spacing w:val="-4"/>
        </w:rPr>
        <w:t> </w:t>
      </w:r>
      <w:r>
        <w:rPr/>
        <w:t>de</w:t>
      </w:r>
      <w:r>
        <w:rPr>
          <w:spacing w:val="-2"/>
        </w:rPr>
        <w:t> </w:t>
      </w:r>
      <w:r>
        <w:rPr/>
        <w:t>diez</w:t>
      </w:r>
      <w:r>
        <w:rPr>
          <w:spacing w:val="-1"/>
        </w:rPr>
        <w:t> </w:t>
      </w:r>
      <w:r>
        <w:rPr/>
        <w:t>días</w:t>
      </w:r>
      <w:r>
        <w:rPr>
          <w:spacing w:val="-3"/>
        </w:rPr>
        <w:t> </w:t>
      </w:r>
      <w:r>
        <w:rPr/>
        <w:t>hábiles</w:t>
      </w:r>
      <w:r>
        <w:rPr>
          <w:spacing w:val="-3"/>
        </w:rPr>
        <w:t> </w:t>
      </w:r>
      <w:r>
        <w:rPr/>
        <w:t>concedido</w:t>
      </w:r>
      <w:r>
        <w:rPr>
          <w:spacing w:val="-4"/>
        </w:rPr>
        <w:t> </w:t>
      </w:r>
      <w:r>
        <w:rPr/>
        <w:t>a</w:t>
      </w:r>
      <w:r>
        <w:rPr>
          <w:spacing w:val="-3"/>
        </w:rPr>
        <w:t> </w:t>
      </w:r>
      <w:r>
        <w:rPr/>
        <w:t>las</w:t>
      </w:r>
      <w:r>
        <w:rPr>
          <w:spacing w:val="-3"/>
        </w:rPr>
        <w:t> </w:t>
      </w:r>
      <w:r>
        <w:rPr/>
        <w:t>áreas</w:t>
      </w:r>
      <w:r>
        <w:rPr>
          <w:spacing w:val="-3"/>
        </w:rPr>
        <w:t> </w:t>
      </w:r>
      <w:r>
        <w:rPr/>
        <w:t>para entregar sus dictámenes; en caso de que la Dirección no resuelva dentro de dicho término, se entenderá que opera la afirmativa ficta a favor del solicitante.</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8"/>
        <w:jc w:val="both"/>
      </w:pPr>
      <w:r>
        <w:rPr>
          <w:rFonts w:ascii="Arial" w:hAnsi="Arial"/>
          <w:b/>
        </w:rPr>
        <w:t>ARTÍCULO</w:t>
      </w:r>
      <w:r>
        <w:rPr>
          <w:rFonts w:ascii="Arial" w:hAnsi="Arial"/>
          <w:b/>
          <w:spacing w:val="-5"/>
        </w:rPr>
        <w:t> </w:t>
      </w:r>
      <w:r>
        <w:rPr>
          <w:rFonts w:ascii="Arial" w:hAnsi="Arial"/>
          <w:b/>
        </w:rPr>
        <w:t>490.</w:t>
      </w:r>
      <w:r>
        <w:rPr>
          <w:rFonts w:ascii="Arial" w:hAnsi="Arial"/>
          <w:b/>
          <w:spacing w:val="-3"/>
        </w:rPr>
        <w:t> </w:t>
      </w:r>
      <w:r>
        <w:rPr/>
        <w:t>Para</w:t>
      </w:r>
      <w:r>
        <w:rPr>
          <w:spacing w:val="-4"/>
        </w:rPr>
        <w:t> </w:t>
      </w:r>
      <w:r>
        <w:rPr/>
        <w:t>otorgar</w:t>
      </w:r>
      <w:r>
        <w:rPr>
          <w:spacing w:val="-6"/>
        </w:rPr>
        <w:t> </w:t>
      </w:r>
      <w:r>
        <w:rPr/>
        <w:t>la</w:t>
      </w:r>
      <w:r>
        <w:rPr>
          <w:spacing w:val="-7"/>
        </w:rPr>
        <w:t> </w:t>
      </w:r>
      <w:r>
        <w:rPr/>
        <w:t>constancia</w:t>
      </w:r>
      <w:r>
        <w:rPr>
          <w:spacing w:val="-4"/>
        </w:rPr>
        <w:t> </w:t>
      </w:r>
      <w:r>
        <w:rPr/>
        <w:t>de</w:t>
      </w:r>
      <w:r>
        <w:rPr>
          <w:spacing w:val="-5"/>
        </w:rPr>
        <w:t> </w:t>
      </w:r>
      <w:r>
        <w:rPr/>
        <w:t>municipalización</w:t>
      </w:r>
      <w:r>
        <w:rPr>
          <w:spacing w:val="-7"/>
        </w:rPr>
        <w:t> </w:t>
      </w:r>
      <w:r>
        <w:rPr/>
        <w:t>del</w:t>
      </w:r>
      <w:r>
        <w:rPr>
          <w:spacing w:val="-6"/>
        </w:rPr>
        <w:t> </w:t>
      </w:r>
      <w:r>
        <w:rPr/>
        <w:t>fraccionamiento,</w:t>
      </w:r>
      <w:r>
        <w:rPr>
          <w:spacing w:val="-4"/>
        </w:rPr>
        <w:t> </w:t>
      </w:r>
      <w:r>
        <w:rPr/>
        <w:t>se</w:t>
      </w:r>
      <w:r>
        <w:rPr>
          <w:spacing w:val="-7"/>
        </w:rPr>
        <w:t> </w:t>
      </w:r>
      <w:r>
        <w:rPr/>
        <w:t>solicitará</w:t>
      </w:r>
      <w:r>
        <w:rPr>
          <w:spacing w:val="-4"/>
        </w:rPr>
        <w:t> </w:t>
      </w:r>
      <w:r>
        <w:rPr/>
        <w:t>al fraccionador la presentación de garantías que por un año aseguren la calidad de las obras ejecutadas,</w:t>
      </w:r>
      <w:r>
        <w:rPr>
          <w:spacing w:val="-7"/>
        </w:rPr>
        <w:t> </w:t>
      </w:r>
      <w:r>
        <w:rPr/>
        <w:t>de</w:t>
      </w:r>
      <w:r>
        <w:rPr>
          <w:spacing w:val="-7"/>
        </w:rPr>
        <w:t> </w:t>
      </w:r>
      <w:r>
        <w:rPr/>
        <w:t>conformidad</w:t>
      </w:r>
      <w:r>
        <w:rPr>
          <w:spacing w:val="-7"/>
        </w:rPr>
        <w:t> </w:t>
      </w:r>
      <w:r>
        <w:rPr/>
        <w:t>con</w:t>
      </w:r>
      <w:r>
        <w:rPr>
          <w:spacing w:val="-7"/>
        </w:rPr>
        <w:t> </w:t>
      </w:r>
      <w:r>
        <w:rPr/>
        <w:t>lo</w:t>
      </w:r>
      <w:r>
        <w:rPr>
          <w:spacing w:val="-7"/>
        </w:rPr>
        <w:t> </w:t>
      </w:r>
      <w:r>
        <w:rPr/>
        <w:t>previsto</w:t>
      </w:r>
      <w:r>
        <w:rPr>
          <w:spacing w:val="-7"/>
        </w:rPr>
        <w:t> </w:t>
      </w:r>
      <w:r>
        <w:rPr/>
        <w:t>en</w:t>
      </w:r>
      <w:r>
        <w:rPr>
          <w:spacing w:val="-7"/>
        </w:rPr>
        <w:t> </w:t>
      </w:r>
      <w:r>
        <w:rPr/>
        <w:t>la</w:t>
      </w:r>
      <w:r>
        <w:rPr>
          <w:spacing w:val="-7"/>
        </w:rPr>
        <w:t> </w:t>
      </w:r>
      <w:r>
        <w:rPr/>
        <w:t>presente</w:t>
      </w:r>
      <w:r>
        <w:rPr>
          <w:spacing w:val="-7"/>
        </w:rPr>
        <w:t> </w:t>
      </w:r>
      <w:r>
        <w:rPr/>
        <w:t>Ley.</w:t>
      </w:r>
      <w:r>
        <w:rPr>
          <w:spacing w:val="-9"/>
        </w:rPr>
        <w:t> </w:t>
      </w:r>
      <w:r>
        <w:rPr/>
        <w:t>Una</w:t>
      </w:r>
      <w:r>
        <w:rPr>
          <w:spacing w:val="-9"/>
        </w:rPr>
        <w:t> </w:t>
      </w:r>
      <w:r>
        <w:rPr/>
        <w:t>vez</w:t>
      </w:r>
      <w:r>
        <w:rPr>
          <w:spacing w:val="-6"/>
        </w:rPr>
        <w:t> </w:t>
      </w:r>
      <w:r>
        <w:rPr/>
        <w:t>que</w:t>
      </w:r>
      <w:r>
        <w:rPr>
          <w:spacing w:val="-7"/>
        </w:rPr>
        <w:t> </w:t>
      </w:r>
      <w:r>
        <w:rPr/>
        <w:t>el</w:t>
      </w:r>
      <w:r>
        <w:rPr>
          <w:spacing w:val="-10"/>
        </w:rPr>
        <w:t> </w:t>
      </w:r>
      <w:r>
        <w:rPr/>
        <w:t>fraccionador</w:t>
      </w:r>
      <w:r>
        <w:rPr>
          <w:spacing w:val="-8"/>
        </w:rPr>
        <w:t> </w:t>
      </w:r>
      <w:r>
        <w:rPr/>
        <w:t>proceda a constituir las garantías señaladas, deberá de notificarlo a la autoridad correspondiente, la cual acusará recibo de la documentación recibida.</w:t>
      </w:r>
    </w:p>
    <w:p>
      <w:pPr>
        <w:pStyle w:val="BodyText"/>
      </w:pPr>
    </w:p>
    <w:p>
      <w:pPr>
        <w:pStyle w:val="BodyText"/>
        <w:ind w:left="262" w:right="287"/>
        <w:jc w:val="both"/>
      </w:pPr>
      <w:r>
        <w:rPr/>
        <w:t>Si de la evaluación de la documentación o de la verificación de las obras, se concluyera la imposibilidad</w:t>
      </w:r>
      <w:r>
        <w:rPr>
          <w:spacing w:val="-4"/>
        </w:rPr>
        <w:t> </w:t>
      </w:r>
      <w:r>
        <w:rPr/>
        <w:t>de</w:t>
      </w:r>
      <w:r>
        <w:rPr>
          <w:spacing w:val="-5"/>
        </w:rPr>
        <w:t> </w:t>
      </w:r>
      <w:r>
        <w:rPr/>
        <w:t>otorgar</w:t>
      </w:r>
      <w:r>
        <w:rPr>
          <w:spacing w:val="-3"/>
        </w:rPr>
        <w:t> </w:t>
      </w:r>
      <w:r>
        <w:rPr/>
        <w:t>la</w:t>
      </w:r>
      <w:r>
        <w:rPr>
          <w:spacing w:val="-2"/>
        </w:rPr>
        <w:t> </w:t>
      </w:r>
      <w:r>
        <w:rPr/>
        <w:t>municipalización</w:t>
      </w:r>
      <w:r>
        <w:rPr>
          <w:spacing w:val="-5"/>
        </w:rPr>
        <w:t> </w:t>
      </w:r>
      <w:r>
        <w:rPr/>
        <w:t>del</w:t>
      </w:r>
      <w:r>
        <w:rPr>
          <w:spacing w:val="-5"/>
        </w:rPr>
        <w:t> </w:t>
      </w:r>
      <w:r>
        <w:rPr/>
        <w:t>fraccionamiento,</w:t>
      </w:r>
      <w:r>
        <w:rPr>
          <w:spacing w:val="-4"/>
        </w:rPr>
        <w:t> </w:t>
      </w:r>
      <w:r>
        <w:rPr/>
        <w:t>deberá</w:t>
      </w:r>
      <w:r>
        <w:rPr>
          <w:spacing w:val="-4"/>
        </w:rPr>
        <w:t> </w:t>
      </w:r>
      <w:r>
        <w:rPr/>
        <w:t>de</w:t>
      </w:r>
      <w:r>
        <w:rPr>
          <w:spacing w:val="-4"/>
        </w:rPr>
        <w:t> </w:t>
      </w:r>
      <w:r>
        <w:rPr/>
        <w:t>notificarse</w:t>
      </w:r>
      <w:r>
        <w:rPr>
          <w:spacing w:val="-4"/>
        </w:rPr>
        <w:t> </w:t>
      </w:r>
      <w:r>
        <w:rPr/>
        <w:t>la</w:t>
      </w:r>
      <w:r>
        <w:rPr>
          <w:spacing w:val="-4"/>
        </w:rPr>
        <w:t> </w:t>
      </w:r>
      <w:r>
        <w:rPr/>
        <w:t>resolución al solicitante, fundando y motivando la negativa.</w:t>
      </w:r>
    </w:p>
    <w:p>
      <w:pPr>
        <w:pStyle w:val="BodyText"/>
        <w:spacing w:before="2"/>
      </w:pPr>
    </w:p>
    <w:p>
      <w:pPr>
        <w:pStyle w:val="BodyText"/>
        <w:ind w:left="262" w:right="279"/>
        <w:jc w:val="both"/>
      </w:pPr>
      <w:r>
        <w:rPr>
          <w:rFonts w:ascii="Arial" w:hAnsi="Arial"/>
          <w:b/>
        </w:rPr>
        <w:t>ARTÍCULO 491. </w:t>
      </w:r>
      <w:r>
        <w:rPr/>
        <w:t>Habiéndose municipalizado un fraccionamiento, deberá trascurrir un año, para proceder</w:t>
      </w:r>
      <w:r>
        <w:rPr>
          <w:spacing w:val="-4"/>
        </w:rPr>
        <w:t> </w:t>
      </w:r>
      <w:r>
        <w:rPr/>
        <w:t>a</w:t>
      </w:r>
      <w:r>
        <w:rPr>
          <w:spacing w:val="-4"/>
        </w:rPr>
        <w:t> </w:t>
      </w:r>
      <w:r>
        <w:rPr/>
        <w:t>la</w:t>
      </w:r>
      <w:r>
        <w:rPr>
          <w:spacing w:val="-4"/>
        </w:rPr>
        <w:t> </w:t>
      </w:r>
      <w:r>
        <w:rPr/>
        <w:t>cancelación</w:t>
      </w:r>
      <w:r>
        <w:rPr>
          <w:spacing w:val="-3"/>
        </w:rPr>
        <w:t> </w:t>
      </w:r>
      <w:r>
        <w:rPr/>
        <w:t>de</w:t>
      </w:r>
      <w:r>
        <w:rPr>
          <w:spacing w:val="-4"/>
        </w:rPr>
        <w:t> </w:t>
      </w:r>
      <w:r>
        <w:rPr/>
        <w:t>la</w:t>
      </w:r>
      <w:r>
        <w:rPr>
          <w:spacing w:val="-4"/>
        </w:rPr>
        <w:t> </w:t>
      </w:r>
      <w:r>
        <w:rPr/>
        <w:t>garantía</w:t>
      </w:r>
      <w:r>
        <w:rPr>
          <w:spacing w:val="-2"/>
        </w:rPr>
        <w:t> </w:t>
      </w:r>
      <w:r>
        <w:rPr/>
        <w:t>a</w:t>
      </w:r>
      <w:r>
        <w:rPr>
          <w:spacing w:val="-4"/>
        </w:rPr>
        <w:t> </w:t>
      </w:r>
      <w:r>
        <w:rPr/>
        <w:t>que</w:t>
      </w:r>
      <w:r>
        <w:rPr>
          <w:spacing w:val="-5"/>
        </w:rPr>
        <w:t> </w:t>
      </w:r>
      <w:r>
        <w:rPr/>
        <w:t>se</w:t>
      </w:r>
      <w:r>
        <w:rPr>
          <w:spacing w:val="-4"/>
        </w:rPr>
        <w:t> </w:t>
      </w:r>
      <w:r>
        <w:rPr/>
        <w:t>refiere</w:t>
      </w:r>
      <w:r>
        <w:rPr>
          <w:spacing w:val="-4"/>
        </w:rPr>
        <w:t> </w:t>
      </w:r>
      <w:r>
        <w:rPr/>
        <w:t>el</w:t>
      </w:r>
      <w:r>
        <w:rPr>
          <w:spacing w:val="-5"/>
        </w:rPr>
        <w:t> </w:t>
      </w:r>
      <w:r>
        <w:rPr/>
        <w:t>artículo</w:t>
      </w:r>
      <w:r>
        <w:rPr>
          <w:spacing w:val="-4"/>
        </w:rPr>
        <w:t> </w:t>
      </w:r>
      <w:r>
        <w:rPr/>
        <w:t>414</w:t>
      </w:r>
      <w:r>
        <w:rPr>
          <w:spacing w:val="-4"/>
        </w:rPr>
        <w:t> </w:t>
      </w:r>
      <w:r>
        <w:rPr/>
        <w:t>fracción</w:t>
      </w:r>
      <w:r>
        <w:rPr>
          <w:spacing w:val="-5"/>
        </w:rPr>
        <w:t> </w:t>
      </w:r>
      <w:r>
        <w:rPr/>
        <w:t>IV</w:t>
      </w:r>
      <w:r>
        <w:rPr>
          <w:spacing w:val="-2"/>
        </w:rPr>
        <w:t> </w:t>
      </w:r>
      <w:r>
        <w:rPr/>
        <w:t>de</w:t>
      </w:r>
      <w:r>
        <w:rPr>
          <w:spacing w:val="-5"/>
        </w:rPr>
        <w:t> </w:t>
      </w:r>
      <w:r>
        <w:rPr/>
        <w:t>esta</w:t>
      </w:r>
      <w:r>
        <w:rPr>
          <w:spacing w:val="-5"/>
        </w:rPr>
        <w:t> </w:t>
      </w:r>
      <w:r>
        <w:rPr/>
        <w:t>Ley,</w:t>
      </w:r>
      <w:r>
        <w:rPr>
          <w:spacing w:val="-4"/>
        </w:rPr>
        <w:t> </w:t>
      </w:r>
      <w:r>
        <w:rPr/>
        <w:t>con el objeto de garantizar en su caso las correcciones que sean necesarias por vicios ocultos.</w:t>
      </w:r>
    </w:p>
    <w:p>
      <w:pPr>
        <w:pStyle w:val="BodyText"/>
        <w:spacing w:before="230"/>
        <w:ind w:left="262" w:right="280"/>
        <w:jc w:val="both"/>
      </w:pPr>
      <w:r>
        <w:rPr/>
        <w:t>La Dirección Municipal a solicitud del fraccionador, presentará cuando menos dos meses antes de que</w:t>
      </w:r>
      <w:r>
        <w:rPr>
          <w:spacing w:val="-14"/>
        </w:rPr>
        <w:t> </w:t>
      </w:r>
      <w:r>
        <w:rPr/>
        <w:t>se</w:t>
      </w:r>
      <w:r>
        <w:rPr>
          <w:spacing w:val="-14"/>
        </w:rPr>
        <w:t> </w:t>
      </w:r>
      <w:r>
        <w:rPr/>
        <w:t>cumpla</w:t>
      </w:r>
      <w:r>
        <w:rPr>
          <w:spacing w:val="-11"/>
        </w:rPr>
        <w:t> </w:t>
      </w:r>
      <w:r>
        <w:rPr/>
        <w:t>el</w:t>
      </w:r>
      <w:r>
        <w:rPr>
          <w:spacing w:val="-14"/>
        </w:rPr>
        <w:t> </w:t>
      </w:r>
      <w:r>
        <w:rPr/>
        <w:t>plazo</w:t>
      </w:r>
      <w:r>
        <w:rPr>
          <w:spacing w:val="-14"/>
        </w:rPr>
        <w:t> </w:t>
      </w:r>
      <w:r>
        <w:rPr/>
        <w:t>a</w:t>
      </w:r>
      <w:r>
        <w:rPr>
          <w:spacing w:val="-11"/>
        </w:rPr>
        <w:t> </w:t>
      </w:r>
      <w:r>
        <w:rPr/>
        <w:t>que</w:t>
      </w:r>
      <w:r>
        <w:rPr>
          <w:spacing w:val="-14"/>
        </w:rPr>
        <w:t> </w:t>
      </w:r>
      <w:r>
        <w:rPr/>
        <w:t>se</w:t>
      </w:r>
      <w:r>
        <w:rPr>
          <w:spacing w:val="-14"/>
        </w:rPr>
        <w:t> </w:t>
      </w:r>
      <w:r>
        <w:rPr/>
        <w:t>refiere</w:t>
      </w:r>
      <w:r>
        <w:rPr>
          <w:spacing w:val="-13"/>
        </w:rPr>
        <w:t> </w:t>
      </w:r>
      <w:r>
        <w:rPr/>
        <w:t>el</w:t>
      </w:r>
      <w:r>
        <w:rPr>
          <w:spacing w:val="-14"/>
        </w:rPr>
        <w:t> </w:t>
      </w:r>
      <w:r>
        <w:rPr/>
        <w:t>párrafo</w:t>
      </w:r>
      <w:r>
        <w:rPr>
          <w:spacing w:val="-14"/>
        </w:rPr>
        <w:t> </w:t>
      </w:r>
      <w:r>
        <w:rPr/>
        <w:t>anterior</w:t>
      </w:r>
      <w:r>
        <w:rPr>
          <w:spacing w:val="-13"/>
        </w:rPr>
        <w:t> </w:t>
      </w:r>
      <w:r>
        <w:rPr/>
        <w:t>para</w:t>
      </w:r>
      <w:r>
        <w:rPr>
          <w:spacing w:val="-14"/>
        </w:rPr>
        <w:t> </w:t>
      </w:r>
      <w:r>
        <w:rPr/>
        <w:t>la</w:t>
      </w:r>
      <w:r>
        <w:rPr>
          <w:spacing w:val="-14"/>
        </w:rPr>
        <w:t> </w:t>
      </w:r>
      <w:r>
        <w:rPr/>
        <w:t>cancelación</w:t>
      </w:r>
      <w:r>
        <w:rPr>
          <w:spacing w:val="-12"/>
        </w:rPr>
        <w:t> </w:t>
      </w:r>
      <w:r>
        <w:rPr/>
        <w:t>de</w:t>
      </w:r>
      <w:r>
        <w:rPr>
          <w:spacing w:val="-14"/>
        </w:rPr>
        <w:t> </w:t>
      </w:r>
      <w:r>
        <w:rPr/>
        <w:t>la</w:t>
      </w:r>
      <w:r>
        <w:rPr>
          <w:spacing w:val="-11"/>
        </w:rPr>
        <w:t> </w:t>
      </w:r>
      <w:r>
        <w:rPr/>
        <w:t>garantía,</w:t>
      </w:r>
      <w:r>
        <w:rPr>
          <w:spacing w:val="-14"/>
        </w:rPr>
        <w:t> </w:t>
      </w:r>
      <w:r>
        <w:rPr/>
        <w:t>revisará el</w:t>
      </w:r>
      <w:r>
        <w:rPr>
          <w:spacing w:val="-8"/>
        </w:rPr>
        <w:t> </w:t>
      </w:r>
      <w:r>
        <w:rPr/>
        <w:t>estado</w:t>
      </w:r>
      <w:r>
        <w:rPr>
          <w:spacing w:val="-7"/>
        </w:rPr>
        <w:t> </w:t>
      </w:r>
      <w:r>
        <w:rPr/>
        <w:t>físico</w:t>
      </w:r>
      <w:r>
        <w:rPr>
          <w:spacing w:val="-7"/>
        </w:rPr>
        <w:t> </w:t>
      </w:r>
      <w:r>
        <w:rPr/>
        <w:t>y</w:t>
      </w:r>
      <w:r>
        <w:rPr>
          <w:spacing w:val="-5"/>
        </w:rPr>
        <w:t> </w:t>
      </w:r>
      <w:r>
        <w:rPr/>
        <w:t>de</w:t>
      </w:r>
      <w:r>
        <w:rPr>
          <w:spacing w:val="-7"/>
        </w:rPr>
        <w:t> </w:t>
      </w:r>
      <w:r>
        <w:rPr/>
        <w:t>funcionamiento</w:t>
      </w:r>
      <w:r>
        <w:rPr>
          <w:spacing w:val="-5"/>
        </w:rPr>
        <w:t> </w:t>
      </w:r>
      <w:r>
        <w:rPr/>
        <w:t>de</w:t>
      </w:r>
      <w:r>
        <w:rPr>
          <w:spacing w:val="-5"/>
        </w:rPr>
        <w:t> </w:t>
      </w:r>
      <w:r>
        <w:rPr/>
        <w:t>las</w:t>
      </w:r>
      <w:r>
        <w:rPr>
          <w:spacing w:val="-6"/>
        </w:rPr>
        <w:t> </w:t>
      </w:r>
      <w:r>
        <w:rPr/>
        <w:t>obras</w:t>
      </w:r>
      <w:r>
        <w:rPr>
          <w:spacing w:val="-5"/>
        </w:rPr>
        <w:t> </w:t>
      </w:r>
      <w:r>
        <w:rPr/>
        <w:t>de</w:t>
      </w:r>
      <w:r>
        <w:rPr>
          <w:spacing w:val="-5"/>
        </w:rPr>
        <w:t> </w:t>
      </w:r>
      <w:r>
        <w:rPr/>
        <w:t>urbanización</w:t>
      </w:r>
      <w:r>
        <w:rPr>
          <w:spacing w:val="-5"/>
        </w:rPr>
        <w:t> </w:t>
      </w:r>
      <w:r>
        <w:rPr/>
        <w:t>en</w:t>
      </w:r>
      <w:r>
        <w:rPr>
          <w:spacing w:val="-5"/>
        </w:rPr>
        <w:t> </w:t>
      </w:r>
      <w:r>
        <w:rPr/>
        <w:t>el</w:t>
      </w:r>
      <w:r>
        <w:rPr>
          <w:spacing w:val="-8"/>
        </w:rPr>
        <w:t> </w:t>
      </w:r>
      <w:r>
        <w:rPr/>
        <w:t>fraccionamiento.</w:t>
      </w:r>
      <w:r>
        <w:rPr>
          <w:spacing w:val="-4"/>
        </w:rPr>
        <w:t> </w:t>
      </w:r>
      <w:r>
        <w:rPr/>
        <w:t>En</w:t>
      </w:r>
      <w:r>
        <w:rPr>
          <w:spacing w:val="-7"/>
        </w:rPr>
        <w:t> </w:t>
      </w:r>
      <w:r>
        <w:rPr/>
        <w:t>caso</w:t>
      </w:r>
      <w:r>
        <w:rPr>
          <w:spacing w:val="-4"/>
        </w:rPr>
        <w:t> </w:t>
      </w:r>
      <w:r>
        <w:rPr/>
        <w:t>de existir</w:t>
      </w:r>
      <w:r>
        <w:rPr>
          <w:spacing w:val="-6"/>
        </w:rPr>
        <w:t> </w:t>
      </w:r>
      <w:r>
        <w:rPr/>
        <w:t>vicios</w:t>
      </w:r>
      <w:r>
        <w:rPr>
          <w:spacing w:val="-6"/>
        </w:rPr>
        <w:t> </w:t>
      </w:r>
      <w:r>
        <w:rPr/>
        <w:t>ocultos</w:t>
      </w:r>
      <w:r>
        <w:rPr>
          <w:spacing w:val="-6"/>
        </w:rPr>
        <w:t> </w:t>
      </w:r>
      <w:r>
        <w:rPr/>
        <w:t>requerirá</w:t>
      </w:r>
      <w:r>
        <w:rPr>
          <w:spacing w:val="-7"/>
        </w:rPr>
        <w:t> </w:t>
      </w:r>
      <w:r>
        <w:rPr/>
        <w:t>al</w:t>
      </w:r>
      <w:r>
        <w:rPr>
          <w:spacing w:val="-8"/>
        </w:rPr>
        <w:t> </w:t>
      </w:r>
      <w:r>
        <w:rPr/>
        <w:t>fraccionador</w:t>
      </w:r>
      <w:r>
        <w:rPr>
          <w:spacing w:val="-6"/>
        </w:rPr>
        <w:t> </w:t>
      </w:r>
      <w:r>
        <w:rPr/>
        <w:t>para</w:t>
      </w:r>
      <w:r>
        <w:rPr>
          <w:spacing w:val="-7"/>
        </w:rPr>
        <w:t> </w:t>
      </w:r>
      <w:r>
        <w:rPr/>
        <w:t>que</w:t>
      </w:r>
      <w:r>
        <w:rPr>
          <w:spacing w:val="-5"/>
        </w:rPr>
        <w:t> </w:t>
      </w:r>
      <w:r>
        <w:rPr/>
        <w:t>arregle</w:t>
      </w:r>
      <w:r>
        <w:rPr>
          <w:spacing w:val="-5"/>
        </w:rPr>
        <w:t> </w:t>
      </w:r>
      <w:r>
        <w:rPr/>
        <w:t>los</w:t>
      </w:r>
      <w:r>
        <w:rPr>
          <w:spacing w:val="-6"/>
        </w:rPr>
        <w:t> </w:t>
      </w:r>
      <w:r>
        <w:rPr/>
        <w:t>defectos</w:t>
      </w:r>
      <w:r>
        <w:rPr>
          <w:spacing w:val="-6"/>
        </w:rPr>
        <w:t> </w:t>
      </w:r>
      <w:r>
        <w:rPr/>
        <w:t>en</w:t>
      </w:r>
      <w:r>
        <w:rPr>
          <w:spacing w:val="-5"/>
        </w:rPr>
        <w:t> </w:t>
      </w:r>
      <w:r>
        <w:rPr/>
        <w:t>la</w:t>
      </w:r>
      <w:r>
        <w:rPr>
          <w:spacing w:val="-5"/>
        </w:rPr>
        <w:t> </w:t>
      </w:r>
      <w:r>
        <w:rPr/>
        <w:t>urbanización</w:t>
      </w:r>
      <w:r>
        <w:rPr>
          <w:spacing w:val="-7"/>
        </w:rPr>
        <w:t> </w:t>
      </w:r>
      <w:r>
        <w:rPr/>
        <w:t>como condición para cancelar la garantía respectiva.</w:t>
      </w:r>
    </w:p>
    <w:p>
      <w:pPr>
        <w:pStyle w:val="BodyText"/>
      </w:pPr>
    </w:p>
    <w:p>
      <w:pPr>
        <w:pStyle w:val="BodyText"/>
        <w:ind w:left="262" w:right="277"/>
        <w:jc w:val="both"/>
      </w:pPr>
      <w:r>
        <w:rPr>
          <w:rFonts w:ascii="Arial" w:hAnsi="Arial"/>
          <w:b/>
        </w:rPr>
        <w:t>ARTÍCULO 492. </w:t>
      </w:r>
      <w:r>
        <w:rPr/>
        <w:t>Cuando se emita resolución negativa la solicitud de municipalización, por considerar</w:t>
      </w:r>
      <w:r>
        <w:rPr>
          <w:spacing w:val="-11"/>
        </w:rPr>
        <w:t> </w:t>
      </w:r>
      <w:r>
        <w:rPr/>
        <w:t>que</w:t>
      </w:r>
      <w:r>
        <w:rPr>
          <w:spacing w:val="-11"/>
        </w:rPr>
        <w:t> </w:t>
      </w:r>
      <w:r>
        <w:rPr/>
        <w:t>las</w:t>
      </w:r>
      <w:r>
        <w:rPr>
          <w:spacing w:val="-10"/>
        </w:rPr>
        <w:t> </w:t>
      </w:r>
      <w:r>
        <w:rPr/>
        <w:t>obras</w:t>
      </w:r>
      <w:r>
        <w:rPr>
          <w:spacing w:val="-10"/>
        </w:rPr>
        <w:t> </w:t>
      </w:r>
      <w:r>
        <w:rPr/>
        <w:t>entregadas</w:t>
      </w:r>
      <w:r>
        <w:rPr>
          <w:spacing w:val="-13"/>
        </w:rPr>
        <w:t> </w:t>
      </w:r>
      <w:r>
        <w:rPr/>
        <w:t>no</w:t>
      </w:r>
      <w:r>
        <w:rPr>
          <w:spacing w:val="-14"/>
        </w:rPr>
        <w:t> </w:t>
      </w:r>
      <w:r>
        <w:rPr/>
        <w:t>fueron</w:t>
      </w:r>
      <w:r>
        <w:rPr>
          <w:spacing w:val="-14"/>
        </w:rPr>
        <w:t> </w:t>
      </w:r>
      <w:r>
        <w:rPr/>
        <w:t>concluidas,</w:t>
      </w:r>
      <w:r>
        <w:rPr>
          <w:spacing w:val="-13"/>
        </w:rPr>
        <w:t> </w:t>
      </w:r>
      <w:r>
        <w:rPr/>
        <w:t>el</w:t>
      </w:r>
      <w:r>
        <w:rPr>
          <w:spacing w:val="-12"/>
        </w:rPr>
        <w:t> </w:t>
      </w:r>
      <w:r>
        <w:rPr/>
        <w:t>Ayuntamiento</w:t>
      </w:r>
      <w:r>
        <w:rPr>
          <w:spacing w:val="-11"/>
        </w:rPr>
        <w:t> </w:t>
      </w:r>
      <w:r>
        <w:rPr/>
        <w:t>deberá</w:t>
      </w:r>
      <w:r>
        <w:rPr>
          <w:spacing w:val="-11"/>
        </w:rPr>
        <w:t> </w:t>
      </w:r>
      <w:r>
        <w:rPr/>
        <w:t>indicar</w:t>
      </w:r>
      <w:r>
        <w:rPr>
          <w:spacing w:val="-11"/>
        </w:rPr>
        <w:t> </w:t>
      </w:r>
      <w:r>
        <w:rPr/>
        <w:t>si</w:t>
      </w:r>
      <w:r>
        <w:rPr>
          <w:spacing w:val="-14"/>
        </w:rPr>
        <w:t> </w:t>
      </w:r>
      <w:r>
        <w:rPr/>
        <w:t>se</w:t>
      </w:r>
      <w:r>
        <w:rPr>
          <w:spacing w:val="-12"/>
        </w:rPr>
        <w:t> </w:t>
      </w:r>
      <w:r>
        <w:rPr/>
        <w:t>trata de problemas menores que no afecten el funcionamiento del fraccionamiento. En este caso, el fraccionador</w:t>
      </w:r>
      <w:r>
        <w:rPr>
          <w:spacing w:val="-10"/>
        </w:rPr>
        <w:t> </w:t>
      </w:r>
      <w:r>
        <w:rPr/>
        <w:t>podrá</w:t>
      </w:r>
      <w:r>
        <w:rPr>
          <w:spacing w:val="-9"/>
        </w:rPr>
        <w:t> </w:t>
      </w:r>
      <w:r>
        <w:rPr/>
        <w:t>solicitar</w:t>
      </w:r>
      <w:r>
        <w:rPr>
          <w:spacing w:val="-6"/>
        </w:rPr>
        <w:t> </w:t>
      </w:r>
      <w:r>
        <w:rPr/>
        <w:t>que</w:t>
      </w:r>
      <w:r>
        <w:rPr>
          <w:spacing w:val="-9"/>
        </w:rPr>
        <w:t> </w:t>
      </w:r>
      <w:r>
        <w:rPr/>
        <w:t>la</w:t>
      </w:r>
      <w:r>
        <w:rPr>
          <w:spacing w:val="-9"/>
        </w:rPr>
        <w:t> </w:t>
      </w:r>
      <w:r>
        <w:rPr/>
        <w:t>entrega</w:t>
      </w:r>
      <w:r>
        <w:rPr>
          <w:spacing w:val="-9"/>
        </w:rPr>
        <w:t> </w:t>
      </w:r>
      <w:r>
        <w:rPr/>
        <w:t>de</w:t>
      </w:r>
      <w:r>
        <w:rPr>
          <w:spacing w:val="-9"/>
        </w:rPr>
        <w:t> </w:t>
      </w:r>
      <w:r>
        <w:rPr/>
        <w:t>las</w:t>
      </w:r>
      <w:r>
        <w:rPr>
          <w:spacing w:val="-10"/>
        </w:rPr>
        <w:t> </w:t>
      </w:r>
      <w:r>
        <w:rPr/>
        <w:t>obras</w:t>
      </w:r>
      <w:r>
        <w:rPr>
          <w:spacing w:val="-7"/>
        </w:rPr>
        <w:t> </w:t>
      </w:r>
      <w:r>
        <w:rPr/>
        <w:t>se</w:t>
      </w:r>
      <w:r>
        <w:rPr>
          <w:spacing w:val="-11"/>
        </w:rPr>
        <w:t> </w:t>
      </w:r>
      <w:r>
        <w:rPr/>
        <w:t>apruebe</w:t>
      </w:r>
      <w:r>
        <w:rPr>
          <w:spacing w:val="-9"/>
        </w:rPr>
        <w:t> </w:t>
      </w:r>
      <w:r>
        <w:rPr/>
        <w:t>mediante</w:t>
      </w:r>
      <w:r>
        <w:rPr>
          <w:spacing w:val="-11"/>
        </w:rPr>
        <w:t> </w:t>
      </w:r>
      <w:r>
        <w:rPr/>
        <w:t>el</w:t>
      </w:r>
      <w:r>
        <w:rPr>
          <w:spacing w:val="-10"/>
        </w:rPr>
        <w:t> </w:t>
      </w:r>
      <w:r>
        <w:rPr/>
        <w:t>otorgamiento</w:t>
      </w:r>
      <w:r>
        <w:rPr>
          <w:spacing w:val="-11"/>
        </w:rPr>
        <w:t> </w:t>
      </w:r>
      <w:r>
        <w:rPr/>
        <w:t>de</w:t>
      </w:r>
      <w:r>
        <w:rPr>
          <w:spacing w:val="-9"/>
        </w:rPr>
        <w:t> </w:t>
      </w:r>
      <w:r>
        <w:rPr/>
        <w:t>una garantía suficiente para la terminación de la obra, la que será cancelada una vez que se terminen las obras faltantes.</w:t>
      </w:r>
    </w:p>
    <w:p>
      <w:pPr>
        <w:pStyle w:val="BodyText"/>
      </w:pPr>
    </w:p>
    <w:p>
      <w:pPr>
        <w:pStyle w:val="BodyText"/>
        <w:spacing w:before="1"/>
        <w:ind w:left="262"/>
        <w:jc w:val="both"/>
      </w:pPr>
      <w:r>
        <w:rPr/>
        <w:t>En</w:t>
      </w:r>
      <w:r>
        <w:rPr>
          <w:spacing w:val="-7"/>
        </w:rPr>
        <w:t> </w:t>
      </w:r>
      <w:r>
        <w:rPr/>
        <w:t>este</w:t>
      </w:r>
      <w:r>
        <w:rPr>
          <w:spacing w:val="-6"/>
        </w:rPr>
        <w:t> </w:t>
      </w:r>
      <w:r>
        <w:rPr/>
        <w:t>supuesto,</w:t>
      </w:r>
      <w:r>
        <w:rPr>
          <w:spacing w:val="-4"/>
        </w:rPr>
        <w:t> </w:t>
      </w:r>
      <w:r>
        <w:rPr/>
        <w:t>la</w:t>
      </w:r>
      <w:r>
        <w:rPr>
          <w:spacing w:val="-6"/>
        </w:rPr>
        <w:t> </w:t>
      </w:r>
      <w:r>
        <w:rPr/>
        <w:t>terminación</w:t>
      </w:r>
      <w:r>
        <w:rPr>
          <w:spacing w:val="-5"/>
        </w:rPr>
        <w:t> </w:t>
      </w:r>
      <w:r>
        <w:rPr/>
        <w:t>de</w:t>
      </w:r>
      <w:r>
        <w:rPr>
          <w:spacing w:val="-5"/>
        </w:rPr>
        <w:t> </w:t>
      </w:r>
      <w:r>
        <w:rPr/>
        <w:t>la</w:t>
      </w:r>
      <w:r>
        <w:rPr>
          <w:spacing w:val="-4"/>
        </w:rPr>
        <w:t> </w:t>
      </w:r>
      <w:r>
        <w:rPr/>
        <w:t>obra</w:t>
      </w:r>
      <w:r>
        <w:rPr>
          <w:spacing w:val="-5"/>
        </w:rPr>
        <w:t> </w:t>
      </w:r>
      <w:r>
        <w:rPr/>
        <w:t>no</w:t>
      </w:r>
      <w:r>
        <w:rPr>
          <w:spacing w:val="-7"/>
        </w:rPr>
        <w:t> </w:t>
      </w:r>
      <w:r>
        <w:rPr/>
        <w:t>podrá</w:t>
      </w:r>
      <w:r>
        <w:rPr>
          <w:spacing w:val="-4"/>
        </w:rPr>
        <w:t> </w:t>
      </w:r>
      <w:r>
        <w:rPr/>
        <w:t>exceder</w:t>
      </w:r>
      <w:r>
        <w:rPr>
          <w:spacing w:val="-6"/>
        </w:rPr>
        <w:t> </w:t>
      </w:r>
      <w:r>
        <w:rPr/>
        <w:t>del</w:t>
      </w:r>
      <w:r>
        <w:rPr>
          <w:spacing w:val="-7"/>
        </w:rPr>
        <w:t> </w:t>
      </w:r>
      <w:r>
        <w:rPr/>
        <w:t>plazo</w:t>
      </w:r>
      <w:r>
        <w:rPr>
          <w:spacing w:val="-6"/>
        </w:rPr>
        <w:t> </w:t>
      </w:r>
      <w:r>
        <w:rPr>
          <w:spacing w:val="-2"/>
        </w:rPr>
        <w:t>concedido.</w:t>
      </w:r>
    </w:p>
    <w:p>
      <w:pPr>
        <w:pStyle w:val="BodyText"/>
        <w:spacing w:before="228"/>
        <w:ind w:left="262" w:right="285"/>
        <w:jc w:val="both"/>
      </w:pPr>
      <w:r>
        <w:rPr/>
        <w:t>El</w:t>
      </w:r>
      <w:r>
        <w:rPr>
          <w:spacing w:val="-4"/>
        </w:rPr>
        <w:t> </w:t>
      </w:r>
      <w:r>
        <w:rPr/>
        <w:t>Ayuntamiento</w:t>
      </w:r>
      <w:r>
        <w:rPr>
          <w:spacing w:val="-3"/>
        </w:rPr>
        <w:t> </w:t>
      </w:r>
      <w:r>
        <w:rPr/>
        <w:t>otorgará</w:t>
      </w:r>
      <w:r>
        <w:rPr>
          <w:spacing w:val="-3"/>
        </w:rPr>
        <w:t> </w:t>
      </w:r>
      <w:r>
        <w:rPr/>
        <w:t>la</w:t>
      </w:r>
      <w:r>
        <w:rPr>
          <w:spacing w:val="-5"/>
        </w:rPr>
        <w:t> </w:t>
      </w:r>
      <w:r>
        <w:rPr/>
        <w:t>constancia</w:t>
      </w:r>
      <w:r>
        <w:rPr>
          <w:spacing w:val="-3"/>
        </w:rPr>
        <w:t> </w:t>
      </w:r>
      <w:r>
        <w:rPr/>
        <w:t>de</w:t>
      </w:r>
      <w:r>
        <w:rPr>
          <w:spacing w:val="-3"/>
        </w:rPr>
        <w:t> </w:t>
      </w:r>
      <w:r>
        <w:rPr/>
        <w:t>municipalización</w:t>
      </w:r>
      <w:r>
        <w:rPr>
          <w:spacing w:val="-3"/>
        </w:rPr>
        <w:t> </w:t>
      </w:r>
      <w:r>
        <w:rPr/>
        <w:t>de</w:t>
      </w:r>
      <w:r>
        <w:rPr>
          <w:spacing w:val="-3"/>
        </w:rPr>
        <w:t> </w:t>
      </w:r>
      <w:r>
        <w:rPr/>
        <w:t>las</w:t>
      </w:r>
      <w:r>
        <w:rPr>
          <w:spacing w:val="-2"/>
        </w:rPr>
        <w:t> </w:t>
      </w:r>
      <w:r>
        <w:rPr/>
        <w:t>obras,</w:t>
      </w:r>
      <w:r>
        <w:rPr>
          <w:spacing w:val="-3"/>
        </w:rPr>
        <w:t> </w:t>
      </w:r>
      <w:r>
        <w:rPr/>
        <w:t>tan</w:t>
      </w:r>
      <w:r>
        <w:rPr>
          <w:spacing w:val="-3"/>
        </w:rPr>
        <w:t> </w:t>
      </w:r>
      <w:r>
        <w:rPr/>
        <w:t>pronto</w:t>
      </w:r>
      <w:r>
        <w:rPr>
          <w:spacing w:val="-4"/>
        </w:rPr>
        <w:t> </w:t>
      </w:r>
      <w:r>
        <w:rPr/>
        <w:t>éstas</w:t>
      </w:r>
      <w:r>
        <w:rPr>
          <w:spacing w:val="-2"/>
        </w:rPr>
        <w:t> </w:t>
      </w:r>
      <w:r>
        <w:rPr/>
        <w:t>hubieren sido concluidas a satisfacción y se hubiere cumplido con la constitución de la garantía </w:t>
      </w:r>
      <w:r>
        <w:rPr>
          <w:spacing w:val="-2"/>
        </w:rPr>
        <w:t>correspondiente.</w:t>
      </w:r>
    </w:p>
    <w:p>
      <w:pPr>
        <w:pStyle w:val="BodyText"/>
        <w:spacing w:before="2"/>
      </w:pPr>
    </w:p>
    <w:p>
      <w:pPr>
        <w:pStyle w:val="BodyText"/>
        <w:ind w:left="262" w:right="286"/>
        <w:jc w:val="both"/>
      </w:pPr>
      <w:r>
        <w:rPr>
          <w:rFonts w:ascii="Arial" w:hAnsi="Arial"/>
          <w:b/>
        </w:rPr>
        <w:t>ARTÍCULO</w:t>
      </w:r>
      <w:r>
        <w:rPr>
          <w:rFonts w:ascii="Arial" w:hAnsi="Arial"/>
          <w:b/>
          <w:spacing w:val="-9"/>
        </w:rPr>
        <w:t> </w:t>
      </w:r>
      <w:r>
        <w:rPr>
          <w:rFonts w:ascii="Arial" w:hAnsi="Arial"/>
          <w:b/>
        </w:rPr>
        <w:t>493.</w:t>
      </w:r>
      <w:r>
        <w:rPr>
          <w:rFonts w:ascii="Arial" w:hAnsi="Arial"/>
          <w:b/>
          <w:spacing w:val="-10"/>
        </w:rPr>
        <w:t> </w:t>
      </w:r>
      <w:r>
        <w:rPr/>
        <w:t>La</w:t>
      </w:r>
      <w:r>
        <w:rPr>
          <w:spacing w:val="-10"/>
        </w:rPr>
        <w:t> </w:t>
      </w:r>
      <w:r>
        <w:rPr/>
        <w:t>constancia</w:t>
      </w:r>
      <w:r>
        <w:rPr>
          <w:spacing w:val="-10"/>
        </w:rPr>
        <w:t> </w:t>
      </w:r>
      <w:r>
        <w:rPr/>
        <w:t>de</w:t>
      </w:r>
      <w:r>
        <w:rPr>
          <w:spacing w:val="-10"/>
        </w:rPr>
        <w:t> </w:t>
      </w:r>
      <w:r>
        <w:rPr/>
        <w:t>municipalización</w:t>
      </w:r>
      <w:r>
        <w:rPr>
          <w:spacing w:val="-8"/>
        </w:rPr>
        <w:t> </w:t>
      </w:r>
      <w:r>
        <w:rPr/>
        <w:t>del</w:t>
      </w:r>
      <w:r>
        <w:rPr>
          <w:spacing w:val="-11"/>
        </w:rPr>
        <w:t> </w:t>
      </w:r>
      <w:r>
        <w:rPr/>
        <w:t>fraccionamiento</w:t>
      </w:r>
      <w:r>
        <w:rPr>
          <w:spacing w:val="-10"/>
        </w:rPr>
        <w:t> </w:t>
      </w:r>
      <w:r>
        <w:rPr/>
        <w:t>contendrá</w:t>
      </w:r>
      <w:r>
        <w:rPr>
          <w:spacing w:val="-7"/>
        </w:rPr>
        <w:t> </w:t>
      </w:r>
      <w:r>
        <w:rPr/>
        <w:t>como</w:t>
      </w:r>
      <w:r>
        <w:rPr>
          <w:spacing w:val="-8"/>
        </w:rPr>
        <w:t> </w:t>
      </w:r>
      <w:r>
        <w:rPr/>
        <w:t>mínimo</w:t>
      </w:r>
      <w:r>
        <w:rPr>
          <w:spacing w:val="-8"/>
        </w:rPr>
        <w:t> </w:t>
      </w:r>
      <w:r>
        <w:rPr/>
        <w:t>los siguientes elementos:</w:t>
      </w:r>
    </w:p>
    <w:p>
      <w:pPr>
        <w:pStyle w:val="ListParagraph"/>
        <w:numPr>
          <w:ilvl w:val="0"/>
          <w:numId w:val="145"/>
        </w:numPr>
        <w:tabs>
          <w:tab w:pos="688" w:val="left" w:leader="none"/>
        </w:tabs>
        <w:spacing w:line="240" w:lineRule="auto" w:before="229" w:after="0"/>
        <w:ind w:left="262" w:right="279" w:firstLine="0"/>
        <w:jc w:val="both"/>
        <w:rPr>
          <w:sz w:val="20"/>
        </w:rPr>
      </w:pPr>
      <w:r>
        <w:rPr>
          <w:sz w:val="20"/>
        </w:rPr>
        <w:t>Los</w:t>
      </w:r>
      <w:r>
        <w:rPr>
          <w:spacing w:val="-10"/>
          <w:sz w:val="20"/>
        </w:rPr>
        <w:t> </w:t>
      </w:r>
      <w:r>
        <w:rPr>
          <w:sz w:val="20"/>
        </w:rPr>
        <w:t>datos</w:t>
      </w:r>
      <w:r>
        <w:rPr>
          <w:spacing w:val="-8"/>
          <w:sz w:val="20"/>
        </w:rPr>
        <w:t> </w:t>
      </w:r>
      <w:r>
        <w:rPr>
          <w:sz w:val="20"/>
        </w:rPr>
        <w:t>de</w:t>
      </w:r>
      <w:r>
        <w:rPr>
          <w:spacing w:val="-10"/>
          <w:sz w:val="20"/>
        </w:rPr>
        <w:t> </w:t>
      </w:r>
      <w:r>
        <w:rPr>
          <w:sz w:val="20"/>
        </w:rPr>
        <w:t>la</w:t>
      </w:r>
      <w:r>
        <w:rPr>
          <w:spacing w:val="-9"/>
          <w:sz w:val="20"/>
        </w:rPr>
        <w:t> </w:t>
      </w:r>
      <w:r>
        <w:rPr>
          <w:sz w:val="20"/>
        </w:rPr>
        <w:t>licencia</w:t>
      </w:r>
      <w:r>
        <w:rPr>
          <w:spacing w:val="-9"/>
          <w:sz w:val="20"/>
        </w:rPr>
        <w:t> </w:t>
      </w:r>
      <w:r>
        <w:rPr>
          <w:sz w:val="20"/>
        </w:rPr>
        <w:t>de</w:t>
      </w:r>
      <w:r>
        <w:rPr>
          <w:spacing w:val="-10"/>
          <w:sz w:val="20"/>
        </w:rPr>
        <w:t> </w:t>
      </w:r>
      <w:r>
        <w:rPr>
          <w:sz w:val="20"/>
        </w:rPr>
        <w:t>fraccionamiento</w:t>
      </w:r>
      <w:r>
        <w:rPr>
          <w:spacing w:val="-10"/>
          <w:sz w:val="20"/>
        </w:rPr>
        <w:t> </w:t>
      </w:r>
      <w:r>
        <w:rPr>
          <w:sz w:val="20"/>
        </w:rPr>
        <w:t>otorgada</w:t>
      </w:r>
      <w:r>
        <w:rPr>
          <w:spacing w:val="-11"/>
          <w:sz w:val="20"/>
        </w:rPr>
        <w:t> </w:t>
      </w:r>
      <w:r>
        <w:rPr>
          <w:sz w:val="20"/>
        </w:rPr>
        <w:t>y</w:t>
      </w:r>
      <w:r>
        <w:rPr>
          <w:spacing w:val="-8"/>
          <w:sz w:val="20"/>
        </w:rPr>
        <w:t> </w:t>
      </w:r>
      <w:r>
        <w:rPr>
          <w:sz w:val="20"/>
        </w:rPr>
        <w:t>de</w:t>
      </w:r>
      <w:r>
        <w:rPr>
          <w:spacing w:val="-9"/>
          <w:sz w:val="20"/>
        </w:rPr>
        <w:t> </w:t>
      </w:r>
      <w:r>
        <w:rPr>
          <w:sz w:val="20"/>
        </w:rPr>
        <w:t>las</w:t>
      </w:r>
      <w:r>
        <w:rPr>
          <w:spacing w:val="-8"/>
          <w:sz w:val="20"/>
        </w:rPr>
        <w:t> </w:t>
      </w:r>
      <w:r>
        <w:rPr>
          <w:sz w:val="20"/>
        </w:rPr>
        <w:t>modificaciones</w:t>
      </w:r>
      <w:r>
        <w:rPr>
          <w:spacing w:val="-10"/>
          <w:sz w:val="20"/>
        </w:rPr>
        <w:t> </w:t>
      </w:r>
      <w:r>
        <w:rPr>
          <w:sz w:val="20"/>
        </w:rPr>
        <w:t>de</w:t>
      </w:r>
      <w:r>
        <w:rPr>
          <w:spacing w:val="-9"/>
          <w:sz w:val="20"/>
        </w:rPr>
        <w:t> </w:t>
      </w:r>
      <w:r>
        <w:rPr>
          <w:sz w:val="20"/>
        </w:rPr>
        <w:t>la</w:t>
      </w:r>
      <w:r>
        <w:rPr>
          <w:spacing w:val="-7"/>
          <w:sz w:val="20"/>
        </w:rPr>
        <w:t> </w:t>
      </w:r>
      <w:r>
        <w:rPr>
          <w:sz w:val="20"/>
        </w:rPr>
        <w:t>misma,</w:t>
      </w:r>
      <w:r>
        <w:rPr>
          <w:spacing w:val="-11"/>
          <w:sz w:val="20"/>
        </w:rPr>
        <w:t> </w:t>
      </w:r>
      <w:r>
        <w:rPr>
          <w:sz w:val="20"/>
        </w:rPr>
        <w:t>si</w:t>
      </w:r>
      <w:r>
        <w:rPr>
          <w:spacing w:val="-10"/>
          <w:sz w:val="20"/>
        </w:rPr>
        <w:t> </w:t>
      </w:r>
      <w:r>
        <w:rPr>
          <w:sz w:val="20"/>
        </w:rPr>
        <w:t>las hubiere;</w:t>
      </w:r>
      <w:r>
        <w:rPr>
          <w:spacing w:val="-14"/>
          <w:sz w:val="20"/>
        </w:rPr>
        <w:t> </w:t>
      </w:r>
      <w:r>
        <w:rPr>
          <w:sz w:val="20"/>
        </w:rPr>
        <w:t>los</w:t>
      </w:r>
      <w:r>
        <w:rPr>
          <w:spacing w:val="-14"/>
          <w:sz w:val="20"/>
        </w:rPr>
        <w:t> </w:t>
      </w:r>
      <w:r>
        <w:rPr>
          <w:sz w:val="20"/>
        </w:rPr>
        <w:t>datos</w:t>
      </w:r>
      <w:r>
        <w:rPr>
          <w:spacing w:val="-14"/>
          <w:sz w:val="20"/>
        </w:rPr>
        <w:t> </w:t>
      </w:r>
      <w:r>
        <w:rPr>
          <w:sz w:val="20"/>
        </w:rPr>
        <w:t>de</w:t>
      </w:r>
      <w:r>
        <w:rPr>
          <w:spacing w:val="-14"/>
          <w:sz w:val="20"/>
        </w:rPr>
        <w:t> </w:t>
      </w:r>
      <w:r>
        <w:rPr>
          <w:sz w:val="20"/>
        </w:rPr>
        <w:t>escritura</w:t>
      </w:r>
      <w:r>
        <w:rPr>
          <w:spacing w:val="-14"/>
          <w:sz w:val="20"/>
        </w:rPr>
        <w:t> </w:t>
      </w:r>
      <w:r>
        <w:rPr>
          <w:sz w:val="20"/>
        </w:rPr>
        <w:t>pública</w:t>
      </w:r>
      <w:r>
        <w:rPr>
          <w:spacing w:val="-14"/>
          <w:sz w:val="20"/>
        </w:rPr>
        <w:t> </w:t>
      </w:r>
      <w:r>
        <w:rPr>
          <w:sz w:val="20"/>
        </w:rPr>
        <w:t>del</w:t>
      </w:r>
      <w:r>
        <w:rPr>
          <w:spacing w:val="-14"/>
          <w:sz w:val="20"/>
        </w:rPr>
        <w:t> </w:t>
      </w:r>
      <w:r>
        <w:rPr>
          <w:sz w:val="20"/>
        </w:rPr>
        <w:t>terreno</w:t>
      </w:r>
      <w:r>
        <w:rPr>
          <w:spacing w:val="-14"/>
          <w:sz w:val="20"/>
        </w:rPr>
        <w:t> </w:t>
      </w:r>
      <w:r>
        <w:rPr>
          <w:sz w:val="20"/>
        </w:rPr>
        <w:t>sujeto</w:t>
      </w:r>
      <w:r>
        <w:rPr>
          <w:spacing w:val="-14"/>
          <w:sz w:val="20"/>
        </w:rPr>
        <w:t> </w:t>
      </w:r>
      <w:r>
        <w:rPr>
          <w:sz w:val="20"/>
        </w:rPr>
        <w:t>a</w:t>
      </w:r>
      <w:r>
        <w:rPr>
          <w:spacing w:val="-13"/>
          <w:sz w:val="20"/>
        </w:rPr>
        <w:t> </w:t>
      </w:r>
      <w:r>
        <w:rPr>
          <w:sz w:val="20"/>
        </w:rPr>
        <w:t>fraccionamiento</w:t>
      </w:r>
      <w:r>
        <w:rPr>
          <w:spacing w:val="-14"/>
          <w:sz w:val="20"/>
        </w:rPr>
        <w:t> </w:t>
      </w:r>
      <w:r>
        <w:rPr>
          <w:sz w:val="20"/>
        </w:rPr>
        <w:t>y</w:t>
      </w:r>
      <w:r>
        <w:rPr>
          <w:spacing w:val="-14"/>
          <w:sz w:val="20"/>
        </w:rPr>
        <w:t> </w:t>
      </w:r>
      <w:r>
        <w:rPr>
          <w:sz w:val="20"/>
        </w:rPr>
        <w:t>sus</w:t>
      </w:r>
      <w:r>
        <w:rPr>
          <w:spacing w:val="-14"/>
          <w:sz w:val="20"/>
        </w:rPr>
        <w:t> </w:t>
      </w:r>
      <w:r>
        <w:rPr>
          <w:sz w:val="20"/>
        </w:rPr>
        <w:t>datos</w:t>
      </w:r>
      <w:r>
        <w:rPr>
          <w:spacing w:val="-14"/>
          <w:sz w:val="20"/>
        </w:rPr>
        <w:t> </w:t>
      </w:r>
      <w:r>
        <w:rPr>
          <w:sz w:val="20"/>
        </w:rPr>
        <w:t>de</w:t>
      </w:r>
      <w:r>
        <w:rPr>
          <w:spacing w:val="-14"/>
          <w:sz w:val="20"/>
        </w:rPr>
        <w:t> </w:t>
      </w:r>
      <w:r>
        <w:rPr>
          <w:sz w:val="20"/>
        </w:rPr>
        <w:t>inscripción; la</w:t>
      </w:r>
      <w:r>
        <w:rPr>
          <w:spacing w:val="-11"/>
          <w:sz w:val="20"/>
        </w:rPr>
        <w:t> </w:t>
      </w:r>
      <w:r>
        <w:rPr>
          <w:sz w:val="20"/>
        </w:rPr>
        <w:t>información</w:t>
      </w:r>
      <w:r>
        <w:rPr>
          <w:spacing w:val="-11"/>
          <w:sz w:val="20"/>
        </w:rPr>
        <w:t> </w:t>
      </w:r>
      <w:r>
        <w:rPr>
          <w:sz w:val="20"/>
        </w:rPr>
        <w:t>sobre</w:t>
      </w:r>
      <w:r>
        <w:rPr>
          <w:spacing w:val="-9"/>
          <w:sz w:val="20"/>
        </w:rPr>
        <w:t> </w:t>
      </w:r>
      <w:r>
        <w:rPr>
          <w:sz w:val="20"/>
        </w:rPr>
        <w:t>las</w:t>
      </w:r>
      <w:r>
        <w:rPr>
          <w:spacing w:val="-10"/>
          <w:sz w:val="20"/>
        </w:rPr>
        <w:t> </w:t>
      </w:r>
      <w:r>
        <w:rPr>
          <w:sz w:val="20"/>
        </w:rPr>
        <w:t>inconformidades</w:t>
      </w:r>
      <w:r>
        <w:rPr>
          <w:spacing w:val="-10"/>
          <w:sz w:val="20"/>
        </w:rPr>
        <w:t> </w:t>
      </w:r>
      <w:r>
        <w:rPr>
          <w:sz w:val="20"/>
        </w:rPr>
        <w:t>que</w:t>
      </w:r>
      <w:r>
        <w:rPr>
          <w:spacing w:val="-12"/>
          <w:sz w:val="20"/>
        </w:rPr>
        <w:t> </w:t>
      </w:r>
      <w:r>
        <w:rPr>
          <w:sz w:val="20"/>
        </w:rPr>
        <w:t>en</w:t>
      </w:r>
      <w:r>
        <w:rPr>
          <w:spacing w:val="-11"/>
          <w:sz w:val="20"/>
        </w:rPr>
        <w:t> </w:t>
      </w:r>
      <w:r>
        <w:rPr>
          <w:sz w:val="20"/>
        </w:rPr>
        <w:t>su</w:t>
      </w:r>
      <w:r>
        <w:rPr>
          <w:spacing w:val="-11"/>
          <w:sz w:val="20"/>
        </w:rPr>
        <w:t> </w:t>
      </w:r>
      <w:r>
        <w:rPr>
          <w:sz w:val="20"/>
        </w:rPr>
        <w:t>caso</w:t>
      </w:r>
      <w:r>
        <w:rPr>
          <w:spacing w:val="-11"/>
          <w:sz w:val="20"/>
        </w:rPr>
        <w:t> </w:t>
      </w:r>
      <w:r>
        <w:rPr>
          <w:sz w:val="20"/>
        </w:rPr>
        <w:t>se</w:t>
      </w:r>
      <w:r>
        <w:rPr>
          <w:spacing w:val="-11"/>
          <w:sz w:val="20"/>
        </w:rPr>
        <w:t> </w:t>
      </w:r>
      <w:r>
        <w:rPr>
          <w:sz w:val="20"/>
        </w:rPr>
        <w:t>hubieren</w:t>
      </w:r>
      <w:r>
        <w:rPr>
          <w:spacing w:val="-9"/>
          <w:sz w:val="20"/>
        </w:rPr>
        <w:t> </w:t>
      </w:r>
      <w:r>
        <w:rPr>
          <w:sz w:val="20"/>
        </w:rPr>
        <w:t>presentado</w:t>
      </w:r>
      <w:r>
        <w:rPr>
          <w:spacing w:val="-9"/>
          <w:sz w:val="20"/>
        </w:rPr>
        <w:t> </w:t>
      </w:r>
      <w:r>
        <w:rPr>
          <w:sz w:val="20"/>
        </w:rPr>
        <w:t>y</w:t>
      </w:r>
      <w:r>
        <w:rPr>
          <w:spacing w:val="-10"/>
          <w:sz w:val="20"/>
        </w:rPr>
        <w:t> </w:t>
      </w:r>
      <w:r>
        <w:rPr>
          <w:sz w:val="20"/>
        </w:rPr>
        <w:t>el</w:t>
      </w:r>
      <w:r>
        <w:rPr>
          <w:spacing w:val="-12"/>
          <w:sz w:val="20"/>
        </w:rPr>
        <w:t> </w:t>
      </w:r>
      <w:r>
        <w:rPr>
          <w:sz w:val="20"/>
        </w:rPr>
        <w:t>sentido</w:t>
      </w:r>
      <w:r>
        <w:rPr>
          <w:spacing w:val="-9"/>
          <w:sz w:val="20"/>
        </w:rPr>
        <w:t> </w:t>
      </w:r>
      <w:r>
        <w:rPr>
          <w:sz w:val="20"/>
        </w:rPr>
        <w:t>en</w:t>
      </w:r>
      <w:r>
        <w:rPr>
          <w:spacing w:val="-12"/>
          <w:sz w:val="20"/>
        </w:rPr>
        <w:t> </w:t>
      </w:r>
      <w:r>
        <w:rPr>
          <w:sz w:val="20"/>
        </w:rPr>
        <w:t>que fueron resueltas;</w:t>
      </w:r>
    </w:p>
    <w:p>
      <w:pPr>
        <w:pStyle w:val="BodyText"/>
      </w:pPr>
    </w:p>
    <w:p>
      <w:pPr>
        <w:pStyle w:val="ListParagraph"/>
        <w:numPr>
          <w:ilvl w:val="0"/>
          <w:numId w:val="145"/>
        </w:numPr>
        <w:tabs>
          <w:tab w:pos="686" w:val="left" w:leader="none"/>
        </w:tabs>
        <w:spacing w:line="240" w:lineRule="auto" w:before="0" w:after="0"/>
        <w:ind w:left="686" w:right="0" w:hanging="424"/>
        <w:jc w:val="both"/>
        <w:rPr>
          <w:sz w:val="20"/>
        </w:rPr>
      </w:pPr>
      <w:r>
        <w:rPr>
          <w:sz w:val="20"/>
        </w:rPr>
        <w:t>La</w:t>
      </w:r>
      <w:r>
        <w:rPr>
          <w:spacing w:val="-8"/>
          <w:sz w:val="20"/>
        </w:rPr>
        <w:t> </w:t>
      </w:r>
      <w:r>
        <w:rPr>
          <w:sz w:val="20"/>
        </w:rPr>
        <w:t>descripción</w:t>
      </w:r>
      <w:r>
        <w:rPr>
          <w:spacing w:val="-5"/>
          <w:sz w:val="20"/>
        </w:rPr>
        <w:t> </w:t>
      </w:r>
      <w:r>
        <w:rPr>
          <w:sz w:val="20"/>
        </w:rPr>
        <w:t>de</w:t>
      </w:r>
      <w:r>
        <w:rPr>
          <w:spacing w:val="-5"/>
          <w:sz w:val="20"/>
        </w:rPr>
        <w:t> </w:t>
      </w:r>
      <w:r>
        <w:rPr>
          <w:sz w:val="20"/>
        </w:rPr>
        <w:t>las</w:t>
      </w:r>
      <w:r>
        <w:rPr>
          <w:spacing w:val="-6"/>
          <w:sz w:val="20"/>
        </w:rPr>
        <w:t> </w:t>
      </w:r>
      <w:r>
        <w:rPr>
          <w:sz w:val="20"/>
        </w:rPr>
        <w:t>obras</w:t>
      </w:r>
      <w:r>
        <w:rPr>
          <w:spacing w:val="-3"/>
          <w:sz w:val="20"/>
        </w:rPr>
        <w:t> </w:t>
      </w:r>
      <w:r>
        <w:rPr>
          <w:spacing w:val="-2"/>
          <w:sz w:val="20"/>
        </w:rPr>
        <w:t>efectuadas;</w:t>
      </w:r>
    </w:p>
    <w:p>
      <w:pPr>
        <w:pStyle w:val="BodyText"/>
        <w:spacing w:before="1"/>
      </w:pPr>
    </w:p>
    <w:p>
      <w:pPr>
        <w:pStyle w:val="ListParagraph"/>
        <w:numPr>
          <w:ilvl w:val="0"/>
          <w:numId w:val="145"/>
        </w:numPr>
        <w:tabs>
          <w:tab w:pos="741" w:val="left" w:leader="none"/>
        </w:tabs>
        <w:spacing w:line="240" w:lineRule="auto" w:before="0" w:after="0"/>
        <w:ind w:left="741" w:right="0" w:hanging="479"/>
        <w:jc w:val="both"/>
        <w:rPr>
          <w:sz w:val="20"/>
        </w:rPr>
      </w:pPr>
      <w:r>
        <w:rPr>
          <w:sz w:val="20"/>
        </w:rPr>
        <w:t>La</w:t>
      </w:r>
      <w:r>
        <w:rPr>
          <w:spacing w:val="-8"/>
          <w:sz w:val="20"/>
        </w:rPr>
        <w:t> </w:t>
      </w:r>
      <w:r>
        <w:rPr>
          <w:sz w:val="20"/>
        </w:rPr>
        <w:t>constancia</w:t>
      </w:r>
      <w:r>
        <w:rPr>
          <w:spacing w:val="-5"/>
          <w:sz w:val="20"/>
        </w:rPr>
        <w:t> </w:t>
      </w:r>
      <w:r>
        <w:rPr>
          <w:sz w:val="20"/>
        </w:rPr>
        <w:t>de</w:t>
      </w:r>
      <w:r>
        <w:rPr>
          <w:spacing w:val="-6"/>
          <w:sz w:val="20"/>
        </w:rPr>
        <w:t> </w:t>
      </w:r>
      <w:r>
        <w:rPr>
          <w:sz w:val="20"/>
        </w:rPr>
        <w:t>terminación</w:t>
      </w:r>
      <w:r>
        <w:rPr>
          <w:spacing w:val="-7"/>
          <w:sz w:val="20"/>
        </w:rPr>
        <w:t> </w:t>
      </w:r>
      <w:r>
        <w:rPr>
          <w:sz w:val="20"/>
        </w:rPr>
        <w:t>de</w:t>
      </w:r>
      <w:r>
        <w:rPr>
          <w:spacing w:val="-7"/>
          <w:sz w:val="20"/>
        </w:rPr>
        <w:t> </w:t>
      </w:r>
      <w:r>
        <w:rPr>
          <w:sz w:val="20"/>
        </w:rPr>
        <w:t>obras,</w:t>
      </w:r>
      <w:r>
        <w:rPr>
          <w:spacing w:val="-7"/>
          <w:sz w:val="20"/>
        </w:rPr>
        <w:t> </w:t>
      </w:r>
      <w:r>
        <w:rPr>
          <w:sz w:val="20"/>
        </w:rPr>
        <w:t>expedida</w:t>
      </w:r>
      <w:r>
        <w:rPr>
          <w:spacing w:val="-7"/>
          <w:sz w:val="20"/>
        </w:rPr>
        <w:t> </w:t>
      </w:r>
      <w:r>
        <w:rPr>
          <w:sz w:val="20"/>
        </w:rPr>
        <w:t>por</w:t>
      </w:r>
      <w:r>
        <w:rPr>
          <w:spacing w:val="-6"/>
          <w:sz w:val="20"/>
        </w:rPr>
        <w:t> </w:t>
      </w:r>
      <w:r>
        <w:rPr>
          <w:sz w:val="20"/>
        </w:rPr>
        <w:t>la</w:t>
      </w:r>
      <w:r>
        <w:rPr>
          <w:spacing w:val="-7"/>
          <w:sz w:val="20"/>
        </w:rPr>
        <w:t> </w:t>
      </w:r>
      <w:r>
        <w:rPr>
          <w:sz w:val="20"/>
        </w:rPr>
        <w:t>autoridad</w:t>
      </w:r>
      <w:r>
        <w:rPr>
          <w:spacing w:val="-8"/>
          <w:sz w:val="20"/>
        </w:rPr>
        <w:t> </w:t>
      </w:r>
      <w:r>
        <w:rPr>
          <w:spacing w:val="-2"/>
          <w:sz w:val="20"/>
        </w:rPr>
        <w:t>competente;</w:t>
      </w:r>
    </w:p>
    <w:p>
      <w:pPr>
        <w:pStyle w:val="ListParagraph"/>
        <w:numPr>
          <w:ilvl w:val="0"/>
          <w:numId w:val="145"/>
        </w:numPr>
        <w:tabs>
          <w:tab w:pos="688" w:val="left" w:leader="none"/>
        </w:tabs>
        <w:spacing w:line="240" w:lineRule="auto" w:before="228" w:after="0"/>
        <w:ind w:left="262" w:right="282" w:firstLine="0"/>
        <w:jc w:val="both"/>
        <w:rPr>
          <w:sz w:val="20"/>
        </w:rPr>
      </w:pPr>
      <w:r>
        <w:rPr>
          <w:sz w:val="20"/>
        </w:rPr>
        <w:t>La relación de garantías que el fraccionador hubiere otorgado para la reparación de vicios ocultos, especificando plazos y montos y en su caso, el nombre de la institución afianzadora. Tratándose</w:t>
      </w:r>
      <w:r>
        <w:rPr>
          <w:spacing w:val="-5"/>
          <w:sz w:val="20"/>
        </w:rPr>
        <w:t> </w:t>
      </w:r>
      <w:r>
        <w:rPr>
          <w:sz w:val="20"/>
        </w:rPr>
        <w:t>de</w:t>
      </w:r>
      <w:r>
        <w:rPr>
          <w:spacing w:val="-3"/>
          <w:sz w:val="20"/>
        </w:rPr>
        <w:t> </w:t>
      </w:r>
      <w:r>
        <w:rPr>
          <w:sz w:val="20"/>
        </w:rPr>
        <w:t>garantías</w:t>
      </w:r>
      <w:r>
        <w:rPr>
          <w:spacing w:val="-4"/>
          <w:sz w:val="20"/>
        </w:rPr>
        <w:t> </w:t>
      </w:r>
      <w:r>
        <w:rPr>
          <w:sz w:val="20"/>
        </w:rPr>
        <w:t>constituidas</w:t>
      </w:r>
      <w:r>
        <w:rPr>
          <w:spacing w:val="-2"/>
          <w:sz w:val="20"/>
        </w:rPr>
        <w:t> </w:t>
      </w:r>
      <w:r>
        <w:rPr>
          <w:sz w:val="20"/>
        </w:rPr>
        <w:t>bajo</w:t>
      </w:r>
      <w:r>
        <w:rPr>
          <w:spacing w:val="-5"/>
          <w:sz w:val="20"/>
        </w:rPr>
        <w:t> </w:t>
      </w:r>
      <w:r>
        <w:rPr>
          <w:sz w:val="20"/>
        </w:rPr>
        <w:t>alguna</w:t>
      </w:r>
      <w:r>
        <w:rPr>
          <w:spacing w:val="-3"/>
          <w:sz w:val="20"/>
        </w:rPr>
        <w:t> </w:t>
      </w:r>
      <w:r>
        <w:rPr>
          <w:sz w:val="20"/>
        </w:rPr>
        <w:t>otra</w:t>
      </w:r>
      <w:r>
        <w:rPr>
          <w:spacing w:val="-3"/>
          <w:sz w:val="20"/>
        </w:rPr>
        <w:t> </w:t>
      </w:r>
      <w:r>
        <w:rPr>
          <w:sz w:val="20"/>
        </w:rPr>
        <w:t>modalidad,</w:t>
      </w:r>
      <w:r>
        <w:rPr>
          <w:spacing w:val="-5"/>
          <w:sz w:val="20"/>
        </w:rPr>
        <w:t> </w:t>
      </w:r>
      <w:r>
        <w:rPr>
          <w:sz w:val="20"/>
        </w:rPr>
        <w:t>las</w:t>
      </w:r>
      <w:r>
        <w:rPr>
          <w:spacing w:val="-4"/>
          <w:sz w:val="20"/>
        </w:rPr>
        <w:t> </w:t>
      </w:r>
      <w:r>
        <w:rPr>
          <w:sz w:val="20"/>
        </w:rPr>
        <w:t>características</w:t>
      </w:r>
      <w:r>
        <w:rPr>
          <w:spacing w:val="-4"/>
          <w:sz w:val="20"/>
        </w:rPr>
        <w:t> </w:t>
      </w:r>
      <w:r>
        <w:rPr>
          <w:sz w:val="20"/>
        </w:rPr>
        <w:t>de</w:t>
      </w:r>
      <w:r>
        <w:rPr>
          <w:spacing w:val="-4"/>
          <w:sz w:val="20"/>
        </w:rPr>
        <w:t> </w:t>
      </w:r>
      <w:r>
        <w:rPr>
          <w:sz w:val="20"/>
        </w:rPr>
        <w:t>la</w:t>
      </w:r>
      <w:r>
        <w:rPr>
          <w:spacing w:val="-5"/>
          <w:sz w:val="20"/>
        </w:rPr>
        <w:t> </w:t>
      </w:r>
      <w:r>
        <w:rPr>
          <w:sz w:val="20"/>
        </w:rPr>
        <w:t>misma,</w:t>
      </w:r>
      <w:r>
        <w:rPr>
          <w:spacing w:val="-5"/>
          <w:sz w:val="20"/>
        </w:rPr>
        <w:t> </w:t>
      </w:r>
      <w:r>
        <w:rPr>
          <w:sz w:val="20"/>
        </w:rPr>
        <w:t>y</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spacing w:before="71"/>
      </w:pPr>
    </w:p>
    <w:p>
      <w:pPr>
        <w:pStyle w:val="ListParagraph"/>
        <w:numPr>
          <w:ilvl w:val="0"/>
          <w:numId w:val="145"/>
        </w:numPr>
        <w:tabs>
          <w:tab w:pos="689" w:val="left" w:leader="none"/>
        </w:tabs>
        <w:spacing w:line="240" w:lineRule="auto" w:before="0" w:after="0"/>
        <w:ind w:left="262" w:right="287" w:firstLine="0"/>
        <w:jc w:val="left"/>
        <w:rPr>
          <w:sz w:val="20"/>
        </w:rPr>
      </w:pPr>
      <w:r>
        <w:rPr>
          <w:sz w:val="20"/>
        </w:rPr>
        <w:t>La</w:t>
      </w:r>
      <w:r>
        <w:rPr>
          <w:spacing w:val="17"/>
          <w:sz w:val="20"/>
        </w:rPr>
        <w:t> </w:t>
      </w:r>
      <w:r>
        <w:rPr>
          <w:sz w:val="20"/>
        </w:rPr>
        <w:t>fecha</w:t>
      </w:r>
      <w:r>
        <w:rPr>
          <w:spacing w:val="19"/>
          <w:sz w:val="20"/>
        </w:rPr>
        <w:t> </w:t>
      </w:r>
      <w:r>
        <w:rPr>
          <w:sz w:val="20"/>
        </w:rPr>
        <w:t>a</w:t>
      </w:r>
      <w:r>
        <w:rPr>
          <w:spacing w:val="17"/>
          <w:sz w:val="20"/>
        </w:rPr>
        <w:t> </w:t>
      </w:r>
      <w:r>
        <w:rPr>
          <w:sz w:val="20"/>
        </w:rPr>
        <w:t>partir</w:t>
      </w:r>
      <w:r>
        <w:rPr>
          <w:spacing w:val="21"/>
          <w:sz w:val="20"/>
        </w:rPr>
        <w:t> </w:t>
      </w:r>
      <w:r>
        <w:rPr>
          <w:sz w:val="20"/>
        </w:rPr>
        <w:t>de</w:t>
      </w:r>
      <w:r>
        <w:rPr>
          <w:spacing w:val="19"/>
          <w:sz w:val="20"/>
        </w:rPr>
        <w:t> </w:t>
      </w:r>
      <w:r>
        <w:rPr>
          <w:sz w:val="20"/>
        </w:rPr>
        <w:t>la</w:t>
      </w:r>
      <w:r>
        <w:rPr>
          <w:spacing w:val="19"/>
          <w:sz w:val="20"/>
        </w:rPr>
        <w:t> </w:t>
      </w:r>
      <w:r>
        <w:rPr>
          <w:sz w:val="20"/>
        </w:rPr>
        <w:t>cual</w:t>
      </w:r>
      <w:r>
        <w:rPr>
          <w:spacing w:val="17"/>
          <w:sz w:val="20"/>
        </w:rPr>
        <w:t> </w:t>
      </w:r>
      <w:r>
        <w:rPr>
          <w:sz w:val="20"/>
        </w:rPr>
        <w:t>el</w:t>
      </w:r>
      <w:r>
        <w:rPr>
          <w:spacing w:val="19"/>
          <w:sz w:val="20"/>
        </w:rPr>
        <w:t> </w:t>
      </w:r>
      <w:r>
        <w:rPr>
          <w:sz w:val="20"/>
        </w:rPr>
        <w:t>Ayuntamiento</w:t>
      </w:r>
      <w:r>
        <w:rPr>
          <w:spacing w:val="17"/>
          <w:sz w:val="20"/>
        </w:rPr>
        <w:t> </w:t>
      </w:r>
      <w:r>
        <w:rPr>
          <w:sz w:val="20"/>
        </w:rPr>
        <w:t>se</w:t>
      </w:r>
      <w:r>
        <w:rPr>
          <w:spacing w:val="19"/>
          <w:sz w:val="20"/>
        </w:rPr>
        <w:t> </w:t>
      </w:r>
      <w:r>
        <w:rPr>
          <w:sz w:val="20"/>
        </w:rPr>
        <w:t>hará</w:t>
      </w:r>
      <w:r>
        <w:rPr>
          <w:spacing w:val="22"/>
          <w:sz w:val="20"/>
        </w:rPr>
        <w:t> </w:t>
      </w:r>
      <w:r>
        <w:rPr>
          <w:sz w:val="20"/>
        </w:rPr>
        <w:t>cargo</w:t>
      </w:r>
      <w:r>
        <w:rPr>
          <w:spacing w:val="17"/>
          <w:sz w:val="20"/>
        </w:rPr>
        <w:t> </w:t>
      </w:r>
      <w:r>
        <w:rPr>
          <w:sz w:val="20"/>
        </w:rPr>
        <w:t>de</w:t>
      </w:r>
      <w:r>
        <w:rPr>
          <w:spacing w:val="17"/>
          <w:sz w:val="20"/>
        </w:rPr>
        <w:t> </w:t>
      </w:r>
      <w:r>
        <w:rPr>
          <w:sz w:val="20"/>
        </w:rPr>
        <w:t>la</w:t>
      </w:r>
      <w:r>
        <w:rPr>
          <w:spacing w:val="20"/>
          <w:sz w:val="20"/>
        </w:rPr>
        <w:t> </w:t>
      </w:r>
      <w:r>
        <w:rPr>
          <w:sz w:val="20"/>
        </w:rPr>
        <w:t>prestación</w:t>
      </w:r>
      <w:r>
        <w:rPr>
          <w:spacing w:val="20"/>
          <w:sz w:val="20"/>
        </w:rPr>
        <w:t> </w:t>
      </w:r>
      <w:r>
        <w:rPr>
          <w:sz w:val="20"/>
        </w:rPr>
        <w:t>de</w:t>
      </w:r>
      <w:r>
        <w:rPr>
          <w:spacing w:val="19"/>
          <w:sz w:val="20"/>
        </w:rPr>
        <w:t> </w:t>
      </w:r>
      <w:r>
        <w:rPr>
          <w:sz w:val="20"/>
        </w:rPr>
        <w:t>los</w:t>
      </w:r>
      <w:r>
        <w:rPr>
          <w:spacing w:val="18"/>
          <w:sz w:val="20"/>
        </w:rPr>
        <w:t> </w:t>
      </w:r>
      <w:r>
        <w:rPr>
          <w:sz w:val="20"/>
        </w:rPr>
        <w:t>servicios </w:t>
      </w:r>
      <w:r>
        <w:rPr>
          <w:spacing w:val="-2"/>
          <w:sz w:val="20"/>
        </w:rPr>
        <w:t>públicos.</w:t>
      </w:r>
    </w:p>
    <w:p>
      <w:pPr>
        <w:pStyle w:val="BodyText"/>
        <w:spacing w:before="1"/>
      </w:pPr>
    </w:p>
    <w:p>
      <w:pPr>
        <w:pStyle w:val="BodyText"/>
        <w:ind w:left="262" w:right="277"/>
        <w:jc w:val="both"/>
      </w:pPr>
      <w:r>
        <w:rPr>
          <w:rFonts w:ascii="Arial" w:hAnsi="Arial"/>
          <w:b/>
        </w:rPr>
        <w:t>ARTÍCULO 494. </w:t>
      </w:r>
      <w:r>
        <w:rPr/>
        <w:t>La entrega-recepción final de un fraccionamiento al Municipio comprende los bienes inmuebles, equipo e instalaciones destinados a los servicios públicos y de las obras de urbanización comprendidas en las áreas de dominio público del fraccionamiento, para que puedan operar dichos servicios. El Municipio se hará cargo en lo sucesivo de la prestación de los servicios públicos correspondientes, y en el caso de que se trate de un fraccionamiento en régimen de propiedad en condominio, lo hará únicamente al pie del desarrollo.</w:t>
      </w:r>
    </w:p>
    <w:p>
      <w:pPr>
        <w:pStyle w:val="BodyText"/>
        <w:spacing w:before="1"/>
      </w:pPr>
    </w:p>
    <w:p>
      <w:pPr>
        <w:pStyle w:val="BodyText"/>
        <w:ind w:left="262" w:right="278"/>
        <w:jc w:val="both"/>
      </w:pPr>
      <w:r>
        <w:rPr>
          <w:rFonts w:ascii="Arial" w:hAnsi="Arial"/>
          <w:b/>
        </w:rPr>
        <w:t>ARTÍCULO</w:t>
      </w:r>
      <w:r>
        <w:rPr>
          <w:rFonts w:ascii="Arial" w:hAnsi="Arial"/>
          <w:b/>
          <w:spacing w:val="-2"/>
        </w:rPr>
        <w:t> </w:t>
      </w:r>
      <w:r>
        <w:rPr>
          <w:rFonts w:ascii="Arial" w:hAnsi="Arial"/>
          <w:b/>
        </w:rPr>
        <w:t>495. </w:t>
      </w:r>
      <w:r>
        <w:rPr/>
        <w:t>El</w:t>
      </w:r>
      <w:r>
        <w:rPr>
          <w:spacing w:val="-2"/>
        </w:rPr>
        <w:t> </w:t>
      </w:r>
      <w:r>
        <w:rPr/>
        <w:t>Ayuntamiento</w:t>
      </w:r>
      <w:r>
        <w:rPr>
          <w:spacing w:val="-4"/>
        </w:rPr>
        <w:t> </w:t>
      </w:r>
      <w:r>
        <w:rPr/>
        <w:t>respectivo</w:t>
      </w:r>
      <w:r>
        <w:rPr>
          <w:spacing w:val="-3"/>
        </w:rPr>
        <w:t> </w:t>
      </w:r>
      <w:r>
        <w:rPr/>
        <w:t>recibirá</w:t>
      </w:r>
      <w:r>
        <w:rPr>
          <w:spacing w:val="-3"/>
        </w:rPr>
        <w:t> </w:t>
      </w:r>
      <w:r>
        <w:rPr/>
        <w:t>el</w:t>
      </w:r>
      <w:r>
        <w:rPr>
          <w:spacing w:val="-4"/>
        </w:rPr>
        <w:t> </w:t>
      </w:r>
      <w:r>
        <w:rPr/>
        <w:t>fraccionamiento, mediante</w:t>
      </w:r>
      <w:r>
        <w:rPr>
          <w:spacing w:val="-1"/>
        </w:rPr>
        <w:t> </w:t>
      </w:r>
      <w:r>
        <w:rPr/>
        <w:t>el</w:t>
      </w:r>
      <w:r>
        <w:rPr>
          <w:spacing w:val="-2"/>
        </w:rPr>
        <w:t> </w:t>
      </w:r>
      <w:r>
        <w:rPr/>
        <w:t>levantamiento de un acta administrativa en la que intervendrán el Presidente Municipal, el síndico municipal que corresponda, el titular de la Dirección Municipal y el fraccionador, a fin de que previo dictamen técnico-jurídico</w:t>
      </w:r>
      <w:r>
        <w:rPr>
          <w:spacing w:val="-2"/>
        </w:rPr>
        <w:t> </w:t>
      </w:r>
      <w:r>
        <w:rPr/>
        <w:t>se</w:t>
      </w:r>
      <w:r>
        <w:rPr>
          <w:spacing w:val="-2"/>
        </w:rPr>
        <w:t> </w:t>
      </w:r>
      <w:r>
        <w:rPr/>
        <w:t>certifique</w:t>
      </w:r>
      <w:r>
        <w:rPr>
          <w:spacing w:val="-2"/>
        </w:rPr>
        <w:t> </w:t>
      </w:r>
      <w:r>
        <w:rPr/>
        <w:t>que el</w:t>
      </w:r>
      <w:r>
        <w:rPr>
          <w:spacing w:val="-3"/>
        </w:rPr>
        <w:t> </w:t>
      </w:r>
      <w:r>
        <w:rPr/>
        <w:t>fraccionador</w:t>
      </w:r>
      <w:r>
        <w:rPr>
          <w:spacing w:val="-1"/>
        </w:rPr>
        <w:t> </w:t>
      </w:r>
      <w:r>
        <w:rPr/>
        <w:t>cumplió</w:t>
      </w:r>
      <w:r>
        <w:rPr>
          <w:spacing w:val="-2"/>
        </w:rPr>
        <w:t> </w:t>
      </w:r>
      <w:r>
        <w:rPr/>
        <w:t>con</w:t>
      </w:r>
      <w:r>
        <w:rPr>
          <w:spacing w:val="-2"/>
        </w:rPr>
        <w:t> </w:t>
      </w:r>
      <w:r>
        <w:rPr/>
        <w:t>todas</w:t>
      </w:r>
      <w:r>
        <w:rPr>
          <w:spacing w:val="-1"/>
        </w:rPr>
        <w:t> </w:t>
      </w:r>
      <w:r>
        <w:rPr/>
        <w:t>las</w:t>
      </w:r>
      <w:r>
        <w:rPr>
          <w:spacing w:val="-1"/>
        </w:rPr>
        <w:t> </w:t>
      </w:r>
      <w:r>
        <w:rPr/>
        <w:t>obligaciones</w:t>
      </w:r>
      <w:r>
        <w:rPr>
          <w:spacing w:val="-1"/>
        </w:rPr>
        <w:t> </w:t>
      </w:r>
      <w:r>
        <w:rPr/>
        <w:t>derivadas</w:t>
      </w:r>
      <w:r>
        <w:rPr>
          <w:spacing w:val="-1"/>
        </w:rPr>
        <w:t> </w:t>
      </w:r>
      <w:r>
        <w:rPr/>
        <w:t>de</w:t>
      </w:r>
      <w:r>
        <w:rPr>
          <w:spacing w:val="-3"/>
        </w:rPr>
        <w:t> </w:t>
      </w:r>
      <w:r>
        <w:rPr/>
        <w:t>la autorización, así como que se encuentran en buen funcionamiento y calidad las obras de equipamiento e infraestructura y servicios que se entreguen.</w:t>
      </w:r>
    </w:p>
    <w:p>
      <w:pPr>
        <w:pStyle w:val="BodyText"/>
        <w:spacing w:before="228"/>
        <w:ind w:left="262" w:right="282"/>
        <w:jc w:val="both"/>
      </w:pPr>
      <w:r>
        <w:rPr/>
        <w:t>El dictamen técnico-jurídico lo elaborará previamente la Dirección Municipal conjuntamente con el síndico</w:t>
      </w:r>
      <w:r>
        <w:rPr>
          <w:spacing w:val="-1"/>
        </w:rPr>
        <w:t> </w:t>
      </w:r>
      <w:r>
        <w:rPr/>
        <w:t>que</w:t>
      </w:r>
      <w:r>
        <w:rPr>
          <w:spacing w:val="-1"/>
        </w:rPr>
        <w:t> </w:t>
      </w:r>
      <w:r>
        <w:rPr/>
        <w:t>corresponda,</w:t>
      </w:r>
      <w:r>
        <w:rPr>
          <w:spacing w:val="-1"/>
        </w:rPr>
        <w:t> </w:t>
      </w:r>
      <w:r>
        <w:rPr/>
        <w:t>con</w:t>
      </w:r>
      <w:r>
        <w:rPr>
          <w:spacing w:val="-4"/>
        </w:rPr>
        <w:t> </w:t>
      </w:r>
      <w:r>
        <w:rPr/>
        <w:t>el</w:t>
      </w:r>
      <w:r>
        <w:rPr>
          <w:spacing w:val="-1"/>
        </w:rPr>
        <w:t> </w:t>
      </w:r>
      <w:r>
        <w:rPr/>
        <w:t>auxilio</w:t>
      </w:r>
      <w:r>
        <w:rPr>
          <w:spacing w:val="-3"/>
        </w:rPr>
        <w:t> </w:t>
      </w:r>
      <w:r>
        <w:rPr/>
        <w:t>de</w:t>
      </w:r>
      <w:r>
        <w:rPr>
          <w:spacing w:val="-1"/>
        </w:rPr>
        <w:t> </w:t>
      </w:r>
      <w:r>
        <w:rPr/>
        <w:t>las</w:t>
      </w:r>
      <w:r>
        <w:rPr>
          <w:spacing w:val="-2"/>
        </w:rPr>
        <w:t> </w:t>
      </w:r>
      <w:r>
        <w:rPr/>
        <w:t>dependencias</w:t>
      </w:r>
      <w:r>
        <w:rPr>
          <w:spacing w:val="-2"/>
        </w:rPr>
        <w:t> </w:t>
      </w:r>
      <w:r>
        <w:rPr/>
        <w:t>y entidades municipales</w:t>
      </w:r>
      <w:r>
        <w:rPr>
          <w:spacing w:val="-2"/>
        </w:rPr>
        <w:t> </w:t>
      </w:r>
      <w:r>
        <w:rPr/>
        <w:t>conducentes. Dictamen que se insertará en la respectiva acta administrativa, que deberá anexarse al</w:t>
      </w:r>
      <w:r>
        <w:rPr>
          <w:spacing w:val="-1"/>
        </w:rPr>
        <w:t> </w:t>
      </w:r>
      <w:r>
        <w:rPr/>
        <w:t>expediente del fraccionamiento.</w:t>
      </w:r>
    </w:p>
    <w:p>
      <w:pPr>
        <w:pStyle w:val="BodyText"/>
      </w:pPr>
    </w:p>
    <w:p>
      <w:pPr>
        <w:pStyle w:val="BodyText"/>
        <w:ind w:left="262" w:right="277"/>
        <w:jc w:val="both"/>
      </w:pPr>
      <w:r>
        <w:rPr>
          <w:rFonts w:ascii="Arial" w:hAnsi="Arial"/>
          <w:b/>
        </w:rPr>
        <w:t>ARTÍCULO 496. </w:t>
      </w:r>
      <w:r>
        <w:rPr/>
        <w:t>El Ayuntamiento tomará las medidas necesarias para el aprovechamiento, en los porcentajes que establece esta Ley, de los terrenos donados por el fraccionador, programando la habilitación de las áreas verdes, la construcción de escuelas, parques, jardines, mercados, dispensarios y demás edificios para servicios públicos y sociales que hubieren sido previstos. Asimismo</w:t>
      </w:r>
      <w:r>
        <w:rPr>
          <w:spacing w:val="-12"/>
        </w:rPr>
        <w:t> </w:t>
      </w:r>
      <w:r>
        <w:rPr/>
        <w:t>hará</w:t>
      </w:r>
      <w:r>
        <w:rPr>
          <w:spacing w:val="-11"/>
        </w:rPr>
        <w:t> </w:t>
      </w:r>
      <w:r>
        <w:rPr/>
        <w:t>del</w:t>
      </w:r>
      <w:r>
        <w:rPr>
          <w:spacing w:val="-12"/>
        </w:rPr>
        <w:t> </w:t>
      </w:r>
      <w:r>
        <w:rPr/>
        <w:t>conocimiento</w:t>
      </w:r>
      <w:r>
        <w:rPr>
          <w:spacing w:val="-11"/>
        </w:rPr>
        <w:t> </w:t>
      </w:r>
      <w:r>
        <w:rPr/>
        <w:t>a</w:t>
      </w:r>
      <w:r>
        <w:rPr>
          <w:spacing w:val="-11"/>
        </w:rPr>
        <w:t> </w:t>
      </w:r>
      <w:r>
        <w:rPr/>
        <w:t>las</w:t>
      </w:r>
      <w:r>
        <w:rPr>
          <w:spacing w:val="-10"/>
        </w:rPr>
        <w:t> </w:t>
      </w:r>
      <w:r>
        <w:rPr/>
        <w:t>oficinas</w:t>
      </w:r>
      <w:r>
        <w:rPr>
          <w:spacing w:val="-10"/>
        </w:rPr>
        <w:t> </w:t>
      </w:r>
      <w:r>
        <w:rPr/>
        <w:t>de</w:t>
      </w:r>
      <w:r>
        <w:rPr>
          <w:spacing w:val="-11"/>
        </w:rPr>
        <w:t> </w:t>
      </w:r>
      <w:r>
        <w:rPr/>
        <w:t>correos,</w:t>
      </w:r>
      <w:r>
        <w:rPr>
          <w:spacing w:val="-11"/>
        </w:rPr>
        <w:t> </w:t>
      </w:r>
      <w:r>
        <w:rPr/>
        <w:t>telégrafos</w:t>
      </w:r>
      <w:r>
        <w:rPr>
          <w:spacing w:val="-10"/>
        </w:rPr>
        <w:t> </w:t>
      </w:r>
      <w:r>
        <w:rPr/>
        <w:t>y</w:t>
      </w:r>
      <w:r>
        <w:rPr>
          <w:spacing w:val="-10"/>
        </w:rPr>
        <w:t> </w:t>
      </w:r>
      <w:r>
        <w:rPr/>
        <w:t>al</w:t>
      </w:r>
      <w:r>
        <w:rPr>
          <w:spacing w:val="-12"/>
        </w:rPr>
        <w:t> </w:t>
      </w:r>
      <w:r>
        <w:rPr/>
        <w:t>Instituto</w:t>
      </w:r>
      <w:r>
        <w:rPr>
          <w:spacing w:val="-9"/>
        </w:rPr>
        <w:t> </w:t>
      </w:r>
      <w:r>
        <w:rPr/>
        <w:t>Nacional</w:t>
      </w:r>
      <w:r>
        <w:rPr>
          <w:spacing w:val="-10"/>
        </w:rPr>
        <w:t> </w:t>
      </w:r>
      <w:r>
        <w:rPr/>
        <w:t>Electoral, la nomenclatura aprobada para el fraccionamiento.</w:t>
      </w:r>
    </w:p>
    <w:p>
      <w:pPr>
        <w:pStyle w:val="BodyText"/>
        <w:spacing w:before="1"/>
      </w:pPr>
    </w:p>
    <w:p>
      <w:pPr>
        <w:pStyle w:val="BodyText"/>
        <w:ind w:left="262" w:right="277"/>
        <w:jc w:val="both"/>
      </w:pPr>
      <w:r>
        <w:rPr>
          <w:rFonts w:ascii="Arial" w:hAnsi="Arial"/>
          <w:b/>
        </w:rPr>
        <w:t>ARTÍCULO</w:t>
      </w:r>
      <w:r>
        <w:rPr>
          <w:rFonts w:ascii="Arial" w:hAnsi="Arial"/>
          <w:b/>
          <w:spacing w:val="-5"/>
        </w:rPr>
        <w:t> </w:t>
      </w:r>
      <w:r>
        <w:rPr>
          <w:rFonts w:ascii="Arial" w:hAnsi="Arial"/>
          <w:b/>
        </w:rPr>
        <w:t>497.</w:t>
      </w:r>
      <w:r>
        <w:rPr>
          <w:rFonts w:ascii="Arial" w:hAnsi="Arial"/>
          <w:b/>
          <w:spacing w:val="-6"/>
        </w:rPr>
        <w:t> </w:t>
      </w:r>
      <w:r>
        <w:rPr/>
        <w:t>En</w:t>
      </w:r>
      <w:r>
        <w:rPr>
          <w:spacing w:val="-6"/>
        </w:rPr>
        <w:t> </w:t>
      </w:r>
      <w:r>
        <w:rPr/>
        <w:t>tanto</w:t>
      </w:r>
      <w:r>
        <w:rPr>
          <w:spacing w:val="-6"/>
        </w:rPr>
        <w:t> </w:t>
      </w:r>
      <w:r>
        <w:rPr/>
        <w:t>no</w:t>
      </w:r>
      <w:r>
        <w:rPr>
          <w:spacing w:val="-6"/>
        </w:rPr>
        <w:t> </w:t>
      </w:r>
      <w:r>
        <w:rPr/>
        <w:t>se</w:t>
      </w:r>
      <w:r>
        <w:rPr>
          <w:spacing w:val="-6"/>
        </w:rPr>
        <w:t> </w:t>
      </w:r>
      <w:r>
        <w:rPr/>
        <w:t>realicen</w:t>
      </w:r>
      <w:r>
        <w:rPr>
          <w:spacing w:val="-5"/>
        </w:rPr>
        <w:t> </w:t>
      </w:r>
      <w:r>
        <w:rPr/>
        <w:t>las</w:t>
      </w:r>
      <w:r>
        <w:rPr>
          <w:spacing w:val="-6"/>
        </w:rPr>
        <w:t> </w:t>
      </w:r>
      <w:r>
        <w:rPr/>
        <w:t>obras</w:t>
      </w:r>
      <w:r>
        <w:rPr>
          <w:spacing w:val="-6"/>
        </w:rPr>
        <w:t> </w:t>
      </w:r>
      <w:r>
        <w:rPr/>
        <w:t>a</w:t>
      </w:r>
      <w:r>
        <w:rPr>
          <w:spacing w:val="-4"/>
        </w:rPr>
        <w:t> </w:t>
      </w:r>
      <w:r>
        <w:rPr/>
        <w:t>que</w:t>
      </w:r>
      <w:r>
        <w:rPr>
          <w:spacing w:val="-6"/>
        </w:rPr>
        <w:t> </w:t>
      </w:r>
      <w:r>
        <w:rPr/>
        <w:t>se</w:t>
      </w:r>
      <w:r>
        <w:rPr>
          <w:spacing w:val="-6"/>
        </w:rPr>
        <w:t> </w:t>
      </w:r>
      <w:r>
        <w:rPr/>
        <w:t>refiere</w:t>
      </w:r>
      <w:r>
        <w:rPr>
          <w:spacing w:val="-4"/>
        </w:rPr>
        <w:t> </w:t>
      </w:r>
      <w:r>
        <w:rPr/>
        <w:t>el</w:t>
      </w:r>
      <w:r>
        <w:rPr>
          <w:spacing w:val="-5"/>
        </w:rPr>
        <w:t> </w:t>
      </w:r>
      <w:r>
        <w:rPr/>
        <w:t>artículo</w:t>
      </w:r>
      <w:r>
        <w:rPr>
          <w:spacing w:val="-6"/>
        </w:rPr>
        <w:t> </w:t>
      </w:r>
      <w:r>
        <w:rPr/>
        <w:t>anterior</w:t>
      </w:r>
      <w:r>
        <w:rPr>
          <w:spacing w:val="-6"/>
        </w:rPr>
        <w:t> </w:t>
      </w:r>
      <w:r>
        <w:rPr/>
        <w:t>de</w:t>
      </w:r>
      <w:r>
        <w:rPr>
          <w:spacing w:val="-5"/>
        </w:rPr>
        <w:t> </w:t>
      </w:r>
      <w:r>
        <w:rPr/>
        <w:t>la</w:t>
      </w:r>
      <w:r>
        <w:rPr>
          <w:spacing w:val="-6"/>
        </w:rPr>
        <w:t> </w:t>
      </w:r>
      <w:r>
        <w:rPr/>
        <w:t>presente Ley, una vez municipalizado el fraccionamiento, el Ayuntamiento con la participación de las Juntas de Mejoras, estará obligado a cuidar el buen aspecto y limpieza de los lotes del dominio municipal, impidiendo se les dé otro uso y que se conviertan en receptáculos de basura y desperdicios; y procurando destinarlos provisionalmente como áreas verdes.</w:t>
      </w:r>
    </w:p>
    <w:p>
      <w:pPr>
        <w:pStyle w:val="BodyText"/>
      </w:pPr>
    </w:p>
    <w:p>
      <w:pPr>
        <w:pStyle w:val="BodyText"/>
        <w:ind w:left="262" w:right="280"/>
        <w:jc w:val="both"/>
      </w:pPr>
      <w:r>
        <w:rPr>
          <w:rFonts w:ascii="Arial" w:hAnsi="Arial"/>
          <w:b/>
        </w:rPr>
        <w:t>ARTÍCULO 498. </w:t>
      </w:r>
      <w:r>
        <w:rPr/>
        <w:t>Para efectos de su publicidad, el Ayuntamiento tramitará a costa del solicitante la publicación</w:t>
      </w:r>
      <w:r>
        <w:rPr>
          <w:spacing w:val="-14"/>
        </w:rPr>
        <w:t> </w:t>
      </w:r>
      <w:r>
        <w:rPr/>
        <w:t>de</w:t>
      </w:r>
      <w:r>
        <w:rPr>
          <w:spacing w:val="-14"/>
        </w:rPr>
        <w:t> </w:t>
      </w:r>
      <w:r>
        <w:rPr/>
        <w:t>la</w:t>
      </w:r>
      <w:r>
        <w:rPr>
          <w:spacing w:val="-14"/>
        </w:rPr>
        <w:t> </w:t>
      </w:r>
      <w:r>
        <w:rPr/>
        <w:t>constancia</w:t>
      </w:r>
      <w:r>
        <w:rPr>
          <w:spacing w:val="-14"/>
        </w:rPr>
        <w:t> </w:t>
      </w:r>
      <w:r>
        <w:rPr/>
        <w:t>de</w:t>
      </w:r>
      <w:r>
        <w:rPr>
          <w:spacing w:val="-14"/>
        </w:rPr>
        <w:t> </w:t>
      </w:r>
      <w:r>
        <w:rPr/>
        <w:t>municipalización</w:t>
      </w:r>
      <w:r>
        <w:rPr>
          <w:spacing w:val="-14"/>
        </w:rPr>
        <w:t> </w:t>
      </w:r>
      <w:r>
        <w:rPr/>
        <w:t>y</w:t>
      </w:r>
      <w:r>
        <w:rPr>
          <w:spacing w:val="-14"/>
        </w:rPr>
        <w:t> </w:t>
      </w:r>
      <w:r>
        <w:rPr/>
        <w:t>del</w:t>
      </w:r>
      <w:r>
        <w:rPr>
          <w:spacing w:val="-14"/>
        </w:rPr>
        <w:t> </w:t>
      </w:r>
      <w:r>
        <w:rPr/>
        <w:t>acta</w:t>
      </w:r>
      <w:r>
        <w:rPr>
          <w:spacing w:val="-14"/>
        </w:rPr>
        <w:t> </w:t>
      </w:r>
      <w:r>
        <w:rPr/>
        <w:t>de</w:t>
      </w:r>
      <w:r>
        <w:rPr>
          <w:spacing w:val="-13"/>
        </w:rPr>
        <w:t> </w:t>
      </w:r>
      <w:r>
        <w:rPr/>
        <w:t>entrega-recepción</w:t>
      </w:r>
      <w:r>
        <w:rPr>
          <w:spacing w:val="-14"/>
        </w:rPr>
        <w:t> </w:t>
      </w:r>
      <w:r>
        <w:rPr/>
        <w:t>del</w:t>
      </w:r>
      <w:r>
        <w:rPr>
          <w:spacing w:val="-14"/>
        </w:rPr>
        <w:t> </w:t>
      </w:r>
      <w:r>
        <w:rPr/>
        <w:t>fraccionamiento </w:t>
      </w:r>
      <w:r>
        <w:rPr>
          <w:spacing w:val="-2"/>
        </w:rPr>
        <w:t>en</w:t>
      </w:r>
      <w:r>
        <w:rPr>
          <w:spacing w:val="-8"/>
        </w:rPr>
        <w:t> </w:t>
      </w:r>
      <w:r>
        <w:rPr>
          <w:spacing w:val="-2"/>
        </w:rPr>
        <w:t>el</w:t>
      </w:r>
      <w:r>
        <w:rPr>
          <w:spacing w:val="-6"/>
        </w:rPr>
        <w:t> </w:t>
      </w:r>
      <w:r>
        <w:rPr>
          <w:spacing w:val="-2"/>
        </w:rPr>
        <w:t>Periódico</w:t>
      </w:r>
      <w:r>
        <w:rPr>
          <w:spacing w:val="-8"/>
        </w:rPr>
        <w:t> </w:t>
      </w:r>
      <w:r>
        <w:rPr>
          <w:spacing w:val="-2"/>
        </w:rPr>
        <w:t>Oficial</w:t>
      </w:r>
      <w:r>
        <w:rPr>
          <w:spacing w:val="-6"/>
        </w:rPr>
        <w:t> </w:t>
      </w:r>
      <w:r>
        <w:rPr>
          <w:spacing w:val="-2"/>
        </w:rPr>
        <w:t>del</w:t>
      </w:r>
      <w:r>
        <w:rPr>
          <w:spacing w:val="-6"/>
        </w:rPr>
        <w:t> </w:t>
      </w:r>
      <w:r>
        <w:rPr>
          <w:spacing w:val="-2"/>
        </w:rPr>
        <w:t>Estado</w:t>
      </w:r>
      <w:r>
        <w:rPr>
          <w:spacing w:val="-8"/>
        </w:rPr>
        <w:t> </w:t>
      </w:r>
      <w:r>
        <w:rPr>
          <w:spacing w:val="-2"/>
        </w:rPr>
        <w:t>“Plan</w:t>
      </w:r>
      <w:r>
        <w:rPr>
          <w:spacing w:val="-5"/>
        </w:rPr>
        <w:t> </w:t>
      </w:r>
      <w:r>
        <w:rPr>
          <w:spacing w:val="-2"/>
        </w:rPr>
        <w:t>de</w:t>
      </w:r>
      <w:r>
        <w:rPr>
          <w:spacing w:val="-5"/>
        </w:rPr>
        <w:t> </w:t>
      </w:r>
      <w:r>
        <w:rPr>
          <w:spacing w:val="-2"/>
        </w:rPr>
        <w:t>San</w:t>
      </w:r>
      <w:r>
        <w:rPr>
          <w:spacing w:val="-8"/>
        </w:rPr>
        <w:t> </w:t>
      </w:r>
      <w:r>
        <w:rPr>
          <w:spacing w:val="-2"/>
        </w:rPr>
        <w:t>Luis”,</w:t>
      </w:r>
      <w:r>
        <w:rPr>
          <w:spacing w:val="-5"/>
        </w:rPr>
        <w:t> </w:t>
      </w:r>
      <w:r>
        <w:rPr>
          <w:spacing w:val="-2"/>
        </w:rPr>
        <w:t>lo</w:t>
      </w:r>
      <w:r>
        <w:rPr>
          <w:spacing w:val="-6"/>
        </w:rPr>
        <w:t> </w:t>
      </w:r>
      <w:r>
        <w:rPr>
          <w:spacing w:val="-2"/>
        </w:rPr>
        <w:t>que</w:t>
      </w:r>
      <w:r>
        <w:rPr>
          <w:spacing w:val="-6"/>
        </w:rPr>
        <w:t> </w:t>
      </w:r>
      <w:r>
        <w:rPr>
          <w:spacing w:val="-2"/>
        </w:rPr>
        <w:t>deberá</w:t>
      </w:r>
      <w:r>
        <w:rPr>
          <w:spacing w:val="-5"/>
        </w:rPr>
        <w:t> </w:t>
      </w:r>
      <w:r>
        <w:rPr>
          <w:spacing w:val="-2"/>
        </w:rPr>
        <w:t>realizar</w:t>
      </w:r>
      <w:r>
        <w:rPr>
          <w:spacing w:val="-5"/>
        </w:rPr>
        <w:t> </w:t>
      </w:r>
      <w:r>
        <w:rPr>
          <w:spacing w:val="-2"/>
        </w:rPr>
        <w:t>dentro</w:t>
      </w:r>
      <w:r>
        <w:rPr>
          <w:spacing w:val="-5"/>
        </w:rPr>
        <w:t> </w:t>
      </w:r>
      <w:r>
        <w:rPr>
          <w:spacing w:val="-2"/>
        </w:rPr>
        <w:t>de</w:t>
      </w:r>
      <w:r>
        <w:rPr>
          <w:spacing w:val="-5"/>
        </w:rPr>
        <w:t> </w:t>
      </w:r>
      <w:r>
        <w:rPr>
          <w:spacing w:val="-2"/>
        </w:rPr>
        <w:t>los</w:t>
      </w:r>
      <w:r>
        <w:rPr>
          <w:spacing w:val="-7"/>
        </w:rPr>
        <w:t> </w:t>
      </w:r>
      <w:r>
        <w:rPr>
          <w:spacing w:val="-2"/>
        </w:rPr>
        <w:t>siguientes </w:t>
      </w:r>
      <w:r>
        <w:rPr/>
        <w:t>cinco días hábiles de su expedición.</w:t>
      </w:r>
    </w:p>
    <w:p>
      <w:pPr>
        <w:pStyle w:val="BodyText"/>
      </w:pPr>
    </w:p>
    <w:p>
      <w:pPr>
        <w:pStyle w:val="BodyText"/>
        <w:spacing w:before="1"/>
      </w:pPr>
    </w:p>
    <w:p>
      <w:pPr>
        <w:pStyle w:val="Heading1"/>
        <w:spacing w:line="480" w:lineRule="auto"/>
        <w:ind w:left="2804" w:right="2331" w:firstLine="468"/>
        <w:jc w:val="left"/>
      </w:pPr>
      <w:r>
        <w:rPr/>
        <w:t>TÍTULO VIGÉSIMO TERCERO DENUNCIA</w:t>
      </w:r>
      <w:r>
        <w:rPr>
          <w:spacing w:val="-14"/>
        </w:rPr>
        <w:t> </w:t>
      </w:r>
      <w:r>
        <w:rPr/>
        <w:t>CIUDADANA</w:t>
      </w:r>
      <w:r>
        <w:rPr>
          <w:spacing w:val="-13"/>
        </w:rPr>
        <w:t> </w:t>
      </w:r>
      <w:r>
        <w:rPr/>
        <w:t>Y</w:t>
      </w:r>
      <w:r>
        <w:rPr>
          <w:spacing w:val="-14"/>
        </w:rPr>
        <w:t> </w:t>
      </w:r>
      <w:r>
        <w:rPr/>
        <w:t>NULIDADES</w:t>
      </w:r>
    </w:p>
    <w:p>
      <w:pPr>
        <w:pStyle w:val="Heading2"/>
        <w:spacing w:line="480" w:lineRule="auto" w:before="230"/>
        <w:ind w:left="3682" w:right="3693" w:firstLine="532"/>
        <w:jc w:val="left"/>
      </w:pPr>
      <w:r>
        <w:rPr/>
        <w:t>Capítulo I Denuncia</w:t>
      </w:r>
      <w:r>
        <w:rPr>
          <w:spacing w:val="-14"/>
        </w:rPr>
        <w:t> </w:t>
      </w:r>
      <w:r>
        <w:rPr/>
        <w:t>Ciudadana</w:t>
      </w:r>
    </w:p>
    <w:p>
      <w:pPr>
        <w:pStyle w:val="Heading2"/>
        <w:spacing w:after="0" w:line="480" w:lineRule="auto"/>
        <w:jc w:val="left"/>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79"/>
        <w:jc w:val="both"/>
      </w:pPr>
      <w:r>
        <w:rPr>
          <w:rFonts w:ascii="Arial" w:hAnsi="Arial"/>
          <w:b/>
        </w:rPr>
        <w:t>ARTÍCULO 499. </w:t>
      </w:r>
      <w:r>
        <w:rPr/>
        <w:t>El Estado, a través de la Secretaría, la Contraloría General del Estado y demás dependencias y entidades competentes, promoverá mecanismos de contraloría o vigilancia social, donde</w:t>
      </w:r>
      <w:r>
        <w:rPr>
          <w:spacing w:val="-5"/>
        </w:rPr>
        <w:t> </w:t>
      </w:r>
      <w:r>
        <w:rPr/>
        <w:t>participen</w:t>
      </w:r>
      <w:r>
        <w:rPr>
          <w:spacing w:val="-6"/>
        </w:rPr>
        <w:t> </w:t>
      </w:r>
      <w:r>
        <w:rPr/>
        <w:t>los</w:t>
      </w:r>
      <w:r>
        <w:rPr>
          <w:spacing w:val="-4"/>
        </w:rPr>
        <w:t> </w:t>
      </w:r>
      <w:r>
        <w:rPr/>
        <w:t>vecinos,</w:t>
      </w:r>
      <w:r>
        <w:rPr>
          <w:spacing w:val="-5"/>
        </w:rPr>
        <w:t> </w:t>
      </w:r>
      <w:r>
        <w:rPr/>
        <w:t>usuarios,</w:t>
      </w:r>
      <w:r>
        <w:rPr>
          <w:spacing w:val="-5"/>
        </w:rPr>
        <w:t> </w:t>
      </w:r>
      <w:r>
        <w:rPr/>
        <w:t>instituciones</w:t>
      </w:r>
      <w:r>
        <w:rPr>
          <w:spacing w:val="-4"/>
        </w:rPr>
        <w:t> </w:t>
      </w:r>
      <w:r>
        <w:rPr/>
        <w:t>académicas,</w:t>
      </w:r>
      <w:r>
        <w:rPr>
          <w:spacing w:val="-5"/>
        </w:rPr>
        <w:t> </w:t>
      </w:r>
      <w:r>
        <w:rPr/>
        <w:t>organizaciones sociales,</w:t>
      </w:r>
      <w:r>
        <w:rPr>
          <w:spacing w:val="-5"/>
        </w:rPr>
        <w:t> </w:t>
      </w:r>
      <w:r>
        <w:rPr/>
        <w:t>colegios de</w:t>
      </w:r>
      <w:r>
        <w:rPr>
          <w:spacing w:val="-7"/>
        </w:rPr>
        <w:t> </w:t>
      </w:r>
      <w:r>
        <w:rPr/>
        <w:t>profesionistas</w:t>
      </w:r>
      <w:r>
        <w:rPr>
          <w:spacing w:val="-6"/>
        </w:rPr>
        <w:t> </w:t>
      </w:r>
      <w:r>
        <w:rPr/>
        <w:t>y</w:t>
      </w:r>
      <w:r>
        <w:rPr>
          <w:spacing w:val="-5"/>
        </w:rPr>
        <w:t> </w:t>
      </w:r>
      <w:r>
        <w:rPr/>
        <w:t>los</w:t>
      </w:r>
      <w:r>
        <w:rPr>
          <w:spacing w:val="-4"/>
        </w:rPr>
        <w:t> </w:t>
      </w:r>
      <w:r>
        <w:rPr/>
        <w:t>institutos</w:t>
      </w:r>
      <w:r>
        <w:rPr>
          <w:spacing w:val="-5"/>
        </w:rPr>
        <w:t> </w:t>
      </w:r>
      <w:r>
        <w:rPr/>
        <w:t>y</w:t>
      </w:r>
      <w:r>
        <w:rPr>
          <w:spacing w:val="-5"/>
        </w:rPr>
        <w:t> </w:t>
      </w:r>
      <w:r>
        <w:rPr/>
        <w:t>observatorios,</w:t>
      </w:r>
      <w:r>
        <w:rPr>
          <w:spacing w:val="-5"/>
        </w:rPr>
        <w:t> </w:t>
      </w:r>
      <w:r>
        <w:rPr/>
        <w:t>en</w:t>
      </w:r>
      <w:r>
        <w:rPr>
          <w:spacing w:val="-5"/>
        </w:rPr>
        <w:t> </w:t>
      </w:r>
      <w:r>
        <w:rPr/>
        <w:t>el</w:t>
      </w:r>
      <w:r>
        <w:rPr>
          <w:spacing w:val="-4"/>
        </w:rPr>
        <w:t> </w:t>
      </w:r>
      <w:r>
        <w:rPr/>
        <w:t>cumplimiento</w:t>
      </w:r>
      <w:r>
        <w:rPr>
          <w:spacing w:val="-7"/>
        </w:rPr>
        <w:t> </w:t>
      </w:r>
      <w:r>
        <w:rPr/>
        <w:t>y</w:t>
      </w:r>
      <w:r>
        <w:rPr>
          <w:spacing w:val="-4"/>
        </w:rPr>
        <w:t> </w:t>
      </w:r>
      <w:r>
        <w:rPr/>
        <w:t>ejecución</w:t>
      </w:r>
      <w:r>
        <w:rPr>
          <w:spacing w:val="-5"/>
        </w:rPr>
        <w:t> </w:t>
      </w:r>
      <w:r>
        <w:rPr/>
        <w:t>de</w:t>
      </w:r>
      <w:r>
        <w:rPr>
          <w:spacing w:val="-7"/>
        </w:rPr>
        <w:t> </w:t>
      </w:r>
      <w:r>
        <w:rPr/>
        <w:t>normas</w:t>
      </w:r>
      <w:r>
        <w:rPr>
          <w:spacing w:val="-6"/>
        </w:rPr>
        <w:t> </w:t>
      </w:r>
      <w:r>
        <w:rPr/>
        <w:t>oficiales mexicanas,</w:t>
      </w:r>
      <w:r>
        <w:rPr>
          <w:spacing w:val="-14"/>
        </w:rPr>
        <w:t> </w:t>
      </w:r>
      <w:r>
        <w:rPr/>
        <w:t>de</w:t>
      </w:r>
      <w:r>
        <w:rPr>
          <w:spacing w:val="-14"/>
        </w:rPr>
        <w:t> </w:t>
      </w:r>
      <w:r>
        <w:rPr/>
        <w:t>los</w:t>
      </w:r>
      <w:r>
        <w:rPr>
          <w:spacing w:val="-14"/>
        </w:rPr>
        <w:t> </w:t>
      </w:r>
      <w:r>
        <w:rPr/>
        <w:t>programas</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esta</w:t>
      </w:r>
      <w:r>
        <w:rPr>
          <w:spacing w:val="-13"/>
        </w:rPr>
        <w:t> </w:t>
      </w:r>
      <w:r>
        <w:rPr/>
        <w:t>Ley,</w:t>
      </w:r>
      <w:r>
        <w:rPr>
          <w:spacing w:val="-14"/>
        </w:rPr>
        <w:t> </w:t>
      </w:r>
      <w:r>
        <w:rPr/>
        <w:t>aplicando</w:t>
      </w:r>
      <w:r>
        <w:rPr>
          <w:spacing w:val="-14"/>
        </w:rPr>
        <w:t> </w:t>
      </w:r>
      <w:r>
        <w:rPr/>
        <w:t>los</w:t>
      </w:r>
      <w:r>
        <w:rPr>
          <w:spacing w:val="-12"/>
        </w:rPr>
        <w:t> </w:t>
      </w:r>
      <w:r>
        <w:rPr/>
        <w:t>principios</w:t>
      </w:r>
      <w:r>
        <w:rPr>
          <w:spacing w:val="-14"/>
        </w:rPr>
        <w:t> </w:t>
      </w:r>
      <w:r>
        <w:rPr/>
        <w:t>establecidos</w:t>
      </w:r>
      <w:r>
        <w:rPr>
          <w:spacing w:val="-14"/>
        </w:rPr>
        <w:t> </w:t>
      </w:r>
      <w:r>
        <w:rPr/>
        <w:t>en</w:t>
      </w:r>
      <w:r>
        <w:rPr>
          <w:spacing w:val="-13"/>
        </w:rPr>
        <w:t> </w:t>
      </w:r>
      <w:r>
        <w:rPr/>
        <w:t>ésta, y</w:t>
      </w:r>
      <w:r>
        <w:rPr>
          <w:spacing w:val="-1"/>
        </w:rPr>
        <w:t> </w:t>
      </w:r>
      <w:r>
        <w:rPr/>
        <w:t>en</w:t>
      </w:r>
      <w:r>
        <w:rPr>
          <w:spacing w:val="-3"/>
        </w:rPr>
        <w:t> </w:t>
      </w:r>
      <w:r>
        <w:rPr/>
        <w:t>su caso denunciando ante</w:t>
      </w:r>
      <w:r>
        <w:rPr>
          <w:spacing w:val="40"/>
        </w:rPr>
        <w:t> </w:t>
      </w:r>
      <w:r>
        <w:rPr/>
        <w:t>las autoridades</w:t>
      </w:r>
      <w:r>
        <w:rPr>
          <w:spacing w:val="-1"/>
        </w:rPr>
        <w:t> </w:t>
      </w:r>
      <w:r>
        <w:rPr/>
        <w:t>competentes,</w:t>
      </w:r>
      <w:r>
        <w:rPr>
          <w:spacing w:val="-2"/>
        </w:rPr>
        <w:t> </w:t>
      </w:r>
      <w:r>
        <w:rPr/>
        <w:t>cualquier</w:t>
      </w:r>
      <w:r>
        <w:rPr>
          <w:spacing w:val="-1"/>
        </w:rPr>
        <w:t> </w:t>
      </w:r>
      <w:r>
        <w:rPr/>
        <w:t>violación a la normatividad </w:t>
      </w:r>
      <w:r>
        <w:rPr>
          <w:spacing w:val="-2"/>
        </w:rPr>
        <w:t>aplicable.</w:t>
      </w:r>
    </w:p>
    <w:p>
      <w:pPr>
        <w:pStyle w:val="BodyText"/>
        <w:spacing w:before="1"/>
      </w:pPr>
    </w:p>
    <w:p>
      <w:pPr>
        <w:pStyle w:val="BodyText"/>
        <w:ind w:left="262" w:right="279"/>
        <w:jc w:val="both"/>
      </w:pPr>
      <w:r>
        <w:rPr>
          <w:rFonts w:ascii="Arial" w:hAnsi="Arial"/>
          <w:b/>
        </w:rPr>
        <w:t>ARTÍCULO</w:t>
      </w:r>
      <w:r>
        <w:rPr>
          <w:rFonts w:ascii="Arial" w:hAnsi="Arial"/>
          <w:b/>
          <w:spacing w:val="-1"/>
        </w:rPr>
        <w:t> </w:t>
      </w:r>
      <w:r>
        <w:rPr>
          <w:rFonts w:ascii="Arial" w:hAnsi="Arial"/>
          <w:b/>
        </w:rPr>
        <w:t>500.</w:t>
      </w:r>
      <w:r>
        <w:rPr>
          <w:rFonts w:ascii="Arial" w:hAnsi="Arial"/>
          <w:b/>
          <w:spacing w:val="-1"/>
        </w:rPr>
        <w:t> </w:t>
      </w:r>
      <w:r>
        <w:rPr/>
        <w:t>Toda persona, física o</w:t>
      </w:r>
      <w:r>
        <w:rPr>
          <w:spacing w:val="-2"/>
        </w:rPr>
        <w:t> </w:t>
      </w:r>
      <w:r>
        <w:rPr/>
        <w:t>moral, podrá</w:t>
      </w:r>
      <w:r>
        <w:rPr>
          <w:spacing w:val="-2"/>
        </w:rPr>
        <w:t> </w:t>
      </w:r>
      <w:r>
        <w:rPr/>
        <w:t>denunciar</w:t>
      </w:r>
      <w:r>
        <w:rPr>
          <w:spacing w:val="-1"/>
        </w:rPr>
        <w:t> </w:t>
      </w:r>
      <w:r>
        <w:rPr/>
        <w:t>ante la instancia de</w:t>
      </w:r>
      <w:r>
        <w:rPr>
          <w:spacing w:val="-2"/>
        </w:rPr>
        <w:t> </w:t>
      </w:r>
      <w:r>
        <w:rPr/>
        <w:t>procuración de ordenamiento territorial</w:t>
      </w:r>
      <w:r>
        <w:rPr>
          <w:spacing w:val="40"/>
        </w:rPr>
        <w:t> </w:t>
      </w:r>
      <w:r>
        <w:rPr/>
        <w:t>y demás instancias estatales y municipales competentes, cualquier acto u omisión</w:t>
      </w:r>
      <w:r>
        <w:rPr>
          <w:spacing w:val="-13"/>
        </w:rPr>
        <w:t> </w:t>
      </w:r>
      <w:r>
        <w:rPr/>
        <w:t>que</w:t>
      </w:r>
      <w:r>
        <w:rPr>
          <w:spacing w:val="-13"/>
        </w:rPr>
        <w:t> </w:t>
      </w:r>
      <w:r>
        <w:rPr/>
        <w:t>contravenga</w:t>
      </w:r>
      <w:r>
        <w:rPr>
          <w:spacing w:val="-12"/>
        </w:rPr>
        <w:t> </w:t>
      </w:r>
      <w:r>
        <w:rPr/>
        <w:t>las</w:t>
      </w:r>
      <w:r>
        <w:rPr>
          <w:spacing w:val="-11"/>
        </w:rPr>
        <w:t> </w:t>
      </w:r>
      <w:r>
        <w:rPr/>
        <w:t>disposiciones</w:t>
      </w:r>
      <w:r>
        <w:rPr>
          <w:spacing w:val="-11"/>
        </w:rPr>
        <w:t> </w:t>
      </w:r>
      <w:r>
        <w:rPr/>
        <w:t>de</w:t>
      </w:r>
      <w:r>
        <w:rPr>
          <w:spacing w:val="-10"/>
        </w:rPr>
        <w:t> </w:t>
      </w:r>
      <w:r>
        <w:rPr/>
        <w:t>esta</w:t>
      </w:r>
      <w:r>
        <w:rPr>
          <w:spacing w:val="-13"/>
        </w:rPr>
        <w:t> </w:t>
      </w:r>
      <w:r>
        <w:rPr/>
        <w:t>Ley,</w:t>
      </w:r>
      <w:r>
        <w:rPr>
          <w:spacing w:val="-12"/>
        </w:rPr>
        <w:t> </w:t>
      </w:r>
      <w:r>
        <w:rPr/>
        <w:t>las</w:t>
      </w:r>
      <w:r>
        <w:rPr>
          <w:spacing w:val="-11"/>
        </w:rPr>
        <w:t> </w:t>
      </w:r>
      <w:r>
        <w:rPr/>
        <w:t>leyes</w:t>
      </w:r>
      <w:r>
        <w:rPr>
          <w:spacing w:val="-11"/>
        </w:rPr>
        <w:t> </w:t>
      </w:r>
      <w:r>
        <w:rPr/>
        <w:t>estatales</w:t>
      </w:r>
      <w:r>
        <w:rPr>
          <w:spacing w:val="-5"/>
        </w:rPr>
        <w:t> </w:t>
      </w:r>
      <w:r>
        <w:rPr/>
        <w:t>en</w:t>
      </w:r>
      <w:r>
        <w:rPr>
          <w:spacing w:val="-13"/>
        </w:rPr>
        <w:t> </w:t>
      </w:r>
      <w:r>
        <w:rPr/>
        <w:t>la</w:t>
      </w:r>
      <w:r>
        <w:rPr>
          <w:spacing w:val="-12"/>
        </w:rPr>
        <w:t> </w:t>
      </w:r>
      <w:r>
        <w:rPr/>
        <w:t>materia,</w:t>
      </w:r>
      <w:r>
        <w:rPr>
          <w:spacing w:val="-12"/>
        </w:rPr>
        <w:t> </w:t>
      </w:r>
      <w:r>
        <w:rPr/>
        <w:t>las</w:t>
      </w:r>
      <w:r>
        <w:rPr>
          <w:spacing w:val="-11"/>
        </w:rPr>
        <w:t> </w:t>
      </w:r>
      <w:r>
        <w:rPr/>
        <w:t>normas oficiales</w:t>
      </w:r>
      <w:r>
        <w:rPr>
          <w:spacing w:val="-1"/>
        </w:rPr>
        <w:t> </w:t>
      </w:r>
      <w:r>
        <w:rPr/>
        <w:t>mexicanas</w:t>
      </w:r>
      <w:r>
        <w:rPr>
          <w:spacing w:val="-1"/>
        </w:rPr>
        <w:t> </w:t>
      </w:r>
      <w:r>
        <w:rPr/>
        <w:t>o</w:t>
      </w:r>
      <w:r>
        <w:rPr>
          <w:spacing w:val="-2"/>
        </w:rPr>
        <w:t> </w:t>
      </w:r>
      <w:r>
        <w:rPr/>
        <w:t>los</w:t>
      </w:r>
      <w:r>
        <w:rPr>
          <w:spacing w:val="-1"/>
        </w:rPr>
        <w:t> </w:t>
      </w:r>
      <w:r>
        <w:rPr/>
        <w:t>programas</w:t>
      </w:r>
      <w:r>
        <w:rPr>
          <w:spacing w:val="-1"/>
        </w:rPr>
        <w:t> </w:t>
      </w:r>
      <w:r>
        <w:rPr/>
        <w:t>a</w:t>
      </w:r>
      <w:r>
        <w:rPr>
          <w:spacing w:val="-2"/>
        </w:rPr>
        <w:t> </w:t>
      </w:r>
      <w:r>
        <w:rPr/>
        <w:t>que</w:t>
      </w:r>
      <w:r>
        <w:rPr>
          <w:spacing w:val="-2"/>
        </w:rPr>
        <w:t> </w:t>
      </w:r>
      <w:r>
        <w:rPr/>
        <w:t>se</w:t>
      </w:r>
      <w:r>
        <w:rPr>
          <w:spacing w:val="-2"/>
        </w:rPr>
        <w:t> </w:t>
      </w:r>
      <w:r>
        <w:rPr/>
        <w:t>refiere esta</w:t>
      </w:r>
      <w:r>
        <w:rPr>
          <w:spacing w:val="-2"/>
        </w:rPr>
        <w:t> </w:t>
      </w:r>
      <w:r>
        <w:rPr/>
        <w:t>Ley.</w:t>
      </w:r>
      <w:r>
        <w:rPr>
          <w:spacing w:val="-2"/>
        </w:rPr>
        <w:t> </w:t>
      </w:r>
      <w:r>
        <w:rPr/>
        <w:t>Igualmente</w:t>
      </w:r>
      <w:r>
        <w:rPr>
          <w:spacing w:val="-2"/>
        </w:rPr>
        <w:t> </w:t>
      </w:r>
      <w:r>
        <w:rPr/>
        <w:t>tendrán</w:t>
      </w:r>
      <w:r>
        <w:rPr>
          <w:spacing w:val="-2"/>
        </w:rPr>
        <w:t> </w:t>
      </w:r>
      <w:r>
        <w:rPr/>
        <w:t>derecho a</w:t>
      </w:r>
      <w:r>
        <w:rPr>
          <w:spacing w:val="-2"/>
        </w:rPr>
        <w:t> </w:t>
      </w:r>
      <w:r>
        <w:rPr/>
        <w:t>exigir que se apliquen las medidas de seguridad y sanciones procedentes y solicitar ser representados ante las autoridades administrativas y jurisdiccionales que corresponda.</w:t>
      </w:r>
    </w:p>
    <w:p>
      <w:pPr>
        <w:pStyle w:val="BodyText"/>
        <w:spacing w:before="1"/>
      </w:pPr>
    </w:p>
    <w:p>
      <w:pPr>
        <w:pStyle w:val="BodyText"/>
        <w:ind w:left="262" w:right="287"/>
        <w:jc w:val="both"/>
      </w:pPr>
      <w:r>
        <w:rPr>
          <w:rFonts w:ascii="Arial" w:hAnsi="Arial"/>
          <w:b/>
        </w:rPr>
        <w:t>ARTÍCULO 501. </w:t>
      </w:r>
      <w:r>
        <w:rPr/>
        <w:t>La denuncia ciudadana podrá ejercitarse por cualquier persona, bastando que se presente por escrito o en medio electrónico y contenga:</w:t>
      </w:r>
    </w:p>
    <w:p>
      <w:pPr>
        <w:pStyle w:val="ListParagraph"/>
        <w:numPr>
          <w:ilvl w:val="0"/>
          <w:numId w:val="146"/>
        </w:numPr>
        <w:tabs>
          <w:tab w:pos="543" w:val="left" w:leader="none"/>
        </w:tabs>
        <w:spacing w:line="240" w:lineRule="auto" w:before="229" w:after="0"/>
        <w:ind w:left="262" w:right="286" w:firstLine="0"/>
        <w:jc w:val="left"/>
        <w:rPr>
          <w:sz w:val="20"/>
        </w:rPr>
      </w:pPr>
      <w:r>
        <w:rPr>
          <w:sz w:val="20"/>
        </w:rPr>
        <w:t>El</w:t>
      </w:r>
      <w:r>
        <w:rPr>
          <w:spacing w:val="19"/>
          <w:sz w:val="20"/>
        </w:rPr>
        <w:t> </w:t>
      </w:r>
      <w:r>
        <w:rPr>
          <w:sz w:val="20"/>
        </w:rPr>
        <w:t>nombre</w:t>
      </w:r>
      <w:r>
        <w:rPr>
          <w:spacing w:val="18"/>
          <w:sz w:val="20"/>
        </w:rPr>
        <w:t> </w:t>
      </w:r>
      <w:r>
        <w:rPr>
          <w:sz w:val="20"/>
        </w:rPr>
        <w:t>o razón social,</w:t>
      </w:r>
      <w:r>
        <w:rPr>
          <w:spacing w:val="20"/>
          <w:sz w:val="20"/>
        </w:rPr>
        <w:t> </w:t>
      </w:r>
      <w:r>
        <w:rPr>
          <w:sz w:val="20"/>
        </w:rPr>
        <w:t>domicilio,</w:t>
      </w:r>
      <w:r>
        <w:rPr>
          <w:spacing w:val="19"/>
          <w:sz w:val="20"/>
        </w:rPr>
        <w:t> </w:t>
      </w:r>
      <w:r>
        <w:rPr>
          <w:sz w:val="20"/>
        </w:rPr>
        <w:t>teléfono si</w:t>
      </w:r>
      <w:r>
        <w:rPr>
          <w:spacing w:val="19"/>
          <w:sz w:val="20"/>
        </w:rPr>
        <w:t> </w:t>
      </w:r>
      <w:r>
        <w:rPr>
          <w:sz w:val="20"/>
        </w:rPr>
        <w:t>lo tiene, del</w:t>
      </w:r>
      <w:r>
        <w:rPr>
          <w:spacing w:val="19"/>
          <w:sz w:val="20"/>
        </w:rPr>
        <w:t> </w:t>
      </w:r>
      <w:r>
        <w:rPr>
          <w:sz w:val="20"/>
        </w:rPr>
        <w:t>denunciante y,</w:t>
      </w:r>
      <w:r>
        <w:rPr>
          <w:spacing w:val="20"/>
          <w:sz w:val="20"/>
        </w:rPr>
        <w:t> </w:t>
      </w:r>
      <w:r>
        <w:rPr>
          <w:sz w:val="20"/>
        </w:rPr>
        <w:t>en</w:t>
      </w:r>
      <w:r>
        <w:rPr>
          <w:spacing w:val="19"/>
          <w:sz w:val="20"/>
        </w:rPr>
        <w:t> </w:t>
      </w:r>
      <w:r>
        <w:rPr>
          <w:sz w:val="20"/>
        </w:rPr>
        <w:t>su caso, de su representante legal;</w:t>
      </w:r>
    </w:p>
    <w:p>
      <w:pPr>
        <w:pStyle w:val="BodyText"/>
        <w:spacing w:before="1"/>
      </w:pPr>
    </w:p>
    <w:p>
      <w:pPr>
        <w:pStyle w:val="ListParagraph"/>
        <w:numPr>
          <w:ilvl w:val="0"/>
          <w:numId w:val="146"/>
        </w:numPr>
        <w:tabs>
          <w:tab w:pos="543" w:val="left" w:leader="none"/>
        </w:tabs>
        <w:spacing w:line="240" w:lineRule="auto" w:before="0" w:after="0"/>
        <w:ind w:left="543" w:right="0" w:hanging="281"/>
        <w:jc w:val="left"/>
        <w:rPr>
          <w:sz w:val="20"/>
        </w:rPr>
      </w:pPr>
      <w:r>
        <w:rPr>
          <w:sz w:val="20"/>
        </w:rPr>
        <w:t>Los</w:t>
      </w:r>
      <w:r>
        <w:rPr>
          <w:spacing w:val="-7"/>
          <w:sz w:val="20"/>
        </w:rPr>
        <w:t> </w:t>
      </w:r>
      <w:r>
        <w:rPr>
          <w:sz w:val="20"/>
        </w:rPr>
        <w:t>actos,</w:t>
      </w:r>
      <w:r>
        <w:rPr>
          <w:spacing w:val="-7"/>
          <w:sz w:val="20"/>
        </w:rPr>
        <w:t> </w:t>
      </w:r>
      <w:r>
        <w:rPr>
          <w:sz w:val="20"/>
        </w:rPr>
        <w:t>hechos</w:t>
      </w:r>
      <w:r>
        <w:rPr>
          <w:spacing w:val="-6"/>
          <w:sz w:val="20"/>
        </w:rPr>
        <w:t> </w:t>
      </w:r>
      <w:r>
        <w:rPr>
          <w:sz w:val="20"/>
        </w:rPr>
        <w:t>u</w:t>
      </w:r>
      <w:r>
        <w:rPr>
          <w:spacing w:val="-5"/>
          <w:sz w:val="20"/>
        </w:rPr>
        <w:t> </w:t>
      </w:r>
      <w:r>
        <w:rPr>
          <w:sz w:val="20"/>
        </w:rPr>
        <w:t>omisiones</w:t>
      </w:r>
      <w:r>
        <w:rPr>
          <w:spacing w:val="-7"/>
          <w:sz w:val="20"/>
        </w:rPr>
        <w:t> </w:t>
      </w:r>
      <w:r>
        <w:rPr>
          <w:spacing w:val="-2"/>
          <w:sz w:val="20"/>
        </w:rPr>
        <w:t>denunciados;</w:t>
      </w:r>
    </w:p>
    <w:p>
      <w:pPr>
        <w:pStyle w:val="ListParagraph"/>
        <w:numPr>
          <w:ilvl w:val="0"/>
          <w:numId w:val="146"/>
        </w:numPr>
        <w:tabs>
          <w:tab w:pos="597" w:val="left" w:leader="none"/>
        </w:tabs>
        <w:spacing w:line="240" w:lineRule="auto" w:before="229" w:after="0"/>
        <w:ind w:left="597" w:right="0" w:hanging="335"/>
        <w:jc w:val="left"/>
        <w:rPr>
          <w:sz w:val="20"/>
        </w:rPr>
      </w:pPr>
      <w:r>
        <w:rPr>
          <w:sz w:val="20"/>
        </w:rPr>
        <w:t>Los</w:t>
      </w:r>
      <w:r>
        <w:rPr>
          <w:spacing w:val="-7"/>
          <w:sz w:val="20"/>
        </w:rPr>
        <w:t> </w:t>
      </w:r>
      <w:r>
        <w:rPr>
          <w:sz w:val="20"/>
        </w:rPr>
        <w:t>datos</w:t>
      </w:r>
      <w:r>
        <w:rPr>
          <w:spacing w:val="-7"/>
          <w:sz w:val="20"/>
        </w:rPr>
        <w:t> </w:t>
      </w:r>
      <w:r>
        <w:rPr>
          <w:sz w:val="20"/>
        </w:rPr>
        <w:t>que</w:t>
      </w:r>
      <w:r>
        <w:rPr>
          <w:spacing w:val="-7"/>
          <w:sz w:val="20"/>
        </w:rPr>
        <w:t> </w:t>
      </w:r>
      <w:r>
        <w:rPr>
          <w:sz w:val="20"/>
        </w:rPr>
        <w:t>permitan</w:t>
      </w:r>
      <w:r>
        <w:rPr>
          <w:spacing w:val="-7"/>
          <w:sz w:val="20"/>
        </w:rPr>
        <w:t> </w:t>
      </w:r>
      <w:r>
        <w:rPr>
          <w:sz w:val="20"/>
        </w:rPr>
        <w:t>identificar</w:t>
      </w:r>
      <w:r>
        <w:rPr>
          <w:spacing w:val="-8"/>
          <w:sz w:val="20"/>
        </w:rPr>
        <w:t> </w:t>
      </w:r>
      <w:r>
        <w:rPr>
          <w:sz w:val="20"/>
        </w:rPr>
        <w:t>al</w:t>
      </w:r>
      <w:r>
        <w:rPr>
          <w:spacing w:val="-8"/>
          <w:sz w:val="20"/>
        </w:rPr>
        <w:t> </w:t>
      </w:r>
      <w:r>
        <w:rPr>
          <w:sz w:val="20"/>
        </w:rPr>
        <w:t>presunto</w:t>
      </w:r>
      <w:r>
        <w:rPr>
          <w:spacing w:val="-7"/>
          <w:sz w:val="20"/>
        </w:rPr>
        <w:t> </w:t>
      </w:r>
      <w:r>
        <w:rPr>
          <w:sz w:val="20"/>
        </w:rPr>
        <w:t>infractor,</w:t>
      </w:r>
      <w:r>
        <w:rPr>
          <w:spacing w:val="-7"/>
          <w:sz w:val="20"/>
        </w:rPr>
        <w:t> </w:t>
      </w:r>
      <w:r>
        <w:rPr>
          <w:spacing w:val="-10"/>
          <w:sz w:val="20"/>
        </w:rPr>
        <w:t>y</w:t>
      </w:r>
    </w:p>
    <w:p>
      <w:pPr>
        <w:pStyle w:val="BodyText"/>
        <w:spacing w:before="1"/>
      </w:pPr>
    </w:p>
    <w:p>
      <w:pPr>
        <w:pStyle w:val="ListParagraph"/>
        <w:numPr>
          <w:ilvl w:val="0"/>
          <w:numId w:val="146"/>
        </w:numPr>
        <w:tabs>
          <w:tab w:pos="688" w:val="left" w:leader="none"/>
        </w:tabs>
        <w:spacing w:line="240" w:lineRule="auto" w:before="0" w:after="0"/>
        <w:ind w:left="688" w:right="0" w:hanging="426"/>
        <w:jc w:val="left"/>
        <w:rPr>
          <w:sz w:val="20"/>
        </w:rPr>
      </w:pPr>
      <w:r>
        <w:rPr>
          <w:sz w:val="20"/>
        </w:rPr>
        <w:t>Las</w:t>
      </w:r>
      <w:r>
        <w:rPr>
          <w:spacing w:val="-5"/>
          <w:sz w:val="20"/>
        </w:rPr>
        <w:t> </w:t>
      </w:r>
      <w:r>
        <w:rPr>
          <w:sz w:val="20"/>
        </w:rPr>
        <w:t>pruebas</w:t>
      </w:r>
      <w:r>
        <w:rPr>
          <w:spacing w:val="-4"/>
          <w:sz w:val="20"/>
        </w:rPr>
        <w:t> </w:t>
      </w:r>
      <w:r>
        <w:rPr>
          <w:sz w:val="20"/>
        </w:rPr>
        <w:t>que</w:t>
      </w:r>
      <w:r>
        <w:rPr>
          <w:spacing w:val="-6"/>
          <w:sz w:val="20"/>
        </w:rPr>
        <w:t> </w:t>
      </w:r>
      <w:r>
        <w:rPr>
          <w:sz w:val="20"/>
        </w:rPr>
        <w:t>en</w:t>
      </w:r>
      <w:r>
        <w:rPr>
          <w:spacing w:val="-5"/>
          <w:sz w:val="20"/>
        </w:rPr>
        <w:t> </w:t>
      </w:r>
      <w:r>
        <w:rPr>
          <w:sz w:val="20"/>
        </w:rPr>
        <w:t>su</w:t>
      </w:r>
      <w:r>
        <w:rPr>
          <w:spacing w:val="-5"/>
          <w:sz w:val="20"/>
        </w:rPr>
        <w:t> </w:t>
      </w:r>
      <w:r>
        <w:rPr>
          <w:sz w:val="20"/>
        </w:rPr>
        <w:t>caso</w:t>
      </w:r>
      <w:r>
        <w:rPr>
          <w:spacing w:val="-5"/>
          <w:sz w:val="20"/>
        </w:rPr>
        <w:t> </w:t>
      </w:r>
      <w:r>
        <w:rPr>
          <w:sz w:val="20"/>
        </w:rPr>
        <w:t>ofrezca</w:t>
      </w:r>
      <w:r>
        <w:rPr>
          <w:spacing w:val="-5"/>
          <w:sz w:val="20"/>
        </w:rPr>
        <w:t> </w:t>
      </w:r>
      <w:r>
        <w:rPr>
          <w:sz w:val="20"/>
        </w:rPr>
        <w:t>el</w:t>
      </w:r>
      <w:r>
        <w:rPr>
          <w:spacing w:val="-6"/>
          <w:sz w:val="20"/>
        </w:rPr>
        <w:t> </w:t>
      </w:r>
      <w:r>
        <w:rPr>
          <w:spacing w:val="-2"/>
          <w:sz w:val="20"/>
        </w:rPr>
        <w:t>denunciante.</w:t>
      </w:r>
    </w:p>
    <w:p>
      <w:pPr>
        <w:pStyle w:val="BodyText"/>
      </w:pPr>
    </w:p>
    <w:p>
      <w:pPr>
        <w:pStyle w:val="BodyText"/>
        <w:spacing w:before="1"/>
        <w:ind w:left="262" w:right="284"/>
        <w:jc w:val="both"/>
      </w:pPr>
      <w:r>
        <w:rPr/>
        <w:t>No</w:t>
      </w:r>
      <w:r>
        <w:rPr>
          <w:spacing w:val="-5"/>
        </w:rPr>
        <w:t> </w:t>
      </w:r>
      <w:r>
        <w:rPr/>
        <w:t>se</w:t>
      </w:r>
      <w:r>
        <w:rPr>
          <w:spacing w:val="-5"/>
        </w:rPr>
        <w:t> </w:t>
      </w:r>
      <w:r>
        <w:rPr/>
        <w:t>admitirán</w:t>
      </w:r>
      <w:r>
        <w:rPr>
          <w:spacing w:val="-5"/>
        </w:rPr>
        <w:t> </w:t>
      </w:r>
      <w:r>
        <w:rPr/>
        <w:t>a</w:t>
      </w:r>
      <w:r>
        <w:rPr>
          <w:spacing w:val="-6"/>
        </w:rPr>
        <w:t> </w:t>
      </w:r>
      <w:r>
        <w:rPr/>
        <w:t>trámite</w:t>
      </w:r>
      <w:r>
        <w:rPr>
          <w:spacing w:val="-5"/>
        </w:rPr>
        <w:t> </w:t>
      </w:r>
      <w:r>
        <w:rPr/>
        <w:t>denuncias</w:t>
      </w:r>
      <w:r>
        <w:rPr>
          <w:spacing w:val="-4"/>
        </w:rPr>
        <w:t> </w:t>
      </w:r>
      <w:r>
        <w:rPr/>
        <w:t>notoriamente</w:t>
      </w:r>
      <w:r>
        <w:rPr>
          <w:spacing w:val="-5"/>
        </w:rPr>
        <w:t> </w:t>
      </w:r>
      <w:r>
        <w:rPr/>
        <w:t>improcedentes</w:t>
      </w:r>
      <w:r>
        <w:rPr>
          <w:spacing w:val="-4"/>
        </w:rPr>
        <w:t> </w:t>
      </w:r>
      <w:r>
        <w:rPr/>
        <w:t>o</w:t>
      </w:r>
      <w:r>
        <w:rPr>
          <w:spacing w:val="-5"/>
        </w:rPr>
        <w:t> </w:t>
      </w:r>
      <w:r>
        <w:rPr/>
        <w:t>infundadas,</w:t>
      </w:r>
      <w:r>
        <w:rPr>
          <w:spacing w:val="-5"/>
        </w:rPr>
        <w:t> </w:t>
      </w:r>
      <w:r>
        <w:rPr/>
        <w:t>aquéllas</w:t>
      </w:r>
      <w:r>
        <w:rPr>
          <w:spacing w:val="-4"/>
        </w:rPr>
        <w:t> </w:t>
      </w:r>
      <w:r>
        <w:rPr/>
        <w:t>en</w:t>
      </w:r>
      <w:r>
        <w:rPr>
          <w:spacing w:val="-5"/>
        </w:rPr>
        <w:t> </w:t>
      </w:r>
      <w:r>
        <w:rPr/>
        <w:t>las</w:t>
      </w:r>
      <w:r>
        <w:rPr>
          <w:spacing w:val="-4"/>
        </w:rPr>
        <w:t> </w:t>
      </w:r>
      <w:r>
        <w:rPr/>
        <w:t>que se advierta mala fe, carencia de fundamento o inexistencia de petición, lo cual se notificará al </w:t>
      </w:r>
      <w:r>
        <w:rPr>
          <w:spacing w:val="-2"/>
        </w:rPr>
        <w:t>denunciante.</w:t>
      </w:r>
    </w:p>
    <w:p>
      <w:pPr>
        <w:pStyle w:val="BodyText"/>
        <w:spacing w:before="229"/>
        <w:ind w:left="262" w:right="284"/>
        <w:jc w:val="both"/>
      </w:pPr>
      <w:r>
        <w:rPr>
          <w:rFonts w:ascii="Arial" w:hAnsi="Arial"/>
          <w:b/>
        </w:rPr>
        <w:t>ARTÍCULO</w:t>
      </w:r>
      <w:r>
        <w:rPr>
          <w:rFonts w:ascii="Arial" w:hAnsi="Arial"/>
          <w:b/>
          <w:spacing w:val="-11"/>
        </w:rPr>
        <w:t> </w:t>
      </w:r>
      <w:r>
        <w:rPr>
          <w:rFonts w:ascii="Arial" w:hAnsi="Arial"/>
          <w:b/>
        </w:rPr>
        <w:t>502.</w:t>
      </w:r>
      <w:r>
        <w:rPr>
          <w:rFonts w:ascii="Arial" w:hAnsi="Arial"/>
          <w:b/>
          <w:spacing w:val="-9"/>
        </w:rPr>
        <w:t> </w:t>
      </w:r>
      <w:r>
        <w:rPr/>
        <w:t>Las</w:t>
      </w:r>
      <w:r>
        <w:rPr>
          <w:spacing w:val="-11"/>
        </w:rPr>
        <w:t> </w:t>
      </w:r>
      <w:r>
        <w:rPr/>
        <w:t>autoridades</w:t>
      </w:r>
      <w:r>
        <w:rPr>
          <w:spacing w:val="-9"/>
        </w:rPr>
        <w:t> </w:t>
      </w:r>
      <w:r>
        <w:rPr/>
        <w:t>y</w:t>
      </w:r>
      <w:r>
        <w:rPr>
          <w:spacing w:val="-11"/>
        </w:rPr>
        <w:t> </w:t>
      </w:r>
      <w:r>
        <w:rPr/>
        <w:t>servidores</w:t>
      </w:r>
      <w:r>
        <w:rPr>
          <w:spacing w:val="-11"/>
        </w:rPr>
        <w:t> </w:t>
      </w:r>
      <w:r>
        <w:rPr/>
        <w:t>públicos</w:t>
      </w:r>
      <w:r>
        <w:rPr>
          <w:spacing w:val="-9"/>
        </w:rPr>
        <w:t> </w:t>
      </w:r>
      <w:r>
        <w:rPr/>
        <w:t>involucrados</w:t>
      </w:r>
      <w:r>
        <w:rPr>
          <w:spacing w:val="-11"/>
        </w:rPr>
        <w:t> </w:t>
      </w:r>
      <w:r>
        <w:rPr/>
        <w:t>en</w:t>
      </w:r>
      <w:r>
        <w:rPr>
          <w:spacing w:val="-10"/>
        </w:rPr>
        <w:t> </w:t>
      </w:r>
      <w:r>
        <w:rPr/>
        <w:t>asuntos</w:t>
      </w:r>
      <w:r>
        <w:rPr>
          <w:spacing w:val="-9"/>
        </w:rPr>
        <w:t> </w:t>
      </w:r>
      <w:r>
        <w:rPr/>
        <w:t>denunciados,</w:t>
      </w:r>
      <w:r>
        <w:rPr>
          <w:spacing w:val="-12"/>
        </w:rPr>
        <w:t> </w:t>
      </w:r>
      <w:r>
        <w:rPr/>
        <w:t>o</w:t>
      </w:r>
      <w:r>
        <w:rPr>
          <w:spacing w:val="-10"/>
        </w:rPr>
        <w:t> </w:t>
      </w:r>
      <w:r>
        <w:rPr/>
        <w:t>que por razón de sus funciones o actividades puedan proporcionar información pertinente, deberán cumplir en sus términos con las peticiones que la autoridad les formule en tal sentido.</w:t>
      </w:r>
    </w:p>
    <w:p>
      <w:pPr>
        <w:pStyle w:val="BodyText"/>
        <w:spacing w:before="229"/>
        <w:ind w:left="262" w:right="280"/>
        <w:jc w:val="both"/>
      </w:pPr>
      <w:r>
        <w:rPr/>
        <w:t>Las</w:t>
      </w:r>
      <w:r>
        <w:rPr>
          <w:spacing w:val="-1"/>
        </w:rPr>
        <w:t> </w:t>
      </w:r>
      <w:r>
        <w:rPr/>
        <w:t>autoridades</w:t>
      </w:r>
      <w:r>
        <w:rPr>
          <w:spacing w:val="-1"/>
        </w:rPr>
        <w:t> </w:t>
      </w:r>
      <w:r>
        <w:rPr/>
        <w:t>y</w:t>
      </w:r>
      <w:r>
        <w:rPr>
          <w:spacing w:val="-1"/>
        </w:rPr>
        <w:t> </w:t>
      </w:r>
      <w:r>
        <w:rPr/>
        <w:t>servidores públicos</w:t>
      </w:r>
      <w:r>
        <w:rPr>
          <w:spacing w:val="-1"/>
        </w:rPr>
        <w:t> </w:t>
      </w:r>
      <w:r>
        <w:rPr/>
        <w:t>a los que se</w:t>
      </w:r>
      <w:r>
        <w:rPr>
          <w:spacing w:val="-2"/>
        </w:rPr>
        <w:t> </w:t>
      </w:r>
      <w:r>
        <w:rPr/>
        <w:t>les</w:t>
      </w:r>
      <w:r>
        <w:rPr>
          <w:spacing w:val="-1"/>
        </w:rPr>
        <w:t> </w:t>
      </w:r>
      <w:r>
        <w:rPr/>
        <w:t>solicite</w:t>
      </w:r>
      <w:r>
        <w:rPr>
          <w:spacing w:val="-2"/>
        </w:rPr>
        <w:t> </w:t>
      </w:r>
      <w:r>
        <w:rPr/>
        <w:t>información</w:t>
      </w:r>
      <w:r>
        <w:rPr>
          <w:spacing w:val="-2"/>
        </w:rPr>
        <w:t> </w:t>
      </w:r>
      <w:r>
        <w:rPr/>
        <w:t>o documentación</w:t>
      </w:r>
      <w:r>
        <w:rPr>
          <w:spacing w:val="-3"/>
        </w:rPr>
        <w:t> </w:t>
      </w:r>
      <w:r>
        <w:rPr/>
        <w:t>que</w:t>
      </w:r>
      <w:r>
        <w:rPr>
          <w:spacing w:val="-3"/>
        </w:rPr>
        <w:t> </w:t>
      </w:r>
      <w:r>
        <w:rPr/>
        <w:t>se estime con carácter reservado, conforme a lo dispuesto en la legislación aplicable, lo comunicarán a la autoridad competente. En este supuesto, dicha autoridad deberá manejar la información proporcionada bajo la más estricta confidencialidad.</w:t>
      </w:r>
    </w:p>
    <w:p>
      <w:pPr>
        <w:pStyle w:val="BodyText"/>
      </w:pPr>
    </w:p>
    <w:p>
      <w:pPr>
        <w:pStyle w:val="BodyText"/>
        <w:ind w:left="262" w:right="276"/>
        <w:jc w:val="both"/>
      </w:pPr>
      <w:r>
        <w:rPr>
          <w:rFonts w:ascii="Arial" w:hAnsi="Arial"/>
          <w:b/>
        </w:rPr>
        <w:t>ARTÍCULO 503. </w:t>
      </w:r>
      <w:r>
        <w:rPr/>
        <w:t>Sin perjuicio de las sanciones penales o administrativas que procedan, toda persona que cause daños o efectos negativos al ordenamiento territorial, Asentamientos Humanos o al Desarrollo Urbano, será responsable y estará obligada a reparar los daños causados, de conformidad con la legislación civil aplicable.</w:t>
      </w:r>
    </w:p>
    <w:p>
      <w:pPr>
        <w:pStyle w:val="BodyText"/>
      </w:pPr>
    </w:p>
    <w:p>
      <w:pPr>
        <w:pStyle w:val="BodyText"/>
        <w:ind w:left="262" w:right="282"/>
        <w:jc w:val="both"/>
      </w:pPr>
      <w:r>
        <w:rPr/>
        <w:t>Cuando por infracción a las disposiciones de esta Ley, las leyes estatales, las normas oficiales mexicanas</w:t>
      </w:r>
      <w:r>
        <w:rPr>
          <w:spacing w:val="-10"/>
        </w:rPr>
        <w:t> </w:t>
      </w:r>
      <w:r>
        <w:rPr/>
        <w:t>o</w:t>
      </w:r>
      <w:r>
        <w:rPr>
          <w:spacing w:val="-9"/>
        </w:rPr>
        <w:t> </w:t>
      </w:r>
      <w:r>
        <w:rPr/>
        <w:t>a</w:t>
      </w:r>
      <w:r>
        <w:rPr>
          <w:spacing w:val="-9"/>
        </w:rPr>
        <w:t> </w:t>
      </w:r>
      <w:r>
        <w:rPr/>
        <w:t>los</w:t>
      </w:r>
      <w:r>
        <w:rPr>
          <w:spacing w:val="-8"/>
        </w:rPr>
        <w:t> </w:t>
      </w:r>
      <w:r>
        <w:rPr/>
        <w:t>programas</w:t>
      </w:r>
      <w:r>
        <w:rPr>
          <w:spacing w:val="-10"/>
        </w:rPr>
        <w:t> </w:t>
      </w:r>
      <w:r>
        <w:rPr/>
        <w:t>de</w:t>
      </w:r>
      <w:r>
        <w:rPr>
          <w:spacing w:val="-10"/>
        </w:rPr>
        <w:t> </w:t>
      </w:r>
      <w:r>
        <w:rPr/>
        <w:t>la</w:t>
      </w:r>
      <w:r>
        <w:rPr>
          <w:spacing w:val="-9"/>
        </w:rPr>
        <w:t> </w:t>
      </w:r>
      <w:r>
        <w:rPr/>
        <w:t>materia</w:t>
      </w:r>
      <w:r>
        <w:rPr>
          <w:spacing w:val="-11"/>
        </w:rPr>
        <w:t> </w:t>
      </w:r>
      <w:r>
        <w:rPr/>
        <w:t>se</w:t>
      </w:r>
      <w:r>
        <w:rPr>
          <w:spacing w:val="-9"/>
        </w:rPr>
        <w:t> </w:t>
      </w:r>
      <w:r>
        <w:rPr/>
        <w:t>hubieren</w:t>
      </w:r>
      <w:r>
        <w:rPr>
          <w:spacing w:val="-11"/>
        </w:rPr>
        <w:t> </w:t>
      </w:r>
      <w:r>
        <w:rPr/>
        <w:t>ocasionado</w:t>
      </w:r>
      <w:r>
        <w:rPr>
          <w:spacing w:val="-10"/>
        </w:rPr>
        <w:t> </w:t>
      </w:r>
      <w:r>
        <w:rPr/>
        <w:t>daños</w:t>
      </w:r>
      <w:r>
        <w:rPr>
          <w:spacing w:val="-10"/>
        </w:rPr>
        <w:t> </w:t>
      </w:r>
      <w:r>
        <w:rPr/>
        <w:t>o</w:t>
      </w:r>
      <w:r>
        <w:rPr>
          <w:spacing w:val="-9"/>
        </w:rPr>
        <w:t> </w:t>
      </w:r>
      <w:r>
        <w:rPr/>
        <w:t>perjuicios,</w:t>
      </w:r>
      <w:r>
        <w:rPr>
          <w:spacing w:val="-9"/>
        </w:rPr>
        <w:t> </w:t>
      </w:r>
      <w:r>
        <w:rPr/>
        <w:t>las</w:t>
      </w:r>
      <w:r>
        <w:rPr>
          <w:spacing w:val="-8"/>
        </w:rPr>
        <w:t> </w:t>
      </w:r>
      <w:r>
        <w:rPr/>
        <w:t>personas interesadas podrán solicitar a la autoridad competente, la formulación de un dictamen técnico al respecto, el cual tendrá valor de prueba, en caso de ser presentado en juicio.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7"/>
        <w:jc w:val="both"/>
      </w:pPr>
      <w:r>
        <w:rPr/>
        <w:t>Toda persona que cause perjuicios o efectos negativos al ordenamiento territorial, a los Asentamientos Humanos, al Desarrollo Urbano o a sus infraestructuras, edificaciones e instalaciones, será responsable en términos del régimen de responsabilidades estatal, del Código Penal</w:t>
      </w:r>
      <w:r>
        <w:rPr>
          <w:spacing w:val="-10"/>
        </w:rPr>
        <w:t> </w:t>
      </w:r>
      <w:r>
        <w:rPr/>
        <w:t>del</w:t>
      </w:r>
      <w:r>
        <w:rPr>
          <w:spacing w:val="-10"/>
        </w:rPr>
        <w:t> </w:t>
      </w:r>
      <w:r>
        <w:rPr/>
        <w:t>Estado</w:t>
      </w:r>
      <w:r>
        <w:rPr>
          <w:spacing w:val="-9"/>
        </w:rPr>
        <w:t> </w:t>
      </w:r>
      <w:r>
        <w:rPr/>
        <w:t>y</w:t>
      </w:r>
      <w:r>
        <w:rPr>
          <w:spacing w:val="-10"/>
        </w:rPr>
        <w:t> </w:t>
      </w:r>
      <w:r>
        <w:rPr/>
        <w:t>estará</w:t>
      </w:r>
      <w:r>
        <w:rPr>
          <w:spacing w:val="-9"/>
        </w:rPr>
        <w:t> </w:t>
      </w:r>
      <w:r>
        <w:rPr/>
        <w:t>obligada</w:t>
      </w:r>
      <w:r>
        <w:rPr>
          <w:spacing w:val="-11"/>
        </w:rPr>
        <w:t> </w:t>
      </w:r>
      <w:r>
        <w:rPr/>
        <w:t>a</w:t>
      </w:r>
      <w:r>
        <w:rPr>
          <w:spacing w:val="-9"/>
        </w:rPr>
        <w:t> </w:t>
      </w:r>
      <w:r>
        <w:rPr/>
        <w:t>la</w:t>
      </w:r>
      <w:r>
        <w:rPr>
          <w:spacing w:val="-11"/>
        </w:rPr>
        <w:t> </w:t>
      </w:r>
      <w:r>
        <w:rPr/>
        <w:t>reparación</w:t>
      </w:r>
      <w:r>
        <w:rPr>
          <w:spacing w:val="-11"/>
        </w:rPr>
        <w:t> </w:t>
      </w:r>
      <w:r>
        <w:rPr/>
        <w:t>de</w:t>
      </w:r>
      <w:r>
        <w:rPr>
          <w:spacing w:val="-11"/>
        </w:rPr>
        <w:t> </w:t>
      </w:r>
      <w:r>
        <w:rPr/>
        <w:t>daños</w:t>
      </w:r>
      <w:r>
        <w:rPr>
          <w:spacing w:val="-10"/>
        </w:rPr>
        <w:t> </w:t>
      </w:r>
      <w:r>
        <w:rPr/>
        <w:t>en</w:t>
      </w:r>
      <w:r>
        <w:rPr>
          <w:spacing w:val="-9"/>
        </w:rPr>
        <w:t> </w:t>
      </w:r>
      <w:r>
        <w:rPr/>
        <w:t>los</w:t>
      </w:r>
      <w:r>
        <w:rPr>
          <w:spacing w:val="-10"/>
        </w:rPr>
        <w:t> </w:t>
      </w:r>
      <w:r>
        <w:rPr/>
        <w:t>términos</w:t>
      </w:r>
      <w:r>
        <w:rPr>
          <w:spacing w:val="-10"/>
        </w:rPr>
        <w:t> </w:t>
      </w:r>
      <w:r>
        <w:rPr/>
        <w:t>de</w:t>
      </w:r>
      <w:r>
        <w:rPr>
          <w:spacing w:val="-10"/>
        </w:rPr>
        <w:t> </w:t>
      </w:r>
      <w:r>
        <w:rPr/>
        <w:t>dichas</w:t>
      </w:r>
      <w:r>
        <w:rPr>
          <w:spacing w:val="-10"/>
        </w:rPr>
        <w:t> </w:t>
      </w:r>
      <w:r>
        <w:rPr/>
        <w:t>disposiciones y demás normatividad aplicable.</w:t>
      </w:r>
    </w:p>
    <w:p>
      <w:pPr>
        <w:pStyle w:val="BodyText"/>
      </w:pPr>
    </w:p>
    <w:p>
      <w:pPr>
        <w:pStyle w:val="BodyText"/>
      </w:pPr>
    </w:p>
    <w:p>
      <w:pPr>
        <w:pStyle w:val="Heading2"/>
        <w:ind w:right="15"/>
      </w:pPr>
      <w:r>
        <w:rPr/>
        <w:t>Capítulo</w:t>
      </w:r>
      <w:r>
        <w:rPr>
          <w:spacing w:val="-8"/>
        </w:rPr>
        <w:t> </w:t>
      </w:r>
      <w:r>
        <w:rPr>
          <w:spacing w:val="-5"/>
        </w:rPr>
        <w:t>II</w:t>
      </w:r>
    </w:p>
    <w:p>
      <w:pPr>
        <w:pStyle w:val="BodyText"/>
        <w:spacing w:before="1"/>
        <w:rPr>
          <w:rFonts w:ascii="Arial"/>
          <w:b/>
        </w:rPr>
      </w:pPr>
    </w:p>
    <w:p>
      <w:pPr>
        <w:spacing w:before="0"/>
        <w:ind w:left="0" w:right="18" w:firstLine="0"/>
        <w:jc w:val="center"/>
        <w:rPr>
          <w:rFonts w:ascii="Arial" w:hAnsi="Arial"/>
          <w:b/>
          <w:sz w:val="20"/>
        </w:rPr>
      </w:pPr>
      <w:r>
        <w:rPr>
          <w:rFonts w:ascii="Arial" w:hAnsi="Arial"/>
          <w:b/>
          <w:sz w:val="20"/>
        </w:rPr>
        <w:t>Régimen</w:t>
      </w:r>
      <w:r>
        <w:rPr>
          <w:rFonts w:ascii="Arial" w:hAnsi="Arial"/>
          <w:b/>
          <w:spacing w:val="-6"/>
          <w:sz w:val="20"/>
        </w:rPr>
        <w:t> </w:t>
      </w:r>
      <w:r>
        <w:rPr>
          <w:rFonts w:ascii="Arial" w:hAnsi="Arial"/>
          <w:b/>
          <w:sz w:val="20"/>
        </w:rPr>
        <w:t>Sancionatorio</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pacing w:val="-2"/>
          <w:sz w:val="20"/>
        </w:rPr>
        <w:t>Nulidades</w:t>
      </w:r>
    </w:p>
    <w:p>
      <w:pPr>
        <w:pStyle w:val="BodyText"/>
        <w:spacing w:before="229"/>
        <w:ind w:left="262" w:right="275"/>
        <w:jc w:val="both"/>
      </w:pPr>
      <w:r>
        <w:rPr>
          <w:rFonts w:ascii="Arial" w:hAnsi="Arial"/>
          <w:b/>
        </w:rPr>
        <w:t>ARTÍCULO</w:t>
      </w:r>
      <w:r>
        <w:rPr>
          <w:rFonts w:ascii="Arial" w:hAnsi="Arial"/>
          <w:b/>
          <w:spacing w:val="-7"/>
        </w:rPr>
        <w:t> </w:t>
      </w:r>
      <w:r>
        <w:rPr>
          <w:rFonts w:ascii="Arial" w:hAnsi="Arial"/>
          <w:b/>
        </w:rPr>
        <w:t>504.</w:t>
      </w:r>
      <w:r>
        <w:rPr>
          <w:rFonts w:ascii="Arial" w:hAnsi="Arial"/>
          <w:b/>
          <w:spacing w:val="-5"/>
        </w:rPr>
        <w:t> </w:t>
      </w:r>
      <w:r>
        <w:rPr/>
        <w:t>La</w:t>
      </w:r>
      <w:r>
        <w:rPr>
          <w:spacing w:val="-6"/>
        </w:rPr>
        <w:t> </w:t>
      </w:r>
      <w:r>
        <w:rPr/>
        <w:t>violación</w:t>
      </w:r>
      <w:r>
        <w:rPr>
          <w:spacing w:val="-6"/>
        </w:rPr>
        <w:t> </w:t>
      </w:r>
      <w:r>
        <w:rPr/>
        <w:t>a</w:t>
      </w:r>
      <w:r>
        <w:rPr>
          <w:spacing w:val="-8"/>
        </w:rPr>
        <w:t> </w:t>
      </w:r>
      <w:r>
        <w:rPr/>
        <w:t>esta</w:t>
      </w:r>
      <w:r>
        <w:rPr>
          <w:spacing w:val="-6"/>
        </w:rPr>
        <w:t> </w:t>
      </w:r>
      <w:r>
        <w:rPr/>
        <w:t>Ley,</w:t>
      </w:r>
      <w:r>
        <w:rPr>
          <w:spacing w:val="-5"/>
        </w:rPr>
        <w:t> </w:t>
      </w:r>
      <w:r>
        <w:rPr/>
        <w:t>a</w:t>
      </w:r>
      <w:r>
        <w:rPr>
          <w:spacing w:val="-6"/>
        </w:rPr>
        <w:t> </w:t>
      </w:r>
      <w:r>
        <w:rPr/>
        <w:t>las</w:t>
      </w:r>
      <w:r>
        <w:rPr>
          <w:spacing w:val="-5"/>
        </w:rPr>
        <w:t> </w:t>
      </w:r>
      <w:r>
        <w:rPr/>
        <w:t>leyes</w:t>
      </w:r>
      <w:r>
        <w:rPr>
          <w:spacing w:val="-5"/>
        </w:rPr>
        <w:t> </w:t>
      </w:r>
      <w:r>
        <w:rPr/>
        <w:t>estatales</w:t>
      </w:r>
      <w:r>
        <w:rPr>
          <w:spacing w:val="-7"/>
        </w:rPr>
        <w:t> </w:t>
      </w:r>
      <w:r>
        <w:rPr/>
        <w:t>en</w:t>
      </w:r>
      <w:r>
        <w:rPr>
          <w:spacing w:val="-6"/>
        </w:rPr>
        <w:t> </w:t>
      </w:r>
      <w:r>
        <w:rPr/>
        <w:t>la</w:t>
      </w:r>
      <w:r>
        <w:rPr>
          <w:spacing w:val="-6"/>
        </w:rPr>
        <w:t> </w:t>
      </w:r>
      <w:r>
        <w:rPr/>
        <w:t>materia</w:t>
      </w:r>
      <w:r>
        <w:rPr>
          <w:spacing w:val="-6"/>
        </w:rPr>
        <w:t> </w:t>
      </w:r>
      <w:r>
        <w:rPr/>
        <w:t>y</w:t>
      </w:r>
      <w:r>
        <w:rPr>
          <w:spacing w:val="-7"/>
        </w:rPr>
        <w:t> </w:t>
      </w:r>
      <w:r>
        <w:rPr/>
        <w:t>a</w:t>
      </w:r>
      <w:r>
        <w:rPr>
          <w:spacing w:val="-6"/>
        </w:rPr>
        <w:t> </w:t>
      </w:r>
      <w:r>
        <w:rPr/>
        <w:t>los</w:t>
      </w:r>
      <w:r>
        <w:rPr>
          <w:spacing w:val="-7"/>
        </w:rPr>
        <w:t> </w:t>
      </w:r>
      <w:r>
        <w:rPr/>
        <w:t>programas</w:t>
      </w:r>
      <w:r>
        <w:rPr>
          <w:spacing w:val="-7"/>
        </w:rPr>
        <w:t> </w:t>
      </w:r>
      <w:r>
        <w:rPr/>
        <w:t>a</w:t>
      </w:r>
      <w:r>
        <w:rPr>
          <w:spacing w:val="-6"/>
        </w:rPr>
        <w:t> </w:t>
      </w:r>
      <w:r>
        <w:rPr/>
        <w:t>que se refiere este ordenamiento, por parte de cualquier servidor público, dará origen a la responsabilidad y sanciones, en los términos que establece la Ley de Responsabilidades Administrativas para el Estado.</w:t>
      </w:r>
    </w:p>
    <w:p>
      <w:pPr>
        <w:pStyle w:val="BodyText"/>
        <w:spacing w:before="2"/>
      </w:pPr>
    </w:p>
    <w:p>
      <w:pPr>
        <w:pStyle w:val="BodyText"/>
        <w:ind w:left="262" w:right="287"/>
        <w:jc w:val="both"/>
      </w:pPr>
      <w:r>
        <w:rPr>
          <w:rFonts w:ascii="Arial" w:hAnsi="Arial"/>
          <w:b/>
        </w:rPr>
        <w:t>ARTÍCULO 505. </w:t>
      </w:r>
      <w:r>
        <w:rPr/>
        <w:t>No surtirán efectos los actos, convenios, contratos relativos a la propiedad o cualquier otro derecho relacionado con el aprovechamiento de áreas y predios que contravengan esta Ley, la legislación estatal en la materia y los programas a que se refiere este ordenamiento.</w:t>
      </w:r>
    </w:p>
    <w:p>
      <w:pPr>
        <w:pStyle w:val="BodyText"/>
      </w:pPr>
    </w:p>
    <w:p>
      <w:pPr>
        <w:pStyle w:val="BodyText"/>
        <w:ind w:left="262" w:right="286"/>
        <w:jc w:val="both"/>
      </w:pPr>
      <w:r>
        <w:rPr>
          <w:rFonts w:ascii="Arial" w:hAnsi="Arial"/>
          <w:b/>
        </w:rPr>
        <w:t>ARTÍCULO 506. </w:t>
      </w:r>
      <w:r>
        <w:rPr/>
        <w:t>Serán nulos los actos, convenios y contratos relativos a la propiedad o cualquier otro derecho relacionado con la utilización de áreas y predios que:</w:t>
      </w:r>
    </w:p>
    <w:p>
      <w:pPr>
        <w:pStyle w:val="ListParagraph"/>
        <w:numPr>
          <w:ilvl w:val="0"/>
          <w:numId w:val="147"/>
        </w:numPr>
        <w:tabs>
          <w:tab w:pos="543" w:val="left" w:leader="none"/>
        </w:tabs>
        <w:spacing w:line="240" w:lineRule="auto" w:before="229" w:after="0"/>
        <w:ind w:left="262" w:right="284" w:firstLine="0"/>
        <w:jc w:val="left"/>
        <w:rPr>
          <w:sz w:val="20"/>
        </w:rPr>
      </w:pPr>
      <w:r>
        <w:rPr>
          <w:sz w:val="20"/>
        </w:rPr>
        <w:t>Contravengan las disposiciones de los programas de Desarrollo Urbano en cualquiera de sus modalidades, así como a las Provisiones, Usos de suelo, Reservas o Destinos que establezcan;</w:t>
      </w:r>
    </w:p>
    <w:p>
      <w:pPr>
        <w:pStyle w:val="BodyText"/>
        <w:spacing w:before="1"/>
      </w:pPr>
    </w:p>
    <w:p>
      <w:pPr>
        <w:pStyle w:val="ListParagraph"/>
        <w:numPr>
          <w:ilvl w:val="0"/>
          <w:numId w:val="147"/>
        </w:numPr>
        <w:tabs>
          <w:tab w:pos="543" w:val="left" w:leader="none"/>
        </w:tabs>
        <w:spacing w:line="240" w:lineRule="auto" w:before="0" w:after="0"/>
        <w:ind w:left="262" w:right="288" w:firstLine="0"/>
        <w:jc w:val="left"/>
        <w:rPr>
          <w:sz w:val="20"/>
        </w:rPr>
      </w:pPr>
      <w:r>
        <w:rPr>
          <w:sz w:val="20"/>
        </w:rPr>
        <w:t>No contengan las inserciones relacionadas con las autorizaciones, licencias o permisos para la Acción Urbanística que proceda, y</w:t>
      </w:r>
    </w:p>
    <w:p>
      <w:pPr>
        <w:pStyle w:val="ListParagraph"/>
        <w:numPr>
          <w:ilvl w:val="0"/>
          <w:numId w:val="147"/>
        </w:numPr>
        <w:tabs>
          <w:tab w:pos="597" w:val="left" w:leader="none"/>
        </w:tabs>
        <w:spacing w:line="240" w:lineRule="auto" w:before="229" w:after="0"/>
        <w:ind w:left="262" w:right="289" w:firstLine="0"/>
        <w:jc w:val="left"/>
        <w:rPr>
          <w:sz w:val="20"/>
        </w:rPr>
      </w:pPr>
      <w:r>
        <w:rPr>
          <w:sz w:val="20"/>
        </w:rPr>
        <w:t>Los</w:t>
      </w:r>
      <w:r>
        <w:rPr>
          <w:spacing w:val="40"/>
          <w:sz w:val="20"/>
        </w:rPr>
        <w:t> </w:t>
      </w:r>
      <w:r>
        <w:rPr>
          <w:sz w:val="20"/>
        </w:rPr>
        <w:t>actos</w:t>
      </w:r>
      <w:r>
        <w:rPr>
          <w:spacing w:val="40"/>
          <w:sz w:val="20"/>
        </w:rPr>
        <w:t> </w:t>
      </w:r>
      <w:r>
        <w:rPr>
          <w:sz w:val="20"/>
        </w:rPr>
        <w:t>jurídicos</w:t>
      </w:r>
      <w:r>
        <w:rPr>
          <w:spacing w:val="40"/>
          <w:sz w:val="20"/>
        </w:rPr>
        <w:t> </w:t>
      </w:r>
      <w:r>
        <w:rPr>
          <w:sz w:val="20"/>
        </w:rPr>
        <w:t>de</w:t>
      </w:r>
      <w:r>
        <w:rPr>
          <w:spacing w:val="40"/>
          <w:sz w:val="20"/>
        </w:rPr>
        <w:t> </w:t>
      </w:r>
      <w:r>
        <w:rPr>
          <w:sz w:val="20"/>
        </w:rPr>
        <w:t>traslación</w:t>
      </w:r>
      <w:r>
        <w:rPr>
          <w:spacing w:val="40"/>
          <w:sz w:val="20"/>
        </w:rPr>
        <w:t> </w:t>
      </w:r>
      <w:r>
        <w:rPr>
          <w:sz w:val="20"/>
        </w:rPr>
        <w:t>de</w:t>
      </w:r>
      <w:r>
        <w:rPr>
          <w:spacing w:val="40"/>
          <w:sz w:val="20"/>
        </w:rPr>
        <w:t> </w:t>
      </w:r>
      <w:r>
        <w:rPr>
          <w:sz w:val="20"/>
        </w:rPr>
        <w:t>dominio</w:t>
      </w:r>
      <w:r>
        <w:rPr>
          <w:spacing w:val="40"/>
          <w:sz w:val="20"/>
        </w:rPr>
        <w:t> </w:t>
      </w:r>
      <w:r>
        <w:rPr>
          <w:sz w:val="20"/>
        </w:rPr>
        <w:t>que</w:t>
      </w:r>
      <w:r>
        <w:rPr>
          <w:spacing w:val="40"/>
          <w:sz w:val="20"/>
        </w:rPr>
        <w:t> </w:t>
      </w:r>
      <w:r>
        <w:rPr>
          <w:sz w:val="20"/>
        </w:rPr>
        <w:t>se</w:t>
      </w:r>
      <w:r>
        <w:rPr>
          <w:spacing w:val="40"/>
          <w:sz w:val="20"/>
        </w:rPr>
        <w:t> </w:t>
      </w:r>
      <w:r>
        <w:rPr>
          <w:sz w:val="20"/>
        </w:rPr>
        <w:t>realicen</w:t>
      </w:r>
      <w:r>
        <w:rPr>
          <w:spacing w:val="40"/>
          <w:sz w:val="20"/>
        </w:rPr>
        <w:t> </w:t>
      </w:r>
      <w:r>
        <w:rPr>
          <w:sz w:val="20"/>
        </w:rPr>
        <w:t>sin</w:t>
      </w:r>
      <w:r>
        <w:rPr>
          <w:spacing w:val="40"/>
          <w:sz w:val="20"/>
        </w:rPr>
        <w:t> </w:t>
      </w:r>
      <w:r>
        <w:rPr>
          <w:sz w:val="20"/>
        </w:rPr>
        <w:t>respetar</w:t>
      </w:r>
      <w:r>
        <w:rPr>
          <w:spacing w:val="40"/>
          <w:sz w:val="20"/>
        </w:rPr>
        <w:t> </w:t>
      </w:r>
      <w:r>
        <w:rPr>
          <w:sz w:val="20"/>
        </w:rPr>
        <w:t>el</w:t>
      </w:r>
      <w:r>
        <w:rPr>
          <w:spacing w:val="40"/>
          <w:sz w:val="20"/>
        </w:rPr>
        <w:t> </w:t>
      </w:r>
      <w:r>
        <w:rPr>
          <w:sz w:val="20"/>
        </w:rPr>
        <w:t>derecho</w:t>
      </w:r>
      <w:r>
        <w:rPr>
          <w:spacing w:val="40"/>
          <w:sz w:val="20"/>
        </w:rPr>
        <w:t> </w:t>
      </w:r>
      <w:r>
        <w:rPr>
          <w:sz w:val="20"/>
        </w:rPr>
        <w:t>de preferencia a que se refiere el Artículo 226 de esta Ley.</w:t>
      </w:r>
    </w:p>
    <w:p>
      <w:pPr>
        <w:pStyle w:val="BodyText"/>
        <w:spacing w:before="1"/>
      </w:pPr>
    </w:p>
    <w:p>
      <w:pPr>
        <w:pStyle w:val="BodyText"/>
        <w:ind w:left="262" w:right="277"/>
        <w:jc w:val="both"/>
      </w:pPr>
      <w:r>
        <w:rPr/>
        <w:t>La nulidad a que se refiere este artículo, será declarada por las autoridades competentes. Dicha nulidad podrá ser solicitada por la instancia de procuración de justicia mediante el ejercicio de la denuncia</w:t>
      </w:r>
      <w:r>
        <w:rPr>
          <w:spacing w:val="-7"/>
        </w:rPr>
        <w:t> </w:t>
      </w:r>
      <w:r>
        <w:rPr/>
        <w:t>ciudadana</w:t>
      </w:r>
      <w:r>
        <w:rPr>
          <w:spacing w:val="-5"/>
        </w:rPr>
        <w:t> </w:t>
      </w:r>
      <w:r>
        <w:rPr/>
        <w:t>o</w:t>
      </w:r>
      <w:r>
        <w:rPr>
          <w:spacing w:val="-7"/>
        </w:rPr>
        <w:t> </w:t>
      </w:r>
      <w:r>
        <w:rPr/>
        <w:t>a</w:t>
      </w:r>
      <w:r>
        <w:rPr>
          <w:spacing w:val="-7"/>
        </w:rPr>
        <w:t> </w:t>
      </w:r>
      <w:r>
        <w:rPr/>
        <w:t>través</w:t>
      </w:r>
      <w:r>
        <w:rPr>
          <w:spacing w:val="-6"/>
        </w:rPr>
        <w:t> </w:t>
      </w:r>
      <w:r>
        <w:rPr/>
        <w:t>de</w:t>
      </w:r>
      <w:r>
        <w:rPr>
          <w:spacing w:val="-7"/>
        </w:rPr>
        <w:t> </w:t>
      </w:r>
      <w:r>
        <w:rPr/>
        <w:t>los</w:t>
      </w:r>
      <w:r>
        <w:rPr>
          <w:spacing w:val="-6"/>
        </w:rPr>
        <w:t> </w:t>
      </w:r>
      <w:r>
        <w:rPr/>
        <w:t>procedimientos</w:t>
      </w:r>
      <w:r>
        <w:rPr>
          <w:spacing w:val="-3"/>
        </w:rPr>
        <w:t> </w:t>
      </w:r>
      <w:r>
        <w:rPr/>
        <w:t>administrativos</w:t>
      </w:r>
      <w:r>
        <w:rPr>
          <w:spacing w:val="-6"/>
        </w:rPr>
        <w:t> </w:t>
      </w:r>
      <w:r>
        <w:rPr/>
        <w:t>regulados</w:t>
      </w:r>
      <w:r>
        <w:rPr>
          <w:spacing w:val="-3"/>
        </w:rPr>
        <w:t> </w:t>
      </w:r>
      <w:r>
        <w:rPr/>
        <w:t>en</w:t>
      </w:r>
      <w:r>
        <w:rPr>
          <w:spacing w:val="-7"/>
        </w:rPr>
        <w:t> </w:t>
      </w:r>
      <w:r>
        <w:rPr/>
        <w:t>la</w:t>
      </w:r>
      <w:r>
        <w:rPr>
          <w:spacing w:val="-5"/>
        </w:rPr>
        <w:t> </w:t>
      </w:r>
      <w:r>
        <w:rPr/>
        <w:t>legislación</w:t>
      </w:r>
      <w:r>
        <w:rPr>
          <w:spacing w:val="-7"/>
        </w:rPr>
        <w:t> </w:t>
      </w:r>
      <w:r>
        <w:rPr/>
        <w:t>del </w:t>
      </w:r>
      <w:r>
        <w:rPr>
          <w:spacing w:val="-2"/>
        </w:rPr>
        <w:t>Estado.</w:t>
      </w:r>
    </w:p>
    <w:p>
      <w:pPr>
        <w:pStyle w:val="BodyText"/>
      </w:pPr>
    </w:p>
    <w:p>
      <w:pPr>
        <w:pStyle w:val="BodyText"/>
        <w:ind w:left="262" w:right="280"/>
        <w:jc w:val="both"/>
      </w:pPr>
      <w:r>
        <w:rPr>
          <w:rFonts w:ascii="Arial" w:hAnsi="Arial"/>
          <w:b/>
        </w:rPr>
        <w:t>ARTÍCULO</w:t>
      </w:r>
      <w:r>
        <w:rPr>
          <w:rFonts w:ascii="Arial" w:hAnsi="Arial"/>
          <w:b/>
          <w:spacing w:val="-9"/>
        </w:rPr>
        <w:t> </w:t>
      </w:r>
      <w:r>
        <w:rPr>
          <w:rFonts w:ascii="Arial" w:hAnsi="Arial"/>
          <w:b/>
        </w:rPr>
        <w:t>507.</w:t>
      </w:r>
      <w:r>
        <w:rPr>
          <w:rFonts w:ascii="Arial" w:hAnsi="Arial"/>
          <w:b/>
          <w:spacing w:val="-9"/>
        </w:rPr>
        <w:t> </w:t>
      </w:r>
      <w:r>
        <w:rPr/>
        <w:t>Los</w:t>
      </w:r>
      <w:r>
        <w:rPr>
          <w:spacing w:val="-9"/>
        </w:rPr>
        <w:t> </w:t>
      </w:r>
      <w:r>
        <w:rPr/>
        <w:t>notarios</w:t>
      </w:r>
      <w:r>
        <w:rPr>
          <w:spacing w:val="-9"/>
        </w:rPr>
        <w:t> </w:t>
      </w:r>
      <w:r>
        <w:rPr/>
        <w:t>y</w:t>
      </w:r>
      <w:r>
        <w:rPr>
          <w:spacing w:val="-9"/>
        </w:rPr>
        <w:t> </w:t>
      </w:r>
      <w:r>
        <w:rPr/>
        <w:t>demás</w:t>
      </w:r>
      <w:r>
        <w:rPr>
          <w:spacing w:val="-9"/>
        </w:rPr>
        <w:t> </w:t>
      </w:r>
      <w:r>
        <w:rPr/>
        <w:t>fedatarios</w:t>
      </w:r>
      <w:r>
        <w:rPr>
          <w:spacing w:val="-9"/>
        </w:rPr>
        <w:t> </w:t>
      </w:r>
      <w:r>
        <w:rPr/>
        <w:t>públicos</w:t>
      </w:r>
      <w:r>
        <w:rPr>
          <w:spacing w:val="-9"/>
        </w:rPr>
        <w:t> </w:t>
      </w:r>
      <w:r>
        <w:rPr/>
        <w:t>con</w:t>
      </w:r>
      <w:r>
        <w:rPr>
          <w:spacing w:val="-10"/>
        </w:rPr>
        <w:t> </w:t>
      </w:r>
      <w:r>
        <w:rPr/>
        <w:t>facultades</w:t>
      </w:r>
      <w:r>
        <w:rPr>
          <w:spacing w:val="-9"/>
        </w:rPr>
        <w:t> </w:t>
      </w:r>
      <w:r>
        <w:rPr/>
        <w:t>para</w:t>
      </w:r>
      <w:r>
        <w:rPr>
          <w:spacing w:val="-10"/>
        </w:rPr>
        <w:t> </w:t>
      </w:r>
      <w:r>
        <w:rPr/>
        <w:t>ello,</w:t>
      </w:r>
      <w:r>
        <w:rPr>
          <w:spacing w:val="-10"/>
        </w:rPr>
        <w:t> </w:t>
      </w:r>
      <w:r>
        <w:rPr/>
        <w:t>podrán</w:t>
      </w:r>
      <w:r>
        <w:rPr>
          <w:spacing w:val="-10"/>
        </w:rPr>
        <w:t> </w:t>
      </w:r>
      <w:r>
        <w:rPr/>
        <w:t>autorizar definitivamente</w:t>
      </w:r>
      <w:r>
        <w:rPr>
          <w:spacing w:val="-1"/>
        </w:rPr>
        <w:t> </w:t>
      </w:r>
      <w:r>
        <w:rPr/>
        <w:t>el</w:t>
      </w:r>
      <w:r>
        <w:rPr>
          <w:spacing w:val="-2"/>
        </w:rPr>
        <w:t> </w:t>
      </w:r>
      <w:r>
        <w:rPr/>
        <w:t>instrumento</w:t>
      </w:r>
      <w:r>
        <w:rPr>
          <w:spacing w:val="-1"/>
        </w:rPr>
        <w:t> </w:t>
      </w:r>
      <w:r>
        <w:rPr/>
        <w:t>público</w:t>
      </w:r>
      <w:r>
        <w:rPr>
          <w:spacing w:val="-1"/>
        </w:rPr>
        <w:t> </w:t>
      </w:r>
      <w:r>
        <w:rPr/>
        <w:t>correspondiente</w:t>
      </w:r>
      <w:r>
        <w:rPr>
          <w:spacing w:val="-1"/>
        </w:rPr>
        <w:t> </w:t>
      </w:r>
      <w:r>
        <w:rPr/>
        <w:t>a</w:t>
      </w:r>
      <w:r>
        <w:rPr>
          <w:spacing w:val="-1"/>
        </w:rPr>
        <w:t> </w:t>
      </w:r>
      <w:r>
        <w:rPr/>
        <w:t>actos, convenios o</w:t>
      </w:r>
      <w:r>
        <w:rPr>
          <w:spacing w:val="-1"/>
        </w:rPr>
        <w:t> </w:t>
      </w:r>
      <w:r>
        <w:rPr/>
        <w:t>contratos relacionados con la propiedad, posesión o derechos reales, en regímenes de derecho privado, público o social, previa comprobación de la existencia de las constancias, autorizaciones, permisos o licencias que las</w:t>
      </w:r>
      <w:r>
        <w:rPr>
          <w:spacing w:val="-6"/>
        </w:rPr>
        <w:t> </w:t>
      </w:r>
      <w:r>
        <w:rPr/>
        <w:t>autoridades</w:t>
      </w:r>
      <w:r>
        <w:rPr>
          <w:spacing w:val="-6"/>
        </w:rPr>
        <w:t> </w:t>
      </w:r>
      <w:r>
        <w:rPr/>
        <w:t>competentes</w:t>
      </w:r>
      <w:r>
        <w:rPr>
          <w:spacing w:val="-5"/>
        </w:rPr>
        <w:t> </w:t>
      </w:r>
      <w:r>
        <w:rPr/>
        <w:t>expidan</w:t>
      </w:r>
      <w:r>
        <w:rPr>
          <w:spacing w:val="-7"/>
        </w:rPr>
        <w:t> </w:t>
      </w:r>
      <w:r>
        <w:rPr/>
        <w:t>en</w:t>
      </w:r>
      <w:r>
        <w:rPr>
          <w:spacing w:val="-7"/>
        </w:rPr>
        <w:t> </w:t>
      </w:r>
      <w:r>
        <w:rPr/>
        <w:t>relación</w:t>
      </w:r>
      <w:r>
        <w:rPr>
          <w:spacing w:val="-7"/>
        </w:rPr>
        <w:t> </w:t>
      </w:r>
      <w:r>
        <w:rPr/>
        <w:t>con</w:t>
      </w:r>
      <w:r>
        <w:rPr>
          <w:spacing w:val="-5"/>
        </w:rPr>
        <w:t> </w:t>
      </w:r>
      <w:r>
        <w:rPr/>
        <w:t>la</w:t>
      </w:r>
      <w:r>
        <w:rPr>
          <w:spacing w:val="-7"/>
        </w:rPr>
        <w:t> </w:t>
      </w:r>
      <w:r>
        <w:rPr/>
        <w:t>utilización</w:t>
      </w:r>
      <w:r>
        <w:rPr>
          <w:spacing w:val="-7"/>
        </w:rPr>
        <w:t> </w:t>
      </w:r>
      <w:r>
        <w:rPr/>
        <w:t>o</w:t>
      </w:r>
      <w:r>
        <w:rPr>
          <w:spacing w:val="-4"/>
        </w:rPr>
        <w:t> </w:t>
      </w:r>
      <w:r>
        <w:rPr/>
        <w:t>disposición</w:t>
      </w:r>
      <w:r>
        <w:rPr>
          <w:spacing w:val="-7"/>
        </w:rPr>
        <w:t> </w:t>
      </w:r>
      <w:r>
        <w:rPr/>
        <w:t>de</w:t>
      </w:r>
      <w:r>
        <w:rPr>
          <w:spacing w:val="-7"/>
        </w:rPr>
        <w:t> </w:t>
      </w:r>
      <w:r>
        <w:rPr/>
        <w:t>áreas</w:t>
      </w:r>
      <w:r>
        <w:rPr>
          <w:spacing w:val="-3"/>
        </w:rPr>
        <w:t> </w:t>
      </w:r>
      <w:r>
        <w:rPr/>
        <w:t>o</w:t>
      </w:r>
      <w:r>
        <w:rPr>
          <w:spacing w:val="-7"/>
        </w:rPr>
        <w:t> </w:t>
      </w:r>
      <w:r>
        <w:rPr/>
        <w:t>predios, de conformidad con lo previsto en esta Ley, la legislación estatal de Desarrollo Urbano y otras disposiciones jurídicas aplicables; mismas que deberán ser señaladas o insertadas en los instrumentos públicos respectivos.</w:t>
      </w:r>
    </w:p>
    <w:p>
      <w:pPr>
        <w:pStyle w:val="BodyText"/>
        <w:spacing w:before="230"/>
        <w:ind w:left="262" w:right="280"/>
        <w:jc w:val="both"/>
      </w:pPr>
      <w:r>
        <w:rPr/>
        <w:t>Así mismo, tendrán la obligación de insertar en las escrituras de transmisión de propiedad en que intervengan, cláusula especial en la que se hagan constar, las obligaciones de respetar los programas</w:t>
      </w:r>
      <w:r>
        <w:rPr>
          <w:spacing w:val="-12"/>
        </w:rPr>
        <w:t> </w:t>
      </w:r>
      <w:r>
        <w:rPr/>
        <w:t>a</w:t>
      </w:r>
      <w:r>
        <w:rPr>
          <w:spacing w:val="-11"/>
        </w:rPr>
        <w:t> </w:t>
      </w:r>
      <w:r>
        <w:rPr/>
        <w:t>los</w:t>
      </w:r>
      <w:r>
        <w:rPr>
          <w:spacing w:val="-12"/>
        </w:rPr>
        <w:t> </w:t>
      </w:r>
      <w:r>
        <w:rPr/>
        <w:t>que</w:t>
      </w:r>
      <w:r>
        <w:rPr>
          <w:spacing w:val="-13"/>
        </w:rPr>
        <w:t> </w:t>
      </w:r>
      <w:r>
        <w:rPr/>
        <w:t>se</w:t>
      </w:r>
      <w:r>
        <w:rPr>
          <w:spacing w:val="-13"/>
        </w:rPr>
        <w:t> </w:t>
      </w:r>
      <w:r>
        <w:rPr/>
        <w:t>refiere</w:t>
      </w:r>
      <w:r>
        <w:rPr>
          <w:spacing w:val="-12"/>
        </w:rPr>
        <w:t> </w:t>
      </w:r>
      <w:r>
        <w:rPr/>
        <w:t>esta</w:t>
      </w:r>
      <w:r>
        <w:rPr>
          <w:spacing w:val="-13"/>
        </w:rPr>
        <w:t> </w:t>
      </w:r>
      <w:r>
        <w:rPr/>
        <w:t>Ley,</w:t>
      </w:r>
      <w:r>
        <w:rPr>
          <w:spacing w:val="-10"/>
        </w:rPr>
        <w:t> </w:t>
      </w:r>
      <w:r>
        <w:rPr/>
        <w:t>en</w:t>
      </w:r>
      <w:r>
        <w:rPr>
          <w:spacing w:val="-11"/>
        </w:rPr>
        <w:t> </w:t>
      </w:r>
      <w:r>
        <w:rPr/>
        <w:t>especial</w:t>
      </w:r>
      <w:r>
        <w:rPr>
          <w:spacing w:val="-12"/>
        </w:rPr>
        <w:t> </w:t>
      </w:r>
      <w:r>
        <w:rPr/>
        <w:t>el</w:t>
      </w:r>
      <w:r>
        <w:rPr>
          <w:spacing w:val="-11"/>
        </w:rPr>
        <w:t> </w:t>
      </w:r>
      <w:r>
        <w:rPr/>
        <w:t>uso</w:t>
      </w:r>
      <w:r>
        <w:rPr>
          <w:spacing w:val="-13"/>
        </w:rPr>
        <w:t> </w:t>
      </w:r>
      <w:r>
        <w:rPr/>
        <w:t>o</w:t>
      </w:r>
      <w:r>
        <w:rPr>
          <w:spacing w:val="-11"/>
        </w:rPr>
        <w:t> </w:t>
      </w:r>
      <w:r>
        <w:rPr/>
        <w:t>destino</w:t>
      </w:r>
      <w:r>
        <w:rPr>
          <w:spacing w:val="-13"/>
        </w:rPr>
        <w:t> </w:t>
      </w:r>
      <w:r>
        <w:rPr/>
        <w:t>del</w:t>
      </w:r>
      <w:r>
        <w:rPr>
          <w:spacing w:val="-12"/>
        </w:rPr>
        <w:t> </w:t>
      </w:r>
      <w:r>
        <w:rPr/>
        <w:t>predio</w:t>
      </w:r>
      <w:r>
        <w:rPr>
          <w:spacing w:val="-13"/>
        </w:rPr>
        <w:t> </w:t>
      </w:r>
      <w:r>
        <w:rPr/>
        <w:t>objeto</w:t>
      </w:r>
      <w:r>
        <w:rPr>
          <w:spacing w:val="-11"/>
        </w:rPr>
        <w:t> </w:t>
      </w:r>
      <w:r>
        <w:rPr/>
        <w:t>de</w:t>
      </w:r>
      <w:r>
        <w:rPr>
          <w:spacing w:val="-11"/>
        </w:rPr>
        <w:t> </w:t>
      </w:r>
      <w:r>
        <w:rPr/>
        <w:t>tales</w:t>
      </w:r>
      <w:r>
        <w:rPr>
          <w:spacing w:val="-9"/>
        </w:rPr>
        <w:t> </w:t>
      </w:r>
      <w:r>
        <w:rPr/>
        <w:t>actos, y el respeto a la definición de Área Urbanizable.</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6"/>
        <w:jc w:val="both"/>
      </w:pPr>
      <w:r>
        <w:rPr>
          <w:rFonts w:ascii="Arial" w:hAnsi="Arial"/>
          <w:b/>
        </w:rPr>
        <w:t>ARTÍCULO 508. </w:t>
      </w:r>
      <w:r>
        <w:rPr/>
        <w:t>No surtirán efectos los permisos, autorizaciones o licencias que contravengan lo establecido en los programas de Ordenamiento Territorial y Desarrollo Urbano.</w:t>
      </w:r>
    </w:p>
    <w:p>
      <w:pPr>
        <w:pStyle w:val="BodyText"/>
        <w:spacing w:before="1"/>
      </w:pPr>
    </w:p>
    <w:p>
      <w:pPr>
        <w:pStyle w:val="BodyText"/>
        <w:spacing w:before="1"/>
        <w:ind w:left="262" w:right="281"/>
        <w:jc w:val="both"/>
      </w:pPr>
      <w:r>
        <w:rPr/>
        <w:t>No podrá inscribirse ningún acto, convenio, contrato o afectación en el Registro Público de la Propiedad,</w:t>
      </w:r>
      <w:r>
        <w:rPr>
          <w:spacing w:val="-10"/>
        </w:rPr>
        <w:t> </w:t>
      </w:r>
      <w:r>
        <w:rPr/>
        <w:t>dependiente</w:t>
      </w:r>
      <w:r>
        <w:rPr>
          <w:spacing w:val="-11"/>
        </w:rPr>
        <w:t> </w:t>
      </w:r>
      <w:r>
        <w:rPr/>
        <w:t>del</w:t>
      </w:r>
      <w:r>
        <w:rPr>
          <w:spacing w:val="-11"/>
        </w:rPr>
        <w:t> </w:t>
      </w:r>
      <w:r>
        <w:rPr/>
        <w:t>Instituto</w:t>
      </w:r>
      <w:r>
        <w:rPr>
          <w:spacing w:val="-11"/>
        </w:rPr>
        <w:t> </w:t>
      </w:r>
      <w:r>
        <w:rPr/>
        <w:t>Registral</w:t>
      </w:r>
      <w:r>
        <w:rPr>
          <w:spacing w:val="-11"/>
        </w:rPr>
        <w:t> </w:t>
      </w:r>
      <w:r>
        <w:rPr/>
        <w:t>y</w:t>
      </w:r>
      <w:r>
        <w:rPr>
          <w:spacing w:val="-11"/>
        </w:rPr>
        <w:t> </w:t>
      </w:r>
      <w:r>
        <w:rPr/>
        <w:t>Catastral</w:t>
      </w:r>
      <w:r>
        <w:rPr>
          <w:spacing w:val="-11"/>
        </w:rPr>
        <w:t> </w:t>
      </w:r>
      <w:r>
        <w:rPr/>
        <w:t>del</w:t>
      </w:r>
      <w:r>
        <w:rPr>
          <w:spacing w:val="-11"/>
        </w:rPr>
        <w:t> </w:t>
      </w:r>
      <w:r>
        <w:rPr/>
        <w:t>Estado;</w:t>
      </w:r>
      <w:r>
        <w:rPr>
          <w:spacing w:val="-10"/>
        </w:rPr>
        <w:t> </w:t>
      </w:r>
      <w:r>
        <w:rPr/>
        <w:t>o</w:t>
      </w:r>
      <w:r>
        <w:rPr>
          <w:spacing w:val="-10"/>
        </w:rPr>
        <w:t> </w:t>
      </w:r>
      <w:r>
        <w:rPr/>
        <w:t>en</w:t>
      </w:r>
      <w:r>
        <w:rPr>
          <w:spacing w:val="-11"/>
        </w:rPr>
        <w:t> </w:t>
      </w:r>
      <w:r>
        <w:rPr/>
        <w:t>los</w:t>
      </w:r>
      <w:r>
        <w:rPr>
          <w:spacing w:val="-11"/>
        </w:rPr>
        <w:t> </w:t>
      </w:r>
      <w:r>
        <w:rPr/>
        <w:t>catastros</w:t>
      </w:r>
      <w:r>
        <w:rPr>
          <w:spacing w:val="-11"/>
        </w:rPr>
        <w:t> </w:t>
      </w:r>
      <w:r>
        <w:rPr/>
        <w:t>municipales, que</w:t>
      </w:r>
      <w:r>
        <w:rPr>
          <w:spacing w:val="-7"/>
        </w:rPr>
        <w:t> </w:t>
      </w:r>
      <w:r>
        <w:rPr/>
        <w:t>no</w:t>
      </w:r>
      <w:r>
        <w:rPr>
          <w:spacing w:val="-9"/>
        </w:rPr>
        <w:t> </w:t>
      </w:r>
      <w:r>
        <w:rPr/>
        <w:t>se</w:t>
      </w:r>
      <w:r>
        <w:rPr>
          <w:spacing w:val="-7"/>
        </w:rPr>
        <w:t> </w:t>
      </w:r>
      <w:r>
        <w:rPr/>
        <w:t>ajuste</w:t>
      </w:r>
      <w:r>
        <w:rPr>
          <w:spacing w:val="-7"/>
        </w:rPr>
        <w:t> </w:t>
      </w:r>
      <w:r>
        <w:rPr/>
        <w:t>a</w:t>
      </w:r>
      <w:r>
        <w:rPr>
          <w:spacing w:val="-7"/>
        </w:rPr>
        <w:t> </w:t>
      </w:r>
      <w:r>
        <w:rPr/>
        <w:t>lo</w:t>
      </w:r>
      <w:r>
        <w:rPr>
          <w:spacing w:val="-7"/>
        </w:rPr>
        <w:t> </w:t>
      </w:r>
      <w:r>
        <w:rPr/>
        <w:t>dispuesto</w:t>
      </w:r>
      <w:r>
        <w:rPr>
          <w:spacing w:val="-9"/>
        </w:rPr>
        <w:t> </w:t>
      </w:r>
      <w:r>
        <w:rPr/>
        <w:t>en</w:t>
      </w:r>
      <w:r>
        <w:rPr>
          <w:spacing w:val="-9"/>
        </w:rPr>
        <w:t> </w:t>
      </w:r>
      <w:r>
        <w:rPr/>
        <w:t>la</w:t>
      </w:r>
      <w:r>
        <w:rPr>
          <w:spacing w:val="-7"/>
        </w:rPr>
        <w:t> </w:t>
      </w:r>
      <w:r>
        <w:rPr/>
        <w:t>legislación</w:t>
      </w:r>
      <w:r>
        <w:rPr>
          <w:spacing w:val="-7"/>
        </w:rPr>
        <w:t> </w:t>
      </w:r>
      <w:r>
        <w:rPr/>
        <w:t>de</w:t>
      </w:r>
      <w:r>
        <w:rPr>
          <w:spacing w:val="-7"/>
        </w:rPr>
        <w:t> </w:t>
      </w:r>
      <w:r>
        <w:rPr/>
        <w:t>Desarrollo</w:t>
      </w:r>
      <w:r>
        <w:rPr>
          <w:spacing w:val="-7"/>
        </w:rPr>
        <w:t> </w:t>
      </w:r>
      <w:r>
        <w:rPr/>
        <w:t>Urbano</w:t>
      </w:r>
      <w:r>
        <w:rPr>
          <w:spacing w:val="-9"/>
        </w:rPr>
        <w:t> </w:t>
      </w:r>
      <w:r>
        <w:rPr/>
        <w:t>y</w:t>
      </w:r>
      <w:r>
        <w:rPr>
          <w:spacing w:val="-5"/>
        </w:rPr>
        <w:t> </w:t>
      </w:r>
      <w:r>
        <w:rPr/>
        <w:t>en</w:t>
      </w:r>
      <w:r>
        <w:rPr>
          <w:spacing w:val="-7"/>
        </w:rPr>
        <w:t> </w:t>
      </w:r>
      <w:r>
        <w:rPr/>
        <w:t>los</w:t>
      </w:r>
      <w:r>
        <w:rPr>
          <w:spacing w:val="-8"/>
        </w:rPr>
        <w:t> </w:t>
      </w:r>
      <w:r>
        <w:rPr/>
        <w:t>programas</w:t>
      </w:r>
      <w:r>
        <w:rPr>
          <w:spacing w:val="-6"/>
        </w:rPr>
        <w:t> </w:t>
      </w:r>
      <w:r>
        <w:rPr/>
        <w:t>aplicables en la materia.</w:t>
      </w:r>
    </w:p>
    <w:p>
      <w:pPr>
        <w:pStyle w:val="BodyText"/>
        <w:spacing w:before="229"/>
        <w:ind w:left="262" w:right="278"/>
        <w:jc w:val="both"/>
      </w:pPr>
      <w:r>
        <w:rPr>
          <w:rFonts w:ascii="Arial" w:hAnsi="Arial"/>
          <w:b/>
        </w:rPr>
        <w:t>ARTÍCULO 509. </w:t>
      </w:r>
      <w:r>
        <w:rPr/>
        <w:t>Las inscripciones del Registros Público de la Propiedad, así como las cédulas de identificación catastral, deberán especificar en su contenido los datos precisos de la zonificación, limitaciones,</w:t>
      </w:r>
      <w:r>
        <w:rPr>
          <w:spacing w:val="-1"/>
        </w:rPr>
        <w:t> </w:t>
      </w:r>
      <w:r>
        <w:rPr/>
        <w:t>restricciones</w:t>
      </w:r>
      <w:r>
        <w:rPr>
          <w:spacing w:val="-1"/>
        </w:rPr>
        <w:t> </w:t>
      </w:r>
      <w:r>
        <w:rPr/>
        <w:t>y reglas</w:t>
      </w:r>
      <w:r>
        <w:rPr>
          <w:spacing w:val="-1"/>
        </w:rPr>
        <w:t> </w:t>
      </w:r>
      <w:r>
        <w:rPr/>
        <w:t>de</w:t>
      </w:r>
      <w:r>
        <w:rPr>
          <w:spacing w:val="-1"/>
        </w:rPr>
        <w:t> </w:t>
      </w:r>
      <w:r>
        <w:rPr/>
        <w:t>aprovechamiento</w:t>
      </w:r>
      <w:r>
        <w:rPr>
          <w:spacing w:val="-1"/>
        </w:rPr>
        <w:t> </w:t>
      </w:r>
      <w:r>
        <w:rPr/>
        <w:t>contenidas</w:t>
      </w:r>
      <w:r>
        <w:rPr>
          <w:spacing w:val="-1"/>
        </w:rPr>
        <w:t> </w:t>
      </w:r>
      <w:r>
        <w:rPr/>
        <w:t>en los programas de</w:t>
      </w:r>
      <w:r>
        <w:rPr>
          <w:spacing w:val="-1"/>
        </w:rPr>
        <w:t> </w:t>
      </w:r>
      <w:r>
        <w:rPr/>
        <w:t>Desarrollo Urbano que apliquen a la propiedad inmobiliaria.</w:t>
      </w:r>
    </w:p>
    <w:p>
      <w:pPr>
        <w:pStyle w:val="BodyText"/>
      </w:pPr>
    </w:p>
    <w:p>
      <w:pPr>
        <w:pStyle w:val="BodyText"/>
        <w:spacing w:before="1"/>
        <w:ind w:left="262" w:right="278"/>
        <w:jc w:val="both"/>
      </w:pPr>
      <w:r>
        <w:rPr>
          <w:rFonts w:ascii="Arial" w:hAnsi="Arial"/>
          <w:b/>
        </w:rPr>
        <w:t>ARTÍCULO 510. </w:t>
      </w:r>
      <w:r>
        <w:rPr/>
        <w:t>Las dependencias y entidades de la Administración Pública Estatal sujetarán la ejecución de sus</w:t>
      </w:r>
      <w:r>
        <w:rPr>
          <w:spacing w:val="-1"/>
        </w:rPr>
        <w:t> </w:t>
      </w:r>
      <w:r>
        <w:rPr/>
        <w:t>programas</w:t>
      </w:r>
      <w:r>
        <w:rPr>
          <w:spacing w:val="-1"/>
        </w:rPr>
        <w:t> </w:t>
      </w:r>
      <w:r>
        <w:rPr/>
        <w:t>de inversión</w:t>
      </w:r>
      <w:r>
        <w:rPr>
          <w:spacing w:val="-1"/>
        </w:rPr>
        <w:t> </w:t>
      </w:r>
      <w:r>
        <w:rPr/>
        <w:t>y</w:t>
      </w:r>
      <w:r>
        <w:rPr>
          <w:spacing w:val="-1"/>
        </w:rPr>
        <w:t> </w:t>
      </w:r>
      <w:r>
        <w:rPr/>
        <w:t>de obra a las</w:t>
      </w:r>
      <w:r>
        <w:rPr>
          <w:spacing w:val="-1"/>
        </w:rPr>
        <w:t> </w:t>
      </w:r>
      <w:r>
        <w:rPr/>
        <w:t>políticas de ordenamiento</w:t>
      </w:r>
      <w:r>
        <w:rPr>
          <w:spacing w:val="-1"/>
        </w:rPr>
        <w:t> </w:t>
      </w:r>
      <w:r>
        <w:rPr/>
        <w:t>territorial de los Asentamientos Humanos y a los programas de Ordenamiento Territorial y Desarrollo Urbano que establece esta Ley.</w:t>
      </w:r>
    </w:p>
    <w:p>
      <w:pPr>
        <w:pStyle w:val="BodyText"/>
      </w:pPr>
    </w:p>
    <w:p>
      <w:pPr>
        <w:pStyle w:val="BodyText"/>
      </w:pPr>
    </w:p>
    <w:p>
      <w:pPr>
        <w:pStyle w:val="Heading2"/>
        <w:spacing w:line="477" w:lineRule="auto"/>
        <w:ind w:left="3471" w:right="3408" w:firstLine="691"/>
        <w:jc w:val="left"/>
      </w:pPr>
      <w:r>
        <w:rPr/>
        <w:t>Capítulo III Infracciones</w:t>
      </w:r>
      <w:r>
        <w:rPr>
          <w:spacing w:val="-14"/>
        </w:rPr>
        <w:t> </w:t>
      </w:r>
      <w:r>
        <w:rPr/>
        <w:t>y</w:t>
      </w:r>
      <w:r>
        <w:rPr>
          <w:spacing w:val="-14"/>
        </w:rPr>
        <w:t> </w:t>
      </w:r>
      <w:r>
        <w:rPr/>
        <w:t>Sanciones</w:t>
      </w:r>
    </w:p>
    <w:p>
      <w:pPr>
        <w:pStyle w:val="BodyText"/>
        <w:spacing w:before="4"/>
        <w:ind w:left="262" w:right="279"/>
        <w:jc w:val="both"/>
      </w:pPr>
      <w:r>
        <w:rPr>
          <w:rFonts w:ascii="Arial" w:hAnsi="Arial"/>
          <w:b/>
        </w:rPr>
        <w:t>ARTÍCULO</w:t>
      </w:r>
      <w:r>
        <w:rPr>
          <w:rFonts w:ascii="Arial" w:hAnsi="Arial"/>
          <w:b/>
          <w:spacing w:val="-4"/>
        </w:rPr>
        <w:t> </w:t>
      </w:r>
      <w:r>
        <w:rPr>
          <w:rFonts w:ascii="Arial" w:hAnsi="Arial"/>
          <w:b/>
        </w:rPr>
        <w:t>511.</w:t>
      </w:r>
      <w:r>
        <w:rPr>
          <w:rFonts w:ascii="Arial" w:hAnsi="Arial"/>
          <w:b/>
          <w:spacing w:val="-4"/>
        </w:rPr>
        <w:t> </w:t>
      </w:r>
      <w:r>
        <w:rPr/>
        <w:t>Las</w:t>
      </w:r>
      <w:r>
        <w:rPr>
          <w:spacing w:val="-4"/>
        </w:rPr>
        <w:t> </w:t>
      </w:r>
      <w:r>
        <w:rPr/>
        <w:t>autoridades</w:t>
      </w:r>
      <w:r>
        <w:rPr>
          <w:spacing w:val="-4"/>
        </w:rPr>
        <w:t> </w:t>
      </w:r>
      <w:r>
        <w:rPr/>
        <w:t>que</w:t>
      </w:r>
      <w:r>
        <w:rPr>
          <w:spacing w:val="-6"/>
        </w:rPr>
        <w:t> </w:t>
      </w:r>
      <w:r>
        <w:rPr/>
        <w:t>expidan</w:t>
      </w:r>
      <w:r>
        <w:rPr>
          <w:spacing w:val="-5"/>
        </w:rPr>
        <w:t> </w:t>
      </w:r>
      <w:r>
        <w:rPr/>
        <w:t>los</w:t>
      </w:r>
      <w:r>
        <w:rPr>
          <w:spacing w:val="-4"/>
        </w:rPr>
        <w:t> </w:t>
      </w:r>
      <w:r>
        <w:rPr/>
        <w:t>programas</w:t>
      </w:r>
      <w:r>
        <w:rPr>
          <w:spacing w:val="-4"/>
        </w:rPr>
        <w:t> </w:t>
      </w:r>
      <w:r>
        <w:rPr/>
        <w:t>municipales</w:t>
      </w:r>
      <w:r>
        <w:rPr>
          <w:spacing w:val="-4"/>
        </w:rPr>
        <w:t> </w:t>
      </w:r>
      <w:r>
        <w:rPr/>
        <w:t>de</w:t>
      </w:r>
      <w:r>
        <w:rPr>
          <w:spacing w:val="-6"/>
        </w:rPr>
        <w:t> </w:t>
      </w:r>
      <w:r>
        <w:rPr/>
        <w:t>Desarrollo</w:t>
      </w:r>
      <w:r>
        <w:rPr>
          <w:spacing w:val="-5"/>
        </w:rPr>
        <w:t> </w:t>
      </w:r>
      <w:r>
        <w:rPr/>
        <w:t>Urbano,</w:t>
      </w:r>
      <w:r>
        <w:rPr>
          <w:spacing w:val="-5"/>
        </w:rPr>
        <w:t> </w:t>
      </w:r>
      <w:r>
        <w:rPr/>
        <w:t>de Centros de Población y los derivados de éstos, que no gestionen su inscripción; así como las y los jefes de las oficinas de registro que se abstengan de llevarla a cabo o la realicen con deficiencia, serán sancionados conforme a las disposiciones jurídicas aplicables.</w:t>
      </w:r>
    </w:p>
    <w:p>
      <w:pPr>
        <w:pStyle w:val="BodyText"/>
        <w:spacing w:before="230"/>
        <w:ind w:left="262" w:right="279"/>
        <w:jc w:val="both"/>
      </w:pPr>
      <w:r>
        <w:rPr>
          <w:rFonts w:ascii="Arial" w:hAnsi="Arial"/>
          <w:b/>
        </w:rPr>
        <w:t>ARTÍCULO 512. </w:t>
      </w:r>
      <w:r>
        <w:rPr/>
        <w:t>En el supuesto de que no se</w:t>
      </w:r>
      <w:r>
        <w:rPr>
          <w:spacing w:val="-1"/>
        </w:rPr>
        <w:t> </w:t>
      </w:r>
      <w:r>
        <w:rPr/>
        <w:t>atiendan</w:t>
      </w:r>
      <w:r>
        <w:rPr>
          <w:spacing w:val="-1"/>
        </w:rPr>
        <w:t> </w:t>
      </w:r>
      <w:r>
        <w:rPr/>
        <w:t>las disposiciones a que</w:t>
      </w:r>
      <w:r>
        <w:rPr>
          <w:spacing w:val="-2"/>
        </w:rPr>
        <w:t> </w:t>
      </w:r>
      <w:r>
        <w:rPr/>
        <w:t>se</w:t>
      </w:r>
      <w:r>
        <w:rPr>
          <w:spacing w:val="-1"/>
        </w:rPr>
        <w:t> </w:t>
      </w:r>
      <w:r>
        <w:rPr/>
        <w:t>refiere esta</w:t>
      </w:r>
      <w:r>
        <w:rPr>
          <w:spacing w:val="-1"/>
        </w:rPr>
        <w:t> </w:t>
      </w:r>
      <w:r>
        <w:rPr/>
        <w:t>Ley, la Secretaría podrá hacer del conocimiento público su incumplimiento y, en su caso, aplicar las medidas correctivas que se hayan establecido en los convenios o acuerdos respectivos y que se deriven de las disposiciones jurídicas aplicables.</w:t>
      </w:r>
    </w:p>
    <w:p>
      <w:pPr>
        <w:pStyle w:val="BodyText"/>
        <w:spacing w:before="229"/>
        <w:ind w:left="262" w:right="278"/>
        <w:jc w:val="both"/>
      </w:pPr>
      <w:r>
        <w:rPr>
          <w:rFonts w:ascii="Arial" w:hAnsi="Arial"/>
          <w:b/>
        </w:rPr>
        <w:t>ARTÍCULO 513. </w:t>
      </w:r>
      <w:r>
        <w:rPr/>
        <w:t>Quienes propicien o permitan la ocupación irregular de áreas y predios en los Centros de Población, autoricen indebidamente el Asentamiento Humano o construcción en zonas de riesgo, en polígonos de protección, salvaguarda y amortiguamiento en torno a la infraestructura o</w:t>
      </w:r>
      <w:r>
        <w:rPr>
          <w:spacing w:val="-9"/>
        </w:rPr>
        <w:t> </w:t>
      </w:r>
      <w:r>
        <w:rPr/>
        <w:t>equipamientos</w:t>
      </w:r>
      <w:r>
        <w:rPr>
          <w:spacing w:val="-8"/>
        </w:rPr>
        <w:t> </w:t>
      </w:r>
      <w:r>
        <w:rPr/>
        <w:t>de</w:t>
      </w:r>
      <w:r>
        <w:rPr>
          <w:spacing w:val="-9"/>
        </w:rPr>
        <w:t> </w:t>
      </w:r>
      <w:r>
        <w:rPr/>
        <w:t>seguridad</w:t>
      </w:r>
      <w:r>
        <w:rPr>
          <w:spacing w:val="-9"/>
        </w:rPr>
        <w:t> </w:t>
      </w:r>
      <w:r>
        <w:rPr/>
        <w:t>nacional</w:t>
      </w:r>
      <w:r>
        <w:rPr>
          <w:spacing w:val="-10"/>
        </w:rPr>
        <w:t> </w:t>
      </w:r>
      <w:r>
        <w:rPr/>
        <w:t>o</w:t>
      </w:r>
      <w:r>
        <w:rPr>
          <w:spacing w:val="-7"/>
        </w:rPr>
        <w:t> </w:t>
      </w:r>
      <w:r>
        <w:rPr/>
        <w:t>de</w:t>
      </w:r>
      <w:r>
        <w:rPr>
          <w:spacing w:val="-9"/>
        </w:rPr>
        <w:t> </w:t>
      </w:r>
      <w:r>
        <w:rPr/>
        <w:t>protección</w:t>
      </w:r>
      <w:r>
        <w:rPr>
          <w:spacing w:val="-7"/>
        </w:rPr>
        <w:t> </w:t>
      </w:r>
      <w:r>
        <w:rPr/>
        <w:t>en</w:t>
      </w:r>
      <w:r>
        <w:rPr>
          <w:spacing w:val="-9"/>
        </w:rPr>
        <w:t> </w:t>
      </w:r>
      <w:r>
        <w:rPr/>
        <w:t>derechos</w:t>
      </w:r>
      <w:r>
        <w:rPr>
          <w:spacing w:val="-8"/>
        </w:rPr>
        <w:t> </w:t>
      </w:r>
      <w:r>
        <w:rPr/>
        <w:t>de</w:t>
      </w:r>
      <w:r>
        <w:rPr>
          <w:spacing w:val="-9"/>
        </w:rPr>
        <w:t> </w:t>
      </w:r>
      <w:r>
        <w:rPr/>
        <w:t>vía</w:t>
      </w:r>
      <w:r>
        <w:rPr>
          <w:spacing w:val="-9"/>
        </w:rPr>
        <w:t> </w:t>
      </w:r>
      <w:r>
        <w:rPr/>
        <w:t>o</w:t>
      </w:r>
      <w:r>
        <w:rPr>
          <w:spacing w:val="-9"/>
        </w:rPr>
        <w:t> </w:t>
      </w:r>
      <w:r>
        <w:rPr/>
        <w:t>zonas</w:t>
      </w:r>
      <w:r>
        <w:rPr>
          <w:spacing w:val="-8"/>
        </w:rPr>
        <w:t> </w:t>
      </w:r>
      <w:r>
        <w:rPr/>
        <w:t>federales,</w:t>
      </w:r>
      <w:r>
        <w:rPr>
          <w:spacing w:val="-9"/>
        </w:rPr>
        <w:t> </w:t>
      </w:r>
      <w:r>
        <w:rPr/>
        <w:t>o</w:t>
      </w:r>
      <w:r>
        <w:rPr>
          <w:spacing w:val="-9"/>
        </w:rPr>
        <w:t> </w:t>
      </w:r>
      <w:r>
        <w:rPr/>
        <w:t>que no</w:t>
      </w:r>
      <w:r>
        <w:rPr>
          <w:spacing w:val="-12"/>
        </w:rPr>
        <w:t> </w:t>
      </w:r>
      <w:r>
        <w:rPr/>
        <w:t>respeten</w:t>
      </w:r>
      <w:r>
        <w:rPr>
          <w:spacing w:val="-9"/>
        </w:rPr>
        <w:t> </w:t>
      </w:r>
      <w:r>
        <w:rPr/>
        <w:t>la</w:t>
      </w:r>
      <w:r>
        <w:rPr>
          <w:spacing w:val="-11"/>
        </w:rPr>
        <w:t> </w:t>
      </w:r>
      <w:r>
        <w:rPr/>
        <w:t>definición</w:t>
      </w:r>
      <w:r>
        <w:rPr>
          <w:spacing w:val="-9"/>
        </w:rPr>
        <w:t> </w:t>
      </w:r>
      <w:r>
        <w:rPr/>
        <w:t>de</w:t>
      </w:r>
      <w:r>
        <w:rPr>
          <w:spacing w:val="-10"/>
        </w:rPr>
        <w:t> </w:t>
      </w:r>
      <w:r>
        <w:rPr/>
        <w:t>Área</w:t>
      </w:r>
      <w:r>
        <w:rPr>
          <w:spacing w:val="-10"/>
        </w:rPr>
        <w:t> </w:t>
      </w:r>
      <w:r>
        <w:rPr/>
        <w:t>Urbanizable</w:t>
      </w:r>
      <w:r>
        <w:rPr>
          <w:spacing w:val="-11"/>
        </w:rPr>
        <w:t> </w:t>
      </w:r>
      <w:r>
        <w:rPr/>
        <w:t>contenida</w:t>
      </w:r>
      <w:r>
        <w:rPr>
          <w:spacing w:val="-11"/>
        </w:rPr>
        <w:t> </w:t>
      </w:r>
      <w:r>
        <w:rPr/>
        <w:t>en</w:t>
      </w:r>
      <w:r>
        <w:rPr>
          <w:spacing w:val="-10"/>
        </w:rPr>
        <w:t> </w:t>
      </w:r>
      <w:r>
        <w:rPr/>
        <w:t>este</w:t>
      </w:r>
      <w:r>
        <w:rPr>
          <w:spacing w:val="-9"/>
        </w:rPr>
        <w:t> </w:t>
      </w:r>
      <w:r>
        <w:rPr/>
        <w:t>ordenamiento,</w:t>
      </w:r>
      <w:r>
        <w:rPr>
          <w:spacing w:val="-9"/>
        </w:rPr>
        <w:t> </w:t>
      </w:r>
      <w:r>
        <w:rPr/>
        <w:t>se</w:t>
      </w:r>
      <w:r>
        <w:rPr>
          <w:spacing w:val="-9"/>
        </w:rPr>
        <w:t> </w:t>
      </w:r>
      <w:r>
        <w:rPr/>
        <w:t>harán</w:t>
      </w:r>
      <w:r>
        <w:rPr>
          <w:spacing w:val="-10"/>
        </w:rPr>
        <w:t> </w:t>
      </w:r>
      <w:r>
        <w:rPr/>
        <w:t>acreedores a las sanciones administrativas, civiles y penales aplicables.</w:t>
      </w:r>
    </w:p>
    <w:p>
      <w:pPr>
        <w:pStyle w:val="BodyText"/>
        <w:spacing w:before="1"/>
      </w:pPr>
    </w:p>
    <w:p>
      <w:pPr>
        <w:pStyle w:val="BodyText"/>
        <w:ind w:left="262" w:right="276"/>
        <w:jc w:val="both"/>
      </w:pPr>
      <w:r>
        <w:rPr>
          <w:rFonts w:ascii="Arial" w:hAnsi="Arial"/>
          <w:b/>
        </w:rPr>
        <w:t>ARTÍCULO 514. </w:t>
      </w:r>
      <w:r>
        <w:rPr/>
        <w:t>Las autoridades de los tres órdenes de gobierno tendrán la obligación de resguardar los expedientes de las autorizaciones y procedimientos administrativos donde intervengan</w:t>
      </w:r>
      <w:r>
        <w:rPr>
          <w:spacing w:val="-14"/>
        </w:rPr>
        <w:t> </w:t>
      </w:r>
      <w:r>
        <w:rPr/>
        <w:t>en</w:t>
      </w:r>
      <w:r>
        <w:rPr>
          <w:spacing w:val="-14"/>
        </w:rPr>
        <w:t> </w:t>
      </w:r>
      <w:r>
        <w:rPr/>
        <w:t>materia</w:t>
      </w:r>
      <w:r>
        <w:rPr>
          <w:spacing w:val="-14"/>
        </w:rPr>
        <w:t> </w:t>
      </w:r>
      <w:r>
        <w:rPr/>
        <w:t>del</w:t>
      </w:r>
      <w:r>
        <w:rPr>
          <w:spacing w:val="-14"/>
        </w:rPr>
        <w:t> </w:t>
      </w:r>
      <w:r>
        <w:rPr/>
        <w:t>Desarrollo</w:t>
      </w:r>
      <w:r>
        <w:rPr>
          <w:spacing w:val="-14"/>
        </w:rPr>
        <w:t> </w:t>
      </w:r>
      <w:r>
        <w:rPr/>
        <w:t>Urbano,</w:t>
      </w:r>
      <w:r>
        <w:rPr>
          <w:spacing w:val="-14"/>
        </w:rPr>
        <w:t> </w:t>
      </w:r>
      <w:r>
        <w:rPr/>
        <w:t>así</w:t>
      </w:r>
      <w:r>
        <w:rPr>
          <w:spacing w:val="-14"/>
        </w:rPr>
        <w:t> </w:t>
      </w:r>
      <w:r>
        <w:rPr/>
        <w:t>como</w:t>
      </w:r>
      <w:r>
        <w:rPr>
          <w:spacing w:val="-14"/>
        </w:rPr>
        <w:t> </w:t>
      </w:r>
      <w:r>
        <w:rPr/>
        <w:t>proporcionar</w:t>
      </w:r>
      <w:r>
        <w:rPr>
          <w:spacing w:val="-14"/>
        </w:rPr>
        <w:t> </w:t>
      </w:r>
      <w:r>
        <w:rPr/>
        <w:t>la</w:t>
      </w:r>
      <w:r>
        <w:rPr>
          <w:spacing w:val="-13"/>
        </w:rPr>
        <w:t> </w:t>
      </w:r>
      <w:r>
        <w:rPr/>
        <w:t>información</w:t>
      </w:r>
      <w:r>
        <w:rPr>
          <w:spacing w:val="-14"/>
        </w:rPr>
        <w:t> </w:t>
      </w:r>
      <w:r>
        <w:rPr/>
        <w:t>correspondiente a cualquier solicitante, con las reglas y salvaguardas de la legislación de transparencia y acceso a la información pública gubernamental.</w:t>
      </w:r>
    </w:p>
    <w:p>
      <w:pPr>
        <w:pStyle w:val="BodyText"/>
      </w:pPr>
    </w:p>
    <w:p>
      <w:pPr>
        <w:pStyle w:val="BodyText"/>
        <w:spacing w:before="1"/>
        <w:ind w:left="262" w:right="286"/>
        <w:jc w:val="both"/>
      </w:pPr>
      <w:r>
        <w:rPr>
          <w:rFonts w:ascii="Arial" w:hAnsi="Arial"/>
          <w:b/>
        </w:rPr>
        <w:t>ARTÍCULO 515. </w:t>
      </w:r>
      <w:r>
        <w:rPr/>
        <w:t>Las violaciones e incumplimiento de sus obligaciones, cometidas por parte de supervisores,</w:t>
      </w:r>
      <w:r>
        <w:rPr>
          <w:spacing w:val="-1"/>
        </w:rPr>
        <w:t> </w:t>
      </w:r>
      <w:r>
        <w:rPr/>
        <w:t>inspectores, y o</w:t>
      </w:r>
      <w:r>
        <w:rPr>
          <w:spacing w:val="-1"/>
        </w:rPr>
        <w:t> </w:t>
      </w:r>
      <w:r>
        <w:rPr/>
        <w:t>verificadores municipales</w:t>
      </w:r>
      <w:r>
        <w:rPr>
          <w:spacing w:val="-1"/>
        </w:rPr>
        <w:t> </w:t>
      </w:r>
      <w:r>
        <w:rPr/>
        <w:t>de</w:t>
      </w:r>
      <w:r>
        <w:rPr>
          <w:spacing w:val="-1"/>
        </w:rPr>
        <w:t> </w:t>
      </w:r>
      <w:r>
        <w:rPr/>
        <w:t>las</w:t>
      </w:r>
      <w:r>
        <w:rPr>
          <w:spacing w:val="-1"/>
        </w:rPr>
        <w:t> </w:t>
      </w:r>
      <w:r>
        <w:rPr/>
        <w:t>obras</w:t>
      </w:r>
      <w:r>
        <w:rPr>
          <w:spacing w:val="-1"/>
        </w:rPr>
        <w:t> </w:t>
      </w:r>
      <w:r>
        <w:rPr/>
        <w:t>de</w:t>
      </w:r>
      <w:r>
        <w:rPr>
          <w:spacing w:val="-1"/>
        </w:rPr>
        <w:t> </w:t>
      </w:r>
      <w:r>
        <w:rPr/>
        <w:t>urbanización</w:t>
      </w:r>
      <w:r>
        <w:rPr>
          <w:spacing w:val="-1"/>
        </w:rPr>
        <w:t> </w:t>
      </w:r>
      <w:r>
        <w:rPr/>
        <w:t>y edificación,</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que actúen por delegación de la autoridad municipal, serán sancionadas conforme a la Ley de Responsabilidades Administrativas para el Estado.</w:t>
      </w:r>
    </w:p>
    <w:p>
      <w:pPr>
        <w:pStyle w:val="BodyText"/>
        <w:spacing w:before="1"/>
      </w:pPr>
    </w:p>
    <w:p>
      <w:pPr>
        <w:pStyle w:val="BodyText"/>
        <w:ind w:left="262" w:right="287"/>
        <w:jc w:val="both"/>
      </w:pPr>
      <w:r>
        <w:rPr/>
        <w:t>En caso de reincidencia serán suspendidos de su cargo o cesados de las funciones, según la gravedad del caso y de acuerdo con la legislación aplicable. Las sanciones administrativas se aplicarán sin perjuicio de las responsabilidades civiles o penales en que hubieren incurrido.</w:t>
      </w:r>
    </w:p>
    <w:p>
      <w:pPr>
        <w:pStyle w:val="BodyText"/>
        <w:spacing w:before="229"/>
        <w:ind w:left="262" w:right="279"/>
        <w:jc w:val="both"/>
      </w:pPr>
      <w:r>
        <w:rPr>
          <w:rFonts w:ascii="Arial" w:hAnsi="Arial"/>
          <w:b/>
        </w:rPr>
        <w:t>ARTÍCULO 516. </w:t>
      </w:r>
      <w:r>
        <w:rPr/>
        <w:t>En caso de que se expidan licencias, permisos, autorizaciones o concesiones contraviniendo esta Ley, éstas serán nulas y los servidores públicos responsables serán sancionados conforme lo dispuesto en la Ley de Responsabilidades Administrativas del Estado y Municipios de San Luis Potosí.</w:t>
      </w:r>
    </w:p>
    <w:p>
      <w:pPr>
        <w:pStyle w:val="BodyText"/>
        <w:spacing w:before="1"/>
      </w:pPr>
    </w:p>
    <w:p>
      <w:pPr>
        <w:pStyle w:val="BodyText"/>
        <w:ind w:left="262"/>
        <w:jc w:val="both"/>
      </w:pPr>
      <w:r>
        <w:rPr/>
        <w:t>Dicha</w:t>
      </w:r>
      <w:r>
        <w:rPr>
          <w:spacing w:val="-8"/>
        </w:rPr>
        <w:t> </w:t>
      </w:r>
      <w:r>
        <w:rPr/>
        <w:t>nulidad</w:t>
      </w:r>
      <w:r>
        <w:rPr>
          <w:spacing w:val="-8"/>
        </w:rPr>
        <w:t> </w:t>
      </w:r>
      <w:r>
        <w:rPr/>
        <w:t>deberá</w:t>
      </w:r>
      <w:r>
        <w:rPr>
          <w:spacing w:val="-9"/>
        </w:rPr>
        <w:t> </w:t>
      </w:r>
      <w:r>
        <w:rPr/>
        <w:t>ser</w:t>
      </w:r>
      <w:r>
        <w:rPr>
          <w:spacing w:val="-9"/>
        </w:rPr>
        <w:t> </w:t>
      </w:r>
      <w:r>
        <w:rPr/>
        <w:t>declarada</w:t>
      </w:r>
      <w:r>
        <w:rPr>
          <w:spacing w:val="-8"/>
        </w:rPr>
        <w:t> </w:t>
      </w:r>
      <w:r>
        <w:rPr/>
        <w:t>por</w:t>
      </w:r>
      <w:r>
        <w:rPr>
          <w:spacing w:val="-9"/>
        </w:rPr>
        <w:t> </w:t>
      </w:r>
      <w:r>
        <w:rPr/>
        <w:t>la</w:t>
      </w:r>
      <w:r>
        <w:rPr>
          <w:spacing w:val="-7"/>
        </w:rPr>
        <w:t> </w:t>
      </w:r>
      <w:r>
        <w:rPr/>
        <w:t>autoridad</w:t>
      </w:r>
      <w:r>
        <w:rPr>
          <w:spacing w:val="-10"/>
        </w:rPr>
        <w:t> </w:t>
      </w:r>
      <w:r>
        <w:rPr/>
        <w:t>jurisdiccional</w:t>
      </w:r>
      <w:r>
        <w:rPr>
          <w:spacing w:val="-9"/>
        </w:rPr>
        <w:t> </w:t>
      </w:r>
      <w:r>
        <w:rPr>
          <w:spacing w:val="-2"/>
        </w:rPr>
        <w:t>competente.</w:t>
      </w:r>
    </w:p>
    <w:p>
      <w:pPr>
        <w:pStyle w:val="BodyText"/>
      </w:pPr>
    </w:p>
    <w:p>
      <w:pPr>
        <w:pStyle w:val="BodyText"/>
        <w:spacing w:before="1"/>
        <w:ind w:left="262" w:right="279"/>
        <w:jc w:val="both"/>
      </w:pPr>
      <w:r>
        <w:rPr>
          <w:rFonts w:ascii="Arial" w:hAnsi="Arial"/>
          <w:b/>
        </w:rPr>
        <w:t>ARTÍCULO 517. </w:t>
      </w:r>
      <w:r>
        <w:rPr/>
        <w:t>Son infracciones cuya responsabilidad corresponde a los Notarios Públicos; autorizar</w:t>
      </w:r>
      <w:r>
        <w:rPr>
          <w:spacing w:val="-1"/>
        </w:rPr>
        <w:t> </w:t>
      </w:r>
      <w:r>
        <w:rPr/>
        <w:t>o</w:t>
      </w:r>
      <w:r>
        <w:rPr>
          <w:spacing w:val="-4"/>
        </w:rPr>
        <w:t> </w:t>
      </w:r>
      <w:r>
        <w:rPr/>
        <w:t>autenticar</w:t>
      </w:r>
      <w:r>
        <w:rPr>
          <w:spacing w:val="-4"/>
        </w:rPr>
        <w:t> </w:t>
      </w:r>
      <w:r>
        <w:rPr/>
        <w:t>actos,</w:t>
      </w:r>
      <w:r>
        <w:rPr>
          <w:spacing w:val="-4"/>
        </w:rPr>
        <w:t> </w:t>
      </w:r>
      <w:r>
        <w:rPr/>
        <w:t>convenios</w:t>
      </w:r>
      <w:r>
        <w:rPr>
          <w:spacing w:val="-3"/>
        </w:rPr>
        <w:t> </w:t>
      </w:r>
      <w:r>
        <w:rPr/>
        <w:t>y</w:t>
      </w:r>
      <w:r>
        <w:rPr>
          <w:spacing w:val="-3"/>
        </w:rPr>
        <w:t> </w:t>
      </w:r>
      <w:r>
        <w:rPr/>
        <w:t>contratos</w:t>
      </w:r>
      <w:r>
        <w:rPr>
          <w:spacing w:val="-3"/>
        </w:rPr>
        <w:t> </w:t>
      </w:r>
      <w:r>
        <w:rPr/>
        <w:t>sin</w:t>
      </w:r>
      <w:r>
        <w:rPr>
          <w:spacing w:val="-2"/>
        </w:rPr>
        <w:t> </w:t>
      </w:r>
      <w:r>
        <w:rPr/>
        <w:t>cumplir</w:t>
      </w:r>
      <w:r>
        <w:rPr>
          <w:spacing w:val="-3"/>
        </w:rPr>
        <w:t> </w:t>
      </w:r>
      <w:r>
        <w:rPr/>
        <w:t>con</w:t>
      </w:r>
      <w:r>
        <w:rPr>
          <w:spacing w:val="-5"/>
        </w:rPr>
        <w:t> </w:t>
      </w:r>
      <w:r>
        <w:rPr/>
        <w:t>lo</w:t>
      </w:r>
      <w:r>
        <w:rPr>
          <w:spacing w:val="-4"/>
        </w:rPr>
        <w:t> </w:t>
      </w:r>
      <w:r>
        <w:rPr/>
        <w:t>dispuesto</w:t>
      </w:r>
      <w:r>
        <w:rPr>
          <w:spacing w:val="-2"/>
        </w:rPr>
        <w:t> </w:t>
      </w:r>
      <w:r>
        <w:rPr/>
        <w:t>en</w:t>
      </w:r>
      <w:r>
        <w:rPr>
          <w:spacing w:val="-2"/>
        </w:rPr>
        <w:t> </w:t>
      </w:r>
      <w:r>
        <w:rPr/>
        <w:t>la</w:t>
      </w:r>
      <w:r>
        <w:rPr>
          <w:spacing w:val="-4"/>
        </w:rPr>
        <w:t> </w:t>
      </w:r>
      <w:r>
        <w:rPr/>
        <w:t>presente</w:t>
      </w:r>
      <w:r>
        <w:rPr>
          <w:spacing w:val="-5"/>
        </w:rPr>
        <w:t> </w:t>
      </w:r>
      <w:r>
        <w:rPr/>
        <w:t>Ley</w:t>
      </w:r>
      <w:r>
        <w:rPr>
          <w:spacing w:val="-3"/>
        </w:rPr>
        <w:t> </w:t>
      </w:r>
      <w:r>
        <w:rPr/>
        <w:t>y </w:t>
      </w:r>
      <w:r>
        <w:rPr>
          <w:spacing w:val="-2"/>
        </w:rPr>
        <w:t>sin</w:t>
      </w:r>
      <w:r>
        <w:rPr>
          <w:spacing w:val="-5"/>
        </w:rPr>
        <w:t> </w:t>
      </w:r>
      <w:r>
        <w:rPr>
          <w:spacing w:val="-2"/>
        </w:rPr>
        <w:t>contar</w:t>
      </w:r>
      <w:r>
        <w:rPr>
          <w:spacing w:val="-3"/>
        </w:rPr>
        <w:t> </w:t>
      </w:r>
      <w:r>
        <w:rPr>
          <w:spacing w:val="-2"/>
        </w:rPr>
        <w:t>con las</w:t>
      </w:r>
      <w:r>
        <w:rPr>
          <w:spacing w:val="-3"/>
        </w:rPr>
        <w:t> </w:t>
      </w:r>
      <w:r>
        <w:rPr>
          <w:spacing w:val="-2"/>
        </w:rPr>
        <w:t>constancias,</w:t>
      </w:r>
      <w:r>
        <w:rPr>
          <w:spacing w:val="-3"/>
        </w:rPr>
        <w:t> </w:t>
      </w:r>
      <w:r>
        <w:rPr>
          <w:spacing w:val="-2"/>
        </w:rPr>
        <w:t>autorizaciones, permisos o</w:t>
      </w:r>
      <w:r>
        <w:rPr>
          <w:spacing w:val="-5"/>
        </w:rPr>
        <w:t> </w:t>
      </w:r>
      <w:r>
        <w:rPr>
          <w:spacing w:val="-2"/>
        </w:rPr>
        <w:t>licencias</w:t>
      </w:r>
      <w:r>
        <w:rPr>
          <w:spacing w:val="-3"/>
        </w:rPr>
        <w:t> </w:t>
      </w:r>
      <w:r>
        <w:rPr>
          <w:spacing w:val="-2"/>
        </w:rPr>
        <w:t>que las autoridades</w:t>
      </w:r>
      <w:r>
        <w:rPr>
          <w:spacing w:val="-3"/>
        </w:rPr>
        <w:t> </w:t>
      </w:r>
      <w:r>
        <w:rPr>
          <w:spacing w:val="-2"/>
        </w:rPr>
        <w:t>competentes </w:t>
      </w:r>
      <w:r>
        <w:rPr/>
        <w:t>expidan conforme a esta Ley, sus reglamentos y demás disposiciones legales aplicables.</w:t>
      </w:r>
    </w:p>
    <w:p>
      <w:pPr>
        <w:pStyle w:val="BodyText"/>
        <w:spacing w:before="229"/>
        <w:ind w:left="262" w:right="284"/>
        <w:jc w:val="both"/>
      </w:pPr>
      <w:r>
        <w:rPr>
          <w:rFonts w:ascii="Arial" w:hAnsi="Arial"/>
          <w:b/>
        </w:rPr>
        <w:t>ARTÍCULO</w:t>
      </w:r>
      <w:r>
        <w:rPr>
          <w:rFonts w:ascii="Arial" w:hAnsi="Arial"/>
          <w:b/>
          <w:spacing w:val="-12"/>
        </w:rPr>
        <w:t> </w:t>
      </w:r>
      <w:r>
        <w:rPr>
          <w:rFonts w:ascii="Arial" w:hAnsi="Arial"/>
          <w:b/>
        </w:rPr>
        <w:t>518.</w:t>
      </w:r>
      <w:r>
        <w:rPr>
          <w:rFonts w:ascii="Arial" w:hAnsi="Arial"/>
          <w:b/>
          <w:spacing w:val="-12"/>
        </w:rPr>
        <w:t> </w:t>
      </w:r>
      <w:r>
        <w:rPr/>
        <w:t>Las</w:t>
      </w:r>
      <w:r>
        <w:rPr>
          <w:spacing w:val="-12"/>
        </w:rPr>
        <w:t> </w:t>
      </w:r>
      <w:r>
        <w:rPr/>
        <w:t>sanciones</w:t>
      </w:r>
      <w:r>
        <w:rPr>
          <w:spacing w:val="-12"/>
        </w:rPr>
        <w:t> </w:t>
      </w:r>
      <w:r>
        <w:rPr/>
        <w:t>administrativas</w:t>
      </w:r>
      <w:r>
        <w:rPr>
          <w:spacing w:val="-12"/>
        </w:rPr>
        <w:t> </w:t>
      </w:r>
      <w:r>
        <w:rPr/>
        <w:t>aplicables</w:t>
      </w:r>
      <w:r>
        <w:rPr>
          <w:spacing w:val="-12"/>
        </w:rPr>
        <w:t> </w:t>
      </w:r>
      <w:r>
        <w:rPr/>
        <w:t>a</w:t>
      </w:r>
      <w:r>
        <w:rPr>
          <w:spacing w:val="-13"/>
        </w:rPr>
        <w:t> </w:t>
      </w:r>
      <w:r>
        <w:rPr/>
        <w:t>personas</w:t>
      </w:r>
      <w:r>
        <w:rPr>
          <w:spacing w:val="-12"/>
        </w:rPr>
        <w:t> </w:t>
      </w:r>
      <w:r>
        <w:rPr/>
        <w:t>físicas</w:t>
      </w:r>
      <w:r>
        <w:rPr>
          <w:spacing w:val="-12"/>
        </w:rPr>
        <w:t> </w:t>
      </w:r>
      <w:r>
        <w:rPr/>
        <w:t>o</w:t>
      </w:r>
      <w:r>
        <w:rPr>
          <w:spacing w:val="-13"/>
        </w:rPr>
        <w:t> </w:t>
      </w:r>
      <w:r>
        <w:rPr/>
        <w:t>morales</w:t>
      </w:r>
      <w:r>
        <w:rPr>
          <w:spacing w:val="-12"/>
        </w:rPr>
        <w:t> </w:t>
      </w:r>
      <w:r>
        <w:rPr/>
        <w:t>que</w:t>
      </w:r>
      <w:r>
        <w:rPr>
          <w:spacing w:val="-13"/>
        </w:rPr>
        <w:t> </w:t>
      </w:r>
      <w:r>
        <w:rPr/>
        <w:t>agotado el procedimiento administrativo que contempla el Código Procesal Administrativo para el Estado, resulten responsables, podrán consistir en:</w:t>
      </w:r>
    </w:p>
    <w:p>
      <w:pPr>
        <w:pStyle w:val="BodyText"/>
      </w:pPr>
    </w:p>
    <w:p>
      <w:pPr>
        <w:pStyle w:val="ListParagraph"/>
        <w:numPr>
          <w:ilvl w:val="0"/>
          <w:numId w:val="148"/>
        </w:numPr>
        <w:tabs>
          <w:tab w:pos="543" w:val="left" w:leader="none"/>
        </w:tabs>
        <w:spacing w:line="240" w:lineRule="auto" w:before="0" w:after="0"/>
        <w:ind w:left="543" w:right="0" w:hanging="281"/>
        <w:jc w:val="both"/>
        <w:rPr>
          <w:sz w:val="20"/>
        </w:rPr>
      </w:pPr>
      <w:r>
        <w:rPr>
          <w:sz w:val="20"/>
        </w:rPr>
        <w:t>Amonestación</w:t>
      </w:r>
      <w:r>
        <w:rPr>
          <w:spacing w:val="-10"/>
          <w:sz w:val="20"/>
        </w:rPr>
        <w:t> </w:t>
      </w:r>
      <w:r>
        <w:rPr>
          <w:sz w:val="20"/>
        </w:rPr>
        <w:t>verbal</w:t>
      </w:r>
      <w:r>
        <w:rPr>
          <w:spacing w:val="-7"/>
          <w:sz w:val="20"/>
        </w:rPr>
        <w:t> </w:t>
      </w:r>
      <w:r>
        <w:rPr>
          <w:sz w:val="20"/>
        </w:rPr>
        <w:t>o</w:t>
      </w:r>
      <w:r>
        <w:rPr>
          <w:spacing w:val="-9"/>
          <w:sz w:val="20"/>
        </w:rPr>
        <w:t> </w:t>
      </w:r>
      <w:r>
        <w:rPr>
          <w:spacing w:val="-2"/>
          <w:sz w:val="20"/>
        </w:rPr>
        <w:t>escrita;</w:t>
      </w:r>
    </w:p>
    <w:p>
      <w:pPr>
        <w:pStyle w:val="ListParagraph"/>
        <w:numPr>
          <w:ilvl w:val="0"/>
          <w:numId w:val="148"/>
        </w:numPr>
        <w:tabs>
          <w:tab w:pos="543" w:val="left" w:leader="none"/>
        </w:tabs>
        <w:spacing w:line="235" w:lineRule="auto" w:before="229" w:after="0"/>
        <w:ind w:left="262" w:right="284" w:firstLine="0"/>
        <w:jc w:val="both"/>
        <w:rPr>
          <w:sz w:val="20"/>
        </w:rPr>
      </w:pPr>
      <w:r>
        <w:rPr>
          <w:sz w:val="20"/>
        </w:rPr>
        <w:t>Suspensión de las obras cuando no se ajusten a los programas de desarrollo urbano y a los requisitos y especificaciones contenidas en la aprobación del proyecto de traza, de urbanización y licencia de obra, de acuerdo al tipo de fraccionamiento o desarrollo aprobado;</w:t>
      </w:r>
    </w:p>
    <w:p>
      <w:pPr>
        <w:pStyle w:val="BodyText"/>
        <w:spacing w:before="6"/>
      </w:pPr>
    </w:p>
    <w:p>
      <w:pPr>
        <w:pStyle w:val="ListParagraph"/>
        <w:numPr>
          <w:ilvl w:val="0"/>
          <w:numId w:val="148"/>
        </w:numPr>
        <w:tabs>
          <w:tab w:pos="598" w:val="left" w:leader="none"/>
        </w:tabs>
        <w:spacing w:line="235" w:lineRule="auto" w:before="0" w:after="0"/>
        <w:ind w:left="262" w:right="288" w:firstLine="0"/>
        <w:jc w:val="both"/>
        <w:rPr>
          <w:sz w:val="20"/>
        </w:rPr>
      </w:pPr>
      <w:r>
        <w:rPr>
          <w:sz w:val="20"/>
        </w:rPr>
        <w:t>Clausura temporal, total o parcial, de las instalaciones, las construcciones, las obras y los servicios</w:t>
      </w:r>
      <w:r>
        <w:rPr>
          <w:spacing w:val="-2"/>
          <w:sz w:val="20"/>
        </w:rPr>
        <w:t> </w:t>
      </w:r>
      <w:r>
        <w:rPr>
          <w:sz w:val="20"/>
        </w:rPr>
        <w:t>que</w:t>
      </w:r>
      <w:r>
        <w:rPr>
          <w:spacing w:val="-3"/>
          <w:sz w:val="20"/>
        </w:rPr>
        <w:t> </w:t>
      </w:r>
      <w:r>
        <w:rPr>
          <w:sz w:val="20"/>
        </w:rPr>
        <w:t>se</w:t>
      </w:r>
      <w:r>
        <w:rPr>
          <w:spacing w:val="-1"/>
          <w:sz w:val="20"/>
        </w:rPr>
        <w:t> </w:t>
      </w:r>
      <w:r>
        <w:rPr>
          <w:sz w:val="20"/>
        </w:rPr>
        <w:t>ejecuten</w:t>
      </w:r>
      <w:r>
        <w:rPr>
          <w:spacing w:val="-1"/>
          <w:sz w:val="20"/>
        </w:rPr>
        <w:t> </w:t>
      </w:r>
      <w:r>
        <w:rPr>
          <w:sz w:val="20"/>
        </w:rPr>
        <w:t>en</w:t>
      </w:r>
      <w:r>
        <w:rPr>
          <w:spacing w:val="-3"/>
          <w:sz w:val="20"/>
        </w:rPr>
        <w:t> </w:t>
      </w:r>
      <w:r>
        <w:rPr>
          <w:sz w:val="20"/>
        </w:rPr>
        <w:t>contravención</w:t>
      </w:r>
      <w:r>
        <w:rPr>
          <w:spacing w:val="-3"/>
          <w:sz w:val="20"/>
        </w:rPr>
        <w:t> </w:t>
      </w:r>
      <w:r>
        <w:rPr>
          <w:sz w:val="20"/>
        </w:rPr>
        <w:t>de</w:t>
      </w:r>
      <w:r>
        <w:rPr>
          <w:spacing w:val="-3"/>
          <w:sz w:val="20"/>
        </w:rPr>
        <w:t> </w:t>
      </w:r>
      <w:r>
        <w:rPr>
          <w:sz w:val="20"/>
        </w:rPr>
        <w:t>esta</w:t>
      </w:r>
      <w:r>
        <w:rPr>
          <w:spacing w:val="-1"/>
          <w:sz w:val="20"/>
        </w:rPr>
        <w:t> </w:t>
      </w:r>
      <w:r>
        <w:rPr>
          <w:sz w:val="20"/>
        </w:rPr>
        <w:t>Ley</w:t>
      </w:r>
      <w:r>
        <w:rPr>
          <w:spacing w:val="-2"/>
          <w:sz w:val="20"/>
        </w:rPr>
        <w:t> </w:t>
      </w:r>
      <w:r>
        <w:rPr>
          <w:sz w:val="20"/>
        </w:rPr>
        <w:t>y</w:t>
      </w:r>
      <w:r>
        <w:rPr>
          <w:spacing w:val="-2"/>
          <w:sz w:val="20"/>
        </w:rPr>
        <w:t> </w:t>
      </w:r>
      <w:r>
        <w:rPr>
          <w:sz w:val="20"/>
        </w:rPr>
        <w:t>demás disposiciones</w:t>
      </w:r>
      <w:r>
        <w:rPr>
          <w:spacing w:val="-2"/>
          <w:sz w:val="20"/>
        </w:rPr>
        <w:t> </w:t>
      </w:r>
      <w:r>
        <w:rPr>
          <w:sz w:val="20"/>
        </w:rPr>
        <w:t>jurídicas</w:t>
      </w:r>
      <w:r>
        <w:rPr>
          <w:spacing w:val="-2"/>
          <w:sz w:val="20"/>
        </w:rPr>
        <w:t> </w:t>
      </w:r>
      <w:r>
        <w:rPr>
          <w:sz w:val="20"/>
        </w:rPr>
        <w:t>aplicables, cuando se carezca de lo siguiente:</w:t>
      </w:r>
    </w:p>
    <w:p>
      <w:pPr>
        <w:pStyle w:val="ListParagraph"/>
        <w:numPr>
          <w:ilvl w:val="1"/>
          <w:numId w:val="148"/>
        </w:numPr>
        <w:tabs>
          <w:tab w:pos="544" w:val="left" w:leader="none"/>
        </w:tabs>
        <w:spacing w:line="240" w:lineRule="auto" w:before="1" w:after="0"/>
        <w:ind w:left="544" w:right="0" w:hanging="282"/>
        <w:jc w:val="both"/>
        <w:rPr>
          <w:sz w:val="20"/>
        </w:rPr>
      </w:pPr>
      <w:r>
        <w:rPr>
          <w:sz w:val="20"/>
        </w:rPr>
        <w:t>La</w:t>
      </w:r>
      <w:r>
        <w:rPr>
          <w:spacing w:val="-9"/>
          <w:sz w:val="20"/>
        </w:rPr>
        <w:t> </w:t>
      </w:r>
      <w:r>
        <w:rPr>
          <w:sz w:val="20"/>
        </w:rPr>
        <w:t>autorización</w:t>
      </w:r>
      <w:r>
        <w:rPr>
          <w:spacing w:val="-8"/>
          <w:sz w:val="20"/>
        </w:rPr>
        <w:t> </w:t>
      </w:r>
      <w:r>
        <w:rPr>
          <w:sz w:val="20"/>
        </w:rPr>
        <w:t>de</w:t>
      </w:r>
      <w:r>
        <w:rPr>
          <w:spacing w:val="-9"/>
          <w:sz w:val="20"/>
        </w:rPr>
        <w:t> </w:t>
      </w:r>
      <w:r>
        <w:rPr>
          <w:spacing w:val="-2"/>
          <w:sz w:val="20"/>
        </w:rPr>
        <w:t>fraccionamiento.</w:t>
      </w:r>
    </w:p>
    <w:p>
      <w:pPr>
        <w:pStyle w:val="ListParagraph"/>
        <w:numPr>
          <w:ilvl w:val="1"/>
          <w:numId w:val="148"/>
        </w:numPr>
        <w:tabs>
          <w:tab w:pos="544" w:val="left" w:leader="none"/>
        </w:tabs>
        <w:spacing w:line="240" w:lineRule="auto" w:before="228" w:after="0"/>
        <w:ind w:left="544" w:right="0" w:hanging="282"/>
        <w:jc w:val="both"/>
        <w:rPr>
          <w:sz w:val="20"/>
        </w:rPr>
      </w:pPr>
      <w:r>
        <w:rPr>
          <w:sz w:val="20"/>
        </w:rPr>
        <w:t>La</w:t>
      </w:r>
      <w:r>
        <w:rPr>
          <w:spacing w:val="-9"/>
          <w:sz w:val="20"/>
        </w:rPr>
        <w:t> </w:t>
      </w:r>
      <w:r>
        <w:rPr>
          <w:sz w:val="20"/>
        </w:rPr>
        <w:t>autorización</w:t>
      </w:r>
      <w:r>
        <w:rPr>
          <w:spacing w:val="-6"/>
          <w:sz w:val="20"/>
        </w:rPr>
        <w:t> </w:t>
      </w:r>
      <w:r>
        <w:rPr>
          <w:sz w:val="20"/>
        </w:rPr>
        <w:t>de</w:t>
      </w:r>
      <w:r>
        <w:rPr>
          <w:spacing w:val="-6"/>
          <w:sz w:val="20"/>
        </w:rPr>
        <w:t> </w:t>
      </w:r>
      <w:r>
        <w:rPr>
          <w:sz w:val="20"/>
        </w:rPr>
        <w:t>lotificación</w:t>
      </w:r>
      <w:r>
        <w:rPr>
          <w:spacing w:val="-8"/>
          <w:sz w:val="20"/>
        </w:rPr>
        <w:t> </w:t>
      </w:r>
      <w:r>
        <w:rPr>
          <w:sz w:val="20"/>
        </w:rPr>
        <w:t>en</w:t>
      </w:r>
      <w:r>
        <w:rPr>
          <w:spacing w:val="-7"/>
          <w:sz w:val="20"/>
        </w:rPr>
        <w:t> </w:t>
      </w:r>
      <w:r>
        <w:rPr>
          <w:sz w:val="20"/>
        </w:rPr>
        <w:t>los</w:t>
      </w:r>
      <w:r>
        <w:rPr>
          <w:spacing w:val="-7"/>
          <w:sz w:val="20"/>
        </w:rPr>
        <w:t> </w:t>
      </w:r>
      <w:r>
        <w:rPr>
          <w:sz w:val="20"/>
        </w:rPr>
        <w:t>términos</w:t>
      </w:r>
      <w:r>
        <w:rPr>
          <w:spacing w:val="-6"/>
          <w:sz w:val="20"/>
        </w:rPr>
        <w:t> </w:t>
      </w:r>
      <w:r>
        <w:rPr>
          <w:sz w:val="20"/>
        </w:rPr>
        <w:t>de</w:t>
      </w:r>
      <w:r>
        <w:rPr>
          <w:spacing w:val="-7"/>
          <w:sz w:val="20"/>
        </w:rPr>
        <w:t> </w:t>
      </w:r>
      <w:r>
        <w:rPr>
          <w:sz w:val="20"/>
        </w:rPr>
        <w:t>esta</w:t>
      </w:r>
      <w:r>
        <w:rPr>
          <w:spacing w:val="-4"/>
          <w:sz w:val="20"/>
        </w:rPr>
        <w:t> Ley.</w:t>
      </w:r>
    </w:p>
    <w:p>
      <w:pPr>
        <w:pStyle w:val="BodyText"/>
        <w:spacing w:before="1"/>
      </w:pPr>
    </w:p>
    <w:p>
      <w:pPr>
        <w:pStyle w:val="ListParagraph"/>
        <w:numPr>
          <w:ilvl w:val="1"/>
          <w:numId w:val="148"/>
        </w:numPr>
        <w:tabs>
          <w:tab w:pos="544" w:val="left" w:leader="none"/>
        </w:tabs>
        <w:spacing w:line="240" w:lineRule="auto" w:before="0" w:after="0"/>
        <w:ind w:left="544" w:right="0" w:hanging="282"/>
        <w:jc w:val="both"/>
        <w:rPr>
          <w:sz w:val="20"/>
        </w:rPr>
      </w:pPr>
      <w:r>
        <w:rPr>
          <w:sz w:val="20"/>
        </w:rPr>
        <w:t>El</w:t>
      </w:r>
      <w:r>
        <w:rPr>
          <w:spacing w:val="-6"/>
          <w:sz w:val="20"/>
        </w:rPr>
        <w:t> </w:t>
      </w:r>
      <w:r>
        <w:rPr>
          <w:sz w:val="20"/>
        </w:rPr>
        <w:t>permiso</w:t>
      </w:r>
      <w:r>
        <w:rPr>
          <w:spacing w:val="-7"/>
          <w:sz w:val="20"/>
        </w:rPr>
        <w:t> </w:t>
      </w:r>
      <w:r>
        <w:rPr>
          <w:sz w:val="20"/>
        </w:rPr>
        <w:t>de</w:t>
      </w:r>
      <w:r>
        <w:rPr>
          <w:spacing w:val="-7"/>
          <w:sz w:val="20"/>
        </w:rPr>
        <w:t> </w:t>
      </w:r>
      <w:r>
        <w:rPr>
          <w:sz w:val="20"/>
        </w:rPr>
        <w:t>preventa</w:t>
      </w:r>
      <w:r>
        <w:rPr>
          <w:spacing w:val="-7"/>
          <w:sz w:val="20"/>
        </w:rPr>
        <w:t> </w:t>
      </w:r>
      <w:r>
        <w:rPr>
          <w:spacing w:val="-2"/>
          <w:sz w:val="20"/>
        </w:rPr>
        <w:t>correspondiente.</w:t>
      </w:r>
    </w:p>
    <w:p>
      <w:pPr>
        <w:pStyle w:val="BodyText"/>
      </w:pPr>
    </w:p>
    <w:p>
      <w:pPr>
        <w:pStyle w:val="BodyText"/>
        <w:spacing w:before="1"/>
        <w:ind w:left="262"/>
        <w:jc w:val="both"/>
      </w:pPr>
      <w:r>
        <w:rPr/>
        <w:t>O</w:t>
      </w:r>
      <w:r>
        <w:rPr>
          <w:spacing w:val="-8"/>
        </w:rPr>
        <w:t> </w:t>
      </w:r>
      <w:r>
        <w:rPr/>
        <w:t>se</w:t>
      </w:r>
      <w:r>
        <w:rPr>
          <w:spacing w:val="-9"/>
        </w:rPr>
        <w:t> </w:t>
      </w:r>
      <w:r>
        <w:rPr/>
        <w:t>ejecuten</w:t>
      </w:r>
      <w:r>
        <w:rPr>
          <w:spacing w:val="-7"/>
        </w:rPr>
        <w:t> </w:t>
      </w:r>
      <w:r>
        <w:rPr/>
        <w:t>actos</w:t>
      </w:r>
      <w:r>
        <w:rPr>
          <w:spacing w:val="-6"/>
        </w:rPr>
        <w:t> </w:t>
      </w:r>
      <w:r>
        <w:rPr/>
        <w:t>en</w:t>
      </w:r>
      <w:r>
        <w:rPr>
          <w:spacing w:val="-7"/>
        </w:rPr>
        <w:t> </w:t>
      </w:r>
      <w:r>
        <w:rPr/>
        <w:t>contravención</w:t>
      </w:r>
      <w:r>
        <w:rPr>
          <w:spacing w:val="-9"/>
        </w:rPr>
        <w:t> </w:t>
      </w:r>
      <w:r>
        <w:rPr/>
        <w:t>a</w:t>
      </w:r>
      <w:r>
        <w:rPr>
          <w:spacing w:val="-5"/>
        </w:rPr>
        <w:t> </w:t>
      </w:r>
      <w:r>
        <w:rPr/>
        <w:t>las</w:t>
      </w:r>
      <w:r>
        <w:rPr>
          <w:spacing w:val="-6"/>
        </w:rPr>
        <w:t> </w:t>
      </w:r>
      <w:r>
        <w:rPr/>
        <w:t>disposiciones</w:t>
      </w:r>
      <w:r>
        <w:rPr>
          <w:spacing w:val="-8"/>
        </w:rPr>
        <w:t> </w:t>
      </w:r>
      <w:r>
        <w:rPr/>
        <w:t>de</w:t>
      </w:r>
      <w:r>
        <w:rPr>
          <w:spacing w:val="-7"/>
        </w:rPr>
        <w:t> </w:t>
      </w:r>
      <w:r>
        <w:rPr/>
        <w:t>esta</w:t>
      </w:r>
      <w:r>
        <w:rPr>
          <w:spacing w:val="-5"/>
        </w:rPr>
        <w:t> </w:t>
      </w:r>
      <w:r>
        <w:rPr/>
        <w:t>ley,</w:t>
      </w:r>
      <w:r>
        <w:rPr>
          <w:spacing w:val="-6"/>
        </w:rPr>
        <w:t> </w:t>
      </w:r>
      <w:r>
        <w:rPr/>
        <w:t>que</w:t>
      </w:r>
      <w:r>
        <w:rPr>
          <w:spacing w:val="-8"/>
        </w:rPr>
        <w:t> </w:t>
      </w:r>
      <w:r>
        <w:rPr/>
        <w:t>puedan</w:t>
      </w:r>
      <w:r>
        <w:rPr>
          <w:spacing w:val="-4"/>
        </w:rPr>
        <w:t> </w:t>
      </w:r>
      <w:r>
        <w:rPr/>
        <w:t>ser</w:t>
      </w:r>
      <w:r>
        <w:rPr>
          <w:spacing w:val="-9"/>
        </w:rPr>
        <w:t> </w:t>
      </w:r>
      <w:r>
        <w:rPr>
          <w:spacing w:val="-2"/>
        </w:rPr>
        <w:t>subsanables;</w:t>
      </w:r>
    </w:p>
    <w:p>
      <w:pPr>
        <w:pStyle w:val="ListParagraph"/>
        <w:numPr>
          <w:ilvl w:val="0"/>
          <w:numId w:val="148"/>
        </w:numPr>
        <w:tabs>
          <w:tab w:pos="687" w:val="left" w:leader="none"/>
        </w:tabs>
        <w:spacing w:line="240" w:lineRule="auto" w:before="230" w:after="0"/>
        <w:ind w:left="687" w:right="0" w:hanging="425"/>
        <w:jc w:val="both"/>
        <w:rPr>
          <w:sz w:val="20"/>
        </w:rPr>
      </w:pPr>
      <w:r>
        <w:rPr>
          <w:sz w:val="20"/>
        </w:rPr>
        <w:t>Clausura</w:t>
      </w:r>
      <w:r>
        <w:rPr>
          <w:spacing w:val="-10"/>
          <w:sz w:val="20"/>
        </w:rPr>
        <w:t> </w:t>
      </w:r>
      <w:r>
        <w:rPr>
          <w:sz w:val="20"/>
        </w:rPr>
        <w:t>definitiva</w:t>
      </w:r>
      <w:r>
        <w:rPr>
          <w:spacing w:val="-8"/>
          <w:sz w:val="20"/>
        </w:rPr>
        <w:t> </w:t>
      </w:r>
      <w:r>
        <w:rPr>
          <w:sz w:val="20"/>
        </w:rPr>
        <w:t>a</w:t>
      </w:r>
      <w:r>
        <w:rPr>
          <w:spacing w:val="-7"/>
          <w:sz w:val="20"/>
        </w:rPr>
        <w:t> </w:t>
      </w:r>
      <w:r>
        <w:rPr>
          <w:spacing w:val="-2"/>
          <w:sz w:val="20"/>
        </w:rPr>
        <w:t>quien:</w:t>
      </w:r>
    </w:p>
    <w:p>
      <w:pPr>
        <w:pStyle w:val="ListParagraph"/>
        <w:numPr>
          <w:ilvl w:val="1"/>
          <w:numId w:val="148"/>
        </w:numPr>
        <w:tabs>
          <w:tab w:pos="544" w:val="left" w:leader="none"/>
        </w:tabs>
        <w:spacing w:line="240" w:lineRule="auto" w:before="222" w:after="0"/>
        <w:ind w:left="262" w:right="279" w:firstLine="0"/>
        <w:jc w:val="both"/>
        <w:rPr>
          <w:sz w:val="20"/>
        </w:rPr>
      </w:pPr>
      <w:r>
        <w:rPr>
          <w:sz w:val="20"/>
        </w:rPr>
        <w:t>Realice actos de fraccionamientos, subdivisiones, fusiones, y relotificaciones de terrenos, así como</w:t>
      </w:r>
      <w:r>
        <w:rPr>
          <w:spacing w:val="-2"/>
          <w:sz w:val="20"/>
        </w:rPr>
        <w:t> </w:t>
      </w:r>
      <w:r>
        <w:rPr>
          <w:sz w:val="20"/>
        </w:rPr>
        <w:t>de</w:t>
      </w:r>
      <w:r>
        <w:rPr>
          <w:spacing w:val="-3"/>
          <w:sz w:val="20"/>
        </w:rPr>
        <w:t> </w:t>
      </w:r>
      <w:r>
        <w:rPr>
          <w:sz w:val="20"/>
        </w:rPr>
        <w:t>desarrollos</w:t>
      </w:r>
      <w:r>
        <w:rPr>
          <w:spacing w:val="-1"/>
          <w:sz w:val="20"/>
        </w:rPr>
        <w:t> </w:t>
      </w:r>
      <w:r>
        <w:rPr>
          <w:sz w:val="20"/>
        </w:rPr>
        <w:t>en</w:t>
      </w:r>
      <w:r>
        <w:rPr>
          <w:spacing w:val="-2"/>
          <w:sz w:val="20"/>
        </w:rPr>
        <w:t> </w:t>
      </w:r>
      <w:r>
        <w:rPr>
          <w:sz w:val="20"/>
        </w:rPr>
        <w:t>régimen</w:t>
      </w:r>
      <w:r>
        <w:rPr>
          <w:spacing w:val="-4"/>
          <w:sz w:val="20"/>
        </w:rPr>
        <w:t> </w:t>
      </w:r>
      <w:r>
        <w:rPr>
          <w:sz w:val="20"/>
        </w:rPr>
        <w:t>de</w:t>
      </w:r>
      <w:r>
        <w:rPr>
          <w:spacing w:val="-2"/>
          <w:sz w:val="20"/>
        </w:rPr>
        <w:t> </w:t>
      </w:r>
      <w:r>
        <w:rPr>
          <w:sz w:val="20"/>
        </w:rPr>
        <w:t>propiedad</w:t>
      </w:r>
      <w:r>
        <w:rPr>
          <w:spacing w:val="-2"/>
          <w:sz w:val="20"/>
        </w:rPr>
        <w:t> </w:t>
      </w:r>
      <w:r>
        <w:rPr>
          <w:sz w:val="20"/>
        </w:rPr>
        <w:t>en</w:t>
      </w:r>
      <w:r>
        <w:rPr>
          <w:spacing w:val="-2"/>
          <w:sz w:val="20"/>
        </w:rPr>
        <w:t> </w:t>
      </w:r>
      <w:r>
        <w:rPr>
          <w:sz w:val="20"/>
        </w:rPr>
        <w:t>condominio,</w:t>
      </w:r>
      <w:r>
        <w:rPr>
          <w:spacing w:val="-2"/>
          <w:sz w:val="20"/>
        </w:rPr>
        <w:t> </w:t>
      </w:r>
      <w:r>
        <w:rPr>
          <w:sz w:val="20"/>
        </w:rPr>
        <w:t>en</w:t>
      </w:r>
      <w:r>
        <w:rPr>
          <w:spacing w:val="-3"/>
          <w:sz w:val="20"/>
        </w:rPr>
        <w:t> </w:t>
      </w:r>
      <w:r>
        <w:rPr>
          <w:sz w:val="20"/>
        </w:rPr>
        <w:t>predio</w:t>
      </w:r>
      <w:r>
        <w:rPr>
          <w:spacing w:val="-2"/>
          <w:sz w:val="20"/>
        </w:rPr>
        <w:t> </w:t>
      </w:r>
      <w:r>
        <w:rPr>
          <w:sz w:val="20"/>
        </w:rPr>
        <w:t>ubicado en</w:t>
      </w:r>
      <w:r>
        <w:rPr>
          <w:spacing w:val="-5"/>
          <w:sz w:val="20"/>
        </w:rPr>
        <w:t> </w:t>
      </w:r>
      <w:r>
        <w:rPr>
          <w:sz w:val="20"/>
        </w:rPr>
        <w:t>zona</w:t>
      </w:r>
      <w:r>
        <w:rPr>
          <w:spacing w:val="-3"/>
          <w:sz w:val="20"/>
        </w:rPr>
        <w:t> </w:t>
      </w:r>
      <w:r>
        <w:rPr>
          <w:sz w:val="20"/>
        </w:rPr>
        <w:t>o</w:t>
      </w:r>
      <w:r>
        <w:rPr>
          <w:spacing w:val="-2"/>
          <w:sz w:val="20"/>
        </w:rPr>
        <w:t> </w:t>
      </w:r>
      <w:r>
        <w:rPr>
          <w:sz w:val="20"/>
        </w:rPr>
        <w:t>área</w:t>
      </w:r>
      <w:r>
        <w:rPr>
          <w:spacing w:val="-2"/>
          <w:sz w:val="20"/>
        </w:rPr>
        <w:t> </w:t>
      </w:r>
      <w:r>
        <w:rPr>
          <w:sz w:val="20"/>
        </w:rPr>
        <w:t>no permitida para tal efecto, de acuerdo a lo establecido en los programas de desarrollo urbano, o declaratorias de uso de suelo, destino y reservas territoriales que emita el Ayuntamiento.</w:t>
      </w:r>
    </w:p>
    <w:p>
      <w:pPr>
        <w:pStyle w:val="BodyText"/>
        <w:spacing w:before="1"/>
      </w:pPr>
    </w:p>
    <w:p>
      <w:pPr>
        <w:pStyle w:val="ListParagraph"/>
        <w:numPr>
          <w:ilvl w:val="1"/>
          <w:numId w:val="148"/>
        </w:numPr>
        <w:tabs>
          <w:tab w:pos="688" w:val="left" w:leader="none"/>
        </w:tabs>
        <w:spacing w:line="237" w:lineRule="auto" w:before="0" w:after="0"/>
        <w:ind w:left="262" w:right="287" w:firstLine="0"/>
        <w:jc w:val="both"/>
        <w:rPr>
          <w:sz w:val="20"/>
        </w:rPr>
      </w:pPr>
      <w:r>
        <w:rPr>
          <w:sz w:val="20"/>
        </w:rPr>
        <w:t>Construya en contravención con el tipo de fraccionamiento o desarrollo autorizado por la autoridad municipal.</w:t>
      </w:r>
    </w:p>
    <w:p>
      <w:pPr>
        <w:pStyle w:val="ListParagraph"/>
        <w:spacing w:after="0" w:line="237"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1"/>
          <w:numId w:val="148"/>
        </w:numPr>
        <w:tabs>
          <w:tab w:pos="689" w:val="left" w:leader="none"/>
        </w:tabs>
        <w:spacing w:line="240" w:lineRule="auto" w:before="0" w:after="0"/>
        <w:ind w:left="689" w:right="0" w:hanging="427"/>
        <w:jc w:val="left"/>
        <w:rPr>
          <w:sz w:val="20"/>
        </w:rPr>
      </w:pPr>
      <w:r>
        <w:rPr>
          <w:sz w:val="20"/>
        </w:rPr>
        <w:t>Incumpla</w:t>
      </w:r>
      <w:r>
        <w:rPr>
          <w:spacing w:val="-6"/>
          <w:sz w:val="20"/>
        </w:rPr>
        <w:t> </w:t>
      </w:r>
      <w:r>
        <w:rPr>
          <w:sz w:val="20"/>
        </w:rPr>
        <w:t>los</w:t>
      </w:r>
      <w:r>
        <w:rPr>
          <w:spacing w:val="-7"/>
          <w:sz w:val="20"/>
        </w:rPr>
        <w:t> </w:t>
      </w:r>
      <w:r>
        <w:rPr>
          <w:sz w:val="20"/>
        </w:rPr>
        <w:t>plazos</w:t>
      </w:r>
      <w:r>
        <w:rPr>
          <w:spacing w:val="-6"/>
          <w:sz w:val="20"/>
        </w:rPr>
        <w:t> </w:t>
      </w:r>
      <w:r>
        <w:rPr>
          <w:sz w:val="20"/>
        </w:rPr>
        <w:t>y</w:t>
      </w:r>
      <w:r>
        <w:rPr>
          <w:spacing w:val="-7"/>
          <w:sz w:val="20"/>
        </w:rPr>
        <w:t> </w:t>
      </w:r>
      <w:r>
        <w:rPr>
          <w:sz w:val="20"/>
        </w:rPr>
        <w:t>condiciones</w:t>
      </w:r>
      <w:r>
        <w:rPr>
          <w:spacing w:val="-7"/>
          <w:sz w:val="20"/>
        </w:rPr>
        <w:t> </w:t>
      </w:r>
      <w:r>
        <w:rPr>
          <w:sz w:val="20"/>
        </w:rPr>
        <w:t>de</w:t>
      </w:r>
      <w:r>
        <w:rPr>
          <w:spacing w:val="-7"/>
          <w:sz w:val="20"/>
        </w:rPr>
        <w:t> </w:t>
      </w:r>
      <w:r>
        <w:rPr>
          <w:sz w:val="20"/>
        </w:rPr>
        <w:t>las</w:t>
      </w:r>
      <w:r>
        <w:rPr>
          <w:spacing w:val="-7"/>
          <w:sz w:val="20"/>
        </w:rPr>
        <w:t> </w:t>
      </w:r>
      <w:r>
        <w:rPr>
          <w:sz w:val="20"/>
        </w:rPr>
        <w:t>medidas</w:t>
      </w:r>
      <w:r>
        <w:rPr>
          <w:spacing w:val="-6"/>
          <w:sz w:val="20"/>
        </w:rPr>
        <w:t> </w:t>
      </w:r>
      <w:r>
        <w:rPr>
          <w:sz w:val="20"/>
        </w:rPr>
        <w:t>de</w:t>
      </w:r>
      <w:r>
        <w:rPr>
          <w:spacing w:val="-6"/>
          <w:sz w:val="20"/>
        </w:rPr>
        <w:t> </w:t>
      </w:r>
      <w:r>
        <w:rPr>
          <w:sz w:val="20"/>
        </w:rPr>
        <w:t>seguridad,</w:t>
      </w:r>
      <w:r>
        <w:rPr>
          <w:spacing w:val="-8"/>
          <w:sz w:val="20"/>
        </w:rPr>
        <w:t> </w:t>
      </w:r>
      <w:r>
        <w:rPr>
          <w:sz w:val="20"/>
        </w:rPr>
        <w:t>impuestos</w:t>
      </w:r>
      <w:r>
        <w:rPr>
          <w:spacing w:val="-6"/>
          <w:sz w:val="20"/>
        </w:rPr>
        <w:t> </w:t>
      </w:r>
      <w:r>
        <w:rPr>
          <w:sz w:val="20"/>
        </w:rPr>
        <w:t>por</w:t>
      </w:r>
      <w:r>
        <w:rPr>
          <w:spacing w:val="-5"/>
          <w:sz w:val="20"/>
        </w:rPr>
        <w:t> </w:t>
      </w:r>
      <w:r>
        <w:rPr>
          <w:sz w:val="20"/>
        </w:rPr>
        <w:t>la</w:t>
      </w:r>
      <w:r>
        <w:rPr>
          <w:spacing w:val="-6"/>
          <w:sz w:val="20"/>
        </w:rPr>
        <w:t> </w:t>
      </w:r>
      <w:r>
        <w:rPr>
          <w:spacing w:val="-2"/>
          <w:sz w:val="20"/>
        </w:rPr>
        <w:t>autoridad.</w:t>
      </w:r>
    </w:p>
    <w:p>
      <w:pPr>
        <w:pStyle w:val="BodyText"/>
        <w:spacing w:before="1"/>
      </w:pPr>
    </w:p>
    <w:p>
      <w:pPr>
        <w:pStyle w:val="ListParagraph"/>
        <w:numPr>
          <w:ilvl w:val="1"/>
          <w:numId w:val="148"/>
        </w:numPr>
        <w:tabs>
          <w:tab w:pos="689" w:val="left" w:leader="none"/>
        </w:tabs>
        <w:spacing w:line="240" w:lineRule="auto" w:before="0" w:after="0"/>
        <w:ind w:left="689" w:right="0" w:hanging="427"/>
        <w:jc w:val="left"/>
        <w:rPr>
          <w:sz w:val="20"/>
        </w:rPr>
      </w:pPr>
      <w:r>
        <w:rPr>
          <w:sz w:val="20"/>
        </w:rPr>
        <w:t>Sea</w:t>
      </w:r>
      <w:r>
        <w:rPr>
          <w:spacing w:val="-9"/>
          <w:sz w:val="20"/>
        </w:rPr>
        <w:t> </w:t>
      </w:r>
      <w:r>
        <w:rPr>
          <w:sz w:val="20"/>
        </w:rPr>
        <w:t>reincidente</w:t>
      </w:r>
      <w:r>
        <w:rPr>
          <w:spacing w:val="-8"/>
          <w:sz w:val="20"/>
        </w:rPr>
        <w:t> </w:t>
      </w:r>
      <w:r>
        <w:rPr>
          <w:sz w:val="20"/>
        </w:rPr>
        <w:t>o</w:t>
      </w:r>
      <w:r>
        <w:rPr>
          <w:spacing w:val="-8"/>
          <w:sz w:val="20"/>
        </w:rPr>
        <w:t> </w:t>
      </w:r>
      <w:r>
        <w:rPr>
          <w:sz w:val="20"/>
        </w:rPr>
        <w:t>incurra</w:t>
      </w:r>
      <w:r>
        <w:rPr>
          <w:spacing w:val="-8"/>
          <w:sz w:val="20"/>
        </w:rPr>
        <w:t> </w:t>
      </w:r>
      <w:r>
        <w:rPr>
          <w:sz w:val="20"/>
        </w:rPr>
        <w:t>en</w:t>
      </w:r>
      <w:r>
        <w:rPr>
          <w:spacing w:val="-8"/>
          <w:sz w:val="20"/>
        </w:rPr>
        <w:t> </w:t>
      </w:r>
      <w:r>
        <w:rPr>
          <w:sz w:val="20"/>
        </w:rPr>
        <w:t>desobediencia</w:t>
      </w:r>
      <w:r>
        <w:rPr>
          <w:spacing w:val="-8"/>
          <w:sz w:val="20"/>
        </w:rPr>
        <w:t> </w:t>
      </w:r>
      <w:r>
        <w:rPr>
          <w:spacing w:val="-2"/>
          <w:sz w:val="20"/>
        </w:rPr>
        <w:t>reiterada.</w:t>
      </w:r>
    </w:p>
    <w:p>
      <w:pPr>
        <w:pStyle w:val="ListParagraph"/>
        <w:numPr>
          <w:ilvl w:val="1"/>
          <w:numId w:val="148"/>
        </w:numPr>
        <w:tabs>
          <w:tab w:pos="598" w:val="left" w:leader="none"/>
        </w:tabs>
        <w:spacing w:line="240" w:lineRule="auto" w:before="229" w:after="0"/>
        <w:ind w:left="262" w:right="287" w:firstLine="0"/>
        <w:jc w:val="left"/>
        <w:rPr>
          <w:sz w:val="20"/>
        </w:rPr>
      </w:pPr>
      <w:r>
        <w:rPr>
          <w:sz w:val="20"/>
        </w:rPr>
        <w:t>Realice</w:t>
      </w:r>
      <w:r>
        <w:rPr>
          <w:spacing w:val="32"/>
          <w:sz w:val="20"/>
        </w:rPr>
        <w:t> </w:t>
      </w:r>
      <w:r>
        <w:rPr>
          <w:sz w:val="20"/>
        </w:rPr>
        <w:t>cualquiera</w:t>
      </w:r>
      <w:r>
        <w:rPr>
          <w:spacing w:val="32"/>
          <w:sz w:val="20"/>
        </w:rPr>
        <w:t> </w:t>
      </w:r>
      <w:r>
        <w:rPr>
          <w:sz w:val="20"/>
        </w:rPr>
        <w:t>otro</w:t>
      </w:r>
      <w:r>
        <w:rPr>
          <w:spacing w:val="32"/>
          <w:sz w:val="20"/>
        </w:rPr>
        <w:t> </w:t>
      </w:r>
      <w:r>
        <w:rPr>
          <w:sz w:val="20"/>
        </w:rPr>
        <w:t>acto</w:t>
      </w:r>
      <w:r>
        <w:rPr>
          <w:spacing w:val="32"/>
          <w:sz w:val="20"/>
        </w:rPr>
        <w:t> </w:t>
      </w:r>
      <w:r>
        <w:rPr>
          <w:sz w:val="20"/>
        </w:rPr>
        <w:t>en</w:t>
      </w:r>
      <w:r>
        <w:rPr>
          <w:spacing w:val="32"/>
          <w:sz w:val="20"/>
        </w:rPr>
        <w:t> </w:t>
      </w:r>
      <w:r>
        <w:rPr>
          <w:sz w:val="20"/>
        </w:rPr>
        <w:t>contravención</w:t>
      </w:r>
      <w:r>
        <w:rPr>
          <w:spacing w:val="32"/>
          <w:sz w:val="20"/>
        </w:rPr>
        <w:t> </w:t>
      </w:r>
      <w:r>
        <w:rPr>
          <w:sz w:val="20"/>
        </w:rPr>
        <w:t>a</w:t>
      </w:r>
      <w:r>
        <w:rPr>
          <w:spacing w:val="32"/>
          <w:sz w:val="20"/>
        </w:rPr>
        <w:t> </w:t>
      </w:r>
      <w:r>
        <w:rPr>
          <w:sz w:val="20"/>
        </w:rPr>
        <w:t>las</w:t>
      </w:r>
      <w:r>
        <w:rPr>
          <w:spacing w:val="32"/>
          <w:sz w:val="20"/>
        </w:rPr>
        <w:t> </w:t>
      </w:r>
      <w:r>
        <w:rPr>
          <w:sz w:val="20"/>
        </w:rPr>
        <w:t>disposiciones</w:t>
      </w:r>
      <w:r>
        <w:rPr>
          <w:spacing w:val="32"/>
          <w:sz w:val="20"/>
        </w:rPr>
        <w:t> </w:t>
      </w:r>
      <w:r>
        <w:rPr>
          <w:sz w:val="20"/>
        </w:rPr>
        <w:t>de</w:t>
      </w:r>
      <w:r>
        <w:rPr>
          <w:spacing w:val="32"/>
          <w:sz w:val="20"/>
        </w:rPr>
        <w:t> </w:t>
      </w:r>
      <w:r>
        <w:rPr>
          <w:sz w:val="20"/>
        </w:rPr>
        <w:t>esta</w:t>
      </w:r>
      <w:r>
        <w:rPr>
          <w:spacing w:val="32"/>
          <w:sz w:val="20"/>
        </w:rPr>
        <w:t> </w:t>
      </w:r>
      <w:r>
        <w:rPr>
          <w:sz w:val="20"/>
        </w:rPr>
        <w:t>Ley,</w:t>
      </w:r>
      <w:r>
        <w:rPr>
          <w:spacing w:val="32"/>
          <w:sz w:val="20"/>
        </w:rPr>
        <w:t> </w:t>
      </w:r>
      <w:r>
        <w:rPr>
          <w:sz w:val="20"/>
        </w:rPr>
        <w:t>que</w:t>
      </w:r>
      <w:r>
        <w:rPr>
          <w:spacing w:val="32"/>
          <w:sz w:val="20"/>
        </w:rPr>
        <w:t> </w:t>
      </w:r>
      <w:r>
        <w:rPr>
          <w:sz w:val="20"/>
        </w:rPr>
        <w:t>sea</w:t>
      </w:r>
      <w:r>
        <w:rPr>
          <w:spacing w:val="33"/>
          <w:sz w:val="20"/>
        </w:rPr>
        <w:t> </w:t>
      </w:r>
      <w:r>
        <w:rPr>
          <w:sz w:val="20"/>
        </w:rPr>
        <w:t>de carácter irreparable;</w:t>
      </w:r>
    </w:p>
    <w:p>
      <w:pPr>
        <w:pStyle w:val="BodyText"/>
        <w:spacing w:before="4"/>
      </w:pPr>
    </w:p>
    <w:p>
      <w:pPr>
        <w:pStyle w:val="ListParagraph"/>
        <w:numPr>
          <w:ilvl w:val="0"/>
          <w:numId w:val="148"/>
        </w:numPr>
        <w:tabs>
          <w:tab w:pos="544" w:val="left" w:leader="none"/>
        </w:tabs>
        <w:spacing w:line="237" w:lineRule="auto" w:before="0" w:after="0"/>
        <w:ind w:left="262" w:right="280" w:firstLine="0"/>
        <w:jc w:val="both"/>
        <w:rPr>
          <w:sz w:val="20"/>
        </w:rPr>
      </w:pPr>
      <w:r>
        <w:rPr>
          <w:sz w:val="20"/>
        </w:rPr>
        <w:t>Multa</w:t>
      </w:r>
      <w:r>
        <w:rPr>
          <w:spacing w:val="-3"/>
          <w:sz w:val="20"/>
        </w:rPr>
        <w:t> </w:t>
      </w:r>
      <w:r>
        <w:rPr>
          <w:sz w:val="20"/>
        </w:rPr>
        <w:t>equivalente</w:t>
      </w:r>
      <w:r>
        <w:rPr>
          <w:spacing w:val="-3"/>
          <w:sz w:val="20"/>
        </w:rPr>
        <w:t> </w:t>
      </w:r>
      <w:r>
        <w:rPr>
          <w:sz w:val="20"/>
        </w:rPr>
        <w:t>a</w:t>
      </w:r>
      <w:r>
        <w:rPr>
          <w:spacing w:val="-4"/>
          <w:sz w:val="20"/>
        </w:rPr>
        <w:t> </w:t>
      </w:r>
      <w:r>
        <w:rPr>
          <w:sz w:val="20"/>
        </w:rPr>
        <w:t>uno</w:t>
      </w:r>
      <w:r>
        <w:rPr>
          <w:spacing w:val="-4"/>
          <w:sz w:val="20"/>
        </w:rPr>
        <w:t> </w:t>
      </w:r>
      <w:r>
        <w:rPr>
          <w:sz w:val="20"/>
        </w:rPr>
        <w:t>y</w:t>
      </w:r>
      <w:r>
        <w:rPr>
          <w:spacing w:val="-4"/>
          <w:sz w:val="20"/>
        </w:rPr>
        <w:t> </w:t>
      </w:r>
      <w:r>
        <w:rPr>
          <w:sz w:val="20"/>
        </w:rPr>
        <w:t>hasta</w:t>
      </w:r>
      <w:r>
        <w:rPr>
          <w:spacing w:val="-6"/>
          <w:sz w:val="20"/>
        </w:rPr>
        <w:t> </w:t>
      </w:r>
      <w:r>
        <w:rPr>
          <w:sz w:val="20"/>
        </w:rPr>
        <w:t>veinte</w:t>
      </w:r>
      <w:r>
        <w:rPr>
          <w:spacing w:val="-4"/>
          <w:sz w:val="20"/>
        </w:rPr>
        <w:t> </w:t>
      </w:r>
      <w:r>
        <w:rPr>
          <w:sz w:val="20"/>
        </w:rPr>
        <w:t>mil</w:t>
      </w:r>
      <w:r>
        <w:rPr>
          <w:spacing w:val="-6"/>
          <w:sz w:val="20"/>
        </w:rPr>
        <w:t> </w:t>
      </w:r>
      <w:r>
        <w:rPr>
          <w:sz w:val="20"/>
        </w:rPr>
        <w:t>UMA,</w:t>
      </w:r>
      <w:r>
        <w:rPr>
          <w:spacing w:val="-3"/>
          <w:sz w:val="20"/>
        </w:rPr>
        <w:t> </w:t>
      </w:r>
      <w:r>
        <w:rPr>
          <w:sz w:val="20"/>
        </w:rPr>
        <w:t>o</w:t>
      </w:r>
      <w:r>
        <w:rPr>
          <w:spacing w:val="-4"/>
          <w:sz w:val="20"/>
        </w:rPr>
        <w:t> </w:t>
      </w:r>
      <w:r>
        <w:rPr>
          <w:sz w:val="20"/>
        </w:rPr>
        <w:t>de</w:t>
      </w:r>
      <w:r>
        <w:rPr>
          <w:spacing w:val="-3"/>
          <w:sz w:val="20"/>
        </w:rPr>
        <w:t> </w:t>
      </w:r>
      <w:r>
        <w:rPr>
          <w:sz w:val="20"/>
        </w:rPr>
        <w:t>hasta</w:t>
      </w:r>
      <w:r>
        <w:rPr>
          <w:spacing w:val="-6"/>
          <w:sz w:val="20"/>
        </w:rPr>
        <w:t> </w:t>
      </w:r>
      <w:r>
        <w:rPr>
          <w:sz w:val="20"/>
        </w:rPr>
        <w:t>el</w:t>
      </w:r>
      <w:r>
        <w:rPr>
          <w:spacing w:val="-4"/>
          <w:sz w:val="20"/>
        </w:rPr>
        <w:t> </w:t>
      </w:r>
      <w:r>
        <w:rPr>
          <w:sz w:val="20"/>
        </w:rPr>
        <w:t>diez</w:t>
      </w:r>
      <w:r>
        <w:rPr>
          <w:spacing w:val="-5"/>
          <w:sz w:val="20"/>
        </w:rPr>
        <w:t> </w:t>
      </w:r>
      <w:r>
        <w:rPr>
          <w:sz w:val="20"/>
        </w:rPr>
        <w:t>por</w:t>
      </w:r>
      <w:r>
        <w:rPr>
          <w:spacing w:val="-5"/>
          <w:sz w:val="20"/>
        </w:rPr>
        <w:t> </w:t>
      </w:r>
      <w:r>
        <w:rPr>
          <w:sz w:val="20"/>
        </w:rPr>
        <w:t>ciento</w:t>
      </w:r>
      <w:r>
        <w:rPr>
          <w:spacing w:val="-4"/>
          <w:sz w:val="20"/>
        </w:rPr>
        <w:t> </w:t>
      </w:r>
      <w:r>
        <w:rPr>
          <w:sz w:val="20"/>
        </w:rPr>
        <w:t>del</w:t>
      </w:r>
      <w:r>
        <w:rPr>
          <w:spacing w:val="-5"/>
          <w:sz w:val="20"/>
        </w:rPr>
        <w:t> </w:t>
      </w:r>
      <w:r>
        <w:rPr>
          <w:sz w:val="20"/>
        </w:rPr>
        <w:t>valor</w:t>
      </w:r>
      <w:r>
        <w:rPr>
          <w:spacing w:val="-2"/>
          <w:sz w:val="20"/>
        </w:rPr>
        <w:t> </w:t>
      </w:r>
      <w:r>
        <w:rPr>
          <w:sz w:val="20"/>
        </w:rPr>
        <w:t>comercial de</w:t>
      </w:r>
      <w:r>
        <w:rPr>
          <w:spacing w:val="-5"/>
          <w:sz w:val="20"/>
        </w:rPr>
        <w:t> </w:t>
      </w:r>
      <w:r>
        <w:rPr>
          <w:sz w:val="20"/>
        </w:rPr>
        <w:t>los</w:t>
      </w:r>
      <w:r>
        <w:rPr>
          <w:spacing w:val="-6"/>
          <w:sz w:val="20"/>
        </w:rPr>
        <w:t> </w:t>
      </w:r>
      <w:r>
        <w:rPr>
          <w:sz w:val="20"/>
        </w:rPr>
        <w:t>inmuebles.</w:t>
      </w:r>
      <w:r>
        <w:rPr>
          <w:spacing w:val="-4"/>
          <w:sz w:val="20"/>
        </w:rPr>
        <w:t> </w:t>
      </w:r>
      <w:r>
        <w:rPr>
          <w:sz w:val="20"/>
        </w:rPr>
        <w:t>En</w:t>
      </w:r>
      <w:r>
        <w:rPr>
          <w:spacing w:val="-7"/>
          <w:sz w:val="20"/>
        </w:rPr>
        <w:t> </w:t>
      </w:r>
      <w:r>
        <w:rPr>
          <w:sz w:val="20"/>
        </w:rPr>
        <w:t>caso</w:t>
      </w:r>
      <w:r>
        <w:rPr>
          <w:spacing w:val="-2"/>
          <w:sz w:val="20"/>
        </w:rPr>
        <w:t> </w:t>
      </w:r>
      <w:r>
        <w:rPr>
          <w:sz w:val="20"/>
        </w:rPr>
        <w:t>de</w:t>
      </w:r>
      <w:r>
        <w:rPr>
          <w:spacing w:val="-7"/>
          <w:sz w:val="20"/>
        </w:rPr>
        <w:t> </w:t>
      </w:r>
      <w:r>
        <w:rPr>
          <w:sz w:val="20"/>
        </w:rPr>
        <w:t>reincidencia</w:t>
      </w:r>
      <w:r>
        <w:rPr>
          <w:spacing w:val="-4"/>
          <w:sz w:val="20"/>
        </w:rPr>
        <w:t> </w:t>
      </w:r>
      <w:r>
        <w:rPr>
          <w:sz w:val="20"/>
        </w:rPr>
        <w:t>la</w:t>
      </w:r>
      <w:r>
        <w:rPr>
          <w:spacing w:val="-4"/>
          <w:sz w:val="20"/>
        </w:rPr>
        <w:t> </w:t>
      </w:r>
      <w:r>
        <w:rPr>
          <w:sz w:val="20"/>
        </w:rPr>
        <w:t>multa</w:t>
      </w:r>
      <w:r>
        <w:rPr>
          <w:spacing w:val="-5"/>
          <w:sz w:val="20"/>
        </w:rPr>
        <w:t> </w:t>
      </w:r>
      <w:r>
        <w:rPr>
          <w:sz w:val="20"/>
        </w:rPr>
        <w:t>podrá</w:t>
      </w:r>
      <w:r>
        <w:rPr>
          <w:spacing w:val="-6"/>
          <w:sz w:val="20"/>
        </w:rPr>
        <w:t> </w:t>
      </w:r>
      <w:r>
        <w:rPr>
          <w:sz w:val="20"/>
        </w:rPr>
        <w:t>duplicarse,</w:t>
      </w:r>
      <w:r>
        <w:rPr>
          <w:spacing w:val="-7"/>
          <w:sz w:val="20"/>
        </w:rPr>
        <w:t> </w:t>
      </w:r>
      <w:r>
        <w:rPr>
          <w:sz w:val="20"/>
        </w:rPr>
        <w:t>y</w:t>
      </w:r>
      <w:r>
        <w:rPr>
          <w:spacing w:val="-5"/>
          <w:sz w:val="20"/>
        </w:rPr>
        <w:t> </w:t>
      </w:r>
      <w:r>
        <w:rPr>
          <w:sz w:val="20"/>
        </w:rPr>
        <w:t>considerando</w:t>
      </w:r>
      <w:r>
        <w:rPr>
          <w:spacing w:val="-4"/>
          <w:sz w:val="20"/>
        </w:rPr>
        <w:t> </w:t>
      </w:r>
      <w:r>
        <w:rPr>
          <w:sz w:val="20"/>
        </w:rPr>
        <w:t>la</w:t>
      </w:r>
      <w:r>
        <w:rPr>
          <w:spacing w:val="-5"/>
          <w:sz w:val="20"/>
        </w:rPr>
        <w:t> </w:t>
      </w:r>
      <w:r>
        <w:rPr>
          <w:sz w:val="20"/>
        </w:rPr>
        <w:t>naturaleza</w:t>
      </w:r>
      <w:r>
        <w:rPr>
          <w:spacing w:val="-7"/>
          <w:sz w:val="20"/>
        </w:rPr>
        <w:t> </w:t>
      </w:r>
      <w:r>
        <w:rPr>
          <w:sz w:val="20"/>
        </w:rPr>
        <w:t>y gravedad del asunto de que se trate podrá aplicarse la sanción que corresponda enumeradas en este artículo;</w:t>
      </w:r>
    </w:p>
    <w:p>
      <w:pPr>
        <w:pStyle w:val="BodyText"/>
        <w:spacing w:before="4"/>
      </w:pPr>
    </w:p>
    <w:p>
      <w:pPr>
        <w:pStyle w:val="ListParagraph"/>
        <w:numPr>
          <w:ilvl w:val="0"/>
          <w:numId w:val="148"/>
        </w:numPr>
        <w:tabs>
          <w:tab w:pos="687" w:val="left" w:leader="none"/>
        </w:tabs>
        <w:spacing w:line="235" w:lineRule="auto" w:before="1" w:after="0"/>
        <w:ind w:left="262" w:right="282" w:firstLine="0"/>
        <w:jc w:val="both"/>
        <w:rPr>
          <w:sz w:val="20"/>
        </w:rPr>
      </w:pPr>
      <w:r>
        <w:rPr>
          <w:sz w:val="20"/>
        </w:rPr>
        <w:t>Demolición</w:t>
      </w:r>
      <w:r>
        <w:rPr>
          <w:spacing w:val="-7"/>
          <w:sz w:val="20"/>
        </w:rPr>
        <w:t> </w:t>
      </w:r>
      <w:r>
        <w:rPr>
          <w:sz w:val="20"/>
        </w:rPr>
        <w:t>total</w:t>
      </w:r>
      <w:r>
        <w:rPr>
          <w:spacing w:val="-7"/>
          <w:sz w:val="20"/>
        </w:rPr>
        <w:t> </w:t>
      </w:r>
      <w:r>
        <w:rPr>
          <w:sz w:val="20"/>
        </w:rPr>
        <w:t>o</w:t>
      </w:r>
      <w:r>
        <w:rPr>
          <w:spacing w:val="-7"/>
          <w:sz w:val="20"/>
        </w:rPr>
        <w:t> </w:t>
      </w:r>
      <w:r>
        <w:rPr>
          <w:sz w:val="20"/>
        </w:rPr>
        <w:t>parcial</w:t>
      </w:r>
      <w:r>
        <w:rPr>
          <w:spacing w:val="-8"/>
          <w:sz w:val="20"/>
        </w:rPr>
        <w:t> </w:t>
      </w:r>
      <w:r>
        <w:rPr>
          <w:sz w:val="20"/>
        </w:rPr>
        <w:t>de</w:t>
      </w:r>
      <w:r>
        <w:rPr>
          <w:spacing w:val="-7"/>
          <w:sz w:val="20"/>
        </w:rPr>
        <w:t> </w:t>
      </w:r>
      <w:r>
        <w:rPr>
          <w:sz w:val="20"/>
        </w:rPr>
        <w:t>las</w:t>
      </w:r>
      <w:r>
        <w:rPr>
          <w:spacing w:val="-6"/>
          <w:sz w:val="20"/>
        </w:rPr>
        <w:t> </w:t>
      </w:r>
      <w:r>
        <w:rPr>
          <w:sz w:val="20"/>
        </w:rPr>
        <w:t>obras</w:t>
      </w:r>
      <w:r>
        <w:rPr>
          <w:spacing w:val="-6"/>
          <w:sz w:val="20"/>
        </w:rPr>
        <w:t> </w:t>
      </w:r>
      <w:r>
        <w:rPr>
          <w:sz w:val="20"/>
        </w:rPr>
        <w:t>efectuadas</w:t>
      </w:r>
      <w:r>
        <w:rPr>
          <w:spacing w:val="-5"/>
          <w:sz w:val="20"/>
        </w:rPr>
        <w:t> </w:t>
      </w:r>
      <w:r>
        <w:rPr>
          <w:sz w:val="20"/>
        </w:rPr>
        <w:t>en</w:t>
      </w:r>
      <w:r>
        <w:rPr>
          <w:spacing w:val="-7"/>
          <w:sz w:val="20"/>
        </w:rPr>
        <w:t> </w:t>
      </w:r>
      <w:r>
        <w:rPr>
          <w:sz w:val="20"/>
        </w:rPr>
        <w:t>contravención</w:t>
      </w:r>
      <w:r>
        <w:rPr>
          <w:spacing w:val="-7"/>
          <w:sz w:val="20"/>
        </w:rPr>
        <w:t> </w:t>
      </w:r>
      <w:r>
        <w:rPr>
          <w:sz w:val="20"/>
        </w:rPr>
        <w:t>a</w:t>
      </w:r>
      <w:r>
        <w:rPr>
          <w:spacing w:val="-4"/>
          <w:sz w:val="20"/>
        </w:rPr>
        <w:t> </w:t>
      </w:r>
      <w:r>
        <w:rPr>
          <w:sz w:val="20"/>
        </w:rPr>
        <w:t>las</w:t>
      </w:r>
      <w:r>
        <w:rPr>
          <w:spacing w:val="-6"/>
          <w:sz w:val="20"/>
        </w:rPr>
        <w:t> </w:t>
      </w:r>
      <w:r>
        <w:rPr>
          <w:sz w:val="20"/>
        </w:rPr>
        <w:t>disposiciones</w:t>
      </w:r>
      <w:r>
        <w:rPr>
          <w:spacing w:val="-6"/>
          <w:sz w:val="20"/>
        </w:rPr>
        <w:t> </w:t>
      </w:r>
      <w:r>
        <w:rPr>
          <w:sz w:val="20"/>
        </w:rPr>
        <w:t>de</w:t>
      </w:r>
      <w:r>
        <w:rPr>
          <w:spacing w:val="-7"/>
          <w:sz w:val="20"/>
        </w:rPr>
        <w:t> </w:t>
      </w:r>
      <w:r>
        <w:rPr>
          <w:sz w:val="20"/>
        </w:rPr>
        <w:t>esta Ley, y los Reglamentos Municipales aplicables; o los programas de ordenamiento territorial y desarrollo urbano que la misma establece;</w:t>
      </w:r>
    </w:p>
    <w:p>
      <w:pPr>
        <w:pStyle w:val="BodyText"/>
        <w:spacing w:before="10"/>
      </w:pPr>
    </w:p>
    <w:p>
      <w:pPr>
        <w:pStyle w:val="ListParagraph"/>
        <w:numPr>
          <w:ilvl w:val="0"/>
          <w:numId w:val="148"/>
        </w:numPr>
        <w:tabs>
          <w:tab w:pos="742" w:val="left" w:leader="none"/>
        </w:tabs>
        <w:spacing w:line="230" w:lineRule="auto" w:before="1" w:after="0"/>
        <w:ind w:left="262" w:right="288" w:firstLine="0"/>
        <w:jc w:val="both"/>
        <w:rPr>
          <w:sz w:val="20"/>
        </w:rPr>
      </w:pPr>
      <w:r>
        <w:rPr>
          <w:sz w:val="20"/>
        </w:rPr>
        <w:t>Suspensión</w:t>
      </w:r>
      <w:r>
        <w:rPr>
          <w:spacing w:val="-2"/>
          <w:sz w:val="20"/>
        </w:rPr>
        <w:t> </w:t>
      </w:r>
      <w:r>
        <w:rPr>
          <w:sz w:val="20"/>
        </w:rPr>
        <w:t>hasta por</w:t>
      </w:r>
      <w:r>
        <w:rPr>
          <w:spacing w:val="-1"/>
          <w:sz w:val="20"/>
        </w:rPr>
        <w:t> </w:t>
      </w:r>
      <w:r>
        <w:rPr>
          <w:sz w:val="20"/>
        </w:rPr>
        <w:t>tres</w:t>
      </w:r>
      <w:r>
        <w:rPr>
          <w:spacing w:val="-1"/>
          <w:sz w:val="20"/>
        </w:rPr>
        <w:t> </w:t>
      </w:r>
      <w:r>
        <w:rPr>
          <w:sz w:val="20"/>
        </w:rPr>
        <w:t>meses</w:t>
      </w:r>
      <w:r>
        <w:rPr>
          <w:spacing w:val="-1"/>
          <w:sz w:val="20"/>
        </w:rPr>
        <w:t> </w:t>
      </w:r>
      <w:r>
        <w:rPr>
          <w:sz w:val="20"/>
        </w:rPr>
        <w:t>o</w:t>
      </w:r>
      <w:r>
        <w:rPr>
          <w:spacing w:val="-2"/>
          <w:sz w:val="20"/>
        </w:rPr>
        <w:t> </w:t>
      </w:r>
      <w:r>
        <w:rPr>
          <w:sz w:val="20"/>
        </w:rPr>
        <w:t>revocación de</w:t>
      </w:r>
      <w:r>
        <w:rPr>
          <w:spacing w:val="-2"/>
          <w:sz w:val="20"/>
        </w:rPr>
        <w:t> </w:t>
      </w:r>
      <w:r>
        <w:rPr>
          <w:sz w:val="20"/>
        </w:rPr>
        <w:t>las</w:t>
      </w:r>
      <w:r>
        <w:rPr>
          <w:spacing w:val="-1"/>
          <w:sz w:val="20"/>
        </w:rPr>
        <w:t> </w:t>
      </w:r>
      <w:r>
        <w:rPr>
          <w:sz w:val="20"/>
        </w:rPr>
        <w:t>concesiones,</w:t>
      </w:r>
      <w:r>
        <w:rPr>
          <w:spacing w:val="-1"/>
          <w:sz w:val="20"/>
        </w:rPr>
        <w:t> </w:t>
      </w:r>
      <w:r>
        <w:rPr>
          <w:sz w:val="20"/>
        </w:rPr>
        <w:t>autorizaciones,</w:t>
      </w:r>
      <w:r>
        <w:rPr>
          <w:spacing w:val="-1"/>
          <w:sz w:val="20"/>
        </w:rPr>
        <w:t> </w:t>
      </w:r>
      <w:r>
        <w:rPr>
          <w:sz w:val="20"/>
        </w:rPr>
        <w:t>permisos, licencias o constancias otorgadas;</w:t>
      </w:r>
    </w:p>
    <w:p>
      <w:pPr>
        <w:pStyle w:val="BodyText"/>
        <w:spacing w:before="11"/>
      </w:pPr>
    </w:p>
    <w:p>
      <w:pPr>
        <w:pStyle w:val="ListParagraph"/>
        <w:numPr>
          <w:ilvl w:val="0"/>
          <w:numId w:val="148"/>
        </w:numPr>
        <w:tabs>
          <w:tab w:pos="968" w:val="left" w:leader="none"/>
        </w:tabs>
        <w:spacing w:line="230" w:lineRule="auto" w:before="0" w:after="0"/>
        <w:ind w:left="262" w:right="285" w:firstLine="0"/>
        <w:jc w:val="both"/>
        <w:rPr>
          <w:sz w:val="20"/>
        </w:rPr>
      </w:pPr>
      <w:r>
        <w:rPr>
          <w:sz w:val="20"/>
        </w:rPr>
        <w:t>Cancelación</w:t>
      </w:r>
      <w:r>
        <w:rPr>
          <w:spacing w:val="-8"/>
          <w:sz w:val="20"/>
        </w:rPr>
        <w:t> </w:t>
      </w:r>
      <w:r>
        <w:rPr>
          <w:sz w:val="20"/>
        </w:rPr>
        <w:t>de</w:t>
      </w:r>
      <w:r>
        <w:rPr>
          <w:spacing w:val="-6"/>
          <w:sz w:val="20"/>
        </w:rPr>
        <w:t> </w:t>
      </w:r>
      <w:r>
        <w:rPr>
          <w:sz w:val="20"/>
        </w:rPr>
        <w:t>las</w:t>
      </w:r>
      <w:r>
        <w:rPr>
          <w:spacing w:val="-7"/>
          <w:sz w:val="20"/>
        </w:rPr>
        <w:t> </w:t>
      </w:r>
      <w:r>
        <w:rPr>
          <w:sz w:val="20"/>
        </w:rPr>
        <w:t>concesiones</w:t>
      </w:r>
      <w:r>
        <w:rPr>
          <w:spacing w:val="-7"/>
          <w:sz w:val="20"/>
        </w:rPr>
        <w:t> </w:t>
      </w:r>
      <w:r>
        <w:rPr>
          <w:sz w:val="20"/>
        </w:rPr>
        <w:t>otorgadas,</w:t>
      </w:r>
      <w:r>
        <w:rPr>
          <w:spacing w:val="-7"/>
          <w:sz w:val="20"/>
        </w:rPr>
        <w:t> </w:t>
      </w:r>
      <w:r>
        <w:rPr>
          <w:sz w:val="20"/>
        </w:rPr>
        <w:t>o</w:t>
      </w:r>
      <w:r>
        <w:rPr>
          <w:spacing w:val="-8"/>
          <w:sz w:val="20"/>
        </w:rPr>
        <w:t> </w:t>
      </w:r>
      <w:r>
        <w:rPr>
          <w:sz w:val="20"/>
        </w:rPr>
        <w:t>suspensión</w:t>
      </w:r>
      <w:r>
        <w:rPr>
          <w:spacing w:val="-8"/>
          <w:sz w:val="20"/>
        </w:rPr>
        <w:t> </w:t>
      </w:r>
      <w:r>
        <w:rPr>
          <w:sz w:val="20"/>
        </w:rPr>
        <w:t>temporal</w:t>
      </w:r>
      <w:r>
        <w:rPr>
          <w:spacing w:val="-8"/>
          <w:sz w:val="20"/>
        </w:rPr>
        <w:t> </w:t>
      </w:r>
      <w:r>
        <w:rPr>
          <w:sz w:val="20"/>
        </w:rPr>
        <w:t>de</w:t>
      </w:r>
      <w:r>
        <w:rPr>
          <w:spacing w:val="-6"/>
          <w:sz w:val="20"/>
        </w:rPr>
        <w:t> </w:t>
      </w:r>
      <w:r>
        <w:rPr>
          <w:sz w:val="20"/>
        </w:rPr>
        <w:t>las</w:t>
      </w:r>
      <w:r>
        <w:rPr>
          <w:spacing w:val="-7"/>
          <w:sz w:val="20"/>
        </w:rPr>
        <w:t> </w:t>
      </w:r>
      <w:r>
        <w:rPr>
          <w:sz w:val="20"/>
        </w:rPr>
        <w:t>mismas</w:t>
      </w:r>
      <w:r>
        <w:rPr>
          <w:spacing w:val="-6"/>
          <w:sz w:val="20"/>
        </w:rPr>
        <w:t> </w:t>
      </w:r>
      <w:r>
        <w:rPr>
          <w:sz w:val="20"/>
        </w:rPr>
        <w:t>hasta</w:t>
      </w:r>
      <w:r>
        <w:rPr>
          <w:spacing w:val="-8"/>
          <w:sz w:val="20"/>
        </w:rPr>
        <w:t> </w:t>
      </w:r>
      <w:r>
        <w:rPr>
          <w:sz w:val="20"/>
        </w:rPr>
        <w:t>por tres meses para prestar el servicio público concesionado;</w:t>
      </w:r>
    </w:p>
    <w:p>
      <w:pPr>
        <w:pStyle w:val="BodyText"/>
        <w:spacing w:before="2"/>
      </w:pPr>
    </w:p>
    <w:p>
      <w:pPr>
        <w:pStyle w:val="ListParagraph"/>
        <w:numPr>
          <w:ilvl w:val="0"/>
          <w:numId w:val="148"/>
        </w:numPr>
        <w:tabs>
          <w:tab w:pos="687" w:val="left" w:leader="none"/>
        </w:tabs>
        <w:spacing w:line="240" w:lineRule="auto" w:before="1" w:after="0"/>
        <w:ind w:left="687" w:right="0" w:hanging="425"/>
        <w:jc w:val="left"/>
        <w:rPr>
          <w:sz w:val="20"/>
        </w:rPr>
      </w:pPr>
      <w:r>
        <w:rPr>
          <w:sz w:val="20"/>
        </w:rPr>
        <w:t>Pérdida</w:t>
      </w:r>
      <w:r>
        <w:rPr>
          <w:spacing w:val="-8"/>
          <w:sz w:val="20"/>
        </w:rPr>
        <w:t> </w:t>
      </w:r>
      <w:r>
        <w:rPr>
          <w:sz w:val="20"/>
        </w:rPr>
        <w:t>de</w:t>
      </w:r>
      <w:r>
        <w:rPr>
          <w:spacing w:val="-7"/>
          <w:sz w:val="20"/>
        </w:rPr>
        <w:t> </w:t>
      </w:r>
      <w:r>
        <w:rPr>
          <w:sz w:val="20"/>
        </w:rPr>
        <w:t>los</w:t>
      </w:r>
      <w:r>
        <w:rPr>
          <w:spacing w:val="-7"/>
          <w:sz w:val="20"/>
        </w:rPr>
        <w:t> </w:t>
      </w:r>
      <w:r>
        <w:rPr>
          <w:sz w:val="20"/>
        </w:rPr>
        <w:t>beneficios</w:t>
      </w:r>
      <w:r>
        <w:rPr>
          <w:spacing w:val="-7"/>
          <w:sz w:val="20"/>
        </w:rPr>
        <w:t> </w:t>
      </w:r>
      <w:r>
        <w:rPr>
          <w:spacing w:val="-2"/>
          <w:sz w:val="20"/>
        </w:rPr>
        <w:t>fiscales;</w:t>
      </w:r>
    </w:p>
    <w:p>
      <w:pPr>
        <w:pStyle w:val="ListParagraph"/>
        <w:numPr>
          <w:ilvl w:val="0"/>
          <w:numId w:val="148"/>
        </w:numPr>
        <w:tabs>
          <w:tab w:pos="687" w:val="left" w:leader="none"/>
        </w:tabs>
        <w:spacing w:line="240" w:lineRule="auto" w:before="221" w:after="0"/>
        <w:ind w:left="687" w:right="0" w:hanging="425"/>
        <w:jc w:val="left"/>
        <w:rPr>
          <w:sz w:val="20"/>
        </w:rPr>
      </w:pPr>
      <w:r>
        <w:rPr>
          <w:sz w:val="20"/>
        </w:rPr>
        <w:t>La</w:t>
      </w:r>
      <w:r>
        <w:rPr>
          <w:spacing w:val="-11"/>
          <w:sz w:val="20"/>
        </w:rPr>
        <w:t> </w:t>
      </w:r>
      <w:r>
        <w:rPr>
          <w:sz w:val="20"/>
        </w:rPr>
        <w:t>intervención</w:t>
      </w:r>
      <w:r>
        <w:rPr>
          <w:spacing w:val="-10"/>
          <w:sz w:val="20"/>
        </w:rPr>
        <w:t> </w:t>
      </w:r>
      <w:r>
        <w:rPr>
          <w:sz w:val="20"/>
        </w:rPr>
        <w:t>administrativa</w:t>
      </w:r>
      <w:r>
        <w:rPr>
          <w:spacing w:val="-10"/>
          <w:sz w:val="20"/>
        </w:rPr>
        <w:t> </w:t>
      </w:r>
      <w:r>
        <w:rPr>
          <w:sz w:val="20"/>
        </w:rPr>
        <w:t>de</w:t>
      </w:r>
      <w:r>
        <w:rPr>
          <w:spacing w:val="-8"/>
          <w:sz w:val="20"/>
        </w:rPr>
        <w:t> </w:t>
      </w:r>
      <w:r>
        <w:rPr>
          <w:sz w:val="20"/>
        </w:rPr>
        <w:t>la</w:t>
      </w:r>
      <w:r>
        <w:rPr>
          <w:spacing w:val="-11"/>
          <w:sz w:val="20"/>
        </w:rPr>
        <w:t> </w:t>
      </w:r>
      <w:r>
        <w:rPr>
          <w:sz w:val="20"/>
        </w:rPr>
        <w:t>empresa</w:t>
      </w:r>
      <w:r>
        <w:rPr>
          <w:spacing w:val="-10"/>
          <w:sz w:val="20"/>
        </w:rPr>
        <w:t> </w:t>
      </w:r>
      <w:r>
        <w:rPr>
          <w:sz w:val="20"/>
        </w:rPr>
        <w:t>concesionaria</w:t>
      </w:r>
      <w:r>
        <w:rPr>
          <w:spacing w:val="-8"/>
          <w:sz w:val="20"/>
        </w:rPr>
        <w:t> </w:t>
      </w:r>
      <w:r>
        <w:rPr>
          <w:sz w:val="20"/>
        </w:rPr>
        <w:t>o</w:t>
      </w:r>
      <w:r>
        <w:rPr>
          <w:spacing w:val="-10"/>
          <w:sz w:val="20"/>
        </w:rPr>
        <w:t> </w:t>
      </w:r>
      <w:r>
        <w:rPr>
          <w:sz w:val="20"/>
        </w:rPr>
        <w:t>desarrolladora</w:t>
      </w:r>
      <w:r>
        <w:rPr>
          <w:spacing w:val="-11"/>
          <w:sz w:val="20"/>
        </w:rPr>
        <w:t> </w:t>
      </w:r>
      <w:r>
        <w:rPr>
          <w:spacing w:val="-2"/>
          <w:sz w:val="20"/>
        </w:rPr>
        <w:t>inmobiliaria;</w:t>
      </w:r>
    </w:p>
    <w:p>
      <w:pPr>
        <w:pStyle w:val="ListParagraph"/>
        <w:numPr>
          <w:ilvl w:val="0"/>
          <w:numId w:val="148"/>
        </w:numPr>
        <w:tabs>
          <w:tab w:pos="687" w:val="left" w:leader="none"/>
        </w:tabs>
        <w:spacing w:line="237" w:lineRule="auto" w:before="225" w:after="0"/>
        <w:ind w:left="262" w:right="277" w:firstLine="0"/>
        <w:jc w:val="both"/>
        <w:rPr>
          <w:sz w:val="20"/>
        </w:rPr>
      </w:pPr>
      <w:r>
        <w:rPr>
          <w:sz w:val="20"/>
        </w:rPr>
        <w:t>La suspensión o cancelación del registro de profesionistas en los padrones de Directores responsables</w:t>
      </w:r>
      <w:r>
        <w:rPr>
          <w:spacing w:val="-13"/>
          <w:sz w:val="20"/>
        </w:rPr>
        <w:t> </w:t>
      </w:r>
      <w:r>
        <w:rPr>
          <w:sz w:val="20"/>
        </w:rPr>
        <w:t>de</w:t>
      </w:r>
      <w:r>
        <w:rPr>
          <w:spacing w:val="-14"/>
          <w:sz w:val="20"/>
        </w:rPr>
        <w:t> </w:t>
      </w:r>
      <w:r>
        <w:rPr>
          <w:sz w:val="20"/>
        </w:rPr>
        <w:t>obra</w:t>
      </w:r>
      <w:r>
        <w:rPr>
          <w:spacing w:val="-13"/>
          <w:sz w:val="20"/>
        </w:rPr>
        <w:t> </w:t>
      </w:r>
      <w:r>
        <w:rPr>
          <w:sz w:val="20"/>
        </w:rPr>
        <w:t>o</w:t>
      </w:r>
      <w:r>
        <w:rPr>
          <w:spacing w:val="-12"/>
          <w:sz w:val="20"/>
        </w:rPr>
        <w:t> </w:t>
      </w:r>
      <w:r>
        <w:rPr>
          <w:sz w:val="20"/>
        </w:rPr>
        <w:t>corresponsables</w:t>
      </w:r>
      <w:r>
        <w:rPr>
          <w:spacing w:val="-13"/>
          <w:sz w:val="20"/>
        </w:rPr>
        <w:t> </w:t>
      </w:r>
      <w:r>
        <w:rPr>
          <w:sz w:val="20"/>
        </w:rPr>
        <w:t>correspondientes,</w:t>
      </w:r>
      <w:r>
        <w:rPr>
          <w:spacing w:val="-14"/>
          <w:sz w:val="20"/>
        </w:rPr>
        <w:t> </w:t>
      </w:r>
      <w:r>
        <w:rPr>
          <w:sz w:val="20"/>
        </w:rPr>
        <w:t>cuando</w:t>
      </w:r>
      <w:r>
        <w:rPr>
          <w:spacing w:val="-12"/>
          <w:sz w:val="20"/>
        </w:rPr>
        <w:t> </w:t>
      </w:r>
      <w:r>
        <w:rPr>
          <w:sz w:val="20"/>
        </w:rPr>
        <w:t>el</w:t>
      </w:r>
      <w:r>
        <w:rPr>
          <w:spacing w:val="-13"/>
          <w:sz w:val="20"/>
        </w:rPr>
        <w:t> </w:t>
      </w:r>
      <w:r>
        <w:rPr>
          <w:sz w:val="20"/>
        </w:rPr>
        <w:t>responsable</w:t>
      </w:r>
      <w:r>
        <w:rPr>
          <w:spacing w:val="-11"/>
          <w:sz w:val="20"/>
        </w:rPr>
        <w:t> </w:t>
      </w:r>
      <w:r>
        <w:rPr>
          <w:sz w:val="20"/>
        </w:rPr>
        <w:t>de</w:t>
      </w:r>
      <w:r>
        <w:rPr>
          <w:spacing w:val="-12"/>
          <w:sz w:val="20"/>
        </w:rPr>
        <w:t> </w:t>
      </w:r>
      <w:r>
        <w:rPr>
          <w:sz w:val="20"/>
        </w:rPr>
        <w:t>la</w:t>
      </w:r>
      <w:r>
        <w:rPr>
          <w:spacing w:val="-11"/>
          <w:sz w:val="20"/>
        </w:rPr>
        <w:t> </w:t>
      </w:r>
      <w:r>
        <w:rPr>
          <w:sz w:val="20"/>
        </w:rPr>
        <w:t>obra</w:t>
      </w:r>
      <w:r>
        <w:rPr>
          <w:spacing w:val="-11"/>
          <w:sz w:val="20"/>
        </w:rPr>
        <w:t> </w:t>
      </w:r>
      <w:r>
        <w:rPr>
          <w:sz w:val="20"/>
        </w:rPr>
        <w:t>de</w:t>
      </w:r>
      <w:r>
        <w:rPr>
          <w:spacing w:val="-12"/>
          <w:sz w:val="20"/>
        </w:rPr>
        <w:t> </w:t>
      </w:r>
      <w:r>
        <w:rPr>
          <w:sz w:val="20"/>
        </w:rPr>
        <w:t>que se trate reincida en el incumplimiento de las disposiciones jurídicas y técnicas aplicables en la </w:t>
      </w:r>
      <w:r>
        <w:rPr>
          <w:spacing w:val="-2"/>
          <w:sz w:val="20"/>
        </w:rPr>
        <w:t>materia;</w:t>
      </w:r>
    </w:p>
    <w:p>
      <w:pPr>
        <w:pStyle w:val="ListParagraph"/>
        <w:numPr>
          <w:ilvl w:val="0"/>
          <w:numId w:val="148"/>
        </w:numPr>
        <w:tabs>
          <w:tab w:pos="687" w:val="left" w:leader="none"/>
        </w:tabs>
        <w:spacing w:line="240" w:lineRule="auto" w:before="227" w:after="0"/>
        <w:ind w:left="687" w:right="0" w:hanging="425"/>
        <w:jc w:val="left"/>
        <w:rPr>
          <w:sz w:val="20"/>
        </w:rPr>
      </w:pPr>
      <w:r>
        <w:rPr>
          <w:sz w:val="20"/>
        </w:rPr>
        <w:t>La</w:t>
      </w:r>
      <w:r>
        <w:rPr>
          <w:spacing w:val="-10"/>
          <w:sz w:val="20"/>
        </w:rPr>
        <w:t> </w:t>
      </w:r>
      <w:r>
        <w:rPr>
          <w:sz w:val="20"/>
        </w:rPr>
        <w:t>prohibición</w:t>
      </w:r>
      <w:r>
        <w:rPr>
          <w:spacing w:val="-9"/>
          <w:sz w:val="20"/>
        </w:rPr>
        <w:t> </w:t>
      </w:r>
      <w:r>
        <w:rPr>
          <w:sz w:val="20"/>
        </w:rPr>
        <w:t>de</w:t>
      </w:r>
      <w:r>
        <w:rPr>
          <w:spacing w:val="-8"/>
          <w:sz w:val="20"/>
        </w:rPr>
        <w:t> </w:t>
      </w:r>
      <w:r>
        <w:rPr>
          <w:sz w:val="20"/>
        </w:rPr>
        <w:t>realizar</w:t>
      </w:r>
      <w:r>
        <w:rPr>
          <w:spacing w:val="-5"/>
          <w:sz w:val="20"/>
        </w:rPr>
        <w:t> </w:t>
      </w:r>
      <w:r>
        <w:rPr>
          <w:sz w:val="20"/>
        </w:rPr>
        <w:t>determinados</w:t>
      </w:r>
      <w:r>
        <w:rPr>
          <w:spacing w:val="-8"/>
          <w:sz w:val="20"/>
        </w:rPr>
        <w:t> </w:t>
      </w:r>
      <w:r>
        <w:rPr>
          <w:sz w:val="20"/>
        </w:rPr>
        <w:t>actos</w:t>
      </w:r>
      <w:r>
        <w:rPr>
          <w:spacing w:val="-7"/>
          <w:sz w:val="20"/>
        </w:rPr>
        <w:t> </w:t>
      </w:r>
      <w:r>
        <w:rPr>
          <w:sz w:val="20"/>
        </w:rPr>
        <w:t>u</w:t>
      </w:r>
      <w:r>
        <w:rPr>
          <w:spacing w:val="-6"/>
          <w:sz w:val="20"/>
        </w:rPr>
        <w:t> </w:t>
      </w:r>
      <w:r>
        <w:rPr>
          <w:sz w:val="20"/>
        </w:rPr>
        <w:t>obras,</w:t>
      </w:r>
      <w:r>
        <w:rPr>
          <w:spacing w:val="-7"/>
          <w:sz w:val="20"/>
        </w:rPr>
        <w:t> </w:t>
      </w:r>
      <w:r>
        <w:rPr>
          <w:spacing w:val="-10"/>
          <w:sz w:val="20"/>
        </w:rPr>
        <w:t>y</w:t>
      </w:r>
    </w:p>
    <w:p>
      <w:pPr>
        <w:pStyle w:val="ListParagraph"/>
        <w:numPr>
          <w:ilvl w:val="0"/>
          <w:numId w:val="148"/>
        </w:numPr>
        <w:tabs>
          <w:tab w:pos="968" w:val="left" w:leader="none"/>
        </w:tabs>
        <w:spacing w:line="237" w:lineRule="auto" w:before="226" w:after="0"/>
        <w:ind w:left="262" w:right="277" w:firstLine="0"/>
        <w:jc w:val="both"/>
        <w:rPr>
          <w:sz w:val="20"/>
        </w:rPr>
      </w:pPr>
      <w:r>
        <w:rPr>
          <w:sz w:val="20"/>
        </w:rPr>
        <w:t>El</w:t>
      </w:r>
      <w:r>
        <w:rPr>
          <w:spacing w:val="-2"/>
          <w:sz w:val="20"/>
        </w:rPr>
        <w:t> </w:t>
      </w:r>
      <w:r>
        <w:rPr>
          <w:sz w:val="20"/>
        </w:rPr>
        <w:t>arresto</w:t>
      </w:r>
      <w:r>
        <w:rPr>
          <w:spacing w:val="-4"/>
          <w:sz w:val="20"/>
        </w:rPr>
        <w:t> </w:t>
      </w:r>
      <w:r>
        <w:rPr>
          <w:sz w:val="20"/>
        </w:rPr>
        <w:t>hasta</w:t>
      </w:r>
      <w:r>
        <w:rPr>
          <w:spacing w:val="-1"/>
          <w:sz w:val="20"/>
        </w:rPr>
        <w:t> </w:t>
      </w:r>
      <w:r>
        <w:rPr>
          <w:sz w:val="20"/>
        </w:rPr>
        <w:t>por</w:t>
      </w:r>
      <w:r>
        <w:rPr>
          <w:spacing w:val="-2"/>
          <w:sz w:val="20"/>
        </w:rPr>
        <w:t> </w:t>
      </w:r>
      <w:r>
        <w:rPr>
          <w:sz w:val="20"/>
        </w:rPr>
        <w:t>treinta</w:t>
      </w:r>
      <w:r>
        <w:rPr>
          <w:spacing w:val="-1"/>
          <w:sz w:val="20"/>
        </w:rPr>
        <w:t> </w:t>
      </w:r>
      <w:r>
        <w:rPr>
          <w:sz w:val="20"/>
        </w:rPr>
        <w:t>y</w:t>
      </w:r>
      <w:r>
        <w:rPr>
          <w:spacing w:val="-2"/>
          <w:sz w:val="20"/>
        </w:rPr>
        <w:t> </w:t>
      </w:r>
      <w:r>
        <w:rPr>
          <w:sz w:val="20"/>
        </w:rPr>
        <w:t>seis</w:t>
      </w:r>
      <w:r>
        <w:rPr>
          <w:spacing w:val="-2"/>
          <w:sz w:val="20"/>
        </w:rPr>
        <w:t> </w:t>
      </w:r>
      <w:r>
        <w:rPr>
          <w:sz w:val="20"/>
        </w:rPr>
        <w:t>horas,</w:t>
      </w:r>
      <w:r>
        <w:rPr>
          <w:spacing w:val="-1"/>
          <w:sz w:val="20"/>
        </w:rPr>
        <w:t> </w:t>
      </w:r>
      <w:r>
        <w:rPr>
          <w:sz w:val="20"/>
        </w:rPr>
        <w:t>una</w:t>
      </w:r>
      <w:r>
        <w:rPr>
          <w:spacing w:val="-3"/>
          <w:sz w:val="20"/>
        </w:rPr>
        <w:t> </w:t>
      </w:r>
      <w:r>
        <w:rPr>
          <w:sz w:val="20"/>
        </w:rPr>
        <w:t>vez</w:t>
      </w:r>
      <w:r>
        <w:rPr>
          <w:spacing w:val="-2"/>
          <w:sz w:val="20"/>
        </w:rPr>
        <w:t> </w:t>
      </w:r>
      <w:r>
        <w:rPr>
          <w:sz w:val="20"/>
        </w:rPr>
        <w:t>que</w:t>
      </w:r>
      <w:r>
        <w:rPr>
          <w:spacing w:val="-4"/>
          <w:sz w:val="20"/>
        </w:rPr>
        <w:t> </w:t>
      </w:r>
      <w:r>
        <w:rPr>
          <w:sz w:val="20"/>
        </w:rPr>
        <w:t>se</w:t>
      </w:r>
      <w:r>
        <w:rPr>
          <w:spacing w:val="-3"/>
          <w:sz w:val="20"/>
        </w:rPr>
        <w:t> </w:t>
      </w:r>
      <w:r>
        <w:rPr>
          <w:sz w:val="20"/>
        </w:rPr>
        <w:t>hayan</w:t>
      </w:r>
      <w:r>
        <w:rPr>
          <w:spacing w:val="-3"/>
          <w:sz w:val="20"/>
        </w:rPr>
        <w:t> </w:t>
      </w:r>
      <w:r>
        <w:rPr>
          <w:sz w:val="20"/>
        </w:rPr>
        <w:t>agotado</w:t>
      </w:r>
      <w:r>
        <w:rPr>
          <w:spacing w:val="-1"/>
          <w:sz w:val="20"/>
        </w:rPr>
        <w:t> </w:t>
      </w:r>
      <w:r>
        <w:rPr>
          <w:sz w:val="20"/>
        </w:rPr>
        <w:t>las demás</w:t>
      </w:r>
      <w:r>
        <w:rPr>
          <w:spacing w:val="-2"/>
          <w:sz w:val="20"/>
        </w:rPr>
        <w:t> </w:t>
      </w:r>
      <w:r>
        <w:rPr>
          <w:sz w:val="20"/>
        </w:rPr>
        <w:t>medidas de apremio; cuando el responsable o propietario del lugar objeto de una visita de inspección, se niegue a facilitar el acceso o a proporcionar los informes que le sean solicitados por la autoridad municipal o el inspector correspondiente.</w:t>
      </w:r>
    </w:p>
    <w:p>
      <w:pPr>
        <w:pStyle w:val="BodyText"/>
        <w:spacing w:before="227"/>
        <w:ind w:left="262" w:right="286"/>
        <w:jc w:val="both"/>
      </w:pPr>
      <w:r>
        <w:rPr>
          <w:rFonts w:ascii="Arial" w:hAnsi="Arial"/>
          <w:b/>
        </w:rPr>
        <w:t>ARTÍCULO 519. </w:t>
      </w:r>
      <w:r>
        <w:rPr/>
        <w:t>Las sanciones referidas en el artículo inmediato anterior, podrán aplicarse de manera indistinta o simultánea y no necesariamente en su orden, conforme a los criterios que se señalan a continuación:</w:t>
      </w:r>
    </w:p>
    <w:p>
      <w:pPr>
        <w:pStyle w:val="BodyText"/>
        <w:spacing w:before="1"/>
      </w:pPr>
    </w:p>
    <w:p>
      <w:pPr>
        <w:pStyle w:val="ListParagraph"/>
        <w:numPr>
          <w:ilvl w:val="0"/>
          <w:numId w:val="149"/>
        </w:numPr>
        <w:tabs>
          <w:tab w:pos="543" w:val="left" w:leader="none"/>
        </w:tabs>
        <w:spacing w:line="240" w:lineRule="auto" w:before="0" w:after="0"/>
        <w:ind w:left="262" w:right="279" w:firstLine="0"/>
        <w:jc w:val="both"/>
        <w:rPr>
          <w:sz w:val="20"/>
        </w:rPr>
      </w:pPr>
      <w:r>
        <w:rPr>
          <w:sz w:val="20"/>
        </w:rPr>
        <w:t>Para</w:t>
      </w:r>
      <w:r>
        <w:rPr>
          <w:spacing w:val="-2"/>
          <w:sz w:val="20"/>
        </w:rPr>
        <w:t> </w:t>
      </w:r>
      <w:r>
        <w:rPr>
          <w:sz w:val="20"/>
        </w:rPr>
        <w:t>su</w:t>
      </w:r>
      <w:r>
        <w:rPr>
          <w:spacing w:val="-2"/>
          <w:sz w:val="20"/>
        </w:rPr>
        <w:t> </w:t>
      </w:r>
      <w:r>
        <w:rPr>
          <w:sz w:val="20"/>
        </w:rPr>
        <w:t>aplicación,</w:t>
      </w:r>
      <w:r>
        <w:rPr>
          <w:spacing w:val="-2"/>
          <w:sz w:val="20"/>
        </w:rPr>
        <w:t> </w:t>
      </w:r>
      <w:r>
        <w:rPr>
          <w:sz w:val="20"/>
        </w:rPr>
        <w:t>se</w:t>
      </w:r>
      <w:r>
        <w:rPr>
          <w:spacing w:val="-2"/>
          <w:sz w:val="20"/>
        </w:rPr>
        <w:t> </w:t>
      </w:r>
      <w:r>
        <w:rPr>
          <w:sz w:val="20"/>
        </w:rPr>
        <w:t>tomará</w:t>
      </w:r>
      <w:r>
        <w:rPr>
          <w:spacing w:val="-2"/>
          <w:sz w:val="20"/>
        </w:rPr>
        <w:t> </w:t>
      </w:r>
      <w:r>
        <w:rPr>
          <w:sz w:val="20"/>
        </w:rPr>
        <w:t>en</w:t>
      </w:r>
      <w:r>
        <w:rPr>
          <w:spacing w:val="-3"/>
          <w:sz w:val="20"/>
        </w:rPr>
        <w:t> </w:t>
      </w:r>
      <w:r>
        <w:rPr>
          <w:sz w:val="20"/>
        </w:rPr>
        <w:t>cuenta</w:t>
      </w:r>
      <w:r>
        <w:rPr>
          <w:spacing w:val="-2"/>
          <w:sz w:val="20"/>
        </w:rPr>
        <w:t> </w:t>
      </w:r>
      <w:r>
        <w:rPr>
          <w:sz w:val="20"/>
        </w:rPr>
        <w:t>la</w:t>
      </w:r>
      <w:r>
        <w:rPr>
          <w:spacing w:val="-2"/>
          <w:sz w:val="20"/>
        </w:rPr>
        <w:t> </w:t>
      </w:r>
      <w:r>
        <w:rPr>
          <w:sz w:val="20"/>
        </w:rPr>
        <w:t>capacidad económica</w:t>
      </w:r>
      <w:r>
        <w:rPr>
          <w:spacing w:val="-2"/>
          <w:sz w:val="20"/>
        </w:rPr>
        <w:t> </w:t>
      </w:r>
      <w:r>
        <w:rPr>
          <w:sz w:val="20"/>
        </w:rPr>
        <w:t>del</w:t>
      </w:r>
      <w:r>
        <w:rPr>
          <w:spacing w:val="-3"/>
          <w:sz w:val="20"/>
        </w:rPr>
        <w:t> </w:t>
      </w:r>
      <w:r>
        <w:rPr>
          <w:sz w:val="20"/>
        </w:rPr>
        <w:t>infractor,</w:t>
      </w:r>
      <w:r>
        <w:rPr>
          <w:spacing w:val="-1"/>
          <w:sz w:val="20"/>
        </w:rPr>
        <w:t> </w:t>
      </w:r>
      <w:r>
        <w:rPr>
          <w:sz w:val="20"/>
        </w:rPr>
        <w:t>la gravedad</w:t>
      </w:r>
      <w:r>
        <w:rPr>
          <w:spacing w:val="-2"/>
          <w:sz w:val="20"/>
        </w:rPr>
        <w:t> </w:t>
      </w:r>
      <w:r>
        <w:rPr>
          <w:sz w:val="20"/>
        </w:rPr>
        <w:t>de</w:t>
      </w:r>
      <w:r>
        <w:rPr>
          <w:spacing w:val="-3"/>
          <w:sz w:val="20"/>
        </w:rPr>
        <w:t> </w:t>
      </w:r>
      <w:r>
        <w:rPr>
          <w:sz w:val="20"/>
        </w:rPr>
        <w:t>la infracción, las circunstancias particulares del caso y la reincidencia. Podrán imponerse al infractor, simultáneamente, las medidas de seguridad, las sanciones, así como</w:t>
      </w:r>
      <w:r>
        <w:rPr>
          <w:spacing w:val="40"/>
          <w:sz w:val="20"/>
        </w:rPr>
        <w:t> </w:t>
      </w:r>
      <w:r>
        <w:rPr>
          <w:sz w:val="20"/>
        </w:rPr>
        <w:t>el pago de la indemnización o</w:t>
      </w:r>
      <w:r>
        <w:rPr>
          <w:spacing w:val="-6"/>
          <w:sz w:val="20"/>
        </w:rPr>
        <w:t> </w:t>
      </w:r>
      <w:r>
        <w:rPr>
          <w:sz w:val="20"/>
        </w:rPr>
        <w:t>la</w:t>
      </w:r>
      <w:r>
        <w:rPr>
          <w:spacing w:val="-6"/>
          <w:sz w:val="20"/>
        </w:rPr>
        <w:t> </w:t>
      </w:r>
      <w:r>
        <w:rPr>
          <w:sz w:val="20"/>
        </w:rPr>
        <w:t>reparación</w:t>
      </w:r>
      <w:r>
        <w:rPr>
          <w:spacing w:val="-6"/>
          <w:sz w:val="20"/>
        </w:rPr>
        <w:t> </w:t>
      </w:r>
      <w:r>
        <w:rPr>
          <w:sz w:val="20"/>
        </w:rPr>
        <w:t>del</w:t>
      </w:r>
      <w:r>
        <w:rPr>
          <w:spacing w:val="-5"/>
          <w:sz w:val="20"/>
        </w:rPr>
        <w:t> </w:t>
      </w:r>
      <w:r>
        <w:rPr>
          <w:sz w:val="20"/>
        </w:rPr>
        <w:t>daño</w:t>
      </w:r>
      <w:r>
        <w:rPr>
          <w:spacing w:val="-4"/>
          <w:sz w:val="20"/>
        </w:rPr>
        <w:t> </w:t>
      </w:r>
      <w:r>
        <w:rPr>
          <w:sz w:val="20"/>
        </w:rPr>
        <w:t>que</w:t>
      </w:r>
      <w:r>
        <w:rPr>
          <w:spacing w:val="-6"/>
          <w:sz w:val="20"/>
        </w:rPr>
        <w:t> </w:t>
      </w:r>
      <w:r>
        <w:rPr>
          <w:sz w:val="20"/>
        </w:rPr>
        <w:t>correspondan,</w:t>
      </w:r>
      <w:r>
        <w:rPr>
          <w:spacing w:val="-4"/>
          <w:sz w:val="20"/>
        </w:rPr>
        <w:t> </w:t>
      </w:r>
      <w:r>
        <w:rPr>
          <w:sz w:val="20"/>
        </w:rPr>
        <w:t>para</w:t>
      </w:r>
      <w:r>
        <w:rPr>
          <w:spacing w:val="-5"/>
          <w:sz w:val="20"/>
        </w:rPr>
        <w:t> </w:t>
      </w:r>
      <w:r>
        <w:rPr>
          <w:sz w:val="20"/>
        </w:rPr>
        <w:t>lo</w:t>
      </w:r>
      <w:r>
        <w:rPr>
          <w:spacing w:val="-6"/>
          <w:sz w:val="20"/>
        </w:rPr>
        <w:t> </w:t>
      </w:r>
      <w:r>
        <w:rPr>
          <w:sz w:val="20"/>
        </w:rPr>
        <w:t>cual</w:t>
      </w:r>
      <w:r>
        <w:rPr>
          <w:spacing w:val="-7"/>
          <w:sz w:val="20"/>
        </w:rPr>
        <w:t> </w:t>
      </w:r>
      <w:r>
        <w:rPr>
          <w:sz w:val="20"/>
        </w:rPr>
        <w:t>se</w:t>
      </w:r>
      <w:r>
        <w:rPr>
          <w:spacing w:val="-4"/>
          <w:sz w:val="20"/>
        </w:rPr>
        <w:t> </w:t>
      </w:r>
      <w:r>
        <w:rPr>
          <w:sz w:val="20"/>
        </w:rPr>
        <w:t>tomará</w:t>
      </w:r>
      <w:r>
        <w:rPr>
          <w:spacing w:val="-3"/>
          <w:sz w:val="20"/>
        </w:rPr>
        <w:t> </w:t>
      </w:r>
      <w:r>
        <w:rPr>
          <w:sz w:val="20"/>
        </w:rPr>
        <w:t>en</w:t>
      </w:r>
      <w:r>
        <w:rPr>
          <w:spacing w:val="-6"/>
          <w:sz w:val="20"/>
        </w:rPr>
        <w:t> </w:t>
      </w:r>
      <w:r>
        <w:rPr>
          <w:sz w:val="20"/>
        </w:rPr>
        <w:t>consideración</w:t>
      </w:r>
      <w:r>
        <w:rPr>
          <w:spacing w:val="-4"/>
          <w:sz w:val="20"/>
        </w:rPr>
        <w:t> </w:t>
      </w:r>
      <w:r>
        <w:rPr>
          <w:sz w:val="20"/>
        </w:rPr>
        <w:t>la</w:t>
      </w:r>
      <w:r>
        <w:rPr>
          <w:spacing w:val="-3"/>
          <w:sz w:val="20"/>
        </w:rPr>
        <w:t> </w:t>
      </w:r>
      <w:r>
        <w:rPr>
          <w:sz w:val="20"/>
        </w:rPr>
        <w:t>gravedad</w:t>
      </w:r>
      <w:r>
        <w:rPr>
          <w:spacing w:val="-6"/>
          <w:sz w:val="20"/>
        </w:rPr>
        <w:t> </w:t>
      </w:r>
      <w:r>
        <w:rPr>
          <w:sz w:val="20"/>
        </w:rPr>
        <w:t>de la infracción, las particularidades del caso y las propias del infractor;</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49"/>
        </w:numPr>
        <w:tabs>
          <w:tab w:pos="543" w:val="left" w:leader="none"/>
        </w:tabs>
        <w:spacing w:line="240" w:lineRule="auto" w:before="0" w:after="0"/>
        <w:ind w:left="262" w:right="288" w:firstLine="0"/>
        <w:jc w:val="both"/>
        <w:rPr>
          <w:sz w:val="20"/>
        </w:rPr>
      </w:pPr>
      <w:r>
        <w:rPr>
          <w:sz w:val="20"/>
        </w:rPr>
        <w:t>Los daños que ésta cause al desarrollo urbano y al ordenamiento ecológico, su impacto en la zona</w:t>
      </w:r>
      <w:r>
        <w:rPr>
          <w:spacing w:val="-2"/>
          <w:sz w:val="20"/>
        </w:rPr>
        <w:t> </w:t>
      </w:r>
      <w:r>
        <w:rPr>
          <w:sz w:val="20"/>
        </w:rPr>
        <w:t>en</w:t>
      </w:r>
      <w:r>
        <w:rPr>
          <w:spacing w:val="-3"/>
          <w:sz w:val="20"/>
        </w:rPr>
        <w:t> </w:t>
      </w:r>
      <w:r>
        <w:rPr>
          <w:sz w:val="20"/>
        </w:rPr>
        <w:t>que</w:t>
      </w:r>
      <w:r>
        <w:rPr>
          <w:spacing w:val="-4"/>
          <w:sz w:val="20"/>
        </w:rPr>
        <w:t> </w:t>
      </w:r>
      <w:r>
        <w:rPr>
          <w:sz w:val="20"/>
        </w:rPr>
        <w:t>se</w:t>
      </w:r>
      <w:r>
        <w:rPr>
          <w:spacing w:val="-2"/>
          <w:sz w:val="20"/>
        </w:rPr>
        <w:t> </w:t>
      </w:r>
      <w:r>
        <w:rPr>
          <w:sz w:val="20"/>
        </w:rPr>
        <w:t>ubique</w:t>
      </w:r>
      <w:r>
        <w:rPr>
          <w:spacing w:val="-3"/>
          <w:sz w:val="20"/>
        </w:rPr>
        <w:t> </w:t>
      </w:r>
      <w:r>
        <w:rPr>
          <w:sz w:val="20"/>
        </w:rPr>
        <w:t>el</w:t>
      </w:r>
      <w:r>
        <w:rPr>
          <w:spacing w:val="-3"/>
          <w:sz w:val="20"/>
        </w:rPr>
        <w:t> </w:t>
      </w:r>
      <w:r>
        <w:rPr>
          <w:sz w:val="20"/>
        </w:rPr>
        <w:t>inmueble</w:t>
      </w:r>
      <w:r>
        <w:rPr>
          <w:spacing w:val="-2"/>
          <w:sz w:val="20"/>
        </w:rPr>
        <w:t> </w:t>
      </w:r>
      <w:r>
        <w:rPr>
          <w:sz w:val="20"/>
        </w:rPr>
        <w:t>objeto</w:t>
      </w:r>
      <w:r>
        <w:rPr>
          <w:spacing w:val="-3"/>
          <w:sz w:val="20"/>
        </w:rPr>
        <w:t> </w:t>
      </w:r>
      <w:r>
        <w:rPr>
          <w:sz w:val="20"/>
        </w:rPr>
        <w:t>de</w:t>
      </w:r>
      <w:r>
        <w:rPr>
          <w:spacing w:val="-2"/>
          <w:sz w:val="20"/>
        </w:rPr>
        <w:t> </w:t>
      </w:r>
      <w:r>
        <w:rPr>
          <w:sz w:val="20"/>
        </w:rPr>
        <w:t>la</w:t>
      </w:r>
      <w:r>
        <w:rPr>
          <w:spacing w:val="-2"/>
          <w:sz w:val="20"/>
        </w:rPr>
        <w:t> </w:t>
      </w:r>
      <w:r>
        <w:rPr>
          <w:sz w:val="20"/>
        </w:rPr>
        <w:t>infracción,</w:t>
      </w:r>
      <w:r>
        <w:rPr>
          <w:spacing w:val="-2"/>
          <w:sz w:val="20"/>
        </w:rPr>
        <w:t> </w:t>
      </w:r>
      <w:r>
        <w:rPr>
          <w:sz w:val="20"/>
        </w:rPr>
        <w:t>las</w:t>
      </w:r>
      <w:r>
        <w:rPr>
          <w:spacing w:val="-3"/>
          <w:sz w:val="20"/>
        </w:rPr>
        <w:t> </w:t>
      </w:r>
      <w:r>
        <w:rPr>
          <w:sz w:val="20"/>
        </w:rPr>
        <w:t>condiciones</w:t>
      </w:r>
      <w:r>
        <w:rPr>
          <w:spacing w:val="-3"/>
          <w:sz w:val="20"/>
        </w:rPr>
        <w:t> </w:t>
      </w:r>
      <w:r>
        <w:rPr>
          <w:sz w:val="20"/>
        </w:rPr>
        <w:t>económicas</w:t>
      </w:r>
      <w:r>
        <w:rPr>
          <w:spacing w:val="-1"/>
          <w:sz w:val="20"/>
        </w:rPr>
        <w:t> </w:t>
      </w:r>
      <w:r>
        <w:rPr>
          <w:sz w:val="20"/>
        </w:rPr>
        <w:t>del</w:t>
      </w:r>
      <w:r>
        <w:rPr>
          <w:spacing w:val="-3"/>
          <w:sz w:val="20"/>
        </w:rPr>
        <w:t> </w:t>
      </w:r>
      <w:r>
        <w:rPr>
          <w:sz w:val="20"/>
        </w:rPr>
        <w:t>infractor y la reincidencia, si la hubiere;</w:t>
      </w:r>
    </w:p>
    <w:p>
      <w:pPr>
        <w:pStyle w:val="ListParagraph"/>
        <w:numPr>
          <w:ilvl w:val="0"/>
          <w:numId w:val="149"/>
        </w:numPr>
        <w:tabs>
          <w:tab w:pos="597" w:val="left" w:leader="none"/>
        </w:tabs>
        <w:spacing w:line="240" w:lineRule="auto" w:before="230" w:after="0"/>
        <w:ind w:left="262" w:right="280" w:firstLine="0"/>
        <w:jc w:val="both"/>
        <w:rPr>
          <w:sz w:val="20"/>
        </w:rPr>
      </w:pPr>
      <w:r>
        <w:rPr>
          <w:spacing w:val="-2"/>
          <w:sz w:val="20"/>
        </w:rPr>
        <w:t>Cuando</w:t>
      </w:r>
      <w:r>
        <w:rPr>
          <w:spacing w:val="-6"/>
          <w:sz w:val="20"/>
        </w:rPr>
        <w:t> </w:t>
      </w:r>
      <w:r>
        <w:rPr>
          <w:spacing w:val="-2"/>
          <w:sz w:val="20"/>
        </w:rPr>
        <w:t>se</w:t>
      </w:r>
      <w:r>
        <w:rPr>
          <w:spacing w:val="-5"/>
          <w:sz w:val="20"/>
        </w:rPr>
        <w:t> </w:t>
      </w:r>
      <w:r>
        <w:rPr>
          <w:spacing w:val="-2"/>
          <w:sz w:val="20"/>
        </w:rPr>
        <w:t>imponga</w:t>
      </w:r>
      <w:r>
        <w:rPr>
          <w:spacing w:val="-9"/>
          <w:sz w:val="20"/>
        </w:rPr>
        <w:t> </w:t>
      </w:r>
      <w:r>
        <w:rPr>
          <w:spacing w:val="-2"/>
          <w:sz w:val="20"/>
        </w:rPr>
        <w:t>como</w:t>
      </w:r>
      <w:r>
        <w:rPr>
          <w:spacing w:val="-3"/>
          <w:sz w:val="20"/>
        </w:rPr>
        <w:t> </w:t>
      </w:r>
      <w:r>
        <w:rPr>
          <w:spacing w:val="-2"/>
          <w:sz w:val="20"/>
        </w:rPr>
        <w:t>sanción</w:t>
      </w:r>
      <w:r>
        <w:rPr>
          <w:spacing w:val="-6"/>
          <w:sz w:val="20"/>
        </w:rPr>
        <w:t> </w:t>
      </w:r>
      <w:r>
        <w:rPr>
          <w:spacing w:val="-2"/>
          <w:sz w:val="20"/>
        </w:rPr>
        <w:t>la</w:t>
      </w:r>
      <w:r>
        <w:rPr>
          <w:spacing w:val="-9"/>
          <w:sz w:val="20"/>
        </w:rPr>
        <w:t> </w:t>
      </w:r>
      <w:r>
        <w:rPr>
          <w:spacing w:val="-2"/>
          <w:sz w:val="20"/>
        </w:rPr>
        <w:t>suspensión</w:t>
      </w:r>
      <w:r>
        <w:rPr>
          <w:spacing w:val="-5"/>
          <w:sz w:val="20"/>
        </w:rPr>
        <w:t> </w:t>
      </w:r>
      <w:r>
        <w:rPr>
          <w:spacing w:val="-2"/>
          <w:sz w:val="20"/>
        </w:rPr>
        <w:t>de</w:t>
      </w:r>
      <w:r>
        <w:rPr>
          <w:spacing w:val="-6"/>
          <w:sz w:val="20"/>
        </w:rPr>
        <w:t> </w:t>
      </w:r>
      <w:r>
        <w:rPr>
          <w:spacing w:val="-2"/>
          <w:sz w:val="20"/>
        </w:rPr>
        <w:t>una</w:t>
      </w:r>
      <w:r>
        <w:rPr>
          <w:spacing w:val="-6"/>
          <w:sz w:val="20"/>
        </w:rPr>
        <w:t> </w:t>
      </w:r>
      <w:r>
        <w:rPr>
          <w:spacing w:val="-2"/>
          <w:sz w:val="20"/>
        </w:rPr>
        <w:t>obra,</w:t>
      </w:r>
      <w:r>
        <w:rPr>
          <w:spacing w:val="-6"/>
          <w:sz w:val="20"/>
        </w:rPr>
        <w:t> </w:t>
      </w:r>
      <w:r>
        <w:rPr>
          <w:spacing w:val="-2"/>
          <w:sz w:val="20"/>
        </w:rPr>
        <w:t>se</w:t>
      </w:r>
      <w:r>
        <w:rPr>
          <w:spacing w:val="-5"/>
          <w:sz w:val="20"/>
        </w:rPr>
        <w:t> </w:t>
      </w:r>
      <w:r>
        <w:rPr>
          <w:spacing w:val="-2"/>
          <w:sz w:val="20"/>
        </w:rPr>
        <w:t>ordenará</w:t>
      </w:r>
      <w:r>
        <w:rPr>
          <w:spacing w:val="-5"/>
          <w:sz w:val="20"/>
        </w:rPr>
        <w:t> </w:t>
      </w:r>
      <w:r>
        <w:rPr>
          <w:spacing w:val="-2"/>
          <w:sz w:val="20"/>
        </w:rPr>
        <w:t>al</w:t>
      </w:r>
      <w:r>
        <w:rPr>
          <w:spacing w:val="-6"/>
          <w:sz w:val="20"/>
        </w:rPr>
        <w:t> </w:t>
      </w:r>
      <w:r>
        <w:rPr>
          <w:spacing w:val="-2"/>
          <w:sz w:val="20"/>
        </w:rPr>
        <w:t>infractor</w:t>
      </w:r>
      <w:r>
        <w:rPr>
          <w:spacing w:val="-7"/>
          <w:sz w:val="20"/>
        </w:rPr>
        <w:t> </w:t>
      </w:r>
      <w:r>
        <w:rPr>
          <w:spacing w:val="-2"/>
          <w:sz w:val="20"/>
        </w:rPr>
        <w:t>que</w:t>
      </w:r>
      <w:r>
        <w:rPr>
          <w:spacing w:val="-5"/>
          <w:sz w:val="20"/>
        </w:rPr>
        <w:t> </w:t>
      </w:r>
      <w:r>
        <w:rPr>
          <w:spacing w:val="-2"/>
          <w:sz w:val="20"/>
        </w:rPr>
        <w:t>realice </w:t>
      </w:r>
      <w:r>
        <w:rPr>
          <w:sz w:val="20"/>
        </w:rPr>
        <w:t>los actos o subsane las omisiones que motivaron la misma, fijando un plazo prudente para ello, a juicio de la autoridad competente, en la inteligencia de que dicha obra permanecerá suspendida hasta en tanto cumpla con lo ordenado;</w:t>
      </w:r>
    </w:p>
    <w:p>
      <w:pPr>
        <w:pStyle w:val="BodyText"/>
        <w:spacing w:before="2"/>
      </w:pPr>
    </w:p>
    <w:p>
      <w:pPr>
        <w:pStyle w:val="ListParagraph"/>
        <w:numPr>
          <w:ilvl w:val="0"/>
          <w:numId w:val="149"/>
        </w:numPr>
        <w:tabs>
          <w:tab w:pos="688" w:val="left" w:leader="none"/>
        </w:tabs>
        <w:spacing w:line="240" w:lineRule="auto" w:before="0" w:after="0"/>
        <w:ind w:left="262" w:right="285" w:firstLine="0"/>
        <w:jc w:val="both"/>
        <w:rPr>
          <w:sz w:val="20"/>
        </w:rPr>
      </w:pPr>
      <w:r>
        <w:rPr>
          <w:sz w:val="20"/>
        </w:rPr>
        <w:t>Para</w:t>
      </w:r>
      <w:r>
        <w:rPr>
          <w:spacing w:val="-7"/>
          <w:sz w:val="20"/>
        </w:rPr>
        <w:t> </w:t>
      </w:r>
      <w:r>
        <w:rPr>
          <w:sz w:val="20"/>
        </w:rPr>
        <w:t>su</w:t>
      </w:r>
      <w:r>
        <w:rPr>
          <w:spacing w:val="-10"/>
          <w:sz w:val="20"/>
        </w:rPr>
        <w:t> </w:t>
      </w:r>
      <w:r>
        <w:rPr>
          <w:sz w:val="20"/>
        </w:rPr>
        <w:t>cumplimiento,</w:t>
      </w:r>
      <w:r>
        <w:rPr>
          <w:spacing w:val="-8"/>
          <w:sz w:val="20"/>
        </w:rPr>
        <w:t> </w:t>
      </w:r>
      <w:r>
        <w:rPr>
          <w:sz w:val="20"/>
        </w:rPr>
        <w:t>las</w:t>
      </w:r>
      <w:r>
        <w:rPr>
          <w:spacing w:val="-9"/>
          <w:sz w:val="20"/>
        </w:rPr>
        <w:t> </w:t>
      </w:r>
      <w:r>
        <w:rPr>
          <w:sz w:val="20"/>
        </w:rPr>
        <w:t>autoridades</w:t>
      </w:r>
      <w:r>
        <w:rPr>
          <w:spacing w:val="-9"/>
          <w:sz w:val="20"/>
        </w:rPr>
        <w:t> </w:t>
      </w:r>
      <w:r>
        <w:rPr>
          <w:sz w:val="20"/>
        </w:rPr>
        <w:t>correspondientes</w:t>
      </w:r>
      <w:r>
        <w:rPr>
          <w:spacing w:val="-9"/>
          <w:sz w:val="20"/>
        </w:rPr>
        <w:t> </w:t>
      </w:r>
      <w:r>
        <w:rPr>
          <w:sz w:val="20"/>
        </w:rPr>
        <w:t>podrán</w:t>
      </w:r>
      <w:r>
        <w:rPr>
          <w:spacing w:val="-8"/>
          <w:sz w:val="20"/>
        </w:rPr>
        <w:t> </w:t>
      </w:r>
      <w:r>
        <w:rPr>
          <w:sz w:val="20"/>
        </w:rPr>
        <w:t>hacer</w:t>
      </w:r>
      <w:r>
        <w:rPr>
          <w:spacing w:val="-7"/>
          <w:sz w:val="20"/>
        </w:rPr>
        <w:t> </w:t>
      </w:r>
      <w:r>
        <w:rPr>
          <w:sz w:val="20"/>
        </w:rPr>
        <w:t>uso</w:t>
      </w:r>
      <w:r>
        <w:rPr>
          <w:spacing w:val="-8"/>
          <w:sz w:val="20"/>
        </w:rPr>
        <w:t> </w:t>
      </w:r>
      <w:r>
        <w:rPr>
          <w:sz w:val="20"/>
        </w:rPr>
        <w:t>de</w:t>
      </w:r>
      <w:r>
        <w:rPr>
          <w:spacing w:val="-8"/>
          <w:sz w:val="20"/>
        </w:rPr>
        <w:t> </w:t>
      </w:r>
      <w:r>
        <w:rPr>
          <w:sz w:val="20"/>
        </w:rPr>
        <w:t>la</w:t>
      </w:r>
      <w:r>
        <w:rPr>
          <w:spacing w:val="-8"/>
          <w:sz w:val="20"/>
        </w:rPr>
        <w:t> </w:t>
      </w:r>
      <w:r>
        <w:rPr>
          <w:sz w:val="20"/>
        </w:rPr>
        <w:t>fuerza</w:t>
      </w:r>
      <w:r>
        <w:rPr>
          <w:spacing w:val="-10"/>
          <w:sz w:val="20"/>
        </w:rPr>
        <w:t> </w:t>
      </w:r>
      <w:r>
        <w:rPr>
          <w:sz w:val="20"/>
        </w:rPr>
        <w:t>pública, </w:t>
      </w:r>
      <w:r>
        <w:rPr>
          <w:spacing w:val="-10"/>
          <w:sz w:val="20"/>
        </w:rPr>
        <w:t>y</w:t>
      </w:r>
    </w:p>
    <w:p>
      <w:pPr>
        <w:pStyle w:val="ListParagraph"/>
        <w:numPr>
          <w:ilvl w:val="0"/>
          <w:numId w:val="149"/>
        </w:numPr>
        <w:tabs>
          <w:tab w:pos="544" w:val="left" w:leader="none"/>
        </w:tabs>
        <w:spacing w:line="240" w:lineRule="auto" w:before="229" w:after="0"/>
        <w:ind w:left="262" w:right="286" w:firstLine="0"/>
        <w:jc w:val="both"/>
        <w:rPr>
          <w:sz w:val="20"/>
        </w:rPr>
      </w:pPr>
      <w:r>
        <w:rPr>
          <w:sz w:val="20"/>
        </w:rPr>
        <w:t>El plazo de caducidad para la aplicación de las sanciones será de cinco años y empezará a computarse desde el día en que se hubiera cometido la infracción.</w:t>
      </w:r>
    </w:p>
    <w:p>
      <w:pPr>
        <w:pStyle w:val="BodyText"/>
        <w:spacing w:before="1"/>
      </w:pPr>
    </w:p>
    <w:p>
      <w:pPr>
        <w:pStyle w:val="BodyText"/>
        <w:ind w:left="262" w:right="277"/>
        <w:jc w:val="both"/>
      </w:pPr>
      <w:r>
        <w:rPr>
          <w:rFonts w:ascii="Arial" w:hAnsi="Arial"/>
          <w:b/>
        </w:rPr>
        <w:t>ARTÍCULO</w:t>
      </w:r>
      <w:r>
        <w:rPr>
          <w:rFonts w:ascii="Arial" w:hAnsi="Arial"/>
          <w:b/>
          <w:spacing w:val="-4"/>
        </w:rPr>
        <w:t> </w:t>
      </w:r>
      <w:r>
        <w:rPr>
          <w:rFonts w:ascii="Arial" w:hAnsi="Arial"/>
          <w:b/>
        </w:rPr>
        <w:t>520.</w:t>
      </w:r>
      <w:r>
        <w:rPr>
          <w:rFonts w:ascii="Arial" w:hAnsi="Arial"/>
          <w:b/>
          <w:spacing w:val="-5"/>
        </w:rPr>
        <w:t> </w:t>
      </w:r>
      <w:r>
        <w:rPr/>
        <w:t>A</w:t>
      </w:r>
      <w:r>
        <w:rPr>
          <w:spacing w:val="-4"/>
        </w:rPr>
        <w:t> </w:t>
      </w:r>
      <w:r>
        <w:rPr/>
        <w:t>quien</w:t>
      </w:r>
      <w:r>
        <w:rPr>
          <w:spacing w:val="-4"/>
        </w:rPr>
        <w:t> </w:t>
      </w:r>
      <w:r>
        <w:rPr/>
        <w:t>que</w:t>
      </w:r>
      <w:r>
        <w:rPr>
          <w:spacing w:val="-6"/>
        </w:rPr>
        <w:t> </w:t>
      </w:r>
      <w:r>
        <w:rPr/>
        <w:t>realice</w:t>
      </w:r>
      <w:r>
        <w:rPr>
          <w:spacing w:val="-3"/>
        </w:rPr>
        <w:t> </w:t>
      </w:r>
      <w:r>
        <w:rPr/>
        <w:t>actos</w:t>
      </w:r>
      <w:r>
        <w:rPr>
          <w:spacing w:val="-5"/>
        </w:rPr>
        <w:t> </w:t>
      </w:r>
      <w:r>
        <w:rPr/>
        <w:t>de</w:t>
      </w:r>
      <w:r>
        <w:rPr>
          <w:spacing w:val="-4"/>
        </w:rPr>
        <w:t> </w:t>
      </w:r>
      <w:r>
        <w:rPr/>
        <w:t>promesa</w:t>
      </w:r>
      <w:r>
        <w:rPr>
          <w:spacing w:val="-6"/>
        </w:rPr>
        <w:t> </w:t>
      </w:r>
      <w:r>
        <w:rPr/>
        <w:t>o</w:t>
      </w:r>
      <w:r>
        <w:rPr>
          <w:spacing w:val="-6"/>
        </w:rPr>
        <w:t> </w:t>
      </w:r>
      <w:r>
        <w:rPr/>
        <w:t>traslativos</w:t>
      </w:r>
      <w:r>
        <w:rPr>
          <w:spacing w:val="-5"/>
        </w:rPr>
        <w:t> </w:t>
      </w:r>
      <w:r>
        <w:rPr/>
        <w:t>de</w:t>
      </w:r>
      <w:r>
        <w:rPr>
          <w:spacing w:val="-6"/>
        </w:rPr>
        <w:t> </w:t>
      </w:r>
      <w:r>
        <w:rPr/>
        <w:t>dominio</w:t>
      </w:r>
      <w:r>
        <w:rPr>
          <w:spacing w:val="-6"/>
        </w:rPr>
        <w:t> </w:t>
      </w:r>
      <w:r>
        <w:rPr/>
        <w:t>de</w:t>
      </w:r>
      <w:r>
        <w:rPr>
          <w:spacing w:val="-6"/>
        </w:rPr>
        <w:t> </w:t>
      </w:r>
      <w:r>
        <w:rPr/>
        <w:t>lotes</w:t>
      </w:r>
      <w:r>
        <w:rPr>
          <w:spacing w:val="-5"/>
        </w:rPr>
        <w:t> </w:t>
      </w:r>
      <w:r>
        <w:rPr/>
        <w:t>o</w:t>
      </w:r>
      <w:r>
        <w:rPr>
          <w:spacing w:val="-6"/>
        </w:rPr>
        <w:t> </w:t>
      </w:r>
      <w:r>
        <w:rPr/>
        <w:t>viviendas sin</w:t>
      </w:r>
      <w:r>
        <w:rPr>
          <w:spacing w:val="-2"/>
        </w:rPr>
        <w:t> </w:t>
      </w:r>
      <w:r>
        <w:rPr/>
        <w:t>contar</w:t>
      </w:r>
      <w:r>
        <w:rPr>
          <w:spacing w:val="-1"/>
        </w:rPr>
        <w:t> </w:t>
      </w:r>
      <w:r>
        <w:rPr/>
        <w:t>con la autorización</w:t>
      </w:r>
      <w:r>
        <w:rPr>
          <w:spacing w:val="-3"/>
        </w:rPr>
        <w:t> </w:t>
      </w:r>
      <w:r>
        <w:rPr/>
        <w:t>correspondiente</w:t>
      </w:r>
      <w:r>
        <w:rPr>
          <w:spacing w:val="-2"/>
        </w:rPr>
        <w:t> </w:t>
      </w:r>
      <w:r>
        <w:rPr/>
        <w:t>en</w:t>
      </w:r>
      <w:r>
        <w:rPr>
          <w:spacing w:val="-2"/>
        </w:rPr>
        <w:t> </w:t>
      </w:r>
      <w:r>
        <w:rPr/>
        <w:t>términos de esta</w:t>
      </w:r>
      <w:r>
        <w:rPr>
          <w:spacing w:val="-2"/>
        </w:rPr>
        <w:t> </w:t>
      </w:r>
      <w:r>
        <w:rPr/>
        <w:t>Ley,</w:t>
      </w:r>
      <w:r>
        <w:rPr>
          <w:spacing w:val="-2"/>
        </w:rPr>
        <w:t> </w:t>
      </w:r>
      <w:r>
        <w:rPr/>
        <w:t>independientemente</w:t>
      </w:r>
      <w:r>
        <w:rPr>
          <w:spacing w:val="-2"/>
        </w:rPr>
        <w:t> </w:t>
      </w:r>
      <w:r>
        <w:rPr/>
        <w:t>de las acciones legales que ejerzan el o los afectados, se le impondrá una multa de trescientos a quince mil días UMA.</w:t>
      </w:r>
    </w:p>
    <w:p>
      <w:pPr>
        <w:pStyle w:val="BodyText"/>
      </w:pPr>
    </w:p>
    <w:p>
      <w:pPr>
        <w:pStyle w:val="BodyText"/>
        <w:ind w:left="262" w:right="278"/>
        <w:jc w:val="both"/>
      </w:pPr>
      <w:r>
        <w:rPr>
          <w:rFonts w:ascii="Arial" w:hAnsi="Arial"/>
          <w:b/>
          <w:spacing w:val="-2"/>
        </w:rPr>
        <w:t>ARTÍCULO 521. </w:t>
      </w:r>
      <w:r>
        <w:rPr>
          <w:spacing w:val="-2"/>
        </w:rPr>
        <w:t>Serán nulos</w:t>
      </w:r>
      <w:r>
        <w:rPr>
          <w:spacing w:val="-4"/>
        </w:rPr>
        <w:t> </w:t>
      </w:r>
      <w:r>
        <w:rPr>
          <w:spacing w:val="-2"/>
        </w:rPr>
        <w:t>previa</w:t>
      </w:r>
      <w:r>
        <w:rPr>
          <w:spacing w:val="-5"/>
        </w:rPr>
        <w:t> </w:t>
      </w:r>
      <w:r>
        <w:rPr>
          <w:spacing w:val="-2"/>
        </w:rPr>
        <w:t>declaración judicial, todos</w:t>
      </w:r>
      <w:r>
        <w:rPr>
          <w:spacing w:val="-4"/>
        </w:rPr>
        <w:t> </w:t>
      </w:r>
      <w:r>
        <w:rPr>
          <w:spacing w:val="-2"/>
        </w:rPr>
        <w:t>los</w:t>
      </w:r>
      <w:r>
        <w:rPr>
          <w:spacing w:val="-4"/>
        </w:rPr>
        <w:t> </w:t>
      </w:r>
      <w:r>
        <w:rPr>
          <w:spacing w:val="-2"/>
        </w:rPr>
        <w:t>trámites</w:t>
      </w:r>
      <w:r>
        <w:rPr>
          <w:spacing w:val="-4"/>
        </w:rPr>
        <w:t> </w:t>
      </w:r>
      <w:r>
        <w:rPr>
          <w:spacing w:val="-2"/>
        </w:rPr>
        <w:t>administrativos</w:t>
      </w:r>
      <w:r>
        <w:rPr>
          <w:spacing w:val="-4"/>
        </w:rPr>
        <w:t> </w:t>
      </w:r>
      <w:r>
        <w:rPr>
          <w:spacing w:val="-2"/>
        </w:rPr>
        <w:t>o jurídicos </w:t>
      </w:r>
      <w:r>
        <w:rPr/>
        <w:t>que celebre el fraccionador, que tengan por objeto la venta de los lotes de un fraccionamiento, sin que previamente se hubieren satisfecho los requisitos que señala el artículo 479 de esta Ley y cuando no se hubieren concluido totalmente las obras de urbanización y que éstas no hayan sido aprobadas por el Ayuntamiento respectivo, en los términos de esta Ley.</w:t>
      </w:r>
    </w:p>
    <w:p>
      <w:pPr>
        <w:pStyle w:val="BodyText"/>
      </w:pPr>
    </w:p>
    <w:p>
      <w:pPr>
        <w:pStyle w:val="BodyText"/>
        <w:spacing w:before="1"/>
        <w:ind w:left="262" w:right="278"/>
        <w:jc w:val="both"/>
      </w:pPr>
      <w:r>
        <w:rPr>
          <w:rFonts w:ascii="Arial" w:hAnsi="Arial"/>
          <w:b/>
        </w:rPr>
        <w:t>ARTÍCULO 522. </w:t>
      </w:r>
      <w:r>
        <w:rPr/>
        <w:t>En el caso de que sea de estricta necesidad demoler total o parcialmente las construcciones, ampliaciones o reconstrucciones realizadas sin licencia, ni autorización, o en contravención a lo dispuesto</w:t>
      </w:r>
      <w:r>
        <w:rPr>
          <w:spacing w:val="-2"/>
        </w:rPr>
        <w:t> </w:t>
      </w:r>
      <w:r>
        <w:rPr/>
        <w:t>por</w:t>
      </w:r>
      <w:r>
        <w:rPr>
          <w:spacing w:val="-1"/>
        </w:rPr>
        <w:t> </w:t>
      </w:r>
      <w:r>
        <w:rPr/>
        <w:t>esta Ley, el</w:t>
      </w:r>
      <w:r>
        <w:rPr>
          <w:spacing w:val="-1"/>
        </w:rPr>
        <w:t> </w:t>
      </w:r>
      <w:r>
        <w:rPr/>
        <w:t>costo de los</w:t>
      </w:r>
      <w:r>
        <w:rPr>
          <w:spacing w:val="-1"/>
        </w:rPr>
        <w:t> </w:t>
      </w:r>
      <w:r>
        <w:rPr/>
        <w:t>trabajos</w:t>
      </w:r>
      <w:r>
        <w:rPr>
          <w:spacing w:val="-1"/>
        </w:rPr>
        <w:t> </w:t>
      </w:r>
      <w:r>
        <w:rPr/>
        <w:t>será a cargo de los</w:t>
      </w:r>
      <w:r>
        <w:rPr>
          <w:spacing w:val="-1"/>
        </w:rPr>
        <w:t> </w:t>
      </w:r>
      <w:r>
        <w:rPr/>
        <w:t>propietarios, fraccionadores, constructores o poseedores.</w:t>
      </w:r>
    </w:p>
    <w:p>
      <w:pPr>
        <w:pStyle w:val="BodyText"/>
        <w:spacing w:before="229"/>
        <w:ind w:left="262" w:right="286"/>
        <w:jc w:val="both"/>
      </w:pPr>
      <w:r>
        <w:rPr/>
        <w:t>Tratándose de demolición total o parcial, suspensión o clausura temporal o definitiva, el personal encargado de ejecutarla, deberá levantar acta circunstanciada observando las formalidades establecidas para las inspecciones.</w:t>
      </w:r>
    </w:p>
    <w:p>
      <w:pPr>
        <w:pStyle w:val="BodyText"/>
        <w:spacing w:before="230"/>
        <w:ind w:left="262" w:right="285"/>
        <w:jc w:val="both"/>
      </w:pPr>
      <w:r>
        <w:rPr>
          <w:rFonts w:ascii="Arial" w:hAnsi="Arial"/>
          <w:b/>
        </w:rPr>
        <w:t>ARTÍCULO 523. </w:t>
      </w:r>
      <w:r>
        <w:rPr/>
        <w:t>Para la imposición de las sanciones administrativas se estará al procedimiento dispuesto en el Código Procesal Administrativo para el Estado de San Luis Potosí.</w:t>
      </w:r>
    </w:p>
    <w:p>
      <w:pPr>
        <w:pStyle w:val="BodyText"/>
        <w:spacing w:before="1"/>
      </w:pPr>
    </w:p>
    <w:p>
      <w:pPr>
        <w:pStyle w:val="BodyText"/>
        <w:ind w:left="262" w:right="278"/>
        <w:jc w:val="both"/>
      </w:pPr>
      <w:r>
        <w:rPr>
          <w:rFonts w:ascii="Arial" w:hAnsi="Arial"/>
          <w:b/>
        </w:rPr>
        <w:t>ARTÍCULO 524. </w:t>
      </w:r>
      <w:r>
        <w:rPr/>
        <w:t>Cuando el fraccionador incurra en violaciones graves o sustanciales al proyecto definitivo, el supervisor dará cuenta inmediata al Ayuntamiento de las irregularidades descubiertas, para</w:t>
      </w:r>
      <w:r>
        <w:rPr>
          <w:spacing w:val="-6"/>
        </w:rPr>
        <w:t> </w:t>
      </w:r>
      <w:r>
        <w:rPr/>
        <w:t>que</w:t>
      </w:r>
      <w:r>
        <w:rPr>
          <w:spacing w:val="-6"/>
        </w:rPr>
        <w:t> </w:t>
      </w:r>
      <w:r>
        <w:rPr/>
        <w:t>se</w:t>
      </w:r>
      <w:r>
        <w:rPr>
          <w:spacing w:val="-4"/>
        </w:rPr>
        <w:t> </w:t>
      </w:r>
      <w:r>
        <w:rPr/>
        <w:t>apliquen</w:t>
      </w:r>
      <w:r>
        <w:rPr>
          <w:spacing w:val="-3"/>
        </w:rPr>
        <w:t> </w:t>
      </w:r>
      <w:r>
        <w:rPr/>
        <w:t>las</w:t>
      </w:r>
      <w:r>
        <w:rPr>
          <w:spacing w:val="-5"/>
        </w:rPr>
        <w:t> </w:t>
      </w:r>
      <w:r>
        <w:rPr/>
        <w:t>medidas</w:t>
      </w:r>
      <w:r>
        <w:rPr>
          <w:spacing w:val="-4"/>
        </w:rPr>
        <w:t> </w:t>
      </w:r>
      <w:r>
        <w:rPr/>
        <w:t>de</w:t>
      </w:r>
      <w:r>
        <w:rPr>
          <w:spacing w:val="-6"/>
        </w:rPr>
        <w:t> </w:t>
      </w:r>
      <w:r>
        <w:rPr/>
        <w:t>seguridad</w:t>
      </w:r>
      <w:r>
        <w:rPr>
          <w:spacing w:val="-6"/>
        </w:rPr>
        <w:t> </w:t>
      </w:r>
      <w:r>
        <w:rPr/>
        <w:t>y/o</w:t>
      </w:r>
      <w:r>
        <w:rPr>
          <w:spacing w:val="-4"/>
        </w:rPr>
        <w:t> </w:t>
      </w:r>
      <w:r>
        <w:rPr/>
        <w:t>sanciones</w:t>
      </w:r>
      <w:r>
        <w:rPr>
          <w:spacing w:val="-5"/>
        </w:rPr>
        <w:t> </w:t>
      </w:r>
      <w:r>
        <w:rPr/>
        <w:t>correspondientes.</w:t>
      </w:r>
      <w:r>
        <w:rPr>
          <w:spacing w:val="-3"/>
        </w:rPr>
        <w:t> </w:t>
      </w:r>
      <w:r>
        <w:rPr/>
        <w:t>En</w:t>
      </w:r>
      <w:r>
        <w:rPr>
          <w:spacing w:val="-6"/>
        </w:rPr>
        <w:t> </w:t>
      </w:r>
      <w:r>
        <w:rPr/>
        <w:t>caso</w:t>
      </w:r>
      <w:r>
        <w:rPr>
          <w:spacing w:val="-4"/>
        </w:rPr>
        <w:t> </w:t>
      </w:r>
      <w:r>
        <w:rPr/>
        <w:t>de</w:t>
      </w:r>
      <w:r>
        <w:rPr>
          <w:spacing w:val="-4"/>
        </w:rPr>
        <w:t> </w:t>
      </w:r>
      <w:r>
        <w:rPr/>
        <w:t>que</w:t>
      </w:r>
      <w:r>
        <w:rPr>
          <w:spacing w:val="-6"/>
        </w:rPr>
        <w:t> </w:t>
      </w:r>
      <w:r>
        <w:rPr/>
        <w:t>no se</w:t>
      </w:r>
      <w:r>
        <w:rPr>
          <w:spacing w:val="-6"/>
        </w:rPr>
        <w:t> </w:t>
      </w:r>
      <w:r>
        <w:rPr/>
        <w:t>corrijan</w:t>
      </w:r>
      <w:r>
        <w:rPr>
          <w:spacing w:val="-6"/>
        </w:rPr>
        <w:t> </w:t>
      </w:r>
      <w:r>
        <w:rPr/>
        <w:t>las</w:t>
      </w:r>
      <w:r>
        <w:rPr>
          <w:spacing w:val="-5"/>
        </w:rPr>
        <w:t> </w:t>
      </w:r>
      <w:r>
        <w:rPr/>
        <w:t>violaciones</w:t>
      </w:r>
      <w:r>
        <w:rPr>
          <w:spacing w:val="-4"/>
        </w:rPr>
        <w:t> </w:t>
      </w:r>
      <w:r>
        <w:rPr/>
        <w:t>en</w:t>
      </w:r>
      <w:r>
        <w:rPr>
          <w:spacing w:val="-6"/>
        </w:rPr>
        <w:t> </w:t>
      </w:r>
      <w:r>
        <w:rPr/>
        <w:t>el</w:t>
      </w:r>
      <w:r>
        <w:rPr>
          <w:spacing w:val="-5"/>
        </w:rPr>
        <w:t> </w:t>
      </w:r>
      <w:r>
        <w:rPr/>
        <w:t>plazo</w:t>
      </w:r>
      <w:r>
        <w:rPr>
          <w:spacing w:val="-6"/>
        </w:rPr>
        <w:t> </w:t>
      </w:r>
      <w:r>
        <w:rPr/>
        <w:t>fijado,</w:t>
      </w:r>
      <w:r>
        <w:rPr>
          <w:spacing w:val="-4"/>
        </w:rPr>
        <w:t> </w:t>
      </w:r>
      <w:r>
        <w:rPr/>
        <w:t>se</w:t>
      </w:r>
      <w:r>
        <w:rPr>
          <w:spacing w:val="-6"/>
        </w:rPr>
        <w:t> </w:t>
      </w:r>
      <w:r>
        <w:rPr/>
        <w:t>hará</w:t>
      </w:r>
      <w:r>
        <w:rPr>
          <w:spacing w:val="-6"/>
        </w:rPr>
        <w:t> </w:t>
      </w:r>
      <w:r>
        <w:rPr/>
        <w:t>efectiva</w:t>
      </w:r>
      <w:r>
        <w:rPr>
          <w:spacing w:val="-6"/>
        </w:rPr>
        <w:t> </w:t>
      </w:r>
      <w:r>
        <w:rPr/>
        <w:t>la</w:t>
      </w:r>
      <w:r>
        <w:rPr>
          <w:spacing w:val="-6"/>
        </w:rPr>
        <w:t> </w:t>
      </w:r>
      <w:r>
        <w:rPr/>
        <w:t>garantía</w:t>
      </w:r>
      <w:r>
        <w:rPr>
          <w:spacing w:val="-6"/>
        </w:rPr>
        <w:t> </w:t>
      </w:r>
      <w:r>
        <w:rPr/>
        <w:t>o</w:t>
      </w:r>
      <w:r>
        <w:rPr>
          <w:spacing w:val="-3"/>
        </w:rPr>
        <w:t> </w:t>
      </w:r>
      <w:r>
        <w:rPr/>
        <w:t>garantías</w:t>
      </w:r>
      <w:r>
        <w:rPr>
          <w:spacing w:val="-5"/>
        </w:rPr>
        <w:t> </w:t>
      </w:r>
      <w:r>
        <w:rPr/>
        <w:t>a</w:t>
      </w:r>
      <w:r>
        <w:rPr>
          <w:spacing w:val="-6"/>
        </w:rPr>
        <w:t> </w:t>
      </w:r>
      <w:r>
        <w:rPr/>
        <w:t>que</w:t>
      </w:r>
      <w:r>
        <w:rPr>
          <w:spacing w:val="-6"/>
        </w:rPr>
        <w:t> </w:t>
      </w:r>
      <w:r>
        <w:rPr/>
        <w:t>se</w:t>
      </w:r>
      <w:r>
        <w:rPr>
          <w:spacing w:val="-6"/>
        </w:rPr>
        <w:t> </w:t>
      </w:r>
      <w:r>
        <w:rPr/>
        <w:t>refiere esta Ley.</w:t>
      </w:r>
    </w:p>
    <w:p>
      <w:pPr>
        <w:pStyle w:val="BodyText"/>
        <w:spacing w:before="228"/>
        <w:ind w:left="262" w:right="289"/>
        <w:jc w:val="both"/>
        <w:rPr>
          <w:rFonts w:ascii="Arial" w:hAnsi="Arial"/>
          <w:b/>
        </w:rPr>
      </w:pPr>
      <w:r>
        <w:rPr/>
        <w:t>Tratándose</w:t>
      </w:r>
      <w:r>
        <w:rPr>
          <w:spacing w:val="-2"/>
        </w:rPr>
        <w:t> </w:t>
      </w:r>
      <w:r>
        <w:rPr/>
        <w:t>de</w:t>
      </w:r>
      <w:r>
        <w:rPr>
          <w:spacing w:val="-2"/>
        </w:rPr>
        <w:t> </w:t>
      </w:r>
      <w:r>
        <w:rPr/>
        <w:t>violaciones al</w:t>
      </w:r>
      <w:r>
        <w:rPr>
          <w:spacing w:val="-3"/>
        </w:rPr>
        <w:t> </w:t>
      </w:r>
      <w:r>
        <w:rPr/>
        <w:t>proyecto</w:t>
      </w:r>
      <w:r>
        <w:rPr>
          <w:spacing w:val="-2"/>
        </w:rPr>
        <w:t> </w:t>
      </w:r>
      <w:r>
        <w:rPr/>
        <w:t>definitivo, que no</w:t>
      </w:r>
      <w:r>
        <w:rPr>
          <w:spacing w:val="-2"/>
        </w:rPr>
        <w:t> </w:t>
      </w:r>
      <w:r>
        <w:rPr/>
        <w:t>sean graves</w:t>
      </w:r>
      <w:r>
        <w:rPr>
          <w:spacing w:val="-1"/>
        </w:rPr>
        <w:t> </w:t>
      </w:r>
      <w:r>
        <w:rPr/>
        <w:t>o</w:t>
      </w:r>
      <w:r>
        <w:rPr>
          <w:spacing w:val="-2"/>
        </w:rPr>
        <w:t> </w:t>
      </w:r>
      <w:r>
        <w:rPr/>
        <w:t>sustanciales,</w:t>
      </w:r>
      <w:r>
        <w:rPr>
          <w:spacing w:val="-2"/>
        </w:rPr>
        <w:t> </w:t>
      </w:r>
      <w:r>
        <w:rPr/>
        <w:t>se</w:t>
      </w:r>
      <w:r>
        <w:rPr>
          <w:spacing w:val="-2"/>
        </w:rPr>
        <w:t> </w:t>
      </w:r>
      <w:r>
        <w:rPr/>
        <w:t>impondrá a los infractores una sanción entre cincuenta a cien días UMA</w:t>
      </w:r>
      <w:r>
        <w:rPr>
          <w:rFonts w:ascii="Arial" w:hAnsi="Arial"/>
          <w:b/>
        </w:rPr>
        <w:t>.</w:t>
      </w:r>
    </w:p>
    <w:p>
      <w:pPr>
        <w:pStyle w:val="BodyText"/>
        <w:spacing w:after="0"/>
        <w:jc w:val="both"/>
        <w:rPr>
          <w:rFonts w:ascii="Arial" w:hAnsi="Arial"/>
          <w:b/>
        </w:rPr>
        <w:sectPr>
          <w:pgSz w:w="12240" w:h="15840"/>
          <w:pgMar w:header="720" w:footer="697" w:top="2100" w:bottom="880" w:left="1440" w:right="1440"/>
        </w:sectPr>
      </w:pPr>
    </w:p>
    <w:p>
      <w:pPr>
        <w:pStyle w:val="BodyText"/>
        <w:rPr>
          <w:rFonts w:ascii="Arial"/>
          <w:b/>
        </w:rPr>
      </w:pPr>
    </w:p>
    <w:p>
      <w:pPr>
        <w:pStyle w:val="BodyText"/>
        <w:spacing w:before="71"/>
        <w:rPr>
          <w:rFonts w:ascii="Arial"/>
          <w:b/>
        </w:rPr>
      </w:pPr>
    </w:p>
    <w:p>
      <w:pPr>
        <w:pStyle w:val="BodyText"/>
        <w:ind w:left="262" w:right="285"/>
        <w:jc w:val="both"/>
      </w:pPr>
      <w:r>
        <w:rPr>
          <w:rFonts w:ascii="Arial" w:hAnsi="Arial"/>
          <w:b/>
        </w:rPr>
        <w:t>ARTÍCULO 525. </w:t>
      </w:r>
      <w:r>
        <w:rPr/>
        <w:t>Será nula la subdivisión de lotes en fracciones menores a las señaladas en los programas</w:t>
      </w:r>
      <w:r>
        <w:rPr>
          <w:spacing w:val="-11"/>
        </w:rPr>
        <w:t> </w:t>
      </w:r>
      <w:r>
        <w:rPr/>
        <w:t>de</w:t>
      </w:r>
      <w:r>
        <w:rPr>
          <w:spacing w:val="-13"/>
        </w:rPr>
        <w:t> </w:t>
      </w:r>
      <w:r>
        <w:rPr/>
        <w:t>desarrollo</w:t>
      </w:r>
      <w:r>
        <w:rPr>
          <w:spacing w:val="-12"/>
        </w:rPr>
        <w:t> </w:t>
      </w:r>
      <w:r>
        <w:rPr/>
        <w:t>urbano,</w:t>
      </w:r>
      <w:r>
        <w:rPr>
          <w:spacing w:val="-12"/>
        </w:rPr>
        <w:t> </w:t>
      </w:r>
      <w:r>
        <w:rPr/>
        <w:t>o</w:t>
      </w:r>
      <w:r>
        <w:rPr>
          <w:spacing w:val="-12"/>
        </w:rPr>
        <w:t> </w:t>
      </w:r>
      <w:r>
        <w:rPr/>
        <w:t>en</w:t>
      </w:r>
      <w:r>
        <w:rPr>
          <w:spacing w:val="-12"/>
        </w:rPr>
        <w:t> </w:t>
      </w:r>
      <w:r>
        <w:rPr/>
        <w:t>las</w:t>
      </w:r>
      <w:r>
        <w:rPr>
          <w:spacing w:val="-11"/>
        </w:rPr>
        <w:t> </w:t>
      </w:r>
      <w:r>
        <w:rPr/>
        <w:t>disposiciones</w:t>
      </w:r>
      <w:r>
        <w:rPr>
          <w:spacing w:val="-11"/>
        </w:rPr>
        <w:t> </w:t>
      </w:r>
      <w:r>
        <w:rPr/>
        <w:t>legales</w:t>
      </w:r>
      <w:r>
        <w:rPr>
          <w:spacing w:val="-11"/>
        </w:rPr>
        <w:t> </w:t>
      </w:r>
      <w:r>
        <w:rPr/>
        <w:t>correspondientes,</w:t>
      </w:r>
      <w:r>
        <w:rPr>
          <w:spacing w:val="-10"/>
        </w:rPr>
        <w:t> </w:t>
      </w:r>
      <w:r>
        <w:rPr/>
        <w:t>según</w:t>
      </w:r>
      <w:r>
        <w:rPr>
          <w:spacing w:val="-13"/>
        </w:rPr>
        <w:t> </w:t>
      </w:r>
      <w:r>
        <w:rPr/>
        <w:t>el</w:t>
      </w:r>
      <w:r>
        <w:rPr>
          <w:spacing w:val="-13"/>
        </w:rPr>
        <w:t> </w:t>
      </w:r>
      <w:r>
        <w:rPr/>
        <w:t>caso,</w:t>
      </w:r>
      <w:r>
        <w:rPr>
          <w:spacing w:val="-10"/>
        </w:rPr>
        <w:t> </w:t>
      </w:r>
      <w:r>
        <w:rPr/>
        <w:t>así como las operaciones de traslación de dominio que se hubieren realizado sobre dichas fracciones.</w:t>
      </w:r>
    </w:p>
    <w:p>
      <w:pPr>
        <w:pStyle w:val="BodyText"/>
        <w:spacing w:before="229"/>
      </w:pPr>
    </w:p>
    <w:p>
      <w:pPr>
        <w:pStyle w:val="Heading1"/>
        <w:spacing w:before="1"/>
      </w:pPr>
      <w:r>
        <w:rPr/>
        <w:t>TÍTULO</w:t>
      </w:r>
      <w:r>
        <w:rPr>
          <w:spacing w:val="-10"/>
        </w:rPr>
        <w:t> </w:t>
      </w:r>
      <w:r>
        <w:rPr/>
        <w:t>VIGÉSIMO</w:t>
      </w:r>
      <w:r>
        <w:rPr>
          <w:spacing w:val="-9"/>
        </w:rPr>
        <w:t> </w:t>
      </w:r>
      <w:r>
        <w:rPr>
          <w:spacing w:val="-2"/>
        </w:rPr>
        <w:t>CUARTO</w:t>
      </w:r>
    </w:p>
    <w:p>
      <w:pPr>
        <w:pStyle w:val="BodyText"/>
        <w:rPr>
          <w:rFonts w:ascii="Arial"/>
          <w:b/>
        </w:rPr>
      </w:pPr>
    </w:p>
    <w:p>
      <w:pPr>
        <w:spacing w:before="0"/>
        <w:ind w:left="148" w:right="170" w:firstLine="0"/>
        <w:jc w:val="center"/>
        <w:rPr>
          <w:rFonts w:ascii="Arial" w:hAnsi="Arial"/>
          <w:b/>
          <w:sz w:val="20"/>
        </w:rPr>
      </w:pPr>
      <w:r>
        <w:rPr>
          <w:rFonts w:ascii="Arial" w:hAnsi="Arial"/>
          <w:b/>
          <w:sz w:val="20"/>
        </w:rPr>
        <w:t>NOTIFICACIONES,</w:t>
      </w:r>
      <w:r>
        <w:rPr>
          <w:rFonts w:ascii="Arial" w:hAnsi="Arial"/>
          <w:b/>
          <w:spacing w:val="-10"/>
          <w:sz w:val="20"/>
        </w:rPr>
        <w:t> </w:t>
      </w:r>
      <w:r>
        <w:rPr>
          <w:rFonts w:ascii="Arial" w:hAnsi="Arial"/>
          <w:b/>
          <w:sz w:val="20"/>
        </w:rPr>
        <w:t>INSPECCIONES</w:t>
      </w:r>
      <w:r>
        <w:rPr>
          <w:rFonts w:ascii="Arial" w:hAnsi="Arial"/>
          <w:b/>
          <w:spacing w:val="-9"/>
          <w:sz w:val="20"/>
        </w:rPr>
        <w:t> </w:t>
      </w:r>
      <w:r>
        <w:rPr>
          <w:rFonts w:ascii="Arial" w:hAnsi="Arial"/>
          <w:b/>
          <w:sz w:val="20"/>
        </w:rPr>
        <w:t>Y</w:t>
      </w:r>
      <w:r>
        <w:rPr>
          <w:rFonts w:ascii="Arial" w:hAnsi="Arial"/>
          <w:b/>
          <w:spacing w:val="-7"/>
          <w:sz w:val="20"/>
        </w:rPr>
        <w:t> </w:t>
      </w:r>
      <w:r>
        <w:rPr>
          <w:rFonts w:ascii="Arial" w:hAnsi="Arial"/>
          <w:b/>
          <w:sz w:val="20"/>
        </w:rPr>
        <w:t>VERIFICACIONES,</w:t>
      </w:r>
      <w:r>
        <w:rPr>
          <w:rFonts w:ascii="Arial" w:hAnsi="Arial"/>
          <w:b/>
          <w:spacing w:val="-9"/>
          <w:sz w:val="20"/>
        </w:rPr>
        <w:t> </w:t>
      </w:r>
      <w:r>
        <w:rPr>
          <w:rFonts w:ascii="Arial" w:hAnsi="Arial"/>
          <w:b/>
          <w:sz w:val="20"/>
        </w:rPr>
        <w:t>Y</w:t>
      </w:r>
      <w:r>
        <w:rPr>
          <w:rFonts w:ascii="Arial" w:hAnsi="Arial"/>
          <w:b/>
          <w:spacing w:val="-9"/>
          <w:sz w:val="20"/>
        </w:rPr>
        <w:t> </w:t>
      </w:r>
      <w:r>
        <w:rPr>
          <w:rFonts w:ascii="Arial" w:hAnsi="Arial"/>
          <w:b/>
          <w:sz w:val="20"/>
        </w:rPr>
        <w:t>MEDIOS</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pacing w:val="-2"/>
          <w:sz w:val="20"/>
        </w:rPr>
        <w:t>IMPUGNACIÓN</w:t>
      </w:r>
    </w:p>
    <w:p>
      <w:pPr>
        <w:pStyle w:val="BodyText"/>
        <w:rPr>
          <w:rFonts w:ascii="Arial"/>
          <w:b/>
        </w:rPr>
      </w:pPr>
    </w:p>
    <w:p>
      <w:pPr>
        <w:pStyle w:val="BodyText"/>
        <w:spacing w:before="2"/>
        <w:rPr>
          <w:rFonts w:ascii="Arial"/>
          <w:b/>
        </w:rPr>
      </w:pPr>
    </w:p>
    <w:p>
      <w:pPr>
        <w:pStyle w:val="Heading2"/>
      </w:pPr>
      <w:r>
        <w:rPr/>
        <w:t>Capitulo</w:t>
      </w:r>
      <w:r>
        <w:rPr>
          <w:spacing w:val="-8"/>
        </w:rPr>
        <w:t> </w:t>
      </w:r>
      <w:r>
        <w:rPr>
          <w:spacing w:val="-2"/>
        </w:rPr>
        <w:t>Único</w:t>
      </w:r>
    </w:p>
    <w:p>
      <w:pPr>
        <w:pStyle w:val="BodyText"/>
        <w:spacing w:before="229"/>
        <w:ind w:left="262" w:right="277"/>
        <w:jc w:val="both"/>
      </w:pPr>
      <w:r>
        <w:rPr>
          <w:rFonts w:ascii="Arial" w:hAnsi="Arial"/>
          <w:b/>
        </w:rPr>
        <w:t>ARTÍCULO 526</w:t>
      </w:r>
      <w:r>
        <w:rPr/>
        <w:t>. La Secretaría, los ayuntamientos y demás autoridades a que se refiere esta Ley, en el ámbito de su competencia, tendrán a su cargo la vigilancia del cumplimiento de las disposiciones</w:t>
      </w:r>
      <w:r>
        <w:rPr>
          <w:spacing w:val="-3"/>
        </w:rPr>
        <w:t> </w:t>
      </w:r>
      <w:r>
        <w:rPr/>
        <w:t>del</w:t>
      </w:r>
      <w:r>
        <w:rPr>
          <w:spacing w:val="-3"/>
        </w:rPr>
        <w:t> </w:t>
      </w:r>
      <w:r>
        <w:rPr/>
        <w:t>presente ordenamiento;</w:t>
      </w:r>
      <w:r>
        <w:rPr>
          <w:spacing w:val="-2"/>
        </w:rPr>
        <w:t> </w:t>
      </w:r>
      <w:r>
        <w:rPr/>
        <w:t>para</w:t>
      </w:r>
      <w:r>
        <w:rPr>
          <w:spacing w:val="-2"/>
        </w:rPr>
        <w:t> </w:t>
      </w:r>
      <w:r>
        <w:rPr/>
        <w:t>tal</w:t>
      </w:r>
      <w:r>
        <w:rPr>
          <w:spacing w:val="-3"/>
        </w:rPr>
        <w:t> </w:t>
      </w:r>
      <w:r>
        <w:rPr/>
        <w:t>efecto,</w:t>
      </w:r>
      <w:r>
        <w:rPr>
          <w:spacing w:val="-2"/>
        </w:rPr>
        <w:t> </w:t>
      </w:r>
      <w:r>
        <w:rPr/>
        <w:t>podrán</w:t>
      </w:r>
      <w:r>
        <w:rPr>
          <w:spacing w:val="-2"/>
        </w:rPr>
        <w:t> </w:t>
      </w:r>
      <w:r>
        <w:rPr/>
        <w:t>adoptar</w:t>
      </w:r>
      <w:r>
        <w:rPr>
          <w:spacing w:val="-1"/>
        </w:rPr>
        <w:t> </w:t>
      </w:r>
      <w:r>
        <w:rPr/>
        <w:t>y</w:t>
      </w:r>
      <w:r>
        <w:rPr>
          <w:spacing w:val="-3"/>
        </w:rPr>
        <w:t> </w:t>
      </w:r>
      <w:r>
        <w:rPr/>
        <w:t>ejecutar</w:t>
      </w:r>
      <w:r>
        <w:rPr>
          <w:spacing w:val="-4"/>
        </w:rPr>
        <w:t> </w:t>
      </w:r>
      <w:r>
        <w:rPr/>
        <w:t>las</w:t>
      </w:r>
      <w:r>
        <w:rPr>
          <w:spacing w:val="-3"/>
        </w:rPr>
        <w:t> </w:t>
      </w:r>
      <w:r>
        <w:rPr/>
        <w:t>medidas</w:t>
      </w:r>
      <w:r>
        <w:rPr>
          <w:spacing w:val="-1"/>
        </w:rPr>
        <w:t> </w:t>
      </w:r>
      <w:r>
        <w:rPr/>
        <w:t>de seguridad, determinar las infracciones e imponer las sanciones administrativas que correspondan.</w:t>
      </w:r>
    </w:p>
    <w:p>
      <w:pPr>
        <w:pStyle w:val="BodyText"/>
        <w:spacing w:before="229"/>
        <w:ind w:left="262" w:right="276"/>
        <w:jc w:val="both"/>
      </w:pPr>
      <w:r>
        <w:rPr>
          <w:rFonts w:ascii="Arial" w:hAnsi="Arial"/>
          <w:b/>
        </w:rPr>
        <w:t>ARTÍCULO 527. </w:t>
      </w:r>
      <w:r>
        <w:rPr/>
        <w:t>Las autoridades administrativas estatales y municipales, en el ámbito de su competencia, tendrán la facultad de ordenar visitas de inspección, verificación o supervisión a las obras en construcción de fraccionamientos, subdivisiones, fusiones y relotificaciones de terrenos, así</w:t>
      </w:r>
      <w:r>
        <w:rPr>
          <w:spacing w:val="-14"/>
        </w:rPr>
        <w:t> </w:t>
      </w:r>
      <w:r>
        <w:rPr/>
        <w:t>como</w:t>
      </w:r>
      <w:r>
        <w:rPr>
          <w:spacing w:val="-14"/>
        </w:rPr>
        <w:t> </w:t>
      </w:r>
      <w:r>
        <w:rPr/>
        <w:t>en</w:t>
      </w:r>
      <w:r>
        <w:rPr>
          <w:spacing w:val="-14"/>
        </w:rPr>
        <w:t> </w:t>
      </w:r>
      <w:r>
        <w:rPr/>
        <w:t>los</w:t>
      </w:r>
      <w:r>
        <w:rPr>
          <w:spacing w:val="-14"/>
        </w:rPr>
        <w:t> </w:t>
      </w:r>
      <w:r>
        <w:rPr/>
        <w:t>desarrollos</w:t>
      </w:r>
      <w:r>
        <w:rPr>
          <w:spacing w:val="-14"/>
        </w:rPr>
        <w:t> </w:t>
      </w:r>
      <w:r>
        <w:rPr/>
        <w:t>en</w:t>
      </w:r>
      <w:r>
        <w:rPr>
          <w:spacing w:val="-14"/>
        </w:rPr>
        <w:t> </w:t>
      </w:r>
      <w:r>
        <w:rPr/>
        <w:t>régimen</w:t>
      </w:r>
      <w:r>
        <w:rPr>
          <w:spacing w:val="-14"/>
        </w:rPr>
        <w:t> </w:t>
      </w:r>
      <w:r>
        <w:rPr/>
        <w:t>de</w:t>
      </w:r>
      <w:r>
        <w:rPr>
          <w:spacing w:val="-14"/>
        </w:rPr>
        <w:t> </w:t>
      </w:r>
      <w:r>
        <w:rPr/>
        <w:t>propiedad</w:t>
      </w:r>
      <w:r>
        <w:rPr>
          <w:spacing w:val="-14"/>
        </w:rPr>
        <w:t> </w:t>
      </w:r>
      <w:r>
        <w:rPr/>
        <w:t>en</w:t>
      </w:r>
      <w:r>
        <w:rPr>
          <w:spacing w:val="-13"/>
        </w:rPr>
        <w:t> </w:t>
      </w:r>
      <w:r>
        <w:rPr/>
        <w:t>condominio</w:t>
      </w:r>
      <w:r>
        <w:rPr>
          <w:spacing w:val="-14"/>
        </w:rPr>
        <w:t> </w:t>
      </w:r>
      <w:r>
        <w:rPr/>
        <w:t>para</w:t>
      </w:r>
      <w:r>
        <w:rPr>
          <w:spacing w:val="-14"/>
        </w:rPr>
        <w:t> </w:t>
      </w:r>
      <w:r>
        <w:rPr/>
        <w:t>comprobar</w:t>
      </w:r>
      <w:r>
        <w:rPr>
          <w:spacing w:val="-14"/>
        </w:rPr>
        <w:t> </w:t>
      </w:r>
      <w:r>
        <w:rPr/>
        <w:t>el</w:t>
      </w:r>
      <w:r>
        <w:rPr>
          <w:spacing w:val="-14"/>
        </w:rPr>
        <w:t> </w:t>
      </w:r>
      <w:r>
        <w:rPr/>
        <w:t>cumplimiento de</w:t>
      </w:r>
      <w:r>
        <w:rPr>
          <w:spacing w:val="-14"/>
        </w:rPr>
        <w:t> </w:t>
      </w:r>
      <w:r>
        <w:rPr/>
        <w:t>las</w:t>
      </w:r>
      <w:r>
        <w:rPr>
          <w:spacing w:val="-14"/>
        </w:rPr>
        <w:t> </w:t>
      </w:r>
      <w:r>
        <w:rPr/>
        <w:t>disposiciones</w:t>
      </w:r>
      <w:r>
        <w:rPr>
          <w:spacing w:val="-14"/>
        </w:rPr>
        <w:t> </w:t>
      </w:r>
      <w:r>
        <w:rPr/>
        <w:t>de</w:t>
      </w:r>
      <w:r>
        <w:rPr>
          <w:spacing w:val="-14"/>
        </w:rPr>
        <w:t> </w:t>
      </w:r>
      <w:r>
        <w:rPr/>
        <w:t>esta</w:t>
      </w:r>
      <w:r>
        <w:rPr>
          <w:spacing w:val="-14"/>
        </w:rPr>
        <w:t> </w:t>
      </w:r>
      <w:r>
        <w:rPr/>
        <w:t>Ley,</w:t>
      </w:r>
      <w:r>
        <w:rPr>
          <w:spacing w:val="-14"/>
        </w:rPr>
        <w:t> </w:t>
      </w:r>
      <w:r>
        <w:rPr/>
        <w:t>reglamentos,</w:t>
      </w:r>
      <w:r>
        <w:rPr>
          <w:spacing w:val="-14"/>
        </w:rPr>
        <w:t> </w:t>
      </w:r>
      <w:r>
        <w:rPr/>
        <w:t>programas,</w:t>
      </w:r>
      <w:r>
        <w:rPr>
          <w:spacing w:val="-14"/>
        </w:rPr>
        <w:t> </w:t>
      </w:r>
      <w:r>
        <w:rPr/>
        <w:t>acuerdos</w:t>
      </w:r>
      <w:r>
        <w:rPr>
          <w:spacing w:val="-14"/>
        </w:rPr>
        <w:t> </w:t>
      </w:r>
      <w:r>
        <w:rPr/>
        <w:t>y</w:t>
      </w:r>
      <w:r>
        <w:rPr>
          <w:spacing w:val="-13"/>
        </w:rPr>
        <w:t> </w:t>
      </w:r>
      <w:r>
        <w:rPr/>
        <w:t>demás</w:t>
      </w:r>
      <w:r>
        <w:rPr>
          <w:spacing w:val="-14"/>
        </w:rPr>
        <w:t> </w:t>
      </w:r>
      <w:r>
        <w:rPr/>
        <w:t>disposiciones</w:t>
      </w:r>
      <w:r>
        <w:rPr>
          <w:spacing w:val="-14"/>
        </w:rPr>
        <w:t> </w:t>
      </w:r>
      <w:r>
        <w:rPr/>
        <w:t>jurídicas en</w:t>
      </w:r>
      <w:r>
        <w:rPr>
          <w:spacing w:val="-14"/>
        </w:rPr>
        <w:t> </w:t>
      </w:r>
      <w:r>
        <w:rPr/>
        <w:t>materia</w:t>
      </w:r>
      <w:r>
        <w:rPr>
          <w:spacing w:val="-14"/>
        </w:rPr>
        <w:t> </w:t>
      </w:r>
      <w:r>
        <w:rPr/>
        <w:t>de</w:t>
      </w:r>
      <w:r>
        <w:rPr>
          <w:spacing w:val="-14"/>
        </w:rPr>
        <w:t> </w:t>
      </w:r>
      <w:r>
        <w:rPr/>
        <w:t>asentamientos</w:t>
      </w:r>
      <w:r>
        <w:rPr>
          <w:spacing w:val="-14"/>
        </w:rPr>
        <w:t> </w:t>
      </w:r>
      <w:r>
        <w:rPr/>
        <w:t>humanos,</w:t>
      </w:r>
      <w:r>
        <w:rPr>
          <w:spacing w:val="-14"/>
        </w:rPr>
        <w:t> </w:t>
      </w:r>
      <w:r>
        <w:rPr/>
        <w:t>ordenamiento</w:t>
      </w:r>
      <w:r>
        <w:rPr>
          <w:spacing w:val="-14"/>
        </w:rPr>
        <w:t> </w:t>
      </w:r>
      <w:r>
        <w:rPr/>
        <w:t>territorial</w:t>
      </w:r>
      <w:r>
        <w:rPr>
          <w:spacing w:val="-14"/>
        </w:rPr>
        <w:t> </w:t>
      </w:r>
      <w:r>
        <w:rPr/>
        <w:t>y</w:t>
      </w:r>
      <w:r>
        <w:rPr>
          <w:spacing w:val="-14"/>
        </w:rPr>
        <w:t> </w:t>
      </w:r>
      <w:r>
        <w:rPr/>
        <w:t>desarrollo</w:t>
      </w:r>
      <w:r>
        <w:rPr>
          <w:spacing w:val="-14"/>
        </w:rPr>
        <w:t> </w:t>
      </w:r>
      <w:r>
        <w:rPr/>
        <w:t>urbano</w:t>
      </w:r>
      <w:r>
        <w:rPr>
          <w:spacing w:val="-13"/>
        </w:rPr>
        <w:t> </w:t>
      </w:r>
      <w:r>
        <w:rPr/>
        <w:t>para,</w:t>
      </w:r>
      <w:r>
        <w:rPr>
          <w:spacing w:val="-14"/>
        </w:rPr>
        <w:t> </w:t>
      </w:r>
      <w:r>
        <w:rPr/>
        <w:t>en</w:t>
      </w:r>
      <w:r>
        <w:rPr>
          <w:spacing w:val="-14"/>
        </w:rPr>
        <w:t> </w:t>
      </w:r>
      <w:r>
        <w:rPr/>
        <w:t>su</w:t>
      </w:r>
      <w:r>
        <w:rPr>
          <w:spacing w:val="-14"/>
        </w:rPr>
        <w:t> </w:t>
      </w:r>
      <w:r>
        <w:rPr/>
        <w:t>caso, aplicar las medidas de seguridad, calificar las infracciones y responsabilidades e imponer las sanciones que correspondan.</w:t>
      </w:r>
    </w:p>
    <w:p>
      <w:pPr>
        <w:pStyle w:val="BodyText"/>
        <w:spacing w:before="2"/>
      </w:pPr>
    </w:p>
    <w:p>
      <w:pPr>
        <w:pStyle w:val="BodyText"/>
        <w:ind w:left="262" w:right="282"/>
        <w:jc w:val="both"/>
      </w:pPr>
      <w:r>
        <w:rPr/>
        <w:t>Las autoridades competentes deberán ajustar sus notificaciones a lo dispuesto en el Código Procesal Administrativo para el Estado de San Luis Potosí. Las visitas de inspección y verificación se realizarán de conformidad con las disposiciones que señalan los artículos 196 al 203 y demás relativos del referido Código.</w:t>
      </w:r>
    </w:p>
    <w:p>
      <w:pPr>
        <w:pStyle w:val="BodyText"/>
      </w:pPr>
    </w:p>
    <w:p>
      <w:pPr>
        <w:pStyle w:val="BodyText"/>
        <w:ind w:left="262" w:right="277"/>
        <w:jc w:val="both"/>
      </w:pPr>
      <w:r>
        <w:rPr>
          <w:rFonts w:ascii="Arial" w:hAnsi="Arial"/>
          <w:b/>
        </w:rPr>
        <w:t>ARTÍCULO 528. </w:t>
      </w:r>
      <w:r>
        <w:rPr/>
        <w:t>La Secretaría y los ayuntamientos por conducto de la Dirección Municipal, o cualesquiera otra autoridad en el ámbito de su competencia, al tener conocimiento de la ejecución de</w:t>
      </w:r>
      <w:r>
        <w:rPr>
          <w:spacing w:val="-14"/>
        </w:rPr>
        <w:t> </w:t>
      </w:r>
      <w:r>
        <w:rPr/>
        <w:t>construcciones,</w:t>
      </w:r>
      <w:r>
        <w:rPr>
          <w:spacing w:val="-14"/>
        </w:rPr>
        <w:t> </w:t>
      </w:r>
      <w:r>
        <w:rPr/>
        <w:t>obras,</w:t>
      </w:r>
      <w:r>
        <w:rPr>
          <w:spacing w:val="-14"/>
        </w:rPr>
        <w:t> </w:t>
      </w:r>
      <w:r>
        <w:rPr/>
        <w:t>acciones</w:t>
      </w:r>
      <w:r>
        <w:rPr>
          <w:spacing w:val="-14"/>
        </w:rPr>
        <w:t> </w:t>
      </w:r>
      <w:r>
        <w:rPr/>
        <w:t>y</w:t>
      </w:r>
      <w:r>
        <w:rPr>
          <w:spacing w:val="-14"/>
        </w:rPr>
        <w:t> </w:t>
      </w:r>
      <w:r>
        <w:rPr/>
        <w:t>servicios</w:t>
      </w:r>
      <w:r>
        <w:rPr>
          <w:spacing w:val="-14"/>
        </w:rPr>
        <w:t> </w:t>
      </w:r>
      <w:r>
        <w:rPr/>
        <w:t>en</w:t>
      </w:r>
      <w:r>
        <w:rPr>
          <w:spacing w:val="-14"/>
        </w:rPr>
        <w:t> </w:t>
      </w:r>
      <w:r>
        <w:rPr/>
        <w:t>materia</w:t>
      </w:r>
      <w:r>
        <w:rPr>
          <w:spacing w:val="-14"/>
        </w:rPr>
        <w:t> </w:t>
      </w:r>
      <w:r>
        <w:rPr/>
        <w:t>de</w:t>
      </w:r>
      <w:r>
        <w:rPr>
          <w:spacing w:val="-14"/>
        </w:rPr>
        <w:t> </w:t>
      </w:r>
      <w:r>
        <w:rPr/>
        <w:t>asentamientos</w:t>
      </w:r>
      <w:r>
        <w:rPr>
          <w:spacing w:val="-13"/>
        </w:rPr>
        <w:t> </w:t>
      </w:r>
      <w:r>
        <w:rPr/>
        <w:t>humanos,</w:t>
      </w:r>
      <w:r>
        <w:rPr>
          <w:spacing w:val="-14"/>
        </w:rPr>
        <w:t> </w:t>
      </w:r>
      <w:r>
        <w:rPr/>
        <w:t>ordenamiento territorial y desarrollo urbano, así como de</w:t>
      </w:r>
      <w:r>
        <w:rPr>
          <w:spacing w:val="40"/>
        </w:rPr>
        <w:t> </w:t>
      </w:r>
      <w:r>
        <w:rPr/>
        <w:t>la construcción de fraccionamientos o condominios no autorizados, ordenarán la suspensión inmediata de las acciones y obras, sin perjuicio de las responsabilidades civiles, penales y administrativas en que hubiera incurrido la persona física o moral, pública o privada, que las hubiera ejecutado.</w:t>
      </w:r>
    </w:p>
    <w:p>
      <w:pPr>
        <w:pStyle w:val="BodyText"/>
        <w:spacing w:before="1"/>
      </w:pPr>
    </w:p>
    <w:p>
      <w:pPr>
        <w:pStyle w:val="BodyText"/>
        <w:ind w:left="262" w:right="277"/>
        <w:jc w:val="both"/>
      </w:pPr>
      <w:r>
        <w:rPr>
          <w:rFonts w:ascii="Arial" w:hAnsi="Arial"/>
          <w:b/>
        </w:rPr>
        <w:t>ARTÍCULO 529. </w:t>
      </w:r>
      <w:r>
        <w:rPr/>
        <w:t>En los fraccionamientos o condominios en que se vendan lotes, se realicen edificaciones, se abran calles o ejecuten obras de urbanización sin haber obtenido previamente la autorización correspondiente, el ayuntamiento respectivo, al tener conocimiento de lo anterior, procederá de la siguiente forma:</w:t>
      </w:r>
    </w:p>
    <w:p>
      <w:pPr>
        <w:pStyle w:val="BodyText"/>
      </w:pPr>
    </w:p>
    <w:p>
      <w:pPr>
        <w:pStyle w:val="ListParagraph"/>
        <w:numPr>
          <w:ilvl w:val="0"/>
          <w:numId w:val="150"/>
        </w:numPr>
        <w:tabs>
          <w:tab w:pos="543" w:val="left" w:leader="none"/>
        </w:tabs>
        <w:spacing w:line="240" w:lineRule="auto" w:before="0" w:after="0"/>
        <w:ind w:left="543" w:right="0" w:hanging="281"/>
        <w:jc w:val="both"/>
        <w:rPr>
          <w:sz w:val="20"/>
        </w:rPr>
      </w:pPr>
      <w:r>
        <w:rPr>
          <w:sz w:val="20"/>
        </w:rPr>
        <w:t>Ordenará</w:t>
      </w:r>
      <w:r>
        <w:rPr>
          <w:spacing w:val="-6"/>
          <w:sz w:val="20"/>
        </w:rPr>
        <w:t> </w:t>
      </w:r>
      <w:r>
        <w:rPr>
          <w:sz w:val="20"/>
        </w:rPr>
        <w:t>la</w:t>
      </w:r>
      <w:r>
        <w:rPr>
          <w:spacing w:val="-6"/>
          <w:sz w:val="20"/>
        </w:rPr>
        <w:t> </w:t>
      </w:r>
      <w:r>
        <w:rPr>
          <w:sz w:val="20"/>
        </w:rPr>
        <w:t>inmediata</w:t>
      </w:r>
      <w:r>
        <w:rPr>
          <w:spacing w:val="-7"/>
          <w:sz w:val="20"/>
        </w:rPr>
        <w:t> </w:t>
      </w:r>
      <w:r>
        <w:rPr>
          <w:sz w:val="20"/>
        </w:rPr>
        <w:t>suspensión</w:t>
      </w:r>
      <w:r>
        <w:rPr>
          <w:spacing w:val="-8"/>
          <w:sz w:val="20"/>
        </w:rPr>
        <w:t> </w:t>
      </w:r>
      <w:r>
        <w:rPr>
          <w:sz w:val="20"/>
        </w:rPr>
        <w:t>de</w:t>
      </w:r>
      <w:r>
        <w:rPr>
          <w:spacing w:val="-7"/>
          <w:sz w:val="20"/>
        </w:rPr>
        <w:t> </w:t>
      </w:r>
      <w:r>
        <w:rPr>
          <w:sz w:val="20"/>
        </w:rPr>
        <w:t>las</w:t>
      </w:r>
      <w:r>
        <w:rPr>
          <w:spacing w:val="-7"/>
          <w:sz w:val="20"/>
        </w:rPr>
        <w:t> </w:t>
      </w:r>
      <w:r>
        <w:rPr>
          <w:sz w:val="20"/>
        </w:rPr>
        <w:t>obras</w:t>
      </w:r>
      <w:r>
        <w:rPr>
          <w:spacing w:val="-5"/>
          <w:sz w:val="20"/>
        </w:rPr>
        <w:t> </w:t>
      </w:r>
      <w:r>
        <w:rPr>
          <w:sz w:val="20"/>
        </w:rPr>
        <w:t>e</w:t>
      </w:r>
      <w:r>
        <w:rPr>
          <w:spacing w:val="-7"/>
          <w:sz w:val="20"/>
        </w:rPr>
        <w:t> </w:t>
      </w:r>
      <w:r>
        <w:rPr>
          <w:sz w:val="20"/>
        </w:rPr>
        <w:t>instalaciones</w:t>
      </w:r>
      <w:r>
        <w:rPr>
          <w:spacing w:val="-4"/>
          <w:sz w:val="20"/>
        </w:rPr>
        <w:t> </w:t>
      </w:r>
      <w:r>
        <w:rPr>
          <w:sz w:val="20"/>
        </w:rPr>
        <w:t>de</w:t>
      </w:r>
      <w:r>
        <w:rPr>
          <w:spacing w:val="-9"/>
          <w:sz w:val="20"/>
        </w:rPr>
        <w:t> </w:t>
      </w:r>
      <w:r>
        <w:rPr>
          <w:sz w:val="20"/>
        </w:rPr>
        <w:t>que</w:t>
      </w:r>
      <w:r>
        <w:rPr>
          <w:spacing w:val="-8"/>
          <w:sz w:val="20"/>
        </w:rPr>
        <w:t> </w:t>
      </w:r>
      <w:r>
        <w:rPr>
          <w:sz w:val="20"/>
        </w:rPr>
        <w:t>se</w:t>
      </w:r>
      <w:r>
        <w:rPr>
          <w:spacing w:val="-5"/>
          <w:sz w:val="20"/>
        </w:rPr>
        <w:t> </w:t>
      </w:r>
      <w:r>
        <w:rPr>
          <w:spacing w:val="-2"/>
          <w:sz w:val="20"/>
        </w:rPr>
        <w:t>trate;</w:t>
      </w:r>
    </w:p>
    <w:p>
      <w:pPr>
        <w:pStyle w:val="ListParagraph"/>
        <w:numPr>
          <w:ilvl w:val="0"/>
          <w:numId w:val="150"/>
        </w:numPr>
        <w:tabs>
          <w:tab w:pos="686" w:val="left" w:leader="none"/>
        </w:tabs>
        <w:spacing w:line="240" w:lineRule="auto" w:before="229" w:after="0"/>
        <w:ind w:left="262" w:right="281" w:firstLine="0"/>
        <w:jc w:val="both"/>
        <w:rPr>
          <w:sz w:val="20"/>
        </w:rPr>
      </w:pPr>
      <w:r>
        <w:rPr>
          <w:sz w:val="20"/>
        </w:rPr>
        <w:t>Impondrá</w:t>
      </w:r>
      <w:r>
        <w:rPr>
          <w:spacing w:val="-2"/>
          <w:sz w:val="20"/>
        </w:rPr>
        <w:t> </w:t>
      </w:r>
      <w:r>
        <w:rPr>
          <w:sz w:val="20"/>
        </w:rPr>
        <w:t>al</w:t>
      </w:r>
      <w:r>
        <w:rPr>
          <w:spacing w:val="-3"/>
          <w:sz w:val="20"/>
        </w:rPr>
        <w:t> </w:t>
      </w:r>
      <w:r>
        <w:rPr>
          <w:sz w:val="20"/>
        </w:rPr>
        <w:t>fraccionador</w:t>
      </w:r>
      <w:r>
        <w:rPr>
          <w:spacing w:val="-4"/>
          <w:sz w:val="20"/>
        </w:rPr>
        <w:t> </w:t>
      </w:r>
      <w:r>
        <w:rPr>
          <w:sz w:val="20"/>
        </w:rPr>
        <w:t>o promotor</w:t>
      </w:r>
      <w:r>
        <w:rPr>
          <w:spacing w:val="-4"/>
          <w:sz w:val="20"/>
        </w:rPr>
        <w:t> </w:t>
      </w:r>
      <w:r>
        <w:rPr>
          <w:sz w:val="20"/>
        </w:rPr>
        <w:t>una</w:t>
      </w:r>
      <w:r>
        <w:rPr>
          <w:spacing w:val="-3"/>
          <w:sz w:val="20"/>
        </w:rPr>
        <w:t> </w:t>
      </w:r>
      <w:r>
        <w:rPr>
          <w:sz w:val="20"/>
        </w:rPr>
        <w:t>multa</w:t>
      </w:r>
      <w:r>
        <w:rPr>
          <w:spacing w:val="-2"/>
          <w:sz w:val="20"/>
        </w:rPr>
        <w:t> </w:t>
      </w:r>
      <w:r>
        <w:rPr>
          <w:sz w:val="20"/>
        </w:rPr>
        <w:t>del</w:t>
      </w:r>
      <w:r>
        <w:rPr>
          <w:spacing w:val="-5"/>
          <w:sz w:val="20"/>
        </w:rPr>
        <w:t> </w:t>
      </w:r>
      <w:r>
        <w:rPr>
          <w:sz w:val="20"/>
        </w:rPr>
        <w:t>cinco</w:t>
      </w:r>
      <w:r>
        <w:rPr>
          <w:spacing w:val="-4"/>
          <w:sz w:val="20"/>
        </w:rPr>
        <w:t> </w:t>
      </w:r>
      <w:r>
        <w:rPr>
          <w:sz w:val="20"/>
        </w:rPr>
        <w:t>al</w:t>
      </w:r>
      <w:r>
        <w:rPr>
          <w:spacing w:val="-3"/>
          <w:sz w:val="20"/>
        </w:rPr>
        <w:t> </w:t>
      </w:r>
      <w:r>
        <w:rPr>
          <w:sz w:val="20"/>
        </w:rPr>
        <w:t>veinte</w:t>
      </w:r>
      <w:r>
        <w:rPr>
          <w:spacing w:val="-2"/>
          <w:sz w:val="20"/>
        </w:rPr>
        <w:t> </w:t>
      </w:r>
      <w:r>
        <w:rPr>
          <w:sz w:val="20"/>
        </w:rPr>
        <w:t>por</w:t>
      </w:r>
      <w:r>
        <w:rPr>
          <w:spacing w:val="-3"/>
          <w:sz w:val="20"/>
        </w:rPr>
        <w:t> </w:t>
      </w:r>
      <w:r>
        <w:rPr>
          <w:sz w:val="20"/>
        </w:rPr>
        <w:t>ciento</w:t>
      </w:r>
      <w:r>
        <w:rPr>
          <w:spacing w:val="-2"/>
          <w:sz w:val="20"/>
        </w:rPr>
        <w:t> </w:t>
      </w:r>
      <w:r>
        <w:rPr>
          <w:sz w:val="20"/>
        </w:rPr>
        <w:t>del</w:t>
      </w:r>
      <w:r>
        <w:rPr>
          <w:spacing w:val="-3"/>
          <w:sz w:val="20"/>
        </w:rPr>
        <w:t> </w:t>
      </w:r>
      <w:r>
        <w:rPr>
          <w:sz w:val="20"/>
        </w:rPr>
        <w:t>valor</w:t>
      </w:r>
      <w:r>
        <w:rPr>
          <w:spacing w:val="-1"/>
          <w:sz w:val="20"/>
        </w:rPr>
        <w:t> </w:t>
      </w:r>
      <w:r>
        <w:rPr>
          <w:sz w:val="20"/>
        </w:rPr>
        <w:t>total</w:t>
      </w:r>
      <w:r>
        <w:rPr>
          <w:spacing w:val="-3"/>
          <w:sz w:val="20"/>
        </w:rPr>
        <w:t> </w:t>
      </w:r>
      <w:r>
        <w:rPr>
          <w:sz w:val="20"/>
        </w:rPr>
        <w:t>que hubiere</w:t>
      </w:r>
      <w:r>
        <w:rPr>
          <w:spacing w:val="-9"/>
          <w:sz w:val="20"/>
        </w:rPr>
        <w:t> </w:t>
      </w:r>
      <w:r>
        <w:rPr>
          <w:sz w:val="20"/>
        </w:rPr>
        <w:t>correspondido</w:t>
      </w:r>
      <w:r>
        <w:rPr>
          <w:spacing w:val="-10"/>
          <w:sz w:val="20"/>
        </w:rPr>
        <w:t> </w:t>
      </w:r>
      <w:r>
        <w:rPr>
          <w:sz w:val="20"/>
        </w:rPr>
        <w:t>a</w:t>
      </w:r>
      <w:r>
        <w:rPr>
          <w:spacing w:val="-10"/>
          <w:sz w:val="20"/>
        </w:rPr>
        <w:t> </w:t>
      </w:r>
      <w:r>
        <w:rPr>
          <w:sz w:val="20"/>
        </w:rPr>
        <w:t>la</w:t>
      </w:r>
      <w:r>
        <w:rPr>
          <w:spacing w:val="-10"/>
          <w:sz w:val="20"/>
        </w:rPr>
        <w:t> </w:t>
      </w:r>
      <w:r>
        <w:rPr>
          <w:sz w:val="20"/>
        </w:rPr>
        <w:t>urbanización</w:t>
      </w:r>
      <w:r>
        <w:rPr>
          <w:spacing w:val="-10"/>
          <w:sz w:val="20"/>
        </w:rPr>
        <w:t> </w:t>
      </w:r>
      <w:r>
        <w:rPr>
          <w:sz w:val="20"/>
        </w:rPr>
        <w:t>del</w:t>
      </w:r>
      <w:r>
        <w:rPr>
          <w:spacing w:val="-11"/>
          <w:sz w:val="20"/>
        </w:rPr>
        <w:t> </w:t>
      </w:r>
      <w:r>
        <w:rPr>
          <w:sz w:val="20"/>
        </w:rPr>
        <w:t>fraccionamiento,</w:t>
      </w:r>
      <w:r>
        <w:rPr>
          <w:spacing w:val="-10"/>
          <w:sz w:val="20"/>
        </w:rPr>
        <w:t> </w:t>
      </w:r>
      <w:r>
        <w:rPr>
          <w:sz w:val="20"/>
        </w:rPr>
        <w:t>sin</w:t>
      </w:r>
      <w:r>
        <w:rPr>
          <w:spacing w:val="-10"/>
          <w:sz w:val="20"/>
        </w:rPr>
        <w:t> </w:t>
      </w:r>
      <w:r>
        <w:rPr>
          <w:sz w:val="20"/>
        </w:rPr>
        <w:t>perjuicio</w:t>
      </w:r>
      <w:r>
        <w:rPr>
          <w:spacing w:val="-10"/>
          <w:sz w:val="20"/>
        </w:rPr>
        <w:t> </w:t>
      </w:r>
      <w:r>
        <w:rPr>
          <w:sz w:val="20"/>
        </w:rPr>
        <w:t>de</w:t>
      </w:r>
      <w:r>
        <w:rPr>
          <w:spacing w:val="-10"/>
          <w:sz w:val="20"/>
        </w:rPr>
        <w:t> </w:t>
      </w:r>
      <w:r>
        <w:rPr>
          <w:sz w:val="20"/>
        </w:rPr>
        <w:t>obligarlo</w:t>
      </w:r>
      <w:r>
        <w:rPr>
          <w:spacing w:val="-10"/>
          <w:sz w:val="20"/>
        </w:rPr>
        <w:t> </w:t>
      </w:r>
      <w:r>
        <w:rPr>
          <w:sz w:val="20"/>
        </w:rPr>
        <w:t>a</w:t>
      </w:r>
      <w:r>
        <w:rPr>
          <w:spacing w:val="-8"/>
          <w:sz w:val="20"/>
        </w:rPr>
        <w:t> </w:t>
      </w:r>
      <w:r>
        <w:rPr>
          <w:sz w:val="20"/>
        </w:rPr>
        <w:t>demoler</w:t>
      </w:r>
      <w:r>
        <w:rPr>
          <w:spacing w:val="-9"/>
          <w:sz w:val="20"/>
        </w:rPr>
        <w:t> </w:t>
      </w:r>
      <w:r>
        <w:rPr>
          <w:sz w:val="20"/>
        </w:rPr>
        <w:t>por su cuenta, una vez agotado el procedimiento que se establece en esta Ley para ello, las obras e instalaciones que hubiere realizado;</w:t>
      </w:r>
    </w:p>
    <w:p>
      <w:pPr>
        <w:pStyle w:val="ListParagraph"/>
        <w:spacing w:after="0" w:line="240" w:lineRule="auto"/>
        <w:jc w:val="both"/>
        <w:rPr>
          <w:sz w:val="20"/>
        </w:rPr>
        <w:sectPr>
          <w:pgSz w:w="12240" w:h="15840"/>
          <w:pgMar w:header="720" w:footer="697" w:top="2100" w:bottom="880" w:left="1440" w:right="1440"/>
        </w:sectPr>
      </w:pPr>
    </w:p>
    <w:p>
      <w:pPr>
        <w:pStyle w:val="BodyText"/>
      </w:pPr>
    </w:p>
    <w:p>
      <w:pPr>
        <w:pStyle w:val="BodyText"/>
      </w:pPr>
    </w:p>
    <w:p>
      <w:pPr>
        <w:pStyle w:val="BodyText"/>
        <w:spacing w:before="71"/>
      </w:pPr>
    </w:p>
    <w:p>
      <w:pPr>
        <w:pStyle w:val="ListParagraph"/>
        <w:numPr>
          <w:ilvl w:val="0"/>
          <w:numId w:val="150"/>
        </w:numPr>
        <w:tabs>
          <w:tab w:pos="741" w:val="left" w:leader="none"/>
        </w:tabs>
        <w:spacing w:line="240" w:lineRule="auto" w:before="0" w:after="0"/>
        <w:ind w:left="741" w:right="0" w:hanging="479"/>
        <w:jc w:val="both"/>
        <w:rPr>
          <w:sz w:val="20"/>
        </w:rPr>
      </w:pPr>
      <w:r>
        <w:rPr>
          <w:sz w:val="20"/>
        </w:rPr>
        <w:t>Deberá</w:t>
      </w:r>
      <w:r>
        <w:rPr>
          <w:spacing w:val="-6"/>
          <w:sz w:val="20"/>
        </w:rPr>
        <w:t> </w:t>
      </w:r>
      <w:r>
        <w:rPr>
          <w:sz w:val="20"/>
        </w:rPr>
        <w:t>indemnizar</w:t>
      </w:r>
      <w:r>
        <w:rPr>
          <w:spacing w:val="-8"/>
          <w:sz w:val="20"/>
        </w:rPr>
        <w:t> </w:t>
      </w:r>
      <w:r>
        <w:rPr>
          <w:sz w:val="20"/>
        </w:rPr>
        <w:t>a</w:t>
      </w:r>
      <w:r>
        <w:rPr>
          <w:spacing w:val="-8"/>
          <w:sz w:val="20"/>
        </w:rPr>
        <w:t> </w:t>
      </w:r>
      <w:r>
        <w:rPr>
          <w:sz w:val="20"/>
        </w:rPr>
        <w:t>los</w:t>
      </w:r>
      <w:r>
        <w:rPr>
          <w:spacing w:val="-6"/>
          <w:sz w:val="20"/>
        </w:rPr>
        <w:t> </w:t>
      </w:r>
      <w:r>
        <w:rPr>
          <w:sz w:val="20"/>
        </w:rPr>
        <w:t>afectados</w:t>
      </w:r>
      <w:r>
        <w:rPr>
          <w:spacing w:val="-7"/>
          <w:sz w:val="20"/>
        </w:rPr>
        <w:t> </w:t>
      </w:r>
      <w:r>
        <w:rPr>
          <w:sz w:val="20"/>
        </w:rPr>
        <w:t>en</w:t>
      </w:r>
      <w:r>
        <w:rPr>
          <w:spacing w:val="-8"/>
          <w:sz w:val="20"/>
        </w:rPr>
        <w:t> </w:t>
      </w:r>
      <w:r>
        <w:rPr>
          <w:sz w:val="20"/>
        </w:rPr>
        <w:t>los</w:t>
      </w:r>
      <w:r>
        <w:rPr>
          <w:spacing w:val="-6"/>
          <w:sz w:val="20"/>
        </w:rPr>
        <w:t> </w:t>
      </w:r>
      <w:r>
        <w:rPr>
          <w:sz w:val="20"/>
        </w:rPr>
        <w:t>términos</w:t>
      </w:r>
      <w:r>
        <w:rPr>
          <w:spacing w:val="-5"/>
          <w:sz w:val="20"/>
        </w:rPr>
        <w:t> </w:t>
      </w:r>
      <w:r>
        <w:rPr>
          <w:sz w:val="20"/>
        </w:rPr>
        <w:t>de</w:t>
      </w:r>
      <w:r>
        <w:rPr>
          <w:spacing w:val="-7"/>
          <w:sz w:val="20"/>
        </w:rPr>
        <w:t> </w:t>
      </w:r>
      <w:r>
        <w:rPr>
          <w:sz w:val="20"/>
        </w:rPr>
        <w:t>la</w:t>
      </w:r>
      <w:r>
        <w:rPr>
          <w:spacing w:val="-6"/>
          <w:sz w:val="20"/>
        </w:rPr>
        <w:t> </w:t>
      </w:r>
      <w:r>
        <w:rPr>
          <w:sz w:val="20"/>
        </w:rPr>
        <w:t>legislación</w:t>
      </w:r>
      <w:r>
        <w:rPr>
          <w:spacing w:val="-7"/>
          <w:sz w:val="20"/>
        </w:rPr>
        <w:t> </w:t>
      </w:r>
      <w:r>
        <w:rPr>
          <w:spacing w:val="-2"/>
          <w:sz w:val="20"/>
        </w:rPr>
        <w:t>aplicable;</w:t>
      </w:r>
    </w:p>
    <w:p>
      <w:pPr>
        <w:pStyle w:val="BodyText"/>
        <w:spacing w:before="1"/>
      </w:pPr>
    </w:p>
    <w:p>
      <w:pPr>
        <w:pStyle w:val="ListParagraph"/>
        <w:numPr>
          <w:ilvl w:val="0"/>
          <w:numId w:val="150"/>
        </w:numPr>
        <w:tabs>
          <w:tab w:pos="688" w:val="left" w:leader="none"/>
        </w:tabs>
        <w:spacing w:line="240" w:lineRule="auto" w:before="0" w:after="0"/>
        <w:ind w:left="262" w:right="284" w:firstLine="0"/>
        <w:jc w:val="both"/>
        <w:rPr>
          <w:sz w:val="20"/>
        </w:rPr>
      </w:pPr>
      <w:r>
        <w:rPr>
          <w:sz w:val="20"/>
        </w:rPr>
        <w:t>Fijará</w:t>
      </w:r>
      <w:r>
        <w:rPr>
          <w:spacing w:val="-6"/>
          <w:sz w:val="20"/>
        </w:rPr>
        <w:t> </w:t>
      </w:r>
      <w:r>
        <w:rPr>
          <w:sz w:val="20"/>
        </w:rPr>
        <w:t>al</w:t>
      </w:r>
      <w:r>
        <w:rPr>
          <w:spacing w:val="-8"/>
          <w:sz w:val="20"/>
        </w:rPr>
        <w:t> </w:t>
      </w:r>
      <w:r>
        <w:rPr>
          <w:sz w:val="20"/>
        </w:rPr>
        <w:t>responsable</w:t>
      </w:r>
      <w:r>
        <w:rPr>
          <w:spacing w:val="-4"/>
          <w:sz w:val="20"/>
        </w:rPr>
        <w:t> </w:t>
      </w:r>
      <w:r>
        <w:rPr>
          <w:sz w:val="20"/>
        </w:rPr>
        <w:t>un</w:t>
      </w:r>
      <w:r>
        <w:rPr>
          <w:spacing w:val="-7"/>
          <w:sz w:val="20"/>
        </w:rPr>
        <w:t> </w:t>
      </w:r>
      <w:r>
        <w:rPr>
          <w:sz w:val="20"/>
        </w:rPr>
        <w:t>plazo</w:t>
      </w:r>
      <w:r>
        <w:rPr>
          <w:spacing w:val="-7"/>
          <w:sz w:val="20"/>
        </w:rPr>
        <w:t> </w:t>
      </w:r>
      <w:r>
        <w:rPr>
          <w:sz w:val="20"/>
        </w:rPr>
        <w:t>no</w:t>
      </w:r>
      <w:r>
        <w:rPr>
          <w:spacing w:val="-7"/>
          <w:sz w:val="20"/>
        </w:rPr>
        <w:t> </w:t>
      </w:r>
      <w:r>
        <w:rPr>
          <w:sz w:val="20"/>
        </w:rPr>
        <w:t>mayor</w:t>
      </w:r>
      <w:r>
        <w:rPr>
          <w:spacing w:val="-4"/>
          <w:sz w:val="20"/>
        </w:rPr>
        <w:t> </w:t>
      </w:r>
      <w:r>
        <w:rPr>
          <w:sz w:val="20"/>
        </w:rPr>
        <w:t>de</w:t>
      </w:r>
      <w:r>
        <w:rPr>
          <w:spacing w:val="-7"/>
          <w:sz w:val="20"/>
        </w:rPr>
        <w:t> </w:t>
      </w:r>
      <w:r>
        <w:rPr>
          <w:sz w:val="20"/>
        </w:rPr>
        <w:t>quince</w:t>
      </w:r>
      <w:r>
        <w:rPr>
          <w:spacing w:val="-4"/>
          <w:sz w:val="20"/>
        </w:rPr>
        <w:t> </w:t>
      </w:r>
      <w:r>
        <w:rPr>
          <w:sz w:val="20"/>
        </w:rPr>
        <w:t>días</w:t>
      </w:r>
      <w:r>
        <w:rPr>
          <w:spacing w:val="-3"/>
          <w:sz w:val="20"/>
        </w:rPr>
        <w:t> </w:t>
      </w:r>
      <w:r>
        <w:rPr>
          <w:sz w:val="20"/>
        </w:rPr>
        <w:t>hábiles</w:t>
      </w:r>
      <w:r>
        <w:rPr>
          <w:spacing w:val="-6"/>
          <w:sz w:val="20"/>
        </w:rPr>
        <w:t> </w:t>
      </w:r>
      <w:r>
        <w:rPr>
          <w:sz w:val="20"/>
        </w:rPr>
        <w:t>para</w:t>
      </w:r>
      <w:r>
        <w:rPr>
          <w:spacing w:val="-6"/>
          <w:sz w:val="20"/>
        </w:rPr>
        <w:t> </w:t>
      </w:r>
      <w:r>
        <w:rPr>
          <w:sz w:val="20"/>
        </w:rPr>
        <w:t>que</w:t>
      </w:r>
      <w:r>
        <w:rPr>
          <w:spacing w:val="-7"/>
          <w:sz w:val="20"/>
        </w:rPr>
        <w:t> </w:t>
      </w:r>
      <w:r>
        <w:rPr>
          <w:sz w:val="20"/>
        </w:rPr>
        <w:t>informe</w:t>
      </w:r>
      <w:r>
        <w:rPr>
          <w:spacing w:val="-7"/>
          <w:sz w:val="20"/>
        </w:rPr>
        <w:t> </w:t>
      </w:r>
      <w:r>
        <w:rPr>
          <w:sz w:val="20"/>
        </w:rPr>
        <w:t>a</w:t>
      </w:r>
      <w:r>
        <w:rPr>
          <w:spacing w:val="-5"/>
          <w:sz w:val="20"/>
        </w:rPr>
        <w:t> </w:t>
      </w:r>
      <w:r>
        <w:rPr>
          <w:sz w:val="20"/>
        </w:rPr>
        <w:t>la</w:t>
      </w:r>
      <w:r>
        <w:rPr>
          <w:spacing w:val="-7"/>
          <w:sz w:val="20"/>
        </w:rPr>
        <w:t> </w:t>
      </w:r>
      <w:r>
        <w:rPr>
          <w:sz w:val="20"/>
        </w:rPr>
        <w:t>autoridad municipal, sobre la venta de lotes o predios que haya efectuado y sobre el estado que guarden las obras de urbanización del fraccionamiento o condominio;</w:t>
      </w:r>
    </w:p>
    <w:p>
      <w:pPr>
        <w:pStyle w:val="ListParagraph"/>
        <w:numPr>
          <w:ilvl w:val="0"/>
          <w:numId w:val="150"/>
        </w:numPr>
        <w:tabs>
          <w:tab w:pos="688" w:val="left" w:leader="none"/>
        </w:tabs>
        <w:spacing w:line="240" w:lineRule="auto" w:before="229" w:after="0"/>
        <w:ind w:left="262" w:right="284" w:firstLine="0"/>
        <w:jc w:val="both"/>
        <w:rPr>
          <w:sz w:val="20"/>
        </w:rPr>
      </w:pPr>
      <w:r>
        <w:rPr>
          <w:sz w:val="20"/>
        </w:rPr>
        <w:t>Hará</w:t>
      </w:r>
      <w:r>
        <w:rPr>
          <w:spacing w:val="-4"/>
          <w:sz w:val="20"/>
        </w:rPr>
        <w:t> </w:t>
      </w:r>
      <w:r>
        <w:rPr>
          <w:sz w:val="20"/>
        </w:rPr>
        <w:t>del</w:t>
      </w:r>
      <w:r>
        <w:rPr>
          <w:spacing w:val="-3"/>
          <w:sz w:val="20"/>
        </w:rPr>
        <w:t> </w:t>
      </w:r>
      <w:r>
        <w:rPr>
          <w:sz w:val="20"/>
        </w:rPr>
        <w:t>conocimiento</w:t>
      </w:r>
      <w:r>
        <w:rPr>
          <w:spacing w:val="-2"/>
          <w:sz w:val="20"/>
        </w:rPr>
        <w:t> </w:t>
      </w:r>
      <w:r>
        <w:rPr>
          <w:sz w:val="20"/>
        </w:rPr>
        <w:t>público</w:t>
      </w:r>
      <w:r>
        <w:rPr>
          <w:spacing w:val="-4"/>
          <w:sz w:val="20"/>
        </w:rPr>
        <w:t> </w:t>
      </w:r>
      <w:r>
        <w:rPr>
          <w:sz w:val="20"/>
        </w:rPr>
        <w:t>que</w:t>
      </w:r>
      <w:r>
        <w:rPr>
          <w:spacing w:val="-3"/>
          <w:sz w:val="20"/>
        </w:rPr>
        <w:t> </w:t>
      </w:r>
      <w:r>
        <w:rPr>
          <w:sz w:val="20"/>
        </w:rPr>
        <w:t>el</w:t>
      </w:r>
      <w:r>
        <w:rPr>
          <w:spacing w:val="-3"/>
          <w:sz w:val="20"/>
        </w:rPr>
        <w:t> </w:t>
      </w:r>
      <w:r>
        <w:rPr>
          <w:sz w:val="20"/>
        </w:rPr>
        <w:t>fraccionamiento o</w:t>
      </w:r>
      <w:r>
        <w:rPr>
          <w:spacing w:val="-4"/>
          <w:sz w:val="20"/>
        </w:rPr>
        <w:t> </w:t>
      </w:r>
      <w:r>
        <w:rPr>
          <w:sz w:val="20"/>
        </w:rPr>
        <w:t>condominios</w:t>
      </w:r>
      <w:r>
        <w:rPr>
          <w:spacing w:val="-3"/>
          <w:sz w:val="20"/>
        </w:rPr>
        <w:t> </w:t>
      </w:r>
      <w:r>
        <w:rPr>
          <w:sz w:val="20"/>
        </w:rPr>
        <w:t>de</w:t>
      </w:r>
      <w:r>
        <w:rPr>
          <w:spacing w:val="-2"/>
          <w:sz w:val="20"/>
        </w:rPr>
        <w:t> </w:t>
      </w:r>
      <w:r>
        <w:rPr>
          <w:sz w:val="20"/>
        </w:rPr>
        <w:t>que</w:t>
      </w:r>
      <w:r>
        <w:rPr>
          <w:spacing w:val="-2"/>
          <w:sz w:val="20"/>
        </w:rPr>
        <w:t> </w:t>
      </w:r>
      <w:r>
        <w:rPr>
          <w:sz w:val="20"/>
        </w:rPr>
        <w:t>se</w:t>
      </w:r>
      <w:r>
        <w:rPr>
          <w:spacing w:val="-4"/>
          <w:sz w:val="20"/>
        </w:rPr>
        <w:t> </w:t>
      </w:r>
      <w:r>
        <w:rPr>
          <w:sz w:val="20"/>
        </w:rPr>
        <w:t>trata</w:t>
      </w:r>
      <w:r>
        <w:rPr>
          <w:spacing w:val="-5"/>
          <w:sz w:val="20"/>
        </w:rPr>
        <w:t> </w:t>
      </w:r>
      <w:r>
        <w:rPr>
          <w:sz w:val="20"/>
        </w:rPr>
        <w:t>se</w:t>
      </w:r>
      <w:r>
        <w:rPr>
          <w:spacing w:val="-2"/>
          <w:sz w:val="20"/>
        </w:rPr>
        <w:t> </w:t>
      </w:r>
      <w:r>
        <w:rPr>
          <w:sz w:val="20"/>
        </w:rPr>
        <w:t>llevó</w:t>
      </w:r>
      <w:r>
        <w:rPr>
          <w:spacing w:val="-2"/>
          <w:sz w:val="20"/>
        </w:rPr>
        <w:t> </w:t>
      </w:r>
      <w:r>
        <w:rPr>
          <w:sz w:val="20"/>
        </w:rPr>
        <w:t>a cabo</w:t>
      </w:r>
      <w:r>
        <w:rPr>
          <w:spacing w:val="-9"/>
          <w:sz w:val="20"/>
        </w:rPr>
        <w:t> </w:t>
      </w:r>
      <w:r>
        <w:rPr>
          <w:sz w:val="20"/>
        </w:rPr>
        <w:t>sin</w:t>
      </w:r>
      <w:r>
        <w:rPr>
          <w:spacing w:val="-7"/>
          <w:sz w:val="20"/>
        </w:rPr>
        <w:t> </w:t>
      </w:r>
      <w:r>
        <w:rPr>
          <w:sz w:val="20"/>
        </w:rPr>
        <w:t>autorización</w:t>
      </w:r>
      <w:r>
        <w:rPr>
          <w:spacing w:val="-9"/>
          <w:sz w:val="20"/>
        </w:rPr>
        <w:t> </w:t>
      </w:r>
      <w:r>
        <w:rPr>
          <w:sz w:val="20"/>
        </w:rPr>
        <w:t>oficial,</w:t>
      </w:r>
      <w:r>
        <w:rPr>
          <w:spacing w:val="-9"/>
          <w:sz w:val="20"/>
        </w:rPr>
        <w:t> </w:t>
      </w:r>
      <w:r>
        <w:rPr>
          <w:sz w:val="20"/>
        </w:rPr>
        <w:t>mediante</w:t>
      </w:r>
      <w:r>
        <w:rPr>
          <w:spacing w:val="-7"/>
          <w:sz w:val="20"/>
        </w:rPr>
        <w:t> </w:t>
      </w:r>
      <w:r>
        <w:rPr>
          <w:sz w:val="20"/>
        </w:rPr>
        <w:t>avisos</w:t>
      </w:r>
      <w:r>
        <w:rPr>
          <w:spacing w:val="-7"/>
          <w:sz w:val="20"/>
        </w:rPr>
        <w:t> </w:t>
      </w:r>
      <w:r>
        <w:rPr>
          <w:sz w:val="20"/>
        </w:rPr>
        <w:t>y</w:t>
      </w:r>
      <w:r>
        <w:rPr>
          <w:spacing w:val="-8"/>
          <w:sz w:val="20"/>
        </w:rPr>
        <w:t> </w:t>
      </w:r>
      <w:r>
        <w:rPr>
          <w:sz w:val="20"/>
        </w:rPr>
        <w:t>publicaciones</w:t>
      </w:r>
      <w:r>
        <w:rPr>
          <w:spacing w:val="-7"/>
          <w:sz w:val="20"/>
        </w:rPr>
        <w:t> </w:t>
      </w:r>
      <w:r>
        <w:rPr>
          <w:sz w:val="20"/>
        </w:rPr>
        <w:t>que</w:t>
      </w:r>
      <w:r>
        <w:rPr>
          <w:spacing w:val="-7"/>
          <w:sz w:val="20"/>
        </w:rPr>
        <w:t> </w:t>
      </w:r>
      <w:r>
        <w:rPr>
          <w:sz w:val="20"/>
        </w:rPr>
        <w:t>por</w:t>
      </w:r>
      <w:r>
        <w:rPr>
          <w:spacing w:val="-8"/>
          <w:sz w:val="20"/>
        </w:rPr>
        <w:t> </w:t>
      </w:r>
      <w:r>
        <w:rPr>
          <w:sz w:val="20"/>
        </w:rPr>
        <w:t>tres</w:t>
      </w:r>
      <w:r>
        <w:rPr>
          <w:spacing w:val="-7"/>
          <w:sz w:val="20"/>
        </w:rPr>
        <w:t> </w:t>
      </w:r>
      <w:r>
        <w:rPr>
          <w:sz w:val="20"/>
        </w:rPr>
        <w:t>ocasiones</w:t>
      </w:r>
      <w:r>
        <w:rPr>
          <w:spacing w:val="-8"/>
          <w:sz w:val="20"/>
        </w:rPr>
        <w:t> </w:t>
      </w:r>
      <w:r>
        <w:rPr>
          <w:sz w:val="20"/>
        </w:rPr>
        <w:t>consecutivas</w:t>
      </w:r>
      <w:r>
        <w:rPr>
          <w:spacing w:val="-8"/>
          <w:sz w:val="20"/>
        </w:rPr>
        <w:t> </w:t>
      </w:r>
      <w:r>
        <w:rPr>
          <w:sz w:val="20"/>
        </w:rPr>
        <w:t>y con cargo al propietario o responsable del fraccionamiento o condominio, y</w:t>
      </w:r>
    </w:p>
    <w:p>
      <w:pPr>
        <w:pStyle w:val="BodyText"/>
      </w:pPr>
    </w:p>
    <w:p>
      <w:pPr>
        <w:pStyle w:val="ListParagraph"/>
        <w:numPr>
          <w:ilvl w:val="0"/>
          <w:numId w:val="150"/>
        </w:numPr>
        <w:tabs>
          <w:tab w:pos="688" w:val="left" w:leader="none"/>
        </w:tabs>
        <w:spacing w:line="240" w:lineRule="auto" w:before="0" w:after="0"/>
        <w:ind w:left="262" w:right="283" w:firstLine="0"/>
        <w:jc w:val="both"/>
        <w:rPr>
          <w:sz w:val="20"/>
        </w:rPr>
      </w:pPr>
      <w:r>
        <w:rPr>
          <w:sz w:val="20"/>
        </w:rPr>
        <w:t>Ordenará demoler,</w:t>
      </w:r>
      <w:r>
        <w:rPr>
          <w:spacing w:val="-1"/>
          <w:sz w:val="20"/>
        </w:rPr>
        <w:t> </w:t>
      </w:r>
      <w:r>
        <w:rPr>
          <w:sz w:val="20"/>
        </w:rPr>
        <w:t>si</w:t>
      </w:r>
      <w:r>
        <w:rPr>
          <w:spacing w:val="-1"/>
          <w:sz w:val="20"/>
        </w:rPr>
        <w:t> </w:t>
      </w:r>
      <w:r>
        <w:rPr>
          <w:sz w:val="20"/>
        </w:rPr>
        <w:t>el propietario o responsable</w:t>
      </w:r>
      <w:r>
        <w:rPr>
          <w:spacing w:val="-2"/>
          <w:sz w:val="20"/>
        </w:rPr>
        <w:t> </w:t>
      </w:r>
      <w:r>
        <w:rPr>
          <w:sz w:val="20"/>
        </w:rPr>
        <w:t>no</w:t>
      </w:r>
      <w:r>
        <w:rPr>
          <w:spacing w:val="-2"/>
          <w:sz w:val="20"/>
        </w:rPr>
        <w:t> </w:t>
      </w:r>
      <w:r>
        <w:rPr>
          <w:sz w:val="20"/>
        </w:rPr>
        <w:t>cumpliere</w:t>
      </w:r>
      <w:r>
        <w:rPr>
          <w:spacing w:val="-2"/>
          <w:sz w:val="20"/>
        </w:rPr>
        <w:t> </w:t>
      </w:r>
      <w:r>
        <w:rPr>
          <w:sz w:val="20"/>
        </w:rPr>
        <w:t>con lo dispuesto en</w:t>
      </w:r>
      <w:r>
        <w:rPr>
          <w:spacing w:val="-2"/>
          <w:sz w:val="20"/>
        </w:rPr>
        <w:t> </w:t>
      </w:r>
      <w:r>
        <w:rPr>
          <w:sz w:val="20"/>
        </w:rPr>
        <w:t>la</w:t>
      </w:r>
      <w:r>
        <w:rPr>
          <w:spacing w:val="-2"/>
          <w:sz w:val="20"/>
        </w:rPr>
        <w:t> </w:t>
      </w:r>
      <w:r>
        <w:rPr>
          <w:sz w:val="20"/>
        </w:rPr>
        <w:t>fracción anterior,</w:t>
      </w:r>
      <w:r>
        <w:rPr>
          <w:spacing w:val="-14"/>
          <w:sz w:val="20"/>
        </w:rPr>
        <w:t> </w:t>
      </w:r>
      <w:r>
        <w:rPr>
          <w:sz w:val="20"/>
        </w:rPr>
        <w:t>las</w:t>
      </w:r>
      <w:r>
        <w:rPr>
          <w:spacing w:val="-14"/>
          <w:sz w:val="20"/>
        </w:rPr>
        <w:t> </w:t>
      </w:r>
      <w:r>
        <w:rPr>
          <w:sz w:val="20"/>
        </w:rPr>
        <w:t>obras</w:t>
      </w:r>
      <w:r>
        <w:rPr>
          <w:spacing w:val="-14"/>
          <w:sz w:val="20"/>
        </w:rPr>
        <w:t> </w:t>
      </w:r>
      <w:r>
        <w:rPr>
          <w:sz w:val="20"/>
        </w:rPr>
        <w:t>e</w:t>
      </w:r>
      <w:r>
        <w:rPr>
          <w:spacing w:val="-14"/>
          <w:sz w:val="20"/>
        </w:rPr>
        <w:t> </w:t>
      </w:r>
      <w:r>
        <w:rPr>
          <w:sz w:val="20"/>
        </w:rPr>
        <w:t>instalaciones</w:t>
      </w:r>
      <w:r>
        <w:rPr>
          <w:spacing w:val="-14"/>
          <w:sz w:val="20"/>
        </w:rPr>
        <w:t> </w:t>
      </w:r>
      <w:r>
        <w:rPr>
          <w:sz w:val="20"/>
        </w:rPr>
        <w:t>realizadas,</w:t>
      </w:r>
      <w:r>
        <w:rPr>
          <w:spacing w:val="-14"/>
          <w:sz w:val="20"/>
        </w:rPr>
        <w:t> </w:t>
      </w:r>
      <w:r>
        <w:rPr>
          <w:sz w:val="20"/>
        </w:rPr>
        <w:t>con</w:t>
      </w:r>
      <w:r>
        <w:rPr>
          <w:spacing w:val="-14"/>
          <w:sz w:val="20"/>
        </w:rPr>
        <w:t> </w:t>
      </w:r>
      <w:r>
        <w:rPr>
          <w:sz w:val="20"/>
        </w:rPr>
        <w:t>cargo</w:t>
      </w:r>
      <w:r>
        <w:rPr>
          <w:spacing w:val="-14"/>
          <w:sz w:val="20"/>
        </w:rPr>
        <w:t> </w:t>
      </w:r>
      <w:r>
        <w:rPr>
          <w:sz w:val="20"/>
        </w:rPr>
        <w:t>al</w:t>
      </w:r>
      <w:r>
        <w:rPr>
          <w:spacing w:val="-14"/>
          <w:sz w:val="20"/>
        </w:rPr>
        <w:t> </w:t>
      </w:r>
      <w:r>
        <w:rPr>
          <w:sz w:val="20"/>
        </w:rPr>
        <w:t>infractor</w:t>
      </w:r>
      <w:r>
        <w:rPr>
          <w:spacing w:val="-13"/>
          <w:sz w:val="20"/>
        </w:rPr>
        <w:t> </w:t>
      </w:r>
      <w:r>
        <w:rPr>
          <w:sz w:val="20"/>
        </w:rPr>
        <w:t>una</w:t>
      </w:r>
      <w:r>
        <w:rPr>
          <w:spacing w:val="-14"/>
          <w:sz w:val="20"/>
        </w:rPr>
        <w:t> </w:t>
      </w:r>
      <w:r>
        <w:rPr>
          <w:sz w:val="20"/>
        </w:rPr>
        <w:t>vez</w:t>
      </w:r>
      <w:r>
        <w:rPr>
          <w:spacing w:val="-14"/>
          <w:sz w:val="20"/>
        </w:rPr>
        <w:t> </w:t>
      </w:r>
      <w:r>
        <w:rPr>
          <w:sz w:val="20"/>
        </w:rPr>
        <w:t>agotado</w:t>
      </w:r>
      <w:r>
        <w:rPr>
          <w:spacing w:val="-14"/>
          <w:sz w:val="20"/>
        </w:rPr>
        <w:t> </w:t>
      </w:r>
      <w:r>
        <w:rPr>
          <w:sz w:val="20"/>
        </w:rPr>
        <w:t>el</w:t>
      </w:r>
      <w:r>
        <w:rPr>
          <w:spacing w:val="-14"/>
          <w:sz w:val="20"/>
        </w:rPr>
        <w:t> </w:t>
      </w:r>
      <w:r>
        <w:rPr>
          <w:sz w:val="20"/>
        </w:rPr>
        <w:t>procedimiento establecido en esta Ley.</w:t>
      </w:r>
    </w:p>
    <w:p>
      <w:pPr>
        <w:pStyle w:val="BodyText"/>
        <w:spacing w:before="2"/>
      </w:pPr>
    </w:p>
    <w:p>
      <w:pPr>
        <w:pStyle w:val="BodyText"/>
        <w:ind w:left="262" w:right="276"/>
        <w:jc w:val="both"/>
      </w:pPr>
      <w:r>
        <w:rPr>
          <w:rFonts w:ascii="Arial" w:hAnsi="Arial"/>
          <w:b/>
        </w:rPr>
        <w:t>ARTÍCULO 530. </w:t>
      </w:r>
      <w:r>
        <w:rPr/>
        <w:t>Si el Ayuntamiento respectivo considera que el fraccionamiento o condominio llevado a cabo sin su autorización, es factible de realizar dada su ubicación, de acu</w:t>
      </w:r>
      <w:r>
        <w:rPr>
          <w:rFonts w:ascii="Arial" w:hAnsi="Arial"/>
          <w:i/>
        </w:rPr>
        <w:t>e</w:t>
      </w:r>
      <w:r>
        <w:rPr/>
        <w:t>rdo a lo establecido</w:t>
      </w:r>
      <w:r>
        <w:rPr>
          <w:spacing w:val="-9"/>
        </w:rPr>
        <w:t> </w:t>
      </w:r>
      <w:r>
        <w:rPr/>
        <w:t>en</w:t>
      </w:r>
      <w:r>
        <w:rPr>
          <w:spacing w:val="-9"/>
        </w:rPr>
        <w:t> </w:t>
      </w:r>
      <w:r>
        <w:rPr/>
        <w:t>los</w:t>
      </w:r>
      <w:r>
        <w:rPr>
          <w:spacing w:val="-8"/>
        </w:rPr>
        <w:t> </w:t>
      </w:r>
      <w:r>
        <w:rPr/>
        <w:t>programas</w:t>
      </w:r>
      <w:r>
        <w:rPr>
          <w:spacing w:val="-8"/>
        </w:rPr>
        <w:t> </w:t>
      </w:r>
      <w:r>
        <w:rPr/>
        <w:t>de</w:t>
      </w:r>
      <w:r>
        <w:rPr>
          <w:spacing w:val="-7"/>
        </w:rPr>
        <w:t> </w:t>
      </w:r>
      <w:r>
        <w:rPr/>
        <w:t>desarrollo</w:t>
      </w:r>
      <w:r>
        <w:rPr>
          <w:spacing w:val="-7"/>
        </w:rPr>
        <w:t> </w:t>
      </w:r>
      <w:r>
        <w:rPr/>
        <w:t>urbano</w:t>
      </w:r>
      <w:r>
        <w:rPr>
          <w:spacing w:val="-9"/>
        </w:rPr>
        <w:t> </w:t>
      </w:r>
      <w:r>
        <w:rPr/>
        <w:t>y</w:t>
      </w:r>
      <w:r>
        <w:rPr>
          <w:spacing w:val="-5"/>
        </w:rPr>
        <w:t> </w:t>
      </w:r>
      <w:r>
        <w:rPr/>
        <w:t>demás</w:t>
      </w:r>
      <w:r>
        <w:rPr>
          <w:spacing w:val="-8"/>
        </w:rPr>
        <w:t> </w:t>
      </w:r>
      <w:r>
        <w:rPr/>
        <w:t>regulaciones</w:t>
      </w:r>
      <w:r>
        <w:rPr>
          <w:spacing w:val="-8"/>
        </w:rPr>
        <w:t> </w:t>
      </w:r>
      <w:r>
        <w:rPr/>
        <w:t>aplicables,</w:t>
      </w:r>
      <w:r>
        <w:rPr>
          <w:spacing w:val="-9"/>
        </w:rPr>
        <w:t> </w:t>
      </w:r>
      <w:r>
        <w:rPr/>
        <w:t>el</w:t>
      </w:r>
      <w:r>
        <w:rPr>
          <w:spacing w:val="-8"/>
        </w:rPr>
        <w:t> </w:t>
      </w:r>
      <w:r>
        <w:rPr/>
        <w:t>fraccionador o</w:t>
      </w:r>
      <w:r>
        <w:rPr>
          <w:spacing w:val="-1"/>
        </w:rPr>
        <w:t> </w:t>
      </w:r>
      <w:r>
        <w:rPr/>
        <w:t>promotor, previo pago de la multa a</w:t>
      </w:r>
      <w:r>
        <w:rPr>
          <w:spacing w:val="-1"/>
        </w:rPr>
        <w:t> </w:t>
      </w:r>
      <w:r>
        <w:rPr/>
        <w:t>que</w:t>
      </w:r>
      <w:r>
        <w:rPr>
          <w:spacing w:val="-2"/>
        </w:rPr>
        <w:t> </w:t>
      </w:r>
      <w:r>
        <w:rPr/>
        <w:t>se</w:t>
      </w:r>
      <w:r>
        <w:rPr>
          <w:spacing w:val="-1"/>
        </w:rPr>
        <w:t> </w:t>
      </w:r>
      <w:r>
        <w:rPr/>
        <w:t>refiere</w:t>
      </w:r>
      <w:r>
        <w:rPr>
          <w:spacing w:val="-1"/>
        </w:rPr>
        <w:t> </w:t>
      </w:r>
      <w:r>
        <w:rPr/>
        <w:t>la fracción</w:t>
      </w:r>
      <w:r>
        <w:rPr>
          <w:spacing w:val="-2"/>
        </w:rPr>
        <w:t> </w:t>
      </w:r>
      <w:r>
        <w:rPr/>
        <w:t>II</w:t>
      </w:r>
      <w:r>
        <w:rPr>
          <w:spacing w:val="-1"/>
        </w:rPr>
        <w:t> </w:t>
      </w:r>
      <w:r>
        <w:rPr/>
        <w:t>del</w:t>
      </w:r>
      <w:r>
        <w:rPr>
          <w:spacing w:val="-2"/>
        </w:rPr>
        <w:t> </w:t>
      </w:r>
      <w:r>
        <w:rPr/>
        <w:t>artículo anterior y sin perjuicio de las demás</w:t>
      </w:r>
      <w:r>
        <w:rPr>
          <w:spacing w:val="40"/>
        </w:rPr>
        <w:t> </w:t>
      </w:r>
      <w:r>
        <w:rPr/>
        <w:t>responsabilidades y sanciones civiles y penales que procedan, podrán iniciar los trámites para la autorización del fraccionamiento o condominio por regularización en la forma prevista en esta Ley, sin perjuicio de demoler o inhabilitar las obras o instalaciones que no concuerden con las especificaciones relativas, o de reubicar las edificaciones realizadas conforme al proyecto que se apruebe.</w:t>
      </w:r>
    </w:p>
    <w:p>
      <w:pPr>
        <w:pStyle w:val="BodyText"/>
      </w:pPr>
    </w:p>
    <w:p>
      <w:pPr>
        <w:pStyle w:val="BodyText"/>
        <w:ind w:left="262" w:right="277"/>
        <w:jc w:val="both"/>
      </w:pPr>
      <w:r>
        <w:rPr>
          <w:rFonts w:ascii="Arial" w:hAnsi="Arial"/>
          <w:b/>
        </w:rPr>
        <w:t>ARTÍCULO 531. </w:t>
      </w:r>
      <w:r>
        <w:rPr/>
        <w:t>En contra de los actos o resoluciones que dicten o ejecuten las autoridades administrativas del Estado o de los municipios en materia de esta Ley, de los programas de ordenamiento territorial y desarrollo urbano y demás disposiciones jurídicas aplicables, los interesados</w:t>
      </w:r>
      <w:r>
        <w:rPr>
          <w:spacing w:val="-9"/>
        </w:rPr>
        <w:t> </w:t>
      </w:r>
      <w:r>
        <w:rPr/>
        <w:t>afectados</w:t>
      </w:r>
      <w:r>
        <w:rPr>
          <w:spacing w:val="-9"/>
        </w:rPr>
        <w:t> </w:t>
      </w:r>
      <w:r>
        <w:rPr/>
        <w:t>podrán</w:t>
      </w:r>
      <w:r>
        <w:rPr>
          <w:spacing w:val="-10"/>
        </w:rPr>
        <w:t> </w:t>
      </w:r>
      <w:r>
        <w:rPr/>
        <w:t>interponer</w:t>
      </w:r>
      <w:r>
        <w:rPr>
          <w:spacing w:val="-7"/>
        </w:rPr>
        <w:t> </w:t>
      </w:r>
      <w:r>
        <w:rPr/>
        <w:t>el</w:t>
      </w:r>
      <w:r>
        <w:rPr>
          <w:spacing w:val="-11"/>
        </w:rPr>
        <w:t> </w:t>
      </w:r>
      <w:r>
        <w:rPr/>
        <w:t>recurso</w:t>
      </w:r>
      <w:r>
        <w:rPr>
          <w:spacing w:val="-8"/>
        </w:rPr>
        <w:t> </w:t>
      </w:r>
      <w:r>
        <w:rPr/>
        <w:t>que</w:t>
      </w:r>
      <w:r>
        <w:rPr>
          <w:spacing w:val="-10"/>
        </w:rPr>
        <w:t> </w:t>
      </w:r>
      <w:r>
        <w:rPr/>
        <w:t>establece</w:t>
      </w:r>
      <w:r>
        <w:rPr>
          <w:spacing w:val="-8"/>
        </w:rPr>
        <w:t> </w:t>
      </w:r>
      <w:r>
        <w:rPr/>
        <w:t>el</w:t>
      </w:r>
      <w:r>
        <w:rPr>
          <w:spacing w:val="-9"/>
        </w:rPr>
        <w:t> </w:t>
      </w:r>
      <w:r>
        <w:rPr/>
        <w:t>Código</w:t>
      </w:r>
      <w:r>
        <w:rPr>
          <w:spacing w:val="-10"/>
        </w:rPr>
        <w:t> </w:t>
      </w:r>
      <w:r>
        <w:rPr/>
        <w:t>Procesal</w:t>
      </w:r>
      <w:r>
        <w:rPr>
          <w:spacing w:val="-9"/>
        </w:rPr>
        <w:t> </w:t>
      </w:r>
      <w:r>
        <w:rPr/>
        <w:t>Administrativo del Estado, o intentar el juicio de nulidad ante el Tribunal Estatal de Justicia Administrativa, de conformidad con lo previsto en dicho Ordenamiento.</w:t>
      </w:r>
    </w:p>
    <w:p>
      <w:pPr>
        <w:pStyle w:val="BodyText"/>
      </w:pPr>
    </w:p>
    <w:p>
      <w:pPr>
        <w:pStyle w:val="BodyText"/>
        <w:spacing w:before="1"/>
      </w:pPr>
    </w:p>
    <w:p>
      <w:pPr>
        <w:pStyle w:val="Heading1"/>
        <w:ind w:right="17"/>
      </w:pPr>
      <w:r>
        <w:rPr/>
        <w:t>T</w:t>
      </w:r>
      <w:r>
        <w:rPr>
          <w:spacing w:val="-2"/>
        </w:rPr>
        <w:t> </w:t>
      </w:r>
      <w:r>
        <w:rPr/>
        <w:t>R</w:t>
      </w:r>
      <w:r>
        <w:rPr>
          <w:spacing w:val="-2"/>
        </w:rPr>
        <w:t> </w:t>
      </w:r>
      <w:r>
        <w:rPr/>
        <w:t>A</w:t>
      </w:r>
      <w:r>
        <w:rPr>
          <w:spacing w:val="-2"/>
        </w:rPr>
        <w:t> </w:t>
      </w:r>
      <w:r>
        <w:rPr/>
        <w:t>N</w:t>
      </w:r>
      <w:r>
        <w:rPr>
          <w:spacing w:val="-1"/>
        </w:rPr>
        <w:t> </w:t>
      </w:r>
      <w:r>
        <w:rPr/>
        <w:t>S</w:t>
      </w:r>
      <w:r>
        <w:rPr>
          <w:spacing w:val="-2"/>
        </w:rPr>
        <w:t> </w:t>
      </w:r>
      <w:r>
        <w:rPr/>
        <w:t>I</w:t>
      </w:r>
      <w:r>
        <w:rPr>
          <w:spacing w:val="-2"/>
        </w:rPr>
        <w:t> </w:t>
      </w:r>
      <w:r>
        <w:rPr/>
        <w:t>T</w:t>
      </w:r>
      <w:r>
        <w:rPr>
          <w:spacing w:val="-2"/>
        </w:rPr>
        <w:t> </w:t>
      </w:r>
      <w:r>
        <w:rPr/>
        <w:t>O</w:t>
      </w:r>
      <w:r>
        <w:rPr>
          <w:spacing w:val="-2"/>
        </w:rPr>
        <w:t> </w:t>
      </w:r>
      <w:r>
        <w:rPr/>
        <w:t>R I</w:t>
      </w:r>
      <w:r>
        <w:rPr>
          <w:spacing w:val="-2"/>
        </w:rPr>
        <w:t> </w:t>
      </w:r>
      <w:r>
        <w:rPr/>
        <w:t>O</w:t>
      </w:r>
      <w:r>
        <w:rPr>
          <w:spacing w:val="-2"/>
        </w:rPr>
        <w:t> </w:t>
      </w:r>
      <w:r>
        <w:rPr>
          <w:spacing w:val="-10"/>
        </w:rPr>
        <w:t>S</w:t>
      </w:r>
    </w:p>
    <w:p>
      <w:pPr>
        <w:pStyle w:val="BodyText"/>
        <w:spacing w:before="228"/>
        <w:ind w:left="262" w:right="287"/>
        <w:jc w:val="both"/>
      </w:pPr>
      <w:r>
        <w:rPr>
          <w:rFonts w:ascii="Arial" w:hAnsi="Arial"/>
          <w:b/>
        </w:rPr>
        <w:t>PRIMERO. </w:t>
      </w:r>
      <w:r>
        <w:rPr/>
        <w:t>Esta Ley entrará en vigor al día siguiente de su publicación en el Periódico Oficial del Estado “Plan de San Luis”.</w:t>
      </w:r>
    </w:p>
    <w:p>
      <w:pPr>
        <w:pStyle w:val="BodyText"/>
        <w:spacing w:before="1"/>
      </w:pPr>
    </w:p>
    <w:p>
      <w:pPr>
        <w:pStyle w:val="BodyText"/>
        <w:ind w:left="262" w:right="279"/>
        <w:jc w:val="both"/>
      </w:pPr>
      <w:r>
        <w:rPr>
          <w:rFonts w:ascii="Arial" w:hAnsi="Arial"/>
          <w:b/>
        </w:rPr>
        <w:t>SEGUNDO. </w:t>
      </w:r>
      <w:r>
        <w:rPr/>
        <w:t>A la entrada en vigor del presente Decreto, se abroga la Ley de Desarrollo Urbano del Estado de San Luis Potosí, publicada en el Periódico Oficial del Estado con fecha 7 de octubre del año 2000; además, se derogan todas las disposiciones legales y reglamentarias que se opongan a lo establecido en la presente Ley.</w:t>
      </w:r>
    </w:p>
    <w:p>
      <w:pPr>
        <w:pStyle w:val="BodyText"/>
        <w:spacing w:before="1"/>
      </w:pPr>
    </w:p>
    <w:p>
      <w:pPr>
        <w:pStyle w:val="BodyText"/>
        <w:ind w:left="262" w:right="276"/>
        <w:jc w:val="both"/>
      </w:pPr>
      <w:r>
        <w:rPr>
          <w:rFonts w:ascii="Arial" w:hAnsi="Arial"/>
          <w:b/>
        </w:rPr>
        <w:t>TERCERO. </w:t>
      </w:r>
      <w:r>
        <w:rPr/>
        <w:t>El Congreso del Estado deberá armonizar las leyes estatales relacionadas con las materias</w:t>
      </w:r>
      <w:r>
        <w:rPr>
          <w:spacing w:val="-6"/>
        </w:rPr>
        <w:t> </w:t>
      </w:r>
      <w:r>
        <w:rPr/>
        <w:t>que</w:t>
      </w:r>
      <w:r>
        <w:rPr>
          <w:spacing w:val="-6"/>
        </w:rPr>
        <w:t> </w:t>
      </w:r>
      <w:r>
        <w:rPr/>
        <w:t>regula</w:t>
      </w:r>
      <w:r>
        <w:rPr>
          <w:spacing w:val="-4"/>
        </w:rPr>
        <w:t> </w:t>
      </w:r>
      <w:r>
        <w:rPr/>
        <w:t>la</w:t>
      </w:r>
      <w:r>
        <w:rPr>
          <w:spacing w:val="-5"/>
        </w:rPr>
        <w:t> </w:t>
      </w:r>
      <w:r>
        <w:rPr/>
        <w:t>presente</w:t>
      </w:r>
      <w:r>
        <w:rPr>
          <w:spacing w:val="-5"/>
        </w:rPr>
        <w:t> </w:t>
      </w:r>
      <w:r>
        <w:rPr/>
        <w:t>Ley,</w:t>
      </w:r>
      <w:r>
        <w:rPr>
          <w:spacing w:val="-4"/>
        </w:rPr>
        <w:t> </w:t>
      </w:r>
      <w:r>
        <w:rPr/>
        <w:t>entre</w:t>
      </w:r>
      <w:r>
        <w:rPr>
          <w:spacing w:val="-5"/>
        </w:rPr>
        <w:t> </w:t>
      </w:r>
      <w:r>
        <w:rPr/>
        <w:t>otros,</w:t>
      </w:r>
      <w:r>
        <w:rPr>
          <w:spacing w:val="-4"/>
        </w:rPr>
        <w:t> </w:t>
      </w:r>
      <w:r>
        <w:rPr/>
        <w:t>la</w:t>
      </w:r>
      <w:r>
        <w:rPr>
          <w:spacing w:val="-6"/>
        </w:rPr>
        <w:t> </w:t>
      </w:r>
      <w:r>
        <w:rPr/>
        <w:t>Ley</w:t>
      </w:r>
      <w:r>
        <w:rPr>
          <w:spacing w:val="-5"/>
        </w:rPr>
        <w:t> </w:t>
      </w:r>
      <w:r>
        <w:rPr/>
        <w:t>Ambiental</w:t>
      </w:r>
      <w:r>
        <w:rPr>
          <w:spacing w:val="-6"/>
        </w:rPr>
        <w:t> </w:t>
      </w:r>
      <w:r>
        <w:rPr/>
        <w:t>del</w:t>
      </w:r>
      <w:r>
        <w:rPr>
          <w:spacing w:val="-6"/>
        </w:rPr>
        <w:t> </w:t>
      </w:r>
      <w:r>
        <w:rPr/>
        <w:t>Estado</w:t>
      </w:r>
      <w:r>
        <w:rPr>
          <w:spacing w:val="-5"/>
        </w:rPr>
        <w:t> </w:t>
      </w:r>
      <w:r>
        <w:rPr/>
        <w:t>de</w:t>
      </w:r>
      <w:r>
        <w:rPr>
          <w:spacing w:val="-2"/>
        </w:rPr>
        <w:t> </w:t>
      </w:r>
      <w:r>
        <w:rPr/>
        <w:t>San</w:t>
      </w:r>
      <w:r>
        <w:rPr>
          <w:spacing w:val="-5"/>
        </w:rPr>
        <w:t> </w:t>
      </w:r>
      <w:r>
        <w:rPr/>
        <w:t>Luis</w:t>
      </w:r>
      <w:r>
        <w:rPr>
          <w:spacing w:val="-3"/>
        </w:rPr>
        <w:t> </w:t>
      </w:r>
      <w:r>
        <w:rPr/>
        <w:t>Potosí;</w:t>
      </w:r>
      <w:r>
        <w:rPr>
          <w:spacing w:val="-4"/>
        </w:rPr>
        <w:t> </w:t>
      </w:r>
      <w:r>
        <w:rPr/>
        <w:t>la Ley de Transporte Público del Estado de San Luis Potosí; la Ley Orgánica de la Administración Pública del Estado de San Luis Potosí; la Ley Orgánica del Municipio Libre del Estado de San Luis Potosí;</w:t>
      </w:r>
      <w:r>
        <w:rPr>
          <w:spacing w:val="-4"/>
        </w:rPr>
        <w:t> </w:t>
      </w:r>
      <w:r>
        <w:rPr/>
        <w:t>el</w:t>
      </w:r>
      <w:r>
        <w:rPr>
          <w:spacing w:val="-7"/>
        </w:rPr>
        <w:t> </w:t>
      </w:r>
      <w:r>
        <w:rPr/>
        <w:t>Código</w:t>
      </w:r>
      <w:r>
        <w:rPr>
          <w:spacing w:val="-7"/>
        </w:rPr>
        <w:t> </w:t>
      </w:r>
      <w:r>
        <w:rPr/>
        <w:t>Penal</w:t>
      </w:r>
      <w:r>
        <w:rPr>
          <w:spacing w:val="-7"/>
        </w:rPr>
        <w:t> </w:t>
      </w:r>
      <w:r>
        <w:rPr/>
        <w:t>del</w:t>
      </w:r>
      <w:r>
        <w:rPr>
          <w:spacing w:val="-5"/>
        </w:rPr>
        <w:t> </w:t>
      </w:r>
      <w:r>
        <w:rPr/>
        <w:t>Estado</w:t>
      </w:r>
      <w:r>
        <w:rPr>
          <w:spacing w:val="-4"/>
        </w:rPr>
        <w:t> </w:t>
      </w:r>
      <w:r>
        <w:rPr/>
        <w:t>de</w:t>
      </w:r>
      <w:r>
        <w:rPr>
          <w:spacing w:val="-7"/>
        </w:rPr>
        <w:t> </w:t>
      </w:r>
      <w:r>
        <w:rPr/>
        <w:t>San</w:t>
      </w:r>
      <w:r>
        <w:rPr>
          <w:spacing w:val="-7"/>
        </w:rPr>
        <w:t> </w:t>
      </w:r>
      <w:r>
        <w:rPr/>
        <w:t>Luis</w:t>
      </w:r>
      <w:r>
        <w:rPr>
          <w:spacing w:val="-5"/>
        </w:rPr>
        <w:t> </w:t>
      </w:r>
      <w:r>
        <w:rPr/>
        <w:t>Potosí,</w:t>
      </w:r>
      <w:r>
        <w:rPr>
          <w:spacing w:val="-4"/>
        </w:rPr>
        <w:t> </w:t>
      </w:r>
      <w:r>
        <w:rPr/>
        <w:t>y</w:t>
      </w:r>
      <w:r>
        <w:rPr>
          <w:spacing w:val="-6"/>
        </w:rPr>
        <w:t> </w:t>
      </w:r>
      <w:r>
        <w:rPr/>
        <w:t>demás</w:t>
      </w:r>
      <w:r>
        <w:rPr>
          <w:spacing w:val="-5"/>
        </w:rPr>
        <w:t> </w:t>
      </w:r>
      <w:r>
        <w:rPr/>
        <w:t>que</w:t>
      </w:r>
      <w:r>
        <w:rPr>
          <w:spacing w:val="-7"/>
        </w:rPr>
        <w:t> </w:t>
      </w:r>
      <w:r>
        <w:rPr/>
        <w:t>resulten</w:t>
      </w:r>
      <w:r>
        <w:rPr>
          <w:spacing w:val="-7"/>
        </w:rPr>
        <w:t> </w:t>
      </w:r>
      <w:r>
        <w:rPr/>
        <w:t>necesarias,</w:t>
      </w:r>
      <w:r>
        <w:rPr>
          <w:spacing w:val="-6"/>
        </w:rPr>
        <w:t> </w:t>
      </w:r>
      <w:r>
        <w:rPr/>
        <w:t>dentro</w:t>
      </w:r>
      <w:r>
        <w:rPr>
          <w:spacing w:val="-7"/>
        </w:rPr>
        <w:t> </w:t>
      </w:r>
      <w:r>
        <w:rPr/>
        <w:t>del año siguiente a la entrada en vigor de este Decreto.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79"/>
        <w:jc w:val="both"/>
      </w:pPr>
      <w:r>
        <w:rPr>
          <w:rFonts w:ascii="Arial" w:hAnsi="Arial"/>
          <w:b/>
        </w:rPr>
        <w:t>CUARTO.</w:t>
      </w:r>
      <w:r>
        <w:rPr>
          <w:rFonts w:ascii="Arial" w:hAnsi="Arial"/>
          <w:b/>
          <w:spacing w:val="-1"/>
        </w:rPr>
        <w:t> </w:t>
      </w:r>
      <w:r>
        <w:rPr/>
        <w:t>Dentro del</w:t>
      </w:r>
      <w:r>
        <w:rPr>
          <w:spacing w:val="-3"/>
        </w:rPr>
        <w:t> </w:t>
      </w:r>
      <w:r>
        <w:rPr/>
        <w:t>plazo de un año contado a partir de la entrada en</w:t>
      </w:r>
      <w:r>
        <w:rPr>
          <w:spacing w:val="-3"/>
        </w:rPr>
        <w:t> </w:t>
      </w:r>
      <w:r>
        <w:rPr/>
        <w:t>vigor del presente Decreto, los ayuntamientos deberán adecuar todas las disposiciones reglamentarias relacionadas con los contenidos</w:t>
      </w:r>
      <w:r>
        <w:rPr>
          <w:spacing w:val="-1"/>
        </w:rPr>
        <w:t> </w:t>
      </w:r>
      <w:r>
        <w:rPr/>
        <w:t>de</w:t>
      </w:r>
      <w:r>
        <w:rPr>
          <w:spacing w:val="-3"/>
        </w:rPr>
        <w:t> </w:t>
      </w:r>
      <w:r>
        <w:rPr/>
        <w:t>este</w:t>
      </w:r>
      <w:r>
        <w:rPr>
          <w:spacing w:val="-5"/>
        </w:rPr>
        <w:t> </w:t>
      </w:r>
      <w:r>
        <w:rPr/>
        <w:t>Decreto;</w:t>
      </w:r>
      <w:r>
        <w:rPr>
          <w:spacing w:val="-4"/>
        </w:rPr>
        <w:t> </w:t>
      </w:r>
      <w:r>
        <w:rPr/>
        <w:t>aquellos</w:t>
      </w:r>
      <w:r>
        <w:rPr>
          <w:spacing w:val="-3"/>
        </w:rPr>
        <w:t> </w:t>
      </w:r>
      <w:r>
        <w:rPr/>
        <w:t>con</w:t>
      </w:r>
      <w:r>
        <w:rPr>
          <w:spacing w:val="-2"/>
        </w:rPr>
        <w:t> </w:t>
      </w:r>
      <w:r>
        <w:rPr/>
        <w:t>una</w:t>
      </w:r>
      <w:r>
        <w:rPr>
          <w:spacing w:val="-4"/>
        </w:rPr>
        <w:t> </w:t>
      </w:r>
      <w:r>
        <w:rPr/>
        <w:t>población</w:t>
      </w:r>
      <w:r>
        <w:rPr>
          <w:spacing w:val="-4"/>
        </w:rPr>
        <w:t> </w:t>
      </w:r>
      <w:r>
        <w:rPr/>
        <w:t>de</w:t>
      </w:r>
      <w:r>
        <w:rPr>
          <w:spacing w:val="-4"/>
        </w:rPr>
        <w:t> </w:t>
      </w:r>
      <w:r>
        <w:rPr/>
        <w:t>cuarenta</w:t>
      </w:r>
      <w:r>
        <w:rPr>
          <w:spacing w:val="-4"/>
        </w:rPr>
        <w:t> </w:t>
      </w:r>
      <w:r>
        <w:rPr/>
        <w:t>mil</w:t>
      </w:r>
      <w:r>
        <w:rPr>
          <w:spacing w:val="-3"/>
        </w:rPr>
        <w:t> </w:t>
      </w:r>
      <w:r>
        <w:rPr/>
        <w:t>habitantes</w:t>
      </w:r>
      <w:r>
        <w:rPr>
          <w:spacing w:val="-3"/>
        </w:rPr>
        <w:t> </w:t>
      </w:r>
      <w:r>
        <w:rPr/>
        <w:t>o</w:t>
      </w:r>
      <w:r>
        <w:rPr>
          <w:spacing w:val="-5"/>
        </w:rPr>
        <w:t> </w:t>
      </w:r>
      <w:r>
        <w:rPr/>
        <w:t>más,</w:t>
      </w:r>
      <w:r>
        <w:rPr>
          <w:spacing w:val="-2"/>
        </w:rPr>
        <w:t> </w:t>
      </w:r>
      <w:r>
        <w:rPr/>
        <w:t>deberán de expedirlos dentro de los ciento ochenta días siguientes a la entrada en vigor de este </w:t>
      </w:r>
      <w:r>
        <w:rPr>
          <w:spacing w:val="-2"/>
        </w:rPr>
        <w:t>Ordenamiento.</w:t>
      </w:r>
    </w:p>
    <w:p>
      <w:pPr>
        <w:pStyle w:val="BodyText"/>
      </w:pPr>
    </w:p>
    <w:p>
      <w:pPr>
        <w:pStyle w:val="BodyText"/>
        <w:ind w:left="262" w:right="288"/>
        <w:jc w:val="both"/>
      </w:pPr>
      <w:r>
        <w:rPr/>
        <w:t>La Secretaría deberá asesorar a los ayuntamientos en la elaboración de sus reglamentos, cuando éstos así lo soliciten, y emitirá su opinión sobre los anteproyectos que se le presenten.</w:t>
      </w:r>
    </w:p>
    <w:p>
      <w:pPr>
        <w:pStyle w:val="BodyText"/>
        <w:spacing w:before="1"/>
      </w:pPr>
    </w:p>
    <w:p>
      <w:pPr>
        <w:pStyle w:val="BodyText"/>
        <w:ind w:left="262" w:right="284"/>
        <w:jc w:val="both"/>
      </w:pPr>
      <w:r>
        <w:rPr>
          <w:rFonts w:ascii="Arial" w:hAnsi="Arial"/>
          <w:b/>
        </w:rPr>
        <w:t>QUINTO.</w:t>
      </w:r>
      <w:r>
        <w:rPr>
          <w:rFonts w:ascii="Arial" w:hAnsi="Arial"/>
          <w:b/>
          <w:spacing w:val="-6"/>
        </w:rPr>
        <w:t> </w:t>
      </w:r>
      <w:r>
        <w:rPr/>
        <w:t>Los</w:t>
      </w:r>
      <w:r>
        <w:rPr>
          <w:spacing w:val="-3"/>
        </w:rPr>
        <w:t> </w:t>
      </w:r>
      <w:r>
        <w:rPr/>
        <w:t>Municipios</w:t>
      </w:r>
      <w:r>
        <w:rPr>
          <w:spacing w:val="-6"/>
        </w:rPr>
        <w:t> </w:t>
      </w:r>
      <w:r>
        <w:rPr/>
        <w:t>del</w:t>
      </w:r>
      <w:r>
        <w:rPr>
          <w:spacing w:val="-5"/>
        </w:rPr>
        <w:t> </w:t>
      </w:r>
      <w:r>
        <w:rPr/>
        <w:t>Estado</w:t>
      </w:r>
      <w:r>
        <w:rPr>
          <w:spacing w:val="-5"/>
        </w:rPr>
        <w:t> </w:t>
      </w:r>
      <w:r>
        <w:rPr/>
        <w:t>que</w:t>
      </w:r>
      <w:r>
        <w:rPr>
          <w:spacing w:val="-5"/>
        </w:rPr>
        <w:t> </w:t>
      </w:r>
      <w:r>
        <w:rPr/>
        <w:t>no</w:t>
      </w:r>
      <w:r>
        <w:rPr>
          <w:spacing w:val="-7"/>
        </w:rPr>
        <w:t> </w:t>
      </w:r>
      <w:r>
        <w:rPr/>
        <w:t>cuenten</w:t>
      </w:r>
      <w:r>
        <w:rPr>
          <w:spacing w:val="-7"/>
        </w:rPr>
        <w:t> </w:t>
      </w:r>
      <w:r>
        <w:rPr/>
        <w:t>con</w:t>
      </w:r>
      <w:r>
        <w:rPr>
          <w:spacing w:val="-7"/>
        </w:rPr>
        <w:t> </w:t>
      </w:r>
      <w:r>
        <w:rPr/>
        <w:t>reglamentos</w:t>
      </w:r>
      <w:r>
        <w:rPr>
          <w:spacing w:val="-3"/>
        </w:rPr>
        <w:t> </w:t>
      </w:r>
      <w:r>
        <w:rPr/>
        <w:t>de</w:t>
      </w:r>
      <w:r>
        <w:rPr>
          <w:spacing w:val="-5"/>
        </w:rPr>
        <w:t> </w:t>
      </w:r>
      <w:r>
        <w:rPr/>
        <w:t>construcción,</w:t>
      </w:r>
      <w:r>
        <w:rPr>
          <w:spacing w:val="-4"/>
        </w:rPr>
        <w:t> </w:t>
      </w:r>
      <w:r>
        <w:rPr/>
        <w:t>aplicarán</w:t>
      </w:r>
      <w:r>
        <w:rPr>
          <w:spacing w:val="-4"/>
        </w:rPr>
        <w:t> </w:t>
      </w:r>
      <w:r>
        <w:rPr/>
        <w:t>en tanto los expiden, las disposiciones de esta Ley y el Reglamento de Construcción del Municipio de la región de Estado a la cual pertenecen, de acuerdo a lo siguiente:</w:t>
      </w:r>
    </w:p>
    <w:p>
      <w:pPr>
        <w:pStyle w:val="BodyText"/>
      </w:pPr>
    </w:p>
    <w:p>
      <w:pPr>
        <w:pStyle w:val="ListParagraph"/>
        <w:numPr>
          <w:ilvl w:val="0"/>
          <w:numId w:val="151"/>
        </w:numPr>
        <w:tabs>
          <w:tab w:pos="543" w:val="left" w:leader="none"/>
        </w:tabs>
        <w:spacing w:line="240" w:lineRule="auto" w:before="0" w:after="0"/>
        <w:ind w:left="262" w:right="289" w:firstLine="0"/>
        <w:jc w:val="left"/>
        <w:rPr>
          <w:sz w:val="20"/>
        </w:rPr>
      </w:pPr>
      <w:r>
        <w:rPr>
          <w:sz w:val="20"/>
        </w:rPr>
        <w:t>Los municipios de la región Centro podrán utilizar el de San Luis Potosí, Soledad de Graciano Sánchez, Mexquitic de Carmona o Villa de Reyes;</w:t>
      </w:r>
    </w:p>
    <w:p>
      <w:pPr>
        <w:pStyle w:val="BodyText"/>
        <w:spacing w:before="1"/>
      </w:pPr>
    </w:p>
    <w:p>
      <w:pPr>
        <w:pStyle w:val="ListParagraph"/>
        <w:numPr>
          <w:ilvl w:val="0"/>
          <w:numId w:val="151"/>
        </w:numPr>
        <w:tabs>
          <w:tab w:pos="543" w:val="left" w:leader="none"/>
        </w:tabs>
        <w:spacing w:line="240" w:lineRule="auto" w:before="0" w:after="0"/>
        <w:ind w:left="543" w:right="0" w:hanging="281"/>
        <w:jc w:val="left"/>
        <w:rPr>
          <w:sz w:val="20"/>
        </w:rPr>
      </w:pPr>
      <w:r>
        <w:rPr>
          <w:sz w:val="20"/>
        </w:rPr>
        <w:t>Los</w:t>
      </w:r>
      <w:r>
        <w:rPr>
          <w:spacing w:val="-7"/>
          <w:sz w:val="20"/>
        </w:rPr>
        <w:t> </w:t>
      </w:r>
      <w:r>
        <w:rPr>
          <w:sz w:val="20"/>
        </w:rPr>
        <w:t>municipios</w:t>
      </w:r>
      <w:r>
        <w:rPr>
          <w:spacing w:val="-6"/>
          <w:sz w:val="20"/>
        </w:rPr>
        <w:t> </w:t>
      </w:r>
      <w:r>
        <w:rPr>
          <w:sz w:val="20"/>
        </w:rPr>
        <w:t>de</w:t>
      </w:r>
      <w:r>
        <w:rPr>
          <w:spacing w:val="-6"/>
          <w:sz w:val="20"/>
        </w:rPr>
        <w:t> </w:t>
      </w:r>
      <w:r>
        <w:rPr>
          <w:sz w:val="20"/>
        </w:rPr>
        <w:t>la</w:t>
      </w:r>
      <w:r>
        <w:rPr>
          <w:spacing w:val="-7"/>
          <w:sz w:val="20"/>
        </w:rPr>
        <w:t> </w:t>
      </w:r>
      <w:r>
        <w:rPr>
          <w:sz w:val="20"/>
        </w:rPr>
        <w:t>región</w:t>
      </w:r>
      <w:r>
        <w:rPr>
          <w:spacing w:val="-6"/>
          <w:sz w:val="20"/>
        </w:rPr>
        <w:t> </w:t>
      </w:r>
      <w:r>
        <w:rPr>
          <w:sz w:val="20"/>
        </w:rPr>
        <w:t>Altiplano</w:t>
      </w:r>
      <w:r>
        <w:rPr>
          <w:spacing w:val="-7"/>
          <w:sz w:val="20"/>
        </w:rPr>
        <w:t> </w:t>
      </w:r>
      <w:r>
        <w:rPr>
          <w:sz w:val="20"/>
        </w:rPr>
        <w:t>podrán</w:t>
      </w:r>
      <w:r>
        <w:rPr>
          <w:spacing w:val="-5"/>
          <w:sz w:val="20"/>
        </w:rPr>
        <w:t> </w:t>
      </w:r>
      <w:r>
        <w:rPr>
          <w:sz w:val="20"/>
        </w:rPr>
        <w:t>utilizar</w:t>
      </w:r>
      <w:r>
        <w:rPr>
          <w:spacing w:val="-7"/>
          <w:sz w:val="20"/>
        </w:rPr>
        <w:t> </w:t>
      </w:r>
      <w:r>
        <w:rPr>
          <w:sz w:val="20"/>
        </w:rPr>
        <w:t>el</w:t>
      </w:r>
      <w:r>
        <w:rPr>
          <w:spacing w:val="-5"/>
          <w:sz w:val="20"/>
        </w:rPr>
        <w:t> </w:t>
      </w:r>
      <w:r>
        <w:rPr>
          <w:sz w:val="20"/>
        </w:rPr>
        <w:t>de</w:t>
      </w:r>
      <w:r>
        <w:rPr>
          <w:spacing w:val="-8"/>
          <w:sz w:val="20"/>
        </w:rPr>
        <w:t> </w:t>
      </w:r>
      <w:r>
        <w:rPr>
          <w:spacing w:val="-2"/>
          <w:sz w:val="20"/>
        </w:rPr>
        <w:t>Matehuala;</w:t>
      </w:r>
    </w:p>
    <w:p>
      <w:pPr>
        <w:pStyle w:val="ListParagraph"/>
        <w:numPr>
          <w:ilvl w:val="0"/>
          <w:numId w:val="151"/>
        </w:numPr>
        <w:tabs>
          <w:tab w:pos="597" w:val="left" w:leader="none"/>
        </w:tabs>
        <w:spacing w:line="240" w:lineRule="auto" w:before="229" w:after="0"/>
        <w:ind w:left="597" w:right="0" w:hanging="335"/>
        <w:jc w:val="left"/>
        <w:rPr>
          <w:sz w:val="20"/>
        </w:rPr>
      </w:pPr>
      <w:r>
        <w:rPr>
          <w:sz w:val="20"/>
        </w:rPr>
        <w:t>Los</w:t>
      </w:r>
      <w:r>
        <w:rPr>
          <w:spacing w:val="-7"/>
          <w:sz w:val="20"/>
        </w:rPr>
        <w:t> </w:t>
      </w:r>
      <w:r>
        <w:rPr>
          <w:sz w:val="20"/>
        </w:rPr>
        <w:t>municipios</w:t>
      </w:r>
      <w:r>
        <w:rPr>
          <w:spacing w:val="-7"/>
          <w:sz w:val="20"/>
        </w:rPr>
        <w:t> </w:t>
      </w:r>
      <w:r>
        <w:rPr>
          <w:sz w:val="20"/>
        </w:rPr>
        <w:t>de</w:t>
      </w:r>
      <w:r>
        <w:rPr>
          <w:spacing w:val="-6"/>
          <w:sz w:val="20"/>
        </w:rPr>
        <w:t> </w:t>
      </w:r>
      <w:r>
        <w:rPr>
          <w:sz w:val="20"/>
        </w:rPr>
        <w:t>la</w:t>
      </w:r>
      <w:r>
        <w:rPr>
          <w:spacing w:val="-8"/>
          <w:sz w:val="20"/>
        </w:rPr>
        <w:t> </w:t>
      </w:r>
      <w:r>
        <w:rPr>
          <w:sz w:val="20"/>
        </w:rPr>
        <w:t>región</w:t>
      </w:r>
      <w:r>
        <w:rPr>
          <w:spacing w:val="-7"/>
          <w:sz w:val="20"/>
        </w:rPr>
        <w:t> </w:t>
      </w:r>
      <w:r>
        <w:rPr>
          <w:sz w:val="20"/>
        </w:rPr>
        <w:t>Media</w:t>
      </w:r>
      <w:r>
        <w:rPr>
          <w:spacing w:val="-6"/>
          <w:sz w:val="20"/>
        </w:rPr>
        <w:t> </w:t>
      </w:r>
      <w:r>
        <w:rPr>
          <w:sz w:val="20"/>
        </w:rPr>
        <w:t>podrán</w:t>
      </w:r>
      <w:r>
        <w:rPr>
          <w:spacing w:val="-5"/>
          <w:sz w:val="20"/>
        </w:rPr>
        <w:t> </w:t>
      </w:r>
      <w:r>
        <w:rPr>
          <w:sz w:val="20"/>
        </w:rPr>
        <w:t>utilizar</w:t>
      </w:r>
      <w:r>
        <w:rPr>
          <w:spacing w:val="-5"/>
          <w:sz w:val="20"/>
        </w:rPr>
        <w:t> </w:t>
      </w:r>
      <w:r>
        <w:rPr>
          <w:sz w:val="20"/>
        </w:rPr>
        <w:t>el</w:t>
      </w:r>
      <w:r>
        <w:rPr>
          <w:spacing w:val="-7"/>
          <w:sz w:val="20"/>
        </w:rPr>
        <w:t> </w:t>
      </w:r>
      <w:r>
        <w:rPr>
          <w:sz w:val="20"/>
        </w:rPr>
        <w:t>de</w:t>
      </w:r>
      <w:r>
        <w:rPr>
          <w:spacing w:val="-7"/>
          <w:sz w:val="20"/>
        </w:rPr>
        <w:t> </w:t>
      </w:r>
      <w:r>
        <w:rPr>
          <w:sz w:val="20"/>
        </w:rPr>
        <w:t>Rioverde</w:t>
      </w:r>
      <w:r>
        <w:rPr>
          <w:spacing w:val="-6"/>
          <w:sz w:val="20"/>
        </w:rPr>
        <w:t> </w:t>
      </w:r>
      <w:r>
        <w:rPr>
          <w:sz w:val="20"/>
        </w:rPr>
        <w:t>o</w:t>
      </w:r>
      <w:r>
        <w:rPr>
          <w:spacing w:val="-7"/>
          <w:sz w:val="20"/>
        </w:rPr>
        <w:t> </w:t>
      </w:r>
      <w:r>
        <w:rPr>
          <w:sz w:val="20"/>
        </w:rPr>
        <w:t>Ciudad</w:t>
      </w:r>
      <w:r>
        <w:rPr>
          <w:spacing w:val="-8"/>
          <w:sz w:val="20"/>
        </w:rPr>
        <w:t> </w:t>
      </w:r>
      <w:r>
        <w:rPr>
          <w:sz w:val="20"/>
        </w:rPr>
        <w:t>Fernández,</w:t>
      </w:r>
      <w:r>
        <w:rPr>
          <w:spacing w:val="-7"/>
          <w:sz w:val="20"/>
        </w:rPr>
        <w:t> </w:t>
      </w:r>
      <w:r>
        <w:rPr>
          <w:spacing w:val="-10"/>
          <w:sz w:val="20"/>
        </w:rPr>
        <w:t>y</w:t>
      </w:r>
    </w:p>
    <w:p>
      <w:pPr>
        <w:pStyle w:val="BodyText"/>
        <w:spacing w:before="1"/>
      </w:pPr>
    </w:p>
    <w:p>
      <w:pPr>
        <w:pStyle w:val="ListParagraph"/>
        <w:numPr>
          <w:ilvl w:val="0"/>
          <w:numId w:val="151"/>
        </w:numPr>
        <w:tabs>
          <w:tab w:pos="688" w:val="left" w:leader="none"/>
        </w:tabs>
        <w:spacing w:line="240" w:lineRule="auto" w:before="0" w:after="0"/>
        <w:ind w:left="262" w:right="285" w:firstLine="0"/>
        <w:jc w:val="left"/>
        <w:rPr>
          <w:sz w:val="20"/>
        </w:rPr>
      </w:pPr>
      <w:r>
        <w:rPr>
          <w:sz w:val="20"/>
        </w:rPr>
        <w:t>Los</w:t>
      </w:r>
      <w:r>
        <w:rPr>
          <w:spacing w:val="37"/>
          <w:sz w:val="20"/>
        </w:rPr>
        <w:t> </w:t>
      </w:r>
      <w:r>
        <w:rPr>
          <w:sz w:val="20"/>
        </w:rPr>
        <w:t>municipios</w:t>
      </w:r>
      <w:r>
        <w:rPr>
          <w:spacing w:val="37"/>
          <w:sz w:val="20"/>
        </w:rPr>
        <w:t> </w:t>
      </w:r>
      <w:r>
        <w:rPr>
          <w:sz w:val="20"/>
        </w:rPr>
        <w:t>de</w:t>
      </w:r>
      <w:r>
        <w:rPr>
          <w:spacing w:val="38"/>
          <w:sz w:val="20"/>
        </w:rPr>
        <w:t> </w:t>
      </w:r>
      <w:r>
        <w:rPr>
          <w:sz w:val="20"/>
        </w:rPr>
        <w:t>la</w:t>
      </w:r>
      <w:r>
        <w:rPr>
          <w:spacing w:val="38"/>
          <w:sz w:val="20"/>
        </w:rPr>
        <w:t> </w:t>
      </w:r>
      <w:r>
        <w:rPr>
          <w:sz w:val="20"/>
        </w:rPr>
        <w:t>región</w:t>
      </w:r>
      <w:r>
        <w:rPr>
          <w:spacing w:val="35"/>
          <w:sz w:val="20"/>
        </w:rPr>
        <w:t> </w:t>
      </w:r>
      <w:r>
        <w:rPr>
          <w:sz w:val="20"/>
        </w:rPr>
        <w:t>Huasteca</w:t>
      </w:r>
      <w:r>
        <w:rPr>
          <w:spacing w:val="38"/>
          <w:sz w:val="20"/>
        </w:rPr>
        <w:t> </w:t>
      </w:r>
      <w:r>
        <w:rPr>
          <w:sz w:val="20"/>
        </w:rPr>
        <w:t>podrán</w:t>
      </w:r>
      <w:r>
        <w:rPr>
          <w:spacing w:val="38"/>
          <w:sz w:val="20"/>
        </w:rPr>
        <w:t> </w:t>
      </w:r>
      <w:r>
        <w:rPr>
          <w:sz w:val="20"/>
        </w:rPr>
        <w:t>utilizar</w:t>
      </w:r>
      <w:r>
        <w:rPr>
          <w:spacing w:val="37"/>
          <w:sz w:val="20"/>
        </w:rPr>
        <w:t> </w:t>
      </w:r>
      <w:r>
        <w:rPr>
          <w:sz w:val="20"/>
        </w:rPr>
        <w:t>el</w:t>
      </w:r>
      <w:r>
        <w:rPr>
          <w:spacing w:val="37"/>
          <w:sz w:val="20"/>
        </w:rPr>
        <w:t> </w:t>
      </w:r>
      <w:r>
        <w:rPr>
          <w:sz w:val="20"/>
        </w:rPr>
        <w:t>de</w:t>
      </w:r>
      <w:r>
        <w:rPr>
          <w:spacing w:val="36"/>
          <w:sz w:val="20"/>
        </w:rPr>
        <w:t> </w:t>
      </w:r>
      <w:r>
        <w:rPr>
          <w:sz w:val="20"/>
        </w:rPr>
        <w:t>Ciudad</w:t>
      </w:r>
      <w:r>
        <w:rPr>
          <w:spacing w:val="38"/>
          <w:sz w:val="20"/>
        </w:rPr>
        <w:t> </w:t>
      </w:r>
      <w:r>
        <w:rPr>
          <w:sz w:val="20"/>
        </w:rPr>
        <w:t>Valles,</w:t>
      </w:r>
      <w:r>
        <w:rPr>
          <w:spacing w:val="36"/>
          <w:sz w:val="20"/>
        </w:rPr>
        <w:t> </w:t>
      </w:r>
      <w:r>
        <w:rPr>
          <w:sz w:val="20"/>
        </w:rPr>
        <w:t>Tamazunchale, Aquismón, Ébano o Xilitla.</w:t>
      </w:r>
    </w:p>
    <w:p>
      <w:pPr>
        <w:pStyle w:val="BodyText"/>
        <w:spacing w:before="229"/>
        <w:ind w:left="262" w:right="279"/>
        <w:jc w:val="both"/>
      </w:pPr>
      <w:r>
        <w:rPr/>
        <w:t>Para su aplicación, los municipios que adopten el Reglamento de Construcción de otro municipio conforme a lo</w:t>
      </w:r>
      <w:r>
        <w:rPr>
          <w:spacing w:val="-2"/>
        </w:rPr>
        <w:t> </w:t>
      </w:r>
      <w:r>
        <w:rPr/>
        <w:t>anterior,</w:t>
      </w:r>
      <w:r>
        <w:rPr>
          <w:spacing w:val="-1"/>
        </w:rPr>
        <w:t> </w:t>
      </w:r>
      <w:r>
        <w:rPr/>
        <w:t>deberán</w:t>
      </w:r>
      <w:r>
        <w:rPr>
          <w:spacing w:val="-2"/>
        </w:rPr>
        <w:t> </w:t>
      </w:r>
      <w:r>
        <w:rPr/>
        <w:t>hacerlo por</w:t>
      </w:r>
      <w:r>
        <w:rPr>
          <w:spacing w:val="-1"/>
        </w:rPr>
        <w:t> </w:t>
      </w:r>
      <w:r>
        <w:rPr/>
        <w:t>acuerdo formal</w:t>
      </w:r>
      <w:r>
        <w:rPr>
          <w:spacing w:val="-1"/>
        </w:rPr>
        <w:t> </w:t>
      </w:r>
      <w:r>
        <w:rPr/>
        <w:t>de Cabildo</w:t>
      </w:r>
      <w:r>
        <w:rPr>
          <w:spacing w:val="-3"/>
        </w:rPr>
        <w:t> </w:t>
      </w:r>
      <w:r>
        <w:rPr/>
        <w:t>y</w:t>
      </w:r>
      <w:r>
        <w:rPr>
          <w:spacing w:val="-1"/>
        </w:rPr>
        <w:t> </w:t>
      </w:r>
      <w:r>
        <w:rPr/>
        <w:t>remitir dicho acuerdo</w:t>
      </w:r>
      <w:r>
        <w:rPr>
          <w:spacing w:val="-2"/>
        </w:rPr>
        <w:t> </w:t>
      </w:r>
      <w:r>
        <w:rPr/>
        <w:t>para su publicación en el Periódico Oficial del Estado, “Plan de San Luis”, debiendo determinar en el mismo su entrada en vigor.</w:t>
      </w:r>
    </w:p>
    <w:p>
      <w:pPr>
        <w:pStyle w:val="BodyText"/>
        <w:spacing w:before="230"/>
        <w:ind w:left="262" w:right="289"/>
        <w:jc w:val="both"/>
      </w:pPr>
      <w:r>
        <w:rPr>
          <w:rFonts w:ascii="Arial" w:hAnsi="Arial"/>
          <w:b/>
        </w:rPr>
        <w:t>SEXTO</w:t>
      </w:r>
      <w:r>
        <w:rPr/>
        <w:t>. En tanto no se expidan los reglamentos, acuerdos y demás disposiciones administrativas correspondientes, continuarán aplicándose, en lo que no se oponga a esta Ley, las disposiciones reglamentarias y administrativas vigentes a la fecha de entrada en vigor del presente Decreto.</w:t>
      </w:r>
    </w:p>
    <w:p>
      <w:pPr>
        <w:pStyle w:val="BodyText"/>
        <w:spacing w:before="1"/>
      </w:pPr>
    </w:p>
    <w:p>
      <w:pPr>
        <w:pStyle w:val="BodyText"/>
        <w:ind w:left="262" w:right="279"/>
        <w:jc w:val="both"/>
      </w:pPr>
      <w:r>
        <w:rPr>
          <w:rFonts w:ascii="Arial" w:hAnsi="Arial"/>
          <w:b/>
        </w:rPr>
        <w:t>SÉPTIMO. </w:t>
      </w:r>
      <w:r>
        <w:rPr/>
        <w:t>Dentro del término que señala el Transitorio Quinto de la Ley General, el Estado y los Municipios deberán formular o adecuar sus respectivos programas de Ordenamiento Territorial y Desarrollo Urbano y los demás que establece este Ordenamiento, incluyendo todos los nuevos instrumentos de gestión, incluidos de manera primordial los instrumentos de participación democrática y ciudadana contenidos en esta Ley.</w:t>
      </w:r>
    </w:p>
    <w:p>
      <w:pPr>
        <w:pStyle w:val="BodyText"/>
      </w:pPr>
    </w:p>
    <w:p>
      <w:pPr>
        <w:pStyle w:val="BodyText"/>
        <w:ind w:left="262" w:right="279"/>
        <w:jc w:val="both"/>
      </w:pPr>
      <w:r>
        <w:rPr/>
        <w:t>En</w:t>
      </w:r>
      <w:r>
        <w:rPr>
          <w:spacing w:val="-9"/>
        </w:rPr>
        <w:t> </w:t>
      </w:r>
      <w:r>
        <w:rPr/>
        <w:t>tanto,</w:t>
      </w:r>
      <w:r>
        <w:rPr>
          <w:spacing w:val="-7"/>
        </w:rPr>
        <w:t> </w:t>
      </w:r>
      <w:r>
        <w:rPr/>
        <w:t>o</w:t>
      </w:r>
      <w:r>
        <w:rPr>
          <w:spacing w:val="-9"/>
        </w:rPr>
        <w:t> </w:t>
      </w:r>
      <w:r>
        <w:rPr/>
        <w:t>vencido</w:t>
      </w:r>
      <w:r>
        <w:rPr>
          <w:spacing w:val="-7"/>
        </w:rPr>
        <w:t> </w:t>
      </w:r>
      <w:r>
        <w:rPr/>
        <w:t>dicho</w:t>
      </w:r>
      <w:r>
        <w:rPr>
          <w:spacing w:val="-9"/>
        </w:rPr>
        <w:t> </w:t>
      </w:r>
      <w:r>
        <w:rPr/>
        <w:t>término,</w:t>
      </w:r>
      <w:r>
        <w:rPr>
          <w:spacing w:val="-9"/>
        </w:rPr>
        <w:t> </w:t>
      </w:r>
      <w:r>
        <w:rPr/>
        <w:t>los</w:t>
      </w:r>
      <w:r>
        <w:rPr>
          <w:spacing w:val="-8"/>
        </w:rPr>
        <w:t> </w:t>
      </w:r>
      <w:r>
        <w:rPr/>
        <w:t>municipios</w:t>
      </w:r>
      <w:r>
        <w:rPr>
          <w:spacing w:val="-8"/>
        </w:rPr>
        <w:t> </w:t>
      </w:r>
      <w:r>
        <w:rPr/>
        <w:t>que</w:t>
      </w:r>
      <w:r>
        <w:rPr>
          <w:spacing w:val="-7"/>
        </w:rPr>
        <w:t> </w:t>
      </w:r>
      <w:r>
        <w:rPr/>
        <w:t>no</w:t>
      </w:r>
      <w:r>
        <w:rPr>
          <w:spacing w:val="-9"/>
        </w:rPr>
        <w:t> </w:t>
      </w:r>
      <w:r>
        <w:rPr/>
        <w:t>cuenten</w:t>
      </w:r>
      <w:r>
        <w:rPr>
          <w:spacing w:val="-7"/>
        </w:rPr>
        <w:t> </w:t>
      </w:r>
      <w:r>
        <w:rPr/>
        <w:t>con</w:t>
      </w:r>
      <w:r>
        <w:rPr>
          <w:spacing w:val="-7"/>
        </w:rPr>
        <w:t> </w:t>
      </w:r>
      <w:r>
        <w:rPr/>
        <w:t>los</w:t>
      </w:r>
      <w:r>
        <w:rPr>
          <w:spacing w:val="-6"/>
        </w:rPr>
        <w:t> </w:t>
      </w:r>
      <w:r>
        <w:rPr/>
        <w:t>Programas</w:t>
      </w:r>
      <w:r>
        <w:rPr>
          <w:spacing w:val="-8"/>
        </w:rPr>
        <w:t> </w:t>
      </w:r>
      <w:r>
        <w:rPr/>
        <w:t>Municipales</w:t>
      </w:r>
      <w:r>
        <w:rPr>
          <w:spacing w:val="-8"/>
        </w:rPr>
        <w:t> </w:t>
      </w:r>
      <w:r>
        <w:rPr/>
        <w:t>de Ordenamiento Territorial y Programas de Centros de Población actualizados conforme a las disposiciones de esta Ley, deberán aplicar las disposiciones de la misma, y dichos programas sólo continuarán aplicándose en lo que no contravengan a este Ordenamiento.</w:t>
      </w:r>
    </w:p>
    <w:p>
      <w:pPr>
        <w:pStyle w:val="BodyText"/>
        <w:spacing w:before="1"/>
      </w:pPr>
    </w:p>
    <w:p>
      <w:pPr>
        <w:pStyle w:val="BodyText"/>
        <w:ind w:left="262" w:right="287"/>
        <w:jc w:val="both"/>
      </w:pPr>
      <w:r>
        <w:rPr/>
        <w:t>El</w:t>
      </w:r>
      <w:r>
        <w:rPr>
          <w:spacing w:val="-3"/>
        </w:rPr>
        <w:t> </w:t>
      </w:r>
      <w:r>
        <w:rPr/>
        <w:t>Instituto</w:t>
      </w:r>
      <w:r>
        <w:rPr>
          <w:spacing w:val="-2"/>
        </w:rPr>
        <w:t> </w:t>
      </w:r>
      <w:r>
        <w:rPr/>
        <w:t>Registral</w:t>
      </w:r>
      <w:r>
        <w:rPr>
          <w:spacing w:val="-5"/>
        </w:rPr>
        <w:t> </w:t>
      </w:r>
      <w:r>
        <w:rPr/>
        <w:t>y</w:t>
      </w:r>
      <w:r>
        <w:rPr>
          <w:spacing w:val="-3"/>
        </w:rPr>
        <w:t> </w:t>
      </w:r>
      <w:r>
        <w:rPr/>
        <w:t>Catastral</w:t>
      </w:r>
      <w:r>
        <w:rPr>
          <w:spacing w:val="-5"/>
        </w:rPr>
        <w:t> </w:t>
      </w:r>
      <w:r>
        <w:rPr/>
        <w:t>del</w:t>
      </w:r>
      <w:r>
        <w:rPr>
          <w:spacing w:val="-3"/>
        </w:rPr>
        <w:t> </w:t>
      </w:r>
      <w:r>
        <w:rPr/>
        <w:t>Estado</w:t>
      </w:r>
      <w:r>
        <w:rPr>
          <w:spacing w:val="-3"/>
        </w:rPr>
        <w:t> </w:t>
      </w:r>
      <w:r>
        <w:rPr/>
        <w:t>estará</w:t>
      </w:r>
      <w:r>
        <w:rPr>
          <w:spacing w:val="-2"/>
        </w:rPr>
        <w:t> </w:t>
      </w:r>
      <w:r>
        <w:rPr/>
        <w:t>a</w:t>
      </w:r>
      <w:r>
        <w:rPr>
          <w:spacing w:val="-2"/>
        </w:rPr>
        <w:t> </w:t>
      </w:r>
      <w:r>
        <w:rPr/>
        <w:t>lo señalado</w:t>
      </w:r>
      <w:r>
        <w:rPr>
          <w:spacing w:val="-2"/>
        </w:rPr>
        <w:t> </w:t>
      </w:r>
      <w:r>
        <w:rPr/>
        <w:t>en</w:t>
      </w:r>
      <w:r>
        <w:rPr>
          <w:spacing w:val="-2"/>
        </w:rPr>
        <w:t> </w:t>
      </w:r>
      <w:r>
        <w:rPr/>
        <w:t>los</w:t>
      </w:r>
      <w:r>
        <w:rPr>
          <w:spacing w:val="-3"/>
        </w:rPr>
        <w:t> </w:t>
      </w:r>
      <w:r>
        <w:rPr/>
        <w:t>artículos</w:t>
      </w:r>
      <w:r>
        <w:rPr>
          <w:spacing w:val="-1"/>
        </w:rPr>
        <w:t> </w:t>
      </w:r>
      <w:r>
        <w:rPr/>
        <w:t>93,</w:t>
      </w:r>
      <w:r>
        <w:rPr>
          <w:spacing w:val="-4"/>
        </w:rPr>
        <w:t> </w:t>
      </w:r>
      <w:r>
        <w:rPr/>
        <w:t>117</w:t>
      </w:r>
      <w:r>
        <w:rPr>
          <w:spacing w:val="-5"/>
        </w:rPr>
        <w:t> </w:t>
      </w:r>
      <w:r>
        <w:rPr/>
        <w:t>y 508</w:t>
      </w:r>
      <w:r>
        <w:rPr>
          <w:spacing w:val="-4"/>
        </w:rPr>
        <w:t> </w:t>
      </w:r>
      <w:r>
        <w:rPr/>
        <w:t>de</w:t>
      </w:r>
      <w:r>
        <w:rPr>
          <w:spacing w:val="-2"/>
        </w:rPr>
        <w:t> </w:t>
      </w:r>
      <w:r>
        <w:rPr/>
        <w:t>la presente Ley, una vez que sean adecuados los programas mencionados en el párrafo anterior.</w:t>
      </w:r>
    </w:p>
    <w:p>
      <w:pPr>
        <w:pStyle w:val="BodyText"/>
        <w:spacing w:before="229"/>
        <w:ind w:left="262" w:right="279"/>
        <w:jc w:val="both"/>
      </w:pPr>
      <w:r>
        <w:rPr>
          <w:rFonts w:ascii="Arial" w:hAnsi="Arial"/>
          <w:b/>
        </w:rPr>
        <w:t>OCTAVO. </w:t>
      </w:r>
      <w:r>
        <w:rPr/>
        <w:t>Los programas de ordenamiento territorial y desarrollo urbano estatal y municipales, así como los que de ellos deriven, que se encuentren en proceso de autorización a la entrada en vigor de la presente Ley, deberán actualizarse conforme a las disposiciones de este Ordenamiento, reponiéndose</w:t>
      </w:r>
      <w:r>
        <w:rPr>
          <w:spacing w:val="-14"/>
        </w:rPr>
        <w:t> </w:t>
      </w:r>
      <w:r>
        <w:rPr/>
        <w:t>en</w:t>
      </w:r>
      <w:r>
        <w:rPr>
          <w:spacing w:val="-14"/>
        </w:rPr>
        <w:t> </w:t>
      </w:r>
      <w:r>
        <w:rPr/>
        <w:t>su</w:t>
      </w:r>
      <w:r>
        <w:rPr>
          <w:spacing w:val="-14"/>
        </w:rPr>
        <w:t> </w:t>
      </w:r>
      <w:r>
        <w:rPr/>
        <w:t>caso</w:t>
      </w:r>
      <w:r>
        <w:rPr>
          <w:spacing w:val="-14"/>
        </w:rPr>
        <w:t> </w:t>
      </w:r>
      <w:r>
        <w:rPr/>
        <w:t>el</w:t>
      </w:r>
      <w:r>
        <w:rPr>
          <w:spacing w:val="-14"/>
        </w:rPr>
        <w:t> </w:t>
      </w:r>
      <w:r>
        <w:rPr/>
        <w:t>proceso,</w:t>
      </w:r>
      <w:r>
        <w:rPr>
          <w:spacing w:val="-14"/>
        </w:rPr>
        <w:t> </w:t>
      </w:r>
      <w:r>
        <w:rPr/>
        <w:t>así</w:t>
      </w:r>
      <w:r>
        <w:rPr>
          <w:spacing w:val="-14"/>
        </w:rPr>
        <w:t> </w:t>
      </w:r>
      <w:r>
        <w:rPr/>
        <w:t>como</w:t>
      </w:r>
      <w:r>
        <w:rPr>
          <w:spacing w:val="-14"/>
        </w:rPr>
        <w:t> </w:t>
      </w:r>
      <w:r>
        <w:rPr/>
        <w:t>someterse</w:t>
      </w:r>
      <w:r>
        <w:rPr>
          <w:spacing w:val="-14"/>
        </w:rPr>
        <w:t> </w:t>
      </w:r>
      <w:r>
        <w:rPr/>
        <w:t>al</w:t>
      </w:r>
      <w:r>
        <w:rPr>
          <w:spacing w:val="-14"/>
        </w:rPr>
        <w:t> </w:t>
      </w:r>
      <w:r>
        <w:rPr/>
        <w:t>proceso</w:t>
      </w:r>
      <w:r>
        <w:rPr>
          <w:spacing w:val="-13"/>
        </w:rPr>
        <w:t> </w:t>
      </w:r>
      <w:r>
        <w:rPr/>
        <w:t>de</w:t>
      </w:r>
      <w:r>
        <w:rPr>
          <w:spacing w:val="-14"/>
        </w:rPr>
        <w:t> </w:t>
      </w:r>
      <w:r>
        <w:rPr/>
        <w:t>consulta</w:t>
      </w:r>
      <w:r>
        <w:rPr>
          <w:spacing w:val="-14"/>
        </w:rPr>
        <w:t> </w:t>
      </w:r>
      <w:r>
        <w:rPr/>
        <w:t>ciudadana,</w:t>
      </w:r>
      <w:r>
        <w:rPr>
          <w:spacing w:val="-14"/>
        </w:rPr>
        <w:t> </w:t>
      </w:r>
      <w:r>
        <w:rPr/>
        <w:t>estando</w:t>
      </w:r>
    </w:p>
    <w:p>
      <w:pPr>
        <w:pStyle w:val="BodyText"/>
        <w:spacing w:after="0"/>
        <w:jc w:val="both"/>
        <w:sectPr>
          <w:pgSz w:w="12240" w:h="15840"/>
          <w:pgMar w:header="720" w:footer="697" w:top="2100" w:bottom="880" w:left="1440" w:right="1440"/>
        </w:sectPr>
      </w:pPr>
    </w:p>
    <w:p>
      <w:pPr>
        <w:pStyle w:val="BodyText"/>
      </w:pPr>
    </w:p>
    <w:p>
      <w:pPr>
        <w:pStyle w:val="BodyText"/>
        <w:spacing w:before="71"/>
      </w:pPr>
    </w:p>
    <w:p>
      <w:pPr>
        <w:pStyle w:val="BodyText"/>
        <w:ind w:left="262" w:right="287"/>
        <w:jc w:val="both"/>
      </w:pPr>
      <w:r>
        <w:rPr/>
        <w:t>obligados</w:t>
      </w:r>
      <w:r>
        <w:rPr>
          <w:spacing w:val="-1"/>
        </w:rPr>
        <w:t> </w:t>
      </w:r>
      <w:r>
        <w:rPr/>
        <w:t>a hacer</w:t>
      </w:r>
      <w:r>
        <w:rPr>
          <w:spacing w:val="-1"/>
        </w:rPr>
        <w:t> </w:t>
      </w:r>
      <w:r>
        <w:rPr/>
        <w:t>públicos</w:t>
      </w:r>
      <w:r>
        <w:rPr>
          <w:spacing w:val="-1"/>
        </w:rPr>
        <w:t> </w:t>
      </w:r>
      <w:r>
        <w:rPr/>
        <w:t>en</w:t>
      </w:r>
      <w:r>
        <w:rPr>
          <w:spacing w:val="-3"/>
        </w:rPr>
        <w:t> </w:t>
      </w:r>
      <w:r>
        <w:rPr/>
        <w:t>términos</w:t>
      </w:r>
      <w:r>
        <w:rPr>
          <w:spacing w:val="-1"/>
        </w:rPr>
        <w:t> </w:t>
      </w:r>
      <w:r>
        <w:rPr/>
        <w:t>de lo</w:t>
      </w:r>
      <w:r>
        <w:rPr>
          <w:spacing w:val="-2"/>
        </w:rPr>
        <w:t> </w:t>
      </w:r>
      <w:r>
        <w:rPr/>
        <w:t>dispuesto en</w:t>
      </w:r>
      <w:r>
        <w:rPr>
          <w:spacing w:val="-3"/>
        </w:rPr>
        <w:t> </w:t>
      </w:r>
      <w:r>
        <w:rPr/>
        <w:t>esta Ley,</w:t>
      </w:r>
      <w:r>
        <w:rPr>
          <w:spacing w:val="-2"/>
        </w:rPr>
        <w:t> </w:t>
      </w:r>
      <w:r>
        <w:rPr/>
        <w:t>el</w:t>
      </w:r>
      <w:r>
        <w:rPr>
          <w:spacing w:val="-3"/>
        </w:rPr>
        <w:t> </w:t>
      </w:r>
      <w:r>
        <w:rPr/>
        <w:t>total</w:t>
      </w:r>
      <w:r>
        <w:rPr>
          <w:spacing w:val="-1"/>
        </w:rPr>
        <w:t> </w:t>
      </w:r>
      <w:r>
        <w:rPr/>
        <w:t>de los documentos</w:t>
      </w:r>
      <w:r>
        <w:rPr>
          <w:spacing w:val="-1"/>
        </w:rPr>
        <w:t> </w:t>
      </w:r>
      <w:r>
        <w:rPr/>
        <w:t>que los comprendan.</w:t>
      </w:r>
    </w:p>
    <w:p>
      <w:pPr>
        <w:pStyle w:val="BodyText"/>
        <w:spacing w:before="1"/>
      </w:pPr>
    </w:p>
    <w:p>
      <w:pPr>
        <w:pStyle w:val="BodyText"/>
        <w:ind w:left="262" w:right="281"/>
        <w:jc w:val="both"/>
      </w:pPr>
      <w:r>
        <w:rPr>
          <w:rFonts w:ascii="Arial" w:hAnsi="Arial"/>
          <w:b/>
        </w:rPr>
        <w:t>NOVENO. </w:t>
      </w:r>
      <w:r>
        <w:rPr/>
        <w:t>Dentro de los</w:t>
      </w:r>
      <w:r>
        <w:rPr>
          <w:spacing w:val="-1"/>
        </w:rPr>
        <w:t> </w:t>
      </w:r>
      <w:r>
        <w:rPr/>
        <w:t>seis</w:t>
      </w:r>
      <w:r>
        <w:rPr>
          <w:spacing w:val="-1"/>
        </w:rPr>
        <w:t> </w:t>
      </w:r>
      <w:r>
        <w:rPr/>
        <w:t>meses</w:t>
      </w:r>
      <w:r>
        <w:rPr>
          <w:spacing w:val="-1"/>
        </w:rPr>
        <w:t> </w:t>
      </w:r>
      <w:r>
        <w:rPr/>
        <w:t>siguientes</w:t>
      </w:r>
      <w:r>
        <w:rPr>
          <w:spacing w:val="-1"/>
        </w:rPr>
        <w:t> </w:t>
      </w:r>
      <w:r>
        <w:rPr/>
        <w:t>a la entrada en</w:t>
      </w:r>
      <w:r>
        <w:rPr>
          <w:spacing w:val="-3"/>
        </w:rPr>
        <w:t> </w:t>
      </w:r>
      <w:r>
        <w:rPr/>
        <w:t>vigor de este Decreto, la Secretaría en</w:t>
      </w:r>
      <w:r>
        <w:rPr>
          <w:spacing w:val="-12"/>
        </w:rPr>
        <w:t> </w:t>
      </w:r>
      <w:r>
        <w:rPr/>
        <w:t>coordinación</w:t>
      </w:r>
      <w:r>
        <w:rPr>
          <w:spacing w:val="-10"/>
        </w:rPr>
        <w:t> </w:t>
      </w:r>
      <w:r>
        <w:rPr/>
        <w:t>con</w:t>
      </w:r>
      <w:r>
        <w:rPr>
          <w:spacing w:val="-12"/>
        </w:rPr>
        <w:t> </w:t>
      </w:r>
      <w:r>
        <w:rPr/>
        <w:t>el</w:t>
      </w:r>
      <w:r>
        <w:rPr>
          <w:spacing w:val="-12"/>
        </w:rPr>
        <w:t> </w:t>
      </w:r>
      <w:r>
        <w:rPr/>
        <w:t>Instituto</w:t>
      </w:r>
      <w:r>
        <w:rPr>
          <w:spacing w:val="-12"/>
        </w:rPr>
        <w:t> </w:t>
      </w:r>
      <w:r>
        <w:rPr/>
        <w:t>Registral</w:t>
      </w:r>
      <w:r>
        <w:rPr>
          <w:spacing w:val="-12"/>
        </w:rPr>
        <w:t> </w:t>
      </w:r>
      <w:r>
        <w:rPr/>
        <w:t>y</w:t>
      </w:r>
      <w:r>
        <w:rPr>
          <w:spacing w:val="-10"/>
        </w:rPr>
        <w:t> </w:t>
      </w:r>
      <w:r>
        <w:rPr/>
        <w:t>Catastral</w:t>
      </w:r>
      <w:r>
        <w:rPr>
          <w:spacing w:val="-10"/>
        </w:rPr>
        <w:t> </w:t>
      </w:r>
      <w:r>
        <w:rPr/>
        <w:t>del</w:t>
      </w:r>
      <w:r>
        <w:rPr>
          <w:spacing w:val="-10"/>
        </w:rPr>
        <w:t> </w:t>
      </w:r>
      <w:r>
        <w:rPr/>
        <w:t>Estado,</w:t>
      </w:r>
      <w:r>
        <w:rPr>
          <w:spacing w:val="-12"/>
        </w:rPr>
        <w:t> </w:t>
      </w:r>
      <w:r>
        <w:rPr/>
        <w:t>creará</w:t>
      </w:r>
      <w:r>
        <w:rPr>
          <w:spacing w:val="-9"/>
        </w:rPr>
        <w:t> </w:t>
      </w:r>
      <w:r>
        <w:rPr/>
        <w:t>e</w:t>
      </w:r>
      <w:r>
        <w:rPr>
          <w:spacing w:val="-11"/>
        </w:rPr>
        <w:t> </w:t>
      </w:r>
      <w:r>
        <w:rPr/>
        <w:t>iniciará</w:t>
      </w:r>
      <w:r>
        <w:rPr>
          <w:spacing w:val="-11"/>
        </w:rPr>
        <w:t> </w:t>
      </w:r>
      <w:r>
        <w:rPr/>
        <w:t>las</w:t>
      </w:r>
      <w:r>
        <w:rPr>
          <w:spacing w:val="-10"/>
        </w:rPr>
        <w:t> </w:t>
      </w:r>
      <w:r>
        <w:rPr/>
        <w:t>operaciones</w:t>
      </w:r>
      <w:r>
        <w:rPr>
          <w:spacing w:val="-10"/>
        </w:rPr>
        <w:t> </w:t>
      </w:r>
      <w:r>
        <w:rPr/>
        <w:t>del Sistema de Información Territorial y Urbano de acuerdo a los artículos 431 y 432 de la Ley que se </w:t>
      </w:r>
      <w:r>
        <w:rPr>
          <w:spacing w:val="-2"/>
        </w:rPr>
        <w:t>expide.</w:t>
      </w:r>
    </w:p>
    <w:p>
      <w:pPr>
        <w:pStyle w:val="BodyText"/>
      </w:pPr>
    </w:p>
    <w:p>
      <w:pPr>
        <w:pStyle w:val="BodyText"/>
        <w:ind w:left="262" w:right="287"/>
        <w:jc w:val="both"/>
      </w:pPr>
      <w:r>
        <w:rPr>
          <w:rFonts w:ascii="Arial" w:hAnsi="Arial"/>
          <w:b/>
        </w:rPr>
        <w:t>DÉCIMO. </w:t>
      </w:r>
      <w:r>
        <w:rPr/>
        <w:t>Las erogaciones que se generen con motivo de la entrada en vigor del presente Decreto para la Secretaría, se cubrirán con cargo a su presupuesto para el ejercicio fiscal 2018 y los </w:t>
      </w:r>
      <w:r>
        <w:rPr>
          <w:spacing w:val="-2"/>
        </w:rPr>
        <w:t>subsecuentes.</w:t>
      </w:r>
    </w:p>
    <w:p>
      <w:pPr>
        <w:pStyle w:val="BodyText"/>
      </w:pPr>
    </w:p>
    <w:p>
      <w:pPr>
        <w:pStyle w:val="BodyText"/>
        <w:ind w:left="262" w:right="281"/>
        <w:jc w:val="both"/>
      </w:pPr>
      <w:r>
        <w:rPr/>
        <w:t>El Gobierno del Estado deberá realizar las previsiones y adecuaciones presupuestales necesarias para dar cumplimiento a las obligaciones establecidas en el presente Decreto; al efecto, se faculta al Ejecutivo del Estado a realizar las ampliaciones y ajustes presupuestales que se requieran para ese fin.</w:t>
      </w:r>
    </w:p>
    <w:p>
      <w:pPr>
        <w:pStyle w:val="BodyText"/>
        <w:spacing w:before="229"/>
        <w:ind w:left="262" w:right="276"/>
        <w:jc w:val="both"/>
      </w:pPr>
      <w:r>
        <w:rPr>
          <w:rFonts w:ascii="Arial" w:hAnsi="Arial"/>
          <w:b/>
        </w:rPr>
        <w:t>DÉCIMO PRIMERO. </w:t>
      </w:r>
      <w:r>
        <w:rPr/>
        <w:t>Los recursos y demás trámites que se encuentren en curso a la entrada en vigor</w:t>
      </w:r>
      <w:r>
        <w:rPr>
          <w:spacing w:val="-5"/>
        </w:rPr>
        <w:t> </w:t>
      </w:r>
      <w:r>
        <w:rPr/>
        <w:t>de</w:t>
      </w:r>
      <w:r>
        <w:rPr>
          <w:spacing w:val="-6"/>
        </w:rPr>
        <w:t> </w:t>
      </w:r>
      <w:r>
        <w:rPr/>
        <w:t>este</w:t>
      </w:r>
      <w:r>
        <w:rPr>
          <w:spacing w:val="-6"/>
        </w:rPr>
        <w:t> </w:t>
      </w:r>
      <w:r>
        <w:rPr/>
        <w:t>Decreto,</w:t>
      </w:r>
      <w:r>
        <w:rPr>
          <w:spacing w:val="-6"/>
        </w:rPr>
        <w:t> </w:t>
      </w:r>
      <w:r>
        <w:rPr/>
        <w:t>se</w:t>
      </w:r>
      <w:r>
        <w:rPr>
          <w:spacing w:val="-6"/>
        </w:rPr>
        <w:t> </w:t>
      </w:r>
      <w:r>
        <w:rPr/>
        <w:t>resolverán</w:t>
      </w:r>
      <w:r>
        <w:rPr>
          <w:spacing w:val="-5"/>
        </w:rPr>
        <w:t> </w:t>
      </w:r>
      <w:r>
        <w:rPr/>
        <w:t>conforme</w:t>
      </w:r>
      <w:r>
        <w:rPr>
          <w:spacing w:val="-6"/>
        </w:rPr>
        <w:t> </w:t>
      </w:r>
      <w:r>
        <w:rPr/>
        <w:t>a</w:t>
      </w:r>
      <w:r>
        <w:rPr>
          <w:spacing w:val="-4"/>
        </w:rPr>
        <w:t> </w:t>
      </w:r>
      <w:r>
        <w:rPr/>
        <w:t>las</w:t>
      </w:r>
      <w:r>
        <w:rPr>
          <w:spacing w:val="-5"/>
        </w:rPr>
        <w:t> </w:t>
      </w:r>
      <w:r>
        <w:rPr/>
        <w:t>disposiciones</w:t>
      </w:r>
      <w:r>
        <w:rPr>
          <w:spacing w:val="-4"/>
        </w:rPr>
        <w:t> </w:t>
      </w:r>
      <w:r>
        <w:rPr/>
        <w:t>vigentes</w:t>
      </w:r>
      <w:r>
        <w:rPr>
          <w:spacing w:val="-5"/>
        </w:rPr>
        <w:t> </w:t>
      </w:r>
      <w:r>
        <w:rPr/>
        <w:t>al</w:t>
      </w:r>
      <w:r>
        <w:rPr>
          <w:spacing w:val="-6"/>
        </w:rPr>
        <w:t> </w:t>
      </w:r>
      <w:r>
        <w:rPr/>
        <w:t>momento</w:t>
      </w:r>
      <w:r>
        <w:rPr>
          <w:spacing w:val="-4"/>
        </w:rPr>
        <w:t> </w:t>
      </w:r>
      <w:r>
        <w:rPr/>
        <w:t>de</w:t>
      </w:r>
      <w:r>
        <w:rPr>
          <w:spacing w:val="-4"/>
        </w:rPr>
        <w:t> </w:t>
      </w:r>
      <w:r>
        <w:rPr/>
        <w:t>su</w:t>
      </w:r>
      <w:r>
        <w:rPr>
          <w:spacing w:val="-6"/>
        </w:rPr>
        <w:t> </w:t>
      </w:r>
      <w:r>
        <w:rPr/>
        <w:t>inicio. Los asuntos relacionados con autorizaciones, licencias, procedimientos y constancias de compatibilidad, recursos y demás que se encuentren en trámite y pendientes de resolución administrativa</w:t>
      </w:r>
      <w:r>
        <w:rPr>
          <w:spacing w:val="-9"/>
        </w:rPr>
        <w:t> </w:t>
      </w:r>
      <w:r>
        <w:rPr/>
        <w:t>o</w:t>
      </w:r>
      <w:r>
        <w:rPr>
          <w:spacing w:val="-8"/>
        </w:rPr>
        <w:t> </w:t>
      </w:r>
      <w:r>
        <w:rPr/>
        <w:t>técnica,</w:t>
      </w:r>
      <w:r>
        <w:rPr>
          <w:spacing w:val="-9"/>
        </w:rPr>
        <w:t> </w:t>
      </w:r>
      <w:r>
        <w:rPr/>
        <w:t>seguirán</w:t>
      </w:r>
      <w:r>
        <w:rPr>
          <w:spacing w:val="-9"/>
        </w:rPr>
        <w:t> </w:t>
      </w:r>
      <w:r>
        <w:rPr/>
        <w:t>tramitándose</w:t>
      </w:r>
      <w:r>
        <w:rPr>
          <w:spacing w:val="-8"/>
        </w:rPr>
        <w:t> </w:t>
      </w:r>
      <w:r>
        <w:rPr/>
        <w:t>hasta</w:t>
      </w:r>
      <w:r>
        <w:rPr>
          <w:spacing w:val="-9"/>
        </w:rPr>
        <w:t> </w:t>
      </w:r>
      <w:r>
        <w:rPr/>
        <w:t>su</w:t>
      </w:r>
      <w:r>
        <w:rPr>
          <w:spacing w:val="-9"/>
        </w:rPr>
        <w:t> </w:t>
      </w:r>
      <w:r>
        <w:rPr/>
        <w:t>conclusión</w:t>
      </w:r>
      <w:r>
        <w:rPr>
          <w:spacing w:val="-9"/>
        </w:rPr>
        <w:t> </w:t>
      </w:r>
      <w:r>
        <w:rPr/>
        <w:t>conforme</w:t>
      </w:r>
      <w:r>
        <w:rPr>
          <w:spacing w:val="-8"/>
        </w:rPr>
        <w:t> </w:t>
      </w:r>
      <w:r>
        <w:rPr/>
        <w:t>a</w:t>
      </w:r>
      <w:r>
        <w:rPr>
          <w:spacing w:val="-9"/>
        </w:rPr>
        <w:t> </w:t>
      </w:r>
      <w:r>
        <w:rPr/>
        <w:t>las</w:t>
      </w:r>
      <w:r>
        <w:rPr>
          <w:spacing w:val="-9"/>
        </w:rPr>
        <w:t> </w:t>
      </w:r>
      <w:r>
        <w:rPr/>
        <w:t>normas</w:t>
      </w:r>
      <w:r>
        <w:rPr>
          <w:spacing w:val="-9"/>
        </w:rPr>
        <w:t> </w:t>
      </w:r>
      <w:r>
        <w:rPr/>
        <w:t>vigentes al momento de su inicio.</w:t>
      </w:r>
    </w:p>
    <w:p>
      <w:pPr>
        <w:pStyle w:val="BodyText"/>
        <w:spacing w:before="1"/>
      </w:pPr>
    </w:p>
    <w:p>
      <w:pPr>
        <w:pStyle w:val="BodyText"/>
        <w:ind w:left="262" w:right="283"/>
        <w:jc w:val="both"/>
      </w:pPr>
      <w:r>
        <w:rPr>
          <w:rFonts w:ascii="Arial" w:hAnsi="Arial"/>
          <w:b/>
        </w:rPr>
        <w:t>DÉCIMO SEGUNDO. </w:t>
      </w:r>
      <w:r>
        <w:rPr/>
        <w:t>Las autoridades municipales en el ámbito de su competencia, tendrán la obligación de vigilar, denunciar y, en su caso, detener la construcción o conformación de fraccionamientos, subdivisiones, relotificaciones, fusiones, modificaciones y desarrollos en condominio, que contravengan la presente Ley.</w:t>
      </w:r>
    </w:p>
    <w:p>
      <w:pPr>
        <w:pStyle w:val="BodyText"/>
      </w:pPr>
    </w:p>
    <w:p>
      <w:pPr>
        <w:pStyle w:val="BodyText"/>
        <w:ind w:left="262" w:right="285"/>
        <w:jc w:val="both"/>
      </w:pPr>
      <w:r>
        <w:rPr>
          <w:rFonts w:ascii="Arial" w:hAnsi="Arial"/>
          <w:b/>
        </w:rPr>
        <w:t>DÉCIMO TERCERO</w:t>
      </w:r>
      <w:r>
        <w:rPr/>
        <w:t>. Se reconoce plena validez a las autorizaciones y constancias de compatibilidad</w:t>
      </w:r>
      <w:r>
        <w:rPr>
          <w:spacing w:val="-3"/>
        </w:rPr>
        <w:t> </w:t>
      </w:r>
      <w:r>
        <w:rPr/>
        <w:t>legalmente</w:t>
      </w:r>
      <w:r>
        <w:rPr>
          <w:spacing w:val="-1"/>
        </w:rPr>
        <w:t> </w:t>
      </w:r>
      <w:r>
        <w:rPr/>
        <w:t>expedidas</w:t>
      </w:r>
      <w:r>
        <w:rPr>
          <w:spacing w:val="-2"/>
        </w:rPr>
        <w:t> </w:t>
      </w:r>
      <w:r>
        <w:rPr/>
        <w:t>con</w:t>
      </w:r>
      <w:r>
        <w:rPr>
          <w:spacing w:val="-3"/>
        </w:rPr>
        <w:t> </w:t>
      </w:r>
      <w:r>
        <w:rPr/>
        <w:t>base</w:t>
      </w:r>
      <w:r>
        <w:rPr>
          <w:spacing w:val="-3"/>
        </w:rPr>
        <w:t> </w:t>
      </w:r>
      <w:r>
        <w:rPr/>
        <w:t>en</w:t>
      </w:r>
      <w:r>
        <w:rPr>
          <w:spacing w:val="-1"/>
        </w:rPr>
        <w:t> </w:t>
      </w:r>
      <w:r>
        <w:rPr/>
        <w:t>la</w:t>
      </w:r>
      <w:r>
        <w:rPr>
          <w:spacing w:val="-3"/>
        </w:rPr>
        <w:t> </w:t>
      </w:r>
      <w:r>
        <w:rPr/>
        <w:t>legislación</w:t>
      </w:r>
      <w:r>
        <w:rPr>
          <w:spacing w:val="-3"/>
        </w:rPr>
        <w:t> </w:t>
      </w:r>
      <w:r>
        <w:rPr/>
        <w:t>que</w:t>
      </w:r>
      <w:r>
        <w:rPr>
          <w:spacing w:val="-3"/>
        </w:rPr>
        <w:t> </w:t>
      </w:r>
      <w:r>
        <w:rPr/>
        <w:t>se</w:t>
      </w:r>
      <w:r>
        <w:rPr>
          <w:spacing w:val="-3"/>
        </w:rPr>
        <w:t> </w:t>
      </w:r>
      <w:r>
        <w:rPr/>
        <w:t>abroga</w:t>
      </w:r>
      <w:r>
        <w:rPr>
          <w:spacing w:val="-3"/>
        </w:rPr>
        <w:t> </w:t>
      </w:r>
      <w:r>
        <w:rPr/>
        <w:t>y</w:t>
      </w:r>
      <w:r>
        <w:rPr>
          <w:spacing w:val="-2"/>
        </w:rPr>
        <w:t> </w:t>
      </w:r>
      <w:r>
        <w:rPr/>
        <w:t>deroga,</w:t>
      </w:r>
      <w:r>
        <w:rPr>
          <w:spacing w:val="-3"/>
        </w:rPr>
        <w:t> </w:t>
      </w:r>
      <w:r>
        <w:rPr/>
        <w:t>durante</w:t>
      </w:r>
      <w:r>
        <w:rPr>
          <w:spacing w:val="-1"/>
        </w:rPr>
        <w:t> </w:t>
      </w:r>
      <w:r>
        <w:rPr/>
        <w:t>la vigencia que le corresponda.</w:t>
      </w:r>
    </w:p>
    <w:p>
      <w:pPr>
        <w:pStyle w:val="BodyText"/>
        <w:spacing w:before="2"/>
      </w:pPr>
    </w:p>
    <w:p>
      <w:pPr>
        <w:pStyle w:val="BodyText"/>
        <w:ind w:left="262" w:right="284"/>
        <w:jc w:val="both"/>
      </w:pPr>
      <w:r>
        <w:rPr>
          <w:rFonts w:ascii="Arial" w:hAnsi="Arial"/>
          <w:b/>
        </w:rPr>
        <w:t>DÉCIMO CUARTO</w:t>
      </w:r>
      <w:r>
        <w:rPr/>
        <w:t>. Las autoridades municipales en el ámbito de su competencia, podrán implementar programas de regularización de aquellos fraccionamientos que ya estén edificados.</w:t>
      </w:r>
    </w:p>
    <w:p>
      <w:pPr>
        <w:pStyle w:val="BodyText"/>
        <w:spacing w:before="229"/>
        <w:ind w:left="262" w:right="278"/>
        <w:jc w:val="both"/>
      </w:pPr>
      <w:r>
        <w:rPr>
          <w:rFonts w:ascii="Arial" w:hAnsi="Arial"/>
          <w:b/>
        </w:rPr>
        <w:t>DÉCIMO</w:t>
      </w:r>
      <w:r>
        <w:rPr>
          <w:rFonts w:ascii="Arial" w:hAnsi="Arial"/>
          <w:b/>
          <w:spacing w:val="-8"/>
        </w:rPr>
        <w:t> </w:t>
      </w:r>
      <w:r>
        <w:rPr>
          <w:rFonts w:ascii="Arial" w:hAnsi="Arial"/>
          <w:b/>
        </w:rPr>
        <w:t>QUINTO.</w:t>
      </w:r>
      <w:r>
        <w:rPr>
          <w:rFonts w:ascii="Arial" w:hAnsi="Arial"/>
          <w:b/>
          <w:spacing w:val="-6"/>
        </w:rPr>
        <w:t> </w:t>
      </w:r>
      <w:r>
        <w:rPr/>
        <w:t>El</w:t>
      </w:r>
      <w:r>
        <w:rPr>
          <w:spacing w:val="-7"/>
        </w:rPr>
        <w:t> </w:t>
      </w:r>
      <w:r>
        <w:rPr/>
        <w:t>Ejecutivo</w:t>
      </w:r>
      <w:r>
        <w:rPr>
          <w:spacing w:val="-7"/>
        </w:rPr>
        <w:t> </w:t>
      </w:r>
      <w:r>
        <w:rPr/>
        <w:t>del</w:t>
      </w:r>
      <w:r>
        <w:rPr>
          <w:spacing w:val="-10"/>
        </w:rPr>
        <w:t> </w:t>
      </w:r>
      <w:r>
        <w:rPr/>
        <w:t>Estado</w:t>
      </w:r>
      <w:r>
        <w:rPr>
          <w:spacing w:val="-7"/>
        </w:rPr>
        <w:t> </w:t>
      </w:r>
      <w:r>
        <w:rPr/>
        <w:t>deberá</w:t>
      </w:r>
      <w:r>
        <w:rPr>
          <w:spacing w:val="-9"/>
        </w:rPr>
        <w:t> </w:t>
      </w:r>
      <w:r>
        <w:rPr/>
        <w:t>revisar</w:t>
      </w:r>
      <w:r>
        <w:rPr>
          <w:spacing w:val="-8"/>
        </w:rPr>
        <w:t> </w:t>
      </w:r>
      <w:r>
        <w:rPr/>
        <w:t>y</w:t>
      </w:r>
      <w:r>
        <w:rPr>
          <w:spacing w:val="-8"/>
        </w:rPr>
        <w:t> </w:t>
      </w:r>
      <w:r>
        <w:rPr/>
        <w:t>evaluar</w:t>
      </w:r>
      <w:r>
        <w:rPr>
          <w:spacing w:val="-6"/>
        </w:rPr>
        <w:t> </w:t>
      </w:r>
      <w:r>
        <w:rPr/>
        <w:t>el</w:t>
      </w:r>
      <w:r>
        <w:rPr>
          <w:spacing w:val="-10"/>
        </w:rPr>
        <w:t> </w:t>
      </w:r>
      <w:r>
        <w:rPr/>
        <w:t>cumplimiento</w:t>
      </w:r>
      <w:r>
        <w:rPr>
          <w:spacing w:val="-9"/>
        </w:rPr>
        <w:t> </w:t>
      </w:r>
      <w:r>
        <w:rPr/>
        <w:t>de</w:t>
      </w:r>
      <w:r>
        <w:rPr>
          <w:spacing w:val="-7"/>
        </w:rPr>
        <w:t> </w:t>
      </w:r>
      <w:r>
        <w:rPr/>
        <w:t>la</w:t>
      </w:r>
      <w:r>
        <w:rPr>
          <w:spacing w:val="-7"/>
        </w:rPr>
        <w:t> </w:t>
      </w:r>
      <w:r>
        <w:rPr/>
        <w:t>Estrategia Nacional</w:t>
      </w:r>
      <w:r>
        <w:rPr>
          <w:spacing w:val="-3"/>
        </w:rPr>
        <w:t> </w:t>
      </w:r>
      <w:r>
        <w:rPr/>
        <w:t>y de</w:t>
      </w:r>
      <w:r>
        <w:rPr>
          <w:spacing w:val="-3"/>
        </w:rPr>
        <w:t> </w:t>
      </w:r>
      <w:r>
        <w:rPr/>
        <w:t>la Agenda Urbana ONU-Hábitat,</w:t>
      </w:r>
      <w:r>
        <w:rPr>
          <w:spacing w:val="-2"/>
        </w:rPr>
        <w:t> </w:t>
      </w:r>
      <w:r>
        <w:rPr/>
        <w:t>en el</w:t>
      </w:r>
      <w:r>
        <w:rPr>
          <w:spacing w:val="-1"/>
        </w:rPr>
        <w:t> </w:t>
      </w:r>
      <w:r>
        <w:rPr/>
        <w:t>Estado,</w:t>
      </w:r>
      <w:r>
        <w:rPr>
          <w:spacing w:val="-2"/>
        </w:rPr>
        <w:t> </w:t>
      </w:r>
      <w:r>
        <w:rPr/>
        <w:t>e informar de manera</w:t>
      </w:r>
      <w:r>
        <w:rPr>
          <w:spacing w:val="-2"/>
        </w:rPr>
        <w:t> </w:t>
      </w:r>
      <w:r>
        <w:rPr/>
        <w:t>específica</w:t>
      </w:r>
      <w:r>
        <w:rPr>
          <w:spacing w:val="-2"/>
        </w:rPr>
        <w:t> </w:t>
      </w:r>
      <w:r>
        <w:rPr/>
        <w:t>y</w:t>
      </w:r>
      <w:r>
        <w:rPr>
          <w:spacing w:val="-1"/>
        </w:rPr>
        <w:t> </w:t>
      </w:r>
      <w:r>
        <w:rPr/>
        <w:t>por escrito al Consejo Estatal de Ordenamiento Territorial y Urbano, así como al Congreso del Estado sobre los avances y logros alcanzados, dentro de los trescientos sesenta y cinco días siguientes a la entrada en vigor del presente Decreto, e incluir en los informes de gobierno subsecuentes los avances en las mismas.</w:t>
      </w:r>
    </w:p>
    <w:p>
      <w:pPr>
        <w:pStyle w:val="BodyText"/>
        <w:spacing w:before="1"/>
      </w:pPr>
    </w:p>
    <w:p>
      <w:pPr>
        <w:pStyle w:val="BodyText"/>
        <w:ind w:left="262" w:right="284"/>
        <w:jc w:val="both"/>
      </w:pPr>
      <w:r>
        <w:rPr>
          <w:rFonts w:ascii="Arial" w:hAnsi="Arial"/>
          <w:b/>
        </w:rPr>
        <w:t>DÉCIMO</w:t>
      </w:r>
      <w:r>
        <w:rPr>
          <w:rFonts w:ascii="Arial" w:hAnsi="Arial"/>
          <w:b/>
          <w:spacing w:val="-11"/>
        </w:rPr>
        <w:t> </w:t>
      </w:r>
      <w:r>
        <w:rPr>
          <w:rFonts w:ascii="Arial" w:hAnsi="Arial"/>
          <w:b/>
        </w:rPr>
        <w:t>SEXTO.</w:t>
      </w:r>
      <w:r>
        <w:rPr>
          <w:rFonts w:ascii="Arial" w:hAnsi="Arial"/>
          <w:b/>
          <w:spacing w:val="-8"/>
        </w:rPr>
        <w:t> </w:t>
      </w:r>
      <w:r>
        <w:rPr/>
        <w:t>Dentro</w:t>
      </w:r>
      <w:r>
        <w:rPr>
          <w:spacing w:val="-11"/>
        </w:rPr>
        <w:t> </w:t>
      </w:r>
      <w:r>
        <w:rPr/>
        <w:t>del</w:t>
      </w:r>
      <w:r>
        <w:rPr>
          <w:spacing w:val="-12"/>
        </w:rPr>
        <w:t> </w:t>
      </w:r>
      <w:r>
        <w:rPr/>
        <w:t>plazo</w:t>
      </w:r>
      <w:r>
        <w:rPr>
          <w:spacing w:val="-9"/>
        </w:rPr>
        <w:t> </w:t>
      </w:r>
      <w:r>
        <w:rPr/>
        <w:t>de</w:t>
      </w:r>
      <w:r>
        <w:rPr>
          <w:spacing w:val="-9"/>
        </w:rPr>
        <w:t> </w:t>
      </w:r>
      <w:r>
        <w:rPr/>
        <w:t>dos</w:t>
      </w:r>
      <w:r>
        <w:rPr>
          <w:spacing w:val="-10"/>
        </w:rPr>
        <w:t> </w:t>
      </w:r>
      <w:r>
        <w:rPr/>
        <w:t>años</w:t>
      </w:r>
      <w:r>
        <w:rPr>
          <w:spacing w:val="-10"/>
        </w:rPr>
        <w:t> </w:t>
      </w:r>
      <w:r>
        <w:rPr/>
        <w:t>contados</w:t>
      </w:r>
      <w:r>
        <w:rPr>
          <w:spacing w:val="-10"/>
        </w:rPr>
        <w:t> </w:t>
      </w:r>
      <w:r>
        <w:rPr/>
        <w:t>a</w:t>
      </w:r>
      <w:r>
        <w:rPr>
          <w:spacing w:val="-11"/>
        </w:rPr>
        <w:t> </w:t>
      </w:r>
      <w:r>
        <w:rPr/>
        <w:t>partir</w:t>
      </w:r>
      <w:r>
        <w:rPr>
          <w:spacing w:val="-10"/>
        </w:rPr>
        <w:t> </w:t>
      </w:r>
      <w:r>
        <w:rPr/>
        <w:t>de</w:t>
      </w:r>
      <w:r>
        <w:rPr>
          <w:spacing w:val="-11"/>
        </w:rPr>
        <w:t> </w:t>
      </w:r>
      <w:r>
        <w:rPr/>
        <w:t>la</w:t>
      </w:r>
      <w:r>
        <w:rPr>
          <w:spacing w:val="-11"/>
        </w:rPr>
        <w:t> </w:t>
      </w:r>
      <w:r>
        <w:rPr/>
        <w:t>entrada</w:t>
      </w:r>
      <w:r>
        <w:rPr>
          <w:spacing w:val="-11"/>
        </w:rPr>
        <w:t> </w:t>
      </w:r>
      <w:r>
        <w:rPr/>
        <w:t>en</w:t>
      </w:r>
      <w:r>
        <w:rPr>
          <w:spacing w:val="-9"/>
        </w:rPr>
        <w:t> </w:t>
      </w:r>
      <w:r>
        <w:rPr/>
        <w:t>vigor</w:t>
      </w:r>
      <w:r>
        <w:rPr>
          <w:spacing w:val="-10"/>
        </w:rPr>
        <w:t> </w:t>
      </w:r>
      <w:r>
        <w:rPr/>
        <w:t>del</w:t>
      </w:r>
      <w:r>
        <w:rPr>
          <w:spacing w:val="-10"/>
        </w:rPr>
        <w:t> </w:t>
      </w:r>
      <w:r>
        <w:rPr/>
        <w:t>presente Decreto, el</w:t>
      </w:r>
      <w:r>
        <w:rPr>
          <w:spacing w:val="-1"/>
        </w:rPr>
        <w:t> </w:t>
      </w:r>
      <w:r>
        <w:rPr/>
        <w:t>titular del Ejecutivo del Estado deberá crear y poner en operación el Instituto Estatal de Planeación, así como la Procuraduría Urbana, conforme a las disposiciones de la presente Ley.</w:t>
      </w:r>
    </w:p>
    <w:p>
      <w:pPr>
        <w:pStyle w:val="BodyText"/>
        <w:spacing w:before="229"/>
        <w:ind w:left="262" w:right="287"/>
        <w:jc w:val="both"/>
      </w:pPr>
      <w:r>
        <w:rPr>
          <w:rFonts w:ascii="Arial" w:hAnsi="Arial"/>
          <w:b/>
        </w:rPr>
        <w:t>DÉCIMO SÉPTIMO. </w:t>
      </w:r>
      <w:r>
        <w:rPr/>
        <w:t>La Secretaría deberá instalar la Comisión de Acreditación de Directores Responsables de Obra y Corresponsables, dentro de los sesenta días siguientes a la entrada en vigor de esta Ley.</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pStyle w:val="BodyText"/>
        <w:ind w:left="262" w:right="280"/>
        <w:jc w:val="both"/>
      </w:pPr>
      <w:r>
        <w:rPr>
          <w:rFonts w:ascii="Arial" w:hAnsi="Arial"/>
          <w:b/>
        </w:rPr>
        <w:t>DÉCIMO</w:t>
      </w:r>
      <w:r>
        <w:rPr>
          <w:rFonts w:ascii="Arial" w:hAnsi="Arial"/>
          <w:b/>
          <w:spacing w:val="-13"/>
        </w:rPr>
        <w:t> </w:t>
      </w:r>
      <w:r>
        <w:rPr>
          <w:rFonts w:ascii="Arial" w:hAnsi="Arial"/>
          <w:b/>
        </w:rPr>
        <w:t>OCTAVO.</w:t>
      </w:r>
      <w:r>
        <w:rPr>
          <w:rFonts w:ascii="Arial" w:hAnsi="Arial"/>
          <w:b/>
          <w:spacing w:val="-13"/>
        </w:rPr>
        <w:t> </w:t>
      </w:r>
      <w:r>
        <w:rPr/>
        <w:t>Los</w:t>
      </w:r>
      <w:r>
        <w:rPr>
          <w:spacing w:val="-13"/>
        </w:rPr>
        <w:t> </w:t>
      </w:r>
      <w:r>
        <w:rPr/>
        <w:t>registros</w:t>
      </w:r>
      <w:r>
        <w:rPr>
          <w:spacing w:val="-13"/>
        </w:rPr>
        <w:t> </w:t>
      </w:r>
      <w:r>
        <w:rPr/>
        <w:t>de</w:t>
      </w:r>
      <w:r>
        <w:rPr>
          <w:spacing w:val="-11"/>
        </w:rPr>
        <w:t> </w:t>
      </w:r>
      <w:r>
        <w:rPr/>
        <w:t>los</w:t>
      </w:r>
      <w:r>
        <w:rPr>
          <w:spacing w:val="-10"/>
        </w:rPr>
        <w:t> </w:t>
      </w:r>
      <w:r>
        <w:rPr/>
        <w:t>Directores</w:t>
      </w:r>
      <w:r>
        <w:rPr>
          <w:spacing w:val="-10"/>
        </w:rPr>
        <w:t> </w:t>
      </w:r>
      <w:r>
        <w:rPr/>
        <w:t>Responsables</w:t>
      </w:r>
      <w:r>
        <w:rPr>
          <w:spacing w:val="-10"/>
        </w:rPr>
        <w:t> </w:t>
      </w:r>
      <w:r>
        <w:rPr/>
        <w:t>de</w:t>
      </w:r>
      <w:r>
        <w:rPr>
          <w:spacing w:val="-14"/>
        </w:rPr>
        <w:t> </w:t>
      </w:r>
      <w:r>
        <w:rPr/>
        <w:t>Obra</w:t>
      </w:r>
      <w:r>
        <w:rPr>
          <w:spacing w:val="-11"/>
        </w:rPr>
        <w:t> </w:t>
      </w:r>
      <w:r>
        <w:rPr/>
        <w:t>que</w:t>
      </w:r>
      <w:r>
        <w:rPr>
          <w:spacing w:val="-12"/>
        </w:rPr>
        <w:t> </w:t>
      </w:r>
      <w:r>
        <w:rPr/>
        <w:t>a</w:t>
      </w:r>
      <w:r>
        <w:rPr>
          <w:spacing w:val="-12"/>
        </w:rPr>
        <w:t> </w:t>
      </w:r>
      <w:r>
        <w:rPr/>
        <w:t>la</w:t>
      </w:r>
      <w:r>
        <w:rPr>
          <w:spacing w:val="-14"/>
        </w:rPr>
        <w:t> </w:t>
      </w:r>
      <w:r>
        <w:rPr/>
        <w:t>fecha</w:t>
      </w:r>
      <w:r>
        <w:rPr>
          <w:spacing w:val="-11"/>
        </w:rPr>
        <w:t> </w:t>
      </w:r>
      <w:r>
        <w:rPr/>
        <w:t>de</w:t>
      </w:r>
      <w:r>
        <w:rPr>
          <w:spacing w:val="-12"/>
        </w:rPr>
        <w:t> </w:t>
      </w:r>
      <w:r>
        <w:rPr/>
        <w:t>entrada en vigor de este Decreto, se encuentren vigentes ante los municipios, tendrán plena validez hasta su vencimiento; para su refrendo, deberán cumplir las disposiciones que establece la presente Ley y acreditar los requisitos que la misma establece para dicho propósito.</w:t>
      </w:r>
    </w:p>
    <w:p>
      <w:pPr>
        <w:pStyle w:val="BodyText"/>
      </w:pPr>
    </w:p>
    <w:p>
      <w:pPr>
        <w:pStyle w:val="BodyText"/>
        <w:ind w:left="262"/>
        <w:jc w:val="both"/>
      </w:pPr>
      <w:r>
        <w:rPr/>
        <w:t>Lo</w:t>
      </w:r>
      <w:r>
        <w:rPr>
          <w:spacing w:val="-9"/>
        </w:rPr>
        <w:t> </w:t>
      </w:r>
      <w:r>
        <w:rPr/>
        <w:t>tendrá</w:t>
      </w:r>
      <w:r>
        <w:rPr>
          <w:spacing w:val="-5"/>
        </w:rPr>
        <w:t> </w:t>
      </w:r>
      <w:r>
        <w:rPr/>
        <w:t>entendido</w:t>
      </w:r>
      <w:r>
        <w:rPr>
          <w:spacing w:val="-6"/>
        </w:rPr>
        <w:t> </w:t>
      </w:r>
      <w:r>
        <w:rPr/>
        <w:t>el</w:t>
      </w:r>
      <w:r>
        <w:rPr>
          <w:spacing w:val="-6"/>
        </w:rPr>
        <w:t> </w:t>
      </w:r>
      <w:r>
        <w:rPr/>
        <w:t>Ejecutivo</w:t>
      </w:r>
      <w:r>
        <w:rPr>
          <w:spacing w:val="-6"/>
        </w:rPr>
        <w:t> </w:t>
      </w:r>
      <w:r>
        <w:rPr/>
        <w:t>del</w:t>
      </w:r>
      <w:r>
        <w:rPr>
          <w:spacing w:val="-7"/>
        </w:rPr>
        <w:t> </w:t>
      </w:r>
      <w:r>
        <w:rPr/>
        <w:t>Estado,</w:t>
      </w:r>
      <w:r>
        <w:rPr>
          <w:spacing w:val="-5"/>
        </w:rPr>
        <w:t> </w:t>
      </w:r>
      <w:r>
        <w:rPr/>
        <w:t>lo</w:t>
      </w:r>
      <w:r>
        <w:rPr>
          <w:spacing w:val="-6"/>
        </w:rPr>
        <w:t> </w:t>
      </w:r>
      <w:r>
        <w:rPr/>
        <w:t>hará</w:t>
      </w:r>
      <w:r>
        <w:rPr>
          <w:spacing w:val="-5"/>
        </w:rPr>
        <w:t> </w:t>
      </w:r>
      <w:r>
        <w:rPr/>
        <w:t>publicar,</w:t>
      </w:r>
      <w:r>
        <w:rPr>
          <w:spacing w:val="-8"/>
        </w:rPr>
        <w:t> </w:t>
      </w:r>
      <w:r>
        <w:rPr/>
        <w:t>circular</w:t>
      </w:r>
      <w:r>
        <w:rPr>
          <w:spacing w:val="-7"/>
        </w:rPr>
        <w:t> </w:t>
      </w:r>
      <w:r>
        <w:rPr/>
        <w:t>y</w:t>
      </w:r>
      <w:r>
        <w:rPr>
          <w:spacing w:val="-6"/>
        </w:rPr>
        <w:t> </w:t>
      </w:r>
      <w:r>
        <w:rPr>
          <w:spacing w:val="-2"/>
        </w:rPr>
        <w:t>obedecer.</w:t>
      </w:r>
    </w:p>
    <w:p>
      <w:pPr>
        <w:pStyle w:val="BodyText"/>
        <w:spacing w:before="116"/>
      </w:pPr>
    </w:p>
    <w:p>
      <w:pPr>
        <w:pStyle w:val="BodyText"/>
        <w:ind w:left="262" w:right="267"/>
        <w:jc w:val="both"/>
      </w:pPr>
      <w:r>
        <w:rPr>
          <w:rFonts w:ascii="Arial" w:hAnsi="Arial"/>
          <w:b/>
        </w:rPr>
        <w:t>D A D O </w:t>
      </w:r>
      <w:r>
        <w:rPr/>
        <w:t>en el salón de sesiones “Ponciano Arriaga Leija” del Honorable Congreso del Estado, el doce de julio de dos mil dieciocho.</w:t>
      </w:r>
    </w:p>
    <w:p>
      <w:pPr>
        <w:pStyle w:val="BodyText"/>
        <w:spacing w:before="230"/>
        <w:ind w:left="262" w:right="260"/>
        <w:jc w:val="both"/>
      </w:pPr>
      <w:r>
        <w:rPr/>
        <w:t>Por</w:t>
      </w:r>
      <w:r>
        <w:rPr>
          <w:spacing w:val="-1"/>
        </w:rPr>
        <w:t> </w:t>
      </w:r>
      <w:r>
        <w:rPr/>
        <w:t>la</w:t>
      </w:r>
      <w:r>
        <w:rPr>
          <w:spacing w:val="-2"/>
        </w:rPr>
        <w:t> </w:t>
      </w:r>
      <w:r>
        <w:rPr/>
        <w:t>Directiva. Presidente,</w:t>
      </w:r>
      <w:r>
        <w:rPr>
          <w:spacing w:val="-1"/>
        </w:rPr>
        <w:t> </w:t>
      </w:r>
      <w:r>
        <w:rPr/>
        <w:t>Legislador</w:t>
      </w:r>
      <w:r>
        <w:rPr>
          <w:spacing w:val="-1"/>
        </w:rPr>
        <w:t> </w:t>
      </w:r>
      <w:r>
        <w:rPr/>
        <w:t>Fernando</w:t>
      </w:r>
      <w:r>
        <w:rPr>
          <w:spacing w:val="-2"/>
        </w:rPr>
        <w:t> </w:t>
      </w:r>
      <w:r>
        <w:rPr/>
        <w:t>Chávez</w:t>
      </w:r>
      <w:r>
        <w:rPr>
          <w:spacing w:val="-1"/>
        </w:rPr>
        <w:t> </w:t>
      </w:r>
      <w:r>
        <w:rPr/>
        <w:t>Méndez; Primera Secretaria,</w:t>
      </w:r>
      <w:r>
        <w:rPr>
          <w:spacing w:val="-1"/>
        </w:rPr>
        <w:t> </w:t>
      </w:r>
      <w:r>
        <w:rPr/>
        <w:t>Legisladora Esther Angélica Martínez Cárdenas; Segundo Secretario, Legislador Eduardo Guillén Martell </w:t>
      </w:r>
      <w:r>
        <w:rPr>
          <w:spacing w:val="-2"/>
        </w:rPr>
        <w:t>(rúbricas)</w:t>
      </w:r>
    </w:p>
    <w:p>
      <w:pPr>
        <w:pStyle w:val="BodyText"/>
        <w:spacing w:before="1"/>
      </w:pPr>
    </w:p>
    <w:p>
      <w:pPr>
        <w:pStyle w:val="BodyText"/>
        <w:ind w:left="262" w:right="287"/>
        <w:jc w:val="both"/>
      </w:pPr>
      <w:r>
        <w:rPr/>
        <w:t>Por tanto mando se cumpla y ejecute el presente Decreto y que todas las autoridades lo hagan cumplir y guardar y al efecto se imprima, publique y circule a quienes corresponda</w:t>
      </w:r>
    </w:p>
    <w:p>
      <w:pPr>
        <w:pStyle w:val="BodyText"/>
        <w:spacing w:before="229"/>
        <w:ind w:left="262" w:right="289"/>
        <w:jc w:val="both"/>
      </w:pPr>
      <w:r>
        <w:rPr>
          <w:rFonts w:ascii="Arial" w:hAnsi="Arial"/>
          <w:b/>
        </w:rPr>
        <w:t>D A D O </w:t>
      </w:r>
      <w:r>
        <w:rPr/>
        <w:t>en el Palacio de Gobierno, sede del Poder Ejecutivo del Estado Libre y Soberano de San Luis Potosí, el día dieciséis del mes de julio del año dos mil dieciocho.</w:t>
      </w:r>
    </w:p>
    <w:p>
      <w:pPr>
        <w:pStyle w:val="BodyText"/>
        <w:spacing w:before="1"/>
      </w:pPr>
    </w:p>
    <w:p>
      <w:pPr>
        <w:pStyle w:val="BodyText"/>
        <w:ind w:right="3"/>
        <w:jc w:val="center"/>
      </w:pPr>
      <w:r>
        <w:rPr/>
        <w:t>El</w:t>
      </w:r>
      <w:r>
        <w:rPr>
          <w:spacing w:val="-11"/>
        </w:rPr>
        <w:t> </w:t>
      </w:r>
      <w:r>
        <w:rPr/>
        <w:t>Gobernador</w:t>
      </w:r>
      <w:r>
        <w:rPr>
          <w:spacing w:val="-9"/>
        </w:rPr>
        <w:t> </w:t>
      </w:r>
      <w:r>
        <w:rPr/>
        <w:t>Constitucional</w:t>
      </w:r>
      <w:r>
        <w:rPr>
          <w:spacing w:val="-9"/>
        </w:rPr>
        <w:t> </w:t>
      </w:r>
      <w:r>
        <w:rPr/>
        <w:t>del</w:t>
      </w:r>
      <w:r>
        <w:rPr>
          <w:spacing w:val="-10"/>
        </w:rPr>
        <w:t> </w:t>
      </w:r>
      <w:r>
        <w:rPr>
          <w:spacing w:val="-2"/>
        </w:rPr>
        <w:t>Estado</w:t>
      </w:r>
    </w:p>
    <w:p>
      <w:pPr>
        <w:pStyle w:val="Heading2"/>
        <w:spacing w:before="229"/>
        <w:ind w:right="0"/>
      </w:pPr>
      <w:r>
        <w:rPr/>
        <w:t>Juan</w:t>
      </w:r>
      <w:r>
        <w:rPr>
          <w:spacing w:val="-8"/>
        </w:rPr>
        <w:t> </w:t>
      </w:r>
      <w:r>
        <w:rPr/>
        <w:t>Manuel</w:t>
      </w:r>
      <w:r>
        <w:rPr>
          <w:spacing w:val="-7"/>
        </w:rPr>
        <w:t> </w:t>
      </w:r>
      <w:r>
        <w:rPr/>
        <w:t>Carreras</w:t>
      </w:r>
      <w:r>
        <w:rPr>
          <w:spacing w:val="-8"/>
        </w:rPr>
        <w:t> </w:t>
      </w:r>
      <w:r>
        <w:rPr>
          <w:spacing w:val="-2"/>
        </w:rPr>
        <w:t>López</w:t>
      </w:r>
    </w:p>
    <w:p>
      <w:pPr>
        <w:pStyle w:val="BodyText"/>
        <w:spacing w:before="1"/>
        <w:rPr>
          <w:rFonts w:ascii="Arial"/>
          <w:b/>
        </w:rPr>
      </w:pPr>
    </w:p>
    <w:p>
      <w:pPr>
        <w:pStyle w:val="BodyText"/>
        <w:ind w:right="2"/>
        <w:jc w:val="center"/>
      </w:pPr>
      <w:r>
        <w:rPr/>
        <w:t>El</w:t>
      </w:r>
      <w:r>
        <w:rPr>
          <w:spacing w:val="-7"/>
        </w:rPr>
        <w:t> </w:t>
      </w:r>
      <w:r>
        <w:rPr/>
        <w:t>Secretario</w:t>
      </w:r>
      <w:r>
        <w:rPr>
          <w:spacing w:val="-7"/>
        </w:rPr>
        <w:t> </w:t>
      </w:r>
      <w:r>
        <w:rPr/>
        <w:t>General</w:t>
      </w:r>
      <w:r>
        <w:rPr>
          <w:spacing w:val="-8"/>
        </w:rPr>
        <w:t> </w:t>
      </w:r>
      <w:r>
        <w:rPr/>
        <w:t>de</w:t>
      </w:r>
      <w:r>
        <w:rPr>
          <w:spacing w:val="-7"/>
        </w:rPr>
        <w:t> </w:t>
      </w:r>
      <w:r>
        <w:rPr>
          <w:spacing w:val="-2"/>
        </w:rPr>
        <w:t>Gobierno</w:t>
      </w:r>
    </w:p>
    <w:p>
      <w:pPr>
        <w:pStyle w:val="BodyText"/>
        <w:spacing w:before="1"/>
      </w:pPr>
    </w:p>
    <w:p>
      <w:pPr>
        <w:pStyle w:val="Heading2"/>
        <w:ind w:right="0"/>
      </w:pPr>
      <w:r>
        <w:rPr/>
        <w:t>Alejandro</w:t>
      </w:r>
      <w:r>
        <w:rPr>
          <w:spacing w:val="-8"/>
        </w:rPr>
        <w:t> </w:t>
      </w:r>
      <w:r>
        <w:rPr/>
        <w:t>Leal</w:t>
      </w:r>
      <w:r>
        <w:rPr>
          <w:spacing w:val="-11"/>
        </w:rPr>
        <w:t> </w:t>
      </w:r>
      <w:r>
        <w:rPr>
          <w:spacing w:val="-2"/>
        </w:rPr>
        <w:t>Tovias</w:t>
      </w:r>
    </w:p>
    <w:p>
      <w:pPr>
        <w:pStyle w:val="BodyText"/>
        <w:spacing w:before="228"/>
        <w:rPr>
          <w:rFonts w:ascii="Arial"/>
          <w:b/>
        </w:rPr>
      </w:pPr>
    </w:p>
    <w:p>
      <w:pPr>
        <w:pStyle w:val="BodyText"/>
        <w:spacing w:before="1"/>
        <w:ind w:left="262" w:right="202"/>
      </w:pPr>
      <w:r>
        <w:rPr/>
        <w:t>N.</w:t>
      </w:r>
      <w:r>
        <w:rPr>
          <w:spacing w:val="36"/>
        </w:rPr>
        <w:t> </w:t>
      </w:r>
      <w:r>
        <w:rPr/>
        <w:t>DE</w:t>
      </w:r>
      <w:r>
        <w:rPr>
          <w:spacing w:val="38"/>
        </w:rPr>
        <w:t> </w:t>
      </w:r>
      <w:r>
        <w:rPr/>
        <w:t>E.</w:t>
      </w:r>
      <w:r>
        <w:rPr>
          <w:spacing w:val="38"/>
        </w:rPr>
        <w:t> </w:t>
      </w:r>
      <w:r>
        <w:rPr/>
        <w:t>A</w:t>
      </w:r>
      <w:r>
        <w:rPr>
          <w:spacing w:val="38"/>
        </w:rPr>
        <w:t> </w:t>
      </w:r>
      <w:r>
        <w:rPr/>
        <w:t>CONTINUACIÓN</w:t>
      </w:r>
      <w:r>
        <w:rPr>
          <w:spacing w:val="39"/>
        </w:rPr>
        <w:t> </w:t>
      </w:r>
      <w:r>
        <w:rPr/>
        <w:t>SE</w:t>
      </w:r>
      <w:r>
        <w:rPr>
          <w:spacing w:val="35"/>
        </w:rPr>
        <w:t> </w:t>
      </w:r>
      <w:r>
        <w:rPr/>
        <w:t>TRANSCRIBEN</w:t>
      </w:r>
      <w:r>
        <w:rPr>
          <w:spacing w:val="36"/>
        </w:rPr>
        <w:t> </w:t>
      </w:r>
      <w:r>
        <w:rPr/>
        <w:t>LOS</w:t>
      </w:r>
      <w:r>
        <w:rPr>
          <w:spacing w:val="38"/>
        </w:rPr>
        <w:t> </w:t>
      </w:r>
      <w:r>
        <w:rPr/>
        <w:t>ARTICULOS</w:t>
      </w:r>
      <w:r>
        <w:rPr>
          <w:spacing w:val="35"/>
        </w:rPr>
        <w:t> </w:t>
      </w:r>
      <w:r>
        <w:rPr/>
        <w:t>TRANSITORIOS</w:t>
      </w:r>
      <w:r>
        <w:rPr>
          <w:spacing w:val="35"/>
        </w:rPr>
        <w:t> </w:t>
      </w:r>
      <w:r>
        <w:rPr/>
        <w:t>DE</w:t>
      </w:r>
      <w:r>
        <w:rPr>
          <w:spacing w:val="38"/>
        </w:rPr>
        <w:t> </w:t>
      </w:r>
      <w:r>
        <w:rPr/>
        <w:t>LOS DECRETOS DE REFORMAS A LA PRESENTE LEY.</w:t>
      </w:r>
    </w:p>
    <w:p>
      <w:pPr>
        <w:pStyle w:val="BodyText"/>
        <w:spacing w:before="229"/>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1"/>
        <w:rPr>
          <w:rFonts w:ascii="Arial"/>
          <w:i/>
        </w:rPr>
      </w:pPr>
    </w:p>
    <w:p>
      <w:pPr>
        <w:pStyle w:val="BodyText"/>
        <w:ind w:left="262" w:right="267"/>
        <w:jc w:val="both"/>
      </w:pPr>
      <w:r>
        <w:rPr/>
        <w:t>PRIMERO. Este Decreto iniciará su vigencia a partir de su publicación en el Periódico Oficial del Gobierno del Estado “Plan de San Luis”.</w:t>
      </w:r>
    </w:p>
    <w:p>
      <w:pPr>
        <w:pStyle w:val="BodyText"/>
        <w:spacing w:before="229"/>
        <w:ind w:left="262"/>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
      </w:pPr>
    </w:p>
    <w:p>
      <w:pPr>
        <w:spacing w:before="0"/>
        <w:ind w:left="3301" w:right="0" w:firstLine="0"/>
        <w:jc w:val="left"/>
        <w:rPr>
          <w:rFonts w:ascii="Arial"/>
          <w:i/>
          <w:sz w:val="20"/>
        </w:rPr>
      </w:pPr>
      <w:r>
        <w:rPr>
          <w:rFonts w:ascii="Arial"/>
          <w:i/>
          <w:sz w:val="20"/>
        </w:rPr>
        <w:t>P.O.</w:t>
      </w:r>
      <w:r>
        <w:rPr>
          <w:rFonts w:ascii="Arial"/>
          <w:i/>
          <w:spacing w:val="-6"/>
          <w:sz w:val="20"/>
        </w:rPr>
        <w:t> </w:t>
      </w:r>
      <w:r>
        <w:rPr>
          <w:rFonts w:ascii="Arial"/>
          <w:i/>
          <w:sz w:val="20"/>
        </w:rPr>
        <w:t>05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2019</w:t>
      </w:r>
    </w:p>
    <w:p>
      <w:pPr>
        <w:pStyle w:val="BodyText"/>
        <w:spacing w:before="1"/>
        <w:rPr>
          <w:rFonts w:ascii="Arial"/>
          <w:i/>
        </w:rPr>
      </w:pPr>
    </w:p>
    <w:p>
      <w:pPr>
        <w:pStyle w:val="BodyText"/>
        <w:ind w:left="262" w:right="267"/>
        <w:jc w:val="both"/>
      </w:pPr>
      <w:r>
        <w:rPr/>
        <w:t>PRIMERO. Este Decreto iniciará su vigencia a partir de su publicación en el Periódico Oficial del Gobierno del Estado “Plan de San Luis”.</w:t>
      </w:r>
    </w:p>
    <w:p>
      <w:pPr>
        <w:pStyle w:val="BodyText"/>
        <w:spacing w:before="229"/>
        <w:ind w:left="262"/>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spacing w:before="0"/>
        <w:ind w:left="3241" w:right="0" w:firstLine="0"/>
        <w:jc w:val="left"/>
        <w:rPr>
          <w:rFonts w:ascii="Arial"/>
          <w:i/>
          <w:sz w:val="20"/>
        </w:rPr>
      </w:pPr>
      <w:r>
        <w:rPr>
          <w:rFonts w:ascii="Arial"/>
          <w:i/>
          <w:sz w:val="20"/>
        </w:rPr>
        <w:t>P.O.</w:t>
      </w:r>
      <w:r>
        <w:rPr>
          <w:rFonts w:ascii="Arial"/>
          <w:i/>
          <w:spacing w:val="-5"/>
          <w:sz w:val="20"/>
        </w:rPr>
        <w:t> </w:t>
      </w:r>
      <w:r>
        <w:rPr>
          <w:rFonts w:ascii="Arial"/>
          <w:i/>
          <w:sz w:val="20"/>
        </w:rPr>
        <w:t>03</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1"/>
        <w:rPr>
          <w:rFonts w:ascii="Arial"/>
          <w:i/>
        </w:rPr>
      </w:pPr>
    </w:p>
    <w:p>
      <w:pPr>
        <w:pStyle w:val="BodyText"/>
        <w:ind w:left="262"/>
      </w:pPr>
      <w:r>
        <w:rPr/>
        <w:t>PRIMERO. Este Decreto iniciará su vigencia a partir de su publicación en el Periódico Oficial del</w:t>
      </w:r>
      <w:r>
        <w:rPr>
          <w:spacing w:val="40"/>
        </w:rPr>
        <w:t> </w:t>
      </w:r>
      <w:r>
        <w:rPr/>
        <w:t>Gobierno del Estado “Plan de San Luis”.</w:t>
      </w:r>
    </w:p>
    <w:p>
      <w:pPr>
        <w:pStyle w:val="BodyText"/>
        <w:spacing w:before="229"/>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
      </w:pPr>
    </w:p>
    <w:p>
      <w:pPr>
        <w:spacing w:before="0"/>
        <w:ind w:left="3440" w:right="0" w:firstLine="0"/>
        <w:jc w:val="left"/>
        <w:rPr>
          <w:rFonts w:ascii="Arial"/>
          <w:i/>
          <w:sz w:val="20"/>
        </w:rPr>
      </w:pPr>
      <w:r>
        <w:rPr>
          <w:rFonts w:ascii="Arial"/>
          <w:i/>
          <w:sz w:val="20"/>
        </w:rPr>
        <w:t>P.O.</w:t>
      </w:r>
      <w:r>
        <w:rPr>
          <w:rFonts w:ascii="Arial"/>
          <w:i/>
          <w:spacing w:val="-4"/>
          <w:sz w:val="20"/>
        </w:rPr>
        <w:t> </w:t>
      </w:r>
      <w:r>
        <w:rPr>
          <w:rFonts w:ascii="Arial"/>
          <w:i/>
          <w:sz w:val="20"/>
        </w:rPr>
        <w:t>14</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2020</w:t>
      </w:r>
    </w:p>
    <w:p>
      <w:pPr>
        <w:pStyle w:val="BodyText"/>
        <w:spacing w:before="229"/>
        <w:ind w:left="262" w:right="282"/>
      </w:pPr>
      <w:r>
        <w:rPr>
          <w:color w:val="221F1F"/>
        </w:rPr>
        <w:t>PRIMERO.</w:t>
      </w:r>
      <w:r>
        <w:rPr>
          <w:color w:val="221F1F"/>
          <w:spacing w:val="-2"/>
        </w:rPr>
        <w:t> </w:t>
      </w:r>
      <w:r>
        <w:rPr>
          <w:color w:val="221F1F"/>
        </w:rPr>
        <w:t>Este</w:t>
      </w:r>
      <w:r>
        <w:rPr>
          <w:color w:val="221F1F"/>
          <w:spacing w:val="-3"/>
        </w:rPr>
        <w:t> </w:t>
      </w:r>
      <w:r>
        <w:rPr>
          <w:color w:val="221F1F"/>
        </w:rPr>
        <w:t>presente</w:t>
      </w:r>
      <w:r>
        <w:rPr>
          <w:color w:val="221F1F"/>
          <w:spacing w:val="-1"/>
        </w:rPr>
        <w:t> </w:t>
      </w:r>
      <w:r>
        <w:rPr>
          <w:color w:val="221F1F"/>
        </w:rPr>
        <w:t>Decreto</w:t>
      </w:r>
      <w:r>
        <w:rPr>
          <w:color w:val="221F1F"/>
          <w:spacing w:val="-6"/>
        </w:rPr>
        <w:t> </w:t>
      </w:r>
      <w:r>
        <w:rPr>
          <w:color w:val="221F1F"/>
        </w:rPr>
        <w:t>iniciará</w:t>
      </w:r>
      <w:r>
        <w:rPr>
          <w:color w:val="221F1F"/>
          <w:spacing w:val="-5"/>
        </w:rPr>
        <w:t> </w:t>
      </w:r>
      <w:r>
        <w:rPr>
          <w:color w:val="221F1F"/>
        </w:rPr>
        <w:t>su</w:t>
      </w:r>
      <w:r>
        <w:rPr>
          <w:color w:val="221F1F"/>
          <w:spacing w:val="-5"/>
        </w:rPr>
        <w:t> </w:t>
      </w:r>
      <w:r>
        <w:rPr>
          <w:color w:val="221F1F"/>
        </w:rPr>
        <w:t>vigencia</w:t>
      </w:r>
      <w:r>
        <w:rPr>
          <w:color w:val="221F1F"/>
          <w:spacing w:val="-3"/>
        </w:rPr>
        <w:t> </w:t>
      </w:r>
      <w:r>
        <w:rPr>
          <w:color w:val="221F1F"/>
        </w:rPr>
        <w:t>a</w:t>
      </w:r>
      <w:r>
        <w:rPr>
          <w:color w:val="221F1F"/>
          <w:spacing w:val="-6"/>
        </w:rPr>
        <w:t> </w:t>
      </w:r>
      <w:r>
        <w:rPr>
          <w:color w:val="221F1F"/>
        </w:rPr>
        <w:t>partir</w:t>
      </w:r>
      <w:r>
        <w:rPr>
          <w:color w:val="221F1F"/>
          <w:spacing w:val="-4"/>
        </w:rPr>
        <w:t> </w:t>
      </w:r>
      <w:r>
        <w:rPr>
          <w:color w:val="221F1F"/>
        </w:rPr>
        <w:t>de</w:t>
      </w:r>
      <w:r>
        <w:rPr>
          <w:color w:val="221F1F"/>
          <w:spacing w:val="-3"/>
        </w:rPr>
        <w:t> </w:t>
      </w:r>
      <w:r>
        <w:rPr>
          <w:color w:val="221F1F"/>
        </w:rPr>
        <w:t>su</w:t>
      </w:r>
      <w:r>
        <w:rPr>
          <w:color w:val="221F1F"/>
          <w:spacing w:val="-5"/>
        </w:rPr>
        <w:t> </w:t>
      </w:r>
      <w:r>
        <w:rPr>
          <w:color w:val="221F1F"/>
        </w:rPr>
        <w:t>publicación</w:t>
      </w:r>
      <w:r>
        <w:rPr>
          <w:color w:val="221F1F"/>
          <w:spacing w:val="-5"/>
        </w:rPr>
        <w:t> </w:t>
      </w:r>
      <w:r>
        <w:rPr>
          <w:color w:val="221F1F"/>
        </w:rPr>
        <w:t>en</w:t>
      </w:r>
      <w:r>
        <w:rPr>
          <w:color w:val="221F1F"/>
          <w:spacing w:val="-5"/>
        </w:rPr>
        <w:t> </w:t>
      </w:r>
      <w:r>
        <w:rPr>
          <w:color w:val="221F1F"/>
        </w:rPr>
        <w:t>el</w:t>
      </w:r>
      <w:r>
        <w:rPr>
          <w:color w:val="221F1F"/>
          <w:spacing w:val="-4"/>
        </w:rPr>
        <w:t> </w:t>
      </w:r>
      <w:r>
        <w:rPr>
          <w:color w:val="221F1F"/>
        </w:rPr>
        <w:t>Periódico Oficial del Gobierno del Estado “Plan de San Luis”.</w:t>
      </w:r>
    </w:p>
    <w:p>
      <w:pPr>
        <w:pStyle w:val="BodyText"/>
        <w:spacing w:before="1"/>
      </w:pPr>
    </w:p>
    <w:p>
      <w:pPr>
        <w:pStyle w:val="BodyText"/>
        <w:spacing w:before="1"/>
        <w:ind w:left="262"/>
      </w:pPr>
      <w:r>
        <w:rPr>
          <w:color w:val="221F1F"/>
        </w:rPr>
        <w:t>SEGUNDO.</w:t>
      </w:r>
      <w:r>
        <w:rPr>
          <w:color w:val="221F1F"/>
          <w:spacing w:val="-8"/>
        </w:rPr>
        <w:t> </w:t>
      </w:r>
      <w:r>
        <w:rPr>
          <w:color w:val="221F1F"/>
        </w:rPr>
        <w:t>Se</w:t>
      </w:r>
      <w:r>
        <w:rPr>
          <w:color w:val="221F1F"/>
          <w:spacing w:val="-7"/>
        </w:rPr>
        <w:t> </w:t>
      </w:r>
      <w:r>
        <w:rPr>
          <w:color w:val="221F1F"/>
        </w:rPr>
        <w:t>derogan</w:t>
      </w:r>
      <w:r>
        <w:rPr>
          <w:color w:val="221F1F"/>
          <w:spacing w:val="-8"/>
        </w:rPr>
        <w:t> </w:t>
      </w:r>
      <w:r>
        <w:rPr>
          <w:color w:val="221F1F"/>
        </w:rPr>
        <w:t>todas</w:t>
      </w:r>
      <w:r>
        <w:rPr>
          <w:color w:val="221F1F"/>
          <w:spacing w:val="-6"/>
        </w:rPr>
        <w:t> </w:t>
      </w:r>
      <w:r>
        <w:rPr>
          <w:color w:val="221F1F"/>
        </w:rPr>
        <w:t>las</w:t>
      </w:r>
      <w:r>
        <w:rPr>
          <w:color w:val="221F1F"/>
          <w:spacing w:val="-5"/>
        </w:rPr>
        <w:t> </w:t>
      </w:r>
      <w:r>
        <w:rPr>
          <w:color w:val="221F1F"/>
        </w:rPr>
        <w:t>disposiciones</w:t>
      </w:r>
      <w:r>
        <w:rPr>
          <w:color w:val="221F1F"/>
          <w:spacing w:val="-6"/>
        </w:rPr>
        <w:t> </w:t>
      </w:r>
      <w:r>
        <w:rPr>
          <w:color w:val="221F1F"/>
        </w:rPr>
        <w:t>que</w:t>
      </w:r>
      <w:r>
        <w:rPr>
          <w:color w:val="221F1F"/>
          <w:spacing w:val="-8"/>
        </w:rPr>
        <w:t> </w:t>
      </w:r>
      <w:r>
        <w:rPr>
          <w:color w:val="221F1F"/>
        </w:rPr>
        <w:t>se</w:t>
      </w:r>
      <w:r>
        <w:rPr>
          <w:color w:val="221F1F"/>
          <w:spacing w:val="-7"/>
        </w:rPr>
        <w:t> </w:t>
      </w:r>
      <w:r>
        <w:rPr>
          <w:color w:val="221F1F"/>
        </w:rPr>
        <w:t>opongan</w:t>
      </w:r>
      <w:r>
        <w:rPr>
          <w:color w:val="221F1F"/>
          <w:spacing w:val="-8"/>
        </w:rPr>
        <w:t> </w:t>
      </w:r>
      <w:r>
        <w:rPr>
          <w:color w:val="221F1F"/>
        </w:rPr>
        <w:t>al</w:t>
      </w:r>
      <w:r>
        <w:rPr>
          <w:color w:val="221F1F"/>
          <w:spacing w:val="-8"/>
        </w:rPr>
        <w:t> </w:t>
      </w:r>
      <w:r>
        <w:rPr>
          <w:color w:val="221F1F"/>
        </w:rPr>
        <w:t>presente</w:t>
      </w:r>
      <w:r>
        <w:rPr>
          <w:color w:val="221F1F"/>
          <w:spacing w:val="-6"/>
        </w:rPr>
        <w:t> </w:t>
      </w:r>
      <w:r>
        <w:rPr>
          <w:color w:val="221F1F"/>
          <w:spacing w:val="-2"/>
        </w:rPr>
        <w:t>Decreto.</w:t>
      </w:r>
    </w:p>
    <w:p>
      <w:pPr>
        <w:pStyle w:val="BodyText"/>
        <w:spacing w:before="228"/>
      </w:pPr>
    </w:p>
    <w:p>
      <w:pPr>
        <w:spacing w:before="0"/>
        <w:ind w:left="3430" w:right="0" w:firstLine="0"/>
        <w:jc w:val="left"/>
        <w:rPr>
          <w:rFonts w:ascii="Arial"/>
          <w:i/>
          <w:sz w:val="20"/>
        </w:rPr>
      </w:pPr>
      <w:r>
        <w:rPr>
          <w:rFonts w:ascii="Arial"/>
          <w:i/>
          <w:sz w:val="20"/>
        </w:rPr>
        <w:t>P.O.</w:t>
      </w:r>
      <w:r>
        <w:rPr>
          <w:rFonts w:ascii="Arial"/>
          <w:i/>
          <w:spacing w:val="-4"/>
          <w:sz w:val="20"/>
        </w:rPr>
        <w:t> </w:t>
      </w:r>
      <w:r>
        <w:rPr>
          <w:rFonts w:ascii="Arial"/>
          <w:i/>
          <w:sz w:val="20"/>
        </w:rPr>
        <w:t>25</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2020</w:t>
      </w:r>
    </w:p>
    <w:p>
      <w:pPr>
        <w:pStyle w:val="BodyText"/>
        <w:spacing w:before="1"/>
        <w:rPr>
          <w:rFonts w:ascii="Arial"/>
          <w:i/>
        </w:rPr>
      </w:pPr>
    </w:p>
    <w:p>
      <w:pPr>
        <w:pStyle w:val="BodyText"/>
        <w:ind w:left="262"/>
      </w:pPr>
      <w:r>
        <w:rPr/>
        <w:t>PRIMERO. Este Decreto iniciará su vigencia a partir de su publicación en el Periódico Oficial del</w:t>
      </w:r>
      <w:r>
        <w:rPr>
          <w:spacing w:val="40"/>
        </w:rPr>
        <w:t> </w:t>
      </w:r>
      <w:r>
        <w:rPr/>
        <w:t>Gobierno del Estado “Plan de San Luis”.</w:t>
      </w:r>
    </w:p>
    <w:p>
      <w:pPr>
        <w:pStyle w:val="BodyText"/>
        <w:spacing w:before="229"/>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3447"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2020</w:t>
      </w:r>
    </w:p>
    <w:p>
      <w:pPr>
        <w:pStyle w:val="BodyText"/>
        <w:rPr>
          <w:rFonts w:ascii="Arial"/>
          <w:i/>
        </w:rPr>
      </w:pPr>
    </w:p>
    <w:p>
      <w:pPr>
        <w:pStyle w:val="BodyText"/>
        <w:spacing w:before="1"/>
        <w:ind w:left="262"/>
      </w:pPr>
      <w:r>
        <w:rPr/>
        <w:t>PRIMERO. Este Decreto iniciará su vigencia a partir de su publicación en el Periódico Oficial del</w:t>
      </w:r>
      <w:r>
        <w:rPr>
          <w:spacing w:val="40"/>
        </w:rPr>
        <w:t> </w:t>
      </w:r>
      <w:r>
        <w:rPr/>
        <w:t>Gobierno del Estado “Plan de San Luis”.</w:t>
      </w:r>
    </w:p>
    <w:p>
      <w:pPr>
        <w:pStyle w:val="BodyText"/>
        <w:spacing w:before="228"/>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3068" w:right="0" w:firstLine="0"/>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4"/>
          <w:sz w:val="20"/>
        </w:rPr>
        <w:t> </w:t>
      </w:r>
      <w:r>
        <w:rPr>
          <w:rFonts w:ascii="Arial"/>
          <w:i/>
          <w:sz w:val="20"/>
        </w:rPr>
        <w:t>DE</w:t>
      </w:r>
      <w:r>
        <w:rPr>
          <w:rFonts w:ascii="Arial"/>
          <w:i/>
          <w:spacing w:val="-6"/>
          <w:sz w:val="20"/>
        </w:rPr>
        <w:t> </w:t>
      </w:r>
      <w:r>
        <w:rPr>
          <w:rFonts w:ascii="Arial"/>
          <w:i/>
          <w:sz w:val="20"/>
        </w:rPr>
        <w:t>2020-</w:t>
      </w:r>
      <w:r>
        <w:rPr>
          <w:rFonts w:ascii="Arial"/>
          <w:i/>
          <w:spacing w:val="-10"/>
          <w:sz w:val="20"/>
        </w:rPr>
        <w:t>I</w:t>
      </w:r>
    </w:p>
    <w:p>
      <w:pPr>
        <w:pStyle w:val="BodyText"/>
        <w:spacing w:before="228"/>
        <w:ind w:left="262" w:right="202"/>
      </w:pPr>
      <w:r>
        <w:rPr>
          <w:color w:val="211F1F"/>
        </w:rPr>
        <w:t>PRIMERO. Este Decreto iniciará su vigencia a partir de su publicación en el Periódico</w:t>
      </w:r>
      <w:r>
        <w:rPr>
          <w:color w:val="211F1F"/>
          <w:spacing w:val="79"/>
        </w:rPr>
        <w:t> </w:t>
      </w:r>
      <w:r>
        <w:rPr>
          <w:color w:val="211F1F"/>
        </w:rPr>
        <w:t>Oficial del Gobierno del Estado “Plan de San Luis”.</w:t>
      </w:r>
    </w:p>
    <w:p>
      <w:pPr>
        <w:pStyle w:val="BodyText"/>
        <w:spacing w:before="1"/>
      </w:pPr>
    </w:p>
    <w:p>
      <w:pPr>
        <w:pStyle w:val="BodyText"/>
        <w:ind w:left="262"/>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pPr>
    </w:p>
    <w:p>
      <w:pPr>
        <w:pStyle w:val="BodyText"/>
      </w:pPr>
    </w:p>
    <w:p>
      <w:pPr>
        <w:spacing w:before="0"/>
        <w:ind w:left="3041" w:right="0" w:firstLine="0"/>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4"/>
          <w:sz w:val="20"/>
        </w:rPr>
        <w:t> </w:t>
      </w:r>
      <w:r>
        <w:rPr>
          <w:rFonts w:ascii="Arial"/>
          <w:i/>
          <w:sz w:val="20"/>
        </w:rPr>
        <w:t>DE</w:t>
      </w:r>
      <w:r>
        <w:rPr>
          <w:rFonts w:ascii="Arial"/>
          <w:i/>
          <w:spacing w:val="-6"/>
          <w:sz w:val="20"/>
        </w:rPr>
        <w:t> </w:t>
      </w:r>
      <w:r>
        <w:rPr>
          <w:rFonts w:ascii="Arial"/>
          <w:i/>
          <w:sz w:val="20"/>
        </w:rPr>
        <w:t>2020-</w:t>
      </w:r>
      <w:r>
        <w:rPr>
          <w:rFonts w:ascii="Arial"/>
          <w:i/>
          <w:spacing w:val="-5"/>
          <w:sz w:val="20"/>
        </w:rPr>
        <w:t>II</w:t>
      </w:r>
    </w:p>
    <w:p>
      <w:pPr>
        <w:pStyle w:val="BodyText"/>
        <w:rPr>
          <w:rFonts w:ascii="Arial"/>
          <w:i/>
        </w:rPr>
      </w:pPr>
    </w:p>
    <w:p>
      <w:pPr>
        <w:pStyle w:val="BodyText"/>
        <w:spacing w:before="1"/>
        <w:ind w:left="262" w:right="282"/>
      </w:pPr>
      <w:r>
        <w:rPr>
          <w:color w:val="211F1F"/>
        </w:rPr>
        <w:t>PRIMERO.</w:t>
      </w:r>
      <w:r>
        <w:rPr>
          <w:color w:val="211F1F"/>
          <w:spacing w:val="-1"/>
        </w:rPr>
        <w:t> </w:t>
      </w:r>
      <w:r>
        <w:rPr>
          <w:color w:val="211F1F"/>
        </w:rPr>
        <w:t>Este</w:t>
      </w:r>
      <w:r>
        <w:rPr>
          <w:color w:val="211F1F"/>
          <w:spacing w:val="-5"/>
        </w:rPr>
        <w:t> </w:t>
      </w:r>
      <w:r>
        <w:rPr>
          <w:color w:val="211F1F"/>
        </w:rPr>
        <w:t>Decreto</w:t>
      </w:r>
      <w:r>
        <w:rPr>
          <w:color w:val="211F1F"/>
          <w:spacing w:val="-5"/>
        </w:rPr>
        <w:t> </w:t>
      </w:r>
      <w:r>
        <w:rPr>
          <w:color w:val="211F1F"/>
        </w:rPr>
        <w:t>entrará</w:t>
      </w:r>
      <w:r>
        <w:rPr>
          <w:color w:val="211F1F"/>
          <w:spacing w:val="-4"/>
        </w:rPr>
        <w:t> </w:t>
      </w:r>
      <w:r>
        <w:rPr>
          <w:color w:val="211F1F"/>
        </w:rPr>
        <w:t>en</w:t>
      </w:r>
      <w:r>
        <w:rPr>
          <w:color w:val="211F1F"/>
          <w:spacing w:val="-4"/>
        </w:rPr>
        <w:t> </w:t>
      </w:r>
      <w:r>
        <w:rPr>
          <w:color w:val="211F1F"/>
        </w:rPr>
        <w:t>vigor</w:t>
      </w:r>
      <w:r>
        <w:rPr>
          <w:color w:val="211F1F"/>
          <w:spacing w:val="-4"/>
        </w:rPr>
        <w:t> </w:t>
      </w:r>
      <w:r>
        <w:rPr>
          <w:color w:val="211F1F"/>
        </w:rPr>
        <w:t>al</w:t>
      </w:r>
      <w:r>
        <w:rPr>
          <w:color w:val="211F1F"/>
          <w:spacing w:val="-3"/>
        </w:rPr>
        <w:t> </w:t>
      </w:r>
      <w:r>
        <w:rPr>
          <w:color w:val="211F1F"/>
        </w:rPr>
        <w:t>día</w:t>
      </w:r>
      <w:r>
        <w:rPr>
          <w:color w:val="211F1F"/>
          <w:spacing w:val="-2"/>
        </w:rPr>
        <w:t> </w:t>
      </w:r>
      <w:r>
        <w:rPr>
          <w:color w:val="211F1F"/>
        </w:rPr>
        <w:t>siguiente</w:t>
      </w:r>
      <w:r>
        <w:rPr>
          <w:color w:val="211F1F"/>
          <w:spacing w:val="-5"/>
        </w:rPr>
        <w:t> </w:t>
      </w:r>
      <w:r>
        <w:rPr>
          <w:color w:val="211F1F"/>
        </w:rPr>
        <w:t>de</w:t>
      </w:r>
      <w:r>
        <w:rPr>
          <w:color w:val="211F1F"/>
          <w:spacing w:val="-4"/>
        </w:rPr>
        <w:t> </w:t>
      </w:r>
      <w:r>
        <w:rPr>
          <w:color w:val="211F1F"/>
        </w:rPr>
        <w:t>su</w:t>
      </w:r>
      <w:r>
        <w:rPr>
          <w:color w:val="211F1F"/>
          <w:spacing w:val="-4"/>
        </w:rPr>
        <w:t> </w:t>
      </w:r>
      <w:r>
        <w:rPr>
          <w:color w:val="211F1F"/>
        </w:rPr>
        <w:t>publicación</w:t>
      </w:r>
      <w:r>
        <w:rPr>
          <w:color w:val="211F1F"/>
          <w:spacing w:val="-3"/>
        </w:rPr>
        <w:t> </w:t>
      </w:r>
      <w:r>
        <w:rPr>
          <w:color w:val="211F1F"/>
        </w:rPr>
        <w:t>en</w:t>
      </w:r>
      <w:r>
        <w:rPr>
          <w:color w:val="211F1F"/>
          <w:spacing w:val="-5"/>
        </w:rPr>
        <w:t> </w:t>
      </w:r>
      <w:r>
        <w:rPr>
          <w:color w:val="211F1F"/>
        </w:rPr>
        <w:t>el</w:t>
      </w:r>
      <w:r>
        <w:rPr>
          <w:color w:val="211F1F"/>
          <w:spacing w:val="-3"/>
        </w:rPr>
        <w:t> </w:t>
      </w:r>
      <w:r>
        <w:rPr>
          <w:color w:val="211F1F"/>
        </w:rPr>
        <w:t>Periódico</w:t>
      </w:r>
      <w:r>
        <w:rPr>
          <w:color w:val="211F1F"/>
          <w:spacing w:val="-2"/>
        </w:rPr>
        <w:t> </w:t>
      </w:r>
      <w:r>
        <w:rPr>
          <w:color w:val="211F1F"/>
        </w:rPr>
        <w:t>Oficial del Gobierno del Estado “Plan de San Luis”.</w:t>
      </w:r>
    </w:p>
    <w:p>
      <w:pPr>
        <w:pStyle w:val="BodyText"/>
        <w:spacing w:before="229"/>
        <w:ind w:left="262"/>
      </w:pPr>
      <w:r>
        <w:rPr>
          <w:color w:val="211F1F"/>
        </w:rPr>
        <w:t>SEGUNDO.</w:t>
      </w:r>
      <w:r>
        <w:rPr>
          <w:color w:val="211F1F"/>
          <w:spacing w:val="-7"/>
        </w:rPr>
        <w:t> </w:t>
      </w:r>
      <w:r>
        <w:rPr>
          <w:color w:val="211F1F"/>
        </w:rPr>
        <w:t>Se</w:t>
      </w:r>
      <w:r>
        <w:rPr>
          <w:color w:val="211F1F"/>
          <w:spacing w:val="-7"/>
        </w:rPr>
        <w:t> </w:t>
      </w:r>
      <w:r>
        <w:rPr>
          <w:color w:val="211F1F"/>
        </w:rPr>
        <w:t>derogan</w:t>
      </w:r>
      <w:r>
        <w:rPr>
          <w:color w:val="211F1F"/>
          <w:spacing w:val="-7"/>
        </w:rPr>
        <w:t> </w:t>
      </w:r>
      <w:r>
        <w:rPr>
          <w:color w:val="211F1F"/>
        </w:rPr>
        <w:t>las</w:t>
      </w:r>
      <w:r>
        <w:rPr>
          <w:color w:val="211F1F"/>
          <w:spacing w:val="-8"/>
        </w:rPr>
        <w:t> </w:t>
      </w:r>
      <w:r>
        <w:rPr>
          <w:color w:val="211F1F"/>
        </w:rPr>
        <w:t>disposiciones</w:t>
      </w:r>
      <w:r>
        <w:rPr>
          <w:color w:val="211F1F"/>
          <w:spacing w:val="-8"/>
        </w:rPr>
        <w:t> </w:t>
      </w:r>
      <w:r>
        <w:rPr>
          <w:color w:val="211F1F"/>
        </w:rPr>
        <w:t>que</w:t>
      </w:r>
      <w:r>
        <w:rPr>
          <w:color w:val="211F1F"/>
          <w:spacing w:val="-9"/>
        </w:rPr>
        <w:t> </w:t>
      </w:r>
      <w:r>
        <w:rPr>
          <w:color w:val="211F1F"/>
        </w:rPr>
        <w:t>se</w:t>
      </w:r>
      <w:r>
        <w:rPr>
          <w:color w:val="211F1F"/>
          <w:spacing w:val="-8"/>
        </w:rPr>
        <w:t> </w:t>
      </w:r>
      <w:r>
        <w:rPr>
          <w:color w:val="211F1F"/>
        </w:rPr>
        <w:t>opongan</w:t>
      </w:r>
      <w:r>
        <w:rPr>
          <w:color w:val="211F1F"/>
          <w:spacing w:val="-7"/>
        </w:rPr>
        <w:t> </w:t>
      </w:r>
      <w:r>
        <w:rPr>
          <w:color w:val="211F1F"/>
        </w:rPr>
        <w:t>a</w:t>
      </w:r>
      <w:r>
        <w:rPr>
          <w:color w:val="211F1F"/>
          <w:spacing w:val="-8"/>
        </w:rPr>
        <w:t> </w:t>
      </w:r>
      <w:r>
        <w:rPr>
          <w:color w:val="211F1F"/>
        </w:rPr>
        <w:t>lo</w:t>
      </w:r>
      <w:r>
        <w:rPr>
          <w:color w:val="211F1F"/>
          <w:spacing w:val="-9"/>
        </w:rPr>
        <w:t> </w:t>
      </w:r>
      <w:r>
        <w:rPr>
          <w:color w:val="211F1F"/>
        </w:rPr>
        <w:t>establecido</w:t>
      </w:r>
      <w:r>
        <w:rPr>
          <w:color w:val="211F1F"/>
          <w:spacing w:val="-10"/>
        </w:rPr>
        <w:t> </w:t>
      </w:r>
      <w:r>
        <w:rPr>
          <w:color w:val="211F1F"/>
        </w:rPr>
        <w:t>por</w:t>
      </w:r>
      <w:r>
        <w:rPr>
          <w:color w:val="211F1F"/>
          <w:spacing w:val="-8"/>
        </w:rPr>
        <w:t> </w:t>
      </w:r>
      <w:r>
        <w:rPr>
          <w:color w:val="211F1F"/>
        </w:rPr>
        <w:t>el</w:t>
      </w:r>
      <w:r>
        <w:rPr>
          <w:color w:val="211F1F"/>
          <w:spacing w:val="-7"/>
        </w:rPr>
        <w:t> </w:t>
      </w:r>
      <w:r>
        <w:rPr>
          <w:color w:val="211F1F"/>
        </w:rPr>
        <w:t>presente</w:t>
      </w:r>
      <w:r>
        <w:rPr>
          <w:color w:val="211F1F"/>
          <w:spacing w:val="-10"/>
        </w:rPr>
        <w:t> </w:t>
      </w:r>
      <w:r>
        <w:rPr>
          <w:color w:val="211F1F"/>
          <w:spacing w:val="-2"/>
        </w:rPr>
        <w:t>Decreto.</w:t>
      </w:r>
    </w:p>
    <w:p>
      <w:pPr>
        <w:pStyle w:val="BodyText"/>
        <w:spacing w:after="0"/>
        <w:sectPr>
          <w:pgSz w:w="12240" w:h="15840"/>
          <w:pgMar w:header="720" w:footer="697" w:top="2100" w:bottom="880" w:left="1440" w:right="1440"/>
        </w:sectPr>
      </w:pPr>
    </w:p>
    <w:p>
      <w:pPr>
        <w:pStyle w:val="BodyText"/>
      </w:pPr>
    </w:p>
    <w:p>
      <w:pPr>
        <w:pStyle w:val="BodyText"/>
        <w:spacing w:before="71"/>
      </w:pPr>
    </w:p>
    <w:p>
      <w:pPr>
        <w:spacing w:before="0"/>
        <w:ind w:left="3440" w:right="0" w:firstLine="0"/>
        <w:jc w:val="left"/>
        <w:rPr>
          <w:rFonts w:ascii="Arial"/>
          <w:i/>
          <w:sz w:val="20"/>
        </w:rPr>
      </w:pPr>
      <w:r>
        <w:rPr>
          <w:rFonts w:ascii="Arial"/>
          <w:i/>
          <w:sz w:val="20"/>
        </w:rPr>
        <w:t>P.O.</w:t>
      </w:r>
      <w:r>
        <w:rPr>
          <w:rFonts w:ascii="Arial"/>
          <w:i/>
          <w:spacing w:val="-4"/>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2022</w:t>
      </w:r>
    </w:p>
    <w:p>
      <w:pPr>
        <w:pStyle w:val="BodyText"/>
        <w:spacing w:before="1"/>
        <w:rPr>
          <w:rFonts w:ascii="Arial"/>
          <w:i/>
        </w:rPr>
      </w:pPr>
    </w:p>
    <w:p>
      <w:pPr>
        <w:pStyle w:val="BodyText"/>
        <w:ind w:left="262" w:right="202"/>
      </w:pPr>
      <w:r>
        <w:rPr/>
        <w:t>PRIMERO. Este Decreto entrará en vigor al día siguiente de su publicación en el Periódico Oficial del Estado “Plan de San Luis”.</w:t>
      </w:r>
    </w:p>
    <w:p>
      <w:pPr>
        <w:pStyle w:val="BodyText"/>
        <w:spacing w:before="229"/>
        <w:ind w:left="262"/>
      </w:pPr>
      <w:r>
        <w:rPr/>
        <w:t>SEGUNDO.</w:t>
      </w:r>
      <w:r>
        <w:rPr>
          <w:spacing w:val="-13"/>
        </w:rPr>
        <w:t> </w:t>
      </w:r>
      <w:r>
        <w:rPr/>
        <w:t>Se</w:t>
      </w:r>
      <w:r>
        <w:rPr>
          <w:spacing w:val="-14"/>
        </w:rPr>
        <w:t> </w:t>
      </w:r>
      <w:r>
        <w:rPr/>
        <w:t>derogan</w:t>
      </w:r>
      <w:r>
        <w:rPr>
          <w:spacing w:val="-14"/>
        </w:rPr>
        <w:t> </w:t>
      </w:r>
      <w:r>
        <w:rPr/>
        <w:t>todas</w:t>
      </w:r>
      <w:r>
        <w:rPr>
          <w:spacing w:val="-12"/>
        </w:rPr>
        <w:t> </w:t>
      </w:r>
      <w:r>
        <w:rPr/>
        <w:t>las</w:t>
      </w:r>
      <w:r>
        <w:rPr>
          <w:spacing w:val="-13"/>
        </w:rPr>
        <w:t> </w:t>
      </w:r>
      <w:r>
        <w:rPr/>
        <w:t>disposiciones</w:t>
      </w:r>
      <w:r>
        <w:rPr>
          <w:spacing w:val="-13"/>
        </w:rPr>
        <w:t> </w:t>
      </w:r>
      <w:r>
        <w:rPr/>
        <w:t>que</w:t>
      </w:r>
      <w:r>
        <w:rPr>
          <w:spacing w:val="-14"/>
        </w:rPr>
        <w:t> </w:t>
      </w:r>
      <w:r>
        <w:rPr/>
        <w:t>contravengan</w:t>
      </w:r>
      <w:r>
        <w:rPr>
          <w:spacing w:val="-12"/>
        </w:rPr>
        <w:t> </w:t>
      </w:r>
      <w:r>
        <w:rPr/>
        <w:t>lo</w:t>
      </w:r>
      <w:r>
        <w:rPr>
          <w:spacing w:val="-13"/>
        </w:rPr>
        <w:t> </w:t>
      </w:r>
      <w:r>
        <w:rPr/>
        <w:t>dispuesto</w:t>
      </w:r>
      <w:r>
        <w:rPr>
          <w:spacing w:val="-14"/>
        </w:rPr>
        <w:t> </w:t>
      </w:r>
      <w:r>
        <w:rPr/>
        <w:t>al</w:t>
      </w:r>
      <w:r>
        <w:rPr>
          <w:spacing w:val="-13"/>
        </w:rPr>
        <w:t> </w:t>
      </w:r>
      <w:r>
        <w:rPr/>
        <w:t>presente</w:t>
      </w:r>
      <w:r>
        <w:rPr>
          <w:spacing w:val="-13"/>
        </w:rPr>
        <w:t> </w:t>
      </w:r>
      <w:r>
        <w:rPr>
          <w:spacing w:val="-2"/>
        </w:rPr>
        <w:t>Decreto.</w:t>
      </w:r>
    </w:p>
    <w:p>
      <w:pPr>
        <w:pStyle w:val="BodyText"/>
      </w:pPr>
    </w:p>
    <w:p>
      <w:pPr>
        <w:pStyle w:val="BodyText"/>
        <w:spacing w:before="1"/>
      </w:pPr>
    </w:p>
    <w:p>
      <w:pPr>
        <w:spacing w:before="0"/>
        <w:ind w:left="3430"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2022</w:t>
      </w:r>
    </w:p>
    <w:p>
      <w:pPr>
        <w:pStyle w:val="BodyText"/>
        <w:spacing w:before="1"/>
        <w:rPr>
          <w:rFonts w:ascii="Arial"/>
          <w:i/>
        </w:rPr>
      </w:pPr>
    </w:p>
    <w:p>
      <w:pPr>
        <w:pStyle w:val="BodyText"/>
        <w:ind w:left="262" w:right="202"/>
      </w:pPr>
      <w:r>
        <w:rPr/>
        <w:t>PRIMERO. Este Decreto entrará en vigor al día siguiente de su publicación en el Periódico Oficial del Estado “Plan de San Luis”.</w:t>
      </w:r>
    </w:p>
    <w:p>
      <w:pPr>
        <w:pStyle w:val="BodyText"/>
        <w:spacing w:before="229"/>
        <w:ind w:left="262"/>
      </w:pPr>
      <w:r>
        <w:rPr/>
        <w:t>SEGUNDO.</w:t>
      </w:r>
      <w:r>
        <w:rPr>
          <w:spacing w:val="29"/>
        </w:rPr>
        <w:t> </w:t>
      </w:r>
      <w:r>
        <w:rPr/>
        <w:t>Se</w:t>
      </w:r>
      <w:r>
        <w:rPr>
          <w:spacing w:val="31"/>
        </w:rPr>
        <w:t> </w:t>
      </w:r>
      <w:r>
        <w:rPr/>
        <w:t>derogan</w:t>
      </w:r>
      <w:r>
        <w:rPr>
          <w:spacing w:val="31"/>
        </w:rPr>
        <w:t> </w:t>
      </w:r>
      <w:r>
        <w:rPr/>
        <w:t>todas</w:t>
      </w:r>
      <w:r>
        <w:rPr>
          <w:spacing w:val="30"/>
        </w:rPr>
        <w:t> </w:t>
      </w:r>
      <w:r>
        <w:rPr/>
        <w:t>las</w:t>
      </w:r>
      <w:r>
        <w:rPr>
          <w:spacing w:val="30"/>
        </w:rPr>
        <w:t> </w:t>
      </w:r>
      <w:r>
        <w:rPr/>
        <w:t>disposiciones</w:t>
      </w:r>
      <w:r>
        <w:rPr>
          <w:spacing w:val="30"/>
        </w:rPr>
        <w:t> </w:t>
      </w:r>
      <w:r>
        <w:rPr/>
        <w:t>que</w:t>
      </w:r>
      <w:r>
        <w:rPr>
          <w:spacing w:val="29"/>
        </w:rPr>
        <w:t> </w:t>
      </w:r>
      <w:r>
        <w:rPr/>
        <w:t>se</w:t>
      </w:r>
      <w:r>
        <w:rPr>
          <w:spacing w:val="29"/>
        </w:rPr>
        <w:t> </w:t>
      </w:r>
      <w:r>
        <w:rPr/>
        <w:t>opongan</w:t>
      </w:r>
      <w:r>
        <w:rPr>
          <w:spacing w:val="28"/>
        </w:rPr>
        <w:t> </w:t>
      </w:r>
      <w:r>
        <w:rPr/>
        <w:t>a</w:t>
      </w:r>
      <w:r>
        <w:rPr>
          <w:spacing w:val="31"/>
        </w:rPr>
        <w:t> </w:t>
      </w:r>
      <w:r>
        <w:rPr/>
        <w:t>lo</w:t>
      </w:r>
      <w:r>
        <w:rPr>
          <w:spacing w:val="31"/>
        </w:rPr>
        <w:t> </w:t>
      </w:r>
      <w:r>
        <w:rPr/>
        <w:t>dispuesto</w:t>
      </w:r>
      <w:r>
        <w:rPr>
          <w:spacing w:val="28"/>
        </w:rPr>
        <w:t> </w:t>
      </w:r>
      <w:r>
        <w:rPr/>
        <w:t>en</w:t>
      </w:r>
      <w:r>
        <w:rPr>
          <w:spacing w:val="28"/>
        </w:rPr>
        <w:t> </w:t>
      </w:r>
      <w:r>
        <w:rPr/>
        <w:t>el</w:t>
      </w:r>
      <w:r>
        <w:rPr>
          <w:spacing w:val="28"/>
        </w:rPr>
        <w:t> </w:t>
      </w:r>
      <w:r>
        <w:rPr/>
        <w:t>presente </w:t>
      </w:r>
      <w:r>
        <w:rPr>
          <w:spacing w:val="-2"/>
        </w:rPr>
        <w:t>Decreto.</w:t>
      </w:r>
    </w:p>
    <w:p>
      <w:pPr>
        <w:pStyle w:val="BodyText"/>
        <w:spacing w:before="229"/>
      </w:pPr>
    </w:p>
    <w:p>
      <w:pPr>
        <w:spacing w:before="0"/>
        <w:ind w:left="3181"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z w:val="20"/>
        </w:rPr>
        <w:t>DE</w:t>
      </w:r>
      <w:r>
        <w:rPr>
          <w:rFonts w:ascii="Arial"/>
          <w:i/>
          <w:spacing w:val="-4"/>
          <w:sz w:val="20"/>
        </w:rPr>
        <w:t> </w:t>
      </w:r>
      <w:r>
        <w:rPr>
          <w:rFonts w:ascii="Arial"/>
          <w:i/>
          <w:sz w:val="20"/>
        </w:rPr>
        <w:t>2022-</w:t>
      </w:r>
      <w:r>
        <w:rPr>
          <w:rFonts w:ascii="Arial"/>
          <w:i/>
          <w:spacing w:val="-10"/>
          <w:sz w:val="20"/>
        </w:rPr>
        <w:t>I</w:t>
      </w:r>
    </w:p>
    <w:p>
      <w:pPr>
        <w:pStyle w:val="BodyText"/>
        <w:spacing w:before="1"/>
        <w:rPr>
          <w:rFonts w:ascii="Arial"/>
          <w:i/>
        </w:rPr>
      </w:pPr>
    </w:p>
    <w:p>
      <w:pPr>
        <w:pStyle w:val="BodyText"/>
        <w:ind w:left="262"/>
      </w:pPr>
      <w:r>
        <w:rPr/>
        <w:t>PRIMERO.</w:t>
      </w:r>
      <w:r>
        <w:rPr>
          <w:spacing w:val="-1"/>
        </w:rPr>
        <w:t> </w:t>
      </w:r>
      <w:r>
        <w:rPr/>
        <w:t>Este</w:t>
      </w:r>
      <w:r>
        <w:rPr>
          <w:spacing w:val="-5"/>
        </w:rPr>
        <w:t> </w:t>
      </w:r>
      <w:r>
        <w:rPr/>
        <w:t>Decreto</w:t>
      </w:r>
      <w:r>
        <w:rPr>
          <w:spacing w:val="-5"/>
        </w:rPr>
        <w:t> </w:t>
      </w:r>
      <w:r>
        <w:rPr/>
        <w:t>entra</w:t>
      </w:r>
      <w:r>
        <w:rPr>
          <w:spacing w:val="-4"/>
        </w:rPr>
        <w:t> </w:t>
      </w:r>
      <w:r>
        <w:rPr/>
        <w:t>en</w:t>
      </w:r>
      <w:r>
        <w:rPr>
          <w:spacing w:val="-3"/>
        </w:rPr>
        <w:t> </w:t>
      </w:r>
      <w:r>
        <w:rPr/>
        <w:t>vigor</w:t>
      </w:r>
      <w:r>
        <w:rPr>
          <w:spacing w:val="-1"/>
        </w:rPr>
        <w:t> </w:t>
      </w:r>
      <w:r>
        <w:rPr/>
        <w:t>al</w:t>
      </w:r>
      <w:r>
        <w:rPr>
          <w:spacing w:val="-3"/>
        </w:rPr>
        <w:t> </w:t>
      </w:r>
      <w:r>
        <w:rPr/>
        <w:t>día</w:t>
      </w:r>
      <w:r>
        <w:rPr>
          <w:spacing w:val="-5"/>
        </w:rPr>
        <w:t> </w:t>
      </w:r>
      <w:r>
        <w:rPr/>
        <w:t>siguiente</w:t>
      </w:r>
      <w:r>
        <w:rPr>
          <w:spacing w:val="-4"/>
        </w:rPr>
        <w:t> </w:t>
      </w:r>
      <w:r>
        <w:rPr/>
        <w:t>de</w:t>
      </w:r>
      <w:r>
        <w:rPr>
          <w:spacing w:val="-4"/>
        </w:rPr>
        <w:t> </w:t>
      </w:r>
      <w:r>
        <w:rPr/>
        <w:t>su</w:t>
      </w:r>
      <w:r>
        <w:rPr>
          <w:spacing w:val="-2"/>
        </w:rPr>
        <w:t> </w:t>
      </w:r>
      <w:r>
        <w:rPr/>
        <w:t>publicación</w:t>
      </w:r>
      <w:r>
        <w:rPr>
          <w:spacing w:val="-4"/>
        </w:rPr>
        <w:t> </w:t>
      </w:r>
      <w:r>
        <w:rPr/>
        <w:t>en</w:t>
      </w:r>
      <w:r>
        <w:rPr>
          <w:spacing w:val="-2"/>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29"/>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3152"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z w:val="20"/>
        </w:rPr>
        <w:t>DE</w:t>
      </w:r>
      <w:r>
        <w:rPr>
          <w:rFonts w:ascii="Arial"/>
          <w:i/>
          <w:spacing w:val="-4"/>
          <w:sz w:val="20"/>
        </w:rPr>
        <w:t> </w:t>
      </w:r>
      <w:r>
        <w:rPr>
          <w:rFonts w:ascii="Arial"/>
          <w:i/>
          <w:sz w:val="20"/>
        </w:rPr>
        <w:t>2022-</w:t>
      </w:r>
      <w:r>
        <w:rPr>
          <w:rFonts w:ascii="Arial"/>
          <w:i/>
          <w:spacing w:val="-5"/>
          <w:sz w:val="20"/>
        </w:rPr>
        <w:t>II</w:t>
      </w:r>
    </w:p>
    <w:p>
      <w:pPr>
        <w:pStyle w:val="BodyText"/>
        <w:rPr>
          <w:rFonts w:ascii="Arial"/>
          <w:i/>
        </w:rPr>
      </w:pPr>
    </w:p>
    <w:p>
      <w:pPr>
        <w:pStyle w:val="BodyText"/>
        <w:spacing w:before="1"/>
        <w:ind w:left="262"/>
      </w:pPr>
      <w:r>
        <w:rPr/>
        <w:t>PRIMERO. Este Decreto entra</w:t>
      </w:r>
      <w:r>
        <w:rPr>
          <w:spacing w:val="-2"/>
        </w:rPr>
        <w:t> </w:t>
      </w:r>
      <w:r>
        <w:rPr/>
        <w:t>en</w:t>
      </w:r>
      <w:r>
        <w:rPr>
          <w:spacing w:val="-2"/>
        </w:rPr>
        <w:t> </w:t>
      </w:r>
      <w:r>
        <w:rPr/>
        <w:t>vigor</w:t>
      </w:r>
      <w:r>
        <w:rPr>
          <w:spacing w:val="-1"/>
        </w:rPr>
        <w:t> </w:t>
      </w:r>
      <w:r>
        <w:rPr/>
        <w:t>al</w:t>
      </w:r>
      <w:r>
        <w:rPr>
          <w:spacing w:val="-3"/>
        </w:rPr>
        <w:t> </w:t>
      </w:r>
      <w:r>
        <w:rPr/>
        <w:t>día</w:t>
      </w:r>
      <w:r>
        <w:rPr>
          <w:spacing w:val="-2"/>
        </w:rPr>
        <w:t> </w:t>
      </w:r>
      <w:r>
        <w:rPr/>
        <w:t>siguiente</w:t>
      </w:r>
      <w:r>
        <w:rPr>
          <w:spacing w:val="-2"/>
        </w:rPr>
        <w:t> </w:t>
      </w:r>
      <w:r>
        <w:rPr/>
        <w:t>de su</w:t>
      </w:r>
      <w:r>
        <w:rPr>
          <w:spacing w:val="-2"/>
        </w:rPr>
        <w:t> </w:t>
      </w:r>
      <w:r>
        <w:rPr/>
        <w:t>publicación en el</w:t>
      </w:r>
      <w:r>
        <w:rPr>
          <w:spacing w:val="-1"/>
        </w:rPr>
        <w:t> </w:t>
      </w:r>
      <w:r>
        <w:rPr/>
        <w:t>Periódico</w:t>
      </w:r>
      <w:r>
        <w:rPr>
          <w:spacing w:val="-2"/>
        </w:rPr>
        <w:t> </w:t>
      </w:r>
      <w:r>
        <w:rPr/>
        <w:t>Oficial</w:t>
      </w:r>
      <w:r>
        <w:rPr>
          <w:spacing w:val="-3"/>
        </w:rPr>
        <w:t> </w:t>
      </w:r>
      <w:r>
        <w:rPr/>
        <w:t>del Estado “Plan de San Luis”.</w:t>
      </w:r>
    </w:p>
    <w:p>
      <w:pPr>
        <w:pStyle w:val="BodyText"/>
        <w:spacing w:before="228"/>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3123"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z w:val="20"/>
        </w:rPr>
        <w:t>DE</w:t>
      </w:r>
      <w:r>
        <w:rPr>
          <w:rFonts w:ascii="Arial"/>
          <w:i/>
          <w:spacing w:val="-4"/>
          <w:sz w:val="20"/>
        </w:rPr>
        <w:t> </w:t>
      </w:r>
      <w:r>
        <w:rPr>
          <w:rFonts w:ascii="Arial"/>
          <w:i/>
          <w:sz w:val="20"/>
        </w:rPr>
        <w:t>2022-</w:t>
      </w:r>
      <w:r>
        <w:rPr>
          <w:rFonts w:ascii="Arial"/>
          <w:i/>
          <w:spacing w:val="-5"/>
          <w:sz w:val="20"/>
        </w:rPr>
        <w:t>III</w:t>
      </w:r>
    </w:p>
    <w:p>
      <w:pPr>
        <w:pStyle w:val="BodyText"/>
        <w:spacing w:before="228"/>
        <w:ind w:left="262" w:right="202"/>
      </w:pPr>
      <w:r>
        <w:rPr/>
        <w:t>PRIMERO. Este Decreto entrará en vigor al día siguiente de su publicación en el Periódico Oficial del Estado “Plan de San Luis”.</w:t>
      </w:r>
    </w:p>
    <w:p>
      <w:pPr>
        <w:pStyle w:val="BodyText"/>
        <w:spacing w:before="1"/>
      </w:pPr>
    </w:p>
    <w:p>
      <w:pPr>
        <w:pStyle w:val="BodyText"/>
        <w:ind w:left="262"/>
      </w:pPr>
      <w:r>
        <w:rPr/>
        <w:t>SEGUNDO.</w:t>
      </w:r>
      <w:r>
        <w:rPr>
          <w:spacing w:val="34"/>
        </w:rPr>
        <w:t> </w:t>
      </w:r>
      <w:r>
        <w:rPr/>
        <w:t>Se</w:t>
      </w:r>
      <w:r>
        <w:rPr>
          <w:spacing w:val="36"/>
        </w:rPr>
        <w:t> </w:t>
      </w:r>
      <w:r>
        <w:rPr/>
        <w:t>derogan</w:t>
      </w:r>
      <w:r>
        <w:rPr>
          <w:spacing w:val="35"/>
        </w:rPr>
        <w:t> </w:t>
      </w:r>
      <w:r>
        <w:rPr/>
        <w:t>todas</w:t>
      </w:r>
      <w:r>
        <w:rPr>
          <w:spacing w:val="37"/>
        </w:rPr>
        <w:t> </w:t>
      </w:r>
      <w:r>
        <w:rPr/>
        <w:t>las</w:t>
      </w:r>
      <w:r>
        <w:rPr>
          <w:spacing w:val="34"/>
        </w:rPr>
        <w:t> </w:t>
      </w:r>
      <w:r>
        <w:rPr/>
        <w:t>disposiciones</w:t>
      </w:r>
      <w:r>
        <w:rPr>
          <w:spacing w:val="34"/>
        </w:rPr>
        <w:t> </w:t>
      </w:r>
      <w:r>
        <w:rPr/>
        <w:t>que</w:t>
      </w:r>
      <w:r>
        <w:rPr>
          <w:spacing w:val="33"/>
        </w:rPr>
        <w:t> </w:t>
      </w:r>
      <w:r>
        <w:rPr/>
        <w:t>contravengan</w:t>
      </w:r>
      <w:r>
        <w:rPr>
          <w:spacing w:val="36"/>
        </w:rPr>
        <w:t> </w:t>
      </w:r>
      <w:r>
        <w:rPr/>
        <w:t>lo</w:t>
      </w:r>
      <w:r>
        <w:rPr>
          <w:spacing w:val="36"/>
        </w:rPr>
        <w:t> </w:t>
      </w:r>
      <w:r>
        <w:rPr/>
        <w:t>dispuesto</w:t>
      </w:r>
      <w:r>
        <w:rPr>
          <w:spacing w:val="33"/>
        </w:rPr>
        <w:t> </w:t>
      </w:r>
      <w:r>
        <w:rPr/>
        <w:t>en</w:t>
      </w:r>
      <w:r>
        <w:rPr>
          <w:spacing w:val="33"/>
        </w:rPr>
        <w:t> </w:t>
      </w:r>
      <w:r>
        <w:rPr/>
        <w:t>el</w:t>
      </w:r>
      <w:r>
        <w:rPr>
          <w:spacing w:val="33"/>
        </w:rPr>
        <w:t> </w:t>
      </w:r>
      <w:r>
        <w:rPr/>
        <w:t>presente </w:t>
      </w:r>
      <w:r>
        <w:rPr>
          <w:spacing w:val="-2"/>
        </w:rPr>
        <w:t>Decreto.</w:t>
      </w:r>
    </w:p>
    <w:p>
      <w:pPr>
        <w:pStyle w:val="BodyText"/>
      </w:pPr>
    </w:p>
    <w:p>
      <w:pPr>
        <w:pStyle w:val="BodyText"/>
      </w:pPr>
    </w:p>
    <w:p>
      <w:pPr>
        <w:spacing w:before="0"/>
        <w:ind w:left="3113"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z w:val="20"/>
        </w:rPr>
        <w:t>DE</w:t>
      </w:r>
      <w:r>
        <w:rPr>
          <w:rFonts w:ascii="Arial"/>
          <w:i/>
          <w:spacing w:val="-4"/>
          <w:sz w:val="20"/>
        </w:rPr>
        <w:t> </w:t>
      </w:r>
      <w:r>
        <w:rPr>
          <w:rFonts w:ascii="Arial"/>
          <w:i/>
          <w:sz w:val="20"/>
        </w:rPr>
        <w:t>2022-</w:t>
      </w:r>
      <w:r>
        <w:rPr>
          <w:rFonts w:ascii="Arial"/>
          <w:i/>
          <w:spacing w:val="-5"/>
          <w:sz w:val="20"/>
        </w:rPr>
        <w:t>IV</w:t>
      </w:r>
    </w:p>
    <w:p>
      <w:pPr>
        <w:pStyle w:val="BodyText"/>
        <w:spacing w:before="1"/>
        <w:rPr>
          <w:rFonts w:ascii="Arial"/>
          <w:i/>
        </w:rPr>
      </w:pPr>
    </w:p>
    <w:p>
      <w:pPr>
        <w:pStyle w:val="BodyText"/>
        <w:ind w:left="262" w:right="202"/>
      </w:pPr>
      <w:r>
        <w:rPr/>
        <w:t>PRIMERO.</w:t>
      </w:r>
      <w:r>
        <w:rPr>
          <w:spacing w:val="-1"/>
        </w:rPr>
        <w:t> </w:t>
      </w:r>
      <w:r>
        <w:rPr/>
        <w:t>Este</w:t>
      </w:r>
      <w:r>
        <w:rPr>
          <w:spacing w:val="-2"/>
        </w:rPr>
        <w:t> </w:t>
      </w:r>
      <w:r>
        <w:rPr/>
        <w:t>Decreto</w:t>
      </w:r>
      <w:r>
        <w:rPr>
          <w:spacing w:val="-4"/>
        </w:rPr>
        <w:t> </w:t>
      </w:r>
      <w:r>
        <w:rPr/>
        <w:t>entrará</w:t>
      </w:r>
      <w:r>
        <w:rPr>
          <w:spacing w:val="-2"/>
        </w:rPr>
        <w:t> </w:t>
      </w:r>
      <w:r>
        <w:rPr/>
        <w:t>en</w:t>
      </w:r>
      <w:r>
        <w:rPr>
          <w:spacing w:val="-5"/>
        </w:rPr>
        <w:t> </w:t>
      </w:r>
      <w:r>
        <w:rPr/>
        <w:t>vigor</w:t>
      </w:r>
      <w:r>
        <w:rPr>
          <w:spacing w:val="-1"/>
        </w:rPr>
        <w:t> </w:t>
      </w:r>
      <w:r>
        <w:rPr/>
        <w:t>a</w:t>
      </w:r>
      <w:r>
        <w:rPr>
          <w:spacing w:val="-2"/>
        </w:rPr>
        <w:t> </w:t>
      </w:r>
      <w:r>
        <w:rPr/>
        <w:t>partir</w:t>
      </w:r>
      <w:r>
        <w:rPr>
          <w:spacing w:val="-1"/>
        </w:rPr>
        <w:t> </w:t>
      </w:r>
      <w:r>
        <w:rPr/>
        <w:t>del</w:t>
      </w:r>
      <w:r>
        <w:rPr>
          <w:spacing w:val="-3"/>
        </w:rPr>
        <w:t> </w:t>
      </w:r>
      <w:r>
        <w:rPr/>
        <w:t>día</w:t>
      </w:r>
      <w:r>
        <w:rPr>
          <w:spacing w:val="-5"/>
        </w:rPr>
        <w:t> </w:t>
      </w:r>
      <w:r>
        <w:rPr/>
        <w:t>siguiente</w:t>
      </w:r>
      <w:r>
        <w:rPr>
          <w:spacing w:val="-2"/>
        </w:rPr>
        <w:t> </w:t>
      </w:r>
      <w:r>
        <w:rPr/>
        <w:t>de</w:t>
      </w:r>
      <w:r>
        <w:rPr>
          <w:spacing w:val="-5"/>
        </w:rPr>
        <w:t> </w:t>
      </w:r>
      <w:r>
        <w:rPr/>
        <w:t>su</w:t>
      </w:r>
      <w:r>
        <w:rPr>
          <w:spacing w:val="-4"/>
        </w:rPr>
        <w:t> </w:t>
      </w:r>
      <w:r>
        <w:rPr/>
        <w:t>publicación</w:t>
      </w:r>
      <w:r>
        <w:rPr>
          <w:spacing w:val="-3"/>
        </w:rPr>
        <w:t> </w:t>
      </w:r>
      <w:r>
        <w:rPr/>
        <w:t>en</w:t>
      </w:r>
      <w:r>
        <w:rPr>
          <w:spacing w:val="-3"/>
        </w:rPr>
        <w:t> </w:t>
      </w:r>
      <w:r>
        <w:rPr/>
        <w:t>el</w:t>
      </w:r>
      <w:r>
        <w:rPr>
          <w:spacing w:val="-3"/>
        </w:rPr>
        <w:t> </w:t>
      </w:r>
      <w:r>
        <w:rPr/>
        <w:t>Periódico Oficial del Estado “Plan de San Luis”.</w:t>
      </w:r>
    </w:p>
    <w:p>
      <w:pPr>
        <w:pStyle w:val="BodyText"/>
        <w:spacing w:before="229"/>
        <w:ind w:left="262"/>
      </w:pPr>
      <w:r>
        <w:rPr/>
        <w:t>SEGUNDO.</w:t>
      </w:r>
      <w:r>
        <w:rPr>
          <w:spacing w:val="26"/>
        </w:rPr>
        <w:t> </w:t>
      </w:r>
      <w:r>
        <w:rPr/>
        <w:t>Los</w:t>
      </w:r>
      <w:r>
        <w:rPr>
          <w:spacing w:val="27"/>
        </w:rPr>
        <w:t> </w:t>
      </w:r>
      <w:r>
        <w:rPr/>
        <w:t>ayuntamientos</w:t>
      </w:r>
      <w:r>
        <w:rPr>
          <w:spacing w:val="26"/>
        </w:rPr>
        <w:t> </w:t>
      </w:r>
      <w:r>
        <w:rPr/>
        <w:t>del Estado deberán</w:t>
      </w:r>
      <w:r>
        <w:rPr>
          <w:spacing w:val="27"/>
        </w:rPr>
        <w:t> </w:t>
      </w:r>
      <w:r>
        <w:rPr/>
        <w:t>hacer</w:t>
      </w:r>
      <w:r>
        <w:rPr>
          <w:spacing w:val="26"/>
        </w:rPr>
        <w:t> </w:t>
      </w:r>
      <w:r>
        <w:rPr/>
        <w:t>las</w:t>
      </w:r>
      <w:r>
        <w:rPr>
          <w:spacing w:val="26"/>
        </w:rPr>
        <w:t> </w:t>
      </w:r>
      <w:r>
        <w:rPr/>
        <w:t>modificaciones</w:t>
      </w:r>
      <w:r>
        <w:rPr>
          <w:spacing w:val="27"/>
        </w:rPr>
        <w:t> </w:t>
      </w:r>
      <w:r>
        <w:rPr/>
        <w:t>necesarias</w:t>
      </w:r>
      <w:r>
        <w:rPr>
          <w:spacing w:val="27"/>
        </w:rPr>
        <w:t> </w:t>
      </w:r>
      <w:r>
        <w:rPr/>
        <w:t>en sus leyes</w:t>
      </w:r>
      <w:r>
        <w:rPr>
          <w:spacing w:val="-10"/>
        </w:rPr>
        <w:t> </w:t>
      </w:r>
      <w:r>
        <w:rPr/>
        <w:t>de</w:t>
      </w:r>
      <w:r>
        <w:rPr>
          <w:spacing w:val="-8"/>
        </w:rPr>
        <w:t> </w:t>
      </w:r>
      <w:r>
        <w:rPr/>
        <w:t>ingresos</w:t>
      </w:r>
      <w:r>
        <w:rPr>
          <w:spacing w:val="-10"/>
        </w:rPr>
        <w:t> </w:t>
      </w:r>
      <w:r>
        <w:rPr/>
        <w:t>para</w:t>
      </w:r>
      <w:r>
        <w:rPr>
          <w:spacing w:val="-10"/>
        </w:rPr>
        <w:t> </w:t>
      </w:r>
      <w:r>
        <w:rPr/>
        <w:t>establecer</w:t>
      </w:r>
      <w:r>
        <w:rPr>
          <w:spacing w:val="-7"/>
        </w:rPr>
        <w:t> </w:t>
      </w:r>
      <w:r>
        <w:rPr/>
        <w:t>las</w:t>
      </w:r>
      <w:r>
        <w:rPr>
          <w:spacing w:val="-10"/>
        </w:rPr>
        <w:t> </w:t>
      </w:r>
      <w:r>
        <w:rPr/>
        <w:t>multas,</w:t>
      </w:r>
      <w:r>
        <w:rPr>
          <w:spacing w:val="-9"/>
        </w:rPr>
        <w:t> </w:t>
      </w:r>
      <w:r>
        <w:rPr/>
        <w:t>así</w:t>
      </w:r>
      <w:r>
        <w:rPr>
          <w:spacing w:val="-9"/>
        </w:rPr>
        <w:t> </w:t>
      </w:r>
      <w:r>
        <w:rPr/>
        <w:t>como</w:t>
      </w:r>
      <w:r>
        <w:rPr>
          <w:spacing w:val="-9"/>
        </w:rPr>
        <w:t> </w:t>
      </w:r>
      <w:r>
        <w:rPr/>
        <w:t>las</w:t>
      </w:r>
      <w:r>
        <w:rPr>
          <w:spacing w:val="-9"/>
        </w:rPr>
        <w:t> </w:t>
      </w:r>
      <w:r>
        <w:rPr/>
        <w:t>modificaciones</w:t>
      </w:r>
      <w:r>
        <w:rPr>
          <w:spacing w:val="-7"/>
        </w:rPr>
        <w:t> </w:t>
      </w:r>
      <w:r>
        <w:rPr/>
        <w:t>que</w:t>
      </w:r>
      <w:r>
        <w:rPr>
          <w:spacing w:val="-10"/>
        </w:rPr>
        <w:t> </w:t>
      </w:r>
      <w:r>
        <w:rPr/>
        <w:t>correspondan</w:t>
      </w:r>
      <w:r>
        <w:rPr>
          <w:spacing w:val="-10"/>
        </w:rPr>
        <w:t> </w:t>
      </w:r>
      <w:r>
        <w:rPr/>
        <w:t>en</w:t>
      </w:r>
      <w:r>
        <w:rPr>
          <w:spacing w:val="-10"/>
        </w:rPr>
        <w:t> </w:t>
      </w:r>
      <w:r>
        <w:rPr>
          <w:spacing w:val="-5"/>
        </w:rPr>
        <w:t>sus</w:t>
      </w:r>
    </w:p>
    <w:p>
      <w:pPr>
        <w:pStyle w:val="BodyText"/>
        <w:spacing w:after="0"/>
        <w:sectPr>
          <w:pgSz w:w="12240" w:h="15840"/>
          <w:pgMar w:header="720" w:footer="697" w:top="2100" w:bottom="880" w:left="1440" w:right="1440"/>
        </w:sectPr>
      </w:pPr>
    </w:p>
    <w:p>
      <w:pPr>
        <w:pStyle w:val="BodyText"/>
      </w:pPr>
    </w:p>
    <w:p>
      <w:pPr>
        <w:pStyle w:val="BodyText"/>
        <w:spacing w:before="71"/>
      </w:pPr>
    </w:p>
    <w:p>
      <w:pPr>
        <w:pStyle w:val="BodyText"/>
        <w:ind w:left="262" w:right="202"/>
      </w:pPr>
      <w:r>
        <w:rPr/>
        <w:t>reglamentos, dentro del</w:t>
      </w:r>
      <w:r>
        <w:rPr>
          <w:spacing w:val="-1"/>
        </w:rPr>
        <w:t> </w:t>
      </w:r>
      <w:r>
        <w:rPr/>
        <w:t>término de cuarenta y cinco días contados a partir del inicio de vigencia de este decreto.</w:t>
      </w:r>
    </w:p>
    <w:p>
      <w:pPr>
        <w:pStyle w:val="BodyText"/>
        <w:spacing w:before="1"/>
      </w:pPr>
    </w:p>
    <w:p>
      <w:pPr>
        <w:pStyle w:val="BodyText"/>
        <w:ind w:left="262"/>
      </w:pPr>
      <w:r>
        <w:rPr/>
        <w:t>TERCERO.</w:t>
      </w:r>
      <w:r>
        <w:rPr>
          <w:spacing w:val="-7"/>
        </w:rPr>
        <w:t> </w:t>
      </w:r>
      <w:r>
        <w:rPr/>
        <w:t>Se</w:t>
      </w:r>
      <w:r>
        <w:rPr>
          <w:spacing w:val="-7"/>
        </w:rPr>
        <w:t> </w:t>
      </w:r>
      <w:r>
        <w:rPr/>
        <w:t>derogan</w:t>
      </w:r>
      <w:r>
        <w:rPr>
          <w:spacing w:val="-7"/>
        </w:rPr>
        <w:t> </w:t>
      </w:r>
      <w:r>
        <w:rPr/>
        <w:t>todas</w:t>
      </w:r>
      <w:r>
        <w:rPr>
          <w:spacing w:val="-6"/>
        </w:rPr>
        <w:t> </w:t>
      </w:r>
      <w:r>
        <w:rPr/>
        <w:t>las</w:t>
      </w:r>
      <w:r>
        <w:rPr>
          <w:spacing w:val="-5"/>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5"/>
        </w:rPr>
        <w:t> </w:t>
      </w:r>
      <w:r>
        <w:rPr/>
        <w:t>este</w:t>
      </w:r>
      <w:r>
        <w:rPr>
          <w:spacing w:val="-8"/>
        </w:rPr>
        <w:t> </w:t>
      </w:r>
      <w:r>
        <w:rPr>
          <w:spacing w:val="-2"/>
        </w:rPr>
        <w:t>Decreto.</w:t>
      </w:r>
    </w:p>
    <w:p>
      <w:pPr>
        <w:pStyle w:val="BodyText"/>
        <w:spacing w:before="229"/>
      </w:pPr>
    </w:p>
    <w:p>
      <w:pPr>
        <w:spacing w:before="0"/>
        <w:ind w:left="3130" w:right="0" w:firstLine="0"/>
        <w:jc w:val="left"/>
        <w:rPr>
          <w:rFonts w:ascii="Arial"/>
          <w:i/>
          <w:sz w:val="20"/>
        </w:rPr>
      </w:pPr>
      <w:r>
        <w:rPr>
          <w:rFonts w:ascii="Arial"/>
          <w:i/>
          <w:sz w:val="20"/>
        </w:rPr>
        <w:t>P.O.</w:t>
      </w:r>
      <w:r>
        <w:rPr>
          <w:rFonts w:ascii="Arial"/>
          <w:i/>
          <w:spacing w:val="-6"/>
          <w:sz w:val="20"/>
        </w:rPr>
        <w:t> </w:t>
      </w:r>
      <w:r>
        <w:rPr>
          <w:rFonts w:ascii="Arial"/>
          <w:i/>
          <w:sz w:val="20"/>
        </w:rPr>
        <w:t>04</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2022</w:t>
      </w:r>
    </w:p>
    <w:p>
      <w:pPr>
        <w:pStyle w:val="BodyText"/>
        <w:spacing w:before="1"/>
        <w:rPr>
          <w:rFonts w:ascii="Arial"/>
          <w:i/>
        </w:rPr>
      </w:pPr>
    </w:p>
    <w:p>
      <w:pPr>
        <w:pStyle w:val="BodyText"/>
        <w:ind w:left="262" w:right="202"/>
      </w:pPr>
      <w:r>
        <w:rPr/>
        <w:t>PRIMERO. Este Decreto entrará en vigor al día siguiente de su publicación en el Periódico Oficial del Estado “Plan de San Luis”.</w:t>
      </w:r>
    </w:p>
    <w:p>
      <w:pPr>
        <w:pStyle w:val="BodyText"/>
        <w:spacing w:before="229"/>
        <w:ind w:left="262"/>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
      </w:pPr>
    </w:p>
    <w:p>
      <w:pPr>
        <w:spacing w:before="1"/>
        <w:ind w:left="3430" w:right="0" w:firstLine="0"/>
        <w:jc w:val="left"/>
        <w:rPr>
          <w:rFonts w:ascii="Arial"/>
          <w:i/>
          <w:sz w:val="20"/>
        </w:rPr>
      </w:pPr>
      <w:r>
        <w:rPr>
          <w:rFonts w:ascii="Arial"/>
          <w:i/>
          <w:sz w:val="20"/>
        </w:rPr>
        <w:t>P.O.</w:t>
      </w:r>
      <w:r>
        <w:rPr>
          <w:rFonts w:ascii="Arial"/>
          <w:i/>
          <w:spacing w:val="-4"/>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2023</w:t>
      </w:r>
    </w:p>
    <w:p>
      <w:pPr>
        <w:pStyle w:val="BodyText"/>
        <w:rPr>
          <w:rFonts w:ascii="Arial"/>
          <w:i/>
        </w:rPr>
      </w:pPr>
    </w:p>
    <w:p>
      <w:pPr>
        <w:pStyle w:val="BodyText"/>
        <w:ind w:left="262" w:right="202"/>
      </w:pPr>
      <w:r>
        <w:rPr/>
        <w:t>PRIMERO. Este Decreto entrará en vigor al día siguiente de su publicación en el Periódico Oficial del Estado “Plan de San Luis”.</w:t>
      </w:r>
    </w:p>
    <w:p>
      <w:pPr>
        <w:pStyle w:val="BodyText"/>
        <w:spacing w:before="229"/>
        <w:ind w:left="26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229"/>
      </w:pPr>
    </w:p>
    <w:p>
      <w:pPr>
        <w:spacing w:before="0"/>
        <w:ind w:left="3241" w:right="0" w:firstLine="0"/>
        <w:jc w:val="left"/>
        <w:rPr>
          <w:rFonts w:ascii="Arial"/>
          <w:i/>
          <w:sz w:val="20"/>
        </w:rPr>
      </w:pPr>
      <w:r>
        <w:rPr>
          <w:rFonts w:ascii="Arial"/>
          <w:i/>
          <w:sz w:val="20"/>
        </w:rPr>
        <w:t>P.O.</w:t>
      </w:r>
      <w:r>
        <w:rPr>
          <w:rFonts w:ascii="Arial"/>
          <w:i/>
          <w:spacing w:val="-5"/>
          <w:sz w:val="20"/>
        </w:rPr>
        <w:t> </w:t>
      </w:r>
      <w:r>
        <w:rPr>
          <w:rFonts w:ascii="Arial"/>
          <w:i/>
          <w:sz w:val="20"/>
        </w:rPr>
        <w:t>25</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4"/>
          <w:sz w:val="20"/>
        </w:rPr>
        <w:t>2023</w:t>
      </w:r>
    </w:p>
    <w:p>
      <w:pPr>
        <w:pStyle w:val="BodyText"/>
        <w:spacing w:before="1"/>
        <w:rPr>
          <w:rFonts w:ascii="Arial"/>
          <w:i/>
        </w:rPr>
      </w:pPr>
    </w:p>
    <w:p>
      <w:pPr>
        <w:pStyle w:val="BodyText"/>
        <w:ind w:left="262"/>
      </w:pPr>
      <w:r>
        <w:rPr/>
        <w:t>PRIMERO. Este Decreto entra</w:t>
      </w:r>
      <w:r>
        <w:rPr>
          <w:spacing w:val="-2"/>
        </w:rPr>
        <w:t> </w:t>
      </w:r>
      <w:r>
        <w:rPr/>
        <w:t>en</w:t>
      </w:r>
      <w:r>
        <w:rPr>
          <w:spacing w:val="-2"/>
        </w:rPr>
        <w:t> </w:t>
      </w:r>
      <w:r>
        <w:rPr/>
        <w:t>vigor</w:t>
      </w:r>
      <w:r>
        <w:rPr>
          <w:spacing w:val="-1"/>
        </w:rPr>
        <w:t> </w:t>
      </w:r>
      <w:r>
        <w:rPr/>
        <w:t>al</w:t>
      </w:r>
      <w:r>
        <w:rPr>
          <w:spacing w:val="-3"/>
        </w:rPr>
        <w:t> </w:t>
      </w:r>
      <w:r>
        <w:rPr/>
        <w:t>día</w:t>
      </w:r>
      <w:r>
        <w:rPr>
          <w:spacing w:val="-2"/>
        </w:rPr>
        <w:t> </w:t>
      </w:r>
      <w:r>
        <w:rPr/>
        <w:t>siguiente</w:t>
      </w:r>
      <w:r>
        <w:rPr>
          <w:spacing w:val="-2"/>
        </w:rPr>
        <w:t> </w:t>
      </w:r>
      <w:r>
        <w:rPr/>
        <w:t>de su</w:t>
      </w:r>
      <w:r>
        <w:rPr>
          <w:spacing w:val="-2"/>
        </w:rPr>
        <w:t> </w:t>
      </w:r>
      <w:r>
        <w:rPr/>
        <w:t>publicación en el</w:t>
      </w:r>
      <w:r>
        <w:rPr>
          <w:spacing w:val="-1"/>
        </w:rPr>
        <w:t> </w:t>
      </w:r>
      <w:r>
        <w:rPr/>
        <w:t>Periódico</w:t>
      </w:r>
      <w:r>
        <w:rPr>
          <w:spacing w:val="-2"/>
        </w:rPr>
        <w:t> </w:t>
      </w:r>
      <w:r>
        <w:rPr/>
        <w:t>Oficial</w:t>
      </w:r>
      <w:r>
        <w:rPr>
          <w:spacing w:val="-3"/>
        </w:rPr>
        <w:t> </w:t>
      </w:r>
      <w:r>
        <w:rPr/>
        <w:t>del Estado “Plan de San Luis”.</w:t>
      </w:r>
    </w:p>
    <w:p>
      <w:pPr>
        <w:pStyle w:val="BodyText"/>
        <w:spacing w:before="1"/>
      </w:pPr>
    </w:p>
    <w:p>
      <w:pPr>
        <w:pStyle w:val="BodyText"/>
        <w:spacing w:before="1"/>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pPr>
    </w:p>
    <w:p>
      <w:pPr>
        <w:spacing w:before="0"/>
        <w:ind w:left="3173" w:right="0" w:firstLine="0"/>
        <w:jc w:val="left"/>
        <w:rPr>
          <w:rFonts w:ascii="Arial"/>
          <w:i/>
          <w:sz w:val="20"/>
        </w:rPr>
      </w:pPr>
      <w:r>
        <w:rPr>
          <w:rFonts w:ascii="Arial"/>
          <w:i/>
          <w:sz w:val="20"/>
        </w:rPr>
        <w:t>P.O.</w:t>
      </w:r>
      <w:r>
        <w:rPr>
          <w:rFonts w:ascii="Arial"/>
          <w:i/>
          <w:spacing w:val="-5"/>
          <w:sz w:val="20"/>
        </w:rPr>
        <w:t> </w:t>
      </w:r>
      <w:r>
        <w:rPr>
          <w:rFonts w:ascii="Arial"/>
          <w:i/>
          <w:sz w:val="20"/>
        </w:rPr>
        <w:t>18</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2023</w:t>
      </w:r>
    </w:p>
    <w:p>
      <w:pPr>
        <w:pStyle w:val="BodyText"/>
        <w:spacing w:before="1"/>
        <w:rPr>
          <w:rFonts w:ascii="Arial"/>
          <w:i/>
        </w:rPr>
      </w:pPr>
    </w:p>
    <w:p>
      <w:pPr>
        <w:pStyle w:val="BodyText"/>
        <w:ind w:left="262" w:right="202"/>
      </w:pPr>
      <w:r>
        <w:rPr/>
        <w:t>PRIMERO.</w:t>
      </w:r>
      <w:r>
        <w:rPr>
          <w:spacing w:val="-1"/>
        </w:rPr>
        <w:t> </w:t>
      </w:r>
      <w:r>
        <w:rPr/>
        <w:t>Este</w:t>
      </w:r>
      <w:r>
        <w:rPr>
          <w:spacing w:val="-5"/>
        </w:rPr>
        <w:t> </w:t>
      </w:r>
      <w:r>
        <w:rPr/>
        <w:t>Decreto</w:t>
      </w:r>
      <w:r>
        <w:rPr>
          <w:spacing w:val="-5"/>
        </w:rPr>
        <w:t> </w:t>
      </w:r>
      <w:r>
        <w:rPr/>
        <w:t>será</w:t>
      </w:r>
      <w:r>
        <w:rPr>
          <w:spacing w:val="-4"/>
        </w:rPr>
        <w:t> </w:t>
      </w:r>
      <w:r>
        <w:rPr/>
        <w:t>vigente</w:t>
      </w:r>
      <w:r>
        <w:rPr>
          <w:spacing w:val="-3"/>
        </w:rPr>
        <w:t> </w:t>
      </w:r>
      <w:r>
        <w:rPr/>
        <w:t>al</w:t>
      </w:r>
      <w:r>
        <w:rPr>
          <w:spacing w:val="-3"/>
        </w:rPr>
        <w:t> </w:t>
      </w:r>
      <w:r>
        <w:rPr/>
        <w:t>día</w:t>
      </w:r>
      <w:r>
        <w:rPr>
          <w:spacing w:val="-2"/>
        </w:rPr>
        <w:t> </w:t>
      </w:r>
      <w:r>
        <w:rPr/>
        <w:t>siguiente</w:t>
      </w:r>
      <w:r>
        <w:rPr>
          <w:spacing w:val="-3"/>
        </w:rPr>
        <w:t> </w:t>
      </w:r>
      <w:r>
        <w:rPr/>
        <w:t>de</w:t>
      </w:r>
      <w:r>
        <w:rPr>
          <w:spacing w:val="-5"/>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29"/>
        <w:ind w:left="26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1"/>
      </w:pPr>
    </w:p>
    <w:p>
      <w:pPr>
        <w:spacing w:before="0"/>
        <w:ind w:left="3245" w:right="0" w:firstLine="0"/>
        <w:jc w:val="left"/>
        <w:rPr>
          <w:rFonts w:ascii="Arial"/>
          <w:i/>
          <w:sz w:val="20"/>
        </w:rPr>
      </w:pPr>
      <w:r>
        <w:rPr>
          <w:rFonts w:ascii="Arial"/>
          <w:i/>
          <w:sz w:val="20"/>
        </w:rPr>
        <w:t>P.O.</w:t>
      </w:r>
      <w:r>
        <w:rPr>
          <w:rFonts w:ascii="Arial"/>
          <w:i/>
          <w:spacing w:val="-5"/>
          <w:sz w:val="20"/>
        </w:rPr>
        <w:t> </w:t>
      </w:r>
      <w:r>
        <w:rPr>
          <w:rFonts w:ascii="Arial"/>
          <w:i/>
          <w:sz w:val="20"/>
        </w:rPr>
        <w:t>20</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4"/>
          <w:sz w:val="20"/>
        </w:rPr>
        <w:t>2024</w:t>
      </w:r>
    </w:p>
    <w:p>
      <w:pPr>
        <w:pStyle w:val="BodyText"/>
        <w:spacing w:before="229"/>
        <w:ind w:left="262" w:right="202"/>
      </w:pPr>
      <w:r>
        <w:rPr/>
        <w:t>PRIMERO. Este Decreto entrará en vigor al día siguiente de su publicación en el Periódico Oficial del Estado "Plan de San Luis".</w:t>
      </w:r>
    </w:p>
    <w:p>
      <w:pPr>
        <w:pStyle w:val="BodyText"/>
        <w:spacing w:before="1"/>
      </w:pPr>
    </w:p>
    <w:p>
      <w:pPr>
        <w:pStyle w:val="BodyText"/>
        <w:spacing w:before="1"/>
        <w:ind w:left="262" w:right="260"/>
        <w:jc w:val="both"/>
      </w:pPr>
      <w:r>
        <w:rPr/>
        <w:t>SEGUNDO. Los municipios del Estado en el término de 45 días hábiles deberán modificar sus reglamentos</w:t>
      </w:r>
      <w:r>
        <w:rPr>
          <w:spacing w:val="-7"/>
        </w:rPr>
        <w:t> </w:t>
      </w:r>
      <w:r>
        <w:rPr/>
        <w:t>internos</w:t>
      </w:r>
      <w:r>
        <w:rPr>
          <w:spacing w:val="-7"/>
        </w:rPr>
        <w:t> </w:t>
      </w:r>
      <w:r>
        <w:rPr/>
        <w:t>en</w:t>
      </w:r>
      <w:r>
        <w:rPr>
          <w:spacing w:val="-8"/>
        </w:rPr>
        <w:t> </w:t>
      </w:r>
      <w:r>
        <w:rPr/>
        <w:t>materia</w:t>
      </w:r>
      <w:r>
        <w:rPr>
          <w:spacing w:val="-5"/>
        </w:rPr>
        <w:t> </w:t>
      </w:r>
      <w:r>
        <w:rPr/>
        <w:t>de</w:t>
      </w:r>
      <w:r>
        <w:rPr>
          <w:spacing w:val="-8"/>
        </w:rPr>
        <w:t> </w:t>
      </w:r>
      <w:r>
        <w:rPr/>
        <w:t>visitas</w:t>
      </w:r>
      <w:r>
        <w:rPr>
          <w:spacing w:val="-7"/>
        </w:rPr>
        <w:t> </w:t>
      </w:r>
      <w:r>
        <w:rPr/>
        <w:t>e</w:t>
      </w:r>
      <w:r>
        <w:rPr>
          <w:spacing w:val="-5"/>
        </w:rPr>
        <w:t> </w:t>
      </w:r>
      <w:r>
        <w:rPr/>
        <w:t>inspecciones</w:t>
      </w:r>
      <w:r>
        <w:rPr>
          <w:spacing w:val="-6"/>
        </w:rPr>
        <w:t> </w:t>
      </w:r>
      <w:r>
        <w:rPr/>
        <w:t>periódicas</w:t>
      </w:r>
      <w:r>
        <w:rPr>
          <w:spacing w:val="-7"/>
        </w:rPr>
        <w:t> </w:t>
      </w:r>
      <w:r>
        <w:rPr/>
        <w:t>obligatorias</w:t>
      </w:r>
      <w:r>
        <w:rPr>
          <w:spacing w:val="-7"/>
        </w:rPr>
        <w:t> </w:t>
      </w:r>
      <w:r>
        <w:rPr/>
        <w:t>a</w:t>
      </w:r>
      <w:r>
        <w:rPr>
          <w:spacing w:val="-8"/>
        </w:rPr>
        <w:t> </w:t>
      </w:r>
      <w:r>
        <w:rPr/>
        <w:t>las</w:t>
      </w:r>
      <w:r>
        <w:rPr>
          <w:spacing w:val="-7"/>
        </w:rPr>
        <w:t> </w:t>
      </w:r>
      <w:r>
        <w:rPr/>
        <w:t>instalaciones de</w:t>
      </w:r>
      <w:r>
        <w:rPr>
          <w:spacing w:val="-3"/>
        </w:rPr>
        <w:t> </w:t>
      </w:r>
      <w:r>
        <w:rPr/>
        <w:t>los</w:t>
      </w:r>
      <w:r>
        <w:rPr>
          <w:spacing w:val="-1"/>
        </w:rPr>
        <w:t> </w:t>
      </w:r>
      <w:r>
        <w:rPr/>
        <w:t>establecimientos</w:t>
      </w:r>
      <w:r>
        <w:rPr>
          <w:spacing w:val="-1"/>
        </w:rPr>
        <w:t> </w:t>
      </w:r>
      <w:r>
        <w:rPr/>
        <w:t>que</w:t>
      </w:r>
      <w:r>
        <w:rPr>
          <w:spacing w:val="-2"/>
        </w:rPr>
        <w:t> </w:t>
      </w:r>
      <w:r>
        <w:rPr/>
        <w:t>cuenten</w:t>
      </w:r>
      <w:r>
        <w:rPr>
          <w:spacing w:val="-2"/>
        </w:rPr>
        <w:t> </w:t>
      </w:r>
      <w:r>
        <w:rPr/>
        <w:t>con</w:t>
      </w:r>
      <w:r>
        <w:rPr>
          <w:spacing w:val="-3"/>
        </w:rPr>
        <w:t> </w:t>
      </w:r>
      <w:r>
        <w:rPr/>
        <w:t>el</w:t>
      </w:r>
      <w:r>
        <w:rPr>
          <w:spacing w:val="-1"/>
        </w:rPr>
        <w:t> </w:t>
      </w:r>
      <w:r>
        <w:rPr/>
        <w:t>giro</w:t>
      </w:r>
      <w:r>
        <w:rPr>
          <w:spacing w:val="-2"/>
        </w:rPr>
        <w:t> </w:t>
      </w:r>
      <w:r>
        <w:rPr/>
        <w:t>de</w:t>
      </w:r>
      <w:r>
        <w:rPr>
          <w:spacing w:val="-2"/>
        </w:rPr>
        <w:t> </w:t>
      </w:r>
      <w:r>
        <w:rPr/>
        <w:t>reciclaje</w:t>
      </w:r>
      <w:r>
        <w:rPr>
          <w:spacing w:val="-2"/>
        </w:rPr>
        <w:t> </w:t>
      </w:r>
      <w:r>
        <w:rPr/>
        <w:t>y</w:t>
      </w:r>
      <w:r>
        <w:rPr>
          <w:spacing w:val="-1"/>
        </w:rPr>
        <w:t> </w:t>
      </w:r>
      <w:r>
        <w:rPr/>
        <w:t>recolección</w:t>
      </w:r>
      <w:r>
        <w:rPr>
          <w:spacing w:val="-3"/>
        </w:rPr>
        <w:t> </w:t>
      </w:r>
      <w:r>
        <w:rPr/>
        <w:t>de</w:t>
      </w:r>
      <w:r>
        <w:rPr>
          <w:spacing w:val="-2"/>
        </w:rPr>
        <w:t> </w:t>
      </w:r>
      <w:r>
        <w:rPr/>
        <w:t>chatarra,</w:t>
      </w:r>
      <w:r>
        <w:rPr>
          <w:spacing w:val="-2"/>
        </w:rPr>
        <w:t> </w:t>
      </w:r>
      <w:r>
        <w:rPr/>
        <w:t>aplicando</w:t>
      </w:r>
      <w:r>
        <w:rPr>
          <w:spacing w:val="-3"/>
        </w:rPr>
        <w:t> </w:t>
      </w:r>
      <w:r>
        <w:rPr/>
        <w:t>en su caso, las disposiciones que con este Decreto se expide.</w:t>
      </w:r>
    </w:p>
    <w:p>
      <w:pPr>
        <w:pStyle w:val="BodyText"/>
        <w:spacing w:before="229"/>
        <w:ind w:left="262"/>
        <w:jc w:val="both"/>
      </w:pPr>
      <w:r>
        <w:rPr/>
        <w:t>TERCERO.</w:t>
      </w:r>
      <w:r>
        <w:rPr>
          <w:spacing w:val="-7"/>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7"/>
        </w:rPr>
        <w:t> </w:t>
      </w:r>
      <w:r>
        <w:rPr/>
        <w:t>opongan</w:t>
      </w:r>
      <w:r>
        <w:rPr>
          <w:spacing w:val="-9"/>
        </w:rPr>
        <w:t> </w:t>
      </w:r>
      <w:r>
        <w:rPr/>
        <w:t>al</w:t>
      </w:r>
      <w:r>
        <w:rPr>
          <w:spacing w:val="-8"/>
        </w:rPr>
        <w:t> </w:t>
      </w:r>
      <w:r>
        <w:rPr/>
        <w:t>presente</w:t>
      </w:r>
      <w:r>
        <w:rPr>
          <w:spacing w:val="-6"/>
        </w:rPr>
        <w:t> </w:t>
      </w:r>
      <w:r>
        <w:rPr>
          <w:spacing w:val="-2"/>
        </w:rPr>
        <w:t>Decreto.</w:t>
      </w:r>
    </w:p>
    <w:p>
      <w:pPr>
        <w:pStyle w:val="BodyText"/>
        <w:spacing w:after="0"/>
        <w:jc w:val="both"/>
        <w:sectPr>
          <w:pgSz w:w="12240" w:h="15840"/>
          <w:pgMar w:header="720" w:footer="697" w:top="2100" w:bottom="880" w:left="1440" w:right="1440"/>
        </w:sectPr>
      </w:pPr>
    </w:p>
    <w:p>
      <w:pPr>
        <w:pStyle w:val="BodyText"/>
      </w:pPr>
    </w:p>
    <w:p>
      <w:pPr>
        <w:pStyle w:val="BodyText"/>
      </w:pPr>
    </w:p>
    <w:p>
      <w:pPr>
        <w:pStyle w:val="BodyText"/>
        <w:spacing w:before="71"/>
      </w:pPr>
    </w:p>
    <w:p>
      <w:pPr>
        <w:spacing w:before="0"/>
        <w:ind w:left="3435" w:right="0" w:firstLine="0"/>
        <w:jc w:val="left"/>
        <w:rPr>
          <w:rFonts w:ascii="Arial"/>
          <w:i/>
          <w:sz w:val="20"/>
        </w:rPr>
      </w:pPr>
      <w:r>
        <w:rPr>
          <w:rFonts w:ascii="Arial"/>
          <w:i/>
          <w:sz w:val="20"/>
        </w:rPr>
        <w:t>P.O.</w:t>
      </w:r>
      <w:r>
        <w:rPr>
          <w:rFonts w:ascii="Arial"/>
          <w:i/>
          <w:spacing w:val="-5"/>
          <w:sz w:val="20"/>
        </w:rPr>
        <w:t> </w:t>
      </w:r>
      <w:r>
        <w:rPr>
          <w:rFonts w:ascii="Arial"/>
          <w:i/>
          <w:sz w:val="20"/>
        </w:rPr>
        <w:t>01</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2024</w:t>
      </w:r>
    </w:p>
    <w:p>
      <w:pPr>
        <w:pStyle w:val="BodyText"/>
        <w:spacing w:before="1"/>
        <w:rPr>
          <w:rFonts w:ascii="Arial"/>
          <w:i/>
        </w:rPr>
      </w:pPr>
    </w:p>
    <w:p>
      <w:pPr>
        <w:pStyle w:val="BodyText"/>
        <w:ind w:left="262" w:right="202"/>
      </w:pPr>
      <w:r>
        <w:rPr/>
        <w:t>PRIMERO. Este Decreto entrará en vigor al día siguiente de su publicación en el Periódico Oficial del Estado “Plan de San Luis”.</w:t>
      </w:r>
    </w:p>
    <w:p>
      <w:pPr>
        <w:pStyle w:val="BodyText"/>
        <w:spacing w:before="229"/>
        <w:ind w:left="26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1"/>
      </w:pPr>
    </w:p>
    <w:p>
      <w:pPr>
        <w:spacing w:before="0"/>
        <w:ind w:left="3430" w:right="0" w:firstLine="0"/>
        <w:jc w:val="left"/>
        <w:rPr>
          <w:rFonts w:ascii="Arial"/>
          <w:i/>
          <w:sz w:val="20"/>
        </w:rPr>
      </w:pPr>
      <w:r>
        <w:rPr>
          <w:rFonts w:ascii="Arial"/>
          <w:i/>
          <w:sz w:val="20"/>
        </w:rPr>
        <w:t>P.O.</w:t>
      </w:r>
      <w:r>
        <w:rPr>
          <w:rFonts w:ascii="Arial"/>
          <w:i/>
          <w:spacing w:val="-4"/>
          <w:sz w:val="20"/>
        </w:rPr>
        <w:t> </w:t>
      </w:r>
      <w:r>
        <w:rPr>
          <w:rFonts w:ascii="Arial"/>
          <w:i/>
          <w:sz w:val="20"/>
        </w:rPr>
        <w:t>14</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2024</w:t>
      </w:r>
    </w:p>
    <w:p>
      <w:pPr>
        <w:pStyle w:val="BodyText"/>
        <w:spacing w:before="229"/>
        <w:ind w:left="262" w:right="202"/>
      </w:pPr>
      <w:r>
        <w:rPr/>
        <w:t>PRIMERO. Este Decreto entrará en vigor al día siguiente de su publicación en el Periódico Oficial del Estado "Plan de San Luis".</w:t>
      </w:r>
    </w:p>
    <w:p>
      <w:pPr>
        <w:pStyle w:val="BodyText"/>
        <w:spacing w:before="1"/>
      </w:pPr>
    </w:p>
    <w:p>
      <w:pPr>
        <w:pStyle w:val="BodyText"/>
        <w:spacing w:before="1"/>
        <w:ind w:left="262"/>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pPr>
    </w:p>
    <w:p>
      <w:pPr>
        <w:pStyle w:val="BodyText"/>
        <w:ind w:left="2941"/>
      </w:pPr>
      <w:r>
        <w:rPr/>
        <w:t>P.O</w:t>
      </w:r>
      <w:r>
        <w:rPr>
          <w:spacing w:val="-7"/>
        </w:rPr>
        <w:t> </w:t>
      </w:r>
      <w:r>
        <w:rPr/>
        <w:t>DEL</w:t>
      </w:r>
      <w:r>
        <w:rPr>
          <w:spacing w:val="-3"/>
        </w:rPr>
        <w:t> </w:t>
      </w:r>
      <w:r>
        <w:rPr/>
        <w:t>EDO.</w:t>
      </w:r>
      <w:r>
        <w:rPr>
          <w:spacing w:val="-5"/>
        </w:rPr>
        <w:t> </w:t>
      </w:r>
      <w:r>
        <w:rPr/>
        <w:t>02</w:t>
      </w:r>
      <w:r>
        <w:rPr>
          <w:spacing w:val="-5"/>
        </w:rPr>
        <w:t> </w:t>
      </w:r>
      <w:r>
        <w:rPr/>
        <w:t>OCTUBRE</w:t>
      </w:r>
      <w:r>
        <w:rPr>
          <w:spacing w:val="-5"/>
        </w:rPr>
        <w:t> </w:t>
      </w:r>
      <w:r>
        <w:rPr/>
        <w:t>DE</w:t>
      </w:r>
      <w:r>
        <w:rPr>
          <w:spacing w:val="-4"/>
        </w:rPr>
        <w:t> 2025</w:t>
      </w:r>
    </w:p>
    <w:p>
      <w:pPr>
        <w:pStyle w:val="BodyText"/>
        <w:spacing w:before="1"/>
      </w:pPr>
    </w:p>
    <w:p>
      <w:pPr>
        <w:pStyle w:val="BodyText"/>
        <w:ind w:left="262" w:right="202"/>
      </w:pPr>
      <w:r>
        <w:rPr/>
        <w:t>PRIMERO. El presente Decreto entrará en vigor al día siguiente de su publicación en el Periódico Oficial del Estado “Plan de San Luis”.</w:t>
      </w:r>
    </w:p>
    <w:p>
      <w:pPr>
        <w:pStyle w:val="BodyText"/>
        <w:spacing w:before="229"/>
        <w:ind w:left="262"/>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2"/>
      </w:pPr>
    </w:p>
    <w:p>
      <w:pPr>
        <w:spacing w:before="0"/>
        <w:ind w:left="260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5"/>
          <w:sz w:val="20"/>
        </w:rPr>
        <w:t> </w:t>
      </w:r>
      <w:r>
        <w:rPr>
          <w:rFonts w:ascii="Arial"/>
          <w:i/>
          <w:sz w:val="20"/>
        </w:rPr>
        <w:t>10</w:t>
      </w:r>
      <w:r>
        <w:rPr>
          <w:rFonts w:ascii="Arial"/>
          <w:i/>
          <w:spacing w:val="-5"/>
          <w:sz w:val="20"/>
        </w:rPr>
        <w:t> </w:t>
      </w:r>
      <w:r>
        <w:rPr>
          <w:rFonts w:ascii="Arial"/>
          <w:i/>
          <w:sz w:val="20"/>
        </w:rPr>
        <w:t>DE</w:t>
      </w:r>
      <w:r>
        <w:rPr>
          <w:rFonts w:ascii="Arial"/>
          <w:i/>
          <w:spacing w:val="-3"/>
          <w:sz w:val="20"/>
        </w:rPr>
        <w:t> </w:t>
      </w:r>
      <w:r>
        <w:rPr>
          <w:rFonts w:ascii="Arial"/>
          <w:i/>
          <w:sz w:val="20"/>
        </w:rPr>
        <w:t>FEBRERO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BodyText"/>
        <w:rPr>
          <w:rFonts w:ascii="Arial"/>
          <w:i/>
        </w:rPr>
      </w:pPr>
    </w:p>
    <w:p>
      <w:pPr>
        <w:pStyle w:val="BodyText"/>
        <w:spacing w:before="1"/>
        <w:ind w:left="262"/>
      </w:pPr>
      <w:r>
        <w:rPr/>
        <w:t>PRIMERO.</w:t>
      </w:r>
      <w:r>
        <w:rPr>
          <w:spacing w:val="-2"/>
        </w:rPr>
        <w:t> </w:t>
      </w:r>
      <w:r>
        <w:rPr/>
        <w:t>El</w:t>
      </w:r>
      <w:r>
        <w:rPr>
          <w:spacing w:val="-3"/>
        </w:rPr>
        <w:t> </w:t>
      </w:r>
      <w:r>
        <w:rPr/>
        <w:t>presente</w:t>
      </w:r>
      <w:r>
        <w:rPr>
          <w:spacing w:val="-4"/>
        </w:rPr>
        <w:t> </w:t>
      </w:r>
      <w:r>
        <w:rPr/>
        <w:t>Decreto</w:t>
      </w:r>
      <w:r>
        <w:rPr>
          <w:spacing w:val="-5"/>
        </w:rPr>
        <w:t> </w:t>
      </w:r>
      <w:r>
        <w:rPr/>
        <w:t>entrara</w:t>
      </w:r>
      <w:r>
        <w:rPr>
          <w:spacing w:val="-1"/>
        </w:rPr>
        <w:t> </w:t>
      </w:r>
      <w:r>
        <w:rPr/>
        <w:t>en</w:t>
      </w:r>
      <w:r>
        <w:rPr>
          <w:spacing w:val="-5"/>
        </w:rPr>
        <w:t> </w:t>
      </w:r>
      <w:r>
        <w:rPr/>
        <w:t>vigor</w:t>
      </w:r>
      <w:r>
        <w:rPr>
          <w:spacing w:val="-1"/>
        </w:rPr>
        <w:t> </w:t>
      </w:r>
      <w:r>
        <w:rPr/>
        <w:t>al</w:t>
      </w:r>
      <w:r>
        <w:rPr>
          <w:spacing w:val="-3"/>
        </w:rPr>
        <w:t> </w:t>
      </w:r>
      <w:r>
        <w:rPr/>
        <w:t>día</w:t>
      </w:r>
      <w:r>
        <w:rPr>
          <w:spacing w:val="-2"/>
        </w:rPr>
        <w:t> </w:t>
      </w:r>
      <w:r>
        <w:rPr/>
        <w:t>siguiente</w:t>
      </w:r>
      <w:r>
        <w:rPr>
          <w:spacing w:val="-4"/>
        </w:rPr>
        <w:t> </w:t>
      </w:r>
      <w:r>
        <w:rPr/>
        <w:t>de</w:t>
      </w:r>
      <w:r>
        <w:rPr>
          <w:spacing w:val="-4"/>
        </w:rPr>
        <w:t> </w:t>
      </w:r>
      <w:r>
        <w:rPr/>
        <w:t>su</w:t>
      </w:r>
      <w:r>
        <w:rPr>
          <w:spacing w:val="-4"/>
        </w:rPr>
        <w:t> </w:t>
      </w:r>
      <w:r>
        <w:rPr/>
        <w:t>publicación</w:t>
      </w:r>
      <w:r>
        <w:rPr>
          <w:spacing w:val="-4"/>
        </w:rPr>
        <w:t> </w:t>
      </w:r>
      <w:r>
        <w:rPr/>
        <w:t>en</w:t>
      </w:r>
      <w:r>
        <w:rPr>
          <w:spacing w:val="-2"/>
        </w:rPr>
        <w:t> </w:t>
      </w:r>
      <w:r>
        <w:rPr/>
        <w:t>el</w:t>
      </w:r>
      <w:r>
        <w:rPr>
          <w:spacing w:val="-3"/>
        </w:rPr>
        <w:t> </w:t>
      </w:r>
      <w:r>
        <w:rPr/>
        <w:t>Periódico Oficial del Estado “Plan de San Luis”.</w:t>
      </w:r>
    </w:p>
    <w:p>
      <w:pPr>
        <w:pStyle w:val="BodyText"/>
        <w:spacing w:before="228"/>
        <w:ind w:left="262"/>
      </w:pPr>
      <w:r>
        <w:rPr/>
        <w:t>SEGUNDO.</w:t>
      </w:r>
      <w:r>
        <w:rPr>
          <w:spacing w:val="-7"/>
        </w:rPr>
        <w:t> </w:t>
      </w:r>
      <w:r>
        <w:rPr/>
        <w:t>Se</w:t>
      </w:r>
      <w:r>
        <w:rPr>
          <w:spacing w:val="-7"/>
        </w:rPr>
        <w:t> </w:t>
      </w:r>
      <w:r>
        <w:rPr/>
        <w:t>derogan</w:t>
      </w:r>
      <w:r>
        <w:rPr>
          <w:spacing w:val="-7"/>
        </w:rPr>
        <w:t> </w:t>
      </w:r>
      <w:r>
        <w:rPr/>
        <w:t>las</w:t>
      </w:r>
      <w:r>
        <w:rPr>
          <w:spacing w:val="-6"/>
        </w:rPr>
        <w:t> </w:t>
      </w:r>
      <w:r>
        <w:rPr/>
        <w:t>disposiciones</w:t>
      </w:r>
      <w:r>
        <w:rPr>
          <w:spacing w:val="-4"/>
        </w:rPr>
        <w:t> </w:t>
      </w:r>
      <w:r>
        <w:rPr/>
        <w:t>que</w:t>
      </w:r>
      <w:r>
        <w:rPr>
          <w:spacing w:val="-5"/>
        </w:rPr>
        <w:t> </w:t>
      </w:r>
      <w:r>
        <w:rPr/>
        <w:t>se</w:t>
      </w:r>
      <w:r>
        <w:rPr>
          <w:spacing w:val="-6"/>
        </w:rPr>
        <w:t> </w:t>
      </w:r>
      <w:r>
        <w:rPr/>
        <w:t>opongan</w:t>
      </w:r>
      <w:r>
        <w:rPr>
          <w:spacing w:val="-5"/>
        </w:rPr>
        <w:t> </w:t>
      </w:r>
      <w:r>
        <w:rPr/>
        <w:t>a</w:t>
      </w:r>
      <w:r>
        <w:rPr>
          <w:spacing w:val="-8"/>
        </w:rPr>
        <w:t> </w:t>
      </w:r>
      <w:r>
        <w:rPr/>
        <w:t>este</w:t>
      </w:r>
      <w:r>
        <w:rPr>
          <w:spacing w:val="-7"/>
        </w:rPr>
        <w:t> </w:t>
      </w:r>
      <w:r>
        <w:rPr>
          <w:spacing w:val="-2"/>
        </w:rPr>
        <w:t>Decreto.</w:t>
      </w:r>
    </w:p>
    <w:p>
      <w:pPr>
        <w:pStyle w:val="BodyText"/>
        <w:spacing w:before="1"/>
      </w:pPr>
    </w:p>
    <w:p>
      <w:pPr>
        <w:pStyle w:val="Heading1"/>
        <w:ind w:left="2703" w:right="0"/>
        <w:jc w:val="left"/>
      </w:pPr>
      <w:r>
        <w:rPr/>
        <w:t>P.O.</w:t>
      </w:r>
      <w:r>
        <w:rPr>
          <w:spacing w:val="-5"/>
        </w:rPr>
        <w:t> </w:t>
      </w:r>
      <w:r>
        <w:rPr/>
        <w:t>DEL</w:t>
      </w:r>
      <w:r>
        <w:rPr>
          <w:spacing w:val="-4"/>
        </w:rPr>
        <w:t> </w:t>
      </w:r>
      <w:r>
        <w:rPr/>
        <w:t>EDO.</w:t>
      </w:r>
      <w:r>
        <w:rPr>
          <w:spacing w:val="-3"/>
        </w:rPr>
        <w:t> </w:t>
      </w:r>
      <w:r>
        <w:rPr/>
        <w:t>DEL</w:t>
      </w:r>
      <w:r>
        <w:rPr>
          <w:spacing w:val="-2"/>
        </w:rPr>
        <w:t> </w:t>
      </w:r>
      <w:r>
        <w:rPr/>
        <w:t>22</w:t>
      </w:r>
      <w:r>
        <w:rPr>
          <w:spacing w:val="-6"/>
        </w:rPr>
        <w:t> </w:t>
      </w:r>
      <w:r>
        <w:rPr/>
        <w:t>DE</w:t>
      </w:r>
      <w:r>
        <w:rPr>
          <w:spacing w:val="-5"/>
        </w:rPr>
        <w:t> </w:t>
      </w:r>
      <w:r>
        <w:rPr/>
        <w:t>MAYO</w:t>
      </w:r>
      <w:r>
        <w:rPr>
          <w:spacing w:val="-3"/>
        </w:rPr>
        <w:t> </w:t>
      </w:r>
      <w:r>
        <w:rPr/>
        <w:t>DE</w:t>
      </w:r>
      <w:r>
        <w:rPr>
          <w:spacing w:val="-5"/>
        </w:rPr>
        <w:t> </w:t>
      </w:r>
      <w:r>
        <w:rPr>
          <w:spacing w:val="-4"/>
        </w:rPr>
        <w:t>2026</w:t>
      </w:r>
    </w:p>
    <w:p>
      <w:pPr>
        <w:spacing w:before="229"/>
        <w:ind w:left="262" w:right="282" w:firstLine="0"/>
        <w:jc w:val="left"/>
        <w:rPr>
          <w:rFonts w:ascii="Arial" w:hAnsi="Arial"/>
          <w:b/>
          <w:sz w:val="20"/>
        </w:rPr>
      </w:pPr>
      <w:r>
        <w:rPr>
          <w:rFonts w:ascii="Arial" w:hAnsi="Arial"/>
          <w:b/>
          <w:sz w:val="20"/>
        </w:rPr>
        <w:t>PRIMERO.</w:t>
      </w:r>
      <w:r>
        <w:rPr>
          <w:rFonts w:ascii="Arial" w:hAnsi="Arial"/>
          <w:b/>
          <w:spacing w:val="-3"/>
          <w:sz w:val="20"/>
        </w:rPr>
        <w:t> </w:t>
      </w:r>
      <w:r>
        <w:rPr>
          <w:rFonts w:ascii="Arial" w:hAnsi="Arial"/>
          <w:b/>
          <w:sz w:val="20"/>
        </w:rPr>
        <w:t>El</w:t>
      </w:r>
      <w:r>
        <w:rPr>
          <w:rFonts w:ascii="Arial" w:hAnsi="Arial"/>
          <w:b/>
          <w:spacing w:val="-4"/>
          <w:sz w:val="20"/>
        </w:rPr>
        <w:t> </w:t>
      </w:r>
      <w:r>
        <w:rPr>
          <w:rFonts w:ascii="Arial" w:hAnsi="Arial"/>
          <w:b/>
          <w:sz w:val="20"/>
        </w:rPr>
        <w:t>presente</w:t>
      </w:r>
      <w:r>
        <w:rPr>
          <w:rFonts w:ascii="Arial" w:hAnsi="Arial"/>
          <w:b/>
          <w:spacing w:val="-4"/>
          <w:sz w:val="20"/>
        </w:rPr>
        <w:t> </w:t>
      </w:r>
      <w:r>
        <w:rPr>
          <w:rFonts w:ascii="Arial" w:hAnsi="Arial"/>
          <w:b/>
          <w:sz w:val="20"/>
        </w:rPr>
        <w:t>Decreto</w:t>
      </w:r>
      <w:r>
        <w:rPr>
          <w:rFonts w:ascii="Arial" w:hAnsi="Arial"/>
          <w:b/>
          <w:spacing w:val="-3"/>
          <w:sz w:val="20"/>
        </w:rPr>
        <w:t> </w:t>
      </w:r>
      <w:r>
        <w:rPr>
          <w:rFonts w:ascii="Arial" w:hAnsi="Arial"/>
          <w:b/>
          <w:sz w:val="20"/>
        </w:rPr>
        <w:t>entrara</w:t>
      </w:r>
      <w:r>
        <w:rPr>
          <w:rFonts w:ascii="Arial" w:hAnsi="Arial"/>
          <w:b/>
          <w:spacing w:val="-4"/>
          <w:sz w:val="20"/>
        </w:rPr>
        <w:t> </w:t>
      </w:r>
      <w:r>
        <w:rPr>
          <w:rFonts w:ascii="Arial" w:hAnsi="Arial"/>
          <w:b/>
          <w:sz w:val="20"/>
        </w:rPr>
        <w:t>en</w:t>
      </w:r>
      <w:r>
        <w:rPr>
          <w:rFonts w:ascii="Arial" w:hAnsi="Arial"/>
          <w:b/>
          <w:spacing w:val="-3"/>
          <w:sz w:val="20"/>
        </w:rPr>
        <w:t> </w:t>
      </w:r>
      <w:r>
        <w:rPr>
          <w:rFonts w:ascii="Arial" w:hAnsi="Arial"/>
          <w:b/>
          <w:sz w:val="20"/>
        </w:rPr>
        <w:t>vigor</w:t>
      </w:r>
      <w:r>
        <w:rPr>
          <w:rFonts w:ascii="Arial" w:hAnsi="Arial"/>
          <w:b/>
          <w:spacing w:val="-4"/>
          <w:sz w:val="20"/>
        </w:rPr>
        <w:t> </w:t>
      </w:r>
      <w:r>
        <w:rPr>
          <w:rFonts w:ascii="Arial" w:hAnsi="Arial"/>
          <w:b/>
          <w:sz w:val="20"/>
        </w:rPr>
        <w:t>al</w:t>
      </w:r>
      <w:r>
        <w:rPr>
          <w:rFonts w:ascii="Arial" w:hAnsi="Arial"/>
          <w:b/>
          <w:spacing w:val="-1"/>
          <w:sz w:val="20"/>
        </w:rPr>
        <w:t> </w:t>
      </w:r>
      <w:r>
        <w:rPr>
          <w:rFonts w:ascii="Arial" w:hAnsi="Arial"/>
          <w:b/>
          <w:sz w:val="20"/>
        </w:rPr>
        <w:t>día</w:t>
      </w:r>
      <w:r>
        <w:rPr>
          <w:rFonts w:ascii="Arial" w:hAnsi="Arial"/>
          <w:b/>
          <w:spacing w:val="-5"/>
          <w:sz w:val="20"/>
        </w:rPr>
        <w:t> </w:t>
      </w:r>
      <w:r>
        <w:rPr>
          <w:rFonts w:ascii="Arial" w:hAnsi="Arial"/>
          <w:b/>
          <w:sz w:val="20"/>
        </w:rPr>
        <w:t>siguiente</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su</w:t>
      </w:r>
      <w:r>
        <w:rPr>
          <w:rFonts w:ascii="Arial" w:hAnsi="Arial"/>
          <w:b/>
          <w:spacing w:val="-4"/>
          <w:sz w:val="20"/>
        </w:rPr>
        <w:t> </w:t>
      </w:r>
      <w:r>
        <w:rPr>
          <w:rFonts w:ascii="Arial" w:hAnsi="Arial"/>
          <w:b/>
          <w:sz w:val="20"/>
        </w:rPr>
        <w:t>publicación</w:t>
      </w:r>
      <w:r>
        <w:rPr>
          <w:rFonts w:ascii="Arial" w:hAnsi="Arial"/>
          <w:b/>
          <w:spacing w:val="-3"/>
          <w:sz w:val="20"/>
        </w:rPr>
        <w:t> </w:t>
      </w:r>
      <w:r>
        <w:rPr>
          <w:rFonts w:ascii="Arial" w:hAnsi="Arial"/>
          <w:b/>
          <w:sz w:val="20"/>
        </w:rPr>
        <w:t>en</w:t>
      </w:r>
      <w:r>
        <w:rPr>
          <w:rFonts w:ascii="Arial" w:hAnsi="Arial"/>
          <w:b/>
          <w:spacing w:val="-2"/>
          <w:sz w:val="20"/>
        </w:rPr>
        <w:t> </w:t>
      </w:r>
      <w:r>
        <w:rPr>
          <w:rFonts w:ascii="Arial" w:hAnsi="Arial"/>
          <w:b/>
          <w:sz w:val="20"/>
        </w:rPr>
        <w:t>el Periódico Oficial del Estado “Plan de San Luis”.</w:t>
      </w:r>
    </w:p>
    <w:p>
      <w:pPr>
        <w:pStyle w:val="BodyText"/>
        <w:spacing w:before="1"/>
        <w:rPr>
          <w:rFonts w:ascii="Arial"/>
          <w:b/>
        </w:rPr>
      </w:pPr>
    </w:p>
    <w:p>
      <w:pPr>
        <w:spacing w:before="0"/>
        <w:ind w:left="262" w:right="0" w:firstLine="0"/>
        <w:jc w:val="left"/>
        <w:rPr>
          <w:rFonts w:ascii="Arial"/>
          <w:b/>
          <w:sz w:val="20"/>
        </w:rPr>
      </w:pPr>
      <w:r>
        <w:rPr>
          <w:rFonts w:ascii="Arial"/>
          <w:b/>
          <w:sz w:val="20"/>
        </w:rPr>
        <w:t>SEGUNDO.</w:t>
      </w:r>
      <w:r>
        <w:rPr>
          <w:rFonts w:ascii="Arial"/>
          <w:b/>
          <w:spacing w:val="-7"/>
          <w:sz w:val="20"/>
        </w:rPr>
        <w:t> </w:t>
      </w:r>
      <w:r>
        <w:rPr>
          <w:rFonts w:ascii="Arial"/>
          <w:b/>
          <w:sz w:val="20"/>
        </w:rPr>
        <w:t>Se</w:t>
      </w:r>
      <w:r>
        <w:rPr>
          <w:rFonts w:ascii="Arial"/>
          <w:b/>
          <w:spacing w:val="-7"/>
          <w:sz w:val="20"/>
        </w:rPr>
        <w:t> </w:t>
      </w:r>
      <w:r>
        <w:rPr>
          <w:rFonts w:ascii="Arial"/>
          <w:b/>
          <w:sz w:val="20"/>
        </w:rPr>
        <w:t>derogan</w:t>
      </w:r>
      <w:r>
        <w:rPr>
          <w:rFonts w:ascii="Arial"/>
          <w:b/>
          <w:spacing w:val="-6"/>
          <w:sz w:val="20"/>
        </w:rPr>
        <w:t> </w:t>
      </w:r>
      <w:r>
        <w:rPr>
          <w:rFonts w:ascii="Arial"/>
          <w:b/>
          <w:sz w:val="20"/>
        </w:rPr>
        <w:t>las</w:t>
      </w:r>
      <w:r>
        <w:rPr>
          <w:rFonts w:ascii="Arial"/>
          <w:b/>
          <w:spacing w:val="-7"/>
          <w:sz w:val="20"/>
        </w:rPr>
        <w:t> </w:t>
      </w:r>
      <w:r>
        <w:rPr>
          <w:rFonts w:ascii="Arial"/>
          <w:b/>
          <w:sz w:val="20"/>
        </w:rPr>
        <w:t>disposiciones</w:t>
      </w:r>
      <w:r>
        <w:rPr>
          <w:rFonts w:ascii="Arial"/>
          <w:b/>
          <w:spacing w:val="-7"/>
          <w:sz w:val="20"/>
        </w:rPr>
        <w:t> </w:t>
      </w:r>
      <w:r>
        <w:rPr>
          <w:rFonts w:ascii="Arial"/>
          <w:b/>
          <w:sz w:val="20"/>
        </w:rPr>
        <w:t>que</w:t>
      </w:r>
      <w:r>
        <w:rPr>
          <w:rFonts w:ascii="Arial"/>
          <w:b/>
          <w:spacing w:val="-6"/>
          <w:sz w:val="20"/>
        </w:rPr>
        <w:t> </w:t>
      </w:r>
      <w:r>
        <w:rPr>
          <w:rFonts w:ascii="Arial"/>
          <w:b/>
          <w:sz w:val="20"/>
        </w:rPr>
        <w:t>se</w:t>
      </w:r>
      <w:r>
        <w:rPr>
          <w:rFonts w:ascii="Arial"/>
          <w:b/>
          <w:spacing w:val="-5"/>
          <w:sz w:val="20"/>
        </w:rPr>
        <w:t> </w:t>
      </w:r>
      <w:r>
        <w:rPr>
          <w:rFonts w:ascii="Arial"/>
          <w:b/>
          <w:sz w:val="20"/>
        </w:rPr>
        <w:t>opongan</w:t>
      </w:r>
      <w:r>
        <w:rPr>
          <w:rFonts w:ascii="Arial"/>
          <w:b/>
          <w:spacing w:val="-7"/>
          <w:sz w:val="20"/>
        </w:rPr>
        <w:t> </w:t>
      </w:r>
      <w:r>
        <w:rPr>
          <w:rFonts w:ascii="Arial"/>
          <w:b/>
          <w:sz w:val="20"/>
        </w:rPr>
        <w:t>a</w:t>
      </w:r>
      <w:r>
        <w:rPr>
          <w:rFonts w:ascii="Arial"/>
          <w:b/>
          <w:spacing w:val="-6"/>
          <w:sz w:val="20"/>
        </w:rPr>
        <w:t> </w:t>
      </w:r>
      <w:r>
        <w:rPr>
          <w:rFonts w:ascii="Arial"/>
          <w:b/>
          <w:sz w:val="20"/>
        </w:rPr>
        <w:t>este</w:t>
      </w:r>
      <w:r>
        <w:rPr>
          <w:rFonts w:ascii="Arial"/>
          <w:b/>
          <w:spacing w:val="-4"/>
          <w:sz w:val="20"/>
        </w:rPr>
        <w:t> </w:t>
      </w:r>
      <w:r>
        <w:rPr>
          <w:rFonts w:ascii="Arial"/>
          <w:b/>
          <w:spacing w:val="-2"/>
          <w:sz w:val="20"/>
        </w:rPr>
        <w:t>Decreto.</w:t>
      </w:r>
    </w:p>
    <w:sectPr>
      <w:pgSz w:w="12240" w:h="15840"/>
      <w:pgMar w:header="720" w:footer="697" w:top="2100" w:bottom="8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Roboto Lt">
    <w:altName w:val="Roboto Lt"/>
    <w:charset w:val="1"/>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495488">
              <wp:simplePos x="0" y="0"/>
              <wp:positionH relativeFrom="page">
                <wp:posOffset>2753995</wp:posOffset>
              </wp:positionH>
              <wp:positionV relativeFrom="page">
                <wp:posOffset>9475947</wp:posOffset>
              </wp:positionV>
              <wp:extent cx="2037714" cy="1397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37714"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216.850006pt;margin-top:746.137573pt;width:160.450pt;height:11pt;mso-position-horizontal-relative:page;mso-position-vertical-relative:page;z-index:-20820992" type="#_x0000_t202" id="docshape9"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v:textbox>
              <w10:wrap type="none"/>
            </v:shape>
          </w:pict>
        </mc:Fallback>
      </mc:AlternateContent>
    </w:r>
    <w:r>
      <w:rPr/>
      <mc:AlternateContent>
        <mc:Choice Requires="wps">
          <w:drawing>
            <wp:anchor distT="0" distB="0" distL="0" distR="0" allowOverlap="1" layoutInCell="1" locked="0" behindDoc="1" simplePos="0" relativeHeight="482496000">
              <wp:simplePos x="0" y="0"/>
              <wp:positionH relativeFrom="page">
                <wp:posOffset>6468617</wp:posOffset>
              </wp:positionH>
              <wp:positionV relativeFrom="page">
                <wp:posOffset>9478257</wp:posOffset>
              </wp:positionV>
              <wp:extent cx="274320" cy="16700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74320" cy="167005"/>
                      </a:xfrm>
                      <a:prstGeom prst="rect">
                        <a:avLst/>
                      </a:prstGeom>
                    </wps:spPr>
                    <wps:txbx>
                      <w:txbxContent>
                        <w:p>
                          <w:pPr>
                            <w:spacing w:before="12"/>
                            <w:ind w:left="2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100</w:t>
                          </w:r>
                          <w:r>
                            <w:rPr>
                              <w:rFonts w:ascii="Arial"/>
                              <w:b/>
                              <w:spacing w:val="-5"/>
                              <w:sz w:val="20"/>
                            </w:rPr>
                            <w:fldChar w:fldCharType="end"/>
                          </w:r>
                        </w:p>
                      </w:txbxContent>
                    </wps:txbx>
                    <wps:bodyPr wrap="square" lIns="0" tIns="0" rIns="0" bIns="0" rtlCol="0">
                      <a:noAutofit/>
                    </wps:bodyPr>
                  </wps:wsp>
                </a:graphicData>
              </a:graphic>
            </wp:anchor>
          </w:drawing>
        </mc:Choice>
        <mc:Fallback>
          <w:pict>
            <v:shape style="position:absolute;margin-left:509.339996pt;margin-top:746.319458pt;width:21.6pt;height:13.15pt;mso-position-horizontal-relative:page;mso-position-vertical-relative:page;z-index:-20820480" type="#_x0000_t202" id="docshape10" filled="false" stroked="false">
              <v:textbox inset="0,0,0,0">
                <w:txbxContent>
                  <w:p>
                    <w:pPr>
                      <w:spacing w:before="12"/>
                      <w:ind w:left="2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100</w:t>
                    </w:r>
                    <w:r>
                      <w:rPr>
                        <w:rFonts w:ascii="Arial"/>
                        <w:b/>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498560">
              <wp:simplePos x="0" y="0"/>
              <wp:positionH relativeFrom="page">
                <wp:posOffset>2753995</wp:posOffset>
              </wp:positionH>
              <wp:positionV relativeFrom="page">
                <wp:posOffset>9475947</wp:posOffset>
              </wp:positionV>
              <wp:extent cx="2037714" cy="1397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037714"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216.850006pt;margin-top:746.137573pt;width:160.450pt;height:11pt;mso-position-horizontal-relative:page;mso-position-vertical-relative:page;z-index:-20817920" type="#_x0000_t202" id="docshape14"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v:textbox>
              <w10:wrap type="none"/>
            </v:shape>
          </w:pict>
        </mc:Fallback>
      </mc:AlternateContent>
    </w:r>
    <w:r>
      <w:rPr/>
      <mc:AlternateContent>
        <mc:Choice Requires="wps">
          <w:drawing>
            <wp:anchor distT="0" distB="0" distL="0" distR="0" allowOverlap="1" layoutInCell="1" locked="0" behindDoc="1" simplePos="0" relativeHeight="482499072">
              <wp:simplePos x="0" y="0"/>
              <wp:positionH relativeFrom="page">
                <wp:posOffset>6443217</wp:posOffset>
              </wp:positionH>
              <wp:positionV relativeFrom="page">
                <wp:posOffset>9478257</wp:posOffset>
              </wp:positionV>
              <wp:extent cx="299720" cy="16700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99720" cy="167005"/>
                      </a:xfrm>
                      <a:prstGeom prst="rect">
                        <a:avLst/>
                      </a:prstGeom>
                    </wps:spPr>
                    <wps:txbx>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120</w:t>
                          </w:r>
                          <w:r>
                            <w:rPr>
                              <w:rFonts w:ascii="Arial"/>
                              <w:b/>
                              <w:spacing w:val="-5"/>
                              <w:sz w:val="20"/>
                            </w:rPr>
                            <w:fldChar w:fldCharType="end"/>
                          </w:r>
                        </w:p>
                      </w:txbxContent>
                    </wps:txbx>
                    <wps:bodyPr wrap="square" lIns="0" tIns="0" rIns="0" bIns="0" rtlCol="0">
                      <a:noAutofit/>
                    </wps:bodyPr>
                  </wps:wsp>
                </a:graphicData>
              </a:graphic>
            </wp:anchor>
          </w:drawing>
        </mc:Choice>
        <mc:Fallback>
          <w:pict>
            <v:shape style="position:absolute;margin-left:507.339996pt;margin-top:746.319458pt;width:23.6pt;height:13.15pt;mso-position-horizontal-relative:page;mso-position-vertical-relative:page;z-index:-20817408" type="#_x0000_t202" id="docshape15" filled="false" stroked="false">
              <v:textbox inset="0,0,0,0">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120</w:t>
                    </w:r>
                    <w:r>
                      <w:rPr>
                        <w:rFonts w:ascii="Arial"/>
                        <w:b/>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501120">
              <wp:simplePos x="0" y="0"/>
              <wp:positionH relativeFrom="page">
                <wp:posOffset>2753995</wp:posOffset>
              </wp:positionH>
              <wp:positionV relativeFrom="page">
                <wp:posOffset>9475947</wp:posOffset>
              </wp:positionV>
              <wp:extent cx="2037714" cy="1397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037714"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216.850006pt;margin-top:746.137573pt;width:160.450pt;height:11pt;mso-position-horizontal-relative:page;mso-position-vertical-relative:page;z-index:-20815360" type="#_x0000_t202" id="docshape19"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v:textbox>
              <w10:wrap type="none"/>
            </v:shape>
          </w:pict>
        </mc:Fallback>
      </mc:AlternateContent>
    </w:r>
    <w:r>
      <w:rPr/>
      <mc:AlternateContent>
        <mc:Choice Requires="wps">
          <w:drawing>
            <wp:anchor distT="0" distB="0" distL="0" distR="0" allowOverlap="1" layoutInCell="1" locked="0" behindDoc="1" simplePos="0" relativeHeight="482501632">
              <wp:simplePos x="0" y="0"/>
              <wp:positionH relativeFrom="page">
                <wp:posOffset>6443217</wp:posOffset>
              </wp:positionH>
              <wp:positionV relativeFrom="page">
                <wp:posOffset>9478257</wp:posOffset>
              </wp:positionV>
              <wp:extent cx="299720" cy="16700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99720" cy="167005"/>
                      </a:xfrm>
                      <a:prstGeom prst="rect">
                        <a:avLst/>
                      </a:prstGeom>
                    </wps:spPr>
                    <wps:txbx>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123</w:t>
                          </w:r>
                          <w:r>
                            <w:rPr>
                              <w:rFonts w:ascii="Arial"/>
                              <w:b/>
                              <w:spacing w:val="-5"/>
                              <w:sz w:val="20"/>
                            </w:rPr>
                            <w:fldChar w:fldCharType="end"/>
                          </w:r>
                        </w:p>
                      </w:txbxContent>
                    </wps:txbx>
                    <wps:bodyPr wrap="square" lIns="0" tIns="0" rIns="0" bIns="0" rtlCol="0">
                      <a:noAutofit/>
                    </wps:bodyPr>
                  </wps:wsp>
                </a:graphicData>
              </a:graphic>
            </wp:anchor>
          </w:drawing>
        </mc:Choice>
        <mc:Fallback>
          <w:pict>
            <v:shape style="position:absolute;margin-left:507.339996pt;margin-top:746.319458pt;width:23.6pt;height:13.15pt;mso-position-horizontal-relative:page;mso-position-vertical-relative:page;z-index:-20814848" type="#_x0000_t202" id="docshape20" filled="false" stroked="false">
              <v:textbox inset="0,0,0,0">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123</w:t>
                    </w:r>
                    <w:r>
                      <w:rPr>
                        <w:rFonts w:ascii="Arial"/>
                        <w:b/>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493952">
          <wp:simplePos x="0" y="0"/>
          <wp:positionH relativeFrom="page">
            <wp:posOffset>1143665</wp:posOffset>
          </wp:positionH>
          <wp:positionV relativeFrom="page">
            <wp:posOffset>654461</wp:posOffset>
          </wp:positionV>
          <wp:extent cx="673207" cy="68157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673207" cy="681577"/>
                  </a:xfrm>
                  <a:prstGeom prst="rect">
                    <a:avLst/>
                  </a:prstGeom>
                </pic:spPr>
              </pic:pic>
            </a:graphicData>
          </a:graphic>
        </wp:anchor>
      </w:drawing>
    </w:r>
    <w:r>
      <w:rPr/>
      <mc:AlternateContent>
        <mc:Choice Requires="wps">
          <w:drawing>
            <wp:anchor distT="0" distB="0" distL="0" distR="0" allowOverlap="1" layoutInCell="1" locked="0" behindDoc="1" simplePos="0" relativeHeight="482494464">
              <wp:simplePos x="0" y="0"/>
              <wp:positionH relativeFrom="page">
                <wp:posOffset>1954022</wp:posOffset>
              </wp:positionH>
              <wp:positionV relativeFrom="page">
                <wp:posOffset>789431</wp:posOffset>
              </wp:positionV>
              <wp:extent cx="4740910" cy="63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740910" cy="6350"/>
                      </a:xfrm>
                      <a:custGeom>
                        <a:avLst/>
                        <a:gdLst/>
                        <a:ahLst/>
                        <a:cxnLst/>
                        <a:rect l="l" t="t" r="r" b="b"/>
                        <a:pathLst>
                          <a:path w="4740910" h="6350">
                            <a:moveTo>
                              <a:pt x="4740529" y="0"/>
                            </a:moveTo>
                            <a:lnTo>
                              <a:pt x="0" y="0"/>
                            </a:lnTo>
                            <a:lnTo>
                              <a:pt x="0" y="6096"/>
                            </a:lnTo>
                            <a:lnTo>
                              <a:pt x="4740529" y="6096"/>
                            </a:lnTo>
                            <a:lnTo>
                              <a:pt x="47405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860001pt;margin-top:62.16pt;width:373.27pt;height:.48pt;mso-position-horizontal-relative:page;mso-position-vertical-relative:page;z-index:-20822016" id="docshape7"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2494976">
              <wp:simplePos x="0" y="0"/>
              <wp:positionH relativeFrom="page">
                <wp:posOffset>1941322</wp:posOffset>
              </wp:positionH>
              <wp:positionV relativeFrom="page">
                <wp:posOffset>444392</wp:posOffset>
              </wp:positionV>
              <wp:extent cx="4766310" cy="86296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4766310" cy="862965"/>
                      </a:xfrm>
                      <a:prstGeom prst="rect">
                        <a:avLst/>
                      </a:prstGeom>
                    </wps:spPr>
                    <wps:txbx>
                      <w:txbxContent>
                        <w:p>
                          <w:pPr>
                            <w:spacing w:line="252" w:lineRule="exact" w:before="20"/>
                            <w:ind w:left="0" w:right="92" w:firstLine="0"/>
                            <w:jc w:val="right"/>
                            <w:rPr>
                              <w:rFonts w:ascii="Arial"/>
                              <w:b/>
                              <w:sz w:val="22"/>
                            </w:rPr>
                          </w:pPr>
                          <w:r>
                            <w:rPr>
                              <w:rFonts w:ascii="Arial"/>
                              <w:b/>
                              <w:w w:val="80"/>
                              <w:sz w:val="22"/>
                            </w:rPr>
                            <w:t>LEY</w:t>
                          </w:r>
                          <w:r>
                            <w:rPr>
                              <w:rFonts w:ascii="Arial"/>
                              <w:b/>
                              <w:spacing w:val="1"/>
                              <w:sz w:val="22"/>
                            </w:rPr>
                            <w:t> </w:t>
                          </w:r>
                          <w:r>
                            <w:rPr>
                              <w:rFonts w:ascii="Arial"/>
                              <w:b/>
                              <w:w w:val="80"/>
                              <w:sz w:val="22"/>
                            </w:rPr>
                            <w:t>DE</w:t>
                          </w:r>
                          <w:r>
                            <w:rPr>
                              <w:rFonts w:ascii="Arial"/>
                              <w:b/>
                              <w:spacing w:val="2"/>
                              <w:sz w:val="22"/>
                            </w:rPr>
                            <w:t> </w:t>
                          </w:r>
                          <w:r>
                            <w:rPr>
                              <w:rFonts w:ascii="Arial"/>
                              <w:b/>
                              <w:w w:val="80"/>
                              <w:sz w:val="22"/>
                            </w:rPr>
                            <w:t>ORDENAMIENTO</w:t>
                          </w:r>
                          <w:r>
                            <w:rPr>
                              <w:rFonts w:ascii="Arial"/>
                              <w:b/>
                              <w:spacing w:val="3"/>
                              <w:sz w:val="22"/>
                            </w:rPr>
                            <w:t> </w:t>
                          </w:r>
                          <w:r>
                            <w:rPr>
                              <w:rFonts w:ascii="Arial"/>
                              <w:b/>
                              <w:w w:val="80"/>
                              <w:sz w:val="22"/>
                            </w:rPr>
                            <w:t>TERRITORIAL</w:t>
                          </w:r>
                          <w:r>
                            <w:rPr>
                              <w:rFonts w:ascii="Arial"/>
                              <w:b/>
                              <w:spacing w:val="3"/>
                              <w:sz w:val="22"/>
                            </w:rPr>
                            <w:t> </w:t>
                          </w:r>
                          <w:r>
                            <w:rPr>
                              <w:rFonts w:ascii="Arial"/>
                              <w:b/>
                              <w:w w:val="80"/>
                              <w:sz w:val="22"/>
                            </w:rPr>
                            <w:t>Y</w:t>
                          </w:r>
                          <w:r>
                            <w:rPr>
                              <w:rFonts w:ascii="Arial"/>
                              <w:b/>
                              <w:spacing w:val="2"/>
                              <w:sz w:val="22"/>
                            </w:rPr>
                            <w:t> </w:t>
                          </w:r>
                          <w:r>
                            <w:rPr>
                              <w:rFonts w:ascii="Arial"/>
                              <w:b/>
                              <w:w w:val="80"/>
                              <w:sz w:val="22"/>
                            </w:rPr>
                            <w:t>DESARROLLO</w:t>
                          </w:r>
                          <w:r>
                            <w:rPr>
                              <w:rFonts w:ascii="Arial"/>
                              <w:b/>
                              <w:spacing w:val="3"/>
                              <w:sz w:val="22"/>
                            </w:rPr>
                            <w:t> </w:t>
                          </w:r>
                          <w:r>
                            <w:rPr>
                              <w:rFonts w:ascii="Arial"/>
                              <w:b/>
                              <w:spacing w:val="-2"/>
                              <w:w w:val="80"/>
                              <w:sz w:val="22"/>
                            </w:rPr>
                            <w:t>URBANO</w:t>
                          </w:r>
                        </w:p>
                        <w:p>
                          <w:pPr>
                            <w:tabs>
                              <w:tab w:pos="4306" w:val="left" w:leader="none"/>
                            </w:tabs>
                            <w:spacing w:line="252" w:lineRule="exact" w:before="0"/>
                            <w:ind w:left="0" w:right="18" w:firstLine="0"/>
                            <w:jc w:val="right"/>
                            <w:rPr>
                              <w:rFonts w:ascii="Arial"/>
                              <w:b/>
                              <w:sz w:val="22"/>
                            </w:rPr>
                          </w:pPr>
                          <w:r>
                            <w:rPr>
                              <w:rFonts w:ascii="Arial"/>
                              <w:b/>
                              <w:sz w:val="22"/>
                              <w:u w:val="single"/>
                            </w:rPr>
                            <w:tab/>
                          </w:r>
                          <w:r>
                            <w:rPr>
                              <w:rFonts w:ascii="Arial"/>
                              <w:b/>
                              <w:w w:val="80"/>
                              <w:sz w:val="22"/>
                              <w:u w:val="single"/>
                            </w:rPr>
                            <w:t>DEL</w:t>
                          </w:r>
                          <w:r>
                            <w:rPr>
                              <w:rFonts w:ascii="Arial"/>
                              <w:b/>
                              <w:spacing w:val="-4"/>
                              <w:sz w:val="22"/>
                              <w:u w:val="single"/>
                            </w:rPr>
                            <w:t> </w:t>
                          </w:r>
                          <w:r>
                            <w:rPr>
                              <w:rFonts w:ascii="Arial"/>
                              <w:b/>
                              <w:w w:val="80"/>
                              <w:sz w:val="22"/>
                              <w:u w:val="single"/>
                            </w:rPr>
                            <w:t>ESTADO</w:t>
                          </w:r>
                          <w:r>
                            <w:rPr>
                              <w:rFonts w:ascii="Arial"/>
                              <w:b/>
                              <w:spacing w:val="-4"/>
                              <w:sz w:val="22"/>
                              <w:u w:val="single"/>
                            </w:rPr>
                            <w:t> </w:t>
                          </w:r>
                          <w:r>
                            <w:rPr>
                              <w:rFonts w:ascii="Arial"/>
                              <w:b/>
                              <w:w w:val="80"/>
                              <w:sz w:val="22"/>
                              <w:u w:val="single"/>
                            </w:rPr>
                            <w:t>DE</w:t>
                          </w:r>
                          <w:r>
                            <w:rPr>
                              <w:rFonts w:ascii="Arial"/>
                              <w:b/>
                              <w:spacing w:val="-5"/>
                              <w:sz w:val="22"/>
                              <w:u w:val="single"/>
                            </w:rPr>
                            <w:t> </w:t>
                          </w:r>
                          <w:r>
                            <w:rPr>
                              <w:rFonts w:ascii="Arial"/>
                              <w:b/>
                              <w:w w:val="80"/>
                              <w:sz w:val="22"/>
                              <w:u w:val="single"/>
                            </w:rPr>
                            <w:t>SAN</w:t>
                          </w:r>
                          <w:r>
                            <w:rPr>
                              <w:rFonts w:ascii="Arial"/>
                              <w:b/>
                              <w:spacing w:val="-4"/>
                              <w:sz w:val="22"/>
                              <w:u w:val="single"/>
                            </w:rPr>
                            <w:t> </w:t>
                          </w:r>
                          <w:r>
                            <w:rPr>
                              <w:rFonts w:ascii="Arial"/>
                              <w:b/>
                              <w:w w:val="80"/>
                              <w:sz w:val="22"/>
                              <w:u w:val="single"/>
                            </w:rPr>
                            <w:t>LUIS</w:t>
                          </w:r>
                          <w:r>
                            <w:rPr>
                              <w:rFonts w:ascii="Arial"/>
                              <w:b/>
                              <w:spacing w:val="-3"/>
                              <w:sz w:val="22"/>
                              <w:u w:val="single"/>
                            </w:rPr>
                            <w:t> </w:t>
                          </w:r>
                          <w:r>
                            <w:rPr>
                              <w:rFonts w:ascii="Arial"/>
                              <w:b/>
                              <w:spacing w:val="-2"/>
                              <w:w w:val="80"/>
                              <w:sz w:val="22"/>
                              <w:u w:val="single"/>
                            </w:rPr>
                            <w:t>POTOSI</w:t>
                          </w:r>
                          <w:r>
                            <w:rPr>
                              <w:rFonts w:ascii="Arial"/>
                              <w:b/>
                              <w:spacing w:val="40"/>
                              <w:sz w:val="22"/>
                              <w:u w:val="single"/>
                            </w:rPr>
                            <w:t> </w:t>
                          </w:r>
                        </w:p>
                        <w:p>
                          <w:pPr>
                            <w:spacing w:before="79"/>
                            <w:ind w:left="3546" w:right="0" w:firstLine="840"/>
                            <w:jc w:val="left"/>
                            <w:rPr>
                              <w:sz w:val="16"/>
                            </w:rPr>
                          </w:pPr>
                          <w:r>
                            <w:rPr>
                              <w:w w:val="80"/>
                              <w:sz w:val="16"/>
                            </w:rPr>
                            <w:t>CONGRESO DEL ESTADO DE SAN LUIS POTOSI</w:t>
                          </w:r>
                          <w:r>
                            <w:rPr>
                              <w:sz w:val="16"/>
                            </w:rPr>
                            <w:t> </w:t>
                          </w:r>
                          <w:r>
                            <w:rPr>
                              <w:w w:val="80"/>
                              <w:sz w:val="16"/>
                            </w:rPr>
                            <w:t>INSTITUTO</w:t>
                          </w:r>
                          <w:r>
                            <w:rPr>
                              <w:spacing w:val="-4"/>
                              <w:sz w:val="16"/>
                            </w:rPr>
                            <w:t> </w:t>
                          </w:r>
                          <w:r>
                            <w:rPr>
                              <w:w w:val="80"/>
                              <w:sz w:val="16"/>
                            </w:rPr>
                            <w:t>DE</w:t>
                          </w:r>
                          <w:r>
                            <w:rPr>
                              <w:spacing w:val="-1"/>
                              <w:sz w:val="16"/>
                            </w:rPr>
                            <w:t> </w:t>
                          </w:r>
                          <w:r>
                            <w:rPr>
                              <w:w w:val="80"/>
                              <w:sz w:val="16"/>
                            </w:rPr>
                            <w:t>INVESTIGACION</w:t>
                          </w:r>
                          <w:r>
                            <w:rPr>
                              <w:spacing w:val="2"/>
                              <w:sz w:val="16"/>
                            </w:rPr>
                            <w:t> </w:t>
                          </w:r>
                          <w:r>
                            <w:rPr>
                              <w:w w:val="80"/>
                              <w:sz w:val="16"/>
                            </w:rPr>
                            <w:t>Y</w:t>
                          </w:r>
                          <w:r>
                            <w:rPr>
                              <w:sz w:val="16"/>
                            </w:rPr>
                            <w:t> </w:t>
                          </w:r>
                          <w:r>
                            <w:rPr>
                              <w:w w:val="80"/>
                              <w:sz w:val="16"/>
                            </w:rPr>
                            <w:t>EVALUACION</w:t>
                          </w:r>
                          <w:r>
                            <w:rPr>
                              <w:spacing w:val="1"/>
                              <w:sz w:val="16"/>
                            </w:rPr>
                            <w:t> </w:t>
                          </w:r>
                          <w:r>
                            <w:rPr>
                              <w:spacing w:val="-2"/>
                              <w:w w:val="80"/>
                              <w:sz w:val="16"/>
                            </w:rPr>
                            <w:t>LEGISLATIVA</w:t>
                          </w:r>
                        </w:p>
                        <w:p>
                          <w:pPr>
                            <w:spacing w:line="183" w:lineRule="exact" w:before="0"/>
                            <w:ind w:left="4338" w:right="0" w:firstLine="0"/>
                            <w:jc w:val="left"/>
                            <w:rPr>
                              <w:sz w:val="16"/>
                            </w:rPr>
                          </w:pPr>
                          <w:r>
                            <w:rPr>
                              <w:w w:val="80"/>
                              <w:sz w:val="16"/>
                            </w:rPr>
                            <w:t>Publicada</w:t>
                          </w:r>
                          <w:r>
                            <w:rPr>
                              <w:spacing w:val="-5"/>
                              <w:sz w:val="16"/>
                            </w:rPr>
                            <w:t> </w:t>
                          </w:r>
                          <w:r>
                            <w:rPr>
                              <w:w w:val="80"/>
                              <w:sz w:val="16"/>
                            </w:rPr>
                            <w:t>en</w:t>
                          </w:r>
                          <w:r>
                            <w:rPr>
                              <w:spacing w:val="-4"/>
                              <w:sz w:val="16"/>
                            </w:rPr>
                            <w:t> </w:t>
                          </w:r>
                          <w:r>
                            <w:rPr>
                              <w:w w:val="80"/>
                              <w:sz w:val="16"/>
                            </w:rPr>
                            <w:t>el</w:t>
                          </w:r>
                          <w:r>
                            <w:rPr>
                              <w:spacing w:val="-6"/>
                              <w:sz w:val="16"/>
                            </w:rPr>
                            <w:t> </w:t>
                          </w:r>
                          <w:r>
                            <w:rPr>
                              <w:w w:val="80"/>
                              <w:sz w:val="16"/>
                            </w:rPr>
                            <w:t>Periódico</w:t>
                          </w:r>
                          <w:r>
                            <w:rPr>
                              <w:spacing w:val="-4"/>
                              <w:sz w:val="16"/>
                            </w:rPr>
                            <w:t> </w:t>
                          </w:r>
                          <w:r>
                            <w:rPr>
                              <w:w w:val="80"/>
                              <w:sz w:val="16"/>
                            </w:rPr>
                            <w:t>Oficial:</w:t>
                          </w:r>
                          <w:r>
                            <w:rPr>
                              <w:spacing w:val="-7"/>
                              <w:sz w:val="16"/>
                            </w:rPr>
                            <w:t> </w:t>
                          </w:r>
                          <w:r>
                            <w:rPr>
                              <w:w w:val="80"/>
                              <w:sz w:val="16"/>
                            </w:rPr>
                            <w:t>17</w:t>
                          </w:r>
                          <w:r>
                            <w:rPr>
                              <w:spacing w:val="-4"/>
                              <w:sz w:val="16"/>
                            </w:rPr>
                            <w:t> </w:t>
                          </w:r>
                          <w:r>
                            <w:rPr>
                              <w:w w:val="80"/>
                              <w:sz w:val="16"/>
                            </w:rPr>
                            <w:t>de</w:t>
                          </w:r>
                          <w:r>
                            <w:rPr>
                              <w:spacing w:val="-5"/>
                              <w:sz w:val="16"/>
                            </w:rPr>
                            <w:t> </w:t>
                          </w:r>
                          <w:r>
                            <w:rPr>
                              <w:w w:val="80"/>
                              <w:sz w:val="16"/>
                            </w:rPr>
                            <w:t>julio</w:t>
                          </w:r>
                          <w:r>
                            <w:rPr>
                              <w:spacing w:val="-4"/>
                              <w:sz w:val="16"/>
                            </w:rPr>
                            <w:t> </w:t>
                          </w:r>
                          <w:r>
                            <w:rPr>
                              <w:w w:val="80"/>
                              <w:sz w:val="16"/>
                            </w:rPr>
                            <w:t>de</w:t>
                          </w:r>
                          <w:r>
                            <w:rPr>
                              <w:spacing w:val="-7"/>
                              <w:sz w:val="16"/>
                            </w:rPr>
                            <w:t> </w:t>
                          </w:r>
                          <w:r>
                            <w:rPr>
                              <w:spacing w:val="-4"/>
                              <w:w w:val="80"/>
                              <w:sz w:val="16"/>
                            </w:rPr>
                            <w:t>2018</w:t>
                          </w:r>
                        </w:p>
                        <w:p>
                          <w:pPr>
                            <w:spacing w:line="183" w:lineRule="exact" w:before="0"/>
                            <w:ind w:left="4761"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4"/>
                              <w:sz w:val="16"/>
                            </w:rPr>
                            <w:t> </w:t>
                          </w:r>
                          <w:r>
                            <w:rPr>
                              <w:rFonts w:ascii="Arial" w:hAnsi="Arial"/>
                              <w:b/>
                              <w:w w:val="80"/>
                              <w:sz w:val="16"/>
                            </w:rPr>
                            <w:t>reforma:</w:t>
                          </w:r>
                          <w:r>
                            <w:rPr>
                              <w:rFonts w:ascii="Arial" w:hAnsi="Arial"/>
                              <w:b/>
                              <w:spacing w:val="-4"/>
                              <w:sz w:val="16"/>
                            </w:rPr>
                            <w:t> </w:t>
                          </w:r>
                          <w:r>
                            <w:rPr>
                              <w:rFonts w:ascii="Arial" w:hAnsi="Arial"/>
                              <w:b/>
                              <w:w w:val="80"/>
                              <w:sz w:val="16"/>
                            </w:rPr>
                            <w:t>22</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w w:val="80"/>
                              <w:sz w:val="16"/>
                            </w:rPr>
                            <w:t>mayo</w:t>
                          </w:r>
                          <w:r>
                            <w:rPr>
                              <w:rFonts w:ascii="Arial" w:hAnsi="Arial"/>
                              <w:b/>
                              <w:spacing w:val="-4"/>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2.860001pt;margin-top:34.991562pt;width:375.3pt;height:67.95pt;mso-position-horizontal-relative:page;mso-position-vertical-relative:page;z-index:-20821504" type="#_x0000_t202" id="docshape8" filled="false" stroked="false">
              <v:textbox inset="0,0,0,0">
                <w:txbxContent>
                  <w:p>
                    <w:pPr>
                      <w:spacing w:line="252" w:lineRule="exact" w:before="20"/>
                      <w:ind w:left="0" w:right="92" w:firstLine="0"/>
                      <w:jc w:val="right"/>
                      <w:rPr>
                        <w:rFonts w:ascii="Arial"/>
                        <w:b/>
                        <w:sz w:val="22"/>
                      </w:rPr>
                    </w:pPr>
                    <w:r>
                      <w:rPr>
                        <w:rFonts w:ascii="Arial"/>
                        <w:b/>
                        <w:w w:val="80"/>
                        <w:sz w:val="22"/>
                      </w:rPr>
                      <w:t>LEY</w:t>
                    </w:r>
                    <w:r>
                      <w:rPr>
                        <w:rFonts w:ascii="Arial"/>
                        <w:b/>
                        <w:spacing w:val="1"/>
                        <w:sz w:val="22"/>
                      </w:rPr>
                      <w:t> </w:t>
                    </w:r>
                    <w:r>
                      <w:rPr>
                        <w:rFonts w:ascii="Arial"/>
                        <w:b/>
                        <w:w w:val="80"/>
                        <w:sz w:val="22"/>
                      </w:rPr>
                      <w:t>DE</w:t>
                    </w:r>
                    <w:r>
                      <w:rPr>
                        <w:rFonts w:ascii="Arial"/>
                        <w:b/>
                        <w:spacing w:val="2"/>
                        <w:sz w:val="22"/>
                      </w:rPr>
                      <w:t> </w:t>
                    </w:r>
                    <w:r>
                      <w:rPr>
                        <w:rFonts w:ascii="Arial"/>
                        <w:b/>
                        <w:w w:val="80"/>
                        <w:sz w:val="22"/>
                      </w:rPr>
                      <w:t>ORDENAMIENTO</w:t>
                    </w:r>
                    <w:r>
                      <w:rPr>
                        <w:rFonts w:ascii="Arial"/>
                        <w:b/>
                        <w:spacing w:val="3"/>
                        <w:sz w:val="22"/>
                      </w:rPr>
                      <w:t> </w:t>
                    </w:r>
                    <w:r>
                      <w:rPr>
                        <w:rFonts w:ascii="Arial"/>
                        <w:b/>
                        <w:w w:val="80"/>
                        <w:sz w:val="22"/>
                      </w:rPr>
                      <w:t>TERRITORIAL</w:t>
                    </w:r>
                    <w:r>
                      <w:rPr>
                        <w:rFonts w:ascii="Arial"/>
                        <w:b/>
                        <w:spacing w:val="3"/>
                        <w:sz w:val="22"/>
                      </w:rPr>
                      <w:t> </w:t>
                    </w:r>
                    <w:r>
                      <w:rPr>
                        <w:rFonts w:ascii="Arial"/>
                        <w:b/>
                        <w:w w:val="80"/>
                        <w:sz w:val="22"/>
                      </w:rPr>
                      <w:t>Y</w:t>
                    </w:r>
                    <w:r>
                      <w:rPr>
                        <w:rFonts w:ascii="Arial"/>
                        <w:b/>
                        <w:spacing w:val="2"/>
                        <w:sz w:val="22"/>
                      </w:rPr>
                      <w:t> </w:t>
                    </w:r>
                    <w:r>
                      <w:rPr>
                        <w:rFonts w:ascii="Arial"/>
                        <w:b/>
                        <w:w w:val="80"/>
                        <w:sz w:val="22"/>
                      </w:rPr>
                      <w:t>DESARROLLO</w:t>
                    </w:r>
                    <w:r>
                      <w:rPr>
                        <w:rFonts w:ascii="Arial"/>
                        <w:b/>
                        <w:spacing w:val="3"/>
                        <w:sz w:val="22"/>
                      </w:rPr>
                      <w:t> </w:t>
                    </w:r>
                    <w:r>
                      <w:rPr>
                        <w:rFonts w:ascii="Arial"/>
                        <w:b/>
                        <w:spacing w:val="-2"/>
                        <w:w w:val="80"/>
                        <w:sz w:val="22"/>
                      </w:rPr>
                      <w:t>URBANO</w:t>
                    </w:r>
                  </w:p>
                  <w:p>
                    <w:pPr>
                      <w:tabs>
                        <w:tab w:pos="4306" w:val="left" w:leader="none"/>
                      </w:tabs>
                      <w:spacing w:line="252" w:lineRule="exact" w:before="0"/>
                      <w:ind w:left="0" w:right="18" w:firstLine="0"/>
                      <w:jc w:val="right"/>
                      <w:rPr>
                        <w:rFonts w:ascii="Arial"/>
                        <w:b/>
                        <w:sz w:val="22"/>
                      </w:rPr>
                    </w:pPr>
                    <w:r>
                      <w:rPr>
                        <w:rFonts w:ascii="Arial"/>
                        <w:b/>
                        <w:sz w:val="22"/>
                        <w:u w:val="single"/>
                      </w:rPr>
                      <w:tab/>
                    </w:r>
                    <w:r>
                      <w:rPr>
                        <w:rFonts w:ascii="Arial"/>
                        <w:b/>
                        <w:w w:val="80"/>
                        <w:sz w:val="22"/>
                        <w:u w:val="single"/>
                      </w:rPr>
                      <w:t>DEL</w:t>
                    </w:r>
                    <w:r>
                      <w:rPr>
                        <w:rFonts w:ascii="Arial"/>
                        <w:b/>
                        <w:spacing w:val="-4"/>
                        <w:sz w:val="22"/>
                        <w:u w:val="single"/>
                      </w:rPr>
                      <w:t> </w:t>
                    </w:r>
                    <w:r>
                      <w:rPr>
                        <w:rFonts w:ascii="Arial"/>
                        <w:b/>
                        <w:w w:val="80"/>
                        <w:sz w:val="22"/>
                        <w:u w:val="single"/>
                      </w:rPr>
                      <w:t>ESTADO</w:t>
                    </w:r>
                    <w:r>
                      <w:rPr>
                        <w:rFonts w:ascii="Arial"/>
                        <w:b/>
                        <w:spacing w:val="-4"/>
                        <w:sz w:val="22"/>
                        <w:u w:val="single"/>
                      </w:rPr>
                      <w:t> </w:t>
                    </w:r>
                    <w:r>
                      <w:rPr>
                        <w:rFonts w:ascii="Arial"/>
                        <w:b/>
                        <w:w w:val="80"/>
                        <w:sz w:val="22"/>
                        <w:u w:val="single"/>
                      </w:rPr>
                      <w:t>DE</w:t>
                    </w:r>
                    <w:r>
                      <w:rPr>
                        <w:rFonts w:ascii="Arial"/>
                        <w:b/>
                        <w:spacing w:val="-5"/>
                        <w:sz w:val="22"/>
                        <w:u w:val="single"/>
                      </w:rPr>
                      <w:t> </w:t>
                    </w:r>
                    <w:r>
                      <w:rPr>
                        <w:rFonts w:ascii="Arial"/>
                        <w:b/>
                        <w:w w:val="80"/>
                        <w:sz w:val="22"/>
                        <w:u w:val="single"/>
                      </w:rPr>
                      <w:t>SAN</w:t>
                    </w:r>
                    <w:r>
                      <w:rPr>
                        <w:rFonts w:ascii="Arial"/>
                        <w:b/>
                        <w:spacing w:val="-4"/>
                        <w:sz w:val="22"/>
                        <w:u w:val="single"/>
                      </w:rPr>
                      <w:t> </w:t>
                    </w:r>
                    <w:r>
                      <w:rPr>
                        <w:rFonts w:ascii="Arial"/>
                        <w:b/>
                        <w:w w:val="80"/>
                        <w:sz w:val="22"/>
                        <w:u w:val="single"/>
                      </w:rPr>
                      <w:t>LUIS</w:t>
                    </w:r>
                    <w:r>
                      <w:rPr>
                        <w:rFonts w:ascii="Arial"/>
                        <w:b/>
                        <w:spacing w:val="-3"/>
                        <w:sz w:val="22"/>
                        <w:u w:val="single"/>
                      </w:rPr>
                      <w:t> </w:t>
                    </w:r>
                    <w:r>
                      <w:rPr>
                        <w:rFonts w:ascii="Arial"/>
                        <w:b/>
                        <w:spacing w:val="-2"/>
                        <w:w w:val="80"/>
                        <w:sz w:val="22"/>
                        <w:u w:val="single"/>
                      </w:rPr>
                      <w:t>POTOSI</w:t>
                    </w:r>
                    <w:r>
                      <w:rPr>
                        <w:rFonts w:ascii="Arial"/>
                        <w:b/>
                        <w:spacing w:val="40"/>
                        <w:sz w:val="22"/>
                        <w:u w:val="single"/>
                      </w:rPr>
                      <w:t> </w:t>
                    </w:r>
                  </w:p>
                  <w:p>
                    <w:pPr>
                      <w:spacing w:before="79"/>
                      <w:ind w:left="3546" w:right="0" w:firstLine="840"/>
                      <w:jc w:val="left"/>
                      <w:rPr>
                        <w:sz w:val="16"/>
                      </w:rPr>
                    </w:pPr>
                    <w:r>
                      <w:rPr>
                        <w:w w:val="80"/>
                        <w:sz w:val="16"/>
                      </w:rPr>
                      <w:t>CONGRESO DEL ESTADO DE SAN LUIS POTOSI</w:t>
                    </w:r>
                    <w:r>
                      <w:rPr>
                        <w:sz w:val="16"/>
                      </w:rPr>
                      <w:t> </w:t>
                    </w:r>
                    <w:r>
                      <w:rPr>
                        <w:w w:val="80"/>
                        <w:sz w:val="16"/>
                      </w:rPr>
                      <w:t>INSTITUTO</w:t>
                    </w:r>
                    <w:r>
                      <w:rPr>
                        <w:spacing w:val="-4"/>
                        <w:sz w:val="16"/>
                      </w:rPr>
                      <w:t> </w:t>
                    </w:r>
                    <w:r>
                      <w:rPr>
                        <w:w w:val="80"/>
                        <w:sz w:val="16"/>
                      </w:rPr>
                      <w:t>DE</w:t>
                    </w:r>
                    <w:r>
                      <w:rPr>
                        <w:spacing w:val="-1"/>
                        <w:sz w:val="16"/>
                      </w:rPr>
                      <w:t> </w:t>
                    </w:r>
                    <w:r>
                      <w:rPr>
                        <w:w w:val="80"/>
                        <w:sz w:val="16"/>
                      </w:rPr>
                      <w:t>INVESTIGACION</w:t>
                    </w:r>
                    <w:r>
                      <w:rPr>
                        <w:spacing w:val="2"/>
                        <w:sz w:val="16"/>
                      </w:rPr>
                      <w:t> </w:t>
                    </w:r>
                    <w:r>
                      <w:rPr>
                        <w:w w:val="80"/>
                        <w:sz w:val="16"/>
                      </w:rPr>
                      <w:t>Y</w:t>
                    </w:r>
                    <w:r>
                      <w:rPr>
                        <w:sz w:val="16"/>
                      </w:rPr>
                      <w:t> </w:t>
                    </w:r>
                    <w:r>
                      <w:rPr>
                        <w:w w:val="80"/>
                        <w:sz w:val="16"/>
                      </w:rPr>
                      <w:t>EVALUACION</w:t>
                    </w:r>
                    <w:r>
                      <w:rPr>
                        <w:spacing w:val="1"/>
                        <w:sz w:val="16"/>
                      </w:rPr>
                      <w:t> </w:t>
                    </w:r>
                    <w:r>
                      <w:rPr>
                        <w:spacing w:val="-2"/>
                        <w:w w:val="80"/>
                        <w:sz w:val="16"/>
                      </w:rPr>
                      <w:t>LEGISLATIVA</w:t>
                    </w:r>
                  </w:p>
                  <w:p>
                    <w:pPr>
                      <w:spacing w:line="183" w:lineRule="exact" w:before="0"/>
                      <w:ind w:left="4338" w:right="0" w:firstLine="0"/>
                      <w:jc w:val="left"/>
                      <w:rPr>
                        <w:sz w:val="16"/>
                      </w:rPr>
                    </w:pPr>
                    <w:r>
                      <w:rPr>
                        <w:w w:val="80"/>
                        <w:sz w:val="16"/>
                      </w:rPr>
                      <w:t>Publicada</w:t>
                    </w:r>
                    <w:r>
                      <w:rPr>
                        <w:spacing w:val="-5"/>
                        <w:sz w:val="16"/>
                      </w:rPr>
                      <w:t> </w:t>
                    </w:r>
                    <w:r>
                      <w:rPr>
                        <w:w w:val="80"/>
                        <w:sz w:val="16"/>
                      </w:rPr>
                      <w:t>en</w:t>
                    </w:r>
                    <w:r>
                      <w:rPr>
                        <w:spacing w:val="-4"/>
                        <w:sz w:val="16"/>
                      </w:rPr>
                      <w:t> </w:t>
                    </w:r>
                    <w:r>
                      <w:rPr>
                        <w:w w:val="80"/>
                        <w:sz w:val="16"/>
                      </w:rPr>
                      <w:t>el</w:t>
                    </w:r>
                    <w:r>
                      <w:rPr>
                        <w:spacing w:val="-6"/>
                        <w:sz w:val="16"/>
                      </w:rPr>
                      <w:t> </w:t>
                    </w:r>
                    <w:r>
                      <w:rPr>
                        <w:w w:val="80"/>
                        <w:sz w:val="16"/>
                      </w:rPr>
                      <w:t>Periódico</w:t>
                    </w:r>
                    <w:r>
                      <w:rPr>
                        <w:spacing w:val="-4"/>
                        <w:sz w:val="16"/>
                      </w:rPr>
                      <w:t> </w:t>
                    </w:r>
                    <w:r>
                      <w:rPr>
                        <w:w w:val="80"/>
                        <w:sz w:val="16"/>
                      </w:rPr>
                      <w:t>Oficial:</w:t>
                    </w:r>
                    <w:r>
                      <w:rPr>
                        <w:spacing w:val="-7"/>
                        <w:sz w:val="16"/>
                      </w:rPr>
                      <w:t> </w:t>
                    </w:r>
                    <w:r>
                      <w:rPr>
                        <w:w w:val="80"/>
                        <w:sz w:val="16"/>
                      </w:rPr>
                      <w:t>17</w:t>
                    </w:r>
                    <w:r>
                      <w:rPr>
                        <w:spacing w:val="-4"/>
                        <w:sz w:val="16"/>
                      </w:rPr>
                      <w:t> </w:t>
                    </w:r>
                    <w:r>
                      <w:rPr>
                        <w:w w:val="80"/>
                        <w:sz w:val="16"/>
                      </w:rPr>
                      <w:t>de</w:t>
                    </w:r>
                    <w:r>
                      <w:rPr>
                        <w:spacing w:val="-5"/>
                        <w:sz w:val="16"/>
                      </w:rPr>
                      <w:t> </w:t>
                    </w:r>
                    <w:r>
                      <w:rPr>
                        <w:w w:val="80"/>
                        <w:sz w:val="16"/>
                      </w:rPr>
                      <w:t>julio</w:t>
                    </w:r>
                    <w:r>
                      <w:rPr>
                        <w:spacing w:val="-4"/>
                        <w:sz w:val="16"/>
                      </w:rPr>
                      <w:t> </w:t>
                    </w:r>
                    <w:r>
                      <w:rPr>
                        <w:w w:val="80"/>
                        <w:sz w:val="16"/>
                      </w:rPr>
                      <w:t>de</w:t>
                    </w:r>
                    <w:r>
                      <w:rPr>
                        <w:spacing w:val="-7"/>
                        <w:sz w:val="16"/>
                      </w:rPr>
                      <w:t> </w:t>
                    </w:r>
                    <w:r>
                      <w:rPr>
                        <w:spacing w:val="-4"/>
                        <w:w w:val="80"/>
                        <w:sz w:val="16"/>
                      </w:rPr>
                      <w:t>2018</w:t>
                    </w:r>
                  </w:p>
                  <w:p>
                    <w:pPr>
                      <w:spacing w:line="183" w:lineRule="exact" w:before="0"/>
                      <w:ind w:left="4761"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4"/>
                        <w:sz w:val="16"/>
                      </w:rPr>
                      <w:t> </w:t>
                    </w:r>
                    <w:r>
                      <w:rPr>
                        <w:rFonts w:ascii="Arial" w:hAnsi="Arial"/>
                        <w:b/>
                        <w:w w:val="80"/>
                        <w:sz w:val="16"/>
                      </w:rPr>
                      <w:t>reforma:</w:t>
                    </w:r>
                    <w:r>
                      <w:rPr>
                        <w:rFonts w:ascii="Arial" w:hAnsi="Arial"/>
                        <w:b/>
                        <w:spacing w:val="-4"/>
                        <w:sz w:val="16"/>
                      </w:rPr>
                      <w:t> </w:t>
                    </w:r>
                    <w:r>
                      <w:rPr>
                        <w:rFonts w:ascii="Arial" w:hAnsi="Arial"/>
                        <w:b/>
                        <w:w w:val="80"/>
                        <w:sz w:val="16"/>
                      </w:rPr>
                      <w:t>22</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w w:val="80"/>
                        <w:sz w:val="16"/>
                      </w:rPr>
                      <w:t>mayo</w:t>
                    </w:r>
                    <w:r>
                      <w:rPr>
                        <w:rFonts w:ascii="Arial" w:hAnsi="Arial"/>
                        <w:b/>
                        <w:spacing w:val="-4"/>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496512">
          <wp:simplePos x="0" y="0"/>
          <wp:positionH relativeFrom="page">
            <wp:posOffset>1143665</wp:posOffset>
          </wp:positionH>
          <wp:positionV relativeFrom="page">
            <wp:posOffset>654461</wp:posOffset>
          </wp:positionV>
          <wp:extent cx="673207" cy="681577"/>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673207" cy="681577"/>
                  </a:xfrm>
                  <a:prstGeom prst="rect">
                    <a:avLst/>
                  </a:prstGeom>
                </pic:spPr>
              </pic:pic>
            </a:graphicData>
          </a:graphic>
        </wp:anchor>
      </w:drawing>
    </w:r>
    <w:r>
      <w:rPr/>
      <mc:AlternateContent>
        <mc:Choice Requires="wps">
          <w:drawing>
            <wp:anchor distT="0" distB="0" distL="0" distR="0" allowOverlap="1" layoutInCell="1" locked="0" behindDoc="1" simplePos="0" relativeHeight="482497024">
              <wp:simplePos x="0" y="0"/>
              <wp:positionH relativeFrom="page">
                <wp:posOffset>1954022</wp:posOffset>
              </wp:positionH>
              <wp:positionV relativeFrom="page">
                <wp:posOffset>789431</wp:posOffset>
              </wp:positionV>
              <wp:extent cx="4740910" cy="635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40910" cy="6350"/>
                      </a:xfrm>
                      <a:custGeom>
                        <a:avLst/>
                        <a:gdLst/>
                        <a:ahLst/>
                        <a:cxnLst/>
                        <a:rect l="l" t="t" r="r" b="b"/>
                        <a:pathLst>
                          <a:path w="4740910" h="6350">
                            <a:moveTo>
                              <a:pt x="4740529" y="0"/>
                            </a:moveTo>
                            <a:lnTo>
                              <a:pt x="0" y="0"/>
                            </a:lnTo>
                            <a:lnTo>
                              <a:pt x="0" y="6096"/>
                            </a:lnTo>
                            <a:lnTo>
                              <a:pt x="4740529" y="6096"/>
                            </a:lnTo>
                            <a:lnTo>
                              <a:pt x="47405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860001pt;margin-top:62.16pt;width:373.27pt;height:.48pt;mso-position-horizontal-relative:page;mso-position-vertical-relative:page;z-index:-20819456" id="docshape1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2497536">
              <wp:simplePos x="0" y="0"/>
              <wp:positionH relativeFrom="page">
                <wp:posOffset>1136967</wp:posOffset>
              </wp:positionH>
              <wp:positionV relativeFrom="page">
                <wp:posOffset>1674151</wp:posOffset>
              </wp:positionV>
              <wp:extent cx="9525" cy="952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9525" cy="9525"/>
                      </a:xfrm>
                      <a:custGeom>
                        <a:avLst/>
                        <a:gdLst/>
                        <a:ahLst/>
                        <a:cxnLst/>
                        <a:rect l="l" t="t" r="r" b="b"/>
                        <a:pathLst>
                          <a:path w="9525" h="9525">
                            <a:moveTo>
                              <a:pt x="0" y="4749"/>
                            </a:moveTo>
                            <a:lnTo>
                              <a:pt x="1392" y="1391"/>
                            </a:lnTo>
                            <a:lnTo>
                              <a:pt x="4754" y="0"/>
                            </a:lnTo>
                            <a:lnTo>
                              <a:pt x="8116" y="1391"/>
                            </a:lnTo>
                            <a:lnTo>
                              <a:pt x="9508" y="4749"/>
                            </a:lnTo>
                            <a:lnTo>
                              <a:pt x="8116" y="8107"/>
                            </a:lnTo>
                            <a:lnTo>
                              <a:pt x="4754" y="9498"/>
                            </a:lnTo>
                            <a:lnTo>
                              <a:pt x="1392" y="8107"/>
                            </a:lnTo>
                            <a:lnTo>
                              <a:pt x="0" y="4749"/>
                            </a:lnTo>
                            <a:close/>
                          </a:path>
                        </a:pathLst>
                      </a:custGeom>
                      <a:solidFill>
                        <a:srgbClr val="D0D6E4"/>
                      </a:solidFill>
                    </wps:spPr>
                    <wps:bodyPr wrap="square" lIns="0" tIns="0" rIns="0" bIns="0" rtlCol="0">
                      <a:prstTxWarp prst="textNoShape">
                        <a:avLst/>
                      </a:prstTxWarp>
                      <a:noAutofit/>
                    </wps:bodyPr>
                  </wps:wsp>
                </a:graphicData>
              </a:graphic>
            </wp:anchor>
          </w:drawing>
        </mc:Choice>
        <mc:Fallback>
          <w:pict>
            <v:shape style="position:absolute;margin-left:89.524994pt;margin-top:131.822937pt;width:.75pt;height:.75pt;mso-position-horizontal-relative:page;mso-position-vertical-relative:page;z-index:-20818944" id="docshape12" coordorigin="1790,2636" coordsize="15,15" path="m1790,2644l1793,2639,1798,2636,1803,2639,1805,2644,1803,2649,1798,2651,1793,2649,1790,2644xe" filled="true" fillcolor="#d0d6e4" stroked="false">
              <v:path arrowok="t"/>
              <v:fill type="solid"/>
              <w10:wrap type="none"/>
            </v:shape>
          </w:pict>
        </mc:Fallback>
      </mc:AlternateContent>
    </w:r>
    <w:r>
      <w:rPr/>
      <mc:AlternateContent>
        <mc:Choice Requires="wps">
          <w:drawing>
            <wp:anchor distT="0" distB="0" distL="0" distR="0" allowOverlap="1" layoutInCell="1" locked="0" behindDoc="1" simplePos="0" relativeHeight="482498048">
              <wp:simplePos x="0" y="0"/>
              <wp:positionH relativeFrom="page">
                <wp:posOffset>1941322</wp:posOffset>
              </wp:positionH>
              <wp:positionV relativeFrom="page">
                <wp:posOffset>444392</wp:posOffset>
              </wp:positionV>
              <wp:extent cx="4766310" cy="86296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766310" cy="862965"/>
                      </a:xfrm>
                      <a:prstGeom prst="rect">
                        <a:avLst/>
                      </a:prstGeom>
                    </wps:spPr>
                    <wps:txbx>
                      <w:txbxContent>
                        <w:p>
                          <w:pPr>
                            <w:spacing w:line="252" w:lineRule="exact" w:before="20"/>
                            <w:ind w:left="0" w:right="92" w:firstLine="0"/>
                            <w:jc w:val="right"/>
                            <w:rPr>
                              <w:rFonts w:ascii="Arial"/>
                              <w:b/>
                              <w:sz w:val="22"/>
                            </w:rPr>
                          </w:pPr>
                          <w:r>
                            <w:rPr>
                              <w:rFonts w:ascii="Arial"/>
                              <w:b/>
                              <w:w w:val="80"/>
                              <w:sz w:val="22"/>
                            </w:rPr>
                            <w:t>LEY</w:t>
                          </w:r>
                          <w:r>
                            <w:rPr>
                              <w:rFonts w:ascii="Arial"/>
                              <w:b/>
                              <w:spacing w:val="1"/>
                              <w:sz w:val="22"/>
                            </w:rPr>
                            <w:t> </w:t>
                          </w:r>
                          <w:r>
                            <w:rPr>
                              <w:rFonts w:ascii="Arial"/>
                              <w:b/>
                              <w:w w:val="80"/>
                              <w:sz w:val="22"/>
                            </w:rPr>
                            <w:t>DE</w:t>
                          </w:r>
                          <w:r>
                            <w:rPr>
                              <w:rFonts w:ascii="Arial"/>
                              <w:b/>
                              <w:spacing w:val="2"/>
                              <w:sz w:val="22"/>
                            </w:rPr>
                            <w:t> </w:t>
                          </w:r>
                          <w:r>
                            <w:rPr>
                              <w:rFonts w:ascii="Arial"/>
                              <w:b/>
                              <w:w w:val="80"/>
                              <w:sz w:val="22"/>
                            </w:rPr>
                            <w:t>ORDENAMIENTO</w:t>
                          </w:r>
                          <w:r>
                            <w:rPr>
                              <w:rFonts w:ascii="Arial"/>
                              <w:b/>
                              <w:spacing w:val="3"/>
                              <w:sz w:val="22"/>
                            </w:rPr>
                            <w:t> </w:t>
                          </w:r>
                          <w:r>
                            <w:rPr>
                              <w:rFonts w:ascii="Arial"/>
                              <w:b/>
                              <w:w w:val="80"/>
                              <w:sz w:val="22"/>
                            </w:rPr>
                            <w:t>TERRITORIAL</w:t>
                          </w:r>
                          <w:r>
                            <w:rPr>
                              <w:rFonts w:ascii="Arial"/>
                              <w:b/>
                              <w:spacing w:val="3"/>
                              <w:sz w:val="22"/>
                            </w:rPr>
                            <w:t> </w:t>
                          </w:r>
                          <w:r>
                            <w:rPr>
                              <w:rFonts w:ascii="Arial"/>
                              <w:b/>
                              <w:w w:val="80"/>
                              <w:sz w:val="22"/>
                            </w:rPr>
                            <w:t>Y</w:t>
                          </w:r>
                          <w:r>
                            <w:rPr>
                              <w:rFonts w:ascii="Arial"/>
                              <w:b/>
                              <w:spacing w:val="2"/>
                              <w:sz w:val="22"/>
                            </w:rPr>
                            <w:t> </w:t>
                          </w:r>
                          <w:r>
                            <w:rPr>
                              <w:rFonts w:ascii="Arial"/>
                              <w:b/>
                              <w:w w:val="80"/>
                              <w:sz w:val="22"/>
                            </w:rPr>
                            <w:t>DESARROLLO</w:t>
                          </w:r>
                          <w:r>
                            <w:rPr>
                              <w:rFonts w:ascii="Arial"/>
                              <w:b/>
                              <w:spacing w:val="3"/>
                              <w:sz w:val="22"/>
                            </w:rPr>
                            <w:t> </w:t>
                          </w:r>
                          <w:r>
                            <w:rPr>
                              <w:rFonts w:ascii="Arial"/>
                              <w:b/>
                              <w:spacing w:val="-2"/>
                              <w:w w:val="80"/>
                              <w:sz w:val="22"/>
                            </w:rPr>
                            <w:t>URBANO</w:t>
                          </w:r>
                        </w:p>
                        <w:p>
                          <w:pPr>
                            <w:tabs>
                              <w:tab w:pos="4306" w:val="left" w:leader="none"/>
                            </w:tabs>
                            <w:spacing w:line="252" w:lineRule="exact" w:before="0"/>
                            <w:ind w:left="0" w:right="18" w:firstLine="0"/>
                            <w:jc w:val="right"/>
                            <w:rPr>
                              <w:rFonts w:ascii="Arial"/>
                              <w:b/>
                              <w:sz w:val="22"/>
                            </w:rPr>
                          </w:pPr>
                          <w:r>
                            <w:rPr>
                              <w:rFonts w:ascii="Arial"/>
                              <w:b/>
                              <w:sz w:val="22"/>
                              <w:u w:val="single"/>
                            </w:rPr>
                            <w:tab/>
                          </w:r>
                          <w:r>
                            <w:rPr>
                              <w:rFonts w:ascii="Arial"/>
                              <w:b/>
                              <w:w w:val="80"/>
                              <w:sz w:val="22"/>
                              <w:u w:val="single"/>
                            </w:rPr>
                            <w:t>DEL</w:t>
                          </w:r>
                          <w:r>
                            <w:rPr>
                              <w:rFonts w:ascii="Arial"/>
                              <w:b/>
                              <w:spacing w:val="-4"/>
                              <w:sz w:val="22"/>
                              <w:u w:val="single"/>
                            </w:rPr>
                            <w:t> </w:t>
                          </w:r>
                          <w:r>
                            <w:rPr>
                              <w:rFonts w:ascii="Arial"/>
                              <w:b/>
                              <w:w w:val="80"/>
                              <w:sz w:val="22"/>
                              <w:u w:val="single"/>
                            </w:rPr>
                            <w:t>ESTADO</w:t>
                          </w:r>
                          <w:r>
                            <w:rPr>
                              <w:rFonts w:ascii="Arial"/>
                              <w:b/>
                              <w:spacing w:val="-4"/>
                              <w:sz w:val="22"/>
                              <w:u w:val="single"/>
                            </w:rPr>
                            <w:t> </w:t>
                          </w:r>
                          <w:r>
                            <w:rPr>
                              <w:rFonts w:ascii="Arial"/>
                              <w:b/>
                              <w:w w:val="80"/>
                              <w:sz w:val="22"/>
                              <w:u w:val="single"/>
                            </w:rPr>
                            <w:t>DE</w:t>
                          </w:r>
                          <w:r>
                            <w:rPr>
                              <w:rFonts w:ascii="Arial"/>
                              <w:b/>
                              <w:spacing w:val="-5"/>
                              <w:sz w:val="22"/>
                              <w:u w:val="single"/>
                            </w:rPr>
                            <w:t> </w:t>
                          </w:r>
                          <w:r>
                            <w:rPr>
                              <w:rFonts w:ascii="Arial"/>
                              <w:b/>
                              <w:w w:val="80"/>
                              <w:sz w:val="22"/>
                              <w:u w:val="single"/>
                            </w:rPr>
                            <w:t>SAN</w:t>
                          </w:r>
                          <w:r>
                            <w:rPr>
                              <w:rFonts w:ascii="Arial"/>
                              <w:b/>
                              <w:spacing w:val="-4"/>
                              <w:sz w:val="22"/>
                              <w:u w:val="single"/>
                            </w:rPr>
                            <w:t> </w:t>
                          </w:r>
                          <w:r>
                            <w:rPr>
                              <w:rFonts w:ascii="Arial"/>
                              <w:b/>
                              <w:w w:val="80"/>
                              <w:sz w:val="22"/>
                              <w:u w:val="single"/>
                            </w:rPr>
                            <w:t>LUIS</w:t>
                          </w:r>
                          <w:r>
                            <w:rPr>
                              <w:rFonts w:ascii="Arial"/>
                              <w:b/>
                              <w:spacing w:val="-3"/>
                              <w:sz w:val="22"/>
                              <w:u w:val="single"/>
                            </w:rPr>
                            <w:t> </w:t>
                          </w:r>
                          <w:r>
                            <w:rPr>
                              <w:rFonts w:ascii="Arial"/>
                              <w:b/>
                              <w:spacing w:val="-2"/>
                              <w:w w:val="80"/>
                              <w:sz w:val="22"/>
                              <w:u w:val="single"/>
                            </w:rPr>
                            <w:t>POTOSI</w:t>
                          </w:r>
                          <w:r>
                            <w:rPr>
                              <w:rFonts w:ascii="Arial"/>
                              <w:b/>
                              <w:spacing w:val="40"/>
                              <w:sz w:val="22"/>
                              <w:u w:val="single"/>
                            </w:rPr>
                            <w:t> </w:t>
                          </w:r>
                        </w:p>
                        <w:p>
                          <w:pPr>
                            <w:spacing w:before="79"/>
                            <w:ind w:left="3546" w:right="0" w:firstLine="840"/>
                            <w:jc w:val="left"/>
                            <w:rPr>
                              <w:sz w:val="16"/>
                            </w:rPr>
                          </w:pPr>
                          <w:r>
                            <w:rPr>
                              <w:w w:val="80"/>
                              <w:sz w:val="16"/>
                            </w:rPr>
                            <w:t>CONGRESO DEL ESTADO DE SAN LUIS POTOSI</w:t>
                          </w:r>
                          <w:r>
                            <w:rPr>
                              <w:sz w:val="16"/>
                            </w:rPr>
                            <w:t> </w:t>
                          </w:r>
                          <w:r>
                            <w:rPr>
                              <w:w w:val="80"/>
                              <w:sz w:val="16"/>
                            </w:rPr>
                            <w:t>INSTITUTO</w:t>
                          </w:r>
                          <w:r>
                            <w:rPr>
                              <w:spacing w:val="-4"/>
                              <w:sz w:val="16"/>
                            </w:rPr>
                            <w:t> </w:t>
                          </w:r>
                          <w:r>
                            <w:rPr>
                              <w:w w:val="80"/>
                              <w:sz w:val="16"/>
                            </w:rPr>
                            <w:t>DE</w:t>
                          </w:r>
                          <w:r>
                            <w:rPr>
                              <w:spacing w:val="-1"/>
                              <w:sz w:val="16"/>
                            </w:rPr>
                            <w:t> </w:t>
                          </w:r>
                          <w:r>
                            <w:rPr>
                              <w:w w:val="80"/>
                              <w:sz w:val="16"/>
                            </w:rPr>
                            <w:t>INVESTIGACION</w:t>
                          </w:r>
                          <w:r>
                            <w:rPr>
                              <w:spacing w:val="2"/>
                              <w:sz w:val="16"/>
                            </w:rPr>
                            <w:t> </w:t>
                          </w:r>
                          <w:r>
                            <w:rPr>
                              <w:w w:val="80"/>
                              <w:sz w:val="16"/>
                            </w:rPr>
                            <w:t>Y</w:t>
                          </w:r>
                          <w:r>
                            <w:rPr>
                              <w:sz w:val="16"/>
                            </w:rPr>
                            <w:t> </w:t>
                          </w:r>
                          <w:r>
                            <w:rPr>
                              <w:w w:val="80"/>
                              <w:sz w:val="16"/>
                            </w:rPr>
                            <w:t>EVALUACION</w:t>
                          </w:r>
                          <w:r>
                            <w:rPr>
                              <w:spacing w:val="1"/>
                              <w:sz w:val="16"/>
                            </w:rPr>
                            <w:t> </w:t>
                          </w:r>
                          <w:r>
                            <w:rPr>
                              <w:spacing w:val="-2"/>
                              <w:w w:val="80"/>
                              <w:sz w:val="16"/>
                            </w:rPr>
                            <w:t>LEGISLATIVA</w:t>
                          </w:r>
                        </w:p>
                        <w:p>
                          <w:pPr>
                            <w:spacing w:line="183" w:lineRule="exact" w:before="0"/>
                            <w:ind w:left="4338" w:right="0" w:firstLine="0"/>
                            <w:jc w:val="left"/>
                            <w:rPr>
                              <w:sz w:val="16"/>
                            </w:rPr>
                          </w:pPr>
                          <w:r>
                            <w:rPr>
                              <w:w w:val="80"/>
                              <w:sz w:val="16"/>
                            </w:rPr>
                            <w:t>Publicada</w:t>
                          </w:r>
                          <w:r>
                            <w:rPr>
                              <w:spacing w:val="-5"/>
                              <w:sz w:val="16"/>
                            </w:rPr>
                            <w:t> </w:t>
                          </w:r>
                          <w:r>
                            <w:rPr>
                              <w:w w:val="80"/>
                              <w:sz w:val="16"/>
                            </w:rPr>
                            <w:t>en</w:t>
                          </w:r>
                          <w:r>
                            <w:rPr>
                              <w:spacing w:val="-4"/>
                              <w:sz w:val="16"/>
                            </w:rPr>
                            <w:t> </w:t>
                          </w:r>
                          <w:r>
                            <w:rPr>
                              <w:w w:val="80"/>
                              <w:sz w:val="16"/>
                            </w:rPr>
                            <w:t>el</w:t>
                          </w:r>
                          <w:r>
                            <w:rPr>
                              <w:spacing w:val="-6"/>
                              <w:sz w:val="16"/>
                            </w:rPr>
                            <w:t> </w:t>
                          </w:r>
                          <w:r>
                            <w:rPr>
                              <w:w w:val="80"/>
                              <w:sz w:val="16"/>
                            </w:rPr>
                            <w:t>Periódico</w:t>
                          </w:r>
                          <w:r>
                            <w:rPr>
                              <w:spacing w:val="-4"/>
                              <w:sz w:val="16"/>
                            </w:rPr>
                            <w:t> </w:t>
                          </w:r>
                          <w:r>
                            <w:rPr>
                              <w:w w:val="80"/>
                              <w:sz w:val="16"/>
                            </w:rPr>
                            <w:t>Oficial:</w:t>
                          </w:r>
                          <w:r>
                            <w:rPr>
                              <w:spacing w:val="-7"/>
                              <w:sz w:val="16"/>
                            </w:rPr>
                            <w:t> </w:t>
                          </w:r>
                          <w:r>
                            <w:rPr>
                              <w:w w:val="80"/>
                              <w:sz w:val="16"/>
                            </w:rPr>
                            <w:t>17</w:t>
                          </w:r>
                          <w:r>
                            <w:rPr>
                              <w:spacing w:val="-4"/>
                              <w:sz w:val="16"/>
                            </w:rPr>
                            <w:t> </w:t>
                          </w:r>
                          <w:r>
                            <w:rPr>
                              <w:w w:val="80"/>
                              <w:sz w:val="16"/>
                            </w:rPr>
                            <w:t>de</w:t>
                          </w:r>
                          <w:r>
                            <w:rPr>
                              <w:spacing w:val="-5"/>
                              <w:sz w:val="16"/>
                            </w:rPr>
                            <w:t> </w:t>
                          </w:r>
                          <w:r>
                            <w:rPr>
                              <w:w w:val="80"/>
                              <w:sz w:val="16"/>
                            </w:rPr>
                            <w:t>julio</w:t>
                          </w:r>
                          <w:r>
                            <w:rPr>
                              <w:spacing w:val="-4"/>
                              <w:sz w:val="16"/>
                            </w:rPr>
                            <w:t> </w:t>
                          </w:r>
                          <w:r>
                            <w:rPr>
                              <w:w w:val="80"/>
                              <w:sz w:val="16"/>
                            </w:rPr>
                            <w:t>de</w:t>
                          </w:r>
                          <w:r>
                            <w:rPr>
                              <w:spacing w:val="-7"/>
                              <w:sz w:val="16"/>
                            </w:rPr>
                            <w:t> </w:t>
                          </w:r>
                          <w:r>
                            <w:rPr>
                              <w:spacing w:val="-4"/>
                              <w:w w:val="80"/>
                              <w:sz w:val="16"/>
                            </w:rPr>
                            <w:t>2018</w:t>
                          </w:r>
                        </w:p>
                        <w:p>
                          <w:pPr>
                            <w:spacing w:line="183" w:lineRule="exact" w:before="0"/>
                            <w:ind w:left="4761"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4"/>
                              <w:sz w:val="16"/>
                            </w:rPr>
                            <w:t> </w:t>
                          </w:r>
                          <w:r>
                            <w:rPr>
                              <w:rFonts w:ascii="Arial" w:hAnsi="Arial"/>
                              <w:b/>
                              <w:w w:val="80"/>
                              <w:sz w:val="16"/>
                            </w:rPr>
                            <w:t>reforma:</w:t>
                          </w:r>
                          <w:r>
                            <w:rPr>
                              <w:rFonts w:ascii="Arial" w:hAnsi="Arial"/>
                              <w:b/>
                              <w:spacing w:val="-4"/>
                              <w:sz w:val="16"/>
                            </w:rPr>
                            <w:t> </w:t>
                          </w:r>
                          <w:r>
                            <w:rPr>
                              <w:rFonts w:ascii="Arial" w:hAnsi="Arial"/>
                              <w:b/>
                              <w:w w:val="80"/>
                              <w:sz w:val="16"/>
                            </w:rPr>
                            <w:t>22</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w w:val="80"/>
                              <w:sz w:val="16"/>
                            </w:rPr>
                            <w:t>mayo</w:t>
                          </w:r>
                          <w:r>
                            <w:rPr>
                              <w:rFonts w:ascii="Arial" w:hAnsi="Arial"/>
                              <w:b/>
                              <w:spacing w:val="-4"/>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 style="position:absolute;margin-left:152.860001pt;margin-top:34.991562pt;width:375.3pt;height:67.95pt;mso-position-horizontal-relative:page;mso-position-vertical-relative:page;z-index:-20818432" type="#_x0000_t202" id="docshape13" filled="false" stroked="false">
              <v:textbox inset="0,0,0,0">
                <w:txbxContent>
                  <w:p>
                    <w:pPr>
                      <w:spacing w:line="252" w:lineRule="exact" w:before="20"/>
                      <w:ind w:left="0" w:right="92" w:firstLine="0"/>
                      <w:jc w:val="right"/>
                      <w:rPr>
                        <w:rFonts w:ascii="Arial"/>
                        <w:b/>
                        <w:sz w:val="22"/>
                      </w:rPr>
                    </w:pPr>
                    <w:r>
                      <w:rPr>
                        <w:rFonts w:ascii="Arial"/>
                        <w:b/>
                        <w:w w:val="80"/>
                        <w:sz w:val="22"/>
                      </w:rPr>
                      <w:t>LEY</w:t>
                    </w:r>
                    <w:r>
                      <w:rPr>
                        <w:rFonts w:ascii="Arial"/>
                        <w:b/>
                        <w:spacing w:val="1"/>
                        <w:sz w:val="22"/>
                      </w:rPr>
                      <w:t> </w:t>
                    </w:r>
                    <w:r>
                      <w:rPr>
                        <w:rFonts w:ascii="Arial"/>
                        <w:b/>
                        <w:w w:val="80"/>
                        <w:sz w:val="22"/>
                      </w:rPr>
                      <w:t>DE</w:t>
                    </w:r>
                    <w:r>
                      <w:rPr>
                        <w:rFonts w:ascii="Arial"/>
                        <w:b/>
                        <w:spacing w:val="2"/>
                        <w:sz w:val="22"/>
                      </w:rPr>
                      <w:t> </w:t>
                    </w:r>
                    <w:r>
                      <w:rPr>
                        <w:rFonts w:ascii="Arial"/>
                        <w:b/>
                        <w:w w:val="80"/>
                        <w:sz w:val="22"/>
                      </w:rPr>
                      <w:t>ORDENAMIENTO</w:t>
                    </w:r>
                    <w:r>
                      <w:rPr>
                        <w:rFonts w:ascii="Arial"/>
                        <w:b/>
                        <w:spacing w:val="3"/>
                        <w:sz w:val="22"/>
                      </w:rPr>
                      <w:t> </w:t>
                    </w:r>
                    <w:r>
                      <w:rPr>
                        <w:rFonts w:ascii="Arial"/>
                        <w:b/>
                        <w:w w:val="80"/>
                        <w:sz w:val="22"/>
                      </w:rPr>
                      <w:t>TERRITORIAL</w:t>
                    </w:r>
                    <w:r>
                      <w:rPr>
                        <w:rFonts w:ascii="Arial"/>
                        <w:b/>
                        <w:spacing w:val="3"/>
                        <w:sz w:val="22"/>
                      </w:rPr>
                      <w:t> </w:t>
                    </w:r>
                    <w:r>
                      <w:rPr>
                        <w:rFonts w:ascii="Arial"/>
                        <w:b/>
                        <w:w w:val="80"/>
                        <w:sz w:val="22"/>
                      </w:rPr>
                      <w:t>Y</w:t>
                    </w:r>
                    <w:r>
                      <w:rPr>
                        <w:rFonts w:ascii="Arial"/>
                        <w:b/>
                        <w:spacing w:val="2"/>
                        <w:sz w:val="22"/>
                      </w:rPr>
                      <w:t> </w:t>
                    </w:r>
                    <w:r>
                      <w:rPr>
                        <w:rFonts w:ascii="Arial"/>
                        <w:b/>
                        <w:w w:val="80"/>
                        <w:sz w:val="22"/>
                      </w:rPr>
                      <w:t>DESARROLLO</w:t>
                    </w:r>
                    <w:r>
                      <w:rPr>
                        <w:rFonts w:ascii="Arial"/>
                        <w:b/>
                        <w:spacing w:val="3"/>
                        <w:sz w:val="22"/>
                      </w:rPr>
                      <w:t> </w:t>
                    </w:r>
                    <w:r>
                      <w:rPr>
                        <w:rFonts w:ascii="Arial"/>
                        <w:b/>
                        <w:spacing w:val="-2"/>
                        <w:w w:val="80"/>
                        <w:sz w:val="22"/>
                      </w:rPr>
                      <w:t>URBANO</w:t>
                    </w:r>
                  </w:p>
                  <w:p>
                    <w:pPr>
                      <w:tabs>
                        <w:tab w:pos="4306" w:val="left" w:leader="none"/>
                      </w:tabs>
                      <w:spacing w:line="252" w:lineRule="exact" w:before="0"/>
                      <w:ind w:left="0" w:right="18" w:firstLine="0"/>
                      <w:jc w:val="right"/>
                      <w:rPr>
                        <w:rFonts w:ascii="Arial"/>
                        <w:b/>
                        <w:sz w:val="22"/>
                      </w:rPr>
                    </w:pPr>
                    <w:r>
                      <w:rPr>
                        <w:rFonts w:ascii="Arial"/>
                        <w:b/>
                        <w:sz w:val="22"/>
                        <w:u w:val="single"/>
                      </w:rPr>
                      <w:tab/>
                    </w:r>
                    <w:r>
                      <w:rPr>
                        <w:rFonts w:ascii="Arial"/>
                        <w:b/>
                        <w:w w:val="80"/>
                        <w:sz w:val="22"/>
                        <w:u w:val="single"/>
                      </w:rPr>
                      <w:t>DEL</w:t>
                    </w:r>
                    <w:r>
                      <w:rPr>
                        <w:rFonts w:ascii="Arial"/>
                        <w:b/>
                        <w:spacing w:val="-4"/>
                        <w:sz w:val="22"/>
                        <w:u w:val="single"/>
                      </w:rPr>
                      <w:t> </w:t>
                    </w:r>
                    <w:r>
                      <w:rPr>
                        <w:rFonts w:ascii="Arial"/>
                        <w:b/>
                        <w:w w:val="80"/>
                        <w:sz w:val="22"/>
                        <w:u w:val="single"/>
                      </w:rPr>
                      <w:t>ESTADO</w:t>
                    </w:r>
                    <w:r>
                      <w:rPr>
                        <w:rFonts w:ascii="Arial"/>
                        <w:b/>
                        <w:spacing w:val="-4"/>
                        <w:sz w:val="22"/>
                        <w:u w:val="single"/>
                      </w:rPr>
                      <w:t> </w:t>
                    </w:r>
                    <w:r>
                      <w:rPr>
                        <w:rFonts w:ascii="Arial"/>
                        <w:b/>
                        <w:w w:val="80"/>
                        <w:sz w:val="22"/>
                        <w:u w:val="single"/>
                      </w:rPr>
                      <w:t>DE</w:t>
                    </w:r>
                    <w:r>
                      <w:rPr>
                        <w:rFonts w:ascii="Arial"/>
                        <w:b/>
                        <w:spacing w:val="-5"/>
                        <w:sz w:val="22"/>
                        <w:u w:val="single"/>
                      </w:rPr>
                      <w:t> </w:t>
                    </w:r>
                    <w:r>
                      <w:rPr>
                        <w:rFonts w:ascii="Arial"/>
                        <w:b/>
                        <w:w w:val="80"/>
                        <w:sz w:val="22"/>
                        <w:u w:val="single"/>
                      </w:rPr>
                      <w:t>SAN</w:t>
                    </w:r>
                    <w:r>
                      <w:rPr>
                        <w:rFonts w:ascii="Arial"/>
                        <w:b/>
                        <w:spacing w:val="-4"/>
                        <w:sz w:val="22"/>
                        <w:u w:val="single"/>
                      </w:rPr>
                      <w:t> </w:t>
                    </w:r>
                    <w:r>
                      <w:rPr>
                        <w:rFonts w:ascii="Arial"/>
                        <w:b/>
                        <w:w w:val="80"/>
                        <w:sz w:val="22"/>
                        <w:u w:val="single"/>
                      </w:rPr>
                      <w:t>LUIS</w:t>
                    </w:r>
                    <w:r>
                      <w:rPr>
                        <w:rFonts w:ascii="Arial"/>
                        <w:b/>
                        <w:spacing w:val="-3"/>
                        <w:sz w:val="22"/>
                        <w:u w:val="single"/>
                      </w:rPr>
                      <w:t> </w:t>
                    </w:r>
                    <w:r>
                      <w:rPr>
                        <w:rFonts w:ascii="Arial"/>
                        <w:b/>
                        <w:spacing w:val="-2"/>
                        <w:w w:val="80"/>
                        <w:sz w:val="22"/>
                        <w:u w:val="single"/>
                      </w:rPr>
                      <w:t>POTOSI</w:t>
                    </w:r>
                    <w:r>
                      <w:rPr>
                        <w:rFonts w:ascii="Arial"/>
                        <w:b/>
                        <w:spacing w:val="40"/>
                        <w:sz w:val="22"/>
                        <w:u w:val="single"/>
                      </w:rPr>
                      <w:t> </w:t>
                    </w:r>
                  </w:p>
                  <w:p>
                    <w:pPr>
                      <w:spacing w:before="79"/>
                      <w:ind w:left="3546" w:right="0" w:firstLine="840"/>
                      <w:jc w:val="left"/>
                      <w:rPr>
                        <w:sz w:val="16"/>
                      </w:rPr>
                    </w:pPr>
                    <w:r>
                      <w:rPr>
                        <w:w w:val="80"/>
                        <w:sz w:val="16"/>
                      </w:rPr>
                      <w:t>CONGRESO DEL ESTADO DE SAN LUIS POTOSI</w:t>
                    </w:r>
                    <w:r>
                      <w:rPr>
                        <w:sz w:val="16"/>
                      </w:rPr>
                      <w:t> </w:t>
                    </w:r>
                    <w:r>
                      <w:rPr>
                        <w:w w:val="80"/>
                        <w:sz w:val="16"/>
                      </w:rPr>
                      <w:t>INSTITUTO</w:t>
                    </w:r>
                    <w:r>
                      <w:rPr>
                        <w:spacing w:val="-4"/>
                        <w:sz w:val="16"/>
                      </w:rPr>
                      <w:t> </w:t>
                    </w:r>
                    <w:r>
                      <w:rPr>
                        <w:w w:val="80"/>
                        <w:sz w:val="16"/>
                      </w:rPr>
                      <w:t>DE</w:t>
                    </w:r>
                    <w:r>
                      <w:rPr>
                        <w:spacing w:val="-1"/>
                        <w:sz w:val="16"/>
                      </w:rPr>
                      <w:t> </w:t>
                    </w:r>
                    <w:r>
                      <w:rPr>
                        <w:w w:val="80"/>
                        <w:sz w:val="16"/>
                      </w:rPr>
                      <w:t>INVESTIGACION</w:t>
                    </w:r>
                    <w:r>
                      <w:rPr>
                        <w:spacing w:val="2"/>
                        <w:sz w:val="16"/>
                      </w:rPr>
                      <w:t> </w:t>
                    </w:r>
                    <w:r>
                      <w:rPr>
                        <w:w w:val="80"/>
                        <w:sz w:val="16"/>
                      </w:rPr>
                      <w:t>Y</w:t>
                    </w:r>
                    <w:r>
                      <w:rPr>
                        <w:sz w:val="16"/>
                      </w:rPr>
                      <w:t> </w:t>
                    </w:r>
                    <w:r>
                      <w:rPr>
                        <w:w w:val="80"/>
                        <w:sz w:val="16"/>
                      </w:rPr>
                      <w:t>EVALUACION</w:t>
                    </w:r>
                    <w:r>
                      <w:rPr>
                        <w:spacing w:val="1"/>
                        <w:sz w:val="16"/>
                      </w:rPr>
                      <w:t> </w:t>
                    </w:r>
                    <w:r>
                      <w:rPr>
                        <w:spacing w:val="-2"/>
                        <w:w w:val="80"/>
                        <w:sz w:val="16"/>
                      </w:rPr>
                      <w:t>LEGISLATIVA</w:t>
                    </w:r>
                  </w:p>
                  <w:p>
                    <w:pPr>
                      <w:spacing w:line="183" w:lineRule="exact" w:before="0"/>
                      <w:ind w:left="4338" w:right="0" w:firstLine="0"/>
                      <w:jc w:val="left"/>
                      <w:rPr>
                        <w:sz w:val="16"/>
                      </w:rPr>
                    </w:pPr>
                    <w:r>
                      <w:rPr>
                        <w:w w:val="80"/>
                        <w:sz w:val="16"/>
                      </w:rPr>
                      <w:t>Publicada</w:t>
                    </w:r>
                    <w:r>
                      <w:rPr>
                        <w:spacing w:val="-5"/>
                        <w:sz w:val="16"/>
                      </w:rPr>
                      <w:t> </w:t>
                    </w:r>
                    <w:r>
                      <w:rPr>
                        <w:w w:val="80"/>
                        <w:sz w:val="16"/>
                      </w:rPr>
                      <w:t>en</w:t>
                    </w:r>
                    <w:r>
                      <w:rPr>
                        <w:spacing w:val="-4"/>
                        <w:sz w:val="16"/>
                      </w:rPr>
                      <w:t> </w:t>
                    </w:r>
                    <w:r>
                      <w:rPr>
                        <w:w w:val="80"/>
                        <w:sz w:val="16"/>
                      </w:rPr>
                      <w:t>el</w:t>
                    </w:r>
                    <w:r>
                      <w:rPr>
                        <w:spacing w:val="-6"/>
                        <w:sz w:val="16"/>
                      </w:rPr>
                      <w:t> </w:t>
                    </w:r>
                    <w:r>
                      <w:rPr>
                        <w:w w:val="80"/>
                        <w:sz w:val="16"/>
                      </w:rPr>
                      <w:t>Periódico</w:t>
                    </w:r>
                    <w:r>
                      <w:rPr>
                        <w:spacing w:val="-4"/>
                        <w:sz w:val="16"/>
                      </w:rPr>
                      <w:t> </w:t>
                    </w:r>
                    <w:r>
                      <w:rPr>
                        <w:w w:val="80"/>
                        <w:sz w:val="16"/>
                      </w:rPr>
                      <w:t>Oficial:</w:t>
                    </w:r>
                    <w:r>
                      <w:rPr>
                        <w:spacing w:val="-7"/>
                        <w:sz w:val="16"/>
                      </w:rPr>
                      <w:t> </w:t>
                    </w:r>
                    <w:r>
                      <w:rPr>
                        <w:w w:val="80"/>
                        <w:sz w:val="16"/>
                      </w:rPr>
                      <w:t>17</w:t>
                    </w:r>
                    <w:r>
                      <w:rPr>
                        <w:spacing w:val="-4"/>
                        <w:sz w:val="16"/>
                      </w:rPr>
                      <w:t> </w:t>
                    </w:r>
                    <w:r>
                      <w:rPr>
                        <w:w w:val="80"/>
                        <w:sz w:val="16"/>
                      </w:rPr>
                      <w:t>de</w:t>
                    </w:r>
                    <w:r>
                      <w:rPr>
                        <w:spacing w:val="-5"/>
                        <w:sz w:val="16"/>
                      </w:rPr>
                      <w:t> </w:t>
                    </w:r>
                    <w:r>
                      <w:rPr>
                        <w:w w:val="80"/>
                        <w:sz w:val="16"/>
                      </w:rPr>
                      <w:t>julio</w:t>
                    </w:r>
                    <w:r>
                      <w:rPr>
                        <w:spacing w:val="-4"/>
                        <w:sz w:val="16"/>
                      </w:rPr>
                      <w:t> </w:t>
                    </w:r>
                    <w:r>
                      <w:rPr>
                        <w:w w:val="80"/>
                        <w:sz w:val="16"/>
                      </w:rPr>
                      <w:t>de</w:t>
                    </w:r>
                    <w:r>
                      <w:rPr>
                        <w:spacing w:val="-7"/>
                        <w:sz w:val="16"/>
                      </w:rPr>
                      <w:t> </w:t>
                    </w:r>
                    <w:r>
                      <w:rPr>
                        <w:spacing w:val="-4"/>
                        <w:w w:val="80"/>
                        <w:sz w:val="16"/>
                      </w:rPr>
                      <w:t>2018</w:t>
                    </w:r>
                  </w:p>
                  <w:p>
                    <w:pPr>
                      <w:spacing w:line="183" w:lineRule="exact" w:before="0"/>
                      <w:ind w:left="4761"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4"/>
                        <w:sz w:val="16"/>
                      </w:rPr>
                      <w:t> </w:t>
                    </w:r>
                    <w:r>
                      <w:rPr>
                        <w:rFonts w:ascii="Arial" w:hAnsi="Arial"/>
                        <w:b/>
                        <w:w w:val="80"/>
                        <w:sz w:val="16"/>
                      </w:rPr>
                      <w:t>reforma:</w:t>
                    </w:r>
                    <w:r>
                      <w:rPr>
                        <w:rFonts w:ascii="Arial" w:hAnsi="Arial"/>
                        <w:b/>
                        <w:spacing w:val="-4"/>
                        <w:sz w:val="16"/>
                      </w:rPr>
                      <w:t> </w:t>
                    </w:r>
                    <w:r>
                      <w:rPr>
                        <w:rFonts w:ascii="Arial" w:hAnsi="Arial"/>
                        <w:b/>
                        <w:w w:val="80"/>
                        <w:sz w:val="16"/>
                      </w:rPr>
                      <w:t>22</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w w:val="80"/>
                        <w:sz w:val="16"/>
                      </w:rPr>
                      <w:t>mayo</w:t>
                    </w:r>
                    <w:r>
                      <w:rPr>
                        <w:rFonts w:ascii="Arial" w:hAnsi="Arial"/>
                        <w:b/>
                        <w:spacing w:val="-4"/>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499584">
          <wp:simplePos x="0" y="0"/>
          <wp:positionH relativeFrom="page">
            <wp:posOffset>1143665</wp:posOffset>
          </wp:positionH>
          <wp:positionV relativeFrom="page">
            <wp:posOffset>654461</wp:posOffset>
          </wp:positionV>
          <wp:extent cx="673207" cy="681577"/>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673207" cy="681577"/>
                  </a:xfrm>
                  <a:prstGeom prst="rect">
                    <a:avLst/>
                  </a:prstGeom>
                </pic:spPr>
              </pic:pic>
            </a:graphicData>
          </a:graphic>
        </wp:anchor>
      </w:drawing>
    </w:r>
    <w:r>
      <w:rPr/>
      <mc:AlternateContent>
        <mc:Choice Requires="wps">
          <w:drawing>
            <wp:anchor distT="0" distB="0" distL="0" distR="0" allowOverlap="1" layoutInCell="1" locked="0" behindDoc="1" simplePos="0" relativeHeight="482500096">
              <wp:simplePos x="0" y="0"/>
              <wp:positionH relativeFrom="page">
                <wp:posOffset>1954022</wp:posOffset>
              </wp:positionH>
              <wp:positionV relativeFrom="page">
                <wp:posOffset>789431</wp:posOffset>
              </wp:positionV>
              <wp:extent cx="4740910" cy="635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740910" cy="6350"/>
                      </a:xfrm>
                      <a:custGeom>
                        <a:avLst/>
                        <a:gdLst/>
                        <a:ahLst/>
                        <a:cxnLst/>
                        <a:rect l="l" t="t" r="r" b="b"/>
                        <a:pathLst>
                          <a:path w="4740910" h="6350">
                            <a:moveTo>
                              <a:pt x="4740529" y="0"/>
                            </a:moveTo>
                            <a:lnTo>
                              <a:pt x="0" y="0"/>
                            </a:lnTo>
                            <a:lnTo>
                              <a:pt x="0" y="6096"/>
                            </a:lnTo>
                            <a:lnTo>
                              <a:pt x="4740529" y="6096"/>
                            </a:lnTo>
                            <a:lnTo>
                              <a:pt x="47405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860001pt;margin-top:62.16pt;width:373.27pt;height:.48pt;mso-position-horizontal-relative:page;mso-position-vertical-relative:page;z-index:-20816384" id="docshape17"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2500608">
              <wp:simplePos x="0" y="0"/>
              <wp:positionH relativeFrom="page">
                <wp:posOffset>1941322</wp:posOffset>
              </wp:positionH>
              <wp:positionV relativeFrom="page">
                <wp:posOffset>444392</wp:posOffset>
              </wp:positionV>
              <wp:extent cx="4766310" cy="86296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4766310" cy="862965"/>
                      </a:xfrm>
                      <a:prstGeom prst="rect">
                        <a:avLst/>
                      </a:prstGeom>
                    </wps:spPr>
                    <wps:txbx>
                      <w:txbxContent>
                        <w:p>
                          <w:pPr>
                            <w:spacing w:line="252" w:lineRule="exact" w:before="20"/>
                            <w:ind w:left="0" w:right="92" w:firstLine="0"/>
                            <w:jc w:val="right"/>
                            <w:rPr>
                              <w:rFonts w:ascii="Arial"/>
                              <w:b/>
                              <w:sz w:val="22"/>
                            </w:rPr>
                          </w:pPr>
                          <w:r>
                            <w:rPr>
                              <w:rFonts w:ascii="Arial"/>
                              <w:b/>
                              <w:w w:val="80"/>
                              <w:sz w:val="22"/>
                            </w:rPr>
                            <w:t>LEY</w:t>
                          </w:r>
                          <w:r>
                            <w:rPr>
                              <w:rFonts w:ascii="Arial"/>
                              <w:b/>
                              <w:spacing w:val="1"/>
                              <w:sz w:val="22"/>
                            </w:rPr>
                            <w:t> </w:t>
                          </w:r>
                          <w:r>
                            <w:rPr>
                              <w:rFonts w:ascii="Arial"/>
                              <w:b/>
                              <w:w w:val="80"/>
                              <w:sz w:val="22"/>
                            </w:rPr>
                            <w:t>DE</w:t>
                          </w:r>
                          <w:r>
                            <w:rPr>
                              <w:rFonts w:ascii="Arial"/>
                              <w:b/>
                              <w:spacing w:val="2"/>
                              <w:sz w:val="22"/>
                            </w:rPr>
                            <w:t> </w:t>
                          </w:r>
                          <w:r>
                            <w:rPr>
                              <w:rFonts w:ascii="Arial"/>
                              <w:b/>
                              <w:w w:val="80"/>
                              <w:sz w:val="22"/>
                            </w:rPr>
                            <w:t>ORDENAMIENTO</w:t>
                          </w:r>
                          <w:r>
                            <w:rPr>
                              <w:rFonts w:ascii="Arial"/>
                              <w:b/>
                              <w:spacing w:val="3"/>
                              <w:sz w:val="22"/>
                            </w:rPr>
                            <w:t> </w:t>
                          </w:r>
                          <w:r>
                            <w:rPr>
                              <w:rFonts w:ascii="Arial"/>
                              <w:b/>
                              <w:w w:val="80"/>
                              <w:sz w:val="22"/>
                            </w:rPr>
                            <w:t>TERRITORIAL</w:t>
                          </w:r>
                          <w:r>
                            <w:rPr>
                              <w:rFonts w:ascii="Arial"/>
                              <w:b/>
                              <w:spacing w:val="3"/>
                              <w:sz w:val="22"/>
                            </w:rPr>
                            <w:t> </w:t>
                          </w:r>
                          <w:r>
                            <w:rPr>
                              <w:rFonts w:ascii="Arial"/>
                              <w:b/>
                              <w:w w:val="80"/>
                              <w:sz w:val="22"/>
                            </w:rPr>
                            <w:t>Y</w:t>
                          </w:r>
                          <w:r>
                            <w:rPr>
                              <w:rFonts w:ascii="Arial"/>
                              <w:b/>
                              <w:spacing w:val="2"/>
                              <w:sz w:val="22"/>
                            </w:rPr>
                            <w:t> </w:t>
                          </w:r>
                          <w:r>
                            <w:rPr>
                              <w:rFonts w:ascii="Arial"/>
                              <w:b/>
                              <w:w w:val="80"/>
                              <w:sz w:val="22"/>
                            </w:rPr>
                            <w:t>DESARROLLO</w:t>
                          </w:r>
                          <w:r>
                            <w:rPr>
                              <w:rFonts w:ascii="Arial"/>
                              <w:b/>
                              <w:spacing w:val="3"/>
                              <w:sz w:val="22"/>
                            </w:rPr>
                            <w:t> </w:t>
                          </w:r>
                          <w:r>
                            <w:rPr>
                              <w:rFonts w:ascii="Arial"/>
                              <w:b/>
                              <w:spacing w:val="-2"/>
                              <w:w w:val="80"/>
                              <w:sz w:val="22"/>
                            </w:rPr>
                            <w:t>URBANO</w:t>
                          </w:r>
                        </w:p>
                        <w:p>
                          <w:pPr>
                            <w:tabs>
                              <w:tab w:pos="4306" w:val="left" w:leader="none"/>
                            </w:tabs>
                            <w:spacing w:line="252" w:lineRule="exact" w:before="0"/>
                            <w:ind w:left="0" w:right="18" w:firstLine="0"/>
                            <w:jc w:val="right"/>
                            <w:rPr>
                              <w:rFonts w:ascii="Arial"/>
                              <w:b/>
                              <w:sz w:val="22"/>
                            </w:rPr>
                          </w:pPr>
                          <w:r>
                            <w:rPr>
                              <w:rFonts w:ascii="Arial"/>
                              <w:b/>
                              <w:sz w:val="22"/>
                              <w:u w:val="single"/>
                            </w:rPr>
                            <w:tab/>
                          </w:r>
                          <w:r>
                            <w:rPr>
                              <w:rFonts w:ascii="Arial"/>
                              <w:b/>
                              <w:w w:val="80"/>
                              <w:sz w:val="22"/>
                              <w:u w:val="single"/>
                            </w:rPr>
                            <w:t>DEL</w:t>
                          </w:r>
                          <w:r>
                            <w:rPr>
                              <w:rFonts w:ascii="Arial"/>
                              <w:b/>
                              <w:spacing w:val="-4"/>
                              <w:sz w:val="22"/>
                              <w:u w:val="single"/>
                            </w:rPr>
                            <w:t> </w:t>
                          </w:r>
                          <w:r>
                            <w:rPr>
                              <w:rFonts w:ascii="Arial"/>
                              <w:b/>
                              <w:w w:val="80"/>
                              <w:sz w:val="22"/>
                              <w:u w:val="single"/>
                            </w:rPr>
                            <w:t>ESTADO</w:t>
                          </w:r>
                          <w:r>
                            <w:rPr>
                              <w:rFonts w:ascii="Arial"/>
                              <w:b/>
                              <w:spacing w:val="-4"/>
                              <w:sz w:val="22"/>
                              <w:u w:val="single"/>
                            </w:rPr>
                            <w:t> </w:t>
                          </w:r>
                          <w:r>
                            <w:rPr>
                              <w:rFonts w:ascii="Arial"/>
                              <w:b/>
                              <w:w w:val="80"/>
                              <w:sz w:val="22"/>
                              <w:u w:val="single"/>
                            </w:rPr>
                            <w:t>DE</w:t>
                          </w:r>
                          <w:r>
                            <w:rPr>
                              <w:rFonts w:ascii="Arial"/>
                              <w:b/>
                              <w:spacing w:val="-5"/>
                              <w:sz w:val="22"/>
                              <w:u w:val="single"/>
                            </w:rPr>
                            <w:t> </w:t>
                          </w:r>
                          <w:r>
                            <w:rPr>
                              <w:rFonts w:ascii="Arial"/>
                              <w:b/>
                              <w:w w:val="80"/>
                              <w:sz w:val="22"/>
                              <w:u w:val="single"/>
                            </w:rPr>
                            <w:t>SAN</w:t>
                          </w:r>
                          <w:r>
                            <w:rPr>
                              <w:rFonts w:ascii="Arial"/>
                              <w:b/>
                              <w:spacing w:val="-4"/>
                              <w:sz w:val="22"/>
                              <w:u w:val="single"/>
                            </w:rPr>
                            <w:t> </w:t>
                          </w:r>
                          <w:r>
                            <w:rPr>
                              <w:rFonts w:ascii="Arial"/>
                              <w:b/>
                              <w:w w:val="80"/>
                              <w:sz w:val="22"/>
                              <w:u w:val="single"/>
                            </w:rPr>
                            <w:t>LUIS</w:t>
                          </w:r>
                          <w:r>
                            <w:rPr>
                              <w:rFonts w:ascii="Arial"/>
                              <w:b/>
                              <w:spacing w:val="-3"/>
                              <w:sz w:val="22"/>
                              <w:u w:val="single"/>
                            </w:rPr>
                            <w:t> </w:t>
                          </w:r>
                          <w:r>
                            <w:rPr>
                              <w:rFonts w:ascii="Arial"/>
                              <w:b/>
                              <w:spacing w:val="-2"/>
                              <w:w w:val="80"/>
                              <w:sz w:val="22"/>
                              <w:u w:val="single"/>
                            </w:rPr>
                            <w:t>POTOSI</w:t>
                          </w:r>
                          <w:r>
                            <w:rPr>
                              <w:rFonts w:ascii="Arial"/>
                              <w:b/>
                              <w:spacing w:val="40"/>
                              <w:sz w:val="22"/>
                              <w:u w:val="single"/>
                            </w:rPr>
                            <w:t> </w:t>
                          </w:r>
                        </w:p>
                        <w:p>
                          <w:pPr>
                            <w:spacing w:before="79"/>
                            <w:ind w:left="3546" w:right="0" w:firstLine="840"/>
                            <w:jc w:val="left"/>
                            <w:rPr>
                              <w:sz w:val="16"/>
                            </w:rPr>
                          </w:pPr>
                          <w:r>
                            <w:rPr>
                              <w:w w:val="80"/>
                              <w:sz w:val="16"/>
                            </w:rPr>
                            <w:t>CONGRESO DEL ESTADO DE SAN LUIS POTOSI</w:t>
                          </w:r>
                          <w:r>
                            <w:rPr>
                              <w:sz w:val="16"/>
                            </w:rPr>
                            <w:t> </w:t>
                          </w:r>
                          <w:r>
                            <w:rPr>
                              <w:w w:val="80"/>
                              <w:sz w:val="16"/>
                            </w:rPr>
                            <w:t>INSTITUTO</w:t>
                          </w:r>
                          <w:r>
                            <w:rPr>
                              <w:spacing w:val="-4"/>
                              <w:sz w:val="16"/>
                            </w:rPr>
                            <w:t> </w:t>
                          </w:r>
                          <w:r>
                            <w:rPr>
                              <w:w w:val="80"/>
                              <w:sz w:val="16"/>
                            </w:rPr>
                            <w:t>DE</w:t>
                          </w:r>
                          <w:r>
                            <w:rPr>
                              <w:spacing w:val="-1"/>
                              <w:sz w:val="16"/>
                            </w:rPr>
                            <w:t> </w:t>
                          </w:r>
                          <w:r>
                            <w:rPr>
                              <w:w w:val="80"/>
                              <w:sz w:val="16"/>
                            </w:rPr>
                            <w:t>INVESTIGACION</w:t>
                          </w:r>
                          <w:r>
                            <w:rPr>
                              <w:spacing w:val="2"/>
                              <w:sz w:val="16"/>
                            </w:rPr>
                            <w:t> </w:t>
                          </w:r>
                          <w:r>
                            <w:rPr>
                              <w:w w:val="80"/>
                              <w:sz w:val="16"/>
                            </w:rPr>
                            <w:t>Y</w:t>
                          </w:r>
                          <w:r>
                            <w:rPr>
                              <w:sz w:val="16"/>
                            </w:rPr>
                            <w:t> </w:t>
                          </w:r>
                          <w:r>
                            <w:rPr>
                              <w:w w:val="80"/>
                              <w:sz w:val="16"/>
                            </w:rPr>
                            <w:t>EVALUACION</w:t>
                          </w:r>
                          <w:r>
                            <w:rPr>
                              <w:spacing w:val="1"/>
                              <w:sz w:val="16"/>
                            </w:rPr>
                            <w:t> </w:t>
                          </w:r>
                          <w:r>
                            <w:rPr>
                              <w:spacing w:val="-2"/>
                              <w:w w:val="80"/>
                              <w:sz w:val="16"/>
                            </w:rPr>
                            <w:t>LEGISLATIVA</w:t>
                          </w:r>
                        </w:p>
                        <w:p>
                          <w:pPr>
                            <w:spacing w:line="183" w:lineRule="exact" w:before="0"/>
                            <w:ind w:left="4338" w:right="0" w:firstLine="0"/>
                            <w:jc w:val="left"/>
                            <w:rPr>
                              <w:sz w:val="16"/>
                            </w:rPr>
                          </w:pPr>
                          <w:r>
                            <w:rPr>
                              <w:w w:val="80"/>
                              <w:sz w:val="16"/>
                            </w:rPr>
                            <w:t>Publicada</w:t>
                          </w:r>
                          <w:r>
                            <w:rPr>
                              <w:spacing w:val="-5"/>
                              <w:sz w:val="16"/>
                            </w:rPr>
                            <w:t> </w:t>
                          </w:r>
                          <w:r>
                            <w:rPr>
                              <w:w w:val="80"/>
                              <w:sz w:val="16"/>
                            </w:rPr>
                            <w:t>en</w:t>
                          </w:r>
                          <w:r>
                            <w:rPr>
                              <w:spacing w:val="-4"/>
                              <w:sz w:val="16"/>
                            </w:rPr>
                            <w:t> </w:t>
                          </w:r>
                          <w:r>
                            <w:rPr>
                              <w:w w:val="80"/>
                              <w:sz w:val="16"/>
                            </w:rPr>
                            <w:t>el</w:t>
                          </w:r>
                          <w:r>
                            <w:rPr>
                              <w:spacing w:val="-6"/>
                              <w:sz w:val="16"/>
                            </w:rPr>
                            <w:t> </w:t>
                          </w:r>
                          <w:r>
                            <w:rPr>
                              <w:w w:val="80"/>
                              <w:sz w:val="16"/>
                            </w:rPr>
                            <w:t>Periódico</w:t>
                          </w:r>
                          <w:r>
                            <w:rPr>
                              <w:spacing w:val="-4"/>
                              <w:sz w:val="16"/>
                            </w:rPr>
                            <w:t> </w:t>
                          </w:r>
                          <w:r>
                            <w:rPr>
                              <w:w w:val="80"/>
                              <w:sz w:val="16"/>
                            </w:rPr>
                            <w:t>Oficial:</w:t>
                          </w:r>
                          <w:r>
                            <w:rPr>
                              <w:spacing w:val="-7"/>
                              <w:sz w:val="16"/>
                            </w:rPr>
                            <w:t> </w:t>
                          </w:r>
                          <w:r>
                            <w:rPr>
                              <w:w w:val="80"/>
                              <w:sz w:val="16"/>
                            </w:rPr>
                            <w:t>17</w:t>
                          </w:r>
                          <w:r>
                            <w:rPr>
                              <w:spacing w:val="-4"/>
                              <w:sz w:val="16"/>
                            </w:rPr>
                            <w:t> </w:t>
                          </w:r>
                          <w:r>
                            <w:rPr>
                              <w:w w:val="80"/>
                              <w:sz w:val="16"/>
                            </w:rPr>
                            <w:t>de</w:t>
                          </w:r>
                          <w:r>
                            <w:rPr>
                              <w:spacing w:val="-5"/>
                              <w:sz w:val="16"/>
                            </w:rPr>
                            <w:t> </w:t>
                          </w:r>
                          <w:r>
                            <w:rPr>
                              <w:w w:val="80"/>
                              <w:sz w:val="16"/>
                            </w:rPr>
                            <w:t>julio</w:t>
                          </w:r>
                          <w:r>
                            <w:rPr>
                              <w:spacing w:val="-4"/>
                              <w:sz w:val="16"/>
                            </w:rPr>
                            <w:t> </w:t>
                          </w:r>
                          <w:r>
                            <w:rPr>
                              <w:w w:val="80"/>
                              <w:sz w:val="16"/>
                            </w:rPr>
                            <w:t>de</w:t>
                          </w:r>
                          <w:r>
                            <w:rPr>
                              <w:spacing w:val="-7"/>
                              <w:sz w:val="16"/>
                            </w:rPr>
                            <w:t> </w:t>
                          </w:r>
                          <w:r>
                            <w:rPr>
                              <w:spacing w:val="-4"/>
                              <w:w w:val="80"/>
                              <w:sz w:val="16"/>
                            </w:rPr>
                            <w:t>2018</w:t>
                          </w:r>
                        </w:p>
                        <w:p>
                          <w:pPr>
                            <w:spacing w:line="183" w:lineRule="exact" w:before="0"/>
                            <w:ind w:left="4761"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4"/>
                              <w:sz w:val="16"/>
                            </w:rPr>
                            <w:t> </w:t>
                          </w:r>
                          <w:r>
                            <w:rPr>
                              <w:rFonts w:ascii="Arial" w:hAnsi="Arial"/>
                              <w:b/>
                              <w:w w:val="80"/>
                              <w:sz w:val="16"/>
                            </w:rPr>
                            <w:t>reforma:</w:t>
                          </w:r>
                          <w:r>
                            <w:rPr>
                              <w:rFonts w:ascii="Arial" w:hAnsi="Arial"/>
                              <w:b/>
                              <w:spacing w:val="-4"/>
                              <w:sz w:val="16"/>
                            </w:rPr>
                            <w:t> </w:t>
                          </w:r>
                          <w:r>
                            <w:rPr>
                              <w:rFonts w:ascii="Arial" w:hAnsi="Arial"/>
                              <w:b/>
                              <w:w w:val="80"/>
                              <w:sz w:val="16"/>
                            </w:rPr>
                            <w:t>22</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w w:val="80"/>
                              <w:sz w:val="16"/>
                            </w:rPr>
                            <w:t>mayo</w:t>
                          </w:r>
                          <w:r>
                            <w:rPr>
                              <w:rFonts w:ascii="Arial" w:hAnsi="Arial"/>
                              <w:b/>
                              <w:spacing w:val="-4"/>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 style="position:absolute;margin-left:152.860001pt;margin-top:34.991562pt;width:375.3pt;height:67.95pt;mso-position-horizontal-relative:page;mso-position-vertical-relative:page;z-index:-20815872" type="#_x0000_t202" id="docshape18" filled="false" stroked="false">
              <v:textbox inset="0,0,0,0">
                <w:txbxContent>
                  <w:p>
                    <w:pPr>
                      <w:spacing w:line="252" w:lineRule="exact" w:before="20"/>
                      <w:ind w:left="0" w:right="92" w:firstLine="0"/>
                      <w:jc w:val="right"/>
                      <w:rPr>
                        <w:rFonts w:ascii="Arial"/>
                        <w:b/>
                        <w:sz w:val="22"/>
                      </w:rPr>
                    </w:pPr>
                    <w:r>
                      <w:rPr>
                        <w:rFonts w:ascii="Arial"/>
                        <w:b/>
                        <w:w w:val="80"/>
                        <w:sz w:val="22"/>
                      </w:rPr>
                      <w:t>LEY</w:t>
                    </w:r>
                    <w:r>
                      <w:rPr>
                        <w:rFonts w:ascii="Arial"/>
                        <w:b/>
                        <w:spacing w:val="1"/>
                        <w:sz w:val="22"/>
                      </w:rPr>
                      <w:t> </w:t>
                    </w:r>
                    <w:r>
                      <w:rPr>
                        <w:rFonts w:ascii="Arial"/>
                        <w:b/>
                        <w:w w:val="80"/>
                        <w:sz w:val="22"/>
                      </w:rPr>
                      <w:t>DE</w:t>
                    </w:r>
                    <w:r>
                      <w:rPr>
                        <w:rFonts w:ascii="Arial"/>
                        <w:b/>
                        <w:spacing w:val="2"/>
                        <w:sz w:val="22"/>
                      </w:rPr>
                      <w:t> </w:t>
                    </w:r>
                    <w:r>
                      <w:rPr>
                        <w:rFonts w:ascii="Arial"/>
                        <w:b/>
                        <w:w w:val="80"/>
                        <w:sz w:val="22"/>
                      </w:rPr>
                      <w:t>ORDENAMIENTO</w:t>
                    </w:r>
                    <w:r>
                      <w:rPr>
                        <w:rFonts w:ascii="Arial"/>
                        <w:b/>
                        <w:spacing w:val="3"/>
                        <w:sz w:val="22"/>
                      </w:rPr>
                      <w:t> </w:t>
                    </w:r>
                    <w:r>
                      <w:rPr>
                        <w:rFonts w:ascii="Arial"/>
                        <w:b/>
                        <w:w w:val="80"/>
                        <w:sz w:val="22"/>
                      </w:rPr>
                      <w:t>TERRITORIAL</w:t>
                    </w:r>
                    <w:r>
                      <w:rPr>
                        <w:rFonts w:ascii="Arial"/>
                        <w:b/>
                        <w:spacing w:val="3"/>
                        <w:sz w:val="22"/>
                      </w:rPr>
                      <w:t> </w:t>
                    </w:r>
                    <w:r>
                      <w:rPr>
                        <w:rFonts w:ascii="Arial"/>
                        <w:b/>
                        <w:w w:val="80"/>
                        <w:sz w:val="22"/>
                      </w:rPr>
                      <w:t>Y</w:t>
                    </w:r>
                    <w:r>
                      <w:rPr>
                        <w:rFonts w:ascii="Arial"/>
                        <w:b/>
                        <w:spacing w:val="2"/>
                        <w:sz w:val="22"/>
                      </w:rPr>
                      <w:t> </w:t>
                    </w:r>
                    <w:r>
                      <w:rPr>
                        <w:rFonts w:ascii="Arial"/>
                        <w:b/>
                        <w:w w:val="80"/>
                        <w:sz w:val="22"/>
                      </w:rPr>
                      <w:t>DESARROLLO</w:t>
                    </w:r>
                    <w:r>
                      <w:rPr>
                        <w:rFonts w:ascii="Arial"/>
                        <w:b/>
                        <w:spacing w:val="3"/>
                        <w:sz w:val="22"/>
                      </w:rPr>
                      <w:t> </w:t>
                    </w:r>
                    <w:r>
                      <w:rPr>
                        <w:rFonts w:ascii="Arial"/>
                        <w:b/>
                        <w:spacing w:val="-2"/>
                        <w:w w:val="80"/>
                        <w:sz w:val="22"/>
                      </w:rPr>
                      <w:t>URBANO</w:t>
                    </w:r>
                  </w:p>
                  <w:p>
                    <w:pPr>
                      <w:tabs>
                        <w:tab w:pos="4306" w:val="left" w:leader="none"/>
                      </w:tabs>
                      <w:spacing w:line="252" w:lineRule="exact" w:before="0"/>
                      <w:ind w:left="0" w:right="18" w:firstLine="0"/>
                      <w:jc w:val="right"/>
                      <w:rPr>
                        <w:rFonts w:ascii="Arial"/>
                        <w:b/>
                        <w:sz w:val="22"/>
                      </w:rPr>
                    </w:pPr>
                    <w:r>
                      <w:rPr>
                        <w:rFonts w:ascii="Arial"/>
                        <w:b/>
                        <w:sz w:val="22"/>
                        <w:u w:val="single"/>
                      </w:rPr>
                      <w:tab/>
                    </w:r>
                    <w:r>
                      <w:rPr>
                        <w:rFonts w:ascii="Arial"/>
                        <w:b/>
                        <w:w w:val="80"/>
                        <w:sz w:val="22"/>
                        <w:u w:val="single"/>
                      </w:rPr>
                      <w:t>DEL</w:t>
                    </w:r>
                    <w:r>
                      <w:rPr>
                        <w:rFonts w:ascii="Arial"/>
                        <w:b/>
                        <w:spacing w:val="-4"/>
                        <w:sz w:val="22"/>
                        <w:u w:val="single"/>
                      </w:rPr>
                      <w:t> </w:t>
                    </w:r>
                    <w:r>
                      <w:rPr>
                        <w:rFonts w:ascii="Arial"/>
                        <w:b/>
                        <w:w w:val="80"/>
                        <w:sz w:val="22"/>
                        <w:u w:val="single"/>
                      </w:rPr>
                      <w:t>ESTADO</w:t>
                    </w:r>
                    <w:r>
                      <w:rPr>
                        <w:rFonts w:ascii="Arial"/>
                        <w:b/>
                        <w:spacing w:val="-4"/>
                        <w:sz w:val="22"/>
                        <w:u w:val="single"/>
                      </w:rPr>
                      <w:t> </w:t>
                    </w:r>
                    <w:r>
                      <w:rPr>
                        <w:rFonts w:ascii="Arial"/>
                        <w:b/>
                        <w:w w:val="80"/>
                        <w:sz w:val="22"/>
                        <w:u w:val="single"/>
                      </w:rPr>
                      <w:t>DE</w:t>
                    </w:r>
                    <w:r>
                      <w:rPr>
                        <w:rFonts w:ascii="Arial"/>
                        <w:b/>
                        <w:spacing w:val="-5"/>
                        <w:sz w:val="22"/>
                        <w:u w:val="single"/>
                      </w:rPr>
                      <w:t> </w:t>
                    </w:r>
                    <w:r>
                      <w:rPr>
                        <w:rFonts w:ascii="Arial"/>
                        <w:b/>
                        <w:w w:val="80"/>
                        <w:sz w:val="22"/>
                        <w:u w:val="single"/>
                      </w:rPr>
                      <w:t>SAN</w:t>
                    </w:r>
                    <w:r>
                      <w:rPr>
                        <w:rFonts w:ascii="Arial"/>
                        <w:b/>
                        <w:spacing w:val="-4"/>
                        <w:sz w:val="22"/>
                        <w:u w:val="single"/>
                      </w:rPr>
                      <w:t> </w:t>
                    </w:r>
                    <w:r>
                      <w:rPr>
                        <w:rFonts w:ascii="Arial"/>
                        <w:b/>
                        <w:w w:val="80"/>
                        <w:sz w:val="22"/>
                        <w:u w:val="single"/>
                      </w:rPr>
                      <w:t>LUIS</w:t>
                    </w:r>
                    <w:r>
                      <w:rPr>
                        <w:rFonts w:ascii="Arial"/>
                        <w:b/>
                        <w:spacing w:val="-3"/>
                        <w:sz w:val="22"/>
                        <w:u w:val="single"/>
                      </w:rPr>
                      <w:t> </w:t>
                    </w:r>
                    <w:r>
                      <w:rPr>
                        <w:rFonts w:ascii="Arial"/>
                        <w:b/>
                        <w:spacing w:val="-2"/>
                        <w:w w:val="80"/>
                        <w:sz w:val="22"/>
                        <w:u w:val="single"/>
                      </w:rPr>
                      <w:t>POTOSI</w:t>
                    </w:r>
                    <w:r>
                      <w:rPr>
                        <w:rFonts w:ascii="Arial"/>
                        <w:b/>
                        <w:spacing w:val="40"/>
                        <w:sz w:val="22"/>
                        <w:u w:val="single"/>
                      </w:rPr>
                      <w:t> </w:t>
                    </w:r>
                  </w:p>
                  <w:p>
                    <w:pPr>
                      <w:spacing w:before="79"/>
                      <w:ind w:left="3546" w:right="0" w:firstLine="840"/>
                      <w:jc w:val="left"/>
                      <w:rPr>
                        <w:sz w:val="16"/>
                      </w:rPr>
                    </w:pPr>
                    <w:r>
                      <w:rPr>
                        <w:w w:val="80"/>
                        <w:sz w:val="16"/>
                      </w:rPr>
                      <w:t>CONGRESO DEL ESTADO DE SAN LUIS POTOSI</w:t>
                    </w:r>
                    <w:r>
                      <w:rPr>
                        <w:sz w:val="16"/>
                      </w:rPr>
                      <w:t> </w:t>
                    </w:r>
                    <w:r>
                      <w:rPr>
                        <w:w w:val="80"/>
                        <w:sz w:val="16"/>
                      </w:rPr>
                      <w:t>INSTITUTO</w:t>
                    </w:r>
                    <w:r>
                      <w:rPr>
                        <w:spacing w:val="-4"/>
                        <w:sz w:val="16"/>
                      </w:rPr>
                      <w:t> </w:t>
                    </w:r>
                    <w:r>
                      <w:rPr>
                        <w:w w:val="80"/>
                        <w:sz w:val="16"/>
                      </w:rPr>
                      <w:t>DE</w:t>
                    </w:r>
                    <w:r>
                      <w:rPr>
                        <w:spacing w:val="-1"/>
                        <w:sz w:val="16"/>
                      </w:rPr>
                      <w:t> </w:t>
                    </w:r>
                    <w:r>
                      <w:rPr>
                        <w:w w:val="80"/>
                        <w:sz w:val="16"/>
                      </w:rPr>
                      <w:t>INVESTIGACION</w:t>
                    </w:r>
                    <w:r>
                      <w:rPr>
                        <w:spacing w:val="2"/>
                        <w:sz w:val="16"/>
                      </w:rPr>
                      <w:t> </w:t>
                    </w:r>
                    <w:r>
                      <w:rPr>
                        <w:w w:val="80"/>
                        <w:sz w:val="16"/>
                      </w:rPr>
                      <w:t>Y</w:t>
                    </w:r>
                    <w:r>
                      <w:rPr>
                        <w:sz w:val="16"/>
                      </w:rPr>
                      <w:t> </w:t>
                    </w:r>
                    <w:r>
                      <w:rPr>
                        <w:w w:val="80"/>
                        <w:sz w:val="16"/>
                      </w:rPr>
                      <w:t>EVALUACION</w:t>
                    </w:r>
                    <w:r>
                      <w:rPr>
                        <w:spacing w:val="1"/>
                        <w:sz w:val="16"/>
                      </w:rPr>
                      <w:t> </w:t>
                    </w:r>
                    <w:r>
                      <w:rPr>
                        <w:spacing w:val="-2"/>
                        <w:w w:val="80"/>
                        <w:sz w:val="16"/>
                      </w:rPr>
                      <w:t>LEGISLATIVA</w:t>
                    </w:r>
                  </w:p>
                  <w:p>
                    <w:pPr>
                      <w:spacing w:line="183" w:lineRule="exact" w:before="0"/>
                      <w:ind w:left="4338" w:right="0" w:firstLine="0"/>
                      <w:jc w:val="left"/>
                      <w:rPr>
                        <w:sz w:val="16"/>
                      </w:rPr>
                    </w:pPr>
                    <w:r>
                      <w:rPr>
                        <w:w w:val="80"/>
                        <w:sz w:val="16"/>
                      </w:rPr>
                      <w:t>Publicada</w:t>
                    </w:r>
                    <w:r>
                      <w:rPr>
                        <w:spacing w:val="-5"/>
                        <w:sz w:val="16"/>
                      </w:rPr>
                      <w:t> </w:t>
                    </w:r>
                    <w:r>
                      <w:rPr>
                        <w:w w:val="80"/>
                        <w:sz w:val="16"/>
                      </w:rPr>
                      <w:t>en</w:t>
                    </w:r>
                    <w:r>
                      <w:rPr>
                        <w:spacing w:val="-4"/>
                        <w:sz w:val="16"/>
                      </w:rPr>
                      <w:t> </w:t>
                    </w:r>
                    <w:r>
                      <w:rPr>
                        <w:w w:val="80"/>
                        <w:sz w:val="16"/>
                      </w:rPr>
                      <w:t>el</w:t>
                    </w:r>
                    <w:r>
                      <w:rPr>
                        <w:spacing w:val="-6"/>
                        <w:sz w:val="16"/>
                      </w:rPr>
                      <w:t> </w:t>
                    </w:r>
                    <w:r>
                      <w:rPr>
                        <w:w w:val="80"/>
                        <w:sz w:val="16"/>
                      </w:rPr>
                      <w:t>Periódico</w:t>
                    </w:r>
                    <w:r>
                      <w:rPr>
                        <w:spacing w:val="-4"/>
                        <w:sz w:val="16"/>
                      </w:rPr>
                      <w:t> </w:t>
                    </w:r>
                    <w:r>
                      <w:rPr>
                        <w:w w:val="80"/>
                        <w:sz w:val="16"/>
                      </w:rPr>
                      <w:t>Oficial:</w:t>
                    </w:r>
                    <w:r>
                      <w:rPr>
                        <w:spacing w:val="-7"/>
                        <w:sz w:val="16"/>
                      </w:rPr>
                      <w:t> </w:t>
                    </w:r>
                    <w:r>
                      <w:rPr>
                        <w:w w:val="80"/>
                        <w:sz w:val="16"/>
                      </w:rPr>
                      <w:t>17</w:t>
                    </w:r>
                    <w:r>
                      <w:rPr>
                        <w:spacing w:val="-4"/>
                        <w:sz w:val="16"/>
                      </w:rPr>
                      <w:t> </w:t>
                    </w:r>
                    <w:r>
                      <w:rPr>
                        <w:w w:val="80"/>
                        <w:sz w:val="16"/>
                      </w:rPr>
                      <w:t>de</w:t>
                    </w:r>
                    <w:r>
                      <w:rPr>
                        <w:spacing w:val="-5"/>
                        <w:sz w:val="16"/>
                      </w:rPr>
                      <w:t> </w:t>
                    </w:r>
                    <w:r>
                      <w:rPr>
                        <w:w w:val="80"/>
                        <w:sz w:val="16"/>
                      </w:rPr>
                      <w:t>julio</w:t>
                    </w:r>
                    <w:r>
                      <w:rPr>
                        <w:spacing w:val="-4"/>
                        <w:sz w:val="16"/>
                      </w:rPr>
                      <w:t> </w:t>
                    </w:r>
                    <w:r>
                      <w:rPr>
                        <w:w w:val="80"/>
                        <w:sz w:val="16"/>
                      </w:rPr>
                      <w:t>de</w:t>
                    </w:r>
                    <w:r>
                      <w:rPr>
                        <w:spacing w:val="-7"/>
                        <w:sz w:val="16"/>
                      </w:rPr>
                      <w:t> </w:t>
                    </w:r>
                    <w:r>
                      <w:rPr>
                        <w:spacing w:val="-4"/>
                        <w:w w:val="80"/>
                        <w:sz w:val="16"/>
                      </w:rPr>
                      <w:t>2018</w:t>
                    </w:r>
                  </w:p>
                  <w:p>
                    <w:pPr>
                      <w:spacing w:line="183" w:lineRule="exact" w:before="0"/>
                      <w:ind w:left="4761"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4"/>
                        <w:sz w:val="16"/>
                      </w:rPr>
                      <w:t> </w:t>
                    </w:r>
                    <w:r>
                      <w:rPr>
                        <w:rFonts w:ascii="Arial" w:hAnsi="Arial"/>
                        <w:b/>
                        <w:w w:val="80"/>
                        <w:sz w:val="16"/>
                      </w:rPr>
                      <w:t>reforma:</w:t>
                    </w:r>
                    <w:r>
                      <w:rPr>
                        <w:rFonts w:ascii="Arial" w:hAnsi="Arial"/>
                        <w:b/>
                        <w:spacing w:val="-4"/>
                        <w:sz w:val="16"/>
                      </w:rPr>
                      <w:t> </w:t>
                    </w:r>
                    <w:r>
                      <w:rPr>
                        <w:rFonts w:ascii="Arial" w:hAnsi="Arial"/>
                        <w:b/>
                        <w:w w:val="80"/>
                        <w:sz w:val="16"/>
                      </w:rPr>
                      <w:t>22</w:t>
                    </w:r>
                    <w:r>
                      <w:rPr>
                        <w:rFonts w:ascii="Arial" w:hAnsi="Arial"/>
                        <w:b/>
                        <w:spacing w:val="-5"/>
                        <w:sz w:val="16"/>
                      </w:rPr>
                      <w:t> </w:t>
                    </w:r>
                    <w:r>
                      <w:rPr>
                        <w:rFonts w:ascii="Arial" w:hAnsi="Arial"/>
                        <w:b/>
                        <w:w w:val="80"/>
                        <w:sz w:val="16"/>
                      </w:rPr>
                      <w:t>de</w:t>
                    </w:r>
                    <w:r>
                      <w:rPr>
                        <w:rFonts w:ascii="Arial" w:hAnsi="Arial"/>
                        <w:b/>
                        <w:spacing w:val="-4"/>
                        <w:sz w:val="16"/>
                      </w:rPr>
                      <w:t> </w:t>
                    </w:r>
                    <w:r>
                      <w:rPr>
                        <w:rFonts w:ascii="Arial" w:hAnsi="Arial"/>
                        <w:b/>
                        <w:w w:val="80"/>
                        <w:sz w:val="16"/>
                      </w:rPr>
                      <w:t>mayo</w:t>
                    </w:r>
                    <w:r>
                      <w:rPr>
                        <w:rFonts w:ascii="Arial" w:hAnsi="Arial"/>
                        <w:b/>
                        <w:spacing w:val="-4"/>
                        <w:sz w:val="16"/>
                      </w:rPr>
                      <w:t> </w:t>
                    </w:r>
                    <w:r>
                      <w:rPr>
                        <w:rFonts w:ascii="Arial" w:hAnsi="Arial"/>
                        <w:b/>
                        <w:w w:val="80"/>
                        <w:sz w:val="16"/>
                      </w:rPr>
                      <w:t>de</w:t>
                    </w:r>
                    <w:r>
                      <w:rPr>
                        <w:rFonts w:ascii="Arial" w:hAnsi="Arial"/>
                        <w:b/>
                        <w:spacing w:val="-4"/>
                        <w:sz w:val="16"/>
                      </w:rPr>
                      <w:t> </w:t>
                    </w:r>
                    <w:r>
                      <w:rPr>
                        <w:rFonts w:ascii="Arial" w:hAnsi="Arial"/>
                        <w:b/>
                        <w:spacing w:val="-4"/>
                        <w:w w:val="80"/>
                        <w:sz w:val="16"/>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0">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49">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4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47">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0"/>
        <w:w w:val="100"/>
        <w:sz w:val="24"/>
        <w:szCs w:val="24"/>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146">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45">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4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43">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42">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41">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140">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39">
    <w:multiLevelType w:val="hybridMultilevel"/>
    <w:lvl w:ilvl="0">
      <w:start w:val="1"/>
      <w:numFmt w:val="upperRoman"/>
      <w:lvlText w:val="%1."/>
      <w:lvlJc w:val="left"/>
      <w:pPr>
        <w:ind w:left="262"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708"/>
      </w:pPr>
      <w:rPr>
        <w:rFonts w:hint="default"/>
        <w:lang w:val="es-ES" w:eastAsia="en-US" w:bidi="ar-SA"/>
      </w:rPr>
    </w:lvl>
    <w:lvl w:ilvl="2">
      <w:start w:val="0"/>
      <w:numFmt w:val="bullet"/>
      <w:lvlText w:val="•"/>
      <w:lvlJc w:val="left"/>
      <w:pPr>
        <w:ind w:left="2080" w:hanging="708"/>
      </w:pPr>
      <w:rPr>
        <w:rFonts w:hint="default"/>
        <w:lang w:val="es-ES" w:eastAsia="en-US" w:bidi="ar-SA"/>
      </w:rPr>
    </w:lvl>
    <w:lvl w:ilvl="3">
      <w:start w:val="0"/>
      <w:numFmt w:val="bullet"/>
      <w:lvlText w:val="•"/>
      <w:lvlJc w:val="left"/>
      <w:pPr>
        <w:ind w:left="2990" w:hanging="708"/>
      </w:pPr>
      <w:rPr>
        <w:rFonts w:hint="default"/>
        <w:lang w:val="es-ES" w:eastAsia="en-US" w:bidi="ar-SA"/>
      </w:rPr>
    </w:lvl>
    <w:lvl w:ilvl="4">
      <w:start w:val="0"/>
      <w:numFmt w:val="bullet"/>
      <w:lvlText w:val="•"/>
      <w:lvlJc w:val="left"/>
      <w:pPr>
        <w:ind w:left="3900" w:hanging="708"/>
      </w:pPr>
      <w:rPr>
        <w:rFonts w:hint="default"/>
        <w:lang w:val="es-ES" w:eastAsia="en-US" w:bidi="ar-SA"/>
      </w:rPr>
    </w:lvl>
    <w:lvl w:ilvl="5">
      <w:start w:val="0"/>
      <w:numFmt w:val="bullet"/>
      <w:lvlText w:val="•"/>
      <w:lvlJc w:val="left"/>
      <w:pPr>
        <w:ind w:left="4810" w:hanging="708"/>
      </w:pPr>
      <w:rPr>
        <w:rFonts w:hint="default"/>
        <w:lang w:val="es-ES" w:eastAsia="en-US" w:bidi="ar-SA"/>
      </w:rPr>
    </w:lvl>
    <w:lvl w:ilvl="6">
      <w:start w:val="0"/>
      <w:numFmt w:val="bullet"/>
      <w:lvlText w:val="•"/>
      <w:lvlJc w:val="left"/>
      <w:pPr>
        <w:ind w:left="5720" w:hanging="708"/>
      </w:pPr>
      <w:rPr>
        <w:rFonts w:hint="default"/>
        <w:lang w:val="es-ES" w:eastAsia="en-US" w:bidi="ar-SA"/>
      </w:rPr>
    </w:lvl>
    <w:lvl w:ilvl="7">
      <w:start w:val="0"/>
      <w:numFmt w:val="bullet"/>
      <w:lvlText w:val="•"/>
      <w:lvlJc w:val="left"/>
      <w:pPr>
        <w:ind w:left="6630" w:hanging="708"/>
      </w:pPr>
      <w:rPr>
        <w:rFonts w:hint="default"/>
        <w:lang w:val="es-ES" w:eastAsia="en-US" w:bidi="ar-SA"/>
      </w:rPr>
    </w:lvl>
    <w:lvl w:ilvl="8">
      <w:start w:val="0"/>
      <w:numFmt w:val="bullet"/>
      <w:lvlText w:val="•"/>
      <w:lvlJc w:val="left"/>
      <w:pPr>
        <w:ind w:left="7540" w:hanging="708"/>
      </w:pPr>
      <w:rPr>
        <w:rFonts w:hint="default"/>
        <w:lang w:val="es-ES" w:eastAsia="en-US" w:bidi="ar-SA"/>
      </w:rPr>
    </w:lvl>
  </w:abstractNum>
  <w:abstractNum w:abstractNumId="138">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37">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339"/>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262"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36">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35">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3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33">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32">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428"/>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545"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695" w:hanging="284"/>
      </w:pPr>
      <w:rPr>
        <w:rFonts w:hint="default"/>
        <w:lang w:val="es-ES" w:eastAsia="en-US" w:bidi="ar-SA"/>
      </w:rPr>
    </w:lvl>
    <w:lvl w:ilvl="4">
      <w:start w:val="0"/>
      <w:numFmt w:val="bullet"/>
      <w:lvlText w:val="•"/>
      <w:lvlJc w:val="left"/>
      <w:pPr>
        <w:ind w:left="2790" w:hanging="284"/>
      </w:pPr>
      <w:rPr>
        <w:rFonts w:hint="default"/>
        <w:lang w:val="es-ES" w:eastAsia="en-US" w:bidi="ar-SA"/>
      </w:rPr>
    </w:lvl>
    <w:lvl w:ilvl="5">
      <w:start w:val="0"/>
      <w:numFmt w:val="bullet"/>
      <w:lvlText w:val="•"/>
      <w:lvlJc w:val="left"/>
      <w:pPr>
        <w:ind w:left="3885" w:hanging="284"/>
      </w:pPr>
      <w:rPr>
        <w:rFonts w:hint="default"/>
        <w:lang w:val="es-ES" w:eastAsia="en-US" w:bidi="ar-SA"/>
      </w:rPr>
    </w:lvl>
    <w:lvl w:ilvl="6">
      <w:start w:val="0"/>
      <w:numFmt w:val="bullet"/>
      <w:lvlText w:val="•"/>
      <w:lvlJc w:val="left"/>
      <w:pPr>
        <w:ind w:left="4980" w:hanging="284"/>
      </w:pPr>
      <w:rPr>
        <w:rFonts w:hint="default"/>
        <w:lang w:val="es-ES" w:eastAsia="en-US" w:bidi="ar-SA"/>
      </w:rPr>
    </w:lvl>
    <w:lvl w:ilvl="7">
      <w:start w:val="0"/>
      <w:numFmt w:val="bullet"/>
      <w:lvlText w:val="•"/>
      <w:lvlJc w:val="left"/>
      <w:pPr>
        <w:ind w:left="6075" w:hanging="284"/>
      </w:pPr>
      <w:rPr>
        <w:rFonts w:hint="default"/>
        <w:lang w:val="es-ES" w:eastAsia="en-US" w:bidi="ar-SA"/>
      </w:rPr>
    </w:lvl>
    <w:lvl w:ilvl="8">
      <w:start w:val="0"/>
      <w:numFmt w:val="bullet"/>
      <w:lvlText w:val="•"/>
      <w:lvlJc w:val="left"/>
      <w:pPr>
        <w:ind w:left="7170" w:hanging="284"/>
      </w:pPr>
      <w:rPr>
        <w:rFonts w:hint="default"/>
        <w:lang w:val="es-ES" w:eastAsia="en-US" w:bidi="ar-SA"/>
      </w:rPr>
    </w:lvl>
  </w:abstractNum>
  <w:abstractNum w:abstractNumId="131">
    <w:multiLevelType w:val="hybridMultilevel"/>
    <w:lvl w:ilvl="0">
      <w:start w:val="1"/>
      <w:numFmt w:val="upperRoman"/>
      <w:lvlText w:val="%1."/>
      <w:lvlJc w:val="left"/>
      <w:pPr>
        <w:ind w:left="262" w:hanging="708"/>
        <w:jc w:val="left"/>
      </w:pPr>
      <w:rPr>
        <w:rFonts w:hint="default"/>
        <w:spacing w:val="-1"/>
        <w:w w:val="99"/>
        <w:lang w:val="es-ES" w:eastAsia="en-US" w:bidi="ar-SA"/>
      </w:rPr>
    </w:lvl>
    <w:lvl w:ilvl="1">
      <w:start w:val="0"/>
      <w:numFmt w:val="bullet"/>
      <w:lvlText w:val="•"/>
      <w:lvlJc w:val="left"/>
      <w:pPr>
        <w:ind w:left="1170" w:hanging="708"/>
      </w:pPr>
      <w:rPr>
        <w:rFonts w:hint="default"/>
        <w:lang w:val="es-ES" w:eastAsia="en-US" w:bidi="ar-SA"/>
      </w:rPr>
    </w:lvl>
    <w:lvl w:ilvl="2">
      <w:start w:val="0"/>
      <w:numFmt w:val="bullet"/>
      <w:lvlText w:val="•"/>
      <w:lvlJc w:val="left"/>
      <w:pPr>
        <w:ind w:left="2080" w:hanging="708"/>
      </w:pPr>
      <w:rPr>
        <w:rFonts w:hint="default"/>
        <w:lang w:val="es-ES" w:eastAsia="en-US" w:bidi="ar-SA"/>
      </w:rPr>
    </w:lvl>
    <w:lvl w:ilvl="3">
      <w:start w:val="0"/>
      <w:numFmt w:val="bullet"/>
      <w:lvlText w:val="•"/>
      <w:lvlJc w:val="left"/>
      <w:pPr>
        <w:ind w:left="2990" w:hanging="708"/>
      </w:pPr>
      <w:rPr>
        <w:rFonts w:hint="default"/>
        <w:lang w:val="es-ES" w:eastAsia="en-US" w:bidi="ar-SA"/>
      </w:rPr>
    </w:lvl>
    <w:lvl w:ilvl="4">
      <w:start w:val="0"/>
      <w:numFmt w:val="bullet"/>
      <w:lvlText w:val="•"/>
      <w:lvlJc w:val="left"/>
      <w:pPr>
        <w:ind w:left="3900" w:hanging="708"/>
      </w:pPr>
      <w:rPr>
        <w:rFonts w:hint="default"/>
        <w:lang w:val="es-ES" w:eastAsia="en-US" w:bidi="ar-SA"/>
      </w:rPr>
    </w:lvl>
    <w:lvl w:ilvl="5">
      <w:start w:val="0"/>
      <w:numFmt w:val="bullet"/>
      <w:lvlText w:val="•"/>
      <w:lvlJc w:val="left"/>
      <w:pPr>
        <w:ind w:left="4810" w:hanging="708"/>
      </w:pPr>
      <w:rPr>
        <w:rFonts w:hint="default"/>
        <w:lang w:val="es-ES" w:eastAsia="en-US" w:bidi="ar-SA"/>
      </w:rPr>
    </w:lvl>
    <w:lvl w:ilvl="6">
      <w:start w:val="0"/>
      <w:numFmt w:val="bullet"/>
      <w:lvlText w:val="•"/>
      <w:lvlJc w:val="left"/>
      <w:pPr>
        <w:ind w:left="5720" w:hanging="708"/>
      </w:pPr>
      <w:rPr>
        <w:rFonts w:hint="default"/>
        <w:lang w:val="es-ES" w:eastAsia="en-US" w:bidi="ar-SA"/>
      </w:rPr>
    </w:lvl>
    <w:lvl w:ilvl="7">
      <w:start w:val="0"/>
      <w:numFmt w:val="bullet"/>
      <w:lvlText w:val="•"/>
      <w:lvlJc w:val="left"/>
      <w:pPr>
        <w:ind w:left="6630" w:hanging="708"/>
      </w:pPr>
      <w:rPr>
        <w:rFonts w:hint="default"/>
        <w:lang w:val="es-ES" w:eastAsia="en-US" w:bidi="ar-SA"/>
      </w:rPr>
    </w:lvl>
    <w:lvl w:ilvl="8">
      <w:start w:val="0"/>
      <w:numFmt w:val="bullet"/>
      <w:lvlText w:val="•"/>
      <w:lvlJc w:val="left"/>
      <w:pPr>
        <w:ind w:left="7540" w:hanging="708"/>
      </w:pPr>
      <w:rPr>
        <w:rFonts w:hint="default"/>
        <w:lang w:val="es-ES" w:eastAsia="en-US" w:bidi="ar-SA"/>
      </w:rPr>
    </w:lvl>
  </w:abstractNum>
  <w:abstractNum w:abstractNumId="130">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29">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2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27">
    <w:multiLevelType w:val="hybridMultilevel"/>
    <w:lvl w:ilvl="0">
      <w:start w:val="1"/>
      <w:numFmt w:val="upperRoman"/>
      <w:lvlText w:val="%1."/>
      <w:lvlJc w:val="left"/>
      <w:pPr>
        <w:ind w:left="262" w:hanging="20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09"/>
      </w:pPr>
      <w:rPr>
        <w:rFonts w:hint="default"/>
        <w:lang w:val="es-ES" w:eastAsia="en-US" w:bidi="ar-SA"/>
      </w:rPr>
    </w:lvl>
    <w:lvl w:ilvl="2">
      <w:start w:val="0"/>
      <w:numFmt w:val="bullet"/>
      <w:lvlText w:val="•"/>
      <w:lvlJc w:val="left"/>
      <w:pPr>
        <w:ind w:left="2080" w:hanging="209"/>
      </w:pPr>
      <w:rPr>
        <w:rFonts w:hint="default"/>
        <w:lang w:val="es-ES" w:eastAsia="en-US" w:bidi="ar-SA"/>
      </w:rPr>
    </w:lvl>
    <w:lvl w:ilvl="3">
      <w:start w:val="0"/>
      <w:numFmt w:val="bullet"/>
      <w:lvlText w:val="•"/>
      <w:lvlJc w:val="left"/>
      <w:pPr>
        <w:ind w:left="2990" w:hanging="209"/>
      </w:pPr>
      <w:rPr>
        <w:rFonts w:hint="default"/>
        <w:lang w:val="es-ES" w:eastAsia="en-US" w:bidi="ar-SA"/>
      </w:rPr>
    </w:lvl>
    <w:lvl w:ilvl="4">
      <w:start w:val="0"/>
      <w:numFmt w:val="bullet"/>
      <w:lvlText w:val="•"/>
      <w:lvlJc w:val="left"/>
      <w:pPr>
        <w:ind w:left="3900" w:hanging="209"/>
      </w:pPr>
      <w:rPr>
        <w:rFonts w:hint="default"/>
        <w:lang w:val="es-ES" w:eastAsia="en-US" w:bidi="ar-SA"/>
      </w:rPr>
    </w:lvl>
    <w:lvl w:ilvl="5">
      <w:start w:val="0"/>
      <w:numFmt w:val="bullet"/>
      <w:lvlText w:val="•"/>
      <w:lvlJc w:val="left"/>
      <w:pPr>
        <w:ind w:left="4810" w:hanging="209"/>
      </w:pPr>
      <w:rPr>
        <w:rFonts w:hint="default"/>
        <w:lang w:val="es-ES" w:eastAsia="en-US" w:bidi="ar-SA"/>
      </w:rPr>
    </w:lvl>
    <w:lvl w:ilvl="6">
      <w:start w:val="0"/>
      <w:numFmt w:val="bullet"/>
      <w:lvlText w:val="•"/>
      <w:lvlJc w:val="left"/>
      <w:pPr>
        <w:ind w:left="5720" w:hanging="209"/>
      </w:pPr>
      <w:rPr>
        <w:rFonts w:hint="default"/>
        <w:lang w:val="es-ES" w:eastAsia="en-US" w:bidi="ar-SA"/>
      </w:rPr>
    </w:lvl>
    <w:lvl w:ilvl="7">
      <w:start w:val="0"/>
      <w:numFmt w:val="bullet"/>
      <w:lvlText w:val="•"/>
      <w:lvlJc w:val="left"/>
      <w:pPr>
        <w:ind w:left="6630" w:hanging="209"/>
      </w:pPr>
      <w:rPr>
        <w:rFonts w:hint="default"/>
        <w:lang w:val="es-ES" w:eastAsia="en-US" w:bidi="ar-SA"/>
      </w:rPr>
    </w:lvl>
    <w:lvl w:ilvl="8">
      <w:start w:val="0"/>
      <w:numFmt w:val="bullet"/>
      <w:lvlText w:val="•"/>
      <w:lvlJc w:val="left"/>
      <w:pPr>
        <w:ind w:left="7540" w:hanging="209"/>
      </w:pPr>
      <w:rPr>
        <w:rFonts w:hint="default"/>
        <w:lang w:val="es-ES" w:eastAsia="en-US" w:bidi="ar-SA"/>
      </w:rPr>
    </w:lvl>
  </w:abstractNum>
  <w:abstractNum w:abstractNumId="126">
    <w:multiLevelType w:val="hybridMultilevel"/>
    <w:lvl w:ilvl="0">
      <w:start w:val="1"/>
      <w:numFmt w:val="upperRoman"/>
      <w:lvlText w:val="%1."/>
      <w:lvlJc w:val="left"/>
      <w:pPr>
        <w:ind w:left="262"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708"/>
      </w:pPr>
      <w:rPr>
        <w:rFonts w:hint="default"/>
        <w:lang w:val="es-ES" w:eastAsia="en-US" w:bidi="ar-SA"/>
      </w:rPr>
    </w:lvl>
    <w:lvl w:ilvl="2">
      <w:start w:val="0"/>
      <w:numFmt w:val="bullet"/>
      <w:lvlText w:val="•"/>
      <w:lvlJc w:val="left"/>
      <w:pPr>
        <w:ind w:left="2080" w:hanging="708"/>
      </w:pPr>
      <w:rPr>
        <w:rFonts w:hint="default"/>
        <w:lang w:val="es-ES" w:eastAsia="en-US" w:bidi="ar-SA"/>
      </w:rPr>
    </w:lvl>
    <w:lvl w:ilvl="3">
      <w:start w:val="0"/>
      <w:numFmt w:val="bullet"/>
      <w:lvlText w:val="•"/>
      <w:lvlJc w:val="left"/>
      <w:pPr>
        <w:ind w:left="2990" w:hanging="708"/>
      </w:pPr>
      <w:rPr>
        <w:rFonts w:hint="default"/>
        <w:lang w:val="es-ES" w:eastAsia="en-US" w:bidi="ar-SA"/>
      </w:rPr>
    </w:lvl>
    <w:lvl w:ilvl="4">
      <w:start w:val="0"/>
      <w:numFmt w:val="bullet"/>
      <w:lvlText w:val="•"/>
      <w:lvlJc w:val="left"/>
      <w:pPr>
        <w:ind w:left="3900" w:hanging="708"/>
      </w:pPr>
      <w:rPr>
        <w:rFonts w:hint="default"/>
        <w:lang w:val="es-ES" w:eastAsia="en-US" w:bidi="ar-SA"/>
      </w:rPr>
    </w:lvl>
    <w:lvl w:ilvl="5">
      <w:start w:val="0"/>
      <w:numFmt w:val="bullet"/>
      <w:lvlText w:val="•"/>
      <w:lvlJc w:val="left"/>
      <w:pPr>
        <w:ind w:left="4810" w:hanging="708"/>
      </w:pPr>
      <w:rPr>
        <w:rFonts w:hint="default"/>
        <w:lang w:val="es-ES" w:eastAsia="en-US" w:bidi="ar-SA"/>
      </w:rPr>
    </w:lvl>
    <w:lvl w:ilvl="6">
      <w:start w:val="0"/>
      <w:numFmt w:val="bullet"/>
      <w:lvlText w:val="•"/>
      <w:lvlJc w:val="left"/>
      <w:pPr>
        <w:ind w:left="5720" w:hanging="708"/>
      </w:pPr>
      <w:rPr>
        <w:rFonts w:hint="default"/>
        <w:lang w:val="es-ES" w:eastAsia="en-US" w:bidi="ar-SA"/>
      </w:rPr>
    </w:lvl>
    <w:lvl w:ilvl="7">
      <w:start w:val="0"/>
      <w:numFmt w:val="bullet"/>
      <w:lvlText w:val="•"/>
      <w:lvlJc w:val="left"/>
      <w:pPr>
        <w:ind w:left="6630" w:hanging="708"/>
      </w:pPr>
      <w:rPr>
        <w:rFonts w:hint="default"/>
        <w:lang w:val="es-ES" w:eastAsia="en-US" w:bidi="ar-SA"/>
      </w:rPr>
    </w:lvl>
    <w:lvl w:ilvl="8">
      <w:start w:val="0"/>
      <w:numFmt w:val="bullet"/>
      <w:lvlText w:val="•"/>
      <w:lvlJc w:val="left"/>
      <w:pPr>
        <w:ind w:left="7540" w:hanging="708"/>
      </w:pPr>
      <w:rPr>
        <w:rFonts w:hint="default"/>
        <w:lang w:val="es-ES" w:eastAsia="en-US" w:bidi="ar-SA"/>
      </w:rPr>
    </w:lvl>
  </w:abstractNum>
  <w:abstractNum w:abstractNumId="125">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24">
    <w:multiLevelType w:val="hybridMultilevel"/>
    <w:lvl w:ilvl="0">
      <w:start w:val="1"/>
      <w:numFmt w:val="upperRoman"/>
      <w:lvlText w:val="%1."/>
      <w:lvlJc w:val="left"/>
      <w:pPr>
        <w:ind w:left="744" w:hanging="4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2" w:hanging="483"/>
      </w:pPr>
      <w:rPr>
        <w:rFonts w:hint="default"/>
        <w:lang w:val="es-ES" w:eastAsia="en-US" w:bidi="ar-SA"/>
      </w:rPr>
    </w:lvl>
    <w:lvl w:ilvl="2">
      <w:start w:val="0"/>
      <w:numFmt w:val="bullet"/>
      <w:lvlText w:val="•"/>
      <w:lvlJc w:val="left"/>
      <w:pPr>
        <w:ind w:left="2464" w:hanging="483"/>
      </w:pPr>
      <w:rPr>
        <w:rFonts w:hint="default"/>
        <w:lang w:val="es-ES" w:eastAsia="en-US" w:bidi="ar-SA"/>
      </w:rPr>
    </w:lvl>
    <w:lvl w:ilvl="3">
      <w:start w:val="0"/>
      <w:numFmt w:val="bullet"/>
      <w:lvlText w:val="•"/>
      <w:lvlJc w:val="left"/>
      <w:pPr>
        <w:ind w:left="3326" w:hanging="483"/>
      </w:pPr>
      <w:rPr>
        <w:rFonts w:hint="default"/>
        <w:lang w:val="es-ES" w:eastAsia="en-US" w:bidi="ar-SA"/>
      </w:rPr>
    </w:lvl>
    <w:lvl w:ilvl="4">
      <w:start w:val="0"/>
      <w:numFmt w:val="bullet"/>
      <w:lvlText w:val="•"/>
      <w:lvlJc w:val="left"/>
      <w:pPr>
        <w:ind w:left="4188" w:hanging="483"/>
      </w:pPr>
      <w:rPr>
        <w:rFonts w:hint="default"/>
        <w:lang w:val="es-ES" w:eastAsia="en-US" w:bidi="ar-SA"/>
      </w:rPr>
    </w:lvl>
    <w:lvl w:ilvl="5">
      <w:start w:val="0"/>
      <w:numFmt w:val="bullet"/>
      <w:lvlText w:val="•"/>
      <w:lvlJc w:val="left"/>
      <w:pPr>
        <w:ind w:left="5050" w:hanging="483"/>
      </w:pPr>
      <w:rPr>
        <w:rFonts w:hint="default"/>
        <w:lang w:val="es-ES" w:eastAsia="en-US" w:bidi="ar-SA"/>
      </w:rPr>
    </w:lvl>
    <w:lvl w:ilvl="6">
      <w:start w:val="0"/>
      <w:numFmt w:val="bullet"/>
      <w:lvlText w:val="•"/>
      <w:lvlJc w:val="left"/>
      <w:pPr>
        <w:ind w:left="5912" w:hanging="483"/>
      </w:pPr>
      <w:rPr>
        <w:rFonts w:hint="default"/>
        <w:lang w:val="es-ES" w:eastAsia="en-US" w:bidi="ar-SA"/>
      </w:rPr>
    </w:lvl>
    <w:lvl w:ilvl="7">
      <w:start w:val="0"/>
      <w:numFmt w:val="bullet"/>
      <w:lvlText w:val="•"/>
      <w:lvlJc w:val="left"/>
      <w:pPr>
        <w:ind w:left="6774" w:hanging="483"/>
      </w:pPr>
      <w:rPr>
        <w:rFonts w:hint="default"/>
        <w:lang w:val="es-ES" w:eastAsia="en-US" w:bidi="ar-SA"/>
      </w:rPr>
    </w:lvl>
    <w:lvl w:ilvl="8">
      <w:start w:val="0"/>
      <w:numFmt w:val="bullet"/>
      <w:lvlText w:val="•"/>
      <w:lvlJc w:val="left"/>
      <w:pPr>
        <w:ind w:left="7636" w:hanging="483"/>
      </w:pPr>
      <w:rPr>
        <w:rFonts w:hint="default"/>
        <w:lang w:val="es-ES" w:eastAsia="en-US" w:bidi="ar-SA"/>
      </w:rPr>
    </w:lvl>
  </w:abstractNum>
  <w:abstractNum w:abstractNumId="123">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22">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121">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20">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689" w:hanging="428"/>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545"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765" w:hanging="284"/>
      </w:pPr>
      <w:rPr>
        <w:rFonts w:hint="default"/>
        <w:lang w:val="es-ES" w:eastAsia="en-US" w:bidi="ar-SA"/>
      </w:rPr>
    </w:lvl>
    <w:lvl w:ilvl="4">
      <w:start w:val="0"/>
      <w:numFmt w:val="bullet"/>
      <w:lvlText w:val="•"/>
      <w:lvlJc w:val="left"/>
      <w:pPr>
        <w:ind w:left="2850" w:hanging="284"/>
      </w:pPr>
      <w:rPr>
        <w:rFonts w:hint="default"/>
        <w:lang w:val="es-ES" w:eastAsia="en-US" w:bidi="ar-SA"/>
      </w:rPr>
    </w:lvl>
    <w:lvl w:ilvl="5">
      <w:start w:val="0"/>
      <w:numFmt w:val="bullet"/>
      <w:lvlText w:val="•"/>
      <w:lvlJc w:val="left"/>
      <w:pPr>
        <w:ind w:left="3935" w:hanging="284"/>
      </w:pPr>
      <w:rPr>
        <w:rFonts w:hint="default"/>
        <w:lang w:val="es-ES" w:eastAsia="en-US" w:bidi="ar-SA"/>
      </w:rPr>
    </w:lvl>
    <w:lvl w:ilvl="6">
      <w:start w:val="0"/>
      <w:numFmt w:val="bullet"/>
      <w:lvlText w:val="•"/>
      <w:lvlJc w:val="left"/>
      <w:pPr>
        <w:ind w:left="5020" w:hanging="284"/>
      </w:pPr>
      <w:rPr>
        <w:rFonts w:hint="default"/>
        <w:lang w:val="es-ES" w:eastAsia="en-US" w:bidi="ar-SA"/>
      </w:rPr>
    </w:lvl>
    <w:lvl w:ilvl="7">
      <w:start w:val="0"/>
      <w:numFmt w:val="bullet"/>
      <w:lvlText w:val="•"/>
      <w:lvlJc w:val="left"/>
      <w:pPr>
        <w:ind w:left="6105" w:hanging="284"/>
      </w:pPr>
      <w:rPr>
        <w:rFonts w:hint="default"/>
        <w:lang w:val="es-ES" w:eastAsia="en-US" w:bidi="ar-SA"/>
      </w:rPr>
    </w:lvl>
    <w:lvl w:ilvl="8">
      <w:start w:val="0"/>
      <w:numFmt w:val="bullet"/>
      <w:lvlText w:val="•"/>
      <w:lvlJc w:val="left"/>
      <w:pPr>
        <w:ind w:left="7190" w:hanging="284"/>
      </w:pPr>
      <w:rPr>
        <w:rFonts w:hint="default"/>
        <w:lang w:val="es-ES" w:eastAsia="en-US" w:bidi="ar-SA"/>
      </w:rPr>
    </w:lvl>
  </w:abstractNum>
  <w:abstractNum w:abstractNumId="11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18">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117">
    <w:multiLevelType w:val="hybridMultilevel"/>
    <w:lvl w:ilvl="0">
      <w:start w:val="1"/>
      <w:numFmt w:val="upperRoman"/>
      <w:lvlText w:val="%1."/>
      <w:lvlJc w:val="left"/>
      <w:pPr>
        <w:ind w:left="262" w:hanging="33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116">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15">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1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13">
    <w:multiLevelType w:val="hybridMultilevel"/>
    <w:lvl w:ilvl="0">
      <w:start w:val="1"/>
      <w:numFmt w:val="upperRoman"/>
      <w:lvlText w:val="%1."/>
      <w:lvlJc w:val="left"/>
      <w:pPr>
        <w:ind w:left="428" w:hanging="167"/>
        <w:jc w:val="left"/>
      </w:pPr>
      <w:rPr>
        <w:rFonts w:hint="default" w:ascii="Arial" w:hAnsi="Arial" w:eastAsia="Arial" w:cs="Arial"/>
        <w:b/>
        <w:bCs/>
        <w:i w:val="0"/>
        <w:iCs w:val="0"/>
        <w:spacing w:val="0"/>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545"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112">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11">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spacing w:val="-1"/>
        <w:w w:val="99"/>
        <w:lang w:val="es-ES" w:eastAsia="en-US" w:bidi="ar-SA"/>
      </w:rPr>
    </w:lvl>
    <w:lvl w:ilvl="2">
      <w:start w:val="1"/>
      <w:numFmt w:val="upperRoman"/>
      <w:lvlText w:val="%3."/>
      <w:lvlJc w:val="left"/>
      <w:pPr>
        <w:ind w:left="262" w:hanging="42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428"/>
      </w:pPr>
      <w:rPr>
        <w:rFonts w:hint="default"/>
        <w:lang w:val="es-ES" w:eastAsia="en-US" w:bidi="ar-SA"/>
      </w:rPr>
    </w:lvl>
    <w:lvl w:ilvl="4">
      <w:start w:val="0"/>
      <w:numFmt w:val="bullet"/>
      <w:lvlText w:val="•"/>
      <w:lvlJc w:val="left"/>
      <w:pPr>
        <w:ind w:left="3480" w:hanging="428"/>
      </w:pPr>
      <w:rPr>
        <w:rFonts w:hint="default"/>
        <w:lang w:val="es-ES" w:eastAsia="en-US" w:bidi="ar-SA"/>
      </w:rPr>
    </w:lvl>
    <w:lvl w:ilvl="5">
      <w:start w:val="0"/>
      <w:numFmt w:val="bullet"/>
      <w:lvlText w:val="•"/>
      <w:lvlJc w:val="left"/>
      <w:pPr>
        <w:ind w:left="4460" w:hanging="428"/>
      </w:pPr>
      <w:rPr>
        <w:rFonts w:hint="default"/>
        <w:lang w:val="es-ES" w:eastAsia="en-US" w:bidi="ar-SA"/>
      </w:rPr>
    </w:lvl>
    <w:lvl w:ilvl="6">
      <w:start w:val="0"/>
      <w:numFmt w:val="bullet"/>
      <w:lvlText w:val="•"/>
      <w:lvlJc w:val="left"/>
      <w:pPr>
        <w:ind w:left="5440" w:hanging="428"/>
      </w:pPr>
      <w:rPr>
        <w:rFonts w:hint="default"/>
        <w:lang w:val="es-ES" w:eastAsia="en-US" w:bidi="ar-SA"/>
      </w:rPr>
    </w:lvl>
    <w:lvl w:ilvl="7">
      <w:start w:val="0"/>
      <w:numFmt w:val="bullet"/>
      <w:lvlText w:val="•"/>
      <w:lvlJc w:val="left"/>
      <w:pPr>
        <w:ind w:left="6420" w:hanging="428"/>
      </w:pPr>
      <w:rPr>
        <w:rFonts w:hint="default"/>
        <w:lang w:val="es-ES" w:eastAsia="en-US" w:bidi="ar-SA"/>
      </w:rPr>
    </w:lvl>
    <w:lvl w:ilvl="8">
      <w:start w:val="0"/>
      <w:numFmt w:val="bullet"/>
      <w:lvlText w:val="•"/>
      <w:lvlJc w:val="left"/>
      <w:pPr>
        <w:ind w:left="7400" w:hanging="428"/>
      </w:pPr>
      <w:rPr>
        <w:rFonts w:hint="default"/>
        <w:lang w:val="es-ES" w:eastAsia="en-US" w:bidi="ar-SA"/>
      </w:rPr>
    </w:lvl>
  </w:abstractNum>
  <w:abstractNum w:abstractNumId="110">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10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08">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262" w:hanging="42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428"/>
      </w:pPr>
      <w:rPr>
        <w:rFonts w:hint="default"/>
        <w:lang w:val="es-ES" w:eastAsia="en-US" w:bidi="ar-SA"/>
      </w:rPr>
    </w:lvl>
    <w:lvl w:ilvl="4">
      <w:start w:val="0"/>
      <w:numFmt w:val="bullet"/>
      <w:lvlText w:val="•"/>
      <w:lvlJc w:val="left"/>
      <w:pPr>
        <w:ind w:left="3480" w:hanging="428"/>
      </w:pPr>
      <w:rPr>
        <w:rFonts w:hint="default"/>
        <w:lang w:val="es-ES" w:eastAsia="en-US" w:bidi="ar-SA"/>
      </w:rPr>
    </w:lvl>
    <w:lvl w:ilvl="5">
      <w:start w:val="0"/>
      <w:numFmt w:val="bullet"/>
      <w:lvlText w:val="•"/>
      <w:lvlJc w:val="left"/>
      <w:pPr>
        <w:ind w:left="4460" w:hanging="428"/>
      </w:pPr>
      <w:rPr>
        <w:rFonts w:hint="default"/>
        <w:lang w:val="es-ES" w:eastAsia="en-US" w:bidi="ar-SA"/>
      </w:rPr>
    </w:lvl>
    <w:lvl w:ilvl="6">
      <w:start w:val="0"/>
      <w:numFmt w:val="bullet"/>
      <w:lvlText w:val="•"/>
      <w:lvlJc w:val="left"/>
      <w:pPr>
        <w:ind w:left="5440" w:hanging="428"/>
      </w:pPr>
      <w:rPr>
        <w:rFonts w:hint="default"/>
        <w:lang w:val="es-ES" w:eastAsia="en-US" w:bidi="ar-SA"/>
      </w:rPr>
    </w:lvl>
    <w:lvl w:ilvl="7">
      <w:start w:val="0"/>
      <w:numFmt w:val="bullet"/>
      <w:lvlText w:val="•"/>
      <w:lvlJc w:val="left"/>
      <w:pPr>
        <w:ind w:left="6420" w:hanging="428"/>
      </w:pPr>
      <w:rPr>
        <w:rFonts w:hint="default"/>
        <w:lang w:val="es-ES" w:eastAsia="en-US" w:bidi="ar-SA"/>
      </w:rPr>
    </w:lvl>
    <w:lvl w:ilvl="8">
      <w:start w:val="0"/>
      <w:numFmt w:val="bullet"/>
      <w:lvlText w:val="•"/>
      <w:lvlJc w:val="left"/>
      <w:pPr>
        <w:ind w:left="7400" w:hanging="428"/>
      </w:pPr>
      <w:rPr>
        <w:rFonts w:hint="default"/>
        <w:lang w:val="es-ES" w:eastAsia="en-US" w:bidi="ar-SA"/>
      </w:rPr>
    </w:lvl>
  </w:abstractNum>
  <w:abstractNum w:abstractNumId="107">
    <w:multiLevelType w:val="hybridMultilevel"/>
    <w:lvl w:ilvl="0">
      <w:start w:val="1"/>
      <w:numFmt w:val="upperRoman"/>
      <w:lvlText w:val="%1."/>
      <w:lvlJc w:val="left"/>
      <w:pPr>
        <w:ind w:left="262" w:hanging="18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70" w:hanging="180"/>
      </w:pPr>
      <w:rPr>
        <w:rFonts w:hint="default"/>
        <w:lang w:val="es-ES" w:eastAsia="en-US" w:bidi="ar-SA"/>
      </w:rPr>
    </w:lvl>
    <w:lvl w:ilvl="2">
      <w:start w:val="0"/>
      <w:numFmt w:val="bullet"/>
      <w:lvlText w:val="•"/>
      <w:lvlJc w:val="left"/>
      <w:pPr>
        <w:ind w:left="2080" w:hanging="180"/>
      </w:pPr>
      <w:rPr>
        <w:rFonts w:hint="default"/>
        <w:lang w:val="es-ES" w:eastAsia="en-US" w:bidi="ar-SA"/>
      </w:rPr>
    </w:lvl>
    <w:lvl w:ilvl="3">
      <w:start w:val="0"/>
      <w:numFmt w:val="bullet"/>
      <w:lvlText w:val="•"/>
      <w:lvlJc w:val="left"/>
      <w:pPr>
        <w:ind w:left="2990" w:hanging="180"/>
      </w:pPr>
      <w:rPr>
        <w:rFonts w:hint="default"/>
        <w:lang w:val="es-ES" w:eastAsia="en-US" w:bidi="ar-SA"/>
      </w:rPr>
    </w:lvl>
    <w:lvl w:ilvl="4">
      <w:start w:val="0"/>
      <w:numFmt w:val="bullet"/>
      <w:lvlText w:val="•"/>
      <w:lvlJc w:val="left"/>
      <w:pPr>
        <w:ind w:left="3900" w:hanging="180"/>
      </w:pPr>
      <w:rPr>
        <w:rFonts w:hint="default"/>
        <w:lang w:val="es-ES" w:eastAsia="en-US" w:bidi="ar-SA"/>
      </w:rPr>
    </w:lvl>
    <w:lvl w:ilvl="5">
      <w:start w:val="0"/>
      <w:numFmt w:val="bullet"/>
      <w:lvlText w:val="•"/>
      <w:lvlJc w:val="left"/>
      <w:pPr>
        <w:ind w:left="4810" w:hanging="180"/>
      </w:pPr>
      <w:rPr>
        <w:rFonts w:hint="default"/>
        <w:lang w:val="es-ES" w:eastAsia="en-US" w:bidi="ar-SA"/>
      </w:rPr>
    </w:lvl>
    <w:lvl w:ilvl="6">
      <w:start w:val="0"/>
      <w:numFmt w:val="bullet"/>
      <w:lvlText w:val="•"/>
      <w:lvlJc w:val="left"/>
      <w:pPr>
        <w:ind w:left="5720" w:hanging="180"/>
      </w:pPr>
      <w:rPr>
        <w:rFonts w:hint="default"/>
        <w:lang w:val="es-ES" w:eastAsia="en-US" w:bidi="ar-SA"/>
      </w:rPr>
    </w:lvl>
    <w:lvl w:ilvl="7">
      <w:start w:val="0"/>
      <w:numFmt w:val="bullet"/>
      <w:lvlText w:val="•"/>
      <w:lvlJc w:val="left"/>
      <w:pPr>
        <w:ind w:left="6630" w:hanging="180"/>
      </w:pPr>
      <w:rPr>
        <w:rFonts w:hint="default"/>
        <w:lang w:val="es-ES" w:eastAsia="en-US" w:bidi="ar-SA"/>
      </w:rPr>
    </w:lvl>
    <w:lvl w:ilvl="8">
      <w:start w:val="0"/>
      <w:numFmt w:val="bullet"/>
      <w:lvlText w:val="•"/>
      <w:lvlJc w:val="left"/>
      <w:pPr>
        <w:ind w:left="7540" w:hanging="180"/>
      </w:pPr>
      <w:rPr>
        <w:rFonts w:hint="default"/>
        <w:lang w:val="es-ES" w:eastAsia="en-US" w:bidi="ar-SA"/>
      </w:rPr>
    </w:lvl>
  </w:abstractNum>
  <w:abstractNum w:abstractNumId="106">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05">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10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03">
    <w:multiLevelType w:val="hybridMultilevel"/>
    <w:lvl w:ilvl="0">
      <w:start w:val="1"/>
      <w:numFmt w:val="upperRoman"/>
      <w:lvlText w:val="%1."/>
      <w:lvlJc w:val="left"/>
      <w:pPr>
        <w:ind w:left="262"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171"/>
      </w:pPr>
      <w:rPr>
        <w:rFonts w:hint="default"/>
        <w:lang w:val="es-ES" w:eastAsia="en-US" w:bidi="ar-SA"/>
      </w:rPr>
    </w:lvl>
    <w:lvl w:ilvl="2">
      <w:start w:val="0"/>
      <w:numFmt w:val="bullet"/>
      <w:lvlText w:val="•"/>
      <w:lvlJc w:val="left"/>
      <w:pPr>
        <w:ind w:left="2080" w:hanging="171"/>
      </w:pPr>
      <w:rPr>
        <w:rFonts w:hint="default"/>
        <w:lang w:val="es-ES" w:eastAsia="en-US" w:bidi="ar-SA"/>
      </w:rPr>
    </w:lvl>
    <w:lvl w:ilvl="3">
      <w:start w:val="0"/>
      <w:numFmt w:val="bullet"/>
      <w:lvlText w:val="•"/>
      <w:lvlJc w:val="left"/>
      <w:pPr>
        <w:ind w:left="2990" w:hanging="171"/>
      </w:pPr>
      <w:rPr>
        <w:rFonts w:hint="default"/>
        <w:lang w:val="es-ES" w:eastAsia="en-US" w:bidi="ar-SA"/>
      </w:rPr>
    </w:lvl>
    <w:lvl w:ilvl="4">
      <w:start w:val="0"/>
      <w:numFmt w:val="bullet"/>
      <w:lvlText w:val="•"/>
      <w:lvlJc w:val="left"/>
      <w:pPr>
        <w:ind w:left="3900" w:hanging="171"/>
      </w:pPr>
      <w:rPr>
        <w:rFonts w:hint="default"/>
        <w:lang w:val="es-ES" w:eastAsia="en-US" w:bidi="ar-SA"/>
      </w:rPr>
    </w:lvl>
    <w:lvl w:ilvl="5">
      <w:start w:val="0"/>
      <w:numFmt w:val="bullet"/>
      <w:lvlText w:val="•"/>
      <w:lvlJc w:val="left"/>
      <w:pPr>
        <w:ind w:left="4810" w:hanging="171"/>
      </w:pPr>
      <w:rPr>
        <w:rFonts w:hint="default"/>
        <w:lang w:val="es-ES" w:eastAsia="en-US" w:bidi="ar-SA"/>
      </w:rPr>
    </w:lvl>
    <w:lvl w:ilvl="6">
      <w:start w:val="0"/>
      <w:numFmt w:val="bullet"/>
      <w:lvlText w:val="•"/>
      <w:lvlJc w:val="left"/>
      <w:pPr>
        <w:ind w:left="5720" w:hanging="171"/>
      </w:pPr>
      <w:rPr>
        <w:rFonts w:hint="default"/>
        <w:lang w:val="es-ES" w:eastAsia="en-US" w:bidi="ar-SA"/>
      </w:rPr>
    </w:lvl>
    <w:lvl w:ilvl="7">
      <w:start w:val="0"/>
      <w:numFmt w:val="bullet"/>
      <w:lvlText w:val="•"/>
      <w:lvlJc w:val="left"/>
      <w:pPr>
        <w:ind w:left="6630" w:hanging="171"/>
      </w:pPr>
      <w:rPr>
        <w:rFonts w:hint="default"/>
        <w:lang w:val="es-ES" w:eastAsia="en-US" w:bidi="ar-SA"/>
      </w:rPr>
    </w:lvl>
    <w:lvl w:ilvl="8">
      <w:start w:val="0"/>
      <w:numFmt w:val="bullet"/>
      <w:lvlText w:val="•"/>
      <w:lvlJc w:val="left"/>
      <w:pPr>
        <w:ind w:left="7540" w:hanging="171"/>
      </w:pPr>
      <w:rPr>
        <w:rFonts w:hint="default"/>
        <w:lang w:val="es-ES" w:eastAsia="en-US" w:bidi="ar-SA"/>
      </w:rPr>
    </w:lvl>
  </w:abstractNum>
  <w:abstractNum w:abstractNumId="102">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01">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00">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9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9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97">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96">
    <w:multiLevelType w:val="hybridMultilevel"/>
    <w:lvl w:ilvl="0">
      <w:start w:val="6"/>
      <w:numFmt w:val="upperRoman"/>
      <w:lvlText w:val="%1"/>
      <w:lvlJc w:val="left"/>
      <w:pPr>
        <w:ind w:left="262" w:hanging="252"/>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70" w:hanging="252"/>
      </w:pPr>
      <w:rPr>
        <w:rFonts w:hint="default"/>
        <w:lang w:val="es-ES" w:eastAsia="en-US" w:bidi="ar-SA"/>
      </w:rPr>
    </w:lvl>
    <w:lvl w:ilvl="2">
      <w:start w:val="0"/>
      <w:numFmt w:val="bullet"/>
      <w:lvlText w:val="•"/>
      <w:lvlJc w:val="left"/>
      <w:pPr>
        <w:ind w:left="2080" w:hanging="252"/>
      </w:pPr>
      <w:rPr>
        <w:rFonts w:hint="default"/>
        <w:lang w:val="es-ES" w:eastAsia="en-US" w:bidi="ar-SA"/>
      </w:rPr>
    </w:lvl>
    <w:lvl w:ilvl="3">
      <w:start w:val="0"/>
      <w:numFmt w:val="bullet"/>
      <w:lvlText w:val="•"/>
      <w:lvlJc w:val="left"/>
      <w:pPr>
        <w:ind w:left="2990" w:hanging="252"/>
      </w:pPr>
      <w:rPr>
        <w:rFonts w:hint="default"/>
        <w:lang w:val="es-ES" w:eastAsia="en-US" w:bidi="ar-SA"/>
      </w:rPr>
    </w:lvl>
    <w:lvl w:ilvl="4">
      <w:start w:val="0"/>
      <w:numFmt w:val="bullet"/>
      <w:lvlText w:val="•"/>
      <w:lvlJc w:val="left"/>
      <w:pPr>
        <w:ind w:left="3900" w:hanging="252"/>
      </w:pPr>
      <w:rPr>
        <w:rFonts w:hint="default"/>
        <w:lang w:val="es-ES" w:eastAsia="en-US" w:bidi="ar-SA"/>
      </w:rPr>
    </w:lvl>
    <w:lvl w:ilvl="5">
      <w:start w:val="0"/>
      <w:numFmt w:val="bullet"/>
      <w:lvlText w:val="•"/>
      <w:lvlJc w:val="left"/>
      <w:pPr>
        <w:ind w:left="4810" w:hanging="252"/>
      </w:pPr>
      <w:rPr>
        <w:rFonts w:hint="default"/>
        <w:lang w:val="es-ES" w:eastAsia="en-US" w:bidi="ar-SA"/>
      </w:rPr>
    </w:lvl>
    <w:lvl w:ilvl="6">
      <w:start w:val="0"/>
      <w:numFmt w:val="bullet"/>
      <w:lvlText w:val="•"/>
      <w:lvlJc w:val="left"/>
      <w:pPr>
        <w:ind w:left="5720" w:hanging="252"/>
      </w:pPr>
      <w:rPr>
        <w:rFonts w:hint="default"/>
        <w:lang w:val="es-ES" w:eastAsia="en-US" w:bidi="ar-SA"/>
      </w:rPr>
    </w:lvl>
    <w:lvl w:ilvl="7">
      <w:start w:val="0"/>
      <w:numFmt w:val="bullet"/>
      <w:lvlText w:val="•"/>
      <w:lvlJc w:val="left"/>
      <w:pPr>
        <w:ind w:left="6630" w:hanging="252"/>
      </w:pPr>
      <w:rPr>
        <w:rFonts w:hint="default"/>
        <w:lang w:val="es-ES" w:eastAsia="en-US" w:bidi="ar-SA"/>
      </w:rPr>
    </w:lvl>
    <w:lvl w:ilvl="8">
      <w:start w:val="0"/>
      <w:numFmt w:val="bullet"/>
      <w:lvlText w:val="•"/>
      <w:lvlJc w:val="left"/>
      <w:pPr>
        <w:ind w:left="7540" w:hanging="252"/>
      </w:pPr>
      <w:rPr>
        <w:rFonts w:hint="default"/>
        <w:lang w:val="es-ES" w:eastAsia="en-US" w:bidi="ar-SA"/>
      </w:rPr>
    </w:lvl>
  </w:abstractNum>
  <w:abstractNum w:abstractNumId="95">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9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93">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92">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91">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90">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89">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88">
    <w:multiLevelType w:val="hybridMultilevel"/>
    <w:lvl w:ilvl="0">
      <w:start w:val="1"/>
      <w:numFmt w:val="upperRoman"/>
      <w:lvlText w:val="%1."/>
      <w:lvlJc w:val="left"/>
      <w:pPr>
        <w:ind w:left="545" w:hanging="284"/>
        <w:jc w:val="left"/>
      </w:pPr>
      <w:rPr>
        <w:rFonts w:hint="default"/>
        <w:spacing w:val="-1"/>
        <w:w w:val="99"/>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87">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262" w:hanging="42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428"/>
      </w:pPr>
      <w:rPr>
        <w:rFonts w:hint="default"/>
        <w:lang w:val="es-ES" w:eastAsia="en-US" w:bidi="ar-SA"/>
      </w:rPr>
    </w:lvl>
    <w:lvl w:ilvl="4">
      <w:start w:val="0"/>
      <w:numFmt w:val="bullet"/>
      <w:lvlText w:val="•"/>
      <w:lvlJc w:val="left"/>
      <w:pPr>
        <w:ind w:left="3480" w:hanging="428"/>
      </w:pPr>
      <w:rPr>
        <w:rFonts w:hint="default"/>
        <w:lang w:val="es-ES" w:eastAsia="en-US" w:bidi="ar-SA"/>
      </w:rPr>
    </w:lvl>
    <w:lvl w:ilvl="5">
      <w:start w:val="0"/>
      <w:numFmt w:val="bullet"/>
      <w:lvlText w:val="•"/>
      <w:lvlJc w:val="left"/>
      <w:pPr>
        <w:ind w:left="4460" w:hanging="428"/>
      </w:pPr>
      <w:rPr>
        <w:rFonts w:hint="default"/>
        <w:lang w:val="es-ES" w:eastAsia="en-US" w:bidi="ar-SA"/>
      </w:rPr>
    </w:lvl>
    <w:lvl w:ilvl="6">
      <w:start w:val="0"/>
      <w:numFmt w:val="bullet"/>
      <w:lvlText w:val="•"/>
      <w:lvlJc w:val="left"/>
      <w:pPr>
        <w:ind w:left="5440" w:hanging="428"/>
      </w:pPr>
      <w:rPr>
        <w:rFonts w:hint="default"/>
        <w:lang w:val="es-ES" w:eastAsia="en-US" w:bidi="ar-SA"/>
      </w:rPr>
    </w:lvl>
    <w:lvl w:ilvl="7">
      <w:start w:val="0"/>
      <w:numFmt w:val="bullet"/>
      <w:lvlText w:val="•"/>
      <w:lvlJc w:val="left"/>
      <w:pPr>
        <w:ind w:left="6420" w:hanging="428"/>
      </w:pPr>
      <w:rPr>
        <w:rFonts w:hint="default"/>
        <w:lang w:val="es-ES" w:eastAsia="en-US" w:bidi="ar-SA"/>
      </w:rPr>
    </w:lvl>
    <w:lvl w:ilvl="8">
      <w:start w:val="0"/>
      <w:numFmt w:val="bullet"/>
      <w:lvlText w:val="•"/>
      <w:lvlJc w:val="left"/>
      <w:pPr>
        <w:ind w:left="7400" w:hanging="428"/>
      </w:pPr>
      <w:rPr>
        <w:rFonts w:hint="default"/>
        <w:lang w:val="es-ES" w:eastAsia="en-US" w:bidi="ar-SA"/>
      </w:rPr>
    </w:lvl>
  </w:abstractNum>
  <w:abstractNum w:abstractNumId="86">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85">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8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83">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82">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81">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80">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79">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7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77">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76">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75">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74">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73">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72">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71">
    <w:multiLevelType w:val="hybridMultilevel"/>
    <w:lvl w:ilvl="0">
      <w:start w:val="1"/>
      <w:numFmt w:val="upperRoman"/>
      <w:lvlText w:val="%1."/>
      <w:lvlJc w:val="left"/>
      <w:pPr>
        <w:ind w:left="458" w:hanging="197"/>
        <w:jc w:val="left"/>
      </w:pPr>
      <w:rPr>
        <w:rFonts w:hint="default"/>
        <w:spacing w:val="-1"/>
        <w:w w:val="99"/>
        <w:lang w:val="es-ES" w:eastAsia="en-US" w:bidi="ar-SA"/>
      </w:rPr>
    </w:lvl>
    <w:lvl w:ilvl="1">
      <w:start w:val="0"/>
      <w:numFmt w:val="bullet"/>
      <w:lvlText w:val="•"/>
      <w:lvlJc w:val="left"/>
      <w:pPr>
        <w:ind w:left="1350" w:hanging="197"/>
      </w:pPr>
      <w:rPr>
        <w:rFonts w:hint="default"/>
        <w:lang w:val="es-ES" w:eastAsia="en-US" w:bidi="ar-SA"/>
      </w:rPr>
    </w:lvl>
    <w:lvl w:ilvl="2">
      <w:start w:val="0"/>
      <w:numFmt w:val="bullet"/>
      <w:lvlText w:val="•"/>
      <w:lvlJc w:val="left"/>
      <w:pPr>
        <w:ind w:left="2240" w:hanging="197"/>
      </w:pPr>
      <w:rPr>
        <w:rFonts w:hint="default"/>
        <w:lang w:val="es-ES" w:eastAsia="en-US" w:bidi="ar-SA"/>
      </w:rPr>
    </w:lvl>
    <w:lvl w:ilvl="3">
      <w:start w:val="0"/>
      <w:numFmt w:val="bullet"/>
      <w:lvlText w:val="•"/>
      <w:lvlJc w:val="left"/>
      <w:pPr>
        <w:ind w:left="3130" w:hanging="197"/>
      </w:pPr>
      <w:rPr>
        <w:rFonts w:hint="default"/>
        <w:lang w:val="es-ES" w:eastAsia="en-US" w:bidi="ar-SA"/>
      </w:rPr>
    </w:lvl>
    <w:lvl w:ilvl="4">
      <w:start w:val="0"/>
      <w:numFmt w:val="bullet"/>
      <w:lvlText w:val="•"/>
      <w:lvlJc w:val="left"/>
      <w:pPr>
        <w:ind w:left="4020" w:hanging="197"/>
      </w:pPr>
      <w:rPr>
        <w:rFonts w:hint="default"/>
        <w:lang w:val="es-ES" w:eastAsia="en-US" w:bidi="ar-SA"/>
      </w:rPr>
    </w:lvl>
    <w:lvl w:ilvl="5">
      <w:start w:val="0"/>
      <w:numFmt w:val="bullet"/>
      <w:lvlText w:val="•"/>
      <w:lvlJc w:val="left"/>
      <w:pPr>
        <w:ind w:left="4910" w:hanging="197"/>
      </w:pPr>
      <w:rPr>
        <w:rFonts w:hint="default"/>
        <w:lang w:val="es-ES" w:eastAsia="en-US" w:bidi="ar-SA"/>
      </w:rPr>
    </w:lvl>
    <w:lvl w:ilvl="6">
      <w:start w:val="0"/>
      <w:numFmt w:val="bullet"/>
      <w:lvlText w:val="•"/>
      <w:lvlJc w:val="left"/>
      <w:pPr>
        <w:ind w:left="5800" w:hanging="197"/>
      </w:pPr>
      <w:rPr>
        <w:rFonts w:hint="default"/>
        <w:lang w:val="es-ES" w:eastAsia="en-US" w:bidi="ar-SA"/>
      </w:rPr>
    </w:lvl>
    <w:lvl w:ilvl="7">
      <w:start w:val="0"/>
      <w:numFmt w:val="bullet"/>
      <w:lvlText w:val="•"/>
      <w:lvlJc w:val="left"/>
      <w:pPr>
        <w:ind w:left="6690" w:hanging="197"/>
      </w:pPr>
      <w:rPr>
        <w:rFonts w:hint="default"/>
        <w:lang w:val="es-ES" w:eastAsia="en-US" w:bidi="ar-SA"/>
      </w:rPr>
    </w:lvl>
    <w:lvl w:ilvl="8">
      <w:start w:val="0"/>
      <w:numFmt w:val="bullet"/>
      <w:lvlText w:val="•"/>
      <w:lvlJc w:val="left"/>
      <w:pPr>
        <w:ind w:left="7580" w:hanging="197"/>
      </w:pPr>
      <w:rPr>
        <w:rFonts w:hint="default"/>
        <w:lang w:val="es-ES" w:eastAsia="en-US" w:bidi="ar-SA"/>
      </w:rPr>
    </w:lvl>
  </w:abstractNum>
  <w:abstractNum w:abstractNumId="70">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69">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6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67">
    <w:multiLevelType w:val="hybridMultilevel"/>
    <w:lvl w:ilvl="0">
      <w:start w:val="1"/>
      <w:numFmt w:val="upperRoman"/>
      <w:lvlText w:val="%1."/>
      <w:lvlJc w:val="left"/>
      <w:pPr>
        <w:ind w:left="262" w:hanging="33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339"/>
      </w:pPr>
      <w:rPr>
        <w:rFonts w:hint="default"/>
        <w:lang w:val="es-ES" w:eastAsia="en-US" w:bidi="ar-SA"/>
      </w:rPr>
    </w:lvl>
    <w:lvl w:ilvl="2">
      <w:start w:val="0"/>
      <w:numFmt w:val="bullet"/>
      <w:lvlText w:val="•"/>
      <w:lvlJc w:val="left"/>
      <w:pPr>
        <w:ind w:left="2080" w:hanging="339"/>
      </w:pPr>
      <w:rPr>
        <w:rFonts w:hint="default"/>
        <w:lang w:val="es-ES" w:eastAsia="en-US" w:bidi="ar-SA"/>
      </w:rPr>
    </w:lvl>
    <w:lvl w:ilvl="3">
      <w:start w:val="0"/>
      <w:numFmt w:val="bullet"/>
      <w:lvlText w:val="•"/>
      <w:lvlJc w:val="left"/>
      <w:pPr>
        <w:ind w:left="2990" w:hanging="339"/>
      </w:pPr>
      <w:rPr>
        <w:rFonts w:hint="default"/>
        <w:lang w:val="es-ES" w:eastAsia="en-US" w:bidi="ar-SA"/>
      </w:rPr>
    </w:lvl>
    <w:lvl w:ilvl="4">
      <w:start w:val="0"/>
      <w:numFmt w:val="bullet"/>
      <w:lvlText w:val="•"/>
      <w:lvlJc w:val="left"/>
      <w:pPr>
        <w:ind w:left="3900" w:hanging="339"/>
      </w:pPr>
      <w:rPr>
        <w:rFonts w:hint="default"/>
        <w:lang w:val="es-ES" w:eastAsia="en-US" w:bidi="ar-SA"/>
      </w:rPr>
    </w:lvl>
    <w:lvl w:ilvl="5">
      <w:start w:val="0"/>
      <w:numFmt w:val="bullet"/>
      <w:lvlText w:val="•"/>
      <w:lvlJc w:val="left"/>
      <w:pPr>
        <w:ind w:left="4810" w:hanging="339"/>
      </w:pPr>
      <w:rPr>
        <w:rFonts w:hint="default"/>
        <w:lang w:val="es-ES" w:eastAsia="en-US" w:bidi="ar-SA"/>
      </w:rPr>
    </w:lvl>
    <w:lvl w:ilvl="6">
      <w:start w:val="0"/>
      <w:numFmt w:val="bullet"/>
      <w:lvlText w:val="•"/>
      <w:lvlJc w:val="left"/>
      <w:pPr>
        <w:ind w:left="5720" w:hanging="339"/>
      </w:pPr>
      <w:rPr>
        <w:rFonts w:hint="default"/>
        <w:lang w:val="es-ES" w:eastAsia="en-US" w:bidi="ar-SA"/>
      </w:rPr>
    </w:lvl>
    <w:lvl w:ilvl="7">
      <w:start w:val="0"/>
      <w:numFmt w:val="bullet"/>
      <w:lvlText w:val="•"/>
      <w:lvlJc w:val="left"/>
      <w:pPr>
        <w:ind w:left="6630" w:hanging="339"/>
      </w:pPr>
      <w:rPr>
        <w:rFonts w:hint="default"/>
        <w:lang w:val="es-ES" w:eastAsia="en-US" w:bidi="ar-SA"/>
      </w:rPr>
    </w:lvl>
    <w:lvl w:ilvl="8">
      <w:start w:val="0"/>
      <w:numFmt w:val="bullet"/>
      <w:lvlText w:val="•"/>
      <w:lvlJc w:val="left"/>
      <w:pPr>
        <w:ind w:left="7540" w:hanging="339"/>
      </w:pPr>
      <w:rPr>
        <w:rFonts w:hint="default"/>
        <w:lang w:val="es-ES" w:eastAsia="en-US" w:bidi="ar-SA"/>
      </w:rPr>
    </w:lvl>
  </w:abstractNum>
  <w:abstractNum w:abstractNumId="66">
    <w:multiLevelType w:val="hybridMultilevel"/>
    <w:lvl w:ilvl="0">
      <w:start w:val="1"/>
      <w:numFmt w:val="upperRoman"/>
      <w:lvlText w:val="%1."/>
      <w:lvlJc w:val="left"/>
      <w:pPr>
        <w:ind w:left="403" w:hanging="14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96" w:hanging="142"/>
      </w:pPr>
      <w:rPr>
        <w:rFonts w:hint="default"/>
        <w:lang w:val="es-ES" w:eastAsia="en-US" w:bidi="ar-SA"/>
      </w:rPr>
    </w:lvl>
    <w:lvl w:ilvl="2">
      <w:start w:val="0"/>
      <w:numFmt w:val="bullet"/>
      <w:lvlText w:val="•"/>
      <w:lvlJc w:val="left"/>
      <w:pPr>
        <w:ind w:left="2192" w:hanging="142"/>
      </w:pPr>
      <w:rPr>
        <w:rFonts w:hint="default"/>
        <w:lang w:val="es-ES" w:eastAsia="en-US" w:bidi="ar-SA"/>
      </w:rPr>
    </w:lvl>
    <w:lvl w:ilvl="3">
      <w:start w:val="0"/>
      <w:numFmt w:val="bullet"/>
      <w:lvlText w:val="•"/>
      <w:lvlJc w:val="left"/>
      <w:pPr>
        <w:ind w:left="3088" w:hanging="142"/>
      </w:pPr>
      <w:rPr>
        <w:rFonts w:hint="default"/>
        <w:lang w:val="es-ES" w:eastAsia="en-US" w:bidi="ar-SA"/>
      </w:rPr>
    </w:lvl>
    <w:lvl w:ilvl="4">
      <w:start w:val="0"/>
      <w:numFmt w:val="bullet"/>
      <w:lvlText w:val="•"/>
      <w:lvlJc w:val="left"/>
      <w:pPr>
        <w:ind w:left="3984" w:hanging="142"/>
      </w:pPr>
      <w:rPr>
        <w:rFonts w:hint="default"/>
        <w:lang w:val="es-ES" w:eastAsia="en-US" w:bidi="ar-SA"/>
      </w:rPr>
    </w:lvl>
    <w:lvl w:ilvl="5">
      <w:start w:val="0"/>
      <w:numFmt w:val="bullet"/>
      <w:lvlText w:val="•"/>
      <w:lvlJc w:val="left"/>
      <w:pPr>
        <w:ind w:left="4880" w:hanging="142"/>
      </w:pPr>
      <w:rPr>
        <w:rFonts w:hint="default"/>
        <w:lang w:val="es-ES" w:eastAsia="en-US" w:bidi="ar-SA"/>
      </w:rPr>
    </w:lvl>
    <w:lvl w:ilvl="6">
      <w:start w:val="0"/>
      <w:numFmt w:val="bullet"/>
      <w:lvlText w:val="•"/>
      <w:lvlJc w:val="left"/>
      <w:pPr>
        <w:ind w:left="5776" w:hanging="142"/>
      </w:pPr>
      <w:rPr>
        <w:rFonts w:hint="default"/>
        <w:lang w:val="es-ES" w:eastAsia="en-US" w:bidi="ar-SA"/>
      </w:rPr>
    </w:lvl>
    <w:lvl w:ilvl="7">
      <w:start w:val="0"/>
      <w:numFmt w:val="bullet"/>
      <w:lvlText w:val="•"/>
      <w:lvlJc w:val="left"/>
      <w:pPr>
        <w:ind w:left="6672" w:hanging="142"/>
      </w:pPr>
      <w:rPr>
        <w:rFonts w:hint="default"/>
        <w:lang w:val="es-ES" w:eastAsia="en-US" w:bidi="ar-SA"/>
      </w:rPr>
    </w:lvl>
    <w:lvl w:ilvl="8">
      <w:start w:val="0"/>
      <w:numFmt w:val="bullet"/>
      <w:lvlText w:val="•"/>
      <w:lvlJc w:val="left"/>
      <w:pPr>
        <w:ind w:left="7568" w:hanging="142"/>
      </w:pPr>
      <w:rPr>
        <w:rFonts w:hint="default"/>
        <w:lang w:val="es-ES" w:eastAsia="en-US" w:bidi="ar-SA"/>
      </w:rPr>
    </w:lvl>
  </w:abstractNum>
  <w:abstractNum w:abstractNumId="65">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64">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63">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62">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61">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60">
    <w:multiLevelType w:val="hybridMultilevel"/>
    <w:lvl w:ilvl="0">
      <w:start w:val="1"/>
      <w:numFmt w:val="upperRoman"/>
      <w:lvlText w:val="%1."/>
      <w:lvlJc w:val="left"/>
      <w:pPr>
        <w:ind w:left="458" w:hanging="19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545"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59">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58">
    <w:multiLevelType w:val="hybridMultilevel"/>
    <w:lvl w:ilvl="0">
      <w:start w:val="1"/>
      <w:numFmt w:val="upperRoman"/>
      <w:lvlText w:val="%1."/>
      <w:lvlJc w:val="left"/>
      <w:pPr>
        <w:ind w:left="458" w:hanging="19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57">
    <w:multiLevelType w:val="hybridMultilevel"/>
    <w:lvl w:ilvl="0">
      <w:start w:val="1"/>
      <w:numFmt w:val="upperRoman"/>
      <w:lvlText w:val="%1."/>
      <w:lvlJc w:val="left"/>
      <w:pPr>
        <w:ind w:left="600" w:hanging="33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spacing w:val="-1"/>
        <w:w w:val="99"/>
        <w:lang w:val="es-ES" w:eastAsia="en-US" w:bidi="ar-SA"/>
      </w:rPr>
    </w:lvl>
    <w:lvl w:ilvl="2">
      <w:start w:val="1"/>
      <w:numFmt w:val="upperRoman"/>
      <w:lvlText w:val="%3."/>
      <w:lvlJc w:val="left"/>
      <w:pPr>
        <w:ind w:left="545"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695" w:hanging="284"/>
      </w:pPr>
      <w:rPr>
        <w:rFonts w:hint="default"/>
        <w:lang w:val="es-ES" w:eastAsia="en-US" w:bidi="ar-SA"/>
      </w:rPr>
    </w:lvl>
    <w:lvl w:ilvl="4">
      <w:start w:val="0"/>
      <w:numFmt w:val="bullet"/>
      <w:lvlText w:val="•"/>
      <w:lvlJc w:val="left"/>
      <w:pPr>
        <w:ind w:left="2790" w:hanging="284"/>
      </w:pPr>
      <w:rPr>
        <w:rFonts w:hint="default"/>
        <w:lang w:val="es-ES" w:eastAsia="en-US" w:bidi="ar-SA"/>
      </w:rPr>
    </w:lvl>
    <w:lvl w:ilvl="5">
      <w:start w:val="0"/>
      <w:numFmt w:val="bullet"/>
      <w:lvlText w:val="•"/>
      <w:lvlJc w:val="left"/>
      <w:pPr>
        <w:ind w:left="3885" w:hanging="284"/>
      </w:pPr>
      <w:rPr>
        <w:rFonts w:hint="default"/>
        <w:lang w:val="es-ES" w:eastAsia="en-US" w:bidi="ar-SA"/>
      </w:rPr>
    </w:lvl>
    <w:lvl w:ilvl="6">
      <w:start w:val="0"/>
      <w:numFmt w:val="bullet"/>
      <w:lvlText w:val="•"/>
      <w:lvlJc w:val="left"/>
      <w:pPr>
        <w:ind w:left="4980" w:hanging="284"/>
      </w:pPr>
      <w:rPr>
        <w:rFonts w:hint="default"/>
        <w:lang w:val="es-ES" w:eastAsia="en-US" w:bidi="ar-SA"/>
      </w:rPr>
    </w:lvl>
    <w:lvl w:ilvl="7">
      <w:start w:val="0"/>
      <w:numFmt w:val="bullet"/>
      <w:lvlText w:val="•"/>
      <w:lvlJc w:val="left"/>
      <w:pPr>
        <w:ind w:left="6075" w:hanging="284"/>
      </w:pPr>
      <w:rPr>
        <w:rFonts w:hint="default"/>
        <w:lang w:val="es-ES" w:eastAsia="en-US" w:bidi="ar-SA"/>
      </w:rPr>
    </w:lvl>
    <w:lvl w:ilvl="8">
      <w:start w:val="0"/>
      <w:numFmt w:val="bullet"/>
      <w:lvlText w:val="•"/>
      <w:lvlJc w:val="left"/>
      <w:pPr>
        <w:ind w:left="7170" w:hanging="284"/>
      </w:pPr>
      <w:rPr>
        <w:rFonts w:hint="default"/>
        <w:lang w:val="es-ES" w:eastAsia="en-US" w:bidi="ar-SA"/>
      </w:rPr>
    </w:lvl>
  </w:abstractNum>
  <w:abstractNum w:abstractNumId="56">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55">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54">
    <w:multiLevelType w:val="hybridMultilevel"/>
    <w:lvl w:ilvl="0">
      <w:start w:val="1"/>
      <w:numFmt w:val="upperRoman"/>
      <w:lvlText w:val="%1."/>
      <w:lvlJc w:val="left"/>
      <w:pPr>
        <w:ind w:left="262" w:hanging="33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262"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53">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52">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51">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50">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49">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48">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47">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46">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45">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44">
    <w:multiLevelType w:val="hybridMultilevel"/>
    <w:lvl w:ilvl="0">
      <w:start w:val="1"/>
      <w:numFmt w:val="upperRoman"/>
      <w:lvlText w:val="%1."/>
      <w:lvlJc w:val="left"/>
      <w:pPr>
        <w:ind w:left="744" w:hanging="4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2" w:hanging="483"/>
      </w:pPr>
      <w:rPr>
        <w:rFonts w:hint="default"/>
        <w:lang w:val="es-ES" w:eastAsia="en-US" w:bidi="ar-SA"/>
      </w:rPr>
    </w:lvl>
    <w:lvl w:ilvl="2">
      <w:start w:val="0"/>
      <w:numFmt w:val="bullet"/>
      <w:lvlText w:val="•"/>
      <w:lvlJc w:val="left"/>
      <w:pPr>
        <w:ind w:left="2464" w:hanging="483"/>
      </w:pPr>
      <w:rPr>
        <w:rFonts w:hint="default"/>
        <w:lang w:val="es-ES" w:eastAsia="en-US" w:bidi="ar-SA"/>
      </w:rPr>
    </w:lvl>
    <w:lvl w:ilvl="3">
      <w:start w:val="0"/>
      <w:numFmt w:val="bullet"/>
      <w:lvlText w:val="•"/>
      <w:lvlJc w:val="left"/>
      <w:pPr>
        <w:ind w:left="3326" w:hanging="483"/>
      </w:pPr>
      <w:rPr>
        <w:rFonts w:hint="default"/>
        <w:lang w:val="es-ES" w:eastAsia="en-US" w:bidi="ar-SA"/>
      </w:rPr>
    </w:lvl>
    <w:lvl w:ilvl="4">
      <w:start w:val="0"/>
      <w:numFmt w:val="bullet"/>
      <w:lvlText w:val="•"/>
      <w:lvlJc w:val="left"/>
      <w:pPr>
        <w:ind w:left="4188" w:hanging="483"/>
      </w:pPr>
      <w:rPr>
        <w:rFonts w:hint="default"/>
        <w:lang w:val="es-ES" w:eastAsia="en-US" w:bidi="ar-SA"/>
      </w:rPr>
    </w:lvl>
    <w:lvl w:ilvl="5">
      <w:start w:val="0"/>
      <w:numFmt w:val="bullet"/>
      <w:lvlText w:val="•"/>
      <w:lvlJc w:val="left"/>
      <w:pPr>
        <w:ind w:left="5050" w:hanging="483"/>
      </w:pPr>
      <w:rPr>
        <w:rFonts w:hint="default"/>
        <w:lang w:val="es-ES" w:eastAsia="en-US" w:bidi="ar-SA"/>
      </w:rPr>
    </w:lvl>
    <w:lvl w:ilvl="6">
      <w:start w:val="0"/>
      <w:numFmt w:val="bullet"/>
      <w:lvlText w:val="•"/>
      <w:lvlJc w:val="left"/>
      <w:pPr>
        <w:ind w:left="5912" w:hanging="483"/>
      </w:pPr>
      <w:rPr>
        <w:rFonts w:hint="default"/>
        <w:lang w:val="es-ES" w:eastAsia="en-US" w:bidi="ar-SA"/>
      </w:rPr>
    </w:lvl>
    <w:lvl w:ilvl="7">
      <w:start w:val="0"/>
      <w:numFmt w:val="bullet"/>
      <w:lvlText w:val="•"/>
      <w:lvlJc w:val="left"/>
      <w:pPr>
        <w:ind w:left="6774" w:hanging="483"/>
      </w:pPr>
      <w:rPr>
        <w:rFonts w:hint="default"/>
        <w:lang w:val="es-ES" w:eastAsia="en-US" w:bidi="ar-SA"/>
      </w:rPr>
    </w:lvl>
    <w:lvl w:ilvl="8">
      <w:start w:val="0"/>
      <w:numFmt w:val="bullet"/>
      <w:lvlText w:val="•"/>
      <w:lvlJc w:val="left"/>
      <w:pPr>
        <w:ind w:left="7636" w:hanging="483"/>
      </w:pPr>
      <w:rPr>
        <w:rFonts w:hint="default"/>
        <w:lang w:val="es-ES" w:eastAsia="en-US" w:bidi="ar-SA"/>
      </w:rPr>
    </w:lvl>
  </w:abstractNum>
  <w:abstractNum w:abstractNumId="43">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545"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765" w:hanging="284"/>
      </w:pPr>
      <w:rPr>
        <w:rFonts w:hint="default"/>
        <w:lang w:val="es-ES" w:eastAsia="en-US" w:bidi="ar-SA"/>
      </w:rPr>
    </w:lvl>
    <w:lvl w:ilvl="4">
      <w:start w:val="0"/>
      <w:numFmt w:val="bullet"/>
      <w:lvlText w:val="•"/>
      <w:lvlJc w:val="left"/>
      <w:pPr>
        <w:ind w:left="2850" w:hanging="284"/>
      </w:pPr>
      <w:rPr>
        <w:rFonts w:hint="default"/>
        <w:lang w:val="es-ES" w:eastAsia="en-US" w:bidi="ar-SA"/>
      </w:rPr>
    </w:lvl>
    <w:lvl w:ilvl="5">
      <w:start w:val="0"/>
      <w:numFmt w:val="bullet"/>
      <w:lvlText w:val="•"/>
      <w:lvlJc w:val="left"/>
      <w:pPr>
        <w:ind w:left="3935" w:hanging="284"/>
      </w:pPr>
      <w:rPr>
        <w:rFonts w:hint="default"/>
        <w:lang w:val="es-ES" w:eastAsia="en-US" w:bidi="ar-SA"/>
      </w:rPr>
    </w:lvl>
    <w:lvl w:ilvl="6">
      <w:start w:val="0"/>
      <w:numFmt w:val="bullet"/>
      <w:lvlText w:val="•"/>
      <w:lvlJc w:val="left"/>
      <w:pPr>
        <w:ind w:left="5020" w:hanging="284"/>
      </w:pPr>
      <w:rPr>
        <w:rFonts w:hint="default"/>
        <w:lang w:val="es-ES" w:eastAsia="en-US" w:bidi="ar-SA"/>
      </w:rPr>
    </w:lvl>
    <w:lvl w:ilvl="7">
      <w:start w:val="0"/>
      <w:numFmt w:val="bullet"/>
      <w:lvlText w:val="•"/>
      <w:lvlJc w:val="left"/>
      <w:pPr>
        <w:ind w:left="6105" w:hanging="284"/>
      </w:pPr>
      <w:rPr>
        <w:rFonts w:hint="default"/>
        <w:lang w:val="es-ES" w:eastAsia="en-US" w:bidi="ar-SA"/>
      </w:rPr>
    </w:lvl>
    <w:lvl w:ilvl="8">
      <w:start w:val="0"/>
      <w:numFmt w:val="bullet"/>
      <w:lvlText w:val="•"/>
      <w:lvlJc w:val="left"/>
      <w:pPr>
        <w:ind w:left="7190" w:hanging="284"/>
      </w:pPr>
      <w:rPr>
        <w:rFonts w:hint="default"/>
        <w:lang w:val="es-ES" w:eastAsia="en-US" w:bidi="ar-SA"/>
      </w:rPr>
    </w:lvl>
  </w:abstractNum>
  <w:abstractNum w:abstractNumId="42">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42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41">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42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40">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3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3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37">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36">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35">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34">
    <w:multiLevelType w:val="hybridMultilevel"/>
    <w:lvl w:ilvl="0">
      <w:start w:val="1"/>
      <w:numFmt w:val="upperRoman"/>
      <w:lvlText w:val="%1."/>
      <w:lvlJc w:val="left"/>
      <w:pPr>
        <w:ind w:left="262" w:hanging="19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33">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32">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31">
    <w:multiLevelType w:val="hybridMultilevel"/>
    <w:lvl w:ilvl="0">
      <w:start w:val="1"/>
      <w:numFmt w:val="upperRoman"/>
      <w:lvlText w:val="%1."/>
      <w:lvlJc w:val="left"/>
      <w:pPr>
        <w:ind w:left="744" w:hanging="4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2" w:hanging="483"/>
      </w:pPr>
      <w:rPr>
        <w:rFonts w:hint="default"/>
        <w:lang w:val="es-ES" w:eastAsia="en-US" w:bidi="ar-SA"/>
      </w:rPr>
    </w:lvl>
    <w:lvl w:ilvl="2">
      <w:start w:val="0"/>
      <w:numFmt w:val="bullet"/>
      <w:lvlText w:val="•"/>
      <w:lvlJc w:val="left"/>
      <w:pPr>
        <w:ind w:left="2464" w:hanging="483"/>
      </w:pPr>
      <w:rPr>
        <w:rFonts w:hint="default"/>
        <w:lang w:val="es-ES" w:eastAsia="en-US" w:bidi="ar-SA"/>
      </w:rPr>
    </w:lvl>
    <w:lvl w:ilvl="3">
      <w:start w:val="0"/>
      <w:numFmt w:val="bullet"/>
      <w:lvlText w:val="•"/>
      <w:lvlJc w:val="left"/>
      <w:pPr>
        <w:ind w:left="3326" w:hanging="483"/>
      </w:pPr>
      <w:rPr>
        <w:rFonts w:hint="default"/>
        <w:lang w:val="es-ES" w:eastAsia="en-US" w:bidi="ar-SA"/>
      </w:rPr>
    </w:lvl>
    <w:lvl w:ilvl="4">
      <w:start w:val="0"/>
      <w:numFmt w:val="bullet"/>
      <w:lvlText w:val="•"/>
      <w:lvlJc w:val="left"/>
      <w:pPr>
        <w:ind w:left="4188" w:hanging="483"/>
      </w:pPr>
      <w:rPr>
        <w:rFonts w:hint="default"/>
        <w:lang w:val="es-ES" w:eastAsia="en-US" w:bidi="ar-SA"/>
      </w:rPr>
    </w:lvl>
    <w:lvl w:ilvl="5">
      <w:start w:val="0"/>
      <w:numFmt w:val="bullet"/>
      <w:lvlText w:val="•"/>
      <w:lvlJc w:val="left"/>
      <w:pPr>
        <w:ind w:left="5050" w:hanging="483"/>
      </w:pPr>
      <w:rPr>
        <w:rFonts w:hint="default"/>
        <w:lang w:val="es-ES" w:eastAsia="en-US" w:bidi="ar-SA"/>
      </w:rPr>
    </w:lvl>
    <w:lvl w:ilvl="6">
      <w:start w:val="0"/>
      <w:numFmt w:val="bullet"/>
      <w:lvlText w:val="•"/>
      <w:lvlJc w:val="left"/>
      <w:pPr>
        <w:ind w:left="5912" w:hanging="483"/>
      </w:pPr>
      <w:rPr>
        <w:rFonts w:hint="default"/>
        <w:lang w:val="es-ES" w:eastAsia="en-US" w:bidi="ar-SA"/>
      </w:rPr>
    </w:lvl>
    <w:lvl w:ilvl="7">
      <w:start w:val="0"/>
      <w:numFmt w:val="bullet"/>
      <w:lvlText w:val="•"/>
      <w:lvlJc w:val="left"/>
      <w:pPr>
        <w:ind w:left="6774" w:hanging="483"/>
      </w:pPr>
      <w:rPr>
        <w:rFonts w:hint="default"/>
        <w:lang w:val="es-ES" w:eastAsia="en-US" w:bidi="ar-SA"/>
      </w:rPr>
    </w:lvl>
    <w:lvl w:ilvl="8">
      <w:start w:val="0"/>
      <w:numFmt w:val="bullet"/>
      <w:lvlText w:val="•"/>
      <w:lvlJc w:val="left"/>
      <w:pPr>
        <w:ind w:left="7636" w:hanging="483"/>
      </w:pPr>
      <w:rPr>
        <w:rFonts w:hint="default"/>
        <w:lang w:val="es-ES" w:eastAsia="en-US" w:bidi="ar-SA"/>
      </w:rPr>
    </w:lvl>
  </w:abstractNum>
  <w:abstractNum w:abstractNumId="30">
    <w:multiLevelType w:val="hybridMultilevel"/>
    <w:lvl w:ilvl="0">
      <w:start w:val="1"/>
      <w:numFmt w:val="upperRoman"/>
      <w:lvlText w:val="%1."/>
      <w:lvlJc w:val="left"/>
      <w:pPr>
        <w:ind w:left="262" w:hanging="33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339"/>
      </w:pPr>
      <w:rPr>
        <w:rFonts w:hint="default"/>
        <w:lang w:val="es-ES" w:eastAsia="en-US" w:bidi="ar-SA"/>
      </w:rPr>
    </w:lvl>
    <w:lvl w:ilvl="2">
      <w:start w:val="0"/>
      <w:numFmt w:val="bullet"/>
      <w:lvlText w:val="•"/>
      <w:lvlJc w:val="left"/>
      <w:pPr>
        <w:ind w:left="2080" w:hanging="339"/>
      </w:pPr>
      <w:rPr>
        <w:rFonts w:hint="default"/>
        <w:lang w:val="es-ES" w:eastAsia="en-US" w:bidi="ar-SA"/>
      </w:rPr>
    </w:lvl>
    <w:lvl w:ilvl="3">
      <w:start w:val="0"/>
      <w:numFmt w:val="bullet"/>
      <w:lvlText w:val="•"/>
      <w:lvlJc w:val="left"/>
      <w:pPr>
        <w:ind w:left="2990" w:hanging="339"/>
      </w:pPr>
      <w:rPr>
        <w:rFonts w:hint="default"/>
        <w:lang w:val="es-ES" w:eastAsia="en-US" w:bidi="ar-SA"/>
      </w:rPr>
    </w:lvl>
    <w:lvl w:ilvl="4">
      <w:start w:val="0"/>
      <w:numFmt w:val="bullet"/>
      <w:lvlText w:val="•"/>
      <w:lvlJc w:val="left"/>
      <w:pPr>
        <w:ind w:left="3900" w:hanging="339"/>
      </w:pPr>
      <w:rPr>
        <w:rFonts w:hint="default"/>
        <w:lang w:val="es-ES" w:eastAsia="en-US" w:bidi="ar-SA"/>
      </w:rPr>
    </w:lvl>
    <w:lvl w:ilvl="5">
      <w:start w:val="0"/>
      <w:numFmt w:val="bullet"/>
      <w:lvlText w:val="•"/>
      <w:lvlJc w:val="left"/>
      <w:pPr>
        <w:ind w:left="4810" w:hanging="339"/>
      </w:pPr>
      <w:rPr>
        <w:rFonts w:hint="default"/>
        <w:lang w:val="es-ES" w:eastAsia="en-US" w:bidi="ar-SA"/>
      </w:rPr>
    </w:lvl>
    <w:lvl w:ilvl="6">
      <w:start w:val="0"/>
      <w:numFmt w:val="bullet"/>
      <w:lvlText w:val="•"/>
      <w:lvlJc w:val="left"/>
      <w:pPr>
        <w:ind w:left="5720" w:hanging="339"/>
      </w:pPr>
      <w:rPr>
        <w:rFonts w:hint="default"/>
        <w:lang w:val="es-ES" w:eastAsia="en-US" w:bidi="ar-SA"/>
      </w:rPr>
    </w:lvl>
    <w:lvl w:ilvl="7">
      <w:start w:val="0"/>
      <w:numFmt w:val="bullet"/>
      <w:lvlText w:val="•"/>
      <w:lvlJc w:val="left"/>
      <w:pPr>
        <w:ind w:left="6630" w:hanging="339"/>
      </w:pPr>
      <w:rPr>
        <w:rFonts w:hint="default"/>
        <w:lang w:val="es-ES" w:eastAsia="en-US" w:bidi="ar-SA"/>
      </w:rPr>
    </w:lvl>
    <w:lvl w:ilvl="8">
      <w:start w:val="0"/>
      <w:numFmt w:val="bullet"/>
      <w:lvlText w:val="•"/>
      <w:lvlJc w:val="left"/>
      <w:pPr>
        <w:ind w:left="7540" w:hanging="339"/>
      </w:pPr>
      <w:rPr>
        <w:rFonts w:hint="default"/>
        <w:lang w:val="es-ES" w:eastAsia="en-US" w:bidi="ar-SA"/>
      </w:rPr>
    </w:lvl>
  </w:abstractNum>
  <w:abstractNum w:abstractNumId="2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27">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6">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5">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4">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3">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22">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1">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0">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0"/>
        <w:w w:val="100"/>
        <w:sz w:val="24"/>
        <w:szCs w:val="24"/>
        <w:lang w:val="es-ES" w:eastAsia="en-US" w:bidi="ar-SA"/>
      </w:rPr>
    </w:lvl>
    <w:lvl w:ilvl="1">
      <w:start w:val="1"/>
      <w:numFmt w:val="lowerLetter"/>
      <w:lvlText w:val="%2."/>
      <w:lvlJc w:val="left"/>
      <w:pPr>
        <w:ind w:left="262" w:hanging="42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680" w:hanging="428"/>
      </w:pPr>
      <w:rPr>
        <w:rFonts w:hint="default"/>
        <w:lang w:val="es-ES" w:eastAsia="en-US" w:bidi="ar-SA"/>
      </w:rPr>
    </w:lvl>
    <w:lvl w:ilvl="3">
      <w:start w:val="0"/>
      <w:numFmt w:val="bullet"/>
      <w:lvlText w:val="•"/>
      <w:lvlJc w:val="left"/>
      <w:pPr>
        <w:ind w:left="1765" w:hanging="428"/>
      </w:pPr>
      <w:rPr>
        <w:rFonts w:hint="default"/>
        <w:lang w:val="es-ES" w:eastAsia="en-US" w:bidi="ar-SA"/>
      </w:rPr>
    </w:lvl>
    <w:lvl w:ilvl="4">
      <w:start w:val="0"/>
      <w:numFmt w:val="bullet"/>
      <w:lvlText w:val="•"/>
      <w:lvlJc w:val="left"/>
      <w:pPr>
        <w:ind w:left="2850" w:hanging="428"/>
      </w:pPr>
      <w:rPr>
        <w:rFonts w:hint="default"/>
        <w:lang w:val="es-ES" w:eastAsia="en-US" w:bidi="ar-SA"/>
      </w:rPr>
    </w:lvl>
    <w:lvl w:ilvl="5">
      <w:start w:val="0"/>
      <w:numFmt w:val="bullet"/>
      <w:lvlText w:val="•"/>
      <w:lvlJc w:val="left"/>
      <w:pPr>
        <w:ind w:left="3935" w:hanging="428"/>
      </w:pPr>
      <w:rPr>
        <w:rFonts w:hint="default"/>
        <w:lang w:val="es-ES" w:eastAsia="en-US" w:bidi="ar-SA"/>
      </w:rPr>
    </w:lvl>
    <w:lvl w:ilvl="6">
      <w:start w:val="0"/>
      <w:numFmt w:val="bullet"/>
      <w:lvlText w:val="•"/>
      <w:lvlJc w:val="left"/>
      <w:pPr>
        <w:ind w:left="5020" w:hanging="428"/>
      </w:pPr>
      <w:rPr>
        <w:rFonts w:hint="default"/>
        <w:lang w:val="es-ES" w:eastAsia="en-US" w:bidi="ar-SA"/>
      </w:rPr>
    </w:lvl>
    <w:lvl w:ilvl="7">
      <w:start w:val="0"/>
      <w:numFmt w:val="bullet"/>
      <w:lvlText w:val="•"/>
      <w:lvlJc w:val="left"/>
      <w:pPr>
        <w:ind w:left="6105" w:hanging="428"/>
      </w:pPr>
      <w:rPr>
        <w:rFonts w:hint="default"/>
        <w:lang w:val="es-ES" w:eastAsia="en-US" w:bidi="ar-SA"/>
      </w:rPr>
    </w:lvl>
    <w:lvl w:ilvl="8">
      <w:start w:val="0"/>
      <w:numFmt w:val="bullet"/>
      <w:lvlText w:val="•"/>
      <w:lvlJc w:val="left"/>
      <w:pPr>
        <w:ind w:left="7190" w:hanging="428"/>
      </w:pPr>
      <w:rPr>
        <w:rFonts w:hint="default"/>
        <w:lang w:val="es-ES" w:eastAsia="en-US" w:bidi="ar-SA"/>
      </w:rPr>
    </w:lvl>
  </w:abstractNum>
  <w:abstractNum w:abstractNumId="1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18">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62" w:hanging="28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20" w:hanging="284"/>
      </w:pPr>
      <w:rPr>
        <w:rFonts w:hint="default"/>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17">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6">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5">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4">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13">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45" w:hanging="284"/>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262" w:hanging="28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00" w:hanging="284"/>
      </w:pPr>
      <w:rPr>
        <w:rFonts w:hint="default"/>
        <w:lang w:val="es-ES" w:eastAsia="en-US" w:bidi="ar-SA"/>
      </w:rPr>
    </w:lvl>
    <w:lvl w:ilvl="4">
      <w:start w:val="0"/>
      <w:numFmt w:val="bullet"/>
      <w:lvlText w:val="•"/>
      <w:lvlJc w:val="left"/>
      <w:pPr>
        <w:ind w:left="3480" w:hanging="284"/>
      </w:pPr>
      <w:rPr>
        <w:rFonts w:hint="default"/>
        <w:lang w:val="es-ES" w:eastAsia="en-US" w:bidi="ar-SA"/>
      </w:rPr>
    </w:lvl>
    <w:lvl w:ilvl="5">
      <w:start w:val="0"/>
      <w:numFmt w:val="bullet"/>
      <w:lvlText w:val="•"/>
      <w:lvlJc w:val="left"/>
      <w:pPr>
        <w:ind w:left="4460" w:hanging="284"/>
      </w:pPr>
      <w:rPr>
        <w:rFonts w:hint="default"/>
        <w:lang w:val="es-ES" w:eastAsia="en-US" w:bidi="ar-SA"/>
      </w:rPr>
    </w:lvl>
    <w:lvl w:ilvl="6">
      <w:start w:val="0"/>
      <w:numFmt w:val="bullet"/>
      <w:lvlText w:val="•"/>
      <w:lvlJc w:val="left"/>
      <w:pPr>
        <w:ind w:left="5440" w:hanging="284"/>
      </w:pPr>
      <w:rPr>
        <w:rFonts w:hint="default"/>
        <w:lang w:val="es-ES" w:eastAsia="en-US" w:bidi="ar-SA"/>
      </w:rPr>
    </w:lvl>
    <w:lvl w:ilvl="7">
      <w:start w:val="0"/>
      <w:numFmt w:val="bullet"/>
      <w:lvlText w:val="•"/>
      <w:lvlJc w:val="left"/>
      <w:pPr>
        <w:ind w:left="6420" w:hanging="284"/>
      </w:pPr>
      <w:rPr>
        <w:rFonts w:hint="default"/>
        <w:lang w:val="es-ES" w:eastAsia="en-US" w:bidi="ar-SA"/>
      </w:rPr>
    </w:lvl>
    <w:lvl w:ilvl="8">
      <w:start w:val="0"/>
      <w:numFmt w:val="bullet"/>
      <w:lvlText w:val="•"/>
      <w:lvlJc w:val="left"/>
      <w:pPr>
        <w:ind w:left="7400" w:hanging="284"/>
      </w:pPr>
      <w:rPr>
        <w:rFonts w:hint="default"/>
        <w:lang w:val="es-ES" w:eastAsia="en-US" w:bidi="ar-SA"/>
      </w:rPr>
    </w:lvl>
  </w:abstractNum>
  <w:abstractNum w:abstractNumId="12">
    <w:multiLevelType w:val="hybridMultilevel"/>
    <w:lvl w:ilvl="0">
      <w:start w:val="1"/>
      <w:numFmt w:val="upperRoman"/>
      <w:lvlText w:val="%1."/>
      <w:lvlJc w:val="left"/>
      <w:pPr>
        <w:ind w:left="68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48" w:hanging="428"/>
      </w:pPr>
      <w:rPr>
        <w:rFonts w:hint="default"/>
        <w:lang w:val="es-ES" w:eastAsia="en-US" w:bidi="ar-SA"/>
      </w:rPr>
    </w:lvl>
    <w:lvl w:ilvl="2">
      <w:start w:val="0"/>
      <w:numFmt w:val="bullet"/>
      <w:lvlText w:val="•"/>
      <w:lvlJc w:val="left"/>
      <w:pPr>
        <w:ind w:left="2416" w:hanging="428"/>
      </w:pPr>
      <w:rPr>
        <w:rFonts w:hint="default"/>
        <w:lang w:val="es-ES" w:eastAsia="en-US" w:bidi="ar-SA"/>
      </w:rPr>
    </w:lvl>
    <w:lvl w:ilvl="3">
      <w:start w:val="0"/>
      <w:numFmt w:val="bullet"/>
      <w:lvlText w:val="•"/>
      <w:lvlJc w:val="left"/>
      <w:pPr>
        <w:ind w:left="3284" w:hanging="428"/>
      </w:pPr>
      <w:rPr>
        <w:rFonts w:hint="default"/>
        <w:lang w:val="es-ES" w:eastAsia="en-US" w:bidi="ar-SA"/>
      </w:rPr>
    </w:lvl>
    <w:lvl w:ilvl="4">
      <w:start w:val="0"/>
      <w:numFmt w:val="bullet"/>
      <w:lvlText w:val="•"/>
      <w:lvlJc w:val="left"/>
      <w:pPr>
        <w:ind w:left="4152" w:hanging="428"/>
      </w:pPr>
      <w:rPr>
        <w:rFonts w:hint="default"/>
        <w:lang w:val="es-ES" w:eastAsia="en-US" w:bidi="ar-SA"/>
      </w:rPr>
    </w:lvl>
    <w:lvl w:ilvl="5">
      <w:start w:val="0"/>
      <w:numFmt w:val="bullet"/>
      <w:lvlText w:val="•"/>
      <w:lvlJc w:val="left"/>
      <w:pPr>
        <w:ind w:left="5020" w:hanging="428"/>
      </w:pPr>
      <w:rPr>
        <w:rFonts w:hint="default"/>
        <w:lang w:val="es-ES" w:eastAsia="en-US" w:bidi="ar-SA"/>
      </w:rPr>
    </w:lvl>
    <w:lvl w:ilvl="6">
      <w:start w:val="0"/>
      <w:numFmt w:val="bullet"/>
      <w:lvlText w:val="•"/>
      <w:lvlJc w:val="left"/>
      <w:pPr>
        <w:ind w:left="5888" w:hanging="428"/>
      </w:pPr>
      <w:rPr>
        <w:rFonts w:hint="default"/>
        <w:lang w:val="es-ES" w:eastAsia="en-US" w:bidi="ar-SA"/>
      </w:rPr>
    </w:lvl>
    <w:lvl w:ilvl="7">
      <w:start w:val="0"/>
      <w:numFmt w:val="bullet"/>
      <w:lvlText w:val="•"/>
      <w:lvlJc w:val="left"/>
      <w:pPr>
        <w:ind w:left="6756" w:hanging="428"/>
      </w:pPr>
      <w:rPr>
        <w:rFonts w:hint="default"/>
        <w:lang w:val="es-ES" w:eastAsia="en-US" w:bidi="ar-SA"/>
      </w:rPr>
    </w:lvl>
    <w:lvl w:ilvl="8">
      <w:start w:val="0"/>
      <w:numFmt w:val="bullet"/>
      <w:lvlText w:val="•"/>
      <w:lvlJc w:val="left"/>
      <w:pPr>
        <w:ind w:left="7624" w:hanging="428"/>
      </w:pPr>
      <w:rPr>
        <w:rFonts w:hint="default"/>
        <w:lang w:val="es-ES" w:eastAsia="en-US" w:bidi="ar-SA"/>
      </w:rPr>
    </w:lvl>
  </w:abstractNum>
  <w:abstractNum w:abstractNumId="11">
    <w:multiLevelType w:val="hybridMultilevel"/>
    <w:lvl w:ilvl="0">
      <w:start w:val="12"/>
      <w:numFmt w:val="upperLetter"/>
      <w:lvlText w:val="%1."/>
      <w:lvlJc w:val="left"/>
      <w:pPr>
        <w:ind w:left="262" w:hanging="428"/>
        <w:jc w:val="left"/>
      </w:pPr>
      <w:rPr>
        <w:rFonts w:hint="default" w:ascii="Arial" w:hAnsi="Arial" w:eastAsia="Arial" w:cs="Arial"/>
        <w:b/>
        <w:bCs/>
        <w:i w:val="0"/>
        <w:iCs w:val="0"/>
        <w:spacing w:val="0"/>
        <w:w w:val="99"/>
        <w:sz w:val="20"/>
        <w:szCs w:val="20"/>
        <w:lang w:val="es-ES" w:eastAsia="en-US" w:bidi="ar-SA"/>
      </w:rPr>
    </w:lvl>
    <w:lvl w:ilvl="1">
      <w:start w:val="1"/>
      <w:numFmt w:val="upperRoman"/>
      <w:lvlText w:val="%2."/>
      <w:lvlJc w:val="left"/>
      <w:pPr>
        <w:ind w:left="689" w:hanging="42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644" w:hanging="428"/>
      </w:pPr>
      <w:rPr>
        <w:rFonts w:hint="default"/>
        <w:lang w:val="es-ES" w:eastAsia="en-US" w:bidi="ar-SA"/>
      </w:rPr>
    </w:lvl>
    <w:lvl w:ilvl="3">
      <w:start w:val="0"/>
      <w:numFmt w:val="bullet"/>
      <w:lvlText w:val="•"/>
      <w:lvlJc w:val="left"/>
      <w:pPr>
        <w:ind w:left="2608" w:hanging="428"/>
      </w:pPr>
      <w:rPr>
        <w:rFonts w:hint="default"/>
        <w:lang w:val="es-ES" w:eastAsia="en-US" w:bidi="ar-SA"/>
      </w:rPr>
    </w:lvl>
    <w:lvl w:ilvl="4">
      <w:start w:val="0"/>
      <w:numFmt w:val="bullet"/>
      <w:lvlText w:val="•"/>
      <w:lvlJc w:val="left"/>
      <w:pPr>
        <w:ind w:left="3573" w:hanging="428"/>
      </w:pPr>
      <w:rPr>
        <w:rFonts w:hint="default"/>
        <w:lang w:val="es-ES" w:eastAsia="en-US" w:bidi="ar-SA"/>
      </w:rPr>
    </w:lvl>
    <w:lvl w:ilvl="5">
      <w:start w:val="0"/>
      <w:numFmt w:val="bullet"/>
      <w:lvlText w:val="•"/>
      <w:lvlJc w:val="left"/>
      <w:pPr>
        <w:ind w:left="4537" w:hanging="428"/>
      </w:pPr>
      <w:rPr>
        <w:rFonts w:hint="default"/>
        <w:lang w:val="es-ES" w:eastAsia="en-US" w:bidi="ar-SA"/>
      </w:rPr>
    </w:lvl>
    <w:lvl w:ilvl="6">
      <w:start w:val="0"/>
      <w:numFmt w:val="bullet"/>
      <w:lvlText w:val="•"/>
      <w:lvlJc w:val="left"/>
      <w:pPr>
        <w:ind w:left="5502" w:hanging="428"/>
      </w:pPr>
      <w:rPr>
        <w:rFonts w:hint="default"/>
        <w:lang w:val="es-ES" w:eastAsia="en-US" w:bidi="ar-SA"/>
      </w:rPr>
    </w:lvl>
    <w:lvl w:ilvl="7">
      <w:start w:val="0"/>
      <w:numFmt w:val="bullet"/>
      <w:lvlText w:val="•"/>
      <w:lvlJc w:val="left"/>
      <w:pPr>
        <w:ind w:left="6466" w:hanging="428"/>
      </w:pPr>
      <w:rPr>
        <w:rFonts w:hint="default"/>
        <w:lang w:val="es-ES" w:eastAsia="en-US" w:bidi="ar-SA"/>
      </w:rPr>
    </w:lvl>
    <w:lvl w:ilvl="8">
      <w:start w:val="0"/>
      <w:numFmt w:val="bullet"/>
      <w:lvlText w:val="•"/>
      <w:lvlJc w:val="left"/>
      <w:pPr>
        <w:ind w:left="7431" w:hanging="428"/>
      </w:pPr>
      <w:rPr>
        <w:rFonts w:hint="default"/>
        <w:lang w:val="es-ES" w:eastAsia="en-US" w:bidi="ar-SA"/>
      </w:rPr>
    </w:lvl>
  </w:abstractNum>
  <w:abstractNum w:abstractNumId="10">
    <w:multiLevelType w:val="hybridMultilevel"/>
    <w:lvl w:ilvl="0">
      <w:start w:val="1"/>
      <w:numFmt w:val="upperRoman"/>
      <w:lvlText w:val="%1."/>
      <w:lvlJc w:val="left"/>
      <w:pPr>
        <w:ind w:left="262" w:hanging="43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30"/>
      </w:pPr>
      <w:rPr>
        <w:rFonts w:hint="default"/>
        <w:lang w:val="es-ES" w:eastAsia="en-US" w:bidi="ar-SA"/>
      </w:rPr>
    </w:lvl>
    <w:lvl w:ilvl="2">
      <w:start w:val="0"/>
      <w:numFmt w:val="bullet"/>
      <w:lvlText w:val="•"/>
      <w:lvlJc w:val="left"/>
      <w:pPr>
        <w:ind w:left="2080" w:hanging="430"/>
      </w:pPr>
      <w:rPr>
        <w:rFonts w:hint="default"/>
        <w:lang w:val="es-ES" w:eastAsia="en-US" w:bidi="ar-SA"/>
      </w:rPr>
    </w:lvl>
    <w:lvl w:ilvl="3">
      <w:start w:val="0"/>
      <w:numFmt w:val="bullet"/>
      <w:lvlText w:val="•"/>
      <w:lvlJc w:val="left"/>
      <w:pPr>
        <w:ind w:left="2990" w:hanging="430"/>
      </w:pPr>
      <w:rPr>
        <w:rFonts w:hint="default"/>
        <w:lang w:val="es-ES" w:eastAsia="en-US" w:bidi="ar-SA"/>
      </w:rPr>
    </w:lvl>
    <w:lvl w:ilvl="4">
      <w:start w:val="0"/>
      <w:numFmt w:val="bullet"/>
      <w:lvlText w:val="•"/>
      <w:lvlJc w:val="left"/>
      <w:pPr>
        <w:ind w:left="3900" w:hanging="430"/>
      </w:pPr>
      <w:rPr>
        <w:rFonts w:hint="default"/>
        <w:lang w:val="es-ES" w:eastAsia="en-US" w:bidi="ar-SA"/>
      </w:rPr>
    </w:lvl>
    <w:lvl w:ilvl="5">
      <w:start w:val="0"/>
      <w:numFmt w:val="bullet"/>
      <w:lvlText w:val="•"/>
      <w:lvlJc w:val="left"/>
      <w:pPr>
        <w:ind w:left="4810" w:hanging="430"/>
      </w:pPr>
      <w:rPr>
        <w:rFonts w:hint="default"/>
        <w:lang w:val="es-ES" w:eastAsia="en-US" w:bidi="ar-SA"/>
      </w:rPr>
    </w:lvl>
    <w:lvl w:ilvl="6">
      <w:start w:val="0"/>
      <w:numFmt w:val="bullet"/>
      <w:lvlText w:val="•"/>
      <w:lvlJc w:val="left"/>
      <w:pPr>
        <w:ind w:left="5720" w:hanging="430"/>
      </w:pPr>
      <w:rPr>
        <w:rFonts w:hint="default"/>
        <w:lang w:val="es-ES" w:eastAsia="en-US" w:bidi="ar-SA"/>
      </w:rPr>
    </w:lvl>
    <w:lvl w:ilvl="7">
      <w:start w:val="0"/>
      <w:numFmt w:val="bullet"/>
      <w:lvlText w:val="•"/>
      <w:lvlJc w:val="left"/>
      <w:pPr>
        <w:ind w:left="6630" w:hanging="430"/>
      </w:pPr>
      <w:rPr>
        <w:rFonts w:hint="default"/>
        <w:lang w:val="es-ES" w:eastAsia="en-US" w:bidi="ar-SA"/>
      </w:rPr>
    </w:lvl>
    <w:lvl w:ilvl="8">
      <w:start w:val="0"/>
      <w:numFmt w:val="bullet"/>
      <w:lvlText w:val="•"/>
      <w:lvlJc w:val="left"/>
      <w:pPr>
        <w:ind w:left="7540" w:hanging="430"/>
      </w:pPr>
      <w:rPr>
        <w:rFonts w:hint="default"/>
        <w:lang w:val="es-ES" w:eastAsia="en-US" w:bidi="ar-SA"/>
      </w:rPr>
    </w:lvl>
  </w:abstractNum>
  <w:abstractNum w:abstractNumId="9">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8">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7">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6">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5">
    <w:multiLevelType w:val="hybridMultilevel"/>
    <w:lvl w:ilvl="0">
      <w:start w:val="1"/>
      <w:numFmt w:val="upperRoman"/>
      <w:lvlText w:val="%1."/>
      <w:lvlJc w:val="left"/>
      <w:pPr>
        <w:ind w:left="545"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4">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3">
    <w:multiLevelType w:val="hybridMultilevel"/>
    <w:lvl w:ilvl="0">
      <w:start w:val="1"/>
      <w:numFmt w:val="upperRoman"/>
      <w:lvlText w:val="%1."/>
      <w:lvlJc w:val="left"/>
      <w:pPr>
        <w:ind w:left="262" w:hanging="17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170" w:hanging="173"/>
      </w:pPr>
      <w:rPr>
        <w:rFonts w:hint="default"/>
        <w:lang w:val="es-ES" w:eastAsia="en-US" w:bidi="ar-SA"/>
      </w:rPr>
    </w:lvl>
    <w:lvl w:ilvl="2">
      <w:start w:val="0"/>
      <w:numFmt w:val="bullet"/>
      <w:lvlText w:val="•"/>
      <w:lvlJc w:val="left"/>
      <w:pPr>
        <w:ind w:left="2080" w:hanging="173"/>
      </w:pPr>
      <w:rPr>
        <w:rFonts w:hint="default"/>
        <w:lang w:val="es-ES" w:eastAsia="en-US" w:bidi="ar-SA"/>
      </w:rPr>
    </w:lvl>
    <w:lvl w:ilvl="3">
      <w:start w:val="0"/>
      <w:numFmt w:val="bullet"/>
      <w:lvlText w:val="•"/>
      <w:lvlJc w:val="left"/>
      <w:pPr>
        <w:ind w:left="2990" w:hanging="173"/>
      </w:pPr>
      <w:rPr>
        <w:rFonts w:hint="default"/>
        <w:lang w:val="es-ES" w:eastAsia="en-US" w:bidi="ar-SA"/>
      </w:rPr>
    </w:lvl>
    <w:lvl w:ilvl="4">
      <w:start w:val="0"/>
      <w:numFmt w:val="bullet"/>
      <w:lvlText w:val="•"/>
      <w:lvlJc w:val="left"/>
      <w:pPr>
        <w:ind w:left="3900" w:hanging="173"/>
      </w:pPr>
      <w:rPr>
        <w:rFonts w:hint="default"/>
        <w:lang w:val="es-ES" w:eastAsia="en-US" w:bidi="ar-SA"/>
      </w:rPr>
    </w:lvl>
    <w:lvl w:ilvl="5">
      <w:start w:val="0"/>
      <w:numFmt w:val="bullet"/>
      <w:lvlText w:val="•"/>
      <w:lvlJc w:val="left"/>
      <w:pPr>
        <w:ind w:left="4810" w:hanging="173"/>
      </w:pPr>
      <w:rPr>
        <w:rFonts w:hint="default"/>
        <w:lang w:val="es-ES" w:eastAsia="en-US" w:bidi="ar-SA"/>
      </w:rPr>
    </w:lvl>
    <w:lvl w:ilvl="6">
      <w:start w:val="0"/>
      <w:numFmt w:val="bullet"/>
      <w:lvlText w:val="•"/>
      <w:lvlJc w:val="left"/>
      <w:pPr>
        <w:ind w:left="5720" w:hanging="173"/>
      </w:pPr>
      <w:rPr>
        <w:rFonts w:hint="default"/>
        <w:lang w:val="es-ES" w:eastAsia="en-US" w:bidi="ar-SA"/>
      </w:rPr>
    </w:lvl>
    <w:lvl w:ilvl="7">
      <w:start w:val="0"/>
      <w:numFmt w:val="bullet"/>
      <w:lvlText w:val="•"/>
      <w:lvlJc w:val="left"/>
      <w:pPr>
        <w:ind w:left="6630" w:hanging="173"/>
      </w:pPr>
      <w:rPr>
        <w:rFonts w:hint="default"/>
        <w:lang w:val="es-ES" w:eastAsia="en-US" w:bidi="ar-SA"/>
      </w:rPr>
    </w:lvl>
    <w:lvl w:ilvl="8">
      <w:start w:val="0"/>
      <w:numFmt w:val="bullet"/>
      <w:lvlText w:val="•"/>
      <w:lvlJc w:val="left"/>
      <w:pPr>
        <w:ind w:left="7540" w:hanging="173"/>
      </w:pPr>
      <w:rPr>
        <w:rFonts w:hint="default"/>
        <w:lang w:val="es-ES" w:eastAsia="en-US" w:bidi="ar-SA"/>
      </w:rPr>
    </w:lvl>
  </w:abstractNum>
  <w:abstractNum w:abstractNumId="2">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abstractNum w:abstractNumId="1">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0">
    <w:multiLevelType w:val="hybridMultilevel"/>
    <w:lvl w:ilvl="0">
      <w:start w:val="1"/>
      <w:numFmt w:val="upperRoman"/>
      <w:lvlText w:val="%1."/>
      <w:lvlJc w:val="left"/>
      <w:pPr>
        <w:ind w:left="262"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70" w:hanging="428"/>
      </w:pPr>
      <w:rPr>
        <w:rFonts w:hint="default"/>
        <w:lang w:val="es-ES" w:eastAsia="en-US" w:bidi="ar-SA"/>
      </w:rPr>
    </w:lvl>
    <w:lvl w:ilvl="2">
      <w:start w:val="0"/>
      <w:numFmt w:val="bullet"/>
      <w:lvlText w:val="•"/>
      <w:lvlJc w:val="left"/>
      <w:pPr>
        <w:ind w:left="2080" w:hanging="428"/>
      </w:pPr>
      <w:rPr>
        <w:rFonts w:hint="default"/>
        <w:lang w:val="es-ES" w:eastAsia="en-US" w:bidi="ar-SA"/>
      </w:rPr>
    </w:lvl>
    <w:lvl w:ilvl="3">
      <w:start w:val="0"/>
      <w:numFmt w:val="bullet"/>
      <w:lvlText w:val="•"/>
      <w:lvlJc w:val="left"/>
      <w:pPr>
        <w:ind w:left="2990" w:hanging="428"/>
      </w:pPr>
      <w:rPr>
        <w:rFonts w:hint="default"/>
        <w:lang w:val="es-ES" w:eastAsia="en-US" w:bidi="ar-SA"/>
      </w:rPr>
    </w:lvl>
    <w:lvl w:ilvl="4">
      <w:start w:val="0"/>
      <w:numFmt w:val="bullet"/>
      <w:lvlText w:val="•"/>
      <w:lvlJc w:val="left"/>
      <w:pPr>
        <w:ind w:left="3900" w:hanging="428"/>
      </w:pPr>
      <w:rPr>
        <w:rFonts w:hint="default"/>
        <w:lang w:val="es-ES" w:eastAsia="en-US" w:bidi="ar-SA"/>
      </w:rPr>
    </w:lvl>
    <w:lvl w:ilvl="5">
      <w:start w:val="0"/>
      <w:numFmt w:val="bullet"/>
      <w:lvlText w:val="•"/>
      <w:lvlJc w:val="left"/>
      <w:pPr>
        <w:ind w:left="4810" w:hanging="428"/>
      </w:pPr>
      <w:rPr>
        <w:rFonts w:hint="default"/>
        <w:lang w:val="es-ES" w:eastAsia="en-US" w:bidi="ar-SA"/>
      </w:rPr>
    </w:lvl>
    <w:lvl w:ilvl="6">
      <w:start w:val="0"/>
      <w:numFmt w:val="bullet"/>
      <w:lvlText w:val="•"/>
      <w:lvlJc w:val="left"/>
      <w:pPr>
        <w:ind w:left="5720" w:hanging="428"/>
      </w:pPr>
      <w:rPr>
        <w:rFonts w:hint="default"/>
        <w:lang w:val="es-ES" w:eastAsia="en-US" w:bidi="ar-SA"/>
      </w:rPr>
    </w:lvl>
    <w:lvl w:ilvl="7">
      <w:start w:val="0"/>
      <w:numFmt w:val="bullet"/>
      <w:lvlText w:val="•"/>
      <w:lvlJc w:val="left"/>
      <w:pPr>
        <w:ind w:left="6630" w:hanging="428"/>
      </w:pPr>
      <w:rPr>
        <w:rFonts w:hint="default"/>
        <w:lang w:val="es-ES" w:eastAsia="en-US" w:bidi="ar-SA"/>
      </w:rPr>
    </w:lvl>
    <w:lvl w:ilvl="8">
      <w:start w:val="0"/>
      <w:numFmt w:val="bullet"/>
      <w:lvlText w:val="•"/>
      <w:lvlJc w:val="left"/>
      <w:pPr>
        <w:ind w:left="7540" w:hanging="428"/>
      </w:pPr>
      <w:rPr>
        <w:rFonts w:hint="default"/>
        <w:lang w:val="es-ES" w:eastAsia="en-US" w:bidi="ar-SA"/>
      </w:rPr>
    </w:lvl>
  </w:abstract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right="18"/>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right="18"/>
      <w:jc w:val="center"/>
      <w:outlineLvl w:val="2"/>
    </w:pPr>
    <w:rPr>
      <w:rFonts w:ascii="Arial" w:hAnsi="Arial" w:eastAsia="Arial" w:cs="Arial"/>
      <w:b/>
      <w:bCs/>
      <w:sz w:val="20"/>
      <w:szCs w:val="20"/>
      <w:lang w:val="es-ES" w:eastAsia="en-US" w:bidi="ar-SA"/>
    </w:rPr>
  </w:style>
  <w:style w:styleId="Title" w:type="paragraph">
    <w:name w:val="Title"/>
    <w:basedOn w:val="Normal"/>
    <w:uiPriority w:val="1"/>
    <w:qFormat/>
    <w:pPr>
      <w:ind w:left="804" w:right="168"/>
      <w:jc w:val="center"/>
    </w:pPr>
    <w:rPr>
      <w:rFonts w:ascii="Arial" w:hAnsi="Arial" w:eastAsia="Arial" w:cs="Arial"/>
      <w:b/>
      <w:bCs/>
      <w:sz w:val="36"/>
      <w:szCs w:val="36"/>
      <w:lang w:val="es-ES" w:eastAsia="en-US" w:bidi="ar-SA"/>
    </w:rPr>
  </w:style>
  <w:style w:styleId="ListParagraph" w:type="paragraph">
    <w:name w:val="List Paragraph"/>
    <w:basedOn w:val="Normal"/>
    <w:uiPriority w:val="1"/>
    <w:qFormat/>
    <w:pPr>
      <w:ind w:left="262"/>
      <w:jc w:val="both"/>
    </w:pPr>
    <w:rPr>
      <w:rFonts w:ascii="Arial MT" w:hAnsi="Arial MT" w:eastAsia="Arial MT" w:cs="Arial MT"/>
      <w:lang w:val="es-ES" w:eastAsia="en-US" w:bidi="ar-SA"/>
    </w:rPr>
  </w:style>
  <w:style w:styleId="TableParagraph" w:type="paragraph">
    <w:name w:val="Table Paragraph"/>
    <w:basedOn w:val="Normal"/>
    <w:uiPriority w:val="1"/>
    <w:qForma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4.jpe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Investigacion y Evaluac. Legislativa</dc:creator>
  <dc:title>Ley de Ordenamiento Territorial del Estado de San Luis Potosí</dc:title>
  <dcterms:created xsi:type="dcterms:W3CDTF">2026-06-04T21:26:41Z</dcterms:created>
  <dcterms:modified xsi:type="dcterms:W3CDTF">2026-06-04T21:26:41Z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2026-05-25T00:00:00Z</vt:filetime>
  </property>
  <property fmtid="{D5CDD505-2E9C-101B-9397-08002B2CF9AE}" pid="4" name="Creator">
    <vt:lpwstr>Microsoft® Word para Microsoft 365</vt:lpwstr>
  </property>
  <property fmtid="{D5CDD505-2E9C-101B-9397-08002B2CF9AE}" pid="5" name="LastSaved">
    <vt:filetime>2026-06-04T00:00:00Z</vt:filetime>
  </property>
  <property fmtid="{D5CDD505-2E9C-101B-9397-08002B2CF9AE}" pid="6" name="Producer">
    <vt:lpwstr>Microsoft® Word para Microsoft 365</vt:lpwstr>
  </property>
</Properties>
</file>