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36490" w14:textId="77777777" w:rsidR="009F72E1" w:rsidRDefault="005E3A32">
      <w:r>
        <w:rPr>
          <w:color w:val="000000"/>
          <w:sz w:val="27"/>
          <w:szCs w:val="27"/>
        </w:rPr>
        <w:t>No se generó información sobre el presupuesto aprobado ya que la dirección de tesorería es la encargada de ejecutar pagos a proveedores.</w:t>
      </w:r>
    </w:p>
    <w:sectPr w:rsidR="009F72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A32"/>
    <w:rsid w:val="00007753"/>
    <w:rsid w:val="005E3A32"/>
    <w:rsid w:val="00877F18"/>
    <w:rsid w:val="0094564A"/>
    <w:rsid w:val="009931C9"/>
    <w:rsid w:val="00FD7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90F0867"/>
  <w15:chartTrackingRefBased/>
  <w15:docId w15:val="{D5DF1602-C4F6-4678-86A1-579DC2118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116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</dc:creator>
  <cp:keywords/>
  <dc:description/>
  <cp:lastModifiedBy>DIF Municipal</cp:lastModifiedBy>
  <cp:revision>2</cp:revision>
  <dcterms:created xsi:type="dcterms:W3CDTF">2023-06-02T16:52:00Z</dcterms:created>
  <dcterms:modified xsi:type="dcterms:W3CDTF">2023-06-02T16:52:00Z</dcterms:modified>
</cp:coreProperties>
</file>