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C2612" w14:textId="77777777" w:rsidR="004F6725" w:rsidRDefault="00F21C51">
      <w:pPr>
        <w:spacing w:before="0" w:after="60" w:line="221" w:lineRule="auto"/>
        <w:jc w:val="center"/>
      </w:pPr>
      <w:r>
        <w:rPr>
          <w:rFonts w:ascii="Verdana" w:hAnsi="Verdana"/>
          <w:b/>
        </w:rPr>
        <w:t>CONSTANCIA ADMINISTRATIVA</w:t>
      </w:r>
    </w:p>
    <w:p w14:paraId="0C2D3717" w14:textId="77777777" w:rsidR="004F6725" w:rsidRDefault="00F21C51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AUSENCIA DE SANCIONES ADMINISTRATIVAS DEFINITIVAS</w:t>
      </w:r>
    </w:p>
    <w:p w14:paraId="3DA729D3" w14:textId="77777777" w:rsidR="004F6725" w:rsidRDefault="00F21C51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Obligación de transparencia: 84-XXIII</w:t>
      </w:r>
    </w:p>
    <w:p w14:paraId="7A3737FD" w14:textId="731C73A3" w:rsidR="004F6725" w:rsidRDefault="004931AB">
      <w:pPr>
        <w:spacing w:before="0" w:after="60" w:line="221" w:lineRule="auto"/>
        <w:jc w:val="both"/>
      </w:pPr>
      <w:r>
        <w:rPr>
          <w:rFonts w:ascii="Verdana" w:hAnsi="Verdana"/>
          <w:b/>
          <w:sz w:val="17"/>
        </w:rPr>
        <w:t>C</w:t>
      </w:r>
      <w:r w:rsidR="00F21C51">
        <w:rPr>
          <w:rFonts w:ascii="Verdana" w:hAnsi="Verdana"/>
          <w:sz w:val="17"/>
        </w:rPr>
        <w:t>on base en la revisión de los registros, expedientes y documentación que obran bajo responsabilidad del área, hago constar lo siguiente:</w:t>
      </w:r>
    </w:p>
    <w:p w14:paraId="336BE018" w14:textId="77777777" w:rsidR="004F6725" w:rsidRDefault="00F21C51">
      <w:pPr>
        <w:spacing w:before="0" w:after="60" w:line="221" w:lineRule="auto"/>
      </w:pPr>
      <w:r>
        <w:rPr>
          <w:rFonts w:ascii="Verdana" w:hAnsi="Verdana"/>
          <w:b/>
          <w:sz w:val="18"/>
        </w:rPr>
        <w:t>I. FUNDAMENTO</w:t>
      </w:r>
    </w:p>
    <w:p w14:paraId="4C80C3DF" w14:textId="77777777" w:rsidR="004F6725" w:rsidRDefault="00F21C51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Con fundamento en la fracción correspondiente del artículo 84 de la Ley de Transparencia y Acceso a la Información Pública del Estado de San Luis Potosí; en la Ley de Responsabilidades Administrativas para el Estado y Municipios de San Luis Potosí, que regula las faltas administrativas, procedimientos y sanciones; así como en artículos 54, fracción I, y 61 de la Ley de Transparencia y Acceso a la Información Pública del Estado de San Luis Potosí, relativos, respectivamente, a la función de la Unidad de Transparencia de recabar y difundir las obligaciones de transparencia y a la responsabilidad de las áreas que producen, administran, archivan o resguardan información pública.</w:t>
      </w:r>
    </w:p>
    <w:p w14:paraId="02E722F9" w14:textId="77777777" w:rsidR="004F6725" w:rsidRDefault="00F21C51">
      <w:pPr>
        <w:spacing w:before="0" w:after="60" w:line="221" w:lineRule="auto"/>
      </w:pPr>
      <w:r>
        <w:rPr>
          <w:rFonts w:ascii="Verdana" w:hAnsi="Verdana"/>
          <w:b/>
          <w:sz w:val="18"/>
        </w:rPr>
        <w:t>II. MOTIVACIÓN Y VERIFICACIÓN REALIZADA</w:t>
      </w:r>
    </w:p>
    <w:p w14:paraId="78355F94" w14:textId="6A39F50F" w:rsidR="004F6725" w:rsidRDefault="00F21C51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La Contraloría Interna revis</w:t>
      </w:r>
      <w:r w:rsidR="009D2853">
        <w:rPr>
          <w:rFonts w:ascii="Verdana" w:hAnsi="Verdana"/>
          <w:sz w:val="17"/>
        </w:rPr>
        <w:t xml:space="preserve">ó </w:t>
      </w:r>
      <w:r>
        <w:rPr>
          <w:rFonts w:ascii="Verdana" w:hAnsi="Verdana"/>
          <w:sz w:val="17"/>
        </w:rPr>
        <w:t>expedientes de investigación, substanciación y resolución, así como registros de sanciones administrativas firmes correspondientes al periodo.</w:t>
      </w:r>
    </w:p>
    <w:p w14:paraId="32A0A8A8" w14:textId="77777777" w:rsidR="004F6725" w:rsidRDefault="00F21C51">
      <w:pPr>
        <w:spacing w:before="0" w:after="60" w:line="221" w:lineRule="auto"/>
      </w:pPr>
      <w:r>
        <w:rPr>
          <w:rFonts w:ascii="Verdana" w:hAnsi="Verdana"/>
          <w:b/>
          <w:sz w:val="18"/>
        </w:rPr>
        <w:t>III. CONSTANCIA</w:t>
      </w:r>
    </w:p>
    <w:p w14:paraId="5872F133" w14:textId="77777777" w:rsidR="004F6725" w:rsidRDefault="00F21C51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Durante el periodo señalado no se identificaron sanciones administrativas definitivas impuestas a personas servidoras públicas del SMDIF que deban reportarse en la obligación 84-XXIII.</w:t>
      </w:r>
    </w:p>
    <w:p w14:paraId="4C9C05E5" w14:textId="77777777" w:rsidR="004F6725" w:rsidRDefault="00F21C51">
      <w:pPr>
        <w:spacing w:before="0" w:after="60" w:line="221" w:lineRule="auto"/>
      </w:pPr>
      <w:r>
        <w:rPr>
          <w:rFonts w:ascii="Verdana" w:hAnsi="Verdana"/>
          <w:b/>
          <w:sz w:val="18"/>
        </w:rPr>
        <w:t>IV. ALCANCE</w:t>
      </w:r>
    </w:p>
    <w:p w14:paraId="189B1044" w14:textId="77777777" w:rsidR="004F6725" w:rsidRDefault="00F21C51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La presente constancia documenta exclusivamente el estado fáctico del periodo. No constituye una declaración genérica de “no aplica” ni exime de obligaciones de generación que resulten exigibles conforme a la normativa aplicable.</w:t>
      </w:r>
    </w:p>
    <w:p w14:paraId="0FCBADAA" w14:textId="77777777" w:rsidR="004F6725" w:rsidRDefault="00F21C51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Se expide para integración del expediente de obligaciones de transparencia y soporte de la publicación correspondiente.</w:t>
      </w:r>
    </w:p>
    <w:p w14:paraId="13D205A3" w14:textId="24982FAB" w:rsidR="004F6725" w:rsidRDefault="00F21C51">
      <w:pPr>
        <w:spacing w:before="0" w:after="60" w:line="221" w:lineRule="auto"/>
        <w:jc w:val="right"/>
        <w:rPr>
          <w:rFonts w:ascii="Verdana" w:hAnsi="Verdana"/>
          <w:sz w:val="17"/>
        </w:rPr>
      </w:pPr>
      <w:r>
        <w:rPr>
          <w:rFonts w:ascii="Verdana" w:hAnsi="Verdana"/>
          <w:sz w:val="17"/>
        </w:rPr>
        <w:t>Villa de Arriaga, San Luis Potosí.</w:t>
      </w:r>
    </w:p>
    <w:p w14:paraId="7D697295" w14:textId="515DB890" w:rsidR="004931AB" w:rsidRDefault="004931AB">
      <w:pPr>
        <w:spacing w:before="0" w:after="60" w:line="221" w:lineRule="auto"/>
        <w:jc w:val="right"/>
        <w:rPr>
          <w:rFonts w:ascii="Verdana" w:hAnsi="Verdana"/>
          <w:sz w:val="17"/>
        </w:rPr>
      </w:pPr>
    </w:p>
    <w:p w14:paraId="2737B93A" w14:textId="4C7B3CAE" w:rsidR="004F6725" w:rsidRDefault="004F6725">
      <w:pPr>
        <w:spacing w:before="0" w:after="60" w:line="221" w:lineRule="auto"/>
        <w:jc w:val="center"/>
      </w:pPr>
    </w:p>
    <w:sectPr w:rsidR="004F6725" w:rsidSect="00120257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1037" w:right="1123" w:bottom="792" w:left="112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85AE0" w14:textId="77777777" w:rsidR="004777DA" w:rsidRDefault="004777DA">
      <w:pPr>
        <w:spacing w:before="0" w:after="0" w:line="240" w:lineRule="auto"/>
      </w:pPr>
      <w:r>
        <w:separator/>
      </w:r>
    </w:p>
  </w:endnote>
  <w:endnote w:type="continuationSeparator" w:id="0">
    <w:p w14:paraId="6CCD99AF" w14:textId="77777777" w:rsidR="004777DA" w:rsidRDefault="004777D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A2031" w14:textId="77777777" w:rsidR="00421CBD" w:rsidRPr="000F1FCC" w:rsidRDefault="00E17584" w:rsidP="00421CBD">
    <w:pPr>
      <w:pStyle w:val="Piedepgina"/>
      <w:jc w:val="center"/>
      <w:rPr>
        <w:rFonts w:ascii="Constantia" w:hAnsi="Constantia"/>
        <w:i/>
        <w:iCs/>
        <w:sz w:val="20"/>
      </w:rPr>
    </w:pPr>
    <w:r w:rsidRPr="000F1FCC">
      <w:rPr>
        <w:rFonts w:ascii="Constantia" w:hAnsi="Constantia"/>
        <w:i/>
        <w:iCs/>
        <w:sz w:val="20"/>
      </w:rPr>
      <w:t>2026 “AÑO DEL BICENTENARIO DE LA PROMULGACIÓN DE LA CONSTITUCIÓN POLÍTICA DEL ESTADO LIBRE Y SOBERANO DE SAN LUIS POTOSÍ”</w:t>
    </w:r>
  </w:p>
  <w:p w14:paraId="2D61B698" w14:textId="77777777" w:rsidR="00FE5BB5" w:rsidRPr="00421CBD" w:rsidRDefault="004777DA" w:rsidP="00421C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1372F" w14:textId="77777777" w:rsidR="004777DA" w:rsidRDefault="004777DA">
      <w:pPr>
        <w:spacing w:before="0" w:after="0" w:line="240" w:lineRule="auto"/>
      </w:pPr>
      <w:r>
        <w:separator/>
      </w:r>
    </w:p>
  </w:footnote>
  <w:footnote w:type="continuationSeparator" w:id="0">
    <w:p w14:paraId="3B9E98E5" w14:textId="77777777" w:rsidR="004777DA" w:rsidRDefault="004777D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78A2F" w14:textId="77777777" w:rsidR="00FE5BB5" w:rsidRDefault="004777DA">
    <w:pPr>
      <w:pStyle w:val="Encabezado"/>
    </w:pPr>
    <w:r>
      <w:pict w14:anchorId="402320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0" o:spid="_x0000_s2049" type="#_x0000_t75" style="position:absolute;margin-left:0;margin-top:0;width:441.6pt;height:441.6pt;z-index:-251656192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16FEB" w14:textId="77777777" w:rsidR="00FE5BB5" w:rsidRPr="00421CBD" w:rsidRDefault="00E17584">
    <w:pPr>
      <w:jc w:val="center"/>
      <w:rPr>
        <w:rFonts w:ascii="Constantia" w:hAnsi="Constant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EAC893F" wp14:editId="5C19F666">
          <wp:simplePos x="0" y="0"/>
          <wp:positionH relativeFrom="column">
            <wp:posOffset>-859155</wp:posOffset>
          </wp:positionH>
          <wp:positionV relativeFrom="paragraph">
            <wp:posOffset>-205740</wp:posOffset>
          </wp:positionV>
          <wp:extent cx="1383665" cy="1383665"/>
          <wp:effectExtent l="0" t="0" r="6985" b="6985"/>
          <wp:wrapNone/>
          <wp:docPr id="88208390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083905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825" cy="138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777DA">
      <w:rPr>
        <w:rFonts w:asciiTheme="minorHAnsi" w:hAnsiTheme="minorHAnsi"/>
      </w:rPr>
      <w:pict w14:anchorId="6B0E8F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1" o:spid="_x0000_s2050" type="#_x0000_t75" style="position:absolute;left:0;text-align:left;margin-left:0;margin-top:0;width:441.6pt;height:441.6pt;z-index:-251655168;mso-position-horizontal:center;mso-position-horizontal-relative:margin;mso-position-vertical:center;mso-position-vertical-relative:margin;mso-width-relative:page;mso-height-relative:page" o:allowincell="f">
          <v:imagedata r:id="rId2" o:title="Sello DIF" gain="19661f" blacklevel="22938f"/>
          <w10:wrap anchorx="margin" anchory="margin"/>
        </v:shape>
      </w:pict>
    </w:r>
    <w:r>
      <w:t xml:space="preserve">                            </w:t>
    </w:r>
    <w:r w:rsidRPr="00421CBD">
      <w:rPr>
        <w:rFonts w:ascii="Constantia" w:hAnsi="Constantia"/>
      </w:rPr>
      <w:t>SISTEMA MUNICIPAL PARA EL DESARROLLO INTEGRAL DE LA FAMILIA</w:t>
    </w:r>
  </w:p>
  <w:p w14:paraId="409F7824" w14:textId="77777777" w:rsidR="00FE5BB5" w:rsidRDefault="004777D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8E81C" w14:textId="77777777" w:rsidR="00FE5BB5" w:rsidRDefault="004777DA">
    <w:pPr>
      <w:pStyle w:val="Encabezado"/>
    </w:pPr>
    <w:r>
      <w:pict w14:anchorId="28B56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59" o:spid="_x0000_s2051" type="#_x0000_t75" style="position:absolute;margin-left:0;margin-top:0;width:441.6pt;height:441.6pt;z-index:-251654144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3A35"/>
    <w:multiLevelType w:val="hybridMultilevel"/>
    <w:tmpl w:val="6B3C410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605B08"/>
    <w:multiLevelType w:val="hybridMultilevel"/>
    <w:tmpl w:val="11BE18B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40927"/>
    <w:multiLevelType w:val="hybridMultilevel"/>
    <w:tmpl w:val="B62AF1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1780"/>
    <w:multiLevelType w:val="hybridMultilevel"/>
    <w:tmpl w:val="7A78C3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B4AD3"/>
    <w:multiLevelType w:val="hybridMultilevel"/>
    <w:tmpl w:val="9FEE04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57EBD"/>
    <w:multiLevelType w:val="hybridMultilevel"/>
    <w:tmpl w:val="F1726866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84"/>
    <w:rsid w:val="002A1E47"/>
    <w:rsid w:val="003E4464"/>
    <w:rsid w:val="004777DA"/>
    <w:rsid w:val="004931AB"/>
    <w:rsid w:val="004F6725"/>
    <w:rsid w:val="005E7C43"/>
    <w:rsid w:val="00734F77"/>
    <w:rsid w:val="007E3012"/>
    <w:rsid w:val="00926DEA"/>
    <w:rsid w:val="009D2853"/>
    <w:rsid w:val="00E17584"/>
    <w:rsid w:val="00F21C51"/>
    <w:rsid w:val="00FD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1D580B3"/>
  <w15:chartTrackingRefBased/>
  <w15:docId w15:val="{1ADA06B1-CD6E-4385-860D-9DF60FDD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584"/>
    <w:pPr>
      <w:spacing w:before="100" w:beforeAutospacing="1" w:line="256" w:lineRule="auto"/>
    </w:pPr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17584"/>
    <w:rPr>
      <w:b/>
      <w:bCs/>
    </w:rPr>
  </w:style>
  <w:style w:type="character" w:styleId="Hipervnculo">
    <w:name w:val="Hyperlink"/>
    <w:basedOn w:val="Fuentedeprrafopredeter"/>
    <w:uiPriority w:val="99"/>
    <w:unhideWhenUsed/>
    <w:qFormat/>
    <w:rsid w:val="00E17584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E17584"/>
  </w:style>
  <w:style w:type="paragraph" w:styleId="Piedepgina">
    <w:name w:val="footer"/>
    <w:basedOn w:val="Normal"/>
    <w:link w:val="Piedepgina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E17584"/>
  </w:style>
  <w:style w:type="paragraph" w:styleId="NormalWeb">
    <w:name w:val="Normal (Web)"/>
    <w:basedOn w:val="Normal"/>
    <w:uiPriority w:val="99"/>
    <w:semiHidden/>
    <w:unhideWhenUsed/>
    <w:rsid w:val="00E17584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mbredelaempresa">
    <w:name w:val="Nombre de la empresa"/>
    <w:basedOn w:val="Normal"/>
    <w:qFormat/>
    <w:rsid w:val="00E17584"/>
    <w:pPr>
      <w:spacing w:before="240" w:beforeAutospacing="0" w:after="120" w:line="240" w:lineRule="auto"/>
      <w:jc w:val="right"/>
    </w:pPr>
    <w:rPr>
      <w:rFonts w:asciiTheme="majorHAnsi" w:eastAsiaTheme="minorHAnsi" w:hAnsiTheme="majorHAnsi" w:cstheme="minorBidi"/>
      <w:color w:val="000000" w:themeColor="text1"/>
      <w:sz w:val="36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Emanuel Reyes Del Angel</dc:creator>
  <cp:keywords/>
  <dc:description/>
  <cp:lastModifiedBy>Alexis García</cp:lastModifiedBy>
  <cp:revision>3</cp:revision>
  <dcterms:created xsi:type="dcterms:W3CDTF">2026-09-14T17:14:00Z</dcterms:created>
  <dcterms:modified xsi:type="dcterms:W3CDTF">2026-09-16T18:57:00Z</dcterms:modified>
</cp:coreProperties>
</file>