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1292" w14:textId="77777777" w:rsidR="00235423" w:rsidRDefault="00C53245" w:rsidP="00C53245">
      <w:pPr>
        <w:jc w:val="center"/>
        <w:rPr>
          <w:rFonts w:ascii="Arial" w:hAnsi="Arial" w:cs="Arial"/>
          <w:b/>
          <w:sz w:val="28"/>
          <w:lang w:val="es-ES"/>
        </w:rPr>
      </w:pPr>
      <w:r w:rsidRPr="006C7367">
        <w:rPr>
          <w:rFonts w:ascii="Arial" w:hAnsi="Arial" w:cs="Arial"/>
          <w:b/>
          <w:sz w:val="28"/>
          <w:lang w:val="es-ES"/>
        </w:rPr>
        <w:t>ASUNTOS TRATADOS</w:t>
      </w:r>
    </w:p>
    <w:p w14:paraId="39B523E9" w14:textId="7F9F81A1" w:rsidR="00EC4D71" w:rsidRDefault="00EC4D71" w:rsidP="00EC4D71">
      <w:pPr>
        <w:spacing w:after="160" w:line="259" w:lineRule="auto"/>
        <w:contextualSpacing/>
        <w:jc w:val="both"/>
        <w:rPr>
          <w:rFonts w:ascii="Arial" w:hAnsi="Arial" w:cs="Arial"/>
          <w:b/>
          <w:sz w:val="28"/>
          <w:lang w:val="es-ES"/>
        </w:rPr>
      </w:pPr>
    </w:p>
    <w:p w14:paraId="253CFE4B" w14:textId="2FF44004" w:rsidR="00CA5EB0" w:rsidRDefault="00CA5EB0" w:rsidP="00EC4D71">
      <w:pPr>
        <w:spacing w:after="160" w:line="259" w:lineRule="auto"/>
        <w:contextualSpacing/>
        <w:jc w:val="both"/>
        <w:rPr>
          <w:rFonts w:ascii="Arial" w:hAnsi="Arial" w:cs="Arial"/>
          <w:b/>
          <w:sz w:val="28"/>
          <w:lang w:val="es-ES"/>
        </w:rPr>
      </w:pPr>
    </w:p>
    <w:p w14:paraId="0B1061A2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  <w:r>
        <w:rPr>
          <w:rFonts w:ascii="Tahoma" w:eastAsia="Calibri" w:hAnsi="Tahoma" w:cs="Tahoma"/>
          <w:bCs/>
          <w:sz w:val="24"/>
          <w:szCs w:val="24"/>
          <w:lang w:val="es-ES"/>
        </w:rPr>
        <w:t>Se aprueban los estados financieros correspondientes a los meses de enero y febrero, ejercicio fiscal 2026 así como de la Primera y Segunda adecuación respectivamente, al presupuesto de egresos.</w:t>
      </w:r>
    </w:p>
    <w:p w14:paraId="0E7E4A70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sz w:val="24"/>
          <w:szCs w:val="24"/>
        </w:rPr>
      </w:pPr>
    </w:p>
    <w:p w14:paraId="1DFA6236" w14:textId="06C6DEAD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sz w:val="24"/>
          <w:szCs w:val="28"/>
        </w:rPr>
      </w:pPr>
      <w:r>
        <w:rPr>
          <w:rFonts w:ascii="Tahoma" w:eastAsia="Calibri" w:hAnsi="Tahoma" w:cs="Tahoma"/>
          <w:sz w:val="24"/>
          <w:szCs w:val="28"/>
        </w:rPr>
        <w:t>Se autoriza la</w:t>
      </w:r>
      <w:r w:rsidRPr="00491494">
        <w:rPr>
          <w:rFonts w:ascii="Tahoma" w:eastAsia="Calibri" w:hAnsi="Tahoma" w:cs="Tahoma"/>
          <w:sz w:val="24"/>
          <w:szCs w:val="28"/>
        </w:rPr>
        <w:t xml:space="preserve"> reforma la denominación del TITULO QUINTO “De la participación de la ciudadanía en los procesos electorales, en el referéndum y en el plebiscito”, el artículo 36, el párrafo segundo; el TITULO SEPTIMO, y la denominación del </w:t>
      </w:r>
      <w:r w:rsidRPr="00491494">
        <w:rPr>
          <w:rFonts w:ascii="Tahoma" w:eastAsia="Calibri" w:hAnsi="Tahoma" w:cs="Tahoma"/>
          <w:sz w:val="24"/>
          <w:szCs w:val="28"/>
        </w:rPr>
        <w:t>Capítulo</w:t>
      </w:r>
      <w:r w:rsidRPr="00491494">
        <w:rPr>
          <w:rFonts w:ascii="Tahoma" w:eastAsia="Calibri" w:hAnsi="Tahoma" w:cs="Tahoma"/>
          <w:sz w:val="24"/>
          <w:szCs w:val="28"/>
        </w:rPr>
        <w:t xml:space="preserve"> I, “De la Gubernatura del Estado” y el </w:t>
      </w:r>
      <w:r w:rsidRPr="00491494">
        <w:rPr>
          <w:rFonts w:ascii="Tahoma" w:eastAsia="Calibri" w:hAnsi="Tahoma" w:cs="Tahoma"/>
          <w:sz w:val="24"/>
          <w:szCs w:val="28"/>
        </w:rPr>
        <w:t>artículo</w:t>
      </w:r>
      <w:r w:rsidRPr="00491494">
        <w:rPr>
          <w:rFonts w:ascii="Tahoma" w:eastAsia="Calibri" w:hAnsi="Tahoma" w:cs="Tahoma"/>
          <w:sz w:val="24"/>
          <w:szCs w:val="28"/>
        </w:rPr>
        <w:t xml:space="preserve"> 72, de la Constitución Política del Estado Libre y Soberano de San Luis Potosí</w:t>
      </w:r>
      <w:r>
        <w:rPr>
          <w:rFonts w:ascii="Tahoma" w:eastAsia="Calibri" w:hAnsi="Tahoma" w:cs="Tahoma"/>
          <w:sz w:val="24"/>
          <w:szCs w:val="28"/>
        </w:rPr>
        <w:t>.</w:t>
      </w:r>
    </w:p>
    <w:p w14:paraId="29967BF3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sz w:val="24"/>
          <w:szCs w:val="28"/>
        </w:rPr>
      </w:pPr>
    </w:p>
    <w:p w14:paraId="0D1DD3F3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  <w:r>
        <w:rPr>
          <w:rFonts w:ascii="Tahoma" w:eastAsia="Calibri" w:hAnsi="Tahoma" w:cs="Tahoma"/>
          <w:bCs/>
          <w:sz w:val="24"/>
          <w:szCs w:val="24"/>
          <w:lang w:val="es-ES"/>
        </w:rPr>
        <w:t xml:space="preserve">Se autoriza la </w:t>
      </w:r>
      <w:r w:rsidRPr="00491494">
        <w:rPr>
          <w:rFonts w:ascii="Tahoma" w:eastAsia="Calibri" w:hAnsi="Tahoma" w:cs="Tahoma"/>
          <w:bCs/>
          <w:sz w:val="24"/>
          <w:szCs w:val="24"/>
          <w:lang w:val="es-ES"/>
        </w:rPr>
        <w:t>firma de convenio de Colaboración Institucional para la profesionalización, entre el Municipio y la Secretaria de Seguridad y Protección Ciudadana del Estado de San Luis Potosí</w:t>
      </w:r>
      <w:r>
        <w:rPr>
          <w:rFonts w:ascii="Tahoma" w:eastAsia="Calibri" w:hAnsi="Tahoma" w:cs="Tahoma"/>
          <w:bCs/>
          <w:sz w:val="24"/>
          <w:szCs w:val="24"/>
          <w:lang w:val="es-ES"/>
        </w:rPr>
        <w:t>.</w:t>
      </w:r>
    </w:p>
    <w:p w14:paraId="4C58CD5F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</w:p>
    <w:p w14:paraId="05CB82EB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  <w:bookmarkStart w:id="0" w:name="_Hlk231477153"/>
      <w:r>
        <w:rPr>
          <w:rFonts w:ascii="Tahoma" w:eastAsia="Calibri" w:hAnsi="Tahoma" w:cs="Tahoma"/>
          <w:bCs/>
          <w:sz w:val="24"/>
          <w:szCs w:val="24"/>
          <w:lang w:val="es-ES"/>
        </w:rPr>
        <w:t xml:space="preserve">Se autoriza la </w:t>
      </w:r>
      <w:r w:rsidRPr="00491494">
        <w:rPr>
          <w:rFonts w:ascii="Tahoma" w:eastAsia="Calibri" w:hAnsi="Tahoma" w:cs="Tahoma"/>
          <w:bCs/>
          <w:sz w:val="24"/>
          <w:szCs w:val="24"/>
          <w:lang w:val="es-ES"/>
        </w:rPr>
        <w:t xml:space="preserve">firma de </w:t>
      </w:r>
      <w:bookmarkEnd w:id="0"/>
      <w:r w:rsidRPr="00491494">
        <w:rPr>
          <w:rFonts w:ascii="Tahoma" w:eastAsia="Calibri" w:hAnsi="Tahoma" w:cs="Tahoma"/>
          <w:bCs/>
          <w:sz w:val="24"/>
          <w:szCs w:val="24"/>
          <w:lang w:val="es-ES"/>
        </w:rPr>
        <w:t xml:space="preserve">convenio de Colaboración Institucional para la profesionalización, entre la </w:t>
      </w:r>
      <w:r>
        <w:rPr>
          <w:rFonts w:ascii="Tahoma" w:eastAsia="Calibri" w:hAnsi="Tahoma" w:cs="Tahoma"/>
          <w:bCs/>
          <w:sz w:val="24"/>
          <w:szCs w:val="24"/>
          <w:lang w:val="es-ES"/>
        </w:rPr>
        <w:t>S</w:t>
      </w:r>
      <w:r w:rsidRPr="00491494">
        <w:rPr>
          <w:rFonts w:ascii="Tahoma" w:eastAsia="Calibri" w:hAnsi="Tahoma" w:cs="Tahoma"/>
          <w:bCs/>
          <w:sz w:val="24"/>
          <w:szCs w:val="24"/>
          <w:lang w:val="es-ES"/>
        </w:rPr>
        <w:t>ecretaria de Seguridad y Protección Ciudadana del Estado de San Luis Potosí y el Municipio de Villa de Reyes</w:t>
      </w:r>
      <w:r>
        <w:rPr>
          <w:rFonts w:ascii="Tahoma" w:eastAsia="Calibri" w:hAnsi="Tahoma" w:cs="Tahoma"/>
          <w:bCs/>
          <w:sz w:val="24"/>
          <w:szCs w:val="24"/>
          <w:lang w:val="es-ES"/>
        </w:rPr>
        <w:t>.</w:t>
      </w:r>
    </w:p>
    <w:p w14:paraId="6B6A16D5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</w:p>
    <w:p w14:paraId="5FFAE2B0" w14:textId="77777777" w:rsidR="00CA5EB0" w:rsidRDefault="00CA5EB0" w:rsidP="00CA5EB0">
      <w:pPr>
        <w:spacing w:after="160" w:line="360" w:lineRule="auto"/>
        <w:contextualSpacing/>
        <w:jc w:val="both"/>
        <w:rPr>
          <w:rFonts w:ascii="Tahoma" w:eastAsia="Calibri" w:hAnsi="Tahoma" w:cs="Tahoma"/>
          <w:sz w:val="24"/>
          <w:szCs w:val="28"/>
        </w:rPr>
      </w:pPr>
      <w:r>
        <w:rPr>
          <w:rFonts w:ascii="Tahoma" w:eastAsia="Calibri" w:hAnsi="Tahoma" w:cs="Tahoma"/>
          <w:bCs/>
          <w:sz w:val="24"/>
          <w:szCs w:val="24"/>
          <w:lang w:val="es-ES"/>
        </w:rPr>
        <w:t xml:space="preserve">Se autoriza la </w:t>
      </w:r>
      <w:r w:rsidRPr="00491494">
        <w:rPr>
          <w:rFonts w:ascii="Tahoma" w:eastAsia="Calibri" w:hAnsi="Tahoma" w:cs="Tahoma"/>
          <w:bCs/>
          <w:sz w:val="24"/>
          <w:szCs w:val="24"/>
          <w:lang w:val="es-ES"/>
        </w:rPr>
        <w:t>firma de</w:t>
      </w:r>
      <w:r>
        <w:rPr>
          <w:rFonts w:ascii="Tahoma" w:eastAsia="Calibri" w:hAnsi="Tahoma" w:cs="Tahoma"/>
          <w:bCs/>
          <w:sz w:val="24"/>
          <w:szCs w:val="24"/>
          <w:lang w:val="es-ES"/>
        </w:rPr>
        <w:t>l</w:t>
      </w:r>
      <w:r w:rsidRPr="00491494">
        <w:rPr>
          <w:rFonts w:ascii="Tahoma" w:eastAsia="Calibri" w:hAnsi="Tahoma" w:cs="Tahoma"/>
          <w:bCs/>
          <w:sz w:val="24"/>
          <w:szCs w:val="24"/>
          <w:lang w:val="es-ES"/>
        </w:rPr>
        <w:t xml:space="preserve"> </w:t>
      </w:r>
      <w:r w:rsidRPr="00CB5576">
        <w:rPr>
          <w:rFonts w:ascii="Tahoma" w:eastAsia="Calibri" w:hAnsi="Tahoma" w:cs="Tahoma"/>
          <w:sz w:val="24"/>
          <w:szCs w:val="28"/>
        </w:rPr>
        <w:t>contrato para la aplicación de Procesos de Evaluación de Control de Confianza</w:t>
      </w:r>
      <w:r>
        <w:rPr>
          <w:rFonts w:ascii="Tahoma" w:eastAsia="Calibri" w:hAnsi="Tahoma" w:cs="Tahoma"/>
          <w:sz w:val="24"/>
          <w:szCs w:val="28"/>
        </w:rPr>
        <w:t>.</w:t>
      </w:r>
    </w:p>
    <w:p w14:paraId="484898D8" w14:textId="77777777" w:rsidR="00CA5EB0" w:rsidRDefault="00CA5EB0" w:rsidP="00EC4D71">
      <w:pPr>
        <w:spacing w:after="160" w:line="259" w:lineRule="auto"/>
        <w:contextualSpacing/>
        <w:jc w:val="both"/>
        <w:rPr>
          <w:rFonts w:ascii="Arial" w:hAnsi="Arial" w:cs="Arial"/>
          <w:b/>
          <w:sz w:val="28"/>
          <w:lang w:val="es-ES"/>
        </w:rPr>
      </w:pPr>
    </w:p>
    <w:sectPr w:rsidR="00CA5E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E3433"/>
    <w:multiLevelType w:val="hybridMultilevel"/>
    <w:tmpl w:val="42A0455A"/>
    <w:lvl w:ilvl="0" w:tplc="F14EEF5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86121"/>
    <w:multiLevelType w:val="hybridMultilevel"/>
    <w:tmpl w:val="AC4C6098"/>
    <w:lvl w:ilvl="0" w:tplc="7F5098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245"/>
    <w:rsid w:val="000534D8"/>
    <w:rsid w:val="000C2632"/>
    <w:rsid w:val="00104B01"/>
    <w:rsid w:val="001724FA"/>
    <w:rsid w:val="001852FC"/>
    <w:rsid w:val="00235423"/>
    <w:rsid w:val="002D4A86"/>
    <w:rsid w:val="003C088A"/>
    <w:rsid w:val="003F62F3"/>
    <w:rsid w:val="00462156"/>
    <w:rsid w:val="0047088E"/>
    <w:rsid w:val="004D6B47"/>
    <w:rsid w:val="004E6E95"/>
    <w:rsid w:val="005B1546"/>
    <w:rsid w:val="005C33A6"/>
    <w:rsid w:val="00605260"/>
    <w:rsid w:val="00634684"/>
    <w:rsid w:val="006C7367"/>
    <w:rsid w:val="00722043"/>
    <w:rsid w:val="008B7092"/>
    <w:rsid w:val="009E4142"/>
    <w:rsid w:val="00B018BB"/>
    <w:rsid w:val="00B30365"/>
    <w:rsid w:val="00C53245"/>
    <w:rsid w:val="00CA5EB0"/>
    <w:rsid w:val="00E436FD"/>
    <w:rsid w:val="00EC4D71"/>
    <w:rsid w:val="00F06174"/>
    <w:rsid w:val="00F7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B7E73"/>
  <w15:docId w15:val="{F37EDDD9-E3B2-4BA2-BF8A-6A348B21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 DE REYES</dc:creator>
  <cp:lastModifiedBy>VILLA DE REYES</cp:lastModifiedBy>
  <cp:revision>5</cp:revision>
  <dcterms:created xsi:type="dcterms:W3CDTF">2026-01-09T15:24:00Z</dcterms:created>
  <dcterms:modified xsi:type="dcterms:W3CDTF">2026-06-08T17:30:00Z</dcterms:modified>
</cp:coreProperties>
</file>