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1C897" w14:textId="1875DE73" w:rsidR="00C92AD6" w:rsidRPr="00ED5BFE" w:rsidRDefault="00ED5BFE" w:rsidP="00ED5BFE">
      <w:pPr>
        <w:jc w:val="both"/>
      </w:pPr>
      <w:r w:rsidRPr="00ED5BFE">
        <w:t xml:space="preserve">El sujeto Obligado si </w:t>
      </w:r>
      <w:r w:rsidRPr="00ED5BFE">
        <w:t>está</w:t>
      </w:r>
      <w:r w:rsidRPr="00ED5BFE">
        <w:t xml:space="preserve"> facultado para generar la </w:t>
      </w:r>
      <w:r w:rsidRPr="00ED5BFE">
        <w:t>información</w:t>
      </w:r>
      <w:r w:rsidRPr="00ED5BFE">
        <w:t xml:space="preserve"> con fundamento en el artículo 84 </w:t>
      </w:r>
      <w:r w:rsidRPr="00ED5BFE">
        <w:t>fracción</w:t>
      </w:r>
      <w:r w:rsidRPr="00ED5BFE">
        <w:t xml:space="preserve"> XLVII de la Ley de Transparencia y Acceso a la Información Pública del Estado de San Luis Potosí, sin </w:t>
      </w:r>
      <w:r w:rsidRPr="00ED5BFE">
        <w:t>embargo,</w:t>
      </w:r>
      <w:r w:rsidRPr="00ED5BFE">
        <w:t xml:space="preserve"> en el mes a reportar no se realizaron estudios financiados con recursos públicos, ya que debido al bajo recurso etiquetado en el presupuesto de egresos para el ejercicio 2026, no se encuentran contemplado este gasto por la insuficiencia de recursos. Por lo que se llena el formato para cumplimiento en apego a los criterios y lineamientos para el llenado del mismo.</w:t>
      </w:r>
    </w:p>
    <w:sectPr w:rsidR="00C92AD6" w:rsidRPr="00ED5BF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B2F"/>
    <w:rsid w:val="009B7B2F"/>
    <w:rsid w:val="009E7E97"/>
    <w:rsid w:val="00C92AD6"/>
    <w:rsid w:val="00ED5BF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27388"/>
  <w15:chartTrackingRefBased/>
  <w15:docId w15:val="{4D0BFD48-A43B-438C-A7BB-2F54DB5BB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89</Words>
  <Characters>495</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dc:description/>
  <cp:lastModifiedBy>Demian Garcia</cp:lastModifiedBy>
  <cp:revision>2</cp:revision>
  <dcterms:created xsi:type="dcterms:W3CDTF">2026-06-10T21:23:00Z</dcterms:created>
  <dcterms:modified xsi:type="dcterms:W3CDTF">2026-08-29T14:06:00Z</dcterms:modified>
</cp:coreProperties>
</file>