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6E2B4E" w:rsidRDefault="00C246B2" w:rsidP="00C57509">
      <w:pPr>
        <w:jc w:val="both"/>
        <w:rPr>
          <w:rFonts w:ascii="Arial" w:hAnsi="Arial" w:cs="Arial"/>
          <w:sz w:val="22"/>
          <w:szCs w:val="22"/>
        </w:rPr>
      </w:pPr>
      <w:bookmarkStart w:id="0" w:name="_GoBack"/>
      <w:bookmarkEnd w:id="0"/>
      <w:r w:rsidRPr="006E2B4E">
        <w:rPr>
          <w:rFonts w:ascii="Arial" w:hAnsi="Arial" w:cs="Arial"/>
          <w:sz w:val="22"/>
          <w:szCs w:val="22"/>
        </w:rPr>
        <w:t>En la ciudad de San Luis Potosí, San Luis Potosí</w:t>
      </w:r>
      <w:r w:rsidR="007F24DE" w:rsidRPr="006E2B4E">
        <w:rPr>
          <w:rFonts w:ascii="Arial" w:hAnsi="Arial" w:cs="Arial"/>
          <w:sz w:val="22"/>
          <w:szCs w:val="22"/>
        </w:rPr>
        <w:t xml:space="preserve"> a los </w:t>
      </w:r>
      <w:r w:rsidR="00315526">
        <w:rPr>
          <w:rFonts w:ascii="Arial" w:hAnsi="Arial" w:cs="Arial"/>
          <w:b/>
          <w:sz w:val="22"/>
          <w:szCs w:val="22"/>
        </w:rPr>
        <w:t xml:space="preserve">tres </w:t>
      </w:r>
      <w:r w:rsidR="007F24DE" w:rsidRPr="006E2B4E">
        <w:rPr>
          <w:rFonts w:ascii="Arial" w:hAnsi="Arial" w:cs="Arial"/>
          <w:sz w:val="22"/>
          <w:szCs w:val="22"/>
        </w:rPr>
        <w:t xml:space="preserve">días del mes de </w:t>
      </w:r>
      <w:r w:rsidR="0031340E">
        <w:rPr>
          <w:rFonts w:ascii="Arial" w:hAnsi="Arial" w:cs="Arial"/>
          <w:b/>
          <w:sz w:val="22"/>
          <w:szCs w:val="22"/>
        </w:rPr>
        <w:t>ju</w:t>
      </w:r>
      <w:r w:rsidR="00315526">
        <w:rPr>
          <w:rFonts w:ascii="Arial" w:hAnsi="Arial" w:cs="Arial"/>
          <w:b/>
          <w:sz w:val="22"/>
          <w:szCs w:val="22"/>
        </w:rPr>
        <w:t>l</w:t>
      </w:r>
      <w:r w:rsidR="0031340E">
        <w:rPr>
          <w:rFonts w:ascii="Arial" w:hAnsi="Arial" w:cs="Arial"/>
          <w:b/>
          <w:sz w:val="22"/>
          <w:szCs w:val="22"/>
        </w:rPr>
        <w:t>io</w:t>
      </w:r>
      <w:r w:rsidR="0020546E">
        <w:rPr>
          <w:rFonts w:ascii="Arial" w:hAnsi="Arial" w:cs="Arial"/>
          <w:b/>
          <w:sz w:val="22"/>
          <w:szCs w:val="22"/>
        </w:rPr>
        <w:t xml:space="preserve"> </w:t>
      </w:r>
      <w:r w:rsidR="007F24DE" w:rsidRPr="006E2B4E">
        <w:rPr>
          <w:rFonts w:ascii="Arial" w:hAnsi="Arial" w:cs="Arial"/>
          <w:sz w:val="22"/>
          <w:szCs w:val="22"/>
        </w:rPr>
        <w:t>202</w:t>
      </w:r>
      <w:r w:rsidR="00973F68" w:rsidRPr="006E2B4E">
        <w:rPr>
          <w:rFonts w:ascii="Arial" w:hAnsi="Arial" w:cs="Arial"/>
          <w:sz w:val="22"/>
          <w:szCs w:val="22"/>
        </w:rPr>
        <w:t>6</w:t>
      </w:r>
      <w:r w:rsidRPr="006E2B4E">
        <w:rPr>
          <w:rFonts w:ascii="Arial" w:hAnsi="Arial" w:cs="Arial"/>
          <w:sz w:val="22"/>
          <w:szCs w:val="22"/>
        </w:rPr>
        <w:t>, en</w:t>
      </w:r>
      <w:r w:rsidR="009819AE" w:rsidRPr="006E2B4E">
        <w:rPr>
          <w:rFonts w:ascii="Arial" w:hAnsi="Arial" w:cs="Arial"/>
          <w:sz w:val="22"/>
          <w:szCs w:val="22"/>
        </w:rPr>
        <w:t xml:space="preserve"> cumplimiento al acuerdo emitido por el Comité de Transparencia de la Fiscalía General, en </w:t>
      </w:r>
      <w:r w:rsidRPr="006E2B4E">
        <w:rPr>
          <w:rFonts w:ascii="Arial" w:hAnsi="Arial" w:cs="Arial"/>
          <w:sz w:val="22"/>
          <w:szCs w:val="22"/>
        </w:rPr>
        <w:t xml:space="preserve">su </w:t>
      </w:r>
      <w:r w:rsidR="00315526">
        <w:rPr>
          <w:rFonts w:ascii="Arial" w:hAnsi="Arial" w:cs="Arial"/>
          <w:b/>
          <w:sz w:val="22"/>
          <w:szCs w:val="22"/>
        </w:rPr>
        <w:t>séptima</w:t>
      </w:r>
      <w:r w:rsidR="0020546E">
        <w:rPr>
          <w:rFonts w:ascii="Arial" w:hAnsi="Arial" w:cs="Arial"/>
          <w:b/>
          <w:sz w:val="22"/>
          <w:szCs w:val="22"/>
        </w:rPr>
        <w:t xml:space="preserve"> </w:t>
      </w:r>
      <w:r w:rsidRPr="006E2B4E">
        <w:rPr>
          <w:rFonts w:ascii="Arial" w:hAnsi="Arial" w:cs="Arial"/>
          <w:bCs/>
          <w:sz w:val="22"/>
          <w:szCs w:val="22"/>
        </w:rPr>
        <w:t>s</w:t>
      </w:r>
      <w:r w:rsidR="009819AE" w:rsidRPr="006E2B4E">
        <w:rPr>
          <w:rFonts w:ascii="Arial" w:hAnsi="Arial" w:cs="Arial"/>
          <w:sz w:val="22"/>
          <w:szCs w:val="22"/>
        </w:rPr>
        <w:t xml:space="preserve">esión </w:t>
      </w:r>
      <w:r w:rsidR="00745B52" w:rsidRPr="006E2B4E">
        <w:rPr>
          <w:rFonts w:ascii="Arial" w:hAnsi="Arial" w:cs="Arial"/>
          <w:b/>
          <w:bCs/>
          <w:sz w:val="22"/>
          <w:szCs w:val="22"/>
        </w:rPr>
        <w:t>ordinaria</w:t>
      </w:r>
      <w:r w:rsidR="009819AE" w:rsidRPr="006E2B4E">
        <w:rPr>
          <w:rFonts w:ascii="Arial" w:hAnsi="Arial" w:cs="Arial"/>
          <w:b/>
          <w:bCs/>
          <w:sz w:val="22"/>
          <w:szCs w:val="22"/>
        </w:rPr>
        <w:t xml:space="preserve"> </w:t>
      </w:r>
      <w:r w:rsidR="009819AE" w:rsidRPr="006E2B4E">
        <w:rPr>
          <w:rFonts w:ascii="Arial" w:hAnsi="Arial" w:cs="Arial"/>
          <w:b/>
          <w:sz w:val="22"/>
          <w:szCs w:val="22"/>
        </w:rPr>
        <w:t>202</w:t>
      </w:r>
      <w:r w:rsidR="00973F68" w:rsidRPr="006E2B4E">
        <w:rPr>
          <w:rFonts w:ascii="Arial" w:hAnsi="Arial" w:cs="Arial"/>
          <w:b/>
          <w:sz w:val="22"/>
          <w:szCs w:val="22"/>
        </w:rPr>
        <w:t>6</w:t>
      </w:r>
      <w:r w:rsidR="009819AE" w:rsidRPr="006E2B4E">
        <w:rPr>
          <w:rFonts w:ascii="Arial" w:hAnsi="Arial" w:cs="Arial"/>
          <w:sz w:val="22"/>
          <w:szCs w:val="22"/>
        </w:rPr>
        <w:t xml:space="preserve">, </w:t>
      </w:r>
      <w:r w:rsidRPr="006E2B4E">
        <w:rPr>
          <w:rFonts w:ascii="Arial" w:hAnsi="Arial" w:cs="Arial"/>
          <w:sz w:val="22"/>
          <w:szCs w:val="22"/>
        </w:rPr>
        <w:t xml:space="preserve">y </w:t>
      </w:r>
      <w:r w:rsidR="009819AE" w:rsidRPr="006E2B4E">
        <w:rPr>
          <w:rFonts w:ascii="Arial" w:hAnsi="Arial" w:cs="Arial"/>
          <w:sz w:val="22"/>
          <w:szCs w:val="22"/>
        </w:rPr>
        <w:t xml:space="preserve">en términos de lo dispuesto por los artículos 51, 52 fracción II, 127 de la </w:t>
      </w:r>
      <w:r w:rsidR="001771BC" w:rsidRPr="006E2B4E">
        <w:rPr>
          <w:rFonts w:ascii="Arial" w:hAnsi="Arial" w:cs="Arial"/>
          <w:sz w:val="22"/>
          <w:szCs w:val="22"/>
        </w:rPr>
        <w:t>l</w:t>
      </w:r>
      <w:r w:rsidR="009819AE" w:rsidRPr="006E2B4E">
        <w:rPr>
          <w:rFonts w:ascii="Arial" w:hAnsi="Arial" w:cs="Arial"/>
          <w:sz w:val="22"/>
          <w:szCs w:val="22"/>
        </w:rPr>
        <w:t xml:space="preserve">ey de Transparencia y Acceso a la Información Pública del </w:t>
      </w:r>
      <w:r w:rsidR="001771BC" w:rsidRPr="006E2B4E">
        <w:rPr>
          <w:rFonts w:ascii="Arial" w:hAnsi="Arial" w:cs="Arial"/>
          <w:sz w:val="22"/>
          <w:szCs w:val="22"/>
        </w:rPr>
        <w:t>e</w:t>
      </w:r>
      <w:r w:rsidR="009819AE" w:rsidRPr="006E2B4E">
        <w:rPr>
          <w:rFonts w:ascii="Arial" w:hAnsi="Arial" w:cs="Arial"/>
          <w:sz w:val="22"/>
          <w:szCs w:val="22"/>
        </w:rPr>
        <w:t xml:space="preserve">stado de San Luis Potosí </w:t>
      </w:r>
      <w:r w:rsidR="001771BC" w:rsidRPr="006E2B4E">
        <w:rPr>
          <w:rFonts w:ascii="Arial" w:hAnsi="Arial" w:cs="Arial"/>
          <w:sz w:val="22"/>
          <w:szCs w:val="22"/>
        </w:rPr>
        <w:t>-</w:t>
      </w:r>
      <w:r w:rsidR="009819AE" w:rsidRPr="006E2B4E">
        <w:rPr>
          <w:rFonts w:ascii="Arial" w:hAnsi="Arial" w:cs="Arial"/>
          <w:sz w:val="22"/>
          <w:szCs w:val="22"/>
        </w:rPr>
        <w:t>LTAIPSLP</w:t>
      </w:r>
      <w:r w:rsidR="001771BC" w:rsidRPr="006E2B4E">
        <w:rPr>
          <w:rFonts w:ascii="Arial" w:hAnsi="Arial" w:cs="Arial"/>
          <w:sz w:val="22"/>
          <w:szCs w:val="22"/>
        </w:rPr>
        <w:t>-</w:t>
      </w:r>
      <w:r w:rsidR="009819AE" w:rsidRPr="006E2B4E">
        <w:rPr>
          <w:rFonts w:ascii="Arial" w:hAnsi="Arial" w:cs="Arial"/>
          <w:sz w:val="22"/>
          <w:szCs w:val="22"/>
        </w:rPr>
        <w:t xml:space="preserve">, lineamiento </w:t>
      </w:r>
      <w:r w:rsidR="005B0E50" w:rsidRPr="006E2B4E">
        <w:rPr>
          <w:rFonts w:ascii="Arial" w:hAnsi="Arial" w:cs="Arial"/>
          <w:sz w:val="22"/>
          <w:szCs w:val="22"/>
        </w:rPr>
        <w:t>q</w:t>
      </w:r>
      <w:r w:rsidR="009819AE" w:rsidRPr="006E2B4E">
        <w:rPr>
          <w:rFonts w:ascii="Arial" w:hAnsi="Arial" w:cs="Arial"/>
          <w:sz w:val="22"/>
          <w:szCs w:val="22"/>
        </w:rPr>
        <w:t xml:space="preserve">uincuagésimo </w:t>
      </w:r>
      <w:r w:rsidR="001771BC" w:rsidRPr="006E2B4E">
        <w:rPr>
          <w:rFonts w:ascii="Arial" w:hAnsi="Arial" w:cs="Arial"/>
          <w:sz w:val="22"/>
          <w:szCs w:val="22"/>
        </w:rPr>
        <w:t>p</w:t>
      </w:r>
      <w:r w:rsidR="009819AE" w:rsidRPr="006E2B4E">
        <w:rPr>
          <w:rFonts w:ascii="Arial" w:hAnsi="Arial" w:cs="Arial"/>
          <w:sz w:val="22"/>
          <w:szCs w:val="22"/>
        </w:rPr>
        <w:t xml:space="preserve">rimero de los Lineamientos Generales para la Clasificación y Desclasificación de la Información, así como para la </w:t>
      </w:r>
      <w:r w:rsidR="001771BC" w:rsidRPr="006E2B4E">
        <w:rPr>
          <w:rFonts w:ascii="Arial" w:hAnsi="Arial" w:cs="Arial"/>
          <w:sz w:val="22"/>
          <w:szCs w:val="22"/>
        </w:rPr>
        <w:t>e</w:t>
      </w:r>
      <w:r w:rsidR="009819AE" w:rsidRPr="006E2B4E">
        <w:rPr>
          <w:rFonts w:ascii="Arial" w:hAnsi="Arial" w:cs="Arial"/>
          <w:sz w:val="22"/>
          <w:szCs w:val="22"/>
        </w:rPr>
        <w:t>laboración de Versiones Públicas</w:t>
      </w:r>
      <w:r w:rsidR="00DB0920" w:rsidRPr="006E2B4E">
        <w:rPr>
          <w:rFonts w:ascii="Arial" w:hAnsi="Arial" w:cs="Arial"/>
          <w:sz w:val="22"/>
          <w:szCs w:val="22"/>
        </w:rPr>
        <w:t xml:space="preserve"> </w:t>
      </w:r>
      <w:r w:rsidR="001771BC" w:rsidRPr="006E2B4E">
        <w:rPr>
          <w:rFonts w:ascii="Arial" w:hAnsi="Arial" w:cs="Arial"/>
          <w:sz w:val="22"/>
          <w:szCs w:val="22"/>
        </w:rPr>
        <w:t>-</w:t>
      </w:r>
      <w:r w:rsidR="009819AE" w:rsidRPr="006E2B4E">
        <w:rPr>
          <w:rFonts w:ascii="Arial" w:hAnsi="Arial" w:cs="Arial"/>
          <w:sz w:val="22"/>
          <w:szCs w:val="22"/>
        </w:rPr>
        <w:t>LG</w:t>
      </w:r>
      <w:r w:rsidR="000E5D42" w:rsidRPr="006E2B4E">
        <w:rPr>
          <w:rFonts w:ascii="Arial" w:hAnsi="Arial" w:cs="Arial"/>
          <w:sz w:val="22"/>
          <w:szCs w:val="22"/>
        </w:rPr>
        <w:t>M</w:t>
      </w:r>
      <w:r w:rsidR="009819AE" w:rsidRPr="006E2B4E">
        <w:rPr>
          <w:rFonts w:ascii="Arial" w:hAnsi="Arial" w:cs="Arial"/>
          <w:sz w:val="22"/>
          <w:szCs w:val="22"/>
        </w:rPr>
        <w:t>CDIEVP</w:t>
      </w:r>
      <w:r w:rsidR="001771BC" w:rsidRPr="006E2B4E">
        <w:rPr>
          <w:rFonts w:ascii="Arial" w:hAnsi="Arial" w:cs="Arial"/>
          <w:sz w:val="22"/>
          <w:szCs w:val="22"/>
        </w:rPr>
        <w:t>-</w:t>
      </w:r>
      <w:r w:rsidR="009819AE" w:rsidRPr="006E2B4E">
        <w:rPr>
          <w:rFonts w:ascii="Arial" w:hAnsi="Arial" w:cs="Arial"/>
          <w:sz w:val="22"/>
          <w:szCs w:val="22"/>
        </w:rPr>
        <w:t xml:space="preserve">, se procede a emitir la siguiente </w:t>
      </w:r>
      <w:r w:rsidR="001771BC" w:rsidRPr="006E2B4E">
        <w:rPr>
          <w:rFonts w:ascii="Arial" w:hAnsi="Arial" w:cs="Arial"/>
          <w:sz w:val="22"/>
          <w:szCs w:val="22"/>
        </w:rPr>
        <w:t>r</w:t>
      </w:r>
      <w:r w:rsidR="009819AE" w:rsidRPr="006E2B4E">
        <w:rPr>
          <w:rFonts w:ascii="Arial" w:hAnsi="Arial" w:cs="Arial"/>
          <w:sz w:val="22"/>
          <w:szCs w:val="22"/>
        </w:rPr>
        <w:t xml:space="preserve">esolución. </w:t>
      </w:r>
    </w:p>
    <w:p w:rsidR="00743D1E" w:rsidRPr="006E2B4E" w:rsidRDefault="00743D1E" w:rsidP="00C57509">
      <w:pPr>
        <w:jc w:val="both"/>
        <w:rPr>
          <w:rFonts w:ascii="Arial" w:hAnsi="Arial" w:cs="Arial"/>
          <w:sz w:val="22"/>
          <w:szCs w:val="22"/>
        </w:rPr>
      </w:pPr>
    </w:p>
    <w:p w:rsidR="00BF3665" w:rsidRPr="006E2B4E" w:rsidRDefault="009819AE" w:rsidP="00C57509">
      <w:pPr>
        <w:jc w:val="center"/>
        <w:rPr>
          <w:rFonts w:ascii="Arial" w:hAnsi="Arial" w:cs="Arial"/>
          <w:b/>
          <w:sz w:val="22"/>
          <w:szCs w:val="22"/>
        </w:rPr>
      </w:pPr>
      <w:r w:rsidRPr="006E2B4E">
        <w:rPr>
          <w:rFonts w:ascii="Arial" w:hAnsi="Arial" w:cs="Arial"/>
          <w:b/>
          <w:sz w:val="22"/>
          <w:szCs w:val="22"/>
        </w:rPr>
        <w:t>RESULTANDO</w:t>
      </w:r>
    </w:p>
    <w:p w:rsidR="00743D1E" w:rsidRPr="006E2B4E" w:rsidRDefault="00743D1E" w:rsidP="00C57509">
      <w:pPr>
        <w:jc w:val="center"/>
        <w:rPr>
          <w:rFonts w:ascii="Arial" w:hAnsi="Arial" w:cs="Arial"/>
          <w:b/>
          <w:sz w:val="22"/>
          <w:szCs w:val="22"/>
        </w:rPr>
      </w:pPr>
    </w:p>
    <w:p w:rsidR="005D6470" w:rsidRPr="006E2B4E" w:rsidRDefault="009819AE" w:rsidP="005A5C66">
      <w:pPr>
        <w:pStyle w:val="Prrafodelista"/>
        <w:numPr>
          <w:ilvl w:val="0"/>
          <w:numId w:val="15"/>
        </w:numPr>
        <w:ind w:left="284" w:hanging="77"/>
        <w:jc w:val="both"/>
        <w:rPr>
          <w:rFonts w:ascii="Arial" w:hAnsi="Arial" w:cs="Arial"/>
          <w:sz w:val="22"/>
          <w:szCs w:val="22"/>
        </w:rPr>
      </w:pPr>
      <w:r w:rsidRPr="006E2B4E">
        <w:rPr>
          <w:rFonts w:ascii="Arial" w:hAnsi="Arial" w:cs="Arial"/>
          <w:sz w:val="22"/>
          <w:szCs w:val="22"/>
        </w:rPr>
        <w:t>El</w:t>
      </w:r>
      <w:r w:rsidR="008D7FD6" w:rsidRPr="006E2B4E">
        <w:rPr>
          <w:rFonts w:ascii="Arial" w:hAnsi="Arial" w:cs="Arial"/>
          <w:sz w:val="22"/>
          <w:szCs w:val="22"/>
        </w:rPr>
        <w:t xml:space="preserve"> contador público Cesar Isidro Cruz, director </w:t>
      </w:r>
      <w:r w:rsidR="00F824BC" w:rsidRPr="006E2B4E">
        <w:rPr>
          <w:rFonts w:ascii="Arial" w:hAnsi="Arial" w:cs="Arial"/>
          <w:sz w:val="22"/>
          <w:szCs w:val="22"/>
        </w:rPr>
        <w:t>G</w:t>
      </w:r>
      <w:r w:rsidR="008D7FD6" w:rsidRPr="006E2B4E">
        <w:rPr>
          <w:rFonts w:ascii="Arial" w:hAnsi="Arial" w:cs="Arial"/>
          <w:sz w:val="22"/>
          <w:szCs w:val="22"/>
        </w:rPr>
        <w:t xml:space="preserve">eneral de </w:t>
      </w:r>
      <w:r w:rsidR="00F824BC" w:rsidRPr="006E2B4E">
        <w:rPr>
          <w:rFonts w:ascii="Arial" w:hAnsi="Arial" w:cs="Arial"/>
          <w:sz w:val="22"/>
          <w:szCs w:val="22"/>
        </w:rPr>
        <w:t>A</w:t>
      </w:r>
      <w:r w:rsidR="008D7FD6" w:rsidRPr="006E2B4E">
        <w:rPr>
          <w:rFonts w:ascii="Arial" w:hAnsi="Arial" w:cs="Arial"/>
          <w:sz w:val="22"/>
          <w:szCs w:val="22"/>
        </w:rPr>
        <w:t>dministración</w:t>
      </w:r>
      <w:r w:rsidR="00376B01" w:rsidRPr="006E2B4E">
        <w:rPr>
          <w:rFonts w:ascii="Arial" w:hAnsi="Arial" w:cs="Arial"/>
          <w:sz w:val="22"/>
          <w:szCs w:val="22"/>
        </w:rPr>
        <w:t>,</w:t>
      </w:r>
      <w:r w:rsidRPr="006E2B4E">
        <w:rPr>
          <w:rFonts w:ascii="Arial" w:hAnsi="Arial" w:cs="Arial"/>
          <w:sz w:val="22"/>
          <w:szCs w:val="22"/>
        </w:rPr>
        <w:t xml:space="preserve"> mediante oficio </w:t>
      </w:r>
      <w:r w:rsidR="00032961" w:rsidRPr="006E2B4E">
        <w:rPr>
          <w:rFonts w:ascii="Arial" w:hAnsi="Arial" w:cs="Arial"/>
          <w:b/>
          <w:sz w:val="22"/>
          <w:szCs w:val="22"/>
        </w:rPr>
        <w:t>DGA/</w:t>
      </w:r>
      <w:r w:rsidR="00E91B4D" w:rsidRPr="006E2B4E">
        <w:rPr>
          <w:rFonts w:ascii="Arial" w:hAnsi="Arial" w:cs="Arial"/>
          <w:b/>
          <w:sz w:val="22"/>
          <w:szCs w:val="22"/>
        </w:rPr>
        <w:t>DRH/</w:t>
      </w:r>
      <w:r w:rsidR="00315526">
        <w:rPr>
          <w:rFonts w:ascii="Arial" w:hAnsi="Arial" w:cs="Arial"/>
          <w:b/>
          <w:sz w:val="22"/>
          <w:szCs w:val="22"/>
        </w:rPr>
        <w:t>2348</w:t>
      </w:r>
      <w:r w:rsidR="00032961" w:rsidRPr="006E2B4E">
        <w:rPr>
          <w:rFonts w:ascii="Arial" w:hAnsi="Arial" w:cs="Arial"/>
          <w:b/>
          <w:sz w:val="22"/>
          <w:szCs w:val="22"/>
        </w:rPr>
        <w:t>/202</w:t>
      </w:r>
      <w:r w:rsidR="00973F68" w:rsidRPr="006E2B4E">
        <w:rPr>
          <w:rFonts w:ascii="Arial" w:hAnsi="Arial" w:cs="Arial"/>
          <w:b/>
          <w:sz w:val="22"/>
          <w:szCs w:val="22"/>
        </w:rPr>
        <w:t>6</w:t>
      </w:r>
      <w:r w:rsidRPr="006E2B4E">
        <w:rPr>
          <w:rFonts w:ascii="Arial" w:hAnsi="Arial" w:cs="Arial"/>
          <w:sz w:val="22"/>
          <w:szCs w:val="22"/>
        </w:rPr>
        <w:t xml:space="preserve"> manifiesta </w:t>
      </w:r>
      <w:r w:rsidR="00E22117" w:rsidRPr="006E2B4E">
        <w:rPr>
          <w:rFonts w:ascii="Arial" w:hAnsi="Arial" w:cs="Arial"/>
          <w:sz w:val="22"/>
          <w:szCs w:val="22"/>
        </w:rPr>
        <w:t>adjuntar el acuerdo de reserva</w:t>
      </w:r>
      <w:r w:rsidR="00E91B4D" w:rsidRPr="006E2B4E">
        <w:rPr>
          <w:rFonts w:ascii="Arial" w:hAnsi="Arial" w:cs="Arial"/>
          <w:sz w:val="22"/>
          <w:szCs w:val="22"/>
        </w:rPr>
        <w:t xml:space="preserve"> </w:t>
      </w:r>
      <w:r w:rsidR="0017048A" w:rsidRPr="006E2B4E">
        <w:rPr>
          <w:rFonts w:ascii="Arial" w:hAnsi="Arial" w:cs="Arial"/>
          <w:b/>
          <w:sz w:val="22"/>
          <w:szCs w:val="22"/>
        </w:rPr>
        <w:t>parcial</w:t>
      </w:r>
      <w:r w:rsidR="00E91B4D" w:rsidRPr="006E2B4E">
        <w:rPr>
          <w:rFonts w:ascii="Arial" w:hAnsi="Arial" w:cs="Arial"/>
          <w:sz w:val="22"/>
          <w:szCs w:val="22"/>
        </w:rPr>
        <w:t xml:space="preserve"> </w:t>
      </w:r>
      <w:r w:rsidR="00E91B4D" w:rsidRPr="006E2B4E">
        <w:rPr>
          <w:rFonts w:ascii="Arial" w:hAnsi="Arial" w:cs="Arial"/>
          <w:b/>
          <w:sz w:val="22"/>
          <w:szCs w:val="22"/>
        </w:rPr>
        <w:t>AR/</w:t>
      </w:r>
      <w:r w:rsidR="009E6D0D">
        <w:rPr>
          <w:rFonts w:ascii="Arial" w:hAnsi="Arial" w:cs="Arial"/>
          <w:b/>
          <w:sz w:val="22"/>
          <w:szCs w:val="22"/>
        </w:rPr>
        <w:t>03</w:t>
      </w:r>
      <w:r w:rsidR="00315526">
        <w:rPr>
          <w:rFonts w:ascii="Arial" w:hAnsi="Arial" w:cs="Arial"/>
          <w:b/>
          <w:sz w:val="22"/>
          <w:szCs w:val="22"/>
        </w:rPr>
        <w:t>8</w:t>
      </w:r>
      <w:r w:rsidR="00E91B4D" w:rsidRPr="006E2B4E">
        <w:rPr>
          <w:rFonts w:ascii="Arial" w:hAnsi="Arial" w:cs="Arial"/>
          <w:b/>
          <w:sz w:val="22"/>
          <w:szCs w:val="22"/>
        </w:rPr>
        <w:t>/202</w:t>
      </w:r>
      <w:r w:rsidR="00973F68" w:rsidRPr="006E2B4E">
        <w:rPr>
          <w:rFonts w:ascii="Arial" w:hAnsi="Arial" w:cs="Arial"/>
          <w:b/>
          <w:sz w:val="22"/>
          <w:szCs w:val="22"/>
        </w:rPr>
        <w:t>6</w:t>
      </w:r>
      <w:r w:rsidR="00E91B4D" w:rsidRPr="006E2B4E">
        <w:rPr>
          <w:rFonts w:ascii="Arial" w:hAnsi="Arial" w:cs="Arial"/>
          <w:sz w:val="22"/>
          <w:szCs w:val="22"/>
        </w:rPr>
        <w:t xml:space="preserve"> </w:t>
      </w:r>
      <w:r w:rsidR="00E22117" w:rsidRPr="006E2B4E">
        <w:rPr>
          <w:rFonts w:ascii="Arial" w:hAnsi="Arial" w:cs="Arial"/>
          <w:sz w:val="22"/>
          <w:szCs w:val="22"/>
        </w:rPr>
        <w:t xml:space="preserve">que emite por </w:t>
      </w:r>
      <w:r w:rsidRPr="006E2B4E">
        <w:rPr>
          <w:rFonts w:ascii="Arial" w:hAnsi="Arial" w:cs="Arial"/>
          <w:sz w:val="22"/>
          <w:szCs w:val="22"/>
        </w:rPr>
        <w:t xml:space="preserve">encontrarse en el supuesto del artículo </w:t>
      </w:r>
      <w:r w:rsidR="00376B01" w:rsidRPr="006E2B4E">
        <w:rPr>
          <w:rFonts w:ascii="Arial" w:hAnsi="Arial" w:cs="Arial"/>
          <w:sz w:val="22"/>
          <w:szCs w:val="22"/>
        </w:rPr>
        <w:t>120</w:t>
      </w:r>
      <w:r w:rsidRPr="006E2B4E">
        <w:rPr>
          <w:rFonts w:ascii="Arial" w:hAnsi="Arial" w:cs="Arial"/>
          <w:sz w:val="22"/>
          <w:szCs w:val="22"/>
        </w:rPr>
        <w:t xml:space="preserve"> fracción</w:t>
      </w:r>
      <w:r w:rsidR="00376B01" w:rsidRPr="006E2B4E">
        <w:rPr>
          <w:rFonts w:ascii="Arial" w:hAnsi="Arial" w:cs="Arial"/>
          <w:sz w:val="22"/>
          <w:szCs w:val="22"/>
        </w:rPr>
        <w:t xml:space="preserve"> </w:t>
      </w:r>
      <w:r w:rsidR="0017048A" w:rsidRPr="006E2B4E">
        <w:rPr>
          <w:rFonts w:ascii="Arial" w:hAnsi="Arial" w:cs="Arial"/>
          <w:sz w:val="22"/>
          <w:szCs w:val="22"/>
        </w:rPr>
        <w:t>II</w:t>
      </w:r>
      <w:r w:rsidR="00376B01" w:rsidRPr="006E2B4E">
        <w:rPr>
          <w:rFonts w:ascii="Arial" w:hAnsi="Arial" w:cs="Arial"/>
          <w:sz w:val="22"/>
          <w:szCs w:val="22"/>
        </w:rPr>
        <w:t>I</w:t>
      </w:r>
      <w:r w:rsidRPr="006E2B4E">
        <w:rPr>
          <w:rFonts w:ascii="Arial" w:hAnsi="Arial" w:cs="Arial"/>
          <w:sz w:val="22"/>
          <w:szCs w:val="22"/>
        </w:rPr>
        <w:t xml:space="preserve"> de la LTAIPSLP, es decir, </w:t>
      </w:r>
      <w:r w:rsidR="0017048A" w:rsidRPr="006E2B4E">
        <w:rPr>
          <w:rFonts w:ascii="Arial" w:hAnsi="Arial" w:cs="Arial"/>
          <w:sz w:val="22"/>
          <w:szCs w:val="22"/>
        </w:rPr>
        <w:t>publicar la información relacionada con</w:t>
      </w:r>
      <w:r w:rsidR="005D6470" w:rsidRPr="006E2B4E">
        <w:rPr>
          <w:rFonts w:ascii="Arial" w:hAnsi="Arial" w:cs="Arial"/>
          <w:sz w:val="22"/>
          <w:szCs w:val="22"/>
        </w:rPr>
        <w:t>:</w:t>
      </w:r>
      <w:r w:rsidR="0090066D" w:rsidRPr="006E2B4E">
        <w:rPr>
          <w:rFonts w:ascii="Arial" w:hAnsi="Arial" w:cs="Arial"/>
          <w:sz w:val="22"/>
          <w:szCs w:val="22"/>
        </w:rPr>
        <w:t xml:space="preserve"> </w:t>
      </w:r>
      <w:r w:rsidR="0090066D" w:rsidRPr="006E2B4E">
        <w:rPr>
          <w:rFonts w:ascii="Arial" w:hAnsi="Arial" w:cs="Arial"/>
          <w:b/>
          <w:sz w:val="22"/>
          <w:szCs w:val="22"/>
        </w:rPr>
        <w:t>nombres, primer apellido, segundo apellido, sexo y área de adscripción</w:t>
      </w:r>
      <w:r w:rsidR="0090066D" w:rsidRPr="006E2B4E">
        <w:rPr>
          <w:rFonts w:ascii="Arial" w:hAnsi="Arial" w:cs="Arial"/>
          <w:sz w:val="22"/>
          <w:szCs w:val="22"/>
        </w:rPr>
        <w:t xml:space="preserve"> que se requieren para la publicación de información en la Plataforma Estatal de Transparencia en el formato LTAIPSLP84XI, relativo a las </w:t>
      </w:r>
      <w:r w:rsidR="0090066D" w:rsidRPr="006E2B4E">
        <w:rPr>
          <w:rFonts w:ascii="Arial" w:hAnsi="Arial" w:cs="Arial"/>
          <w:b/>
          <w:sz w:val="22"/>
          <w:szCs w:val="22"/>
        </w:rPr>
        <w:t>remuneraciones brutas y netas</w:t>
      </w:r>
      <w:r w:rsidR="0090066D" w:rsidRPr="006E2B4E">
        <w:rPr>
          <w:rFonts w:ascii="Arial" w:hAnsi="Arial" w:cs="Arial"/>
          <w:sz w:val="22"/>
          <w:szCs w:val="22"/>
        </w:rPr>
        <w:t xml:space="preserve">, del mes de </w:t>
      </w:r>
      <w:r w:rsidR="00315526">
        <w:rPr>
          <w:rFonts w:ascii="Arial" w:hAnsi="Arial" w:cs="Arial"/>
          <w:b/>
          <w:sz w:val="22"/>
          <w:szCs w:val="22"/>
        </w:rPr>
        <w:t xml:space="preserve">junio </w:t>
      </w:r>
      <w:r w:rsidR="0090066D" w:rsidRPr="006E2B4E">
        <w:rPr>
          <w:rFonts w:ascii="Arial" w:hAnsi="Arial" w:cs="Arial"/>
          <w:b/>
          <w:sz w:val="22"/>
          <w:szCs w:val="22"/>
        </w:rPr>
        <w:t>202</w:t>
      </w:r>
      <w:r w:rsidR="00491477" w:rsidRPr="006E2B4E">
        <w:rPr>
          <w:rFonts w:ascii="Arial" w:hAnsi="Arial" w:cs="Arial"/>
          <w:b/>
          <w:sz w:val="22"/>
          <w:szCs w:val="22"/>
        </w:rPr>
        <w:t>6</w:t>
      </w:r>
      <w:r w:rsidR="0090066D" w:rsidRPr="006E2B4E">
        <w:rPr>
          <w:rFonts w:ascii="Arial" w:hAnsi="Arial" w:cs="Arial"/>
          <w:sz w:val="22"/>
          <w:szCs w:val="22"/>
        </w:rPr>
        <w:t>, únicamente por lo que corresponde al personal que se describe en el Manual de Remuneraciones para los Servidores Públicos de la Fiscalía General del Estado de San Luis Potosí, que no realicen funciones directivas y que se encuentren adscrito a los Órganos Tácticos Operativos de la Fiscalía General del Estado como lo son Vicefiscalías, Fiscalías Especializadas y Dirección General de Métodos de Investigación, y de los Órganos Estratégicos: adscritos a la Dirección General de Política de Persecución Penal y Análisis Estratégico, Visitaduría General y la Dirección General de Análisis Criminal.</w:t>
      </w:r>
    </w:p>
    <w:p w:rsidR="00743D1E" w:rsidRPr="006E2B4E" w:rsidRDefault="00743D1E" w:rsidP="005A5C66">
      <w:pPr>
        <w:ind w:left="284" w:hanging="77"/>
        <w:jc w:val="both"/>
        <w:rPr>
          <w:rFonts w:ascii="Arial" w:hAnsi="Arial" w:cs="Arial"/>
          <w:sz w:val="22"/>
          <w:szCs w:val="22"/>
        </w:rPr>
      </w:pPr>
    </w:p>
    <w:p w:rsidR="00BF3665" w:rsidRPr="006E2B4E" w:rsidRDefault="007E2C1E" w:rsidP="005A5C66">
      <w:pPr>
        <w:pStyle w:val="Prrafodelista"/>
        <w:numPr>
          <w:ilvl w:val="0"/>
          <w:numId w:val="15"/>
        </w:numPr>
        <w:ind w:left="284" w:hanging="77"/>
        <w:jc w:val="both"/>
        <w:rPr>
          <w:rFonts w:ascii="Arial" w:hAnsi="Arial" w:cs="Arial"/>
          <w:sz w:val="22"/>
          <w:szCs w:val="22"/>
        </w:rPr>
      </w:pPr>
      <w:r w:rsidRPr="006E2B4E">
        <w:rPr>
          <w:rFonts w:ascii="Arial" w:hAnsi="Arial" w:cs="Arial"/>
          <w:sz w:val="22"/>
          <w:szCs w:val="22"/>
        </w:rPr>
        <w:t>El contador público Cesar Isidro Cruz, director General de Administración</w:t>
      </w:r>
      <w:r w:rsidR="008D7FD6" w:rsidRPr="006E2B4E">
        <w:rPr>
          <w:rFonts w:ascii="Arial" w:hAnsi="Arial" w:cs="Arial"/>
          <w:sz w:val="22"/>
          <w:szCs w:val="22"/>
        </w:rPr>
        <w:t>,</w:t>
      </w:r>
      <w:r w:rsidR="00590B9B" w:rsidRPr="006E2B4E">
        <w:rPr>
          <w:rFonts w:ascii="Arial" w:hAnsi="Arial" w:cs="Arial"/>
          <w:sz w:val="22"/>
          <w:szCs w:val="22"/>
        </w:rPr>
        <w:t xml:space="preserve"> </w:t>
      </w:r>
      <w:r w:rsidR="009819AE" w:rsidRPr="006E2B4E">
        <w:rPr>
          <w:rFonts w:ascii="Arial" w:hAnsi="Arial" w:cs="Arial"/>
          <w:sz w:val="22"/>
          <w:szCs w:val="22"/>
        </w:rPr>
        <w:t xml:space="preserve">al realizar el estudio de la información </w:t>
      </w:r>
      <w:r w:rsidR="0090066D" w:rsidRPr="006E2B4E">
        <w:rPr>
          <w:rFonts w:ascii="Arial" w:hAnsi="Arial" w:cs="Arial"/>
          <w:sz w:val="22"/>
          <w:szCs w:val="22"/>
        </w:rPr>
        <w:t xml:space="preserve">que debe de publicar, </w:t>
      </w:r>
      <w:r w:rsidR="009819AE" w:rsidRPr="006E2B4E">
        <w:rPr>
          <w:rFonts w:ascii="Arial" w:hAnsi="Arial" w:cs="Arial"/>
          <w:sz w:val="22"/>
          <w:szCs w:val="22"/>
        </w:rPr>
        <w:t>es susceptible de clasificar</w:t>
      </w:r>
      <w:r w:rsidR="008D7FD6" w:rsidRPr="006E2B4E">
        <w:rPr>
          <w:rFonts w:ascii="Arial" w:hAnsi="Arial" w:cs="Arial"/>
          <w:sz w:val="22"/>
          <w:szCs w:val="22"/>
        </w:rPr>
        <w:t>se</w:t>
      </w:r>
      <w:r w:rsidR="009819AE" w:rsidRPr="006E2B4E">
        <w:rPr>
          <w:rFonts w:ascii="Arial" w:hAnsi="Arial" w:cs="Arial"/>
          <w:sz w:val="22"/>
          <w:szCs w:val="22"/>
        </w:rPr>
        <w:t xml:space="preserve"> como reservada, de conformidad con el ar</w:t>
      </w:r>
      <w:r w:rsidR="007D4996" w:rsidRPr="006E2B4E">
        <w:rPr>
          <w:rFonts w:ascii="Arial" w:hAnsi="Arial" w:cs="Arial"/>
          <w:sz w:val="22"/>
          <w:szCs w:val="22"/>
        </w:rPr>
        <w:t xml:space="preserve">tículo 129 </w:t>
      </w:r>
      <w:r w:rsidR="005B0E50" w:rsidRPr="006E2B4E">
        <w:rPr>
          <w:rFonts w:ascii="Arial" w:hAnsi="Arial" w:cs="Arial"/>
          <w:sz w:val="22"/>
          <w:szCs w:val="22"/>
        </w:rPr>
        <w:t>fracci</w:t>
      </w:r>
      <w:r w:rsidR="00032961" w:rsidRPr="006E2B4E">
        <w:rPr>
          <w:rFonts w:ascii="Arial" w:hAnsi="Arial" w:cs="Arial"/>
          <w:sz w:val="22"/>
          <w:szCs w:val="22"/>
        </w:rPr>
        <w:t>ón</w:t>
      </w:r>
      <w:r w:rsidR="00894EB5" w:rsidRPr="006E2B4E">
        <w:rPr>
          <w:rFonts w:ascii="Arial" w:hAnsi="Arial" w:cs="Arial"/>
          <w:sz w:val="22"/>
          <w:szCs w:val="22"/>
        </w:rPr>
        <w:t xml:space="preserve"> XI </w:t>
      </w:r>
      <w:r w:rsidR="009819AE" w:rsidRPr="006E2B4E">
        <w:rPr>
          <w:rFonts w:ascii="Arial" w:hAnsi="Arial" w:cs="Arial"/>
          <w:sz w:val="22"/>
          <w:szCs w:val="22"/>
        </w:rPr>
        <w:t>de la LTAIPSLP.</w:t>
      </w:r>
    </w:p>
    <w:p w:rsidR="00B51013" w:rsidRPr="006E2B4E" w:rsidRDefault="00B51013" w:rsidP="005A5C66">
      <w:pPr>
        <w:ind w:left="284" w:hanging="77"/>
        <w:jc w:val="both"/>
        <w:rPr>
          <w:rFonts w:ascii="Arial" w:hAnsi="Arial" w:cs="Arial"/>
          <w:sz w:val="22"/>
          <w:szCs w:val="22"/>
        </w:rPr>
      </w:pPr>
    </w:p>
    <w:p w:rsidR="00BF3665" w:rsidRPr="006E2B4E" w:rsidRDefault="007E2C1E" w:rsidP="005A5C66">
      <w:pPr>
        <w:pStyle w:val="Prrafodelista"/>
        <w:numPr>
          <w:ilvl w:val="0"/>
          <w:numId w:val="15"/>
        </w:numPr>
        <w:ind w:left="284" w:hanging="77"/>
        <w:jc w:val="both"/>
        <w:rPr>
          <w:rFonts w:ascii="Arial" w:hAnsi="Arial" w:cs="Arial"/>
          <w:sz w:val="22"/>
          <w:szCs w:val="22"/>
        </w:rPr>
      </w:pPr>
      <w:r w:rsidRPr="006E2B4E">
        <w:rPr>
          <w:rFonts w:ascii="Arial" w:hAnsi="Arial" w:cs="Arial"/>
          <w:sz w:val="22"/>
          <w:szCs w:val="22"/>
        </w:rPr>
        <w:t>El contador público Cesar Isidro Cruz, director General de Administración</w:t>
      </w:r>
      <w:r w:rsidR="00376B01" w:rsidRPr="006E2B4E">
        <w:rPr>
          <w:rFonts w:ascii="Arial" w:hAnsi="Arial" w:cs="Arial"/>
          <w:sz w:val="22"/>
          <w:szCs w:val="22"/>
        </w:rPr>
        <w:t xml:space="preserve">, emite el acuerdo de reserva </w:t>
      </w:r>
      <w:r w:rsidR="005D6470" w:rsidRPr="006E2B4E">
        <w:rPr>
          <w:rFonts w:ascii="Arial" w:hAnsi="Arial" w:cs="Arial"/>
          <w:b/>
          <w:sz w:val="22"/>
          <w:szCs w:val="22"/>
        </w:rPr>
        <w:t xml:space="preserve">parcial </w:t>
      </w:r>
      <w:r w:rsidR="00376B01" w:rsidRPr="006E2B4E">
        <w:rPr>
          <w:rFonts w:ascii="Arial" w:hAnsi="Arial" w:cs="Arial"/>
          <w:sz w:val="22"/>
          <w:szCs w:val="22"/>
        </w:rPr>
        <w:t xml:space="preserve">número </w:t>
      </w:r>
      <w:r w:rsidR="008D7FD6" w:rsidRPr="006E2B4E">
        <w:rPr>
          <w:rFonts w:ascii="Arial" w:hAnsi="Arial" w:cs="Arial"/>
          <w:b/>
          <w:sz w:val="22"/>
          <w:szCs w:val="22"/>
        </w:rPr>
        <w:t>AR/</w:t>
      </w:r>
      <w:r w:rsidR="009E6D0D">
        <w:rPr>
          <w:rFonts w:ascii="Arial" w:hAnsi="Arial" w:cs="Arial"/>
          <w:b/>
          <w:sz w:val="22"/>
          <w:szCs w:val="22"/>
        </w:rPr>
        <w:t>03</w:t>
      </w:r>
      <w:r w:rsidR="00315526">
        <w:rPr>
          <w:rFonts w:ascii="Arial" w:hAnsi="Arial" w:cs="Arial"/>
          <w:b/>
          <w:sz w:val="22"/>
          <w:szCs w:val="22"/>
        </w:rPr>
        <w:t>8</w:t>
      </w:r>
      <w:r w:rsidR="00590B9B" w:rsidRPr="006E2B4E">
        <w:rPr>
          <w:rFonts w:ascii="Arial" w:hAnsi="Arial" w:cs="Arial"/>
          <w:b/>
          <w:sz w:val="22"/>
          <w:szCs w:val="22"/>
        </w:rPr>
        <w:t>/202</w:t>
      </w:r>
      <w:r w:rsidR="00973F68" w:rsidRPr="006E2B4E">
        <w:rPr>
          <w:rFonts w:ascii="Arial" w:hAnsi="Arial" w:cs="Arial"/>
          <w:b/>
          <w:sz w:val="22"/>
          <w:szCs w:val="22"/>
        </w:rPr>
        <w:t>6</w:t>
      </w:r>
      <w:r w:rsidR="00376B01" w:rsidRPr="006E2B4E">
        <w:rPr>
          <w:rFonts w:ascii="Arial" w:hAnsi="Arial" w:cs="Arial"/>
          <w:sz w:val="22"/>
          <w:szCs w:val="22"/>
        </w:rPr>
        <w:t>, para estar en posibilidades de dar atención a la solicitud que le fue turnada.</w:t>
      </w:r>
    </w:p>
    <w:p w:rsidR="00743D1E" w:rsidRPr="006E2B4E" w:rsidRDefault="00743D1E" w:rsidP="00C57509">
      <w:pPr>
        <w:jc w:val="center"/>
        <w:rPr>
          <w:rFonts w:ascii="Arial" w:hAnsi="Arial" w:cs="Arial"/>
          <w:b/>
          <w:sz w:val="22"/>
          <w:szCs w:val="22"/>
        </w:rPr>
      </w:pPr>
    </w:p>
    <w:p w:rsidR="00BF3665" w:rsidRPr="006E2B4E" w:rsidRDefault="009819AE" w:rsidP="00C57509">
      <w:pPr>
        <w:jc w:val="center"/>
        <w:rPr>
          <w:rFonts w:ascii="Arial" w:hAnsi="Arial" w:cs="Arial"/>
          <w:b/>
          <w:sz w:val="22"/>
          <w:szCs w:val="22"/>
        </w:rPr>
      </w:pPr>
      <w:r w:rsidRPr="006E2B4E">
        <w:rPr>
          <w:rFonts w:ascii="Arial" w:hAnsi="Arial" w:cs="Arial"/>
          <w:b/>
          <w:sz w:val="22"/>
          <w:szCs w:val="22"/>
        </w:rPr>
        <w:t>CONSIDERANDO</w:t>
      </w:r>
    </w:p>
    <w:p w:rsidR="00B11FCD" w:rsidRPr="006E2B4E" w:rsidRDefault="00B11FCD" w:rsidP="00C57509">
      <w:pPr>
        <w:jc w:val="center"/>
        <w:rPr>
          <w:rFonts w:ascii="Arial" w:hAnsi="Arial" w:cs="Arial"/>
          <w:b/>
          <w:sz w:val="22"/>
          <w:szCs w:val="22"/>
        </w:rPr>
      </w:pPr>
    </w:p>
    <w:p w:rsidR="00BF3665" w:rsidRPr="006E2B4E" w:rsidRDefault="009819AE" w:rsidP="00C57509">
      <w:pPr>
        <w:jc w:val="both"/>
        <w:rPr>
          <w:rFonts w:ascii="Arial" w:hAnsi="Arial" w:cs="Arial"/>
          <w:sz w:val="22"/>
          <w:szCs w:val="22"/>
        </w:rPr>
      </w:pPr>
      <w:r w:rsidRPr="006E2B4E">
        <w:rPr>
          <w:rFonts w:ascii="Arial" w:hAnsi="Arial" w:cs="Arial"/>
          <w:b/>
          <w:sz w:val="22"/>
          <w:szCs w:val="22"/>
        </w:rPr>
        <w:t>PRIMERO.</w:t>
      </w:r>
      <w:r w:rsidRPr="006E2B4E">
        <w:rPr>
          <w:rFonts w:ascii="Arial" w:hAnsi="Arial" w:cs="Arial"/>
          <w:sz w:val="22"/>
          <w:szCs w:val="22"/>
        </w:rPr>
        <w:t xml:space="preserve"> </w:t>
      </w:r>
      <w:r w:rsidRPr="006E2B4E">
        <w:rPr>
          <w:rFonts w:ascii="Arial" w:hAnsi="Arial" w:cs="Arial"/>
          <w:b/>
          <w:sz w:val="22"/>
          <w:szCs w:val="22"/>
        </w:rPr>
        <w:t>Competencia.</w:t>
      </w:r>
      <w:r w:rsidRPr="006E2B4E">
        <w:rPr>
          <w:rFonts w:ascii="Arial" w:hAnsi="Arial" w:cs="Arial"/>
          <w:sz w:val="22"/>
          <w:szCs w:val="22"/>
        </w:rPr>
        <w:t xml:space="preserve"> </w:t>
      </w:r>
    </w:p>
    <w:p w:rsidR="00B51013" w:rsidRPr="006E2B4E" w:rsidRDefault="00B51013" w:rsidP="00C57509">
      <w:pPr>
        <w:jc w:val="both"/>
        <w:rPr>
          <w:rFonts w:ascii="Arial" w:hAnsi="Arial" w:cs="Arial"/>
          <w:sz w:val="22"/>
          <w:szCs w:val="22"/>
        </w:rPr>
      </w:pPr>
    </w:p>
    <w:p w:rsidR="00BF3665" w:rsidRPr="006E2B4E" w:rsidRDefault="009819AE" w:rsidP="00C57509">
      <w:pPr>
        <w:jc w:val="both"/>
        <w:rPr>
          <w:rFonts w:ascii="Arial" w:hAnsi="Arial" w:cs="Arial"/>
          <w:sz w:val="22"/>
          <w:szCs w:val="22"/>
        </w:rPr>
      </w:pPr>
      <w:r w:rsidRPr="006E2B4E">
        <w:rPr>
          <w:rFonts w:ascii="Arial" w:hAnsi="Arial" w:cs="Arial"/>
          <w:sz w:val="22"/>
          <w:szCs w:val="22"/>
        </w:rPr>
        <w:t>E</w:t>
      </w:r>
      <w:r w:rsidR="00995ED3" w:rsidRPr="006E2B4E">
        <w:rPr>
          <w:rFonts w:ascii="Arial" w:hAnsi="Arial" w:cs="Arial"/>
          <w:sz w:val="22"/>
          <w:szCs w:val="22"/>
        </w:rPr>
        <w:t>l</w:t>
      </w:r>
      <w:r w:rsidRPr="006E2B4E">
        <w:rPr>
          <w:rFonts w:ascii="Arial" w:hAnsi="Arial" w:cs="Arial"/>
          <w:sz w:val="22"/>
          <w:szCs w:val="22"/>
        </w:rPr>
        <w:t xml:space="preserve"> Comité de Transparencia es competente para determinar sobre la confirmación, modificación o revocación del </w:t>
      </w:r>
      <w:r w:rsidR="00376B01" w:rsidRPr="006E2B4E">
        <w:rPr>
          <w:rFonts w:ascii="Arial" w:hAnsi="Arial" w:cs="Arial"/>
          <w:sz w:val="22"/>
          <w:szCs w:val="22"/>
        </w:rPr>
        <w:t>a</w:t>
      </w:r>
      <w:r w:rsidRPr="006E2B4E">
        <w:rPr>
          <w:rFonts w:ascii="Arial" w:hAnsi="Arial" w:cs="Arial"/>
          <w:sz w:val="22"/>
          <w:szCs w:val="22"/>
        </w:rPr>
        <w:t xml:space="preserve">cuerdo de </w:t>
      </w:r>
      <w:r w:rsidR="00376B01" w:rsidRPr="006E2B4E">
        <w:rPr>
          <w:rFonts w:ascii="Arial" w:hAnsi="Arial" w:cs="Arial"/>
          <w:sz w:val="22"/>
          <w:szCs w:val="22"/>
        </w:rPr>
        <w:t>r</w:t>
      </w:r>
      <w:r w:rsidRPr="006E2B4E">
        <w:rPr>
          <w:rFonts w:ascii="Arial" w:hAnsi="Arial" w:cs="Arial"/>
          <w:sz w:val="22"/>
          <w:szCs w:val="22"/>
        </w:rPr>
        <w:t>eserva</w:t>
      </w:r>
      <w:r w:rsidRPr="006E2B4E">
        <w:rPr>
          <w:rFonts w:ascii="Arial" w:hAnsi="Arial" w:cs="Arial"/>
          <w:b/>
          <w:sz w:val="22"/>
          <w:szCs w:val="22"/>
        </w:rPr>
        <w:t xml:space="preserve"> </w:t>
      </w:r>
      <w:r w:rsidR="005D6470" w:rsidRPr="006E2B4E">
        <w:rPr>
          <w:rFonts w:ascii="Arial" w:hAnsi="Arial" w:cs="Arial"/>
          <w:b/>
          <w:sz w:val="22"/>
          <w:szCs w:val="22"/>
        </w:rPr>
        <w:t>parcial</w:t>
      </w:r>
      <w:r w:rsidRPr="006E2B4E">
        <w:rPr>
          <w:rFonts w:ascii="Arial" w:hAnsi="Arial" w:cs="Arial"/>
          <w:sz w:val="22"/>
          <w:szCs w:val="22"/>
        </w:rPr>
        <w:t xml:space="preserve"> número </w:t>
      </w:r>
      <w:r w:rsidR="006F7D0F" w:rsidRPr="006E2B4E">
        <w:rPr>
          <w:rFonts w:ascii="Arial" w:hAnsi="Arial" w:cs="Arial"/>
          <w:b/>
          <w:sz w:val="22"/>
          <w:szCs w:val="22"/>
        </w:rPr>
        <w:t>AR/</w:t>
      </w:r>
      <w:r w:rsidR="009E6D0D">
        <w:rPr>
          <w:rFonts w:ascii="Arial" w:hAnsi="Arial" w:cs="Arial"/>
          <w:b/>
          <w:sz w:val="22"/>
          <w:szCs w:val="22"/>
        </w:rPr>
        <w:t>03</w:t>
      </w:r>
      <w:r w:rsidR="00315526">
        <w:rPr>
          <w:rFonts w:ascii="Arial" w:hAnsi="Arial" w:cs="Arial"/>
          <w:b/>
          <w:sz w:val="22"/>
          <w:szCs w:val="22"/>
        </w:rPr>
        <w:t>8</w:t>
      </w:r>
      <w:r w:rsidR="006F7D0F" w:rsidRPr="006E2B4E">
        <w:rPr>
          <w:rFonts w:ascii="Arial" w:hAnsi="Arial" w:cs="Arial"/>
          <w:b/>
          <w:sz w:val="22"/>
          <w:szCs w:val="22"/>
        </w:rPr>
        <w:t>/202</w:t>
      </w:r>
      <w:r w:rsidR="00973F68" w:rsidRPr="006E2B4E">
        <w:rPr>
          <w:rFonts w:ascii="Arial" w:hAnsi="Arial" w:cs="Arial"/>
          <w:b/>
          <w:sz w:val="22"/>
          <w:szCs w:val="22"/>
        </w:rPr>
        <w:t>6</w:t>
      </w:r>
      <w:r w:rsidRPr="006E2B4E">
        <w:rPr>
          <w:rFonts w:ascii="Arial" w:hAnsi="Arial" w:cs="Arial"/>
          <w:b/>
          <w:sz w:val="22"/>
          <w:szCs w:val="22"/>
        </w:rPr>
        <w:t>,</w:t>
      </w:r>
      <w:r w:rsidRPr="006E2B4E">
        <w:rPr>
          <w:rFonts w:ascii="Arial" w:hAnsi="Arial" w:cs="Arial"/>
          <w:sz w:val="22"/>
          <w:szCs w:val="22"/>
        </w:rPr>
        <w:t xml:space="preserve"> por lo que se </w:t>
      </w:r>
      <w:r w:rsidR="00376B01" w:rsidRPr="006E2B4E">
        <w:rPr>
          <w:rFonts w:ascii="Arial" w:hAnsi="Arial" w:cs="Arial"/>
          <w:sz w:val="22"/>
          <w:szCs w:val="22"/>
        </w:rPr>
        <w:t>sometió</w:t>
      </w:r>
      <w:r w:rsidRPr="006E2B4E">
        <w:rPr>
          <w:rFonts w:ascii="Arial" w:hAnsi="Arial" w:cs="Arial"/>
          <w:sz w:val="22"/>
          <w:szCs w:val="22"/>
        </w:rPr>
        <w:t xml:space="preserve"> a consideración</w:t>
      </w:r>
      <w:r w:rsidR="00376B01" w:rsidRPr="006E2B4E">
        <w:rPr>
          <w:rFonts w:ascii="Arial" w:hAnsi="Arial" w:cs="Arial"/>
          <w:sz w:val="22"/>
          <w:szCs w:val="22"/>
        </w:rPr>
        <w:t xml:space="preserve"> del </w:t>
      </w:r>
      <w:r w:rsidR="008D7FD6" w:rsidRPr="006E2B4E">
        <w:rPr>
          <w:rFonts w:ascii="Arial" w:hAnsi="Arial" w:cs="Arial"/>
          <w:sz w:val="22"/>
          <w:szCs w:val="22"/>
        </w:rPr>
        <w:t>c</w:t>
      </w:r>
      <w:r w:rsidR="00376B01" w:rsidRPr="006E2B4E">
        <w:rPr>
          <w:rFonts w:ascii="Arial" w:hAnsi="Arial" w:cs="Arial"/>
          <w:sz w:val="22"/>
          <w:szCs w:val="22"/>
        </w:rPr>
        <w:t>olegiado</w:t>
      </w:r>
      <w:r w:rsidRPr="006E2B4E">
        <w:rPr>
          <w:rFonts w:ascii="Arial" w:hAnsi="Arial" w:cs="Arial"/>
          <w:sz w:val="22"/>
          <w:szCs w:val="22"/>
        </w:rPr>
        <w:t xml:space="preserve"> en términos de lo dispuesto por los artículos 51, 52, fracción II de la LTAIPSLP, </w:t>
      </w:r>
      <w:r w:rsidR="008D7FD6" w:rsidRPr="006E2B4E">
        <w:rPr>
          <w:rFonts w:ascii="Arial" w:hAnsi="Arial" w:cs="Arial"/>
          <w:sz w:val="22"/>
          <w:szCs w:val="22"/>
        </w:rPr>
        <w:t>l</w:t>
      </w:r>
      <w:r w:rsidRPr="006E2B4E">
        <w:rPr>
          <w:rFonts w:ascii="Arial" w:hAnsi="Arial" w:cs="Arial"/>
          <w:sz w:val="22"/>
          <w:szCs w:val="22"/>
        </w:rPr>
        <w:t xml:space="preserve">ineamiento </w:t>
      </w:r>
      <w:r w:rsidR="008D7FD6" w:rsidRPr="006E2B4E">
        <w:rPr>
          <w:rFonts w:ascii="Arial" w:hAnsi="Arial" w:cs="Arial"/>
          <w:sz w:val="22"/>
          <w:szCs w:val="22"/>
        </w:rPr>
        <w:t>s</w:t>
      </w:r>
      <w:r w:rsidRPr="006E2B4E">
        <w:rPr>
          <w:rFonts w:ascii="Arial" w:hAnsi="Arial" w:cs="Arial"/>
          <w:sz w:val="22"/>
          <w:szCs w:val="22"/>
        </w:rPr>
        <w:t xml:space="preserve">egundo fracción III de los LGCDIEVP, artículo </w:t>
      </w:r>
      <w:r w:rsidR="008D7FD6" w:rsidRPr="006E2B4E">
        <w:rPr>
          <w:rFonts w:ascii="Arial" w:hAnsi="Arial" w:cs="Arial"/>
          <w:sz w:val="22"/>
          <w:szCs w:val="22"/>
        </w:rPr>
        <w:t>t</w:t>
      </w:r>
      <w:r w:rsidRPr="006E2B4E">
        <w:rPr>
          <w:rFonts w:ascii="Arial" w:hAnsi="Arial" w:cs="Arial"/>
          <w:sz w:val="22"/>
          <w:szCs w:val="22"/>
        </w:rPr>
        <w:t xml:space="preserve">ercero del </w:t>
      </w:r>
      <w:r w:rsidR="005B0E50" w:rsidRPr="006E2B4E">
        <w:rPr>
          <w:rFonts w:ascii="Arial" w:hAnsi="Arial" w:cs="Arial"/>
          <w:sz w:val="22"/>
          <w:szCs w:val="22"/>
        </w:rPr>
        <w:t>a</w:t>
      </w:r>
      <w:r w:rsidRPr="006E2B4E">
        <w:rPr>
          <w:rFonts w:ascii="Arial" w:hAnsi="Arial" w:cs="Arial"/>
          <w:sz w:val="22"/>
          <w:szCs w:val="22"/>
        </w:rPr>
        <w:t xml:space="preserve">cuerdo </w:t>
      </w:r>
      <w:r w:rsidR="005B0E50" w:rsidRPr="006E2B4E">
        <w:rPr>
          <w:rFonts w:ascii="Arial" w:hAnsi="Arial" w:cs="Arial"/>
          <w:sz w:val="22"/>
          <w:szCs w:val="22"/>
        </w:rPr>
        <w:t>g</w:t>
      </w:r>
      <w:r w:rsidRPr="006E2B4E">
        <w:rPr>
          <w:rFonts w:ascii="Arial" w:hAnsi="Arial" w:cs="Arial"/>
          <w:sz w:val="22"/>
          <w:szCs w:val="22"/>
        </w:rPr>
        <w:t>eneral número AG/003/2023, así como</w:t>
      </w:r>
      <w:r w:rsidR="008D7FD6" w:rsidRPr="006E2B4E">
        <w:rPr>
          <w:rFonts w:ascii="Arial" w:hAnsi="Arial" w:cs="Arial"/>
          <w:sz w:val="22"/>
          <w:szCs w:val="22"/>
        </w:rPr>
        <w:t>,</w:t>
      </w:r>
      <w:r w:rsidRPr="006E2B4E">
        <w:rPr>
          <w:rFonts w:ascii="Arial" w:hAnsi="Arial" w:cs="Arial"/>
          <w:sz w:val="22"/>
          <w:szCs w:val="22"/>
        </w:rPr>
        <w:t xml:space="preserve"> acuerdo general AG/011/2020.</w:t>
      </w:r>
    </w:p>
    <w:p w:rsidR="007E2C1E" w:rsidRPr="006E2B4E" w:rsidRDefault="007E2C1E" w:rsidP="00C57509">
      <w:pPr>
        <w:jc w:val="both"/>
        <w:rPr>
          <w:rFonts w:ascii="Arial" w:hAnsi="Arial" w:cs="Arial"/>
          <w:b/>
          <w:sz w:val="22"/>
          <w:szCs w:val="22"/>
        </w:rPr>
      </w:pPr>
    </w:p>
    <w:p w:rsidR="005117B5" w:rsidRPr="006E2B4E" w:rsidRDefault="005117B5" w:rsidP="00C57509">
      <w:pPr>
        <w:jc w:val="both"/>
        <w:rPr>
          <w:rFonts w:ascii="Arial" w:hAnsi="Arial" w:cs="Arial"/>
          <w:b/>
          <w:sz w:val="22"/>
          <w:szCs w:val="22"/>
        </w:rPr>
      </w:pPr>
      <w:r w:rsidRPr="006E2B4E">
        <w:rPr>
          <w:rFonts w:ascii="Arial" w:hAnsi="Arial" w:cs="Arial"/>
          <w:b/>
          <w:sz w:val="22"/>
          <w:szCs w:val="22"/>
        </w:rPr>
        <w:t xml:space="preserve">SEGUNDO. Análisis. </w:t>
      </w:r>
    </w:p>
    <w:p w:rsidR="00376B01" w:rsidRPr="006E2B4E" w:rsidRDefault="00376B01" w:rsidP="00C57509">
      <w:pPr>
        <w:jc w:val="both"/>
        <w:rPr>
          <w:rFonts w:ascii="Arial" w:hAnsi="Arial" w:cs="Arial"/>
          <w:sz w:val="22"/>
          <w:szCs w:val="22"/>
        </w:rPr>
      </w:pPr>
    </w:p>
    <w:p w:rsidR="005117B5" w:rsidRPr="006E2B4E" w:rsidRDefault="005117B5" w:rsidP="00C57509">
      <w:pPr>
        <w:jc w:val="both"/>
        <w:rPr>
          <w:rFonts w:ascii="Arial" w:hAnsi="Arial" w:cs="Arial"/>
          <w:sz w:val="22"/>
          <w:szCs w:val="22"/>
        </w:rPr>
      </w:pPr>
      <w:r w:rsidRPr="006E2B4E">
        <w:rPr>
          <w:rFonts w:ascii="Arial" w:hAnsi="Arial" w:cs="Arial"/>
          <w:sz w:val="22"/>
          <w:szCs w:val="22"/>
        </w:rPr>
        <w:t xml:space="preserve">Del </w:t>
      </w:r>
      <w:r w:rsidR="00DA4A66" w:rsidRPr="006E2B4E">
        <w:rPr>
          <w:rFonts w:ascii="Arial" w:hAnsi="Arial" w:cs="Arial"/>
          <w:sz w:val="22"/>
          <w:szCs w:val="22"/>
        </w:rPr>
        <w:t>acuerdo de reserva</w:t>
      </w:r>
      <w:r w:rsidR="00DA4A66" w:rsidRPr="006E2B4E">
        <w:rPr>
          <w:rFonts w:ascii="Arial" w:hAnsi="Arial" w:cs="Arial"/>
          <w:b/>
          <w:sz w:val="22"/>
          <w:szCs w:val="22"/>
        </w:rPr>
        <w:t xml:space="preserve"> </w:t>
      </w:r>
      <w:r w:rsidR="00B464B0" w:rsidRPr="006E2B4E">
        <w:rPr>
          <w:rFonts w:ascii="Arial" w:hAnsi="Arial" w:cs="Arial"/>
          <w:b/>
          <w:sz w:val="22"/>
          <w:szCs w:val="22"/>
        </w:rPr>
        <w:t>parcial</w:t>
      </w:r>
      <w:r w:rsidR="00DA4A66" w:rsidRPr="006E2B4E">
        <w:rPr>
          <w:rFonts w:ascii="Arial" w:hAnsi="Arial" w:cs="Arial"/>
          <w:sz w:val="22"/>
          <w:szCs w:val="22"/>
        </w:rPr>
        <w:t xml:space="preserve"> </w:t>
      </w:r>
      <w:r w:rsidRPr="006E2B4E">
        <w:rPr>
          <w:rFonts w:ascii="Arial" w:hAnsi="Arial" w:cs="Arial"/>
          <w:sz w:val="22"/>
          <w:szCs w:val="22"/>
        </w:rPr>
        <w:t xml:space="preserve">número </w:t>
      </w:r>
      <w:r w:rsidR="006F7D0F" w:rsidRPr="006E2B4E">
        <w:rPr>
          <w:rFonts w:ascii="Arial" w:hAnsi="Arial" w:cs="Arial"/>
          <w:b/>
          <w:sz w:val="22"/>
          <w:szCs w:val="22"/>
        </w:rPr>
        <w:t>AR/</w:t>
      </w:r>
      <w:r w:rsidR="009E6D0D">
        <w:rPr>
          <w:rFonts w:ascii="Arial" w:hAnsi="Arial" w:cs="Arial"/>
          <w:b/>
          <w:sz w:val="22"/>
          <w:szCs w:val="22"/>
        </w:rPr>
        <w:t>03</w:t>
      </w:r>
      <w:r w:rsidR="00315526">
        <w:rPr>
          <w:rFonts w:ascii="Arial" w:hAnsi="Arial" w:cs="Arial"/>
          <w:b/>
          <w:sz w:val="22"/>
          <w:szCs w:val="22"/>
        </w:rPr>
        <w:t>8</w:t>
      </w:r>
      <w:r w:rsidR="006F7D0F" w:rsidRPr="006E2B4E">
        <w:rPr>
          <w:rFonts w:ascii="Arial" w:hAnsi="Arial" w:cs="Arial"/>
          <w:b/>
          <w:sz w:val="22"/>
          <w:szCs w:val="22"/>
        </w:rPr>
        <w:t>/202</w:t>
      </w:r>
      <w:r w:rsidR="00973F68" w:rsidRPr="006E2B4E">
        <w:rPr>
          <w:rFonts w:ascii="Arial" w:hAnsi="Arial" w:cs="Arial"/>
          <w:b/>
          <w:sz w:val="22"/>
          <w:szCs w:val="22"/>
        </w:rPr>
        <w:t>6</w:t>
      </w:r>
      <w:r w:rsidRPr="006E2B4E">
        <w:rPr>
          <w:rFonts w:ascii="Arial" w:hAnsi="Arial" w:cs="Arial"/>
          <w:sz w:val="22"/>
          <w:szCs w:val="22"/>
        </w:rPr>
        <w:t xml:space="preserve">, se advierte que el mismo contiene los requisitos mínimos establecidos por el artículo 128 de LTAIPSLP, y que a sabed son: </w:t>
      </w:r>
    </w:p>
    <w:p w:rsidR="005117B5" w:rsidRPr="006E2B4E" w:rsidRDefault="005117B5" w:rsidP="00C57509">
      <w:pPr>
        <w:pStyle w:val="Prrafodelista"/>
        <w:numPr>
          <w:ilvl w:val="0"/>
          <w:numId w:val="1"/>
        </w:numPr>
        <w:jc w:val="both"/>
        <w:rPr>
          <w:rFonts w:ascii="Arial" w:hAnsi="Arial" w:cs="Arial"/>
          <w:sz w:val="20"/>
          <w:szCs w:val="20"/>
        </w:rPr>
      </w:pPr>
      <w:r w:rsidRPr="006E2B4E">
        <w:rPr>
          <w:rFonts w:ascii="Arial" w:hAnsi="Arial" w:cs="Arial"/>
          <w:sz w:val="20"/>
          <w:szCs w:val="20"/>
        </w:rPr>
        <w:lastRenderedPageBreak/>
        <w:t>La fuente y el archivo donde se encuentra la información;</w:t>
      </w:r>
    </w:p>
    <w:p w:rsidR="005117B5" w:rsidRPr="006E2B4E" w:rsidRDefault="005117B5" w:rsidP="00C57509">
      <w:pPr>
        <w:pStyle w:val="Prrafodelista"/>
        <w:numPr>
          <w:ilvl w:val="0"/>
          <w:numId w:val="1"/>
        </w:numPr>
        <w:jc w:val="both"/>
        <w:rPr>
          <w:rFonts w:ascii="Arial" w:hAnsi="Arial" w:cs="Arial"/>
          <w:sz w:val="20"/>
          <w:szCs w:val="20"/>
        </w:rPr>
      </w:pPr>
      <w:r w:rsidRPr="006E2B4E">
        <w:rPr>
          <w:rFonts w:ascii="Arial" w:hAnsi="Arial" w:cs="Arial"/>
          <w:sz w:val="20"/>
          <w:szCs w:val="20"/>
        </w:rPr>
        <w:t>La fundamentación y motivación del acuerdo;</w:t>
      </w:r>
    </w:p>
    <w:p w:rsidR="005117B5" w:rsidRPr="006E2B4E" w:rsidRDefault="005117B5" w:rsidP="00C57509">
      <w:pPr>
        <w:pStyle w:val="Prrafodelista"/>
        <w:numPr>
          <w:ilvl w:val="0"/>
          <w:numId w:val="1"/>
        </w:numPr>
        <w:jc w:val="both"/>
        <w:rPr>
          <w:rFonts w:ascii="Arial" w:hAnsi="Arial" w:cs="Arial"/>
          <w:sz w:val="20"/>
          <w:szCs w:val="20"/>
        </w:rPr>
      </w:pPr>
      <w:r w:rsidRPr="006E2B4E">
        <w:rPr>
          <w:rFonts w:ascii="Arial" w:hAnsi="Arial" w:cs="Arial"/>
          <w:sz w:val="20"/>
          <w:szCs w:val="20"/>
        </w:rPr>
        <w:t xml:space="preserve">El documento, la parte o las partes de los mismos, que se reservan; </w:t>
      </w:r>
    </w:p>
    <w:p w:rsidR="005117B5" w:rsidRPr="006E2B4E" w:rsidRDefault="005117B5" w:rsidP="00C57509">
      <w:pPr>
        <w:pStyle w:val="Prrafodelista"/>
        <w:numPr>
          <w:ilvl w:val="0"/>
          <w:numId w:val="1"/>
        </w:numPr>
        <w:jc w:val="both"/>
        <w:rPr>
          <w:rFonts w:ascii="Arial" w:hAnsi="Arial" w:cs="Arial"/>
          <w:sz w:val="20"/>
          <w:szCs w:val="20"/>
        </w:rPr>
      </w:pPr>
      <w:r w:rsidRPr="006E2B4E">
        <w:rPr>
          <w:rFonts w:ascii="Arial" w:hAnsi="Arial" w:cs="Arial"/>
          <w:sz w:val="20"/>
          <w:szCs w:val="20"/>
        </w:rPr>
        <w:t xml:space="preserve">El plazo por el que se reserva la información; </w:t>
      </w:r>
    </w:p>
    <w:p w:rsidR="005117B5" w:rsidRPr="006E2B4E" w:rsidRDefault="005117B5" w:rsidP="00C57509">
      <w:pPr>
        <w:pStyle w:val="Prrafodelista"/>
        <w:numPr>
          <w:ilvl w:val="0"/>
          <w:numId w:val="1"/>
        </w:numPr>
        <w:jc w:val="both"/>
        <w:rPr>
          <w:rFonts w:ascii="Arial" w:hAnsi="Arial" w:cs="Arial"/>
          <w:sz w:val="20"/>
          <w:szCs w:val="20"/>
        </w:rPr>
      </w:pPr>
      <w:r w:rsidRPr="006E2B4E">
        <w:rPr>
          <w:rFonts w:ascii="Arial" w:hAnsi="Arial" w:cs="Arial"/>
          <w:sz w:val="20"/>
          <w:szCs w:val="20"/>
        </w:rPr>
        <w:t>La designación de la autoridad responsable de su protección;</w:t>
      </w:r>
    </w:p>
    <w:p w:rsidR="005117B5" w:rsidRPr="006E2B4E" w:rsidRDefault="005117B5" w:rsidP="00C57509">
      <w:pPr>
        <w:pStyle w:val="Prrafodelista"/>
        <w:numPr>
          <w:ilvl w:val="0"/>
          <w:numId w:val="1"/>
        </w:numPr>
        <w:jc w:val="both"/>
        <w:rPr>
          <w:rFonts w:ascii="Arial" w:hAnsi="Arial" w:cs="Arial"/>
          <w:sz w:val="20"/>
          <w:szCs w:val="20"/>
        </w:rPr>
      </w:pPr>
      <w:r w:rsidRPr="006E2B4E">
        <w:rPr>
          <w:rFonts w:ascii="Arial" w:hAnsi="Arial" w:cs="Arial"/>
          <w:sz w:val="20"/>
          <w:szCs w:val="20"/>
        </w:rPr>
        <w:t xml:space="preserve">Número de identificación del acuerdo de reserva; </w:t>
      </w:r>
    </w:p>
    <w:p w:rsidR="005117B5" w:rsidRPr="006E2B4E" w:rsidRDefault="005117B5" w:rsidP="00C57509">
      <w:pPr>
        <w:pStyle w:val="Prrafodelista"/>
        <w:numPr>
          <w:ilvl w:val="0"/>
          <w:numId w:val="1"/>
        </w:numPr>
        <w:jc w:val="both"/>
        <w:rPr>
          <w:rFonts w:ascii="Arial" w:hAnsi="Arial" w:cs="Arial"/>
          <w:sz w:val="20"/>
          <w:szCs w:val="20"/>
        </w:rPr>
      </w:pPr>
      <w:r w:rsidRPr="006E2B4E">
        <w:rPr>
          <w:rFonts w:ascii="Arial" w:hAnsi="Arial" w:cs="Arial"/>
          <w:sz w:val="20"/>
          <w:szCs w:val="20"/>
        </w:rPr>
        <w:t xml:space="preserve">La aplicación de la prueba del daño; </w:t>
      </w:r>
    </w:p>
    <w:p w:rsidR="005117B5" w:rsidRPr="006E2B4E" w:rsidRDefault="005117B5" w:rsidP="00C57509">
      <w:pPr>
        <w:pStyle w:val="Prrafodelista"/>
        <w:numPr>
          <w:ilvl w:val="0"/>
          <w:numId w:val="1"/>
        </w:numPr>
        <w:jc w:val="both"/>
        <w:rPr>
          <w:rFonts w:ascii="Arial" w:hAnsi="Arial" w:cs="Arial"/>
          <w:sz w:val="20"/>
          <w:szCs w:val="20"/>
        </w:rPr>
      </w:pPr>
      <w:r w:rsidRPr="006E2B4E">
        <w:rPr>
          <w:rFonts w:ascii="Arial" w:hAnsi="Arial" w:cs="Arial"/>
          <w:sz w:val="20"/>
          <w:szCs w:val="20"/>
        </w:rPr>
        <w:t>Fecha del acuerdo de clasificación.</w:t>
      </w:r>
    </w:p>
    <w:p w:rsidR="007F63C2" w:rsidRPr="006E2B4E" w:rsidRDefault="007F63C2" w:rsidP="00C57509">
      <w:pPr>
        <w:jc w:val="both"/>
        <w:rPr>
          <w:rFonts w:ascii="Arial" w:hAnsi="Arial" w:cs="Arial"/>
          <w:sz w:val="22"/>
          <w:szCs w:val="22"/>
        </w:rPr>
      </w:pPr>
    </w:p>
    <w:p w:rsidR="00E17D56" w:rsidRPr="006E2B4E" w:rsidRDefault="00842F00" w:rsidP="00C57509">
      <w:pPr>
        <w:jc w:val="both"/>
        <w:rPr>
          <w:rFonts w:ascii="Arial" w:hAnsi="Arial" w:cs="Arial"/>
          <w:sz w:val="22"/>
          <w:szCs w:val="22"/>
        </w:rPr>
      </w:pPr>
      <w:r w:rsidRPr="006E2B4E">
        <w:rPr>
          <w:rFonts w:ascii="Arial" w:hAnsi="Arial" w:cs="Arial"/>
          <w:sz w:val="22"/>
          <w:szCs w:val="22"/>
        </w:rPr>
        <w:t xml:space="preserve">Dichos requisitos se encuentran concatenados a los lineamientos </w:t>
      </w:r>
      <w:r w:rsidR="008D7FD6" w:rsidRPr="006E2B4E">
        <w:rPr>
          <w:rFonts w:ascii="Arial" w:hAnsi="Arial" w:cs="Arial"/>
          <w:sz w:val="22"/>
          <w:szCs w:val="22"/>
        </w:rPr>
        <w:t>o</w:t>
      </w:r>
      <w:r w:rsidRPr="006E2B4E">
        <w:rPr>
          <w:rFonts w:ascii="Arial" w:hAnsi="Arial" w:cs="Arial"/>
          <w:sz w:val="22"/>
          <w:szCs w:val="22"/>
        </w:rPr>
        <w:t xml:space="preserve">ctavo, </w:t>
      </w:r>
      <w:r w:rsidR="008D7FD6" w:rsidRPr="006E2B4E">
        <w:rPr>
          <w:rFonts w:ascii="Arial" w:hAnsi="Arial" w:cs="Arial"/>
          <w:sz w:val="22"/>
          <w:szCs w:val="22"/>
        </w:rPr>
        <w:t>d</w:t>
      </w:r>
      <w:r w:rsidRPr="006E2B4E">
        <w:rPr>
          <w:rFonts w:ascii="Arial" w:hAnsi="Arial" w:cs="Arial"/>
          <w:sz w:val="22"/>
          <w:szCs w:val="22"/>
        </w:rPr>
        <w:t xml:space="preserve">écimo </w:t>
      </w:r>
      <w:r w:rsidR="008D7FD6" w:rsidRPr="006E2B4E">
        <w:rPr>
          <w:rFonts w:ascii="Arial" w:hAnsi="Arial" w:cs="Arial"/>
          <w:sz w:val="22"/>
          <w:szCs w:val="22"/>
        </w:rPr>
        <w:t>s</w:t>
      </w:r>
      <w:r w:rsidRPr="006E2B4E">
        <w:rPr>
          <w:rFonts w:ascii="Arial" w:hAnsi="Arial" w:cs="Arial"/>
          <w:sz w:val="22"/>
          <w:szCs w:val="22"/>
        </w:rPr>
        <w:t>éptimo</w:t>
      </w:r>
      <w:r w:rsidR="008D7FD6" w:rsidRPr="006E2B4E">
        <w:rPr>
          <w:rFonts w:ascii="Arial" w:hAnsi="Arial" w:cs="Arial"/>
          <w:sz w:val="22"/>
          <w:szCs w:val="22"/>
        </w:rPr>
        <w:t>,</w:t>
      </w:r>
      <w:r w:rsidRPr="006E2B4E">
        <w:rPr>
          <w:rFonts w:ascii="Arial" w:hAnsi="Arial" w:cs="Arial"/>
          <w:sz w:val="22"/>
          <w:szCs w:val="22"/>
        </w:rPr>
        <w:t xml:space="preserve"> </w:t>
      </w:r>
      <w:r w:rsidR="008D7FD6" w:rsidRPr="006E2B4E">
        <w:rPr>
          <w:rFonts w:ascii="Arial" w:hAnsi="Arial" w:cs="Arial"/>
          <w:sz w:val="22"/>
          <w:szCs w:val="22"/>
        </w:rPr>
        <w:t>d</w:t>
      </w:r>
      <w:r w:rsidRPr="006E2B4E">
        <w:rPr>
          <w:rFonts w:ascii="Arial" w:hAnsi="Arial" w:cs="Arial"/>
          <w:sz w:val="22"/>
          <w:szCs w:val="22"/>
        </w:rPr>
        <w:t xml:space="preserve">écimo </w:t>
      </w:r>
      <w:r w:rsidR="008D7FD6" w:rsidRPr="006E2B4E">
        <w:rPr>
          <w:rFonts w:ascii="Arial" w:hAnsi="Arial" w:cs="Arial"/>
          <w:sz w:val="22"/>
          <w:szCs w:val="22"/>
        </w:rPr>
        <w:t>o</w:t>
      </w:r>
      <w:r w:rsidRPr="006E2B4E">
        <w:rPr>
          <w:rFonts w:ascii="Arial" w:hAnsi="Arial" w:cs="Arial"/>
          <w:sz w:val="22"/>
          <w:szCs w:val="22"/>
        </w:rPr>
        <w:t>ctavo</w:t>
      </w:r>
      <w:r w:rsidR="008D7FD6" w:rsidRPr="006E2B4E">
        <w:rPr>
          <w:rFonts w:ascii="Arial" w:hAnsi="Arial" w:cs="Arial"/>
          <w:sz w:val="22"/>
          <w:szCs w:val="22"/>
        </w:rPr>
        <w:t>,</w:t>
      </w:r>
      <w:r w:rsidRPr="006E2B4E">
        <w:rPr>
          <w:rFonts w:ascii="Arial" w:hAnsi="Arial" w:cs="Arial"/>
          <w:sz w:val="22"/>
          <w:szCs w:val="22"/>
        </w:rPr>
        <w:t xml:space="preserve"> </w:t>
      </w:r>
      <w:r w:rsidR="008D7FD6" w:rsidRPr="006E2B4E">
        <w:rPr>
          <w:rFonts w:ascii="Arial" w:hAnsi="Arial" w:cs="Arial"/>
          <w:sz w:val="22"/>
          <w:szCs w:val="22"/>
        </w:rPr>
        <w:t>v</w:t>
      </w:r>
      <w:r w:rsidRPr="006E2B4E">
        <w:rPr>
          <w:rFonts w:ascii="Arial" w:hAnsi="Arial" w:cs="Arial"/>
          <w:sz w:val="22"/>
          <w:szCs w:val="22"/>
        </w:rPr>
        <w:t xml:space="preserve">igésimo </w:t>
      </w:r>
      <w:r w:rsidR="008D7FD6" w:rsidRPr="006E2B4E">
        <w:rPr>
          <w:rFonts w:ascii="Arial" w:hAnsi="Arial" w:cs="Arial"/>
          <w:sz w:val="22"/>
          <w:szCs w:val="22"/>
        </w:rPr>
        <w:t>t</w:t>
      </w:r>
      <w:r w:rsidRPr="006E2B4E">
        <w:rPr>
          <w:rFonts w:ascii="Arial" w:hAnsi="Arial" w:cs="Arial"/>
          <w:sz w:val="22"/>
          <w:szCs w:val="22"/>
        </w:rPr>
        <w:t xml:space="preserve">ercero, </w:t>
      </w:r>
      <w:r w:rsidR="008D7FD6" w:rsidRPr="006E2B4E">
        <w:rPr>
          <w:rFonts w:ascii="Arial" w:hAnsi="Arial" w:cs="Arial"/>
          <w:sz w:val="22"/>
          <w:szCs w:val="22"/>
        </w:rPr>
        <w:t>t</w:t>
      </w:r>
      <w:r w:rsidRPr="006E2B4E">
        <w:rPr>
          <w:rFonts w:ascii="Arial" w:hAnsi="Arial" w:cs="Arial"/>
          <w:sz w:val="22"/>
          <w:szCs w:val="22"/>
        </w:rPr>
        <w:t xml:space="preserve">rigésimo primero, </w:t>
      </w:r>
      <w:r w:rsidR="008D7FD6" w:rsidRPr="006E2B4E">
        <w:rPr>
          <w:rFonts w:ascii="Arial" w:hAnsi="Arial" w:cs="Arial"/>
          <w:sz w:val="22"/>
          <w:szCs w:val="22"/>
        </w:rPr>
        <w:t>t</w:t>
      </w:r>
      <w:r w:rsidRPr="006E2B4E">
        <w:rPr>
          <w:rFonts w:ascii="Arial" w:hAnsi="Arial" w:cs="Arial"/>
          <w:sz w:val="22"/>
          <w:szCs w:val="22"/>
        </w:rPr>
        <w:t xml:space="preserve">rigésimo segundo, </w:t>
      </w:r>
      <w:r w:rsidR="008D7FD6" w:rsidRPr="006E2B4E">
        <w:rPr>
          <w:rFonts w:ascii="Arial" w:hAnsi="Arial" w:cs="Arial"/>
          <w:sz w:val="22"/>
          <w:szCs w:val="22"/>
        </w:rPr>
        <w:t>t</w:t>
      </w:r>
      <w:r w:rsidRPr="006E2B4E">
        <w:rPr>
          <w:rFonts w:ascii="Arial" w:hAnsi="Arial" w:cs="Arial"/>
          <w:sz w:val="22"/>
          <w:szCs w:val="22"/>
        </w:rPr>
        <w:t xml:space="preserve">rigésimo </w:t>
      </w:r>
      <w:r w:rsidR="008D7FD6" w:rsidRPr="006E2B4E">
        <w:rPr>
          <w:rFonts w:ascii="Arial" w:hAnsi="Arial" w:cs="Arial"/>
          <w:sz w:val="22"/>
          <w:szCs w:val="22"/>
        </w:rPr>
        <w:t>t</w:t>
      </w:r>
      <w:r w:rsidRPr="006E2B4E">
        <w:rPr>
          <w:rFonts w:ascii="Arial" w:hAnsi="Arial" w:cs="Arial"/>
          <w:sz w:val="22"/>
          <w:szCs w:val="22"/>
        </w:rPr>
        <w:t xml:space="preserve">ercero, y </w:t>
      </w:r>
      <w:r w:rsidR="008D7FD6" w:rsidRPr="006E2B4E">
        <w:rPr>
          <w:rFonts w:ascii="Arial" w:hAnsi="Arial" w:cs="Arial"/>
          <w:sz w:val="22"/>
          <w:szCs w:val="22"/>
        </w:rPr>
        <w:t>t</w:t>
      </w:r>
      <w:r w:rsidRPr="006E2B4E">
        <w:rPr>
          <w:rFonts w:ascii="Arial" w:hAnsi="Arial" w:cs="Arial"/>
          <w:sz w:val="22"/>
          <w:szCs w:val="22"/>
        </w:rPr>
        <w:t xml:space="preserve">rigésimo </w:t>
      </w:r>
      <w:r w:rsidR="008D7FD6" w:rsidRPr="006E2B4E">
        <w:rPr>
          <w:rFonts w:ascii="Arial" w:hAnsi="Arial" w:cs="Arial"/>
          <w:sz w:val="22"/>
          <w:szCs w:val="22"/>
        </w:rPr>
        <w:t>c</w:t>
      </w:r>
      <w:r w:rsidRPr="006E2B4E">
        <w:rPr>
          <w:rFonts w:ascii="Arial" w:hAnsi="Arial" w:cs="Arial"/>
          <w:sz w:val="22"/>
          <w:szCs w:val="22"/>
        </w:rPr>
        <w:t>uarto de los LGCDIEVP.</w:t>
      </w:r>
    </w:p>
    <w:p w:rsidR="00481D63" w:rsidRPr="006E2B4E" w:rsidRDefault="00481D63" w:rsidP="00C57509">
      <w:pPr>
        <w:jc w:val="both"/>
        <w:rPr>
          <w:rFonts w:ascii="Arial" w:hAnsi="Arial" w:cs="Arial"/>
          <w:sz w:val="22"/>
          <w:szCs w:val="22"/>
        </w:rPr>
      </w:pPr>
    </w:p>
    <w:p w:rsidR="00BF3665" w:rsidRPr="006E2B4E" w:rsidRDefault="009819AE" w:rsidP="00C57509">
      <w:pPr>
        <w:jc w:val="both"/>
        <w:rPr>
          <w:rFonts w:ascii="Arial" w:hAnsi="Arial" w:cs="Arial"/>
          <w:b/>
          <w:sz w:val="22"/>
          <w:szCs w:val="22"/>
        </w:rPr>
      </w:pPr>
      <w:r w:rsidRPr="006E2B4E">
        <w:rPr>
          <w:rFonts w:ascii="Arial" w:hAnsi="Arial" w:cs="Arial"/>
          <w:b/>
          <w:sz w:val="22"/>
          <w:szCs w:val="22"/>
        </w:rPr>
        <w:t>TERCERO. Sentido de la resolución.</w:t>
      </w:r>
    </w:p>
    <w:p w:rsidR="001C2EAB" w:rsidRPr="006E2B4E" w:rsidRDefault="001C2EAB" w:rsidP="00C57509">
      <w:pPr>
        <w:jc w:val="both"/>
        <w:rPr>
          <w:rFonts w:ascii="Arial" w:hAnsi="Arial" w:cs="Arial"/>
          <w:sz w:val="22"/>
          <w:szCs w:val="22"/>
        </w:rPr>
      </w:pPr>
    </w:p>
    <w:p w:rsidR="00BF3665" w:rsidRPr="006E2B4E" w:rsidRDefault="009819AE" w:rsidP="00C57509">
      <w:pPr>
        <w:pStyle w:val="Prrafodelista"/>
        <w:numPr>
          <w:ilvl w:val="0"/>
          <w:numId w:val="2"/>
        </w:numPr>
        <w:jc w:val="both"/>
        <w:rPr>
          <w:rFonts w:ascii="Arial" w:hAnsi="Arial" w:cs="Arial"/>
          <w:b/>
          <w:sz w:val="22"/>
          <w:szCs w:val="22"/>
        </w:rPr>
      </w:pPr>
      <w:r w:rsidRPr="006E2B4E">
        <w:rPr>
          <w:rFonts w:ascii="Arial" w:hAnsi="Arial" w:cs="Arial"/>
          <w:b/>
          <w:sz w:val="22"/>
          <w:szCs w:val="22"/>
        </w:rPr>
        <w:t>Los motivos y razonamientos que sustenten la confirmación o modificación de la prueba de daño.</w:t>
      </w:r>
    </w:p>
    <w:p w:rsidR="005621F2" w:rsidRPr="006E2B4E" w:rsidRDefault="005621F2" w:rsidP="00C57509">
      <w:pPr>
        <w:pStyle w:val="Prrafodelista"/>
        <w:ind w:left="1080"/>
        <w:jc w:val="both"/>
        <w:rPr>
          <w:rFonts w:ascii="Arial" w:hAnsi="Arial" w:cs="Arial"/>
          <w:b/>
          <w:sz w:val="22"/>
          <w:szCs w:val="22"/>
        </w:rPr>
      </w:pPr>
    </w:p>
    <w:p w:rsidR="00E22117" w:rsidRPr="006E2B4E" w:rsidRDefault="007E2C1E" w:rsidP="00E22117">
      <w:pPr>
        <w:pStyle w:val="Default"/>
        <w:jc w:val="both"/>
        <w:rPr>
          <w:rFonts w:eastAsiaTheme="minorEastAsia"/>
          <w:color w:val="auto"/>
          <w:sz w:val="22"/>
          <w:szCs w:val="22"/>
          <w:lang w:eastAsia="es-ES"/>
        </w:rPr>
      </w:pPr>
      <w:r w:rsidRPr="006E2B4E">
        <w:rPr>
          <w:sz w:val="22"/>
          <w:szCs w:val="22"/>
        </w:rPr>
        <w:t>El contador público Cesar Isidro Cruz, director General de Administración</w:t>
      </w:r>
      <w:r w:rsidR="00E22117" w:rsidRPr="006E2B4E">
        <w:rPr>
          <w:rFonts w:eastAsiaTheme="minorEastAsia"/>
          <w:color w:val="auto"/>
          <w:sz w:val="22"/>
          <w:szCs w:val="22"/>
          <w:lang w:eastAsia="es-ES"/>
        </w:rPr>
        <w:t xml:space="preserve">, determina que resulta procedente la </w:t>
      </w:r>
      <w:r w:rsidR="0024235C" w:rsidRPr="006E2B4E">
        <w:rPr>
          <w:rFonts w:eastAsiaTheme="minorEastAsia"/>
          <w:color w:val="auto"/>
          <w:sz w:val="22"/>
          <w:szCs w:val="22"/>
          <w:lang w:eastAsia="es-ES"/>
        </w:rPr>
        <w:t>r</w:t>
      </w:r>
      <w:r w:rsidR="00E22117" w:rsidRPr="006E2B4E">
        <w:rPr>
          <w:rFonts w:eastAsiaTheme="minorEastAsia"/>
          <w:color w:val="auto"/>
          <w:sz w:val="22"/>
          <w:szCs w:val="22"/>
          <w:lang w:eastAsia="es-ES"/>
        </w:rPr>
        <w:t xml:space="preserve">eserva </w:t>
      </w:r>
      <w:r w:rsidR="0024235C" w:rsidRPr="006E2B4E">
        <w:rPr>
          <w:rFonts w:eastAsiaTheme="minorEastAsia"/>
          <w:b/>
          <w:color w:val="auto"/>
          <w:sz w:val="22"/>
          <w:szCs w:val="22"/>
          <w:lang w:eastAsia="es-ES"/>
        </w:rPr>
        <w:t>p</w:t>
      </w:r>
      <w:r w:rsidR="000E4FF6" w:rsidRPr="006E2B4E">
        <w:rPr>
          <w:rFonts w:eastAsiaTheme="minorEastAsia"/>
          <w:b/>
          <w:color w:val="auto"/>
          <w:sz w:val="22"/>
          <w:szCs w:val="22"/>
          <w:lang w:eastAsia="es-ES"/>
        </w:rPr>
        <w:t xml:space="preserve">arcial </w:t>
      </w:r>
      <w:r w:rsidR="00E22117" w:rsidRPr="006E2B4E">
        <w:rPr>
          <w:rFonts w:eastAsiaTheme="minorEastAsia"/>
          <w:color w:val="auto"/>
          <w:sz w:val="22"/>
          <w:szCs w:val="22"/>
          <w:lang w:eastAsia="es-ES"/>
        </w:rPr>
        <w:t xml:space="preserve">de la información pública </w:t>
      </w:r>
      <w:bookmarkStart w:id="1" w:name="_Hlk161061686"/>
      <w:r w:rsidR="00E22117" w:rsidRPr="006E2B4E">
        <w:rPr>
          <w:rFonts w:eastAsiaTheme="minorEastAsia"/>
          <w:color w:val="auto"/>
          <w:sz w:val="22"/>
          <w:szCs w:val="22"/>
          <w:lang w:eastAsia="es-ES"/>
        </w:rPr>
        <w:t>consistente en:</w:t>
      </w:r>
      <w:bookmarkStart w:id="2" w:name="_Hlk161057106"/>
      <w:bookmarkEnd w:id="1"/>
      <w:r w:rsidR="000E4FF6" w:rsidRPr="006E2B4E">
        <w:rPr>
          <w:rFonts w:eastAsiaTheme="minorEastAsia"/>
          <w:color w:val="auto"/>
          <w:sz w:val="22"/>
          <w:szCs w:val="22"/>
          <w:lang w:eastAsia="es-ES"/>
        </w:rPr>
        <w:t xml:space="preserve"> </w:t>
      </w:r>
      <w:r w:rsidR="0090066D" w:rsidRPr="006E2B4E">
        <w:rPr>
          <w:rFonts w:eastAsiaTheme="minorEastAsia"/>
          <w:b/>
          <w:color w:val="auto"/>
          <w:sz w:val="22"/>
          <w:szCs w:val="22"/>
          <w:lang w:eastAsia="es-ES"/>
        </w:rPr>
        <w:t>nombres, primer apellido, segundo apellido, sexo y área de adscripción</w:t>
      </w:r>
      <w:r w:rsidR="0090066D" w:rsidRPr="006E2B4E">
        <w:rPr>
          <w:rFonts w:eastAsiaTheme="minorEastAsia"/>
          <w:color w:val="auto"/>
          <w:sz w:val="22"/>
          <w:szCs w:val="22"/>
          <w:lang w:eastAsia="es-ES"/>
        </w:rPr>
        <w:t xml:space="preserve"> que se requieren para la publicación de información en la Plataforma Estatal de Transparencia en el formato LTAIPSLP84XI, relativo a las remuneraciones brutas y netas, del mes de </w:t>
      </w:r>
      <w:r w:rsidR="00315526">
        <w:rPr>
          <w:b/>
          <w:sz w:val="22"/>
          <w:szCs w:val="22"/>
        </w:rPr>
        <w:t>junio</w:t>
      </w:r>
      <w:r w:rsidR="00973F68" w:rsidRPr="006E2B4E">
        <w:rPr>
          <w:b/>
          <w:sz w:val="22"/>
          <w:szCs w:val="22"/>
        </w:rPr>
        <w:t xml:space="preserve"> </w:t>
      </w:r>
      <w:r w:rsidR="0090066D" w:rsidRPr="006E2B4E">
        <w:rPr>
          <w:rFonts w:eastAsiaTheme="minorEastAsia"/>
          <w:b/>
          <w:color w:val="auto"/>
          <w:sz w:val="22"/>
          <w:szCs w:val="22"/>
          <w:lang w:eastAsia="es-ES"/>
        </w:rPr>
        <w:t>202</w:t>
      </w:r>
      <w:r w:rsidR="00491477" w:rsidRPr="006E2B4E">
        <w:rPr>
          <w:rFonts w:eastAsiaTheme="minorEastAsia"/>
          <w:b/>
          <w:color w:val="auto"/>
          <w:sz w:val="22"/>
          <w:szCs w:val="22"/>
          <w:lang w:eastAsia="es-ES"/>
        </w:rPr>
        <w:t>6</w:t>
      </w:r>
      <w:r w:rsidR="0090066D" w:rsidRPr="006E2B4E">
        <w:rPr>
          <w:rFonts w:eastAsiaTheme="minorEastAsia"/>
          <w:b/>
          <w:color w:val="auto"/>
          <w:sz w:val="22"/>
          <w:szCs w:val="22"/>
          <w:lang w:eastAsia="es-ES"/>
        </w:rPr>
        <w:t>,</w:t>
      </w:r>
      <w:r w:rsidR="0090066D" w:rsidRPr="006E2B4E">
        <w:rPr>
          <w:rFonts w:eastAsiaTheme="minorEastAsia"/>
          <w:color w:val="auto"/>
          <w:sz w:val="22"/>
          <w:szCs w:val="22"/>
          <w:lang w:eastAsia="es-ES"/>
        </w:rPr>
        <w:t xml:space="preserve"> únicamente por lo que corresponde al personal que se describe en el Manual de Remuneraciones para los Servidores Públicos de la Fiscalía General del Estado de San Luis Potosí, que no realicen funciones directivas y que se encuentren adscrito a los Órganos Tácticos Operativos de la Fiscalía General del Estado como lo son Vicefiscalías, Fiscalías Especializadas y Dirección General de Métodos de Investigación, y de los Órganos Estratégicos: adscritos a la Dirección General de Política de Persecución Penal y Análisis Estratégico, Visitaduría General y la Dirección General de Análisis Criminal</w:t>
      </w:r>
      <w:r w:rsidR="00CB20AA" w:rsidRPr="006E2B4E">
        <w:rPr>
          <w:rFonts w:eastAsiaTheme="minorEastAsia"/>
          <w:color w:val="auto"/>
          <w:sz w:val="22"/>
          <w:szCs w:val="22"/>
          <w:lang w:eastAsia="es-ES"/>
        </w:rPr>
        <w:t>.</w:t>
      </w:r>
    </w:p>
    <w:bookmarkEnd w:id="2"/>
    <w:p w:rsidR="001A6119" w:rsidRPr="006E2B4E" w:rsidRDefault="001A6119" w:rsidP="0090066D">
      <w:pPr>
        <w:autoSpaceDE w:val="0"/>
        <w:autoSpaceDN w:val="0"/>
        <w:adjustRightInd w:val="0"/>
        <w:jc w:val="both"/>
        <w:rPr>
          <w:rFonts w:ascii="Arial" w:hAnsi="Arial" w:cs="Arial"/>
          <w:b/>
          <w:sz w:val="22"/>
          <w:szCs w:val="22"/>
        </w:rPr>
      </w:pPr>
    </w:p>
    <w:p w:rsidR="00894EB5" w:rsidRPr="006E2B4E" w:rsidRDefault="007336C3" w:rsidP="0090066D">
      <w:pPr>
        <w:autoSpaceDE w:val="0"/>
        <w:autoSpaceDN w:val="0"/>
        <w:adjustRightInd w:val="0"/>
        <w:jc w:val="both"/>
        <w:rPr>
          <w:rFonts w:ascii="Arial" w:hAnsi="Arial" w:cs="Arial"/>
          <w:b/>
          <w:sz w:val="22"/>
          <w:szCs w:val="22"/>
        </w:rPr>
      </w:pPr>
      <w:r w:rsidRPr="006E2B4E">
        <w:rPr>
          <w:rFonts w:ascii="Arial" w:hAnsi="Arial" w:cs="Arial"/>
          <w:b/>
          <w:sz w:val="22"/>
          <w:szCs w:val="22"/>
        </w:rPr>
        <w:t>Motivación.</w:t>
      </w:r>
      <w:r w:rsidR="008565C9" w:rsidRPr="006E2B4E">
        <w:rPr>
          <w:rFonts w:ascii="Arial" w:hAnsi="Arial" w:cs="Arial"/>
          <w:b/>
          <w:sz w:val="22"/>
          <w:szCs w:val="22"/>
        </w:rPr>
        <w:t xml:space="preserve"> </w:t>
      </w:r>
    </w:p>
    <w:p w:rsidR="00894EB5" w:rsidRPr="006E2B4E" w:rsidRDefault="00894EB5" w:rsidP="0090066D">
      <w:pPr>
        <w:autoSpaceDE w:val="0"/>
        <w:autoSpaceDN w:val="0"/>
        <w:adjustRightInd w:val="0"/>
        <w:jc w:val="both"/>
        <w:rPr>
          <w:rFonts w:ascii="Arial" w:hAnsi="Arial" w:cs="Arial"/>
          <w:sz w:val="22"/>
          <w:szCs w:val="22"/>
        </w:rPr>
      </w:pPr>
    </w:p>
    <w:p w:rsidR="0090066D" w:rsidRPr="006E2B4E" w:rsidRDefault="0090066D" w:rsidP="0090066D">
      <w:pPr>
        <w:autoSpaceDE w:val="0"/>
        <w:autoSpaceDN w:val="0"/>
        <w:adjustRightInd w:val="0"/>
        <w:jc w:val="both"/>
        <w:rPr>
          <w:rFonts w:ascii="Arial" w:hAnsi="Arial" w:cs="Arial"/>
          <w:sz w:val="22"/>
          <w:szCs w:val="22"/>
        </w:rPr>
      </w:pPr>
      <w:r w:rsidRPr="006E2B4E">
        <w:rPr>
          <w:rFonts w:ascii="Arial" w:hAnsi="Arial" w:cs="Arial"/>
          <w:sz w:val="22"/>
          <w:szCs w:val="22"/>
        </w:rPr>
        <w:t xml:space="preserve">La información pública de oficio que se reserva respecto a los nombres, primer apellido, segundo apellido, sexo y área de adscripción del personal que se describe en el Manual de Remuneraciones para los Servidores Públicos de la Fiscalía General del Estado de San Luis Potosí, que no realicen funciones directivas y que se encuentren adscrito a los Órganos Tácticos Operativos de la Fiscalía General del Estado como lo son Vicefiscalías, Fiscalías Especializadas y Dirección General de Métodos de Investigación, y de los Órganos Estratégicos: adscritos a la Dirección General de Política de Persecución Penal y Análisis Estratégico, Visitaduría General y la Dirección General de Análisis Criminal, del mes de </w:t>
      </w:r>
      <w:r w:rsidR="00315526">
        <w:rPr>
          <w:rFonts w:ascii="Arial" w:hAnsi="Arial" w:cs="Arial"/>
          <w:b/>
          <w:sz w:val="22"/>
          <w:szCs w:val="22"/>
        </w:rPr>
        <w:t xml:space="preserve">junio </w:t>
      </w:r>
      <w:r w:rsidRPr="006E2B4E">
        <w:rPr>
          <w:rFonts w:ascii="Arial" w:hAnsi="Arial" w:cs="Arial"/>
          <w:b/>
          <w:sz w:val="22"/>
          <w:szCs w:val="22"/>
        </w:rPr>
        <w:t>202</w:t>
      </w:r>
      <w:r w:rsidR="00491477" w:rsidRPr="006E2B4E">
        <w:rPr>
          <w:rFonts w:ascii="Arial" w:hAnsi="Arial" w:cs="Arial"/>
          <w:b/>
          <w:sz w:val="22"/>
          <w:szCs w:val="22"/>
        </w:rPr>
        <w:t>6</w:t>
      </w:r>
      <w:r w:rsidRPr="006E2B4E">
        <w:rPr>
          <w:rFonts w:ascii="Arial" w:hAnsi="Arial" w:cs="Arial"/>
          <w:sz w:val="22"/>
          <w:szCs w:val="22"/>
        </w:rPr>
        <w:t xml:space="preserve">, es procedente puesto que el darla a conocer contraviene lo dispuesto en el artículo 93 Bis de la ley del Sistema de Seguridad del Estado de San Luis Potosí que rige al personal de esta Fiscalía, en el que se considera “como reservada la información contenida en todas y cada una  de  las bases de datos del sistema, y la información contenida en ellos, en materia de detenciones, información criminal, personal de seguridad pública…”, considerando que la base de datos  del sistema a la que se  refiere el artículo citado, se integra con datos descritos en su  </w:t>
      </w:r>
      <w:r w:rsidR="00345FA2" w:rsidRPr="006E2B4E">
        <w:rPr>
          <w:rFonts w:ascii="Arial" w:hAnsi="Arial" w:cs="Arial"/>
          <w:sz w:val="22"/>
          <w:szCs w:val="22"/>
        </w:rPr>
        <w:t>a</w:t>
      </w:r>
      <w:r w:rsidRPr="006E2B4E">
        <w:rPr>
          <w:rFonts w:ascii="Arial" w:hAnsi="Arial" w:cs="Arial"/>
          <w:sz w:val="22"/>
          <w:szCs w:val="22"/>
        </w:rPr>
        <w:t xml:space="preserve">rtículo  94,  fracción  I.  El área que lo emite, II. El usuario capturista; y en el </w:t>
      </w:r>
      <w:r w:rsidR="00345FA2" w:rsidRPr="006E2B4E">
        <w:rPr>
          <w:rFonts w:ascii="Arial" w:hAnsi="Arial" w:cs="Arial"/>
          <w:sz w:val="22"/>
          <w:szCs w:val="22"/>
        </w:rPr>
        <w:t>a</w:t>
      </w:r>
      <w:r w:rsidRPr="006E2B4E">
        <w:rPr>
          <w:rFonts w:ascii="Arial" w:hAnsi="Arial" w:cs="Arial"/>
          <w:sz w:val="22"/>
          <w:szCs w:val="22"/>
        </w:rPr>
        <w:t xml:space="preserve">rtículo 95, fracción VI. Nombre de quién o quiénes hayan intervenido en la detención; en su caso, rango y área de adscripción, Artículo </w:t>
      </w:r>
      <w:r w:rsidRPr="006E2B4E">
        <w:rPr>
          <w:rFonts w:ascii="Arial" w:hAnsi="Arial" w:cs="Arial"/>
          <w:sz w:val="22"/>
          <w:szCs w:val="22"/>
        </w:rPr>
        <w:lastRenderedPageBreak/>
        <w:t>99, I.  Los datos que permitan identificar plenamente…, III. Cualquier cambio de adscripción…, Por lo que resulta de gran importancia la reserva de la información referente a:</w:t>
      </w:r>
    </w:p>
    <w:p w:rsidR="00F531A0" w:rsidRPr="006E2B4E" w:rsidRDefault="00F531A0" w:rsidP="0090066D">
      <w:pPr>
        <w:autoSpaceDE w:val="0"/>
        <w:autoSpaceDN w:val="0"/>
        <w:adjustRightInd w:val="0"/>
        <w:jc w:val="both"/>
        <w:rPr>
          <w:rFonts w:ascii="Arial" w:hAnsi="Arial" w:cs="Arial"/>
          <w:sz w:val="22"/>
          <w:szCs w:val="22"/>
        </w:rPr>
      </w:pPr>
    </w:p>
    <w:tbl>
      <w:tblPr>
        <w:tblStyle w:val="Tablaconcuadrcula"/>
        <w:tblW w:w="0" w:type="auto"/>
        <w:tblLook w:val="04A0" w:firstRow="1" w:lastRow="0" w:firstColumn="1" w:lastColumn="0" w:noHBand="0" w:noVBand="1"/>
      </w:tblPr>
      <w:tblGrid>
        <w:gridCol w:w="1512"/>
        <w:gridCol w:w="8450"/>
      </w:tblGrid>
      <w:tr w:rsidR="00F531A0" w:rsidRPr="006E2B4E" w:rsidTr="00823F6E">
        <w:tc>
          <w:tcPr>
            <w:tcW w:w="1413" w:type="dxa"/>
          </w:tcPr>
          <w:p w:rsidR="00F531A0" w:rsidRPr="006E2B4E" w:rsidRDefault="00F531A0" w:rsidP="00F531A0">
            <w:pPr>
              <w:autoSpaceDE w:val="0"/>
              <w:autoSpaceDN w:val="0"/>
              <w:adjustRightInd w:val="0"/>
              <w:jc w:val="both"/>
              <w:rPr>
                <w:rFonts w:ascii="Arial" w:hAnsi="Arial" w:cs="Arial"/>
                <w:b/>
                <w:sz w:val="22"/>
                <w:szCs w:val="22"/>
              </w:rPr>
            </w:pPr>
            <w:r w:rsidRPr="006E2B4E">
              <w:rPr>
                <w:rFonts w:ascii="Arial" w:hAnsi="Arial" w:cs="Arial"/>
                <w:b/>
                <w:sz w:val="22"/>
                <w:szCs w:val="22"/>
              </w:rPr>
              <w:t>Nombre completo.</w:t>
            </w:r>
          </w:p>
        </w:tc>
        <w:tc>
          <w:tcPr>
            <w:tcW w:w="8549" w:type="dxa"/>
          </w:tcPr>
          <w:p w:rsidR="00F531A0" w:rsidRPr="006E2B4E" w:rsidRDefault="00F531A0" w:rsidP="00F531A0">
            <w:pPr>
              <w:jc w:val="both"/>
              <w:rPr>
                <w:rFonts w:ascii="Arial" w:hAnsi="Arial" w:cs="Arial"/>
                <w:sz w:val="22"/>
                <w:szCs w:val="22"/>
              </w:rPr>
            </w:pPr>
            <w:r w:rsidRPr="006E2B4E">
              <w:rPr>
                <w:rFonts w:ascii="Arial" w:eastAsia="Times New Roman" w:hAnsi="Arial" w:cs="Arial"/>
                <w:sz w:val="22"/>
                <w:szCs w:val="22"/>
                <w:lang w:eastAsia="es-MX"/>
              </w:rPr>
              <w:t xml:space="preserve">El </w:t>
            </w:r>
            <w:r w:rsidRPr="006E2B4E">
              <w:rPr>
                <w:rFonts w:ascii="Arial" w:eastAsia="Times New Roman" w:hAnsi="Arial" w:cs="Arial"/>
                <w:bCs/>
                <w:sz w:val="22"/>
                <w:szCs w:val="22"/>
                <w:lang w:eastAsia="es-MX"/>
              </w:rPr>
              <w:t>nombre completo</w:t>
            </w:r>
            <w:r w:rsidRPr="006E2B4E">
              <w:rPr>
                <w:rFonts w:ascii="Arial" w:eastAsia="Times New Roman" w:hAnsi="Arial" w:cs="Arial"/>
                <w:sz w:val="22"/>
                <w:szCs w:val="22"/>
                <w:lang w:eastAsia="es-MX"/>
              </w:rPr>
              <w:t xml:space="preserve"> es un dato personal que, al ser revelado </w:t>
            </w:r>
            <w:r w:rsidR="00BC31AA" w:rsidRPr="006E2B4E">
              <w:rPr>
                <w:rFonts w:ascii="Arial" w:eastAsia="Times New Roman" w:hAnsi="Arial" w:cs="Arial"/>
                <w:sz w:val="22"/>
                <w:szCs w:val="22"/>
                <w:lang w:eastAsia="es-MX"/>
              </w:rPr>
              <w:t>y relacionado</w:t>
            </w:r>
            <w:r w:rsidRPr="006E2B4E">
              <w:rPr>
                <w:rFonts w:ascii="Arial" w:eastAsia="Times New Roman" w:hAnsi="Arial" w:cs="Arial"/>
                <w:sz w:val="22"/>
                <w:szCs w:val="22"/>
                <w:lang w:eastAsia="es-MX"/>
              </w:rPr>
              <w:t xml:space="preserve"> con su cargo o área de adscripción, podría facilitar la </w:t>
            </w:r>
            <w:r w:rsidRPr="006E2B4E">
              <w:rPr>
                <w:rFonts w:ascii="Arial" w:eastAsia="Times New Roman" w:hAnsi="Arial" w:cs="Arial"/>
                <w:bCs/>
                <w:sz w:val="22"/>
                <w:szCs w:val="22"/>
                <w:lang w:eastAsia="es-MX"/>
              </w:rPr>
              <w:t>identificación y localización</w:t>
            </w:r>
            <w:r w:rsidRPr="006E2B4E">
              <w:rPr>
                <w:rFonts w:ascii="Arial" w:eastAsia="Times New Roman" w:hAnsi="Arial" w:cs="Arial"/>
                <w:sz w:val="22"/>
                <w:szCs w:val="22"/>
                <w:lang w:eastAsia="es-MX"/>
              </w:rPr>
              <w:t xml:space="preserve"> del servidor público, poniendo en riesgo su seguridad y la de su entorno.</w:t>
            </w:r>
          </w:p>
        </w:tc>
      </w:tr>
      <w:tr w:rsidR="00F531A0" w:rsidRPr="006E2B4E" w:rsidTr="00823F6E">
        <w:tc>
          <w:tcPr>
            <w:tcW w:w="1413" w:type="dxa"/>
          </w:tcPr>
          <w:p w:rsidR="00F531A0" w:rsidRPr="006E2B4E" w:rsidRDefault="00F531A0" w:rsidP="00F531A0">
            <w:pPr>
              <w:autoSpaceDE w:val="0"/>
              <w:autoSpaceDN w:val="0"/>
              <w:adjustRightInd w:val="0"/>
              <w:jc w:val="both"/>
              <w:rPr>
                <w:rFonts w:ascii="Arial" w:hAnsi="Arial" w:cs="Arial"/>
                <w:b/>
                <w:sz w:val="22"/>
                <w:szCs w:val="22"/>
              </w:rPr>
            </w:pPr>
            <w:r w:rsidRPr="006E2B4E">
              <w:rPr>
                <w:rFonts w:ascii="Arial" w:hAnsi="Arial" w:cs="Arial"/>
                <w:b/>
                <w:sz w:val="22"/>
                <w:szCs w:val="22"/>
              </w:rPr>
              <w:t>Sexo</w:t>
            </w:r>
          </w:p>
        </w:tc>
        <w:tc>
          <w:tcPr>
            <w:tcW w:w="8549" w:type="dxa"/>
          </w:tcPr>
          <w:p w:rsidR="00F531A0" w:rsidRPr="006E2B4E" w:rsidRDefault="00823F6E" w:rsidP="00823F6E">
            <w:pPr>
              <w:ind w:left="-38" w:firstLine="38"/>
              <w:jc w:val="both"/>
              <w:rPr>
                <w:rFonts w:ascii="Arial" w:eastAsia="Times New Roman" w:hAnsi="Arial" w:cs="Arial"/>
                <w:sz w:val="22"/>
                <w:szCs w:val="22"/>
                <w:lang w:eastAsia="es-MX"/>
              </w:rPr>
            </w:pPr>
            <w:r w:rsidRPr="006E2B4E">
              <w:rPr>
                <w:rFonts w:ascii="Arial" w:eastAsia="Times New Roman" w:hAnsi="Arial" w:cs="Arial"/>
                <w:sz w:val="22"/>
                <w:szCs w:val="22"/>
                <w:lang w:eastAsia="es-MX"/>
              </w:rPr>
              <w:t>E</w:t>
            </w:r>
            <w:r w:rsidR="00F531A0" w:rsidRPr="006E2B4E">
              <w:rPr>
                <w:rFonts w:ascii="Arial" w:eastAsia="Times New Roman" w:hAnsi="Arial" w:cs="Arial"/>
                <w:sz w:val="22"/>
                <w:szCs w:val="22"/>
                <w:lang w:eastAsia="es-MX"/>
              </w:rPr>
              <w:t>l sexo es considerado un dato personal, pues con él se distinguen las características biológicas y fisiológicas de una persona y que la harían identificada o identificable, por ejemplo, sus órganos reproductivos, cromosomas, hormonas, etcétera; de esta manera se considera que este dato incide directamente en su ámbito privado y, por ende, en su intimidad</w:t>
            </w:r>
            <w:r w:rsidRPr="006E2B4E">
              <w:rPr>
                <w:rFonts w:ascii="Arial" w:eastAsia="Times New Roman" w:hAnsi="Arial" w:cs="Arial"/>
                <w:sz w:val="22"/>
                <w:szCs w:val="22"/>
                <w:lang w:eastAsia="es-MX"/>
              </w:rPr>
              <w:t>.</w:t>
            </w:r>
          </w:p>
        </w:tc>
      </w:tr>
      <w:tr w:rsidR="00F531A0" w:rsidRPr="006E2B4E" w:rsidTr="00823F6E">
        <w:tc>
          <w:tcPr>
            <w:tcW w:w="1413" w:type="dxa"/>
          </w:tcPr>
          <w:p w:rsidR="00F531A0" w:rsidRPr="006E2B4E" w:rsidRDefault="00F531A0" w:rsidP="00F531A0">
            <w:pPr>
              <w:autoSpaceDE w:val="0"/>
              <w:autoSpaceDN w:val="0"/>
              <w:adjustRightInd w:val="0"/>
              <w:jc w:val="both"/>
              <w:rPr>
                <w:rFonts w:ascii="Arial" w:hAnsi="Arial" w:cs="Arial"/>
                <w:b/>
                <w:sz w:val="22"/>
                <w:szCs w:val="22"/>
              </w:rPr>
            </w:pPr>
            <w:r w:rsidRPr="006E2B4E">
              <w:rPr>
                <w:rFonts w:ascii="Arial" w:hAnsi="Arial" w:cs="Arial"/>
                <w:b/>
                <w:sz w:val="22"/>
                <w:szCs w:val="22"/>
              </w:rPr>
              <w:t xml:space="preserve">Área de adscripción. </w:t>
            </w:r>
          </w:p>
          <w:p w:rsidR="00F531A0" w:rsidRPr="006E2B4E" w:rsidRDefault="00F531A0" w:rsidP="00F531A0">
            <w:pPr>
              <w:autoSpaceDE w:val="0"/>
              <w:autoSpaceDN w:val="0"/>
              <w:adjustRightInd w:val="0"/>
              <w:jc w:val="both"/>
              <w:rPr>
                <w:rFonts w:ascii="Arial" w:hAnsi="Arial" w:cs="Arial"/>
                <w:b/>
                <w:sz w:val="22"/>
                <w:szCs w:val="22"/>
              </w:rPr>
            </w:pPr>
          </w:p>
        </w:tc>
        <w:tc>
          <w:tcPr>
            <w:tcW w:w="8549" w:type="dxa"/>
          </w:tcPr>
          <w:p w:rsidR="00F531A0" w:rsidRPr="006E2B4E" w:rsidRDefault="00F531A0" w:rsidP="00F531A0">
            <w:pPr>
              <w:jc w:val="both"/>
              <w:rPr>
                <w:rFonts w:ascii="Arial" w:eastAsia="Times New Roman" w:hAnsi="Arial" w:cs="Arial"/>
                <w:sz w:val="22"/>
                <w:szCs w:val="22"/>
                <w:lang w:eastAsia="es-MX"/>
              </w:rPr>
            </w:pPr>
            <w:r w:rsidRPr="006E2B4E">
              <w:rPr>
                <w:rFonts w:ascii="Arial" w:eastAsia="Times New Roman" w:hAnsi="Arial" w:cs="Arial"/>
                <w:sz w:val="22"/>
                <w:szCs w:val="22"/>
                <w:lang w:eastAsia="es-MX"/>
              </w:rPr>
              <w:t xml:space="preserve">La </w:t>
            </w:r>
            <w:r w:rsidRPr="006E2B4E">
              <w:rPr>
                <w:rFonts w:ascii="Arial" w:eastAsia="Times New Roman" w:hAnsi="Arial" w:cs="Arial"/>
                <w:bCs/>
                <w:sz w:val="22"/>
                <w:szCs w:val="22"/>
                <w:lang w:eastAsia="es-MX"/>
              </w:rPr>
              <w:t>adscripción</w:t>
            </w:r>
            <w:r w:rsidRPr="006E2B4E">
              <w:rPr>
                <w:rFonts w:ascii="Arial" w:eastAsia="Times New Roman" w:hAnsi="Arial" w:cs="Arial"/>
                <w:sz w:val="22"/>
                <w:szCs w:val="22"/>
                <w:lang w:eastAsia="es-MX"/>
              </w:rPr>
              <w:t xml:space="preserve"> indica el área o dependencia en la que trabaja un servidor público, y conocerla podría permitir a actores externos identificar su relación con áreas clave en investigaciones u operaciones.</w:t>
            </w:r>
          </w:p>
        </w:tc>
      </w:tr>
    </w:tbl>
    <w:p w:rsidR="0090066D" w:rsidRPr="006E2B4E" w:rsidRDefault="0090066D" w:rsidP="0090066D">
      <w:pPr>
        <w:autoSpaceDE w:val="0"/>
        <w:autoSpaceDN w:val="0"/>
        <w:adjustRightInd w:val="0"/>
        <w:jc w:val="both"/>
        <w:rPr>
          <w:rFonts w:ascii="Arial" w:hAnsi="Arial" w:cs="Arial"/>
          <w:sz w:val="22"/>
          <w:szCs w:val="22"/>
        </w:rPr>
      </w:pPr>
    </w:p>
    <w:p w:rsidR="0090066D" w:rsidRPr="006E2B4E" w:rsidRDefault="0090066D" w:rsidP="0090066D">
      <w:pPr>
        <w:autoSpaceDE w:val="0"/>
        <w:autoSpaceDN w:val="0"/>
        <w:adjustRightInd w:val="0"/>
        <w:jc w:val="both"/>
        <w:rPr>
          <w:rFonts w:ascii="Arial" w:hAnsi="Arial" w:cs="Arial"/>
          <w:sz w:val="22"/>
          <w:szCs w:val="22"/>
        </w:rPr>
      </w:pPr>
      <w:r w:rsidRPr="006E2B4E">
        <w:rPr>
          <w:rFonts w:ascii="Arial" w:hAnsi="Arial" w:cs="Arial"/>
          <w:sz w:val="22"/>
          <w:szCs w:val="22"/>
        </w:rPr>
        <w:t>Aunado a esto, se atiende lo dispuesto en el artículo 218 Código Nacional de Procedimientos Penales, decretado por el Congreso de la Unión, claramente establece que se considera información reservada:</w:t>
      </w:r>
      <w:r w:rsidR="006A523B" w:rsidRPr="006E2B4E">
        <w:rPr>
          <w:rFonts w:ascii="Arial" w:hAnsi="Arial" w:cs="Arial"/>
          <w:sz w:val="22"/>
          <w:szCs w:val="22"/>
        </w:rPr>
        <w:t xml:space="preserve"> </w:t>
      </w:r>
      <w:r w:rsidRPr="006E2B4E">
        <w:rPr>
          <w:rFonts w:ascii="Arial" w:hAnsi="Arial" w:cs="Arial"/>
          <w:sz w:val="22"/>
          <w:szCs w:val="22"/>
        </w:rPr>
        <w:t>“Los registros de la investigación, así como todos los documentos, independientemente de su contenido o naturaleza, los objetos, los registros de voz e imágenes o cosas que le estén relacionados, son estrictamente reservados, por lo que únicamente las partes, podrán tener acceso a los mismos, con las limitaciones establecidas en este Código y demás disposiciones aplicables.”</w:t>
      </w:r>
    </w:p>
    <w:p w:rsidR="00894EB5" w:rsidRPr="006E2B4E" w:rsidRDefault="00894EB5" w:rsidP="0090066D">
      <w:pPr>
        <w:autoSpaceDE w:val="0"/>
        <w:autoSpaceDN w:val="0"/>
        <w:adjustRightInd w:val="0"/>
        <w:jc w:val="both"/>
        <w:rPr>
          <w:rFonts w:ascii="Arial" w:hAnsi="Arial" w:cs="Arial"/>
          <w:sz w:val="22"/>
          <w:szCs w:val="22"/>
        </w:rPr>
      </w:pPr>
    </w:p>
    <w:p w:rsidR="0090066D" w:rsidRPr="006E2B4E" w:rsidRDefault="0090066D" w:rsidP="0090066D">
      <w:pPr>
        <w:autoSpaceDE w:val="0"/>
        <w:autoSpaceDN w:val="0"/>
        <w:adjustRightInd w:val="0"/>
        <w:jc w:val="both"/>
        <w:rPr>
          <w:rFonts w:ascii="Arial" w:hAnsi="Arial" w:cs="Arial"/>
          <w:sz w:val="22"/>
          <w:szCs w:val="22"/>
        </w:rPr>
      </w:pPr>
      <w:r w:rsidRPr="006E2B4E">
        <w:rPr>
          <w:rFonts w:ascii="Arial" w:hAnsi="Arial" w:cs="Arial"/>
          <w:sz w:val="22"/>
          <w:szCs w:val="22"/>
        </w:rPr>
        <w:t xml:space="preserve">Por su parte la Suprema Corte de Justicia emitió una resolución en la que invalida la entrega de información de respecto al del personal administrativo, en el entendido de que se refiere a el personal que realiza funciones distintas a las de Agentes del Ministerio Público, Peritos, y Policías por lo que no forman parte del Servicio Profesional de Carrera. personal que es nombrado y removido libremente por los titulares de las áreas a las que se encuentran adscritos y que si bien no realizan tareas sustantivas, si tiene acceso a información relativa a la realizada por el personal de seguridad y custodia en materia de investigación y persecución de los delitos; además de que este personal, por lo general, es el encargado de realizar los registros, archivar o generar documentación y trámites administrativos relativos al propio personal de seguridad cuya información debe ser resguardada, de acuerdo a la Ley del Sistema de Seguridad Pública del Estado de San Luis Potosí.  Con base a lo anterior es que se considera que tal personal adscrito a los órganos estratégicos: Dirección General de Política de Persecución Penal y Análisis Estratégico y la Dirección General de Análisis Criminal, está en continua vinculación y cercanía al quehacer sustantivo de este sujeto obligado, lo que también los pone en un rango de vulnerabilidad al ser pública la información que los identifique como lo es el nombre, apellidos, sexo y áreas de adscripción. </w:t>
      </w:r>
    </w:p>
    <w:p w:rsidR="00914AAD" w:rsidRPr="006E2B4E" w:rsidRDefault="00914AAD" w:rsidP="0090066D">
      <w:pPr>
        <w:autoSpaceDE w:val="0"/>
        <w:autoSpaceDN w:val="0"/>
        <w:adjustRightInd w:val="0"/>
        <w:jc w:val="both"/>
        <w:rPr>
          <w:rFonts w:ascii="Arial" w:hAnsi="Arial" w:cs="Arial"/>
          <w:sz w:val="22"/>
          <w:szCs w:val="22"/>
        </w:rPr>
      </w:pPr>
    </w:p>
    <w:p w:rsidR="0090066D" w:rsidRPr="006E2B4E" w:rsidRDefault="0090066D" w:rsidP="0090066D">
      <w:pPr>
        <w:autoSpaceDE w:val="0"/>
        <w:autoSpaceDN w:val="0"/>
        <w:adjustRightInd w:val="0"/>
        <w:jc w:val="both"/>
        <w:rPr>
          <w:rFonts w:ascii="Arial" w:hAnsi="Arial" w:cs="Arial"/>
          <w:sz w:val="22"/>
          <w:szCs w:val="22"/>
        </w:rPr>
      </w:pPr>
      <w:r w:rsidRPr="006E2B4E">
        <w:rPr>
          <w:rFonts w:ascii="Arial" w:hAnsi="Arial" w:cs="Arial"/>
          <w:sz w:val="22"/>
          <w:szCs w:val="22"/>
        </w:rPr>
        <w:t xml:space="preserve">Derivado de lo anterior se presume que la difusión de la información que aquí se reserva pondría, además, en grave riesgo la integridad física de los elementos involucrados en la indagación, integración, aportaciones de pruebas y vinculaciones a proceso de las diversas carpetas de investigación dado que los imputados u objetivos criminales a capturar y/o enjuiciar continuamente buscan diversas formar de amedrentar, chantajear, sobornar y hasta agredir en su integridad física a los elementos investigadores y/o involucrados en las carpetas de investigación, extendiendo las agresiones a sus familias, eventos de los que ya se ha tenido registro y que ahora también forman parte de las carpetas de investigación. </w:t>
      </w:r>
    </w:p>
    <w:p w:rsidR="0090066D" w:rsidRPr="006E2B4E" w:rsidRDefault="0090066D" w:rsidP="0090066D">
      <w:pPr>
        <w:autoSpaceDE w:val="0"/>
        <w:autoSpaceDN w:val="0"/>
        <w:adjustRightInd w:val="0"/>
        <w:jc w:val="both"/>
        <w:rPr>
          <w:rFonts w:ascii="Arial" w:hAnsi="Arial" w:cs="Arial"/>
          <w:sz w:val="22"/>
          <w:szCs w:val="22"/>
        </w:rPr>
      </w:pPr>
      <w:r w:rsidRPr="006E2B4E">
        <w:rPr>
          <w:rFonts w:ascii="Arial" w:hAnsi="Arial" w:cs="Arial"/>
          <w:sz w:val="22"/>
          <w:szCs w:val="22"/>
        </w:rPr>
        <w:lastRenderedPageBreak/>
        <w:t xml:space="preserve">Además de que publicar parte de esta información, como lo es el nombre, primer apellido, segundo apellido, sexo y área de adscripción,  permite vincular de formas indirecta o directa la cantidad de personal operativo de seguridad con que cuenta la Fiscalía lo que implicaría de alguna u otra manera el dar a conocer de forma indirecta por un lado su identificación personal de seguridad operativo e incluso familiar; y por el otro lado, su función que está ligada directamente a la investigación y seguridad, al realizar las investigaciones sobre hechos que pueden constituir delitos, dictaminar sobre los hechos que se le encomiendan, comparecer ante Autoridades Judiciales que los requieren, cumplimientos de mandamientos judiciales, propiciando la identificación de los servidores públicos operativos y con ello se compromete su seguridad y la de su familia, dejando además en un grave estado de vulnerabilidad a la institución debido a que sería fácilmente determinar la capacidad de reacción de la corporación ante hechos delictivos y la delincuencia organizada, además de haber una obstrucción en la persecución de delitos. </w:t>
      </w:r>
    </w:p>
    <w:p w:rsidR="00894EB5" w:rsidRPr="006E2B4E" w:rsidRDefault="00894EB5" w:rsidP="0090066D">
      <w:pPr>
        <w:autoSpaceDE w:val="0"/>
        <w:autoSpaceDN w:val="0"/>
        <w:adjustRightInd w:val="0"/>
        <w:jc w:val="both"/>
        <w:rPr>
          <w:rFonts w:ascii="Arial" w:hAnsi="Arial" w:cs="Arial"/>
          <w:sz w:val="22"/>
          <w:szCs w:val="22"/>
        </w:rPr>
      </w:pPr>
    </w:p>
    <w:p w:rsidR="0090066D" w:rsidRPr="006E2B4E" w:rsidRDefault="0090066D" w:rsidP="0090066D">
      <w:pPr>
        <w:autoSpaceDE w:val="0"/>
        <w:autoSpaceDN w:val="0"/>
        <w:adjustRightInd w:val="0"/>
        <w:jc w:val="both"/>
        <w:rPr>
          <w:rFonts w:ascii="Arial" w:hAnsi="Arial" w:cs="Arial"/>
          <w:sz w:val="22"/>
          <w:szCs w:val="22"/>
        </w:rPr>
      </w:pPr>
      <w:r w:rsidRPr="006E2B4E">
        <w:rPr>
          <w:rFonts w:ascii="Arial" w:hAnsi="Arial" w:cs="Arial"/>
          <w:sz w:val="22"/>
          <w:szCs w:val="22"/>
        </w:rPr>
        <w:t xml:space="preserve">Así también, los datos que hacen identificables a quienes participan dejando registro de sus nombres, apellidos y adscripciones en los documentos de las indagatorias y detenciones, información que establece como reservada el Código Nacional de Procedimientos Penales en su artículo 218, y los artículos 93, 93 bis, 94, fracciones I y II, 95 fracción VI, 97 fracciones I y II, 99, fracciones I y III,  de la Ley del Sistema de Seguridad Pública </w:t>
      </w:r>
      <w:r w:rsidR="0031340E">
        <w:rPr>
          <w:rFonts w:ascii="Arial" w:hAnsi="Arial" w:cs="Arial"/>
          <w:sz w:val="22"/>
          <w:szCs w:val="22"/>
        </w:rPr>
        <w:t>d</w:t>
      </w:r>
      <w:r w:rsidRPr="006E2B4E">
        <w:rPr>
          <w:rFonts w:ascii="Arial" w:hAnsi="Arial" w:cs="Arial"/>
          <w:sz w:val="22"/>
          <w:szCs w:val="22"/>
        </w:rPr>
        <w:t xml:space="preserve">el Estado de San Luis Potosí, los hacen ubicables para las partes imputadas, incrementando la posibilidad cuando pertenecen a grupos delincuenciales, quienes podrían localizarlos a fin de amedrentar, agredir o sobornar a los servidores públicos para que la resolución de sus indagatorias les beneficie, buscando obstaculizar de este modo la correcta persecución de los delitos. Situaciones previstas en los lineamientos citados, así como en los artículos 107 y 126 fracción III de la Ley del Sistema de Seguridad Pública </w:t>
      </w:r>
      <w:r w:rsidR="0031340E">
        <w:rPr>
          <w:rFonts w:ascii="Arial" w:hAnsi="Arial" w:cs="Arial"/>
          <w:sz w:val="22"/>
          <w:szCs w:val="22"/>
        </w:rPr>
        <w:t>d</w:t>
      </w:r>
      <w:r w:rsidRPr="006E2B4E">
        <w:rPr>
          <w:rFonts w:ascii="Arial" w:hAnsi="Arial" w:cs="Arial"/>
          <w:sz w:val="22"/>
          <w:szCs w:val="22"/>
        </w:rPr>
        <w:t xml:space="preserve">el Estado de San Luis Potosí y en la Resolución de la Suprema Corte de Justicia de la Nación emitida dentro de la Controversia Constitucional Numero 325/2019; </w:t>
      </w:r>
    </w:p>
    <w:p w:rsidR="00914AAD" w:rsidRPr="006E2B4E" w:rsidRDefault="00914AAD" w:rsidP="0090066D">
      <w:pPr>
        <w:autoSpaceDE w:val="0"/>
        <w:autoSpaceDN w:val="0"/>
        <w:adjustRightInd w:val="0"/>
        <w:jc w:val="both"/>
        <w:rPr>
          <w:rFonts w:ascii="Arial" w:hAnsi="Arial" w:cs="Arial"/>
          <w:sz w:val="22"/>
          <w:szCs w:val="22"/>
        </w:rPr>
      </w:pPr>
    </w:p>
    <w:p w:rsidR="0090066D" w:rsidRPr="006E2B4E" w:rsidRDefault="0090066D" w:rsidP="0090066D">
      <w:pPr>
        <w:autoSpaceDE w:val="0"/>
        <w:autoSpaceDN w:val="0"/>
        <w:adjustRightInd w:val="0"/>
        <w:jc w:val="both"/>
        <w:rPr>
          <w:rFonts w:ascii="Arial" w:hAnsi="Arial" w:cs="Arial"/>
          <w:sz w:val="22"/>
          <w:szCs w:val="22"/>
        </w:rPr>
      </w:pPr>
      <w:r w:rsidRPr="006E2B4E">
        <w:rPr>
          <w:rFonts w:ascii="Arial" w:hAnsi="Arial" w:cs="Arial"/>
          <w:sz w:val="22"/>
          <w:szCs w:val="22"/>
        </w:rPr>
        <w:t xml:space="preserve">La información que se reserva válidamente puede constituir como dato de prueba en los registros de la investigación, independientemente de su contenido o naturaleza, y que son estrictamente reservados; ya que en términos del artículo 218 del Código Nacional de Procedimientos Penales; esta información únicamente puede tener acceso las partes, con las limitaciones establecidas en este Código y demás disposiciones aplicables. De igual manera, la información que sobre la que se emite la reserva, forma parte de la base de datos del Sistema de Seguridad Publica cuya información se señala como reserva en la Ley del Sistema de Seguridad Pública </w:t>
      </w:r>
      <w:r w:rsidR="0031340E">
        <w:rPr>
          <w:rFonts w:ascii="Arial" w:hAnsi="Arial" w:cs="Arial"/>
          <w:sz w:val="22"/>
          <w:szCs w:val="22"/>
        </w:rPr>
        <w:t>d</w:t>
      </w:r>
      <w:r w:rsidRPr="006E2B4E">
        <w:rPr>
          <w:rFonts w:ascii="Arial" w:hAnsi="Arial" w:cs="Arial"/>
          <w:sz w:val="22"/>
          <w:szCs w:val="22"/>
        </w:rPr>
        <w:t xml:space="preserve">el Estado de San Luis Potosí en los artículos 93, 93 bis, 94, fracciones I y II, 95 fracción VI, 97 fracciones I y II, 99, fracciones I y III. </w:t>
      </w:r>
    </w:p>
    <w:p w:rsidR="0090066D" w:rsidRPr="006E2B4E" w:rsidRDefault="0090066D" w:rsidP="0090066D">
      <w:pPr>
        <w:autoSpaceDE w:val="0"/>
        <w:autoSpaceDN w:val="0"/>
        <w:adjustRightInd w:val="0"/>
        <w:jc w:val="both"/>
        <w:rPr>
          <w:rFonts w:ascii="Arial" w:hAnsi="Arial" w:cs="Arial"/>
          <w:sz w:val="22"/>
          <w:szCs w:val="22"/>
        </w:rPr>
      </w:pPr>
    </w:p>
    <w:p w:rsidR="00EC019A" w:rsidRPr="006E2B4E" w:rsidRDefault="0090066D" w:rsidP="0090066D">
      <w:pPr>
        <w:autoSpaceDE w:val="0"/>
        <w:autoSpaceDN w:val="0"/>
        <w:adjustRightInd w:val="0"/>
        <w:jc w:val="both"/>
        <w:rPr>
          <w:rFonts w:ascii="Arial" w:hAnsi="Arial" w:cs="Arial"/>
          <w:sz w:val="22"/>
          <w:szCs w:val="22"/>
        </w:rPr>
      </w:pPr>
      <w:r w:rsidRPr="006E2B4E">
        <w:rPr>
          <w:rFonts w:ascii="Arial" w:hAnsi="Arial" w:cs="Arial"/>
          <w:sz w:val="22"/>
          <w:szCs w:val="22"/>
        </w:rPr>
        <w:t xml:space="preserve">La divulgación de los nombres, primer apellido, segundo apellido, sexo y área de adscripción necesarias para la información pública relativa a la remuneración neta y bruta del mes de </w:t>
      </w:r>
      <w:r w:rsidR="00315526">
        <w:rPr>
          <w:rFonts w:ascii="Arial" w:hAnsi="Arial" w:cs="Arial"/>
          <w:b/>
          <w:sz w:val="22"/>
          <w:szCs w:val="22"/>
        </w:rPr>
        <w:t>junio</w:t>
      </w:r>
      <w:r w:rsidR="00345FA2" w:rsidRPr="006E2B4E">
        <w:rPr>
          <w:rFonts w:ascii="Arial" w:hAnsi="Arial" w:cs="Arial"/>
          <w:b/>
          <w:sz w:val="22"/>
          <w:szCs w:val="22"/>
        </w:rPr>
        <w:t xml:space="preserve"> </w:t>
      </w:r>
      <w:r w:rsidRPr="006E2B4E">
        <w:rPr>
          <w:rFonts w:ascii="Arial" w:hAnsi="Arial" w:cs="Arial"/>
          <w:b/>
          <w:sz w:val="22"/>
          <w:szCs w:val="22"/>
        </w:rPr>
        <w:t>202</w:t>
      </w:r>
      <w:r w:rsidR="00491477" w:rsidRPr="006E2B4E">
        <w:rPr>
          <w:rFonts w:ascii="Arial" w:hAnsi="Arial" w:cs="Arial"/>
          <w:b/>
          <w:sz w:val="22"/>
          <w:szCs w:val="22"/>
        </w:rPr>
        <w:t>6</w:t>
      </w:r>
      <w:r w:rsidRPr="006E2B4E">
        <w:rPr>
          <w:rFonts w:ascii="Arial" w:hAnsi="Arial" w:cs="Arial"/>
          <w:sz w:val="22"/>
          <w:szCs w:val="22"/>
        </w:rPr>
        <w:t>, del personal cuyas funciones están directa o indirectamente vinculadas a los procesos de integración de carpetas de investigación, registro de evidencias, proceso de investigación y detención de presuntos responsables, hasta el proceso de judicialización de las carpetas de investigación, facilita su identificación y ubicación, lo cual puede ser utilizado por terceros en aras de desviar la conducción del debido proceso mediante amenazas, chantajes o sobornos para la manipulación de información, alteración, destrucción u ocultación de pruebas o evidencia, en perjuicio directo de la parte afectada y por ende de la sociedad en su conjunto, lo anterior previsto en el artículo 220 del Código Nacional de Procedimientos Penales.</w:t>
      </w:r>
    </w:p>
    <w:p w:rsidR="00914AAD" w:rsidRPr="006E2B4E" w:rsidRDefault="00914AAD" w:rsidP="00C57509">
      <w:pPr>
        <w:jc w:val="both"/>
        <w:rPr>
          <w:rFonts w:ascii="Arial" w:hAnsi="Arial" w:cs="Arial"/>
          <w:sz w:val="22"/>
          <w:szCs w:val="22"/>
        </w:rPr>
      </w:pPr>
    </w:p>
    <w:p w:rsidR="000E4FF6" w:rsidRPr="006E2B4E" w:rsidRDefault="00045C57" w:rsidP="000E4FF6">
      <w:pPr>
        <w:jc w:val="both"/>
        <w:rPr>
          <w:rFonts w:ascii="Arial" w:hAnsi="Arial" w:cs="Arial"/>
          <w:sz w:val="22"/>
          <w:szCs w:val="22"/>
        </w:rPr>
      </w:pPr>
      <w:r w:rsidRPr="006E2B4E">
        <w:rPr>
          <w:rFonts w:ascii="Arial" w:hAnsi="Arial" w:cs="Arial"/>
          <w:sz w:val="22"/>
          <w:szCs w:val="22"/>
        </w:rPr>
        <w:lastRenderedPageBreak/>
        <w:t>Fundamentación.</w:t>
      </w:r>
      <w:r w:rsidR="006060DC" w:rsidRPr="006E2B4E">
        <w:rPr>
          <w:rFonts w:ascii="Arial" w:hAnsi="Arial" w:cs="Arial"/>
          <w:sz w:val="22"/>
          <w:szCs w:val="22"/>
        </w:rPr>
        <w:t xml:space="preserve"> Ley</w:t>
      </w:r>
      <w:r w:rsidR="002F5BA4" w:rsidRPr="006E2B4E">
        <w:rPr>
          <w:rFonts w:ascii="Arial" w:hAnsi="Arial" w:cs="Arial"/>
          <w:sz w:val="22"/>
          <w:szCs w:val="22"/>
        </w:rPr>
        <w:t xml:space="preserve"> </w:t>
      </w:r>
      <w:r w:rsidR="006060DC" w:rsidRPr="006E2B4E">
        <w:rPr>
          <w:rFonts w:ascii="Arial" w:hAnsi="Arial" w:cs="Arial"/>
          <w:sz w:val="22"/>
          <w:szCs w:val="22"/>
        </w:rPr>
        <w:t xml:space="preserve">de Transparencia y Acceso a la Información Pública del Estado, artículos 3º fracciones II, XIII, XX, XXI, 113, 119, 120, </w:t>
      </w:r>
      <w:r w:rsidR="00894EB5" w:rsidRPr="006E2B4E">
        <w:rPr>
          <w:rFonts w:ascii="Arial" w:hAnsi="Arial" w:cs="Arial"/>
          <w:sz w:val="22"/>
          <w:szCs w:val="22"/>
        </w:rPr>
        <w:t>fracción</w:t>
      </w:r>
      <w:r w:rsidR="006060DC" w:rsidRPr="006E2B4E">
        <w:rPr>
          <w:rFonts w:ascii="Arial" w:hAnsi="Arial" w:cs="Arial"/>
          <w:sz w:val="22"/>
          <w:szCs w:val="22"/>
        </w:rPr>
        <w:t xml:space="preserve"> </w:t>
      </w:r>
      <w:r w:rsidR="0066700B" w:rsidRPr="006E2B4E">
        <w:rPr>
          <w:rFonts w:ascii="Arial" w:hAnsi="Arial" w:cs="Arial"/>
          <w:sz w:val="22"/>
          <w:szCs w:val="22"/>
        </w:rPr>
        <w:t>I</w:t>
      </w:r>
      <w:r w:rsidR="006060DC" w:rsidRPr="006E2B4E">
        <w:rPr>
          <w:rFonts w:ascii="Arial" w:hAnsi="Arial" w:cs="Arial"/>
          <w:sz w:val="22"/>
          <w:szCs w:val="22"/>
        </w:rPr>
        <w:t xml:space="preserve">, 129, </w:t>
      </w:r>
      <w:r w:rsidR="006B4DD5" w:rsidRPr="006E2B4E">
        <w:rPr>
          <w:rFonts w:ascii="Arial" w:hAnsi="Arial" w:cs="Arial"/>
          <w:sz w:val="22"/>
          <w:szCs w:val="22"/>
        </w:rPr>
        <w:t xml:space="preserve">fracción </w:t>
      </w:r>
      <w:r w:rsidR="0066700B" w:rsidRPr="006E2B4E">
        <w:rPr>
          <w:rFonts w:ascii="Arial" w:hAnsi="Arial" w:cs="Arial"/>
          <w:sz w:val="22"/>
          <w:szCs w:val="22"/>
        </w:rPr>
        <w:t>I</w:t>
      </w:r>
      <w:r w:rsidR="006060DC" w:rsidRPr="006E2B4E">
        <w:rPr>
          <w:rFonts w:ascii="Arial" w:hAnsi="Arial" w:cs="Arial"/>
          <w:sz w:val="22"/>
          <w:szCs w:val="22"/>
        </w:rPr>
        <w:t xml:space="preserve">, </w:t>
      </w:r>
      <w:r w:rsidR="00AE4D60" w:rsidRPr="006E2B4E">
        <w:rPr>
          <w:rFonts w:ascii="Arial" w:hAnsi="Arial" w:cs="Arial"/>
          <w:sz w:val="22"/>
          <w:szCs w:val="22"/>
        </w:rPr>
        <w:t xml:space="preserve">IV, XI </w:t>
      </w:r>
      <w:r w:rsidR="0066700B" w:rsidRPr="006E2B4E">
        <w:rPr>
          <w:rFonts w:ascii="Arial" w:hAnsi="Arial" w:cs="Arial"/>
          <w:sz w:val="22"/>
          <w:szCs w:val="22"/>
        </w:rPr>
        <w:t>y</w:t>
      </w:r>
      <w:r w:rsidR="005269BE" w:rsidRPr="006E2B4E">
        <w:rPr>
          <w:rFonts w:ascii="Arial" w:hAnsi="Arial" w:cs="Arial"/>
          <w:sz w:val="22"/>
          <w:szCs w:val="22"/>
        </w:rPr>
        <w:t xml:space="preserve"> XII, y</w:t>
      </w:r>
      <w:r w:rsidR="006060DC" w:rsidRPr="006E2B4E">
        <w:rPr>
          <w:rFonts w:ascii="Arial" w:hAnsi="Arial" w:cs="Arial"/>
          <w:sz w:val="22"/>
          <w:szCs w:val="22"/>
        </w:rPr>
        <w:t xml:space="preserve"> 132, Lineamientos Generales en materia de Clasificación y Desclasificación de información, así como para la Elaboración de Versiones Públicas, lineamiento décimo octavo</w:t>
      </w:r>
      <w:r w:rsidR="005269BE" w:rsidRPr="006E2B4E">
        <w:rPr>
          <w:rFonts w:ascii="Arial" w:hAnsi="Arial" w:cs="Arial"/>
          <w:sz w:val="22"/>
          <w:szCs w:val="22"/>
        </w:rPr>
        <w:t xml:space="preserve">, y Trigésimo segundo, Ley General del Sistema Nacional de Seguridad Pública, artículo 40, fracción XXI, 110, Ley del Sistema de Seguridad Pública del Estado de San Luis Potosí, artículo 56, fracción XXVI, 93, 93 BIS, </w:t>
      </w:r>
      <w:r w:rsidR="000E4FF6" w:rsidRPr="006E2B4E">
        <w:rPr>
          <w:rFonts w:ascii="Arial" w:hAnsi="Arial" w:cs="Arial"/>
          <w:sz w:val="22"/>
          <w:szCs w:val="22"/>
        </w:rPr>
        <w:t>94, 95, 97, 98, 99, 107, 126, Manual de Remuneraciones para los Servidores Públicos de la Fiscalía General del Estado de San Luis Potosí, Considerandos Cuarto, Sexto, y Octavo.</w:t>
      </w:r>
    </w:p>
    <w:p w:rsidR="00045C57" w:rsidRPr="006E2B4E" w:rsidRDefault="00045C57" w:rsidP="00C57509">
      <w:pPr>
        <w:jc w:val="both"/>
        <w:rPr>
          <w:rFonts w:ascii="Arial" w:hAnsi="Arial" w:cs="Arial"/>
          <w:sz w:val="22"/>
          <w:szCs w:val="22"/>
        </w:rPr>
      </w:pPr>
    </w:p>
    <w:p w:rsidR="00BF3665" w:rsidRDefault="007336C3" w:rsidP="00C57509">
      <w:pPr>
        <w:jc w:val="both"/>
        <w:rPr>
          <w:rFonts w:ascii="Arial" w:hAnsi="Arial" w:cs="Arial"/>
          <w:sz w:val="22"/>
          <w:szCs w:val="22"/>
        </w:rPr>
      </w:pPr>
      <w:r w:rsidRPr="006E2B4E">
        <w:rPr>
          <w:rFonts w:ascii="Arial" w:hAnsi="Arial" w:cs="Arial"/>
          <w:sz w:val="22"/>
          <w:szCs w:val="22"/>
        </w:rPr>
        <w:t xml:space="preserve">Razonamiento. </w:t>
      </w:r>
      <w:r w:rsidR="00374F51" w:rsidRPr="006E2B4E">
        <w:rPr>
          <w:rFonts w:ascii="Arial" w:hAnsi="Arial" w:cs="Arial"/>
          <w:sz w:val="22"/>
          <w:szCs w:val="22"/>
        </w:rPr>
        <w:t xml:space="preserve">El contador público Cesar Isidro Cruz, director </w:t>
      </w:r>
      <w:r w:rsidR="002C4DF5" w:rsidRPr="006E2B4E">
        <w:rPr>
          <w:rFonts w:ascii="Arial" w:hAnsi="Arial" w:cs="Arial"/>
          <w:sz w:val="22"/>
          <w:szCs w:val="22"/>
        </w:rPr>
        <w:t>G</w:t>
      </w:r>
      <w:r w:rsidR="00374F51" w:rsidRPr="006E2B4E">
        <w:rPr>
          <w:rFonts w:ascii="Arial" w:hAnsi="Arial" w:cs="Arial"/>
          <w:sz w:val="22"/>
          <w:szCs w:val="22"/>
        </w:rPr>
        <w:t xml:space="preserve">eneral de </w:t>
      </w:r>
      <w:r w:rsidR="002C4DF5" w:rsidRPr="006E2B4E">
        <w:rPr>
          <w:rFonts w:ascii="Arial" w:hAnsi="Arial" w:cs="Arial"/>
          <w:sz w:val="22"/>
          <w:szCs w:val="22"/>
        </w:rPr>
        <w:t>A</w:t>
      </w:r>
      <w:r w:rsidR="00374F51" w:rsidRPr="006E2B4E">
        <w:rPr>
          <w:rFonts w:ascii="Arial" w:hAnsi="Arial" w:cs="Arial"/>
          <w:sz w:val="22"/>
          <w:szCs w:val="22"/>
        </w:rPr>
        <w:t>dministración</w:t>
      </w:r>
      <w:r w:rsidR="008565C9" w:rsidRPr="006E2B4E">
        <w:rPr>
          <w:rFonts w:ascii="Arial" w:hAnsi="Arial" w:cs="Arial"/>
          <w:sz w:val="22"/>
          <w:szCs w:val="22"/>
        </w:rPr>
        <w:t xml:space="preserve"> </w:t>
      </w:r>
      <w:r w:rsidR="009819AE" w:rsidRPr="006E2B4E">
        <w:rPr>
          <w:rFonts w:ascii="Arial" w:hAnsi="Arial" w:cs="Arial"/>
          <w:sz w:val="22"/>
          <w:szCs w:val="22"/>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6E2B4E">
        <w:rPr>
          <w:rFonts w:ascii="Arial" w:hAnsi="Arial" w:cs="Arial"/>
          <w:sz w:val="22"/>
          <w:szCs w:val="22"/>
        </w:rPr>
        <w:t>t</w:t>
      </w:r>
      <w:r w:rsidR="009819AE" w:rsidRPr="006E2B4E">
        <w:rPr>
          <w:rFonts w:ascii="Arial" w:hAnsi="Arial" w:cs="Arial"/>
          <w:sz w:val="22"/>
          <w:szCs w:val="22"/>
        </w:rPr>
        <w:t>rigésimo tercero de los LGCDIEVP, los que a la letra establecen;</w:t>
      </w:r>
    </w:p>
    <w:p w:rsidR="006E2B4E" w:rsidRPr="006E2B4E" w:rsidRDefault="006E2B4E" w:rsidP="00C57509">
      <w:pPr>
        <w:jc w:val="both"/>
        <w:rPr>
          <w:rFonts w:ascii="Arial" w:hAnsi="Arial" w:cs="Arial"/>
          <w:sz w:val="22"/>
          <w:szCs w:val="22"/>
        </w:rPr>
      </w:pPr>
    </w:p>
    <w:p w:rsidR="00BF3665" w:rsidRPr="006E2B4E" w:rsidRDefault="009819AE" w:rsidP="006E2B4E">
      <w:pPr>
        <w:ind w:right="191"/>
        <w:jc w:val="both"/>
        <w:rPr>
          <w:rFonts w:ascii="Arial" w:hAnsi="Arial" w:cs="Arial"/>
          <w:i/>
          <w:sz w:val="20"/>
          <w:szCs w:val="20"/>
        </w:rPr>
      </w:pPr>
      <w:r w:rsidRPr="006E2B4E">
        <w:rPr>
          <w:rFonts w:ascii="Arial" w:hAnsi="Arial" w:cs="Arial"/>
          <w:b/>
          <w:i/>
          <w:sz w:val="20"/>
          <w:szCs w:val="20"/>
        </w:rPr>
        <w:t>Artículo 118.</w:t>
      </w:r>
      <w:r w:rsidRPr="006E2B4E">
        <w:rPr>
          <w:rFonts w:ascii="Arial" w:hAnsi="Arial" w:cs="Arial"/>
          <w:i/>
          <w:sz w:val="20"/>
          <w:szCs w:val="20"/>
        </w:rPr>
        <w:t xml:space="preserve"> En la aplicación de la prueba de daño, el sujeto obligado deberá justificar que:</w:t>
      </w:r>
    </w:p>
    <w:p w:rsidR="00BF3665" w:rsidRPr="006E2B4E" w:rsidRDefault="00BF3665" w:rsidP="006E2B4E">
      <w:pPr>
        <w:ind w:right="191"/>
        <w:jc w:val="both"/>
        <w:rPr>
          <w:rFonts w:ascii="Arial" w:hAnsi="Arial" w:cs="Arial"/>
          <w:i/>
          <w:sz w:val="20"/>
          <w:szCs w:val="20"/>
        </w:rPr>
      </w:pPr>
    </w:p>
    <w:p w:rsidR="00BF3665" w:rsidRPr="006E2B4E" w:rsidRDefault="009819AE" w:rsidP="006E2B4E">
      <w:pPr>
        <w:ind w:right="191"/>
        <w:jc w:val="both"/>
        <w:rPr>
          <w:rFonts w:ascii="Arial" w:hAnsi="Arial" w:cs="Arial"/>
          <w:i/>
          <w:sz w:val="20"/>
          <w:szCs w:val="20"/>
        </w:rPr>
      </w:pPr>
      <w:r w:rsidRPr="006E2B4E">
        <w:rPr>
          <w:rFonts w:ascii="Arial" w:hAnsi="Arial" w:cs="Arial"/>
          <w:i/>
          <w:sz w:val="20"/>
          <w:szCs w:val="20"/>
        </w:rPr>
        <w:t>I. La divulgación de la información representa un riesgo real, demostrable e identificable de perjuicio significativo al interés público;</w:t>
      </w:r>
    </w:p>
    <w:p w:rsidR="00BF3665" w:rsidRPr="006E2B4E" w:rsidRDefault="00BF3665" w:rsidP="006E2B4E">
      <w:pPr>
        <w:ind w:right="191"/>
        <w:jc w:val="both"/>
        <w:rPr>
          <w:rFonts w:ascii="Arial" w:hAnsi="Arial" w:cs="Arial"/>
          <w:i/>
          <w:sz w:val="20"/>
          <w:szCs w:val="20"/>
        </w:rPr>
      </w:pPr>
    </w:p>
    <w:p w:rsidR="00BF3665" w:rsidRPr="006E2B4E" w:rsidRDefault="009819AE" w:rsidP="006E2B4E">
      <w:pPr>
        <w:ind w:right="191"/>
        <w:jc w:val="both"/>
        <w:rPr>
          <w:rFonts w:ascii="Arial" w:hAnsi="Arial" w:cs="Arial"/>
          <w:i/>
          <w:sz w:val="20"/>
          <w:szCs w:val="20"/>
        </w:rPr>
      </w:pPr>
      <w:r w:rsidRPr="006E2B4E">
        <w:rPr>
          <w:rFonts w:ascii="Arial" w:hAnsi="Arial" w:cs="Arial"/>
          <w:i/>
          <w:sz w:val="20"/>
          <w:szCs w:val="20"/>
        </w:rPr>
        <w:t>II. El riesgo de perjuicio que supondría la divulgación supera el interés público general de que se difunda, y</w:t>
      </w:r>
    </w:p>
    <w:p w:rsidR="00BF3665" w:rsidRPr="006E2B4E" w:rsidRDefault="00BF3665" w:rsidP="006E2B4E">
      <w:pPr>
        <w:ind w:right="191"/>
        <w:jc w:val="both"/>
        <w:rPr>
          <w:rFonts w:ascii="Arial" w:hAnsi="Arial" w:cs="Arial"/>
          <w:i/>
          <w:sz w:val="20"/>
          <w:szCs w:val="20"/>
        </w:rPr>
      </w:pPr>
    </w:p>
    <w:p w:rsidR="00BF3665" w:rsidRPr="006E2B4E" w:rsidRDefault="009819AE" w:rsidP="006E2B4E">
      <w:pPr>
        <w:ind w:right="191"/>
        <w:jc w:val="both"/>
        <w:rPr>
          <w:rFonts w:ascii="Arial" w:hAnsi="Arial" w:cs="Arial"/>
          <w:i/>
          <w:sz w:val="20"/>
          <w:szCs w:val="20"/>
        </w:rPr>
      </w:pPr>
      <w:r w:rsidRPr="006E2B4E">
        <w:rPr>
          <w:rFonts w:ascii="Arial" w:hAnsi="Arial" w:cs="Arial"/>
          <w:i/>
          <w:sz w:val="20"/>
          <w:szCs w:val="20"/>
        </w:rPr>
        <w:t>III. La limitación se adecua al principio de proporcionalidad y representa el medio menos restrictivo disponible para evitar el perjuicio.</w:t>
      </w:r>
    </w:p>
    <w:p w:rsidR="00BF3665" w:rsidRPr="006E2B4E" w:rsidRDefault="00BF3665" w:rsidP="006E2B4E">
      <w:pPr>
        <w:ind w:right="191"/>
        <w:jc w:val="both"/>
        <w:rPr>
          <w:rFonts w:ascii="Arial" w:hAnsi="Arial" w:cs="Arial"/>
          <w:i/>
          <w:sz w:val="20"/>
          <w:szCs w:val="20"/>
        </w:rPr>
      </w:pPr>
    </w:p>
    <w:p w:rsidR="00BF3665" w:rsidRPr="006E2B4E" w:rsidRDefault="009819AE" w:rsidP="006E2B4E">
      <w:pPr>
        <w:ind w:right="191"/>
        <w:jc w:val="both"/>
        <w:rPr>
          <w:rFonts w:ascii="Arial" w:hAnsi="Arial" w:cs="Arial"/>
          <w:i/>
          <w:sz w:val="20"/>
          <w:szCs w:val="20"/>
        </w:rPr>
      </w:pPr>
      <w:r w:rsidRPr="006E2B4E">
        <w:rPr>
          <w:rFonts w:ascii="Arial" w:hAnsi="Arial" w:cs="Arial"/>
          <w:b/>
          <w:i/>
          <w:sz w:val="20"/>
          <w:szCs w:val="20"/>
        </w:rPr>
        <w:t>Trigésimo tercero</w:t>
      </w:r>
      <w:r w:rsidRPr="006E2B4E">
        <w:rPr>
          <w:rFonts w:ascii="Arial" w:hAnsi="Arial" w:cs="Arial"/>
          <w:i/>
          <w:sz w:val="20"/>
          <w:szCs w:val="20"/>
        </w:rPr>
        <w:t>. Para la aplicación de la prueba de daño a la que hace referencia el artículo 104 de la Ley General, los sujetos obligados atenderán lo siguiente:</w:t>
      </w:r>
    </w:p>
    <w:p w:rsidR="00BF3665" w:rsidRPr="006E2B4E" w:rsidRDefault="00BF3665" w:rsidP="006E2B4E">
      <w:pPr>
        <w:ind w:right="191"/>
        <w:jc w:val="both"/>
        <w:rPr>
          <w:rFonts w:ascii="Arial" w:hAnsi="Arial" w:cs="Arial"/>
          <w:i/>
          <w:sz w:val="20"/>
          <w:szCs w:val="20"/>
        </w:rPr>
      </w:pPr>
    </w:p>
    <w:p w:rsidR="00BF3665" w:rsidRPr="006E2B4E" w:rsidRDefault="009819AE" w:rsidP="006E2B4E">
      <w:pPr>
        <w:pStyle w:val="Prrafodelista"/>
        <w:numPr>
          <w:ilvl w:val="0"/>
          <w:numId w:val="3"/>
        </w:numPr>
        <w:ind w:left="0" w:right="191" w:firstLine="0"/>
        <w:jc w:val="both"/>
        <w:rPr>
          <w:rFonts w:ascii="Arial" w:hAnsi="Arial" w:cs="Arial"/>
          <w:i/>
          <w:sz w:val="20"/>
          <w:szCs w:val="20"/>
        </w:rPr>
      </w:pPr>
      <w:r w:rsidRPr="006E2B4E">
        <w:rPr>
          <w:rFonts w:ascii="Arial" w:hAnsi="Arial" w:cs="Arial"/>
          <w:i/>
          <w:sz w:val="20"/>
          <w:szCs w:val="20"/>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6E2B4E" w:rsidRDefault="00BF3665" w:rsidP="006E2B4E">
      <w:pPr>
        <w:ind w:right="191"/>
        <w:jc w:val="both"/>
        <w:rPr>
          <w:rFonts w:ascii="Arial" w:hAnsi="Arial" w:cs="Arial"/>
          <w:i/>
          <w:sz w:val="20"/>
          <w:szCs w:val="20"/>
        </w:rPr>
      </w:pPr>
    </w:p>
    <w:p w:rsidR="00BF3665" w:rsidRPr="006E2B4E" w:rsidRDefault="009819AE" w:rsidP="006E2B4E">
      <w:pPr>
        <w:pStyle w:val="Prrafodelista"/>
        <w:numPr>
          <w:ilvl w:val="0"/>
          <w:numId w:val="3"/>
        </w:numPr>
        <w:ind w:left="0" w:right="191" w:firstLine="0"/>
        <w:jc w:val="both"/>
        <w:rPr>
          <w:rFonts w:ascii="Arial" w:hAnsi="Arial" w:cs="Arial"/>
          <w:i/>
          <w:sz w:val="20"/>
          <w:szCs w:val="20"/>
        </w:rPr>
      </w:pPr>
      <w:r w:rsidRPr="006E2B4E">
        <w:rPr>
          <w:rFonts w:ascii="Arial" w:hAnsi="Arial" w:cs="Arial"/>
          <w:i/>
          <w:sz w:val="20"/>
          <w:szCs w:val="20"/>
        </w:rPr>
        <w:t>Se deberá motivar la clasificación, señalando las circunstancias de modo, tiempo y lugar que acrediten el vínculo entre la difusión de la información y la afectación al interés público o a la seguridad nacional;</w:t>
      </w:r>
    </w:p>
    <w:p w:rsidR="00BF3665" w:rsidRPr="006E2B4E" w:rsidRDefault="00BF3665" w:rsidP="006E2B4E">
      <w:pPr>
        <w:ind w:right="191"/>
        <w:jc w:val="both"/>
        <w:rPr>
          <w:rFonts w:ascii="Arial" w:hAnsi="Arial" w:cs="Arial"/>
          <w:i/>
          <w:sz w:val="20"/>
          <w:szCs w:val="20"/>
        </w:rPr>
      </w:pPr>
    </w:p>
    <w:p w:rsidR="00BF3665" w:rsidRPr="006E2B4E" w:rsidRDefault="009819AE" w:rsidP="006E2B4E">
      <w:pPr>
        <w:pStyle w:val="Prrafodelista"/>
        <w:numPr>
          <w:ilvl w:val="0"/>
          <w:numId w:val="3"/>
        </w:numPr>
        <w:ind w:left="0" w:right="191" w:firstLine="0"/>
        <w:jc w:val="both"/>
        <w:rPr>
          <w:rFonts w:ascii="Arial" w:hAnsi="Arial" w:cs="Arial"/>
          <w:i/>
          <w:sz w:val="20"/>
          <w:szCs w:val="20"/>
        </w:rPr>
      </w:pPr>
      <w:r w:rsidRPr="006E2B4E">
        <w:rPr>
          <w:rFonts w:ascii="Arial" w:hAnsi="Arial" w:cs="Arial"/>
          <w:i/>
          <w:sz w:val="20"/>
          <w:szCs w:val="20"/>
        </w:rPr>
        <w:t>Se deberán precisar las razones objetivas por las que la apertura de la información generaría un riesgo de perjuicio real, demostrable e identificable al interés jurídico tutelado de que se trate;</w:t>
      </w:r>
    </w:p>
    <w:p w:rsidR="00BF3665" w:rsidRPr="006E2B4E" w:rsidRDefault="00BF3665" w:rsidP="006E2B4E">
      <w:pPr>
        <w:ind w:right="191"/>
        <w:jc w:val="both"/>
        <w:rPr>
          <w:rFonts w:ascii="Arial" w:hAnsi="Arial" w:cs="Arial"/>
          <w:i/>
          <w:sz w:val="20"/>
          <w:szCs w:val="20"/>
        </w:rPr>
      </w:pPr>
    </w:p>
    <w:p w:rsidR="00BF3665" w:rsidRPr="006E2B4E" w:rsidRDefault="009819AE" w:rsidP="006E2B4E">
      <w:pPr>
        <w:pStyle w:val="Prrafodelista"/>
        <w:numPr>
          <w:ilvl w:val="0"/>
          <w:numId w:val="3"/>
        </w:numPr>
        <w:ind w:left="0" w:right="191" w:firstLine="0"/>
        <w:jc w:val="both"/>
        <w:rPr>
          <w:rFonts w:ascii="Arial" w:hAnsi="Arial" w:cs="Arial"/>
          <w:i/>
          <w:sz w:val="20"/>
          <w:szCs w:val="20"/>
        </w:rPr>
      </w:pPr>
      <w:r w:rsidRPr="006E2B4E">
        <w:rPr>
          <w:rFonts w:ascii="Arial" w:hAnsi="Arial" w:cs="Arial"/>
          <w:i/>
          <w:sz w:val="20"/>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6E2B4E" w:rsidRDefault="009819AE" w:rsidP="006E2B4E">
      <w:pPr>
        <w:pStyle w:val="Prrafodelista"/>
        <w:numPr>
          <w:ilvl w:val="0"/>
          <w:numId w:val="3"/>
        </w:numPr>
        <w:ind w:left="0" w:right="191" w:firstLine="0"/>
        <w:jc w:val="both"/>
        <w:rPr>
          <w:rFonts w:ascii="Arial" w:hAnsi="Arial" w:cs="Arial"/>
          <w:i/>
          <w:sz w:val="20"/>
          <w:szCs w:val="20"/>
        </w:rPr>
      </w:pPr>
      <w:r w:rsidRPr="006E2B4E">
        <w:rPr>
          <w:rFonts w:ascii="Arial" w:hAnsi="Arial" w:cs="Arial"/>
          <w:i/>
          <w:sz w:val="20"/>
          <w:szCs w:val="20"/>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6E2B4E" w:rsidRDefault="00BF3665" w:rsidP="006E2B4E">
      <w:pPr>
        <w:ind w:right="191"/>
        <w:jc w:val="both"/>
        <w:rPr>
          <w:rFonts w:ascii="Arial" w:hAnsi="Arial" w:cs="Arial"/>
          <w:i/>
          <w:sz w:val="20"/>
          <w:szCs w:val="20"/>
        </w:rPr>
      </w:pPr>
    </w:p>
    <w:p w:rsidR="00BF3665" w:rsidRPr="006E2B4E" w:rsidRDefault="009819AE" w:rsidP="006E2B4E">
      <w:pPr>
        <w:pStyle w:val="Prrafodelista"/>
        <w:numPr>
          <w:ilvl w:val="0"/>
          <w:numId w:val="3"/>
        </w:numPr>
        <w:ind w:left="0" w:right="191" w:firstLine="0"/>
        <w:jc w:val="both"/>
        <w:rPr>
          <w:rFonts w:ascii="Arial" w:hAnsi="Arial" w:cs="Arial"/>
          <w:i/>
          <w:sz w:val="20"/>
          <w:szCs w:val="20"/>
        </w:rPr>
      </w:pPr>
      <w:r w:rsidRPr="006E2B4E">
        <w:rPr>
          <w:rFonts w:ascii="Arial" w:hAnsi="Arial" w:cs="Arial"/>
          <w:i/>
          <w:sz w:val="20"/>
          <w:szCs w:val="20"/>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1A6119" w:rsidRPr="006E2B4E" w:rsidRDefault="001A6119" w:rsidP="006E2B4E">
      <w:pPr>
        <w:jc w:val="both"/>
        <w:rPr>
          <w:rFonts w:ascii="Arial" w:hAnsi="Arial" w:cs="Arial"/>
          <w:sz w:val="20"/>
          <w:szCs w:val="20"/>
        </w:rPr>
      </w:pPr>
    </w:p>
    <w:p w:rsidR="00823F6E" w:rsidRPr="006E2B4E" w:rsidRDefault="00823F6E" w:rsidP="00823F6E">
      <w:pPr>
        <w:jc w:val="both"/>
        <w:rPr>
          <w:rFonts w:ascii="Arial" w:hAnsi="Arial" w:cs="Arial"/>
          <w:sz w:val="22"/>
          <w:szCs w:val="22"/>
        </w:rPr>
      </w:pPr>
      <w:r w:rsidRPr="006E2B4E">
        <w:rPr>
          <w:rFonts w:ascii="Arial" w:hAnsi="Arial" w:cs="Arial"/>
          <w:sz w:val="22"/>
          <w:szCs w:val="22"/>
        </w:rPr>
        <w:lastRenderedPageBreak/>
        <w:t>La divulgación de los datos que se reservan podría:</w:t>
      </w:r>
    </w:p>
    <w:p w:rsidR="00823F6E" w:rsidRPr="006E2B4E" w:rsidRDefault="00823F6E" w:rsidP="00823F6E">
      <w:pPr>
        <w:jc w:val="both"/>
        <w:rPr>
          <w:rFonts w:ascii="Arial" w:hAnsi="Arial" w:cs="Arial"/>
          <w:sz w:val="22"/>
          <w:szCs w:val="22"/>
        </w:rPr>
      </w:pPr>
    </w:p>
    <w:p w:rsidR="00823F6E" w:rsidRPr="006E2B4E" w:rsidRDefault="00823F6E" w:rsidP="00BC31AA">
      <w:pPr>
        <w:pStyle w:val="Prrafodelista"/>
        <w:numPr>
          <w:ilvl w:val="0"/>
          <w:numId w:val="14"/>
        </w:numPr>
        <w:jc w:val="both"/>
        <w:rPr>
          <w:rFonts w:ascii="Arial" w:hAnsi="Arial" w:cs="Arial"/>
          <w:sz w:val="22"/>
          <w:szCs w:val="22"/>
        </w:rPr>
      </w:pPr>
      <w:r w:rsidRPr="006E2B4E">
        <w:rPr>
          <w:rFonts w:ascii="Arial" w:hAnsi="Arial" w:cs="Arial"/>
          <w:sz w:val="22"/>
          <w:szCs w:val="22"/>
        </w:rPr>
        <w:t xml:space="preserve">Identificar de forma plena al personal operativo, y o adscrito a </w:t>
      </w:r>
      <w:r w:rsidR="00BC31AA" w:rsidRPr="006E2B4E">
        <w:rPr>
          <w:rFonts w:ascii="Arial" w:hAnsi="Arial" w:cs="Arial"/>
          <w:sz w:val="22"/>
          <w:szCs w:val="22"/>
        </w:rPr>
        <w:t xml:space="preserve">estas </w:t>
      </w:r>
      <w:r w:rsidRPr="006E2B4E">
        <w:rPr>
          <w:rFonts w:ascii="Arial" w:hAnsi="Arial" w:cs="Arial"/>
          <w:sz w:val="22"/>
          <w:szCs w:val="22"/>
        </w:rPr>
        <w:t xml:space="preserve">áreas, </w:t>
      </w:r>
      <w:r w:rsidR="00BC31AA" w:rsidRPr="006E2B4E">
        <w:rPr>
          <w:rFonts w:ascii="Arial" w:hAnsi="Arial" w:cs="Arial"/>
          <w:sz w:val="22"/>
          <w:szCs w:val="22"/>
        </w:rPr>
        <w:t xml:space="preserve">dándole a conocer a apersonas malintencionadas, la </w:t>
      </w:r>
      <w:r w:rsidRPr="006E2B4E">
        <w:rPr>
          <w:rFonts w:ascii="Arial" w:hAnsi="Arial" w:cs="Arial"/>
          <w:sz w:val="22"/>
          <w:szCs w:val="22"/>
        </w:rPr>
        <w:t xml:space="preserve">capacidad de reacción de la institución, </w:t>
      </w:r>
      <w:r w:rsidR="00BC31AA" w:rsidRPr="006E2B4E">
        <w:rPr>
          <w:rFonts w:ascii="Arial" w:hAnsi="Arial" w:cs="Arial"/>
          <w:sz w:val="22"/>
          <w:szCs w:val="22"/>
        </w:rPr>
        <w:t>ya que podrían cuantificar al</w:t>
      </w:r>
      <w:r w:rsidRPr="006E2B4E">
        <w:rPr>
          <w:rFonts w:ascii="Arial" w:hAnsi="Arial" w:cs="Arial"/>
          <w:sz w:val="22"/>
          <w:szCs w:val="22"/>
        </w:rPr>
        <w:t xml:space="preserve"> personal sustantivo,</w:t>
      </w:r>
      <w:r w:rsidR="00BC31AA" w:rsidRPr="006E2B4E">
        <w:rPr>
          <w:rFonts w:ascii="Arial" w:hAnsi="Arial" w:cs="Arial"/>
          <w:sz w:val="22"/>
          <w:szCs w:val="22"/>
        </w:rPr>
        <w:t xml:space="preserve"> desagregándolo por su sexo, </w:t>
      </w:r>
      <w:r w:rsidRPr="006E2B4E">
        <w:rPr>
          <w:rFonts w:ascii="Arial" w:hAnsi="Arial" w:cs="Arial"/>
          <w:sz w:val="22"/>
          <w:szCs w:val="22"/>
        </w:rPr>
        <w:t xml:space="preserve"> </w:t>
      </w:r>
      <w:r w:rsidR="002608EC" w:rsidRPr="006E2B4E">
        <w:rPr>
          <w:rFonts w:ascii="Arial" w:hAnsi="Arial" w:cs="Arial"/>
          <w:sz w:val="22"/>
          <w:szCs w:val="22"/>
        </w:rPr>
        <w:t>y con esta información</w:t>
      </w:r>
      <w:r w:rsidR="00BC31AA" w:rsidRPr="006E2B4E">
        <w:rPr>
          <w:rFonts w:ascii="Arial" w:hAnsi="Arial" w:cs="Arial"/>
          <w:sz w:val="22"/>
          <w:szCs w:val="22"/>
        </w:rPr>
        <w:t xml:space="preserve">, al relacionarla con su área de adscripción, </w:t>
      </w:r>
      <w:r w:rsidR="002608EC" w:rsidRPr="006E2B4E">
        <w:rPr>
          <w:rFonts w:ascii="Arial" w:hAnsi="Arial" w:cs="Arial"/>
          <w:sz w:val="22"/>
          <w:szCs w:val="22"/>
        </w:rPr>
        <w:t xml:space="preserve"> podrían </w:t>
      </w:r>
      <w:r w:rsidRPr="006E2B4E">
        <w:rPr>
          <w:rFonts w:ascii="Arial" w:hAnsi="Arial" w:cs="Arial"/>
          <w:sz w:val="22"/>
          <w:szCs w:val="22"/>
        </w:rPr>
        <w:t xml:space="preserve">entorpecer los actos de investigación, de inteligencia, e incluso contrainteligencia </w:t>
      </w:r>
      <w:r w:rsidR="002608EC" w:rsidRPr="006E2B4E">
        <w:rPr>
          <w:rFonts w:ascii="Arial" w:hAnsi="Arial" w:cs="Arial"/>
          <w:sz w:val="22"/>
          <w:szCs w:val="22"/>
        </w:rPr>
        <w:t xml:space="preserve">comprometiendo </w:t>
      </w:r>
      <w:r w:rsidRPr="006E2B4E">
        <w:rPr>
          <w:rFonts w:ascii="Arial" w:hAnsi="Arial" w:cs="Arial"/>
          <w:sz w:val="22"/>
          <w:szCs w:val="22"/>
        </w:rPr>
        <w:t xml:space="preserve">la seguridad </w:t>
      </w:r>
      <w:r w:rsidR="002608EC" w:rsidRPr="006E2B4E">
        <w:rPr>
          <w:rFonts w:ascii="Arial" w:hAnsi="Arial" w:cs="Arial"/>
          <w:sz w:val="22"/>
          <w:szCs w:val="22"/>
        </w:rPr>
        <w:t>del Estado,</w:t>
      </w:r>
      <w:r w:rsidRPr="006E2B4E">
        <w:rPr>
          <w:rFonts w:ascii="Arial" w:hAnsi="Arial" w:cs="Arial"/>
          <w:sz w:val="22"/>
          <w:szCs w:val="22"/>
        </w:rPr>
        <w:t xml:space="preserve"> o la capacidad </w:t>
      </w:r>
      <w:r w:rsidR="002608EC" w:rsidRPr="006E2B4E">
        <w:rPr>
          <w:rFonts w:ascii="Arial" w:hAnsi="Arial" w:cs="Arial"/>
          <w:sz w:val="22"/>
          <w:szCs w:val="22"/>
        </w:rPr>
        <w:t>ejecutiva</w:t>
      </w:r>
      <w:r w:rsidRPr="006E2B4E">
        <w:rPr>
          <w:rFonts w:ascii="Arial" w:hAnsi="Arial" w:cs="Arial"/>
          <w:sz w:val="22"/>
          <w:szCs w:val="22"/>
        </w:rPr>
        <w:t xml:space="preserve"> de las fuerzas de seguridad.</w:t>
      </w:r>
    </w:p>
    <w:p w:rsidR="00823F6E" w:rsidRPr="006E2B4E" w:rsidRDefault="00823F6E" w:rsidP="00823F6E">
      <w:pPr>
        <w:pStyle w:val="Prrafodelista"/>
        <w:numPr>
          <w:ilvl w:val="0"/>
          <w:numId w:val="14"/>
        </w:numPr>
        <w:jc w:val="both"/>
        <w:rPr>
          <w:rFonts w:ascii="Arial" w:hAnsi="Arial" w:cs="Arial"/>
          <w:sz w:val="22"/>
          <w:szCs w:val="22"/>
        </w:rPr>
      </w:pPr>
      <w:r w:rsidRPr="006E2B4E">
        <w:rPr>
          <w:rFonts w:ascii="Arial" w:hAnsi="Arial" w:cs="Arial"/>
          <w:sz w:val="22"/>
          <w:szCs w:val="22"/>
        </w:rPr>
        <w:t>Exponer rutas de operación o traslados de personal involucrado en investigaciones, persecución del delito o vigilancia encubierta.</w:t>
      </w:r>
    </w:p>
    <w:p w:rsidR="00823F6E" w:rsidRPr="006E2B4E" w:rsidRDefault="00823F6E" w:rsidP="00823F6E">
      <w:pPr>
        <w:pStyle w:val="Prrafodelista"/>
        <w:numPr>
          <w:ilvl w:val="0"/>
          <w:numId w:val="14"/>
        </w:numPr>
        <w:jc w:val="both"/>
        <w:rPr>
          <w:rFonts w:ascii="Arial" w:hAnsi="Arial" w:cs="Arial"/>
          <w:sz w:val="22"/>
          <w:szCs w:val="22"/>
        </w:rPr>
      </w:pPr>
      <w:r w:rsidRPr="006E2B4E">
        <w:rPr>
          <w:rFonts w:ascii="Arial" w:hAnsi="Arial" w:cs="Arial"/>
          <w:sz w:val="22"/>
          <w:szCs w:val="22"/>
        </w:rPr>
        <w:t>Permitir la elaboración de patrones de conducta o ubicaciones frecuentes, facilitando acciones delictivas como emboscadas, seguimiento o extorsión.</w:t>
      </w:r>
    </w:p>
    <w:p w:rsidR="00823F6E" w:rsidRPr="006E2B4E" w:rsidRDefault="00823F6E" w:rsidP="00C57509">
      <w:pPr>
        <w:jc w:val="both"/>
        <w:rPr>
          <w:rFonts w:ascii="Arial" w:eastAsia="Times New Roman" w:hAnsi="Arial" w:cs="Arial"/>
          <w:sz w:val="22"/>
          <w:szCs w:val="22"/>
        </w:rPr>
      </w:pPr>
    </w:p>
    <w:p w:rsidR="001C2EAB" w:rsidRPr="006E2B4E" w:rsidRDefault="007336C3" w:rsidP="00C57509">
      <w:pPr>
        <w:jc w:val="both"/>
        <w:rPr>
          <w:rFonts w:ascii="Arial" w:eastAsia="Times New Roman" w:hAnsi="Arial" w:cs="Arial"/>
          <w:sz w:val="22"/>
          <w:szCs w:val="22"/>
          <w:lang w:val="es-ES"/>
        </w:rPr>
      </w:pPr>
      <w:r w:rsidRPr="006E2B4E">
        <w:rPr>
          <w:rFonts w:ascii="Arial" w:eastAsia="Times New Roman" w:hAnsi="Arial" w:cs="Arial"/>
          <w:sz w:val="22"/>
          <w:szCs w:val="22"/>
          <w:lang w:val="es-ES"/>
        </w:rPr>
        <w:t>Con el ánimo de evitar repeticiones innecesarias se tienen aquí por reproducido el desarrollo de cada una de las hipótesis, aunado a que realiza una adecuada ponderación de derechos como lo solicita el lineamiento aplicable.</w:t>
      </w:r>
    </w:p>
    <w:p w:rsidR="00CA6E6A" w:rsidRPr="006E2B4E" w:rsidRDefault="00CA6E6A" w:rsidP="00C57509">
      <w:pPr>
        <w:jc w:val="both"/>
        <w:rPr>
          <w:rFonts w:ascii="Arial" w:eastAsia="Times New Roman" w:hAnsi="Arial" w:cs="Arial"/>
          <w:sz w:val="22"/>
          <w:szCs w:val="22"/>
          <w:lang w:val="es-ES"/>
        </w:rPr>
      </w:pPr>
    </w:p>
    <w:p w:rsidR="007F6370" w:rsidRPr="006E2B4E" w:rsidRDefault="007F6370" w:rsidP="00C57509">
      <w:pPr>
        <w:jc w:val="both"/>
        <w:rPr>
          <w:rFonts w:ascii="Arial" w:eastAsia="Times New Roman" w:hAnsi="Arial" w:cs="Arial"/>
          <w:b/>
          <w:sz w:val="22"/>
          <w:szCs w:val="22"/>
          <w:lang w:val="es-ES"/>
        </w:rPr>
      </w:pPr>
      <w:r w:rsidRPr="006E2B4E">
        <w:rPr>
          <w:rFonts w:ascii="Arial" w:eastAsia="Times New Roman" w:hAnsi="Arial" w:cs="Arial"/>
          <w:b/>
          <w:sz w:val="22"/>
          <w:szCs w:val="22"/>
          <w:lang w:val="es-ES"/>
        </w:rPr>
        <w:t>Riesgo real, demostrable e identificable.</w:t>
      </w:r>
    </w:p>
    <w:p w:rsidR="007F6370" w:rsidRPr="006E2B4E" w:rsidRDefault="007F6370" w:rsidP="00C57509">
      <w:pPr>
        <w:jc w:val="both"/>
        <w:rPr>
          <w:rFonts w:ascii="Arial" w:eastAsia="Times New Roman" w:hAnsi="Arial" w:cs="Arial"/>
          <w:sz w:val="22"/>
          <w:szCs w:val="22"/>
          <w:lang w:val="es-ES"/>
        </w:rPr>
      </w:pPr>
    </w:p>
    <w:p w:rsidR="00CA6E6A" w:rsidRPr="006E2B4E" w:rsidRDefault="00CA6E6A" w:rsidP="00C57509">
      <w:pPr>
        <w:jc w:val="both"/>
        <w:rPr>
          <w:rFonts w:ascii="Arial" w:eastAsia="Times New Roman" w:hAnsi="Arial" w:cs="Arial"/>
          <w:sz w:val="22"/>
          <w:szCs w:val="22"/>
          <w:lang w:val="es-ES"/>
        </w:rPr>
      </w:pPr>
      <w:r w:rsidRPr="006E2B4E">
        <w:rPr>
          <w:rFonts w:ascii="Arial" w:eastAsia="Times New Roman" w:hAnsi="Arial" w:cs="Arial"/>
          <w:sz w:val="22"/>
          <w:szCs w:val="22"/>
          <w:lang w:val="es-ES"/>
        </w:rPr>
        <w:t>Qued</w:t>
      </w:r>
      <w:r w:rsidR="007F6370" w:rsidRPr="006E2B4E">
        <w:rPr>
          <w:rFonts w:ascii="Arial" w:eastAsia="Times New Roman" w:hAnsi="Arial" w:cs="Arial"/>
          <w:sz w:val="22"/>
          <w:szCs w:val="22"/>
          <w:lang w:val="es-ES"/>
        </w:rPr>
        <w:t xml:space="preserve">ó </w:t>
      </w:r>
      <w:r w:rsidRPr="006E2B4E">
        <w:rPr>
          <w:rFonts w:ascii="Arial" w:eastAsia="Times New Roman" w:hAnsi="Arial" w:cs="Arial"/>
          <w:sz w:val="22"/>
          <w:szCs w:val="22"/>
          <w:lang w:val="es-ES"/>
        </w:rPr>
        <w:t xml:space="preserve"> debidamente justificada la prueba de daño que causaría el proporcionar la información relacionada al nombre, sexo, y área de adscripción </w:t>
      </w:r>
      <w:r w:rsidR="007F6370" w:rsidRPr="006E2B4E">
        <w:rPr>
          <w:rFonts w:ascii="Arial" w:eastAsia="Times New Roman" w:hAnsi="Arial" w:cs="Arial"/>
          <w:sz w:val="22"/>
          <w:szCs w:val="22"/>
          <w:lang w:val="es-ES"/>
        </w:rPr>
        <w:t xml:space="preserve">de personas servidoras y/o ex servidoras públicas de </w:t>
      </w:r>
      <w:r w:rsidR="00BC31AA" w:rsidRPr="006E2B4E">
        <w:rPr>
          <w:rFonts w:ascii="Arial" w:eastAsia="Times New Roman" w:hAnsi="Arial" w:cs="Arial"/>
          <w:sz w:val="22"/>
          <w:szCs w:val="22"/>
          <w:lang w:val="es-ES"/>
        </w:rPr>
        <w:t>F</w:t>
      </w:r>
      <w:r w:rsidR="007F6370" w:rsidRPr="006E2B4E">
        <w:rPr>
          <w:rFonts w:ascii="Arial" w:eastAsia="Times New Roman" w:hAnsi="Arial" w:cs="Arial"/>
          <w:sz w:val="22"/>
          <w:szCs w:val="22"/>
          <w:lang w:val="es-ES"/>
        </w:rPr>
        <w:t>iscalía General del Estado,  adscrito a áreas sustantivas, incluyendo al personal administrativo</w:t>
      </w:r>
      <w:r w:rsidRPr="006E2B4E">
        <w:rPr>
          <w:rFonts w:ascii="Arial" w:eastAsia="Times New Roman" w:hAnsi="Arial" w:cs="Arial"/>
          <w:sz w:val="22"/>
          <w:szCs w:val="22"/>
          <w:lang w:val="es-ES"/>
        </w:rPr>
        <w:t xml:space="preserve">, pues como lo determinó Suprema Corte de Justicia de la Nación en la Controversia constitucional  325/2019, </w:t>
      </w:r>
      <w:r w:rsidR="00E87BD2" w:rsidRPr="006E2B4E">
        <w:rPr>
          <w:rFonts w:ascii="Arial" w:eastAsia="Times New Roman" w:hAnsi="Arial" w:cs="Arial"/>
          <w:sz w:val="22"/>
          <w:szCs w:val="22"/>
          <w:lang w:val="es-ES"/>
        </w:rPr>
        <w:t>“</w:t>
      </w:r>
      <w:r w:rsidRPr="006E2B4E">
        <w:rPr>
          <w:rFonts w:ascii="Arial" w:eastAsia="Times New Roman" w:hAnsi="Arial" w:cs="Arial"/>
          <w:sz w:val="22"/>
          <w:szCs w:val="22"/>
          <w:lang w:val="es-ES"/>
        </w:rPr>
        <w:t xml:space="preserve">hacer publico cualquier dato o información que haga identificable al personal operativo/sustantivo así como al administrativo que labora en la </w:t>
      </w:r>
      <w:r w:rsidR="000E5D42" w:rsidRPr="006E2B4E">
        <w:rPr>
          <w:rFonts w:ascii="Arial" w:eastAsia="Times New Roman" w:hAnsi="Arial" w:cs="Arial"/>
          <w:sz w:val="22"/>
          <w:szCs w:val="22"/>
          <w:lang w:val="es-ES"/>
        </w:rPr>
        <w:t>Fiscalía General de la Republica</w:t>
      </w:r>
      <w:r w:rsidRPr="006E2B4E">
        <w:rPr>
          <w:rFonts w:ascii="Arial" w:eastAsia="Times New Roman" w:hAnsi="Arial" w:cs="Arial"/>
          <w:sz w:val="22"/>
          <w:szCs w:val="22"/>
          <w:lang w:val="es-ES"/>
        </w:rPr>
        <w:t>, representa un riesgo real, demostrable e identificable de perjuicio significativo al interés público y a la seguridad pública nacional</w:t>
      </w:r>
      <w:r w:rsidR="00952B63" w:rsidRPr="006E2B4E">
        <w:rPr>
          <w:rFonts w:ascii="Arial" w:eastAsia="Times New Roman" w:hAnsi="Arial" w:cs="Arial"/>
          <w:sz w:val="22"/>
          <w:szCs w:val="22"/>
          <w:lang w:val="es-ES"/>
        </w:rPr>
        <w:t>”</w:t>
      </w:r>
      <w:r w:rsidRPr="006E2B4E">
        <w:rPr>
          <w:rFonts w:ascii="Arial" w:eastAsia="Times New Roman" w:hAnsi="Arial" w:cs="Arial"/>
          <w:sz w:val="22"/>
          <w:szCs w:val="22"/>
          <w:lang w:val="es-ES"/>
        </w:rPr>
        <w:t>, lo cual debe ser un espejo para las Fiscalía de las distintas Federaciones.</w:t>
      </w:r>
    </w:p>
    <w:p w:rsidR="00CA6E6A" w:rsidRPr="006E2B4E" w:rsidRDefault="00CA6E6A" w:rsidP="00C57509">
      <w:pPr>
        <w:jc w:val="both"/>
        <w:rPr>
          <w:rFonts w:ascii="Arial" w:eastAsia="Times New Roman" w:hAnsi="Arial" w:cs="Arial"/>
          <w:sz w:val="22"/>
          <w:szCs w:val="22"/>
          <w:lang w:val="es-ES"/>
        </w:rPr>
      </w:pPr>
    </w:p>
    <w:p w:rsidR="00327EA5" w:rsidRPr="006E2B4E" w:rsidRDefault="00327EA5"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 xml:space="preserve">En este sentido, con la finalidad de cumplir no solo con objetivos conferidos constitucionalmente a la Fiscalía General del Estado, sino también para mantener la seguridad pública en la colaboración con todas las instituciones democráticas del país es que dichas funciones son realizadas por las personas agentes del </w:t>
      </w:r>
      <w:r w:rsidR="00EC7365" w:rsidRPr="006E2B4E">
        <w:rPr>
          <w:rFonts w:ascii="Arial" w:eastAsia="Times New Roman" w:hAnsi="Arial" w:cs="Arial"/>
          <w:sz w:val="22"/>
          <w:szCs w:val="22"/>
          <w:lang w:val="es-ES"/>
        </w:rPr>
        <w:t xml:space="preserve">ministerio público, </w:t>
      </w:r>
      <w:r w:rsidRPr="006E2B4E">
        <w:rPr>
          <w:rFonts w:ascii="Arial" w:eastAsia="Times New Roman" w:hAnsi="Arial" w:cs="Arial"/>
          <w:sz w:val="22"/>
          <w:szCs w:val="22"/>
          <w:lang w:val="es-ES"/>
        </w:rPr>
        <w:t>policías y peritos, e invariablemente por el personal administrativo que labora en las diversas unidades administrativas que forman parte de la estructura orgánica este último si bien es cierto que no está en la primer línea de intervención, también lo es que por la naturaleza de las funciones de esta Institución,  en auxilio de aquellas, es quien tienen acceso a toda la información e insumos generados en la investigación de delitos, por lo que dar a conocer datos sobre estas pone en riesgo su vida, seguridad, salud e integridad, incluso la de sus familiares.</w:t>
      </w:r>
    </w:p>
    <w:p w:rsidR="00B735F7" w:rsidRPr="006E2B4E" w:rsidRDefault="00B735F7" w:rsidP="00327EA5">
      <w:pPr>
        <w:jc w:val="both"/>
        <w:rPr>
          <w:rFonts w:ascii="Arial" w:eastAsia="Times New Roman" w:hAnsi="Arial" w:cs="Arial"/>
          <w:sz w:val="22"/>
          <w:szCs w:val="22"/>
          <w:lang w:val="es-ES"/>
        </w:rPr>
      </w:pPr>
    </w:p>
    <w:p w:rsidR="00952B63" w:rsidRPr="006E2B4E" w:rsidRDefault="00952B63" w:rsidP="00952B63">
      <w:pPr>
        <w:jc w:val="both"/>
        <w:rPr>
          <w:rFonts w:ascii="Arial" w:eastAsia="Times New Roman" w:hAnsi="Arial" w:cs="Arial"/>
          <w:sz w:val="22"/>
          <w:szCs w:val="22"/>
          <w:lang w:val="es-ES"/>
        </w:rPr>
      </w:pPr>
      <w:r w:rsidRPr="006E2B4E">
        <w:rPr>
          <w:rFonts w:ascii="Arial" w:eastAsia="Times New Roman" w:hAnsi="Arial" w:cs="Arial"/>
          <w:sz w:val="22"/>
          <w:szCs w:val="22"/>
          <w:lang w:val="es-ES"/>
        </w:rPr>
        <w:t>Resulta claro que la participación del personal administrativo es de vital relevancia, pues, desde la elaboración, envío y recepción de oficios entre las unidades administrativas o Instituciones gubernamentales, hasta la integración de expedientes que en su caso se requieran, les es posible el acceso a información sensible contenida en esos documentos que evidentemente debe ser resguardada con el mayor sigilo.</w:t>
      </w:r>
    </w:p>
    <w:p w:rsidR="00952B63" w:rsidRPr="006E2B4E" w:rsidRDefault="00952B63" w:rsidP="00952B63">
      <w:pPr>
        <w:jc w:val="both"/>
        <w:rPr>
          <w:rFonts w:ascii="Arial" w:eastAsia="Times New Roman" w:hAnsi="Arial" w:cs="Arial"/>
          <w:sz w:val="22"/>
          <w:szCs w:val="22"/>
        </w:rPr>
      </w:pPr>
    </w:p>
    <w:p w:rsidR="00952B63" w:rsidRPr="006E2B4E" w:rsidRDefault="00952B63" w:rsidP="00952B63">
      <w:pPr>
        <w:jc w:val="both"/>
        <w:rPr>
          <w:rFonts w:ascii="Arial" w:eastAsia="Times New Roman" w:hAnsi="Arial" w:cs="Arial"/>
          <w:sz w:val="22"/>
          <w:szCs w:val="22"/>
          <w:lang w:val="es-ES"/>
        </w:rPr>
      </w:pPr>
      <w:r w:rsidRPr="006E2B4E">
        <w:rPr>
          <w:rFonts w:ascii="Arial" w:eastAsia="Times New Roman" w:hAnsi="Arial" w:cs="Arial"/>
          <w:sz w:val="22"/>
          <w:szCs w:val="22"/>
          <w:lang w:val="es-ES"/>
        </w:rPr>
        <w:t xml:space="preserve">Al respecto, se debe tomar en cuenta que en la aludida resolución de la Controversia constitucional 325/2019, el Alto Tribunal constitucional sostuvo que </w:t>
      </w:r>
      <w:r w:rsidR="001900BD" w:rsidRPr="006E2B4E">
        <w:rPr>
          <w:rFonts w:ascii="Arial" w:eastAsia="Times New Roman" w:hAnsi="Arial" w:cs="Arial"/>
          <w:sz w:val="22"/>
          <w:szCs w:val="22"/>
          <w:lang w:val="es-ES"/>
        </w:rPr>
        <w:t>“</w:t>
      </w:r>
      <w:r w:rsidRPr="006E2B4E">
        <w:rPr>
          <w:rFonts w:ascii="Arial" w:eastAsia="Times New Roman" w:hAnsi="Arial" w:cs="Arial"/>
          <w:i/>
          <w:sz w:val="22"/>
          <w:szCs w:val="22"/>
          <w:lang w:val="es-ES"/>
        </w:rPr>
        <w:t xml:space="preserve">el personal administrativo tiene injerencia en la </w:t>
      </w:r>
      <w:r w:rsidRPr="006E2B4E">
        <w:rPr>
          <w:rFonts w:ascii="Arial" w:eastAsia="Times New Roman" w:hAnsi="Arial" w:cs="Arial"/>
          <w:i/>
          <w:sz w:val="22"/>
          <w:szCs w:val="22"/>
          <w:lang w:val="es-ES"/>
        </w:rPr>
        <w:lastRenderedPageBreak/>
        <w:t>producción de información clave para procurar la impartición de justicia en el mercado criminal más peligroso de los Estados Unidos Mexicanos, por lo que permitir a los agentes criminales conocer cualquier tipo de información del personal que labora en la Fiscalía General de la República revelaría su capacidad de reacción: por ello, es perjudicial realizar la identificación de dicho personal, pues se pondría en riesgo su vida, seguridad, salud e integridad, incluso la de sus familiares, pues se demostró que únicamente con entregar el nombre y cargo de las personas servidoras y/o ex</w:t>
      </w:r>
      <w:r w:rsidR="001900BD" w:rsidRPr="006E2B4E">
        <w:rPr>
          <w:rFonts w:ascii="Arial" w:eastAsia="Times New Roman" w:hAnsi="Arial" w:cs="Arial"/>
          <w:i/>
          <w:sz w:val="22"/>
          <w:szCs w:val="22"/>
          <w:lang w:val="es-ES"/>
        </w:rPr>
        <w:t xml:space="preserve"> </w:t>
      </w:r>
      <w:r w:rsidRPr="006E2B4E">
        <w:rPr>
          <w:rFonts w:ascii="Arial" w:eastAsia="Times New Roman" w:hAnsi="Arial" w:cs="Arial"/>
          <w:i/>
          <w:sz w:val="22"/>
          <w:szCs w:val="22"/>
          <w:lang w:val="es-ES"/>
        </w:rPr>
        <w:t>servidoras públicas de la FGR</w:t>
      </w:r>
      <w:r w:rsidR="001900BD" w:rsidRPr="006E2B4E">
        <w:rPr>
          <w:rFonts w:ascii="Arial" w:eastAsia="Times New Roman" w:hAnsi="Arial" w:cs="Arial"/>
          <w:i/>
          <w:sz w:val="22"/>
          <w:szCs w:val="22"/>
          <w:lang w:val="es-ES"/>
        </w:rPr>
        <w:t>, se permitiría acceder a datos identificativos, académicos, electrónicos, patrimoniales, biométricos y los referentes a sus familiares</w:t>
      </w:r>
      <w:r w:rsidR="001900BD" w:rsidRPr="006E2B4E">
        <w:rPr>
          <w:rFonts w:ascii="Arial" w:eastAsia="Times New Roman" w:hAnsi="Arial" w:cs="Arial"/>
          <w:sz w:val="22"/>
          <w:szCs w:val="22"/>
          <w:lang w:val="es-ES"/>
        </w:rPr>
        <w:t>”.</w:t>
      </w:r>
      <w:r w:rsidRPr="006E2B4E">
        <w:rPr>
          <w:rFonts w:ascii="Arial" w:eastAsia="Times New Roman" w:hAnsi="Arial" w:cs="Arial"/>
          <w:sz w:val="22"/>
          <w:szCs w:val="22"/>
          <w:lang w:val="es-ES"/>
        </w:rPr>
        <w:t xml:space="preserve">                               </w:t>
      </w:r>
    </w:p>
    <w:p w:rsidR="00952B63" w:rsidRPr="006E2B4E" w:rsidRDefault="00952B63" w:rsidP="00952B63">
      <w:pPr>
        <w:jc w:val="both"/>
        <w:rPr>
          <w:rFonts w:ascii="Arial" w:eastAsia="Times New Roman" w:hAnsi="Arial" w:cs="Arial"/>
          <w:sz w:val="22"/>
          <w:szCs w:val="22"/>
          <w:lang w:val="es-ES"/>
        </w:rPr>
      </w:pPr>
    </w:p>
    <w:p w:rsidR="00952B63" w:rsidRPr="006E2B4E" w:rsidRDefault="00952B63" w:rsidP="00952B63">
      <w:pPr>
        <w:jc w:val="both"/>
        <w:rPr>
          <w:rFonts w:ascii="Arial" w:eastAsia="Times New Roman" w:hAnsi="Arial" w:cs="Arial"/>
          <w:sz w:val="22"/>
          <w:szCs w:val="22"/>
          <w:lang w:val="es-ES"/>
        </w:rPr>
      </w:pPr>
      <w:bookmarkStart w:id="3" w:name="_Hlk199496932"/>
      <w:r w:rsidRPr="006E2B4E">
        <w:rPr>
          <w:rFonts w:ascii="Arial" w:eastAsia="Times New Roman" w:hAnsi="Arial" w:cs="Arial"/>
          <w:sz w:val="22"/>
          <w:szCs w:val="22"/>
          <w:lang w:val="es-ES"/>
        </w:rPr>
        <w:t xml:space="preserve">Por lo anterior, se </w:t>
      </w:r>
      <w:r w:rsidR="001900BD" w:rsidRPr="006E2B4E">
        <w:rPr>
          <w:rFonts w:ascii="Arial" w:eastAsia="Times New Roman" w:hAnsi="Arial" w:cs="Arial"/>
          <w:sz w:val="22"/>
          <w:szCs w:val="22"/>
          <w:lang w:val="es-ES"/>
        </w:rPr>
        <w:t>concluye</w:t>
      </w:r>
      <w:r w:rsidRPr="006E2B4E">
        <w:rPr>
          <w:rFonts w:ascii="Arial" w:eastAsia="Times New Roman" w:hAnsi="Arial" w:cs="Arial"/>
          <w:sz w:val="22"/>
          <w:szCs w:val="22"/>
          <w:lang w:val="es-ES"/>
        </w:rPr>
        <w:t xml:space="preserve"> que el hacer público la información que se reserva,</w:t>
      </w:r>
      <w:r w:rsidRPr="006E2B4E">
        <w:rPr>
          <w:sz w:val="22"/>
          <w:szCs w:val="22"/>
        </w:rPr>
        <w:t xml:space="preserve"> </w:t>
      </w:r>
      <w:r w:rsidRPr="006E2B4E">
        <w:rPr>
          <w:rFonts w:ascii="Arial" w:eastAsia="Times New Roman" w:hAnsi="Arial" w:cs="Arial"/>
          <w:sz w:val="22"/>
          <w:szCs w:val="22"/>
          <w:lang w:val="es-ES"/>
        </w:rPr>
        <w:t xml:space="preserve">se atentaría de manera directa en contra de la </w:t>
      </w:r>
      <w:r w:rsidR="0031340E">
        <w:rPr>
          <w:rFonts w:ascii="Arial" w:eastAsia="Times New Roman" w:hAnsi="Arial" w:cs="Arial"/>
          <w:sz w:val="22"/>
          <w:szCs w:val="22"/>
          <w:lang w:val="es-ES"/>
        </w:rPr>
        <w:t>v</w:t>
      </w:r>
      <w:r w:rsidRPr="006E2B4E">
        <w:rPr>
          <w:rFonts w:ascii="Arial" w:eastAsia="Times New Roman" w:hAnsi="Arial" w:cs="Arial"/>
          <w:sz w:val="22"/>
          <w:szCs w:val="22"/>
          <w:lang w:val="es-ES"/>
        </w:rPr>
        <w:t>ida seguridad y salud de dichas personas, pues los miembros de las asociaciones delictivas podrían aprovechar esa información para amenazarlos con el objeto de obtener datos que les permitan sustraerse de la acción de la justicia y, por lo tanto, quedar impunes, aunado a que podrían tomar represalias por las investigaciones instauradas en su contra. Lo que impactaría en la capacidad de reacción y en la revelación del estado de fuerza de esta Institución, transgrediendo así lo dispuesto en el artículo 129 fracci</w:t>
      </w:r>
      <w:r w:rsidR="0031340E">
        <w:rPr>
          <w:rFonts w:ascii="Arial" w:eastAsia="Times New Roman" w:hAnsi="Arial" w:cs="Arial"/>
          <w:sz w:val="22"/>
          <w:szCs w:val="22"/>
          <w:lang w:val="es-ES"/>
        </w:rPr>
        <w:t>ón</w:t>
      </w:r>
      <w:r w:rsidRPr="006E2B4E">
        <w:rPr>
          <w:rFonts w:ascii="Arial" w:eastAsia="Times New Roman" w:hAnsi="Arial" w:cs="Arial"/>
          <w:sz w:val="22"/>
          <w:szCs w:val="22"/>
          <w:lang w:val="es-ES"/>
        </w:rPr>
        <w:t xml:space="preserve"> I, y XII de la Ley de Transparencia en el Estado. </w:t>
      </w:r>
    </w:p>
    <w:bookmarkEnd w:id="3"/>
    <w:p w:rsidR="00952B63" w:rsidRPr="006E2B4E" w:rsidRDefault="00952B63" w:rsidP="00952B63">
      <w:pPr>
        <w:jc w:val="both"/>
        <w:rPr>
          <w:rFonts w:ascii="Arial" w:eastAsia="Times New Roman" w:hAnsi="Arial" w:cs="Arial"/>
          <w:sz w:val="22"/>
          <w:szCs w:val="22"/>
          <w:lang w:val="es-ES"/>
        </w:rPr>
      </w:pPr>
    </w:p>
    <w:p w:rsidR="00327EA5" w:rsidRPr="006E2B4E" w:rsidRDefault="007F6370" w:rsidP="00327EA5">
      <w:pPr>
        <w:jc w:val="both"/>
        <w:rPr>
          <w:b/>
          <w:sz w:val="22"/>
          <w:szCs w:val="22"/>
        </w:rPr>
      </w:pPr>
      <w:r w:rsidRPr="006E2B4E">
        <w:rPr>
          <w:b/>
          <w:sz w:val="22"/>
          <w:szCs w:val="22"/>
        </w:rPr>
        <w:t>Perjuicio que supera el interés público.</w:t>
      </w:r>
    </w:p>
    <w:p w:rsidR="007F6370" w:rsidRPr="006E2B4E" w:rsidRDefault="007F6370" w:rsidP="00327EA5">
      <w:pPr>
        <w:jc w:val="both"/>
        <w:rPr>
          <w:sz w:val="22"/>
          <w:szCs w:val="22"/>
        </w:rPr>
      </w:pPr>
    </w:p>
    <w:p w:rsidR="007F6370" w:rsidRPr="006E2B4E" w:rsidRDefault="007F6370"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 xml:space="preserve">Con la divulgación de la información relacionada al nombre, sexo, y área de adscripción de personas servidoras y/o ex servidoras públicas de </w:t>
      </w:r>
      <w:r w:rsidR="00D038C9" w:rsidRPr="006E2B4E">
        <w:rPr>
          <w:rFonts w:ascii="Arial" w:eastAsia="Times New Roman" w:hAnsi="Arial" w:cs="Arial"/>
          <w:sz w:val="22"/>
          <w:szCs w:val="22"/>
          <w:lang w:val="es-ES"/>
        </w:rPr>
        <w:t>F</w:t>
      </w:r>
      <w:r w:rsidRPr="006E2B4E">
        <w:rPr>
          <w:rFonts w:ascii="Arial" w:eastAsia="Times New Roman" w:hAnsi="Arial" w:cs="Arial"/>
          <w:sz w:val="22"/>
          <w:szCs w:val="22"/>
          <w:lang w:val="es-ES"/>
        </w:rPr>
        <w:t>iscalía General del Estado, adscrito a áreas sustantivas, incluyendo al personal administrativo,</w:t>
      </w:r>
      <w:r w:rsidR="00421CCE" w:rsidRPr="006E2B4E">
        <w:rPr>
          <w:rFonts w:ascii="Arial" w:eastAsia="Times New Roman" w:hAnsi="Arial" w:cs="Arial"/>
          <w:sz w:val="22"/>
          <w:szCs w:val="22"/>
          <w:lang w:val="es-ES"/>
        </w:rPr>
        <w:t xml:space="preserve"> supera el interés público general de que se difunda en razón de que, como ya se dijo, divulgar datos que nos ocupan, en cualquier categoría o puesto, los hace blancos identificables y no solo pone en riesgo su vida, seguridad y salud, así como la de sus familiares, </w:t>
      </w:r>
      <w:bookmarkStart w:id="4" w:name="_Hlk199497341"/>
      <w:r w:rsidR="00421CCE" w:rsidRPr="006E2B4E">
        <w:rPr>
          <w:rFonts w:ascii="Arial" w:eastAsia="Times New Roman" w:hAnsi="Arial" w:cs="Arial"/>
          <w:sz w:val="22"/>
          <w:szCs w:val="22"/>
          <w:lang w:val="es-ES"/>
        </w:rPr>
        <w:t>sino también las actividades realizadas por esta Fiscalía, toda vez que podrían ser sujetos de amenazas y extorsiones por parte de miembros de la delincuencia, con la finalidad de obtener la información relacionada con el combate y persecución de los delitos del fuero común.</w:t>
      </w:r>
    </w:p>
    <w:p w:rsidR="001A6119" w:rsidRPr="006E2B4E" w:rsidRDefault="001A6119" w:rsidP="00327EA5">
      <w:pPr>
        <w:jc w:val="both"/>
        <w:rPr>
          <w:rFonts w:ascii="Arial" w:eastAsia="Times New Roman" w:hAnsi="Arial" w:cs="Arial"/>
          <w:sz w:val="22"/>
          <w:szCs w:val="22"/>
          <w:lang w:val="es-ES"/>
        </w:rPr>
      </w:pPr>
    </w:p>
    <w:p w:rsidR="00421CCE" w:rsidRPr="006E2B4E" w:rsidRDefault="00421CCE"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 xml:space="preserve">El que los mercados </w:t>
      </w:r>
      <w:r w:rsidR="00F0528C" w:rsidRPr="006E2B4E">
        <w:rPr>
          <w:rFonts w:ascii="Arial" w:eastAsia="Times New Roman" w:hAnsi="Arial" w:cs="Arial"/>
          <w:sz w:val="22"/>
          <w:szCs w:val="22"/>
          <w:lang w:val="es-ES"/>
        </w:rPr>
        <w:t>criminales</w:t>
      </w:r>
      <w:r w:rsidRPr="006E2B4E">
        <w:rPr>
          <w:rFonts w:ascii="Arial" w:eastAsia="Times New Roman" w:hAnsi="Arial" w:cs="Arial"/>
          <w:sz w:val="22"/>
          <w:szCs w:val="22"/>
          <w:lang w:val="es-ES"/>
        </w:rPr>
        <w:t xml:space="preserve"> identifiquen y conozcan plenamente al personal que compone a la Institución y cuenten con </w:t>
      </w:r>
      <w:r w:rsidR="00F0528C" w:rsidRPr="006E2B4E">
        <w:rPr>
          <w:rFonts w:ascii="Arial" w:eastAsia="Times New Roman" w:hAnsi="Arial" w:cs="Arial"/>
          <w:sz w:val="22"/>
          <w:szCs w:val="22"/>
          <w:lang w:val="es-ES"/>
        </w:rPr>
        <w:t>i</w:t>
      </w:r>
      <w:r w:rsidRPr="006E2B4E">
        <w:rPr>
          <w:rFonts w:ascii="Arial" w:eastAsia="Times New Roman" w:hAnsi="Arial" w:cs="Arial"/>
          <w:sz w:val="22"/>
          <w:szCs w:val="22"/>
          <w:lang w:val="es-ES"/>
        </w:rPr>
        <w:t>nformación respecto a su capacidad de fuerza y reacción, esto es, el número total de personal, sus cargos y donde se encuentran ubicados, expone a la Fiscalía a amenazas y ataques que necesariamente tienen implicaciones negativa en el ejercicio de sus competencias constitucionales</w:t>
      </w:r>
      <w:r w:rsidR="00F0528C" w:rsidRPr="006E2B4E">
        <w:rPr>
          <w:rFonts w:ascii="Arial" w:eastAsia="Times New Roman" w:hAnsi="Arial" w:cs="Arial"/>
          <w:sz w:val="22"/>
          <w:szCs w:val="22"/>
          <w:lang w:val="es-ES"/>
        </w:rPr>
        <w:t xml:space="preserve">, por ello </w:t>
      </w:r>
      <w:bookmarkEnd w:id="4"/>
      <w:r w:rsidR="00F0528C" w:rsidRPr="006E2B4E">
        <w:rPr>
          <w:rFonts w:ascii="Arial" w:eastAsia="Times New Roman" w:hAnsi="Arial" w:cs="Arial"/>
          <w:sz w:val="22"/>
          <w:szCs w:val="22"/>
          <w:lang w:val="es-ES"/>
        </w:rPr>
        <w:t>el Alto Tribunal concluyo que “</w:t>
      </w:r>
      <w:r w:rsidR="00F0528C" w:rsidRPr="006E2B4E">
        <w:rPr>
          <w:rFonts w:ascii="Arial" w:eastAsia="Times New Roman" w:hAnsi="Arial" w:cs="Arial"/>
          <w:i/>
          <w:sz w:val="22"/>
          <w:szCs w:val="22"/>
          <w:lang w:val="es-ES"/>
        </w:rPr>
        <w:t>conociendo el nombre de las personas físicas que laboran o laboraban en la Fiscalía y recopilando información de internet, es posible identificar plenamente a las personas; de modo que un simple dato que pudiera parecer inofensivo, puede arrojar información relativa a su edad, sexo, CURP, experiencia profesional, grado académico, domicilio laboral, inclusive cambios de adscripción, domicilio personal bienes muebles e inmuebles, así como, características físicas, amigos, familiares, y grado de parentesco, lo que incluye cónyuges, ex parejas e hijos, así como las escuelas en la que estudian estos; por lo que entregar el nombre de cualquier persona servidora pública de la Institución revelaría el 100% del estado de fuerza de la Institución</w:t>
      </w:r>
      <w:r w:rsidR="00F0528C" w:rsidRPr="006E2B4E">
        <w:rPr>
          <w:rFonts w:ascii="Arial" w:eastAsia="Times New Roman" w:hAnsi="Arial" w:cs="Arial"/>
          <w:sz w:val="22"/>
          <w:szCs w:val="22"/>
          <w:lang w:val="es-ES"/>
        </w:rPr>
        <w:t xml:space="preserve">”. </w:t>
      </w:r>
    </w:p>
    <w:p w:rsidR="00421CCE" w:rsidRPr="006E2B4E" w:rsidRDefault="00421CCE" w:rsidP="00327EA5">
      <w:pPr>
        <w:jc w:val="both"/>
        <w:rPr>
          <w:rFonts w:ascii="Arial" w:eastAsia="Times New Roman" w:hAnsi="Arial" w:cs="Arial"/>
          <w:sz w:val="22"/>
          <w:szCs w:val="22"/>
          <w:lang w:val="es-ES"/>
        </w:rPr>
      </w:pPr>
    </w:p>
    <w:p w:rsidR="00F0528C" w:rsidRPr="006E2B4E" w:rsidRDefault="00F0528C"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 xml:space="preserve">El anterior fenómeno puede ser explicado por la teoría del mosaico, la cual constituye una herramienta que da cuenta de cómo es que funciona el flujo de información y, con ello, la construcción de inteligencia. Se trata de un proceso que describe cómo se recopila, combina y procesa información, de tal manera que convierte información inofensiva en conocimiento útil. La metodología que se utiliza esencialmente consiste en recopilar piezas de información dispersas y después unirlas con la finalidad </w:t>
      </w:r>
      <w:r w:rsidRPr="006E2B4E">
        <w:rPr>
          <w:rFonts w:ascii="Arial" w:eastAsia="Times New Roman" w:hAnsi="Arial" w:cs="Arial"/>
          <w:sz w:val="22"/>
          <w:szCs w:val="22"/>
          <w:lang w:val="es-ES"/>
        </w:rPr>
        <w:lastRenderedPageBreak/>
        <w:t>de tener una visión de conjunto o “mosaico”. Es decir, a partir de un dato que pudiese parecer inofensivo, como puede ser el nombre y adscripción de una persona, potencializa que un agente criminal lo utilice para deducir a partir de un dato independiente, una vulnerabilidad estratégica susceptible de explotación para fines mal intencionados, en este caso para evadir la procuración de la justicia o, peor aún, llevar a cabo actos de contrainteligencia para combatir frontalmente a los agentes encargados de la investigación y persecución de los delitos del Estado.</w:t>
      </w:r>
    </w:p>
    <w:p w:rsidR="00A67C07" w:rsidRPr="006E2B4E" w:rsidRDefault="00A67C07" w:rsidP="00327EA5">
      <w:pPr>
        <w:jc w:val="both"/>
        <w:rPr>
          <w:rFonts w:ascii="Arial" w:eastAsia="Times New Roman" w:hAnsi="Arial" w:cs="Arial"/>
          <w:sz w:val="22"/>
          <w:szCs w:val="22"/>
          <w:lang w:val="es-ES"/>
        </w:rPr>
      </w:pPr>
    </w:p>
    <w:p w:rsidR="00920F7B" w:rsidRPr="006E2B4E" w:rsidRDefault="00920F7B"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Se concluye que, si bien es un derecho de las personas imputadas, conocer el nombre y datos del servidor público salvo tratándose de delincuencia organizada, lo cierto es que conocer esa información no deriva del ámbito de protección del derecho de acceso a la información</w:t>
      </w:r>
      <w:r w:rsidR="00D038C9" w:rsidRPr="006E2B4E">
        <w:rPr>
          <w:rFonts w:ascii="Arial" w:eastAsia="Times New Roman" w:hAnsi="Arial" w:cs="Arial"/>
          <w:sz w:val="22"/>
          <w:szCs w:val="22"/>
          <w:lang w:val="es-ES"/>
        </w:rPr>
        <w:t xml:space="preserve">, si no del derecho a gozar de un debido proceso y una adecuada defensa, en la que la Fiscalía funciona como una corporación formada por eslabones, es decir, su alguno de los eslabones se ve afectado, el desempeño de sus funciones afecta las demás partes y funciones de la Institución. </w:t>
      </w:r>
    </w:p>
    <w:p w:rsidR="00F0528C" w:rsidRPr="006E2B4E" w:rsidRDefault="00F0528C" w:rsidP="00327EA5">
      <w:pPr>
        <w:jc w:val="both"/>
        <w:rPr>
          <w:rFonts w:ascii="Arial" w:eastAsia="Times New Roman" w:hAnsi="Arial" w:cs="Arial"/>
          <w:sz w:val="22"/>
          <w:szCs w:val="22"/>
          <w:lang w:val="es-ES"/>
        </w:rPr>
      </w:pPr>
    </w:p>
    <w:p w:rsidR="00D038C9" w:rsidRPr="006E2B4E" w:rsidRDefault="00D038C9"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Bajo esta tesitura, la divulgación de la información relacionada con el nombre, sexo, y área de adscripción de personas servidoras y/o ex servidoras públicas de Fiscalía General del Estado, actualiza el riesgo de perjuicio  a la vida, la seguridad o salud así como para sus familiares y personas cercanas, por lo que el ejercicio de ponderación de derechos de la colectividad que debe prevalecer, es aquel relacionado con la procuración de justicia bajo los principios constitucionales, en relación con esclarecer los hechos, procurar que el culpable no quede impune y que los daños causados por el delito se reparen.</w:t>
      </w:r>
    </w:p>
    <w:p w:rsidR="00E70EB4" w:rsidRPr="006E2B4E" w:rsidRDefault="00E70EB4" w:rsidP="00327EA5">
      <w:pPr>
        <w:jc w:val="both"/>
        <w:rPr>
          <w:rFonts w:ascii="Arial" w:eastAsia="Times New Roman" w:hAnsi="Arial" w:cs="Arial"/>
          <w:b/>
          <w:sz w:val="22"/>
          <w:szCs w:val="22"/>
          <w:lang w:val="es-ES"/>
        </w:rPr>
      </w:pPr>
    </w:p>
    <w:p w:rsidR="00421CCE" w:rsidRPr="006E2B4E" w:rsidRDefault="00421CCE" w:rsidP="00327EA5">
      <w:pPr>
        <w:jc w:val="both"/>
        <w:rPr>
          <w:rFonts w:ascii="Arial" w:eastAsia="Times New Roman" w:hAnsi="Arial" w:cs="Arial"/>
          <w:b/>
          <w:sz w:val="22"/>
          <w:szCs w:val="22"/>
          <w:lang w:val="es-ES"/>
        </w:rPr>
      </w:pPr>
      <w:r w:rsidRPr="006E2B4E">
        <w:rPr>
          <w:rFonts w:ascii="Arial" w:eastAsia="Times New Roman" w:hAnsi="Arial" w:cs="Arial"/>
          <w:b/>
          <w:sz w:val="22"/>
          <w:szCs w:val="22"/>
          <w:lang w:val="es-ES"/>
        </w:rPr>
        <w:t>Principio de proporcionalidad.</w:t>
      </w:r>
    </w:p>
    <w:p w:rsidR="008070A6" w:rsidRPr="006E2B4E" w:rsidRDefault="008070A6"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La Suprema Corte de Justicia, concluyo de manera esencial que “el derecho a ser informado no es absoluto, pues, a pesar de que el Estado tiene la obligación de informar a la población sobre temas de interés y relevancia pública, también se debe proteger y garantizar el derecho a la vida, la seguridad, y salud de personas, así como la salvaguarda de la seguridad pública”.</w:t>
      </w:r>
    </w:p>
    <w:p w:rsidR="008070A6" w:rsidRPr="006E2B4E" w:rsidRDefault="008070A6" w:rsidP="00327EA5">
      <w:pPr>
        <w:jc w:val="both"/>
        <w:rPr>
          <w:rFonts w:ascii="Arial" w:eastAsia="Times New Roman" w:hAnsi="Arial" w:cs="Arial"/>
          <w:sz w:val="22"/>
          <w:szCs w:val="22"/>
          <w:lang w:val="es-ES"/>
        </w:rPr>
      </w:pPr>
    </w:p>
    <w:p w:rsidR="008070A6" w:rsidRPr="006E2B4E" w:rsidRDefault="008070A6"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Por lo que, la calidad de persona servidora pública, no suprime los derechos humanos a la vida, seguridad y privacidad, por el contrario, existe un interés general o superior en esos derechos frente al derecho de acceso a la información de un particular, en una ponderación frente a los derechos humanos de los servidores públicos de sus familiares y círculos cercanos, información que debe ser considerada como clasificada.</w:t>
      </w:r>
    </w:p>
    <w:p w:rsidR="008070A6" w:rsidRPr="006E2B4E" w:rsidRDefault="008070A6" w:rsidP="00327EA5">
      <w:pPr>
        <w:jc w:val="both"/>
        <w:rPr>
          <w:rFonts w:ascii="Arial" w:eastAsia="Times New Roman" w:hAnsi="Arial" w:cs="Arial"/>
          <w:sz w:val="22"/>
          <w:szCs w:val="22"/>
          <w:lang w:val="es-ES"/>
        </w:rPr>
      </w:pPr>
    </w:p>
    <w:p w:rsidR="00633915" w:rsidRPr="006E2B4E" w:rsidRDefault="008070A6"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Tomando en consideración la ponderación de riesgo de los distintos mercados criminales que combate la Fiscalía, las funciones que desempeña el personal y la tasa de delitos del orden común,, además de lo señalado por el Pleno de la suprema Corte el revelar la identidad y cargo de quienes tienen o tuvieron la responsabilidad de investigar y perseguir delitos expondría la capacidad de fuerza y reacción que tiene la fiscalía y, por consecuencia, vulneraría las competencias constitucionales que en materia de seguridad pública le están conferidas.</w:t>
      </w:r>
      <w:r w:rsidR="00633915" w:rsidRPr="006E2B4E">
        <w:rPr>
          <w:rFonts w:ascii="Arial" w:eastAsia="Times New Roman" w:hAnsi="Arial" w:cs="Arial"/>
          <w:sz w:val="22"/>
          <w:szCs w:val="22"/>
          <w:lang w:val="es-ES"/>
        </w:rPr>
        <w:t xml:space="preserve"> </w:t>
      </w:r>
    </w:p>
    <w:p w:rsidR="00633915" w:rsidRPr="006E2B4E" w:rsidRDefault="00633915" w:rsidP="00327EA5">
      <w:pPr>
        <w:jc w:val="both"/>
        <w:rPr>
          <w:rFonts w:ascii="Arial" w:eastAsia="Times New Roman" w:hAnsi="Arial" w:cs="Arial"/>
          <w:sz w:val="22"/>
          <w:szCs w:val="22"/>
          <w:lang w:val="es-ES"/>
        </w:rPr>
      </w:pPr>
    </w:p>
    <w:p w:rsidR="00421CCE" w:rsidRPr="006E2B4E" w:rsidRDefault="00633915" w:rsidP="00327EA5">
      <w:pPr>
        <w:jc w:val="both"/>
        <w:rPr>
          <w:rFonts w:ascii="Arial" w:eastAsia="Times New Roman" w:hAnsi="Arial" w:cs="Arial"/>
          <w:sz w:val="22"/>
          <w:szCs w:val="22"/>
          <w:lang w:val="es-ES"/>
        </w:rPr>
      </w:pPr>
      <w:r w:rsidRPr="006E2B4E">
        <w:rPr>
          <w:rFonts w:ascii="Arial" w:eastAsia="Times New Roman" w:hAnsi="Arial" w:cs="Arial"/>
          <w:sz w:val="22"/>
          <w:szCs w:val="22"/>
          <w:lang w:val="es-ES"/>
        </w:rPr>
        <w:t>Consecuentemente, se concluye que clasificar como reservada la información del nombre, sexo, y área de adscripción de personas servidoras y/o ex servidoras públicas de Fiscalía General del Estado, resulta el medio menos restrictivo frente al derecho de acceso a la información en cualquiera de sus diferentes manifestaciones.</w:t>
      </w:r>
    </w:p>
    <w:p w:rsidR="00AE4D60" w:rsidRPr="006E2B4E" w:rsidRDefault="00AE4D60" w:rsidP="00327EA5">
      <w:pPr>
        <w:jc w:val="both"/>
        <w:rPr>
          <w:rFonts w:ascii="Arial" w:eastAsia="Times New Roman" w:hAnsi="Arial" w:cs="Arial"/>
          <w:sz w:val="22"/>
          <w:szCs w:val="22"/>
          <w:lang w:val="es-ES"/>
        </w:rPr>
      </w:pPr>
    </w:p>
    <w:p w:rsidR="00BF3665" w:rsidRPr="006E2B4E" w:rsidRDefault="009819AE" w:rsidP="00C57509">
      <w:pPr>
        <w:pStyle w:val="Prrafodelista"/>
        <w:numPr>
          <w:ilvl w:val="0"/>
          <w:numId w:val="2"/>
        </w:numPr>
        <w:jc w:val="both"/>
        <w:rPr>
          <w:rFonts w:ascii="Arial" w:hAnsi="Arial" w:cs="Arial"/>
          <w:b/>
          <w:sz w:val="22"/>
          <w:szCs w:val="22"/>
        </w:rPr>
      </w:pPr>
      <w:r w:rsidRPr="006E2B4E">
        <w:rPr>
          <w:rFonts w:ascii="Arial" w:hAnsi="Arial" w:cs="Arial"/>
          <w:b/>
          <w:sz w:val="22"/>
          <w:szCs w:val="22"/>
        </w:rPr>
        <w:lastRenderedPageBreak/>
        <w:t>Descripción de las partes o secciones reservadas, en caso de clasificación parcial;</w:t>
      </w:r>
    </w:p>
    <w:p w:rsidR="00CB20AA" w:rsidRPr="006E2B4E" w:rsidRDefault="00CB20AA" w:rsidP="00CB20AA">
      <w:pPr>
        <w:jc w:val="both"/>
        <w:rPr>
          <w:rFonts w:ascii="Arial" w:hAnsi="Arial" w:cs="Arial"/>
          <w:sz w:val="22"/>
          <w:szCs w:val="22"/>
        </w:rPr>
      </w:pPr>
    </w:p>
    <w:p w:rsidR="00EC019A" w:rsidRPr="006E2B4E" w:rsidRDefault="00CB20AA" w:rsidP="00CB20AA">
      <w:pPr>
        <w:jc w:val="both"/>
        <w:rPr>
          <w:rFonts w:ascii="Arial" w:hAnsi="Arial" w:cs="Arial"/>
          <w:sz w:val="22"/>
          <w:szCs w:val="22"/>
        </w:rPr>
      </w:pPr>
      <w:r w:rsidRPr="006E2B4E">
        <w:rPr>
          <w:rFonts w:ascii="Arial" w:hAnsi="Arial" w:cs="Arial"/>
          <w:b/>
          <w:sz w:val="22"/>
          <w:szCs w:val="22"/>
        </w:rPr>
        <w:t xml:space="preserve">Nombres, primer apellido, segundo apellido, sexo y área de adscripción </w:t>
      </w:r>
      <w:r w:rsidRPr="006E2B4E">
        <w:rPr>
          <w:rFonts w:ascii="Arial" w:hAnsi="Arial" w:cs="Arial"/>
          <w:sz w:val="22"/>
          <w:szCs w:val="22"/>
        </w:rPr>
        <w:t xml:space="preserve">que se requieren para la publicación de información en la Plataforma Estatal de Transparencia en el formato LTAIPSLP84XI relativo a las remuneraciones brutas y netas del mes de </w:t>
      </w:r>
      <w:r w:rsidR="00315526">
        <w:rPr>
          <w:rFonts w:ascii="Arial" w:hAnsi="Arial" w:cs="Arial"/>
          <w:b/>
          <w:sz w:val="22"/>
          <w:szCs w:val="22"/>
        </w:rPr>
        <w:t xml:space="preserve">junio </w:t>
      </w:r>
      <w:r w:rsidRPr="006E2B4E">
        <w:rPr>
          <w:rFonts w:ascii="Arial" w:hAnsi="Arial" w:cs="Arial"/>
          <w:b/>
          <w:sz w:val="22"/>
          <w:szCs w:val="22"/>
        </w:rPr>
        <w:t>202</w:t>
      </w:r>
      <w:r w:rsidR="00491477" w:rsidRPr="006E2B4E">
        <w:rPr>
          <w:rFonts w:ascii="Arial" w:hAnsi="Arial" w:cs="Arial"/>
          <w:b/>
          <w:sz w:val="22"/>
          <w:szCs w:val="22"/>
        </w:rPr>
        <w:t>6</w:t>
      </w:r>
      <w:r w:rsidRPr="006E2B4E">
        <w:rPr>
          <w:rFonts w:ascii="Arial" w:hAnsi="Arial" w:cs="Arial"/>
          <w:sz w:val="22"/>
          <w:szCs w:val="22"/>
        </w:rPr>
        <w:t>, únicamente por lo que corresponde al personal que se describe en el Manual de Remuneraciones para los Servidores Públicos de la Fiscalía General del Estado de San Luis Potosí, que no realicen funciones directivas y que se encuentren adscrito a los Órganos Tácticos Operativos de la Fiscalía General del Estado como lo son Vicefiscalías, Fiscalías Especializadas y Dirección General de Métodos de Investigación, y de los Órganos Estratégicos: adscritos a la Dirección General de Política de Persecución Penal y Análisis Estratégico, Visitaduría General y la Dirección General de Análisis Criminal.</w:t>
      </w:r>
    </w:p>
    <w:p w:rsidR="00CB20AA" w:rsidRPr="006E2B4E" w:rsidRDefault="00CB20AA" w:rsidP="00CB20AA">
      <w:pPr>
        <w:jc w:val="both"/>
        <w:rPr>
          <w:rFonts w:ascii="Arial" w:hAnsi="Arial" w:cs="Arial"/>
          <w:sz w:val="22"/>
          <w:szCs w:val="22"/>
        </w:rPr>
      </w:pPr>
    </w:p>
    <w:p w:rsidR="00BF3665" w:rsidRPr="006E2B4E" w:rsidRDefault="009819AE" w:rsidP="00C57509">
      <w:pPr>
        <w:pStyle w:val="Prrafodelista"/>
        <w:numPr>
          <w:ilvl w:val="0"/>
          <w:numId w:val="2"/>
        </w:numPr>
        <w:jc w:val="both"/>
        <w:rPr>
          <w:rFonts w:ascii="Arial" w:hAnsi="Arial" w:cs="Arial"/>
          <w:sz w:val="22"/>
          <w:szCs w:val="22"/>
        </w:rPr>
      </w:pPr>
      <w:r w:rsidRPr="006E2B4E">
        <w:rPr>
          <w:rFonts w:ascii="Arial" w:hAnsi="Arial" w:cs="Arial"/>
          <w:b/>
          <w:sz w:val="22"/>
          <w:szCs w:val="22"/>
        </w:rPr>
        <w:t>El período por el que mantendrá su clasificación y fecha de expedición;</w:t>
      </w:r>
    </w:p>
    <w:p w:rsidR="00B573B6" w:rsidRPr="006E2B4E" w:rsidRDefault="00B573B6" w:rsidP="00C57509">
      <w:pPr>
        <w:jc w:val="both"/>
        <w:rPr>
          <w:rFonts w:ascii="Arial" w:hAnsi="Arial" w:cs="Arial"/>
          <w:sz w:val="22"/>
          <w:szCs w:val="22"/>
        </w:rPr>
      </w:pPr>
    </w:p>
    <w:p w:rsidR="00BF3665" w:rsidRPr="006E2B4E" w:rsidRDefault="009819AE" w:rsidP="00C57509">
      <w:pPr>
        <w:jc w:val="both"/>
        <w:rPr>
          <w:rFonts w:ascii="Arial" w:hAnsi="Arial" w:cs="Arial"/>
          <w:sz w:val="22"/>
          <w:szCs w:val="22"/>
        </w:rPr>
      </w:pPr>
      <w:r w:rsidRPr="006E2B4E">
        <w:rPr>
          <w:rFonts w:ascii="Arial" w:hAnsi="Arial" w:cs="Arial"/>
          <w:sz w:val="22"/>
          <w:szCs w:val="22"/>
        </w:rPr>
        <w:t>Período. 5 años.</w:t>
      </w:r>
    </w:p>
    <w:p w:rsidR="00B573B6" w:rsidRPr="006E2B4E" w:rsidRDefault="00B573B6" w:rsidP="00C57509">
      <w:pPr>
        <w:jc w:val="both"/>
        <w:rPr>
          <w:rFonts w:ascii="Arial" w:eastAsia="Times New Roman" w:hAnsi="Arial" w:cs="Arial"/>
          <w:sz w:val="22"/>
          <w:szCs w:val="22"/>
        </w:rPr>
      </w:pPr>
    </w:p>
    <w:p w:rsidR="00BF3665" w:rsidRPr="006E2B4E" w:rsidRDefault="00F6015F" w:rsidP="00C57509">
      <w:pPr>
        <w:jc w:val="both"/>
        <w:rPr>
          <w:rFonts w:ascii="Arial" w:eastAsia="Times New Roman" w:hAnsi="Arial" w:cs="Arial"/>
          <w:sz w:val="22"/>
          <w:szCs w:val="22"/>
        </w:rPr>
      </w:pPr>
      <w:r w:rsidRPr="006E2B4E">
        <w:rPr>
          <w:rFonts w:ascii="Arial" w:eastAsia="Times New Roman" w:hAnsi="Arial" w:cs="Arial"/>
          <w:sz w:val="22"/>
          <w:szCs w:val="22"/>
        </w:rPr>
        <w:t xml:space="preserve">Fecha de expiración: </w:t>
      </w:r>
      <w:r w:rsidR="00315526">
        <w:rPr>
          <w:rFonts w:ascii="Arial" w:eastAsia="Times New Roman" w:hAnsi="Arial" w:cs="Arial"/>
          <w:b/>
          <w:sz w:val="22"/>
          <w:szCs w:val="22"/>
        </w:rPr>
        <w:t>Tres</w:t>
      </w:r>
      <w:r w:rsidR="009F136E" w:rsidRPr="006E2B4E">
        <w:rPr>
          <w:rFonts w:ascii="Arial" w:eastAsia="Times New Roman" w:hAnsi="Arial" w:cs="Arial"/>
          <w:b/>
          <w:sz w:val="22"/>
          <w:szCs w:val="22"/>
        </w:rPr>
        <w:t xml:space="preserve"> de </w:t>
      </w:r>
      <w:r w:rsidR="006C2F3E">
        <w:rPr>
          <w:rFonts w:ascii="Arial" w:eastAsia="Times New Roman" w:hAnsi="Arial" w:cs="Arial"/>
          <w:b/>
          <w:sz w:val="22"/>
          <w:szCs w:val="22"/>
        </w:rPr>
        <w:t>ju</w:t>
      </w:r>
      <w:r w:rsidR="00315526">
        <w:rPr>
          <w:rFonts w:ascii="Arial" w:eastAsia="Times New Roman" w:hAnsi="Arial" w:cs="Arial"/>
          <w:b/>
          <w:sz w:val="22"/>
          <w:szCs w:val="22"/>
        </w:rPr>
        <w:t>l</w:t>
      </w:r>
      <w:r w:rsidR="006C2F3E">
        <w:rPr>
          <w:rFonts w:ascii="Arial" w:eastAsia="Times New Roman" w:hAnsi="Arial" w:cs="Arial"/>
          <w:b/>
          <w:sz w:val="22"/>
          <w:szCs w:val="22"/>
        </w:rPr>
        <w:t>io</w:t>
      </w:r>
      <w:r w:rsidR="009819AE" w:rsidRPr="006E2B4E">
        <w:rPr>
          <w:rFonts w:ascii="Arial" w:eastAsia="Times New Roman" w:hAnsi="Arial" w:cs="Arial"/>
          <w:b/>
          <w:sz w:val="22"/>
          <w:szCs w:val="22"/>
        </w:rPr>
        <w:t xml:space="preserve"> 20</w:t>
      </w:r>
      <w:r w:rsidR="00F372DF" w:rsidRPr="006E2B4E">
        <w:rPr>
          <w:rFonts w:ascii="Arial" w:eastAsia="Times New Roman" w:hAnsi="Arial" w:cs="Arial"/>
          <w:b/>
          <w:sz w:val="22"/>
          <w:szCs w:val="22"/>
        </w:rPr>
        <w:t>3</w:t>
      </w:r>
      <w:r w:rsidR="00973F68" w:rsidRPr="006E2B4E">
        <w:rPr>
          <w:rFonts w:ascii="Arial" w:eastAsia="Times New Roman" w:hAnsi="Arial" w:cs="Arial"/>
          <w:b/>
          <w:sz w:val="22"/>
          <w:szCs w:val="22"/>
        </w:rPr>
        <w:t>1</w:t>
      </w:r>
      <w:r w:rsidR="009819AE" w:rsidRPr="006E2B4E">
        <w:rPr>
          <w:rFonts w:ascii="Arial" w:eastAsia="Times New Roman" w:hAnsi="Arial" w:cs="Arial"/>
          <w:sz w:val="22"/>
          <w:szCs w:val="22"/>
        </w:rPr>
        <w:t xml:space="preserve">. Que cumple con lo establecido por el lineamiento </w:t>
      </w:r>
      <w:r w:rsidR="00481D63" w:rsidRPr="006E2B4E">
        <w:rPr>
          <w:rFonts w:ascii="Arial" w:eastAsia="Times New Roman" w:hAnsi="Arial" w:cs="Arial"/>
          <w:sz w:val="22"/>
          <w:szCs w:val="22"/>
        </w:rPr>
        <w:t>t</w:t>
      </w:r>
      <w:r w:rsidR="009819AE" w:rsidRPr="006E2B4E">
        <w:rPr>
          <w:rFonts w:ascii="Arial" w:eastAsia="Times New Roman" w:hAnsi="Arial" w:cs="Arial"/>
          <w:sz w:val="22"/>
          <w:szCs w:val="22"/>
        </w:rPr>
        <w:t>rigésimo cuarto de los LGCDIEVP. Señalando las razones por las cuales se estableció el plazo de reserva determinado, mismas que están relacionadas y sustentadas con la prueba de daño.</w:t>
      </w:r>
    </w:p>
    <w:p w:rsidR="0024235C" w:rsidRPr="006E2B4E" w:rsidRDefault="0024235C" w:rsidP="00C57509">
      <w:pPr>
        <w:jc w:val="both"/>
        <w:rPr>
          <w:rFonts w:ascii="Arial" w:eastAsia="Times New Roman" w:hAnsi="Arial" w:cs="Arial"/>
          <w:sz w:val="22"/>
          <w:szCs w:val="22"/>
        </w:rPr>
      </w:pPr>
    </w:p>
    <w:p w:rsidR="00BF3665" w:rsidRPr="006E2B4E" w:rsidRDefault="009819AE" w:rsidP="00C57509">
      <w:pPr>
        <w:pStyle w:val="Prrafodelista"/>
        <w:numPr>
          <w:ilvl w:val="0"/>
          <w:numId w:val="2"/>
        </w:numPr>
        <w:jc w:val="both"/>
        <w:rPr>
          <w:rFonts w:ascii="Arial" w:hAnsi="Arial" w:cs="Arial"/>
          <w:b/>
          <w:sz w:val="22"/>
          <w:szCs w:val="22"/>
        </w:rPr>
      </w:pPr>
      <w:r w:rsidRPr="006E2B4E">
        <w:rPr>
          <w:rFonts w:ascii="Arial" w:hAnsi="Arial" w:cs="Arial"/>
          <w:b/>
          <w:sz w:val="22"/>
          <w:szCs w:val="22"/>
        </w:rPr>
        <w:t xml:space="preserve"> Efectos de la resolución.</w:t>
      </w:r>
    </w:p>
    <w:p w:rsidR="00694F13" w:rsidRPr="006E2B4E" w:rsidRDefault="00694F13" w:rsidP="00C57509">
      <w:pPr>
        <w:pStyle w:val="Prrafodelista"/>
        <w:jc w:val="both"/>
        <w:rPr>
          <w:rFonts w:ascii="Arial" w:hAnsi="Arial" w:cs="Arial"/>
          <w:b/>
          <w:sz w:val="22"/>
          <w:szCs w:val="22"/>
        </w:rPr>
      </w:pPr>
    </w:p>
    <w:p w:rsidR="00FF1B19" w:rsidRPr="006E2B4E" w:rsidRDefault="00FF1B19" w:rsidP="00C57509">
      <w:pPr>
        <w:jc w:val="both"/>
        <w:rPr>
          <w:rFonts w:ascii="Arial" w:hAnsi="Arial" w:cs="Arial"/>
          <w:sz w:val="22"/>
          <w:szCs w:val="22"/>
        </w:rPr>
      </w:pPr>
      <w:r w:rsidRPr="006E2B4E">
        <w:rPr>
          <w:rFonts w:ascii="Arial" w:hAnsi="Arial" w:cs="Arial"/>
          <w:sz w:val="22"/>
          <w:szCs w:val="22"/>
        </w:rPr>
        <w:t xml:space="preserve">El Comité de Transparencia en Pleno determinó procedente confirmar el </w:t>
      </w:r>
      <w:r w:rsidR="008565C9" w:rsidRPr="006E2B4E">
        <w:rPr>
          <w:rFonts w:ascii="Arial" w:hAnsi="Arial" w:cs="Arial"/>
          <w:sz w:val="22"/>
          <w:szCs w:val="22"/>
        </w:rPr>
        <w:t xml:space="preserve">acuerdo de reserva </w:t>
      </w:r>
      <w:r w:rsidR="000E4FF6" w:rsidRPr="006E2B4E">
        <w:rPr>
          <w:rFonts w:ascii="Arial" w:hAnsi="Arial" w:cs="Arial"/>
          <w:b/>
          <w:sz w:val="22"/>
          <w:szCs w:val="22"/>
        </w:rPr>
        <w:t>parcial</w:t>
      </w:r>
      <w:r w:rsidR="007F24DE" w:rsidRPr="006E2B4E">
        <w:rPr>
          <w:rFonts w:ascii="Arial" w:hAnsi="Arial" w:cs="Arial"/>
          <w:b/>
          <w:sz w:val="22"/>
          <w:szCs w:val="22"/>
        </w:rPr>
        <w:t xml:space="preserve"> </w:t>
      </w:r>
      <w:r w:rsidRPr="006E2B4E">
        <w:rPr>
          <w:rFonts w:ascii="Arial" w:hAnsi="Arial" w:cs="Arial"/>
          <w:sz w:val="22"/>
          <w:szCs w:val="22"/>
        </w:rPr>
        <w:t xml:space="preserve">número </w:t>
      </w:r>
      <w:r w:rsidR="008565C9" w:rsidRPr="006E2B4E">
        <w:rPr>
          <w:rFonts w:ascii="Arial" w:hAnsi="Arial" w:cs="Arial"/>
          <w:b/>
          <w:sz w:val="22"/>
          <w:szCs w:val="22"/>
        </w:rPr>
        <w:t>AR/</w:t>
      </w:r>
      <w:r w:rsidR="009E6D0D">
        <w:rPr>
          <w:rFonts w:ascii="Arial" w:hAnsi="Arial" w:cs="Arial"/>
          <w:b/>
          <w:sz w:val="22"/>
          <w:szCs w:val="22"/>
        </w:rPr>
        <w:t>03</w:t>
      </w:r>
      <w:r w:rsidR="00315526">
        <w:rPr>
          <w:rFonts w:ascii="Arial" w:hAnsi="Arial" w:cs="Arial"/>
          <w:b/>
          <w:sz w:val="22"/>
          <w:szCs w:val="22"/>
        </w:rPr>
        <w:t>8</w:t>
      </w:r>
      <w:r w:rsidR="008565C9" w:rsidRPr="006E2B4E">
        <w:rPr>
          <w:rFonts w:ascii="Arial" w:hAnsi="Arial" w:cs="Arial"/>
          <w:b/>
          <w:sz w:val="22"/>
          <w:szCs w:val="22"/>
        </w:rPr>
        <w:t>/202</w:t>
      </w:r>
      <w:r w:rsidR="00973F68" w:rsidRPr="006E2B4E">
        <w:rPr>
          <w:rFonts w:ascii="Arial" w:hAnsi="Arial" w:cs="Arial"/>
          <w:b/>
          <w:sz w:val="22"/>
          <w:szCs w:val="22"/>
        </w:rPr>
        <w:t>6</w:t>
      </w:r>
      <w:r w:rsidRPr="006E2B4E">
        <w:rPr>
          <w:rFonts w:ascii="Arial" w:hAnsi="Arial" w:cs="Arial"/>
          <w:b/>
          <w:sz w:val="22"/>
          <w:szCs w:val="22"/>
        </w:rPr>
        <w:t xml:space="preserve"> </w:t>
      </w:r>
      <w:r w:rsidRPr="006E2B4E">
        <w:rPr>
          <w:rFonts w:ascii="Arial" w:hAnsi="Arial" w:cs="Arial"/>
          <w:sz w:val="22"/>
          <w:szCs w:val="22"/>
        </w:rPr>
        <w:t>emitido por</w:t>
      </w:r>
      <w:r w:rsidR="007F24DE" w:rsidRPr="006E2B4E">
        <w:rPr>
          <w:rFonts w:ascii="Arial" w:hAnsi="Arial" w:cs="Arial"/>
          <w:sz w:val="22"/>
          <w:szCs w:val="22"/>
        </w:rPr>
        <w:t xml:space="preserve"> </w:t>
      </w:r>
      <w:r w:rsidR="0045348C" w:rsidRPr="006E2B4E">
        <w:rPr>
          <w:rFonts w:ascii="Arial" w:hAnsi="Arial" w:cs="Arial"/>
          <w:sz w:val="22"/>
          <w:szCs w:val="22"/>
        </w:rPr>
        <w:t>el contador público Cesar Isidro Cruz, director General de Administración</w:t>
      </w:r>
      <w:r w:rsidR="002E085B" w:rsidRPr="006E2B4E">
        <w:rPr>
          <w:rFonts w:ascii="Arial" w:hAnsi="Arial" w:cs="Arial"/>
          <w:sz w:val="22"/>
          <w:szCs w:val="22"/>
        </w:rPr>
        <w:t>.</w:t>
      </w:r>
      <w:r w:rsidR="001E24B3" w:rsidRPr="006E2B4E">
        <w:rPr>
          <w:rFonts w:ascii="Arial" w:hAnsi="Arial" w:cs="Arial"/>
          <w:sz w:val="22"/>
          <w:szCs w:val="22"/>
        </w:rPr>
        <w:t xml:space="preserve"> </w:t>
      </w:r>
    </w:p>
    <w:p w:rsidR="00B11FCD" w:rsidRPr="006E2B4E" w:rsidRDefault="00B11FCD" w:rsidP="00C57509">
      <w:pPr>
        <w:jc w:val="both"/>
        <w:rPr>
          <w:rFonts w:ascii="Arial" w:hAnsi="Arial" w:cs="Arial"/>
          <w:sz w:val="22"/>
          <w:szCs w:val="22"/>
        </w:rPr>
      </w:pPr>
    </w:p>
    <w:p w:rsidR="00FF1B19" w:rsidRPr="006E2B4E" w:rsidRDefault="00FF1B19" w:rsidP="00C57509">
      <w:pPr>
        <w:jc w:val="both"/>
        <w:rPr>
          <w:rFonts w:ascii="Arial" w:hAnsi="Arial" w:cs="Arial"/>
          <w:sz w:val="22"/>
          <w:szCs w:val="22"/>
        </w:rPr>
      </w:pPr>
      <w:r w:rsidRPr="006E2B4E">
        <w:rPr>
          <w:rFonts w:ascii="Arial" w:hAnsi="Arial" w:cs="Arial"/>
          <w:sz w:val="22"/>
          <w:szCs w:val="22"/>
        </w:rPr>
        <w:t>Se instruye</w:t>
      </w:r>
      <w:r w:rsidR="00586B10" w:rsidRPr="006E2B4E">
        <w:rPr>
          <w:rFonts w:ascii="Arial" w:hAnsi="Arial" w:cs="Arial"/>
          <w:sz w:val="22"/>
          <w:szCs w:val="22"/>
        </w:rPr>
        <w:t xml:space="preserve"> </w:t>
      </w:r>
      <w:r w:rsidR="0045348C" w:rsidRPr="006E2B4E">
        <w:rPr>
          <w:rFonts w:ascii="Arial" w:hAnsi="Arial" w:cs="Arial"/>
          <w:sz w:val="22"/>
          <w:szCs w:val="22"/>
        </w:rPr>
        <w:t>a</w:t>
      </w:r>
      <w:r w:rsidR="00586B10" w:rsidRPr="006E2B4E">
        <w:rPr>
          <w:rFonts w:ascii="Arial" w:hAnsi="Arial" w:cs="Arial"/>
          <w:sz w:val="22"/>
          <w:szCs w:val="22"/>
        </w:rPr>
        <w:t>l</w:t>
      </w:r>
      <w:r w:rsidR="0045348C" w:rsidRPr="006E2B4E">
        <w:rPr>
          <w:rFonts w:ascii="Arial" w:hAnsi="Arial" w:cs="Arial"/>
          <w:sz w:val="22"/>
          <w:szCs w:val="22"/>
        </w:rPr>
        <w:t xml:space="preserve"> contador público Cesar Isidro Cruz, director General de Administración</w:t>
      </w:r>
      <w:r w:rsidR="00586B10" w:rsidRPr="006E2B4E">
        <w:rPr>
          <w:rFonts w:ascii="Arial" w:hAnsi="Arial" w:cs="Arial"/>
          <w:sz w:val="22"/>
          <w:szCs w:val="22"/>
        </w:rPr>
        <w:t xml:space="preserve">, para </w:t>
      </w:r>
      <w:r w:rsidRPr="006E2B4E">
        <w:rPr>
          <w:rFonts w:ascii="Arial" w:hAnsi="Arial" w:cs="Arial"/>
          <w:sz w:val="22"/>
          <w:szCs w:val="22"/>
        </w:rPr>
        <w:t xml:space="preserve">que notifique a los </w:t>
      </w:r>
      <w:r w:rsidR="00DA4A66" w:rsidRPr="006E2B4E">
        <w:rPr>
          <w:rFonts w:ascii="Arial" w:hAnsi="Arial" w:cs="Arial"/>
          <w:sz w:val="22"/>
          <w:szCs w:val="22"/>
        </w:rPr>
        <w:t>t</w:t>
      </w:r>
      <w:r w:rsidRPr="006E2B4E">
        <w:rPr>
          <w:rFonts w:ascii="Arial" w:hAnsi="Arial" w:cs="Arial"/>
          <w:sz w:val="22"/>
          <w:szCs w:val="22"/>
        </w:rPr>
        <w:t xml:space="preserve">itulares de las diversas áreas de la </w:t>
      </w:r>
      <w:r w:rsidR="00481D63" w:rsidRPr="006E2B4E">
        <w:rPr>
          <w:rFonts w:ascii="Arial" w:hAnsi="Arial" w:cs="Arial"/>
          <w:sz w:val="22"/>
          <w:szCs w:val="22"/>
        </w:rPr>
        <w:t>i</w:t>
      </w:r>
      <w:r w:rsidRPr="006E2B4E">
        <w:rPr>
          <w:rFonts w:ascii="Arial" w:hAnsi="Arial" w:cs="Arial"/>
          <w:sz w:val="22"/>
          <w:szCs w:val="22"/>
        </w:rPr>
        <w:t>nstitución que deberán de conocer esta resolución.</w:t>
      </w:r>
    </w:p>
    <w:p w:rsidR="00914AAD" w:rsidRPr="006E2B4E" w:rsidRDefault="00914AAD" w:rsidP="00C57509">
      <w:pPr>
        <w:pStyle w:val="Sinespaciado"/>
        <w:jc w:val="both"/>
        <w:rPr>
          <w:rFonts w:ascii="Arial" w:eastAsiaTheme="minorEastAsia" w:hAnsi="Arial" w:cs="Arial"/>
          <w:lang w:eastAsia="es-ES"/>
        </w:rPr>
      </w:pPr>
    </w:p>
    <w:p w:rsidR="00FF1B19" w:rsidRDefault="00FF1B19" w:rsidP="00C57509">
      <w:pPr>
        <w:pStyle w:val="Sinespaciado"/>
        <w:jc w:val="both"/>
        <w:rPr>
          <w:rFonts w:ascii="Arial" w:eastAsiaTheme="minorEastAsia" w:hAnsi="Arial" w:cs="Arial"/>
          <w:lang w:eastAsia="es-ES"/>
        </w:rPr>
      </w:pPr>
      <w:r w:rsidRPr="006E2B4E">
        <w:rPr>
          <w:rFonts w:ascii="Arial" w:eastAsiaTheme="minorEastAsia" w:hAnsi="Arial" w:cs="Arial"/>
          <w:lang w:eastAsia="es-ES"/>
        </w:rPr>
        <w:t xml:space="preserve">Respecto </w:t>
      </w:r>
      <w:r w:rsidR="000E4FF6" w:rsidRPr="006E2B4E">
        <w:rPr>
          <w:rFonts w:ascii="Arial" w:eastAsiaTheme="minorEastAsia" w:hAnsi="Arial" w:cs="Arial"/>
          <w:lang w:eastAsia="es-ES"/>
        </w:rPr>
        <w:t xml:space="preserve">al llenado del formato correspondiente al artículo 84, fracción </w:t>
      </w:r>
      <w:r w:rsidR="00CB20AA" w:rsidRPr="006E2B4E">
        <w:rPr>
          <w:rFonts w:ascii="Arial" w:eastAsiaTheme="minorEastAsia" w:hAnsi="Arial" w:cs="Arial"/>
          <w:lang w:eastAsia="es-ES"/>
        </w:rPr>
        <w:t>XI</w:t>
      </w:r>
      <w:r w:rsidR="000E4FF6" w:rsidRPr="006E2B4E">
        <w:rPr>
          <w:rFonts w:ascii="Arial" w:eastAsiaTheme="minorEastAsia" w:hAnsi="Arial" w:cs="Arial"/>
          <w:lang w:eastAsia="es-ES"/>
        </w:rPr>
        <w:t xml:space="preserve">, </w:t>
      </w:r>
      <w:r w:rsidR="001E24B3" w:rsidRPr="006E2B4E">
        <w:rPr>
          <w:rFonts w:ascii="Arial" w:eastAsiaTheme="minorEastAsia" w:hAnsi="Arial" w:cs="Arial"/>
          <w:lang w:eastAsia="es-ES"/>
        </w:rPr>
        <w:t>deberá de realizarl</w:t>
      </w:r>
      <w:r w:rsidR="000E4FF6" w:rsidRPr="006E2B4E">
        <w:rPr>
          <w:rFonts w:ascii="Arial" w:eastAsiaTheme="minorEastAsia" w:hAnsi="Arial" w:cs="Arial"/>
          <w:lang w:eastAsia="es-ES"/>
        </w:rPr>
        <w:t>o</w:t>
      </w:r>
      <w:r w:rsidR="001E24B3" w:rsidRPr="006E2B4E">
        <w:rPr>
          <w:rFonts w:ascii="Arial" w:eastAsiaTheme="minorEastAsia" w:hAnsi="Arial" w:cs="Arial"/>
          <w:lang w:eastAsia="es-ES"/>
        </w:rPr>
        <w:t xml:space="preserve"> en estricto cumplimiento a </w:t>
      </w:r>
      <w:r w:rsidRPr="006E2B4E">
        <w:rPr>
          <w:rFonts w:ascii="Arial" w:eastAsiaTheme="minorEastAsia" w:hAnsi="Arial" w:cs="Arial"/>
          <w:lang w:eastAsia="es-ES"/>
        </w:rPr>
        <w:t xml:space="preserve">LTAIPSLP y de los LGCDIEVP analizando los rubros aquí reservados. </w:t>
      </w:r>
    </w:p>
    <w:p w:rsidR="0032628E" w:rsidRPr="006E2B4E" w:rsidRDefault="0032628E" w:rsidP="00C57509">
      <w:pPr>
        <w:pStyle w:val="Sinespaciado"/>
        <w:jc w:val="both"/>
        <w:rPr>
          <w:rFonts w:ascii="Arial" w:eastAsiaTheme="minorEastAsia" w:hAnsi="Arial" w:cs="Arial"/>
          <w:lang w:eastAsia="es-ES"/>
        </w:rPr>
      </w:pPr>
    </w:p>
    <w:p w:rsidR="00BF3665" w:rsidRPr="006E2B4E" w:rsidRDefault="009819AE" w:rsidP="00C57509">
      <w:pPr>
        <w:widowControl w:val="0"/>
        <w:jc w:val="both"/>
        <w:rPr>
          <w:rFonts w:ascii="Arial" w:hAnsi="Arial" w:cs="Arial"/>
          <w:sz w:val="22"/>
          <w:szCs w:val="22"/>
        </w:rPr>
      </w:pPr>
      <w:r w:rsidRPr="006E2B4E">
        <w:rPr>
          <w:rFonts w:ascii="Arial" w:hAnsi="Arial" w:cs="Arial"/>
          <w:sz w:val="22"/>
          <w:szCs w:val="22"/>
        </w:rPr>
        <w:t xml:space="preserve">Se instruye </w:t>
      </w:r>
      <w:r w:rsidR="0045348C" w:rsidRPr="006E2B4E">
        <w:rPr>
          <w:rFonts w:ascii="Arial" w:hAnsi="Arial" w:cs="Arial"/>
          <w:sz w:val="22"/>
          <w:szCs w:val="22"/>
        </w:rPr>
        <w:t>al contador público Cesar Isidro Cruz, director General de Administración</w:t>
      </w:r>
      <w:r w:rsidR="00586B10" w:rsidRPr="006E2B4E">
        <w:rPr>
          <w:rFonts w:ascii="Arial" w:hAnsi="Arial" w:cs="Arial"/>
          <w:sz w:val="22"/>
          <w:szCs w:val="22"/>
        </w:rPr>
        <w:t xml:space="preserve">, </w:t>
      </w:r>
      <w:r w:rsidRPr="006E2B4E">
        <w:rPr>
          <w:rFonts w:ascii="Arial" w:hAnsi="Arial" w:cs="Arial"/>
          <w:sz w:val="22"/>
          <w:szCs w:val="22"/>
        </w:rPr>
        <w:t xml:space="preserve">para que realice las anotaciones correspondientes en los documentos clasificados como reservados, de conformidad con el artículo 121 de la LTAIPSLP, concatenado con el lineamiento </w:t>
      </w:r>
      <w:r w:rsidR="002E085B" w:rsidRPr="006E2B4E">
        <w:rPr>
          <w:rFonts w:ascii="Arial" w:hAnsi="Arial" w:cs="Arial"/>
          <w:sz w:val="22"/>
          <w:szCs w:val="22"/>
        </w:rPr>
        <w:t>q</w:t>
      </w:r>
      <w:r w:rsidRPr="006E2B4E">
        <w:rPr>
          <w:rFonts w:ascii="Arial" w:hAnsi="Arial" w:cs="Arial"/>
          <w:sz w:val="22"/>
          <w:szCs w:val="22"/>
        </w:rPr>
        <w:t xml:space="preserve">uincuagésimo </w:t>
      </w:r>
      <w:r w:rsidR="002E085B" w:rsidRPr="006E2B4E">
        <w:rPr>
          <w:rFonts w:ascii="Arial" w:hAnsi="Arial" w:cs="Arial"/>
          <w:sz w:val="22"/>
          <w:szCs w:val="22"/>
        </w:rPr>
        <w:t>p</w:t>
      </w:r>
      <w:r w:rsidRPr="006E2B4E">
        <w:rPr>
          <w:rFonts w:ascii="Arial" w:hAnsi="Arial" w:cs="Arial"/>
          <w:sz w:val="22"/>
          <w:szCs w:val="22"/>
        </w:rPr>
        <w:t xml:space="preserve">rimero de los LGCDIEVP. </w:t>
      </w:r>
    </w:p>
    <w:p w:rsidR="00914AAD" w:rsidRPr="006E2B4E" w:rsidRDefault="00914AAD" w:rsidP="00C57509">
      <w:pPr>
        <w:widowControl w:val="0"/>
        <w:jc w:val="both"/>
        <w:rPr>
          <w:rFonts w:ascii="Arial" w:hAnsi="Arial" w:cs="Arial"/>
          <w:sz w:val="22"/>
          <w:szCs w:val="22"/>
        </w:rPr>
      </w:pPr>
    </w:p>
    <w:p w:rsidR="00BF3665" w:rsidRPr="006E2B4E" w:rsidRDefault="009819AE" w:rsidP="00C57509">
      <w:pPr>
        <w:jc w:val="both"/>
        <w:rPr>
          <w:rFonts w:ascii="Arial" w:hAnsi="Arial" w:cs="Arial"/>
          <w:sz w:val="22"/>
          <w:szCs w:val="22"/>
        </w:rPr>
      </w:pPr>
      <w:r w:rsidRPr="006E2B4E">
        <w:rPr>
          <w:rFonts w:ascii="Arial" w:hAnsi="Arial" w:cs="Arial"/>
          <w:sz w:val="22"/>
          <w:szCs w:val="22"/>
        </w:rPr>
        <w:t>Por lo anteriormente expuesto, y fundado por los artículos 51, 52, fracción II y demás relativos aplicables de la LTAIPSLP</w:t>
      </w:r>
      <w:r w:rsidR="002E085B" w:rsidRPr="006E2B4E">
        <w:rPr>
          <w:rFonts w:ascii="Arial" w:hAnsi="Arial" w:cs="Arial"/>
          <w:sz w:val="22"/>
          <w:szCs w:val="22"/>
        </w:rPr>
        <w:t>,</w:t>
      </w:r>
      <w:r w:rsidRPr="006E2B4E">
        <w:rPr>
          <w:rFonts w:ascii="Arial" w:hAnsi="Arial" w:cs="Arial"/>
          <w:sz w:val="22"/>
          <w:szCs w:val="22"/>
        </w:rPr>
        <w:t xml:space="preserve"> y el artículo tercero del </w:t>
      </w:r>
      <w:r w:rsidR="002E085B" w:rsidRPr="006E2B4E">
        <w:rPr>
          <w:rFonts w:ascii="Arial" w:hAnsi="Arial" w:cs="Arial"/>
          <w:sz w:val="22"/>
          <w:szCs w:val="22"/>
        </w:rPr>
        <w:t>a</w:t>
      </w:r>
      <w:r w:rsidRPr="006E2B4E">
        <w:rPr>
          <w:rFonts w:ascii="Arial" w:hAnsi="Arial" w:cs="Arial"/>
          <w:sz w:val="22"/>
          <w:szCs w:val="22"/>
        </w:rPr>
        <w:t xml:space="preserve">cuerdo </w:t>
      </w:r>
      <w:r w:rsidR="002E085B" w:rsidRPr="006E2B4E">
        <w:rPr>
          <w:rFonts w:ascii="Arial" w:hAnsi="Arial" w:cs="Arial"/>
          <w:sz w:val="22"/>
          <w:szCs w:val="22"/>
        </w:rPr>
        <w:t>g</w:t>
      </w:r>
      <w:r w:rsidRPr="006E2B4E">
        <w:rPr>
          <w:rFonts w:ascii="Arial" w:hAnsi="Arial" w:cs="Arial"/>
          <w:sz w:val="22"/>
          <w:szCs w:val="22"/>
        </w:rPr>
        <w:t>eneral número AG/011/2020 se:</w:t>
      </w:r>
    </w:p>
    <w:p w:rsidR="00743D1E" w:rsidRPr="006E2B4E" w:rsidRDefault="00743D1E" w:rsidP="00C57509">
      <w:pPr>
        <w:jc w:val="both"/>
        <w:rPr>
          <w:rFonts w:ascii="Arial" w:hAnsi="Arial" w:cs="Arial"/>
          <w:sz w:val="22"/>
          <w:szCs w:val="22"/>
        </w:rPr>
      </w:pPr>
    </w:p>
    <w:p w:rsidR="00BF3665" w:rsidRPr="006E2B4E" w:rsidRDefault="009819AE" w:rsidP="00C57509">
      <w:pPr>
        <w:jc w:val="center"/>
        <w:rPr>
          <w:rFonts w:ascii="Arial" w:hAnsi="Arial" w:cs="Arial"/>
          <w:b/>
          <w:sz w:val="22"/>
          <w:szCs w:val="22"/>
        </w:rPr>
      </w:pPr>
      <w:r w:rsidRPr="006E2B4E">
        <w:rPr>
          <w:rFonts w:ascii="Arial" w:hAnsi="Arial" w:cs="Arial"/>
          <w:b/>
          <w:sz w:val="22"/>
          <w:szCs w:val="22"/>
        </w:rPr>
        <w:t>RESUELVE POR UNANIMIDAD:</w:t>
      </w:r>
    </w:p>
    <w:p w:rsidR="00CE1625" w:rsidRPr="006E2B4E" w:rsidRDefault="00CE1625" w:rsidP="00C57509">
      <w:pPr>
        <w:jc w:val="center"/>
        <w:rPr>
          <w:rFonts w:ascii="Arial" w:hAnsi="Arial" w:cs="Arial"/>
          <w:b/>
          <w:sz w:val="22"/>
          <w:szCs w:val="22"/>
        </w:rPr>
      </w:pPr>
    </w:p>
    <w:p w:rsidR="00476EF2" w:rsidRPr="006E2B4E" w:rsidRDefault="00476EF2" w:rsidP="00C57509">
      <w:pPr>
        <w:jc w:val="both"/>
        <w:rPr>
          <w:rFonts w:ascii="Arial" w:hAnsi="Arial" w:cs="Arial"/>
          <w:sz w:val="22"/>
          <w:szCs w:val="22"/>
        </w:rPr>
      </w:pPr>
      <w:bookmarkStart w:id="5" w:name="_Hlk179366539"/>
      <w:r w:rsidRPr="006E2B4E">
        <w:rPr>
          <w:rFonts w:ascii="Arial" w:hAnsi="Arial" w:cs="Arial"/>
          <w:b/>
          <w:sz w:val="22"/>
          <w:szCs w:val="22"/>
        </w:rPr>
        <w:t>PRIMERO.</w:t>
      </w:r>
      <w:r w:rsidRPr="006E2B4E">
        <w:rPr>
          <w:rFonts w:ascii="Arial" w:hAnsi="Arial" w:cs="Arial"/>
          <w:sz w:val="22"/>
          <w:szCs w:val="22"/>
        </w:rPr>
        <w:t xml:space="preserve"> Se </w:t>
      </w:r>
      <w:r w:rsidRPr="006E2B4E">
        <w:rPr>
          <w:rFonts w:ascii="Arial" w:hAnsi="Arial" w:cs="Arial"/>
          <w:b/>
          <w:sz w:val="22"/>
          <w:szCs w:val="22"/>
        </w:rPr>
        <w:t>confirma</w:t>
      </w:r>
      <w:r w:rsidRPr="006E2B4E">
        <w:rPr>
          <w:rFonts w:ascii="Arial" w:hAnsi="Arial" w:cs="Arial"/>
          <w:sz w:val="22"/>
          <w:szCs w:val="22"/>
        </w:rPr>
        <w:t xml:space="preserve"> y adopta el </w:t>
      </w:r>
      <w:r w:rsidR="001E24B3" w:rsidRPr="006E2B4E">
        <w:rPr>
          <w:rFonts w:ascii="Arial" w:hAnsi="Arial" w:cs="Arial"/>
          <w:sz w:val="22"/>
          <w:szCs w:val="22"/>
        </w:rPr>
        <w:t xml:space="preserve">acuerdo de reserva </w:t>
      </w:r>
      <w:r w:rsidR="000E4FF6" w:rsidRPr="006E2B4E">
        <w:rPr>
          <w:rFonts w:ascii="Arial" w:hAnsi="Arial" w:cs="Arial"/>
          <w:b/>
          <w:sz w:val="22"/>
          <w:szCs w:val="22"/>
        </w:rPr>
        <w:t>parcial</w:t>
      </w:r>
      <w:r w:rsidR="001E24B3" w:rsidRPr="006E2B4E">
        <w:rPr>
          <w:rFonts w:ascii="Arial" w:hAnsi="Arial" w:cs="Arial"/>
          <w:sz w:val="22"/>
          <w:szCs w:val="22"/>
        </w:rPr>
        <w:t xml:space="preserve"> </w:t>
      </w:r>
      <w:r w:rsidRPr="006E2B4E">
        <w:rPr>
          <w:rFonts w:ascii="Arial" w:hAnsi="Arial" w:cs="Arial"/>
          <w:sz w:val="22"/>
          <w:szCs w:val="22"/>
        </w:rPr>
        <w:t xml:space="preserve">número </w:t>
      </w:r>
      <w:r w:rsidR="008565C9" w:rsidRPr="006E2B4E">
        <w:rPr>
          <w:rFonts w:ascii="Arial" w:hAnsi="Arial" w:cs="Arial"/>
          <w:b/>
          <w:sz w:val="22"/>
          <w:szCs w:val="22"/>
        </w:rPr>
        <w:t>AR/</w:t>
      </w:r>
      <w:r w:rsidR="009E6D0D">
        <w:rPr>
          <w:rFonts w:ascii="Arial" w:hAnsi="Arial" w:cs="Arial"/>
          <w:b/>
          <w:sz w:val="22"/>
          <w:szCs w:val="22"/>
        </w:rPr>
        <w:t>03</w:t>
      </w:r>
      <w:r w:rsidR="00315526">
        <w:rPr>
          <w:rFonts w:ascii="Arial" w:hAnsi="Arial" w:cs="Arial"/>
          <w:b/>
          <w:sz w:val="22"/>
          <w:szCs w:val="22"/>
        </w:rPr>
        <w:t>8</w:t>
      </w:r>
      <w:r w:rsidR="008565C9" w:rsidRPr="006E2B4E">
        <w:rPr>
          <w:rFonts w:ascii="Arial" w:hAnsi="Arial" w:cs="Arial"/>
          <w:b/>
          <w:sz w:val="22"/>
          <w:szCs w:val="22"/>
        </w:rPr>
        <w:t>/202</w:t>
      </w:r>
      <w:r w:rsidR="00056705" w:rsidRPr="006E2B4E">
        <w:rPr>
          <w:rFonts w:ascii="Arial" w:hAnsi="Arial" w:cs="Arial"/>
          <w:b/>
          <w:sz w:val="22"/>
          <w:szCs w:val="22"/>
        </w:rPr>
        <w:t>6</w:t>
      </w:r>
      <w:r w:rsidRPr="006E2B4E">
        <w:rPr>
          <w:rFonts w:ascii="Arial" w:hAnsi="Arial" w:cs="Arial"/>
          <w:sz w:val="22"/>
          <w:szCs w:val="22"/>
        </w:rPr>
        <w:t>,</w:t>
      </w:r>
      <w:r w:rsidRPr="006E2B4E">
        <w:rPr>
          <w:rFonts w:ascii="Arial" w:hAnsi="Arial" w:cs="Arial"/>
          <w:b/>
          <w:sz w:val="22"/>
          <w:szCs w:val="22"/>
        </w:rPr>
        <w:t xml:space="preserve"> </w:t>
      </w:r>
      <w:r w:rsidRPr="006E2B4E">
        <w:rPr>
          <w:rFonts w:ascii="Arial" w:hAnsi="Arial" w:cs="Arial"/>
          <w:sz w:val="22"/>
          <w:szCs w:val="22"/>
        </w:rPr>
        <w:t xml:space="preserve">emitido por </w:t>
      </w:r>
      <w:r w:rsidR="0045348C" w:rsidRPr="006E2B4E">
        <w:rPr>
          <w:rFonts w:ascii="Arial" w:hAnsi="Arial" w:cs="Arial"/>
          <w:sz w:val="22"/>
          <w:szCs w:val="22"/>
        </w:rPr>
        <w:t>el contador público Cesar Isidro Cruz, director General de Administración</w:t>
      </w:r>
      <w:r w:rsidRPr="006E2B4E">
        <w:rPr>
          <w:rFonts w:ascii="Arial" w:hAnsi="Arial" w:cs="Arial"/>
          <w:sz w:val="22"/>
          <w:szCs w:val="22"/>
        </w:rPr>
        <w:t xml:space="preserve">, por las razones y fundamentos expuestos en el considerando </w:t>
      </w:r>
      <w:r w:rsidR="001E24B3" w:rsidRPr="006E2B4E">
        <w:rPr>
          <w:rFonts w:ascii="Arial" w:hAnsi="Arial" w:cs="Arial"/>
          <w:i/>
          <w:sz w:val="22"/>
          <w:szCs w:val="22"/>
        </w:rPr>
        <w:t>tercero</w:t>
      </w:r>
      <w:r w:rsidRPr="006E2B4E">
        <w:rPr>
          <w:rFonts w:ascii="Arial" w:hAnsi="Arial" w:cs="Arial"/>
          <w:sz w:val="22"/>
          <w:szCs w:val="22"/>
        </w:rPr>
        <w:t xml:space="preserve"> de la presente resolución. </w:t>
      </w:r>
    </w:p>
    <w:p w:rsidR="00743D1E" w:rsidRPr="006E2B4E" w:rsidRDefault="00743D1E" w:rsidP="00C57509">
      <w:pPr>
        <w:jc w:val="both"/>
        <w:rPr>
          <w:rFonts w:ascii="Arial" w:hAnsi="Arial" w:cs="Arial"/>
          <w:sz w:val="22"/>
          <w:szCs w:val="22"/>
        </w:rPr>
      </w:pPr>
    </w:p>
    <w:p w:rsidR="00BD6496" w:rsidRPr="006E2B4E" w:rsidRDefault="00476EF2" w:rsidP="00BD6496">
      <w:pPr>
        <w:jc w:val="both"/>
        <w:rPr>
          <w:rFonts w:ascii="Arial" w:hAnsi="Arial" w:cs="Arial"/>
          <w:sz w:val="22"/>
          <w:szCs w:val="22"/>
        </w:rPr>
      </w:pPr>
      <w:r w:rsidRPr="006E2B4E">
        <w:rPr>
          <w:rFonts w:ascii="Arial" w:hAnsi="Arial" w:cs="Arial"/>
          <w:b/>
          <w:sz w:val="22"/>
          <w:szCs w:val="22"/>
        </w:rPr>
        <w:lastRenderedPageBreak/>
        <w:t xml:space="preserve">SEGUNDO. </w:t>
      </w:r>
      <w:r w:rsidR="00BD6496" w:rsidRPr="006E2B4E">
        <w:rPr>
          <w:rFonts w:ascii="Arial" w:hAnsi="Arial" w:cs="Arial"/>
          <w:sz w:val="22"/>
          <w:szCs w:val="22"/>
        </w:rPr>
        <w:t xml:space="preserve">El contador público Cesar Isidro Cruz, director General de Administración, debe solicitar la desclasificación una vez que hayan fenecido las causas que dieron origen a la reserva o haya concluido el plazo establecido en el considerando </w:t>
      </w:r>
      <w:r w:rsidR="00BD6496" w:rsidRPr="006E2B4E">
        <w:rPr>
          <w:rFonts w:ascii="Arial" w:hAnsi="Arial" w:cs="Arial"/>
          <w:i/>
          <w:sz w:val="22"/>
          <w:szCs w:val="22"/>
        </w:rPr>
        <w:t>tercero</w:t>
      </w:r>
      <w:r w:rsidR="00BD6496" w:rsidRPr="006E2B4E">
        <w:rPr>
          <w:rFonts w:ascii="Arial" w:hAnsi="Arial" w:cs="Arial"/>
          <w:sz w:val="22"/>
          <w:szCs w:val="22"/>
        </w:rPr>
        <w:t xml:space="preserve"> fracción III de la presente resolución.</w:t>
      </w:r>
    </w:p>
    <w:p w:rsidR="00B573B6" w:rsidRPr="006E2B4E" w:rsidRDefault="00B573B6" w:rsidP="00BD6496">
      <w:pPr>
        <w:jc w:val="both"/>
        <w:rPr>
          <w:rFonts w:ascii="Arial" w:hAnsi="Arial" w:cs="Arial"/>
          <w:b/>
          <w:sz w:val="22"/>
          <w:szCs w:val="22"/>
        </w:rPr>
      </w:pPr>
    </w:p>
    <w:p w:rsidR="00BD6496" w:rsidRPr="006E2B4E" w:rsidRDefault="00476EF2" w:rsidP="00BD6496">
      <w:pPr>
        <w:jc w:val="both"/>
        <w:rPr>
          <w:rFonts w:ascii="Arial" w:hAnsi="Arial" w:cs="Arial"/>
          <w:color w:val="231F20"/>
          <w:sz w:val="22"/>
          <w:szCs w:val="22"/>
        </w:rPr>
      </w:pPr>
      <w:r w:rsidRPr="006E2B4E">
        <w:rPr>
          <w:rFonts w:ascii="Arial" w:hAnsi="Arial" w:cs="Arial"/>
          <w:b/>
          <w:sz w:val="22"/>
          <w:szCs w:val="22"/>
        </w:rPr>
        <w:t xml:space="preserve">TERCERO. </w:t>
      </w:r>
      <w:r w:rsidR="00BD6496" w:rsidRPr="006E2B4E">
        <w:rPr>
          <w:rFonts w:ascii="Arial" w:hAnsi="Arial" w:cs="Arial"/>
          <w:sz w:val="22"/>
          <w:szCs w:val="22"/>
        </w:rPr>
        <w:t xml:space="preserve">Se instruye al contador público Cesar Isidro Cruz, director General de Administración para que dé cumplimiento a los efectos de la presente resolución establecidos en el considerando </w:t>
      </w:r>
      <w:r w:rsidR="00BD6496" w:rsidRPr="006E2B4E">
        <w:rPr>
          <w:rFonts w:ascii="Arial" w:hAnsi="Arial" w:cs="Arial"/>
          <w:i/>
          <w:sz w:val="22"/>
          <w:szCs w:val="22"/>
        </w:rPr>
        <w:t>tercero</w:t>
      </w:r>
      <w:r w:rsidR="00BD6496" w:rsidRPr="006E2B4E">
        <w:rPr>
          <w:rFonts w:ascii="Arial" w:hAnsi="Arial" w:cs="Arial"/>
          <w:sz w:val="22"/>
          <w:szCs w:val="22"/>
        </w:rPr>
        <w:t xml:space="preserve"> fracción IV.</w:t>
      </w:r>
    </w:p>
    <w:p w:rsidR="00D523F9" w:rsidRPr="006E2B4E" w:rsidRDefault="00D523F9" w:rsidP="001A6119">
      <w:pPr>
        <w:spacing w:line="276" w:lineRule="auto"/>
        <w:jc w:val="both"/>
        <w:rPr>
          <w:rFonts w:ascii="Arial" w:hAnsi="Arial" w:cs="Arial"/>
          <w:sz w:val="22"/>
          <w:szCs w:val="22"/>
        </w:rPr>
      </w:pPr>
    </w:p>
    <w:p w:rsidR="005E49F0" w:rsidRPr="006E2B4E" w:rsidRDefault="00257D8B" w:rsidP="001A6119">
      <w:pPr>
        <w:spacing w:line="276" w:lineRule="auto"/>
        <w:jc w:val="both"/>
        <w:rPr>
          <w:rFonts w:ascii="Arial" w:hAnsi="Arial" w:cs="Arial"/>
          <w:b/>
          <w:sz w:val="22"/>
          <w:szCs w:val="22"/>
        </w:rPr>
      </w:pPr>
      <w:r w:rsidRPr="006E2B4E">
        <w:rPr>
          <w:rFonts w:ascii="Arial" w:hAnsi="Arial" w:cs="Arial"/>
          <w:sz w:val="22"/>
          <w:szCs w:val="22"/>
        </w:rPr>
        <w:t xml:space="preserve">Para los registros del Comité de Transparencia se le asigna a la presente resolución el consecutivo </w:t>
      </w:r>
      <w:r w:rsidRPr="006E2B4E">
        <w:rPr>
          <w:rFonts w:ascii="Arial" w:hAnsi="Arial" w:cs="Arial"/>
          <w:b/>
          <w:sz w:val="22"/>
          <w:szCs w:val="22"/>
        </w:rPr>
        <w:t>FGE-CT-</w:t>
      </w:r>
      <w:r w:rsidR="00C16321" w:rsidRPr="006E2B4E">
        <w:rPr>
          <w:rFonts w:ascii="Arial" w:hAnsi="Arial" w:cs="Arial"/>
          <w:b/>
          <w:sz w:val="22"/>
          <w:szCs w:val="22"/>
        </w:rPr>
        <w:t>AR</w:t>
      </w:r>
      <w:r w:rsidRPr="006E2B4E">
        <w:rPr>
          <w:rFonts w:ascii="Arial" w:hAnsi="Arial" w:cs="Arial"/>
          <w:b/>
          <w:sz w:val="22"/>
          <w:szCs w:val="22"/>
        </w:rPr>
        <w:t>-</w:t>
      </w:r>
      <w:r w:rsidR="009E6D0D">
        <w:rPr>
          <w:rFonts w:ascii="Arial" w:hAnsi="Arial" w:cs="Arial"/>
          <w:b/>
          <w:sz w:val="22"/>
          <w:szCs w:val="22"/>
        </w:rPr>
        <w:t>1</w:t>
      </w:r>
      <w:r w:rsidR="00315526">
        <w:rPr>
          <w:rFonts w:ascii="Arial" w:hAnsi="Arial" w:cs="Arial"/>
          <w:b/>
          <w:sz w:val="22"/>
          <w:szCs w:val="22"/>
        </w:rPr>
        <w:t>23</w:t>
      </w:r>
      <w:r w:rsidRPr="006E2B4E">
        <w:rPr>
          <w:rFonts w:ascii="Arial" w:hAnsi="Arial" w:cs="Arial"/>
          <w:b/>
          <w:sz w:val="22"/>
          <w:szCs w:val="22"/>
        </w:rPr>
        <w:t>-202</w:t>
      </w:r>
      <w:r w:rsidR="00056705" w:rsidRPr="006E2B4E">
        <w:rPr>
          <w:rFonts w:ascii="Arial" w:hAnsi="Arial" w:cs="Arial"/>
          <w:b/>
          <w:sz w:val="22"/>
          <w:szCs w:val="22"/>
        </w:rPr>
        <w:t>6</w:t>
      </w:r>
      <w:r w:rsidR="001A6119" w:rsidRPr="006E2B4E">
        <w:rPr>
          <w:rFonts w:ascii="Arial" w:hAnsi="Arial" w:cs="Arial"/>
          <w:b/>
          <w:sz w:val="22"/>
          <w:szCs w:val="22"/>
        </w:rPr>
        <w:t xml:space="preserve">. </w:t>
      </w:r>
    </w:p>
    <w:p w:rsidR="007F63C2" w:rsidRPr="006E2B4E" w:rsidRDefault="007F63C2" w:rsidP="00C57509">
      <w:pPr>
        <w:jc w:val="both"/>
        <w:rPr>
          <w:rFonts w:ascii="Arial" w:hAnsi="Arial" w:cs="Arial"/>
          <w:b/>
          <w:sz w:val="22"/>
          <w:szCs w:val="22"/>
        </w:rPr>
      </w:pPr>
    </w:p>
    <w:bookmarkEnd w:id="5"/>
    <w:p w:rsidR="00BF3665" w:rsidRPr="006E2B4E" w:rsidRDefault="009819AE" w:rsidP="00C57509">
      <w:pPr>
        <w:jc w:val="both"/>
        <w:rPr>
          <w:rFonts w:ascii="Arial" w:hAnsi="Arial" w:cs="Arial"/>
          <w:sz w:val="22"/>
          <w:szCs w:val="22"/>
        </w:rPr>
      </w:pPr>
      <w:r w:rsidRPr="006E2B4E">
        <w:rPr>
          <w:rFonts w:ascii="Arial" w:hAnsi="Arial" w:cs="Arial"/>
          <w:sz w:val="22"/>
          <w:szCs w:val="22"/>
        </w:rPr>
        <w:t xml:space="preserve">En cumplimiento a lo establecido por el artículo 128 fracción IX, de la LTAIPSLP, así como el </w:t>
      </w:r>
      <w:r w:rsidR="00481D63" w:rsidRPr="006E2B4E">
        <w:rPr>
          <w:rFonts w:ascii="Arial" w:hAnsi="Arial" w:cs="Arial"/>
          <w:sz w:val="22"/>
          <w:szCs w:val="22"/>
        </w:rPr>
        <w:t>l</w:t>
      </w:r>
      <w:r w:rsidRPr="006E2B4E">
        <w:rPr>
          <w:rFonts w:ascii="Arial" w:hAnsi="Arial" w:cs="Arial"/>
          <w:sz w:val="22"/>
          <w:szCs w:val="22"/>
        </w:rPr>
        <w:t xml:space="preserve">ineamiento </w:t>
      </w:r>
      <w:r w:rsidR="00481D63" w:rsidRPr="006E2B4E">
        <w:rPr>
          <w:rFonts w:ascii="Arial" w:hAnsi="Arial" w:cs="Arial"/>
          <w:sz w:val="22"/>
          <w:szCs w:val="22"/>
        </w:rPr>
        <w:t>q</w:t>
      </w:r>
      <w:r w:rsidRPr="006E2B4E">
        <w:rPr>
          <w:rFonts w:ascii="Arial" w:hAnsi="Arial" w:cs="Arial"/>
          <w:sz w:val="22"/>
          <w:szCs w:val="22"/>
        </w:rPr>
        <w:t>uincuagésimo primero, fracción V de los LGPCDIEVP, se procede a rubricar la presente resolución.</w:t>
      </w:r>
    </w:p>
    <w:p w:rsidR="00BF3665" w:rsidRDefault="00BF3665" w:rsidP="00C57509">
      <w:pPr>
        <w:rPr>
          <w:rFonts w:ascii="Arial" w:hAnsi="Arial" w:cs="Arial"/>
          <w:sz w:val="22"/>
          <w:szCs w:val="22"/>
        </w:rPr>
      </w:pPr>
    </w:p>
    <w:p w:rsidR="006E2B4E" w:rsidRPr="006E2B4E" w:rsidRDefault="006E2B4E" w:rsidP="00C57509">
      <w:pPr>
        <w:rPr>
          <w:rFonts w:ascii="Arial" w:hAnsi="Arial" w:cs="Arial"/>
          <w:sz w:val="22"/>
          <w:szCs w:val="22"/>
        </w:rPr>
      </w:pPr>
    </w:p>
    <w:p w:rsidR="001A6119" w:rsidRDefault="001A6119" w:rsidP="00C57509">
      <w:pPr>
        <w:rPr>
          <w:rFonts w:ascii="Arial" w:hAnsi="Arial" w:cs="Arial"/>
          <w:sz w:val="22"/>
          <w:szCs w:val="22"/>
        </w:rPr>
      </w:pPr>
    </w:p>
    <w:p w:rsidR="006E2B4E" w:rsidRPr="006E2B4E" w:rsidRDefault="006E2B4E" w:rsidP="00C57509">
      <w:pPr>
        <w:rPr>
          <w:rFonts w:ascii="Arial" w:hAnsi="Arial" w:cs="Arial"/>
          <w:sz w:val="22"/>
          <w:szCs w:val="22"/>
        </w:rPr>
      </w:pPr>
    </w:p>
    <w:p w:rsidR="00AE4D60" w:rsidRPr="006E2B4E" w:rsidRDefault="00AE4D60" w:rsidP="00C57509">
      <w:pPr>
        <w:jc w:val="both"/>
        <w:rPr>
          <w:rFonts w:ascii="Arial" w:hAnsi="Arial" w:cs="Arial"/>
          <w:highlight w:val="yellow"/>
        </w:rPr>
      </w:pPr>
    </w:p>
    <w:p w:rsidR="00BF3665" w:rsidRPr="006E2B4E" w:rsidRDefault="009819AE" w:rsidP="00C57509">
      <w:pPr>
        <w:rPr>
          <w:rFonts w:ascii="Arial" w:hAnsi="Arial" w:cs="Arial"/>
        </w:rPr>
      </w:pPr>
      <w:r w:rsidRPr="006E2B4E">
        <w:rPr>
          <w:rFonts w:ascii="Arial" w:hAnsi="Arial" w:cs="Arial"/>
        </w:rPr>
        <w:t>____________________________________</w:t>
      </w:r>
    </w:p>
    <w:p w:rsidR="00BF3665" w:rsidRPr="006E2B4E" w:rsidRDefault="009819AE" w:rsidP="00C57509">
      <w:pPr>
        <w:tabs>
          <w:tab w:val="left" w:pos="8998"/>
          <w:tab w:val="left" w:pos="9932"/>
        </w:tabs>
        <w:spacing w:before="20"/>
        <w:rPr>
          <w:rFonts w:ascii="Arial" w:eastAsia="Arial" w:hAnsi="Arial" w:cs="Arial"/>
          <w:b/>
        </w:rPr>
      </w:pPr>
      <w:r w:rsidRPr="006E2B4E">
        <w:rPr>
          <w:rFonts w:ascii="Arial" w:eastAsia="Arial" w:hAnsi="Arial" w:cs="Arial"/>
          <w:b/>
        </w:rPr>
        <w:t>MAESTRA XITLÁLIC SÁNCHEZ SERVÍN</w:t>
      </w:r>
    </w:p>
    <w:p w:rsidR="00BF3665" w:rsidRPr="006E2B4E" w:rsidRDefault="009819AE" w:rsidP="00C57509">
      <w:pPr>
        <w:tabs>
          <w:tab w:val="left" w:pos="8998"/>
          <w:tab w:val="left" w:pos="9932"/>
        </w:tabs>
        <w:spacing w:before="20"/>
        <w:rPr>
          <w:rFonts w:ascii="Arial" w:eastAsia="Arial" w:hAnsi="Arial" w:cs="Arial"/>
          <w:b/>
        </w:rPr>
      </w:pPr>
      <w:r w:rsidRPr="006E2B4E">
        <w:rPr>
          <w:rFonts w:ascii="Arial" w:eastAsia="Arial" w:hAnsi="Arial" w:cs="Arial"/>
          <w:b/>
        </w:rPr>
        <w:t>VICEFISCAL JURIDICA Y PRESIDENTA DEL</w:t>
      </w:r>
    </w:p>
    <w:p w:rsidR="00BF3665" w:rsidRPr="006E2B4E" w:rsidRDefault="009819AE" w:rsidP="0045348C">
      <w:pPr>
        <w:tabs>
          <w:tab w:val="left" w:pos="8998"/>
          <w:tab w:val="left" w:pos="9932"/>
        </w:tabs>
        <w:spacing w:before="20"/>
        <w:rPr>
          <w:rFonts w:ascii="Arial" w:eastAsia="Arial" w:hAnsi="Arial" w:cs="Arial"/>
          <w:b/>
        </w:rPr>
      </w:pPr>
      <w:r w:rsidRPr="006E2B4E">
        <w:rPr>
          <w:rFonts w:ascii="Arial" w:eastAsia="Arial" w:hAnsi="Arial" w:cs="Arial"/>
          <w:b/>
        </w:rPr>
        <w:t>COMITÉ DE TRANSPARENCIA</w:t>
      </w:r>
      <w:r w:rsidR="0045348C" w:rsidRPr="006E2B4E">
        <w:rPr>
          <w:rFonts w:ascii="Arial" w:eastAsia="Arial" w:hAnsi="Arial" w:cs="Arial"/>
          <w:b/>
        </w:rPr>
        <w:t>.</w:t>
      </w:r>
      <w:r w:rsidRPr="006E2B4E">
        <w:rPr>
          <w:rFonts w:ascii="Arial" w:eastAsia="Arial" w:hAnsi="Arial" w:cs="Arial"/>
          <w:b/>
        </w:rPr>
        <w:t xml:space="preserve"> </w:t>
      </w:r>
    </w:p>
    <w:p w:rsidR="00204354" w:rsidRDefault="00204354" w:rsidP="00C57509">
      <w:pPr>
        <w:tabs>
          <w:tab w:val="left" w:pos="8998"/>
          <w:tab w:val="left" w:pos="9932"/>
        </w:tabs>
        <w:spacing w:before="20"/>
        <w:rPr>
          <w:rFonts w:ascii="Arial" w:eastAsia="Arial" w:hAnsi="Arial" w:cs="Arial"/>
          <w:b/>
        </w:rPr>
      </w:pPr>
    </w:p>
    <w:p w:rsidR="006E2B4E" w:rsidRDefault="006E2B4E" w:rsidP="00C57509">
      <w:pPr>
        <w:tabs>
          <w:tab w:val="left" w:pos="8998"/>
          <w:tab w:val="left" w:pos="9932"/>
        </w:tabs>
        <w:spacing w:before="20"/>
        <w:rPr>
          <w:rFonts w:ascii="Arial" w:eastAsia="Arial" w:hAnsi="Arial" w:cs="Arial"/>
          <w:b/>
        </w:rPr>
      </w:pPr>
    </w:p>
    <w:p w:rsidR="006E2B4E" w:rsidRPr="006E2B4E" w:rsidRDefault="006E2B4E" w:rsidP="00C57509">
      <w:pPr>
        <w:tabs>
          <w:tab w:val="left" w:pos="8998"/>
          <w:tab w:val="left" w:pos="9932"/>
        </w:tabs>
        <w:spacing w:before="20"/>
        <w:rPr>
          <w:rFonts w:ascii="Arial" w:eastAsia="Arial" w:hAnsi="Arial" w:cs="Arial"/>
          <w:b/>
        </w:rPr>
      </w:pPr>
    </w:p>
    <w:p w:rsidR="001A6119" w:rsidRPr="006E2B4E" w:rsidRDefault="001A6119" w:rsidP="00C57509">
      <w:pPr>
        <w:tabs>
          <w:tab w:val="left" w:pos="8998"/>
          <w:tab w:val="left" w:pos="9932"/>
        </w:tabs>
        <w:spacing w:before="20"/>
        <w:rPr>
          <w:rFonts w:ascii="Arial" w:eastAsia="Arial" w:hAnsi="Arial" w:cs="Arial"/>
          <w:b/>
        </w:rPr>
      </w:pPr>
    </w:p>
    <w:p w:rsidR="007A1D44" w:rsidRPr="006E2B4E" w:rsidRDefault="007A1D44" w:rsidP="00C57509">
      <w:pPr>
        <w:tabs>
          <w:tab w:val="left" w:pos="8998"/>
          <w:tab w:val="left" w:pos="9932"/>
        </w:tabs>
        <w:spacing w:before="20"/>
        <w:rPr>
          <w:rFonts w:ascii="Arial" w:eastAsia="Arial" w:hAnsi="Arial" w:cs="Arial"/>
          <w:b/>
        </w:rPr>
      </w:pPr>
    </w:p>
    <w:p w:rsidR="00204354" w:rsidRPr="006E2B4E" w:rsidRDefault="00204354" w:rsidP="00C57509">
      <w:pPr>
        <w:jc w:val="both"/>
        <w:rPr>
          <w:rFonts w:ascii="Arial" w:hAnsi="Arial" w:cs="Arial"/>
        </w:rPr>
      </w:pPr>
      <w:r w:rsidRPr="006E2B4E">
        <w:rPr>
          <w:rFonts w:ascii="Arial" w:hAnsi="Arial" w:cs="Arial"/>
        </w:rPr>
        <w:t>____________________________________</w:t>
      </w:r>
    </w:p>
    <w:p w:rsidR="00C16321" w:rsidRPr="006E2B4E" w:rsidRDefault="00C16321" w:rsidP="00C16321">
      <w:pPr>
        <w:rPr>
          <w:rFonts w:ascii="Arial" w:hAnsi="Arial" w:cs="Arial"/>
          <w:b/>
        </w:rPr>
      </w:pPr>
      <w:r w:rsidRPr="006E2B4E">
        <w:rPr>
          <w:rFonts w:ascii="Arial" w:hAnsi="Arial" w:cs="Arial"/>
          <w:b/>
        </w:rPr>
        <w:t>MAESTRO CARLOS ALEJANDRO PONCE RODRÍGUEZ</w:t>
      </w:r>
    </w:p>
    <w:p w:rsidR="00C16321" w:rsidRPr="006E2B4E" w:rsidRDefault="00C16321" w:rsidP="00C16321">
      <w:pPr>
        <w:rPr>
          <w:rFonts w:ascii="Arial" w:hAnsi="Arial" w:cs="Arial"/>
          <w:b/>
        </w:rPr>
      </w:pPr>
      <w:r w:rsidRPr="006E2B4E">
        <w:rPr>
          <w:rFonts w:ascii="Arial" w:hAnsi="Arial" w:cs="Arial"/>
          <w:b/>
        </w:rPr>
        <w:t>VICEFISCAL E INTEGRANTE DEL COMITÉ DE TRANSPARENCIA.</w:t>
      </w:r>
    </w:p>
    <w:p w:rsidR="001A6119" w:rsidRPr="006E2B4E" w:rsidRDefault="001A6119" w:rsidP="00C57509">
      <w:pPr>
        <w:jc w:val="both"/>
        <w:rPr>
          <w:rFonts w:ascii="Arial" w:hAnsi="Arial" w:cs="Arial"/>
          <w:b/>
        </w:rPr>
      </w:pPr>
    </w:p>
    <w:p w:rsidR="001A6119" w:rsidRDefault="001A6119" w:rsidP="00C57509">
      <w:pPr>
        <w:jc w:val="both"/>
        <w:rPr>
          <w:rFonts w:ascii="Arial" w:hAnsi="Arial" w:cs="Arial"/>
          <w:b/>
        </w:rPr>
      </w:pPr>
    </w:p>
    <w:p w:rsidR="006E2B4E" w:rsidRDefault="006E2B4E" w:rsidP="00C57509">
      <w:pPr>
        <w:jc w:val="both"/>
        <w:rPr>
          <w:rFonts w:ascii="Arial" w:hAnsi="Arial" w:cs="Arial"/>
          <w:b/>
        </w:rPr>
      </w:pPr>
    </w:p>
    <w:p w:rsidR="006E2B4E" w:rsidRPr="006E2B4E" w:rsidRDefault="006E2B4E" w:rsidP="00C57509">
      <w:pPr>
        <w:jc w:val="both"/>
        <w:rPr>
          <w:rFonts w:ascii="Arial" w:hAnsi="Arial" w:cs="Arial"/>
          <w:b/>
        </w:rPr>
      </w:pPr>
    </w:p>
    <w:p w:rsidR="001A6119" w:rsidRPr="006E2B4E" w:rsidRDefault="001A6119" w:rsidP="00C57509">
      <w:pPr>
        <w:jc w:val="both"/>
        <w:rPr>
          <w:rFonts w:ascii="Arial" w:hAnsi="Arial" w:cs="Arial"/>
          <w:b/>
        </w:rPr>
      </w:pPr>
    </w:p>
    <w:p w:rsidR="00BF3665" w:rsidRPr="006E2B4E" w:rsidRDefault="009819AE" w:rsidP="00C57509">
      <w:pPr>
        <w:jc w:val="both"/>
        <w:rPr>
          <w:rFonts w:ascii="Arial" w:hAnsi="Arial" w:cs="Arial"/>
        </w:rPr>
      </w:pPr>
      <w:r w:rsidRPr="006E2B4E">
        <w:rPr>
          <w:rFonts w:ascii="Arial" w:hAnsi="Arial" w:cs="Arial"/>
        </w:rPr>
        <w:t>_____________________________________</w:t>
      </w:r>
    </w:p>
    <w:p w:rsidR="00914AAD" w:rsidRPr="006E2B4E" w:rsidRDefault="00914AAD" w:rsidP="00914AAD">
      <w:pPr>
        <w:rPr>
          <w:rFonts w:ascii="Arial" w:hAnsi="Arial" w:cs="Arial"/>
          <w:b/>
        </w:rPr>
      </w:pPr>
      <w:r w:rsidRPr="006E2B4E">
        <w:rPr>
          <w:rFonts w:ascii="Arial" w:hAnsi="Arial" w:cs="Arial"/>
          <w:b/>
        </w:rPr>
        <w:t xml:space="preserve">DOCTOR JESUS RAFAEL RODRÍGUEZ LÓPEZ </w:t>
      </w:r>
    </w:p>
    <w:p w:rsidR="0045348C" w:rsidRPr="006E2B4E" w:rsidRDefault="009819AE" w:rsidP="00C57509">
      <w:pPr>
        <w:rPr>
          <w:rFonts w:ascii="Arial" w:hAnsi="Arial" w:cs="Arial"/>
          <w:b/>
        </w:rPr>
      </w:pPr>
      <w:r w:rsidRPr="006E2B4E">
        <w:rPr>
          <w:rFonts w:ascii="Arial" w:hAnsi="Arial" w:cs="Arial"/>
          <w:b/>
        </w:rPr>
        <w:t xml:space="preserve">TITULAR DEL ÓRGANO DE CONTROL INTERNO </w:t>
      </w:r>
    </w:p>
    <w:p w:rsidR="00BF3665" w:rsidRPr="006E2B4E" w:rsidRDefault="009819AE" w:rsidP="00C57509">
      <w:pPr>
        <w:rPr>
          <w:rFonts w:ascii="Arial" w:hAnsi="Arial" w:cs="Arial"/>
          <w:b/>
        </w:rPr>
      </w:pPr>
      <w:r w:rsidRPr="006E2B4E">
        <w:rPr>
          <w:rFonts w:ascii="Arial" w:hAnsi="Arial" w:cs="Arial"/>
          <w:b/>
        </w:rPr>
        <w:t>E INTEGRANTE DEL COMITÉ DE TRANSPARENCIA.</w:t>
      </w:r>
    </w:p>
    <w:sectPr w:rsidR="00BF3665" w:rsidRPr="006E2B4E" w:rsidSect="00E70EB4">
      <w:headerReference w:type="even" r:id="rId9"/>
      <w:headerReference w:type="default" r:id="rId10"/>
      <w:footerReference w:type="even" r:id="rId11"/>
      <w:footerReference w:type="default" r:id="rId12"/>
      <w:headerReference w:type="first" r:id="rId13"/>
      <w:footerReference w:type="first" r:id="rId14"/>
      <w:pgSz w:w="12240" w:h="15840"/>
      <w:pgMar w:top="2410"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FA2" w:rsidRDefault="009A2FA2">
      <w:r>
        <w:separator/>
      </w:r>
    </w:p>
  </w:endnote>
  <w:endnote w:type="continuationSeparator" w:id="0">
    <w:p w:rsidR="009A2FA2" w:rsidRDefault="009A2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74D" w:rsidRDefault="00D557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74D" w:rsidRDefault="00D557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FA2" w:rsidRDefault="009A2FA2">
      <w:r>
        <w:separator/>
      </w:r>
    </w:p>
  </w:footnote>
  <w:footnote w:type="continuationSeparator" w:id="0">
    <w:p w:rsidR="009A2FA2" w:rsidRDefault="009A2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74D" w:rsidRDefault="00D5574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483391"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D5574D">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483392"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noProof/>
        <w:lang w:eastAsia="es-MX"/>
      </w:rPr>
      <w:drawing>
        <wp:anchor distT="0" distB="0" distL="114300" distR="114300" simplePos="0" relativeHeight="251662336" behindDoc="1" locked="0" layoutInCell="1" allowOverlap="1">
          <wp:simplePos x="0" y="0"/>
          <wp:positionH relativeFrom="page">
            <wp:align>right</wp:align>
          </wp:positionH>
          <wp:positionV relativeFrom="paragraph">
            <wp:posOffset>-443188</wp:posOffset>
          </wp:positionV>
          <wp:extent cx="7772400" cy="100457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r w:rsidR="006A523B">
      <w:rPr>
        <w:noProof/>
        <w:lang w:eastAsia="es-MX"/>
      </w:rPr>
      <w:t>1</w:t>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DE0FAB" w:rsidRDefault="00DE0FAB">
    <w:pPr>
      <w:pStyle w:val="Encabezado"/>
      <w:tabs>
        <w:tab w:val="clear" w:pos="4419"/>
        <w:tab w:val="clear" w:pos="8838"/>
        <w:tab w:val="left" w:pos="812"/>
      </w:tabs>
    </w:pPr>
  </w:p>
  <w:tbl>
    <w:tblPr>
      <w:tblStyle w:val="Tablaconcuadrcula"/>
      <w:tblW w:w="0" w:type="auto"/>
      <w:tblLook w:val="04A0" w:firstRow="1" w:lastRow="0" w:firstColumn="1" w:lastColumn="0" w:noHBand="0" w:noVBand="1"/>
    </w:tblPr>
    <w:tblGrid>
      <w:gridCol w:w="9962"/>
    </w:tblGrid>
    <w:tr w:rsidR="00E70EB4" w:rsidTr="00E70EB4">
      <w:tc>
        <w:tcPr>
          <w:tcW w:w="9962" w:type="dxa"/>
          <w:shd w:val="clear" w:color="auto" w:fill="000000" w:themeFill="text1"/>
        </w:tcPr>
        <w:p w:rsidR="00E70EB4" w:rsidRPr="00E70EB4" w:rsidRDefault="00315526" w:rsidP="00E70EB4">
          <w:pPr>
            <w:spacing w:line="276" w:lineRule="auto"/>
            <w:jc w:val="both"/>
            <w:rPr>
              <w:lang w:val="es-ES"/>
            </w:rPr>
          </w:pPr>
          <w:r>
            <w:rPr>
              <w:rFonts w:ascii="Arial" w:hAnsi="Arial" w:cs="Arial"/>
              <w:color w:val="FFFFFF" w:themeColor="background1"/>
              <w:sz w:val="18"/>
              <w:szCs w:val="18"/>
              <w:lang w:val="es-ES"/>
            </w:rPr>
            <w:t>Tres</w:t>
          </w:r>
          <w:r w:rsidR="00E70EB4">
            <w:rPr>
              <w:rFonts w:ascii="Arial" w:hAnsi="Arial" w:cs="Arial"/>
              <w:color w:val="FFFFFF" w:themeColor="background1"/>
              <w:sz w:val="18"/>
              <w:szCs w:val="18"/>
              <w:lang w:val="es-ES"/>
            </w:rPr>
            <w:t xml:space="preserve"> de </w:t>
          </w:r>
          <w:r w:rsidR="0031340E">
            <w:rPr>
              <w:rFonts w:ascii="Arial" w:hAnsi="Arial" w:cs="Arial"/>
              <w:color w:val="FFFFFF" w:themeColor="background1"/>
              <w:sz w:val="18"/>
              <w:szCs w:val="18"/>
              <w:lang w:val="es-ES"/>
            </w:rPr>
            <w:t>ju</w:t>
          </w:r>
          <w:r>
            <w:rPr>
              <w:rFonts w:ascii="Arial" w:hAnsi="Arial" w:cs="Arial"/>
              <w:color w:val="FFFFFF" w:themeColor="background1"/>
              <w:sz w:val="18"/>
              <w:szCs w:val="18"/>
              <w:lang w:val="es-ES"/>
            </w:rPr>
            <w:t>l</w:t>
          </w:r>
          <w:r w:rsidR="0031340E">
            <w:rPr>
              <w:rFonts w:ascii="Arial" w:hAnsi="Arial" w:cs="Arial"/>
              <w:color w:val="FFFFFF" w:themeColor="background1"/>
              <w:sz w:val="18"/>
              <w:szCs w:val="18"/>
              <w:lang w:val="es-ES"/>
            </w:rPr>
            <w:t>io</w:t>
          </w:r>
          <w:r w:rsidR="00973F68">
            <w:rPr>
              <w:rFonts w:ascii="Arial" w:hAnsi="Arial" w:cs="Arial"/>
              <w:color w:val="FFFFFF" w:themeColor="background1"/>
              <w:sz w:val="18"/>
              <w:szCs w:val="18"/>
              <w:lang w:val="es-ES"/>
            </w:rPr>
            <w:t xml:space="preserve"> </w:t>
          </w:r>
          <w:r w:rsidR="00E70EB4">
            <w:rPr>
              <w:rFonts w:ascii="Arial" w:hAnsi="Arial" w:cs="Arial"/>
              <w:color w:val="FFFFFF" w:themeColor="background1"/>
              <w:sz w:val="18"/>
              <w:szCs w:val="18"/>
              <w:lang w:val="es-ES"/>
            </w:rPr>
            <w:t>202</w:t>
          </w:r>
          <w:r w:rsidR="00973F68">
            <w:rPr>
              <w:rFonts w:ascii="Arial" w:hAnsi="Arial" w:cs="Arial"/>
              <w:color w:val="FFFFFF" w:themeColor="background1"/>
              <w:sz w:val="18"/>
              <w:szCs w:val="18"/>
              <w:lang w:val="es-ES"/>
            </w:rPr>
            <w:t>6</w:t>
          </w:r>
          <w:r w:rsidR="00E70EB4">
            <w:rPr>
              <w:rFonts w:ascii="Arial" w:hAnsi="Arial" w:cs="Arial"/>
              <w:color w:val="FFFFFF" w:themeColor="background1"/>
              <w:sz w:val="18"/>
              <w:szCs w:val="18"/>
              <w:lang w:val="es-ES"/>
            </w:rPr>
            <w:t xml:space="preserve">. </w:t>
          </w:r>
          <w:r>
            <w:rPr>
              <w:rFonts w:ascii="Arial" w:hAnsi="Arial" w:cs="Arial"/>
              <w:color w:val="FFFFFF" w:themeColor="background1"/>
              <w:sz w:val="18"/>
              <w:szCs w:val="18"/>
              <w:lang w:val="es-ES"/>
            </w:rPr>
            <w:t>Séptima</w:t>
          </w:r>
          <w:r w:rsidR="00E70EB4">
            <w:rPr>
              <w:rFonts w:ascii="Arial" w:hAnsi="Arial" w:cs="Arial"/>
              <w:color w:val="FFFFFF" w:themeColor="background1"/>
              <w:sz w:val="18"/>
              <w:szCs w:val="18"/>
            </w:rPr>
            <w:t xml:space="preserve"> </w:t>
          </w:r>
          <w:r w:rsidR="00E70EB4" w:rsidRPr="00D338A0">
            <w:rPr>
              <w:rFonts w:ascii="Arial" w:hAnsi="Arial" w:cs="Arial"/>
              <w:color w:val="FFFFFF" w:themeColor="background1"/>
              <w:sz w:val="18"/>
              <w:szCs w:val="18"/>
            </w:rPr>
            <w:t xml:space="preserve">sesión </w:t>
          </w:r>
          <w:r w:rsidR="00E70EB4">
            <w:rPr>
              <w:rFonts w:ascii="Arial" w:hAnsi="Arial" w:cs="Arial"/>
              <w:color w:val="FFFFFF" w:themeColor="background1"/>
              <w:sz w:val="18"/>
              <w:szCs w:val="18"/>
            </w:rPr>
            <w:t>ordinaria</w:t>
          </w:r>
          <w:r w:rsidR="00E70EB4" w:rsidRPr="00D338A0">
            <w:rPr>
              <w:rFonts w:ascii="Arial" w:hAnsi="Arial" w:cs="Arial"/>
              <w:color w:val="FFFFFF" w:themeColor="background1"/>
              <w:sz w:val="18"/>
              <w:szCs w:val="18"/>
            </w:rPr>
            <w:t xml:space="preserve"> 202</w:t>
          </w:r>
          <w:r w:rsidR="00973F68">
            <w:rPr>
              <w:rFonts w:ascii="Arial" w:hAnsi="Arial" w:cs="Arial"/>
              <w:color w:val="FFFFFF" w:themeColor="background1"/>
              <w:sz w:val="18"/>
              <w:szCs w:val="18"/>
            </w:rPr>
            <w:t>6</w:t>
          </w:r>
          <w:r w:rsidR="00E70EB4" w:rsidRPr="00D338A0">
            <w:rPr>
              <w:rFonts w:ascii="Arial" w:hAnsi="Arial" w:cs="Arial"/>
              <w:color w:val="FFFFFF" w:themeColor="background1"/>
              <w:sz w:val="18"/>
              <w:szCs w:val="18"/>
            </w:rPr>
            <w:t xml:space="preserve"> del Comité de Transparencia. </w:t>
          </w:r>
          <w:r w:rsidR="00E70EB4" w:rsidRPr="00D338A0">
            <w:rPr>
              <w:rFonts w:ascii="Arial" w:hAnsi="Arial" w:cs="Arial"/>
              <w:color w:val="FFFFFF" w:themeColor="background1"/>
              <w:sz w:val="18"/>
              <w:szCs w:val="18"/>
              <w:lang w:val="es-ES"/>
            </w:rPr>
            <w:t xml:space="preserve">Confirmación del acuerdo de reserva </w:t>
          </w:r>
          <w:r w:rsidR="00E70EB4">
            <w:rPr>
              <w:rFonts w:ascii="Arial" w:hAnsi="Arial" w:cs="Arial"/>
              <w:b/>
              <w:color w:val="FFFFFF" w:themeColor="background1"/>
              <w:sz w:val="18"/>
              <w:szCs w:val="18"/>
              <w:lang w:val="es-ES"/>
            </w:rPr>
            <w:t xml:space="preserve">parcial </w:t>
          </w:r>
          <w:r w:rsidR="00E70EB4" w:rsidRPr="002E1506">
            <w:rPr>
              <w:rFonts w:ascii="Arial" w:hAnsi="Arial" w:cs="Arial"/>
              <w:b/>
              <w:color w:val="FFFFFF" w:themeColor="background1"/>
              <w:sz w:val="18"/>
              <w:szCs w:val="18"/>
              <w:lang w:val="es-ES"/>
            </w:rPr>
            <w:t>AR</w:t>
          </w:r>
          <w:r w:rsidR="00E70EB4" w:rsidRPr="006A523B">
            <w:rPr>
              <w:rFonts w:ascii="Arial" w:hAnsi="Arial" w:cs="Arial"/>
              <w:b/>
              <w:color w:val="FFFFFF" w:themeColor="background1"/>
              <w:sz w:val="18"/>
              <w:szCs w:val="18"/>
              <w:lang w:val="es-ES"/>
            </w:rPr>
            <w:t>/</w:t>
          </w:r>
          <w:r w:rsidR="00D56200">
            <w:rPr>
              <w:rFonts w:ascii="Arial" w:hAnsi="Arial" w:cs="Arial"/>
              <w:b/>
              <w:color w:val="FFFFFF" w:themeColor="background1"/>
              <w:sz w:val="18"/>
              <w:szCs w:val="18"/>
              <w:lang w:val="es-ES"/>
            </w:rPr>
            <w:t>0</w:t>
          </w:r>
          <w:r w:rsidR="009E6D0D">
            <w:rPr>
              <w:rFonts w:ascii="Arial" w:hAnsi="Arial" w:cs="Arial"/>
              <w:b/>
              <w:color w:val="FFFFFF" w:themeColor="background1"/>
              <w:sz w:val="18"/>
              <w:szCs w:val="18"/>
              <w:lang w:val="es-ES"/>
            </w:rPr>
            <w:t>3</w:t>
          </w:r>
          <w:r>
            <w:rPr>
              <w:rFonts w:ascii="Arial" w:hAnsi="Arial" w:cs="Arial"/>
              <w:b/>
              <w:color w:val="FFFFFF" w:themeColor="background1"/>
              <w:sz w:val="18"/>
              <w:szCs w:val="18"/>
              <w:lang w:val="es-ES"/>
            </w:rPr>
            <w:t>8</w:t>
          </w:r>
          <w:r w:rsidR="00E70EB4" w:rsidRPr="006A523B">
            <w:rPr>
              <w:rFonts w:ascii="Arial" w:hAnsi="Arial" w:cs="Arial"/>
              <w:b/>
              <w:color w:val="FFFFFF" w:themeColor="background1"/>
              <w:sz w:val="18"/>
              <w:szCs w:val="18"/>
              <w:lang w:val="es-ES"/>
            </w:rPr>
            <w:t>/</w:t>
          </w:r>
          <w:r w:rsidR="00E70EB4" w:rsidRPr="002E1506">
            <w:rPr>
              <w:rFonts w:ascii="Arial" w:hAnsi="Arial" w:cs="Arial"/>
              <w:b/>
              <w:color w:val="FFFFFF" w:themeColor="background1"/>
              <w:sz w:val="18"/>
              <w:szCs w:val="18"/>
              <w:lang w:val="es-ES"/>
            </w:rPr>
            <w:t>202</w:t>
          </w:r>
          <w:r w:rsidR="00973F68">
            <w:rPr>
              <w:rFonts w:ascii="Arial" w:hAnsi="Arial" w:cs="Arial"/>
              <w:b/>
              <w:color w:val="FFFFFF" w:themeColor="background1"/>
              <w:sz w:val="18"/>
              <w:szCs w:val="18"/>
              <w:lang w:val="es-ES"/>
            </w:rPr>
            <w:t>6</w:t>
          </w:r>
          <w:r w:rsidR="00E70EB4" w:rsidRPr="00D338A0">
            <w:rPr>
              <w:rFonts w:ascii="Arial" w:hAnsi="Arial" w:cs="Arial"/>
              <w:color w:val="FFFFFF" w:themeColor="background1"/>
              <w:sz w:val="18"/>
              <w:szCs w:val="18"/>
              <w:lang w:val="es-ES"/>
            </w:rPr>
            <w:t xml:space="preserve"> que emite </w:t>
          </w:r>
          <w:r w:rsidR="00E70EB4">
            <w:rPr>
              <w:rFonts w:ascii="Arial" w:hAnsi="Arial" w:cs="Arial"/>
              <w:color w:val="FFFFFF" w:themeColor="background1"/>
              <w:sz w:val="18"/>
              <w:szCs w:val="18"/>
              <w:lang w:val="es-ES"/>
            </w:rPr>
            <w:t>e</w:t>
          </w:r>
          <w:r w:rsidR="00E70EB4" w:rsidRPr="00D338A0">
            <w:rPr>
              <w:rFonts w:ascii="Arial" w:hAnsi="Arial" w:cs="Arial"/>
              <w:color w:val="FFFFFF" w:themeColor="background1"/>
              <w:sz w:val="18"/>
              <w:szCs w:val="18"/>
              <w:lang w:val="es-ES"/>
            </w:rPr>
            <w:t xml:space="preserve">l director </w:t>
          </w:r>
          <w:r w:rsidR="00E70EB4">
            <w:rPr>
              <w:rFonts w:ascii="Arial" w:hAnsi="Arial" w:cs="Arial"/>
              <w:color w:val="FFFFFF" w:themeColor="background1"/>
              <w:sz w:val="18"/>
              <w:szCs w:val="18"/>
              <w:lang w:val="es-ES"/>
            </w:rPr>
            <w:t>General de Administración Cesar Isidro Cruz</w:t>
          </w:r>
          <w:r w:rsidR="00E70EB4" w:rsidRPr="00D338A0">
            <w:rPr>
              <w:rFonts w:ascii="Arial" w:hAnsi="Arial" w:cs="Arial"/>
              <w:color w:val="FFFFFF" w:themeColor="background1"/>
              <w:sz w:val="18"/>
              <w:szCs w:val="18"/>
              <w:lang w:val="es-ES"/>
            </w:rPr>
            <w:t xml:space="preserve">. </w:t>
          </w:r>
        </w:p>
      </w:tc>
    </w:tr>
  </w:tbl>
  <w:p w:rsidR="00E70EB4" w:rsidRDefault="00E70EB4" w:rsidP="00E70EB4">
    <w:pPr>
      <w:pStyle w:val="Encabezado"/>
      <w:tabs>
        <w:tab w:val="clear" w:pos="4419"/>
        <w:tab w:val="clear" w:pos="8838"/>
        <w:tab w:val="left" w:pos="8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74D" w:rsidRDefault="00D5574D">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483390"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085A"/>
    <w:multiLevelType w:val="hybridMultilevel"/>
    <w:tmpl w:val="36B08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6866F2"/>
    <w:multiLevelType w:val="hybridMultilevel"/>
    <w:tmpl w:val="0CBE34B2"/>
    <w:lvl w:ilvl="0" w:tplc="FBF0C758">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630963"/>
    <w:multiLevelType w:val="hybridMultilevel"/>
    <w:tmpl w:val="A8EA9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1F4EE3"/>
    <w:multiLevelType w:val="multilevel"/>
    <w:tmpl w:val="4BE05BE0"/>
    <w:lvl w:ilvl="0">
      <w:start w:val="1"/>
      <w:numFmt w:val="upperRoman"/>
      <w:lvlText w:val="%1."/>
      <w:lvlJc w:val="left"/>
      <w:pPr>
        <w:ind w:left="1004"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B53AB0"/>
    <w:multiLevelType w:val="hybridMultilevel"/>
    <w:tmpl w:val="CF406E96"/>
    <w:lvl w:ilvl="0" w:tplc="E410F14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7"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9"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1"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8B3A77"/>
    <w:multiLevelType w:val="hybridMultilevel"/>
    <w:tmpl w:val="3D6259B4"/>
    <w:lvl w:ilvl="0" w:tplc="932C6AA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13"/>
  </w:num>
  <w:num w:numId="4">
    <w:abstractNumId w:val="9"/>
  </w:num>
  <w:num w:numId="5">
    <w:abstractNumId w:val="11"/>
  </w:num>
  <w:num w:numId="6">
    <w:abstractNumId w:val="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3"/>
  </w:num>
  <w:num w:numId="13">
    <w:abstractNumId w:val="5"/>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10714"/>
    <w:rsid w:val="000111BB"/>
    <w:rsid w:val="00011757"/>
    <w:rsid w:val="00012344"/>
    <w:rsid w:val="00014837"/>
    <w:rsid w:val="000215E3"/>
    <w:rsid w:val="000316F8"/>
    <w:rsid w:val="00032961"/>
    <w:rsid w:val="00043EA6"/>
    <w:rsid w:val="00044847"/>
    <w:rsid w:val="00045BF7"/>
    <w:rsid w:val="00045C57"/>
    <w:rsid w:val="0004691F"/>
    <w:rsid w:val="00047BEE"/>
    <w:rsid w:val="000502DA"/>
    <w:rsid w:val="00050CBA"/>
    <w:rsid w:val="000516AB"/>
    <w:rsid w:val="00053810"/>
    <w:rsid w:val="00056705"/>
    <w:rsid w:val="00060363"/>
    <w:rsid w:val="00066032"/>
    <w:rsid w:val="0006766C"/>
    <w:rsid w:val="0006789D"/>
    <w:rsid w:val="00074CBB"/>
    <w:rsid w:val="00075321"/>
    <w:rsid w:val="0009152F"/>
    <w:rsid w:val="00091F6F"/>
    <w:rsid w:val="00092311"/>
    <w:rsid w:val="00097461"/>
    <w:rsid w:val="000A001A"/>
    <w:rsid w:val="000B4E59"/>
    <w:rsid w:val="000B4E6F"/>
    <w:rsid w:val="000B5998"/>
    <w:rsid w:val="000C04FF"/>
    <w:rsid w:val="000C09C1"/>
    <w:rsid w:val="000C7192"/>
    <w:rsid w:val="000D2B3E"/>
    <w:rsid w:val="000D536E"/>
    <w:rsid w:val="000D61FB"/>
    <w:rsid w:val="000E151A"/>
    <w:rsid w:val="000E33F8"/>
    <w:rsid w:val="000E4FF6"/>
    <w:rsid w:val="000E5D42"/>
    <w:rsid w:val="000E66E7"/>
    <w:rsid w:val="000E6D81"/>
    <w:rsid w:val="000F1388"/>
    <w:rsid w:val="000F25C5"/>
    <w:rsid w:val="000F2F50"/>
    <w:rsid w:val="000F34F2"/>
    <w:rsid w:val="000F7924"/>
    <w:rsid w:val="00104B37"/>
    <w:rsid w:val="0010725A"/>
    <w:rsid w:val="001112A7"/>
    <w:rsid w:val="001122B3"/>
    <w:rsid w:val="001158FA"/>
    <w:rsid w:val="00117688"/>
    <w:rsid w:val="00122709"/>
    <w:rsid w:val="00126041"/>
    <w:rsid w:val="00131153"/>
    <w:rsid w:val="0013153A"/>
    <w:rsid w:val="00133220"/>
    <w:rsid w:val="00133B13"/>
    <w:rsid w:val="00134A88"/>
    <w:rsid w:val="00135B75"/>
    <w:rsid w:val="0013784F"/>
    <w:rsid w:val="00137B6F"/>
    <w:rsid w:val="0014081F"/>
    <w:rsid w:val="00140DD7"/>
    <w:rsid w:val="00140E5B"/>
    <w:rsid w:val="00142651"/>
    <w:rsid w:val="001451AC"/>
    <w:rsid w:val="00155733"/>
    <w:rsid w:val="00155DB1"/>
    <w:rsid w:val="001569ED"/>
    <w:rsid w:val="00157A2B"/>
    <w:rsid w:val="00160079"/>
    <w:rsid w:val="001610C7"/>
    <w:rsid w:val="0016273D"/>
    <w:rsid w:val="001645C1"/>
    <w:rsid w:val="00166BDA"/>
    <w:rsid w:val="0017048A"/>
    <w:rsid w:val="00171740"/>
    <w:rsid w:val="00171FB5"/>
    <w:rsid w:val="0017368E"/>
    <w:rsid w:val="00174F96"/>
    <w:rsid w:val="00175555"/>
    <w:rsid w:val="00175F0E"/>
    <w:rsid w:val="00176FDC"/>
    <w:rsid w:val="001771BC"/>
    <w:rsid w:val="001771D4"/>
    <w:rsid w:val="001816A1"/>
    <w:rsid w:val="00182C9A"/>
    <w:rsid w:val="001848CD"/>
    <w:rsid w:val="00185709"/>
    <w:rsid w:val="001900BD"/>
    <w:rsid w:val="00192119"/>
    <w:rsid w:val="00196E5A"/>
    <w:rsid w:val="00196E9A"/>
    <w:rsid w:val="001A0FF2"/>
    <w:rsid w:val="001A1BA9"/>
    <w:rsid w:val="001A32B1"/>
    <w:rsid w:val="001A6119"/>
    <w:rsid w:val="001B0330"/>
    <w:rsid w:val="001B3E1B"/>
    <w:rsid w:val="001B45DE"/>
    <w:rsid w:val="001B5915"/>
    <w:rsid w:val="001B6839"/>
    <w:rsid w:val="001B7394"/>
    <w:rsid w:val="001B742E"/>
    <w:rsid w:val="001C179B"/>
    <w:rsid w:val="001C1FF5"/>
    <w:rsid w:val="001C2EAB"/>
    <w:rsid w:val="001C3880"/>
    <w:rsid w:val="001C4364"/>
    <w:rsid w:val="001C5BA9"/>
    <w:rsid w:val="001C5BFD"/>
    <w:rsid w:val="001C73C0"/>
    <w:rsid w:val="001D6257"/>
    <w:rsid w:val="001E24B3"/>
    <w:rsid w:val="001E526F"/>
    <w:rsid w:val="001E6C44"/>
    <w:rsid w:val="001F22B7"/>
    <w:rsid w:val="001F2667"/>
    <w:rsid w:val="001F60B7"/>
    <w:rsid w:val="001F71C9"/>
    <w:rsid w:val="001F7332"/>
    <w:rsid w:val="00201B91"/>
    <w:rsid w:val="00204354"/>
    <w:rsid w:val="0020546E"/>
    <w:rsid w:val="002054C1"/>
    <w:rsid w:val="002075EA"/>
    <w:rsid w:val="00207633"/>
    <w:rsid w:val="00211795"/>
    <w:rsid w:val="00213F85"/>
    <w:rsid w:val="002161EA"/>
    <w:rsid w:val="00216D37"/>
    <w:rsid w:val="00217409"/>
    <w:rsid w:val="0022103D"/>
    <w:rsid w:val="002224C6"/>
    <w:rsid w:val="00234321"/>
    <w:rsid w:val="00241C03"/>
    <w:rsid w:val="0024235C"/>
    <w:rsid w:val="00244CB1"/>
    <w:rsid w:val="00244E15"/>
    <w:rsid w:val="00244EE4"/>
    <w:rsid w:val="002513CE"/>
    <w:rsid w:val="0025149A"/>
    <w:rsid w:val="00256AE8"/>
    <w:rsid w:val="00257429"/>
    <w:rsid w:val="00257D8B"/>
    <w:rsid w:val="002608EC"/>
    <w:rsid w:val="00262F6F"/>
    <w:rsid w:val="002648E0"/>
    <w:rsid w:val="002652A7"/>
    <w:rsid w:val="00273340"/>
    <w:rsid w:val="00275CAB"/>
    <w:rsid w:val="00276017"/>
    <w:rsid w:val="002777F2"/>
    <w:rsid w:val="00281BD8"/>
    <w:rsid w:val="002825DF"/>
    <w:rsid w:val="00290A2E"/>
    <w:rsid w:val="00290B5E"/>
    <w:rsid w:val="00291A4A"/>
    <w:rsid w:val="002935FF"/>
    <w:rsid w:val="002B5530"/>
    <w:rsid w:val="002B62D5"/>
    <w:rsid w:val="002B7462"/>
    <w:rsid w:val="002C182D"/>
    <w:rsid w:val="002C492F"/>
    <w:rsid w:val="002C4DF5"/>
    <w:rsid w:val="002D0260"/>
    <w:rsid w:val="002E085B"/>
    <w:rsid w:val="002E0F41"/>
    <w:rsid w:val="002E1506"/>
    <w:rsid w:val="002E1A1F"/>
    <w:rsid w:val="002E1D10"/>
    <w:rsid w:val="002E26A8"/>
    <w:rsid w:val="002E6666"/>
    <w:rsid w:val="002E7CE8"/>
    <w:rsid w:val="002F210D"/>
    <w:rsid w:val="002F2252"/>
    <w:rsid w:val="002F4682"/>
    <w:rsid w:val="002F5BA4"/>
    <w:rsid w:val="002F5CAB"/>
    <w:rsid w:val="002F7281"/>
    <w:rsid w:val="003003C1"/>
    <w:rsid w:val="00303ECE"/>
    <w:rsid w:val="00311032"/>
    <w:rsid w:val="00311B65"/>
    <w:rsid w:val="0031340E"/>
    <w:rsid w:val="00315526"/>
    <w:rsid w:val="0032003C"/>
    <w:rsid w:val="00322663"/>
    <w:rsid w:val="00322769"/>
    <w:rsid w:val="0032628E"/>
    <w:rsid w:val="00326DD7"/>
    <w:rsid w:val="00327EA5"/>
    <w:rsid w:val="00330F5F"/>
    <w:rsid w:val="003311E5"/>
    <w:rsid w:val="0033544C"/>
    <w:rsid w:val="0033754B"/>
    <w:rsid w:val="00337E40"/>
    <w:rsid w:val="00340F4C"/>
    <w:rsid w:val="00342CCD"/>
    <w:rsid w:val="00345751"/>
    <w:rsid w:val="00345FA2"/>
    <w:rsid w:val="00350C59"/>
    <w:rsid w:val="003617AB"/>
    <w:rsid w:val="00364780"/>
    <w:rsid w:val="00374F51"/>
    <w:rsid w:val="00376B01"/>
    <w:rsid w:val="0037773A"/>
    <w:rsid w:val="0038167B"/>
    <w:rsid w:val="0038240F"/>
    <w:rsid w:val="003834BC"/>
    <w:rsid w:val="00385479"/>
    <w:rsid w:val="0039067D"/>
    <w:rsid w:val="003924E6"/>
    <w:rsid w:val="003930E6"/>
    <w:rsid w:val="003A0D63"/>
    <w:rsid w:val="003A2C50"/>
    <w:rsid w:val="003A7BD4"/>
    <w:rsid w:val="003B198E"/>
    <w:rsid w:val="003B30EF"/>
    <w:rsid w:val="003B3DF4"/>
    <w:rsid w:val="003C1381"/>
    <w:rsid w:val="003C17BE"/>
    <w:rsid w:val="003C2D3B"/>
    <w:rsid w:val="003D24D7"/>
    <w:rsid w:val="003D3322"/>
    <w:rsid w:val="003D379C"/>
    <w:rsid w:val="003D6E37"/>
    <w:rsid w:val="003D721A"/>
    <w:rsid w:val="003D7E0D"/>
    <w:rsid w:val="003D7F94"/>
    <w:rsid w:val="003E03FF"/>
    <w:rsid w:val="003E59C5"/>
    <w:rsid w:val="003E74F2"/>
    <w:rsid w:val="003F375B"/>
    <w:rsid w:val="003F4311"/>
    <w:rsid w:val="003F5F79"/>
    <w:rsid w:val="003F62EE"/>
    <w:rsid w:val="004019BE"/>
    <w:rsid w:val="00402430"/>
    <w:rsid w:val="00404FA0"/>
    <w:rsid w:val="00405289"/>
    <w:rsid w:val="00405A61"/>
    <w:rsid w:val="00410772"/>
    <w:rsid w:val="00420AA1"/>
    <w:rsid w:val="00421CCE"/>
    <w:rsid w:val="004231C1"/>
    <w:rsid w:val="00424F5C"/>
    <w:rsid w:val="0043309B"/>
    <w:rsid w:val="00433942"/>
    <w:rsid w:val="00433D8C"/>
    <w:rsid w:val="00437D50"/>
    <w:rsid w:val="00440E63"/>
    <w:rsid w:val="004443EA"/>
    <w:rsid w:val="004477C0"/>
    <w:rsid w:val="00450A9E"/>
    <w:rsid w:val="0045348C"/>
    <w:rsid w:val="0045636F"/>
    <w:rsid w:val="00460780"/>
    <w:rsid w:val="004647AD"/>
    <w:rsid w:val="004663EE"/>
    <w:rsid w:val="004679EF"/>
    <w:rsid w:val="00473BF0"/>
    <w:rsid w:val="00473FA8"/>
    <w:rsid w:val="00474063"/>
    <w:rsid w:val="00476DC3"/>
    <w:rsid w:val="00476EF2"/>
    <w:rsid w:val="00480799"/>
    <w:rsid w:val="00481D63"/>
    <w:rsid w:val="00482360"/>
    <w:rsid w:val="004827F0"/>
    <w:rsid w:val="004832E2"/>
    <w:rsid w:val="004858AB"/>
    <w:rsid w:val="00485D65"/>
    <w:rsid w:val="00491477"/>
    <w:rsid w:val="00493C1E"/>
    <w:rsid w:val="00496189"/>
    <w:rsid w:val="00497E2D"/>
    <w:rsid w:val="004A184C"/>
    <w:rsid w:val="004A1BBD"/>
    <w:rsid w:val="004A5894"/>
    <w:rsid w:val="004B1662"/>
    <w:rsid w:val="004B2C7C"/>
    <w:rsid w:val="004B475C"/>
    <w:rsid w:val="004B58C7"/>
    <w:rsid w:val="004B6BFE"/>
    <w:rsid w:val="004C1B6F"/>
    <w:rsid w:val="004C5296"/>
    <w:rsid w:val="004D49ED"/>
    <w:rsid w:val="004D7C2D"/>
    <w:rsid w:val="004E4283"/>
    <w:rsid w:val="004E497E"/>
    <w:rsid w:val="004F4889"/>
    <w:rsid w:val="004F640E"/>
    <w:rsid w:val="004F7019"/>
    <w:rsid w:val="00502579"/>
    <w:rsid w:val="005066D9"/>
    <w:rsid w:val="005078F4"/>
    <w:rsid w:val="005117B5"/>
    <w:rsid w:val="005137BF"/>
    <w:rsid w:val="005160BF"/>
    <w:rsid w:val="0052013D"/>
    <w:rsid w:val="00525599"/>
    <w:rsid w:val="005269BE"/>
    <w:rsid w:val="00533E32"/>
    <w:rsid w:val="00536224"/>
    <w:rsid w:val="00540338"/>
    <w:rsid w:val="0054303C"/>
    <w:rsid w:val="005433FA"/>
    <w:rsid w:val="00544069"/>
    <w:rsid w:val="00545219"/>
    <w:rsid w:val="005454A4"/>
    <w:rsid w:val="005502C0"/>
    <w:rsid w:val="00551DF0"/>
    <w:rsid w:val="00554106"/>
    <w:rsid w:val="00554315"/>
    <w:rsid w:val="0055658F"/>
    <w:rsid w:val="005621F2"/>
    <w:rsid w:val="00562A91"/>
    <w:rsid w:val="00566BE4"/>
    <w:rsid w:val="00570815"/>
    <w:rsid w:val="00572426"/>
    <w:rsid w:val="005753B3"/>
    <w:rsid w:val="005809FF"/>
    <w:rsid w:val="00581A7F"/>
    <w:rsid w:val="0058247A"/>
    <w:rsid w:val="00582BE7"/>
    <w:rsid w:val="00584602"/>
    <w:rsid w:val="00586B10"/>
    <w:rsid w:val="00590B9B"/>
    <w:rsid w:val="00592B3F"/>
    <w:rsid w:val="005962DD"/>
    <w:rsid w:val="00597895"/>
    <w:rsid w:val="005A2227"/>
    <w:rsid w:val="005A5C66"/>
    <w:rsid w:val="005A6928"/>
    <w:rsid w:val="005B0E50"/>
    <w:rsid w:val="005B2480"/>
    <w:rsid w:val="005B78DB"/>
    <w:rsid w:val="005C069E"/>
    <w:rsid w:val="005C319C"/>
    <w:rsid w:val="005C4C3F"/>
    <w:rsid w:val="005C750C"/>
    <w:rsid w:val="005D0085"/>
    <w:rsid w:val="005D099B"/>
    <w:rsid w:val="005D2768"/>
    <w:rsid w:val="005D2F74"/>
    <w:rsid w:val="005D3E7F"/>
    <w:rsid w:val="005D6470"/>
    <w:rsid w:val="005E49F0"/>
    <w:rsid w:val="005E558A"/>
    <w:rsid w:val="005E58AA"/>
    <w:rsid w:val="005E6531"/>
    <w:rsid w:val="005E7E7E"/>
    <w:rsid w:val="005F457C"/>
    <w:rsid w:val="005F550E"/>
    <w:rsid w:val="005F7CFE"/>
    <w:rsid w:val="006036CF"/>
    <w:rsid w:val="006046F9"/>
    <w:rsid w:val="006060DC"/>
    <w:rsid w:val="006161FB"/>
    <w:rsid w:val="006208A2"/>
    <w:rsid w:val="00620AA5"/>
    <w:rsid w:val="00620EB9"/>
    <w:rsid w:val="006214A7"/>
    <w:rsid w:val="00622506"/>
    <w:rsid w:val="006235C6"/>
    <w:rsid w:val="00624454"/>
    <w:rsid w:val="00625535"/>
    <w:rsid w:val="006272C3"/>
    <w:rsid w:val="0062770E"/>
    <w:rsid w:val="00627959"/>
    <w:rsid w:val="00631FA4"/>
    <w:rsid w:val="00633915"/>
    <w:rsid w:val="00633FD2"/>
    <w:rsid w:val="00634DF4"/>
    <w:rsid w:val="006356BE"/>
    <w:rsid w:val="00635FB1"/>
    <w:rsid w:val="00636AD6"/>
    <w:rsid w:val="00636DED"/>
    <w:rsid w:val="00642ACE"/>
    <w:rsid w:val="00645A75"/>
    <w:rsid w:val="00653EBB"/>
    <w:rsid w:val="00656F96"/>
    <w:rsid w:val="00660EA9"/>
    <w:rsid w:val="00662AED"/>
    <w:rsid w:val="006639DB"/>
    <w:rsid w:val="0066700B"/>
    <w:rsid w:val="00670055"/>
    <w:rsid w:val="00677AEE"/>
    <w:rsid w:val="00687D08"/>
    <w:rsid w:val="006937A4"/>
    <w:rsid w:val="00694F13"/>
    <w:rsid w:val="006A44DB"/>
    <w:rsid w:val="006A523B"/>
    <w:rsid w:val="006A570F"/>
    <w:rsid w:val="006B0801"/>
    <w:rsid w:val="006B331C"/>
    <w:rsid w:val="006B4084"/>
    <w:rsid w:val="006B4DD5"/>
    <w:rsid w:val="006B7482"/>
    <w:rsid w:val="006C0831"/>
    <w:rsid w:val="006C25A9"/>
    <w:rsid w:val="006C2F3E"/>
    <w:rsid w:val="006C5FA7"/>
    <w:rsid w:val="006E21D7"/>
    <w:rsid w:val="006E2B4E"/>
    <w:rsid w:val="006E6D1D"/>
    <w:rsid w:val="006F077F"/>
    <w:rsid w:val="006F086E"/>
    <w:rsid w:val="006F1DA3"/>
    <w:rsid w:val="006F311B"/>
    <w:rsid w:val="006F6522"/>
    <w:rsid w:val="006F7D0F"/>
    <w:rsid w:val="007007EE"/>
    <w:rsid w:val="0070291D"/>
    <w:rsid w:val="0070596D"/>
    <w:rsid w:val="00710C84"/>
    <w:rsid w:val="00711658"/>
    <w:rsid w:val="007136AC"/>
    <w:rsid w:val="00714D40"/>
    <w:rsid w:val="00717045"/>
    <w:rsid w:val="00717CF8"/>
    <w:rsid w:val="00723AF7"/>
    <w:rsid w:val="00723C7B"/>
    <w:rsid w:val="007248BE"/>
    <w:rsid w:val="007336C3"/>
    <w:rsid w:val="0073571C"/>
    <w:rsid w:val="00740F43"/>
    <w:rsid w:val="00743BF3"/>
    <w:rsid w:val="00743D1E"/>
    <w:rsid w:val="0074476D"/>
    <w:rsid w:val="00745B52"/>
    <w:rsid w:val="007460DC"/>
    <w:rsid w:val="0074687D"/>
    <w:rsid w:val="00752DEA"/>
    <w:rsid w:val="0076137E"/>
    <w:rsid w:val="00761E70"/>
    <w:rsid w:val="00771908"/>
    <w:rsid w:val="00774D3D"/>
    <w:rsid w:val="00774F4B"/>
    <w:rsid w:val="007768CC"/>
    <w:rsid w:val="00781D2F"/>
    <w:rsid w:val="007863F5"/>
    <w:rsid w:val="00791B8A"/>
    <w:rsid w:val="0079307C"/>
    <w:rsid w:val="0079342F"/>
    <w:rsid w:val="0079403F"/>
    <w:rsid w:val="0079645E"/>
    <w:rsid w:val="007A18C2"/>
    <w:rsid w:val="007A1D44"/>
    <w:rsid w:val="007A28F6"/>
    <w:rsid w:val="007A292F"/>
    <w:rsid w:val="007B27EF"/>
    <w:rsid w:val="007B43AD"/>
    <w:rsid w:val="007C1D7B"/>
    <w:rsid w:val="007C4303"/>
    <w:rsid w:val="007C531F"/>
    <w:rsid w:val="007D1376"/>
    <w:rsid w:val="007D271B"/>
    <w:rsid w:val="007D4996"/>
    <w:rsid w:val="007D6423"/>
    <w:rsid w:val="007D6D72"/>
    <w:rsid w:val="007D772B"/>
    <w:rsid w:val="007D7A0D"/>
    <w:rsid w:val="007E1E16"/>
    <w:rsid w:val="007E2C1E"/>
    <w:rsid w:val="007E346A"/>
    <w:rsid w:val="007E35E7"/>
    <w:rsid w:val="007E63DB"/>
    <w:rsid w:val="007F0237"/>
    <w:rsid w:val="007F0778"/>
    <w:rsid w:val="007F24DE"/>
    <w:rsid w:val="007F27C2"/>
    <w:rsid w:val="007F2DA8"/>
    <w:rsid w:val="007F4E72"/>
    <w:rsid w:val="007F56DE"/>
    <w:rsid w:val="007F6370"/>
    <w:rsid w:val="007F63C2"/>
    <w:rsid w:val="00805047"/>
    <w:rsid w:val="00805092"/>
    <w:rsid w:val="008070A6"/>
    <w:rsid w:val="00812A0C"/>
    <w:rsid w:val="00812BF7"/>
    <w:rsid w:val="00814012"/>
    <w:rsid w:val="00816E9B"/>
    <w:rsid w:val="008235C2"/>
    <w:rsid w:val="00823D57"/>
    <w:rsid w:val="00823F6E"/>
    <w:rsid w:val="0082794C"/>
    <w:rsid w:val="00831099"/>
    <w:rsid w:val="00832DD2"/>
    <w:rsid w:val="008402CF"/>
    <w:rsid w:val="00842F00"/>
    <w:rsid w:val="00845198"/>
    <w:rsid w:val="00850661"/>
    <w:rsid w:val="00854BFC"/>
    <w:rsid w:val="00854CCF"/>
    <w:rsid w:val="008565C9"/>
    <w:rsid w:val="0086255E"/>
    <w:rsid w:val="0086360B"/>
    <w:rsid w:val="008669B5"/>
    <w:rsid w:val="00871464"/>
    <w:rsid w:val="008760A4"/>
    <w:rsid w:val="00876A3D"/>
    <w:rsid w:val="008777CC"/>
    <w:rsid w:val="00885156"/>
    <w:rsid w:val="00886225"/>
    <w:rsid w:val="0089199F"/>
    <w:rsid w:val="00891BAB"/>
    <w:rsid w:val="008929DA"/>
    <w:rsid w:val="00894EB5"/>
    <w:rsid w:val="00896ADA"/>
    <w:rsid w:val="00897CB8"/>
    <w:rsid w:val="008A6D52"/>
    <w:rsid w:val="008B2F16"/>
    <w:rsid w:val="008B3A82"/>
    <w:rsid w:val="008C1FCF"/>
    <w:rsid w:val="008C2B4C"/>
    <w:rsid w:val="008C5A4E"/>
    <w:rsid w:val="008D1E6A"/>
    <w:rsid w:val="008D3B76"/>
    <w:rsid w:val="008D4C6C"/>
    <w:rsid w:val="008D7FD6"/>
    <w:rsid w:val="008F4DEC"/>
    <w:rsid w:val="008F508A"/>
    <w:rsid w:val="008F60DF"/>
    <w:rsid w:val="0090066D"/>
    <w:rsid w:val="009007AA"/>
    <w:rsid w:val="00904454"/>
    <w:rsid w:val="00905A2D"/>
    <w:rsid w:val="009062D3"/>
    <w:rsid w:val="00906987"/>
    <w:rsid w:val="00914AAD"/>
    <w:rsid w:val="00916A8C"/>
    <w:rsid w:val="009202F3"/>
    <w:rsid w:val="00920E6D"/>
    <w:rsid w:val="00920F7B"/>
    <w:rsid w:val="00926017"/>
    <w:rsid w:val="00926C71"/>
    <w:rsid w:val="00927902"/>
    <w:rsid w:val="00930C23"/>
    <w:rsid w:val="009311C4"/>
    <w:rsid w:val="00931B62"/>
    <w:rsid w:val="00932D2B"/>
    <w:rsid w:val="00936591"/>
    <w:rsid w:val="00937045"/>
    <w:rsid w:val="00943A60"/>
    <w:rsid w:val="009445F1"/>
    <w:rsid w:val="00947CF5"/>
    <w:rsid w:val="00952023"/>
    <w:rsid w:val="009527D5"/>
    <w:rsid w:val="00952B63"/>
    <w:rsid w:val="00953594"/>
    <w:rsid w:val="00954944"/>
    <w:rsid w:val="0095660D"/>
    <w:rsid w:val="00961F3B"/>
    <w:rsid w:val="00967709"/>
    <w:rsid w:val="00973D78"/>
    <w:rsid w:val="00973F68"/>
    <w:rsid w:val="009755BD"/>
    <w:rsid w:val="009773ED"/>
    <w:rsid w:val="00981293"/>
    <w:rsid w:val="009819AE"/>
    <w:rsid w:val="00985470"/>
    <w:rsid w:val="00987CF2"/>
    <w:rsid w:val="00991CC1"/>
    <w:rsid w:val="00991EE3"/>
    <w:rsid w:val="0099252F"/>
    <w:rsid w:val="00992721"/>
    <w:rsid w:val="00993012"/>
    <w:rsid w:val="00995AF4"/>
    <w:rsid w:val="00995ED3"/>
    <w:rsid w:val="00996A0E"/>
    <w:rsid w:val="009A1E76"/>
    <w:rsid w:val="009A2FA2"/>
    <w:rsid w:val="009A3010"/>
    <w:rsid w:val="009A4F60"/>
    <w:rsid w:val="009A51D7"/>
    <w:rsid w:val="009B13C9"/>
    <w:rsid w:val="009B3FF4"/>
    <w:rsid w:val="009B461F"/>
    <w:rsid w:val="009C055E"/>
    <w:rsid w:val="009C36F2"/>
    <w:rsid w:val="009C51A7"/>
    <w:rsid w:val="009C71D2"/>
    <w:rsid w:val="009D1416"/>
    <w:rsid w:val="009D3B37"/>
    <w:rsid w:val="009D3B91"/>
    <w:rsid w:val="009D498E"/>
    <w:rsid w:val="009D5B45"/>
    <w:rsid w:val="009D7D1C"/>
    <w:rsid w:val="009E1324"/>
    <w:rsid w:val="009E3729"/>
    <w:rsid w:val="009E3C35"/>
    <w:rsid w:val="009E4CCF"/>
    <w:rsid w:val="009E6D0D"/>
    <w:rsid w:val="009F136E"/>
    <w:rsid w:val="009F1F56"/>
    <w:rsid w:val="009F251B"/>
    <w:rsid w:val="009F25F5"/>
    <w:rsid w:val="009F3053"/>
    <w:rsid w:val="009F61A6"/>
    <w:rsid w:val="009F7723"/>
    <w:rsid w:val="00A00378"/>
    <w:rsid w:val="00A016D5"/>
    <w:rsid w:val="00A027E0"/>
    <w:rsid w:val="00A03060"/>
    <w:rsid w:val="00A11177"/>
    <w:rsid w:val="00A1332F"/>
    <w:rsid w:val="00A142C3"/>
    <w:rsid w:val="00A14DD5"/>
    <w:rsid w:val="00A16087"/>
    <w:rsid w:val="00A16ED9"/>
    <w:rsid w:val="00A20C0F"/>
    <w:rsid w:val="00A21527"/>
    <w:rsid w:val="00A22535"/>
    <w:rsid w:val="00A23464"/>
    <w:rsid w:val="00A30513"/>
    <w:rsid w:val="00A3119E"/>
    <w:rsid w:val="00A3671F"/>
    <w:rsid w:val="00A42F99"/>
    <w:rsid w:val="00A430C0"/>
    <w:rsid w:val="00A44A53"/>
    <w:rsid w:val="00A45C43"/>
    <w:rsid w:val="00A5063A"/>
    <w:rsid w:val="00A53612"/>
    <w:rsid w:val="00A5653B"/>
    <w:rsid w:val="00A61FE0"/>
    <w:rsid w:val="00A63898"/>
    <w:rsid w:val="00A67C07"/>
    <w:rsid w:val="00A67F68"/>
    <w:rsid w:val="00A720FD"/>
    <w:rsid w:val="00A7533A"/>
    <w:rsid w:val="00A773A3"/>
    <w:rsid w:val="00A80CA3"/>
    <w:rsid w:val="00A85761"/>
    <w:rsid w:val="00A9033A"/>
    <w:rsid w:val="00A90A66"/>
    <w:rsid w:val="00A90E40"/>
    <w:rsid w:val="00A92BFF"/>
    <w:rsid w:val="00A94E88"/>
    <w:rsid w:val="00A97941"/>
    <w:rsid w:val="00AA120F"/>
    <w:rsid w:val="00AA5A00"/>
    <w:rsid w:val="00AB0017"/>
    <w:rsid w:val="00AB161E"/>
    <w:rsid w:val="00AB1A5A"/>
    <w:rsid w:val="00AC091B"/>
    <w:rsid w:val="00AC1176"/>
    <w:rsid w:val="00AC14B9"/>
    <w:rsid w:val="00AC29C8"/>
    <w:rsid w:val="00AC3865"/>
    <w:rsid w:val="00AC75EC"/>
    <w:rsid w:val="00AD20B6"/>
    <w:rsid w:val="00AD7014"/>
    <w:rsid w:val="00AD79A6"/>
    <w:rsid w:val="00AE4C4A"/>
    <w:rsid w:val="00AE4D60"/>
    <w:rsid w:val="00AE70C4"/>
    <w:rsid w:val="00AF5437"/>
    <w:rsid w:val="00AF62D8"/>
    <w:rsid w:val="00AF7A5D"/>
    <w:rsid w:val="00B00015"/>
    <w:rsid w:val="00B0559D"/>
    <w:rsid w:val="00B06822"/>
    <w:rsid w:val="00B11FCD"/>
    <w:rsid w:val="00B147E2"/>
    <w:rsid w:val="00B219F9"/>
    <w:rsid w:val="00B22B99"/>
    <w:rsid w:val="00B245B6"/>
    <w:rsid w:val="00B3003C"/>
    <w:rsid w:val="00B32A02"/>
    <w:rsid w:val="00B34B1F"/>
    <w:rsid w:val="00B44C4B"/>
    <w:rsid w:val="00B45B80"/>
    <w:rsid w:val="00B464B0"/>
    <w:rsid w:val="00B47C27"/>
    <w:rsid w:val="00B502A7"/>
    <w:rsid w:val="00B51013"/>
    <w:rsid w:val="00B5198B"/>
    <w:rsid w:val="00B52651"/>
    <w:rsid w:val="00B53D8E"/>
    <w:rsid w:val="00B54D6F"/>
    <w:rsid w:val="00B553A3"/>
    <w:rsid w:val="00B55F32"/>
    <w:rsid w:val="00B573B6"/>
    <w:rsid w:val="00B579E5"/>
    <w:rsid w:val="00B60DD6"/>
    <w:rsid w:val="00B62AAE"/>
    <w:rsid w:val="00B6394A"/>
    <w:rsid w:val="00B66D2F"/>
    <w:rsid w:val="00B70007"/>
    <w:rsid w:val="00B72D93"/>
    <w:rsid w:val="00B7307C"/>
    <w:rsid w:val="00B735F7"/>
    <w:rsid w:val="00B74065"/>
    <w:rsid w:val="00B80027"/>
    <w:rsid w:val="00B82063"/>
    <w:rsid w:val="00B835A7"/>
    <w:rsid w:val="00B8766D"/>
    <w:rsid w:val="00B87A0B"/>
    <w:rsid w:val="00B87F89"/>
    <w:rsid w:val="00B90860"/>
    <w:rsid w:val="00B90A8A"/>
    <w:rsid w:val="00B90AE3"/>
    <w:rsid w:val="00B9390A"/>
    <w:rsid w:val="00B96B8C"/>
    <w:rsid w:val="00BA05C2"/>
    <w:rsid w:val="00BA3E12"/>
    <w:rsid w:val="00BA41D6"/>
    <w:rsid w:val="00BB225B"/>
    <w:rsid w:val="00BB5752"/>
    <w:rsid w:val="00BB6469"/>
    <w:rsid w:val="00BB6845"/>
    <w:rsid w:val="00BC0B10"/>
    <w:rsid w:val="00BC22A8"/>
    <w:rsid w:val="00BC31AA"/>
    <w:rsid w:val="00BC37ED"/>
    <w:rsid w:val="00BD1CA5"/>
    <w:rsid w:val="00BD2550"/>
    <w:rsid w:val="00BD570D"/>
    <w:rsid w:val="00BD6496"/>
    <w:rsid w:val="00BE587C"/>
    <w:rsid w:val="00BE5C2C"/>
    <w:rsid w:val="00BE6BCF"/>
    <w:rsid w:val="00BF2889"/>
    <w:rsid w:val="00BF3665"/>
    <w:rsid w:val="00BF5146"/>
    <w:rsid w:val="00BF5FB4"/>
    <w:rsid w:val="00BF665C"/>
    <w:rsid w:val="00BF7C0E"/>
    <w:rsid w:val="00C01500"/>
    <w:rsid w:val="00C13CFD"/>
    <w:rsid w:val="00C16321"/>
    <w:rsid w:val="00C1710F"/>
    <w:rsid w:val="00C17676"/>
    <w:rsid w:val="00C204E9"/>
    <w:rsid w:val="00C2217A"/>
    <w:rsid w:val="00C246B2"/>
    <w:rsid w:val="00C25E50"/>
    <w:rsid w:val="00C269D1"/>
    <w:rsid w:val="00C27449"/>
    <w:rsid w:val="00C35708"/>
    <w:rsid w:val="00C40442"/>
    <w:rsid w:val="00C42AC3"/>
    <w:rsid w:val="00C44251"/>
    <w:rsid w:val="00C4433F"/>
    <w:rsid w:val="00C45988"/>
    <w:rsid w:val="00C5041B"/>
    <w:rsid w:val="00C54B5D"/>
    <w:rsid w:val="00C57509"/>
    <w:rsid w:val="00C60803"/>
    <w:rsid w:val="00C61851"/>
    <w:rsid w:val="00C621B7"/>
    <w:rsid w:val="00C62917"/>
    <w:rsid w:val="00C63027"/>
    <w:rsid w:val="00C70971"/>
    <w:rsid w:val="00C71829"/>
    <w:rsid w:val="00C760CF"/>
    <w:rsid w:val="00C76C0B"/>
    <w:rsid w:val="00C84F5B"/>
    <w:rsid w:val="00C90D83"/>
    <w:rsid w:val="00C96F2F"/>
    <w:rsid w:val="00C97E2B"/>
    <w:rsid w:val="00CA1236"/>
    <w:rsid w:val="00CA32D1"/>
    <w:rsid w:val="00CA6E6A"/>
    <w:rsid w:val="00CB20AA"/>
    <w:rsid w:val="00CB2DB5"/>
    <w:rsid w:val="00CB380F"/>
    <w:rsid w:val="00CB78A0"/>
    <w:rsid w:val="00CB7ADB"/>
    <w:rsid w:val="00CC0518"/>
    <w:rsid w:val="00CC56D7"/>
    <w:rsid w:val="00CC6222"/>
    <w:rsid w:val="00CD08A9"/>
    <w:rsid w:val="00CD106D"/>
    <w:rsid w:val="00CD259B"/>
    <w:rsid w:val="00CD3222"/>
    <w:rsid w:val="00CD3676"/>
    <w:rsid w:val="00CD7BBA"/>
    <w:rsid w:val="00CE1625"/>
    <w:rsid w:val="00CF11DE"/>
    <w:rsid w:val="00CF5326"/>
    <w:rsid w:val="00CF5772"/>
    <w:rsid w:val="00D01046"/>
    <w:rsid w:val="00D024F4"/>
    <w:rsid w:val="00D0295C"/>
    <w:rsid w:val="00D0353D"/>
    <w:rsid w:val="00D038C9"/>
    <w:rsid w:val="00D06E6C"/>
    <w:rsid w:val="00D07876"/>
    <w:rsid w:val="00D07FBC"/>
    <w:rsid w:val="00D123AA"/>
    <w:rsid w:val="00D14ED2"/>
    <w:rsid w:val="00D1565D"/>
    <w:rsid w:val="00D156E9"/>
    <w:rsid w:val="00D2405E"/>
    <w:rsid w:val="00D2520C"/>
    <w:rsid w:val="00D338A0"/>
    <w:rsid w:val="00D342D3"/>
    <w:rsid w:val="00D343CB"/>
    <w:rsid w:val="00D37E78"/>
    <w:rsid w:val="00D44519"/>
    <w:rsid w:val="00D44B8D"/>
    <w:rsid w:val="00D47683"/>
    <w:rsid w:val="00D511D2"/>
    <w:rsid w:val="00D516AB"/>
    <w:rsid w:val="00D523F9"/>
    <w:rsid w:val="00D52B99"/>
    <w:rsid w:val="00D52C0F"/>
    <w:rsid w:val="00D534BA"/>
    <w:rsid w:val="00D550D0"/>
    <w:rsid w:val="00D5574D"/>
    <w:rsid w:val="00D56200"/>
    <w:rsid w:val="00D609B1"/>
    <w:rsid w:val="00D60FCE"/>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3402"/>
    <w:rsid w:val="00DA4A66"/>
    <w:rsid w:val="00DB0920"/>
    <w:rsid w:val="00DB2030"/>
    <w:rsid w:val="00DB2978"/>
    <w:rsid w:val="00DB51DB"/>
    <w:rsid w:val="00DC1C7F"/>
    <w:rsid w:val="00DC2367"/>
    <w:rsid w:val="00DC37CD"/>
    <w:rsid w:val="00DD2A4D"/>
    <w:rsid w:val="00DD37DB"/>
    <w:rsid w:val="00DD6DC7"/>
    <w:rsid w:val="00DE0ABC"/>
    <w:rsid w:val="00DE0FAB"/>
    <w:rsid w:val="00DE7DFD"/>
    <w:rsid w:val="00DF000E"/>
    <w:rsid w:val="00DF2157"/>
    <w:rsid w:val="00DF434C"/>
    <w:rsid w:val="00DF7445"/>
    <w:rsid w:val="00E01963"/>
    <w:rsid w:val="00E01F09"/>
    <w:rsid w:val="00E11EFC"/>
    <w:rsid w:val="00E1239C"/>
    <w:rsid w:val="00E1624C"/>
    <w:rsid w:val="00E16530"/>
    <w:rsid w:val="00E17D56"/>
    <w:rsid w:val="00E20F21"/>
    <w:rsid w:val="00E21D0D"/>
    <w:rsid w:val="00E22117"/>
    <w:rsid w:val="00E24478"/>
    <w:rsid w:val="00E27D91"/>
    <w:rsid w:val="00E334C7"/>
    <w:rsid w:val="00E36D27"/>
    <w:rsid w:val="00E40A44"/>
    <w:rsid w:val="00E45D1D"/>
    <w:rsid w:val="00E50A83"/>
    <w:rsid w:val="00E57FCA"/>
    <w:rsid w:val="00E6469D"/>
    <w:rsid w:val="00E70EB4"/>
    <w:rsid w:val="00E716B5"/>
    <w:rsid w:val="00E721ED"/>
    <w:rsid w:val="00E7366C"/>
    <w:rsid w:val="00E74D9F"/>
    <w:rsid w:val="00E75443"/>
    <w:rsid w:val="00E76116"/>
    <w:rsid w:val="00E82FD0"/>
    <w:rsid w:val="00E852E0"/>
    <w:rsid w:val="00E864EA"/>
    <w:rsid w:val="00E8769E"/>
    <w:rsid w:val="00E87BD2"/>
    <w:rsid w:val="00E91B4D"/>
    <w:rsid w:val="00E928B5"/>
    <w:rsid w:val="00E92BE2"/>
    <w:rsid w:val="00E95EBE"/>
    <w:rsid w:val="00E974C6"/>
    <w:rsid w:val="00EA134F"/>
    <w:rsid w:val="00EA147D"/>
    <w:rsid w:val="00EA2683"/>
    <w:rsid w:val="00EA4BE5"/>
    <w:rsid w:val="00EA7728"/>
    <w:rsid w:val="00EB48A4"/>
    <w:rsid w:val="00EB5588"/>
    <w:rsid w:val="00EC0120"/>
    <w:rsid w:val="00EC019A"/>
    <w:rsid w:val="00EC1AE7"/>
    <w:rsid w:val="00EC29D1"/>
    <w:rsid w:val="00EC5BC8"/>
    <w:rsid w:val="00EC6DC8"/>
    <w:rsid w:val="00EC6F5F"/>
    <w:rsid w:val="00EC7365"/>
    <w:rsid w:val="00ED1602"/>
    <w:rsid w:val="00EE1B94"/>
    <w:rsid w:val="00EE2AB2"/>
    <w:rsid w:val="00EE4402"/>
    <w:rsid w:val="00EF0DD3"/>
    <w:rsid w:val="00EF1BD7"/>
    <w:rsid w:val="00EF28B4"/>
    <w:rsid w:val="00EF5541"/>
    <w:rsid w:val="00EF583B"/>
    <w:rsid w:val="00EF6001"/>
    <w:rsid w:val="00F0180B"/>
    <w:rsid w:val="00F02A16"/>
    <w:rsid w:val="00F0528C"/>
    <w:rsid w:val="00F052CF"/>
    <w:rsid w:val="00F06897"/>
    <w:rsid w:val="00F0748B"/>
    <w:rsid w:val="00F104DC"/>
    <w:rsid w:val="00F113DD"/>
    <w:rsid w:val="00F114D5"/>
    <w:rsid w:val="00F1577E"/>
    <w:rsid w:val="00F16401"/>
    <w:rsid w:val="00F251D7"/>
    <w:rsid w:val="00F25244"/>
    <w:rsid w:val="00F30B7B"/>
    <w:rsid w:val="00F31137"/>
    <w:rsid w:val="00F32008"/>
    <w:rsid w:val="00F372DF"/>
    <w:rsid w:val="00F40511"/>
    <w:rsid w:val="00F42B2F"/>
    <w:rsid w:val="00F44815"/>
    <w:rsid w:val="00F45354"/>
    <w:rsid w:val="00F46007"/>
    <w:rsid w:val="00F4731A"/>
    <w:rsid w:val="00F47D67"/>
    <w:rsid w:val="00F531A0"/>
    <w:rsid w:val="00F53DFF"/>
    <w:rsid w:val="00F57BEF"/>
    <w:rsid w:val="00F57D2A"/>
    <w:rsid w:val="00F6015F"/>
    <w:rsid w:val="00F60BAA"/>
    <w:rsid w:val="00F623FE"/>
    <w:rsid w:val="00F64080"/>
    <w:rsid w:val="00F66C46"/>
    <w:rsid w:val="00F678C6"/>
    <w:rsid w:val="00F75336"/>
    <w:rsid w:val="00F76C58"/>
    <w:rsid w:val="00F8233E"/>
    <w:rsid w:val="00F824BC"/>
    <w:rsid w:val="00F83DF1"/>
    <w:rsid w:val="00F85303"/>
    <w:rsid w:val="00F87C0B"/>
    <w:rsid w:val="00F9186B"/>
    <w:rsid w:val="00F9233E"/>
    <w:rsid w:val="00F93544"/>
    <w:rsid w:val="00F94224"/>
    <w:rsid w:val="00F9513D"/>
    <w:rsid w:val="00F9700F"/>
    <w:rsid w:val="00FA1DB0"/>
    <w:rsid w:val="00FA5344"/>
    <w:rsid w:val="00FA5484"/>
    <w:rsid w:val="00FB1319"/>
    <w:rsid w:val="00FB300E"/>
    <w:rsid w:val="00FB5F3C"/>
    <w:rsid w:val="00FC1A90"/>
    <w:rsid w:val="00FC2EB9"/>
    <w:rsid w:val="00FC5F11"/>
    <w:rsid w:val="00FD1CEE"/>
    <w:rsid w:val="00FD28BF"/>
    <w:rsid w:val="00FD3263"/>
    <w:rsid w:val="00FD7A01"/>
    <w:rsid w:val="00FE1464"/>
    <w:rsid w:val="00FE6BAB"/>
    <w:rsid w:val="00FF0343"/>
    <w:rsid w:val="00FF198E"/>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rPr>
      <w:sz w:val="20"/>
      <w:szCs w:val="20"/>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line="360" w:lineRule="auto"/>
      <w:ind w:firstLine="709"/>
      <w:jc w:val="both"/>
    </w:pPr>
    <w:rPr>
      <w:rFonts w:ascii="Arial" w:eastAsia="Times New Roman" w:hAnsi="Arial" w:cs="Times New Roman"/>
      <w:sz w:val="30"/>
      <w:szCs w:val="20"/>
      <w:lang w:eastAsia="es-MX"/>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table" w:styleId="Tablaconcuadrcula">
    <w:name w:val="Table Grid"/>
    <w:basedOn w:val="Tablanormal"/>
    <w:uiPriority w:val="39"/>
    <w:rsid w:val="00F53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916470849">
      <w:bodyDiv w:val="1"/>
      <w:marLeft w:val="0"/>
      <w:marRight w:val="0"/>
      <w:marTop w:val="0"/>
      <w:marBottom w:val="0"/>
      <w:divBdr>
        <w:top w:val="none" w:sz="0" w:space="0" w:color="auto"/>
        <w:left w:val="none" w:sz="0" w:space="0" w:color="auto"/>
        <w:bottom w:val="none" w:sz="0" w:space="0" w:color="auto"/>
        <w:right w:val="none" w:sz="0" w:space="0" w:color="auto"/>
      </w:divBdr>
    </w:div>
    <w:div w:id="2095008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39AB05-77EA-45D3-8039-9E9BBD4E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10</Pages>
  <Words>4966</Words>
  <Characters>27315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58</cp:revision>
  <cp:lastPrinted>2026-06-01T19:06:00Z</cp:lastPrinted>
  <dcterms:created xsi:type="dcterms:W3CDTF">2025-03-04T23:21:00Z</dcterms:created>
  <dcterms:modified xsi:type="dcterms:W3CDTF">2026-07-22T17:40:00Z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