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790" w:rsidRPr="00075DA0" w:rsidRDefault="00075DA0" w:rsidP="00075DA0">
      <w:pPr>
        <w:jc w:val="both"/>
      </w:pPr>
      <w:r w:rsidRPr="00075DA0">
        <w:t xml:space="preserve">El sujeto obligado si está facultado para generar la información, sin embargo durante el mes de abril no se recibieron  Declaraciones Patrimoniales y de Conflicto de Intereses,  ya que a la fecha no hubieron ni altas ni bajas de personal y la declaración de modificación se presenta durante el mes de Mayo; con fundamento en lo establecido en el Art. 101 Fracción </w:t>
      </w:r>
      <w:proofErr w:type="spellStart"/>
      <w:r w:rsidRPr="00075DA0">
        <w:t>Vll</w:t>
      </w:r>
      <w:proofErr w:type="spellEnd"/>
      <w:r w:rsidRPr="00075DA0">
        <w:t xml:space="preserve"> de la Ley de Aguas para el Estado de San Luis Potosí, artículos 1o. y 2o fracciones I, IV y V; 8o. fracción VI, 25, 26, 27, 29, 30, 31, 32, 33, 34, 35, 36, 37, 38, 39, 40 y 41 de la Ley de Responsabilidades Administrativas para el Estado de San Luis Potosí y el artículo 124 de la Constitución Política del Estado de San Luis Potosí. Llenando el formato para cumplimiento en apego a los criterios y lineamient</w:t>
      </w:r>
      <w:bookmarkStart w:id="0" w:name="_GoBack"/>
      <w:bookmarkEnd w:id="0"/>
      <w:r w:rsidRPr="00075DA0">
        <w:t>os para el llenado del mismo.</w:t>
      </w:r>
    </w:p>
    <w:sectPr w:rsidR="00190790" w:rsidRPr="00075DA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21"/>
    <w:rsid w:val="00075DA0"/>
    <w:rsid w:val="000B3221"/>
    <w:rsid w:val="00190790"/>
    <w:rsid w:val="006B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57BCE-771B-40F4-BFCE-EB627EE5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demian Alberto</dc:creator>
  <cp:keywords/>
  <dc:description/>
  <cp:lastModifiedBy>demian Alberto</cp:lastModifiedBy>
  <cp:revision>3</cp:revision>
  <dcterms:created xsi:type="dcterms:W3CDTF">2026-09-02T02:46:00Z</dcterms:created>
  <dcterms:modified xsi:type="dcterms:W3CDTF">2026-09-02T03:19:00Z</dcterms:modified>
</cp:coreProperties>
</file>