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872F1" w:rsidRDefault="00D872F1"/>
    <w:p w:rsidR="005F25BA" w:rsidRPr="001F6C9E" w:rsidRDefault="00701BED" w:rsidP="001F6C9E">
      <w:pPr>
        <w:jc w:val="both"/>
        <w:rPr>
          <w:rFonts w:ascii="Arial" w:hAnsi="Arial" w:cs="Arial"/>
          <w:sz w:val="24"/>
          <w:szCs w:val="24"/>
        </w:rPr>
      </w:pPr>
      <w:r w:rsidRPr="00701BED">
        <w:rPr>
          <w:rFonts w:ascii="Arial" w:hAnsi="Arial" w:cs="Arial"/>
          <w:sz w:val="24"/>
          <w:szCs w:val="24"/>
        </w:rPr>
        <w:t>Este sujeto obligado si está facultado para generar la información requerida</w:t>
      </w:r>
      <w:r>
        <w:t xml:space="preserve">, </w:t>
      </w:r>
      <w:r w:rsidRPr="00701BED">
        <w:rPr>
          <w:rFonts w:ascii="Arial" w:hAnsi="Arial" w:cs="Arial"/>
          <w:sz w:val="24"/>
          <w:szCs w:val="24"/>
        </w:rPr>
        <w:t>sin embargo</w:t>
      </w:r>
      <w:r>
        <w:rPr>
          <w:rFonts w:ascii="Arial" w:hAnsi="Arial" w:cs="Arial"/>
          <w:sz w:val="24"/>
          <w:szCs w:val="24"/>
        </w:rPr>
        <w:t>, n</w:t>
      </w:r>
      <w:r w:rsidR="00C7664E">
        <w:rPr>
          <w:rFonts w:ascii="Arial" w:hAnsi="Arial" w:cs="Arial"/>
          <w:sz w:val="24"/>
          <w:szCs w:val="24"/>
        </w:rPr>
        <w:t xml:space="preserve">o hubo ninguna </w:t>
      </w:r>
      <w:r w:rsidR="00D54BB2">
        <w:rPr>
          <w:rFonts w:ascii="Arial" w:hAnsi="Arial" w:cs="Arial"/>
          <w:sz w:val="24"/>
          <w:szCs w:val="24"/>
        </w:rPr>
        <w:t>sesión</w:t>
      </w:r>
      <w:r w:rsidR="00C7664E">
        <w:rPr>
          <w:rFonts w:ascii="Arial" w:hAnsi="Arial" w:cs="Arial"/>
          <w:sz w:val="24"/>
          <w:szCs w:val="24"/>
        </w:rPr>
        <w:t xml:space="preserve"> por parte del Comité de Transparencia en el periodo que se informa</w:t>
      </w:r>
      <w:r w:rsidR="005F25BA" w:rsidRPr="001F6C9E">
        <w:rPr>
          <w:rFonts w:ascii="Arial" w:hAnsi="Arial" w:cs="Arial"/>
          <w:sz w:val="24"/>
          <w:szCs w:val="24"/>
        </w:rPr>
        <w:t xml:space="preserve">, por lo tanto no </w:t>
      </w:r>
      <w:r w:rsidR="00C7664E">
        <w:rPr>
          <w:rFonts w:ascii="Arial" w:hAnsi="Arial" w:cs="Arial"/>
          <w:sz w:val="24"/>
          <w:szCs w:val="24"/>
        </w:rPr>
        <w:t xml:space="preserve">existe </w:t>
      </w:r>
      <w:r w:rsidR="005F25BA" w:rsidRPr="001F6C9E">
        <w:rPr>
          <w:rFonts w:ascii="Arial" w:hAnsi="Arial" w:cs="Arial"/>
          <w:sz w:val="24"/>
          <w:szCs w:val="24"/>
        </w:rPr>
        <w:t xml:space="preserve">información para reportar para el presente formato. En este sentido y de conformidad con </w:t>
      </w:r>
      <w:r w:rsidR="00C7664E">
        <w:rPr>
          <w:rFonts w:ascii="Arial" w:hAnsi="Arial" w:cs="Arial"/>
          <w:sz w:val="24"/>
          <w:szCs w:val="24"/>
        </w:rPr>
        <w:t>l</w:t>
      </w:r>
      <w:r w:rsidR="00D54BB2">
        <w:rPr>
          <w:rFonts w:ascii="Arial" w:hAnsi="Arial" w:cs="Arial"/>
          <w:sz w:val="24"/>
          <w:szCs w:val="24"/>
        </w:rPr>
        <w:t>os</w:t>
      </w:r>
      <w:r w:rsidR="00C7664E">
        <w:rPr>
          <w:rFonts w:ascii="Arial" w:hAnsi="Arial" w:cs="Arial"/>
          <w:sz w:val="24"/>
          <w:szCs w:val="24"/>
        </w:rPr>
        <w:t xml:space="preserve"> </w:t>
      </w:r>
      <w:r w:rsidR="00D54BB2">
        <w:rPr>
          <w:rFonts w:ascii="Arial" w:hAnsi="Arial" w:cs="Arial"/>
          <w:sz w:val="24"/>
          <w:szCs w:val="24"/>
        </w:rPr>
        <w:t>a</w:t>
      </w:r>
      <w:r w:rsidR="00C7664E">
        <w:rPr>
          <w:rFonts w:ascii="Arial" w:hAnsi="Arial" w:cs="Arial"/>
          <w:sz w:val="24"/>
          <w:szCs w:val="24"/>
        </w:rPr>
        <w:t>rtículo</w:t>
      </w:r>
      <w:r w:rsidR="00D54BB2">
        <w:rPr>
          <w:rFonts w:ascii="Arial" w:hAnsi="Arial" w:cs="Arial"/>
          <w:sz w:val="24"/>
          <w:szCs w:val="24"/>
        </w:rPr>
        <w:t>s 39 y 65,</w:t>
      </w:r>
      <w:r w:rsidR="00C7664E">
        <w:rPr>
          <w:rFonts w:ascii="Arial" w:hAnsi="Arial" w:cs="Arial"/>
          <w:sz w:val="24"/>
          <w:szCs w:val="24"/>
        </w:rPr>
        <w:t xml:space="preserve"> </w:t>
      </w:r>
      <w:r w:rsidR="00D54BB2">
        <w:rPr>
          <w:rFonts w:ascii="Arial" w:hAnsi="Arial" w:cs="Arial"/>
          <w:sz w:val="24"/>
          <w:szCs w:val="24"/>
        </w:rPr>
        <w:t>f</w:t>
      </w:r>
      <w:r w:rsidR="00C7664E">
        <w:rPr>
          <w:rFonts w:ascii="Arial" w:hAnsi="Arial" w:cs="Arial"/>
          <w:sz w:val="24"/>
          <w:szCs w:val="24"/>
        </w:rPr>
        <w:t>racción XLVI</w:t>
      </w:r>
      <w:r w:rsidR="001F6C9E">
        <w:rPr>
          <w:rFonts w:ascii="Arial" w:hAnsi="Arial" w:cs="Arial"/>
          <w:sz w:val="24"/>
          <w:szCs w:val="24"/>
        </w:rPr>
        <w:t>, de la L</w:t>
      </w:r>
      <w:r w:rsidR="00D54BB2">
        <w:rPr>
          <w:rFonts w:ascii="Arial" w:hAnsi="Arial" w:cs="Arial"/>
          <w:sz w:val="24"/>
          <w:szCs w:val="24"/>
        </w:rPr>
        <w:t>ey General de Transparencia y Acceso a la Información Pública, publicada</w:t>
      </w:r>
      <w:r w:rsidR="00280D78">
        <w:rPr>
          <w:rFonts w:ascii="Arial" w:hAnsi="Arial" w:cs="Arial"/>
          <w:sz w:val="24"/>
          <w:szCs w:val="24"/>
        </w:rPr>
        <w:t xml:space="preserve"> en el Diario Oficial de la Federación en fecha</w:t>
      </w:r>
      <w:r w:rsidR="00D54BB2">
        <w:rPr>
          <w:rFonts w:ascii="Arial" w:hAnsi="Arial" w:cs="Arial"/>
          <w:sz w:val="24"/>
          <w:szCs w:val="24"/>
        </w:rPr>
        <w:t xml:space="preserve"> 20 de marzo de 2025, </w:t>
      </w:r>
      <w:r w:rsidR="005F25BA" w:rsidRPr="001F6C9E">
        <w:rPr>
          <w:rFonts w:ascii="Arial" w:hAnsi="Arial" w:cs="Arial"/>
          <w:sz w:val="24"/>
          <w:szCs w:val="24"/>
        </w:rPr>
        <w:t xml:space="preserve">en concordancia con el </w:t>
      </w:r>
      <w:r w:rsidR="001F6C9E">
        <w:rPr>
          <w:rFonts w:ascii="Arial" w:hAnsi="Arial" w:cs="Arial"/>
          <w:sz w:val="24"/>
          <w:szCs w:val="24"/>
        </w:rPr>
        <w:t>L</w:t>
      </w:r>
      <w:r w:rsidR="005F25BA" w:rsidRPr="001F6C9E">
        <w:rPr>
          <w:rFonts w:ascii="Arial" w:hAnsi="Arial" w:cs="Arial"/>
          <w:sz w:val="24"/>
          <w:szCs w:val="24"/>
        </w:rPr>
        <w:t>ineamiento</w:t>
      </w:r>
      <w:r w:rsidR="00280D78">
        <w:rPr>
          <w:rFonts w:ascii="Arial" w:hAnsi="Arial" w:cs="Arial"/>
          <w:sz w:val="24"/>
          <w:szCs w:val="24"/>
        </w:rPr>
        <w:t xml:space="preserve"> Séptimo, fracción II y Sexagésimo Quinto</w:t>
      </w:r>
      <w:r w:rsidR="001F6C9E" w:rsidRPr="001F6C9E">
        <w:rPr>
          <w:rFonts w:ascii="Arial" w:hAnsi="Arial" w:cs="Arial"/>
          <w:sz w:val="24"/>
          <w:szCs w:val="24"/>
        </w:rPr>
        <w:t xml:space="preserve"> de los Lineamientos Estatales para la Difusión, Disposición y Evaluación de las Obligaciones de Transparencia Comunes y Específicas,</w:t>
      </w:r>
      <w:r w:rsidR="00280D78">
        <w:rPr>
          <w:rFonts w:ascii="Arial" w:hAnsi="Arial" w:cs="Arial"/>
          <w:sz w:val="24"/>
          <w:szCs w:val="24"/>
        </w:rPr>
        <w:t xml:space="preserve"> publicados en el Periódico Oficial del Estado el 08 de julio de 2024,</w:t>
      </w:r>
      <w:r w:rsidR="001F6C9E" w:rsidRPr="001F6C9E">
        <w:rPr>
          <w:rFonts w:ascii="Arial" w:hAnsi="Arial" w:cs="Arial"/>
          <w:sz w:val="24"/>
          <w:szCs w:val="24"/>
        </w:rPr>
        <w:t xml:space="preserve"> se informa que los campos que comprenden esas disposiciones fueron llenados con la finalidad de respetar el formato de las celdas según se solicita en los citados lineamientos.  </w:t>
      </w:r>
    </w:p>
    <w:sectPr w:rsidR="005F25BA" w:rsidRPr="001F6C9E" w:rsidSect="00610CE7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E7BF7" w:rsidRDefault="008E7BF7" w:rsidP="005F25BA">
      <w:pPr>
        <w:spacing w:after="0" w:line="240" w:lineRule="auto"/>
      </w:pPr>
      <w:r>
        <w:separator/>
      </w:r>
    </w:p>
  </w:endnote>
  <w:endnote w:type="continuationSeparator" w:id="0">
    <w:p w:rsidR="008E7BF7" w:rsidRDefault="008E7BF7" w:rsidP="005F25B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80D78" w:rsidRDefault="00280D78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80D78" w:rsidRDefault="00280D78">
    <w:pPr>
      <w:pStyle w:val="Piedepgina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80D78" w:rsidRDefault="00280D78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E7BF7" w:rsidRDefault="008E7BF7" w:rsidP="005F25BA">
      <w:pPr>
        <w:spacing w:after="0" w:line="240" w:lineRule="auto"/>
      </w:pPr>
      <w:r>
        <w:separator/>
      </w:r>
    </w:p>
  </w:footnote>
  <w:footnote w:type="continuationSeparator" w:id="0">
    <w:p w:rsidR="008E7BF7" w:rsidRDefault="008E7BF7" w:rsidP="005F25B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80D78" w:rsidRDefault="00280D78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F25BA" w:rsidRDefault="00D54BB2">
    <w:pPr>
      <w:pStyle w:val="Encabezado"/>
    </w:pPr>
    <w:r>
      <w:rPr>
        <w:rFonts w:ascii="Bookman Old Style" w:hAnsi="Bookman Old Style" w:cs="Bookman Old Style"/>
        <w:i/>
        <w:noProof/>
        <w:sz w:val="18"/>
        <w:szCs w:val="16"/>
        <w:lang w:eastAsia="es-MX"/>
      </w:rPr>
      <w:drawing>
        <wp:anchor distT="0" distB="0" distL="114300" distR="114300" simplePos="0" relativeHeight="251659264" behindDoc="0" locked="0" layoutInCell="1" allowOverlap="1" wp14:anchorId="71674464" wp14:editId="21B7AE36">
          <wp:simplePos x="0" y="0"/>
          <wp:positionH relativeFrom="margin">
            <wp:align>right</wp:align>
          </wp:positionH>
          <wp:positionV relativeFrom="page">
            <wp:posOffset>591820</wp:posOffset>
          </wp:positionV>
          <wp:extent cx="914400" cy="600075"/>
          <wp:effectExtent l="0" t="0" r="0" b="9525"/>
          <wp:wrapSquare wrapText="bothSides"/>
          <wp:docPr id="13" name="Imagen 1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RINCIPAL_ÓAJ_NEUTRO (1)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14400" cy="60007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5F25BA">
      <w:rPr>
        <w:noProof/>
        <w:lang w:eastAsia="es-MX"/>
      </w:rPr>
      <w:drawing>
        <wp:inline distT="0" distB="0" distL="0" distR="0" wp14:anchorId="03641A8A" wp14:editId="325AC214">
          <wp:extent cx="871855" cy="768350"/>
          <wp:effectExtent l="0" t="0" r="4445" b="0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71855" cy="76835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  <w:bookmarkStart w:id="0" w:name="_GoBack"/>
    <w:bookmarkEnd w:id="0"/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80D78" w:rsidRDefault="00280D78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F25BA"/>
    <w:rsid w:val="00074885"/>
    <w:rsid w:val="001F6C9E"/>
    <w:rsid w:val="00280D78"/>
    <w:rsid w:val="004501CA"/>
    <w:rsid w:val="005D27C1"/>
    <w:rsid w:val="005F25BA"/>
    <w:rsid w:val="00610CE7"/>
    <w:rsid w:val="00701BED"/>
    <w:rsid w:val="008E7BF7"/>
    <w:rsid w:val="00977976"/>
    <w:rsid w:val="00B40F6E"/>
    <w:rsid w:val="00C7664E"/>
    <w:rsid w:val="00D259E9"/>
    <w:rsid w:val="00D54BB2"/>
    <w:rsid w:val="00D872F1"/>
    <w:rsid w:val="00E62167"/>
    <w:rsid w:val="00F073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DE83BCB5-E029-4594-8F1B-4FA6EFA1AE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5F25B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5F25BA"/>
  </w:style>
  <w:style w:type="paragraph" w:styleId="Piedepgina">
    <w:name w:val="footer"/>
    <w:basedOn w:val="Normal"/>
    <w:link w:val="PiedepginaCar"/>
    <w:uiPriority w:val="99"/>
    <w:unhideWhenUsed/>
    <w:rsid w:val="005F25B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5F25BA"/>
  </w:style>
  <w:style w:type="paragraph" w:styleId="Textodeglobo">
    <w:name w:val="Balloon Text"/>
    <w:basedOn w:val="Normal"/>
    <w:link w:val="TextodegloboCar"/>
    <w:uiPriority w:val="99"/>
    <w:semiHidden/>
    <w:unhideWhenUsed/>
    <w:rsid w:val="005F25B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F25B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144</Words>
  <Characters>795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938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SOCORRO IRMA FLORENCIO CONTRERAS</dc:creator>
  <cp:lastModifiedBy>MA. TERESITA RUEDAS IBARRA</cp:lastModifiedBy>
  <cp:revision>2</cp:revision>
  <dcterms:created xsi:type="dcterms:W3CDTF">2026-02-06T18:04:00Z</dcterms:created>
  <dcterms:modified xsi:type="dcterms:W3CDTF">2026-02-06T18:04:00Z</dcterms:modified>
</cp:coreProperties>
</file>